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E56A70E" w14:textId="25E85649" w:rsidR="00816AEC" w:rsidRDefault="00C26828">
      <w:pPr>
        <w:rPr>
          <w:noProof/>
        </w:rPr>
      </w:pPr>
      <w:r>
        <w:rPr>
          <w:b/>
          <w:noProof/>
        </w:rPr>
        <w:drawing>
          <wp:anchor distT="0" distB="0" distL="114300" distR="114300" simplePos="0" relativeHeight="251658241" behindDoc="1" locked="0" layoutInCell="1" allowOverlap="1" wp14:anchorId="44137192" wp14:editId="5D42FA6C">
            <wp:simplePos x="0" y="0"/>
            <wp:positionH relativeFrom="page">
              <wp:align>left</wp:align>
            </wp:positionH>
            <wp:positionV relativeFrom="paragraph">
              <wp:posOffset>-1506492</wp:posOffset>
            </wp:positionV>
            <wp:extent cx="6121400" cy="5918200"/>
            <wp:effectExtent l="0" t="0" r="0" b="6350"/>
            <wp:wrapNone/>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1400" cy="5918200"/>
                    </a:xfrm>
                    <a:prstGeom prst="rect">
                      <a:avLst/>
                    </a:prstGeom>
                    <a:noFill/>
                    <a:ln>
                      <a:noFill/>
                    </a:ln>
                  </pic:spPr>
                </pic:pic>
              </a:graphicData>
            </a:graphic>
            <wp14:sizeRelV relativeFrom="margin">
              <wp14:pctHeight>0</wp14:pctHeight>
            </wp14:sizeRelV>
          </wp:anchor>
        </w:drawing>
      </w:r>
      <w:r w:rsidR="00C30334">
        <w:rPr>
          <w:b/>
          <w:noProof/>
        </w:rPr>
        <mc:AlternateContent>
          <mc:Choice Requires="wps">
            <w:drawing>
              <wp:anchor distT="0" distB="0" distL="114300" distR="114300" simplePos="0" relativeHeight="251658240" behindDoc="0" locked="0" layoutInCell="1" allowOverlap="1" wp14:anchorId="3544678F" wp14:editId="2CBA8000">
                <wp:simplePos x="0" y="0"/>
                <wp:positionH relativeFrom="column">
                  <wp:posOffset>-438150</wp:posOffset>
                </wp:positionH>
                <wp:positionV relativeFrom="paragraph">
                  <wp:posOffset>1842135</wp:posOffset>
                </wp:positionV>
                <wp:extent cx="5326619" cy="754330"/>
                <wp:effectExtent l="0" t="0" r="0" b="0"/>
                <wp:wrapNone/>
                <wp:docPr id="4" name="Text Box 4"/>
                <wp:cNvGraphicFramePr/>
                <a:graphic xmlns:a="http://schemas.openxmlformats.org/drawingml/2006/main">
                  <a:graphicData uri="http://schemas.microsoft.com/office/word/2010/wordprocessingShape">
                    <wps:wsp>
                      <wps:cNvSpPr txBox="1"/>
                      <wps:spPr>
                        <a:xfrm>
                          <a:off x="0" y="0"/>
                          <a:ext cx="5326619" cy="754330"/>
                        </a:xfrm>
                        <a:prstGeom prst="rect">
                          <a:avLst/>
                        </a:prstGeom>
                        <a:noFill/>
                        <a:ln w="6350">
                          <a:noFill/>
                        </a:ln>
                      </wps:spPr>
                      <wps:txbx>
                        <w:txbxContent>
                          <w:p w14:paraId="61BDCEB4" w14:textId="44B56C20" w:rsidR="006571FB" w:rsidRPr="004D6464" w:rsidRDefault="00237EB0" w:rsidP="00063C86">
                            <w:pPr>
                              <w:jc w:val="center"/>
                              <w:rPr>
                                <w:rFonts w:cs="Arial"/>
                                <w:b/>
                                <w:bCs/>
                                <w:color w:val="FFFFFF" w:themeColor="background1"/>
                                <w:sz w:val="72"/>
                                <w:szCs w:val="72"/>
                              </w:rPr>
                            </w:pPr>
                            <w:r>
                              <w:rPr>
                                <w:rFonts w:cs="Arial"/>
                                <w:b/>
                                <w:bCs/>
                                <w:color w:val="FFFFFF" w:themeColor="background1"/>
                                <w:sz w:val="72"/>
                                <w:szCs w:val="72"/>
                              </w:rPr>
                              <w:t>Price Submission</w:t>
                            </w:r>
                            <w:r w:rsidR="00F70F50">
                              <w:rPr>
                                <w:rFonts w:cs="Arial"/>
                                <w:b/>
                                <w:bCs/>
                                <w:color w:val="FFFFFF" w:themeColor="background1"/>
                                <w:sz w:val="72"/>
                                <w:szCs w:val="72"/>
                              </w:rPr>
                              <w:t xml:space="preserve"> 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3544678F" id="_x0000_t202" coordsize="21600,21600" o:spt="202" path="m,l,21600r21600,l21600,xe">
                <v:stroke joinstyle="miter"/>
                <v:path gradientshapeok="t" o:connecttype="rect"/>
              </v:shapetype>
              <v:shape id="Text Box 4" o:spid="_x0000_s1026" type="#_x0000_t202" style="position:absolute;margin-left:-34.5pt;margin-top:145.05pt;width:419.4pt;height:59.4pt;z-index:251658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" filled="f" stroked="f" strokeweight=".5pt">
                <v:textbox>
                  <w:txbxContent>
                    <w:p w14:paraId="61BDCEB4" w14:textId="44B56C20" w:rsidR="006571FB" w:rsidRPr="004D6464" w:rsidRDefault="00237EB0" w:rsidP="00063C86">
                      <w:pPr>
                        <w:jc w:val="center"/>
                        <w:rPr>
                          <w:rFonts w:cs="Arial"/>
                          <w:b/>
                          <w:bCs/>
                          <w:color w:val="FFFFFF" w:themeColor="background1"/>
                          <w:sz w:val="72"/>
                          <w:szCs w:val="72"/>
                        </w:rPr>
                      </w:pPr>
                      <w:r>
                        <w:rPr>
                          <w:rFonts w:cs="Arial"/>
                          <w:b/>
                          <w:bCs/>
                          <w:color w:val="FFFFFF" w:themeColor="background1"/>
                          <w:sz w:val="72"/>
                          <w:szCs w:val="72"/>
                        </w:rPr>
                        <w:t>Price Submission</w:t>
                      </w:r>
                      <w:r w:rsidR="00F70F50">
                        <w:rPr>
                          <w:rFonts w:cs="Arial"/>
                          <w:b/>
                          <w:bCs/>
                          <w:color w:val="FFFFFF" w:themeColor="background1"/>
                          <w:sz w:val="72"/>
                          <w:szCs w:val="72"/>
                        </w:rPr>
                        <w:t xml:space="preserve"> 2023</w:t>
                      </w:r>
                    </w:p>
                  </w:txbxContent>
                </v:textbox>
              </v:shape>
            </w:pict>
          </mc:Fallback>
        </mc:AlternateContent>
      </w:r>
      <w:r w:rsidR="00907DDA">
        <w:rPr>
          <w:b/>
          <w:noProof/>
        </w:rPr>
        <w:t xml:space="preserve"> </w:t>
      </w:r>
      <w:r w:rsidR="5A57B37B" w:rsidRPr="6B20A4EE">
        <w:rPr>
          <w:b/>
          <w:bCs/>
          <w:noProof/>
        </w:rPr>
        <w:t xml:space="preserve"> </w:t>
      </w:r>
      <w:sdt>
        <w:sdtPr>
          <w:rPr>
            <w:b/>
            <w:noProof/>
          </w:rPr>
          <w:id w:val="-309245477"/>
          <w:docPartObj>
            <w:docPartGallery w:val="Cover Pages"/>
            <w:docPartUnique/>
          </w:docPartObj>
        </w:sdtPr>
        <w:sdtContent>
          <w:r w:rsidR="00816AEC">
            <w:rPr>
              <w:b/>
              <w:noProof/>
            </w:rPr>
            <w:br w:type="page"/>
          </w:r>
        </w:sdtContent>
      </w:sdt>
    </w:p>
    <w:p w14:paraId="5F8BD0A8" w14:textId="77777777" w:rsidR="00FE7D82" w:rsidRPr="00192F41" w:rsidRDefault="00FE7D82">
      <w:pPr>
        <w:rPr>
          <w:rFonts w:cs="Arial"/>
        </w:rPr>
      </w:pPr>
    </w:p>
    <w:p w14:paraId="482E60DE" w14:textId="77777777" w:rsidR="00A56FBD" w:rsidRDefault="00A56FBD">
      <w:pPr>
        <w:rPr>
          <w:rFonts w:cs="Arial"/>
        </w:rPr>
      </w:pPr>
    </w:p>
    <w:p w14:paraId="5B44E29A" w14:textId="77777777" w:rsidR="00A56FBD" w:rsidRDefault="00A56FBD">
      <w:pPr>
        <w:rPr>
          <w:rFonts w:cs="Arial"/>
        </w:rPr>
      </w:pPr>
    </w:p>
    <w:p w14:paraId="6DA343B5" w14:textId="77777777" w:rsidR="00A56FBD" w:rsidRDefault="00A56FBD">
      <w:pPr>
        <w:rPr>
          <w:rFonts w:cs="Arial"/>
        </w:rPr>
      </w:pPr>
    </w:p>
    <w:p w14:paraId="05FFFE08" w14:textId="77777777" w:rsidR="00A56FBD" w:rsidRDefault="00A56FBD">
      <w:pPr>
        <w:rPr>
          <w:rFonts w:cs="Arial"/>
        </w:rPr>
      </w:pPr>
    </w:p>
    <w:p w14:paraId="38B8FBC7" w14:textId="77777777" w:rsidR="00A56FBD" w:rsidRDefault="00A56FBD">
      <w:pPr>
        <w:rPr>
          <w:rFonts w:cs="Arial"/>
        </w:rPr>
      </w:pPr>
    </w:p>
    <w:p w14:paraId="31736C3C" w14:textId="77777777" w:rsidR="00A56FBD" w:rsidRDefault="00A56FBD">
      <w:pPr>
        <w:rPr>
          <w:rFonts w:cs="Arial"/>
        </w:rPr>
      </w:pPr>
    </w:p>
    <w:p w14:paraId="4C0160EA" w14:textId="77777777" w:rsidR="00A56FBD" w:rsidRDefault="00A56FBD">
      <w:pPr>
        <w:rPr>
          <w:rFonts w:cs="Arial"/>
        </w:rPr>
      </w:pPr>
    </w:p>
    <w:p w14:paraId="6BCC7B67" w14:textId="77777777" w:rsidR="00A56FBD" w:rsidRDefault="00A56FBD">
      <w:pPr>
        <w:rPr>
          <w:rFonts w:cs="Arial"/>
        </w:rPr>
      </w:pPr>
    </w:p>
    <w:p w14:paraId="0B461769" w14:textId="77777777" w:rsidR="00A56FBD" w:rsidRDefault="00A56FBD">
      <w:pPr>
        <w:rPr>
          <w:rFonts w:cs="Arial"/>
        </w:rPr>
      </w:pPr>
    </w:p>
    <w:p w14:paraId="6F43A3F0" w14:textId="77777777" w:rsidR="00A56FBD" w:rsidRDefault="00A56FBD">
      <w:pPr>
        <w:rPr>
          <w:rFonts w:cs="Arial"/>
        </w:rPr>
      </w:pPr>
    </w:p>
    <w:p w14:paraId="2982DE2F" w14:textId="77777777" w:rsidR="00A56FBD" w:rsidRDefault="00A56FBD">
      <w:pPr>
        <w:rPr>
          <w:rFonts w:cs="Arial"/>
        </w:rPr>
      </w:pPr>
    </w:p>
    <w:p w14:paraId="380B5CAE" w14:textId="77777777" w:rsidR="00A56FBD" w:rsidRDefault="00A56FBD">
      <w:pPr>
        <w:rPr>
          <w:rFonts w:cs="Arial"/>
        </w:rPr>
      </w:pPr>
    </w:p>
    <w:p w14:paraId="445B1A5F" w14:textId="77777777" w:rsidR="00A56FBD" w:rsidRDefault="00A56FBD">
      <w:pPr>
        <w:rPr>
          <w:rFonts w:cs="Arial"/>
        </w:rPr>
      </w:pPr>
    </w:p>
    <w:p w14:paraId="0797AE10" w14:textId="77777777" w:rsidR="009A3424" w:rsidRDefault="009A3424">
      <w:pPr>
        <w:rPr>
          <w:rFonts w:cs="Arial"/>
        </w:rPr>
      </w:pPr>
    </w:p>
    <w:p w14:paraId="73641E32" w14:textId="77777777" w:rsidR="009A3424" w:rsidRDefault="009A3424">
      <w:pPr>
        <w:rPr>
          <w:rFonts w:cs="Arial"/>
        </w:rPr>
      </w:pPr>
    </w:p>
    <w:p w14:paraId="5FBAB612" w14:textId="77777777" w:rsidR="009A3424" w:rsidRDefault="009A3424">
      <w:pPr>
        <w:rPr>
          <w:rFonts w:cs="Arial"/>
        </w:rPr>
      </w:pPr>
    </w:p>
    <w:p w14:paraId="0F120847" w14:textId="77777777" w:rsidR="009A3424" w:rsidRDefault="009A3424">
      <w:pPr>
        <w:rPr>
          <w:rFonts w:cs="Arial"/>
        </w:rPr>
      </w:pPr>
    </w:p>
    <w:p w14:paraId="0815DA06" w14:textId="77777777" w:rsidR="009A3424" w:rsidRDefault="009A3424">
      <w:pPr>
        <w:rPr>
          <w:rFonts w:cs="Arial"/>
        </w:rPr>
      </w:pPr>
    </w:p>
    <w:p w14:paraId="2F9ACE08" w14:textId="77777777" w:rsidR="00A56FBD" w:rsidRDefault="00A56FBD">
      <w:pPr>
        <w:rPr>
          <w:rFonts w:cs="Arial"/>
        </w:rPr>
      </w:pPr>
    </w:p>
    <w:p w14:paraId="16764BBB" w14:textId="77777777" w:rsidR="009A3424" w:rsidRDefault="009A3424">
      <w:pPr>
        <w:rPr>
          <w:rFonts w:cs="Arial"/>
        </w:rPr>
      </w:pPr>
    </w:p>
    <w:p w14:paraId="71F10210" w14:textId="77777777" w:rsidR="009A3424" w:rsidRDefault="009A3424">
      <w:pPr>
        <w:rPr>
          <w:rFonts w:cs="Arial"/>
        </w:rPr>
      </w:pPr>
    </w:p>
    <w:p w14:paraId="54DBD86A" w14:textId="0EFBE58C" w:rsidR="00A56FBD" w:rsidRPr="00192F41" w:rsidRDefault="00A56FBD" w:rsidP="00A56FBD">
      <w:pPr>
        <w:pStyle w:val="Heading1"/>
        <w:rPr>
          <w:rStyle w:val="IntenseEmphasis"/>
          <w:rFonts w:eastAsiaTheme="minorHAnsi" w:cs="Arial"/>
          <w:b w:val="0"/>
          <w:i w:val="0"/>
          <w:iCs w:val="0"/>
          <w:color w:val="002B5C" w:themeColor="text2"/>
          <w:sz w:val="52"/>
          <w:szCs w:val="22"/>
        </w:rPr>
      </w:pPr>
      <w:bookmarkStart w:id="0" w:name="_Toc115263669"/>
      <w:r w:rsidRPr="00192F41">
        <w:rPr>
          <w:rStyle w:val="IntenseEmphasis"/>
          <w:rFonts w:cs="Arial"/>
          <w:i w:val="0"/>
          <w:iCs w:val="0"/>
          <w:color w:val="002B5C" w:themeColor="text2"/>
          <w:sz w:val="52"/>
        </w:rPr>
        <w:t>Acknowledging Traditional Owners</w:t>
      </w:r>
      <w:bookmarkEnd w:id="0"/>
      <w:r w:rsidRPr="00192F41">
        <w:rPr>
          <w:rStyle w:val="IntenseEmphasis"/>
          <w:rFonts w:cs="Arial"/>
          <w:i w:val="0"/>
          <w:iCs w:val="0"/>
          <w:color w:val="002B5C" w:themeColor="text2"/>
          <w:sz w:val="52"/>
        </w:rPr>
        <w:t xml:space="preserve"> </w:t>
      </w:r>
    </w:p>
    <w:p w14:paraId="42570287" w14:textId="1FFD3FC2" w:rsidR="00A56FBD" w:rsidRDefault="00A56FBD" w:rsidP="00C314B0">
      <w:pPr>
        <w:jc w:val="both"/>
        <w:rPr>
          <w:rFonts w:cs="Arial"/>
        </w:rPr>
      </w:pPr>
      <w:r w:rsidRPr="00192F41">
        <w:rPr>
          <w:rStyle w:val="IntenseEmphasis"/>
          <w:rFonts w:cs="Arial"/>
          <w:i w:val="0"/>
          <w:iCs w:val="0"/>
          <w:color w:val="auto"/>
        </w:rPr>
        <w:t>Southern Rural Water (SRW) acknowledges and recognises Aboriginal people as the Traditional Owners and Custodians of the land and waters on which we work and live, and we respect their deep and ongoing connection to Country. We are committed to honouring the knowledge, aspirations, and ongoing connection to Country of Aboriginal Victorians in our operations, water planning activities and decision-making. We understand the mutual benefit of working in partnership and seek to embed this ethos into everything we do.</w:t>
      </w:r>
    </w:p>
    <w:p w14:paraId="457F072D" w14:textId="0B5AFB39" w:rsidR="00520042" w:rsidRDefault="00520042">
      <w:pPr>
        <w:rPr>
          <w:rFonts w:cs="Arial"/>
        </w:rPr>
      </w:pPr>
      <w:r>
        <w:rPr>
          <w:rFonts w:cs="Arial"/>
        </w:rPr>
        <w:br w:type="page"/>
      </w:r>
    </w:p>
    <w:sdt>
      <w:sdtPr>
        <w:rPr>
          <w:rFonts w:eastAsiaTheme="minorHAnsi" w:cs="Arial"/>
          <w:i/>
          <w:iCs/>
          <w:color w:val="auto"/>
          <w:sz w:val="22"/>
          <w:szCs w:val="22"/>
          <w:lang w:val="en-AU"/>
        </w:rPr>
        <w:id w:val="1355156171"/>
        <w:docPartObj>
          <w:docPartGallery w:val="Table of Contents"/>
          <w:docPartUnique/>
        </w:docPartObj>
      </w:sdtPr>
      <w:sdtEndPr>
        <w:rPr>
          <w:b/>
        </w:rPr>
      </w:sdtEndPr>
      <w:sdtContent>
        <w:p w14:paraId="04B0206D" w14:textId="0DC499D4" w:rsidR="00A91444" w:rsidRPr="00B754A5" w:rsidRDefault="00A91444" w:rsidP="00A91444">
          <w:pPr>
            <w:pStyle w:val="TOCHeading"/>
            <w:rPr>
              <w:rStyle w:val="IntenseEmphasis"/>
              <w:b/>
              <w:i w:val="0"/>
              <w:color w:val="002B5C" w:themeColor="text2"/>
              <w:sz w:val="52"/>
              <w:lang w:val="en-AU"/>
            </w:rPr>
          </w:pPr>
          <w:r w:rsidRPr="00B754A5">
            <w:rPr>
              <w:rStyle w:val="IntenseEmphasis"/>
              <w:b/>
              <w:i w:val="0"/>
              <w:color w:val="002B5C" w:themeColor="text2"/>
              <w:sz w:val="52"/>
              <w:lang w:val="en-AU"/>
            </w:rPr>
            <w:t>Contents</w:t>
          </w:r>
        </w:p>
        <w:p w14:paraId="2863444B" w14:textId="673B84A2" w:rsidR="0081215A" w:rsidRDefault="00A91444">
          <w:pPr>
            <w:pStyle w:val="TOC1"/>
            <w:rPr>
              <w:rFonts w:asciiTheme="minorHAnsi" w:eastAsiaTheme="minorEastAsia" w:hAnsiTheme="minorHAnsi"/>
              <w:noProof/>
              <w:color w:val="auto"/>
              <w:sz w:val="22"/>
              <w:lang w:eastAsia="en-AU"/>
            </w:rPr>
          </w:pPr>
          <w:r w:rsidRPr="00192F41">
            <w:rPr>
              <w:rFonts w:cs="Arial"/>
            </w:rPr>
            <w:fldChar w:fldCharType="begin"/>
          </w:r>
          <w:r w:rsidRPr="00192F41">
            <w:rPr>
              <w:rFonts w:cs="Arial"/>
            </w:rPr>
            <w:instrText xml:space="preserve"> TOC \o "1-1" \h \z \u </w:instrText>
          </w:r>
          <w:r w:rsidRPr="00192F41">
            <w:rPr>
              <w:rFonts w:cs="Arial"/>
            </w:rPr>
            <w:fldChar w:fldCharType="separate"/>
          </w:r>
          <w:hyperlink w:anchor="_Toc115263669" w:history="1">
            <w:r w:rsidR="0081215A" w:rsidRPr="00E44BA9">
              <w:rPr>
                <w:rStyle w:val="Hyperlink"/>
                <w:rFonts w:cs="Arial"/>
                <w:noProof/>
              </w:rPr>
              <w:t>Acknowledging Traditional Owners</w:t>
            </w:r>
            <w:r w:rsidR="0081215A">
              <w:rPr>
                <w:noProof/>
                <w:webHidden/>
              </w:rPr>
              <w:tab/>
            </w:r>
            <w:r w:rsidR="0081215A">
              <w:rPr>
                <w:noProof/>
                <w:webHidden/>
              </w:rPr>
              <w:fldChar w:fldCharType="begin"/>
            </w:r>
            <w:r w:rsidR="0081215A">
              <w:rPr>
                <w:noProof/>
                <w:webHidden/>
              </w:rPr>
              <w:instrText xml:space="preserve"> PAGEREF _Toc115263669 \h </w:instrText>
            </w:r>
            <w:r w:rsidR="0081215A">
              <w:rPr>
                <w:noProof/>
                <w:webHidden/>
              </w:rPr>
            </w:r>
            <w:r w:rsidR="0081215A">
              <w:rPr>
                <w:noProof/>
                <w:webHidden/>
              </w:rPr>
              <w:fldChar w:fldCharType="separate"/>
            </w:r>
            <w:r w:rsidR="008126A8">
              <w:rPr>
                <w:noProof/>
                <w:webHidden/>
              </w:rPr>
              <w:t>2</w:t>
            </w:r>
            <w:r w:rsidR="0081215A">
              <w:rPr>
                <w:noProof/>
                <w:webHidden/>
              </w:rPr>
              <w:fldChar w:fldCharType="end"/>
            </w:r>
          </w:hyperlink>
        </w:p>
        <w:p w14:paraId="033FA7CC" w14:textId="185F4F88" w:rsidR="0081215A" w:rsidRDefault="00000000">
          <w:pPr>
            <w:pStyle w:val="TOC1"/>
            <w:rPr>
              <w:rFonts w:asciiTheme="minorHAnsi" w:eastAsiaTheme="minorEastAsia" w:hAnsiTheme="minorHAnsi"/>
              <w:noProof/>
              <w:color w:val="auto"/>
              <w:sz w:val="22"/>
              <w:lang w:eastAsia="en-AU"/>
            </w:rPr>
          </w:pPr>
          <w:hyperlink w:anchor="_Toc115263670" w:history="1">
            <w:r w:rsidR="0081215A" w:rsidRPr="00E44BA9">
              <w:rPr>
                <w:rStyle w:val="Hyperlink"/>
                <w:rFonts w:cs="Arial"/>
                <w:noProof/>
              </w:rPr>
              <w:t>Content locator</w:t>
            </w:r>
            <w:r w:rsidR="0081215A">
              <w:rPr>
                <w:noProof/>
                <w:webHidden/>
              </w:rPr>
              <w:tab/>
            </w:r>
            <w:r w:rsidR="0081215A">
              <w:rPr>
                <w:noProof/>
                <w:webHidden/>
              </w:rPr>
              <w:fldChar w:fldCharType="begin"/>
            </w:r>
            <w:r w:rsidR="0081215A">
              <w:rPr>
                <w:noProof/>
                <w:webHidden/>
              </w:rPr>
              <w:instrText xml:space="preserve"> PAGEREF _Toc115263670 \h </w:instrText>
            </w:r>
            <w:r w:rsidR="0081215A">
              <w:rPr>
                <w:noProof/>
                <w:webHidden/>
              </w:rPr>
            </w:r>
            <w:r w:rsidR="0081215A">
              <w:rPr>
                <w:noProof/>
                <w:webHidden/>
              </w:rPr>
              <w:fldChar w:fldCharType="separate"/>
            </w:r>
            <w:r w:rsidR="008126A8">
              <w:rPr>
                <w:noProof/>
                <w:webHidden/>
              </w:rPr>
              <w:t>4</w:t>
            </w:r>
            <w:r w:rsidR="0081215A">
              <w:rPr>
                <w:noProof/>
                <w:webHidden/>
              </w:rPr>
              <w:fldChar w:fldCharType="end"/>
            </w:r>
          </w:hyperlink>
        </w:p>
        <w:p w14:paraId="3C14F994" w14:textId="5477AB0D" w:rsidR="0081215A" w:rsidRDefault="00000000">
          <w:pPr>
            <w:pStyle w:val="TOC1"/>
            <w:rPr>
              <w:rFonts w:asciiTheme="minorHAnsi" w:eastAsiaTheme="minorEastAsia" w:hAnsiTheme="minorHAnsi"/>
              <w:noProof/>
              <w:color w:val="auto"/>
              <w:sz w:val="22"/>
              <w:lang w:eastAsia="en-AU"/>
            </w:rPr>
          </w:pPr>
          <w:hyperlink w:anchor="_Toc115263671" w:history="1">
            <w:r w:rsidR="0081215A" w:rsidRPr="00E44BA9">
              <w:rPr>
                <w:rStyle w:val="Hyperlink"/>
                <w:rFonts w:cs="Arial"/>
                <w:noProof/>
              </w:rPr>
              <w:t>Foreword</w:t>
            </w:r>
            <w:r w:rsidR="0081215A">
              <w:rPr>
                <w:noProof/>
                <w:webHidden/>
              </w:rPr>
              <w:tab/>
            </w:r>
            <w:r w:rsidR="0081215A">
              <w:rPr>
                <w:noProof/>
                <w:webHidden/>
              </w:rPr>
              <w:fldChar w:fldCharType="begin"/>
            </w:r>
            <w:r w:rsidR="0081215A">
              <w:rPr>
                <w:noProof/>
                <w:webHidden/>
              </w:rPr>
              <w:instrText xml:space="preserve"> PAGEREF _Toc115263671 \h </w:instrText>
            </w:r>
            <w:r w:rsidR="0081215A">
              <w:rPr>
                <w:noProof/>
                <w:webHidden/>
              </w:rPr>
            </w:r>
            <w:r w:rsidR="0081215A">
              <w:rPr>
                <w:noProof/>
                <w:webHidden/>
              </w:rPr>
              <w:fldChar w:fldCharType="separate"/>
            </w:r>
            <w:r w:rsidR="008126A8">
              <w:rPr>
                <w:noProof/>
                <w:webHidden/>
              </w:rPr>
              <w:t>5</w:t>
            </w:r>
            <w:r w:rsidR="0081215A">
              <w:rPr>
                <w:noProof/>
                <w:webHidden/>
              </w:rPr>
              <w:fldChar w:fldCharType="end"/>
            </w:r>
          </w:hyperlink>
        </w:p>
        <w:p w14:paraId="0BB76CA7" w14:textId="64014DD5" w:rsidR="0081215A" w:rsidRDefault="00000000">
          <w:pPr>
            <w:pStyle w:val="TOC1"/>
            <w:rPr>
              <w:rFonts w:asciiTheme="minorHAnsi" w:eastAsiaTheme="minorEastAsia" w:hAnsiTheme="minorHAnsi"/>
              <w:noProof/>
              <w:color w:val="auto"/>
              <w:sz w:val="22"/>
              <w:lang w:eastAsia="en-AU"/>
            </w:rPr>
          </w:pPr>
          <w:hyperlink w:anchor="_Toc115263672" w:history="1">
            <w:r w:rsidR="0081215A" w:rsidRPr="00E44BA9">
              <w:rPr>
                <w:rStyle w:val="Hyperlink"/>
                <w:iCs/>
                <w:noProof/>
              </w:rPr>
              <w:t>Board assurance</w:t>
            </w:r>
            <w:r w:rsidR="0081215A">
              <w:rPr>
                <w:noProof/>
                <w:webHidden/>
              </w:rPr>
              <w:tab/>
            </w:r>
            <w:r w:rsidR="0081215A">
              <w:rPr>
                <w:noProof/>
                <w:webHidden/>
              </w:rPr>
              <w:fldChar w:fldCharType="begin"/>
            </w:r>
            <w:r w:rsidR="0081215A">
              <w:rPr>
                <w:noProof/>
                <w:webHidden/>
              </w:rPr>
              <w:instrText xml:space="preserve"> PAGEREF _Toc115263672 \h </w:instrText>
            </w:r>
            <w:r w:rsidR="0081215A">
              <w:rPr>
                <w:noProof/>
                <w:webHidden/>
              </w:rPr>
            </w:r>
            <w:r w:rsidR="0081215A">
              <w:rPr>
                <w:noProof/>
                <w:webHidden/>
              </w:rPr>
              <w:fldChar w:fldCharType="separate"/>
            </w:r>
            <w:r w:rsidR="008126A8">
              <w:rPr>
                <w:noProof/>
                <w:webHidden/>
              </w:rPr>
              <w:t>6</w:t>
            </w:r>
            <w:r w:rsidR="0081215A">
              <w:rPr>
                <w:noProof/>
                <w:webHidden/>
              </w:rPr>
              <w:fldChar w:fldCharType="end"/>
            </w:r>
          </w:hyperlink>
        </w:p>
        <w:p w14:paraId="16CFEA88" w14:textId="11D369B6" w:rsidR="0081215A" w:rsidRDefault="00000000">
          <w:pPr>
            <w:pStyle w:val="TOC1"/>
            <w:rPr>
              <w:rFonts w:asciiTheme="minorHAnsi" w:eastAsiaTheme="minorEastAsia" w:hAnsiTheme="minorHAnsi"/>
              <w:noProof/>
              <w:color w:val="auto"/>
              <w:sz w:val="22"/>
              <w:lang w:eastAsia="en-AU"/>
            </w:rPr>
          </w:pPr>
          <w:hyperlink w:anchor="_Toc115263673" w:history="1">
            <w:r w:rsidR="0081215A" w:rsidRPr="00E44BA9">
              <w:rPr>
                <w:rStyle w:val="Hyperlink"/>
                <w:rFonts w:cs="Arial"/>
                <w:noProof/>
              </w:rPr>
              <w:t>A note from the Customer Reference Group</w:t>
            </w:r>
            <w:r w:rsidR="0081215A">
              <w:rPr>
                <w:noProof/>
                <w:webHidden/>
              </w:rPr>
              <w:tab/>
            </w:r>
            <w:r w:rsidR="0081215A">
              <w:rPr>
                <w:noProof/>
                <w:webHidden/>
              </w:rPr>
              <w:fldChar w:fldCharType="begin"/>
            </w:r>
            <w:r w:rsidR="0081215A">
              <w:rPr>
                <w:noProof/>
                <w:webHidden/>
              </w:rPr>
              <w:instrText xml:space="preserve"> PAGEREF _Toc115263673 \h </w:instrText>
            </w:r>
            <w:r w:rsidR="0081215A">
              <w:rPr>
                <w:noProof/>
                <w:webHidden/>
              </w:rPr>
            </w:r>
            <w:r w:rsidR="0081215A">
              <w:rPr>
                <w:noProof/>
                <w:webHidden/>
              </w:rPr>
              <w:fldChar w:fldCharType="separate"/>
            </w:r>
            <w:r w:rsidR="008126A8">
              <w:rPr>
                <w:noProof/>
                <w:webHidden/>
              </w:rPr>
              <w:t>7</w:t>
            </w:r>
            <w:r w:rsidR="0081215A">
              <w:rPr>
                <w:noProof/>
                <w:webHidden/>
              </w:rPr>
              <w:fldChar w:fldCharType="end"/>
            </w:r>
          </w:hyperlink>
        </w:p>
        <w:p w14:paraId="41652F29" w14:textId="53499192" w:rsidR="0081215A" w:rsidRDefault="00000000">
          <w:pPr>
            <w:pStyle w:val="TOC1"/>
            <w:rPr>
              <w:rFonts w:asciiTheme="minorHAnsi" w:eastAsiaTheme="minorEastAsia" w:hAnsiTheme="minorHAnsi"/>
              <w:noProof/>
              <w:color w:val="auto"/>
              <w:sz w:val="22"/>
              <w:lang w:eastAsia="en-AU"/>
            </w:rPr>
          </w:pPr>
          <w:hyperlink w:anchor="_Toc115263674" w:history="1">
            <w:r w:rsidR="0081215A" w:rsidRPr="00E44BA9">
              <w:rPr>
                <w:rStyle w:val="Hyperlink"/>
                <w:rFonts w:cs="Arial"/>
                <w:noProof/>
              </w:rPr>
              <w:t>Executive summary</w:t>
            </w:r>
            <w:r w:rsidR="0081215A">
              <w:rPr>
                <w:noProof/>
                <w:webHidden/>
              </w:rPr>
              <w:tab/>
            </w:r>
            <w:r w:rsidR="0081215A">
              <w:rPr>
                <w:noProof/>
                <w:webHidden/>
              </w:rPr>
              <w:fldChar w:fldCharType="begin"/>
            </w:r>
            <w:r w:rsidR="0081215A">
              <w:rPr>
                <w:noProof/>
                <w:webHidden/>
              </w:rPr>
              <w:instrText xml:space="preserve"> PAGEREF _Toc115263674 \h </w:instrText>
            </w:r>
            <w:r w:rsidR="0081215A">
              <w:rPr>
                <w:noProof/>
                <w:webHidden/>
              </w:rPr>
            </w:r>
            <w:r w:rsidR="0081215A">
              <w:rPr>
                <w:noProof/>
                <w:webHidden/>
              </w:rPr>
              <w:fldChar w:fldCharType="separate"/>
            </w:r>
            <w:r w:rsidR="008126A8">
              <w:rPr>
                <w:noProof/>
                <w:webHidden/>
              </w:rPr>
              <w:t>8</w:t>
            </w:r>
            <w:r w:rsidR="0081215A">
              <w:rPr>
                <w:noProof/>
                <w:webHidden/>
              </w:rPr>
              <w:fldChar w:fldCharType="end"/>
            </w:r>
          </w:hyperlink>
        </w:p>
        <w:p w14:paraId="61CF03DF" w14:textId="01CAB954" w:rsidR="0081215A" w:rsidRDefault="00000000">
          <w:pPr>
            <w:pStyle w:val="TOC1"/>
            <w:rPr>
              <w:rFonts w:asciiTheme="minorHAnsi" w:eastAsiaTheme="minorEastAsia" w:hAnsiTheme="minorHAnsi"/>
              <w:noProof/>
              <w:color w:val="auto"/>
              <w:sz w:val="22"/>
              <w:lang w:eastAsia="en-AU"/>
            </w:rPr>
          </w:pPr>
          <w:hyperlink w:anchor="_Toc115263675" w:history="1">
            <w:r w:rsidR="0081215A" w:rsidRPr="00E44BA9">
              <w:rPr>
                <w:rStyle w:val="Hyperlink"/>
                <w:rFonts w:cs="Arial"/>
                <w:noProof/>
              </w:rPr>
              <w:t>1.</w:t>
            </w:r>
            <w:r w:rsidR="0081215A">
              <w:rPr>
                <w:rFonts w:asciiTheme="minorHAnsi" w:eastAsiaTheme="minorEastAsia" w:hAnsiTheme="minorHAnsi"/>
                <w:noProof/>
                <w:color w:val="auto"/>
                <w:sz w:val="22"/>
                <w:lang w:eastAsia="en-AU"/>
              </w:rPr>
              <w:tab/>
            </w:r>
            <w:r w:rsidR="0081215A" w:rsidRPr="00E44BA9">
              <w:rPr>
                <w:rStyle w:val="Hyperlink"/>
                <w:rFonts w:cs="Arial"/>
                <w:noProof/>
              </w:rPr>
              <w:t>Introduction</w:t>
            </w:r>
            <w:r w:rsidR="0081215A">
              <w:rPr>
                <w:noProof/>
                <w:webHidden/>
              </w:rPr>
              <w:tab/>
            </w:r>
            <w:r w:rsidR="0081215A">
              <w:rPr>
                <w:noProof/>
                <w:webHidden/>
              </w:rPr>
              <w:fldChar w:fldCharType="begin"/>
            </w:r>
            <w:r w:rsidR="0081215A">
              <w:rPr>
                <w:noProof/>
                <w:webHidden/>
              </w:rPr>
              <w:instrText xml:space="preserve"> PAGEREF _Toc115263675 \h </w:instrText>
            </w:r>
            <w:r w:rsidR="0081215A">
              <w:rPr>
                <w:noProof/>
                <w:webHidden/>
              </w:rPr>
            </w:r>
            <w:r w:rsidR="0081215A">
              <w:rPr>
                <w:noProof/>
                <w:webHidden/>
              </w:rPr>
              <w:fldChar w:fldCharType="separate"/>
            </w:r>
            <w:r w:rsidR="008126A8">
              <w:rPr>
                <w:noProof/>
                <w:webHidden/>
              </w:rPr>
              <w:t>10</w:t>
            </w:r>
            <w:r w:rsidR="0081215A">
              <w:rPr>
                <w:noProof/>
                <w:webHidden/>
              </w:rPr>
              <w:fldChar w:fldCharType="end"/>
            </w:r>
          </w:hyperlink>
        </w:p>
        <w:p w14:paraId="5DD462E4" w14:textId="4E60234B" w:rsidR="0081215A" w:rsidRDefault="00000000">
          <w:pPr>
            <w:pStyle w:val="TOC1"/>
            <w:rPr>
              <w:rFonts w:asciiTheme="minorHAnsi" w:eastAsiaTheme="minorEastAsia" w:hAnsiTheme="minorHAnsi"/>
              <w:noProof/>
              <w:color w:val="auto"/>
              <w:sz w:val="22"/>
              <w:lang w:eastAsia="en-AU"/>
            </w:rPr>
          </w:pPr>
          <w:hyperlink w:anchor="_Toc115263676" w:history="1">
            <w:r w:rsidR="0081215A" w:rsidRPr="00E44BA9">
              <w:rPr>
                <w:rStyle w:val="Hyperlink"/>
                <w:rFonts w:cs="Arial"/>
                <w:noProof/>
              </w:rPr>
              <w:t>2.</w:t>
            </w:r>
            <w:r w:rsidR="0081215A">
              <w:rPr>
                <w:rFonts w:asciiTheme="minorHAnsi" w:eastAsiaTheme="minorEastAsia" w:hAnsiTheme="minorHAnsi"/>
                <w:noProof/>
                <w:color w:val="auto"/>
                <w:sz w:val="22"/>
                <w:lang w:eastAsia="en-AU"/>
              </w:rPr>
              <w:tab/>
            </w:r>
            <w:r w:rsidR="0081215A" w:rsidRPr="00E44BA9">
              <w:rPr>
                <w:rStyle w:val="Hyperlink"/>
                <w:rFonts w:cs="Arial"/>
                <w:noProof/>
              </w:rPr>
              <w:t>Management</w:t>
            </w:r>
            <w:r w:rsidR="0081215A">
              <w:rPr>
                <w:noProof/>
                <w:webHidden/>
              </w:rPr>
              <w:tab/>
            </w:r>
            <w:r w:rsidR="0081215A">
              <w:rPr>
                <w:noProof/>
                <w:webHidden/>
              </w:rPr>
              <w:fldChar w:fldCharType="begin"/>
            </w:r>
            <w:r w:rsidR="0081215A">
              <w:rPr>
                <w:noProof/>
                <w:webHidden/>
              </w:rPr>
              <w:instrText xml:space="preserve"> PAGEREF _Toc115263676 \h </w:instrText>
            </w:r>
            <w:r w:rsidR="0081215A">
              <w:rPr>
                <w:noProof/>
                <w:webHidden/>
              </w:rPr>
            </w:r>
            <w:r w:rsidR="0081215A">
              <w:rPr>
                <w:noProof/>
                <w:webHidden/>
              </w:rPr>
              <w:fldChar w:fldCharType="separate"/>
            </w:r>
            <w:r w:rsidR="008126A8">
              <w:rPr>
                <w:noProof/>
                <w:webHidden/>
              </w:rPr>
              <w:t>15</w:t>
            </w:r>
            <w:r w:rsidR="0081215A">
              <w:rPr>
                <w:noProof/>
                <w:webHidden/>
              </w:rPr>
              <w:fldChar w:fldCharType="end"/>
            </w:r>
          </w:hyperlink>
        </w:p>
        <w:p w14:paraId="37E2BFB6" w14:textId="24F1E629" w:rsidR="0081215A" w:rsidRDefault="00000000">
          <w:pPr>
            <w:pStyle w:val="TOC1"/>
            <w:rPr>
              <w:rFonts w:asciiTheme="minorHAnsi" w:eastAsiaTheme="minorEastAsia" w:hAnsiTheme="minorHAnsi"/>
              <w:noProof/>
              <w:color w:val="auto"/>
              <w:sz w:val="22"/>
              <w:lang w:eastAsia="en-AU"/>
            </w:rPr>
          </w:pPr>
          <w:hyperlink w:anchor="_Toc115263677" w:history="1">
            <w:r w:rsidR="0081215A" w:rsidRPr="00E44BA9">
              <w:rPr>
                <w:rStyle w:val="Hyperlink"/>
                <w:rFonts w:cs="Arial"/>
                <w:noProof/>
              </w:rPr>
              <w:t>3.</w:t>
            </w:r>
            <w:r w:rsidR="0081215A">
              <w:rPr>
                <w:rFonts w:asciiTheme="minorHAnsi" w:eastAsiaTheme="minorEastAsia" w:hAnsiTheme="minorHAnsi"/>
                <w:noProof/>
                <w:color w:val="auto"/>
                <w:sz w:val="22"/>
                <w:lang w:eastAsia="en-AU"/>
              </w:rPr>
              <w:tab/>
            </w:r>
            <w:r w:rsidR="0081215A" w:rsidRPr="00E44BA9">
              <w:rPr>
                <w:rStyle w:val="Hyperlink"/>
                <w:rFonts w:cs="Arial"/>
                <w:noProof/>
              </w:rPr>
              <w:t>Performance</w:t>
            </w:r>
            <w:r w:rsidR="0081215A">
              <w:rPr>
                <w:noProof/>
                <w:webHidden/>
              </w:rPr>
              <w:tab/>
            </w:r>
            <w:r w:rsidR="0081215A">
              <w:rPr>
                <w:noProof/>
                <w:webHidden/>
              </w:rPr>
              <w:fldChar w:fldCharType="begin"/>
            </w:r>
            <w:r w:rsidR="0081215A">
              <w:rPr>
                <w:noProof/>
                <w:webHidden/>
              </w:rPr>
              <w:instrText xml:space="preserve"> PAGEREF _Toc115263677 \h </w:instrText>
            </w:r>
            <w:r w:rsidR="0081215A">
              <w:rPr>
                <w:noProof/>
                <w:webHidden/>
              </w:rPr>
            </w:r>
            <w:r w:rsidR="0081215A">
              <w:rPr>
                <w:noProof/>
                <w:webHidden/>
              </w:rPr>
              <w:fldChar w:fldCharType="separate"/>
            </w:r>
            <w:r w:rsidR="008126A8">
              <w:rPr>
                <w:noProof/>
                <w:webHidden/>
              </w:rPr>
              <w:t>21</w:t>
            </w:r>
            <w:r w:rsidR="0081215A">
              <w:rPr>
                <w:noProof/>
                <w:webHidden/>
              </w:rPr>
              <w:fldChar w:fldCharType="end"/>
            </w:r>
          </w:hyperlink>
        </w:p>
        <w:p w14:paraId="10E17EC3" w14:textId="71C1A508" w:rsidR="0081215A" w:rsidRDefault="00000000">
          <w:pPr>
            <w:pStyle w:val="TOC1"/>
            <w:rPr>
              <w:rFonts w:asciiTheme="minorHAnsi" w:eastAsiaTheme="minorEastAsia" w:hAnsiTheme="minorHAnsi"/>
              <w:noProof/>
              <w:color w:val="auto"/>
              <w:sz w:val="22"/>
              <w:lang w:eastAsia="en-AU"/>
            </w:rPr>
          </w:pPr>
          <w:hyperlink w:anchor="_Toc115263678" w:history="1">
            <w:r w:rsidR="0081215A" w:rsidRPr="00E44BA9">
              <w:rPr>
                <w:rStyle w:val="Hyperlink"/>
                <w:noProof/>
              </w:rPr>
              <w:t>4.</w:t>
            </w:r>
            <w:r w:rsidR="0081215A">
              <w:rPr>
                <w:rFonts w:asciiTheme="minorHAnsi" w:eastAsiaTheme="minorEastAsia" w:hAnsiTheme="minorHAnsi"/>
                <w:noProof/>
                <w:color w:val="auto"/>
                <w:sz w:val="22"/>
                <w:lang w:eastAsia="en-AU"/>
              </w:rPr>
              <w:tab/>
            </w:r>
            <w:r w:rsidR="0081215A" w:rsidRPr="00E44BA9">
              <w:rPr>
                <w:rStyle w:val="Hyperlink"/>
                <w:noProof/>
              </w:rPr>
              <w:t>Risk</w:t>
            </w:r>
            <w:r w:rsidR="0081215A">
              <w:rPr>
                <w:noProof/>
                <w:webHidden/>
              </w:rPr>
              <w:tab/>
            </w:r>
            <w:r w:rsidR="0081215A">
              <w:rPr>
                <w:noProof/>
                <w:webHidden/>
              </w:rPr>
              <w:fldChar w:fldCharType="begin"/>
            </w:r>
            <w:r w:rsidR="0081215A">
              <w:rPr>
                <w:noProof/>
                <w:webHidden/>
              </w:rPr>
              <w:instrText xml:space="preserve"> PAGEREF _Toc115263678 \h </w:instrText>
            </w:r>
            <w:r w:rsidR="0081215A">
              <w:rPr>
                <w:noProof/>
                <w:webHidden/>
              </w:rPr>
            </w:r>
            <w:r w:rsidR="0081215A">
              <w:rPr>
                <w:noProof/>
                <w:webHidden/>
              </w:rPr>
              <w:fldChar w:fldCharType="separate"/>
            </w:r>
            <w:r w:rsidR="008126A8">
              <w:rPr>
                <w:noProof/>
                <w:webHidden/>
              </w:rPr>
              <w:t>34</w:t>
            </w:r>
            <w:r w:rsidR="0081215A">
              <w:rPr>
                <w:noProof/>
                <w:webHidden/>
              </w:rPr>
              <w:fldChar w:fldCharType="end"/>
            </w:r>
          </w:hyperlink>
        </w:p>
        <w:p w14:paraId="35C8C9EB" w14:textId="6C4867B2" w:rsidR="0081215A" w:rsidRDefault="00000000">
          <w:pPr>
            <w:pStyle w:val="TOC1"/>
            <w:rPr>
              <w:rFonts w:asciiTheme="minorHAnsi" w:eastAsiaTheme="minorEastAsia" w:hAnsiTheme="minorHAnsi"/>
              <w:noProof/>
              <w:color w:val="auto"/>
              <w:sz w:val="22"/>
              <w:lang w:eastAsia="en-AU"/>
            </w:rPr>
          </w:pPr>
          <w:hyperlink w:anchor="_Toc115263679" w:history="1">
            <w:r w:rsidR="0081215A" w:rsidRPr="00E44BA9">
              <w:rPr>
                <w:rStyle w:val="Hyperlink"/>
                <w:rFonts w:cs="Arial"/>
                <w:noProof/>
              </w:rPr>
              <w:t>5.</w:t>
            </w:r>
            <w:r w:rsidR="0081215A">
              <w:rPr>
                <w:rFonts w:asciiTheme="minorHAnsi" w:eastAsiaTheme="minorEastAsia" w:hAnsiTheme="minorHAnsi"/>
                <w:noProof/>
                <w:color w:val="auto"/>
                <w:sz w:val="22"/>
                <w:lang w:eastAsia="en-AU"/>
              </w:rPr>
              <w:tab/>
            </w:r>
            <w:r w:rsidR="0081215A" w:rsidRPr="00E44BA9">
              <w:rPr>
                <w:rStyle w:val="Hyperlink"/>
                <w:rFonts w:cs="Arial"/>
                <w:noProof/>
              </w:rPr>
              <w:t>Engagement</w:t>
            </w:r>
            <w:r w:rsidR="0081215A">
              <w:rPr>
                <w:noProof/>
                <w:webHidden/>
              </w:rPr>
              <w:tab/>
            </w:r>
            <w:r w:rsidR="0081215A">
              <w:rPr>
                <w:noProof/>
                <w:webHidden/>
              </w:rPr>
              <w:fldChar w:fldCharType="begin"/>
            </w:r>
            <w:r w:rsidR="0081215A">
              <w:rPr>
                <w:noProof/>
                <w:webHidden/>
              </w:rPr>
              <w:instrText xml:space="preserve"> PAGEREF _Toc115263679 \h </w:instrText>
            </w:r>
            <w:r w:rsidR="0081215A">
              <w:rPr>
                <w:noProof/>
                <w:webHidden/>
              </w:rPr>
            </w:r>
            <w:r w:rsidR="0081215A">
              <w:rPr>
                <w:noProof/>
                <w:webHidden/>
              </w:rPr>
              <w:fldChar w:fldCharType="separate"/>
            </w:r>
            <w:r w:rsidR="008126A8">
              <w:rPr>
                <w:noProof/>
                <w:webHidden/>
              </w:rPr>
              <w:t>47</w:t>
            </w:r>
            <w:r w:rsidR="0081215A">
              <w:rPr>
                <w:noProof/>
                <w:webHidden/>
              </w:rPr>
              <w:fldChar w:fldCharType="end"/>
            </w:r>
          </w:hyperlink>
        </w:p>
        <w:p w14:paraId="72F7165B" w14:textId="29D9014D" w:rsidR="0081215A" w:rsidRDefault="00000000">
          <w:pPr>
            <w:pStyle w:val="TOC1"/>
            <w:rPr>
              <w:rFonts w:asciiTheme="minorHAnsi" w:eastAsiaTheme="minorEastAsia" w:hAnsiTheme="minorHAnsi"/>
              <w:noProof/>
              <w:color w:val="auto"/>
              <w:sz w:val="22"/>
              <w:lang w:eastAsia="en-AU"/>
            </w:rPr>
          </w:pPr>
          <w:hyperlink w:anchor="_Toc115263680" w:history="1">
            <w:r w:rsidR="0081215A" w:rsidRPr="00E44BA9">
              <w:rPr>
                <w:rStyle w:val="Hyperlink"/>
                <w:rFonts w:cs="Arial"/>
                <w:noProof/>
              </w:rPr>
              <w:t>6.</w:t>
            </w:r>
            <w:r w:rsidR="0081215A">
              <w:rPr>
                <w:rFonts w:asciiTheme="minorHAnsi" w:eastAsiaTheme="minorEastAsia" w:hAnsiTheme="minorHAnsi"/>
                <w:noProof/>
                <w:color w:val="auto"/>
                <w:sz w:val="22"/>
                <w:lang w:eastAsia="en-AU"/>
              </w:rPr>
              <w:tab/>
            </w:r>
            <w:r w:rsidR="0081215A" w:rsidRPr="00E44BA9">
              <w:rPr>
                <w:rStyle w:val="Hyperlink"/>
                <w:rFonts w:cs="Arial"/>
                <w:noProof/>
              </w:rPr>
              <w:t>Outcomes</w:t>
            </w:r>
            <w:r w:rsidR="0081215A">
              <w:rPr>
                <w:noProof/>
                <w:webHidden/>
              </w:rPr>
              <w:tab/>
            </w:r>
            <w:r w:rsidR="0081215A">
              <w:rPr>
                <w:noProof/>
                <w:webHidden/>
              </w:rPr>
              <w:fldChar w:fldCharType="begin"/>
            </w:r>
            <w:r w:rsidR="0081215A">
              <w:rPr>
                <w:noProof/>
                <w:webHidden/>
              </w:rPr>
              <w:instrText xml:space="preserve"> PAGEREF _Toc115263680 \h </w:instrText>
            </w:r>
            <w:r w:rsidR="0081215A">
              <w:rPr>
                <w:noProof/>
                <w:webHidden/>
              </w:rPr>
            </w:r>
            <w:r w:rsidR="0081215A">
              <w:rPr>
                <w:noProof/>
                <w:webHidden/>
              </w:rPr>
              <w:fldChar w:fldCharType="separate"/>
            </w:r>
            <w:r w:rsidR="008126A8">
              <w:rPr>
                <w:noProof/>
                <w:webHidden/>
              </w:rPr>
              <w:t>60</w:t>
            </w:r>
            <w:r w:rsidR="0081215A">
              <w:rPr>
                <w:noProof/>
                <w:webHidden/>
              </w:rPr>
              <w:fldChar w:fldCharType="end"/>
            </w:r>
          </w:hyperlink>
        </w:p>
        <w:p w14:paraId="0C21A709" w14:textId="60EFE7B5" w:rsidR="0081215A" w:rsidRDefault="00000000">
          <w:pPr>
            <w:pStyle w:val="TOC1"/>
            <w:rPr>
              <w:rFonts w:asciiTheme="minorHAnsi" w:eastAsiaTheme="minorEastAsia" w:hAnsiTheme="minorHAnsi"/>
              <w:noProof/>
              <w:color w:val="auto"/>
              <w:sz w:val="22"/>
              <w:lang w:eastAsia="en-AU"/>
            </w:rPr>
          </w:pPr>
          <w:hyperlink w:anchor="_Toc115263681" w:history="1">
            <w:r w:rsidR="0081215A" w:rsidRPr="00E44BA9">
              <w:rPr>
                <w:rStyle w:val="Hyperlink"/>
                <w:rFonts w:cs="Arial"/>
                <w:noProof/>
              </w:rPr>
              <w:t>7.</w:t>
            </w:r>
            <w:r w:rsidR="0081215A">
              <w:rPr>
                <w:rFonts w:asciiTheme="minorHAnsi" w:eastAsiaTheme="minorEastAsia" w:hAnsiTheme="minorHAnsi"/>
                <w:noProof/>
                <w:color w:val="auto"/>
                <w:sz w:val="22"/>
                <w:lang w:eastAsia="en-AU"/>
              </w:rPr>
              <w:tab/>
            </w:r>
            <w:r w:rsidR="0081215A" w:rsidRPr="00E44BA9">
              <w:rPr>
                <w:rStyle w:val="Hyperlink"/>
                <w:rFonts w:cs="Arial"/>
                <w:noProof/>
              </w:rPr>
              <w:t>Operating expenditure</w:t>
            </w:r>
            <w:r w:rsidR="0081215A">
              <w:rPr>
                <w:noProof/>
                <w:webHidden/>
              </w:rPr>
              <w:tab/>
            </w:r>
            <w:r w:rsidR="0081215A">
              <w:rPr>
                <w:noProof/>
                <w:webHidden/>
              </w:rPr>
              <w:fldChar w:fldCharType="begin"/>
            </w:r>
            <w:r w:rsidR="0081215A">
              <w:rPr>
                <w:noProof/>
                <w:webHidden/>
              </w:rPr>
              <w:instrText xml:space="preserve"> PAGEREF _Toc115263681 \h </w:instrText>
            </w:r>
            <w:r w:rsidR="0081215A">
              <w:rPr>
                <w:noProof/>
                <w:webHidden/>
              </w:rPr>
            </w:r>
            <w:r w:rsidR="0081215A">
              <w:rPr>
                <w:noProof/>
                <w:webHidden/>
              </w:rPr>
              <w:fldChar w:fldCharType="separate"/>
            </w:r>
            <w:r w:rsidR="008126A8">
              <w:rPr>
                <w:noProof/>
                <w:webHidden/>
              </w:rPr>
              <w:t>69</w:t>
            </w:r>
            <w:r w:rsidR="0081215A">
              <w:rPr>
                <w:noProof/>
                <w:webHidden/>
              </w:rPr>
              <w:fldChar w:fldCharType="end"/>
            </w:r>
          </w:hyperlink>
        </w:p>
        <w:p w14:paraId="0211AF0F" w14:textId="7E7D1F3C" w:rsidR="0081215A" w:rsidRDefault="00000000">
          <w:pPr>
            <w:pStyle w:val="TOC1"/>
            <w:rPr>
              <w:rFonts w:asciiTheme="minorHAnsi" w:eastAsiaTheme="minorEastAsia" w:hAnsiTheme="minorHAnsi"/>
              <w:noProof/>
              <w:color w:val="auto"/>
              <w:sz w:val="22"/>
              <w:lang w:eastAsia="en-AU"/>
            </w:rPr>
          </w:pPr>
          <w:hyperlink w:anchor="_Toc115263682" w:history="1">
            <w:r w:rsidR="0081215A" w:rsidRPr="00E44BA9">
              <w:rPr>
                <w:rStyle w:val="Hyperlink"/>
                <w:rFonts w:cs="Arial"/>
                <w:noProof/>
              </w:rPr>
              <w:t>8.</w:t>
            </w:r>
            <w:r w:rsidR="0081215A">
              <w:rPr>
                <w:rFonts w:asciiTheme="minorHAnsi" w:eastAsiaTheme="minorEastAsia" w:hAnsiTheme="minorHAnsi"/>
                <w:noProof/>
                <w:color w:val="auto"/>
                <w:sz w:val="22"/>
                <w:lang w:eastAsia="en-AU"/>
              </w:rPr>
              <w:tab/>
            </w:r>
            <w:r w:rsidR="0081215A" w:rsidRPr="00E44BA9">
              <w:rPr>
                <w:rStyle w:val="Hyperlink"/>
                <w:rFonts w:cs="Arial"/>
                <w:noProof/>
              </w:rPr>
              <w:t>Capital expenditure</w:t>
            </w:r>
            <w:r w:rsidR="0081215A">
              <w:rPr>
                <w:noProof/>
                <w:webHidden/>
              </w:rPr>
              <w:tab/>
            </w:r>
            <w:r w:rsidR="0081215A">
              <w:rPr>
                <w:noProof/>
                <w:webHidden/>
              </w:rPr>
              <w:fldChar w:fldCharType="begin"/>
            </w:r>
            <w:r w:rsidR="0081215A">
              <w:rPr>
                <w:noProof/>
                <w:webHidden/>
              </w:rPr>
              <w:instrText xml:space="preserve"> PAGEREF _Toc115263682 \h </w:instrText>
            </w:r>
            <w:r w:rsidR="0081215A">
              <w:rPr>
                <w:noProof/>
                <w:webHidden/>
              </w:rPr>
            </w:r>
            <w:r w:rsidR="0081215A">
              <w:rPr>
                <w:noProof/>
                <w:webHidden/>
              </w:rPr>
              <w:fldChar w:fldCharType="separate"/>
            </w:r>
            <w:r w:rsidR="008126A8">
              <w:rPr>
                <w:noProof/>
                <w:webHidden/>
              </w:rPr>
              <w:t>76</w:t>
            </w:r>
            <w:r w:rsidR="0081215A">
              <w:rPr>
                <w:noProof/>
                <w:webHidden/>
              </w:rPr>
              <w:fldChar w:fldCharType="end"/>
            </w:r>
          </w:hyperlink>
        </w:p>
        <w:p w14:paraId="7B757B0F" w14:textId="0745EA18" w:rsidR="0081215A" w:rsidRDefault="00000000">
          <w:pPr>
            <w:pStyle w:val="TOC1"/>
            <w:rPr>
              <w:rFonts w:asciiTheme="minorHAnsi" w:eastAsiaTheme="minorEastAsia" w:hAnsiTheme="minorHAnsi"/>
              <w:noProof/>
              <w:color w:val="auto"/>
              <w:sz w:val="22"/>
              <w:lang w:eastAsia="en-AU"/>
            </w:rPr>
          </w:pPr>
          <w:hyperlink w:anchor="_Toc115263683" w:history="1">
            <w:r w:rsidR="0081215A" w:rsidRPr="00E44BA9">
              <w:rPr>
                <w:rStyle w:val="Hyperlink"/>
                <w:rFonts w:cs="Arial"/>
                <w:noProof/>
              </w:rPr>
              <w:t>9.</w:t>
            </w:r>
            <w:r w:rsidR="0081215A">
              <w:rPr>
                <w:rFonts w:asciiTheme="minorHAnsi" w:eastAsiaTheme="minorEastAsia" w:hAnsiTheme="minorHAnsi"/>
                <w:noProof/>
                <w:color w:val="auto"/>
                <w:sz w:val="22"/>
                <w:lang w:eastAsia="en-AU"/>
              </w:rPr>
              <w:tab/>
            </w:r>
            <w:r w:rsidR="0081215A" w:rsidRPr="00E44BA9">
              <w:rPr>
                <w:rStyle w:val="Hyperlink"/>
                <w:rFonts w:cs="Arial"/>
                <w:noProof/>
              </w:rPr>
              <w:t>Revenue</w:t>
            </w:r>
            <w:r w:rsidR="0081215A">
              <w:rPr>
                <w:noProof/>
                <w:webHidden/>
              </w:rPr>
              <w:tab/>
            </w:r>
            <w:r w:rsidR="0081215A">
              <w:rPr>
                <w:noProof/>
                <w:webHidden/>
              </w:rPr>
              <w:fldChar w:fldCharType="begin"/>
            </w:r>
            <w:r w:rsidR="0081215A">
              <w:rPr>
                <w:noProof/>
                <w:webHidden/>
              </w:rPr>
              <w:instrText xml:space="preserve"> PAGEREF _Toc115263683 \h </w:instrText>
            </w:r>
            <w:r w:rsidR="0081215A">
              <w:rPr>
                <w:noProof/>
                <w:webHidden/>
              </w:rPr>
            </w:r>
            <w:r w:rsidR="0081215A">
              <w:rPr>
                <w:noProof/>
                <w:webHidden/>
              </w:rPr>
              <w:fldChar w:fldCharType="separate"/>
            </w:r>
            <w:r w:rsidR="008126A8">
              <w:rPr>
                <w:noProof/>
                <w:webHidden/>
              </w:rPr>
              <w:t>96</w:t>
            </w:r>
            <w:r w:rsidR="0081215A">
              <w:rPr>
                <w:noProof/>
                <w:webHidden/>
              </w:rPr>
              <w:fldChar w:fldCharType="end"/>
            </w:r>
          </w:hyperlink>
        </w:p>
        <w:p w14:paraId="64FED986" w14:textId="46AC31CA" w:rsidR="0081215A" w:rsidRDefault="00000000">
          <w:pPr>
            <w:pStyle w:val="TOC1"/>
            <w:rPr>
              <w:rFonts w:asciiTheme="minorHAnsi" w:eastAsiaTheme="minorEastAsia" w:hAnsiTheme="minorHAnsi"/>
              <w:noProof/>
              <w:color w:val="auto"/>
              <w:sz w:val="22"/>
              <w:lang w:eastAsia="en-AU"/>
            </w:rPr>
          </w:pPr>
          <w:hyperlink w:anchor="_Toc115263684" w:history="1">
            <w:r w:rsidR="0081215A" w:rsidRPr="00E44BA9">
              <w:rPr>
                <w:rStyle w:val="Hyperlink"/>
                <w:rFonts w:cs="Arial"/>
                <w:noProof/>
              </w:rPr>
              <w:t>10.</w:t>
            </w:r>
            <w:r w:rsidR="0081215A">
              <w:rPr>
                <w:rFonts w:asciiTheme="minorHAnsi" w:eastAsiaTheme="minorEastAsia" w:hAnsiTheme="minorHAnsi"/>
                <w:noProof/>
                <w:color w:val="auto"/>
                <w:sz w:val="22"/>
                <w:lang w:eastAsia="en-AU"/>
              </w:rPr>
              <w:tab/>
            </w:r>
            <w:r w:rsidR="0081215A" w:rsidRPr="00E44BA9">
              <w:rPr>
                <w:rStyle w:val="Hyperlink"/>
                <w:rFonts w:cs="Arial"/>
                <w:noProof/>
              </w:rPr>
              <w:t>Pricing</w:t>
            </w:r>
            <w:r w:rsidR="0081215A">
              <w:rPr>
                <w:noProof/>
                <w:webHidden/>
              </w:rPr>
              <w:tab/>
            </w:r>
            <w:r w:rsidR="0081215A">
              <w:rPr>
                <w:noProof/>
                <w:webHidden/>
              </w:rPr>
              <w:fldChar w:fldCharType="begin"/>
            </w:r>
            <w:r w:rsidR="0081215A">
              <w:rPr>
                <w:noProof/>
                <w:webHidden/>
              </w:rPr>
              <w:instrText xml:space="preserve"> PAGEREF _Toc115263684 \h </w:instrText>
            </w:r>
            <w:r w:rsidR="0081215A">
              <w:rPr>
                <w:noProof/>
                <w:webHidden/>
              </w:rPr>
            </w:r>
            <w:r w:rsidR="0081215A">
              <w:rPr>
                <w:noProof/>
                <w:webHidden/>
              </w:rPr>
              <w:fldChar w:fldCharType="separate"/>
            </w:r>
            <w:r w:rsidR="008126A8">
              <w:rPr>
                <w:noProof/>
                <w:webHidden/>
              </w:rPr>
              <w:t>106</w:t>
            </w:r>
            <w:r w:rsidR="0081215A">
              <w:rPr>
                <w:noProof/>
                <w:webHidden/>
              </w:rPr>
              <w:fldChar w:fldCharType="end"/>
            </w:r>
          </w:hyperlink>
        </w:p>
        <w:p w14:paraId="1FEBC9D1" w14:textId="0EAA6202" w:rsidR="0081215A" w:rsidRDefault="00000000">
          <w:pPr>
            <w:pStyle w:val="TOC1"/>
            <w:rPr>
              <w:rFonts w:asciiTheme="minorHAnsi" w:eastAsiaTheme="minorEastAsia" w:hAnsiTheme="minorHAnsi"/>
              <w:noProof/>
              <w:color w:val="auto"/>
              <w:sz w:val="22"/>
              <w:lang w:eastAsia="en-AU"/>
            </w:rPr>
          </w:pPr>
          <w:hyperlink w:anchor="_Toc115263685" w:history="1">
            <w:r w:rsidR="0081215A" w:rsidRPr="00E44BA9">
              <w:rPr>
                <w:rStyle w:val="Hyperlink"/>
                <w:rFonts w:cs="Arial"/>
                <w:noProof/>
              </w:rPr>
              <w:t>11.</w:t>
            </w:r>
            <w:r w:rsidR="0081215A">
              <w:rPr>
                <w:rFonts w:asciiTheme="minorHAnsi" w:eastAsiaTheme="minorEastAsia" w:hAnsiTheme="minorHAnsi"/>
                <w:noProof/>
                <w:color w:val="auto"/>
                <w:sz w:val="22"/>
                <w:lang w:eastAsia="en-AU"/>
              </w:rPr>
              <w:tab/>
            </w:r>
            <w:r w:rsidR="0081215A" w:rsidRPr="00E44BA9">
              <w:rPr>
                <w:rStyle w:val="Hyperlink"/>
                <w:rFonts w:cs="Arial"/>
                <w:noProof/>
              </w:rPr>
              <w:t>PREMO conclusion</w:t>
            </w:r>
            <w:r w:rsidR="0081215A">
              <w:rPr>
                <w:noProof/>
                <w:webHidden/>
              </w:rPr>
              <w:tab/>
            </w:r>
            <w:r w:rsidR="0081215A">
              <w:rPr>
                <w:noProof/>
                <w:webHidden/>
              </w:rPr>
              <w:fldChar w:fldCharType="begin"/>
            </w:r>
            <w:r w:rsidR="0081215A">
              <w:rPr>
                <w:noProof/>
                <w:webHidden/>
              </w:rPr>
              <w:instrText xml:space="preserve"> PAGEREF _Toc115263685 \h </w:instrText>
            </w:r>
            <w:r w:rsidR="0081215A">
              <w:rPr>
                <w:noProof/>
                <w:webHidden/>
              </w:rPr>
            </w:r>
            <w:r w:rsidR="0081215A">
              <w:rPr>
                <w:noProof/>
                <w:webHidden/>
              </w:rPr>
              <w:fldChar w:fldCharType="separate"/>
            </w:r>
            <w:r w:rsidR="008126A8">
              <w:rPr>
                <w:noProof/>
                <w:webHidden/>
              </w:rPr>
              <w:t>116</w:t>
            </w:r>
            <w:r w:rsidR="0081215A">
              <w:rPr>
                <w:noProof/>
                <w:webHidden/>
              </w:rPr>
              <w:fldChar w:fldCharType="end"/>
            </w:r>
          </w:hyperlink>
        </w:p>
        <w:p w14:paraId="33AA0C20" w14:textId="4B4193CB" w:rsidR="0081215A" w:rsidRDefault="00000000">
          <w:pPr>
            <w:pStyle w:val="TOC1"/>
            <w:rPr>
              <w:rFonts w:asciiTheme="minorHAnsi" w:eastAsiaTheme="minorEastAsia" w:hAnsiTheme="minorHAnsi"/>
              <w:noProof/>
              <w:color w:val="auto"/>
              <w:sz w:val="22"/>
              <w:lang w:eastAsia="en-AU"/>
            </w:rPr>
          </w:pPr>
          <w:hyperlink w:anchor="_Toc115263686" w:history="1">
            <w:r w:rsidR="0081215A" w:rsidRPr="00E44BA9">
              <w:rPr>
                <w:rStyle w:val="Hyperlink"/>
                <w:rFonts w:cs="Arial"/>
                <w:noProof/>
              </w:rPr>
              <w:t>Abbreviations</w:t>
            </w:r>
            <w:r w:rsidR="0081215A">
              <w:rPr>
                <w:noProof/>
                <w:webHidden/>
              </w:rPr>
              <w:tab/>
            </w:r>
            <w:r w:rsidR="0081215A">
              <w:rPr>
                <w:noProof/>
                <w:webHidden/>
              </w:rPr>
              <w:fldChar w:fldCharType="begin"/>
            </w:r>
            <w:r w:rsidR="0081215A">
              <w:rPr>
                <w:noProof/>
                <w:webHidden/>
              </w:rPr>
              <w:instrText xml:space="preserve"> PAGEREF _Toc115263686 \h </w:instrText>
            </w:r>
            <w:r w:rsidR="0081215A">
              <w:rPr>
                <w:noProof/>
                <w:webHidden/>
              </w:rPr>
            </w:r>
            <w:r w:rsidR="0081215A">
              <w:rPr>
                <w:noProof/>
                <w:webHidden/>
              </w:rPr>
              <w:fldChar w:fldCharType="separate"/>
            </w:r>
            <w:r w:rsidR="008126A8">
              <w:rPr>
                <w:noProof/>
                <w:webHidden/>
              </w:rPr>
              <w:t>117</w:t>
            </w:r>
            <w:r w:rsidR="0081215A">
              <w:rPr>
                <w:noProof/>
                <w:webHidden/>
              </w:rPr>
              <w:fldChar w:fldCharType="end"/>
            </w:r>
          </w:hyperlink>
        </w:p>
        <w:p w14:paraId="1DA0001E" w14:textId="11AFB897" w:rsidR="0081215A" w:rsidRDefault="00000000">
          <w:pPr>
            <w:pStyle w:val="TOC1"/>
            <w:rPr>
              <w:rFonts w:asciiTheme="minorHAnsi" w:eastAsiaTheme="minorEastAsia" w:hAnsiTheme="minorHAnsi"/>
              <w:noProof/>
              <w:color w:val="auto"/>
              <w:sz w:val="22"/>
              <w:lang w:eastAsia="en-AU"/>
            </w:rPr>
          </w:pPr>
          <w:hyperlink w:anchor="_Toc115263687" w:history="1">
            <w:r w:rsidR="0081215A" w:rsidRPr="00E44BA9">
              <w:rPr>
                <w:rStyle w:val="Hyperlink"/>
                <w:rFonts w:cs="Arial"/>
                <w:noProof/>
              </w:rPr>
              <w:t>Appendices</w:t>
            </w:r>
            <w:r w:rsidR="0081215A">
              <w:rPr>
                <w:noProof/>
                <w:webHidden/>
              </w:rPr>
              <w:tab/>
            </w:r>
            <w:r w:rsidR="0081215A">
              <w:rPr>
                <w:noProof/>
                <w:webHidden/>
              </w:rPr>
              <w:fldChar w:fldCharType="begin"/>
            </w:r>
            <w:r w:rsidR="0081215A">
              <w:rPr>
                <w:noProof/>
                <w:webHidden/>
              </w:rPr>
              <w:instrText xml:space="preserve"> PAGEREF _Toc115263687 \h </w:instrText>
            </w:r>
            <w:r w:rsidR="0081215A">
              <w:rPr>
                <w:noProof/>
                <w:webHidden/>
              </w:rPr>
            </w:r>
            <w:r w:rsidR="0081215A">
              <w:rPr>
                <w:noProof/>
                <w:webHidden/>
              </w:rPr>
              <w:fldChar w:fldCharType="separate"/>
            </w:r>
            <w:r w:rsidR="008126A8">
              <w:rPr>
                <w:noProof/>
                <w:webHidden/>
              </w:rPr>
              <w:t>118</w:t>
            </w:r>
            <w:r w:rsidR="0081215A">
              <w:rPr>
                <w:noProof/>
                <w:webHidden/>
              </w:rPr>
              <w:fldChar w:fldCharType="end"/>
            </w:r>
          </w:hyperlink>
        </w:p>
        <w:p w14:paraId="612FA6C4" w14:textId="3DE702BC" w:rsidR="00A91444" w:rsidRPr="00192F41" w:rsidRDefault="00A91444" w:rsidP="00A91444">
          <w:pPr>
            <w:rPr>
              <w:rFonts w:cs="Arial"/>
            </w:rPr>
          </w:pPr>
          <w:r w:rsidRPr="00192F41">
            <w:rPr>
              <w:rFonts w:cs="Arial"/>
            </w:rPr>
            <w:fldChar w:fldCharType="end"/>
          </w:r>
        </w:p>
      </w:sdtContent>
    </w:sdt>
    <w:p w14:paraId="18C8A3F9" w14:textId="38D8B6E8" w:rsidR="00192F41" w:rsidRPr="00192F41" w:rsidRDefault="007259BA" w:rsidP="00192F41">
      <w:pPr>
        <w:rPr>
          <w:rStyle w:val="IntenseEmphasis"/>
          <w:rFonts w:cs="Arial"/>
          <w:i w:val="0"/>
          <w:iCs w:val="0"/>
          <w:color w:val="auto"/>
        </w:rPr>
      </w:pPr>
      <w:r>
        <w:rPr>
          <w:rStyle w:val="IntenseEmphasis"/>
          <w:rFonts w:cs="Arial"/>
          <w:i w:val="0"/>
          <w:iCs w:val="0"/>
          <w:color w:val="auto"/>
        </w:rPr>
        <w:br w:type="page"/>
      </w:r>
    </w:p>
    <w:p w14:paraId="7D6A6436" w14:textId="644756A8" w:rsidR="00E66581" w:rsidRPr="00192F41" w:rsidRDefault="00286043" w:rsidP="00DB0D7F">
      <w:pPr>
        <w:pStyle w:val="Heading1"/>
        <w:rPr>
          <w:rStyle w:val="IntenseEmphasis"/>
          <w:rFonts w:cs="Arial"/>
          <w:i w:val="0"/>
          <w:iCs w:val="0"/>
          <w:color w:val="002B5C" w:themeColor="text2"/>
          <w:sz w:val="52"/>
        </w:rPr>
      </w:pPr>
      <w:bookmarkStart w:id="1" w:name="_Toc115263670"/>
      <w:r w:rsidRPr="00192F41">
        <w:rPr>
          <w:rStyle w:val="IntenseEmphasis"/>
          <w:rFonts w:cs="Arial"/>
          <w:i w:val="0"/>
          <w:iCs w:val="0"/>
          <w:color w:val="002B5C" w:themeColor="text2"/>
          <w:sz w:val="52"/>
        </w:rPr>
        <w:lastRenderedPageBreak/>
        <w:t>Content locator</w:t>
      </w:r>
      <w:bookmarkEnd w:id="1"/>
      <w:r w:rsidR="004D6D3D" w:rsidRPr="00192F41">
        <w:rPr>
          <w:rStyle w:val="IntenseEmphasis"/>
          <w:rFonts w:cs="Arial"/>
          <w:i w:val="0"/>
          <w:iCs w:val="0"/>
          <w:color w:val="002B5C" w:themeColor="text2"/>
          <w:sz w:val="52"/>
        </w:rPr>
        <w:t xml:space="preserve"> </w:t>
      </w:r>
    </w:p>
    <w:p w14:paraId="56BD913B" w14:textId="3898883E" w:rsidR="00E66581" w:rsidRPr="00AD1591" w:rsidRDefault="00E66581" w:rsidP="00C314B0">
      <w:pPr>
        <w:jc w:val="both"/>
      </w:pPr>
      <w:r>
        <w:t>The following provides details on where the information</w:t>
      </w:r>
      <w:r w:rsidR="00AA40B8">
        <w:t xml:space="preserve"> requested in the E</w:t>
      </w:r>
      <w:r w:rsidR="00C2134C">
        <w:t xml:space="preserve">ssential </w:t>
      </w:r>
      <w:r w:rsidR="00AA40B8">
        <w:t>S</w:t>
      </w:r>
      <w:r w:rsidR="00C2134C">
        <w:t>ervice Commission’s (ESC)</w:t>
      </w:r>
      <w:r w:rsidR="00AA40B8">
        <w:t xml:space="preserve"> gu</w:t>
      </w:r>
      <w:r w:rsidR="00F471EB">
        <w:t>ida</w:t>
      </w:r>
      <w:r w:rsidR="00AA40B8">
        <w:t>nce paper</w:t>
      </w:r>
      <w:r w:rsidR="00F471EB">
        <w:t xml:space="preserve"> can be found </w:t>
      </w:r>
      <w:r>
        <w:t>in this submission:</w:t>
      </w:r>
    </w:p>
    <w:tbl>
      <w:tblPr>
        <w:tblStyle w:val="ReportTable-TealRows"/>
        <w:tblW w:w="9214" w:type="dxa"/>
        <w:tblLook w:val="04A0" w:firstRow="1" w:lastRow="0" w:firstColumn="1" w:lastColumn="0" w:noHBand="0" w:noVBand="1"/>
      </w:tblPr>
      <w:tblGrid>
        <w:gridCol w:w="4982"/>
        <w:gridCol w:w="1097"/>
        <w:gridCol w:w="3135"/>
      </w:tblGrid>
      <w:tr w:rsidR="00846108" w:rsidRPr="00D8396B" w14:paraId="7DDBCB9D" w14:textId="77777777" w:rsidTr="005C55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63D0AFBA" w14:textId="2DEC1BE5" w:rsidR="00846108" w:rsidRPr="00D8396B" w:rsidRDefault="00846108" w:rsidP="000E38B6">
            <w:pPr>
              <w:jc w:val="both"/>
              <w:rPr>
                <w:rFonts w:eastAsia="Calibri" w:cs="Arial"/>
                <w:sz w:val="20"/>
                <w:szCs w:val="20"/>
                <w:shd w:val="clear" w:color="auto" w:fill="FAF9F8"/>
              </w:rPr>
            </w:pPr>
          </w:p>
        </w:tc>
        <w:tc>
          <w:tcPr>
            <w:tcW w:w="1097" w:type="dxa"/>
          </w:tcPr>
          <w:p w14:paraId="57F25939" w14:textId="62BAA8D7" w:rsidR="00846108" w:rsidRPr="00D8396B" w:rsidRDefault="00846108" w:rsidP="000E38B6">
            <w:pPr>
              <w:ind w:right="111"/>
              <w:jc w:val="both"/>
              <w:cnfStyle w:val="100000000000" w:firstRow="1" w:lastRow="0" w:firstColumn="0" w:lastColumn="0" w:oddVBand="0" w:evenVBand="0" w:oddHBand="0" w:evenHBand="0" w:firstRowFirstColumn="0" w:firstRowLastColumn="0" w:lastRowFirstColumn="0" w:lastRowLastColumn="0"/>
              <w:rPr>
                <w:rFonts w:eastAsia="Calibri" w:cs="Arial"/>
                <w:sz w:val="20"/>
                <w:szCs w:val="20"/>
                <w:shd w:val="clear" w:color="auto" w:fill="FAF9F8"/>
              </w:rPr>
            </w:pPr>
          </w:p>
        </w:tc>
        <w:tc>
          <w:tcPr>
            <w:tcW w:w="3135" w:type="dxa"/>
          </w:tcPr>
          <w:p w14:paraId="0755B3B5" w14:textId="7BFE3816" w:rsidR="00846108" w:rsidRPr="00D8396B" w:rsidRDefault="00846108" w:rsidP="000E38B6">
            <w:pPr>
              <w:ind w:right="111"/>
              <w:jc w:val="both"/>
              <w:cnfStyle w:val="100000000000" w:firstRow="1" w:lastRow="0" w:firstColumn="0" w:lastColumn="0" w:oddVBand="0" w:evenVBand="0" w:oddHBand="0" w:evenHBand="0" w:firstRowFirstColumn="0" w:firstRowLastColumn="0" w:lastRowFirstColumn="0" w:lastRowLastColumn="0"/>
              <w:rPr>
                <w:rFonts w:eastAsia="Calibri" w:cs="Arial"/>
                <w:sz w:val="20"/>
                <w:szCs w:val="20"/>
              </w:rPr>
            </w:pPr>
          </w:p>
        </w:tc>
      </w:tr>
    </w:tbl>
    <w:tbl>
      <w:tblPr>
        <w:tblStyle w:val="ReportTable-TealRows3"/>
        <w:tblW w:w="9214" w:type="dxa"/>
        <w:tblLook w:val="04A0" w:firstRow="1" w:lastRow="0" w:firstColumn="1" w:lastColumn="0" w:noHBand="0" w:noVBand="1"/>
      </w:tblPr>
      <w:tblGrid>
        <w:gridCol w:w="4982"/>
        <w:gridCol w:w="1097"/>
        <w:gridCol w:w="3135"/>
      </w:tblGrid>
      <w:tr w:rsidR="00A7006C" w:rsidRPr="00E61D98" w14:paraId="593834C3" w14:textId="77777777" w:rsidTr="00A7006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4EDDD915" w14:textId="77777777" w:rsidR="00A7006C" w:rsidRPr="00E61D98" w:rsidRDefault="00A7006C" w:rsidP="00A7006C">
            <w:pPr>
              <w:jc w:val="both"/>
              <w:rPr>
                <w:rFonts w:eastAsia="Calibri" w:cs="Arial"/>
                <w:sz w:val="20"/>
                <w:szCs w:val="20"/>
                <w:shd w:val="clear" w:color="auto" w:fill="FAF9F8"/>
              </w:rPr>
            </w:pPr>
            <w:r w:rsidRPr="00E61D98">
              <w:rPr>
                <w:rFonts w:eastAsia="Calibri" w:cs="Arial"/>
                <w:sz w:val="20"/>
                <w:szCs w:val="20"/>
              </w:rPr>
              <w:t>Guidance paper requirement</w:t>
            </w:r>
          </w:p>
        </w:tc>
        <w:tc>
          <w:tcPr>
            <w:tcW w:w="1097" w:type="dxa"/>
          </w:tcPr>
          <w:p w14:paraId="2FDDD4B2" w14:textId="77777777" w:rsidR="00A7006C" w:rsidRPr="00E61D98" w:rsidRDefault="00A7006C" w:rsidP="00A7006C">
            <w:pPr>
              <w:ind w:right="111"/>
              <w:jc w:val="both"/>
              <w:cnfStyle w:val="100000000000" w:firstRow="1" w:lastRow="0" w:firstColumn="0" w:lastColumn="0" w:oddVBand="0" w:evenVBand="0" w:oddHBand="0" w:evenHBand="0" w:firstRowFirstColumn="0" w:firstRowLastColumn="0" w:lastRowFirstColumn="0" w:lastRowLastColumn="0"/>
              <w:rPr>
                <w:rFonts w:eastAsia="Calibri" w:cs="Arial"/>
                <w:sz w:val="20"/>
                <w:szCs w:val="20"/>
                <w:shd w:val="clear" w:color="auto" w:fill="FAF9F8"/>
              </w:rPr>
            </w:pPr>
            <w:r w:rsidRPr="00E61D98">
              <w:rPr>
                <w:rFonts w:eastAsia="Calibri" w:cs="Arial"/>
                <w:sz w:val="20"/>
                <w:szCs w:val="20"/>
              </w:rPr>
              <w:t>Section</w:t>
            </w:r>
          </w:p>
        </w:tc>
        <w:tc>
          <w:tcPr>
            <w:tcW w:w="3135" w:type="dxa"/>
          </w:tcPr>
          <w:p w14:paraId="6C3570E0" w14:textId="77777777" w:rsidR="00A7006C" w:rsidRPr="00E61D98" w:rsidRDefault="00A7006C" w:rsidP="00A7006C">
            <w:pPr>
              <w:ind w:right="111"/>
              <w:jc w:val="both"/>
              <w:cnfStyle w:val="100000000000" w:firstRow="1" w:lastRow="0" w:firstColumn="0" w:lastColumn="0" w:oddVBand="0" w:evenVBand="0" w:oddHBand="0" w:evenHBand="0" w:firstRowFirstColumn="0" w:firstRowLastColumn="0" w:lastRowFirstColumn="0" w:lastRowLastColumn="0"/>
              <w:rPr>
                <w:rFonts w:eastAsia="Calibri" w:cs="Arial"/>
                <w:sz w:val="20"/>
                <w:szCs w:val="20"/>
              </w:rPr>
            </w:pPr>
            <w:r w:rsidRPr="00E61D98">
              <w:rPr>
                <w:rFonts w:eastAsia="Calibri" w:cs="Arial"/>
                <w:sz w:val="20"/>
                <w:szCs w:val="20"/>
              </w:rPr>
              <w:t>Details</w:t>
            </w:r>
          </w:p>
        </w:tc>
      </w:tr>
      <w:tr w:rsidR="00A7006C" w:rsidRPr="00E61D98" w14:paraId="08B4886E" w14:textId="77777777" w:rsidTr="00A524F8">
        <w:trPr>
          <w:cnfStyle w:val="000000100000" w:firstRow="0" w:lastRow="0" w:firstColumn="0" w:lastColumn="0" w:oddVBand="0" w:evenVBand="0" w:oddHBand="1" w:evenHBand="0" w:firstRowFirstColumn="0" w:firstRowLastColumn="0" w:lastRowFirstColumn="0" w:lastRowLastColumn="0"/>
          <w:trHeight w:val="484"/>
        </w:trPr>
        <w:tc>
          <w:tcPr>
            <w:cnfStyle w:val="001000000000" w:firstRow="0" w:lastRow="0" w:firstColumn="1" w:lastColumn="0" w:oddVBand="0" w:evenVBand="0" w:oddHBand="0" w:evenHBand="0" w:firstRowFirstColumn="0" w:firstRowLastColumn="0" w:lastRowFirstColumn="0" w:lastRowLastColumn="0"/>
            <w:tcW w:w="4982" w:type="dxa"/>
          </w:tcPr>
          <w:p w14:paraId="5C4D128D" w14:textId="77777777" w:rsidR="00A7006C" w:rsidRPr="00E61D98" w:rsidRDefault="00A7006C" w:rsidP="00A7006C">
            <w:pPr>
              <w:rPr>
                <w:rFonts w:eastAsia="Calibri" w:cs="Arial"/>
              </w:rPr>
            </w:pPr>
            <w:r w:rsidRPr="00E61D98">
              <w:rPr>
                <w:rFonts w:eastAsia="Calibri" w:cs="Arial"/>
              </w:rPr>
              <w:t>3.1. Managing risk</w:t>
            </w:r>
          </w:p>
        </w:tc>
        <w:tc>
          <w:tcPr>
            <w:tcW w:w="1097" w:type="dxa"/>
          </w:tcPr>
          <w:p w14:paraId="13CD92C7"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4</w:t>
            </w:r>
          </w:p>
        </w:tc>
        <w:tc>
          <w:tcPr>
            <w:tcW w:w="3135" w:type="dxa"/>
          </w:tcPr>
          <w:p w14:paraId="508490D1" w14:textId="7EF2588E"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p34-4</w:t>
            </w:r>
            <w:r w:rsidR="00D11F7A">
              <w:rPr>
                <w:rFonts w:eastAsia="Calibri" w:cs="Arial"/>
              </w:rPr>
              <w:t>6</w:t>
            </w:r>
          </w:p>
        </w:tc>
      </w:tr>
      <w:tr w:rsidR="00A7006C" w:rsidRPr="00E61D98" w14:paraId="74276312"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10E2AA06" w14:textId="77777777" w:rsidR="00A7006C" w:rsidRPr="00E61D98" w:rsidRDefault="00A7006C" w:rsidP="00A7006C">
            <w:pPr>
              <w:rPr>
                <w:rFonts w:eastAsia="Calibri" w:cs="Arial"/>
              </w:rPr>
            </w:pPr>
            <w:r w:rsidRPr="00E61D98">
              <w:rPr>
                <w:rFonts w:eastAsia="Calibri" w:cs="Arial"/>
              </w:rPr>
              <w:t>3.2. Regulatory period</w:t>
            </w:r>
          </w:p>
        </w:tc>
        <w:tc>
          <w:tcPr>
            <w:tcW w:w="1097" w:type="dxa"/>
          </w:tcPr>
          <w:p w14:paraId="62A15549"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1</w:t>
            </w:r>
          </w:p>
        </w:tc>
        <w:tc>
          <w:tcPr>
            <w:tcW w:w="3135" w:type="dxa"/>
          </w:tcPr>
          <w:p w14:paraId="6251B8B2" w14:textId="77777777"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p10</w:t>
            </w:r>
          </w:p>
        </w:tc>
      </w:tr>
      <w:tr w:rsidR="00A7006C" w:rsidRPr="00E61D98" w14:paraId="0F8D6FEE" w14:textId="77777777" w:rsidTr="00A7006C">
        <w:trPr>
          <w:cnfStyle w:val="000000100000" w:firstRow="0" w:lastRow="0" w:firstColumn="0" w:lastColumn="0" w:oddVBand="0" w:evenVBand="0" w:oddHBand="1" w:evenHBand="0" w:firstRowFirstColumn="0" w:firstRowLastColumn="0" w:lastRowFirstColumn="0" w:lastRowLastColumn="0"/>
          <w:trHeight w:val="573"/>
        </w:trPr>
        <w:tc>
          <w:tcPr>
            <w:cnfStyle w:val="001000000000" w:firstRow="0" w:lastRow="0" w:firstColumn="1" w:lastColumn="0" w:oddVBand="0" w:evenVBand="0" w:oddHBand="0" w:evenHBand="0" w:firstRowFirstColumn="0" w:firstRowLastColumn="0" w:lastRowFirstColumn="0" w:lastRowLastColumn="0"/>
            <w:tcW w:w="4982" w:type="dxa"/>
          </w:tcPr>
          <w:p w14:paraId="2610A4A6" w14:textId="77777777" w:rsidR="00A7006C" w:rsidRPr="00E61D98" w:rsidRDefault="00A7006C" w:rsidP="00A7006C">
            <w:pPr>
              <w:rPr>
                <w:rFonts w:eastAsia="Calibri" w:cs="Arial"/>
              </w:rPr>
            </w:pPr>
            <w:r w:rsidRPr="00E61D98">
              <w:rPr>
                <w:rFonts w:eastAsia="Calibri" w:cs="Arial"/>
              </w:rPr>
              <w:t>3.3. Customer engagement</w:t>
            </w:r>
          </w:p>
        </w:tc>
        <w:tc>
          <w:tcPr>
            <w:tcW w:w="1097" w:type="dxa"/>
          </w:tcPr>
          <w:p w14:paraId="67893890"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5</w:t>
            </w:r>
          </w:p>
        </w:tc>
        <w:tc>
          <w:tcPr>
            <w:tcW w:w="3135" w:type="dxa"/>
          </w:tcPr>
          <w:p w14:paraId="164BD85D" w14:textId="0DC0A10A"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p4</w:t>
            </w:r>
            <w:r w:rsidR="0059022F">
              <w:rPr>
                <w:rFonts w:eastAsia="Calibri" w:cs="Arial"/>
              </w:rPr>
              <w:t>7</w:t>
            </w:r>
            <w:r w:rsidRPr="00E61D98">
              <w:rPr>
                <w:rFonts w:eastAsia="Calibri" w:cs="Arial"/>
              </w:rPr>
              <w:t>-5</w:t>
            </w:r>
            <w:r w:rsidR="0059022F">
              <w:rPr>
                <w:rFonts w:eastAsia="Calibri" w:cs="Arial"/>
              </w:rPr>
              <w:t>9</w:t>
            </w:r>
          </w:p>
          <w:p w14:paraId="76B81869" w14:textId="4DCA4141"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Appendix F p12</w:t>
            </w:r>
            <w:r w:rsidR="00F4320A">
              <w:rPr>
                <w:rFonts w:eastAsia="Calibri" w:cs="Arial"/>
              </w:rPr>
              <w:t>8</w:t>
            </w:r>
          </w:p>
        </w:tc>
      </w:tr>
      <w:tr w:rsidR="00A7006C" w:rsidRPr="00E61D98" w14:paraId="22AE9BEC"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400BB3A2" w14:textId="77777777" w:rsidR="00A7006C" w:rsidRPr="00E61D98" w:rsidRDefault="00A7006C" w:rsidP="00A7006C">
            <w:pPr>
              <w:rPr>
                <w:rFonts w:eastAsia="Calibri" w:cs="Arial"/>
              </w:rPr>
            </w:pPr>
            <w:r w:rsidRPr="00E61D98">
              <w:rPr>
                <w:rFonts w:eastAsia="Calibri" w:cs="Arial"/>
              </w:rPr>
              <w:t>3.4. Outcomes</w:t>
            </w:r>
          </w:p>
        </w:tc>
        <w:tc>
          <w:tcPr>
            <w:tcW w:w="1097" w:type="dxa"/>
          </w:tcPr>
          <w:p w14:paraId="1BF73435"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6</w:t>
            </w:r>
          </w:p>
        </w:tc>
        <w:tc>
          <w:tcPr>
            <w:tcW w:w="3135" w:type="dxa"/>
          </w:tcPr>
          <w:p w14:paraId="6D80EEFC" w14:textId="77777777" w:rsidR="00A7006C" w:rsidRDefault="0070048D"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Pr>
                <w:rFonts w:eastAsia="Calibri" w:cs="Arial"/>
              </w:rPr>
              <w:t>p60</w:t>
            </w:r>
            <w:r w:rsidR="00A7006C" w:rsidRPr="00E61D98">
              <w:rPr>
                <w:rFonts w:eastAsia="Calibri" w:cs="Arial"/>
              </w:rPr>
              <w:t>-6</w:t>
            </w:r>
            <w:r>
              <w:rPr>
                <w:rFonts w:eastAsia="Calibri" w:cs="Arial"/>
              </w:rPr>
              <w:t>8</w:t>
            </w:r>
          </w:p>
          <w:p w14:paraId="452E7796" w14:textId="77450059" w:rsidR="00183CCD" w:rsidRPr="00E61D98" w:rsidRDefault="00183CCD"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Appendix C p1</w:t>
            </w:r>
            <w:r>
              <w:rPr>
                <w:rFonts w:eastAsia="Calibri" w:cs="Arial"/>
              </w:rPr>
              <w:t>22</w:t>
            </w:r>
            <w:r w:rsidRPr="00E61D98">
              <w:rPr>
                <w:rFonts w:eastAsia="Calibri" w:cs="Arial"/>
              </w:rPr>
              <w:t>-12</w:t>
            </w:r>
            <w:r>
              <w:rPr>
                <w:rFonts w:eastAsia="Calibri" w:cs="Arial"/>
              </w:rPr>
              <w:t>5</w:t>
            </w:r>
          </w:p>
        </w:tc>
      </w:tr>
      <w:tr w:rsidR="00A7006C" w:rsidRPr="00E61D98" w14:paraId="132FDC16"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1FA06BD4" w14:textId="77777777" w:rsidR="00A7006C" w:rsidRPr="00E61D98" w:rsidRDefault="00A7006C" w:rsidP="00A7006C">
            <w:pPr>
              <w:rPr>
                <w:rFonts w:eastAsia="Calibri" w:cs="Arial"/>
              </w:rPr>
            </w:pPr>
            <w:r w:rsidRPr="00E61D98">
              <w:rPr>
                <w:rFonts w:eastAsia="Calibri" w:cs="Arial"/>
              </w:rPr>
              <w:t>3.5. Service standards relating to reliability and faults</w:t>
            </w:r>
          </w:p>
        </w:tc>
        <w:tc>
          <w:tcPr>
            <w:tcW w:w="1097" w:type="dxa"/>
          </w:tcPr>
          <w:p w14:paraId="6855553E"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6</w:t>
            </w:r>
          </w:p>
        </w:tc>
        <w:tc>
          <w:tcPr>
            <w:tcW w:w="3135" w:type="dxa"/>
          </w:tcPr>
          <w:p w14:paraId="2CB41254" w14:textId="1C0FD37A"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p6</w:t>
            </w:r>
            <w:r w:rsidR="004B6D20">
              <w:rPr>
                <w:rFonts w:eastAsia="Calibri" w:cs="Arial"/>
              </w:rPr>
              <w:t>1</w:t>
            </w:r>
            <w:r w:rsidRPr="00E61D98">
              <w:rPr>
                <w:rFonts w:eastAsia="Calibri" w:cs="Arial"/>
              </w:rPr>
              <w:t xml:space="preserve"> &amp; 6</w:t>
            </w:r>
            <w:r w:rsidR="004B6D20">
              <w:rPr>
                <w:rFonts w:eastAsia="Calibri" w:cs="Arial"/>
              </w:rPr>
              <w:t>6</w:t>
            </w:r>
          </w:p>
        </w:tc>
      </w:tr>
      <w:tr w:rsidR="00A7006C" w:rsidRPr="00E61D98" w14:paraId="23466EEB"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2E1AFAFB" w14:textId="77777777" w:rsidR="00A7006C" w:rsidRPr="00E61D98" w:rsidRDefault="00A7006C" w:rsidP="00A7006C">
            <w:pPr>
              <w:rPr>
                <w:rFonts w:eastAsia="Calibri" w:cs="Arial"/>
              </w:rPr>
            </w:pPr>
            <w:r w:rsidRPr="00E61D98">
              <w:rPr>
                <w:rFonts w:eastAsia="Calibri" w:cs="Arial"/>
              </w:rPr>
              <w:t>3.6. Guaranteed service levels</w:t>
            </w:r>
          </w:p>
        </w:tc>
        <w:tc>
          <w:tcPr>
            <w:tcW w:w="1097" w:type="dxa"/>
          </w:tcPr>
          <w:p w14:paraId="5C1B317E"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6</w:t>
            </w:r>
          </w:p>
        </w:tc>
        <w:tc>
          <w:tcPr>
            <w:tcW w:w="3135" w:type="dxa"/>
          </w:tcPr>
          <w:p w14:paraId="1A46A576" w14:textId="6314C893"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p6</w:t>
            </w:r>
            <w:r w:rsidR="00AF4CC9">
              <w:rPr>
                <w:rFonts w:eastAsia="Calibri" w:cs="Arial"/>
              </w:rPr>
              <w:t>6</w:t>
            </w:r>
          </w:p>
        </w:tc>
      </w:tr>
      <w:tr w:rsidR="00A7006C" w:rsidRPr="00E61D98" w14:paraId="167C5956"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6019F90C" w14:textId="77777777" w:rsidR="00A7006C" w:rsidRPr="00E61D98" w:rsidRDefault="00A7006C" w:rsidP="00A7006C">
            <w:pPr>
              <w:rPr>
                <w:rFonts w:eastAsia="Calibri" w:cs="Arial"/>
              </w:rPr>
            </w:pPr>
            <w:r w:rsidRPr="00E61D98">
              <w:rPr>
                <w:rFonts w:eastAsia="Calibri" w:cs="Arial"/>
              </w:rPr>
              <w:t>3.7. Revenue requirement</w:t>
            </w:r>
          </w:p>
        </w:tc>
        <w:tc>
          <w:tcPr>
            <w:tcW w:w="1097" w:type="dxa"/>
          </w:tcPr>
          <w:p w14:paraId="5F742CBB"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06E4E6F1" w14:textId="065C6099"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p9</w:t>
            </w:r>
            <w:r w:rsidR="00350E73">
              <w:rPr>
                <w:rFonts w:eastAsia="Calibri" w:cs="Arial"/>
              </w:rPr>
              <w:t>6</w:t>
            </w:r>
            <w:r w:rsidRPr="00E61D98">
              <w:rPr>
                <w:rFonts w:eastAsia="Calibri" w:cs="Arial"/>
              </w:rPr>
              <w:t>-10</w:t>
            </w:r>
            <w:r w:rsidR="00350E73">
              <w:rPr>
                <w:rFonts w:eastAsia="Calibri" w:cs="Arial"/>
              </w:rPr>
              <w:t>5</w:t>
            </w:r>
          </w:p>
        </w:tc>
      </w:tr>
      <w:tr w:rsidR="00A7006C" w:rsidRPr="00E61D98" w14:paraId="53A7F431" w14:textId="77777777" w:rsidTr="00A7006C">
        <w:trPr>
          <w:trHeight w:val="50"/>
        </w:trPr>
        <w:tc>
          <w:tcPr>
            <w:cnfStyle w:val="001000000000" w:firstRow="0" w:lastRow="0" w:firstColumn="1" w:lastColumn="0" w:oddVBand="0" w:evenVBand="0" w:oddHBand="0" w:evenHBand="0" w:firstRowFirstColumn="0" w:firstRowLastColumn="0" w:lastRowFirstColumn="0" w:lastRowLastColumn="0"/>
            <w:tcW w:w="4982" w:type="dxa"/>
          </w:tcPr>
          <w:p w14:paraId="3B7BEB0B" w14:textId="77777777" w:rsidR="00A7006C" w:rsidRPr="00E61D98" w:rsidRDefault="00A7006C" w:rsidP="00A7006C">
            <w:pPr>
              <w:rPr>
                <w:rFonts w:eastAsia="Calibri" w:cs="Arial"/>
              </w:rPr>
            </w:pPr>
            <w:r w:rsidRPr="00E61D98">
              <w:rPr>
                <w:rFonts w:eastAsia="Calibri" w:cs="Arial"/>
              </w:rPr>
              <w:t>3.8. Forecast operating expenditure</w:t>
            </w:r>
          </w:p>
        </w:tc>
        <w:tc>
          <w:tcPr>
            <w:tcW w:w="1097" w:type="dxa"/>
          </w:tcPr>
          <w:p w14:paraId="1BF4E4AF"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7</w:t>
            </w:r>
          </w:p>
        </w:tc>
        <w:tc>
          <w:tcPr>
            <w:tcW w:w="3135" w:type="dxa"/>
          </w:tcPr>
          <w:p w14:paraId="1CF5BF54" w14:textId="76360EEA"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p6</w:t>
            </w:r>
            <w:r w:rsidR="00B80179">
              <w:rPr>
                <w:rFonts w:eastAsia="Calibri" w:cs="Arial"/>
              </w:rPr>
              <w:t>9</w:t>
            </w:r>
            <w:r w:rsidRPr="00E61D98">
              <w:rPr>
                <w:rFonts w:eastAsia="Calibri" w:cs="Arial"/>
              </w:rPr>
              <w:t>-7</w:t>
            </w:r>
            <w:r w:rsidR="00B80179">
              <w:rPr>
                <w:rFonts w:eastAsia="Calibri" w:cs="Arial"/>
              </w:rPr>
              <w:t>5</w:t>
            </w:r>
          </w:p>
          <w:p w14:paraId="1AB9C45F" w14:textId="77777777"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Methodology p15-18</w:t>
            </w:r>
          </w:p>
          <w:p w14:paraId="63AF3598" w14:textId="77777777"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Historic Section 3 p23</w:t>
            </w:r>
          </w:p>
        </w:tc>
      </w:tr>
      <w:tr w:rsidR="00A7006C" w:rsidRPr="00E61D98" w14:paraId="0199415F"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6D4FCBD2" w14:textId="77777777" w:rsidR="00A7006C" w:rsidRPr="00E61D98" w:rsidRDefault="00A7006C" w:rsidP="00A7006C">
            <w:pPr>
              <w:rPr>
                <w:rFonts w:eastAsia="Calibri" w:cs="Arial"/>
              </w:rPr>
            </w:pPr>
            <w:r w:rsidRPr="00E61D98">
              <w:rPr>
                <w:rFonts w:eastAsia="Calibri" w:cs="Arial"/>
              </w:rPr>
              <w:t>3.9. Forecast capital expenditure</w:t>
            </w:r>
          </w:p>
        </w:tc>
        <w:tc>
          <w:tcPr>
            <w:tcW w:w="1097" w:type="dxa"/>
          </w:tcPr>
          <w:p w14:paraId="294B3732"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8</w:t>
            </w:r>
          </w:p>
        </w:tc>
        <w:tc>
          <w:tcPr>
            <w:tcW w:w="3135" w:type="dxa"/>
          </w:tcPr>
          <w:p w14:paraId="45912F0A" w14:textId="25E97F22"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p7</w:t>
            </w:r>
            <w:r w:rsidR="008A3268">
              <w:rPr>
                <w:rFonts w:eastAsia="Calibri" w:cs="Arial"/>
              </w:rPr>
              <w:t>6</w:t>
            </w:r>
            <w:r w:rsidRPr="00E61D98">
              <w:rPr>
                <w:rFonts w:eastAsia="Calibri" w:cs="Arial"/>
              </w:rPr>
              <w:t>-</w:t>
            </w:r>
            <w:r w:rsidR="008A3268">
              <w:rPr>
                <w:rFonts w:eastAsia="Calibri" w:cs="Arial"/>
              </w:rPr>
              <w:t>95</w:t>
            </w:r>
          </w:p>
          <w:p w14:paraId="6DC65D1C" w14:textId="77777777"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Methodology p15-18</w:t>
            </w:r>
          </w:p>
          <w:p w14:paraId="6DEEEA23" w14:textId="77777777"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Historic Section 3 p23-24</w:t>
            </w:r>
          </w:p>
        </w:tc>
      </w:tr>
      <w:tr w:rsidR="00A7006C" w:rsidRPr="00E61D98" w14:paraId="5F3CE40D"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6F6D8857" w14:textId="77777777" w:rsidR="00A7006C" w:rsidRPr="00E61D98" w:rsidRDefault="00A7006C" w:rsidP="00A7006C">
            <w:pPr>
              <w:rPr>
                <w:rFonts w:eastAsia="Calibri" w:cs="Arial"/>
              </w:rPr>
            </w:pPr>
            <w:r w:rsidRPr="00E61D98">
              <w:rPr>
                <w:rFonts w:eastAsia="Calibri" w:cs="Arial"/>
              </w:rPr>
              <w:t>3.10. Return on regulatory asset base</w:t>
            </w:r>
          </w:p>
        </w:tc>
        <w:tc>
          <w:tcPr>
            <w:tcW w:w="1097" w:type="dxa"/>
          </w:tcPr>
          <w:p w14:paraId="58145F9A"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9</w:t>
            </w:r>
          </w:p>
        </w:tc>
        <w:tc>
          <w:tcPr>
            <w:tcW w:w="3135" w:type="dxa"/>
          </w:tcPr>
          <w:p w14:paraId="20A46ED7" w14:textId="7829834C" w:rsidR="00A7006C" w:rsidRPr="00E61D98" w:rsidRDefault="00354E4F"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Pr>
                <w:rFonts w:eastAsia="Calibri" w:cs="Arial"/>
              </w:rPr>
              <w:t>p101</w:t>
            </w:r>
          </w:p>
        </w:tc>
      </w:tr>
      <w:tr w:rsidR="00A7006C" w:rsidRPr="00E61D98" w14:paraId="2FA72F98"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3E05BE89" w14:textId="77777777" w:rsidR="00A7006C" w:rsidRPr="00E61D98" w:rsidRDefault="00A7006C" w:rsidP="00A7006C">
            <w:pPr>
              <w:rPr>
                <w:rFonts w:eastAsia="Calibri" w:cs="Arial"/>
              </w:rPr>
            </w:pPr>
            <w:r w:rsidRPr="00E61D98">
              <w:rPr>
                <w:rFonts w:eastAsia="Calibri" w:cs="Arial"/>
              </w:rPr>
              <w:t>3.11. Forecast regulatory asset base</w:t>
            </w:r>
          </w:p>
        </w:tc>
        <w:tc>
          <w:tcPr>
            <w:tcW w:w="1097" w:type="dxa"/>
          </w:tcPr>
          <w:p w14:paraId="7D6B5240"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193F6234" w14:textId="59746E3D"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w:t>
            </w:r>
            <w:r>
              <w:rPr>
                <w:rFonts w:eastAsia="Calibri" w:cs="Arial"/>
              </w:rPr>
              <w:t>10</w:t>
            </w:r>
            <w:r w:rsidR="006F6B89">
              <w:rPr>
                <w:rFonts w:eastAsia="Calibri" w:cs="Arial"/>
              </w:rPr>
              <w:t>2-103</w:t>
            </w:r>
          </w:p>
        </w:tc>
      </w:tr>
      <w:tr w:rsidR="00A7006C" w:rsidRPr="00E61D98" w14:paraId="5411D1D4"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3BD9B7BB" w14:textId="77777777" w:rsidR="00A7006C" w:rsidRPr="00E61D98" w:rsidRDefault="00A7006C" w:rsidP="00A7006C">
            <w:pPr>
              <w:rPr>
                <w:rFonts w:eastAsia="Calibri" w:cs="Arial"/>
              </w:rPr>
            </w:pPr>
            <w:r w:rsidRPr="00E61D98">
              <w:rPr>
                <w:rFonts w:eastAsia="Calibri" w:cs="Arial"/>
              </w:rPr>
              <w:t>3.12. Regulatory depreciation</w:t>
            </w:r>
          </w:p>
        </w:tc>
        <w:tc>
          <w:tcPr>
            <w:tcW w:w="1097" w:type="dxa"/>
          </w:tcPr>
          <w:p w14:paraId="2A6A4EC9"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9</w:t>
            </w:r>
          </w:p>
        </w:tc>
        <w:tc>
          <w:tcPr>
            <w:tcW w:w="3135" w:type="dxa"/>
          </w:tcPr>
          <w:p w14:paraId="4B5D444B" w14:textId="0F62F06A"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Pr>
                <w:rFonts w:eastAsia="Calibri" w:cs="Arial"/>
              </w:rPr>
              <w:t>10</w:t>
            </w:r>
            <w:r w:rsidR="006F6B89">
              <w:rPr>
                <w:rFonts w:eastAsia="Calibri" w:cs="Arial"/>
              </w:rPr>
              <w:t>2</w:t>
            </w:r>
          </w:p>
        </w:tc>
      </w:tr>
      <w:tr w:rsidR="00A7006C" w:rsidRPr="00E61D98" w14:paraId="3DDCACDE"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4AAB9106" w14:textId="77777777" w:rsidR="00A7006C" w:rsidRPr="00E61D98" w:rsidRDefault="00A7006C" w:rsidP="00A7006C">
            <w:pPr>
              <w:rPr>
                <w:rFonts w:eastAsia="Calibri" w:cs="Arial"/>
              </w:rPr>
            </w:pPr>
            <w:r w:rsidRPr="00E61D98">
              <w:rPr>
                <w:rFonts w:eastAsia="Calibri" w:cs="Arial"/>
              </w:rPr>
              <w:t>3.13. Cost of debt</w:t>
            </w:r>
          </w:p>
        </w:tc>
        <w:tc>
          <w:tcPr>
            <w:tcW w:w="1097" w:type="dxa"/>
          </w:tcPr>
          <w:p w14:paraId="32E7794F"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75259547" w14:textId="006B9457" w:rsidR="00A7006C" w:rsidRPr="00E61D98" w:rsidRDefault="00927810"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Pr>
                <w:rFonts w:eastAsia="Calibri" w:cs="Arial"/>
              </w:rPr>
              <w:t>p</w:t>
            </w:r>
            <w:r w:rsidR="00620A97">
              <w:rPr>
                <w:rFonts w:eastAsia="Calibri" w:cs="Arial"/>
              </w:rPr>
              <w:t>101</w:t>
            </w:r>
          </w:p>
        </w:tc>
      </w:tr>
      <w:tr w:rsidR="00A7006C" w:rsidRPr="00E61D98" w14:paraId="5DBC4893"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55E0A607" w14:textId="77777777" w:rsidR="00A7006C" w:rsidRPr="00E61D98" w:rsidRDefault="00A7006C" w:rsidP="00A7006C">
            <w:pPr>
              <w:rPr>
                <w:rFonts w:eastAsia="Calibri" w:cs="Arial"/>
              </w:rPr>
            </w:pPr>
            <w:r w:rsidRPr="00E61D98">
              <w:rPr>
                <w:rFonts w:eastAsia="Calibri" w:cs="Arial"/>
              </w:rPr>
              <w:t>3.14. PREMO rating</w:t>
            </w:r>
          </w:p>
        </w:tc>
        <w:tc>
          <w:tcPr>
            <w:tcW w:w="1097" w:type="dxa"/>
          </w:tcPr>
          <w:p w14:paraId="264E2B2B"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11</w:t>
            </w:r>
          </w:p>
        </w:tc>
        <w:tc>
          <w:tcPr>
            <w:tcW w:w="3135" w:type="dxa"/>
          </w:tcPr>
          <w:p w14:paraId="1FDAD52F" w14:textId="05207992"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Overall p1</w:t>
            </w:r>
            <w:r>
              <w:rPr>
                <w:rFonts w:eastAsia="Calibri" w:cs="Arial"/>
              </w:rPr>
              <w:t>1</w:t>
            </w:r>
            <w:r w:rsidR="00216A8E">
              <w:rPr>
                <w:rFonts w:eastAsia="Calibri" w:cs="Arial"/>
              </w:rPr>
              <w:t>6</w:t>
            </w:r>
          </w:p>
          <w:p w14:paraId="29312745" w14:textId="2519B166"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sidR="0031666E">
              <w:rPr>
                <w:rFonts w:eastAsia="Calibri" w:cs="Arial"/>
              </w:rPr>
              <w:t>19</w:t>
            </w:r>
            <w:r w:rsidR="0067678A">
              <w:rPr>
                <w:rFonts w:eastAsia="Calibri" w:cs="Arial"/>
              </w:rPr>
              <w:t>-20</w:t>
            </w:r>
            <w:r w:rsidRPr="00E61D98">
              <w:rPr>
                <w:rFonts w:eastAsia="Calibri" w:cs="Arial"/>
              </w:rPr>
              <w:t xml:space="preserve">, </w:t>
            </w:r>
            <w:r w:rsidR="0031666E">
              <w:rPr>
                <w:rFonts w:eastAsia="Calibri" w:cs="Arial"/>
              </w:rPr>
              <w:t>32</w:t>
            </w:r>
            <w:r w:rsidR="00912D52">
              <w:rPr>
                <w:rFonts w:eastAsia="Calibri" w:cs="Arial"/>
              </w:rPr>
              <w:t>-33</w:t>
            </w:r>
            <w:r w:rsidRPr="00E61D98">
              <w:rPr>
                <w:rFonts w:eastAsia="Calibri" w:cs="Arial"/>
              </w:rPr>
              <w:t>, 4</w:t>
            </w:r>
            <w:r w:rsidR="002E0E7D">
              <w:rPr>
                <w:rFonts w:eastAsia="Calibri" w:cs="Arial"/>
              </w:rPr>
              <w:t>6</w:t>
            </w:r>
            <w:r w:rsidRPr="00E61D98">
              <w:rPr>
                <w:rFonts w:eastAsia="Calibri" w:cs="Arial"/>
              </w:rPr>
              <w:t>, 5</w:t>
            </w:r>
            <w:r w:rsidR="002E0E7D">
              <w:rPr>
                <w:rFonts w:eastAsia="Calibri" w:cs="Arial"/>
              </w:rPr>
              <w:t>7-59</w:t>
            </w:r>
            <w:r w:rsidRPr="00E61D98">
              <w:rPr>
                <w:rFonts w:eastAsia="Calibri" w:cs="Arial"/>
              </w:rPr>
              <w:t xml:space="preserve"> &amp; 6</w:t>
            </w:r>
            <w:r w:rsidR="0060776A">
              <w:rPr>
                <w:rFonts w:eastAsia="Calibri" w:cs="Arial"/>
              </w:rPr>
              <w:t>7-68</w:t>
            </w:r>
            <w:r w:rsidRPr="00E61D98">
              <w:rPr>
                <w:rFonts w:eastAsia="Calibri" w:cs="Arial"/>
              </w:rPr>
              <w:t>)</w:t>
            </w:r>
          </w:p>
        </w:tc>
      </w:tr>
      <w:tr w:rsidR="00A7006C" w:rsidRPr="00E61D98" w14:paraId="72FCA20D"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1B390652" w14:textId="77777777" w:rsidR="00A7006C" w:rsidRPr="00E61D98" w:rsidRDefault="00A7006C" w:rsidP="00A7006C">
            <w:pPr>
              <w:rPr>
                <w:rFonts w:eastAsia="Calibri" w:cs="Arial"/>
              </w:rPr>
            </w:pPr>
            <w:r w:rsidRPr="00E61D98">
              <w:rPr>
                <w:rFonts w:eastAsia="Calibri" w:cs="Arial"/>
              </w:rPr>
              <w:t>3.15. Return on equity</w:t>
            </w:r>
          </w:p>
        </w:tc>
        <w:tc>
          <w:tcPr>
            <w:tcW w:w="1097" w:type="dxa"/>
          </w:tcPr>
          <w:p w14:paraId="75B4463C"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1FF772D2" w14:textId="515E7431" w:rsidR="00A7006C" w:rsidRPr="00E61D98" w:rsidRDefault="00F169E0"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Pr>
                <w:rFonts w:eastAsia="Calibri" w:cs="Arial"/>
              </w:rPr>
              <w:t>p101</w:t>
            </w:r>
          </w:p>
        </w:tc>
      </w:tr>
      <w:tr w:rsidR="00A7006C" w:rsidRPr="00E61D98" w14:paraId="36E33C03"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60E1BCAA" w14:textId="77777777" w:rsidR="00A7006C" w:rsidRPr="00E61D98" w:rsidRDefault="00A7006C" w:rsidP="00A7006C">
            <w:pPr>
              <w:rPr>
                <w:rFonts w:eastAsia="Calibri" w:cs="Arial"/>
              </w:rPr>
            </w:pPr>
            <w:r w:rsidRPr="00E61D98">
              <w:rPr>
                <w:rFonts w:eastAsia="Calibri" w:cs="Arial"/>
              </w:rPr>
              <w:t>3.16. Tax allowance</w:t>
            </w:r>
          </w:p>
        </w:tc>
        <w:tc>
          <w:tcPr>
            <w:tcW w:w="1097" w:type="dxa"/>
          </w:tcPr>
          <w:p w14:paraId="4F0FADFC"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9</w:t>
            </w:r>
          </w:p>
        </w:tc>
        <w:tc>
          <w:tcPr>
            <w:tcW w:w="3135" w:type="dxa"/>
          </w:tcPr>
          <w:p w14:paraId="2792696D" w14:textId="13DD9769"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Pr>
                <w:rFonts w:eastAsia="Calibri" w:cs="Arial"/>
              </w:rPr>
              <w:t>10</w:t>
            </w:r>
            <w:r w:rsidR="00F0493B">
              <w:rPr>
                <w:rFonts w:eastAsia="Calibri" w:cs="Arial"/>
              </w:rPr>
              <w:t>4</w:t>
            </w:r>
          </w:p>
        </w:tc>
      </w:tr>
      <w:tr w:rsidR="00A7006C" w:rsidRPr="00E61D98" w14:paraId="3C130BD8"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46820885" w14:textId="77777777" w:rsidR="00A7006C" w:rsidRPr="00E61D98" w:rsidRDefault="00A7006C" w:rsidP="00A7006C">
            <w:pPr>
              <w:rPr>
                <w:rFonts w:eastAsia="Calibri" w:cs="Arial"/>
              </w:rPr>
            </w:pPr>
            <w:r w:rsidRPr="00E61D98">
              <w:rPr>
                <w:rFonts w:eastAsia="Calibri" w:cs="Arial"/>
              </w:rPr>
              <w:t>3.17. Demand</w:t>
            </w:r>
          </w:p>
        </w:tc>
        <w:tc>
          <w:tcPr>
            <w:tcW w:w="1097" w:type="dxa"/>
          </w:tcPr>
          <w:p w14:paraId="058DB076"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27B73FB0" w14:textId="08A89915"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w:t>
            </w:r>
            <w:r>
              <w:rPr>
                <w:rFonts w:eastAsia="Calibri" w:cs="Arial"/>
              </w:rPr>
              <w:t>10</w:t>
            </w:r>
            <w:r w:rsidR="00F0493B">
              <w:rPr>
                <w:rFonts w:eastAsia="Calibri" w:cs="Arial"/>
              </w:rPr>
              <w:t>4</w:t>
            </w:r>
          </w:p>
        </w:tc>
      </w:tr>
      <w:tr w:rsidR="00A7006C" w:rsidRPr="00E61D98" w14:paraId="26E4BCC6"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41BA2D31" w14:textId="77777777" w:rsidR="00A7006C" w:rsidRPr="00E61D98" w:rsidRDefault="00A7006C" w:rsidP="00A7006C">
            <w:pPr>
              <w:rPr>
                <w:rFonts w:eastAsia="Calibri" w:cs="Arial"/>
              </w:rPr>
            </w:pPr>
            <w:r w:rsidRPr="00E61D98">
              <w:rPr>
                <w:rFonts w:eastAsia="Calibri" w:cs="Arial"/>
              </w:rPr>
              <w:t>3.18. Form of price control</w:t>
            </w:r>
          </w:p>
        </w:tc>
        <w:tc>
          <w:tcPr>
            <w:tcW w:w="1097" w:type="dxa"/>
          </w:tcPr>
          <w:p w14:paraId="1E6494D5"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10</w:t>
            </w:r>
          </w:p>
        </w:tc>
        <w:tc>
          <w:tcPr>
            <w:tcW w:w="3135" w:type="dxa"/>
          </w:tcPr>
          <w:p w14:paraId="13AE75AA" w14:textId="34928D1E"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Pr>
                <w:rFonts w:eastAsia="Calibri" w:cs="Arial"/>
              </w:rPr>
              <w:t>10</w:t>
            </w:r>
            <w:r w:rsidR="000C7F18">
              <w:rPr>
                <w:rFonts w:eastAsia="Calibri" w:cs="Arial"/>
              </w:rPr>
              <w:t>6</w:t>
            </w:r>
          </w:p>
        </w:tc>
      </w:tr>
      <w:tr w:rsidR="00A7006C" w:rsidRPr="00E61D98" w14:paraId="6E83E76A"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302AAC61" w14:textId="77777777" w:rsidR="00A7006C" w:rsidRPr="00E61D98" w:rsidRDefault="00A7006C" w:rsidP="00A7006C">
            <w:pPr>
              <w:rPr>
                <w:rFonts w:eastAsia="Calibri" w:cs="Arial"/>
              </w:rPr>
            </w:pPr>
            <w:r w:rsidRPr="00E61D98">
              <w:rPr>
                <w:rFonts w:eastAsia="Calibri" w:cs="Arial"/>
              </w:rPr>
              <w:t>3.19. Prices and tariff structures</w:t>
            </w:r>
          </w:p>
        </w:tc>
        <w:tc>
          <w:tcPr>
            <w:tcW w:w="1097" w:type="dxa"/>
          </w:tcPr>
          <w:p w14:paraId="7023E4C5"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10</w:t>
            </w:r>
          </w:p>
        </w:tc>
        <w:tc>
          <w:tcPr>
            <w:tcW w:w="3135" w:type="dxa"/>
          </w:tcPr>
          <w:p w14:paraId="2C0C4A1C" w14:textId="6FC337E1"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p10</w:t>
            </w:r>
            <w:r w:rsidR="00F346A7">
              <w:rPr>
                <w:rFonts w:eastAsia="Calibri" w:cs="Arial"/>
              </w:rPr>
              <w:t>8</w:t>
            </w:r>
          </w:p>
        </w:tc>
      </w:tr>
      <w:tr w:rsidR="00A7006C" w:rsidRPr="00E61D98" w14:paraId="0DEF9F76"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5551C624" w14:textId="77777777" w:rsidR="00A7006C" w:rsidRPr="00E61D98" w:rsidRDefault="00A7006C" w:rsidP="00A7006C">
            <w:pPr>
              <w:rPr>
                <w:rFonts w:eastAsia="Calibri" w:cs="Arial"/>
              </w:rPr>
            </w:pPr>
            <w:r w:rsidRPr="00E61D98">
              <w:rPr>
                <w:rFonts w:eastAsia="Calibri" w:cs="Arial"/>
              </w:rPr>
              <w:t>3.20. Adjusting prices</w:t>
            </w:r>
          </w:p>
        </w:tc>
        <w:tc>
          <w:tcPr>
            <w:tcW w:w="1097" w:type="dxa"/>
          </w:tcPr>
          <w:p w14:paraId="3D2B3E00"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10</w:t>
            </w:r>
          </w:p>
        </w:tc>
        <w:tc>
          <w:tcPr>
            <w:tcW w:w="3135" w:type="dxa"/>
          </w:tcPr>
          <w:p w14:paraId="3EF6678F" w14:textId="322042CC"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Pr>
                <w:rFonts w:eastAsia="Calibri" w:cs="Arial"/>
              </w:rPr>
              <w:t>11</w:t>
            </w:r>
            <w:r w:rsidR="003D2F28">
              <w:rPr>
                <w:rFonts w:eastAsia="Calibri" w:cs="Arial"/>
              </w:rPr>
              <w:t>4-115</w:t>
            </w:r>
          </w:p>
        </w:tc>
      </w:tr>
      <w:tr w:rsidR="00A7006C" w:rsidRPr="00E61D98" w14:paraId="721B7E8F"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3CC5226C" w14:textId="77777777" w:rsidR="00A7006C" w:rsidRPr="00E61D98" w:rsidRDefault="00A7006C" w:rsidP="00A7006C">
            <w:pPr>
              <w:rPr>
                <w:rFonts w:eastAsia="Calibri" w:cs="Arial"/>
              </w:rPr>
            </w:pPr>
            <w:r w:rsidRPr="00E61D98">
              <w:rPr>
                <w:rFonts w:eastAsia="Calibri" w:cs="Arial"/>
              </w:rPr>
              <w:t>3.21. New customer contributions</w:t>
            </w:r>
          </w:p>
        </w:tc>
        <w:tc>
          <w:tcPr>
            <w:tcW w:w="1097" w:type="dxa"/>
          </w:tcPr>
          <w:p w14:paraId="71C657AE"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10</w:t>
            </w:r>
          </w:p>
        </w:tc>
        <w:tc>
          <w:tcPr>
            <w:tcW w:w="3135" w:type="dxa"/>
          </w:tcPr>
          <w:p w14:paraId="611EB53B" w14:textId="54F42A8B"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New charges p1</w:t>
            </w:r>
            <w:r w:rsidR="00FB53A5">
              <w:rPr>
                <w:rFonts w:eastAsia="Calibri" w:cs="Arial"/>
              </w:rPr>
              <w:t>10</w:t>
            </w:r>
          </w:p>
        </w:tc>
      </w:tr>
      <w:tr w:rsidR="00A7006C" w:rsidRPr="00E61D98" w14:paraId="6B0D904A"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23D323E5" w14:textId="77777777" w:rsidR="00A7006C" w:rsidRPr="00E61D98" w:rsidRDefault="00A7006C" w:rsidP="00A7006C">
            <w:pPr>
              <w:rPr>
                <w:rFonts w:eastAsia="Calibri" w:cs="Arial"/>
              </w:rPr>
            </w:pPr>
            <w:r w:rsidRPr="00E61D98">
              <w:rPr>
                <w:rFonts w:eastAsia="Calibri" w:cs="Arial"/>
              </w:rPr>
              <w:t>3.22. Financial position</w:t>
            </w:r>
          </w:p>
        </w:tc>
        <w:tc>
          <w:tcPr>
            <w:tcW w:w="1097" w:type="dxa"/>
          </w:tcPr>
          <w:p w14:paraId="7614CA0D"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Pr>
                <w:rFonts w:eastAsia="Calibri" w:cs="Arial"/>
              </w:rPr>
              <w:t xml:space="preserve">7,8 &amp; 9 </w:t>
            </w:r>
          </w:p>
        </w:tc>
        <w:tc>
          <w:tcPr>
            <w:tcW w:w="3135" w:type="dxa"/>
          </w:tcPr>
          <w:p w14:paraId="169847F7" w14:textId="02120A83"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Pr>
                <w:rFonts w:eastAsia="Calibri" w:cs="Arial"/>
              </w:rPr>
              <w:t>71, 9</w:t>
            </w:r>
            <w:r w:rsidR="00731649">
              <w:rPr>
                <w:rFonts w:eastAsia="Calibri" w:cs="Arial"/>
              </w:rPr>
              <w:t>5</w:t>
            </w:r>
            <w:r>
              <w:rPr>
                <w:rFonts w:eastAsia="Calibri" w:cs="Arial"/>
              </w:rPr>
              <w:t>, 9</w:t>
            </w:r>
            <w:r w:rsidR="00173F6E">
              <w:rPr>
                <w:rFonts w:eastAsia="Calibri" w:cs="Arial"/>
              </w:rPr>
              <w:t>6</w:t>
            </w:r>
            <w:r>
              <w:rPr>
                <w:rFonts w:eastAsia="Calibri" w:cs="Arial"/>
              </w:rPr>
              <w:t xml:space="preserve"> &amp; 10</w:t>
            </w:r>
            <w:r w:rsidR="00173F6E">
              <w:rPr>
                <w:rFonts w:eastAsia="Calibri" w:cs="Arial"/>
              </w:rPr>
              <w:t>3</w:t>
            </w:r>
          </w:p>
        </w:tc>
      </w:tr>
      <w:tr w:rsidR="00A7006C" w:rsidRPr="00E61D98" w14:paraId="098A031E"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0265649E" w14:textId="77777777" w:rsidR="00A7006C" w:rsidRPr="00E61D98" w:rsidRDefault="00A7006C" w:rsidP="00A7006C">
            <w:pPr>
              <w:rPr>
                <w:rFonts w:eastAsia="Calibri" w:cs="Arial"/>
              </w:rPr>
            </w:pPr>
            <w:r w:rsidRPr="00E61D98">
              <w:rPr>
                <w:rFonts w:eastAsia="Calibri" w:cs="Arial"/>
              </w:rPr>
              <w:t>3.23.1 Exec summary</w:t>
            </w:r>
          </w:p>
        </w:tc>
        <w:tc>
          <w:tcPr>
            <w:tcW w:w="1097" w:type="dxa"/>
          </w:tcPr>
          <w:p w14:paraId="06D1AD16"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Foreword</w:t>
            </w:r>
          </w:p>
        </w:tc>
        <w:tc>
          <w:tcPr>
            <w:tcW w:w="3135" w:type="dxa"/>
          </w:tcPr>
          <w:p w14:paraId="34E9D480" w14:textId="77777777" w:rsidR="00A7006C" w:rsidRPr="00E61D98" w:rsidRDefault="00A7006C"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p8</w:t>
            </w:r>
          </w:p>
        </w:tc>
      </w:tr>
      <w:tr w:rsidR="00A7006C" w:rsidRPr="00E61D98" w14:paraId="13AD5772" w14:textId="77777777" w:rsidTr="00A7006C">
        <w:tc>
          <w:tcPr>
            <w:cnfStyle w:val="001000000000" w:firstRow="0" w:lastRow="0" w:firstColumn="1" w:lastColumn="0" w:oddVBand="0" w:evenVBand="0" w:oddHBand="0" w:evenHBand="0" w:firstRowFirstColumn="0" w:firstRowLastColumn="0" w:lastRowFirstColumn="0" w:lastRowLastColumn="0"/>
            <w:tcW w:w="4982" w:type="dxa"/>
          </w:tcPr>
          <w:p w14:paraId="0EA64B37" w14:textId="77777777" w:rsidR="00A7006C" w:rsidRPr="00E61D98" w:rsidRDefault="00A7006C" w:rsidP="00A7006C">
            <w:pPr>
              <w:rPr>
                <w:rFonts w:eastAsia="Calibri" w:cs="Arial"/>
              </w:rPr>
            </w:pPr>
            <w:r w:rsidRPr="00E61D98">
              <w:rPr>
                <w:rFonts w:eastAsia="Calibri" w:cs="Arial"/>
              </w:rPr>
              <w:t>3.23.2. Board attestation</w:t>
            </w:r>
          </w:p>
        </w:tc>
        <w:tc>
          <w:tcPr>
            <w:tcW w:w="1097" w:type="dxa"/>
          </w:tcPr>
          <w:p w14:paraId="1CA02661" w14:textId="77777777" w:rsidR="00A7006C" w:rsidRPr="00E61D98" w:rsidRDefault="00A7006C" w:rsidP="00A7006C">
            <w:pPr>
              <w:ind w:right="111"/>
              <w:jc w:val="center"/>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Foreword</w:t>
            </w:r>
          </w:p>
        </w:tc>
        <w:tc>
          <w:tcPr>
            <w:tcW w:w="3135" w:type="dxa"/>
          </w:tcPr>
          <w:p w14:paraId="46ED2B92" w14:textId="34FE3F55" w:rsidR="00A7006C" w:rsidRPr="00E61D98" w:rsidRDefault="00A7006C" w:rsidP="00A7006C">
            <w:pPr>
              <w:ind w:right="111"/>
              <w:jc w:val="right"/>
              <w:cnfStyle w:val="000000000000" w:firstRow="0" w:lastRow="0" w:firstColumn="0" w:lastColumn="0" w:oddVBand="0" w:evenVBand="0" w:oddHBand="0" w:evenHBand="0" w:firstRowFirstColumn="0" w:firstRowLastColumn="0" w:lastRowFirstColumn="0" w:lastRowLastColumn="0"/>
              <w:rPr>
                <w:rFonts w:eastAsia="Calibri" w:cs="Arial"/>
              </w:rPr>
            </w:pPr>
            <w:r w:rsidRPr="00E61D98">
              <w:rPr>
                <w:rFonts w:eastAsia="Calibri" w:cs="Arial"/>
              </w:rPr>
              <w:t>p</w:t>
            </w:r>
            <w:r w:rsidR="009C27C2">
              <w:rPr>
                <w:rFonts w:eastAsia="Calibri" w:cs="Arial"/>
              </w:rPr>
              <w:t>6</w:t>
            </w:r>
          </w:p>
        </w:tc>
      </w:tr>
      <w:tr w:rsidR="00A7006C" w:rsidRPr="00E61D98" w14:paraId="1EE1E6DF" w14:textId="77777777" w:rsidTr="00A7006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82" w:type="dxa"/>
          </w:tcPr>
          <w:p w14:paraId="7C0072A6" w14:textId="77777777" w:rsidR="00A7006C" w:rsidRPr="00E61D98" w:rsidRDefault="00A7006C" w:rsidP="00A7006C">
            <w:pPr>
              <w:rPr>
                <w:rFonts w:eastAsia="Calibri" w:cs="Arial"/>
              </w:rPr>
            </w:pPr>
            <w:r w:rsidRPr="00E61D98">
              <w:rPr>
                <w:rFonts w:eastAsia="Calibri" w:cs="Arial"/>
              </w:rPr>
              <w:t>3.23.9. Additional requirements – non prescribed services</w:t>
            </w:r>
          </w:p>
        </w:tc>
        <w:tc>
          <w:tcPr>
            <w:tcW w:w="1097" w:type="dxa"/>
          </w:tcPr>
          <w:p w14:paraId="383B3A06" w14:textId="77777777" w:rsidR="00A7006C" w:rsidRPr="00E61D98" w:rsidRDefault="00A7006C" w:rsidP="00A7006C">
            <w:pPr>
              <w:ind w:right="111"/>
              <w:jc w:val="center"/>
              <w:cnfStyle w:val="000000100000" w:firstRow="0" w:lastRow="0" w:firstColumn="0" w:lastColumn="0" w:oddVBand="0" w:evenVBand="0" w:oddHBand="1" w:evenHBand="0" w:firstRowFirstColumn="0" w:firstRowLastColumn="0" w:lastRowFirstColumn="0" w:lastRowLastColumn="0"/>
              <w:rPr>
                <w:rFonts w:eastAsia="Calibri" w:cs="Arial"/>
              </w:rPr>
            </w:pPr>
            <w:r w:rsidRPr="00E61D98">
              <w:rPr>
                <w:rFonts w:eastAsia="Calibri" w:cs="Arial"/>
              </w:rPr>
              <w:t>9</w:t>
            </w:r>
          </w:p>
        </w:tc>
        <w:tc>
          <w:tcPr>
            <w:tcW w:w="3135" w:type="dxa"/>
          </w:tcPr>
          <w:p w14:paraId="532DCB6D" w14:textId="44B8ED12" w:rsidR="00A7006C" w:rsidRPr="00E61D98" w:rsidRDefault="004931EE" w:rsidP="00A7006C">
            <w:pPr>
              <w:ind w:right="111"/>
              <w:jc w:val="right"/>
              <w:cnfStyle w:val="000000100000" w:firstRow="0" w:lastRow="0" w:firstColumn="0" w:lastColumn="0" w:oddVBand="0" w:evenVBand="0" w:oddHBand="1" w:evenHBand="0" w:firstRowFirstColumn="0" w:firstRowLastColumn="0" w:lastRowFirstColumn="0" w:lastRowLastColumn="0"/>
              <w:rPr>
                <w:rFonts w:eastAsia="Calibri" w:cs="Arial"/>
              </w:rPr>
            </w:pPr>
            <w:r>
              <w:rPr>
                <w:rFonts w:eastAsia="Calibri" w:cs="Arial"/>
              </w:rPr>
              <w:t>p100</w:t>
            </w:r>
          </w:p>
        </w:tc>
      </w:tr>
    </w:tbl>
    <w:p w14:paraId="4330237A" w14:textId="589C5CE7" w:rsidR="002E6E94" w:rsidRPr="00192F41" w:rsidRDefault="002E6E94" w:rsidP="002E6E94">
      <w:pPr>
        <w:pStyle w:val="Heading1"/>
        <w:rPr>
          <w:rStyle w:val="IntenseEmphasis"/>
          <w:rFonts w:cs="Arial"/>
          <w:i w:val="0"/>
          <w:iCs w:val="0"/>
          <w:color w:val="002B5C" w:themeColor="text2"/>
          <w:sz w:val="52"/>
        </w:rPr>
      </w:pPr>
      <w:bookmarkStart w:id="2" w:name="_Toc115263671"/>
      <w:bookmarkStart w:id="3" w:name="_Hlk107383308"/>
      <w:r w:rsidRPr="00192F41">
        <w:rPr>
          <w:rStyle w:val="IntenseEmphasis"/>
          <w:rFonts w:cs="Arial"/>
          <w:i w:val="0"/>
          <w:iCs w:val="0"/>
          <w:color w:val="002B5C" w:themeColor="text2"/>
          <w:sz w:val="52"/>
        </w:rPr>
        <w:lastRenderedPageBreak/>
        <w:t>Foreword</w:t>
      </w:r>
      <w:bookmarkEnd w:id="2"/>
    </w:p>
    <w:bookmarkEnd w:id="3"/>
    <w:p w14:paraId="28CDCC33" w14:textId="115C7946" w:rsidR="002E6E94" w:rsidRPr="00192F41" w:rsidRDefault="002E6E94" w:rsidP="005C5514">
      <w:pPr>
        <w:jc w:val="both"/>
        <w:rPr>
          <w:rStyle w:val="IntenseEmphasis"/>
          <w:rFonts w:cs="Arial"/>
          <w:i w:val="0"/>
          <w:iCs w:val="0"/>
          <w:color w:val="auto"/>
        </w:rPr>
      </w:pPr>
      <w:r w:rsidRPr="00192F41">
        <w:rPr>
          <w:rStyle w:val="IntenseEmphasis"/>
          <w:rFonts w:cs="Arial"/>
          <w:i w:val="0"/>
          <w:iCs w:val="0"/>
          <w:color w:val="auto"/>
        </w:rPr>
        <w:t xml:space="preserve">We are pleased to submit </w:t>
      </w:r>
      <w:r w:rsidR="00F1528A" w:rsidRPr="00192F41">
        <w:rPr>
          <w:rStyle w:val="IntenseEmphasis"/>
          <w:rFonts w:cs="Arial"/>
          <w:i w:val="0"/>
          <w:iCs w:val="0"/>
          <w:color w:val="auto"/>
        </w:rPr>
        <w:t>S</w:t>
      </w:r>
      <w:r w:rsidR="00DD4BBF" w:rsidRPr="00192F41">
        <w:rPr>
          <w:rStyle w:val="IntenseEmphasis"/>
          <w:rFonts w:cs="Arial"/>
          <w:i w:val="0"/>
          <w:iCs w:val="0"/>
          <w:color w:val="auto"/>
        </w:rPr>
        <w:t xml:space="preserve">outhern </w:t>
      </w:r>
      <w:r w:rsidR="00F1528A" w:rsidRPr="00192F41">
        <w:rPr>
          <w:rStyle w:val="IntenseEmphasis"/>
          <w:rFonts w:cs="Arial"/>
          <w:i w:val="0"/>
          <w:iCs w:val="0"/>
          <w:color w:val="auto"/>
        </w:rPr>
        <w:t>R</w:t>
      </w:r>
      <w:r w:rsidR="00DD4BBF" w:rsidRPr="00192F41">
        <w:rPr>
          <w:rStyle w:val="IntenseEmphasis"/>
          <w:rFonts w:cs="Arial"/>
          <w:i w:val="0"/>
          <w:iCs w:val="0"/>
          <w:color w:val="auto"/>
        </w:rPr>
        <w:t xml:space="preserve">ural </w:t>
      </w:r>
      <w:r w:rsidR="00F1528A" w:rsidRPr="00192F41">
        <w:rPr>
          <w:rStyle w:val="IntenseEmphasis"/>
          <w:rFonts w:cs="Arial"/>
          <w:i w:val="0"/>
          <w:iCs w:val="0"/>
          <w:color w:val="auto"/>
        </w:rPr>
        <w:t>W</w:t>
      </w:r>
      <w:r w:rsidR="00DD4BBF" w:rsidRPr="00192F41">
        <w:rPr>
          <w:rStyle w:val="IntenseEmphasis"/>
          <w:rFonts w:cs="Arial"/>
          <w:i w:val="0"/>
          <w:iCs w:val="0"/>
          <w:color w:val="auto"/>
        </w:rPr>
        <w:t>ater</w:t>
      </w:r>
      <w:r w:rsidR="00F1528A" w:rsidRPr="00192F41">
        <w:rPr>
          <w:rStyle w:val="IntenseEmphasis"/>
          <w:rFonts w:cs="Arial"/>
          <w:i w:val="0"/>
          <w:iCs w:val="0"/>
          <w:color w:val="auto"/>
        </w:rPr>
        <w:t xml:space="preserve">’s </w:t>
      </w:r>
      <w:r w:rsidR="00DD4BBF" w:rsidRPr="00192F41">
        <w:rPr>
          <w:rStyle w:val="IntenseEmphasis"/>
          <w:rFonts w:cs="Arial"/>
          <w:i w:val="0"/>
          <w:iCs w:val="0"/>
          <w:color w:val="auto"/>
        </w:rPr>
        <w:t>(SRW)</w:t>
      </w:r>
      <w:r w:rsidR="00F1528A" w:rsidRPr="00192F41">
        <w:rPr>
          <w:rStyle w:val="IntenseEmphasis"/>
          <w:rFonts w:cs="Arial"/>
          <w:i w:val="0"/>
          <w:iCs w:val="0"/>
          <w:color w:val="auto"/>
        </w:rPr>
        <w:t xml:space="preserve"> P</w:t>
      </w:r>
      <w:r w:rsidRPr="00192F41">
        <w:rPr>
          <w:rStyle w:val="IntenseEmphasis"/>
          <w:rFonts w:cs="Arial"/>
          <w:i w:val="0"/>
          <w:iCs w:val="0"/>
          <w:color w:val="auto"/>
        </w:rPr>
        <w:t xml:space="preserve">rice </w:t>
      </w:r>
      <w:r w:rsidR="00F1528A" w:rsidRPr="00192F41">
        <w:rPr>
          <w:rStyle w:val="IntenseEmphasis"/>
          <w:rFonts w:cs="Arial"/>
          <w:i w:val="0"/>
          <w:iCs w:val="0"/>
          <w:color w:val="auto"/>
        </w:rPr>
        <w:t>S</w:t>
      </w:r>
      <w:r w:rsidRPr="00192F41">
        <w:rPr>
          <w:rStyle w:val="IntenseEmphasis"/>
          <w:rFonts w:cs="Arial"/>
          <w:i w:val="0"/>
          <w:iCs w:val="0"/>
          <w:color w:val="auto"/>
        </w:rPr>
        <w:t>ubmission</w:t>
      </w:r>
      <w:r w:rsidR="00F1528A" w:rsidRPr="00192F41">
        <w:rPr>
          <w:rStyle w:val="IntenseEmphasis"/>
          <w:rFonts w:cs="Arial"/>
          <w:i w:val="0"/>
          <w:iCs w:val="0"/>
          <w:color w:val="auto"/>
        </w:rPr>
        <w:t xml:space="preserve"> 2023</w:t>
      </w:r>
      <w:r w:rsidRPr="00192F41">
        <w:rPr>
          <w:rStyle w:val="IntenseEmphasis"/>
          <w:rFonts w:cs="Arial"/>
          <w:i w:val="0"/>
          <w:iCs w:val="0"/>
          <w:color w:val="auto"/>
        </w:rPr>
        <w:t>, setting out our service levels and pricing for the next five</w:t>
      </w:r>
      <w:r w:rsidR="007369D0" w:rsidRPr="00192F41">
        <w:rPr>
          <w:rStyle w:val="IntenseEmphasis"/>
          <w:rFonts w:cs="Arial"/>
          <w:i w:val="0"/>
          <w:iCs w:val="0"/>
          <w:color w:val="auto"/>
        </w:rPr>
        <w:t xml:space="preserve"> </w:t>
      </w:r>
      <w:r w:rsidRPr="00192F41">
        <w:rPr>
          <w:rStyle w:val="IntenseEmphasis"/>
          <w:rFonts w:cs="Arial"/>
          <w:i w:val="0"/>
          <w:iCs w:val="0"/>
          <w:color w:val="auto"/>
        </w:rPr>
        <w:t xml:space="preserve">years. </w:t>
      </w:r>
    </w:p>
    <w:p w14:paraId="7106CF5A" w14:textId="1A326E2A" w:rsidR="008314CF" w:rsidRPr="00192F41" w:rsidRDefault="008314CF" w:rsidP="005C5514">
      <w:pPr>
        <w:jc w:val="both"/>
        <w:rPr>
          <w:rFonts w:cs="Arial"/>
        </w:rPr>
      </w:pPr>
      <w:r w:rsidRPr="00192F41">
        <w:rPr>
          <w:rFonts w:cs="Arial"/>
        </w:rPr>
        <w:t>We are committed to provid</w:t>
      </w:r>
      <w:r w:rsidR="00820BCE" w:rsidRPr="00192F41">
        <w:rPr>
          <w:rFonts w:cs="Arial"/>
        </w:rPr>
        <w:t>ing</w:t>
      </w:r>
      <w:r w:rsidRPr="00192F41">
        <w:rPr>
          <w:rFonts w:cs="Arial"/>
        </w:rPr>
        <w:t xml:space="preserve"> great value to our customers</w:t>
      </w:r>
      <w:r w:rsidR="005C4579">
        <w:rPr>
          <w:rFonts w:cs="Arial"/>
        </w:rPr>
        <w:t xml:space="preserve"> and community</w:t>
      </w:r>
      <w:r w:rsidRPr="00192F41">
        <w:rPr>
          <w:rFonts w:cs="Arial"/>
        </w:rPr>
        <w:t xml:space="preserve">. </w:t>
      </w:r>
      <w:r w:rsidR="00E827FE" w:rsidRPr="00192F41">
        <w:rPr>
          <w:rFonts w:cs="Arial"/>
        </w:rPr>
        <w:t xml:space="preserve">During the past 15 years, SRW has invested in large capital-intensive modernisation works in each irrigation district. </w:t>
      </w:r>
      <w:r w:rsidR="00A93C75" w:rsidRPr="00192F41">
        <w:rPr>
          <w:rFonts w:cs="Arial"/>
        </w:rPr>
        <w:t>This has</w:t>
      </w:r>
      <w:r w:rsidRPr="00192F41">
        <w:rPr>
          <w:rFonts w:cs="Arial"/>
        </w:rPr>
        <w:t xml:space="preserve"> creat</w:t>
      </w:r>
      <w:r w:rsidR="00A93C75" w:rsidRPr="00192F41">
        <w:rPr>
          <w:rFonts w:cs="Arial"/>
        </w:rPr>
        <w:t>ed</w:t>
      </w:r>
      <w:r w:rsidRPr="00192F41">
        <w:rPr>
          <w:rFonts w:cs="Arial"/>
        </w:rPr>
        <w:t xml:space="preserve"> opportunities for customers to increase efficiencies, expand profitability and generate state-wide employment benefits. </w:t>
      </w:r>
      <w:r w:rsidR="009F24AC" w:rsidRPr="00192F41">
        <w:rPr>
          <w:rFonts w:cs="Arial"/>
        </w:rPr>
        <w:t xml:space="preserve">It has </w:t>
      </w:r>
      <w:r w:rsidRPr="00192F41">
        <w:rPr>
          <w:rFonts w:cs="Arial"/>
        </w:rPr>
        <w:t xml:space="preserve">resulted in significant uplift in </w:t>
      </w:r>
      <w:r w:rsidR="009F24AC" w:rsidRPr="00192F41">
        <w:rPr>
          <w:rFonts w:cs="Arial"/>
        </w:rPr>
        <w:t xml:space="preserve">water supply </w:t>
      </w:r>
      <w:r w:rsidRPr="00192F41">
        <w:rPr>
          <w:rFonts w:cs="Arial"/>
        </w:rPr>
        <w:t xml:space="preserve">reliability, which means customers have </w:t>
      </w:r>
      <w:r w:rsidR="009F24AC" w:rsidRPr="00192F41">
        <w:rPr>
          <w:rFonts w:cs="Arial"/>
        </w:rPr>
        <w:t xml:space="preserve">been able to </w:t>
      </w:r>
      <w:r w:rsidRPr="00192F41">
        <w:rPr>
          <w:rFonts w:cs="Arial"/>
        </w:rPr>
        <w:t>increase on-farm productivity and are better able to remain profitable during dry periods.</w:t>
      </w:r>
      <w:r w:rsidR="004D1549">
        <w:rPr>
          <w:rFonts w:cs="Arial"/>
        </w:rPr>
        <w:t xml:space="preserve"> This investment is continuing into this next pricing period with further works in the Macalister and Werribee </w:t>
      </w:r>
      <w:r w:rsidR="00356441">
        <w:rPr>
          <w:rFonts w:cs="Arial"/>
        </w:rPr>
        <w:t>i</w:t>
      </w:r>
      <w:r w:rsidR="004D1549">
        <w:rPr>
          <w:rFonts w:cs="Arial"/>
        </w:rPr>
        <w:t xml:space="preserve">rrigation </w:t>
      </w:r>
      <w:r w:rsidR="00356441">
        <w:rPr>
          <w:rFonts w:cs="Arial"/>
        </w:rPr>
        <w:t>d</w:t>
      </w:r>
      <w:r w:rsidR="004D1549">
        <w:rPr>
          <w:rFonts w:cs="Arial"/>
        </w:rPr>
        <w:t>istricts.</w:t>
      </w:r>
    </w:p>
    <w:p w14:paraId="03FC8B2E" w14:textId="3FC00AE8" w:rsidR="007304EC" w:rsidRDefault="008314CF" w:rsidP="005C5514">
      <w:pPr>
        <w:jc w:val="both"/>
        <w:rPr>
          <w:rStyle w:val="IntenseEmphasis"/>
          <w:rFonts w:cs="Arial"/>
          <w:i w:val="0"/>
          <w:iCs w:val="0"/>
          <w:color w:val="auto"/>
        </w:rPr>
      </w:pPr>
      <w:r w:rsidRPr="00192F41">
        <w:rPr>
          <w:rFonts w:cs="Arial"/>
        </w:rPr>
        <w:t>Our investment has been carefully planned to generate long term benefits – funded in a way that is fair and sustainable.</w:t>
      </w:r>
      <w:r w:rsidR="007304EC" w:rsidRPr="007304EC">
        <w:rPr>
          <w:rStyle w:val="IntenseEmphasis"/>
          <w:rFonts w:cs="Arial"/>
          <w:i w:val="0"/>
          <w:iCs w:val="0"/>
          <w:color w:val="auto"/>
        </w:rPr>
        <w:t xml:space="preserve"> </w:t>
      </w:r>
      <w:r w:rsidR="007304EC">
        <w:rPr>
          <w:rStyle w:val="IntenseEmphasis"/>
          <w:rFonts w:cs="Arial"/>
          <w:i w:val="0"/>
          <w:iCs w:val="0"/>
          <w:color w:val="auto"/>
        </w:rPr>
        <w:t>So</w:t>
      </w:r>
      <w:r w:rsidR="00CC64A6">
        <w:rPr>
          <w:rStyle w:val="IntenseEmphasis"/>
          <w:rFonts w:cs="Arial"/>
          <w:i w:val="0"/>
          <w:iCs w:val="0"/>
          <w:color w:val="auto"/>
        </w:rPr>
        <w:t>,</w:t>
      </w:r>
      <w:r w:rsidR="007304EC">
        <w:rPr>
          <w:rStyle w:val="IntenseEmphasis"/>
          <w:rFonts w:cs="Arial"/>
          <w:i w:val="0"/>
          <w:iCs w:val="0"/>
          <w:color w:val="auto"/>
        </w:rPr>
        <w:t xml:space="preserve"> while some of our irrigation customers will see </w:t>
      </w:r>
      <w:r w:rsidR="00FB6A54">
        <w:rPr>
          <w:rStyle w:val="IntenseEmphasis"/>
          <w:rFonts w:cs="Arial"/>
          <w:i w:val="0"/>
          <w:iCs w:val="0"/>
          <w:color w:val="auto"/>
        </w:rPr>
        <w:t>limited</w:t>
      </w:r>
      <w:r w:rsidR="007304EC">
        <w:rPr>
          <w:rStyle w:val="IntenseEmphasis"/>
          <w:rFonts w:cs="Arial"/>
          <w:i w:val="0"/>
          <w:iCs w:val="0"/>
          <w:color w:val="auto"/>
        </w:rPr>
        <w:t xml:space="preserve"> price increases to help fund modernisation, m</w:t>
      </w:r>
      <w:r w:rsidR="007304EC" w:rsidRPr="005733C9">
        <w:rPr>
          <w:rStyle w:val="IntenseEmphasis"/>
          <w:rFonts w:cs="Arial"/>
          <w:i w:val="0"/>
          <w:iCs w:val="0"/>
          <w:color w:val="auto"/>
        </w:rPr>
        <w:t xml:space="preserve">ore than 86% of customers will see price increases capped at </w:t>
      </w:r>
      <w:r w:rsidR="00691118">
        <w:rPr>
          <w:rStyle w:val="IntenseEmphasis"/>
          <w:rFonts w:cs="Arial"/>
          <w:i w:val="0"/>
          <w:iCs w:val="0"/>
          <w:color w:val="auto"/>
        </w:rPr>
        <w:t>the Consumer Price Index (</w:t>
      </w:r>
      <w:r w:rsidR="007304EC" w:rsidRPr="005733C9">
        <w:rPr>
          <w:rStyle w:val="IntenseEmphasis"/>
          <w:rFonts w:cs="Arial"/>
          <w:i w:val="0"/>
          <w:iCs w:val="0"/>
          <w:color w:val="auto"/>
        </w:rPr>
        <w:t>CPI</w:t>
      </w:r>
      <w:r w:rsidR="00691118">
        <w:rPr>
          <w:rStyle w:val="IntenseEmphasis"/>
          <w:rFonts w:cs="Arial"/>
          <w:i w:val="0"/>
          <w:iCs w:val="0"/>
          <w:color w:val="auto"/>
        </w:rPr>
        <w:t>)</w:t>
      </w:r>
      <w:r w:rsidR="007304EC" w:rsidRPr="00F82275">
        <w:rPr>
          <w:rStyle w:val="IntenseEmphasis"/>
          <w:rFonts w:cs="Arial"/>
          <w:i w:val="0"/>
          <w:iCs w:val="0"/>
          <w:color w:val="auto"/>
        </w:rPr>
        <w:t>.</w:t>
      </w:r>
    </w:p>
    <w:p w14:paraId="64C247EF" w14:textId="72584138" w:rsidR="00A02207" w:rsidRPr="00192F41" w:rsidRDefault="008314CF" w:rsidP="008314CF">
      <w:pPr>
        <w:rPr>
          <w:rFonts w:cs="Arial"/>
        </w:rPr>
      </w:pPr>
      <w:r w:rsidRPr="00192F41">
        <w:rPr>
          <w:rFonts w:cs="Arial"/>
        </w:rPr>
        <w:t xml:space="preserve">Price Submission 2023 enables us to continue </w:t>
      </w:r>
      <w:r w:rsidR="00DD4BBF" w:rsidRPr="00192F41">
        <w:rPr>
          <w:rFonts w:cs="Arial"/>
        </w:rPr>
        <w:t>to</w:t>
      </w:r>
      <w:r w:rsidR="00A02207" w:rsidRPr="00192F41">
        <w:rPr>
          <w:rFonts w:cs="Arial"/>
        </w:rPr>
        <w:t>:</w:t>
      </w:r>
    </w:p>
    <w:p w14:paraId="25C8C3FC" w14:textId="1231CB84" w:rsidR="002E6E94" w:rsidRPr="00192F41" w:rsidRDefault="006B14CB" w:rsidP="00EA5936">
      <w:pPr>
        <w:pStyle w:val="Bulletpointparagraph"/>
        <w:rPr>
          <w:rStyle w:val="IntenseEmphasis"/>
          <w:rFonts w:cs="Arial"/>
          <w:i w:val="0"/>
          <w:iCs w:val="0"/>
          <w:color w:val="auto"/>
        </w:rPr>
      </w:pPr>
      <w:r w:rsidRPr="00192F41">
        <w:rPr>
          <w:rStyle w:val="IntenseEmphasis"/>
          <w:rFonts w:cs="Arial"/>
          <w:i w:val="0"/>
          <w:iCs w:val="0"/>
          <w:color w:val="auto"/>
        </w:rPr>
        <w:t>d</w:t>
      </w:r>
      <w:r w:rsidR="002E6E94" w:rsidRPr="00192F41">
        <w:rPr>
          <w:rStyle w:val="IntenseEmphasis"/>
          <w:rFonts w:cs="Arial"/>
          <w:i w:val="0"/>
          <w:iCs w:val="0"/>
          <w:color w:val="auto"/>
        </w:rPr>
        <w:t>riv</w:t>
      </w:r>
      <w:r w:rsidR="0012243A">
        <w:rPr>
          <w:rStyle w:val="IntenseEmphasis"/>
          <w:rFonts w:cs="Arial"/>
          <w:i w:val="0"/>
          <w:iCs w:val="0"/>
          <w:color w:val="auto"/>
        </w:rPr>
        <w:t>e</w:t>
      </w:r>
      <w:r w:rsidR="002E6E94" w:rsidRPr="00192F41">
        <w:rPr>
          <w:rStyle w:val="IntenseEmphasis"/>
          <w:rFonts w:cs="Arial"/>
          <w:i w:val="0"/>
          <w:iCs w:val="0"/>
          <w:color w:val="auto"/>
        </w:rPr>
        <w:t xml:space="preserve"> resilience</w:t>
      </w:r>
      <w:r w:rsidR="000C3067" w:rsidRPr="00192F41">
        <w:rPr>
          <w:rStyle w:val="IntenseEmphasis"/>
          <w:rFonts w:cs="Arial"/>
          <w:i w:val="0"/>
          <w:iCs w:val="0"/>
          <w:color w:val="auto"/>
        </w:rPr>
        <w:t>;</w:t>
      </w:r>
    </w:p>
    <w:p w14:paraId="22134E53" w14:textId="65101715"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i</w:t>
      </w:r>
      <w:r w:rsidR="002E6E94" w:rsidRPr="00192F41">
        <w:rPr>
          <w:rStyle w:val="IntenseEmphasis"/>
          <w:rFonts w:cs="Arial"/>
          <w:i w:val="0"/>
          <w:iCs w:val="0"/>
          <w:color w:val="auto"/>
        </w:rPr>
        <w:t>mprov</w:t>
      </w:r>
      <w:r w:rsidR="0012243A">
        <w:rPr>
          <w:rStyle w:val="IntenseEmphasis"/>
          <w:rFonts w:cs="Arial"/>
          <w:i w:val="0"/>
          <w:iCs w:val="0"/>
          <w:color w:val="auto"/>
        </w:rPr>
        <w:t>e</w:t>
      </w:r>
      <w:r w:rsidR="002E6E94" w:rsidRPr="00192F41">
        <w:rPr>
          <w:rStyle w:val="IntenseEmphasis"/>
          <w:rFonts w:cs="Arial"/>
          <w:i w:val="0"/>
          <w:iCs w:val="0"/>
          <w:color w:val="auto"/>
        </w:rPr>
        <w:t xml:space="preserve"> service delivery</w:t>
      </w:r>
      <w:r w:rsidR="000C3067" w:rsidRPr="00192F41">
        <w:rPr>
          <w:rStyle w:val="IntenseEmphasis"/>
          <w:rFonts w:cs="Arial"/>
          <w:i w:val="0"/>
          <w:iCs w:val="0"/>
          <w:color w:val="auto"/>
        </w:rPr>
        <w:t>;</w:t>
      </w:r>
    </w:p>
    <w:p w14:paraId="59B08D55" w14:textId="5EC395EA"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i</w:t>
      </w:r>
      <w:r w:rsidR="002E6E94" w:rsidRPr="00192F41">
        <w:rPr>
          <w:rStyle w:val="IntenseEmphasis"/>
          <w:rFonts w:cs="Arial"/>
          <w:i w:val="0"/>
          <w:iCs w:val="0"/>
          <w:color w:val="auto"/>
        </w:rPr>
        <w:t>ncreas</w:t>
      </w:r>
      <w:r w:rsidR="00DD4BBF" w:rsidRPr="00192F41">
        <w:rPr>
          <w:rStyle w:val="IntenseEmphasis"/>
          <w:rFonts w:cs="Arial"/>
          <w:i w:val="0"/>
          <w:iCs w:val="0"/>
          <w:color w:val="auto"/>
        </w:rPr>
        <w:t>e</w:t>
      </w:r>
      <w:r w:rsidR="002E6E94" w:rsidRPr="00192F41">
        <w:rPr>
          <w:rStyle w:val="IntenseEmphasis"/>
          <w:rFonts w:cs="Arial"/>
          <w:i w:val="0"/>
          <w:iCs w:val="0"/>
          <w:color w:val="auto"/>
        </w:rPr>
        <w:t xml:space="preserve"> the total </w:t>
      </w:r>
      <w:r w:rsidR="00605E25" w:rsidRPr="00192F41">
        <w:rPr>
          <w:rStyle w:val="IntenseEmphasis"/>
          <w:rFonts w:cs="Arial"/>
          <w:i w:val="0"/>
          <w:iCs w:val="0"/>
          <w:color w:val="auto"/>
        </w:rPr>
        <w:t xml:space="preserve">amount of </w:t>
      </w:r>
      <w:r w:rsidR="002E6E94" w:rsidRPr="00192F41">
        <w:rPr>
          <w:rStyle w:val="IntenseEmphasis"/>
          <w:rFonts w:cs="Arial"/>
          <w:i w:val="0"/>
          <w:iCs w:val="0"/>
          <w:color w:val="auto"/>
        </w:rPr>
        <w:t>water available for production</w:t>
      </w:r>
      <w:r w:rsidR="000C3067" w:rsidRPr="00192F41">
        <w:rPr>
          <w:rStyle w:val="IntenseEmphasis"/>
          <w:rFonts w:cs="Arial"/>
          <w:i w:val="0"/>
          <w:iCs w:val="0"/>
          <w:color w:val="auto"/>
        </w:rPr>
        <w:t>;</w:t>
      </w:r>
    </w:p>
    <w:p w14:paraId="652AE525" w14:textId="08D419FA"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f</w:t>
      </w:r>
      <w:r w:rsidR="002E6E94" w:rsidRPr="00192F41">
        <w:rPr>
          <w:rStyle w:val="IntenseEmphasis"/>
          <w:rFonts w:cs="Arial"/>
          <w:i w:val="0"/>
          <w:iCs w:val="0"/>
          <w:color w:val="auto"/>
        </w:rPr>
        <w:t>oster enhanced farm productivity</w:t>
      </w:r>
      <w:r w:rsidR="000C3067" w:rsidRPr="00192F41">
        <w:rPr>
          <w:rStyle w:val="IntenseEmphasis"/>
          <w:rFonts w:cs="Arial"/>
          <w:i w:val="0"/>
          <w:iCs w:val="0"/>
          <w:color w:val="auto"/>
        </w:rPr>
        <w:t>;</w:t>
      </w:r>
    </w:p>
    <w:p w14:paraId="39A5B287" w14:textId="4BF54C8F"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f</w:t>
      </w:r>
      <w:r w:rsidR="002E6E94" w:rsidRPr="00192F41">
        <w:rPr>
          <w:rStyle w:val="IntenseEmphasis"/>
          <w:rFonts w:cs="Arial"/>
          <w:i w:val="0"/>
          <w:iCs w:val="0"/>
          <w:color w:val="auto"/>
        </w:rPr>
        <w:t>acilitat</w:t>
      </w:r>
      <w:r w:rsidR="00DD4BBF" w:rsidRPr="00192F41">
        <w:rPr>
          <w:rStyle w:val="IntenseEmphasis"/>
          <w:rFonts w:cs="Arial"/>
          <w:i w:val="0"/>
          <w:iCs w:val="0"/>
          <w:color w:val="auto"/>
        </w:rPr>
        <w:t>e</w:t>
      </w:r>
      <w:r w:rsidR="002E6E94" w:rsidRPr="00192F41">
        <w:rPr>
          <w:rStyle w:val="IntenseEmphasis"/>
          <w:rFonts w:cs="Arial"/>
          <w:i w:val="0"/>
          <w:iCs w:val="0"/>
          <w:color w:val="auto"/>
        </w:rPr>
        <w:t xml:space="preserve"> increased agricultural output and regional economic production</w:t>
      </w:r>
      <w:r w:rsidR="000C3067" w:rsidRPr="00192F41">
        <w:rPr>
          <w:rStyle w:val="IntenseEmphasis"/>
          <w:rFonts w:cs="Arial"/>
          <w:i w:val="0"/>
          <w:iCs w:val="0"/>
          <w:color w:val="auto"/>
        </w:rPr>
        <w:t>;</w:t>
      </w:r>
    </w:p>
    <w:p w14:paraId="24BEC913" w14:textId="1790BE3F" w:rsidR="002E6E94" w:rsidRPr="00192F41" w:rsidRDefault="000355BB" w:rsidP="00EA5936">
      <w:pPr>
        <w:pStyle w:val="Bulletpointparagraph"/>
        <w:rPr>
          <w:rStyle w:val="IntenseEmphasis"/>
          <w:rFonts w:cs="Arial"/>
          <w:i w:val="0"/>
          <w:iCs w:val="0"/>
          <w:color w:val="auto"/>
        </w:rPr>
      </w:pPr>
      <w:r>
        <w:rPr>
          <w:rStyle w:val="IntenseEmphasis"/>
          <w:rFonts w:cs="Arial"/>
          <w:i w:val="0"/>
          <w:iCs w:val="0"/>
          <w:color w:val="auto"/>
        </w:rPr>
        <w:t>protect</w:t>
      </w:r>
      <w:r w:rsidR="002E6E94" w:rsidRPr="00192F41">
        <w:rPr>
          <w:rStyle w:val="IntenseEmphasis"/>
          <w:rFonts w:cs="Arial"/>
          <w:i w:val="0"/>
          <w:iCs w:val="0"/>
          <w:color w:val="auto"/>
        </w:rPr>
        <w:t xml:space="preserve"> waterway and estuarine health</w:t>
      </w:r>
      <w:r w:rsidR="000C3067" w:rsidRPr="00192F41">
        <w:rPr>
          <w:rStyle w:val="IntenseEmphasis"/>
          <w:rFonts w:cs="Arial"/>
          <w:i w:val="0"/>
          <w:iCs w:val="0"/>
          <w:color w:val="auto"/>
        </w:rPr>
        <w:t>;</w:t>
      </w:r>
    </w:p>
    <w:p w14:paraId="4634A42F" w14:textId="7D819231"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m</w:t>
      </w:r>
      <w:r w:rsidR="002E6E94" w:rsidRPr="00192F41">
        <w:rPr>
          <w:rStyle w:val="IntenseEmphasis"/>
          <w:rFonts w:cs="Arial"/>
          <w:i w:val="0"/>
          <w:iCs w:val="0"/>
          <w:color w:val="auto"/>
        </w:rPr>
        <w:t>aintain better assets</w:t>
      </w:r>
      <w:r w:rsidR="000C3067" w:rsidRPr="00192F41">
        <w:rPr>
          <w:rStyle w:val="IntenseEmphasis"/>
          <w:rFonts w:cs="Arial"/>
          <w:i w:val="0"/>
          <w:iCs w:val="0"/>
          <w:color w:val="auto"/>
        </w:rPr>
        <w:t>; and</w:t>
      </w:r>
    </w:p>
    <w:p w14:paraId="6C8B8772" w14:textId="6ED24BF9" w:rsidR="002E6E94" w:rsidRPr="00192F41" w:rsidRDefault="00F3171F" w:rsidP="00EA5936">
      <w:pPr>
        <w:pStyle w:val="Bulletpointparagraph"/>
        <w:rPr>
          <w:rStyle w:val="IntenseEmphasis"/>
          <w:rFonts w:cs="Arial"/>
          <w:i w:val="0"/>
          <w:iCs w:val="0"/>
          <w:color w:val="auto"/>
        </w:rPr>
      </w:pPr>
      <w:r w:rsidRPr="00192F41">
        <w:rPr>
          <w:rStyle w:val="IntenseEmphasis"/>
          <w:rFonts w:cs="Arial"/>
          <w:i w:val="0"/>
          <w:iCs w:val="0"/>
          <w:color w:val="auto"/>
        </w:rPr>
        <w:t>i</w:t>
      </w:r>
      <w:r w:rsidR="002E6E94" w:rsidRPr="00192F41">
        <w:rPr>
          <w:rStyle w:val="IntenseEmphasis"/>
          <w:rFonts w:cs="Arial"/>
          <w:i w:val="0"/>
          <w:iCs w:val="0"/>
          <w:color w:val="auto"/>
        </w:rPr>
        <w:t>mprov</w:t>
      </w:r>
      <w:r w:rsidR="00DD4BBF" w:rsidRPr="00192F41">
        <w:rPr>
          <w:rStyle w:val="IntenseEmphasis"/>
          <w:rFonts w:cs="Arial"/>
          <w:i w:val="0"/>
          <w:iCs w:val="0"/>
          <w:color w:val="auto"/>
        </w:rPr>
        <w:t>e</w:t>
      </w:r>
      <w:r w:rsidR="002E6E94" w:rsidRPr="00192F41">
        <w:rPr>
          <w:rStyle w:val="IntenseEmphasis"/>
          <w:rFonts w:cs="Arial"/>
          <w:i w:val="0"/>
          <w:iCs w:val="0"/>
          <w:color w:val="auto"/>
        </w:rPr>
        <w:t xml:space="preserve"> safety (reduced risk)</w:t>
      </w:r>
      <w:r w:rsidR="00E31490" w:rsidRPr="00192F41">
        <w:rPr>
          <w:rStyle w:val="IntenseEmphasis"/>
          <w:rFonts w:cs="Arial"/>
          <w:i w:val="0"/>
          <w:iCs w:val="0"/>
          <w:color w:val="auto"/>
        </w:rPr>
        <w:t>.</w:t>
      </w:r>
    </w:p>
    <w:p w14:paraId="3FD82197" w14:textId="77777777" w:rsidR="002E6E94" w:rsidRPr="00192F41" w:rsidRDefault="002E6E94" w:rsidP="00EA5936">
      <w:pPr>
        <w:rPr>
          <w:rStyle w:val="IntenseEmphasis"/>
          <w:rFonts w:cs="Arial"/>
          <w:i w:val="0"/>
          <w:iCs w:val="0"/>
          <w:color w:val="auto"/>
        </w:rPr>
      </w:pPr>
      <w:r w:rsidRPr="00192F41">
        <w:rPr>
          <w:rStyle w:val="IntenseEmphasis"/>
          <w:rFonts w:cs="Arial"/>
          <w:i w:val="0"/>
          <w:iCs w:val="0"/>
          <w:color w:val="auto"/>
        </w:rPr>
        <w:t>In parallel we will continue our important work to:</w:t>
      </w:r>
    </w:p>
    <w:p w14:paraId="07EEBED4" w14:textId="472DB04B" w:rsidR="008A4963" w:rsidRDefault="008A4963" w:rsidP="00EA5936">
      <w:pPr>
        <w:pStyle w:val="Bulletpointparagraph"/>
        <w:rPr>
          <w:rStyle w:val="IntenseEmphasis"/>
          <w:rFonts w:cs="Arial"/>
          <w:i w:val="0"/>
          <w:iCs w:val="0"/>
          <w:color w:val="auto"/>
        </w:rPr>
      </w:pPr>
      <w:r>
        <w:rPr>
          <w:rStyle w:val="IntenseEmphasis"/>
          <w:rFonts w:cs="Arial"/>
          <w:i w:val="0"/>
          <w:iCs w:val="0"/>
          <w:color w:val="auto"/>
        </w:rPr>
        <w:t xml:space="preserve">continue to modernise assets in the Macalister and Werribee </w:t>
      </w:r>
      <w:r w:rsidR="000D7B88">
        <w:rPr>
          <w:rStyle w:val="IntenseEmphasis"/>
          <w:rFonts w:cs="Arial"/>
          <w:i w:val="0"/>
          <w:iCs w:val="0"/>
          <w:color w:val="auto"/>
        </w:rPr>
        <w:t>d</w:t>
      </w:r>
      <w:r>
        <w:rPr>
          <w:rStyle w:val="IntenseEmphasis"/>
          <w:rFonts w:cs="Arial"/>
          <w:i w:val="0"/>
          <w:iCs w:val="0"/>
          <w:color w:val="auto"/>
        </w:rPr>
        <w:t>istricts</w:t>
      </w:r>
      <w:r w:rsidR="008C4F5C">
        <w:rPr>
          <w:rStyle w:val="IntenseEmphasis"/>
          <w:rFonts w:cs="Arial"/>
          <w:i w:val="0"/>
          <w:iCs w:val="0"/>
          <w:color w:val="auto"/>
        </w:rPr>
        <w:t>;</w:t>
      </w:r>
    </w:p>
    <w:p w14:paraId="618D7D63" w14:textId="5EF8C01B" w:rsidR="002E6E94" w:rsidRPr="00192F41" w:rsidRDefault="002E6E94" w:rsidP="00EA5936">
      <w:pPr>
        <w:pStyle w:val="Bulletpointparagraph"/>
        <w:rPr>
          <w:rStyle w:val="IntenseEmphasis"/>
          <w:rFonts w:cs="Arial"/>
          <w:i w:val="0"/>
          <w:iCs w:val="0"/>
          <w:color w:val="auto"/>
        </w:rPr>
      </w:pPr>
      <w:r w:rsidRPr="00192F41">
        <w:rPr>
          <w:rStyle w:val="IntenseEmphasis"/>
          <w:rFonts w:cs="Arial"/>
          <w:i w:val="0"/>
          <w:iCs w:val="0"/>
          <w:color w:val="auto"/>
        </w:rPr>
        <w:t>maintain our assets and work with private dam owners, to facilitate dam safety across southern Victoria</w:t>
      </w:r>
      <w:r w:rsidR="000C3067" w:rsidRPr="00192F41">
        <w:rPr>
          <w:rStyle w:val="IntenseEmphasis"/>
          <w:rFonts w:cs="Arial"/>
          <w:i w:val="0"/>
          <w:iCs w:val="0"/>
          <w:color w:val="auto"/>
        </w:rPr>
        <w:t>;</w:t>
      </w:r>
    </w:p>
    <w:p w14:paraId="0C102F83" w14:textId="7ED7FB14" w:rsidR="002E6E94" w:rsidRPr="00192F41" w:rsidRDefault="002E6E94" w:rsidP="00EA5936">
      <w:pPr>
        <w:pStyle w:val="Bulletpointparagraph"/>
        <w:rPr>
          <w:rStyle w:val="IntenseEmphasis"/>
          <w:rFonts w:cs="Arial"/>
          <w:i w:val="0"/>
          <w:iCs w:val="0"/>
          <w:color w:val="auto"/>
        </w:rPr>
      </w:pPr>
      <w:r w:rsidRPr="00192F41">
        <w:rPr>
          <w:rStyle w:val="IntenseEmphasis"/>
          <w:rFonts w:cs="Arial"/>
          <w:i w:val="0"/>
          <w:iCs w:val="0"/>
          <w:color w:val="auto"/>
        </w:rPr>
        <w:t>pursue our goal of net zero carbon emissions by 2025</w:t>
      </w:r>
      <w:r w:rsidR="000C3067" w:rsidRPr="00192F41">
        <w:rPr>
          <w:rStyle w:val="IntenseEmphasis"/>
          <w:rFonts w:cs="Arial"/>
          <w:i w:val="0"/>
          <w:iCs w:val="0"/>
          <w:color w:val="auto"/>
        </w:rPr>
        <w:t xml:space="preserve">; </w:t>
      </w:r>
    </w:p>
    <w:p w14:paraId="03B353B7" w14:textId="15D32F36" w:rsidR="002D6807" w:rsidRPr="00192F41" w:rsidRDefault="002E6E94" w:rsidP="00EA5936">
      <w:pPr>
        <w:pStyle w:val="Bulletpointparagraph"/>
        <w:rPr>
          <w:rStyle w:val="IntenseEmphasis"/>
          <w:rFonts w:cs="Arial"/>
          <w:i w:val="0"/>
          <w:iCs w:val="0"/>
          <w:color w:val="auto"/>
        </w:rPr>
      </w:pPr>
      <w:r w:rsidRPr="00192F41">
        <w:rPr>
          <w:rStyle w:val="IntenseEmphasis"/>
          <w:rFonts w:cs="Arial"/>
          <w:i w:val="0"/>
          <w:iCs w:val="0"/>
          <w:color w:val="auto"/>
        </w:rPr>
        <w:t>foster community wellbeing through the provision of recreation facilities</w:t>
      </w:r>
      <w:r w:rsidR="002D6807" w:rsidRPr="00192F41">
        <w:rPr>
          <w:rStyle w:val="IntenseEmphasis"/>
          <w:rFonts w:cs="Arial"/>
          <w:i w:val="0"/>
          <w:iCs w:val="0"/>
          <w:color w:val="auto"/>
        </w:rPr>
        <w:t>; and</w:t>
      </w:r>
    </w:p>
    <w:p w14:paraId="63FB6152" w14:textId="205A68E6" w:rsidR="002E6E94" w:rsidRPr="00192F41" w:rsidRDefault="002D6807" w:rsidP="00EA5936">
      <w:pPr>
        <w:pStyle w:val="Bulletpointparagraph"/>
        <w:rPr>
          <w:rStyle w:val="IntenseEmphasis"/>
          <w:rFonts w:cs="Arial"/>
          <w:i w:val="0"/>
          <w:iCs w:val="0"/>
          <w:color w:val="auto"/>
        </w:rPr>
      </w:pPr>
      <w:r w:rsidRPr="00192F41">
        <w:rPr>
          <w:rStyle w:val="IntenseEmphasis"/>
          <w:rFonts w:cs="Arial"/>
          <w:i w:val="0"/>
          <w:iCs w:val="0"/>
          <w:color w:val="auto"/>
        </w:rPr>
        <w:t xml:space="preserve">help reconnect </w:t>
      </w:r>
      <w:r w:rsidR="009B6D7D" w:rsidRPr="00192F41">
        <w:rPr>
          <w:rStyle w:val="IntenseEmphasis"/>
          <w:rFonts w:cs="Arial"/>
          <w:i w:val="0"/>
          <w:iCs w:val="0"/>
          <w:color w:val="auto"/>
        </w:rPr>
        <w:t>A</w:t>
      </w:r>
      <w:r w:rsidRPr="00192F41">
        <w:rPr>
          <w:rStyle w:val="IntenseEmphasis"/>
          <w:rFonts w:cs="Arial"/>
          <w:i w:val="0"/>
          <w:iCs w:val="0"/>
          <w:color w:val="auto"/>
        </w:rPr>
        <w:t>boriginal communities to water for cultural, economic, customary</w:t>
      </w:r>
      <w:r w:rsidR="00A55F5D" w:rsidRPr="00F82275">
        <w:rPr>
          <w:rStyle w:val="IntenseEmphasis"/>
          <w:rFonts w:cs="Arial"/>
          <w:i w:val="0"/>
          <w:iCs w:val="0"/>
          <w:color w:val="auto"/>
        </w:rPr>
        <w:t>,</w:t>
      </w:r>
      <w:r w:rsidRPr="00192F41">
        <w:rPr>
          <w:rStyle w:val="IntenseEmphasis"/>
          <w:rFonts w:cs="Arial"/>
          <w:i w:val="0"/>
          <w:iCs w:val="0"/>
          <w:color w:val="auto"/>
        </w:rPr>
        <w:t xml:space="preserve"> and spiritual purposes.</w:t>
      </w:r>
    </w:p>
    <w:p w14:paraId="3DD1717D" w14:textId="6B4A4C07" w:rsidR="002E6E94" w:rsidRPr="00192F41" w:rsidRDefault="002E6E94" w:rsidP="005C5514">
      <w:pPr>
        <w:jc w:val="both"/>
        <w:rPr>
          <w:rStyle w:val="IntenseEmphasis"/>
          <w:rFonts w:cs="Arial"/>
          <w:color w:val="auto"/>
        </w:rPr>
      </w:pPr>
      <w:r w:rsidRPr="00192F41">
        <w:rPr>
          <w:rStyle w:val="IntenseEmphasis"/>
          <w:rFonts w:cs="Arial"/>
          <w:i w:val="0"/>
          <w:iCs w:val="0"/>
          <w:color w:val="auto"/>
        </w:rPr>
        <w:t xml:space="preserve">We look forward to working alongside our customers, stakeholders, </w:t>
      </w:r>
      <w:r w:rsidR="002D2A12" w:rsidRPr="00192F41">
        <w:rPr>
          <w:rStyle w:val="IntenseEmphasis"/>
          <w:rFonts w:cs="Arial"/>
          <w:i w:val="0"/>
          <w:iCs w:val="0"/>
          <w:color w:val="auto"/>
        </w:rPr>
        <w:t>community,</w:t>
      </w:r>
      <w:r w:rsidRPr="00192F41">
        <w:rPr>
          <w:rStyle w:val="IntenseEmphasis"/>
          <w:rFonts w:cs="Arial"/>
          <w:i w:val="0"/>
          <w:iCs w:val="0"/>
          <w:color w:val="auto"/>
        </w:rPr>
        <w:t xml:space="preserve"> and government to bring this plan to fruition, delivering</w:t>
      </w:r>
      <w:r w:rsidR="002D6807" w:rsidRPr="00192F41">
        <w:rPr>
          <w:rStyle w:val="IntenseEmphasis"/>
          <w:rFonts w:cs="Arial"/>
          <w:i w:val="0"/>
          <w:iCs w:val="0"/>
          <w:color w:val="auto"/>
        </w:rPr>
        <w:t xml:space="preserve"> </w:t>
      </w:r>
      <w:r w:rsidR="00D732E8" w:rsidRPr="00192F41">
        <w:rPr>
          <w:rStyle w:val="IntenseEmphasis"/>
          <w:rFonts w:cs="Arial"/>
          <w:color w:val="auto"/>
        </w:rPr>
        <w:t>g</w:t>
      </w:r>
      <w:r w:rsidR="002D6807" w:rsidRPr="00192F41">
        <w:rPr>
          <w:rStyle w:val="IntenseEmphasis"/>
          <w:rFonts w:cs="Arial"/>
          <w:color w:val="auto"/>
        </w:rPr>
        <w:t>reat value for customers and community through excellence in rural water management</w:t>
      </w:r>
      <w:r w:rsidR="00725BD1" w:rsidRPr="00192F41">
        <w:rPr>
          <w:rStyle w:val="IntenseEmphasis"/>
          <w:rFonts w:cs="Arial"/>
          <w:color w:val="aut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000124" w:rsidRPr="00192F41" w14:paraId="23D34E08" w14:textId="77777777" w:rsidTr="00855BAA">
        <w:tc>
          <w:tcPr>
            <w:tcW w:w="4814" w:type="dxa"/>
          </w:tcPr>
          <w:p w14:paraId="4EC2CD0D" w14:textId="77777777" w:rsidR="007E0966" w:rsidRDefault="007E0966" w:rsidP="007E0966">
            <w:pPr>
              <w:tabs>
                <w:tab w:val="left" w:pos="975"/>
              </w:tabs>
              <w:rPr>
                <w:rStyle w:val="IntenseEmphasis"/>
                <w:rFonts w:cs="Arial"/>
                <w:color w:val="auto"/>
              </w:rPr>
            </w:pPr>
          </w:p>
          <w:p w14:paraId="3B6FE9FF" w14:textId="77777777" w:rsidR="007E0966" w:rsidRDefault="007E0966" w:rsidP="007E0966">
            <w:pPr>
              <w:tabs>
                <w:tab w:val="left" w:pos="975"/>
              </w:tabs>
              <w:rPr>
                <w:rStyle w:val="IntenseEmphasis"/>
                <w:rFonts w:cs="Arial"/>
              </w:rPr>
            </w:pPr>
          </w:p>
          <w:p w14:paraId="30AA099B" w14:textId="77777777" w:rsidR="007E0966" w:rsidRDefault="007E0966" w:rsidP="007E0966">
            <w:pPr>
              <w:tabs>
                <w:tab w:val="left" w:pos="975"/>
              </w:tabs>
              <w:rPr>
                <w:rStyle w:val="IntenseEmphasis"/>
                <w:rFonts w:cs="Arial"/>
              </w:rPr>
            </w:pPr>
          </w:p>
          <w:p w14:paraId="4806B012" w14:textId="77777777" w:rsidR="007E0966" w:rsidRDefault="007E0966" w:rsidP="007E0966">
            <w:pPr>
              <w:tabs>
                <w:tab w:val="left" w:pos="975"/>
              </w:tabs>
              <w:rPr>
                <w:rStyle w:val="IntenseEmphasis"/>
                <w:rFonts w:cs="Arial"/>
              </w:rPr>
            </w:pPr>
          </w:p>
          <w:p w14:paraId="33D31AE6" w14:textId="063F5E06" w:rsidR="007E0966" w:rsidRPr="00F82275" w:rsidRDefault="007E0966" w:rsidP="007E0966">
            <w:pPr>
              <w:tabs>
                <w:tab w:val="left" w:pos="975"/>
              </w:tabs>
              <w:rPr>
                <w:rStyle w:val="IntenseEmphasis"/>
                <w:rFonts w:cs="Arial"/>
                <w:color w:val="auto"/>
              </w:rPr>
            </w:pPr>
          </w:p>
        </w:tc>
        <w:tc>
          <w:tcPr>
            <w:tcW w:w="4814" w:type="dxa"/>
          </w:tcPr>
          <w:p w14:paraId="0A7ACB3B" w14:textId="77777777" w:rsidR="00000124" w:rsidRPr="00F82275" w:rsidRDefault="00000124" w:rsidP="00855BAA">
            <w:pPr>
              <w:rPr>
                <w:rStyle w:val="IntenseEmphasis"/>
                <w:rFonts w:cs="Arial"/>
                <w:color w:val="auto"/>
              </w:rPr>
            </w:pPr>
          </w:p>
        </w:tc>
      </w:tr>
      <w:tr w:rsidR="007E0966" w:rsidRPr="00192F41" w14:paraId="2594DD91" w14:textId="77777777" w:rsidTr="00855BAA">
        <w:tc>
          <w:tcPr>
            <w:tcW w:w="4814" w:type="dxa"/>
          </w:tcPr>
          <w:p w14:paraId="53F79472" w14:textId="77777777" w:rsidR="007E0966" w:rsidRPr="00192F41" w:rsidRDefault="007E0966" w:rsidP="007E0966">
            <w:pPr>
              <w:rPr>
                <w:rStyle w:val="IntenseEmphasis"/>
                <w:rFonts w:cs="Arial"/>
                <w:i w:val="0"/>
                <w:iCs w:val="0"/>
                <w:color w:val="auto"/>
              </w:rPr>
            </w:pPr>
            <w:r w:rsidRPr="00192F41">
              <w:rPr>
                <w:rStyle w:val="IntenseEmphasis"/>
                <w:rFonts w:cs="Arial"/>
                <w:i w:val="0"/>
                <w:iCs w:val="0"/>
                <w:color w:val="auto"/>
              </w:rPr>
              <w:t>Joanne Butterworth-Gray</w:t>
            </w:r>
          </w:p>
          <w:p w14:paraId="574259CD" w14:textId="5C06AA69" w:rsidR="007E0966" w:rsidRPr="00192F41" w:rsidRDefault="007E0966" w:rsidP="007E0966">
            <w:pPr>
              <w:rPr>
                <w:rStyle w:val="IntenseEmphasis"/>
                <w:rFonts w:cs="Arial"/>
                <w:i w:val="0"/>
                <w:iCs w:val="0"/>
                <w:color w:val="auto"/>
              </w:rPr>
            </w:pPr>
            <w:r w:rsidRPr="00192F41">
              <w:rPr>
                <w:rStyle w:val="IntenseEmphasis"/>
                <w:rFonts w:cs="Arial"/>
                <w:i w:val="0"/>
                <w:iCs w:val="0"/>
              </w:rPr>
              <w:t>Chair</w:t>
            </w:r>
          </w:p>
        </w:tc>
        <w:tc>
          <w:tcPr>
            <w:tcW w:w="4814" w:type="dxa"/>
          </w:tcPr>
          <w:p w14:paraId="06C4658D" w14:textId="77777777" w:rsidR="007E0966" w:rsidRPr="00192F41" w:rsidRDefault="007E0966" w:rsidP="007E0966">
            <w:pPr>
              <w:rPr>
                <w:rStyle w:val="IntenseEmphasis"/>
                <w:rFonts w:cs="Arial"/>
                <w:i w:val="0"/>
                <w:iCs w:val="0"/>
                <w:color w:val="auto"/>
              </w:rPr>
            </w:pPr>
            <w:r w:rsidRPr="00192F41">
              <w:rPr>
                <w:rStyle w:val="IntenseEmphasis"/>
                <w:rFonts w:cs="Arial"/>
                <w:i w:val="0"/>
                <w:iCs w:val="0"/>
                <w:color w:val="auto"/>
              </w:rPr>
              <w:t>Cameron FitzGerald</w:t>
            </w:r>
          </w:p>
          <w:p w14:paraId="377878D0" w14:textId="77777777" w:rsidR="007E0966" w:rsidRDefault="007E0966" w:rsidP="007E0966">
            <w:pPr>
              <w:rPr>
                <w:rStyle w:val="IntenseEmphasis"/>
                <w:rFonts w:cs="Arial"/>
                <w:i w:val="0"/>
                <w:iCs w:val="0"/>
              </w:rPr>
            </w:pPr>
            <w:r w:rsidRPr="00192F41">
              <w:rPr>
                <w:rStyle w:val="IntenseEmphasis"/>
                <w:rFonts w:cs="Arial"/>
                <w:i w:val="0"/>
                <w:iCs w:val="0"/>
              </w:rPr>
              <w:t>Managing Director</w:t>
            </w:r>
          </w:p>
          <w:p w14:paraId="58BEAA37" w14:textId="32BECAB6" w:rsidR="007E0966" w:rsidRPr="00192F41" w:rsidRDefault="007E0966" w:rsidP="007E0966">
            <w:pPr>
              <w:rPr>
                <w:rStyle w:val="IntenseEmphasis"/>
                <w:rFonts w:cs="Arial"/>
                <w:i w:val="0"/>
                <w:iCs w:val="0"/>
                <w:color w:val="auto"/>
              </w:rPr>
            </w:pPr>
          </w:p>
        </w:tc>
      </w:tr>
    </w:tbl>
    <w:p w14:paraId="5B47F454" w14:textId="3F97C0A9" w:rsidR="009B0490" w:rsidRPr="00E900B9" w:rsidRDefault="002E6E94" w:rsidP="009B0490">
      <w:pPr>
        <w:pStyle w:val="Heading1"/>
        <w:rPr>
          <w:rStyle w:val="IntenseEmphasis"/>
          <w:i w:val="0"/>
          <w:color w:val="002B5C" w:themeColor="text2"/>
          <w:sz w:val="52"/>
        </w:rPr>
      </w:pPr>
      <w:bookmarkStart w:id="4" w:name="_Toc115263672"/>
      <w:r w:rsidRPr="00E900B9">
        <w:rPr>
          <w:rStyle w:val="IntenseEmphasis"/>
          <w:i w:val="0"/>
          <w:color w:val="002B5C" w:themeColor="text2"/>
          <w:sz w:val="52"/>
        </w:rPr>
        <w:lastRenderedPageBreak/>
        <w:t>Board assurance</w:t>
      </w:r>
      <w:bookmarkEnd w:id="4"/>
    </w:p>
    <w:p w14:paraId="7275346C" w14:textId="5AFB75EF" w:rsidR="009B0490" w:rsidRPr="00631F07" w:rsidRDefault="009B0490" w:rsidP="00FC7C69">
      <w:pPr>
        <w:jc w:val="both"/>
        <w:rPr>
          <w:rStyle w:val="IntenseEmphasis"/>
          <w:rFonts w:cs="Arial"/>
          <w:i w:val="0"/>
          <w:color w:val="auto"/>
        </w:rPr>
      </w:pPr>
      <w:r w:rsidRPr="00631F07">
        <w:rPr>
          <w:rStyle w:val="IntenseEmphasis"/>
          <w:rFonts w:cs="Arial"/>
          <w:i w:val="0"/>
          <w:color w:val="auto"/>
        </w:rPr>
        <w:t xml:space="preserve">As at </w:t>
      </w:r>
      <w:r w:rsidR="002172B3">
        <w:rPr>
          <w:rStyle w:val="IntenseEmphasis"/>
          <w:rFonts w:cs="Arial"/>
          <w:i w:val="0"/>
          <w:color w:val="auto"/>
        </w:rPr>
        <w:t>19</w:t>
      </w:r>
      <w:r w:rsidR="004A1C98" w:rsidRPr="00631F07">
        <w:rPr>
          <w:rStyle w:val="IntenseEmphasis"/>
          <w:rFonts w:cs="Arial"/>
          <w:i w:val="0"/>
          <w:color w:val="auto"/>
        </w:rPr>
        <w:t xml:space="preserve"> </w:t>
      </w:r>
      <w:r w:rsidRPr="00631F07">
        <w:rPr>
          <w:rStyle w:val="IntenseEmphasis"/>
          <w:rFonts w:cs="Arial"/>
          <w:i w:val="0"/>
          <w:color w:val="auto"/>
        </w:rPr>
        <w:t xml:space="preserve">September 2022, the directors of Southern Rural Water, having made such reasonable </w:t>
      </w:r>
      <w:r w:rsidR="006B7B72">
        <w:rPr>
          <w:rStyle w:val="IntenseEmphasis"/>
          <w:rFonts w:cs="Arial"/>
          <w:i w:val="0"/>
          <w:color w:val="auto"/>
        </w:rPr>
        <w:t>i</w:t>
      </w:r>
      <w:r w:rsidRPr="00F82275">
        <w:rPr>
          <w:rStyle w:val="IntenseEmphasis"/>
          <w:rFonts w:cs="Arial"/>
          <w:i w:val="0"/>
          <w:iCs w:val="0"/>
          <w:color w:val="auto"/>
        </w:rPr>
        <w:t>nquir</w:t>
      </w:r>
      <w:r w:rsidR="00DB3A01">
        <w:rPr>
          <w:rStyle w:val="IntenseEmphasis"/>
          <w:rFonts w:cs="Arial"/>
          <w:i w:val="0"/>
          <w:color w:val="auto"/>
        </w:rPr>
        <w:t>i</w:t>
      </w:r>
      <w:r w:rsidRPr="00F82275">
        <w:rPr>
          <w:rStyle w:val="IntenseEmphasis"/>
          <w:rFonts w:cs="Arial"/>
          <w:i w:val="0"/>
          <w:iCs w:val="0"/>
          <w:color w:val="auto"/>
        </w:rPr>
        <w:t>es</w:t>
      </w:r>
      <w:r w:rsidRPr="00631F07">
        <w:rPr>
          <w:rStyle w:val="IntenseEmphasis"/>
          <w:rFonts w:cs="Arial"/>
          <w:i w:val="0"/>
          <w:color w:val="auto"/>
        </w:rPr>
        <w:t xml:space="preserve"> of management as we considered necessary (or having satisfied ourselves that we have no query), attest that, to the best of our knowledge, for the purpose of proposing prices for the Essential Services Commission’s 2023 Price Submission:</w:t>
      </w:r>
    </w:p>
    <w:p w14:paraId="15690162" w14:textId="77777777" w:rsidR="009B0490" w:rsidRPr="00631F07" w:rsidRDefault="009B0490" w:rsidP="00AF0CFB">
      <w:pPr>
        <w:pStyle w:val="Bulletpointparagraph"/>
        <w:rPr>
          <w:rStyle w:val="IntenseEmphasis"/>
          <w:rFonts w:cs="Arial"/>
          <w:i w:val="0"/>
          <w:color w:val="auto"/>
        </w:rPr>
      </w:pPr>
      <w:r w:rsidRPr="00631F07">
        <w:rPr>
          <w:rStyle w:val="IntenseEmphasis"/>
          <w:rFonts w:cs="Arial"/>
          <w:i w:val="0"/>
          <w:color w:val="auto"/>
        </w:rPr>
        <w:t>Information and documentation provided in the price submission and relied upon to support Southern Rural Water’s price submission is reasonably based, complete and accurate in all material respects.</w:t>
      </w:r>
    </w:p>
    <w:p w14:paraId="7866C0AC" w14:textId="77777777" w:rsidR="009B0490" w:rsidRPr="00631F07" w:rsidRDefault="009B0490" w:rsidP="00AF0CFB">
      <w:pPr>
        <w:pStyle w:val="Bulletpointparagraph"/>
        <w:rPr>
          <w:rStyle w:val="IntenseEmphasis"/>
          <w:rFonts w:cs="Arial"/>
          <w:i w:val="0"/>
          <w:color w:val="auto"/>
        </w:rPr>
      </w:pPr>
      <w:r w:rsidRPr="00631F07">
        <w:rPr>
          <w:rStyle w:val="IntenseEmphasis"/>
          <w:rFonts w:cs="Arial"/>
          <w:i w:val="0"/>
          <w:color w:val="auto"/>
        </w:rPr>
        <w:t>Financial and demand forecasts are the business’s best estimates and supporting information is available to justify the assumptions and methodologies used.</w:t>
      </w:r>
    </w:p>
    <w:p w14:paraId="18FA8FE8" w14:textId="1494F016" w:rsidR="009B0490" w:rsidRPr="00631F07" w:rsidRDefault="009B0490" w:rsidP="00AF0CFB">
      <w:pPr>
        <w:pStyle w:val="Bulletpointparagraph"/>
        <w:rPr>
          <w:rStyle w:val="IntenseEmphasis"/>
          <w:rFonts w:cs="Arial"/>
          <w:i w:val="0"/>
          <w:color w:val="auto"/>
        </w:rPr>
      </w:pPr>
      <w:r w:rsidRPr="00631F07">
        <w:rPr>
          <w:rStyle w:val="IntenseEmphasis"/>
          <w:rFonts w:cs="Arial"/>
          <w:i w:val="0"/>
          <w:color w:val="auto"/>
        </w:rPr>
        <w:t xml:space="preserve">The price submission satisfies the requirements of the </w:t>
      </w:r>
      <w:bookmarkStart w:id="5" w:name="_Hlk107568458"/>
      <w:r w:rsidRPr="00631F07">
        <w:rPr>
          <w:rStyle w:val="IntenseEmphasis"/>
          <w:rFonts w:cs="Arial"/>
          <w:i w:val="0"/>
          <w:color w:val="auto"/>
        </w:rPr>
        <w:t xml:space="preserve">2022 Water Price Review Guidance </w:t>
      </w:r>
      <w:bookmarkEnd w:id="5"/>
      <w:r w:rsidRPr="00631F07">
        <w:rPr>
          <w:rStyle w:val="IntenseEmphasis"/>
          <w:rFonts w:cs="Arial"/>
          <w:i w:val="0"/>
          <w:color w:val="auto"/>
        </w:rPr>
        <w:t>paper issued by the Essential Services Commission in all material respects.</w:t>
      </w:r>
    </w:p>
    <w:p w14:paraId="5F6F6FDA" w14:textId="77777777" w:rsidR="009B0490" w:rsidRPr="00192F41" w:rsidRDefault="009B0490" w:rsidP="00AF0CFB">
      <w:pPr>
        <w:rPr>
          <w:rStyle w:val="IntenseEmphasis"/>
          <w:rFonts w:cs="Arial"/>
          <w:i w:val="0"/>
          <w:iCs w:val="0"/>
          <w:color w:val="auto"/>
        </w:rPr>
      </w:pPr>
    </w:p>
    <w:p w14:paraId="590B8CBD" w14:textId="7CFCC062" w:rsidR="00D033FA" w:rsidRPr="00192F41" w:rsidRDefault="00D033FA" w:rsidP="00AF0CFB">
      <w:pPr>
        <w:rPr>
          <w:rStyle w:val="IntenseEmphasis"/>
          <w:rFonts w:cs="Arial"/>
        </w:rPr>
      </w:pPr>
    </w:p>
    <w:p w14:paraId="3E6D5A3E" w14:textId="155520BB" w:rsidR="00D033FA" w:rsidRPr="00192F41" w:rsidRDefault="00D033FA" w:rsidP="00AF0CFB">
      <w:pPr>
        <w:rPr>
          <w:rStyle w:val="IntenseEmphasis"/>
          <w:rFonts w:cs="Arial"/>
        </w:rPr>
      </w:pPr>
    </w:p>
    <w:p w14:paraId="3E5E5113" w14:textId="08643F54" w:rsidR="00D033FA" w:rsidRPr="00192F41" w:rsidRDefault="00D033FA" w:rsidP="00AF0CFB">
      <w:pPr>
        <w:rPr>
          <w:rStyle w:val="IntenseEmphasis"/>
          <w:rFonts w:cs="Arial"/>
        </w:rPr>
      </w:pPr>
    </w:p>
    <w:p w14:paraId="6A3623AA" w14:textId="47FF9015" w:rsidR="00D033FA" w:rsidRPr="00192F41" w:rsidRDefault="00D033FA" w:rsidP="00AF0CFB">
      <w:pPr>
        <w:rPr>
          <w:rStyle w:val="IntenseEmphasis"/>
          <w:rFonts w:cs="Arial"/>
          <w:i w:val="0"/>
          <w:iCs w:val="0"/>
          <w:color w:val="aut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45A6B" w:rsidRPr="00192F41" w14:paraId="3B62CDC5" w14:textId="77777777" w:rsidTr="00855BAA">
        <w:tc>
          <w:tcPr>
            <w:tcW w:w="4814" w:type="dxa"/>
          </w:tcPr>
          <w:p w14:paraId="47BC9F7C" w14:textId="40ED0778" w:rsidR="00D45A6B" w:rsidRPr="0085311F" w:rsidRDefault="00D45A6B" w:rsidP="00855BAA">
            <w:pPr>
              <w:rPr>
                <w:rStyle w:val="IntenseEmphasis"/>
                <w:rFonts w:cs="Arial"/>
                <w:color w:val="auto"/>
                <w:highlight w:val="yellow"/>
              </w:rPr>
            </w:pPr>
            <w:bookmarkStart w:id="6" w:name="_Hlk107816965"/>
          </w:p>
          <w:p w14:paraId="36AF5784" w14:textId="77777777" w:rsidR="00D45A6B" w:rsidRPr="0085311F" w:rsidRDefault="00D45A6B" w:rsidP="00855BAA">
            <w:pPr>
              <w:rPr>
                <w:rStyle w:val="IntenseEmphasis"/>
                <w:rFonts w:cs="Arial"/>
                <w:color w:val="auto"/>
                <w:highlight w:val="yellow"/>
              </w:rPr>
            </w:pPr>
          </w:p>
          <w:p w14:paraId="3D52280B" w14:textId="58C2727F" w:rsidR="00D45A6B" w:rsidRPr="0085311F" w:rsidRDefault="00D45A6B" w:rsidP="00855BAA">
            <w:pPr>
              <w:rPr>
                <w:rStyle w:val="IntenseEmphasis"/>
                <w:rFonts w:cs="Arial"/>
                <w:color w:val="auto"/>
                <w:highlight w:val="yellow"/>
              </w:rPr>
            </w:pPr>
          </w:p>
        </w:tc>
        <w:tc>
          <w:tcPr>
            <w:tcW w:w="4814" w:type="dxa"/>
          </w:tcPr>
          <w:p w14:paraId="21FCA049" w14:textId="08DE27E6" w:rsidR="00D45A6B" w:rsidRPr="0085311F" w:rsidRDefault="00D45A6B" w:rsidP="00855BAA">
            <w:pPr>
              <w:rPr>
                <w:rStyle w:val="IntenseEmphasis"/>
                <w:rFonts w:cs="Arial"/>
                <w:color w:val="auto"/>
                <w:highlight w:val="yellow"/>
              </w:rPr>
            </w:pPr>
          </w:p>
          <w:p w14:paraId="2DDB6A12" w14:textId="77777777" w:rsidR="00D45A6B" w:rsidRPr="0085311F" w:rsidRDefault="00D45A6B" w:rsidP="00855BAA">
            <w:pPr>
              <w:rPr>
                <w:rStyle w:val="IntenseEmphasis"/>
                <w:rFonts w:cs="Arial"/>
                <w:color w:val="auto"/>
                <w:highlight w:val="yellow"/>
              </w:rPr>
            </w:pPr>
          </w:p>
          <w:p w14:paraId="13D70836" w14:textId="3486AE59" w:rsidR="00D45A6B" w:rsidRPr="0085311F" w:rsidRDefault="00D45A6B" w:rsidP="00855BAA">
            <w:pPr>
              <w:rPr>
                <w:rStyle w:val="IntenseEmphasis"/>
                <w:rFonts w:cs="Arial"/>
                <w:color w:val="auto"/>
                <w:highlight w:val="yellow"/>
              </w:rPr>
            </w:pPr>
          </w:p>
        </w:tc>
      </w:tr>
      <w:tr w:rsidR="00D033FA" w:rsidRPr="00192F41" w14:paraId="19FABCAB" w14:textId="77777777" w:rsidTr="00855BAA">
        <w:tc>
          <w:tcPr>
            <w:tcW w:w="4814" w:type="dxa"/>
          </w:tcPr>
          <w:p w14:paraId="2CD5CC27" w14:textId="77777777" w:rsidR="00D033FA" w:rsidRPr="00192F41" w:rsidRDefault="00D033FA" w:rsidP="00855BAA">
            <w:pPr>
              <w:rPr>
                <w:rStyle w:val="IntenseEmphasis"/>
                <w:rFonts w:cs="Arial"/>
                <w:i w:val="0"/>
                <w:iCs w:val="0"/>
                <w:color w:val="auto"/>
              </w:rPr>
            </w:pPr>
            <w:r w:rsidRPr="00192F41">
              <w:rPr>
                <w:rStyle w:val="IntenseEmphasis"/>
                <w:rFonts w:cs="Arial"/>
                <w:i w:val="0"/>
                <w:iCs w:val="0"/>
                <w:color w:val="auto"/>
              </w:rPr>
              <w:t>Joanne Butterworth-Gray</w:t>
            </w:r>
          </w:p>
          <w:p w14:paraId="2105D20E" w14:textId="6D001C1F" w:rsidR="00D033FA" w:rsidRPr="00192F41" w:rsidRDefault="00D033FA" w:rsidP="00855BAA">
            <w:pPr>
              <w:rPr>
                <w:rStyle w:val="IntenseEmphasis"/>
                <w:rFonts w:cs="Arial"/>
                <w:i w:val="0"/>
                <w:iCs w:val="0"/>
                <w:color w:val="auto"/>
              </w:rPr>
            </w:pPr>
            <w:r w:rsidRPr="00192F41">
              <w:rPr>
                <w:rStyle w:val="IntenseEmphasis"/>
                <w:rFonts w:cs="Arial"/>
                <w:i w:val="0"/>
                <w:iCs w:val="0"/>
              </w:rPr>
              <w:t>Chair</w:t>
            </w:r>
          </w:p>
        </w:tc>
        <w:tc>
          <w:tcPr>
            <w:tcW w:w="4814" w:type="dxa"/>
          </w:tcPr>
          <w:p w14:paraId="77582D69" w14:textId="77777777" w:rsidR="00D033FA" w:rsidRPr="00192F41" w:rsidRDefault="00D033FA" w:rsidP="00855BAA">
            <w:pPr>
              <w:rPr>
                <w:rStyle w:val="IntenseEmphasis"/>
                <w:rFonts w:cs="Arial"/>
                <w:i w:val="0"/>
                <w:iCs w:val="0"/>
                <w:color w:val="auto"/>
              </w:rPr>
            </w:pPr>
            <w:r w:rsidRPr="00192F41">
              <w:rPr>
                <w:rStyle w:val="IntenseEmphasis"/>
                <w:rFonts w:cs="Arial"/>
                <w:i w:val="0"/>
                <w:iCs w:val="0"/>
                <w:color w:val="auto"/>
              </w:rPr>
              <w:t>Cameron FitzGerald</w:t>
            </w:r>
          </w:p>
          <w:p w14:paraId="25ECDFE1" w14:textId="77777777" w:rsidR="00D033FA" w:rsidRDefault="00D033FA" w:rsidP="00855BAA">
            <w:pPr>
              <w:rPr>
                <w:rStyle w:val="IntenseEmphasis"/>
                <w:rFonts w:cs="Arial"/>
                <w:i w:val="0"/>
                <w:iCs w:val="0"/>
              </w:rPr>
            </w:pPr>
            <w:r w:rsidRPr="00192F41">
              <w:rPr>
                <w:rStyle w:val="IntenseEmphasis"/>
                <w:rFonts w:cs="Arial"/>
                <w:i w:val="0"/>
                <w:iCs w:val="0"/>
              </w:rPr>
              <w:t>Managing Director</w:t>
            </w:r>
          </w:p>
          <w:p w14:paraId="0CD31C8B" w14:textId="53881079" w:rsidR="00D033FA" w:rsidRPr="00192F41" w:rsidRDefault="00D033FA" w:rsidP="00855BAA">
            <w:pPr>
              <w:rPr>
                <w:rStyle w:val="IntenseEmphasis"/>
                <w:rFonts w:cs="Arial"/>
                <w:i w:val="0"/>
                <w:iCs w:val="0"/>
                <w:color w:val="auto"/>
              </w:rPr>
            </w:pPr>
          </w:p>
        </w:tc>
      </w:tr>
    </w:tbl>
    <w:bookmarkEnd w:id="6"/>
    <w:p w14:paraId="720111D6" w14:textId="706FDEFC" w:rsidR="00EC5611" w:rsidRPr="00192F41" w:rsidRDefault="00951795" w:rsidP="00951795">
      <w:pPr>
        <w:jc w:val="center"/>
        <w:rPr>
          <w:rStyle w:val="IntenseEmphasis"/>
          <w:rFonts w:cs="Arial"/>
          <w:i w:val="0"/>
          <w:iCs w:val="0"/>
          <w:color w:val="auto"/>
        </w:rPr>
      </w:pPr>
      <w:r>
        <w:rPr>
          <w:rStyle w:val="IntenseEmphasis"/>
          <w:rFonts w:cs="Arial"/>
          <w:noProof/>
        </w:rPr>
        <w:drawing>
          <wp:inline distT="0" distB="0" distL="0" distR="0" wp14:anchorId="31E7BC45" wp14:editId="71A48414">
            <wp:extent cx="6266848" cy="3041650"/>
            <wp:effectExtent l="0" t="0" r="635" b="6350"/>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t="27349"/>
                    <a:stretch/>
                  </pic:blipFill>
                  <pic:spPr bwMode="auto">
                    <a:xfrm>
                      <a:off x="0" y="0"/>
                      <a:ext cx="6276735" cy="3046449"/>
                    </a:xfrm>
                    <a:prstGeom prst="rect">
                      <a:avLst/>
                    </a:prstGeom>
                    <a:noFill/>
                    <a:ln>
                      <a:noFill/>
                    </a:ln>
                    <a:extLst>
                      <a:ext uri="{53640926-AAD7-44D8-BBD7-CCE9431645EC}">
                        <a14:shadowObscured xmlns:a14="http://schemas.microsoft.com/office/drawing/2010/main"/>
                      </a:ext>
                    </a:extLst>
                  </pic:spPr>
                </pic:pic>
              </a:graphicData>
            </a:graphic>
          </wp:inline>
        </w:drawing>
      </w:r>
      <w:r>
        <w:rPr>
          <w:rFonts w:cs="Arial"/>
          <w:color w:val="000000"/>
          <w:shd w:val="clear" w:color="auto" w:fill="FFFFFF"/>
        </w:rPr>
        <w:br/>
      </w:r>
    </w:p>
    <w:p w14:paraId="48CFAE06" w14:textId="4A11FFC6" w:rsidR="00EC5611" w:rsidRPr="00192F41" w:rsidRDefault="00E039E5" w:rsidP="00EC5611">
      <w:pPr>
        <w:pStyle w:val="Heading1"/>
        <w:rPr>
          <w:rStyle w:val="IntenseEmphasis"/>
          <w:rFonts w:cs="Arial"/>
          <w:i w:val="0"/>
          <w:iCs w:val="0"/>
          <w:color w:val="002B5C" w:themeColor="text2"/>
          <w:sz w:val="52"/>
        </w:rPr>
      </w:pPr>
      <w:bookmarkStart w:id="7" w:name="_Toc115263673"/>
      <w:r>
        <w:rPr>
          <w:rStyle w:val="IntenseEmphasis"/>
          <w:rFonts w:cs="Arial"/>
          <w:i w:val="0"/>
          <w:iCs w:val="0"/>
          <w:color w:val="002B5C" w:themeColor="text2"/>
          <w:sz w:val="52"/>
        </w:rPr>
        <w:lastRenderedPageBreak/>
        <w:t>A note from the Customer Reference Group</w:t>
      </w:r>
      <w:bookmarkEnd w:id="7"/>
    </w:p>
    <w:p w14:paraId="54EE7AE4" w14:textId="2059E2CD" w:rsidR="0028282E" w:rsidRPr="00192F41" w:rsidRDefault="00A6403D" w:rsidP="00C70089">
      <w:pPr>
        <w:rPr>
          <w:rStyle w:val="IntenseEmphasis"/>
          <w:rFonts w:cs="Arial"/>
          <w:i w:val="0"/>
          <w:iCs w:val="0"/>
          <w:color w:val="auto"/>
        </w:rPr>
      </w:pPr>
      <w:r w:rsidRPr="00A6403D">
        <w:rPr>
          <w:rStyle w:val="IntenseEmphasis"/>
          <w:rFonts w:cs="Arial"/>
          <w:i w:val="0"/>
          <w:iCs w:val="0"/>
          <w:noProof/>
          <w:color w:val="auto"/>
        </w:rPr>
        <w:drawing>
          <wp:inline distT="0" distB="0" distL="0" distR="0" wp14:anchorId="6BA4B6D6" wp14:editId="4A18762E">
            <wp:extent cx="5425224" cy="7305675"/>
            <wp:effectExtent l="0" t="0" r="4445"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27100" cy="7308201"/>
                    </a:xfrm>
                    <a:prstGeom prst="rect">
                      <a:avLst/>
                    </a:prstGeom>
                    <a:noFill/>
                    <a:ln>
                      <a:noFill/>
                    </a:ln>
                  </pic:spPr>
                </pic:pic>
              </a:graphicData>
            </a:graphic>
          </wp:inline>
        </w:drawing>
      </w:r>
    </w:p>
    <w:p w14:paraId="770D3739" w14:textId="4C8B61AD" w:rsidR="00383257" w:rsidRPr="00192F41" w:rsidRDefault="00383257" w:rsidP="00383257">
      <w:pPr>
        <w:rPr>
          <w:rStyle w:val="IntenseEmphasis"/>
          <w:rFonts w:cs="Arial"/>
          <w:i w:val="0"/>
          <w:iCs w:val="0"/>
          <w:color w:val="auto"/>
        </w:rPr>
      </w:pPr>
      <w:r w:rsidRPr="00192F41">
        <w:rPr>
          <w:rStyle w:val="IntenseEmphasis"/>
          <w:rFonts w:cs="Arial"/>
          <w:i w:val="0"/>
          <w:iCs w:val="0"/>
          <w:color w:val="auto"/>
        </w:rPr>
        <w:br w:type="page"/>
      </w:r>
    </w:p>
    <w:p w14:paraId="15C79BCB" w14:textId="009E55F0" w:rsidR="007B4577" w:rsidRPr="00192F41" w:rsidRDefault="007B4577" w:rsidP="007B4577">
      <w:pPr>
        <w:pStyle w:val="Heading1"/>
        <w:rPr>
          <w:rFonts w:cs="Arial"/>
        </w:rPr>
      </w:pPr>
      <w:bookmarkStart w:id="8" w:name="_Toc100155556"/>
      <w:bookmarkStart w:id="9" w:name="_Toc115263674"/>
      <w:r w:rsidRPr="00192F41">
        <w:rPr>
          <w:rFonts w:cs="Arial"/>
        </w:rPr>
        <w:t>Executive summary</w:t>
      </w:r>
      <w:bookmarkEnd w:id="8"/>
      <w:bookmarkEnd w:id="9"/>
    </w:p>
    <w:tbl>
      <w:tblPr>
        <w:tblStyle w:val="TableGrid"/>
        <w:tblW w:w="973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7"/>
        <w:gridCol w:w="8210"/>
      </w:tblGrid>
      <w:tr w:rsidR="00DD0F87" w:rsidRPr="00192F41" w14:paraId="5E7CBC65" w14:textId="77777777" w:rsidTr="00B72C41">
        <w:trPr>
          <w:trHeight w:val="416"/>
        </w:trPr>
        <w:tc>
          <w:tcPr>
            <w:tcW w:w="1750" w:type="dxa"/>
            <w:shd w:val="clear" w:color="auto" w:fill="F2F2F2" w:themeFill="background1" w:themeFillShade="F2"/>
          </w:tcPr>
          <w:p w14:paraId="2B073754" w14:textId="07886BCD" w:rsidR="00DD0F87" w:rsidRPr="00192F41" w:rsidRDefault="00DD0F87"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P</w:t>
            </w:r>
            <w:r w:rsidR="004B582A" w:rsidRPr="00192F41">
              <w:rPr>
                <w:rStyle w:val="IntenseEmphasis"/>
                <w:rFonts w:cs="Arial"/>
                <w:b/>
                <w:bCs/>
                <w:i w:val="0"/>
                <w:iCs w:val="0"/>
                <w:color w:val="000000" w:themeColor="text1"/>
                <w:sz w:val="20"/>
                <w:szCs w:val="20"/>
              </w:rPr>
              <w:t>urpose</w:t>
            </w:r>
          </w:p>
        </w:tc>
        <w:tc>
          <w:tcPr>
            <w:tcW w:w="7987" w:type="dxa"/>
            <w:shd w:val="clear" w:color="auto" w:fill="F2F2F2" w:themeFill="background1" w:themeFillShade="F2"/>
          </w:tcPr>
          <w:p w14:paraId="4EE26655" w14:textId="16670415" w:rsidR="00DD0F87" w:rsidRPr="00192F41" w:rsidRDefault="00DD0F87" w:rsidP="009E13AC">
            <w:pPr>
              <w:spacing w:before="40" w:after="40"/>
              <w:jc w:val="both"/>
              <w:rPr>
                <w:rFonts w:cs="Arial"/>
                <w:sz w:val="20"/>
                <w:szCs w:val="20"/>
                <w:shd w:val="clear" w:color="auto" w:fill="FAF9F8"/>
              </w:rPr>
            </w:pPr>
            <w:r w:rsidRPr="00192F41">
              <w:rPr>
                <w:rFonts w:cs="Arial"/>
                <w:color w:val="000000" w:themeColor="text1"/>
                <w:sz w:val="20"/>
                <w:szCs w:val="20"/>
              </w:rPr>
              <w:t xml:space="preserve">This </w:t>
            </w:r>
            <w:r w:rsidR="004942FF" w:rsidRPr="00192F41">
              <w:rPr>
                <w:rFonts w:cs="Arial"/>
                <w:color w:val="000000" w:themeColor="text1"/>
                <w:sz w:val="20"/>
                <w:szCs w:val="20"/>
              </w:rPr>
              <w:t>s</w:t>
            </w:r>
            <w:r w:rsidRPr="00192F41">
              <w:rPr>
                <w:rFonts w:cs="Arial"/>
                <w:color w:val="000000" w:themeColor="text1"/>
                <w:sz w:val="20"/>
                <w:szCs w:val="20"/>
              </w:rPr>
              <w:t>ubmission sets out SRW’s proposed service levels and pric</w:t>
            </w:r>
            <w:r w:rsidR="00417A4A" w:rsidRPr="00192F41">
              <w:rPr>
                <w:rFonts w:cs="Arial"/>
                <w:color w:val="000000" w:themeColor="text1"/>
                <w:sz w:val="20"/>
                <w:szCs w:val="20"/>
              </w:rPr>
              <w:t>es</w:t>
            </w:r>
            <w:r w:rsidRPr="00192F41">
              <w:rPr>
                <w:rFonts w:cs="Arial"/>
                <w:color w:val="000000" w:themeColor="text1"/>
                <w:sz w:val="20"/>
                <w:szCs w:val="20"/>
              </w:rPr>
              <w:t xml:space="preserve"> for </w:t>
            </w:r>
            <w:r w:rsidR="004942FF" w:rsidRPr="00192F41">
              <w:rPr>
                <w:rFonts w:cs="Arial"/>
                <w:color w:val="000000" w:themeColor="text1"/>
                <w:sz w:val="20"/>
                <w:szCs w:val="20"/>
              </w:rPr>
              <w:t xml:space="preserve">the </w:t>
            </w:r>
            <w:r w:rsidR="00E356C4" w:rsidRPr="00192F41">
              <w:rPr>
                <w:rFonts w:cs="Arial"/>
                <w:color w:val="000000" w:themeColor="text1"/>
                <w:sz w:val="20"/>
                <w:szCs w:val="20"/>
              </w:rPr>
              <w:t>regulatory period 1 July 2023 to 30 June 2028.</w:t>
            </w:r>
          </w:p>
        </w:tc>
      </w:tr>
      <w:tr w:rsidR="00DD0F87" w:rsidRPr="00192F41" w14:paraId="1AEEBDCF" w14:textId="77777777" w:rsidTr="00010896">
        <w:trPr>
          <w:trHeight w:val="3251"/>
        </w:trPr>
        <w:tc>
          <w:tcPr>
            <w:tcW w:w="1750" w:type="dxa"/>
          </w:tcPr>
          <w:p w14:paraId="4BE98964" w14:textId="179C5657" w:rsidR="00DD0F87" w:rsidRPr="00192F41" w:rsidRDefault="004B582A"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Headline price movement</w:t>
            </w:r>
          </w:p>
        </w:tc>
        <w:tc>
          <w:tcPr>
            <w:tcW w:w="7987" w:type="dxa"/>
          </w:tcPr>
          <w:p w14:paraId="594893AC" w14:textId="72ACB9DF" w:rsidR="00DD0F87" w:rsidRPr="00192F41" w:rsidRDefault="00C62C50" w:rsidP="009E13AC">
            <w:pPr>
              <w:spacing w:before="40" w:after="40"/>
              <w:jc w:val="both"/>
              <w:rPr>
                <w:rFonts w:cs="Arial"/>
                <w:color w:val="000000" w:themeColor="text1"/>
                <w:sz w:val="20"/>
                <w:szCs w:val="20"/>
              </w:rPr>
            </w:pPr>
            <w:bookmarkStart w:id="10" w:name="_Hlk109143632"/>
            <w:r>
              <w:rPr>
                <w:rFonts w:cs="Arial"/>
                <w:color w:val="000000" w:themeColor="text1"/>
                <w:sz w:val="20"/>
                <w:szCs w:val="20"/>
              </w:rPr>
              <w:t>M</w:t>
            </w:r>
            <w:r w:rsidR="00D64D2F" w:rsidRPr="00192F41">
              <w:rPr>
                <w:rFonts w:cs="Arial"/>
                <w:color w:val="000000" w:themeColor="text1"/>
                <w:sz w:val="20"/>
                <w:szCs w:val="20"/>
              </w:rPr>
              <w:t>ore than 8</w:t>
            </w:r>
            <w:r w:rsidR="00D64D2F">
              <w:rPr>
                <w:rFonts w:cs="Arial"/>
                <w:color w:val="000000" w:themeColor="text1"/>
                <w:sz w:val="20"/>
                <w:szCs w:val="20"/>
              </w:rPr>
              <w:t>6</w:t>
            </w:r>
            <w:r w:rsidR="00D64D2F" w:rsidRPr="00192F41">
              <w:rPr>
                <w:rFonts w:cs="Arial"/>
                <w:color w:val="000000" w:themeColor="text1"/>
                <w:sz w:val="20"/>
                <w:szCs w:val="20"/>
              </w:rPr>
              <w:t xml:space="preserve">% of customers will see price increases capped at </w:t>
            </w:r>
            <w:bookmarkEnd w:id="10"/>
            <w:r w:rsidR="00CB11E9">
              <w:rPr>
                <w:rFonts w:cs="Arial"/>
                <w:color w:val="000000" w:themeColor="text1"/>
                <w:sz w:val="20"/>
                <w:szCs w:val="20"/>
              </w:rPr>
              <w:t xml:space="preserve">no more than </w:t>
            </w:r>
            <w:r w:rsidR="00D64D2F" w:rsidRPr="00F82275">
              <w:rPr>
                <w:rFonts w:cs="Arial"/>
                <w:color w:val="000000" w:themeColor="text1"/>
                <w:sz w:val="20"/>
                <w:szCs w:val="20"/>
              </w:rPr>
              <w:t>CPI</w:t>
            </w:r>
            <w:r w:rsidRPr="00F82275">
              <w:rPr>
                <w:rFonts w:cs="Arial"/>
                <w:color w:val="000000" w:themeColor="text1"/>
                <w:sz w:val="20"/>
                <w:szCs w:val="20"/>
              </w:rPr>
              <w:t>:</w:t>
            </w:r>
          </w:p>
          <w:tbl>
            <w:tblPr>
              <w:tblStyle w:val="Tealheader-Grayrows1"/>
              <w:tblW w:w="7994" w:type="dxa"/>
              <w:tblLook w:val="04A0" w:firstRow="1" w:lastRow="0" w:firstColumn="1" w:lastColumn="0" w:noHBand="0" w:noVBand="1"/>
            </w:tblPr>
            <w:tblGrid>
              <w:gridCol w:w="3610"/>
              <w:gridCol w:w="1345"/>
              <w:gridCol w:w="1508"/>
              <w:gridCol w:w="1531"/>
            </w:tblGrid>
            <w:tr w:rsidR="004943C1" w:rsidRPr="00192F41" w14:paraId="32A04B41" w14:textId="77777777" w:rsidTr="00345E96">
              <w:trPr>
                <w:cnfStyle w:val="100000000000" w:firstRow="1" w:lastRow="0" w:firstColumn="0" w:lastColumn="0" w:oddVBand="0" w:evenVBand="0" w:oddHBand="0" w:evenHBand="0" w:firstRowFirstColumn="0" w:firstRowLastColumn="0" w:lastRowFirstColumn="0" w:lastRowLastColumn="0"/>
                <w:trHeight w:val="252"/>
              </w:trPr>
              <w:tc>
                <w:tcPr>
                  <w:tcW w:w="3610" w:type="dxa"/>
                </w:tcPr>
                <w:p w14:paraId="0C30A483" w14:textId="44B87CEC" w:rsidR="004943C1" w:rsidRPr="00192F41" w:rsidRDefault="00345E96" w:rsidP="009E13AC">
                  <w:pPr>
                    <w:spacing w:before="40" w:after="40"/>
                    <w:rPr>
                      <w:rFonts w:cs="Arial"/>
                      <w:sz w:val="20"/>
                      <w:szCs w:val="20"/>
                    </w:rPr>
                  </w:pPr>
                  <w:bookmarkStart w:id="11" w:name="_Hlk109394353"/>
                  <w:r w:rsidRPr="00345E96">
                    <w:rPr>
                      <w:rFonts w:cs="Arial"/>
                      <w:sz w:val="20"/>
                      <w:szCs w:val="20"/>
                    </w:rPr>
                    <w:t>Customer group</w:t>
                  </w:r>
                </w:p>
              </w:tc>
              <w:tc>
                <w:tcPr>
                  <w:tcW w:w="2853" w:type="dxa"/>
                  <w:gridSpan w:val="2"/>
                </w:tcPr>
                <w:p w14:paraId="19608679" w14:textId="7063A0A8" w:rsidR="004943C1" w:rsidRPr="00345E96" w:rsidRDefault="004943C1" w:rsidP="00C314B0">
                  <w:pPr>
                    <w:spacing w:before="40" w:after="40"/>
                    <w:rPr>
                      <w:rFonts w:cs="Arial"/>
                      <w:sz w:val="20"/>
                      <w:szCs w:val="20"/>
                    </w:rPr>
                  </w:pPr>
                  <w:r w:rsidRPr="00345E96">
                    <w:rPr>
                      <w:rFonts w:cs="Arial"/>
                      <w:sz w:val="20"/>
                      <w:szCs w:val="20"/>
                    </w:rPr>
                    <w:t>Customers</w:t>
                  </w:r>
                  <w:r w:rsidR="00AC392B" w:rsidRPr="00345E96">
                    <w:rPr>
                      <w:rFonts w:cs="Arial"/>
                      <w:sz w:val="20"/>
                      <w:szCs w:val="20"/>
                    </w:rPr>
                    <w:t xml:space="preserve"> (approx.)</w:t>
                  </w:r>
                </w:p>
              </w:tc>
              <w:tc>
                <w:tcPr>
                  <w:tcW w:w="1531" w:type="dxa"/>
                </w:tcPr>
                <w:p w14:paraId="27138349" w14:textId="34C59A70" w:rsidR="004943C1" w:rsidRPr="00345E96" w:rsidRDefault="004943C1" w:rsidP="00C314B0">
                  <w:pPr>
                    <w:spacing w:before="40" w:after="40"/>
                    <w:rPr>
                      <w:rFonts w:cs="Arial"/>
                      <w:sz w:val="20"/>
                      <w:szCs w:val="20"/>
                    </w:rPr>
                  </w:pPr>
                  <w:r w:rsidRPr="00345E96">
                    <w:rPr>
                      <w:rFonts w:cs="Arial"/>
                      <w:sz w:val="20"/>
                      <w:szCs w:val="20"/>
                    </w:rPr>
                    <w:t>Price change</w:t>
                  </w:r>
                </w:p>
              </w:tc>
            </w:tr>
            <w:tr w:rsidR="002D38B5" w:rsidRPr="00192F41" w14:paraId="271528E8" w14:textId="77777777" w:rsidTr="00345E96">
              <w:trPr>
                <w:cnfStyle w:val="000000100000" w:firstRow="0" w:lastRow="0" w:firstColumn="0" w:lastColumn="0" w:oddVBand="0" w:evenVBand="0" w:oddHBand="1" w:evenHBand="0" w:firstRowFirstColumn="0" w:firstRowLastColumn="0" w:lastRowFirstColumn="0" w:lastRowLastColumn="0"/>
                <w:trHeight w:val="252"/>
              </w:trPr>
              <w:tc>
                <w:tcPr>
                  <w:tcW w:w="3610" w:type="dxa"/>
                </w:tcPr>
                <w:p w14:paraId="50561F3A" w14:textId="2FE02357" w:rsidR="00DD0F87" w:rsidRPr="00412B82" w:rsidRDefault="00DD0F87" w:rsidP="006B5A80">
                  <w:pPr>
                    <w:rPr>
                      <w:sz w:val="20"/>
                      <w:szCs w:val="20"/>
                    </w:rPr>
                  </w:pPr>
                </w:p>
              </w:tc>
              <w:tc>
                <w:tcPr>
                  <w:tcW w:w="1345" w:type="dxa"/>
                </w:tcPr>
                <w:p w14:paraId="12F8C393" w14:textId="693C1520" w:rsidR="00DD0F87" w:rsidRPr="00412B82" w:rsidRDefault="004943C1" w:rsidP="00345E96">
                  <w:pPr>
                    <w:jc w:val="center"/>
                    <w:rPr>
                      <w:sz w:val="20"/>
                      <w:szCs w:val="20"/>
                    </w:rPr>
                  </w:pPr>
                  <w:r w:rsidRPr="00412B82">
                    <w:rPr>
                      <w:sz w:val="20"/>
                      <w:szCs w:val="20"/>
                    </w:rPr>
                    <w:t>Number</w:t>
                  </w:r>
                </w:p>
              </w:tc>
              <w:tc>
                <w:tcPr>
                  <w:tcW w:w="1508" w:type="dxa"/>
                </w:tcPr>
                <w:p w14:paraId="7FE85CDF" w14:textId="41035BE5" w:rsidR="0088501F" w:rsidRPr="00412B82" w:rsidRDefault="00FD2576" w:rsidP="00345E96">
                  <w:pPr>
                    <w:jc w:val="center"/>
                    <w:rPr>
                      <w:sz w:val="20"/>
                      <w:szCs w:val="20"/>
                    </w:rPr>
                  </w:pPr>
                  <w:r w:rsidRPr="00412B82">
                    <w:rPr>
                      <w:sz w:val="20"/>
                      <w:szCs w:val="20"/>
                    </w:rPr>
                    <w:t>%</w:t>
                  </w:r>
                </w:p>
              </w:tc>
              <w:tc>
                <w:tcPr>
                  <w:tcW w:w="1531" w:type="dxa"/>
                </w:tcPr>
                <w:p w14:paraId="6C738729" w14:textId="448AC30B" w:rsidR="00DD0F87" w:rsidRPr="00412B82" w:rsidRDefault="0088501F" w:rsidP="00345E96">
                  <w:pPr>
                    <w:jc w:val="center"/>
                    <w:rPr>
                      <w:sz w:val="20"/>
                      <w:szCs w:val="20"/>
                    </w:rPr>
                  </w:pPr>
                  <w:r w:rsidRPr="00412B82">
                    <w:rPr>
                      <w:sz w:val="20"/>
                      <w:szCs w:val="20"/>
                    </w:rPr>
                    <w:t>+ CPI</w:t>
                  </w:r>
                  <w:r w:rsidR="0073064C" w:rsidRPr="00412B82">
                    <w:rPr>
                      <w:sz w:val="20"/>
                      <w:szCs w:val="20"/>
                    </w:rPr>
                    <w:t xml:space="preserve"> </w:t>
                  </w:r>
                  <w:r w:rsidR="00BE516F" w:rsidRPr="00412B82">
                    <w:rPr>
                      <w:sz w:val="20"/>
                      <w:szCs w:val="20"/>
                    </w:rPr>
                    <w:t xml:space="preserve">per </w:t>
                  </w:r>
                  <w:r w:rsidR="00CB3513" w:rsidRPr="00412B82">
                    <w:rPr>
                      <w:sz w:val="20"/>
                      <w:szCs w:val="20"/>
                    </w:rPr>
                    <w:t>year</w:t>
                  </w:r>
                </w:p>
              </w:tc>
            </w:tr>
            <w:tr w:rsidR="00574D73" w:rsidRPr="00192F41" w14:paraId="7D9BEEA0" w14:textId="77777777" w:rsidTr="00345E96">
              <w:trPr>
                <w:trHeight w:val="91"/>
              </w:trPr>
              <w:tc>
                <w:tcPr>
                  <w:tcW w:w="3610" w:type="dxa"/>
                </w:tcPr>
                <w:p w14:paraId="71CF0D3E" w14:textId="6672DD47"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Groundwater &amp; Rivers</w:t>
                  </w:r>
                </w:p>
              </w:tc>
              <w:tc>
                <w:tcPr>
                  <w:tcW w:w="1345" w:type="dxa"/>
                </w:tcPr>
                <w:p w14:paraId="2F3BEFDF" w14:textId="116E5130"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8,624</w:t>
                  </w:r>
                </w:p>
              </w:tc>
              <w:tc>
                <w:tcPr>
                  <w:tcW w:w="1508" w:type="dxa"/>
                </w:tcPr>
                <w:p w14:paraId="36FB38AF" w14:textId="502D5C07"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85.0</w:t>
                  </w:r>
                </w:p>
              </w:tc>
              <w:tc>
                <w:tcPr>
                  <w:tcW w:w="1531" w:type="dxa"/>
                </w:tcPr>
                <w:p w14:paraId="296E0AAA" w14:textId="159B76D8"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0.0%</w:t>
                  </w:r>
                </w:p>
              </w:tc>
            </w:tr>
            <w:tr w:rsidR="00574D73" w:rsidRPr="00192F41" w14:paraId="49F08C2F" w14:textId="77777777" w:rsidTr="00345E96">
              <w:trPr>
                <w:cnfStyle w:val="000000100000" w:firstRow="0" w:lastRow="0" w:firstColumn="0" w:lastColumn="0" w:oddVBand="0" w:evenVBand="0" w:oddHBand="1" w:evenHBand="0" w:firstRowFirstColumn="0" w:firstRowLastColumn="0" w:lastRowFirstColumn="0" w:lastRowLastColumn="0"/>
                <w:trHeight w:val="252"/>
              </w:trPr>
              <w:tc>
                <w:tcPr>
                  <w:tcW w:w="3610" w:type="dxa"/>
                </w:tcPr>
                <w:p w14:paraId="621E6C48" w14:textId="725AE78C"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Bacchus Marsh</w:t>
                  </w:r>
                  <w:r w:rsidR="00DD0F87" w:rsidRPr="004A69DC">
                    <w:rPr>
                      <w:rFonts w:cs="Arial"/>
                      <w:color w:val="000000" w:themeColor="text1"/>
                      <w:kern w:val="24"/>
                      <w:sz w:val="20"/>
                      <w:szCs w:val="20"/>
                    </w:rPr>
                    <w:t xml:space="preserve"> Irrigation District</w:t>
                  </w:r>
                </w:p>
              </w:tc>
              <w:tc>
                <w:tcPr>
                  <w:tcW w:w="1345" w:type="dxa"/>
                </w:tcPr>
                <w:p w14:paraId="442CDF3F" w14:textId="41517D06"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130</w:t>
                  </w:r>
                </w:p>
              </w:tc>
              <w:tc>
                <w:tcPr>
                  <w:tcW w:w="1508" w:type="dxa"/>
                </w:tcPr>
                <w:p w14:paraId="7655B683" w14:textId="7D870058"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1.3</w:t>
                  </w:r>
                </w:p>
              </w:tc>
              <w:tc>
                <w:tcPr>
                  <w:tcW w:w="1531" w:type="dxa"/>
                </w:tcPr>
                <w:p w14:paraId="087D4C9B" w14:textId="37A56864"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0.0%</w:t>
                  </w:r>
                </w:p>
              </w:tc>
            </w:tr>
            <w:tr w:rsidR="00574D73" w:rsidRPr="00192F41" w14:paraId="0EDF969B" w14:textId="77777777" w:rsidTr="00345E96">
              <w:trPr>
                <w:trHeight w:val="252"/>
              </w:trPr>
              <w:tc>
                <w:tcPr>
                  <w:tcW w:w="3610" w:type="dxa"/>
                </w:tcPr>
                <w:p w14:paraId="2C3EB18E" w14:textId="7E35B6CC"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Werribee</w:t>
                  </w:r>
                  <w:r w:rsidR="00DD0F87" w:rsidRPr="004A69DC">
                    <w:rPr>
                      <w:rFonts w:cs="Arial"/>
                      <w:color w:val="000000" w:themeColor="text1"/>
                      <w:kern w:val="24"/>
                      <w:sz w:val="20"/>
                      <w:szCs w:val="20"/>
                    </w:rPr>
                    <w:t xml:space="preserve"> Irrigation District</w:t>
                  </w:r>
                </w:p>
              </w:tc>
              <w:tc>
                <w:tcPr>
                  <w:tcW w:w="1345" w:type="dxa"/>
                </w:tcPr>
                <w:p w14:paraId="7C2E5D30" w14:textId="78FDB76F" w:rsidR="00DD0F87" w:rsidRPr="00192F41" w:rsidRDefault="004A69DC" w:rsidP="009E13AC">
                  <w:pPr>
                    <w:spacing w:before="40" w:after="40"/>
                    <w:ind w:left="-263" w:firstLine="263"/>
                    <w:jc w:val="center"/>
                    <w:rPr>
                      <w:rFonts w:cs="Arial"/>
                      <w:color w:val="000000" w:themeColor="text1"/>
                      <w:sz w:val="20"/>
                      <w:szCs w:val="20"/>
                    </w:rPr>
                  </w:pPr>
                  <w:r w:rsidRPr="004A69DC">
                    <w:rPr>
                      <w:rFonts w:cs="Arial"/>
                      <w:color w:val="000000" w:themeColor="text1"/>
                      <w:kern w:val="24"/>
                      <w:sz w:val="20"/>
                      <w:szCs w:val="20"/>
                    </w:rPr>
                    <w:t>244</w:t>
                  </w:r>
                </w:p>
              </w:tc>
              <w:tc>
                <w:tcPr>
                  <w:tcW w:w="1508" w:type="dxa"/>
                </w:tcPr>
                <w:p w14:paraId="110A8E3A" w14:textId="38730AA5"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2.4</w:t>
                  </w:r>
                </w:p>
              </w:tc>
              <w:tc>
                <w:tcPr>
                  <w:tcW w:w="1531" w:type="dxa"/>
                </w:tcPr>
                <w:p w14:paraId="19B9FB04" w14:textId="426F0A4B"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1.0%</w:t>
                  </w:r>
                </w:p>
              </w:tc>
            </w:tr>
            <w:tr w:rsidR="00574D73" w:rsidRPr="00192F41" w14:paraId="2C10BD5E" w14:textId="77777777" w:rsidTr="00345E96">
              <w:trPr>
                <w:cnfStyle w:val="000000100000" w:firstRow="0" w:lastRow="0" w:firstColumn="0" w:lastColumn="0" w:oddVBand="0" w:evenVBand="0" w:oddHBand="1" w:evenHBand="0" w:firstRowFirstColumn="0" w:firstRowLastColumn="0" w:lastRowFirstColumn="0" w:lastRowLastColumn="0"/>
                <w:trHeight w:val="252"/>
              </w:trPr>
              <w:tc>
                <w:tcPr>
                  <w:tcW w:w="3610" w:type="dxa"/>
                </w:tcPr>
                <w:p w14:paraId="32A17D18" w14:textId="20890A21"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Macalister Irrigation Area</w:t>
                  </w:r>
                </w:p>
              </w:tc>
              <w:tc>
                <w:tcPr>
                  <w:tcW w:w="1345" w:type="dxa"/>
                </w:tcPr>
                <w:p w14:paraId="7848D1D0" w14:textId="422AB66A"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1,140</w:t>
                  </w:r>
                </w:p>
              </w:tc>
              <w:tc>
                <w:tcPr>
                  <w:tcW w:w="1508" w:type="dxa"/>
                </w:tcPr>
                <w:p w14:paraId="35ED9BF3" w14:textId="7BA4CA02"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11.2</w:t>
                  </w:r>
                </w:p>
              </w:tc>
              <w:tc>
                <w:tcPr>
                  <w:tcW w:w="1531" w:type="dxa"/>
                </w:tcPr>
                <w:p w14:paraId="1CA61F70" w14:textId="5CE88596" w:rsidR="00DD0F87" w:rsidRPr="00192F41" w:rsidRDefault="004A69DC" w:rsidP="009E13AC">
                  <w:pPr>
                    <w:spacing w:before="40" w:after="40"/>
                    <w:ind w:left="98" w:hanging="98"/>
                    <w:jc w:val="center"/>
                    <w:rPr>
                      <w:rFonts w:cs="Arial"/>
                      <w:color w:val="000000" w:themeColor="text1"/>
                      <w:sz w:val="20"/>
                      <w:szCs w:val="20"/>
                    </w:rPr>
                  </w:pPr>
                  <w:r w:rsidRPr="004A69DC">
                    <w:rPr>
                      <w:rFonts w:cs="Arial"/>
                      <w:color w:val="000000" w:themeColor="text1"/>
                      <w:kern w:val="24"/>
                      <w:sz w:val="20"/>
                      <w:szCs w:val="20"/>
                    </w:rPr>
                    <w:t>1.5%</w:t>
                  </w:r>
                </w:p>
              </w:tc>
            </w:tr>
            <w:tr w:rsidR="00574D73" w:rsidRPr="00192F41" w14:paraId="22161522" w14:textId="77777777" w:rsidTr="00345E96">
              <w:trPr>
                <w:trHeight w:val="252"/>
              </w:trPr>
              <w:tc>
                <w:tcPr>
                  <w:tcW w:w="3610" w:type="dxa"/>
                </w:tcPr>
                <w:p w14:paraId="193D8309" w14:textId="58A7C538"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Latrobe B</w:t>
                  </w:r>
                  <w:r w:rsidR="00CB3513">
                    <w:rPr>
                      <w:rFonts w:cs="Arial"/>
                      <w:color w:val="000000" w:themeColor="text1"/>
                      <w:kern w:val="24"/>
                      <w:sz w:val="20"/>
                      <w:szCs w:val="20"/>
                    </w:rPr>
                    <w:t>E</w:t>
                  </w:r>
                  <w:r w:rsidRPr="004A69DC">
                    <w:rPr>
                      <w:rFonts w:cs="Arial"/>
                      <w:color w:val="000000" w:themeColor="text1"/>
                      <w:kern w:val="24"/>
                      <w:sz w:val="20"/>
                      <w:szCs w:val="20"/>
                    </w:rPr>
                    <w:t>s</w:t>
                  </w:r>
                  <w:r w:rsidR="00631F07">
                    <w:rPr>
                      <w:rFonts w:cs="Arial"/>
                      <w:color w:val="000000" w:themeColor="text1"/>
                      <w:kern w:val="24"/>
                      <w:sz w:val="20"/>
                      <w:szCs w:val="20"/>
                    </w:rPr>
                    <w:t xml:space="preserve"> (est)</w:t>
                  </w:r>
                </w:p>
              </w:tc>
              <w:tc>
                <w:tcPr>
                  <w:tcW w:w="1345" w:type="dxa"/>
                </w:tcPr>
                <w:p w14:paraId="67D8B979" w14:textId="40325978"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5</w:t>
                  </w:r>
                </w:p>
              </w:tc>
              <w:tc>
                <w:tcPr>
                  <w:tcW w:w="1508" w:type="dxa"/>
                </w:tcPr>
                <w:p w14:paraId="102C8649" w14:textId="669F23D6"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0.0</w:t>
                  </w:r>
                </w:p>
              </w:tc>
              <w:tc>
                <w:tcPr>
                  <w:tcW w:w="1531" w:type="dxa"/>
                </w:tcPr>
                <w:p w14:paraId="0050428F" w14:textId="56BD6AA6"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1.5%</w:t>
                  </w:r>
                </w:p>
              </w:tc>
            </w:tr>
            <w:tr w:rsidR="00574D73" w:rsidRPr="00192F41" w14:paraId="3D924DB3" w14:textId="77777777" w:rsidTr="002051C6">
              <w:trPr>
                <w:cnfStyle w:val="000000100000" w:firstRow="0" w:lastRow="0" w:firstColumn="0" w:lastColumn="0" w:oddVBand="0" w:evenVBand="0" w:oddHBand="1" w:evenHBand="0" w:firstRowFirstColumn="0" w:firstRowLastColumn="0" w:lastRowFirstColumn="0" w:lastRowLastColumn="0"/>
                <w:trHeight w:val="252"/>
              </w:trPr>
              <w:tc>
                <w:tcPr>
                  <w:tcW w:w="3610" w:type="dxa"/>
                  <w:tcBorders>
                    <w:bottom w:val="single" w:sz="4" w:space="0" w:color="auto"/>
                  </w:tcBorders>
                </w:tcPr>
                <w:p w14:paraId="44358122" w14:textId="0F7169FC" w:rsidR="00DD0F87" w:rsidRPr="00192F41" w:rsidRDefault="004A69DC" w:rsidP="009E13AC">
                  <w:pPr>
                    <w:spacing w:before="40" w:after="40"/>
                    <w:contextualSpacing/>
                    <w:rPr>
                      <w:rFonts w:cs="Arial"/>
                      <w:sz w:val="20"/>
                      <w:szCs w:val="20"/>
                    </w:rPr>
                  </w:pPr>
                  <w:r w:rsidRPr="004A69DC">
                    <w:rPr>
                      <w:rFonts w:cs="Arial"/>
                      <w:color w:val="000000" w:themeColor="text1"/>
                      <w:kern w:val="24"/>
                      <w:sz w:val="20"/>
                      <w:szCs w:val="20"/>
                    </w:rPr>
                    <w:t>Werribee and Maribyrnong B</w:t>
                  </w:r>
                  <w:r w:rsidR="00CB3513">
                    <w:rPr>
                      <w:rFonts w:cs="Arial"/>
                      <w:color w:val="000000" w:themeColor="text1"/>
                      <w:kern w:val="24"/>
                      <w:sz w:val="20"/>
                      <w:szCs w:val="20"/>
                    </w:rPr>
                    <w:t>E</w:t>
                  </w:r>
                  <w:r w:rsidRPr="004A69DC">
                    <w:rPr>
                      <w:rFonts w:cs="Arial"/>
                      <w:color w:val="000000" w:themeColor="text1"/>
                      <w:kern w:val="24"/>
                      <w:sz w:val="20"/>
                      <w:szCs w:val="20"/>
                    </w:rPr>
                    <w:t>s</w:t>
                  </w:r>
                  <w:r w:rsidR="00631F07">
                    <w:rPr>
                      <w:rFonts w:cs="Arial"/>
                      <w:color w:val="000000" w:themeColor="text1"/>
                      <w:kern w:val="24"/>
                      <w:sz w:val="20"/>
                      <w:szCs w:val="20"/>
                    </w:rPr>
                    <w:t xml:space="preserve"> (est)</w:t>
                  </w:r>
                </w:p>
              </w:tc>
              <w:tc>
                <w:tcPr>
                  <w:tcW w:w="1345" w:type="dxa"/>
                  <w:tcBorders>
                    <w:bottom w:val="single" w:sz="4" w:space="0" w:color="auto"/>
                  </w:tcBorders>
                </w:tcPr>
                <w:p w14:paraId="53A7DE07" w14:textId="72D24BED" w:rsidR="00DD0F87" w:rsidRPr="00192F41"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4</w:t>
                  </w:r>
                </w:p>
              </w:tc>
              <w:tc>
                <w:tcPr>
                  <w:tcW w:w="1508" w:type="dxa"/>
                  <w:tcBorders>
                    <w:bottom w:val="single" w:sz="4" w:space="0" w:color="auto"/>
                  </w:tcBorders>
                </w:tcPr>
                <w:p w14:paraId="304A0F15" w14:textId="08B7A688" w:rsidR="004A69DC" w:rsidRPr="004A69DC" w:rsidRDefault="004A69DC" w:rsidP="009E13AC">
                  <w:pPr>
                    <w:spacing w:before="40" w:after="40"/>
                    <w:jc w:val="center"/>
                    <w:rPr>
                      <w:rFonts w:cs="Arial"/>
                      <w:color w:val="000000" w:themeColor="text1"/>
                      <w:kern w:val="24"/>
                      <w:sz w:val="20"/>
                      <w:szCs w:val="20"/>
                    </w:rPr>
                  </w:pPr>
                  <w:r w:rsidRPr="004A69DC">
                    <w:rPr>
                      <w:rFonts w:cs="Arial"/>
                      <w:color w:val="000000" w:themeColor="text1"/>
                      <w:kern w:val="24"/>
                      <w:sz w:val="20"/>
                      <w:szCs w:val="20"/>
                    </w:rPr>
                    <w:t>0.0</w:t>
                  </w:r>
                </w:p>
              </w:tc>
              <w:tc>
                <w:tcPr>
                  <w:tcW w:w="1531" w:type="dxa"/>
                  <w:tcBorders>
                    <w:bottom w:val="single" w:sz="4" w:space="0" w:color="auto"/>
                  </w:tcBorders>
                </w:tcPr>
                <w:p w14:paraId="69FD82DD" w14:textId="2723C730" w:rsidR="00DD0F87" w:rsidRPr="00F82275" w:rsidRDefault="004A69DC" w:rsidP="009E13AC">
                  <w:pPr>
                    <w:spacing w:before="40" w:after="40"/>
                    <w:jc w:val="center"/>
                    <w:rPr>
                      <w:rFonts w:cs="Arial"/>
                      <w:color w:val="000000" w:themeColor="text1"/>
                      <w:sz w:val="20"/>
                      <w:szCs w:val="20"/>
                    </w:rPr>
                  </w:pPr>
                  <w:r w:rsidRPr="004A69DC">
                    <w:rPr>
                      <w:rFonts w:cs="Arial"/>
                      <w:color w:val="000000" w:themeColor="text1"/>
                      <w:kern w:val="24"/>
                      <w:sz w:val="20"/>
                      <w:szCs w:val="20"/>
                    </w:rPr>
                    <w:t>1.9%</w:t>
                  </w:r>
                </w:p>
              </w:tc>
            </w:tr>
          </w:tbl>
          <w:bookmarkEnd w:id="11"/>
          <w:p w14:paraId="7F440A32" w14:textId="628D8E0C" w:rsidR="00DD0F87" w:rsidRPr="00192F41" w:rsidRDefault="00DD0F87" w:rsidP="00487DF7">
            <w:pPr>
              <w:spacing w:before="40" w:after="120"/>
              <w:jc w:val="both"/>
              <w:rPr>
                <w:rFonts w:cs="Arial"/>
                <w:color w:val="000000" w:themeColor="text1"/>
                <w:sz w:val="20"/>
                <w:szCs w:val="20"/>
              </w:rPr>
            </w:pPr>
            <w:r w:rsidRPr="00192F41">
              <w:rPr>
                <w:rFonts w:cs="Arial"/>
                <w:color w:val="000000" w:themeColor="text1"/>
                <w:sz w:val="20"/>
                <w:szCs w:val="20"/>
              </w:rPr>
              <w:t xml:space="preserve">The variation </w:t>
            </w:r>
            <w:r w:rsidR="004942FF" w:rsidRPr="00192F41">
              <w:rPr>
                <w:rFonts w:cs="Arial"/>
                <w:color w:val="000000" w:themeColor="text1"/>
                <w:sz w:val="20"/>
                <w:szCs w:val="20"/>
              </w:rPr>
              <w:t xml:space="preserve">between customer groups </w:t>
            </w:r>
            <w:r w:rsidRPr="00192F41">
              <w:rPr>
                <w:rFonts w:cs="Arial"/>
                <w:color w:val="000000" w:themeColor="text1"/>
                <w:sz w:val="20"/>
                <w:szCs w:val="20"/>
              </w:rPr>
              <w:t xml:space="preserve">is reflective of the capital investment SRW has been making in the modernisation of each </w:t>
            </w:r>
            <w:r w:rsidR="004942FF" w:rsidRPr="00192F41">
              <w:rPr>
                <w:rFonts w:cs="Arial"/>
                <w:color w:val="000000" w:themeColor="text1"/>
                <w:sz w:val="20"/>
                <w:szCs w:val="20"/>
              </w:rPr>
              <w:t>of our</w:t>
            </w:r>
            <w:r w:rsidRPr="00192F41">
              <w:rPr>
                <w:rFonts w:cs="Arial"/>
                <w:color w:val="000000" w:themeColor="text1"/>
                <w:sz w:val="20"/>
                <w:szCs w:val="20"/>
              </w:rPr>
              <w:t xml:space="preserve"> irrigation districts and the business in general.</w:t>
            </w:r>
          </w:p>
          <w:p w14:paraId="70482635" w14:textId="61789CBB" w:rsidR="00DD0F87" w:rsidRPr="00192F41" w:rsidRDefault="00DD0F87" w:rsidP="009E13AC">
            <w:pPr>
              <w:spacing w:before="40" w:after="40"/>
              <w:jc w:val="both"/>
              <w:rPr>
                <w:rFonts w:cs="Arial"/>
                <w:color w:val="000000" w:themeColor="text1"/>
                <w:sz w:val="20"/>
                <w:szCs w:val="20"/>
              </w:rPr>
            </w:pPr>
            <w:bookmarkStart w:id="12" w:name="_Hlk106202786"/>
            <w:r w:rsidRPr="00192F41">
              <w:rPr>
                <w:rFonts w:cs="Arial"/>
                <w:color w:val="000000" w:themeColor="text1"/>
                <w:sz w:val="20"/>
                <w:szCs w:val="20"/>
              </w:rPr>
              <w:t xml:space="preserve">The </w:t>
            </w:r>
            <w:r w:rsidR="009D623F" w:rsidRPr="00192F41">
              <w:rPr>
                <w:rFonts w:cs="Arial"/>
                <w:color w:val="000000" w:themeColor="text1"/>
                <w:sz w:val="20"/>
                <w:szCs w:val="20"/>
              </w:rPr>
              <w:t>bulk entitlement (</w:t>
            </w:r>
            <w:r w:rsidRPr="00192F41">
              <w:rPr>
                <w:rFonts w:cs="Arial"/>
                <w:color w:val="000000" w:themeColor="text1"/>
                <w:sz w:val="20"/>
                <w:szCs w:val="20"/>
              </w:rPr>
              <w:t>BE</w:t>
            </w:r>
            <w:r w:rsidR="009D623F" w:rsidRPr="00192F41">
              <w:rPr>
                <w:rFonts w:cs="Arial"/>
                <w:color w:val="000000" w:themeColor="text1"/>
                <w:sz w:val="20"/>
                <w:szCs w:val="20"/>
              </w:rPr>
              <w:t>)</w:t>
            </w:r>
            <w:r w:rsidRPr="00192F41">
              <w:rPr>
                <w:rFonts w:cs="Arial"/>
                <w:color w:val="000000" w:themeColor="text1"/>
                <w:sz w:val="20"/>
                <w:szCs w:val="20"/>
              </w:rPr>
              <w:t xml:space="preserve"> prices are indicative only and will be based on real costs calculated in accordance with the respective </w:t>
            </w:r>
            <w:r w:rsidR="00477217">
              <w:rPr>
                <w:rFonts w:cs="Arial"/>
                <w:color w:val="000000" w:themeColor="text1"/>
                <w:sz w:val="20"/>
                <w:szCs w:val="20"/>
              </w:rPr>
              <w:t>BE</w:t>
            </w:r>
            <w:r w:rsidRPr="00192F41">
              <w:rPr>
                <w:rFonts w:cs="Arial"/>
                <w:color w:val="000000" w:themeColor="text1"/>
                <w:sz w:val="20"/>
                <w:szCs w:val="20"/>
              </w:rPr>
              <w:t xml:space="preserve"> </w:t>
            </w:r>
            <w:r w:rsidR="009D623F" w:rsidRPr="00192F41">
              <w:rPr>
                <w:rFonts w:cs="Arial"/>
                <w:color w:val="000000" w:themeColor="text1"/>
                <w:sz w:val="20"/>
                <w:szCs w:val="20"/>
              </w:rPr>
              <w:t>o</w:t>
            </w:r>
            <w:r w:rsidRPr="00192F41">
              <w:rPr>
                <w:rFonts w:cs="Arial"/>
                <w:color w:val="000000" w:themeColor="text1"/>
                <w:sz w:val="20"/>
                <w:szCs w:val="20"/>
              </w:rPr>
              <w:t>rders.</w:t>
            </w:r>
            <w:bookmarkEnd w:id="12"/>
          </w:p>
        </w:tc>
      </w:tr>
      <w:tr w:rsidR="00DD0F87" w:rsidRPr="00192F41" w14:paraId="5190E650" w14:textId="77777777" w:rsidTr="00B72C41">
        <w:trPr>
          <w:trHeight w:val="452"/>
        </w:trPr>
        <w:tc>
          <w:tcPr>
            <w:tcW w:w="1750" w:type="dxa"/>
            <w:shd w:val="clear" w:color="auto" w:fill="F2F2F2" w:themeFill="background1" w:themeFillShade="F2"/>
          </w:tcPr>
          <w:p w14:paraId="53F48018" w14:textId="77777777" w:rsidR="00DD0F87" w:rsidRPr="00192F41" w:rsidRDefault="00DD0F87"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CAPEX</w:t>
            </w:r>
          </w:p>
        </w:tc>
        <w:tc>
          <w:tcPr>
            <w:tcW w:w="7987" w:type="dxa"/>
            <w:shd w:val="clear" w:color="auto" w:fill="F2F2F2" w:themeFill="background1" w:themeFillShade="F2"/>
          </w:tcPr>
          <w:p w14:paraId="65E30703" w14:textId="13996C3F" w:rsidR="00DD0F87" w:rsidRPr="00192F41" w:rsidRDefault="00DD0F87" w:rsidP="009E13AC">
            <w:pPr>
              <w:spacing w:before="40" w:after="40"/>
              <w:jc w:val="both"/>
              <w:rPr>
                <w:rFonts w:cs="Arial"/>
                <w:color w:val="000000" w:themeColor="text1"/>
                <w:sz w:val="20"/>
                <w:szCs w:val="20"/>
              </w:rPr>
            </w:pPr>
            <w:r w:rsidRPr="00192F41">
              <w:rPr>
                <w:rFonts w:cs="Arial"/>
                <w:color w:val="000000" w:themeColor="text1"/>
                <w:sz w:val="20"/>
                <w:szCs w:val="20"/>
              </w:rPr>
              <w:t xml:space="preserve">Capital expenditure </w:t>
            </w:r>
            <w:r w:rsidR="000972E1" w:rsidRPr="00FB6A54">
              <w:rPr>
                <w:rFonts w:cs="Arial"/>
                <w:color w:val="000000" w:themeColor="text1"/>
                <w:sz w:val="20"/>
                <w:szCs w:val="20"/>
              </w:rPr>
              <w:t>(CAPEX)</w:t>
            </w:r>
            <w:r w:rsidRPr="00F82275">
              <w:rPr>
                <w:rFonts w:cs="Arial"/>
                <w:color w:val="000000" w:themeColor="text1"/>
                <w:sz w:val="20"/>
                <w:szCs w:val="20"/>
              </w:rPr>
              <w:t xml:space="preserve"> </w:t>
            </w:r>
            <w:r w:rsidRPr="00192F41">
              <w:rPr>
                <w:rFonts w:cs="Arial"/>
                <w:color w:val="000000" w:themeColor="text1"/>
                <w:sz w:val="20"/>
                <w:szCs w:val="20"/>
              </w:rPr>
              <w:t>is based on our 25</w:t>
            </w:r>
            <w:r w:rsidR="0098444C" w:rsidRPr="00F82275">
              <w:rPr>
                <w:rFonts w:cs="Arial"/>
                <w:color w:val="000000" w:themeColor="text1"/>
                <w:sz w:val="20"/>
                <w:szCs w:val="20"/>
              </w:rPr>
              <w:t>-</w:t>
            </w:r>
            <w:r w:rsidRPr="00192F41">
              <w:rPr>
                <w:rFonts w:cs="Arial"/>
                <w:color w:val="000000" w:themeColor="text1"/>
                <w:sz w:val="20"/>
                <w:szCs w:val="20"/>
              </w:rPr>
              <w:t>y</w:t>
            </w:r>
            <w:r w:rsidR="009D623F" w:rsidRPr="00192F41">
              <w:rPr>
                <w:rFonts w:cs="Arial"/>
                <w:color w:val="000000" w:themeColor="text1"/>
                <w:sz w:val="20"/>
                <w:szCs w:val="20"/>
              </w:rPr>
              <w:t>ea</w:t>
            </w:r>
            <w:r w:rsidRPr="00192F41">
              <w:rPr>
                <w:rFonts w:cs="Arial"/>
                <w:color w:val="000000" w:themeColor="text1"/>
                <w:sz w:val="20"/>
                <w:szCs w:val="20"/>
              </w:rPr>
              <w:t>r CAPEX plan</w:t>
            </w:r>
            <w:r w:rsidRPr="076E6D65">
              <w:rPr>
                <w:rFonts w:cs="Arial"/>
                <w:color w:val="000000" w:themeColor="text1"/>
                <w:sz w:val="20"/>
                <w:szCs w:val="20"/>
              </w:rPr>
              <w:t xml:space="preserve"> and focus</w:t>
            </w:r>
            <w:r w:rsidR="00F60D84">
              <w:rPr>
                <w:rFonts w:cs="Arial"/>
                <w:color w:val="000000" w:themeColor="text1"/>
                <w:sz w:val="20"/>
                <w:szCs w:val="20"/>
              </w:rPr>
              <w:t>s</w:t>
            </w:r>
            <w:r w:rsidRPr="076E6D65">
              <w:rPr>
                <w:rFonts w:cs="Arial"/>
                <w:color w:val="000000" w:themeColor="text1"/>
                <w:sz w:val="20"/>
                <w:szCs w:val="20"/>
              </w:rPr>
              <w:t>es</w:t>
            </w:r>
            <w:r w:rsidRPr="00192F41">
              <w:rPr>
                <w:rFonts w:cs="Arial"/>
                <w:color w:val="000000" w:themeColor="text1"/>
                <w:sz w:val="20"/>
                <w:szCs w:val="20"/>
              </w:rPr>
              <w:t xml:space="preserve"> on delivering </w:t>
            </w:r>
            <w:r w:rsidRPr="076E6D65">
              <w:rPr>
                <w:rFonts w:cs="Arial"/>
                <w:color w:val="000000" w:themeColor="text1"/>
                <w:sz w:val="20"/>
                <w:szCs w:val="20"/>
              </w:rPr>
              <w:t>critical asset renewals</w:t>
            </w:r>
            <w:r w:rsidRPr="279134D7">
              <w:rPr>
                <w:rFonts w:cs="Arial"/>
                <w:color w:val="000000" w:themeColor="text1"/>
                <w:sz w:val="20"/>
                <w:szCs w:val="20"/>
              </w:rPr>
              <w:t xml:space="preserve"> and </w:t>
            </w:r>
            <w:r w:rsidRPr="076E6D65">
              <w:rPr>
                <w:rFonts w:cs="Arial"/>
                <w:color w:val="000000" w:themeColor="text1"/>
                <w:sz w:val="20"/>
                <w:szCs w:val="20"/>
              </w:rPr>
              <w:t>ongoing modernisation</w:t>
            </w:r>
            <w:r w:rsidRPr="279134D7">
              <w:rPr>
                <w:rFonts w:cs="Arial"/>
                <w:color w:val="000000" w:themeColor="text1"/>
                <w:sz w:val="20"/>
                <w:szCs w:val="20"/>
              </w:rPr>
              <w:t>, and works to support</w:t>
            </w:r>
            <w:r w:rsidRPr="076E6D65">
              <w:rPr>
                <w:rFonts w:cs="Arial"/>
                <w:color w:val="000000" w:themeColor="text1"/>
                <w:sz w:val="20"/>
                <w:szCs w:val="20"/>
              </w:rPr>
              <w:t xml:space="preserve"> </w:t>
            </w:r>
            <w:r w:rsidRPr="00192F41">
              <w:rPr>
                <w:rFonts w:cs="Arial"/>
                <w:color w:val="000000" w:themeColor="text1"/>
                <w:sz w:val="20"/>
                <w:szCs w:val="20"/>
              </w:rPr>
              <w:t xml:space="preserve">our </w:t>
            </w:r>
            <w:r w:rsidRPr="076E6D65">
              <w:rPr>
                <w:rFonts w:cs="Arial"/>
                <w:color w:val="000000" w:themeColor="text1"/>
                <w:sz w:val="20"/>
                <w:szCs w:val="20"/>
              </w:rPr>
              <w:t>compliance</w:t>
            </w:r>
            <w:r w:rsidRPr="00192F41">
              <w:rPr>
                <w:rFonts w:cs="Arial"/>
                <w:color w:val="000000" w:themeColor="text1"/>
                <w:sz w:val="20"/>
                <w:szCs w:val="20"/>
              </w:rPr>
              <w:t xml:space="preserve"> obligations </w:t>
            </w:r>
            <w:r w:rsidR="00EA559D" w:rsidRPr="00192F41">
              <w:rPr>
                <w:rFonts w:cs="Arial"/>
                <w:color w:val="000000" w:themeColor="text1"/>
                <w:sz w:val="20"/>
                <w:szCs w:val="20"/>
              </w:rPr>
              <w:t>(i.e</w:t>
            </w:r>
            <w:r w:rsidR="00A45DF3" w:rsidRPr="00F82275">
              <w:rPr>
                <w:rFonts w:cs="Arial"/>
                <w:color w:val="000000" w:themeColor="text1"/>
                <w:sz w:val="20"/>
                <w:szCs w:val="20"/>
              </w:rPr>
              <w:t>.,</w:t>
            </w:r>
            <w:r w:rsidR="00EA559D" w:rsidRPr="00192F41">
              <w:rPr>
                <w:rFonts w:cs="Arial"/>
                <w:color w:val="000000" w:themeColor="text1"/>
                <w:sz w:val="20"/>
                <w:szCs w:val="20"/>
              </w:rPr>
              <w:t xml:space="preserve"> dam safety)</w:t>
            </w:r>
            <w:r w:rsidR="003B2FE4">
              <w:rPr>
                <w:rFonts w:cs="Arial"/>
                <w:color w:val="000000" w:themeColor="text1"/>
                <w:sz w:val="20"/>
                <w:szCs w:val="20"/>
              </w:rPr>
              <w:t>.</w:t>
            </w:r>
            <w:r w:rsidRPr="279134D7">
              <w:rPr>
                <w:rFonts w:cs="Arial"/>
                <w:color w:val="000000" w:themeColor="text1"/>
                <w:sz w:val="20"/>
                <w:szCs w:val="20"/>
              </w:rPr>
              <w:t xml:space="preserve"> The proposed </w:t>
            </w:r>
            <w:r w:rsidRPr="00E95D21">
              <w:rPr>
                <w:rFonts w:cs="Arial"/>
                <w:color w:val="000000" w:themeColor="text1"/>
                <w:sz w:val="20"/>
                <w:szCs w:val="20"/>
              </w:rPr>
              <w:t xml:space="preserve">CAPEX for the </w:t>
            </w:r>
            <w:r w:rsidR="00C21E95" w:rsidRPr="00E95D21">
              <w:rPr>
                <w:rFonts w:cs="Arial"/>
                <w:color w:val="000000" w:themeColor="text1"/>
                <w:sz w:val="20"/>
                <w:szCs w:val="20"/>
              </w:rPr>
              <w:t>regulatory</w:t>
            </w:r>
            <w:r w:rsidRPr="00E95D21">
              <w:rPr>
                <w:rFonts w:cs="Arial"/>
                <w:color w:val="000000" w:themeColor="text1"/>
                <w:sz w:val="20"/>
                <w:szCs w:val="20"/>
              </w:rPr>
              <w:t xml:space="preserve"> period is $</w:t>
            </w:r>
            <w:r w:rsidR="00E95D21" w:rsidRPr="00E95D21">
              <w:rPr>
                <w:rFonts w:cs="Arial"/>
                <w:color w:val="000000" w:themeColor="text1"/>
                <w:sz w:val="20"/>
                <w:szCs w:val="20"/>
              </w:rPr>
              <w:t>125</w:t>
            </w:r>
            <w:r w:rsidR="00AC7B51">
              <w:rPr>
                <w:rFonts w:cs="Arial"/>
                <w:color w:val="000000" w:themeColor="text1"/>
                <w:sz w:val="20"/>
                <w:szCs w:val="20"/>
              </w:rPr>
              <w:t xml:space="preserve"> </w:t>
            </w:r>
            <w:r w:rsidR="00E95D21" w:rsidRPr="00E95D21">
              <w:rPr>
                <w:rFonts w:cs="Arial"/>
                <w:color w:val="000000" w:themeColor="text1"/>
                <w:sz w:val="20"/>
                <w:szCs w:val="20"/>
              </w:rPr>
              <w:t>m</w:t>
            </w:r>
            <w:r w:rsidR="00AC7B51">
              <w:rPr>
                <w:rFonts w:cs="Arial"/>
                <w:color w:val="000000" w:themeColor="text1"/>
                <w:sz w:val="20"/>
                <w:szCs w:val="20"/>
              </w:rPr>
              <w:t>illion</w:t>
            </w:r>
            <w:r w:rsidR="00E95D21" w:rsidRPr="00E95D21">
              <w:rPr>
                <w:rFonts w:cs="Arial"/>
                <w:color w:val="000000" w:themeColor="text1"/>
                <w:sz w:val="20"/>
                <w:szCs w:val="20"/>
              </w:rPr>
              <w:t>.</w:t>
            </w:r>
            <w:r w:rsidR="00E95D21" w:rsidRPr="00E95D21">
              <w:rPr>
                <w:rFonts w:cs="Arial"/>
                <w:color w:val="000000" w:themeColor="text1"/>
                <w:sz w:val="20"/>
                <w:szCs w:val="20"/>
              </w:rPr>
              <w:tab/>
            </w:r>
            <w:r w:rsidR="00E95D21" w:rsidRPr="00E95D21">
              <w:rPr>
                <w:rFonts w:cs="Arial"/>
                <w:color w:val="000000" w:themeColor="text1"/>
                <w:sz w:val="20"/>
                <w:szCs w:val="20"/>
              </w:rPr>
              <w:tab/>
            </w:r>
            <w:r w:rsidR="00E95D21" w:rsidRPr="00E95D21">
              <w:rPr>
                <w:rFonts w:cs="Arial"/>
                <w:color w:val="000000" w:themeColor="text1"/>
                <w:sz w:val="20"/>
                <w:szCs w:val="20"/>
              </w:rPr>
              <w:tab/>
            </w:r>
          </w:p>
        </w:tc>
      </w:tr>
      <w:tr w:rsidR="00DD0F87" w:rsidRPr="00192F41" w14:paraId="31198A2E" w14:textId="77777777" w:rsidTr="00010896">
        <w:trPr>
          <w:trHeight w:val="652"/>
        </w:trPr>
        <w:tc>
          <w:tcPr>
            <w:tcW w:w="1750" w:type="dxa"/>
          </w:tcPr>
          <w:p w14:paraId="3EE07E4D" w14:textId="77777777" w:rsidR="00DD0F87" w:rsidRPr="00192F41" w:rsidRDefault="00DD0F87"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OPEX</w:t>
            </w:r>
          </w:p>
        </w:tc>
        <w:tc>
          <w:tcPr>
            <w:tcW w:w="7987" w:type="dxa"/>
          </w:tcPr>
          <w:p w14:paraId="455A37C0" w14:textId="798815CA" w:rsidR="00DD0F87" w:rsidRPr="00192F41" w:rsidRDefault="00DD0F87" w:rsidP="009E13AC">
            <w:pPr>
              <w:spacing w:before="40" w:after="40"/>
              <w:jc w:val="both"/>
              <w:rPr>
                <w:rFonts w:cs="Arial"/>
                <w:color w:val="000000" w:themeColor="text1"/>
                <w:sz w:val="20"/>
                <w:szCs w:val="20"/>
              </w:rPr>
            </w:pPr>
            <w:r w:rsidRPr="00192F41">
              <w:rPr>
                <w:rFonts w:cs="Arial"/>
                <w:color w:val="000000" w:themeColor="text1"/>
                <w:sz w:val="20"/>
                <w:szCs w:val="20"/>
              </w:rPr>
              <w:t xml:space="preserve">Our </w:t>
            </w:r>
            <w:r w:rsidR="000972E1" w:rsidRPr="00FB6A54">
              <w:rPr>
                <w:rFonts w:cs="Arial"/>
                <w:color w:val="000000" w:themeColor="text1"/>
                <w:sz w:val="20"/>
                <w:szCs w:val="20"/>
              </w:rPr>
              <w:t>operating expenditure</w:t>
            </w:r>
            <w:r w:rsidR="000972E1">
              <w:rPr>
                <w:rFonts w:cs="Arial"/>
                <w:color w:val="000000" w:themeColor="text1"/>
                <w:sz w:val="20"/>
                <w:szCs w:val="20"/>
              </w:rPr>
              <w:t xml:space="preserve"> (</w:t>
            </w:r>
            <w:r w:rsidRPr="00192F41">
              <w:rPr>
                <w:rFonts w:cs="Arial"/>
                <w:color w:val="000000" w:themeColor="text1"/>
                <w:sz w:val="20"/>
                <w:szCs w:val="20"/>
              </w:rPr>
              <w:t>OPEX</w:t>
            </w:r>
            <w:r w:rsidR="000972E1">
              <w:rPr>
                <w:rFonts w:cs="Arial"/>
                <w:color w:val="000000" w:themeColor="text1"/>
                <w:sz w:val="20"/>
                <w:szCs w:val="20"/>
              </w:rPr>
              <w:t>)</w:t>
            </w:r>
            <w:r w:rsidRPr="00192F41">
              <w:rPr>
                <w:rFonts w:cs="Arial"/>
                <w:color w:val="000000" w:themeColor="text1"/>
                <w:sz w:val="20"/>
                <w:szCs w:val="20"/>
              </w:rPr>
              <w:t xml:space="preserve"> </w:t>
            </w:r>
            <w:r w:rsidR="002D2A12" w:rsidRPr="00192F41">
              <w:rPr>
                <w:rFonts w:cs="Arial"/>
                <w:color w:val="000000" w:themeColor="text1"/>
                <w:sz w:val="20"/>
                <w:szCs w:val="20"/>
              </w:rPr>
              <w:t>considers</w:t>
            </w:r>
            <w:r w:rsidRPr="00192F41">
              <w:rPr>
                <w:rFonts w:cs="Arial"/>
                <w:color w:val="000000" w:themeColor="text1"/>
                <w:sz w:val="20"/>
                <w:szCs w:val="20"/>
              </w:rPr>
              <w:t xml:space="preserve"> customer expectations and increased business obligations, along with desired productivity improvements and savings</w:t>
            </w:r>
            <w:r w:rsidR="00B76090" w:rsidRPr="00192F41">
              <w:rPr>
                <w:rFonts w:cs="Arial"/>
                <w:color w:val="000000" w:themeColor="text1"/>
                <w:sz w:val="20"/>
                <w:szCs w:val="20"/>
              </w:rPr>
              <w:t xml:space="preserve">, leading to </w:t>
            </w:r>
            <w:r w:rsidR="00B76090" w:rsidRPr="00862849">
              <w:rPr>
                <w:rFonts w:cs="Arial"/>
                <w:color w:val="000000" w:themeColor="text1"/>
                <w:sz w:val="20"/>
                <w:szCs w:val="20"/>
              </w:rPr>
              <w:t>a</w:t>
            </w:r>
            <w:r w:rsidR="00CD327F" w:rsidRPr="00862849">
              <w:rPr>
                <w:rFonts w:cs="Arial"/>
                <w:color w:val="000000" w:themeColor="text1"/>
                <w:sz w:val="20"/>
                <w:szCs w:val="20"/>
              </w:rPr>
              <w:t xml:space="preserve">n </w:t>
            </w:r>
            <w:r w:rsidR="00CD327F" w:rsidRPr="00C4659B">
              <w:rPr>
                <w:rFonts w:cs="Arial"/>
                <w:color w:val="000000" w:themeColor="text1"/>
                <w:sz w:val="20"/>
                <w:szCs w:val="20"/>
              </w:rPr>
              <w:t>OPEX budget of $</w:t>
            </w:r>
            <w:r w:rsidR="007553B0" w:rsidRPr="00C4659B">
              <w:rPr>
                <w:rFonts w:cs="Arial"/>
                <w:color w:val="000000" w:themeColor="text1"/>
                <w:sz w:val="20"/>
                <w:szCs w:val="20"/>
              </w:rPr>
              <w:t>24.</w:t>
            </w:r>
            <w:r w:rsidR="00B8517A">
              <w:rPr>
                <w:rFonts w:cs="Arial"/>
                <w:color w:val="000000" w:themeColor="text1"/>
                <w:sz w:val="20"/>
                <w:szCs w:val="20"/>
              </w:rPr>
              <w:t>6</w:t>
            </w:r>
            <w:r w:rsidR="00AC7B51">
              <w:rPr>
                <w:rFonts w:cs="Arial"/>
                <w:color w:val="000000" w:themeColor="text1"/>
                <w:sz w:val="20"/>
                <w:szCs w:val="20"/>
              </w:rPr>
              <w:t xml:space="preserve"> million</w:t>
            </w:r>
            <w:r w:rsidR="00CD327F" w:rsidRPr="00C4659B">
              <w:rPr>
                <w:rFonts w:cs="Arial"/>
                <w:color w:val="000000" w:themeColor="text1"/>
                <w:sz w:val="20"/>
                <w:szCs w:val="20"/>
              </w:rPr>
              <w:t xml:space="preserve"> </w:t>
            </w:r>
            <w:r w:rsidR="00361F80" w:rsidRPr="00C4659B">
              <w:rPr>
                <w:rFonts w:cs="Arial"/>
                <w:color w:val="000000" w:themeColor="text1"/>
                <w:sz w:val="20"/>
                <w:szCs w:val="20"/>
              </w:rPr>
              <w:t>in 2023-24</w:t>
            </w:r>
            <w:r w:rsidR="005226F4" w:rsidRPr="00C4659B">
              <w:rPr>
                <w:rFonts w:cs="Arial"/>
                <w:color w:val="000000" w:themeColor="text1"/>
                <w:sz w:val="20"/>
                <w:szCs w:val="20"/>
              </w:rPr>
              <w:t>.</w:t>
            </w:r>
          </w:p>
        </w:tc>
      </w:tr>
      <w:tr w:rsidR="00DD0F87" w:rsidRPr="00192F41" w14:paraId="789F9C24" w14:textId="77777777" w:rsidTr="00B72C41">
        <w:trPr>
          <w:trHeight w:val="238"/>
        </w:trPr>
        <w:tc>
          <w:tcPr>
            <w:tcW w:w="1750" w:type="dxa"/>
            <w:shd w:val="clear" w:color="auto" w:fill="F2F2F2" w:themeFill="background1" w:themeFillShade="F2"/>
          </w:tcPr>
          <w:p w14:paraId="3BD6E0DA" w14:textId="63A90A4A" w:rsidR="00DD0F87" w:rsidRPr="00192F41" w:rsidRDefault="004B582A"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Productivity</w:t>
            </w:r>
          </w:p>
        </w:tc>
        <w:tc>
          <w:tcPr>
            <w:tcW w:w="7987" w:type="dxa"/>
            <w:shd w:val="clear" w:color="auto" w:fill="F2F2F2" w:themeFill="background1" w:themeFillShade="F2"/>
          </w:tcPr>
          <w:p w14:paraId="3D7CD261" w14:textId="3C18D550" w:rsidR="00DD0F87" w:rsidRPr="00192F41" w:rsidRDefault="004942FF" w:rsidP="009E13AC">
            <w:pPr>
              <w:spacing w:before="40" w:after="40"/>
              <w:jc w:val="both"/>
              <w:rPr>
                <w:rFonts w:cs="Arial"/>
                <w:color w:val="000000" w:themeColor="text1"/>
                <w:sz w:val="20"/>
                <w:szCs w:val="20"/>
              </w:rPr>
            </w:pPr>
            <w:r w:rsidRPr="00192F41">
              <w:rPr>
                <w:rFonts w:cs="Arial"/>
                <w:color w:val="000000" w:themeColor="text1"/>
                <w:sz w:val="20"/>
                <w:szCs w:val="20"/>
              </w:rPr>
              <w:t>Our e</w:t>
            </w:r>
            <w:r w:rsidR="00DD0F87" w:rsidRPr="00192F41">
              <w:rPr>
                <w:rFonts w:cs="Arial"/>
                <w:color w:val="000000" w:themeColor="text1"/>
                <w:sz w:val="20"/>
                <w:szCs w:val="20"/>
              </w:rPr>
              <w:t xml:space="preserve">fficiency measures </w:t>
            </w:r>
            <w:r w:rsidRPr="00192F41">
              <w:rPr>
                <w:rFonts w:cs="Arial"/>
                <w:color w:val="000000" w:themeColor="text1"/>
                <w:sz w:val="20"/>
                <w:szCs w:val="20"/>
              </w:rPr>
              <w:t xml:space="preserve">will </w:t>
            </w:r>
            <w:r w:rsidR="00DD0F87" w:rsidRPr="00192F41">
              <w:rPr>
                <w:rFonts w:cs="Arial"/>
                <w:color w:val="000000" w:themeColor="text1"/>
                <w:sz w:val="20"/>
                <w:szCs w:val="20"/>
              </w:rPr>
              <w:t xml:space="preserve">deliver </w:t>
            </w:r>
            <w:r w:rsidR="001329E2">
              <w:rPr>
                <w:rFonts w:cs="Arial"/>
                <w:color w:val="000000" w:themeColor="text1"/>
                <w:sz w:val="20"/>
                <w:szCs w:val="20"/>
              </w:rPr>
              <w:t>productivity savings</w:t>
            </w:r>
            <w:r w:rsidR="00DD0F87" w:rsidRPr="00192F41">
              <w:rPr>
                <w:rFonts w:cs="Arial"/>
                <w:color w:val="000000" w:themeColor="text1"/>
                <w:sz w:val="20"/>
                <w:szCs w:val="20"/>
              </w:rPr>
              <w:t xml:space="preserve"> of 1% per </w:t>
            </w:r>
            <w:r w:rsidR="001329E2">
              <w:rPr>
                <w:rFonts w:cs="Arial"/>
                <w:color w:val="000000" w:themeColor="text1"/>
                <w:sz w:val="20"/>
                <w:szCs w:val="20"/>
              </w:rPr>
              <w:t>annum</w:t>
            </w:r>
            <w:r w:rsidR="00DD0F87" w:rsidRPr="00192F41">
              <w:rPr>
                <w:rFonts w:cs="Arial"/>
                <w:color w:val="000000" w:themeColor="text1"/>
                <w:sz w:val="20"/>
                <w:szCs w:val="20"/>
              </w:rPr>
              <w:t>.</w:t>
            </w:r>
          </w:p>
        </w:tc>
      </w:tr>
      <w:tr w:rsidR="00DD0F87" w:rsidRPr="00192F41" w14:paraId="1EA06F2B" w14:textId="77777777" w:rsidTr="00010896">
        <w:trPr>
          <w:trHeight w:val="342"/>
        </w:trPr>
        <w:tc>
          <w:tcPr>
            <w:tcW w:w="1750" w:type="dxa"/>
          </w:tcPr>
          <w:p w14:paraId="1E36072B" w14:textId="66FCAC0C" w:rsidR="00DD0F87" w:rsidRPr="00192F41" w:rsidRDefault="004B582A"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Engagement</w:t>
            </w:r>
          </w:p>
        </w:tc>
        <w:tc>
          <w:tcPr>
            <w:tcW w:w="7987" w:type="dxa"/>
          </w:tcPr>
          <w:p w14:paraId="19BDBA4A" w14:textId="6B92265C" w:rsidR="00DD0F87" w:rsidRPr="00192F41" w:rsidRDefault="00DD0F87" w:rsidP="009E13AC">
            <w:pPr>
              <w:spacing w:before="40" w:after="40"/>
              <w:jc w:val="both"/>
              <w:rPr>
                <w:rFonts w:cs="Arial"/>
                <w:color w:val="000000" w:themeColor="text1"/>
                <w:sz w:val="20"/>
                <w:szCs w:val="20"/>
              </w:rPr>
            </w:pPr>
            <w:r w:rsidRPr="00192F41">
              <w:rPr>
                <w:rFonts w:cs="Arial"/>
                <w:color w:val="000000" w:themeColor="text1"/>
                <w:sz w:val="20"/>
                <w:szCs w:val="20"/>
              </w:rPr>
              <w:t xml:space="preserve">The </w:t>
            </w:r>
            <w:r w:rsidR="00AE0DF4" w:rsidRPr="00192F41">
              <w:rPr>
                <w:rFonts w:cs="Arial"/>
                <w:color w:val="000000" w:themeColor="text1"/>
                <w:sz w:val="20"/>
                <w:szCs w:val="20"/>
              </w:rPr>
              <w:t>Price S</w:t>
            </w:r>
            <w:r w:rsidRPr="00192F41">
              <w:rPr>
                <w:rFonts w:cs="Arial"/>
                <w:color w:val="000000" w:themeColor="text1"/>
                <w:sz w:val="20"/>
                <w:szCs w:val="20"/>
              </w:rPr>
              <w:t>ubmission</w:t>
            </w:r>
            <w:r w:rsidR="004942FF" w:rsidRPr="00192F41">
              <w:rPr>
                <w:rFonts w:cs="Arial"/>
                <w:color w:val="000000" w:themeColor="text1"/>
                <w:sz w:val="20"/>
                <w:szCs w:val="20"/>
              </w:rPr>
              <w:t xml:space="preserve"> 2023</w:t>
            </w:r>
            <w:r w:rsidRPr="00192F41">
              <w:rPr>
                <w:rFonts w:cs="Arial"/>
                <w:color w:val="000000" w:themeColor="text1"/>
                <w:sz w:val="20"/>
                <w:szCs w:val="20"/>
              </w:rPr>
              <w:t xml:space="preserve"> has been developed through a tailored engagement program, designed to enable SRW to understand the priorities of our customers.</w:t>
            </w:r>
          </w:p>
        </w:tc>
      </w:tr>
      <w:tr w:rsidR="00DD0F87" w:rsidRPr="00192F41" w14:paraId="102A336F" w14:textId="77777777" w:rsidTr="00B72C41">
        <w:trPr>
          <w:trHeight w:val="106"/>
        </w:trPr>
        <w:tc>
          <w:tcPr>
            <w:tcW w:w="1750" w:type="dxa"/>
            <w:shd w:val="clear" w:color="auto" w:fill="F2F2F2" w:themeFill="background1" w:themeFillShade="F2"/>
          </w:tcPr>
          <w:p w14:paraId="0BD586A3" w14:textId="0661292C" w:rsidR="00DD0F87" w:rsidRPr="00192F41" w:rsidRDefault="004B582A"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Outcomes</w:t>
            </w:r>
          </w:p>
        </w:tc>
        <w:tc>
          <w:tcPr>
            <w:tcW w:w="7987" w:type="dxa"/>
            <w:shd w:val="clear" w:color="auto" w:fill="F2F2F2" w:themeFill="background1" w:themeFillShade="F2"/>
          </w:tcPr>
          <w:p w14:paraId="199ACFAB" w14:textId="77777777" w:rsidR="00DD0F87" w:rsidRPr="00192F41" w:rsidRDefault="00DD0F87" w:rsidP="009E13AC">
            <w:pPr>
              <w:spacing w:before="40" w:after="40"/>
              <w:jc w:val="both"/>
              <w:rPr>
                <w:rFonts w:cs="Arial"/>
                <w:color w:val="000000" w:themeColor="text1"/>
                <w:sz w:val="20"/>
                <w:szCs w:val="20"/>
              </w:rPr>
            </w:pPr>
            <w:r w:rsidRPr="00192F41">
              <w:rPr>
                <w:rFonts w:cs="Arial"/>
                <w:color w:val="000000" w:themeColor="text1"/>
                <w:sz w:val="20"/>
                <w:szCs w:val="20"/>
              </w:rPr>
              <w:t>Our submission is based on maintaining existing service levels and providing the following customer outcomes:</w:t>
            </w:r>
          </w:p>
          <w:p w14:paraId="631D8C4A" w14:textId="221156B4" w:rsidR="00DD0F87" w:rsidRPr="00192F41" w:rsidRDefault="009D623F" w:rsidP="009E13AC">
            <w:pPr>
              <w:numPr>
                <w:ilvl w:val="0"/>
                <w:numId w:val="1"/>
              </w:numPr>
              <w:spacing w:before="40" w:after="40"/>
              <w:ind w:left="828" w:hanging="234"/>
              <w:contextualSpacing/>
              <w:rPr>
                <w:rFonts w:cs="Arial"/>
                <w:sz w:val="20"/>
                <w:szCs w:val="20"/>
              </w:rPr>
            </w:pPr>
            <w:r w:rsidRPr="00192F41">
              <w:rPr>
                <w:rFonts w:cs="Arial"/>
                <w:sz w:val="20"/>
                <w:szCs w:val="20"/>
              </w:rPr>
              <w:t>r</w:t>
            </w:r>
            <w:r w:rsidR="00DD0F87" w:rsidRPr="00192F41">
              <w:rPr>
                <w:rFonts w:cs="Arial"/>
                <w:sz w:val="20"/>
                <w:szCs w:val="20"/>
              </w:rPr>
              <w:t>eliable water supply</w:t>
            </w:r>
            <w:r w:rsidRPr="00192F41">
              <w:rPr>
                <w:rFonts w:cs="Arial"/>
                <w:sz w:val="20"/>
                <w:szCs w:val="20"/>
              </w:rPr>
              <w:t>;</w:t>
            </w:r>
          </w:p>
          <w:p w14:paraId="7F9BE36C" w14:textId="0E37FA61" w:rsidR="00DD0F87" w:rsidRPr="00192F41" w:rsidRDefault="009D623F" w:rsidP="009E13AC">
            <w:pPr>
              <w:numPr>
                <w:ilvl w:val="0"/>
                <w:numId w:val="1"/>
              </w:numPr>
              <w:spacing w:before="40" w:after="40"/>
              <w:ind w:left="828" w:hanging="234"/>
              <w:contextualSpacing/>
              <w:rPr>
                <w:rFonts w:cs="Arial"/>
                <w:sz w:val="20"/>
                <w:szCs w:val="20"/>
              </w:rPr>
            </w:pPr>
            <w:r w:rsidRPr="00192F41">
              <w:rPr>
                <w:rFonts w:cs="Arial"/>
                <w:sz w:val="20"/>
                <w:szCs w:val="20"/>
              </w:rPr>
              <w:t>g</w:t>
            </w:r>
            <w:r w:rsidR="00DD0F87" w:rsidRPr="00192F41">
              <w:rPr>
                <w:rFonts w:cs="Arial"/>
                <w:sz w:val="20"/>
                <w:szCs w:val="20"/>
              </w:rPr>
              <w:t>reat customer service</w:t>
            </w:r>
            <w:r w:rsidRPr="00192F41">
              <w:rPr>
                <w:rFonts w:cs="Arial"/>
                <w:sz w:val="20"/>
                <w:szCs w:val="20"/>
              </w:rPr>
              <w:t>;</w:t>
            </w:r>
          </w:p>
          <w:p w14:paraId="1A709FB2" w14:textId="1B6BC5FA" w:rsidR="00DD0F87" w:rsidRPr="00192F41" w:rsidRDefault="00E92433" w:rsidP="009E13AC">
            <w:pPr>
              <w:numPr>
                <w:ilvl w:val="0"/>
                <w:numId w:val="1"/>
              </w:numPr>
              <w:spacing w:before="40" w:after="40"/>
              <w:ind w:left="828" w:hanging="234"/>
              <w:contextualSpacing/>
              <w:rPr>
                <w:rFonts w:cs="Arial"/>
                <w:sz w:val="20"/>
                <w:szCs w:val="20"/>
              </w:rPr>
            </w:pPr>
            <w:r>
              <w:rPr>
                <w:rFonts w:cs="Arial"/>
                <w:sz w:val="20"/>
                <w:szCs w:val="20"/>
              </w:rPr>
              <w:t>s</w:t>
            </w:r>
            <w:r w:rsidR="00DD0F87" w:rsidRPr="00192F41">
              <w:rPr>
                <w:rFonts w:cs="Arial"/>
                <w:sz w:val="20"/>
                <w:szCs w:val="20"/>
              </w:rPr>
              <w:t>ustainable water</w:t>
            </w:r>
            <w:r w:rsidR="009D623F" w:rsidRPr="00192F41">
              <w:rPr>
                <w:rFonts w:cs="Arial"/>
                <w:sz w:val="20"/>
                <w:szCs w:val="20"/>
              </w:rPr>
              <w:t>;</w:t>
            </w:r>
          </w:p>
          <w:p w14:paraId="18346D39" w14:textId="77777777" w:rsidR="00DD0F87" w:rsidRPr="00192F41" w:rsidRDefault="009D623F" w:rsidP="009E13AC">
            <w:pPr>
              <w:numPr>
                <w:ilvl w:val="0"/>
                <w:numId w:val="1"/>
              </w:numPr>
              <w:spacing w:before="40" w:after="40"/>
              <w:ind w:left="828" w:hanging="234"/>
              <w:contextualSpacing/>
              <w:rPr>
                <w:rFonts w:cs="Arial"/>
                <w:sz w:val="20"/>
                <w:szCs w:val="20"/>
              </w:rPr>
            </w:pPr>
            <w:r w:rsidRPr="00192F41">
              <w:rPr>
                <w:rFonts w:cs="Arial"/>
                <w:sz w:val="20"/>
                <w:szCs w:val="20"/>
              </w:rPr>
              <w:t>v</w:t>
            </w:r>
            <w:r w:rsidR="00DD0F87" w:rsidRPr="00192F41">
              <w:rPr>
                <w:rFonts w:cs="Arial"/>
                <w:sz w:val="20"/>
                <w:szCs w:val="20"/>
              </w:rPr>
              <w:t>alued community member</w:t>
            </w:r>
            <w:r w:rsidRPr="00192F41">
              <w:rPr>
                <w:rFonts w:cs="Arial"/>
                <w:sz w:val="20"/>
                <w:szCs w:val="20"/>
              </w:rPr>
              <w:t>; and</w:t>
            </w:r>
          </w:p>
          <w:p w14:paraId="5BF99085" w14:textId="6EFA6CFF" w:rsidR="00DD0F87" w:rsidRPr="00E92433" w:rsidRDefault="009D623F" w:rsidP="009E13AC">
            <w:pPr>
              <w:numPr>
                <w:ilvl w:val="0"/>
                <w:numId w:val="1"/>
              </w:numPr>
              <w:spacing w:before="40" w:after="40"/>
              <w:ind w:left="828" w:hanging="234"/>
              <w:contextualSpacing/>
              <w:rPr>
                <w:rFonts w:cs="Arial"/>
                <w:sz w:val="20"/>
                <w:szCs w:val="20"/>
              </w:rPr>
            </w:pPr>
            <w:r w:rsidRPr="00192F41">
              <w:rPr>
                <w:rFonts w:cs="Arial"/>
                <w:sz w:val="20"/>
                <w:szCs w:val="20"/>
              </w:rPr>
              <w:t>f</w:t>
            </w:r>
            <w:r w:rsidR="00DD0F87" w:rsidRPr="00192F41">
              <w:rPr>
                <w:rFonts w:cs="Arial"/>
                <w:sz w:val="20"/>
                <w:szCs w:val="20"/>
              </w:rPr>
              <w:t>air and reasonable prices</w:t>
            </w:r>
            <w:r w:rsidRPr="00192F41">
              <w:rPr>
                <w:rFonts w:cs="Arial"/>
                <w:sz w:val="20"/>
                <w:szCs w:val="20"/>
              </w:rPr>
              <w:t>.</w:t>
            </w:r>
          </w:p>
        </w:tc>
      </w:tr>
      <w:tr w:rsidR="00DD0F87" w:rsidRPr="00192F41" w14:paraId="6075DCA4" w14:textId="77777777" w:rsidTr="00010896">
        <w:trPr>
          <w:trHeight w:val="1370"/>
        </w:trPr>
        <w:tc>
          <w:tcPr>
            <w:tcW w:w="1750" w:type="dxa"/>
          </w:tcPr>
          <w:p w14:paraId="3E03D921" w14:textId="5875242C" w:rsidR="00DD0F87" w:rsidRPr="00192F41" w:rsidRDefault="004B582A" w:rsidP="00B72C41">
            <w:pPr>
              <w:keepNext/>
              <w:keepLines/>
              <w:spacing w:before="4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PREMO rating</w:t>
            </w:r>
          </w:p>
        </w:tc>
        <w:tc>
          <w:tcPr>
            <w:tcW w:w="7987" w:type="dxa"/>
          </w:tcPr>
          <w:p w14:paraId="34AD9C7C" w14:textId="456F33D5" w:rsidR="00DD0F87" w:rsidRPr="00192F41" w:rsidRDefault="00DD0F87" w:rsidP="009E13AC">
            <w:pPr>
              <w:spacing w:before="40" w:after="40"/>
              <w:rPr>
                <w:rFonts w:cs="Arial"/>
                <w:color w:val="000000" w:themeColor="text1"/>
                <w:sz w:val="20"/>
                <w:szCs w:val="20"/>
              </w:rPr>
            </w:pPr>
            <w:r w:rsidRPr="00192F41">
              <w:rPr>
                <w:rFonts w:cs="Arial"/>
                <w:color w:val="000000" w:themeColor="text1"/>
                <w:sz w:val="20"/>
                <w:szCs w:val="20"/>
              </w:rPr>
              <w:t xml:space="preserve">We are proposing </w:t>
            </w:r>
            <w:r w:rsidRPr="00F82275">
              <w:rPr>
                <w:rFonts w:cs="Arial"/>
                <w:color w:val="000000" w:themeColor="text1"/>
                <w:sz w:val="20"/>
                <w:szCs w:val="20"/>
              </w:rPr>
              <w:t>an</w:t>
            </w:r>
            <w:r w:rsidRPr="00192F41">
              <w:rPr>
                <w:rFonts w:cs="Arial"/>
                <w:color w:val="000000" w:themeColor="text1"/>
                <w:sz w:val="20"/>
                <w:szCs w:val="20"/>
              </w:rPr>
              <w:t xml:space="preserve"> overall PREMO rating of STANDARD based on the following:</w:t>
            </w:r>
          </w:p>
          <w:tbl>
            <w:tblPr>
              <w:tblStyle w:val="TableGrid"/>
              <w:tblW w:w="6228" w:type="dxa"/>
              <w:tblInd w:w="4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67"/>
              <w:gridCol w:w="3261"/>
            </w:tblGrid>
            <w:tr w:rsidR="00133594" w:rsidRPr="00192F41" w14:paraId="61D91C5F" w14:textId="77777777" w:rsidTr="00DD1AC1">
              <w:trPr>
                <w:trHeight w:val="252"/>
              </w:trPr>
              <w:tc>
                <w:tcPr>
                  <w:tcW w:w="2967" w:type="dxa"/>
                  <w:shd w:val="clear" w:color="auto" w:fill="auto"/>
                </w:tcPr>
                <w:p w14:paraId="0358FE31" w14:textId="77777777" w:rsidR="00133594" w:rsidRPr="00192F41" w:rsidRDefault="00133594" w:rsidP="009E13AC">
                  <w:pPr>
                    <w:numPr>
                      <w:ilvl w:val="0"/>
                      <w:numId w:val="1"/>
                    </w:numPr>
                    <w:spacing w:before="40" w:after="40"/>
                    <w:contextualSpacing/>
                    <w:rPr>
                      <w:rFonts w:cs="Arial"/>
                      <w:sz w:val="20"/>
                      <w:szCs w:val="20"/>
                    </w:rPr>
                  </w:pPr>
                  <w:r w:rsidRPr="00192F41">
                    <w:rPr>
                      <w:rFonts w:cs="Arial"/>
                      <w:sz w:val="20"/>
                      <w:szCs w:val="20"/>
                    </w:rPr>
                    <w:t>Performance</w:t>
                  </w:r>
                </w:p>
              </w:tc>
              <w:tc>
                <w:tcPr>
                  <w:tcW w:w="3261" w:type="dxa"/>
                  <w:shd w:val="clear" w:color="auto" w:fill="auto"/>
                </w:tcPr>
                <w:p w14:paraId="42A8D3FB" w14:textId="3561E7FB" w:rsidR="00133594" w:rsidRPr="00192F41" w:rsidRDefault="00A81C87" w:rsidP="009E13AC">
                  <w:pPr>
                    <w:spacing w:before="40" w:after="40"/>
                    <w:rPr>
                      <w:rFonts w:cs="Arial"/>
                      <w:color w:val="000000" w:themeColor="text1"/>
                      <w:sz w:val="20"/>
                      <w:szCs w:val="20"/>
                    </w:rPr>
                  </w:pPr>
                  <w:r>
                    <w:rPr>
                      <w:rFonts w:cs="Arial"/>
                      <w:sz w:val="20"/>
                      <w:szCs w:val="20"/>
                    </w:rPr>
                    <w:t>Stan</w:t>
                  </w:r>
                  <w:r w:rsidR="00347BA2">
                    <w:rPr>
                      <w:rFonts w:cs="Arial"/>
                      <w:sz w:val="20"/>
                      <w:szCs w:val="20"/>
                    </w:rPr>
                    <w:t>d</w:t>
                  </w:r>
                  <w:r>
                    <w:rPr>
                      <w:rFonts w:cs="Arial"/>
                      <w:sz w:val="20"/>
                      <w:szCs w:val="20"/>
                    </w:rPr>
                    <w:t>ard – very con</w:t>
                  </w:r>
                  <w:r w:rsidR="00347BA2">
                    <w:rPr>
                      <w:rFonts w:cs="Arial"/>
                      <w:sz w:val="20"/>
                      <w:szCs w:val="20"/>
                    </w:rPr>
                    <w:t>fident</w:t>
                  </w:r>
                </w:p>
              </w:tc>
            </w:tr>
            <w:tr w:rsidR="00133594" w:rsidRPr="00192F41" w14:paraId="1F97B9A1" w14:textId="77777777" w:rsidTr="00C361AA">
              <w:trPr>
                <w:trHeight w:val="252"/>
              </w:trPr>
              <w:tc>
                <w:tcPr>
                  <w:tcW w:w="2967" w:type="dxa"/>
                  <w:shd w:val="clear" w:color="auto" w:fill="F2F2F2" w:themeFill="background1" w:themeFillShade="F2"/>
                </w:tcPr>
                <w:p w14:paraId="612260B2" w14:textId="77777777" w:rsidR="00133594" w:rsidRPr="00192F41" w:rsidRDefault="00133594" w:rsidP="009E13AC">
                  <w:pPr>
                    <w:numPr>
                      <w:ilvl w:val="0"/>
                      <w:numId w:val="1"/>
                    </w:numPr>
                    <w:spacing w:before="40" w:after="40"/>
                    <w:contextualSpacing/>
                    <w:rPr>
                      <w:rFonts w:cs="Arial"/>
                      <w:sz w:val="20"/>
                      <w:szCs w:val="20"/>
                    </w:rPr>
                  </w:pPr>
                  <w:r w:rsidRPr="00192F41">
                    <w:rPr>
                      <w:rFonts w:cs="Arial"/>
                      <w:sz w:val="20"/>
                      <w:szCs w:val="20"/>
                    </w:rPr>
                    <w:t>Risk</w:t>
                  </w:r>
                </w:p>
              </w:tc>
              <w:tc>
                <w:tcPr>
                  <w:tcW w:w="3261" w:type="dxa"/>
                  <w:shd w:val="clear" w:color="auto" w:fill="F2F2F2" w:themeFill="background1" w:themeFillShade="F2"/>
                </w:tcPr>
                <w:p w14:paraId="1D429D42" w14:textId="77777777" w:rsidR="00133594" w:rsidRPr="00192F41" w:rsidRDefault="00133594" w:rsidP="009E13AC">
                  <w:pPr>
                    <w:spacing w:before="40" w:after="40"/>
                    <w:rPr>
                      <w:rFonts w:cs="Arial"/>
                      <w:color w:val="000000" w:themeColor="text1"/>
                      <w:sz w:val="20"/>
                      <w:szCs w:val="20"/>
                    </w:rPr>
                  </w:pPr>
                  <w:r w:rsidRPr="00192F41">
                    <w:rPr>
                      <w:rFonts w:cs="Arial"/>
                      <w:sz w:val="20"/>
                      <w:szCs w:val="20"/>
                    </w:rPr>
                    <w:t>Standard – very confident</w:t>
                  </w:r>
                </w:p>
              </w:tc>
            </w:tr>
            <w:tr w:rsidR="00133594" w:rsidRPr="00192F41" w14:paraId="4847A562" w14:textId="77777777" w:rsidTr="00DD1AC1">
              <w:trPr>
                <w:trHeight w:val="252"/>
              </w:trPr>
              <w:tc>
                <w:tcPr>
                  <w:tcW w:w="2967" w:type="dxa"/>
                  <w:shd w:val="clear" w:color="auto" w:fill="auto"/>
                </w:tcPr>
                <w:p w14:paraId="1AB9285D" w14:textId="77777777" w:rsidR="00133594" w:rsidRPr="00192F41" w:rsidRDefault="00133594" w:rsidP="009E13AC">
                  <w:pPr>
                    <w:numPr>
                      <w:ilvl w:val="0"/>
                      <w:numId w:val="1"/>
                    </w:numPr>
                    <w:spacing w:before="40" w:after="40"/>
                    <w:contextualSpacing/>
                    <w:rPr>
                      <w:rFonts w:cs="Arial"/>
                      <w:sz w:val="20"/>
                      <w:szCs w:val="20"/>
                    </w:rPr>
                  </w:pPr>
                  <w:r w:rsidRPr="00192F41">
                    <w:rPr>
                      <w:rFonts w:cs="Arial"/>
                      <w:sz w:val="20"/>
                      <w:szCs w:val="20"/>
                    </w:rPr>
                    <w:t>Engagement</w:t>
                  </w:r>
                </w:p>
              </w:tc>
              <w:tc>
                <w:tcPr>
                  <w:tcW w:w="3261" w:type="dxa"/>
                  <w:shd w:val="clear" w:color="auto" w:fill="auto"/>
                </w:tcPr>
                <w:p w14:paraId="6D4341FE" w14:textId="67958D1A" w:rsidR="00133594" w:rsidRPr="00192F41" w:rsidRDefault="00347BA2" w:rsidP="009E13AC">
                  <w:pPr>
                    <w:spacing w:before="40" w:after="40"/>
                    <w:rPr>
                      <w:rFonts w:cs="Arial"/>
                      <w:color w:val="000000" w:themeColor="text1"/>
                      <w:sz w:val="20"/>
                      <w:szCs w:val="20"/>
                    </w:rPr>
                  </w:pPr>
                  <w:r>
                    <w:rPr>
                      <w:rFonts w:cs="Arial"/>
                      <w:sz w:val="20"/>
                      <w:szCs w:val="20"/>
                    </w:rPr>
                    <w:t>Advanced - satisfie</w:t>
                  </w:r>
                  <w:r w:rsidR="00424492">
                    <w:rPr>
                      <w:rFonts w:cs="Arial"/>
                      <w:sz w:val="20"/>
                      <w:szCs w:val="20"/>
                    </w:rPr>
                    <w:t>d</w:t>
                  </w:r>
                </w:p>
              </w:tc>
            </w:tr>
            <w:tr w:rsidR="00133594" w:rsidRPr="00192F41" w14:paraId="0D5C3965" w14:textId="77777777" w:rsidTr="00C361AA">
              <w:trPr>
                <w:trHeight w:val="252"/>
              </w:trPr>
              <w:tc>
                <w:tcPr>
                  <w:tcW w:w="2967" w:type="dxa"/>
                  <w:shd w:val="clear" w:color="auto" w:fill="F2F2F2" w:themeFill="background1" w:themeFillShade="F2"/>
                </w:tcPr>
                <w:p w14:paraId="7FA08108" w14:textId="77777777" w:rsidR="00133594" w:rsidRPr="00192F41" w:rsidRDefault="00133594" w:rsidP="009E13AC">
                  <w:pPr>
                    <w:numPr>
                      <w:ilvl w:val="0"/>
                      <w:numId w:val="1"/>
                    </w:numPr>
                    <w:spacing w:before="40" w:after="40"/>
                    <w:contextualSpacing/>
                    <w:rPr>
                      <w:rFonts w:cs="Arial"/>
                      <w:sz w:val="20"/>
                      <w:szCs w:val="20"/>
                    </w:rPr>
                  </w:pPr>
                  <w:r w:rsidRPr="00192F41">
                    <w:rPr>
                      <w:rFonts w:cs="Arial"/>
                      <w:sz w:val="20"/>
                      <w:szCs w:val="20"/>
                    </w:rPr>
                    <w:t>Management</w:t>
                  </w:r>
                </w:p>
              </w:tc>
              <w:tc>
                <w:tcPr>
                  <w:tcW w:w="3261" w:type="dxa"/>
                  <w:shd w:val="clear" w:color="auto" w:fill="F2F2F2" w:themeFill="background1" w:themeFillShade="F2"/>
                </w:tcPr>
                <w:p w14:paraId="7CBD831F" w14:textId="77777777" w:rsidR="00133594" w:rsidRPr="00192F41" w:rsidRDefault="00133594" w:rsidP="009E13AC">
                  <w:pPr>
                    <w:spacing w:before="40" w:after="40"/>
                    <w:rPr>
                      <w:rFonts w:cs="Arial"/>
                      <w:color w:val="000000" w:themeColor="text1"/>
                      <w:sz w:val="20"/>
                      <w:szCs w:val="20"/>
                    </w:rPr>
                  </w:pPr>
                  <w:r w:rsidRPr="00192F41">
                    <w:rPr>
                      <w:rFonts w:cs="Arial"/>
                      <w:sz w:val="20"/>
                      <w:szCs w:val="20"/>
                    </w:rPr>
                    <w:t>Standard – very confident</w:t>
                  </w:r>
                </w:p>
              </w:tc>
            </w:tr>
            <w:tr w:rsidR="00133594" w:rsidRPr="00192F41" w14:paraId="0E2BAF21" w14:textId="77777777" w:rsidTr="00DD1AC1">
              <w:trPr>
                <w:trHeight w:val="252"/>
              </w:trPr>
              <w:tc>
                <w:tcPr>
                  <w:tcW w:w="2967" w:type="dxa"/>
                  <w:shd w:val="clear" w:color="auto" w:fill="auto"/>
                </w:tcPr>
                <w:p w14:paraId="2612985B" w14:textId="77777777" w:rsidR="00133594" w:rsidRPr="00192F41" w:rsidRDefault="00133594" w:rsidP="009E13AC">
                  <w:pPr>
                    <w:numPr>
                      <w:ilvl w:val="0"/>
                      <w:numId w:val="1"/>
                    </w:numPr>
                    <w:spacing w:before="40" w:after="40"/>
                    <w:contextualSpacing/>
                    <w:rPr>
                      <w:rFonts w:cs="Arial"/>
                      <w:sz w:val="20"/>
                      <w:szCs w:val="20"/>
                    </w:rPr>
                  </w:pPr>
                  <w:r w:rsidRPr="00192F41">
                    <w:rPr>
                      <w:rFonts w:cs="Arial"/>
                      <w:sz w:val="20"/>
                      <w:szCs w:val="20"/>
                    </w:rPr>
                    <w:t>Outcomes</w:t>
                  </w:r>
                </w:p>
              </w:tc>
              <w:tc>
                <w:tcPr>
                  <w:tcW w:w="3261" w:type="dxa"/>
                  <w:shd w:val="clear" w:color="auto" w:fill="auto"/>
                </w:tcPr>
                <w:p w14:paraId="67A05D64" w14:textId="77777777" w:rsidR="00133594" w:rsidRPr="00192F41" w:rsidRDefault="00133594" w:rsidP="009E13AC">
                  <w:pPr>
                    <w:spacing w:before="40" w:after="40"/>
                    <w:rPr>
                      <w:rFonts w:cs="Arial"/>
                      <w:color w:val="000000" w:themeColor="text1"/>
                      <w:sz w:val="20"/>
                      <w:szCs w:val="20"/>
                    </w:rPr>
                  </w:pPr>
                  <w:r w:rsidRPr="00192F41">
                    <w:rPr>
                      <w:rFonts w:cs="Arial"/>
                      <w:sz w:val="20"/>
                      <w:szCs w:val="20"/>
                    </w:rPr>
                    <w:t>Advanced - satisfied</w:t>
                  </w:r>
                </w:p>
              </w:tc>
            </w:tr>
          </w:tbl>
          <w:p w14:paraId="5BF1A5E3" w14:textId="77777777" w:rsidR="00DD0F87" w:rsidRPr="00192F41" w:rsidRDefault="00DD0F87" w:rsidP="009E13AC">
            <w:pPr>
              <w:spacing w:before="40" w:after="40"/>
              <w:rPr>
                <w:rFonts w:cs="Arial"/>
                <w:color w:val="000000" w:themeColor="text1"/>
                <w:sz w:val="20"/>
                <w:szCs w:val="20"/>
              </w:rPr>
            </w:pPr>
          </w:p>
        </w:tc>
      </w:tr>
      <w:tr w:rsidR="00224C4E" w:rsidRPr="00192F41" w14:paraId="32D67693" w14:textId="77777777" w:rsidTr="00B72C41">
        <w:trPr>
          <w:trHeight w:val="507"/>
        </w:trPr>
        <w:tc>
          <w:tcPr>
            <w:tcW w:w="1750" w:type="dxa"/>
            <w:shd w:val="clear" w:color="auto" w:fill="F2F2F2" w:themeFill="background1" w:themeFillShade="F2"/>
          </w:tcPr>
          <w:p w14:paraId="14A2D79E" w14:textId="20F985C0" w:rsidR="00224C4E" w:rsidRPr="00192F41" w:rsidRDefault="004B582A" w:rsidP="00B72C41">
            <w:pPr>
              <w:keepNext/>
              <w:keepLines/>
              <w:spacing w:before="40" w:after="120"/>
              <w:outlineLvl w:val="3"/>
              <w:rPr>
                <w:rStyle w:val="IntenseEmphasis"/>
                <w:rFonts w:cs="Arial"/>
                <w:b/>
                <w:bCs/>
                <w:i w:val="0"/>
                <w:iCs w:val="0"/>
                <w:color w:val="000000" w:themeColor="text1"/>
                <w:sz w:val="20"/>
                <w:szCs w:val="20"/>
              </w:rPr>
            </w:pPr>
            <w:r w:rsidRPr="00192F41">
              <w:rPr>
                <w:rStyle w:val="IntenseEmphasis"/>
                <w:rFonts w:cs="Arial"/>
                <w:b/>
                <w:bCs/>
                <w:i w:val="0"/>
                <w:iCs w:val="0"/>
                <w:color w:val="000000" w:themeColor="text1"/>
                <w:sz w:val="20"/>
                <w:szCs w:val="20"/>
              </w:rPr>
              <w:t>Conclusion</w:t>
            </w:r>
          </w:p>
        </w:tc>
        <w:tc>
          <w:tcPr>
            <w:tcW w:w="7987" w:type="dxa"/>
            <w:shd w:val="clear" w:color="auto" w:fill="F2F2F2" w:themeFill="background1" w:themeFillShade="F2"/>
          </w:tcPr>
          <w:p w14:paraId="46367940" w14:textId="32488553" w:rsidR="00D723C6" w:rsidRPr="00192F41" w:rsidRDefault="00D723C6" w:rsidP="009E13AC">
            <w:pPr>
              <w:spacing w:before="40" w:after="40"/>
              <w:jc w:val="both"/>
              <w:rPr>
                <w:rFonts w:cs="Arial"/>
                <w:color w:val="000000" w:themeColor="text1"/>
                <w:sz w:val="20"/>
                <w:szCs w:val="20"/>
              </w:rPr>
            </w:pPr>
            <w:r w:rsidRPr="00192F41">
              <w:rPr>
                <w:rFonts w:cs="Arial"/>
                <w:color w:val="000000" w:themeColor="text1"/>
                <w:sz w:val="20"/>
                <w:szCs w:val="20"/>
              </w:rPr>
              <w:t>S</w:t>
            </w:r>
            <w:r w:rsidR="00C04643" w:rsidRPr="00192F41">
              <w:rPr>
                <w:rFonts w:cs="Arial"/>
                <w:color w:val="000000" w:themeColor="text1"/>
                <w:sz w:val="20"/>
                <w:szCs w:val="20"/>
              </w:rPr>
              <w:t>R</w:t>
            </w:r>
            <w:r w:rsidRPr="00192F41">
              <w:rPr>
                <w:rFonts w:cs="Arial"/>
                <w:color w:val="000000" w:themeColor="text1"/>
                <w:sz w:val="20"/>
                <w:szCs w:val="20"/>
              </w:rPr>
              <w:t>W</w:t>
            </w:r>
            <w:r w:rsidR="00C04643" w:rsidRPr="00192F41">
              <w:rPr>
                <w:rFonts w:cs="Arial"/>
                <w:color w:val="000000" w:themeColor="text1"/>
                <w:sz w:val="20"/>
                <w:szCs w:val="20"/>
              </w:rPr>
              <w:t xml:space="preserve"> offers a </w:t>
            </w:r>
            <w:r w:rsidR="00224C4E" w:rsidRPr="00192F41">
              <w:rPr>
                <w:rFonts w:cs="Arial"/>
                <w:color w:val="000000" w:themeColor="text1"/>
                <w:sz w:val="20"/>
                <w:szCs w:val="20"/>
              </w:rPr>
              <w:t xml:space="preserve">prudent and efficient </w:t>
            </w:r>
            <w:r w:rsidR="00AE0DF4" w:rsidRPr="00192F41">
              <w:rPr>
                <w:rFonts w:cs="Arial"/>
                <w:color w:val="000000" w:themeColor="text1"/>
                <w:sz w:val="20"/>
                <w:szCs w:val="20"/>
              </w:rPr>
              <w:t>p</w:t>
            </w:r>
            <w:r w:rsidR="008E5E29" w:rsidRPr="00192F41">
              <w:rPr>
                <w:rFonts w:cs="Arial"/>
                <w:color w:val="000000" w:themeColor="text1"/>
                <w:sz w:val="20"/>
                <w:szCs w:val="20"/>
              </w:rPr>
              <w:t xml:space="preserve">rice </w:t>
            </w:r>
            <w:r w:rsidR="00AE0DF4" w:rsidRPr="00192F41">
              <w:rPr>
                <w:rFonts w:cs="Arial"/>
                <w:color w:val="000000" w:themeColor="text1"/>
                <w:sz w:val="20"/>
                <w:szCs w:val="20"/>
              </w:rPr>
              <w:t>s</w:t>
            </w:r>
            <w:r w:rsidR="008E5E29" w:rsidRPr="00192F41">
              <w:rPr>
                <w:rFonts w:cs="Arial"/>
                <w:color w:val="000000" w:themeColor="text1"/>
                <w:sz w:val="20"/>
                <w:szCs w:val="20"/>
              </w:rPr>
              <w:t>ubmission</w:t>
            </w:r>
            <w:r w:rsidR="00224C4E" w:rsidRPr="00192F41">
              <w:rPr>
                <w:rFonts w:cs="Arial"/>
                <w:color w:val="000000" w:themeColor="text1"/>
                <w:sz w:val="20"/>
                <w:szCs w:val="20"/>
              </w:rPr>
              <w:t xml:space="preserve"> that </w:t>
            </w:r>
            <w:r w:rsidR="000D2BA9" w:rsidRPr="00192F41">
              <w:rPr>
                <w:rFonts w:cs="Arial"/>
                <w:color w:val="000000" w:themeColor="text1"/>
                <w:sz w:val="20"/>
                <w:szCs w:val="20"/>
              </w:rPr>
              <w:t>has been tested with our customers</w:t>
            </w:r>
            <w:r w:rsidR="005D5EC3" w:rsidRPr="00192F41">
              <w:rPr>
                <w:rFonts w:cs="Arial"/>
                <w:color w:val="000000" w:themeColor="text1"/>
                <w:sz w:val="20"/>
                <w:szCs w:val="20"/>
              </w:rPr>
              <w:t xml:space="preserve"> and </w:t>
            </w:r>
            <w:r w:rsidR="00224C4E" w:rsidRPr="00192F41">
              <w:rPr>
                <w:rFonts w:cs="Arial"/>
                <w:color w:val="000000" w:themeColor="text1"/>
                <w:sz w:val="20"/>
                <w:szCs w:val="20"/>
              </w:rPr>
              <w:t>provid</w:t>
            </w:r>
            <w:r w:rsidR="009D623F" w:rsidRPr="00192F41">
              <w:rPr>
                <w:rFonts w:cs="Arial"/>
                <w:color w:val="000000" w:themeColor="text1"/>
                <w:sz w:val="20"/>
                <w:szCs w:val="20"/>
              </w:rPr>
              <w:t>es</w:t>
            </w:r>
            <w:r w:rsidR="00224C4E" w:rsidRPr="00192F41">
              <w:rPr>
                <w:rFonts w:cs="Arial"/>
                <w:color w:val="000000" w:themeColor="text1"/>
                <w:sz w:val="20"/>
                <w:szCs w:val="20"/>
              </w:rPr>
              <w:t xml:space="preserve"> the best value for </w:t>
            </w:r>
            <w:r w:rsidR="00E80987" w:rsidRPr="00192F41">
              <w:rPr>
                <w:rFonts w:cs="Arial"/>
                <w:color w:val="000000" w:themeColor="text1"/>
                <w:sz w:val="20"/>
                <w:szCs w:val="20"/>
              </w:rPr>
              <w:t xml:space="preserve">our </w:t>
            </w:r>
            <w:r w:rsidR="00224C4E" w:rsidRPr="00192F41">
              <w:rPr>
                <w:rFonts w:cs="Arial"/>
                <w:color w:val="000000" w:themeColor="text1"/>
                <w:sz w:val="20"/>
                <w:szCs w:val="20"/>
              </w:rPr>
              <w:t>customers.</w:t>
            </w:r>
            <w:r w:rsidR="00E80987" w:rsidRPr="00192F41">
              <w:rPr>
                <w:rFonts w:cs="Arial"/>
                <w:sz w:val="20"/>
                <w:szCs w:val="20"/>
                <w:shd w:val="clear" w:color="auto" w:fill="FAF9F8"/>
              </w:rPr>
              <w:t xml:space="preserve"> </w:t>
            </w:r>
          </w:p>
        </w:tc>
      </w:tr>
    </w:tbl>
    <w:p w14:paraId="45723DC5" w14:textId="26E25219" w:rsidR="00CE2F22" w:rsidRDefault="00CE2F22" w:rsidP="0087210E">
      <w:pPr>
        <w:rPr>
          <w:rStyle w:val="IntenseReference"/>
          <w:rFonts w:cs="Arial"/>
        </w:rPr>
      </w:pPr>
      <w:r>
        <w:rPr>
          <w:rStyle w:val="IntenseReference"/>
          <w:rFonts w:cs="Arial"/>
        </w:rPr>
        <w:br w:type="page"/>
      </w:r>
      <w:r w:rsidR="000709B4">
        <w:rPr>
          <w:rFonts w:cs="Arial"/>
          <w:b/>
          <w:bCs/>
          <w:smallCaps/>
          <w:noProof/>
          <w:color w:val="00B1B0"/>
          <w:spacing w:val="5"/>
        </w:rPr>
        <w:drawing>
          <wp:inline distT="0" distB="0" distL="0" distR="0" wp14:anchorId="65B50DE7" wp14:editId="3D450FD2">
            <wp:extent cx="6111240" cy="8641080"/>
            <wp:effectExtent l="0" t="0" r="3810" b="7620"/>
            <wp:docPr id="20" name="Picture 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aphical user interface&#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11240" cy="8641080"/>
                    </a:xfrm>
                    <a:prstGeom prst="rect">
                      <a:avLst/>
                    </a:prstGeom>
                  </pic:spPr>
                </pic:pic>
              </a:graphicData>
            </a:graphic>
          </wp:inline>
        </w:drawing>
      </w:r>
    </w:p>
    <w:p w14:paraId="269AE67D" w14:textId="3CEAB1BA" w:rsidR="00C42955" w:rsidRPr="00192F41" w:rsidRDefault="00C42955" w:rsidP="00AE2AD9">
      <w:pPr>
        <w:pStyle w:val="NumberedHeading3"/>
        <w:rPr>
          <w:rStyle w:val="IntenseEmphasis"/>
          <w:rFonts w:cs="Arial"/>
          <w:i w:val="0"/>
          <w:iCs w:val="0"/>
          <w:color w:val="002B5C" w:themeColor="text2"/>
          <w:sz w:val="52"/>
        </w:rPr>
      </w:pPr>
      <w:bookmarkStart w:id="13" w:name="_Toc115263675"/>
      <w:r w:rsidRPr="00192F41">
        <w:rPr>
          <w:rStyle w:val="IntenseEmphasis"/>
          <w:rFonts w:cs="Arial"/>
          <w:i w:val="0"/>
          <w:iCs w:val="0"/>
          <w:color w:val="002B5C" w:themeColor="text2"/>
          <w:sz w:val="52"/>
        </w:rPr>
        <w:t>I</w:t>
      </w:r>
      <w:r w:rsidR="003F52B0" w:rsidRPr="00192F41">
        <w:rPr>
          <w:rStyle w:val="IntenseEmphasis"/>
          <w:rFonts w:cs="Arial"/>
          <w:i w:val="0"/>
          <w:iCs w:val="0"/>
          <w:color w:val="002B5C" w:themeColor="text2"/>
          <w:sz w:val="52"/>
        </w:rPr>
        <w:t>ntroduction</w:t>
      </w:r>
      <w:bookmarkEnd w:id="13"/>
    </w:p>
    <w:tbl>
      <w:tblPr>
        <w:tblStyle w:val="ReportTable-NavyColumns"/>
        <w:tblW w:w="9865" w:type="dxa"/>
        <w:tblBorders>
          <w:insideH w:val="none" w:sz="0" w:space="0" w:color="auto"/>
        </w:tblBorders>
        <w:shd w:val="clear" w:color="auto" w:fill="D9D9D9" w:themeFill="background1" w:themeFillShade="D9"/>
        <w:tblLook w:val="04A0" w:firstRow="1" w:lastRow="0" w:firstColumn="1" w:lastColumn="0" w:noHBand="0" w:noVBand="1"/>
      </w:tblPr>
      <w:tblGrid>
        <w:gridCol w:w="9865"/>
      </w:tblGrid>
      <w:tr w:rsidR="008B7E84" w:rsidRPr="00192F41" w14:paraId="7D8F2410" w14:textId="77777777" w:rsidTr="00F555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65" w:type="dxa"/>
            <w:shd w:val="clear" w:color="auto" w:fill="F2F2F2" w:themeFill="background1" w:themeFillShade="F2"/>
          </w:tcPr>
          <w:p w14:paraId="21B6F90C" w14:textId="52AE60F4" w:rsidR="008B7E84" w:rsidRPr="00192F41" w:rsidRDefault="00BC7207" w:rsidP="00324E60">
            <w:pPr>
              <w:pStyle w:val="Heading2"/>
              <w:rPr>
                <w:rStyle w:val="IntenseEmphasis"/>
                <w:rFonts w:cs="Arial"/>
                <w:b/>
                <w:bCs/>
                <w:i w:val="0"/>
                <w:iCs w:val="0"/>
                <w:sz w:val="36"/>
              </w:rPr>
            </w:pPr>
            <w:bookmarkStart w:id="14" w:name="_Hlk103787828"/>
            <w:r w:rsidRPr="00192F41">
              <w:rPr>
                <w:rStyle w:val="IntenseEmphasis"/>
                <w:rFonts w:cs="Arial"/>
                <w:b/>
                <w:bCs/>
                <w:i w:val="0"/>
                <w:iCs w:val="0"/>
                <w:sz w:val="36"/>
              </w:rPr>
              <w:t>Key messages</w:t>
            </w:r>
          </w:p>
          <w:p w14:paraId="47B0DC18" w14:textId="6BDBA7A1" w:rsidR="008F1EE3" w:rsidRPr="00192F41" w:rsidRDefault="008F1EE3" w:rsidP="00D54461">
            <w:pPr>
              <w:pStyle w:val="Bulletpointparagraph"/>
              <w:numPr>
                <w:ilvl w:val="0"/>
                <w:numId w:val="0"/>
              </w:numPr>
              <w:ind w:left="360" w:right="494"/>
              <w:jc w:val="both"/>
              <w:rPr>
                <w:rStyle w:val="IntenseEmphasis"/>
                <w:rFonts w:cs="Arial"/>
                <w:bCs/>
                <w:i w:val="0"/>
                <w:iCs w:val="0"/>
                <w:color w:val="000000" w:themeColor="text1"/>
              </w:rPr>
            </w:pPr>
            <w:bookmarkStart w:id="15" w:name="OLE_LINK1"/>
            <w:r w:rsidRPr="00192F41">
              <w:rPr>
                <w:rStyle w:val="IntenseEmphasis"/>
                <w:rFonts w:cs="Arial"/>
                <w:b w:val="0"/>
                <w:bCs/>
                <w:i w:val="0"/>
                <w:iCs w:val="0"/>
                <w:color w:val="000000" w:themeColor="text1"/>
              </w:rPr>
              <w:t xml:space="preserve">We </w:t>
            </w:r>
            <w:r w:rsidR="00CB6EDB" w:rsidRPr="00CB6EDB">
              <w:rPr>
                <w:rStyle w:val="IntenseEmphasis"/>
                <w:rFonts w:cs="Arial"/>
                <w:b w:val="0"/>
                <w:bCs/>
                <w:i w:val="0"/>
                <w:iCs w:val="0"/>
                <w:color w:val="000000" w:themeColor="text1"/>
              </w:rPr>
              <w:t>p</w:t>
            </w:r>
            <w:r w:rsidR="00CB6EDB" w:rsidRPr="008D2B3C">
              <w:rPr>
                <w:rStyle w:val="IntenseEmphasis"/>
                <w:b w:val="0"/>
                <w:bCs/>
                <w:i w:val="0"/>
                <w:iCs w:val="0"/>
                <w:color w:val="000000" w:themeColor="text1"/>
              </w:rPr>
              <w:t>rovide great value for customers and communities through excellence in rural water management</w:t>
            </w:r>
            <w:r w:rsidRPr="00CB6EDB">
              <w:rPr>
                <w:rStyle w:val="IntenseEmphasis"/>
                <w:rFonts w:cs="Arial"/>
                <w:b w:val="0"/>
                <w:bCs/>
                <w:i w:val="0"/>
                <w:iCs w:val="0"/>
                <w:color w:val="000000" w:themeColor="text1"/>
              </w:rPr>
              <w:t>.</w:t>
            </w:r>
          </w:p>
          <w:p w14:paraId="29AECE99" w14:textId="77777777" w:rsidR="009026FB" w:rsidRPr="00192F41" w:rsidRDefault="009026FB" w:rsidP="00D54461">
            <w:pPr>
              <w:pStyle w:val="Bulletpointparagraph"/>
              <w:numPr>
                <w:ilvl w:val="0"/>
                <w:numId w:val="0"/>
              </w:numPr>
              <w:ind w:left="360" w:right="494"/>
              <w:rPr>
                <w:rStyle w:val="IntenseEmphasis"/>
                <w:rFonts w:cs="Arial"/>
                <w:b w:val="0"/>
                <w:bCs/>
                <w:i w:val="0"/>
                <w:iCs w:val="0"/>
                <w:color w:val="000000" w:themeColor="text1"/>
              </w:rPr>
            </w:pPr>
          </w:p>
          <w:p w14:paraId="66F85F15" w14:textId="77777777" w:rsidR="00E30D27" w:rsidRPr="00192F41" w:rsidRDefault="00E30D27" w:rsidP="00D54461">
            <w:pPr>
              <w:pStyle w:val="Bulletpointparagraph"/>
              <w:ind w:right="494"/>
              <w:rPr>
                <w:rStyle w:val="IntenseEmphasis"/>
                <w:rFonts w:cs="Arial"/>
                <w:b w:val="0"/>
                <w:i w:val="0"/>
                <w:color w:val="000000" w:themeColor="text1"/>
              </w:rPr>
            </w:pPr>
            <w:r w:rsidRPr="00192F41">
              <w:rPr>
                <w:rStyle w:val="IntenseEmphasis"/>
                <w:rFonts w:cs="Arial"/>
                <w:b w:val="0"/>
                <w:i w:val="0"/>
                <w:color w:val="000000" w:themeColor="text1"/>
              </w:rPr>
              <w:t xml:space="preserve">This </w:t>
            </w:r>
            <w:r w:rsidR="00F70F50" w:rsidRPr="00192F41">
              <w:rPr>
                <w:rStyle w:val="IntenseEmphasis"/>
                <w:rFonts w:cs="Arial"/>
                <w:b w:val="0"/>
                <w:i w:val="0"/>
                <w:color w:val="000000" w:themeColor="text1"/>
              </w:rPr>
              <w:t>p</w:t>
            </w:r>
            <w:r w:rsidRPr="00192F41">
              <w:rPr>
                <w:rStyle w:val="IntenseEmphasis"/>
                <w:rFonts w:cs="Arial"/>
                <w:b w:val="0"/>
                <w:i w:val="0"/>
                <w:color w:val="000000" w:themeColor="text1"/>
              </w:rPr>
              <w:t xml:space="preserve">rice </w:t>
            </w:r>
            <w:r w:rsidR="00F70F50" w:rsidRPr="00192F41">
              <w:rPr>
                <w:rStyle w:val="IntenseEmphasis"/>
                <w:rFonts w:cs="Arial"/>
                <w:b w:val="0"/>
                <w:i w:val="0"/>
                <w:color w:val="000000" w:themeColor="text1"/>
              </w:rPr>
              <w:t>s</w:t>
            </w:r>
            <w:r w:rsidRPr="00192F41">
              <w:rPr>
                <w:rStyle w:val="IntenseEmphasis"/>
                <w:rFonts w:cs="Arial"/>
                <w:b w:val="0"/>
                <w:i w:val="0"/>
                <w:color w:val="000000" w:themeColor="text1"/>
              </w:rPr>
              <w:t>ubmission sets out SRW’s proposed service levels and pricing for 2023-2028.</w:t>
            </w:r>
          </w:p>
          <w:p w14:paraId="1125AF45" w14:textId="4F589D76" w:rsidR="00CE1C7B" w:rsidRPr="004268C9" w:rsidRDefault="007919EA" w:rsidP="00D54461">
            <w:pPr>
              <w:pStyle w:val="Bulletpointparagraph"/>
              <w:ind w:right="494"/>
              <w:rPr>
                <w:rStyle w:val="IntenseEmphasis"/>
                <w:rFonts w:cs="Arial"/>
                <w:b w:val="0"/>
                <w:i w:val="0"/>
                <w:color w:val="000000" w:themeColor="text1"/>
              </w:rPr>
            </w:pPr>
            <w:bookmarkStart w:id="16" w:name="_Hlk110350365"/>
            <w:r w:rsidRPr="004268C9">
              <w:rPr>
                <w:rStyle w:val="IntenseEmphasis"/>
                <w:rFonts w:cs="Arial"/>
                <w:b w:val="0"/>
                <w:i w:val="0"/>
                <w:color w:val="000000" w:themeColor="text1"/>
              </w:rPr>
              <w:t>We are</w:t>
            </w:r>
            <w:r w:rsidR="008F1EE3" w:rsidRPr="004268C9">
              <w:rPr>
                <w:rStyle w:val="IntenseEmphasis"/>
                <w:rFonts w:cs="Arial"/>
                <w:b w:val="0"/>
                <w:i w:val="0"/>
                <w:color w:val="000000" w:themeColor="text1"/>
              </w:rPr>
              <w:t xml:space="preserve"> a rural water corporation</w:t>
            </w:r>
            <w:r w:rsidR="0093231D" w:rsidRPr="004268C9">
              <w:rPr>
                <w:rStyle w:val="IntenseEmphasis"/>
                <w:rFonts w:cs="Arial"/>
                <w:b w:val="0"/>
                <w:i w:val="0"/>
                <w:color w:val="000000" w:themeColor="text1"/>
              </w:rPr>
              <w:t xml:space="preserve"> with </w:t>
            </w:r>
            <w:r w:rsidR="00BD0FCE" w:rsidRPr="004268C9">
              <w:rPr>
                <w:rStyle w:val="IntenseEmphasis"/>
                <w:rFonts w:cs="Arial"/>
                <w:b w:val="0"/>
                <w:bCs/>
                <w:i w:val="0"/>
                <w:iCs w:val="0"/>
                <w:color w:val="000000" w:themeColor="text1"/>
              </w:rPr>
              <w:t>more than</w:t>
            </w:r>
            <w:r w:rsidR="0093231D" w:rsidRPr="004268C9">
              <w:rPr>
                <w:rStyle w:val="IntenseEmphasis"/>
                <w:rFonts w:cs="Arial"/>
                <w:b w:val="0"/>
                <w:i w:val="0"/>
                <w:color w:val="000000" w:themeColor="text1"/>
              </w:rPr>
              <w:t xml:space="preserve"> 86% of the water that we </w:t>
            </w:r>
            <w:r w:rsidR="0033719F" w:rsidRPr="004268C9">
              <w:rPr>
                <w:rStyle w:val="IntenseEmphasis"/>
                <w:rFonts w:cs="Arial"/>
                <w:b w:val="0"/>
                <w:i w:val="0"/>
                <w:color w:val="000000" w:themeColor="text1"/>
              </w:rPr>
              <w:t>provide being use</w:t>
            </w:r>
            <w:r w:rsidR="009578BF" w:rsidRPr="004268C9">
              <w:rPr>
                <w:rStyle w:val="IntenseEmphasis"/>
                <w:rFonts w:cs="Arial"/>
                <w:b w:val="0"/>
                <w:i w:val="0"/>
                <w:color w:val="000000" w:themeColor="text1"/>
              </w:rPr>
              <w:t>d</w:t>
            </w:r>
            <w:r w:rsidR="0033719F" w:rsidRPr="004268C9">
              <w:rPr>
                <w:rStyle w:val="IntenseEmphasis"/>
                <w:rFonts w:cs="Arial"/>
                <w:b w:val="0"/>
                <w:i w:val="0"/>
                <w:color w:val="000000" w:themeColor="text1"/>
              </w:rPr>
              <w:t xml:space="preserve"> for agricultural pu</w:t>
            </w:r>
            <w:r w:rsidR="00CE1C7B" w:rsidRPr="004268C9">
              <w:rPr>
                <w:rStyle w:val="IntenseEmphasis"/>
                <w:rFonts w:cs="Arial"/>
                <w:b w:val="0"/>
                <w:i w:val="0"/>
                <w:color w:val="000000" w:themeColor="text1"/>
              </w:rPr>
              <w:t>r</w:t>
            </w:r>
            <w:r w:rsidR="0033719F" w:rsidRPr="004268C9">
              <w:rPr>
                <w:rStyle w:val="IntenseEmphasis"/>
                <w:rFonts w:cs="Arial"/>
                <w:b w:val="0"/>
                <w:i w:val="0"/>
                <w:color w:val="000000" w:themeColor="text1"/>
              </w:rPr>
              <w:t>poses</w:t>
            </w:r>
            <w:r w:rsidR="00CE1C7B" w:rsidRPr="004268C9">
              <w:rPr>
                <w:rStyle w:val="IntenseEmphasis"/>
                <w:rFonts w:cs="Arial"/>
                <w:b w:val="0"/>
                <w:i w:val="0"/>
                <w:color w:val="000000" w:themeColor="text1"/>
              </w:rPr>
              <w:t xml:space="preserve"> </w:t>
            </w:r>
            <w:r w:rsidR="00BD0FCE" w:rsidRPr="004268C9">
              <w:rPr>
                <w:rStyle w:val="IntenseEmphasis"/>
                <w:rFonts w:cs="Arial"/>
                <w:b w:val="0"/>
                <w:bCs/>
                <w:i w:val="0"/>
                <w:iCs w:val="0"/>
                <w:color w:val="000000" w:themeColor="text1"/>
              </w:rPr>
              <w:t>and</w:t>
            </w:r>
            <w:r w:rsidR="00CE1C7B" w:rsidRPr="004268C9">
              <w:rPr>
                <w:rStyle w:val="IntenseEmphasis"/>
                <w:rFonts w:cs="Arial"/>
                <w:b w:val="0"/>
                <w:i w:val="0"/>
                <w:color w:val="000000" w:themeColor="text1"/>
              </w:rPr>
              <w:t xml:space="preserve"> over 90% of our customers being farmers.</w:t>
            </w:r>
          </w:p>
          <w:bookmarkEnd w:id="16"/>
          <w:p w14:paraId="68444362" w14:textId="4E411FA8" w:rsidR="008F1EE3" w:rsidRPr="00192F41" w:rsidRDefault="008F1EE3" w:rsidP="00D54461">
            <w:pPr>
              <w:pStyle w:val="Bulletpointparagraph"/>
              <w:ind w:right="494"/>
              <w:rPr>
                <w:rStyle w:val="IntenseEmphasis"/>
                <w:rFonts w:cs="Arial"/>
                <w:b w:val="0"/>
                <w:bCs/>
                <w:i w:val="0"/>
                <w:iCs w:val="0"/>
                <w:color w:val="000000" w:themeColor="text1"/>
              </w:rPr>
            </w:pPr>
            <w:r w:rsidRPr="00192F41">
              <w:rPr>
                <w:rStyle w:val="IntenseEmphasis"/>
                <w:rFonts w:cs="Arial"/>
                <w:b w:val="0"/>
                <w:bCs/>
                <w:i w:val="0"/>
                <w:iCs w:val="0"/>
                <w:color w:val="000000" w:themeColor="text1"/>
              </w:rPr>
              <w:t>Our investments and services support a food and fibre sector that contributes more than $14.</w:t>
            </w:r>
            <w:r w:rsidRPr="00F82275">
              <w:rPr>
                <w:rStyle w:val="IntenseEmphasis"/>
                <w:rFonts w:cs="Arial"/>
                <w:b w:val="0"/>
                <w:bCs/>
                <w:i w:val="0"/>
                <w:iCs w:val="0"/>
                <w:color w:val="000000" w:themeColor="text1"/>
              </w:rPr>
              <w:t>2 billion</w:t>
            </w:r>
            <w:r w:rsidRPr="00192F41">
              <w:rPr>
                <w:rStyle w:val="IntenseEmphasis"/>
                <w:rFonts w:cs="Arial"/>
                <w:b w:val="0"/>
                <w:bCs/>
                <w:i w:val="0"/>
                <w:iCs w:val="0"/>
                <w:color w:val="000000" w:themeColor="text1"/>
              </w:rPr>
              <w:t xml:space="preserve"> to the economy each year.</w:t>
            </w:r>
          </w:p>
          <w:p w14:paraId="1DD9FDD1" w14:textId="1985CE2D" w:rsidR="008F1EE3" w:rsidRPr="00192F41" w:rsidRDefault="008F1EE3" w:rsidP="00D54461">
            <w:pPr>
              <w:pStyle w:val="Bulletpointparagraph"/>
              <w:ind w:right="494"/>
              <w:rPr>
                <w:rStyle w:val="IntenseEmphasis"/>
                <w:rFonts w:cs="Arial"/>
                <w:b w:val="0"/>
                <w:bCs/>
                <w:i w:val="0"/>
                <w:iCs w:val="0"/>
                <w:color w:val="000000" w:themeColor="text1"/>
              </w:rPr>
            </w:pPr>
            <w:r w:rsidRPr="00192F41">
              <w:rPr>
                <w:rStyle w:val="IntenseEmphasis"/>
                <w:rFonts w:cs="Arial"/>
                <w:b w:val="0"/>
                <w:bCs/>
                <w:i w:val="0"/>
                <w:iCs w:val="0"/>
                <w:color w:val="000000" w:themeColor="text1"/>
              </w:rPr>
              <w:t xml:space="preserve">We have a proven history of prudent and efficient expenditure by </w:t>
            </w:r>
            <w:r w:rsidR="00CA1972">
              <w:rPr>
                <w:rStyle w:val="IntenseEmphasis"/>
                <w:rFonts w:cs="Arial"/>
                <w:b w:val="0"/>
                <w:bCs/>
                <w:i w:val="0"/>
                <w:iCs w:val="0"/>
                <w:color w:val="000000" w:themeColor="text1"/>
              </w:rPr>
              <w:t xml:space="preserve">maintaining a low </w:t>
            </w:r>
            <w:r w:rsidR="00CA1972" w:rsidRPr="00192F41">
              <w:rPr>
                <w:rStyle w:val="IntenseEmphasis"/>
                <w:rFonts w:cs="Arial"/>
                <w:b w:val="0"/>
                <w:bCs/>
                <w:i w:val="0"/>
                <w:iCs w:val="0"/>
                <w:color w:val="000000" w:themeColor="text1"/>
              </w:rPr>
              <w:t>co</w:t>
            </w:r>
            <w:r w:rsidR="00CA1972">
              <w:rPr>
                <w:rStyle w:val="IntenseEmphasis"/>
                <w:rFonts w:cs="Arial"/>
                <w:b w:val="0"/>
                <w:bCs/>
                <w:i w:val="0"/>
                <w:iCs w:val="0"/>
                <w:color w:val="000000" w:themeColor="text1"/>
              </w:rPr>
              <w:t>st base</w:t>
            </w:r>
            <w:r w:rsidR="00CA1972" w:rsidRPr="00192F41">
              <w:rPr>
                <w:rStyle w:val="IntenseEmphasis"/>
                <w:rFonts w:cs="Arial"/>
                <w:b w:val="0"/>
                <w:bCs/>
                <w:i w:val="0"/>
                <w:iCs w:val="0"/>
                <w:color w:val="000000" w:themeColor="text1"/>
              </w:rPr>
              <w:t xml:space="preserve"> </w:t>
            </w:r>
            <w:r w:rsidRPr="00E9376F">
              <w:rPr>
                <w:rStyle w:val="IntenseEmphasis"/>
                <w:rFonts w:cs="Arial"/>
                <w:b w:val="0"/>
                <w:bCs/>
                <w:i w:val="0"/>
                <w:iCs w:val="0"/>
                <w:color w:val="000000" w:themeColor="text1"/>
              </w:rPr>
              <w:t xml:space="preserve">which </w:t>
            </w:r>
            <w:r w:rsidR="00703D44" w:rsidRPr="00E9376F">
              <w:rPr>
                <w:rStyle w:val="IntenseEmphasis"/>
                <w:rFonts w:cs="Arial"/>
                <w:b w:val="0"/>
                <w:bCs/>
                <w:i w:val="0"/>
                <w:iCs w:val="0"/>
                <w:color w:val="000000" w:themeColor="text1"/>
              </w:rPr>
              <w:t>will continue throughout</w:t>
            </w:r>
            <w:r w:rsidRPr="00E9376F">
              <w:rPr>
                <w:rStyle w:val="IntenseEmphasis"/>
                <w:rFonts w:cs="Arial"/>
                <w:b w:val="0"/>
                <w:bCs/>
                <w:i w:val="0"/>
                <w:iCs w:val="0"/>
                <w:color w:val="000000" w:themeColor="text1"/>
              </w:rPr>
              <w:t xml:space="preserve"> the</w:t>
            </w:r>
            <w:r w:rsidRPr="00192F41">
              <w:rPr>
                <w:rStyle w:val="IntenseEmphasis"/>
                <w:rFonts w:cs="Arial"/>
                <w:b w:val="0"/>
                <w:bCs/>
                <w:i w:val="0"/>
                <w:iCs w:val="0"/>
                <w:color w:val="000000" w:themeColor="text1"/>
              </w:rPr>
              <w:t xml:space="preserve"> 2023-2028 period.</w:t>
            </w:r>
          </w:p>
          <w:bookmarkEnd w:id="15"/>
          <w:p w14:paraId="3D8DA210" w14:textId="55B0CEE4" w:rsidR="00EF350C" w:rsidRPr="00192F41" w:rsidRDefault="00EF350C" w:rsidP="00EF350C">
            <w:pPr>
              <w:pStyle w:val="Bulletpointparagraph"/>
              <w:numPr>
                <w:ilvl w:val="0"/>
                <w:numId w:val="0"/>
              </w:numPr>
              <w:ind w:left="360"/>
              <w:rPr>
                <w:rFonts w:cs="Arial"/>
                <w:b w:val="0"/>
              </w:rPr>
            </w:pPr>
          </w:p>
        </w:tc>
      </w:tr>
    </w:tbl>
    <w:bookmarkEnd w:id="14"/>
    <w:p w14:paraId="6848A061" w14:textId="6334252C" w:rsidR="00C42955" w:rsidRPr="00192F41" w:rsidRDefault="00C42955" w:rsidP="00324E60">
      <w:pPr>
        <w:pStyle w:val="Heading2"/>
        <w:rPr>
          <w:rStyle w:val="IntenseEmphasis"/>
          <w:rFonts w:cs="Arial"/>
          <w:i w:val="0"/>
          <w:iCs w:val="0"/>
          <w:sz w:val="36"/>
        </w:rPr>
      </w:pPr>
      <w:r w:rsidRPr="00192F41">
        <w:rPr>
          <w:rStyle w:val="IntenseEmphasis"/>
          <w:rFonts w:cs="Arial"/>
          <w:i w:val="0"/>
          <w:iCs w:val="0"/>
          <w:sz w:val="36"/>
        </w:rPr>
        <w:t>Purpose</w:t>
      </w:r>
    </w:p>
    <w:p w14:paraId="453DA791" w14:textId="4798A75F" w:rsidR="00C42955" w:rsidRPr="00192F41" w:rsidRDefault="00C42955" w:rsidP="008050A1">
      <w:pPr>
        <w:jc w:val="both"/>
        <w:rPr>
          <w:rStyle w:val="IntenseEmphasis"/>
          <w:rFonts w:cs="Arial"/>
          <w:i w:val="0"/>
          <w:iCs w:val="0"/>
          <w:color w:val="auto"/>
        </w:rPr>
      </w:pPr>
      <w:r w:rsidRPr="00192F41">
        <w:rPr>
          <w:rStyle w:val="IntenseEmphasis"/>
          <w:rFonts w:cs="Arial"/>
          <w:i w:val="0"/>
          <w:iCs w:val="0"/>
          <w:color w:val="auto"/>
        </w:rPr>
        <w:t xml:space="preserve">This </w:t>
      </w:r>
      <w:r w:rsidR="00F70F50" w:rsidRPr="00192F41">
        <w:rPr>
          <w:rStyle w:val="IntenseEmphasis"/>
          <w:rFonts w:cs="Arial"/>
          <w:i w:val="0"/>
          <w:iCs w:val="0"/>
          <w:color w:val="auto"/>
        </w:rPr>
        <w:t>s</w:t>
      </w:r>
      <w:r w:rsidRPr="00192F41">
        <w:rPr>
          <w:rStyle w:val="IntenseEmphasis"/>
          <w:rFonts w:cs="Arial"/>
          <w:i w:val="0"/>
          <w:iCs w:val="0"/>
          <w:color w:val="auto"/>
        </w:rPr>
        <w:t>ubmission sets out SRW’s proposed service levels and pricing for 2023</w:t>
      </w:r>
      <w:r w:rsidR="000B2B17">
        <w:rPr>
          <w:rStyle w:val="IntenseEmphasis"/>
          <w:rFonts w:cs="Arial"/>
          <w:i w:val="0"/>
          <w:iCs w:val="0"/>
          <w:color w:val="auto"/>
        </w:rPr>
        <w:t>-</w:t>
      </w:r>
      <w:r w:rsidR="007D0518" w:rsidRPr="00192F41">
        <w:rPr>
          <w:rStyle w:val="IntenseEmphasis"/>
          <w:rFonts w:cs="Arial"/>
          <w:i w:val="0"/>
          <w:iCs w:val="0"/>
          <w:color w:val="auto"/>
        </w:rPr>
        <w:t>2028</w:t>
      </w:r>
      <w:r w:rsidRPr="00192F41">
        <w:rPr>
          <w:rStyle w:val="IntenseEmphasis"/>
          <w:rFonts w:cs="Arial"/>
          <w:i w:val="0"/>
          <w:iCs w:val="0"/>
          <w:color w:val="auto"/>
        </w:rPr>
        <w:t xml:space="preserve">. It has been developed in accordance with the </w:t>
      </w:r>
      <w:r w:rsidR="008E5E29" w:rsidRPr="00192F41">
        <w:rPr>
          <w:rStyle w:val="IntenseEmphasis"/>
          <w:rFonts w:cs="Arial"/>
          <w:i w:val="0"/>
          <w:iCs w:val="0"/>
          <w:color w:val="auto"/>
        </w:rPr>
        <w:t>E</w:t>
      </w:r>
      <w:r w:rsidR="00825899">
        <w:rPr>
          <w:rStyle w:val="IntenseEmphasis"/>
          <w:rFonts w:cs="Arial"/>
          <w:i w:val="0"/>
          <w:iCs w:val="0"/>
          <w:color w:val="auto"/>
        </w:rPr>
        <w:t xml:space="preserve">ssential </w:t>
      </w:r>
      <w:r w:rsidR="008E5E29" w:rsidRPr="00192F41">
        <w:rPr>
          <w:rStyle w:val="IntenseEmphasis"/>
          <w:rFonts w:cs="Arial"/>
          <w:i w:val="0"/>
          <w:iCs w:val="0"/>
          <w:color w:val="auto"/>
        </w:rPr>
        <w:t>S</w:t>
      </w:r>
      <w:r w:rsidR="00825899">
        <w:rPr>
          <w:rStyle w:val="IntenseEmphasis"/>
          <w:rFonts w:cs="Arial"/>
          <w:i w:val="0"/>
          <w:iCs w:val="0"/>
          <w:color w:val="auto"/>
        </w:rPr>
        <w:t xml:space="preserve">ervices </w:t>
      </w:r>
      <w:r w:rsidR="008E5E29" w:rsidRPr="00192F41">
        <w:rPr>
          <w:rStyle w:val="IntenseEmphasis"/>
          <w:rFonts w:cs="Arial"/>
          <w:i w:val="0"/>
          <w:iCs w:val="0"/>
          <w:color w:val="auto"/>
        </w:rPr>
        <w:t>C</w:t>
      </w:r>
      <w:r w:rsidR="00825899">
        <w:rPr>
          <w:rStyle w:val="IntenseEmphasis"/>
          <w:rFonts w:cs="Arial"/>
          <w:i w:val="0"/>
          <w:iCs w:val="0"/>
          <w:color w:val="auto"/>
        </w:rPr>
        <w:t>ommission (</w:t>
      </w:r>
      <w:r w:rsidR="008E5E29" w:rsidRPr="00192F41">
        <w:rPr>
          <w:rStyle w:val="IntenseEmphasis"/>
          <w:rFonts w:cs="Arial"/>
          <w:i w:val="0"/>
          <w:iCs w:val="0"/>
          <w:color w:val="auto"/>
        </w:rPr>
        <w:t>ESC</w:t>
      </w:r>
      <w:r w:rsidR="00825899">
        <w:rPr>
          <w:rStyle w:val="IntenseEmphasis"/>
          <w:rFonts w:cs="Arial"/>
          <w:i w:val="0"/>
          <w:iCs w:val="0"/>
          <w:color w:val="auto"/>
        </w:rPr>
        <w:t>)</w:t>
      </w:r>
      <w:r w:rsidR="008E5E29" w:rsidRPr="00192F41">
        <w:rPr>
          <w:rStyle w:val="IntenseEmphasis"/>
          <w:rFonts w:cs="Arial"/>
          <w:i w:val="0"/>
          <w:iCs w:val="0"/>
          <w:color w:val="auto"/>
        </w:rPr>
        <w:t xml:space="preserve"> </w:t>
      </w:r>
      <w:r w:rsidR="005932F6" w:rsidRPr="00192F41">
        <w:rPr>
          <w:rStyle w:val="IntenseEmphasis"/>
          <w:rFonts w:cs="Arial"/>
          <w:i w:val="0"/>
          <w:iCs w:val="0"/>
          <w:color w:val="auto"/>
        </w:rPr>
        <w:t>g</w:t>
      </w:r>
      <w:r w:rsidRPr="00192F41">
        <w:rPr>
          <w:rStyle w:val="IntenseEmphasis"/>
          <w:rFonts w:cs="Arial"/>
          <w:i w:val="0"/>
          <w:iCs w:val="0"/>
          <w:color w:val="auto"/>
        </w:rPr>
        <w:t>uidelines</w:t>
      </w:r>
      <w:r w:rsidR="005932F6" w:rsidRPr="00192F41">
        <w:rPr>
          <w:rStyle w:val="IntenseEmphasis"/>
          <w:rFonts w:cs="Arial"/>
          <w:i w:val="0"/>
          <w:iCs w:val="0"/>
          <w:color w:val="auto"/>
        </w:rPr>
        <w:t>.</w:t>
      </w:r>
      <w:r w:rsidR="00F70F50" w:rsidRPr="00192F41">
        <w:rPr>
          <w:rStyle w:val="IntenseEmphasis"/>
          <w:rFonts w:cs="Arial"/>
          <w:i w:val="0"/>
          <w:iCs w:val="0"/>
          <w:color w:val="auto"/>
        </w:rPr>
        <w:t xml:space="preserve"> </w:t>
      </w:r>
    </w:p>
    <w:p w14:paraId="75EFB661" w14:textId="376E8CDB" w:rsidR="00917D82" w:rsidRPr="00192F41" w:rsidRDefault="00917D82" w:rsidP="00917D82">
      <w:pPr>
        <w:pStyle w:val="Heading2"/>
        <w:rPr>
          <w:rStyle w:val="IntenseEmphasis"/>
          <w:rFonts w:cs="Arial"/>
          <w:i w:val="0"/>
          <w:iCs w:val="0"/>
          <w:sz w:val="36"/>
        </w:rPr>
      </w:pPr>
      <w:r w:rsidRPr="00192F41">
        <w:rPr>
          <w:rStyle w:val="IntenseEmphasis"/>
          <w:rFonts w:cs="Arial"/>
          <w:i w:val="0"/>
          <w:iCs w:val="0"/>
          <w:sz w:val="36"/>
        </w:rPr>
        <w:t>Regulatory period</w:t>
      </w:r>
    </w:p>
    <w:p w14:paraId="08348FB1" w14:textId="2115CDF0" w:rsidR="00917D82" w:rsidRPr="00192F41" w:rsidRDefault="00917D82" w:rsidP="00917D82">
      <w:pPr>
        <w:rPr>
          <w:rStyle w:val="IntenseEmphasis"/>
          <w:rFonts w:cs="Arial"/>
          <w:i w:val="0"/>
          <w:iCs w:val="0"/>
          <w:color w:val="auto"/>
        </w:rPr>
      </w:pPr>
      <w:r w:rsidRPr="00192F41">
        <w:rPr>
          <w:rStyle w:val="IntenseEmphasis"/>
          <w:rFonts w:cs="Arial"/>
          <w:i w:val="0"/>
          <w:iCs w:val="0"/>
          <w:color w:val="auto"/>
        </w:rPr>
        <w:t>Th</w:t>
      </w:r>
      <w:r w:rsidR="00F70F50" w:rsidRPr="00192F41">
        <w:rPr>
          <w:rStyle w:val="IntenseEmphasis"/>
          <w:rFonts w:cs="Arial"/>
          <w:i w:val="0"/>
          <w:iCs w:val="0"/>
          <w:color w:val="auto"/>
        </w:rPr>
        <w:t xml:space="preserve">e submission </w:t>
      </w:r>
      <w:r w:rsidR="00E404B7" w:rsidRPr="00192F41">
        <w:rPr>
          <w:rStyle w:val="IntenseEmphasis"/>
          <w:rFonts w:cs="Arial"/>
          <w:i w:val="0"/>
          <w:iCs w:val="0"/>
          <w:color w:val="auto"/>
        </w:rPr>
        <w:t>is for the five</w:t>
      </w:r>
      <w:r w:rsidR="00B6710D" w:rsidRPr="00192F41">
        <w:rPr>
          <w:rStyle w:val="IntenseEmphasis"/>
          <w:rFonts w:cs="Arial"/>
          <w:i w:val="0"/>
          <w:iCs w:val="0"/>
          <w:color w:val="auto"/>
        </w:rPr>
        <w:t>-</w:t>
      </w:r>
      <w:r w:rsidR="00E404B7" w:rsidRPr="00192F41">
        <w:rPr>
          <w:rStyle w:val="IntenseEmphasis"/>
          <w:rFonts w:cs="Arial"/>
          <w:i w:val="0"/>
          <w:iCs w:val="0"/>
          <w:color w:val="auto"/>
        </w:rPr>
        <w:t>year regulatory period commencing 1 July 2023.</w:t>
      </w:r>
      <w:r w:rsidRPr="00192F41">
        <w:rPr>
          <w:rStyle w:val="IntenseEmphasis"/>
          <w:rFonts w:cs="Arial"/>
          <w:i w:val="0"/>
          <w:iCs w:val="0"/>
          <w:color w:val="auto"/>
        </w:rPr>
        <w:t xml:space="preserve"> </w:t>
      </w:r>
    </w:p>
    <w:p w14:paraId="14C5AC55" w14:textId="0BFA5DB0" w:rsidR="00C42955" w:rsidRPr="00192F41" w:rsidRDefault="00C2134C" w:rsidP="00B97C01">
      <w:pPr>
        <w:pStyle w:val="Heading2"/>
        <w:rPr>
          <w:rStyle w:val="IntenseEmphasis"/>
          <w:rFonts w:cs="Arial"/>
          <w:i w:val="0"/>
          <w:iCs w:val="0"/>
          <w:sz w:val="36"/>
        </w:rPr>
      </w:pPr>
      <w:r w:rsidRPr="00192F41">
        <w:rPr>
          <w:rStyle w:val="IntenseEmphasis"/>
          <w:rFonts w:cs="Arial"/>
          <w:i w:val="0"/>
          <w:iCs w:val="0"/>
          <w:sz w:val="36"/>
        </w:rPr>
        <w:t>About us</w:t>
      </w:r>
    </w:p>
    <w:p w14:paraId="7B6F44C1" w14:textId="76D437E1" w:rsidR="00921FB0" w:rsidRPr="00192F41" w:rsidRDefault="00921FB0" w:rsidP="00921FB0">
      <w:pPr>
        <w:rPr>
          <w:rFonts w:cs="Arial"/>
        </w:rPr>
      </w:pPr>
      <w:r w:rsidRPr="00192F41">
        <w:rPr>
          <w:rFonts w:cs="Arial"/>
        </w:rPr>
        <w:t xml:space="preserve">SRW is a state-owned </w:t>
      </w:r>
      <w:r w:rsidR="00B554A9">
        <w:rPr>
          <w:rFonts w:cs="Arial"/>
        </w:rPr>
        <w:t xml:space="preserve">rural </w:t>
      </w:r>
      <w:r w:rsidRPr="00192F41">
        <w:rPr>
          <w:rFonts w:cs="Arial"/>
        </w:rPr>
        <w:t>water corporation.</w:t>
      </w:r>
    </w:p>
    <w:p w14:paraId="77159842" w14:textId="7B5DB3AC" w:rsidR="00B554A9" w:rsidRPr="0012750A" w:rsidRDefault="000C773F" w:rsidP="00A92DF0">
      <w:pPr>
        <w:jc w:val="both"/>
        <w:rPr>
          <w:rStyle w:val="IntenseEmphasis"/>
          <w:rFonts w:cs="Arial"/>
          <w:i w:val="0"/>
          <w:iCs w:val="0"/>
          <w:color w:val="auto"/>
        </w:rPr>
      </w:pPr>
      <w:r>
        <w:rPr>
          <w:rFonts w:cs="Arial"/>
        </w:rPr>
        <w:t>More than</w:t>
      </w:r>
      <w:r w:rsidR="00E13AC6" w:rsidRPr="0012750A">
        <w:rPr>
          <w:rFonts w:cs="Arial"/>
        </w:rPr>
        <w:t xml:space="preserve"> </w:t>
      </w:r>
      <w:r w:rsidR="00A36327" w:rsidRPr="0012750A">
        <w:rPr>
          <w:rFonts w:cs="Arial"/>
        </w:rPr>
        <w:t xml:space="preserve">86% of the water that we provide </w:t>
      </w:r>
      <w:r w:rsidR="00564795" w:rsidRPr="0012750A">
        <w:rPr>
          <w:rFonts w:cs="Arial"/>
        </w:rPr>
        <w:t xml:space="preserve">is used </w:t>
      </w:r>
      <w:r w:rsidR="00A36327" w:rsidRPr="0012750A">
        <w:rPr>
          <w:rFonts w:cs="Arial"/>
        </w:rPr>
        <w:t>for agricultural purposes with over 90% of our customers being farmers.</w:t>
      </w:r>
      <w:r w:rsidR="00983D88" w:rsidRPr="0012750A">
        <w:rPr>
          <w:rFonts w:cs="Arial"/>
        </w:rPr>
        <w:t xml:space="preserve"> </w:t>
      </w:r>
      <w:r w:rsidR="00B554A9" w:rsidRPr="0012750A">
        <w:rPr>
          <w:rStyle w:val="IntenseEmphasis"/>
          <w:rFonts w:cs="Arial"/>
          <w:i w:val="0"/>
          <w:iCs w:val="0"/>
          <w:color w:val="auto"/>
        </w:rPr>
        <w:t>Our services support a food and fibre sector that contributes more than $14.2 billion to the economy each year</w:t>
      </w:r>
      <w:r w:rsidR="00BB60CA">
        <w:rPr>
          <w:rStyle w:val="IntenseEmphasis"/>
          <w:rFonts w:cs="Arial"/>
          <w:i w:val="0"/>
          <w:iCs w:val="0"/>
          <w:color w:val="auto"/>
        </w:rPr>
        <w:t>, contributing to GDP, job creation and trade.</w:t>
      </w:r>
      <w:r w:rsidR="00B554A9" w:rsidRPr="0012750A">
        <w:rPr>
          <w:rStyle w:val="IntenseEmphasis"/>
          <w:rFonts w:cs="Arial"/>
          <w:i w:val="0"/>
          <w:iCs w:val="0"/>
          <w:color w:val="auto"/>
        </w:rPr>
        <w:t xml:space="preserve"> </w:t>
      </w:r>
    </w:p>
    <w:p w14:paraId="76AD8AA9" w14:textId="53C9AE74" w:rsidR="00921FB0" w:rsidRPr="00192F41" w:rsidRDefault="00921FB0" w:rsidP="00A92DF0">
      <w:pPr>
        <w:jc w:val="both"/>
        <w:rPr>
          <w:rFonts w:cs="Arial"/>
        </w:rPr>
      </w:pPr>
      <w:r w:rsidRPr="00192F41">
        <w:rPr>
          <w:rFonts w:cs="Arial"/>
        </w:rPr>
        <w:t xml:space="preserve">We </w:t>
      </w:r>
      <w:r w:rsidR="00983D88" w:rsidRPr="0012750A">
        <w:rPr>
          <w:rFonts w:cs="Arial"/>
        </w:rPr>
        <w:t>also</w:t>
      </w:r>
      <w:r w:rsidR="00AF5957" w:rsidRPr="0012750A">
        <w:rPr>
          <w:rFonts w:cs="Arial"/>
        </w:rPr>
        <w:t xml:space="preserve"> </w:t>
      </w:r>
      <w:r w:rsidRPr="00192F41">
        <w:rPr>
          <w:rFonts w:cs="Arial"/>
        </w:rPr>
        <w:t>supply water to power generators</w:t>
      </w:r>
      <w:r w:rsidR="00AF5957" w:rsidRPr="0012750A">
        <w:rPr>
          <w:rFonts w:cs="Arial"/>
        </w:rPr>
        <w:t xml:space="preserve"> and</w:t>
      </w:r>
      <w:r w:rsidRPr="00192F41">
        <w:rPr>
          <w:rFonts w:cs="Arial"/>
        </w:rPr>
        <w:t xml:space="preserve"> urban water corporations </w:t>
      </w:r>
      <w:r w:rsidR="00AF5957" w:rsidRPr="0012750A">
        <w:rPr>
          <w:rFonts w:cs="Arial"/>
        </w:rPr>
        <w:t xml:space="preserve">while working with </w:t>
      </w:r>
      <w:r w:rsidR="00992F01">
        <w:rPr>
          <w:rFonts w:cs="Arial"/>
        </w:rPr>
        <w:t xml:space="preserve">the </w:t>
      </w:r>
      <w:r w:rsidRPr="00192F41">
        <w:rPr>
          <w:rFonts w:cs="Arial"/>
        </w:rPr>
        <w:t>Victorian Environmental Water Holder</w:t>
      </w:r>
      <w:r w:rsidR="0000592B" w:rsidRPr="0012750A">
        <w:rPr>
          <w:rFonts w:cs="Arial"/>
        </w:rPr>
        <w:t>,</w:t>
      </w:r>
      <w:r w:rsidRPr="00192F41">
        <w:rPr>
          <w:rFonts w:cs="Arial"/>
        </w:rPr>
        <w:t xml:space="preserve"> catchment management authorities and Melbourne Water to manage the release of environmental flows.</w:t>
      </w:r>
    </w:p>
    <w:p w14:paraId="7AAD5A9F" w14:textId="77777777" w:rsidR="00921FB0" w:rsidRPr="00192F41" w:rsidRDefault="00921FB0" w:rsidP="00A92DF0">
      <w:pPr>
        <w:jc w:val="both"/>
        <w:rPr>
          <w:rFonts w:cs="Arial"/>
        </w:rPr>
      </w:pPr>
      <w:r w:rsidRPr="00192F41">
        <w:rPr>
          <w:rFonts w:cs="Arial"/>
        </w:rPr>
        <w:t>We service an area of 88,000 square kilometres, stretching from the South Australian border to the New South Wales border and from the Great Dividing Range to the Victorian coastline.</w:t>
      </w:r>
    </w:p>
    <w:p w14:paraId="7A7AB507" w14:textId="77777777" w:rsidR="00AF098A" w:rsidRPr="00F82275" w:rsidRDefault="00AF098A" w:rsidP="00A92DF0">
      <w:pPr>
        <w:jc w:val="both"/>
        <w:rPr>
          <w:rFonts w:cs="Arial"/>
        </w:rPr>
      </w:pPr>
      <w:r w:rsidRPr="0012750A">
        <w:rPr>
          <w:rFonts w:cs="Arial"/>
        </w:rPr>
        <w:t>We recognise the important role we play as stewards of water resources, ensuring that we manage them sustainably for the long term.</w:t>
      </w:r>
    </w:p>
    <w:p w14:paraId="42856F70" w14:textId="6A74B43E" w:rsidR="00921FB0" w:rsidRPr="00192F41" w:rsidRDefault="00921FB0" w:rsidP="00A92DF0">
      <w:pPr>
        <w:jc w:val="both"/>
        <w:rPr>
          <w:rStyle w:val="IntenseEmphasis"/>
          <w:rFonts w:cs="Arial"/>
          <w:i w:val="0"/>
          <w:iCs w:val="0"/>
          <w:color w:val="auto"/>
        </w:rPr>
      </w:pPr>
      <w:r w:rsidRPr="0012750A">
        <w:rPr>
          <w:rStyle w:val="IntenseEmphasis"/>
          <w:rFonts w:cs="Arial"/>
          <w:i w:val="0"/>
          <w:iCs w:val="0"/>
          <w:color w:val="auto"/>
        </w:rPr>
        <w:t>W</w:t>
      </w:r>
      <w:r w:rsidR="00FB5B63">
        <w:rPr>
          <w:rStyle w:val="IntenseEmphasis"/>
          <w:rFonts w:cs="Arial"/>
          <w:i w:val="0"/>
          <w:iCs w:val="0"/>
          <w:color w:val="auto"/>
        </w:rPr>
        <w:t>e hold</w:t>
      </w:r>
      <w:r w:rsidRPr="00192F41">
        <w:rPr>
          <w:rStyle w:val="IntenseEmphasis"/>
          <w:rFonts w:cs="Arial"/>
          <w:i w:val="0"/>
          <w:iCs w:val="0"/>
          <w:color w:val="auto"/>
        </w:rPr>
        <w:t xml:space="preserve"> $1.85 billion in assets and employ </w:t>
      </w:r>
      <w:r w:rsidR="00C75726">
        <w:rPr>
          <w:rStyle w:val="IntenseEmphasis"/>
          <w:rFonts w:cs="Arial"/>
          <w:i w:val="0"/>
          <w:iCs w:val="0"/>
          <w:color w:val="auto"/>
        </w:rPr>
        <w:t xml:space="preserve">around </w:t>
      </w:r>
      <w:r w:rsidRPr="00192F41">
        <w:rPr>
          <w:rStyle w:val="IntenseEmphasis"/>
          <w:rFonts w:cs="Arial"/>
          <w:i w:val="0"/>
          <w:iCs w:val="0"/>
          <w:color w:val="auto"/>
        </w:rPr>
        <w:t>160 people</w:t>
      </w:r>
      <w:r w:rsidR="00CA4F46">
        <w:rPr>
          <w:rStyle w:val="IntenseEmphasis"/>
          <w:rFonts w:cs="Arial"/>
          <w:i w:val="0"/>
          <w:iCs w:val="0"/>
          <w:color w:val="auto"/>
        </w:rPr>
        <w:t>. W</w:t>
      </w:r>
      <w:r w:rsidRPr="0012750A">
        <w:rPr>
          <w:rStyle w:val="IntenseEmphasis"/>
          <w:rFonts w:cs="Arial"/>
          <w:i w:val="0"/>
          <w:iCs w:val="0"/>
          <w:color w:val="auto"/>
        </w:rPr>
        <w:t>ith</w:t>
      </w:r>
      <w:r w:rsidRPr="00192F41">
        <w:rPr>
          <w:rStyle w:val="IntenseEmphasis"/>
          <w:rFonts w:cs="Arial"/>
          <w:i w:val="0"/>
          <w:iCs w:val="0"/>
          <w:color w:val="auto"/>
        </w:rPr>
        <w:t xml:space="preserve"> business centres located in Maffra, Werribee and Warrnambool, and small offices across our regions, we remain closely connected to our customers. </w:t>
      </w:r>
    </w:p>
    <w:p w14:paraId="36EF5DEC" w14:textId="295BFFCA" w:rsidR="005A72F1" w:rsidRPr="00192F41" w:rsidRDefault="00054C69" w:rsidP="00CD1ABC">
      <w:pPr>
        <w:spacing w:after="0" w:line="240" w:lineRule="auto"/>
        <w:jc w:val="center"/>
        <w:rPr>
          <w:rStyle w:val="IntenseReference"/>
          <w:rFonts w:cs="Arial"/>
          <w:u w:val="single"/>
        </w:rPr>
      </w:pPr>
      <w:r w:rsidRPr="00F82275">
        <w:rPr>
          <w:noProof/>
        </w:rPr>
        <w:drawing>
          <wp:inline distT="0" distB="0" distL="0" distR="0" wp14:anchorId="28142A68" wp14:editId="5F6EBB5C">
            <wp:extent cx="5839649" cy="8904377"/>
            <wp:effectExtent l="0" t="0" r="8890" b="0"/>
            <wp:docPr id="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7066" t="3526" r="7935" b="4267"/>
                    <a:stretch/>
                  </pic:blipFill>
                  <pic:spPr bwMode="auto">
                    <a:xfrm>
                      <a:off x="0" y="0"/>
                      <a:ext cx="5860562" cy="8936265"/>
                    </a:xfrm>
                    <a:prstGeom prst="rect">
                      <a:avLst/>
                    </a:prstGeom>
                    <a:ln>
                      <a:noFill/>
                    </a:ln>
                    <a:extLst>
                      <a:ext uri="{53640926-AAD7-44D8-BBD7-CCE9431645EC}">
                        <a14:shadowObscured xmlns:a14="http://schemas.microsoft.com/office/drawing/2010/main"/>
                      </a:ext>
                    </a:extLst>
                  </pic:spPr>
                </pic:pic>
              </a:graphicData>
            </a:graphic>
          </wp:inline>
        </w:drawing>
      </w:r>
    </w:p>
    <w:p w14:paraId="2C3ADFB5" w14:textId="5FCB0EF1" w:rsidR="00C42955" w:rsidRPr="00192F41" w:rsidRDefault="00C42955" w:rsidP="00F75A27">
      <w:pPr>
        <w:pStyle w:val="Heading2"/>
        <w:rPr>
          <w:rStyle w:val="IntenseEmphasis"/>
          <w:rFonts w:cs="Arial"/>
          <w:i w:val="0"/>
          <w:iCs w:val="0"/>
          <w:sz w:val="36"/>
        </w:rPr>
      </w:pPr>
      <w:r w:rsidRPr="00192F41">
        <w:rPr>
          <w:rStyle w:val="IntenseEmphasis"/>
          <w:rFonts w:cs="Arial"/>
          <w:i w:val="0"/>
          <w:iCs w:val="0"/>
          <w:sz w:val="36"/>
        </w:rPr>
        <w:t>Providing great value</w:t>
      </w:r>
    </w:p>
    <w:p w14:paraId="14323A7F" w14:textId="40AAE798" w:rsidR="00921FB0" w:rsidRPr="00192F41" w:rsidRDefault="00921FB0" w:rsidP="00A92DF0">
      <w:pPr>
        <w:jc w:val="both"/>
        <w:rPr>
          <w:rFonts w:cs="Arial"/>
        </w:rPr>
      </w:pPr>
      <w:r w:rsidRPr="00192F41">
        <w:rPr>
          <w:rFonts w:cs="Arial"/>
        </w:rPr>
        <w:t>SRW’s vision is to provide</w:t>
      </w:r>
      <w:r w:rsidR="00557A01" w:rsidRPr="00192F41">
        <w:rPr>
          <w:rFonts w:cs="Arial"/>
        </w:rPr>
        <w:t xml:space="preserve"> g</w:t>
      </w:r>
      <w:r w:rsidRPr="00192F41">
        <w:rPr>
          <w:rFonts w:cs="Arial"/>
        </w:rPr>
        <w:t>reat value for customers and community through excellence in rural water management.</w:t>
      </w:r>
    </w:p>
    <w:p w14:paraId="2AA821B3" w14:textId="4FCDA954" w:rsidR="00777184" w:rsidRDefault="00921FB0" w:rsidP="00A92DF0">
      <w:pPr>
        <w:jc w:val="both"/>
        <w:rPr>
          <w:rFonts w:cs="Arial"/>
        </w:rPr>
      </w:pPr>
      <w:r w:rsidRPr="00192F41">
        <w:rPr>
          <w:rFonts w:cs="Arial"/>
        </w:rPr>
        <w:t>We do this with a focus on our ability to anticipate and adapt to the challenges driven by shifts in climate, population, technology</w:t>
      </w:r>
      <w:r w:rsidR="00383F10" w:rsidRPr="00F82275">
        <w:rPr>
          <w:rFonts w:cs="Arial"/>
        </w:rPr>
        <w:t>,</w:t>
      </w:r>
      <w:r w:rsidRPr="00192F41">
        <w:rPr>
          <w:rFonts w:cs="Arial"/>
        </w:rPr>
        <w:t xml:space="preserve"> and market forces.</w:t>
      </w:r>
    </w:p>
    <w:p w14:paraId="0B48FD7F" w14:textId="61609935" w:rsidR="00E86069" w:rsidRDefault="00E86069" w:rsidP="00E86069">
      <w:pPr>
        <w:jc w:val="center"/>
        <w:rPr>
          <w:rFonts w:cs="Arial"/>
        </w:rPr>
      </w:pPr>
      <w:r w:rsidRPr="00DB64D3">
        <w:rPr>
          <w:rFonts w:cs="Arial"/>
          <w:noProof/>
        </w:rPr>
        <w:drawing>
          <wp:inline distT="0" distB="0" distL="0" distR="0" wp14:anchorId="51E261F7" wp14:editId="74D52728">
            <wp:extent cx="3627120" cy="5010119"/>
            <wp:effectExtent l="0" t="0" r="0" b="635"/>
            <wp:docPr id="5"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643823" cy="5033191"/>
                    </a:xfrm>
                    <a:prstGeom prst="rect">
                      <a:avLst/>
                    </a:prstGeom>
                    <a:noFill/>
                  </pic:spPr>
                </pic:pic>
              </a:graphicData>
            </a:graphic>
          </wp:inline>
        </w:drawing>
      </w:r>
    </w:p>
    <w:p w14:paraId="6391BBFA" w14:textId="31692B1F" w:rsidR="00921FB0" w:rsidRPr="00DB64D3" w:rsidRDefault="00921FB0" w:rsidP="00921FB0">
      <w:pPr>
        <w:rPr>
          <w:rFonts w:cs="Arial"/>
        </w:rPr>
      </w:pPr>
      <w:r w:rsidRPr="00DB64D3">
        <w:rPr>
          <w:rFonts w:cs="Arial"/>
        </w:rPr>
        <w:t xml:space="preserve">Underlying our vision </w:t>
      </w:r>
      <w:r w:rsidR="009B5647" w:rsidRPr="00DB64D3">
        <w:rPr>
          <w:rFonts w:cs="Arial"/>
        </w:rPr>
        <w:t>are</w:t>
      </w:r>
      <w:r w:rsidRPr="00DB64D3">
        <w:rPr>
          <w:rFonts w:cs="Arial"/>
        </w:rPr>
        <w:t>:</w:t>
      </w:r>
    </w:p>
    <w:p w14:paraId="68E563C6" w14:textId="77777777" w:rsidR="00921FB0" w:rsidRPr="00DB64D3" w:rsidRDefault="00921FB0" w:rsidP="00A92DF0">
      <w:pPr>
        <w:pStyle w:val="Bulletpointparagraph"/>
        <w:jc w:val="both"/>
        <w:rPr>
          <w:rFonts w:cs="Arial"/>
        </w:rPr>
      </w:pPr>
      <w:r w:rsidRPr="00DB64D3">
        <w:rPr>
          <w:rFonts w:eastAsiaTheme="minorEastAsia" w:cs="Arial"/>
          <w:b/>
          <w:color w:val="00B1B0"/>
          <w:spacing w:val="5"/>
        </w:rPr>
        <w:t>Our aspirations:</w:t>
      </w:r>
      <w:r w:rsidRPr="00DB64D3">
        <w:rPr>
          <w:rFonts w:cs="Arial"/>
        </w:rPr>
        <w:t xml:space="preserve"> This is what drives us, providing depth to our vision. Our success is defined by our aspirations of customer value through outstanding service, community value to help our regions thrive and excellence in everything we do by empowering our people to deliver results.  </w:t>
      </w:r>
    </w:p>
    <w:p w14:paraId="23C12559" w14:textId="77777777" w:rsidR="007300B3" w:rsidRPr="00DB64D3" w:rsidRDefault="00921FB0" w:rsidP="00A92DF0">
      <w:pPr>
        <w:pStyle w:val="Bulletpointparagraph"/>
        <w:jc w:val="both"/>
        <w:rPr>
          <w:rFonts w:cs="Arial"/>
        </w:rPr>
      </w:pPr>
      <w:bookmarkStart w:id="17" w:name="_Hlk110495263"/>
      <w:r w:rsidRPr="00DB64D3">
        <w:rPr>
          <w:rFonts w:eastAsiaTheme="minorEastAsia" w:cs="Arial"/>
          <w:b/>
          <w:color w:val="00B1B0"/>
          <w:spacing w:val="5"/>
        </w:rPr>
        <w:t>Our people:</w:t>
      </w:r>
      <w:r w:rsidRPr="00DB64D3">
        <w:rPr>
          <w:rFonts w:cs="Arial"/>
        </w:rPr>
        <w:t xml:space="preserve"> This is how we work at SRW. Our people are at the heart of everything we do. Our people enable us to deliver on our aspirations by </w:t>
      </w:r>
      <w:r w:rsidR="007300B3" w:rsidRPr="00DB64D3">
        <w:rPr>
          <w:rFonts w:cs="Arial"/>
        </w:rPr>
        <w:t xml:space="preserve">building the foundations. </w:t>
      </w:r>
    </w:p>
    <w:p w14:paraId="43C29D80" w14:textId="77777777" w:rsidR="007300B3" w:rsidRPr="00DB64D3" w:rsidRDefault="007300B3" w:rsidP="00A92DF0">
      <w:pPr>
        <w:pStyle w:val="Bulletpointparagraph"/>
        <w:jc w:val="both"/>
        <w:rPr>
          <w:rFonts w:cs="Arial"/>
        </w:rPr>
      </w:pPr>
      <w:r w:rsidRPr="00DB64D3">
        <w:rPr>
          <w:rFonts w:eastAsiaTheme="minorEastAsia" w:cs="Arial"/>
          <w:b/>
          <w:color w:val="00B1B0"/>
          <w:spacing w:val="5"/>
        </w:rPr>
        <w:t>Our foundations:</w:t>
      </w:r>
      <w:r w:rsidRPr="00DB64D3">
        <w:rPr>
          <w:rFonts w:cs="Arial"/>
        </w:rPr>
        <w:t xml:space="preserve"> This is how we make it happen at SRW. The elements of our business that equip us to succeed and enable us to deliver our aspirations, from being a great partner to being financially sound.</w:t>
      </w:r>
    </w:p>
    <w:bookmarkEnd w:id="17"/>
    <w:p w14:paraId="165D83A3" w14:textId="2028FA92" w:rsidR="00921FB0" w:rsidRPr="00192F41" w:rsidRDefault="00921FB0" w:rsidP="0085311F">
      <w:pPr>
        <w:pStyle w:val="Bulletpointparagraph"/>
        <w:numPr>
          <w:ilvl w:val="0"/>
          <w:numId w:val="0"/>
        </w:numPr>
        <w:ind w:left="720" w:hanging="360"/>
        <w:rPr>
          <w:rFonts w:cs="Arial"/>
        </w:rPr>
      </w:pPr>
    </w:p>
    <w:p w14:paraId="50A0D6D7" w14:textId="77777777" w:rsidR="00777184" w:rsidRDefault="00777184" w:rsidP="008D2B3C">
      <w:pPr>
        <w:rPr>
          <w:rStyle w:val="IntenseEmphasis"/>
          <w:rFonts w:cs="Arial"/>
          <w:i w:val="0"/>
          <w:iCs w:val="0"/>
          <w:color w:val="auto"/>
        </w:rPr>
        <w:sectPr w:rsidR="00777184" w:rsidSect="007300B3">
          <w:headerReference w:type="even" r:id="rId17"/>
          <w:headerReference w:type="default" r:id="rId18"/>
          <w:footerReference w:type="even" r:id="rId19"/>
          <w:footerReference w:type="default" r:id="rId20"/>
          <w:headerReference w:type="first" r:id="rId21"/>
          <w:footerReference w:type="first" r:id="rId22"/>
          <w:type w:val="continuous"/>
          <w:pgSz w:w="11906" w:h="16838"/>
          <w:pgMar w:top="2379" w:right="1133" w:bottom="851" w:left="1134" w:header="567" w:footer="0" w:gutter="0"/>
          <w:cols w:space="708"/>
          <w:titlePg/>
          <w:docGrid w:linePitch="360"/>
        </w:sectPr>
      </w:pPr>
    </w:p>
    <w:p w14:paraId="02DA1C01" w14:textId="77777777" w:rsidR="00C7674A" w:rsidRPr="00F82275" w:rsidRDefault="00C7674A" w:rsidP="00C7674A">
      <w:pPr>
        <w:pStyle w:val="Heading2"/>
        <w:rPr>
          <w:rFonts w:cs="Arial"/>
        </w:rPr>
      </w:pPr>
      <w:bookmarkStart w:id="18" w:name="_Toc107483812"/>
      <w:r>
        <w:rPr>
          <w:rFonts w:cs="Arial"/>
        </w:rPr>
        <w:t>Our people</w:t>
      </w:r>
    </w:p>
    <w:p w14:paraId="047115CD" w14:textId="77777777" w:rsidR="00C7674A" w:rsidRDefault="00C7674A" w:rsidP="00A92DF0">
      <w:pPr>
        <w:jc w:val="both"/>
      </w:pPr>
      <w:r w:rsidRPr="00AF0CF2">
        <w:t xml:space="preserve">Our people are at the heart of everything we do. Our people enable us to deliver </w:t>
      </w:r>
      <w:r>
        <w:t>the services we provide to our customers. During the price submission engagement we were repeatedly told by our customers that they value our people, particularly our field staff and ‘front of house’ staff who provide great customer service.</w:t>
      </w:r>
      <w:r w:rsidRPr="00834AE9">
        <w:t xml:space="preserve"> </w:t>
      </w:r>
      <w:r>
        <w:t>We recognise that our people are critical in the successful delivery of this price submission.</w:t>
      </w:r>
    </w:p>
    <w:p w14:paraId="015E1F3D" w14:textId="3269313B" w:rsidR="00C7674A" w:rsidRDefault="00C7674A" w:rsidP="00A92DF0">
      <w:pPr>
        <w:jc w:val="both"/>
      </w:pPr>
      <w:r>
        <w:t>Our culture continues to be key feature of SRW as we seek to transition to a modernised and values-driven way of working, generating thriving, sustainable, and tangible success across the business.</w:t>
      </w:r>
    </w:p>
    <w:p w14:paraId="12E10F64" w14:textId="24BF1D5F" w:rsidR="00C7674A" w:rsidRDefault="00C7674A" w:rsidP="00A92DF0">
      <w:pPr>
        <w:jc w:val="both"/>
      </w:pPr>
      <w:r>
        <w:t xml:space="preserve">In 2022 we </w:t>
      </w:r>
      <w:r w:rsidR="006041B9">
        <w:t>reviewed ou</w:t>
      </w:r>
      <w:r w:rsidR="00170BC1">
        <w:t>r</w:t>
      </w:r>
      <w:r w:rsidR="006041B9">
        <w:t xml:space="preserve"> </w:t>
      </w:r>
      <w:r w:rsidR="00750867">
        <w:t xml:space="preserve">People Plan in the context of our changing environment. </w:t>
      </w:r>
      <w:r>
        <w:t>This plan is a critical enabler for delivering on SRW’s vision. It seeks to enhance employee capability and professional development and is focussed on customer service delivery excellence.</w:t>
      </w:r>
    </w:p>
    <w:p w14:paraId="199A6667" w14:textId="4DB5DD27" w:rsidR="00674E7E" w:rsidRPr="00192F41" w:rsidRDefault="00674E7E" w:rsidP="00674E7E">
      <w:pPr>
        <w:pStyle w:val="Heading2"/>
        <w:rPr>
          <w:rFonts w:cs="Arial"/>
        </w:rPr>
      </w:pPr>
      <w:r w:rsidRPr="00192F41">
        <w:rPr>
          <w:rFonts w:cs="Arial"/>
        </w:rPr>
        <w:t>Investing in the future</w:t>
      </w:r>
      <w:bookmarkEnd w:id="18"/>
    </w:p>
    <w:p w14:paraId="37BD8195" w14:textId="6AE1C453" w:rsidR="002624A0" w:rsidRDefault="00674E7E" w:rsidP="00A92DF0">
      <w:pPr>
        <w:jc w:val="both"/>
        <w:rPr>
          <w:rFonts w:cs="Arial"/>
        </w:rPr>
      </w:pPr>
      <w:bookmarkStart w:id="19" w:name="_Hlk107842571"/>
      <w:r w:rsidRPr="00AF098A">
        <w:rPr>
          <w:rFonts w:cs="Arial"/>
        </w:rPr>
        <w:t xml:space="preserve">During the past 15 years, SRW has invested in large capital-intensive modernisation works in each irrigation district. By the end of 2024, </w:t>
      </w:r>
      <w:r w:rsidR="00FA6895" w:rsidRPr="00AF098A">
        <w:rPr>
          <w:rFonts w:cs="Arial"/>
        </w:rPr>
        <w:t xml:space="preserve">we </w:t>
      </w:r>
      <w:r w:rsidRPr="00AF098A">
        <w:rPr>
          <w:rFonts w:cs="Arial"/>
        </w:rPr>
        <w:t xml:space="preserve">expect to have completed </w:t>
      </w:r>
      <w:r w:rsidR="00AF098A">
        <w:rPr>
          <w:rFonts w:cs="Arial"/>
        </w:rPr>
        <w:t>$2</w:t>
      </w:r>
      <w:r w:rsidR="002624A0">
        <w:rPr>
          <w:rFonts w:cs="Arial"/>
        </w:rPr>
        <w:t>1</w:t>
      </w:r>
      <w:r w:rsidR="00AF098A">
        <w:rPr>
          <w:rFonts w:cs="Arial"/>
        </w:rPr>
        <w:t>8</w:t>
      </w:r>
      <w:r w:rsidR="00DA1E56">
        <w:rPr>
          <w:rFonts w:cs="Arial"/>
        </w:rPr>
        <w:t xml:space="preserve"> </w:t>
      </w:r>
      <w:r w:rsidR="002624A0">
        <w:rPr>
          <w:rFonts w:cs="Arial"/>
        </w:rPr>
        <w:t>m</w:t>
      </w:r>
      <w:r w:rsidR="00DA1E56">
        <w:rPr>
          <w:rFonts w:cs="Arial"/>
        </w:rPr>
        <w:t>illion</w:t>
      </w:r>
      <w:r w:rsidR="002624A0">
        <w:rPr>
          <w:rFonts w:cs="Arial"/>
        </w:rPr>
        <w:t xml:space="preserve"> worth of </w:t>
      </w:r>
      <w:r w:rsidRPr="00AF098A">
        <w:rPr>
          <w:rFonts w:cs="Arial"/>
        </w:rPr>
        <w:t>modernisation projects</w:t>
      </w:r>
      <w:r w:rsidR="002624A0">
        <w:rPr>
          <w:rFonts w:cs="Arial"/>
        </w:rPr>
        <w:t>.</w:t>
      </w:r>
    </w:p>
    <w:p w14:paraId="2F5B748F" w14:textId="74DD2171" w:rsidR="001631D7" w:rsidRDefault="007B30E7" w:rsidP="00A92DF0">
      <w:pPr>
        <w:jc w:val="both"/>
        <w:rPr>
          <w:rFonts w:cs="Arial"/>
        </w:rPr>
      </w:pPr>
      <w:r w:rsidRPr="00AF098A">
        <w:rPr>
          <w:rFonts w:cs="Arial"/>
          <w:bCs/>
        </w:rPr>
        <w:t xml:space="preserve">This investment </w:t>
      </w:r>
      <w:r w:rsidR="00FA6895" w:rsidRPr="00AF098A">
        <w:rPr>
          <w:rFonts w:cs="Arial"/>
        </w:rPr>
        <w:t>creat</w:t>
      </w:r>
      <w:r w:rsidRPr="00AF098A">
        <w:rPr>
          <w:rFonts w:cs="Arial"/>
        </w:rPr>
        <w:t>es</w:t>
      </w:r>
      <w:r w:rsidR="00FA6895" w:rsidRPr="00AF098A">
        <w:rPr>
          <w:rFonts w:cs="Arial"/>
        </w:rPr>
        <w:t xml:space="preserve"> opportunities for customers to increase </w:t>
      </w:r>
      <w:r w:rsidR="0005040A" w:rsidRPr="00AF098A">
        <w:rPr>
          <w:rFonts w:cs="Arial"/>
        </w:rPr>
        <w:t xml:space="preserve">on-farm </w:t>
      </w:r>
      <w:r w:rsidR="00FA6895" w:rsidRPr="00AF098A">
        <w:rPr>
          <w:rFonts w:cs="Arial"/>
        </w:rPr>
        <w:t>efficiencies, expand profitability and generate state-wide e</w:t>
      </w:r>
      <w:r w:rsidR="0005040A" w:rsidRPr="00AF098A">
        <w:rPr>
          <w:rFonts w:cs="Arial"/>
        </w:rPr>
        <w:t>conomic</w:t>
      </w:r>
      <w:r w:rsidR="00FA6895" w:rsidRPr="00AF098A">
        <w:rPr>
          <w:rFonts w:cs="Arial"/>
        </w:rPr>
        <w:t xml:space="preserve"> benefits.</w:t>
      </w:r>
      <w:r w:rsidR="00A475FD">
        <w:rPr>
          <w:rFonts w:cs="Arial"/>
        </w:rPr>
        <w:t xml:space="preserve"> At the same time</w:t>
      </w:r>
      <w:r w:rsidR="00F417B4">
        <w:rPr>
          <w:rFonts w:cs="Arial"/>
        </w:rPr>
        <w:t>,</w:t>
      </w:r>
      <w:r w:rsidR="00A475FD">
        <w:rPr>
          <w:rFonts w:cs="Arial"/>
        </w:rPr>
        <w:t xml:space="preserve"> it </w:t>
      </w:r>
      <w:r w:rsidR="005D498D">
        <w:rPr>
          <w:rFonts w:cs="Arial"/>
        </w:rPr>
        <w:t>improves delivery e</w:t>
      </w:r>
      <w:r w:rsidR="00B50657">
        <w:rPr>
          <w:rFonts w:cs="Arial"/>
        </w:rPr>
        <w:t>fficiency, reduces water losses and helps to build ongoing resilience by making more water av</w:t>
      </w:r>
      <w:r w:rsidR="000D314B">
        <w:rPr>
          <w:rFonts w:cs="Arial"/>
        </w:rPr>
        <w:t>a</w:t>
      </w:r>
      <w:r w:rsidR="00B50657">
        <w:rPr>
          <w:rFonts w:cs="Arial"/>
        </w:rPr>
        <w:t>ilable to our customer</w:t>
      </w:r>
      <w:r w:rsidR="00AB0674">
        <w:rPr>
          <w:rFonts w:cs="Arial"/>
        </w:rPr>
        <w:t>. For instance</w:t>
      </w:r>
      <w:r w:rsidR="003B4FAD">
        <w:rPr>
          <w:rFonts w:cs="Arial"/>
        </w:rPr>
        <w:t>,</w:t>
      </w:r>
      <w:r w:rsidR="00AB0674">
        <w:rPr>
          <w:rFonts w:cs="Arial"/>
        </w:rPr>
        <w:t xml:space="preserve"> in the BMID, delivery effi</w:t>
      </w:r>
      <w:r w:rsidR="00941358">
        <w:rPr>
          <w:rFonts w:cs="Arial"/>
        </w:rPr>
        <w:t xml:space="preserve">ciency </w:t>
      </w:r>
      <w:r w:rsidR="00204EDD">
        <w:rPr>
          <w:rFonts w:cs="Arial"/>
        </w:rPr>
        <w:t>ha</w:t>
      </w:r>
      <w:r w:rsidR="00941358">
        <w:rPr>
          <w:rFonts w:cs="Arial"/>
        </w:rPr>
        <w:t>s</w:t>
      </w:r>
      <w:r w:rsidR="00204EDD">
        <w:rPr>
          <w:rFonts w:cs="Arial"/>
        </w:rPr>
        <w:t xml:space="preserve"> increased from </w:t>
      </w:r>
      <w:r w:rsidR="00822189">
        <w:rPr>
          <w:rFonts w:cs="Arial"/>
        </w:rPr>
        <w:t>60</w:t>
      </w:r>
      <w:r w:rsidR="00204EDD">
        <w:rPr>
          <w:rFonts w:cs="Arial"/>
        </w:rPr>
        <w:t>% in 201</w:t>
      </w:r>
      <w:r w:rsidR="006A7176">
        <w:rPr>
          <w:rFonts w:cs="Arial"/>
        </w:rPr>
        <w:t>5</w:t>
      </w:r>
      <w:r w:rsidR="005D42C8">
        <w:rPr>
          <w:rFonts w:cs="Arial"/>
        </w:rPr>
        <w:t>-1</w:t>
      </w:r>
      <w:r w:rsidR="006A7176">
        <w:rPr>
          <w:rFonts w:cs="Arial"/>
        </w:rPr>
        <w:t>6</w:t>
      </w:r>
      <w:r w:rsidR="005D42C8">
        <w:rPr>
          <w:rFonts w:cs="Arial"/>
        </w:rPr>
        <w:t xml:space="preserve"> to 84%</w:t>
      </w:r>
      <w:r w:rsidR="00BE1B43">
        <w:rPr>
          <w:rFonts w:cs="Arial"/>
        </w:rPr>
        <w:t xml:space="preserve"> in 2021-22, meaning that the amount of water lost</w:t>
      </w:r>
      <w:r w:rsidR="009D143E">
        <w:rPr>
          <w:rFonts w:cs="Arial"/>
        </w:rPr>
        <w:t xml:space="preserve"> in delivery has reduced from </w:t>
      </w:r>
      <w:r w:rsidR="00822189">
        <w:rPr>
          <w:rFonts w:cs="Arial"/>
        </w:rPr>
        <w:t>40</w:t>
      </w:r>
      <w:r w:rsidR="009D143E">
        <w:rPr>
          <w:rFonts w:cs="Arial"/>
        </w:rPr>
        <w:t>% to just 16%</w:t>
      </w:r>
      <w:r w:rsidR="00AC3956">
        <w:rPr>
          <w:rFonts w:cs="Arial"/>
        </w:rPr>
        <w:t>, increasing the amount of water available for our customers.</w:t>
      </w:r>
    </w:p>
    <w:p w14:paraId="2A00369C" w14:textId="344839BD" w:rsidR="00B50657" w:rsidRDefault="00961D34" w:rsidP="00A92DF0">
      <w:pPr>
        <w:jc w:val="both"/>
        <w:rPr>
          <w:rFonts w:cs="Arial"/>
        </w:rPr>
      </w:pPr>
      <w:r>
        <w:rPr>
          <w:rFonts w:cs="Arial"/>
        </w:rPr>
        <w:t>Through modernisation</w:t>
      </w:r>
      <w:r w:rsidR="0037597C">
        <w:rPr>
          <w:rFonts w:cs="Arial"/>
        </w:rPr>
        <w:t>,</w:t>
      </w:r>
      <w:r>
        <w:rPr>
          <w:rFonts w:cs="Arial"/>
        </w:rPr>
        <w:t xml:space="preserve"> we have been able to </w:t>
      </w:r>
      <w:r w:rsidR="0037597C">
        <w:rPr>
          <w:rFonts w:cs="Arial"/>
        </w:rPr>
        <w:t>fulfil</w:t>
      </w:r>
      <w:r w:rsidR="00436F90">
        <w:rPr>
          <w:rFonts w:cs="Arial"/>
        </w:rPr>
        <w:t xml:space="preserve"> 100% of the orders </w:t>
      </w:r>
      <w:r w:rsidR="00A44041">
        <w:rPr>
          <w:rFonts w:cs="Arial"/>
        </w:rPr>
        <w:t xml:space="preserve">received </w:t>
      </w:r>
      <w:r w:rsidR="00436F90">
        <w:rPr>
          <w:rFonts w:cs="Arial"/>
        </w:rPr>
        <w:t>in all three irrigation districts in 2021-22</w:t>
      </w:r>
      <w:r w:rsidR="00A44041">
        <w:rPr>
          <w:rFonts w:cs="Arial"/>
        </w:rPr>
        <w:t xml:space="preserve"> an</w:t>
      </w:r>
      <w:r w:rsidR="00893559">
        <w:rPr>
          <w:rFonts w:cs="Arial"/>
        </w:rPr>
        <w:t>d</w:t>
      </w:r>
      <w:r w:rsidR="00A44041">
        <w:rPr>
          <w:rFonts w:cs="Arial"/>
        </w:rPr>
        <w:t xml:space="preserve"> are working towards creating new water shares from the water savings that have been achieved</w:t>
      </w:r>
      <w:r w:rsidR="00436F90">
        <w:rPr>
          <w:rFonts w:cs="Arial"/>
        </w:rPr>
        <w:t>.</w:t>
      </w:r>
    </w:p>
    <w:p w14:paraId="28CAEB9C" w14:textId="30CEA2DD" w:rsidR="00573C76" w:rsidRDefault="00282A8C" w:rsidP="00A92DF0">
      <w:pPr>
        <w:jc w:val="both"/>
        <w:rPr>
          <w:rFonts w:cs="Arial"/>
        </w:rPr>
      </w:pPr>
      <w:r w:rsidRPr="00AF098A">
        <w:rPr>
          <w:rFonts w:cs="Arial"/>
        </w:rPr>
        <w:t xml:space="preserve">By working in partnership with both state and federal governments, </w:t>
      </w:r>
      <w:r w:rsidR="000D314B">
        <w:rPr>
          <w:rFonts w:cs="Arial"/>
        </w:rPr>
        <w:t xml:space="preserve">SRW and our </w:t>
      </w:r>
      <w:r w:rsidRPr="00AF098A">
        <w:rPr>
          <w:rFonts w:cs="Arial"/>
        </w:rPr>
        <w:t xml:space="preserve">customers </w:t>
      </w:r>
      <w:r w:rsidR="00722E80">
        <w:rPr>
          <w:rFonts w:cs="Arial"/>
        </w:rPr>
        <w:t xml:space="preserve">are </w:t>
      </w:r>
      <w:r w:rsidRPr="00AF098A">
        <w:rPr>
          <w:rFonts w:cs="Arial"/>
        </w:rPr>
        <w:t>pay</w:t>
      </w:r>
      <w:r w:rsidR="00722E80">
        <w:rPr>
          <w:rFonts w:cs="Arial"/>
        </w:rPr>
        <w:t>ing</w:t>
      </w:r>
      <w:r w:rsidRPr="00AF098A">
        <w:rPr>
          <w:rFonts w:cs="Arial"/>
        </w:rPr>
        <w:t xml:space="preserve"> less than half the capital cost of modernisation.</w:t>
      </w:r>
    </w:p>
    <w:p w14:paraId="5784CC3D" w14:textId="24A05906" w:rsidR="00101628" w:rsidRDefault="00101628">
      <w:pPr>
        <w:rPr>
          <w:rFonts w:cs="Arial"/>
        </w:rPr>
      </w:pPr>
      <w:r>
        <w:rPr>
          <w:rFonts w:cs="Arial"/>
        </w:rPr>
        <w:br w:type="page"/>
      </w:r>
    </w:p>
    <w:p w14:paraId="3683F03B" w14:textId="77777777" w:rsidR="00101628" w:rsidRDefault="00101628" w:rsidP="00282A8C">
      <w:pPr>
        <w:rPr>
          <w:rFonts w:cs="Arial"/>
        </w:rPr>
      </w:pPr>
    </w:p>
    <w:bookmarkEnd w:id="19"/>
    <w:p w14:paraId="0581068E" w14:textId="4FADF8B2" w:rsidR="00674E7E" w:rsidRPr="00D11098" w:rsidRDefault="00902BBD" w:rsidP="002131CA">
      <w:pPr>
        <w:pStyle w:val="Caption"/>
        <w:jc w:val="both"/>
        <w:rPr>
          <w:rFonts w:eastAsiaTheme="minorEastAsia" w:cs="Arial"/>
          <w:b/>
          <w:bCs/>
          <w:i w:val="0"/>
          <w:iCs w:val="0"/>
          <w:color w:val="00B1B0"/>
          <w:spacing w:val="5"/>
          <w:sz w:val="20"/>
          <w:szCs w:val="20"/>
        </w:rPr>
      </w:pPr>
      <w:r w:rsidRPr="00D11098">
        <w:rPr>
          <w:rFonts w:eastAsiaTheme="minorEastAsia" w:cs="Arial"/>
          <w:b/>
          <w:bCs/>
          <w:i w:val="0"/>
          <w:iCs w:val="0"/>
          <w:color w:val="00B1B0"/>
          <w:spacing w:val="5"/>
          <w:sz w:val="20"/>
          <w:szCs w:val="20"/>
        </w:rPr>
        <w:t xml:space="preserve">Table </w:t>
      </w:r>
      <w:r w:rsidRPr="00D11098">
        <w:rPr>
          <w:rFonts w:eastAsiaTheme="minorEastAsia" w:cs="Arial"/>
          <w:b/>
          <w:bCs/>
          <w:i w:val="0"/>
          <w:iCs w:val="0"/>
          <w:color w:val="00B1B0"/>
          <w:spacing w:val="5"/>
          <w:sz w:val="20"/>
          <w:szCs w:val="20"/>
        </w:rPr>
        <w:fldChar w:fldCharType="begin"/>
      </w:r>
      <w:r w:rsidRPr="00D11098">
        <w:rPr>
          <w:rFonts w:eastAsiaTheme="minorEastAsia" w:cs="Arial"/>
          <w:b/>
          <w:bCs/>
          <w:i w:val="0"/>
          <w:iCs w:val="0"/>
          <w:color w:val="00B1B0"/>
          <w:spacing w:val="5"/>
          <w:sz w:val="20"/>
          <w:szCs w:val="20"/>
        </w:rPr>
        <w:instrText xml:space="preserve"> SEQ Table \* ARABIC </w:instrText>
      </w:r>
      <w:r w:rsidRPr="00D11098">
        <w:rPr>
          <w:rFonts w:eastAsiaTheme="minorEastAsia" w:cs="Arial"/>
          <w:b/>
          <w:bCs/>
          <w:i w:val="0"/>
          <w:iCs w:val="0"/>
          <w:color w:val="00B1B0"/>
          <w:spacing w:val="5"/>
          <w:sz w:val="20"/>
          <w:szCs w:val="20"/>
        </w:rPr>
        <w:fldChar w:fldCharType="separate"/>
      </w:r>
      <w:r w:rsidR="008126A8">
        <w:rPr>
          <w:rFonts w:eastAsiaTheme="minorEastAsia" w:cs="Arial"/>
          <w:b/>
          <w:bCs/>
          <w:i w:val="0"/>
          <w:iCs w:val="0"/>
          <w:noProof/>
          <w:color w:val="00B1B0"/>
          <w:spacing w:val="5"/>
          <w:sz w:val="20"/>
          <w:szCs w:val="20"/>
        </w:rPr>
        <w:t>1</w:t>
      </w:r>
      <w:r w:rsidRPr="00D11098">
        <w:rPr>
          <w:rFonts w:eastAsiaTheme="minorEastAsia" w:cs="Arial"/>
          <w:b/>
          <w:bCs/>
          <w:i w:val="0"/>
          <w:iCs w:val="0"/>
          <w:color w:val="00B1B0"/>
          <w:spacing w:val="5"/>
          <w:sz w:val="20"/>
          <w:szCs w:val="20"/>
        </w:rPr>
        <w:fldChar w:fldCharType="end"/>
      </w:r>
      <w:r w:rsidR="00711666">
        <w:rPr>
          <w:b/>
          <w:bCs/>
          <w:i w:val="0"/>
          <w:iCs w:val="0"/>
          <w:color w:val="00B1B0" w:themeColor="accent1"/>
          <w:sz w:val="20"/>
          <w:szCs w:val="20"/>
        </w:rPr>
        <w:t xml:space="preserve"> –</w:t>
      </w:r>
      <w:r w:rsidR="00786CA6" w:rsidRPr="00D11098">
        <w:rPr>
          <w:rFonts w:eastAsiaTheme="minorEastAsia" w:cs="Arial"/>
          <w:b/>
          <w:bCs/>
          <w:i w:val="0"/>
          <w:iCs w:val="0"/>
          <w:color w:val="00B1B0"/>
          <w:spacing w:val="5"/>
          <w:sz w:val="20"/>
          <w:szCs w:val="20"/>
        </w:rPr>
        <w:t xml:space="preserve"> </w:t>
      </w:r>
      <w:r w:rsidR="00674E7E" w:rsidRPr="00D11098">
        <w:rPr>
          <w:rFonts w:eastAsiaTheme="minorEastAsia" w:cs="Arial"/>
          <w:b/>
          <w:bCs/>
          <w:i w:val="0"/>
          <w:iCs w:val="0"/>
          <w:color w:val="00B1B0"/>
          <w:spacing w:val="5"/>
          <w:sz w:val="20"/>
          <w:szCs w:val="20"/>
        </w:rPr>
        <w:t>Our investment in modernisation</w:t>
      </w:r>
    </w:p>
    <w:tbl>
      <w:tblPr>
        <w:tblStyle w:val="Tealheader-Grayrows1"/>
        <w:tblW w:w="5000" w:type="pct"/>
        <w:tblBorders>
          <w:top w:val="single" w:sz="4" w:space="0" w:color="auto"/>
          <w:bottom w:val="single" w:sz="4" w:space="0" w:color="auto"/>
        </w:tblBorders>
        <w:tblLayout w:type="fixed"/>
        <w:tblLook w:val="04A0" w:firstRow="1" w:lastRow="0" w:firstColumn="1" w:lastColumn="0" w:noHBand="0" w:noVBand="1"/>
      </w:tblPr>
      <w:tblGrid>
        <w:gridCol w:w="1843"/>
        <w:gridCol w:w="2269"/>
        <w:gridCol w:w="1274"/>
        <w:gridCol w:w="1417"/>
        <w:gridCol w:w="1421"/>
        <w:gridCol w:w="1415"/>
      </w:tblGrid>
      <w:tr w:rsidR="00470F53" w:rsidRPr="00470F53" w14:paraId="1DBE22F8" w14:textId="77777777" w:rsidTr="000E38B6">
        <w:trPr>
          <w:cnfStyle w:val="100000000000" w:firstRow="1" w:lastRow="0" w:firstColumn="0" w:lastColumn="0" w:oddVBand="0" w:evenVBand="0" w:oddHBand="0" w:evenHBand="0" w:firstRowFirstColumn="0" w:firstRowLastColumn="0" w:lastRowFirstColumn="0" w:lastRowLastColumn="0"/>
          <w:trHeight w:val="500"/>
        </w:trPr>
        <w:tc>
          <w:tcPr>
            <w:tcW w:w="956" w:type="pct"/>
            <w:tcBorders>
              <w:top w:val="nil"/>
              <w:bottom w:val="nil"/>
            </w:tcBorders>
            <w:shd w:val="clear" w:color="auto" w:fill="70CBD0"/>
            <w:hideMark/>
          </w:tcPr>
          <w:p w14:paraId="3882984A" w14:textId="77777777" w:rsidR="00470F53" w:rsidRPr="00470F53" w:rsidRDefault="00470F53" w:rsidP="00470F53">
            <w:pPr>
              <w:rPr>
                <w:rFonts w:eastAsia="Times New Roman" w:cs="Arial"/>
                <w:sz w:val="20"/>
                <w:szCs w:val="20"/>
                <w:lang w:eastAsia="en-AU"/>
              </w:rPr>
            </w:pPr>
            <w:r w:rsidRPr="00470F53">
              <w:rPr>
                <w:rFonts w:eastAsia="Times New Roman" w:cs="Arial"/>
                <w:sz w:val="20"/>
                <w:szCs w:val="20"/>
                <w:lang w:eastAsia="en-AU"/>
              </w:rPr>
              <w:t>District</w:t>
            </w:r>
          </w:p>
        </w:tc>
        <w:tc>
          <w:tcPr>
            <w:tcW w:w="1177" w:type="pct"/>
            <w:tcBorders>
              <w:top w:val="nil"/>
              <w:bottom w:val="nil"/>
            </w:tcBorders>
            <w:shd w:val="clear" w:color="auto" w:fill="70CBD0"/>
            <w:hideMark/>
          </w:tcPr>
          <w:p w14:paraId="05192D39" w14:textId="77777777" w:rsidR="00470F53" w:rsidRPr="00470F53" w:rsidRDefault="00470F53" w:rsidP="00470F53">
            <w:pPr>
              <w:rPr>
                <w:rFonts w:eastAsia="Times New Roman" w:cs="Arial"/>
                <w:sz w:val="20"/>
                <w:szCs w:val="20"/>
                <w:lang w:eastAsia="en-AU"/>
              </w:rPr>
            </w:pPr>
            <w:r w:rsidRPr="00470F53">
              <w:rPr>
                <w:rFonts w:eastAsia="Times New Roman" w:cs="Arial"/>
                <w:sz w:val="20"/>
                <w:szCs w:val="20"/>
                <w:lang w:eastAsia="en-AU"/>
              </w:rPr>
              <w:t>Works</w:t>
            </w:r>
          </w:p>
        </w:tc>
        <w:tc>
          <w:tcPr>
            <w:tcW w:w="661" w:type="pct"/>
            <w:tcBorders>
              <w:top w:val="nil"/>
              <w:bottom w:val="nil"/>
            </w:tcBorders>
            <w:shd w:val="clear" w:color="auto" w:fill="70CBD0"/>
            <w:hideMark/>
          </w:tcPr>
          <w:p w14:paraId="0033ED8A" w14:textId="533EEE0A" w:rsidR="00470F53" w:rsidRDefault="00470F53" w:rsidP="00470F53">
            <w:pPr>
              <w:jc w:val="center"/>
              <w:rPr>
                <w:rFonts w:eastAsia="Times New Roman" w:cs="Arial"/>
                <w:b w:val="0"/>
                <w:sz w:val="20"/>
                <w:szCs w:val="20"/>
                <w:lang w:eastAsia="en-AU"/>
              </w:rPr>
            </w:pPr>
            <w:r w:rsidRPr="00470F53">
              <w:rPr>
                <w:rFonts w:eastAsia="Times New Roman" w:cs="Arial"/>
                <w:sz w:val="20"/>
                <w:szCs w:val="20"/>
                <w:lang w:eastAsia="en-AU"/>
              </w:rPr>
              <w:t>SRW/</w:t>
            </w:r>
            <w:r w:rsidR="007E692B">
              <w:rPr>
                <w:rFonts w:eastAsia="Times New Roman" w:cs="Arial"/>
                <w:sz w:val="20"/>
                <w:szCs w:val="20"/>
                <w:lang w:eastAsia="en-AU"/>
              </w:rPr>
              <w:t xml:space="preserve"> </w:t>
            </w:r>
            <w:r w:rsidR="00945CFA">
              <w:rPr>
                <w:rFonts w:eastAsia="Times New Roman" w:cs="Arial"/>
                <w:sz w:val="20"/>
                <w:szCs w:val="20"/>
                <w:lang w:eastAsia="en-AU"/>
              </w:rPr>
              <w:t>c</w:t>
            </w:r>
            <w:r w:rsidRPr="00470F53">
              <w:rPr>
                <w:rFonts w:eastAsia="Times New Roman" w:cs="Arial"/>
                <w:sz w:val="20"/>
                <w:szCs w:val="20"/>
                <w:lang w:eastAsia="en-AU"/>
              </w:rPr>
              <w:t>ustomers</w:t>
            </w:r>
          </w:p>
          <w:p w14:paraId="31E88B1F" w14:textId="7B9F2CA7" w:rsidR="00470F53" w:rsidRPr="00470F53" w:rsidRDefault="00945CFA" w:rsidP="00470F53">
            <w:pPr>
              <w:jc w:val="center"/>
              <w:rPr>
                <w:rFonts w:eastAsia="Times New Roman" w:cs="Arial"/>
                <w:sz w:val="20"/>
                <w:szCs w:val="20"/>
                <w:lang w:eastAsia="en-AU"/>
              </w:rPr>
            </w:pPr>
            <w:r>
              <w:rPr>
                <w:rFonts w:eastAsia="Times New Roman" w:cs="Arial"/>
                <w:sz w:val="20"/>
                <w:szCs w:val="20"/>
                <w:lang w:eastAsia="en-AU"/>
              </w:rPr>
              <w:t>$m</w:t>
            </w:r>
          </w:p>
        </w:tc>
        <w:tc>
          <w:tcPr>
            <w:tcW w:w="735" w:type="pct"/>
            <w:tcBorders>
              <w:top w:val="nil"/>
              <w:bottom w:val="nil"/>
            </w:tcBorders>
            <w:shd w:val="clear" w:color="auto" w:fill="70CBD0"/>
            <w:hideMark/>
          </w:tcPr>
          <w:p w14:paraId="7DA05307" w14:textId="200BA5E9" w:rsidR="000E2261" w:rsidRDefault="00945CFA" w:rsidP="007E692B">
            <w:pPr>
              <w:jc w:val="center"/>
              <w:rPr>
                <w:rFonts w:eastAsia="Times New Roman" w:cs="Arial"/>
                <w:b w:val="0"/>
                <w:sz w:val="20"/>
                <w:szCs w:val="20"/>
                <w:lang w:eastAsia="en-AU"/>
              </w:rPr>
            </w:pPr>
            <w:r>
              <w:rPr>
                <w:rFonts w:eastAsia="Times New Roman" w:cs="Arial"/>
                <w:sz w:val="20"/>
                <w:szCs w:val="20"/>
                <w:lang w:eastAsia="en-AU"/>
              </w:rPr>
              <w:t>Victorian</w:t>
            </w:r>
          </w:p>
          <w:p w14:paraId="758D1E6B" w14:textId="1169EAA1" w:rsidR="00470F53" w:rsidRDefault="007E692B" w:rsidP="00470F53">
            <w:pPr>
              <w:jc w:val="center"/>
              <w:rPr>
                <w:rFonts w:eastAsia="Times New Roman" w:cs="Arial"/>
                <w:b w:val="0"/>
                <w:sz w:val="20"/>
                <w:szCs w:val="20"/>
                <w:lang w:eastAsia="en-AU"/>
              </w:rPr>
            </w:pPr>
            <w:r w:rsidRPr="00470F53">
              <w:rPr>
                <w:rFonts w:eastAsia="Times New Roman" w:cs="Arial"/>
                <w:sz w:val="20"/>
                <w:szCs w:val="20"/>
                <w:lang w:eastAsia="en-AU"/>
              </w:rPr>
              <w:t>Gov</w:t>
            </w:r>
            <w:r w:rsidR="00945CFA">
              <w:rPr>
                <w:rFonts w:eastAsia="Times New Roman" w:cs="Arial"/>
                <w:sz w:val="20"/>
                <w:szCs w:val="20"/>
                <w:lang w:eastAsia="en-AU"/>
              </w:rPr>
              <w:t>ernment</w:t>
            </w:r>
          </w:p>
          <w:p w14:paraId="19D95B62" w14:textId="2480F982" w:rsidR="00470F53" w:rsidRPr="00470F53" w:rsidRDefault="00945CFA" w:rsidP="00470F53">
            <w:pPr>
              <w:jc w:val="center"/>
              <w:rPr>
                <w:rFonts w:eastAsia="Times New Roman" w:cs="Arial"/>
                <w:sz w:val="20"/>
                <w:szCs w:val="20"/>
                <w:lang w:eastAsia="en-AU"/>
              </w:rPr>
            </w:pPr>
            <w:r>
              <w:rPr>
                <w:rFonts w:eastAsia="Times New Roman" w:cs="Arial"/>
                <w:sz w:val="20"/>
                <w:szCs w:val="20"/>
                <w:lang w:eastAsia="en-AU"/>
              </w:rPr>
              <w:t>$m</w:t>
            </w:r>
          </w:p>
        </w:tc>
        <w:tc>
          <w:tcPr>
            <w:tcW w:w="737" w:type="pct"/>
            <w:tcBorders>
              <w:top w:val="nil"/>
              <w:bottom w:val="nil"/>
            </w:tcBorders>
            <w:shd w:val="clear" w:color="auto" w:fill="70CBD0"/>
            <w:hideMark/>
          </w:tcPr>
          <w:p w14:paraId="41606930" w14:textId="08E7E2BD" w:rsidR="00470F53" w:rsidRDefault="007E692B" w:rsidP="00470F53">
            <w:pPr>
              <w:jc w:val="center"/>
              <w:rPr>
                <w:rFonts w:eastAsia="Times New Roman" w:cs="Arial"/>
                <w:b w:val="0"/>
                <w:sz w:val="20"/>
                <w:szCs w:val="20"/>
                <w:lang w:eastAsia="en-AU"/>
              </w:rPr>
            </w:pPr>
            <w:r w:rsidRPr="00470F53">
              <w:rPr>
                <w:rFonts w:eastAsia="Times New Roman" w:cs="Arial"/>
                <w:sz w:val="20"/>
                <w:szCs w:val="20"/>
                <w:lang w:eastAsia="en-AU"/>
              </w:rPr>
              <w:t>Federal Gov</w:t>
            </w:r>
            <w:r w:rsidR="00945CFA">
              <w:rPr>
                <w:rFonts w:eastAsia="Times New Roman" w:cs="Arial"/>
                <w:sz w:val="20"/>
                <w:szCs w:val="20"/>
                <w:lang w:eastAsia="en-AU"/>
              </w:rPr>
              <w:t>ernment</w:t>
            </w:r>
          </w:p>
          <w:p w14:paraId="2E4432A9" w14:textId="02F0A701" w:rsidR="00470F53" w:rsidRPr="00470F53" w:rsidRDefault="00945CFA" w:rsidP="00470F53">
            <w:pPr>
              <w:jc w:val="center"/>
              <w:rPr>
                <w:rFonts w:eastAsia="Times New Roman" w:cs="Arial"/>
                <w:sz w:val="20"/>
                <w:szCs w:val="20"/>
                <w:lang w:eastAsia="en-AU"/>
              </w:rPr>
            </w:pPr>
            <w:r>
              <w:rPr>
                <w:rFonts w:eastAsia="Times New Roman" w:cs="Arial"/>
                <w:sz w:val="20"/>
                <w:szCs w:val="20"/>
                <w:lang w:eastAsia="en-AU"/>
              </w:rPr>
              <w:t>$m</w:t>
            </w:r>
          </w:p>
        </w:tc>
        <w:tc>
          <w:tcPr>
            <w:tcW w:w="734" w:type="pct"/>
            <w:tcBorders>
              <w:top w:val="nil"/>
              <w:bottom w:val="nil"/>
            </w:tcBorders>
            <w:shd w:val="clear" w:color="auto" w:fill="70CBD0"/>
            <w:noWrap/>
            <w:hideMark/>
          </w:tcPr>
          <w:p w14:paraId="6FB89784" w14:textId="70CD23EB" w:rsidR="00470F53" w:rsidRDefault="000E2261" w:rsidP="007E692B">
            <w:pPr>
              <w:jc w:val="center"/>
              <w:rPr>
                <w:rFonts w:eastAsia="Times New Roman" w:cs="Arial"/>
                <w:b w:val="0"/>
                <w:sz w:val="20"/>
                <w:szCs w:val="20"/>
                <w:lang w:eastAsia="en-AU"/>
              </w:rPr>
            </w:pPr>
            <w:r>
              <w:rPr>
                <w:rFonts w:eastAsia="Times New Roman" w:cs="Arial"/>
                <w:sz w:val="20"/>
                <w:szCs w:val="20"/>
                <w:lang w:eastAsia="en-AU"/>
              </w:rPr>
              <w:t xml:space="preserve">Total </w:t>
            </w:r>
            <w:r w:rsidR="00945CFA">
              <w:rPr>
                <w:rFonts w:eastAsia="Times New Roman" w:cs="Arial"/>
                <w:sz w:val="20"/>
                <w:szCs w:val="20"/>
                <w:lang w:eastAsia="en-AU"/>
              </w:rPr>
              <w:t>i</w:t>
            </w:r>
            <w:r w:rsidR="00470F53" w:rsidRPr="00470F53">
              <w:rPr>
                <w:rFonts w:eastAsia="Times New Roman" w:cs="Arial"/>
                <w:sz w:val="20"/>
                <w:szCs w:val="20"/>
                <w:lang w:eastAsia="en-AU"/>
              </w:rPr>
              <w:t>nvestment</w:t>
            </w:r>
          </w:p>
          <w:p w14:paraId="09585B95" w14:textId="65437C5F" w:rsidR="00470F53" w:rsidRPr="00470F53" w:rsidRDefault="00945CFA" w:rsidP="007E692B">
            <w:pPr>
              <w:jc w:val="center"/>
              <w:rPr>
                <w:rFonts w:eastAsia="Times New Roman" w:cs="Arial"/>
                <w:sz w:val="20"/>
                <w:szCs w:val="20"/>
                <w:lang w:eastAsia="en-AU"/>
              </w:rPr>
            </w:pPr>
            <w:r>
              <w:rPr>
                <w:rFonts w:eastAsia="Times New Roman" w:cs="Arial"/>
                <w:sz w:val="20"/>
                <w:szCs w:val="20"/>
                <w:lang w:eastAsia="en-AU"/>
              </w:rPr>
              <w:t>$m</w:t>
            </w:r>
          </w:p>
        </w:tc>
      </w:tr>
      <w:tr w:rsidR="00470F53" w:rsidRPr="00470F53" w14:paraId="6CF64B13" w14:textId="77777777" w:rsidTr="000E38B6">
        <w:trPr>
          <w:cnfStyle w:val="000000100000" w:firstRow="0" w:lastRow="0" w:firstColumn="0" w:lastColumn="0" w:oddVBand="0" w:evenVBand="0" w:oddHBand="1" w:evenHBand="0" w:firstRowFirstColumn="0" w:firstRowLastColumn="0" w:lastRowFirstColumn="0" w:lastRowLastColumn="0"/>
          <w:trHeight w:val="84"/>
        </w:trPr>
        <w:tc>
          <w:tcPr>
            <w:tcW w:w="956" w:type="pct"/>
            <w:vMerge w:val="restart"/>
            <w:tcBorders>
              <w:top w:val="nil"/>
            </w:tcBorders>
            <w:hideMark/>
          </w:tcPr>
          <w:p w14:paraId="225054A5" w14:textId="77777777" w:rsidR="00470F53" w:rsidRPr="0077162B" w:rsidRDefault="00470F53" w:rsidP="00470F53">
            <w:pPr>
              <w:rPr>
                <w:rFonts w:eastAsia="Times New Roman" w:cs="Arial"/>
                <w:color w:val="000000"/>
                <w:sz w:val="20"/>
                <w:szCs w:val="20"/>
                <w:lang w:eastAsia="en-AU"/>
              </w:rPr>
            </w:pPr>
            <w:r w:rsidRPr="0077162B">
              <w:rPr>
                <w:rFonts w:eastAsia="Times New Roman" w:cs="Arial"/>
                <w:color w:val="000000"/>
                <w:sz w:val="20"/>
                <w:szCs w:val="20"/>
                <w:lang w:eastAsia="en-AU"/>
              </w:rPr>
              <w:t>Macalister Irrigation Area</w:t>
            </w:r>
          </w:p>
        </w:tc>
        <w:tc>
          <w:tcPr>
            <w:tcW w:w="1177" w:type="pct"/>
            <w:tcBorders>
              <w:top w:val="nil"/>
            </w:tcBorders>
            <w:hideMark/>
          </w:tcPr>
          <w:p w14:paraId="7ECBFB87"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Leading works</w:t>
            </w:r>
          </w:p>
        </w:tc>
        <w:tc>
          <w:tcPr>
            <w:tcW w:w="661" w:type="pct"/>
            <w:tcBorders>
              <w:top w:val="nil"/>
            </w:tcBorders>
            <w:hideMark/>
          </w:tcPr>
          <w:p w14:paraId="727D7615"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4</w:t>
            </w:r>
          </w:p>
        </w:tc>
        <w:tc>
          <w:tcPr>
            <w:tcW w:w="735" w:type="pct"/>
            <w:tcBorders>
              <w:top w:val="nil"/>
            </w:tcBorders>
            <w:hideMark/>
          </w:tcPr>
          <w:p w14:paraId="6136B602" w14:textId="77777777" w:rsidR="00470F53" w:rsidRPr="00470F53" w:rsidRDefault="00470F53" w:rsidP="0077162B">
            <w:pPr>
              <w:jc w:val="center"/>
              <w:rPr>
                <w:rFonts w:eastAsia="Times New Roman" w:cs="Arial"/>
                <w:sz w:val="20"/>
                <w:szCs w:val="20"/>
                <w:lang w:eastAsia="en-AU"/>
              </w:rPr>
            </w:pPr>
          </w:p>
        </w:tc>
        <w:tc>
          <w:tcPr>
            <w:tcW w:w="737" w:type="pct"/>
            <w:tcBorders>
              <w:top w:val="nil"/>
            </w:tcBorders>
            <w:hideMark/>
          </w:tcPr>
          <w:p w14:paraId="66AF0B86" w14:textId="77777777" w:rsidR="00470F53" w:rsidRPr="00470F53" w:rsidRDefault="00470F53" w:rsidP="0077162B">
            <w:pPr>
              <w:jc w:val="center"/>
              <w:rPr>
                <w:rFonts w:eastAsia="Times New Roman" w:cs="Arial"/>
                <w:sz w:val="20"/>
                <w:szCs w:val="20"/>
                <w:lang w:eastAsia="en-AU"/>
              </w:rPr>
            </w:pPr>
          </w:p>
        </w:tc>
        <w:tc>
          <w:tcPr>
            <w:tcW w:w="734" w:type="pct"/>
            <w:tcBorders>
              <w:top w:val="nil"/>
            </w:tcBorders>
            <w:noWrap/>
            <w:hideMark/>
          </w:tcPr>
          <w:p w14:paraId="645A081E"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4</w:t>
            </w:r>
          </w:p>
        </w:tc>
      </w:tr>
      <w:tr w:rsidR="00470F53" w:rsidRPr="00470F53" w14:paraId="582D224F" w14:textId="77777777" w:rsidTr="00487783">
        <w:trPr>
          <w:trHeight w:val="20"/>
        </w:trPr>
        <w:tc>
          <w:tcPr>
            <w:tcW w:w="956" w:type="pct"/>
            <w:vMerge/>
            <w:hideMark/>
          </w:tcPr>
          <w:p w14:paraId="3FAB127C" w14:textId="77777777" w:rsidR="00470F53" w:rsidRPr="0077162B" w:rsidRDefault="00470F53" w:rsidP="008B4267">
            <w:pPr>
              <w:rPr>
                <w:rFonts w:eastAsia="Times New Roman" w:cs="Arial"/>
                <w:color w:val="000000"/>
                <w:sz w:val="20"/>
                <w:szCs w:val="20"/>
                <w:lang w:eastAsia="en-AU"/>
              </w:rPr>
            </w:pPr>
          </w:p>
        </w:tc>
        <w:tc>
          <w:tcPr>
            <w:tcW w:w="1177" w:type="pct"/>
            <w:hideMark/>
          </w:tcPr>
          <w:p w14:paraId="20F0FF2F"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Phase 1A</w:t>
            </w:r>
          </w:p>
        </w:tc>
        <w:tc>
          <w:tcPr>
            <w:tcW w:w="661" w:type="pct"/>
            <w:hideMark/>
          </w:tcPr>
          <w:p w14:paraId="587A6346"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19</w:t>
            </w:r>
          </w:p>
        </w:tc>
        <w:tc>
          <w:tcPr>
            <w:tcW w:w="735" w:type="pct"/>
            <w:hideMark/>
          </w:tcPr>
          <w:p w14:paraId="1976C112"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16</w:t>
            </w:r>
          </w:p>
        </w:tc>
        <w:tc>
          <w:tcPr>
            <w:tcW w:w="737" w:type="pct"/>
            <w:hideMark/>
          </w:tcPr>
          <w:p w14:paraId="6211074C" w14:textId="6D04E81A" w:rsidR="00470F53" w:rsidRPr="00470F53" w:rsidRDefault="00470F53" w:rsidP="0077162B">
            <w:pPr>
              <w:jc w:val="center"/>
              <w:rPr>
                <w:rFonts w:eastAsia="Times New Roman" w:cs="Arial"/>
                <w:color w:val="000000"/>
                <w:sz w:val="20"/>
                <w:szCs w:val="20"/>
                <w:lang w:eastAsia="en-AU"/>
              </w:rPr>
            </w:pPr>
          </w:p>
        </w:tc>
        <w:tc>
          <w:tcPr>
            <w:tcW w:w="734" w:type="pct"/>
            <w:noWrap/>
            <w:hideMark/>
          </w:tcPr>
          <w:p w14:paraId="4251D38A"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35</w:t>
            </w:r>
          </w:p>
        </w:tc>
      </w:tr>
      <w:tr w:rsidR="00470F53" w:rsidRPr="00470F53" w14:paraId="146B1FEB" w14:textId="77777777" w:rsidTr="00487783">
        <w:trPr>
          <w:cnfStyle w:val="000000100000" w:firstRow="0" w:lastRow="0" w:firstColumn="0" w:lastColumn="0" w:oddVBand="0" w:evenVBand="0" w:oddHBand="1" w:evenHBand="0" w:firstRowFirstColumn="0" w:firstRowLastColumn="0" w:lastRowFirstColumn="0" w:lastRowLastColumn="0"/>
          <w:trHeight w:val="20"/>
        </w:trPr>
        <w:tc>
          <w:tcPr>
            <w:tcW w:w="956" w:type="pct"/>
            <w:vMerge/>
            <w:hideMark/>
          </w:tcPr>
          <w:p w14:paraId="568A0DFC" w14:textId="77777777" w:rsidR="00470F53" w:rsidRPr="0077162B" w:rsidRDefault="00470F53" w:rsidP="008B4267">
            <w:pPr>
              <w:rPr>
                <w:rFonts w:eastAsia="Times New Roman" w:cs="Arial"/>
                <w:color w:val="000000"/>
                <w:sz w:val="20"/>
                <w:szCs w:val="20"/>
                <w:lang w:eastAsia="en-AU"/>
              </w:rPr>
            </w:pPr>
          </w:p>
        </w:tc>
        <w:tc>
          <w:tcPr>
            <w:tcW w:w="1177" w:type="pct"/>
            <w:hideMark/>
          </w:tcPr>
          <w:p w14:paraId="09475BDC"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Phase 1B</w:t>
            </w:r>
          </w:p>
        </w:tc>
        <w:tc>
          <w:tcPr>
            <w:tcW w:w="661" w:type="pct"/>
            <w:hideMark/>
          </w:tcPr>
          <w:p w14:paraId="119BBC33"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25</w:t>
            </w:r>
          </w:p>
        </w:tc>
        <w:tc>
          <w:tcPr>
            <w:tcW w:w="735" w:type="pct"/>
            <w:hideMark/>
          </w:tcPr>
          <w:p w14:paraId="086B2257"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20</w:t>
            </w:r>
          </w:p>
        </w:tc>
        <w:tc>
          <w:tcPr>
            <w:tcW w:w="737" w:type="pct"/>
            <w:hideMark/>
          </w:tcPr>
          <w:p w14:paraId="574AB6D3"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20</w:t>
            </w:r>
          </w:p>
        </w:tc>
        <w:tc>
          <w:tcPr>
            <w:tcW w:w="734" w:type="pct"/>
            <w:noWrap/>
            <w:hideMark/>
          </w:tcPr>
          <w:p w14:paraId="6854B330"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65</w:t>
            </w:r>
          </w:p>
        </w:tc>
      </w:tr>
      <w:tr w:rsidR="00470F53" w:rsidRPr="00470F53" w14:paraId="7FE5882B" w14:textId="77777777" w:rsidTr="00487783">
        <w:trPr>
          <w:trHeight w:val="20"/>
        </w:trPr>
        <w:tc>
          <w:tcPr>
            <w:tcW w:w="956" w:type="pct"/>
            <w:vMerge/>
            <w:hideMark/>
          </w:tcPr>
          <w:p w14:paraId="6CB427ED" w14:textId="77777777" w:rsidR="00470F53" w:rsidRPr="0077162B" w:rsidRDefault="00470F53" w:rsidP="008B4267">
            <w:pPr>
              <w:rPr>
                <w:rFonts w:eastAsia="Times New Roman" w:cs="Arial"/>
                <w:color w:val="000000"/>
                <w:sz w:val="20"/>
                <w:szCs w:val="20"/>
                <w:lang w:eastAsia="en-AU"/>
              </w:rPr>
            </w:pPr>
          </w:p>
        </w:tc>
        <w:tc>
          <w:tcPr>
            <w:tcW w:w="1177" w:type="pct"/>
            <w:hideMark/>
          </w:tcPr>
          <w:p w14:paraId="566C99B8" w14:textId="0C528513"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Phase 2*</w:t>
            </w:r>
          </w:p>
        </w:tc>
        <w:tc>
          <w:tcPr>
            <w:tcW w:w="661" w:type="pct"/>
            <w:hideMark/>
          </w:tcPr>
          <w:p w14:paraId="1F5213F8"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21</w:t>
            </w:r>
          </w:p>
        </w:tc>
        <w:tc>
          <w:tcPr>
            <w:tcW w:w="735" w:type="pct"/>
            <w:hideMark/>
          </w:tcPr>
          <w:p w14:paraId="4023FF99"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10</w:t>
            </w:r>
          </w:p>
        </w:tc>
        <w:tc>
          <w:tcPr>
            <w:tcW w:w="737" w:type="pct"/>
            <w:hideMark/>
          </w:tcPr>
          <w:p w14:paraId="77A25D9A"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31</w:t>
            </w:r>
          </w:p>
        </w:tc>
        <w:tc>
          <w:tcPr>
            <w:tcW w:w="734" w:type="pct"/>
            <w:noWrap/>
            <w:hideMark/>
          </w:tcPr>
          <w:p w14:paraId="2AEDCD31"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62</w:t>
            </w:r>
          </w:p>
        </w:tc>
      </w:tr>
      <w:tr w:rsidR="00470F53" w:rsidRPr="00470F53" w14:paraId="68153FBF" w14:textId="77777777" w:rsidTr="00487783">
        <w:trPr>
          <w:cnfStyle w:val="000000100000" w:firstRow="0" w:lastRow="0" w:firstColumn="0" w:lastColumn="0" w:oddVBand="0" w:evenVBand="0" w:oddHBand="1" w:evenHBand="0" w:firstRowFirstColumn="0" w:firstRowLastColumn="0" w:lastRowFirstColumn="0" w:lastRowLastColumn="0"/>
          <w:trHeight w:val="20"/>
        </w:trPr>
        <w:tc>
          <w:tcPr>
            <w:tcW w:w="956" w:type="pct"/>
            <w:vMerge/>
            <w:tcBorders>
              <w:bottom w:val="nil"/>
            </w:tcBorders>
            <w:hideMark/>
          </w:tcPr>
          <w:p w14:paraId="23A5E2BE" w14:textId="77777777" w:rsidR="00470F53" w:rsidRPr="0077162B" w:rsidRDefault="00470F53" w:rsidP="008B4267">
            <w:pPr>
              <w:rPr>
                <w:rFonts w:eastAsia="Times New Roman" w:cs="Arial"/>
                <w:color w:val="000000"/>
                <w:sz w:val="20"/>
                <w:szCs w:val="20"/>
                <w:lang w:eastAsia="en-AU"/>
              </w:rPr>
            </w:pPr>
          </w:p>
        </w:tc>
        <w:tc>
          <w:tcPr>
            <w:tcW w:w="1177" w:type="pct"/>
            <w:tcBorders>
              <w:bottom w:val="nil"/>
            </w:tcBorders>
            <w:hideMark/>
          </w:tcPr>
          <w:p w14:paraId="2DF85616"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MID Sub total</w:t>
            </w:r>
          </w:p>
        </w:tc>
        <w:tc>
          <w:tcPr>
            <w:tcW w:w="661" w:type="pct"/>
            <w:tcBorders>
              <w:bottom w:val="nil"/>
            </w:tcBorders>
            <w:hideMark/>
          </w:tcPr>
          <w:p w14:paraId="2B0B5346"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69</w:t>
            </w:r>
          </w:p>
        </w:tc>
        <w:tc>
          <w:tcPr>
            <w:tcW w:w="735" w:type="pct"/>
            <w:tcBorders>
              <w:bottom w:val="nil"/>
            </w:tcBorders>
            <w:hideMark/>
          </w:tcPr>
          <w:p w14:paraId="7C9BC646"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46</w:t>
            </w:r>
          </w:p>
        </w:tc>
        <w:tc>
          <w:tcPr>
            <w:tcW w:w="737" w:type="pct"/>
            <w:tcBorders>
              <w:bottom w:val="nil"/>
            </w:tcBorders>
            <w:hideMark/>
          </w:tcPr>
          <w:p w14:paraId="7E11961E"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51</w:t>
            </w:r>
          </w:p>
        </w:tc>
        <w:tc>
          <w:tcPr>
            <w:tcW w:w="734" w:type="pct"/>
            <w:tcBorders>
              <w:bottom w:val="nil"/>
            </w:tcBorders>
            <w:noWrap/>
            <w:hideMark/>
          </w:tcPr>
          <w:p w14:paraId="03B8EAD2"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166</w:t>
            </w:r>
          </w:p>
        </w:tc>
      </w:tr>
      <w:tr w:rsidR="00470F53" w:rsidRPr="00470F53" w14:paraId="201DBF7B" w14:textId="77777777" w:rsidTr="00487783">
        <w:trPr>
          <w:trHeight w:val="20"/>
        </w:trPr>
        <w:tc>
          <w:tcPr>
            <w:tcW w:w="956" w:type="pct"/>
            <w:vMerge w:val="restart"/>
            <w:tcBorders>
              <w:top w:val="nil"/>
              <w:bottom w:val="nil"/>
            </w:tcBorders>
            <w:hideMark/>
          </w:tcPr>
          <w:p w14:paraId="123B6AD7" w14:textId="77777777" w:rsidR="00470F53" w:rsidRPr="0077162B" w:rsidRDefault="00470F53" w:rsidP="00470F53">
            <w:pPr>
              <w:rPr>
                <w:rFonts w:eastAsia="Times New Roman" w:cs="Arial"/>
                <w:color w:val="000000"/>
                <w:sz w:val="20"/>
                <w:szCs w:val="20"/>
                <w:lang w:eastAsia="en-AU"/>
              </w:rPr>
            </w:pPr>
            <w:r w:rsidRPr="0077162B">
              <w:rPr>
                <w:rFonts w:eastAsia="Times New Roman" w:cs="Arial"/>
                <w:sz w:val="20"/>
                <w:szCs w:val="20"/>
                <w:lang w:eastAsia="en-AU"/>
              </w:rPr>
              <w:t>Bacchus Marsh Irrigation District and Werribee Irrigation District</w:t>
            </w:r>
          </w:p>
        </w:tc>
        <w:tc>
          <w:tcPr>
            <w:tcW w:w="1177" w:type="pct"/>
            <w:tcBorders>
              <w:top w:val="nil"/>
              <w:bottom w:val="nil"/>
            </w:tcBorders>
            <w:hideMark/>
          </w:tcPr>
          <w:p w14:paraId="0C7E7587"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WID (stages 1,2,3 + BMID)</w:t>
            </w:r>
          </w:p>
        </w:tc>
        <w:tc>
          <w:tcPr>
            <w:tcW w:w="661" w:type="pct"/>
            <w:tcBorders>
              <w:top w:val="nil"/>
              <w:bottom w:val="nil"/>
            </w:tcBorders>
            <w:hideMark/>
          </w:tcPr>
          <w:p w14:paraId="6A6F7117"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15</w:t>
            </w:r>
          </w:p>
        </w:tc>
        <w:tc>
          <w:tcPr>
            <w:tcW w:w="735" w:type="pct"/>
            <w:tcBorders>
              <w:top w:val="nil"/>
              <w:bottom w:val="nil"/>
            </w:tcBorders>
            <w:hideMark/>
          </w:tcPr>
          <w:p w14:paraId="05A9FD02"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15</w:t>
            </w:r>
          </w:p>
        </w:tc>
        <w:tc>
          <w:tcPr>
            <w:tcW w:w="737" w:type="pct"/>
            <w:tcBorders>
              <w:top w:val="nil"/>
              <w:bottom w:val="nil"/>
            </w:tcBorders>
            <w:hideMark/>
          </w:tcPr>
          <w:p w14:paraId="117E8808" w14:textId="1671CE08" w:rsidR="00470F53" w:rsidRPr="00470F53" w:rsidRDefault="00470F53" w:rsidP="0077162B">
            <w:pPr>
              <w:jc w:val="center"/>
              <w:rPr>
                <w:rFonts w:eastAsia="Times New Roman" w:cs="Arial"/>
                <w:color w:val="000000"/>
                <w:sz w:val="20"/>
                <w:szCs w:val="20"/>
                <w:lang w:eastAsia="en-AU"/>
              </w:rPr>
            </w:pPr>
          </w:p>
        </w:tc>
        <w:tc>
          <w:tcPr>
            <w:tcW w:w="734" w:type="pct"/>
            <w:tcBorders>
              <w:top w:val="nil"/>
              <w:bottom w:val="nil"/>
            </w:tcBorders>
            <w:noWrap/>
            <w:hideMark/>
          </w:tcPr>
          <w:p w14:paraId="3E355C2B"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30</w:t>
            </w:r>
          </w:p>
        </w:tc>
      </w:tr>
      <w:tr w:rsidR="00470F53" w:rsidRPr="00470F53" w14:paraId="3EFF702A" w14:textId="77777777" w:rsidTr="00487783">
        <w:trPr>
          <w:cnfStyle w:val="000000100000" w:firstRow="0" w:lastRow="0" w:firstColumn="0" w:lastColumn="0" w:oddVBand="0" w:evenVBand="0" w:oddHBand="1" w:evenHBand="0" w:firstRowFirstColumn="0" w:firstRowLastColumn="0" w:lastRowFirstColumn="0" w:lastRowLastColumn="0"/>
          <w:trHeight w:val="20"/>
        </w:trPr>
        <w:tc>
          <w:tcPr>
            <w:tcW w:w="956" w:type="pct"/>
            <w:vMerge/>
            <w:tcBorders>
              <w:top w:val="nil"/>
              <w:bottom w:val="nil"/>
            </w:tcBorders>
            <w:hideMark/>
          </w:tcPr>
          <w:p w14:paraId="30478DB4" w14:textId="439E3B6F" w:rsidR="00470F53" w:rsidRPr="009241B4" w:rsidRDefault="00470F53" w:rsidP="00470F53">
            <w:pPr>
              <w:rPr>
                <w:rFonts w:eastAsia="Times New Roman" w:cs="Arial"/>
                <w:color w:val="000000"/>
                <w:sz w:val="20"/>
                <w:szCs w:val="20"/>
                <w:lang w:eastAsia="en-AU"/>
              </w:rPr>
            </w:pPr>
          </w:p>
        </w:tc>
        <w:tc>
          <w:tcPr>
            <w:tcW w:w="1177" w:type="pct"/>
            <w:tcBorders>
              <w:top w:val="nil"/>
              <w:bottom w:val="nil"/>
            </w:tcBorders>
            <w:hideMark/>
          </w:tcPr>
          <w:p w14:paraId="4413F8D3" w14:textId="1912D18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WID (stage 4 and 5)</w:t>
            </w:r>
            <w:r w:rsidR="00A00BBA">
              <w:rPr>
                <w:rFonts w:eastAsia="Times New Roman" w:cs="Arial"/>
                <w:color w:val="000000"/>
                <w:sz w:val="20"/>
                <w:szCs w:val="20"/>
                <w:lang w:eastAsia="en-AU"/>
              </w:rPr>
              <w:t>*</w:t>
            </w:r>
          </w:p>
        </w:tc>
        <w:tc>
          <w:tcPr>
            <w:tcW w:w="661" w:type="pct"/>
            <w:tcBorders>
              <w:top w:val="nil"/>
              <w:bottom w:val="nil"/>
            </w:tcBorders>
            <w:hideMark/>
          </w:tcPr>
          <w:p w14:paraId="4D3D869A"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11</w:t>
            </w:r>
          </w:p>
        </w:tc>
        <w:tc>
          <w:tcPr>
            <w:tcW w:w="735" w:type="pct"/>
            <w:tcBorders>
              <w:top w:val="nil"/>
              <w:bottom w:val="nil"/>
            </w:tcBorders>
            <w:hideMark/>
          </w:tcPr>
          <w:p w14:paraId="568B6C3C" w14:textId="5774997C" w:rsidR="00470F53" w:rsidRPr="00470F53" w:rsidRDefault="00470F53" w:rsidP="0077162B">
            <w:pPr>
              <w:jc w:val="center"/>
              <w:rPr>
                <w:rFonts w:eastAsia="Times New Roman" w:cs="Arial"/>
                <w:color w:val="000000"/>
                <w:sz w:val="20"/>
                <w:szCs w:val="20"/>
                <w:lang w:eastAsia="en-AU"/>
              </w:rPr>
            </w:pPr>
          </w:p>
        </w:tc>
        <w:tc>
          <w:tcPr>
            <w:tcW w:w="737" w:type="pct"/>
            <w:tcBorders>
              <w:top w:val="nil"/>
              <w:bottom w:val="nil"/>
            </w:tcBorders>
            <w:hideMark/>
          </w:tcPr>
          <w:p w14:paraId="288AEADC"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11</w:t>
            </w:r>
          </w:p>
        </w:tc>
        <w:tc>
          <w:tcPr>
            <w:tcW w:w="734" w:type="pct"/>
            <w:tcBorders>
              <w:top w:val="nil"/>
              <w:bottom w:val="nil"/>
            </w:tcBorders>
            <w:noWrap/>
            <w:hideMark/>
          </w:tcPr>
          <w:p w14:paraId="7460C200"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22</w:t>
            </w:r>
          </w:p>
        </w:tc>
      </w:tr>
      <w:tr w:rsidR="00470F53" w:rsidRPr="00470F53" w14:paraId="6FF7BE4E" w14:textId="77777777" w:rsidTr="00487783">
        <w:trPr>
          <w:trHeight w:val="76"/>
        </w:trPr>
        <w:tc>
          <w:tcPr>
            <w:tcW w:w="956" w:type="pct"/>
            <w:vMerge/>
            <w:tcBorders>
              <w:top w:val="nil"/>
              <w:bottom w:val="single" w:sz="4" w:space="0" w:color="auto"/>
            </w:tcBorders>
            <w:hideMark/>
          </w:tcPr>
          <w:p w14:paraId="687EBFF7" w14:textId="3B4D3E4F" w:rsidR="00470F53" w:rsidRPr="009241B4" w:rsidRDefault="00470F53" w:rsidP="00470F53">
            <w:pPr>
              <w:rPr>
                <w:rFonts w:eastAsia="Times New Roman" w:cs="Arial"/>
                <w:color w:val="000000"/>
                <w:sz w:val="20"/>
                <w:szCs w:val="20"/>
                <w:lang w:eastAsia="en-AU"/>
              </w:rPr>
            </w:pPr>
          </w:p>
        </w:tc>
        <w:tc>
          <w:tcPr>
            <w:tcW w:w="1177" w:type="pct"/>
            <w:tcBorders>
              <w:top w:val="nil"/>
              <w:bottom w:val="single" w:sz="4" w:space="0" w:color="auto"/>
            </w:tcBorders>
            <w:hideMark/>
          </w:tcPr>
          <w:p w14:paraId="61975639" w14:textId="77777777" w:rsidR="00470F53" w:rsidRPr="009241B4" w:rsidRDefault="00470F53" w:rsidP="00470F53">
            <w:pPr>
              <w:rPr>
                <w:rFonts w:eastAsia="Times New Roman" w:cs="Arial"/>
                <w:color w:val="000000"/>
                <w:sz w:val="20"/>
                <w:szCs w:val="20"/>
                <w:lang w:eastAsia="en-AU"/>
              </w:rPr>
            </w:pPr>
            <w:r w:rsidRPr="009241B4">
              <w:rPr>
                <w:rFonts w:eastAsia="Times New Roman" w:cs="Arial"/>
                <w:color w:val="000000"/>
                <w:sz w:val="20"/>
                <w:szCs w:val="20"/>
                <w:lang w:eastAsia="en-AU"/>
              </w:rPr>
              <w:t>WID / BMID Sub total</w:t>
            </w:r>
          </w:p>
        </w:tc>
        <w:tc>
          <w:tcPr>
            <w:tcW w:w="661" w:type="pct"/>
            <w:tcBorders>
              <w:top w:val="nil"/>
              <w:bottom w:val="single" w:sz="4" w:space="0" w:color="auto"/>
            </w:tcBorders>
            <w:hideMark/>
          </w:tcPr>
          <w:p w14:paraId="05D3AD57"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sz w:val="20"/>
                <w:szCs w:val="20"/>
                <w:lang w:eastAsia="en-AU"/>
              </w:rPr>
              <w:t>26</w:t>
            </w:r>
          </w:p>
        </w:tc>
        <w:tc>
          <w:tcPr>
            <w:tcW w:w="735" w:type="pct"/>
            <w:tcBorders>
              <w:top w:val="nil"/>
              <w:bottom w:val="single" w:sz="4" w:space="0" w:color="auto"/>
            </w:tcBorders>
            <w:hideMark/>
          </w:tcPr>
          <w:p w14:paraId="3210190D"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15</w:t>
            </w:r>
          </w:p>
        </w:tc>
        <w:tc>
          <w:tcPr>
            <w:tcW w:w="737" w:type="pct"/>
            <w:tcBorders>
              <w:top w:val="nil"/>
              <w:bottom w:val="single" w:sz="4" w:space="0" w:color="auto"/>
            </w:tcBorders>
            <w:hideMark/>
          </w:tcPr>
          <w:p w14:paraId="7A7B7C20"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sz w:val="20"/>
                <w:szCs w:val="20"/>
                <w:lang w:eastAsia="en-AU"/>
              </w:rPr>
              <w:t>11</w:t>
            </w:r>
          </w:p>
        </w:tc>
        <w:tc>
          <w:tcPr>
            <w:tcW w:w="734" w:type="pct"/>
            <w:tcBorders>
              <w:top w:val="nil"/>
              <w:bottom w:val="single" w:sz="4" w:space="0" w:color="auto"/>
            </w:tcBorders>
            <w:noWrap/>
            <w:hideMark/>
          </w:tcPr>
          <w:p w14:paraId="6E55E324"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52</w:t>
            </w:r>
          </w:p>
        </w:tc>
      </w:tr>
      <w:tr w:rsidR="00470F53" w:rsidRPr="00470F53" w14:paraId="044B2249" w14:textId="77777777" w:rsidTr="00487783">
        <w:trPr>
          <w:cnfStyle w:val="000000100000" w:firstRow="0" w:lastRow="0" w:firstColumn="0" w:lastColumn="0" w:oddVBand="0" w:evenVBand="0" w:oddHBand="1" w:evenHBand="0" w:firstRowFirstColumn="0" w:firstRowLastColumn="0" w:lastRowFirstColumn="0" w:lastRowLastColumn="0"/>
          <w:trHeight w:val="15"/>
        </w:trPr>
        <w:tc>
          <w:tcPr>
            <w:tcW w:w="956" w:type="pct"/>
            <w:tcBorders>
              <w:top w:val="single" w:sz="4" w:space="0" w:color="auto"/>
            </w:tcBorders>
            <w:hideMark/>
          </w:tcPr>
          <w:p w14:paraId="0E4CBBA3" w14:textId="3749A587" w:rsidR="00470F53" w:rsidRPr="0077162B" w:rsidRDefault="00470F53" w:rsidP="00470F53">
            <w:pPr>
              <w:rPr>
                <w:rFonts w:eastAsia="Times New Roman" w:cs="Arial"/>
                <w:color w:val="000000"/>
                <w:sz w:val="20"/>
                <w:szCs w:val="20"/>
                <w:lang w:eastAsia="en-AU"/>
              </w:rPr>
            </w:pPr>
            <w:r w:rsidRPr="0077162B">
              <w:rPr>
                <w:rFonts w:eastAsia="Times New Roman" w:cs="Arial"/>
                <w:color w:val="000000"/>
                <w:sz w:val="20"/>
                <w:szCs w:val="20"/>
                <w:lang w:eastAsia="en-AU"/>
              </w:rPr>
              <w:t>Total investment</w:t>
            </w:r>
            <w:r w:rsidR="003C2415" w:rsidRPr="0077162B">
              <w:rPr>
                <w:rFonts w:eastAsia="Times New Roman" w:cs="Arial"/>
                <w:color w:val="000000"/>
                <w:sz w:val="20"/>
                <w:szCs w:val="20"/>
                <w:lang w:eastAsia="en-AU"/>
              </w:rPr>
              <w:t xml:space="preserve"> $m</w:t>
            </w:r>
          </w:p>
        </w:tc>
        <w:tc>
          <w:tcPr>
            <w:tcW w:w="1177" w:type="pct"/>
            <w:tcBorders>
              <w:top w:val="single" w:sz="4" w:space="0" w:color="auto"/>
            </w:tcBorders>
            <w:hideMark/>
          </w:tcPr>
          <w:p w14:paraId="30C71516" w14:textId="77777777" w:rsidR="00470F53" w:rsidRPr="004650B9" w:rsidRDefault="00470F53" w:rsidP="00470F53">
            <w:pPr>
              <w:rPr>
                <w:rFonts w:eastAsia="Times New Roman" w:cs="Arial"/>
                <w:b/>
                <w:color w:val="000000"/>
                <w:sz w:val="20"/>
                <w:szCs w:val="20"/>
                <w:lang w:eastAsia="en-AU"/>
              </w:rPr>
            </w:pPr>
            <w:r w:rsidRPr="004650B9">
              <w:rPr>
                <w:rFonts w:eastAsia="Times New Roman" w:cs="Arial"/>
                <w:b/>
                <w:color w:val="000000"/>
                <w:sz w:val="20"/>
                <w:szCs w:val="20"/>
                <w:lang w:eastAsia="en-AU"/>
              </w:rPr>
              <w:t> </w:t>
            </w:r>
          </w:p>
        </w:tc>
        <w:tc>
          <w:tcPr>
            <w:tcW w:w="661" w:type="pct"/>
            <w:tcBorders>
              <w:top w:val="single" w:sz="4" w:space="0" w:color="auto"/>
            </w:tcBorders>
            <w:hideMark/>
          </w:tcPr>
          <w:p w14:paraId="6080C1A9"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95</w:t>
            </w:r>
          </w:p>
        </w:tc>
        <w:tc>
          <w:tcPr>
            <w:tcW w:w="735" w:type="pct"/>
            <w:tcBorders>
              <w:top w:val="single" w:sz="4" w:space="0" w:color="auto"/>
            </w:tcBorders>
            <w:hideMark/>
          </w:tcPr>
          <w:p w14:paraId="76AC60A7"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61</w:t>
            </w:r>
          </w:p>
        </w:tc>
        <w:tc>
          <w:tcPr>
            <w:tcW w:w="737" w:type="pct"/>
            <w:tcBorders>
              <w:top w:val="single" w:sz="4" w:space="0" w:color="auto"/>
            </w:tcBorders>
            <w:hideMark/>
          </w:tcPr>
          <w:p w14:paraId="2D3C4935" w14:textId="77777777"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62</w:t>
            </w:r>
          </w:p>
        </w:tc>
        <w:tc>
          <w:tcPr>
            <w:tcW w:w="734" w:type="pct"/>
            <w:tcBorders>
              <w:top w:val="single" w:sz="4" w:space="0" w:color="auto"/>
            </w:tcBorders>
            <w:noWrap/>
            <w:hideMark/>
          </w:tcPr>
          <w:p w14:paraId="7CD14B85" w14:textId="54C7D4A6" w:rsidR="00470F53" w:rsidRPr="00470F53" w:rsidRDefault="00470F53" w:rsidP="0077162B">
            <w:pPr>
              <w:jc w:val="center"/>
              <w:rPr>
                <w:rFonts w:eastAsia="Times New Roman" w:cs="Arial"/>
                <w:color w:val="000000"/>
                <w:sz w:val="20"/>
                <w:szCs w:val="20"/>
                <w:lang w:eastAsia="en-AU"/>
              </w:rPr>
            </w:pPr>
            <w:r w:rsidRPr="00470F53">
              <w:rPr>
                <w:rFonts w:eastAsia="Times New Roman" w:cs="Arial"/>
                <w:color w:val="000000"/>
                <w:sz w:val="20"/>
                <w:szCs w:val="20"/>
                <w:lang w:eastAsia="en-AU"/>
              </w:rPr>
              <w:t>218</w:t>
            </w:r>
          </w:p>
        </w:tc>
      </w:tr>
    </w:tbl>
    <w:p w14:paraId="7EC6788C" w14:textId="222BADF4" w:rsidR="000D7591" w:rsidRPr="00A00BBA" w:rsidRDefault="00A00BBA" w:rsidP="00AF0CF2">
      <w:pPr>
        <w:rPr>
          <w:sz w:val="20"/>
          <w:szCs w:val="20"/>
        </w:rPr>
      </w:pPr>
      <w:bookmarkStart w:id="20" w:name="_Hlk106710542"/>
      <w:bookmarkStart w:id="21" w:name="_Hlk106690460"/>
      <w:r>
        <w:rPr>
          <w:sz w:val="20"/>
          <w:szCs w:val="20"/>
        </w:rPr>
        <w:br/>
      </w:r>
      <w:r w:rsidR="00C7674A" w:rsidRPr="00A00BBA">
        <w:rPr>
          <w:sz w:val="20"/>
          <w:szCs w:val="20"/>
        </w:rPr>
        <w:t>*</w:t>
      </w:r>
      <w:r>
        <w:rPr>
          <w:sz w:val="20"/>
          <w:szCs w:val="20"/>
        </w:rPr>
        <w:t>Project underway but not complete</w:t>
      </w:r>
      <w:r w:rsidR="00D010EE">
        <w:rPr>
          <w:sz w:val="20"/>
          <w:szCs w:val="20"/>
        </w:rPr>
        <w:t>.</w:t>
      </w:r>
    </w:p>
    <w:bookmarkEnd w:id="20"/>
    <w:bookmarkEnd w:id="21"/>
    <w:p w14:paraId="037E8E24" w14:textId="6E7B27E8" w:rsidR="004824CA" w:rsidRPr="00192F41" w:rsidRDefault="004824CA" w:rsidP="004A6BC0">
      <w:pPr>
        <w:jc w:val="center"/>
        <w:rPr>
          <w:rFonts w:cs="Arial"/>
        </w:rPr>
      </w:pPr>
      <w:r w:rsidRPr="00192F41">
        <w:rPr>
          <w:rFonts w:cs="Arial"/>
        </w:rPr>
        <w:br w:type="page"/>
      </w:r>
    </w:p>
    <w:p w14:paraId="68CD2EEE" w14:textId="69611CDD" w:rsidR="00E809E9" w:rsidRPr="00192F41" w:rsidRDefault="00E809E9" w:rsidP="00E809E9">
      <w:pPr>
        <w:pStyle w:val="NumberedHeading3"/>
        <w:rPr>
          <w:rStyle w:val="IntenseEmphasis"/>
          <w:rFonts w:cs="Arial"/>
          <w:i w:val="0"/>
          <w:iCs w:val="0"/>
          <w:color w:val="002B5C" w:themeColor="text2"/>
          <w:sz w:val="52"/>
        </w:rPr>
      </w:pPr>
      <w:bookmarkStart w:id="22" w:name="_Toc115263676"/>
      <w:r w:rsidRPr="00192F41">
        <w:rPr>
          <w:rStyle w:val="IntenseEmphasis"/>
          <w:rFonts w:cs="Arial"/>
          <w:i w:val="0"/>
          <w:iCs w:val="0"/>
          <w:color w:val="002B5C" w:themeColor="text2"/>
          <w:sz w:val="52"/>
        </w:rPr>
        <w:t>Management</w:t>
      </w:r>
      <w:bookmarkEnd w:id="22"/>
    </w:p>
    <w:tbl>
      <w:tblPr>
        <w:tblStyle w:val="ReportTable-NavyColumns"/>
        <w:tblW w:w="9776" w:type="dxa"/>
        <w:tblBorders>
          <w:insideH w:val="none" w:sz="0" w:space="0" w:color="auto"/>
        </w:tblBorders>
        <w:shd w:val="clear" w:color="auto" w:fill="D9D9D9" w:themeFill="background1" w:themeFillShade="D9"/>
        <w:tblLook w:val="04A0" w:firstRow="1" w:lastRow="0" w:firstColumn="1" w:lastColumn="0" w:noHBand="0" w:noVBand="1"/>
      </w:tblPr>
      <w:tblGrid>
        <w:gridCol w:w="9776"/>
      </w:tblGrid>
      <w:tr w:rsidR="00E809E9" w:rsidRPr="00192F41" w14:paraId="4C47803C" w14:textId="77777777" w:rsidTr="001B7D2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2F2F2" w:themeFill="background1" w:themeFillShade="F2"/>
          </w:tcPr>
          <w:p w14:paraId="228E5D5E" w14:textId="77777777" w:rsidR="00E809E9" w:rsidRPr="00192F41" w:rsidRDefault="00E809E9" w:rsidP="00161432">
            <w:pPr>
              <w:pStyle w:val="Heading2"/>
              <w:rPr>
                <w:rStyle w:val="IntenseEmphasis"/>
                <w:rFonts w:cs="Arial"/>
                <w:b/>
                <w:bCs/>
                <w:i w:val="0"/>
                <w:iCs w:val="0"/>
                <w:sz w:val="36"/>
              </w:rPr>
            </w:pPr>
            <w:r w:rsidRPr="00192F41">
              <w:rPr>
                <w:rStyle w:val="IntenseEmphasis"/>
                <w:rFonts w:cs="Arial"/>
                <w:b/>
                <w:bCs/>
                <w:i w:val="0"/>
                <w:iCs w:val="0"/>
                <w:sz w:val="36"/>
              </w:rPr>
              <w:t>Key messages</w:t>
            </w:r>
          </w:p>
          <w:p w14:paraId="41B8646C" w14:textId="38A068B5" w:rsidR="002040C4" w:rsidRPr="00192F41" w:rsidRDefault="002040C4" w:rsidP="00754DA9">
            <w:pPr>
              <w:pStyle w:val="Bulletpointparagraph"/>
              <w:numPr>
                <w:ilvl w:val="0"/>
                <w:numId w:val="0"/>
              </w:numPr>
              <w:ind w:left="360" w:right="553"/>
              <w:rPr>
                <w:rFonts w:cs="Arial"/>
                <w:bCs/>
                <w:color w:val="000000" w:themeColor="text1"/>
              </w:rPr>
            </w:pPr>
            <w:bookmarkStart w:id="23" w:name="OLE_LINK2"/>
            <w:r w:rsidRPr="00192F41">
              <w:rPr>
                <w:rFonts w:cs="Arial"/>
                <w:b w:val="0"/>
                <w:bCs/>
                <w:color w:val="000000" w:themeColor="text1"/>
              </w:rPr>
              <w:t>SRW's board and management are fully committed to deliver on this plan</w:t>
            </w:r>
            <w:r w:rsidR="00FC7041" w:rsidRPr="00192F41">
              <w:rPr>
                <w:rFonts w:cs="Arial"/>
                <w:b w:val="0"/>
                <w:bCs/>
                <w:color w:val="000000" w:themeColor="text1"/>
              </w:rPr>
              <w:t>.</w:t>
            </w:r>
          </w:p>
          <w:p w14:paraId="2DA81CC4" w14:textId="77777777" w:rsidR="009026FB" w:rsidRPr="00192F41" w:rsidRDefault="009026FB" w:rsidP="00754DA9">
            <w:pPr>
              <w:pStyle w:val="Bulletpointparagraph"/>
              <w:numPr>
                <w:ilvl w:val="0"/>
                <w:numId w:val="0"/>
              </w:numPr>
              <w:ind w:left="360" w:right="553"/>
              <w:rPr>
                <w:rFonts w:cs="Arial"/>
                <w:b w:val="0"/>
                <w:bCs/>
                <w:color w:val="000000" w:themeColor="text1"/>
              </w:rPr>
            </w:pPr>
          </w:p>
          <w:p w14:paraId="682687B6" w14:textId="1261EE7E" w:rsidR="001A0B6E" w:rsidRPr="00192F41" w:rsidRDefault="001A0B6E" w:rsidP="00754DA9">
            <w:pPr>
              <w:pStyle w:val="Bulletpointparagraph"/>
              <w:ind w:right="553"/>
              <w:jc w:val="both"/>
              <w:rPr>
                <w:rFonts w:cs="Arial"/>
                <w:b w:val="0"/>
                <w:bCs/>
                <w:color w:val="000000" w:themeColor="text1"/>
              </w:rPr>
            </w:pPr>
            <w:r w:rsidRPr="00192F41">
              <w:rPr>
                <w:rFonts w:cs="Arial"/>
                <w:b w:val="0"/>
                <w:bCs/>
                <w:color w:val="000000" w:themeColor="text1"/>
              </w:rPr>
              <w:t>Our board has been fully engaged from the start, setting the strategic framework for the development of the price submission</w:t>
            </w:r>
            <w:r w:rsidR="00383F10" w:rsidRPr="00F82275">
              <w:rPr>
                <w:rFonts w:cs="Arial"/>
                <w:bCs/>
                <w:color w:val="000000" w:themeColor="text1"/>
              </w:rPr>
              <w:t>,</w:t>
            </w:r>
            <w:r w:rsidRPr="00192F41">
              <w:rPr>
                <w:rFonts w:cs="Arial"/>
                <w:b w:val="0"/>
                <w:bCs/>
                <w:color w:val="000000" w:themeColor="text1"/>
              </w:rPr>
              <w:t xml:space="preserve"> and </w:t>
            </w:r>
            <w:r w:rsidRPr="00F36FF7">
              <w:rPr>
                <w:rFonts w:cs="Arial"/>
                <w:b w:val="0"/>
                <w:bCs/>
                <w:color w:val="000000" w:themeColor="text1"/>
              </w:rPr>
              <w:t xml:space="preserve">attesting </w:t>
            </w:r>
            <w:r w:rsidRPr="00192F41">
              <w:rPr>
                <w:rFonts w:cs="Arial"/>
                <w:b w:val="0"/>
                <w:bCs/>
                <w:color w:val="000000" w:themeColor="text1"/>
              </w:rPr>
              <w:t>to the submission.</w:t>
            </w:r>
          </w:p>
          <w:p w14:paraId="3EA86501" w14:textId="3203D13D" w:rsidR="00B96106" w:rsidRPr="00192F41" w:rsidRDefault="00B96106" w:rsidP="00754DA9">
            <w:pPr>
              <w:pStyle w:val="Bulletpointparagraph"/>
              <w:ind w:right="553"/>
              <w:jc w:val="both"/>
              <w:rPr>
                <w:rFonts w:cs="Arial"/>
                <w:b w:val="0"/>
                <w:bCs/>
                <w:color w:val="000000" w:themeColor="text1"/>
              </w:rPr>
            </w:pPr>
            <w:r w:rsidRPr="00192F41">
              <w:rPr>
                <w:rFonts w:cs="Arial"/>
                <w:b w:val="0"/>
                <w:bCs/>
                <w:color w:val="000000" w:themeColor="text1"/>
              </w:rPr>
              <w:t xml:space="preserve">Industry experts Aither, </w:t>
            </w:r>
            <w:r w:rsidRPr="00F82275">
              <w:rPr>
                <w:rFonts w:cs="Arial"/>
                <w:b w:val="0"/>
                <w:bCs/>
                <w:color w:val="000000" w:themeColor="text1"/>
              </w:rPr>
              <w:t>Bartl</w:t>
            </w:r>
            <w:r w:rsidR="00B27715">
              <w:rPr>
                <w:rFonts w:cs="Arial"/>
                <w:b w:val="0"/>
                <w:bCs/>
                <w:color w:val="000000" w:themeColor="text1"/>
              </w:rPr>
              <w:t>e</w:t>
            </w:r>
            <w:r w:rsidRPr="00F82275">
              <w:rPr>
                <w:rFonts w:cs="Arial"/>
                <w:b w:val="0"/>
                <w:bCs/>
                <w:color w:val="000000" w:themeColor="text1"/>
              </w:rPr>
              <w:t>y</w:t>
            </w:r>
            <w:r w:rsidRPr="00192F41">
              <w:rPr>
                <w:rFonts w:cs="Arial"/>
                <w:b w:val="0"/>
                <w:bCs/>
                <w:color w:val="000000" w:themeColor="text1"/>
              </w:rPr>
              <w:t xml:space="preserve"> Consulting and KBR have assisted to ensure the quality of our submission.</w:t>
            </w:r>
          </w:p>
          <w:p w14:paraId="3C00704A" w14:textId="5EB66D97" w:rsidR="00B96106" w:rsidRPr="00192F41" w:rsidRDefault="00B96106" w:rsidP="00754DA9">
            <w:pPr>
              <w:pStyle w:val="Bulletpointparagraph"/>
              <w:ind w:right="553"/>
              <w:jc w:val="both"/>
              <w:rPr>
                <w:rFonts w:cs="Arial"/>
                <w:b w:val="0"/>
                <w:bCs/>
                <w:color w:val="000000" w:themeColor="text1"/>
              </w:rPr>
            </w:pPr>
            <w:r w:rsidRPr="00192F41">
              <w:rPr>
                <w:rFonts w:cs="Arial"/>
                <w:b w:val="0"/>
                <w:bCs/>
                <w:color w:val="000000" w:themeColor="text1"/>
              </w:rPr>
              <w:t>Our submission demonstrates prudent and efficient expenditure with minimum price increase</w:t>
            </w:r>
            <w:r w:rsidR="00A00BBA">
              <w:rPr>
                <w:rFonts w:cs="Arial"/>
                <w:b w:val="0"/>
                <w:bCs/>
                <w:color w:val="000000" w:themeColor="text1"/>
              </w:rPr>
              <w:t>s</w:t>
            </w:r>
            <w:r w:rsidRPr="00192F41">
              <w:rPr>
                <w:rFonts w:cs="Arial"/>
                <w:b w:val="0"/>
                <w:bCs/>
                <w:color w:val="000000" w:themeColor="text1"/>
              </w:rPr>
              <w:t xml:space="preserve"> and 1% productivity savings per annum. </w:t>
            </w:r>
          </w:p>
          <w:p w14:paraId="688757B7" w14:textId="63794FBB" w:rsidR="002040C4" w:rsidRPr="00192F41" w:rsidRDefault="00280A09" w:rsidP="00754DA9">
            <w:pPr>
              <w:pStyle w:val="Bulletpointparagraph"/>
              <w:ind w:right="553"/>
              <w:jc w:val="both"/>
              <w:rPr>
                <w:rFonts w:cs="Arial"/>
                <w:b w:val="0"/>
                <w:bCs/>
                <w:color w:val="000000" w:themeColor="text1"/>
              </w:rPr>
            </w:pPr>
            <w:r w:rsidRPr="00192F41">
              <w:rPr>
                <w:rFonts w:cs="Arial"/>
                <w:b w:val="0"/>
                <w:bCs/>
                <w:color w:val="000000" w:themeColor="text1"/>
              </w:rPr>
              <w:t>W</w:t>
            </w:r>
            <w:r w:rsidR="00B96106" w:rsidRPr="00192F41">
              <w:rPr>
                <w:rFonts w:cs="Arial"/>
                <w:b w:val="0"/>
                <w:bCs/>
                <w:color w:val="000000" w:themeColor="text1"/>
              </w:rPr>
              <w:t>e are very confident that our PREMO rating for management is standard.</w:t>
            </w:r>
          </w:p>
          <w:bookmarkEnd w:id="23"/>
          <w:p w14:paraId="47C0D8BC" w14:textId="77777777" w:rsidR="00E809E9" w:rsidRPr="00192F41" w:rsidRDefault="00E809E9" w:rsidP="009026FB">
            <w:pPr>
              <w:pStyle w:val="Bulletpointparagraph"/>
              <w:numPr>
                <w:ilvl w:val="0"/>
                <w:numId w:val="0"/>
              </w:numPr>
              <w:ind w:left="360"/>
              <w:rPr>
                <w:rFonts w:cs="Arial"/>
              </w:rPr>
            </w:pPr>
          </w:p>
        </w:tc>
      </w:tr>
    </w:tbl>
    <w:p w14:paraId="6E0F52C3" w14:textId="77777777" w:rsidR="00E809E9" w:rsidRPr="00192F41" w:rsidRDefault="00E809E9" w:rsidP="00E809E9">
      <w:pPr>
        <w:pStyle w:val="Heading2"/>
        <w:rPr>
          <w:rStyle w:val="IntenseEmphasis"/>
          <w:rFonts w:cs="Arial"/>
          <w:i w:val="0"/>
          <w:iCs w:val="0"/>
          <w:sz w:val="36"/>
        </w:rPr>
      </w:pPr>
      <w:r w:rsidRPr="00192F41">
        <w:rPr>
          <w:rStyle w:val="IntenseEmphasis"/>
          <w:rFonts w:cs="Arial"/>
          <w:i w:val="0"/>
          <w:iCs w:val="0"/>
          <w:sz w:val="36"/>
        </w:rPr>
        <w:t>Our approach</w:t>
      </w:r>
    </w:p>
    <w:p w14:paraId="1BC93166" w14:textId="17D573BC" w:rsidR="009D19DC" w:rsidRPr="00192F41" w:rsidRDefault="009D19DC" w:rsidP="00C40BF4">
      <w:pPr>
        <w:jc w:val="both"/>
        <w:rPr>
          <w:rFonts w:cs="Arial"/>
          <w:bCs/>
        </w:rPr>
      </w:pPr>
      <w:r w:rsidRPr="00192F41">
        <w:rPr>
          <w:rFonts w:cs="Arial"/>
          <w:bCs/>
        </w:rPr>
        <w:t xml:space="preserve">This submission builds on SRW’s existing planning processes, and a history of close engagement with our customers. </w:t>
      </w:r>
    </w:p>
    <w:p w14:paraId="5C84D33C" w14:textId="6F941D69" w:rsidR="0094322F" w:rsidRPr="00192F41" w:rsidRDefault="0094322F" w:rsidP="00C40BF4">
      <w:pPr>
        <w:jc w:val="both"/>
        <w:rPr>
          <w:rFonts w:cs="Arial"/>
          <w:bCs/>
        </w:rPr>
      </w:pPr>
      <w:r w:rsidRPr="00192F41">
        <w:rPr>
          <w:rFonts w:cs="Arial"/>
          <w:bCs/>
        </w:rPr>
        <w:t xml:space="preserve">It has involved input from our board, executives, senior management, subject matter experts, </w:t>
      </w:r>
      <w:r w:rsidR="00D23984" w:rsidRPr="00192F41">
        <w:rPr>
          <w:rFonts w:cs="Arial"/>
          <w:bCs/>
        </w:rPr>
        <w:t xml:space="preserve">consultants, </w:t>
      </w:r>
      <w:r w:rsidR="00E0647C">
        <w:rPr>
          <w:rFonts w:cs="Arial"/>
          <w:bCs/>
        </w:rPr>
        <w:t>independently</w:t>
      </w:r>
      <w:r w:rsidR="00060360">
        <w:rPr>
          <w:rFonts w:cs="Arial"/>
          <w:bCs/>
        </w:rPr>
        <w:t xml:space="preserve"> </w:t>
      </w:r>
      <w:r w:rsidR="00E0647C">
        <w:rPr>
          <w:rFonts w:cs="Arial"/>
          <w:bCs/>
        </w:rPr>
        <w:t xml:space="preserve">facilitated </w:t>
      </w:r>
      <w:r w:rsidR="0015072C" w:rsidRPr="00192F41">
        <w:rPr>
          <w:rFonts w:cs="Arial"/>
          <w:bCs/>
        </w:rPr>
        <w:t>Customer Reference Group</w:t>
      </w:r>
      <w:r w:rsidR="003C5389">
        <w:rPr>
          <w:rFonts w:cs="Arial"/>
          <w:bCs/>
        </w:rPr>
        <w:t xml:space="preserve"> (CRG)</w:t>
      </w:r>
      <w:r w:rsidR="0015072C" w:rsidRPr="00F82275">
        <w:rPr>
          <w:rFonts w:cs="Arial"/>
          <w:bCs/>
        </w:rPr>
        <w:t xml:space="preserve">, </w:t>
      </w:r>
      <w:r w:rsidR="0015072C" w:rsidRPr="00192F41">
        <w:rPr>
          <w:rFonts w:cs="Arial"/>
          <w:bCs/>
        </w:rPr>
        <w:t xml:space="preserve">three </w:t>
      </w:r>
      <w:r w:rsidRPr="00192F41">
        <w:rPr>
          <w:rFonts w:cs="Arial"/>
          <w:bCs/>
        </w:rPr>
        <w:t>customer committee</w:t>
      </w:r>
      <w:r w:rsidR="004541DC" w:rsidRPr="00192F41">
        <w:rPr>
          <w:rFonts w:cs="Arial"/>
          <w:bCs/>
        </w:rPr>
        <w:t>s</w:t>
      </w:r>
      <w:r w:rsidRPr="00192F41">
        <w:rPr>
          <w:rFonts w:cs="Arial"/>
          <w:bCs/>
        </w:rPr>
        <w:t xml:space="preserve">, </w:t>
      </w:r>
      <w:r w:rsidR="004541DC" w:rsidRPr="00192F41">
        <w:rPr>
          <w:rFonts w:cs="Arial"/>
          <w:bCs/>
        </w:rPr>
        <w:t xml:space="preserve">our </w:t>
      </w:r>
      <w:r w:rsidRPr="00192F41">
        <w:rPr>
          <w:rFonts w:cs="Arial"/>
          <w:bCs/>
        </w:rPr>
        <w:t>broader customer base</w:t>
      </w:r>
      <w:r w:rsidR="00383F10" w:rsidRPr="00F82275">
        <w:rPr>
          <w:rFonts w:cs="Arial"/>
          <w:bCs/>
        </w:rPr>
        <w:t>,</w:t>
      </w:r>
      <w:r w:rsidR="00D23984" w:rsidRPr="00192F41">
        <w:rPr>
          <w:rFonts w:cs="Arial"/>
          <w:bCs/>
        </w:rPr>
        <w:t xml:space="preserve"> and key stakeholders</w:t>
      </w:r>
      <w:r w:rsidRPr="00192F41">
        <w:rPr>
          <w:rFonts w:cs="Arial"/>
          <w:bCs/>
        </w:rPr>
        <w:t>.</w:t>
      </w:r>
    </w:p>
    <w:p w14:paraId="40D0DE2D" w14:textId="4B8B4E27" w:rsidR="00695F8E" w:rsidRPr="00192F41" w:rsidRDefault="00695F8E" w:rsidP="00C40BF4">
      <w:pPr>
        <w:jc w:val="both"/>
        <w:rPr>
          <w:rFonts w:cs="Arial"/>
          <w:bCs/>
        </w:rPr>
      </w:pPr>
      <w:r w:rsidRPr="00192F41">
        <w:rPr>
          <w:rFonts w:cs="Arial"/>
          <w:bCs/>
        </w:rPr>
        <w:t xml:space="preserve">We have followed an iterative process involving extensive </w:t>
      </w:r>
      <w:r w:rsidR="0057121C" w:rsidRPr="00192F41">
        <w:rPr>
          <w:rFonts w:cs="Arial"/>
          <w:bCs/>
        </w:rPr>
        <w:t>co</w:t>
      </w:r>
      <w:r w:rsidR="0057121C">
        <w:rPr>
          <w:rFonts w:cs="Arial"/>
          <w:bCs/>
        </w:rPr>
        <w:t>nsultation</w:t>
      </w:r>
      <w:r w:rsidR="0057121C" w:rsidRPr="00192F41">
        <w:rPr>
          <w:rFonts w:cs="Arial"/>
          <w:bCs/>
        </w:rPr>
        <w:t xml:space="preserve"> </w:t>
      </w:r>
      <w:r w:rsidRPr="00192F41">
        <w:rPr>
          <w:rFonts w:cs="Arial"/>
          <w:bCs/>
        </w:rPr>
        <w:t xml:space="preserve">with </w:t>
      </w:r>
      <w:r w:rsidR="00D23984" w:rsidRPr="00192F41">
        <w:rPr>
          <w:rFonts w:cs="Arial"/>
          <w:bCs/>
        </w:rPr>
        <w:t>customers and stakeholders</w:t>
      </w:r>
      <w:r w:rsidR="004D3FF5" w:rsidRPr="00192F41">
        <w:rPr>
          <w:rFonts w:cs="Arial"/>
          <w:bCs/>
        </w:rPr>
        <w:t xml:space="preserve">, </w:t>
      </w:r>
      <w:r w:rsidRPr="00192F41">
        <w:rPr>
          <w:rFonts w:cs="Arial"/>
          <w:bCs/>
        </w:rPr>
        <w:t>supported by rigorous technical assessments, leading to what we submit is an offering that delivers genuine value-for-money based on prudent and efficient expenditure leading to minimal price increases.</w:t>
      </w:r>
    </w:p>
    <w:p w14:paraId="4483378E" w14:textId="0F566FE9" w:rsidR="00E809E9" w:rsidRPr="00192F41" w:rsidRDefault="00E809E9" w:rsidP="00E809E9">
      <w:pPr>
        <w:rPr>
          <w:rFonts w:cs="Arial"/>
          <w:bCs/>
        </w:rPr>
      </w:pPr>
      <w:r w:rsidRPr="00192F41">
        <w:rPr>
          <w:rFonts w:cs="Arial"/>
          <w:bCs/>
        </w:rPr>
        <w:t xml:space="preserve">In </w:t>
      </w:r>
      <w:r w:rsidR="004D3FF5" w:rsidRPr="00192F41">
        <w:rPr>
          <w:rFonts w:cs="Arial"/>
          <w:bCs/>
        </w:rPr>
        <w:t>preparing</w:t>
      </w:r>
      <w:r w:rsidRPr="00192F41">
        <w:rPr>
          <w:rFonts w:cs="Arial"/>
          <w:bCs/>
        </w:rPr>
        <w:t xml:space="preserve"> our </w:t>
      </w:r>
      <w:r w:rsidR="00A7476C" w:rsidRPr="00192F41">
        <w:rPr>
          <w:rFonts w:cs="Arial"/>
          <w:bCs/>
        </w:rPr>
        <w:t>p</w:t>
      </w:r>
      <w:r w:rsidRPr="00192F41">
        <w:rPr>
          <w:rFonts w:cs="Arial"/>
          <w:bCs/>
        </w:rPr>
        <w:t xml:space="preserve">rice </w:t>
      </w:r>
      <w:r w:rsidR="00A7476C" w:rsidRPr="00192F41">
        <w:rPr>
          <w:rFonts w:cs="Arial"/>
          <w:bCs/>
        </w:rPr>
        <w:t>s</w:t>
      </w:r>
      <w:r w:rsidRPr="00192F41">
        <w:rPr>
          <w:rFonts w:cs="Arial"/>
          <w:bCs/>
        </w:rPr>
        <w:t>ubmission, we have considered our:</w:t>
      </w:r>
    </w:p>
    <w:p w14:paraId="78F727BC" w14:textId="4516DB0C" w:rsidR="00E809E9" w:rsidRPr="00192F41" w:rsidRDefault="00E809E9" w:rsidP="0088545D">
      <w:pPr>
        <w:pStyle w:val="Bulletpointparagraph"/>
        <w:rPr>
          <w:rFonts w:cs="Arial"/>
        </w:rPr>
      </w:pPr>
      <w:r w:rsidRPr="00192F41">
        <w:rPr>
          <w:rFonts w:cs="Arial"/>
        </w:rPr>
        <w:t xml:space="preserve">obligations such as those contained in the </w:t>
      </w:r>
      <w:r w:rsidRPr="00C07814">
        <w:rPr>
          <w:rFonts w:cs="Arial"/>
          <w:i/>
        </w:rPr>
        <w:t xml:space="preserve">Water </w:t>
      </w:r>
      <w:r w:rsidR="00E13955">
        <w:rPr>
          <w:rFonts w:cs="Arial"/>
          <w:i/>
        </w:rPr>
        <w:t xml:space="preserve">Industry </w:t>
      </w:r>
      <w:r w:rsidRPr="00C07814">
        <w:rPr>
          <w:rFonts w:cs="Arial"/>
          <w:i/>
        </w:rPr>
        <w:t xml:space="preserve">Act </w:t>
      </w:r>
      <w:r w:rsidR="00C57308">
        <w:rPr>
          <w:rFonts w:cs="Arial"/>
          <w:i/>
        </w:rPr>
        <w:t>19</w:t>
      </w:r>
      <w:r w:rsidR="00E13955">
        <w:rPr>
          <w:rFonts w:cs="Arial"/>
          <w:i/>
        </w:rPr>
        <w:t>94</w:t>
      </w:r>
      <w:r w:rsidRPr="00192F41">
        <w:rPr>
          <w:rFonts w:cs="Arial"/>
        </w:rPr>
        <w:t xml:space="preserve"> Statement of Obligations, Letters of Expectation, government policy etc</w:t>
      </w:r>
      <w:r w:rsidR="00130995" w:rsidRPr="00F82275">
        <w:rPr>
          <w:rFonts w:cs="Arial"/>
        </w:rPr>
        <w:t>.</w:t>
      </w:r>
      <w:r w:rsidR="000B14AF">
        <w:rPr>
          <w:rFonts w:cs="Arial"/>
        </w:rPr>
        <w:t>;</w:t>
      </w:r>
      <w:r w:rsidRPr="00192F41">
        <w:rPr>
          <w:rFonts w:cs="Arial"/>
        </w:rPr>
        <w:t xml:space="preserve"> </w:t>
      </w:r>
    </w:p>
    <w:p w14:paraId="3CBC5FBE" w14:textId="77777777" w:rsidR="00E809E9" w:rsidRPr="00192F41" w:rsidRDefault="00E809E9" w:rsidP="0088545D">
      <w:pPr>
        <w:pStyle w:val="Bulletpointparagraph"/>
        <w:rPr>
          <w:rFonts w:cs="Arial"/>
        </w:rPr>
      </w:pPr>
      <w:r w:rsidRPr="00192F41">
        <w:rPr>
          <w:rFonts w:cs="Arial"/>
        </w:rPr>
        <w:t xml:space="preserve">existing corporate strategy and associated plans; </w:t>
      </w:r>
    </w:p>
    <w:p w14:paraId="21B1CD06" w14:textId="258811CE" w:rsidR="00E809E9" w:rsidRPr="00192F41" w:rsidRDefault="00E809E9" w:rsidP="0088545D">
      <w:pPr>
        <w:pStyle w:val="Bulletpointparagraph"/>
        <w:rPr>
          <w:rFonts w:cs="Arial"/>
        </w:rPr>
      </w:pPr>
      <w:r w:rsidRPr="00192F41">
        <w:rPr>
          <w:rFonts w:cs="Arial"/>
        </w:rPr>
        <w:t xml:space="preserve">customer views and what’s important to them; </w:t>
      </w:r>
    </w:p>
    <w:p w14:paraId="3D132038" w14:textId="77777777" w:rsidR="00E809E9" w:rsidRPr="00192F41" w:rsidRDefault="00E809E9" w:rsidP="0088545D">
      <w:pPr>
        <w:pStyle w:val="Bulletpointparagraph"/>
        <w:rPr>
          <w:rFonts w:cs="Arial"/>
        </w:rPr>
      </w:pPr>
      <w:r w:rsidRPr="00192F41">
        <w:rPr>
          <w:rFonts w:cs="Arial"/>
        </w:rPr>
        <w:t xml:space="preserve">performance during Price Submission 2018; </w:t>
      </w:r>
    </w:p>
    <w:p w14:paraId="21C7D14C" w14:textId="77777777" w:rsidR="00E809E9" w:rsidRPr="00192F41" w:rsidRDefault="00E809E9" w:rsidP="0088545D">
      <w:pPr>
        <w:pStyle w:val="Bulletpointparagraph"/>
        <w:rPr>
          <w:rFonts w:cs="Arial"/>
        </w:rPr>
      </w:pPr>
      <w:r w:rsidRPr="00192F41">
        <w:rPr>
          <w:rFonts w:cs="Arial"/>
        </w:rPr>
        <w:t xml:space="preserve">risks; and </w:t>
      </w:r>
    </w:p>
    <w:p w14:paraId="09B518FE" w14:textId="77777777" w:rsidR="00E809E9" w:rsidRPr="00192F41" w:rsidRDefault="00E809E9" w:rsidP="0088545D">
      <w:pPr>
        <w:pStyle w:val="Bulletpointparagraph"/>
        <w:rPr>
          <w:rFonts w:cs="Arial"/>
        </w:rPr>
      </w:pPr>
      <w:r w:rsidRPr="00192F41">
        <w:rPr>
          <w:rFonts w:cs="Arial"/>
        </w:rPr>
        <w:t>revenue requirements based on our proposed operational and capital spend.</w:t>
      </w:r>
    </w:p>
    <w:p w14:paraId="690F5A4D" w14:textId="75B326F6" w:rsidR="006D1539" w:rsidRPr="00192F41" w:rsidRDefault="000F078A" w:rsidP="00C40BF4">
      <w:pPr>
        <w:jc w:val="both"/>
        <w:rPr>
          <w:rFonts w:cs="Arial"/>
          <w:bCs/>
        </w:rPr>
      </w:pPr>
      <w:r w:rsidRPr="00192F41">
        <w:rPr>
          <w:rFonts w:cs="Arial"/>
          <w:bCs/>
        </w:rPr>
        <w:t>These have led to the development of a series of outcome statements</w:t>
      </w:r>
      <w:r w:rsidR="00B56BD7" w:rsidRPr="00192F41">
        <w:rPr>
          <w:rFonts w:cs="Arial"/>
          <w:bCs/>
        </w:rPr>
        <w:t xml:space="preserve">, </w:t>
      </w:r>
      <w:r w:rsidR="00653214" w:rsidRPr="00192F41">
        <w:rPr>
          <w:rFonts w:cs="Arial"/>
          <w:bCs/>
        </w:rPr>
        <w:t xml:space="preserve">centred largely on </w:t>
      </w:r>
      <w:r w:rsidR="00B56BD7" w:rsidRPr="00192F41">
        <w:rPr>
          <w:rFonts w:cs="Arial"/>
          <w:bCs/>
        </w:rPr>
        <w:t>customer fee</w:t>
      </w:r>
      <w:r w:rsidR="00AA64BC" w:rsidRPr="00192F41">
        <w:rPr>
          <w:rFonts w:cs="Arial"/>
          <w:bCs/>
        </w:rPr>
        <w:t>d</w:t>
      </w:r>
      <w:r w:rsidR="00B56BD7" w:rsidRPr="00192F41">
        <w:rPr>
          <w:rFonts w:cs="Arial"/>
          <w:bCs/>
        </w:rPr>
        <w:t>back</w:t>
      </w:r>
      <w:r w:rsidR="00244015" w:rsidRPr="00192F41">
        <w:rPr>
          <w:rFonts w:cs="Arial"/>
          <w:bCs/>
        </w:rPr>
        <w:t xml:space="preserve"> (see Section </w:t>
      </w:r>
      <w:r w:rsidR="00AA64BC" w:rsidRPr="00192F41">
        <w:rPr>
          <w:rFonts w:cs="Arial"/>
          <w:bCs/>
        </w:rPr>
        <w:t>6</w:t>
      </w:r>
      <w:r w:rsidR="00244015" w:rsidRPr="00192F41">
        <w:rPr>
          <w:rFonts w:cs="Arial"/>
          <w:bCs/>
        </w:rPr>
        <w:t>)</w:t>
      </w:r>
      <w:r w:rsidR="00DD769D" w:rsidRPr="00192F41">
        <w:rPr>
          <w:rFonts w:cs="Arial"/>
          <w:bCs/>
        </w:rPr>
        <w:t xml:space="preserve"> which are then reflected in our operating expenditure forecast (see Section 7) </w:t>
      </w:r>
      <w:r w:rsidR="001765FE" w:rsidRPr="00192F41">
        <w:rPr>
          <w:rFonts w:cs="Arial"/>
          <w:bCs/>
        </w:rPr>
        <w:t>and our capital expenditure program (see Section 8), both of which have been subject to detailed review by our executive and board.</w:t>
      </w:r>
    </w:p>
    <w:p w14:paraId="377B21F5" w14:textId="7D7101BD" w:rsidR="00FB6A54" w:rsidRPr="00F82275" w:rsidRDefault="00FB6A54" w:rsidP="00C40BF4">
      <w:pPr>
        <w:jc w:val="both"/>
        <w:rPr>
          <w:rFonts w:cs="Arial"/>
          <w:bCs/>
        </w:rPr>
      </w:pPr>
      <w:r w:rsidRPr="00F82275">
        <w:rPr>
          <w:rFonts w:cs="Arial"/>
          <w:bCs/>
        </w:rPr>
        <w:t xml:space="preserve">Within this context we have developed six </w:t>
      </w:r>
      <w:r w:rsidR="00E61BAB">
        <w:rPr>
          <w:rFonts w:cs="Arial"/>
          <w:bCs/>
        </w:rPr>
        <w:t>foundations</w:t>
      </w:r>
      <w:r w:rsidRPr="00F82275">
        <w:rPr>
          <w:rFonts w:cs="Arial"/>
          <w:bCs/>
        </w:rPr>
        <w:t xml:space="preserve"> which are integral to both our modernisation program and our price submission. These are listed in the following table.</w:t>
      </w:r>
    </w:p>
    <w:p w14:paraId="09D27AD1" w14:textId="77777777" w:rsidR="00FB6A54" w:rsidRPr="00F82275" w:rsidRDefault="00FB6A54" w:rsidP="00FB6A54">
      <w:pPr>
        <w:rPr>
          <w:rFonts w:cs="Arial"/>
          <w:bCs/>
        </w:rPr>
      </w:pPr>
      <w:r w:rsidRPr="00F82275">
        <w:rPr>
          <w:rFonts w:cs="Arial"/>
          <w:bCs/>
        </w:rPr>
        <w:br w:type="page"/>
      </w:r>
    </w:p>
    <w:p w14:paraId="6ABE49FD" w14:textId="7B8DC7EA" w:rsidR="00FB6A54" w:rsidRPr="00D11098" w:rsidRDefault="00786CA6" w:rsidP="00786CA6">
      <w:pPr>
        <w:pStyle w:val="Caption"/>
        <w:rPr>
          <w:rFonts w:eastAsiaTheme="minorEastAsia" w:cs="Arial"/>
          <w:b/>
          <w:bCs/>
          <w:i w:val="0"/>
          <w:iCs w:val="0"/>
          <w:color w:val="00B1B0"/>
          <w:spacing w:val="5"/>
          <w:sz w:val="20"/>
          <w:szCs w:val="20"/>
        </w:rPr>
      </w:pPr>
      <w:r w:rsidRPr="00D11098">
        <w:rPr>
          <w:rFonts w:eastAsiaTheme="minorEastAsia" w:cs="Arial"/>
          <w:b/>
          <w:bCs/>
          <w:i w:val="0"/>
          <w:iCs w:val="0"/>
          <w:color w:val="00B1B0"/>
          <w:spacing w:val="5"/>
          <w:sz w:val="20"/>
          <w:szCs w:val="20"/>
        </w:rPr>
        <w:t xml:space="preserve">Table </w:t>
      </w:r>
      <w:r w:rsidRPr="00D11098">
        <w:rPr>
          <w:rFonts w:eastAsiaTheme="minorEastAsia" w:cs="Arial"/>
          <w:b/>
          <w:bCs/>
          <w:i w:val="0"/>
          <w:iCs w:val="0"/>
          <w:color w:val="00B1B0"/>
          <w:spacing w:val="5"/>
          <w:sz w:val="20"/>
          <w:szCs w:val="20"/>
        </w:rPr>
        <w:fldChar w:fldCharType="begin"/>
      </w:r>
      <w:r w:rsidRPr="00D11098">
        <w:rPr>
          <w:rFonts w:eastAsiaTheme="minorEastAsia" w:cs="Arial"/>
          <w:b/>
          <w:bCs/>
          <w:i w:val="0"/>
          <w:iCs w:val="0"/>
          <w:color w:val="00B1B0"/>
          <w:spacing w:val="5"/>
          <w:sz w:val="20"/>
          <w:szCs w:val="20"/>
        </w:rPr>
        <w:instrText xml:space="preserve"> SEQ Table \* ARABIC </w:instrText>
      </w:r>
      <w:r w:rsidRPr="00D11098">
        <w:rPr>
          <w:rFonts w:eastAsiaTheme="minorEastAsia" w:cs="Arial"/>
          <w:b/>
          <w:bCs/>
          <w:i w:val="0"/>
          <w:iCs w:val="0"/>
          <w:color w:val="00B1B0"/>
          <w:spacing w:val="5"/>
          <w:sz w:val="20"/>
          <w:szCs w:val="20"/>
        </w:rPr>
        <w:fldChar w:fldCharType="separate"/>
      </w:r>
      <w:r w:rsidR="008126A8">
        <w:rPr>
          <w:rFonts w:eastAsiaTheme="minorEastAsia" w:cs="Arial"/>
          <w:b/>
          <w:bCs/>
          <w:i w:val="0"/>
          <w:iCs w:val="0"/>
          <w:noProof/>
          <w:color w:val="00B1B0"/>
          <w:spacing w:val="5"/>
          <w:sz w:val="20"/>
          <w:szCs w:val="20"/>
        </w:rPr>
        <w:t>2</w:t>
      </w:r>
      <w:r w:rsidRPr="00D11098">
        <w:rPr>
          <w:rFonts w:eastAsiaTheme="minorEastAsia" w:cs="Arial"/>
          <w:b/>
          <w:bCs/>
          <w:i w:val="0"/>
          <w:iCs w:val="0"/>
          <w:color w:val="00B1B0"/>
          <w:spacing w:val="5"/>
          <w:sz w:val="20"/>
          <w:szCs w:val="20"/>
        </w:rPr>
        <w:fldChar w:fldCharType="end"/>
      </w:r>
      <w:r w:rsidR="00711666">
        <w:rPr>
          <w:b/>
          <w:bCs/>
          <w:i w:val="0"/>
          <w:iCs w:val="0"/>
          <w:color w:val="00B1B0" w:themeColor="accent1"/>
          <w:sz w:val="20"/>
          <w:szCs w:val="20"/>
        </w:rPr>
        <w:t xml:space="preserve"> –</w:t>
      </w:r>
      <w:r w:rsidRPr="00D11098">
        <w:rPr>
          <w:rFonts w:eastAsiaTheme="minorEastAsia" w:cs="Arial"/>
          <w:b/>
          <w:bCs/>
          <w:i w:val="0"/>
          <w:iCs w:val="0"/>
          <w:color w:val="00B1B0"/>
          <w:spacing w:val="5"/>
          <w:sz w:val="20"/>
          <w:szCs w:val="20"/>
        </w:rPr>
        <w:t xml:space="preserve"> </w:t>
      </w:r>
      <w:r w:rsidR="00FB6A54" w:rsidRPr="00D11098">
        <w:rPr>
          <w:rFonts w:eastAsiaTheme="minorEastAsia" w:cs="Arial"/>
          <w:b/>
          <w:bCs/>
          <w:i w:val="0"/>
          <w:iCs w:val="0"/>
          <w:color w:val="00B1B0"/>
          <w:spacing w:val="5"/>
          <w:sz w:val="20"/>
          <w:szCs w:val="20"/>
        </w:rPr>
        <w:t xml:space="preserve">Sustainable pricing </w:t>
      </w:r>
      <w:r w:rsidR="004010F8" w:rsidRPr="00D11098">
        <w:rPr>
          <w:rFonts w:eastAsiaTheme="minorEastAsia" w:cs="Arial"/>
          <w:b/>
          <w:bCs/>
          <w:i w:val="0"/>
          <w:iCs w:val="0"/>
          <w:color w:val="00B1B0"/>
          <w:spacing w:val="5"/>
          <w:sz w:val="20"/>
          <w:szCs w:val="20"/>
        </w:rPr>
        <w:t>foundations</w:t>
      </w:r>
    </w:p>
    <w:tbl>
      <w:tblPr>
        <w:tblStyle w:val="Tealheader-Grayrows1"/>
        <w:tblW w:w="9634" w:type="dxa"/>
        <w:tblLook w:val="04A0" w:firstRow="1" w:lastRow="0" w:firstColumn="1" w:lastColumn="0" w:noHBand="0" w:noVBand="1"/>
      </w:tblPr>
      <w:tblGrid>
        <w:gridCol w:w="2405"/>
        <w:gridCol w:w="7229"/>
      </w:tblGrid>
      <w:tr w:rsidR="00FB6A54" w:rsidRPr="00F82275" w14:paraId="2FB65451" w14:textId="77777777" w:rsidTr="006E0CF3">
        <w:trPr>
          <w:cnfStyle w:val="100000000000" w:firstRow="1" w:lastRow="0" w:firstColumn="0" w:lastColumn="0" w:oddVBand="0" w:evenVBand="0" w:oddHBand="0" w:evenHBand="0" w:firstRowFirstColumn="0" w:firstRowLastColumn="0" w:lastRowFirstColumn="0" w:lastRowLastColumn="0"/>
        </w:trPr>
        <w:tc>
          <w:tcPr>
            <w:tcW w:w="2405" w:type="dxa"/>
          </w:tcPr>
          <w:p w14:paraId="2129533E" w14:textId="2082857C" w:rsidR="00FB6A54" w:rsidRPr="00192F41" w:rsidRDefault="004010F8" w:rsidP="00C40BF4">
            <w:pPr>
              <w:spacing w:before="40" w:after="40"/>
              <w:rPr>
                <w:rFonts w:cs="Arial"/>
                <w:sz w:val="20"/>
                <w:szCs w:val="20"/>
              </w:rPr>
            </w:pPr>
            <w:r>
              <w:rPr>
                <w:rFonts w:cs="Arial"/>
                <w:sz w:val="20"/>
                <w:szCs w:val="20"/>
              </w:rPr>
              <w:t>Foundations</w:t>
            </w:r>
          </w:p>
        </w:tc>
        <w:tc>
          <w:tcPr>
            <w:tcW w:w="7229" w:type="dxa"/>
          </w:tcPr>
          <w:p w14:paraId="496B2D51" w14:textId="77777777" w:rsidR="00FB6A54" w:rsidRPr="00192F41" w:rsidRDefault="00FB6A54" w:rsidP="00C40BF4">
            <w:pPr>
              <w:spacing w:before="40" w:after="40"/>
              <w:rPr>
                <w:rFonts w:cs="Arial"/>
                <w:sz w:val="20"/>
                <w:szCs w:val="20"/>
              </w:rPr>
            </w:pPr>
            <w:r w:rsidRPr="00192F41">
              <w:rPr>
                <w:rFonts w:cs="Arial"/>
                <w:sz w:val="20"/>
                <w:szCs w:val="20"/>
              </w:rPr>
              <w:t>Overview</w:t>
            </w:r>
          </w:p>
        </w:tc>
      </w:tr>
      <w:tr w:rsidR="00FB6A54" w:rsidRPr="00F82275" w14:paraId="0F104416" w14:textId="77777777" w:rsidTr="006E0CF3">
        <w:trPr>
          <w:cnfStyle w:val="000000100000" w:firstRow="0" w:lastRow="0" w:firstColumn="0" w:lastColumn="0" w:oddVBand="0" w:evenVBand="0" w:oddHBand="1" w:evenHBand="0" w:firstRowFirstColumn="0" w:firstRowLastColumn="0" w:lastRowFirstColumn="0" w:lastRowLastColumn="0"/>
        </w:trPr>
        <w:tc>
          <w:tcPr>
            <w:tcW w:w="2405" w:type="dxa"/>
          </w:tcPr>
          <w:p w14:paraId="00CD83BE" w14:textId="440413E5" w:rsidR="00FB6A54" w:rsidRPr="00C40BF4" w:rsidRDefault="00FB6A54" w:rsidP="00C40BF4">
            <w:pPr>
              <w:spacing w:before="40" w:after="40"/>
              <w:contextualSpacing/>
              <w:rPr>
                <w:rFonts w:cs="Arial"/>
                <w:sz w:val="20"/>
                <w:szCs w:val="20"/>
              </w:rPr>
            </w:pPr>
            <w:r w:rsidRPr="00C40BF4">
              <w:rPr>
                <w:rFonts w:cs="Arial"/>
                <w:sz w:val="20"/>
                <w:szCs w:val="20"/>
              </w:rPr>
              <w:t>We are investors in the profitability of our customers now and into the future</w:t>
            </w:r>
          </w:p>
        </w:tc>
        <w:tc>
          <w:tcPr>
            <w:tcW w:w="7229" w:type="dxa"/>
          </w:tcPr>
          <w:p w14:paraId="2C6DE5A9" w14:textId="3B6181EB" w:rsidR="00FB6A54" w:rsidRPr="00F82275" w:rsidRDefault="00FB6A54" w:rsidP="00C40BF4">
            <w:pPr>
              <w:spacing w:before="120" w:after="120"/>
              <w:rPr>
                <w:rFonts w:cs="Arial"/>
                <w:sz w:val="20"/>
                <w:szCs w:val="20"/>
              </w:rPr>
            </w:pPr>
            <w:r w:rsidRPr="00C40BF4">
              <w:rPr>
                <w:sz w:val="20"/>
                <w:szCs w:val="20"/>
              </w:rPr>
              <w:t xml:space="preserve">During </w:t>
            </w:r>
            <w:r w:rsidRPr="00F82275">
              <w:rPr>
                <w:rFonts w:cs="Arial"/>
                <w:sz w:val="20"/>
                <w:szCs w:val="20"/>
              </w:rPr>
              <w:t>the past 15 years, SRW with state and federal government support, has invested in large capital-intensive modernisation works in each of its irrigation districts. We have developed well-founded business cases with strong positive cost/benefit ratios. Through our partnerships, customers pay less than half of the capital cost of modernisation upgrades to their systems.</w:t>
            </w:r>
          </w:p>
        </w:tc>
      </w:tr>
      <w:tr w:rsidR="00FB6A54" w:rsidRPr="00F82275" w14:paraId="7ED5C5E6" w14:textId="77777777" w:rsidTr="006E0CF3">
        <w:tc>
          <w:tcPr>
            <w:tcW w:w="2405" w:type="dxa"/>
          </w:tcPr>
          <w:p w14:paraId="7E10C29A" w14:textId="6B7C16C0" w:rsidR="00FB6A54" w:rsidRPr="00C40BF4" w:rsidRDefault="00FB6A54" w:rsidP="00C40BF4">
            <w:pPr>
              <w:rPr>
                <w:sz w:val="20"/>
                <w:szCs w:val="20"/>
              </w:rPr>
            </w:pPr>
            <w:r w:rsidRPr="00C40BF4">
              <w:rPr>
                <w:sz w:val="20"/>
                <w:szCs w:val="20"/>
              </w:rPr>
              <w:t>Profitability rather than affordability matters most to irrigator customers</w:t>
            </w:r>
          </w:p>
        </w:tc>
        <w:tc>
          <w:tcPr>
            <w:tcW w:w="7229" w:type="dxa"/>
          </w:tcPr>
          <w:p w14:paraId="67889C01" w14:textId="7E56A727" w:rsidR="00FB6A54" w:rsidRPr="00C40BF4" w:rsidRDefault="00FB6A54" w:rsidP="00C40BF4">
            <w:pPr>
              <w:spacing w:before="120" w:after="120"/>
              <w:rPr>
                <w:sz w:val="20"/>
                <w:szCs w:val="20"/>
              </w:rPr>
            </w:pPr>
            <w:r w:rsidRPr="00C40BF4">
              <w:rPr>
                <w:sz w:val="20"/>
                <w:szCs w:val="20"/>
              </w:rPr>
              <w:t xml:space="preserve">Our irrigation customers are complex and sophisticated businesses </w:t>
            </w:r>
            <w:r w:rsidR="00BB3B6E" w:rsidRPr="00C40BF4">
              <w:rPr>
                <w:sz w:val="20"/>
                <w:szCs w:val="20"/>
              </w:rPr>
              <w:t>that</w:t>
            </w:r>
            <w:r w:rsidRPr="00C40BF4">
              <w:rPr>
                <w:sz w:val="20"/>
                <w:szCs w:val="20"/>
              </w:rPr>
              <w:t xml:space="preserve"> are driven to optimise profitability and are willing to engage with us on investment decisions that can improve their productivity in return for higher irrigation prices. This differs from residential customers where affordability, associated with cost-of-living pressures, is of primary concern. </w:t>
            </w:r>
          </w:p>
        </w:tc>
      </w:tr>
      <w:tr w:rsidR="00FB6A54" w:rsidRPr="00F82275" w14:paraId="7555CA9B" w14:textId="77777777" w:rsidTr="006E0CF3">
        <w:trPr>
          <w:cnfStyle w:val="000000100000" w:firstRow="0" w:lastRow="0" w:firstColumn="0" w:lastColumn="0" w:oddVBand="0" w:evenVBand="0" w:oddHBand="1" w:evenHBand="0" w:firstRowFirstColumn="0" w:firstRowLastColumn="0" w:lastRowFirstColumn="0" w:lastRowLastColumn="0"/>
        </w:trPr>
        <w:tc>
          <w:tcPr>
            <w:tcW w:w="2405" w:type="dxa"/>
          </w:tcPr>
          <w:p w14:paraId="6A160C34" w14:textId="1281A66F" w:rsidR="00FB6A54" w:rsidRPr="00C40BF4" w:rsidRDefault="00FB6A54" w:rsidP="00C40BF4">
            <w:pPr>
              <w:rPr>
                <w:sz w:val="20"/>
                <w:szCs w:val="20"/>
              </w:rPr>
            </w:pPr>
            <w:r w:rsidRPr="00C40BF4">
              <w:rPr>
                <w:sz w:val="20"/>
                <w:szCs w:val="20"/>
              </w:rPr>
              <w:t>We operate efficiently and control our costs</w:t>
            </w:r>
          </w:p>
        </w:tc>
        <w:tc>
          <w:tcPr>
            <w:tcW w:w="7229" w:type="dxa"/>
          </w:tcPr>
          <w:p w14:paraId="09008E0A" w14:textId="2587FF10" w:rsidR="00FB6A54" w:rsidRPr="00C40BF4" w:rsidRDefault="00FB6A54" w:rsidP="00C40BF4">
            <w:pPr>
              <w:spacing w:before="120" w:after="120"/>
              <w:rPr>
                <w:sz w:val="20"/>
                <w:szCs w:val="20"/>
              </w:rPr>
            </w:pPr>
            <w:r w:rsidRPr="00C40BF4">
              <w:rPr>
                <w:sz w:val="20"/>
                <w:szCs w:val="20"/>
              </w:rPr>
              <w:t>We have a strong history of keeping our prices low</w:t>
            </w:r>
            <w:r w:rsidRPr="00C40BF4" w:rsidDel="008669F2">
              <w:rPr>
                <w:sz w:val="20"/>
                <w:szCs w:val="20"/>
              </w:rPr>
              <w:t xml:space="preserve"> </w:t>
            </w:r>
            <w:r w:rsidRPr="00C40BF4">
              <w:rPr>
                <w:sz w:val="20"/>
                <w:szCs w:val="20"/>
              </w:rPr>
              <w:t>with no real price rises for irrigation customers during the past 10 years. We are making a conscious effort to keep prices low by delivering flat prices for 86% of customers (i.e., groundwater and rivers customers and Bacchus Marsh Irrigation District customers). We have identified interventions to ensure expenditure is prudent and efficient and targeted those investments that provide a strong value proposition for customers.</w:t>
            </w:r>
          </w:p>
        </w:tc>
      </w:tr>
      <w:tr w:rsidR="00FB6A54" w:rsidRPr="00F82275" w14:paraId="21E84998" w14:textId="77777777" w:rsidTr="006E0CF3">
        <w:tc>
          <w:tcPr>
            <w:tcW w:w="2405" w:type="dxa"/>
          </w:tcPr>
          <w:p w14:paraId="774A8641" w14:textId="12DAAC58" w:rsidR="00FB6A54" w:rsidRPr="00C40BF4" w:rsidRDefault="00FB6A54" w:rsidP="00C40BF4">
            <w:pPr>
              <w:rPr>
                <w:sz w:val="20"/>
                <w:szCs w:val="20"/>
              </w:rPr>
            </w:pPr>
            <w:r w:rsidRPr="00C40BF4">
              <w:rPr>
                <w:sz w:val="20"/>
                <w:szCs w:val="20"/>
              </w:rPr>
              <w:t>Decisions on government grant funding were predicated on customer co-contributions via annual charges</w:t>
            </w:r>
          </w:p>
        </w:tc>
        <w:tc>
          <w:tcPr>
            <w:tcW w:w="7229" w:type="dxa"/>
          </w:tcPr>
          <w:p w14:paraId="7A080D04" w14:textId="1F9DC2E4" w:rsidR="00FB6A54" w:rsidRPr="00C40BF4" w:rsidRDefault="00FB6A54" w:rsidP="00C40BF4">
            <w:pPr>
              <w:spacing w:before="120" w:after="120"/>
              <w:rPr>
                <w:sz w:val="20"/>
                <w:szCs w:val="20"/>
              </w:rPr>
            </w:pPr>
            <w:r w:rsidRPr="00C40BF4">
              <w:rPr>
                <w:sz w:val="20"/>
                <w:szCs w:val="20"/>
              </w:rPr>
              <w:t>All approved business cases that received government funding explicitly outlined the contributions that would be made by our customers. Price increases are the primary mechanism by which customers make this contribution. Our customers understand our approach to modernisation and have provided upfront support through previous pricing consultation processes.</w:t>
            </w:r>
          </w:p>
        </w:tc>
      </w:tr>
      <w:tr w:rsidR="00FB6A54" w:rsidRPr="00F82275" w14:paraId="0B23D56F" w14:textId="77777777" w:rsidTr="006E0CF3">
        <w:trPr>
          <w:cnfStyle w:val="000000100000" w:firstRow="0" w:lastRow="0" w:firstColumn="0" w:lastColumn="0" w:oddVBand="0" w:evenVBand="0" w:oddHBand="1" w:evenHBand="0" w:firstRowFirstColumn="0" w:firstRowLastColumn="0" w:lastRowFirstColumn="0" w:lastRowLastColumn="0"/>
        </w:trPr>
        <w:tc>
          <w:tcPr>
            <w:tcW w:w="2405" w:type="dxa"/>
          </w:tcPr>
          <w:p w14:paraId="675C03E3" w14:textId="6A127266" w:rsidR="00FB6A54" w:rsidRPr="00C40BF4" w:rsidRDefault="00FB6A54" w:rsidP="00C40BF4">
            <w:pPr>
              <w:rPr>
                <w:sz w:val="20"/>
                <w:szCs w:val="20"/>
              </w:rPr>
            </w:pPr>
            <w:r w:rsidRPr="00C40BF4">
              <w:rPr>
                <w:sz w:val="20"/>
                <w:szCs w:val="20"/>
              </w:rPr>
              <w:t>We require sustainable revenue streams to repay our borrowings</w:t>
            </w:r>
          </w:p>
        </w:tc>
        <w:tc>
          <w:tcPr>
            <w:tcW w:w="7229" w:type="dxa"/>
          </w:tcPr>
          <w:p w14:paraId="480BE382" w14:textId="699760AB" w:rsidR="00FB6A54" w:rsidRPr="00C40BF4" w:rsidRDefault="00FB6A54" w:rsidP="00C40BF4">
            <w:pPr>
              <w:spacing w:before="120" w:after="120"/>
              <w:rPr>
                <w:sz w:val="20"/>
                <w:szCs w:val="20"/>
              </w:rPr>
            </w:pPr>
            <w:r w:rsidRPr="00C40BF4">
              <w:rPr>
                <w:sz w:val="20"/>
                <w:szCs w:val="20"/>
              </w:rPr>
              <w:t>SRW has funded our contributions to modernisation works through borrowings rather than tariff increases to date.</w:t>
            </w:r>
            <w:r w:rsidRPr="00C40BF4" w:rsidDel="00ED7AC5">
              <w:rPr>
                <w:sz w:val="20"/>
                <w:szCs w:val="20"/>
              </w:rPr>
              <w:t xml:space="preserve"> </w:t>
            </w:r>
            <w:r w:rsidRPr="00C40BF4">
              <w:rPr>
                <w:sz w:val="20"/>
                <w:szCs w:val="20"/>
              </w:rPr>
              <w:t>By 2024-25 our balance sheet borrowings are expected to be $94.5 million. We require a sustainable revenue stream to cover interest and principal repayments on these borrowings. Increasing prices is the primary mechanism by which SRW can achieve this.</w:t>
            </w:r>
          </w:p>
        </w:tc>
      </w:tr>
      <w:tr w:rsidR="00FB6A54" w:rsidRPr="00F82275" w14:paraId="7ED7A884" w14:textId="77777777" w:rsidTr="006E0CF3">
        <w:tc>
          <w:tcPr>
            <w:tcW w:w="2405" w:type="dxa"/>
            <w:tcBorders>
              <w:bottom w:val="single" w:sz="4" w:space="0" w:color="auto"/>
            </w:tcBorders>
          </w:tcPr>
          <w:p w14:paraId="78BFC9AE" w14:textId="60BBA95D" w:rsidR="00FB6A54" w:rsidRPr="00C40BF4" w:rsidRDefault="00FB6A54" w:rsidP="00C40BF4">
            <w:pPr>
              <w:rPr>
                <w:sz w:val="20"/>
                <w:szCs w:val="20"/>
              </w:rPr>
            </w:pPr>
            <w:r w:rsidRPr="00C40BF4">
              <w:rPr>
                <w:sz w:val="20"/>
                <w:szCs w:val="20"/>
              </w:rPr>
              <w:t>We are undertaking genuine consultation on pricing outcomes</w:t>
            </w:r>
          </w:p>
        </w:tc>
        <w:tc>
          <w:tcPr>
            <w:tcW w:w="7229" w:type="dxa"/>
            <w:tcBorders>
              <w:bottom w:val="single" w:sz="4" w:space="0" w:color="auto"/>
            </w:tcBorders>
          </w:tcPr>
          <w:p w14:paraId="1F93A96E" w14:textId="7C5CB9B6" w:rsidR="00FB6A54" w:rsidRPr="00C40BF4" w:rsidRDefault="00FB6A54" w:rsidP="00C40BF4">
            <w:pPr>
              <w:spacing w:before="120" w:after="120"/>
              <w:rPr>
                <w:sz w:val="20"/>
                <w:szCs w:val="20"/>
              </w:rPr>
            </w:pPr>
            <w:r w:rsidRPr="00C40BF4">
              <w:rPr>
                <w:sz w:val="20"/>
                <w:szCs w:val="20"/>
              </w:rPr>
              <w:t>We continue to implement a comprehensive customer engagement plan to understand customer expectations with respect to pricing, risk, and value. The outcomes of this engagement are instrumental in determining our preferred pricing proposal.</w:t>
            </w:r>
          </w:p>
        </w:tc>
      </w:tr>
    </w:tbl>
    <w:p w14:paraId="1C41D7F3" w14:textId="4CC673B5" w:rsidR="00FB6A54" w:rsidRPr="00F82275" w:rsidRDefault="00FB6A54" w:rsidP="00FB6A54">
      <w:pPr>
        <w:keepNext/>
        <w:keepLines/>
        <w:spacing w:before="280" w:after="240"/>
        <w:outlineLvl w:val="1"/>
        <w:rPr>
          <w:rFonts w:eastAsiaTheme="majorEastAsia" w:cs="Arial"/>
          <w:b/>
          <w:color w:val="00B1B0"/>
          <w:sz w:val="36"/>
          <w:szCs w:val="26"/>
        </w:rPr>
      </w:pPr>
      <w:bookmarkStart w:id="24" w:name="_Toc107483813"/>
      <w:r w:rsidRPr="00F82275">
        <w:rPr>
          <w:rFonts w:eastAsiaTheme="majorEastAsia" w:cs="Arial"/>
          <w:b/>
          <w:color w:val="00B1B0"/>
          <w:sz w:val="36"/>
          <w:szCs w:val="26"/>
        </w:rPr>
        <w:t>Sustainable outcomes</w:t>
      </w:r>
      <w:bookmarkEnd w:id="24"/>
    </w:p>
    <w:p w14:paraId="03D116F7" w14:textId="69B6925F" w:rsidR="00FB6A54" w:rsidRDefault="00FB6A54" w:rsidP="00A03A82">
      <w:pPr>
        <w:jc w:val="both"/>
        <w:rPr>
          <w:rFonts w:cs="Arial"/>
          <w:bCs/>
        </w:rPr>
      </w:pPr>
      <w:r w:rsidRPr="00F82275">
        <w:rPr>
          <w:rFonts w:cs="Arial"/>
          <w:bCs/>
        </w:rPr>
        <w:t>Our investment has been carefully planned to generate long-term benefits – funded in a way that is fair and sustainable.</w:t>
      </w:r>
    </w:p>
    <w:p w14:paraId="3031B158" w14:textId="7E529B17" w:rsidR="003869D4" w:rsidRDefault="001765FE" w:rsidP="00A03A82">
      <w:pPr>
        <w:jc w:val="both"/>
        <w:rPr>
          <w:rFonts w:cs="Arial"/>
          <w:bCs/>
        </w:rPr>
      </w:pPr>
      <w:r w:rsidRPr="00192F41">
        <w:rPr>
          <w:rFonts w:cs="Arial"/>
          <w:bCs/>
        </w:rPr>
        <w:t xml:space="preserve">Ultimately, </w:t>
      </w:r>
      <w:r w:rsidR="001E39A5" w:rsidRPr="00192F41">
        <w:rPr>
          <w:rFonts w:cs="Arial"/>
          <w:bCs/>
        </w:rPr>
        <w:t>o</w:t>
      </w:r>
      <w:r w:rsidR="009B6FE8" w:rsidRPr="00192F41">
        <w:rPr>
          <w:rFonts w:cs="Arial"/>
          <w:bCs/>
        </w:rPr>
        <w:t>ur price submission supports our long</w:t>
      </w:r>
      <w:r w:rsidR="003E0852" w:rsidRPr="00192F41">
        <w:rPr>
          <w:rFonts w:cs="Arial"/>
          <w:bCs/>
        </w:rPr>
        <w:t>-</w:t>
      </w:r>
      <w:r w:rsidR="009B6FE8" w:rsidRPr="00192F41">
        <w:rPr>
          <w:rFonts w:cs="Arial"/>
          <w:bCs/>
        </w:rPr>
        <w:t>term</w:t>
      </w:r>
      <w:r w:rsidR="000A48F4" w:rsidRPr="00192F41">
        <w:rPr>
          <w:rFonts w:cs="Arial"/>
          <w:bCs/>
        </w:rPr>
        <w:t xml:space="preserve"> pathway to financial sustainability</w:t>
      </w:r>
      <w:r w:rsidR="00D16CF0" w:rsidRPr="00192F41">
        <w:rPr>
          <w:rFonts w:cs="Arial"/>
          <w:bCs/>
        </w:rPr>
        <w:t xml:space="preserve"> built on a program of prudent and efficient expenditure</w:t>
      </w:r>
      <w:r w:rsidR="00BB4205" w:rsidRPr="00192F41">
        <w:rPr>
          <w:rFonts w:cs="Arial"/>
          <w:bCs/>
        </w:rPr>
        <w:t>.</w:t>
      </w:r>
    </w:p>
    <w:p w14:paraId="056881F5" w14:textId="467EA3F5" w:rsidR="005050BF" w:rsidRDefault="005050BF" w:rsidP="00A03A82">
      <w:pPr>
        <w:jc w:val="both"/>
        <w:rPr>
          <w:rFonts w:cs="Arial"/>
          <w:bCs/>
        </w:rPr>
      </w:pPr>
      <w:r>
        <w:rPr>
          <w:rFonts w:cs="Arial"/>
          <w:bCs/>
        </w:rPr>
        <w:t xml:space="preserve">Appendix </w:t>
      </w:r>
      <w:r w:rsidR="002C16CA">
        <w:rPr>
          <w:rFonts w:cs="Arial"/>
          <w:bCs/>
        </w:rPr>
        <w:t>E</w:t>
      </w:r>
      <w:r>
        <w:rPr>
          <w:rFonts w:cs="Arial"/>
          <w:bCs/>
        </w:rPr>
        <w:t xml:space="preserve"> provides a snapshot of our </w:t>
      </w:r>
      <w:r w:rsidR="00D51491">
        <w:rPr>
          <w:rFonts w:cs="Arial"/>
          <w:bCs/>
        </w:rPr>
        <w:t>pathway to long-term financial sustainability</w:t>
      </w:r>
      <w:r w:rsidR="0077326C">
        <w:rPr>
          <w:rFonts w:cs="Arial"/>
          <w:bCs/>
        </w:rPr>
        <w:t xml:space="preserve">. </w:t>
      </w:r>
      <w:r w:rsidR="00025E3D">
        <w:rPr>
          <w:rFonts w:cs="Arial"/>
          <w:bCs/>
        </w:rPr>
        <w:t>This has been de</w:t>
      </w:r>
      <w:r w:rsidR="008624CA">
        <w:rPr>
          <w:rFonts w:cs="Arial"/>
          <w:bCs/>
        </w:rPr>
        <w:t xml:space="preserve">veloped </w:t>
      </w:r>
      <w:r w:rsidR="00F279F2">
        <w:rPr>
          <w:rFonts w:cs="Arial"/>
          <w:bCs/>
        </w:rPr>
        <w:t>as a response to</w:t>
      </w:r>
      <w:r w:rsidR="00025E3D">
        <w:rPr>
          <w:rFonts w:cs="Arial"/>
          <w:bCs/>
        </w:rPr>
        <w:t xml:space="preserve"> </w:t>
      </w:r>
      <w:r w:rsidR="008624CA">
        <w:rPr>
          <w:rFonts w:cs="Arial"/>
          <w:bCs/>
        </w:rPr>
        <w:t>a 25</w:t>
      </w:r>
      <w:r w:rsidR="007248B2">
        <w:rPr>
          <w:rFonts w:cs="Arial"/>
          <w:bCs/>
        </w:rPr>
        <w:t>-</w:t>
      </w:r>
      <w:r w:rsidR="008624CA">
        <w:rPr>
          <w:rFonts w:cs="Arial"/>
          <w:bCs/>
        </w:rPr>
        <w:t xml:space="preserve">year capital plan that </w:t>
      </w:r>
      <w:r w:rsidR="00CA4C12">
        <w:rPr>
          <w:rFonts w:cs="Arial"/>
          <w:bCs/>
        </w:rPr>
        <w:t>sets out</w:t>
      </w:r>
      <w:r w:rsidR="008624CA">
        <w:rPr>
          <w:rFonts w:cs="Arial"/>
          <w:bCs/>
        </w:rPr>
        <w:t xml:space="preserve"> the key</w:t>
      </w:r>
      <w:r w:rsidR="001367D4">
        <w:rPr>
          <w:rFonts w:cs="Arial"/>
          <w:bCs/>
        </w:rPr>
        <w:t xml:space="preserve"> projects </w:t>
      </w:r>
      <w:r w:rsidR="00025E3D">
        <w:rPr>
          <w:rFonts w:cs="Arial"/>
          <w:bCs/>
        </w:rPr>
        <w:t xml:space="preserve">and maintenance </w:t>
      </w:r>
      <w:r w:rsidR="001367D4">
        <w:rPr>
          <w:rFonts w:cs="Arial"/>
          <w:bCs/>
        </w:rPr>
        <w:t xml:space="preserve">required over the longer term. </w:t>
      </w:r>
      <w:r w:rsidR="00445E19">
        <w:rPr>
          <w:rFonts w:cs="Arial"/>
          <w:bCs/>
        </w:rPr>
        <w:t xml:space="preserve">It is evident through this work that </w:t>
      </w:r>
      <w:r w:rsidR="006D0BE1">
        <w:rPr>
          <w:rFonts w:cs="Arial"/>
          <w:bCs/>
        </w:rPr>
        <w:t>the current</w:t>
      </w:r>
      <w:r w:rsidR="004D4D5D">
        <w:rPr>
          <w:rFonts w:cs="Arial"/>
          <w:bCs/>
        </w:rPr>
        <w:t xml:space="preserve"> financial trajectory is untenable without intervention</w:t>
      </w:r>
      <w:r w:rsidR="00E36545">
        <w:rPr>
          <w:rFonts w:cs="Arial"/>
          <w:bCs/>
        </w:rPr>
        <w:t>, therefore the plan</w:t>
      </w:r>
      <w:r w:rsidR="00025E3D">
        <w:rPr>
          <w:rFonts w:cs="Arial"/>
          <w:bCs/>
        </w:rPr>
        <w:t xml:space="preserve"> </w:t>
      </w:r>
      <w:r w:rsidR="00F279F2">
        <w:rPr>
          <w:rFonts w:cs="Arial"/>
          <w:bCs/>
        </w:rPr>
        <w:t>outlines</w:t>
      </w:r>
      <w:r w:rsidR="00FA70BB">
        <w:rPr>
          <w:rFonts w:cs="Arial"/>
          <w:bCs/>
        </w:rPr>
        <w:t xml:space="preserve"> a range of </w:t>
      </w:r>
      <w:r w:rsidR="00F279F2">
        <w:rPr>
          <w:rFonts w:cs="Arial"/>
          <w:bCs/>
        </w:rPr>
        <w:t>actions</w:t>
      </w:r>
      <w:r w:rsidR="00FA70BB">
        <w:rPr>
          <w:rFonts w:cs="Arial"/>
          <w:bCs/>
        </w:rPr>
        <w:t xml:space="preserve"> that </w:t>
      </w:r>
      <w:r w:rsidR="00004F89">
        <w:rPr>
          <w:rFonts w:cs="Arial"/>
          <w:bCs/>
        </w:rPr>
        <w:t xml:space="preserve">ensure the long-term financial sustainability of the business. </w:t>
      </w:r>
      <w:r w:rsidR="000C2374">
        <w:rPr>
          <w:rFonts w:cs="Arial"/>
          <w:bCs/>
        </w:rPr>
        <w:t xml:space="preserve">This price submission has been developed consistent with the </w:t>
      </w:r>
      <w:r w:rsidR="0077326C">
        <w:rPr>
          <w:rFonts w:cs="Arial"/>
          <w:bCs/>
        </w:rPr>
        <w:t xml:space="preserve">metrics </w:t>
      </w:r>
      <w:r w:rsidR="00595976">
        <w:rPr>
          <w:rFonts w:cs="Arial"/>
          <w:bCs/>
        </w:rPr>
        <w:t xml:space="preserve">outlined on this one-page plan and </w:t>
      </w:r>
      <w:r w:rsidR="001367D4">
        <w:rPr>
          <w:rFonts w:cs="Arial"/>
          <w:bCs/>
        </w:rPr>
        <w:t xml:space="preserve">enable us to track our performance over time. </w:t>
      </w:r>
      <w:r w:rsidR="00595976">
        <w:rPr>
          <w:rFonts w:cs="Arial"/>
          <w:bCs/>
        </w:rPr>
        <w:t>It</w:t>
      </w:r>
      <w:r w:rsidR="001367D4">
        <w:rPr>
          <w:rFonts w:cs="Arial"/>
          <w:bCs/>
        </w:rPr>
        <w:t xml:space="preserve"> has been developed </w:t>
      </w:r>
      <w:r w:rsidR="00F279F2">
        <w:rPr>
          <w:rFonts w:cs="Arial"/>
          <w:bCs/>
        </w:rPr>
        <w:t xml:space="preserve">through significant and </w:t>
      </w:r>
      <w:r w:rsidR="00595976">
        <w:rPr>
          <w:rFonts w:cs="Arial"/>
          <w:bCs/>
        </w:rPr>
        <w:t xml:space="preserve">ongoing </w:t>
      </w:r>
      <w:r w:rsidR="00025E3D">
        <w:rPr>
          <w:rFonts w:cs="Arial"/>
          <w:bCs/>
        </w:rPr>
        <w:t xml:space="preserve">engagement </w:t>
      </w:r>
      <w:r w:rsidR="00595976">
        <w:rPr>
          <w:rFonts w:cs="Arial"/>
          <w:bCs/>
        </w:rPr>
        <w:t>with</w:t>
      </w:r>
      <w:r w:rsidR="00025E3D">
        <w:rPr>
          <w:rFonts w:cs="Arial"/>
          <w:bCs/>
        </w:rPr>
        <w:t xml:space="preserve"> our board.</w:t>
      </w:r>
      <w:r w:rsidR="001367D4">
        <w:rPr>
          <w:rFonts w:cs="Arial"/>
          <w:bCs/>
        </w:rPr>
        <w:t xml:space="preserve"> </w:t>
      </w:r>
    </w:p>
    <w:p w14:paraId="422067A4" w14:textId="37272007" w:rsidR="00E809E9" w:rsidRPr="00192F41" w:rsidRDefault="001573F0" w:rsidP="006D3554">
      <w:pPr>
        <w:pStyle w:val="Heading2"/>
        <w:rPr>
          <w:rFonts w:cs="Arial"/>
        </w:rPr>
      </w:pPr>
      <w:r w:rsidRPr="00192F41">
        <w:rPr>
          <w:rFonts w:cs="Arial"/>
        </w:rPr>
        <w:t xml:space="preserve">Corporate </w:t>
      </w:r>
      <w:r w:rsidR="00E809E9" w:rsidRPr="00192F41">
        <w:rPr>
          <w:rFonts w:cs="Arial"/>
        </w:rPr>
        <w:t>engagement</w:t>
      </w:r>
    </w:p>
    <w:p w14:paraId="0A8548A3" w14:textId="65C053A0" w:rsidR="001573F0" w:rsidRPr="00192F41" w:rsidRDefault="001573F0" w:rsidP="00D85E17">
      <w:pPr>
        <w:pStyle w:val="Heading3"/>
        <w:rPr>
          <w:rFonts w:cs="Arial"/>
        </w:rPr>
      </w:pPr>
      <w:r w:rsidRPr="00192F41">
        <w:rPr>
          <w:rFonts w:cs="Arial"/>
        </w:rPr>
        <w:t>Board input</w:t>
      </w:r>
    </w:p>
    <w:p w14:paraId="41C05E47" w14:textId="6F181908" w:rsidR="007E3ED8" w:rsidRPr="00192F41" w:rsidRDefault="007E3ED8" w:rsidP="00A03A82">
      <w:pPr>
        <w:jc w:val="both"/>
        <w:rPr>
          <w:rFonts w:cs="Arial"/>
          <w:bCs/>
        </w:rPr>
      </w:pPr>
      <w:r w:rsidRPr="00192F41">
        <w:rPr>
          <w:rFonts w:cs="Arial"/>
          <w:bCs/>
        </w:rPr>
        <w:t>The price submission has featured on board agendas since March 2021 with all material assumptions and settings impacting our pricing and financial outcomes having been discussed with the board. The board has also been kept up to date on specific engagement processes and outcomes associated with this submission.</w:t>
      </w:r>
    </w:p>
    <w:p w14:paraId="5E2E8370" w14:textId="17BA2F23" w:rsidR="002D5273" w:rsidRPr="00192F41" w:rsidRDefault="002D5273" w:rsidP="00A03A82">
      <w:pPr>
        <w:jc w:val="both"/>
        <w:rPr>
          <w:rFonts w:cs="Arial"/>
          <w:bCs/>
        </w:rPr>
      </w:pPr>
      <w:r w:rsidRPr="00192F41">
        <w:rPr>
          <w:rFonts w:cs="Arial"/>
          <w:bCs/>
        </w:rPr>
        <w:t xml:space="preserve">The board participated in a major strategic workshop in </w:t>
      </w:r>
      <w:r w:rsidR="0038293E" w:rsidRPr="00192F41">
        <w:rPr>
          <w:rFonts w:cs="Arial"/>
          <w:bCs/>
        </w:rPr>
        <w:t>November 2021</w:t>
      </w:r>
      <w:r w:rsidRPr="00192F41">
        <w:rPr>
          <w:rFonts w:cs="Arial"/>
          <w:bCs/>
        </w:rPr>
        <w:t xml:space="preserve"> which has provided direction for the </w:t>
      </w:r>
      <w:r w:rsidR="00716B7B">
        <w:rPr>
          <w:rFonts w:cs="Arial"/>
          <w:bCs/>
        </w:rPr>
        <w:t>p</w:t>
      </w:r>
      <w:r w:rsidRPr="00192F41">
        <w:rPr>
          <w:rFonts w:cs="Arial"/>
          <w:bCs/>
        </w:rPr>
        <w:t>rice</w:t>
      </w:r>
      <w:r w:rsidR="00716B7B">
        <w:rPr>
          <w:rFonts w:cs="Arial"/>
          <w:bCs/>
        </w:rPr>
        <w:t xml:space="preserve"> s</w:t>
      </w:r>
      <w:r w:rsidRPr="00192F41">
        <w:rPr>
          <w:rFonts w:cs="Arial"/>
          <w:bCs/>
        </w:rPr>
        <w:t xml:space="preserve">ubmission. It has progressively reviewed key elements of the </w:t>
      </w:r>
      <w:r w:rsidR="00716B7B">
        <w:rPr>
          <w:rFonts w:cs="Arial"/>
          <w:bCs/>
        </w:rPr>
        <w:t>p</w:t>
      </w:r>
      <w:r w:rsidRPr="00192F41">
        <w:rPr>
          <w:rFonts w:cs="Arial"/>
          <w:bCs/>
        </w:rPr>
        <w:t xml:space="preserve">rice </w:t>
      </w:r>
      <w:r w:rsidR="00716B7B">
        <w:rPr>
          <w:rFonts w:cs="Arial"/>
          <w:bCs/>
        </w:rPr>
        <w:t>s</w:t>
      </w:r>
      <w:r w:rsidRPr="00192F41">
        <w:rPr>
          <w:rFonts w:cs="Arial"/>
          <w:bCs/>
        </w:rPr>
        <w:t>ubmission and endorsed th</w:t>
      </w:r>
      <w:r w:rsidR="0038293E" w:rsidRPr="00192F41">
        <w:rPr>
          <w:rFonts w:cs="Arial"/>
          <w:bCs/>
        </w:rPr>
        <w:t>e final</w:t>
      </w:r>
      <w:r w:rsidR="00F413BE" w:rsidRPr="00192F41">
        <w:rPr>
          <w:rFonts w:cs="Arial"/>
          <w:bCs/>
        </w:rPr>
        <w:t xml:space="preserve"> </w:t>
      </w:r>
      <w:r w:rsidRPr="00192F41">
        <w:rPr>
          <w:rFonts w:cs="Arial"/>
          <w:bCs/>
        </w:rPr>
        <w:t xml:space="preserve">submission </w:t>
      </w:r>
      <w:r w:rsidR="00F413BE" w:rsidRPr="00192F41">
        <w:rPr>
          <w:rFonts w:cs="Arial"/>
          <w:bCs/>
        </w:rPr>
        <w:t>for lodgement with the ESC.</w:t>
      </w:r>
    </w:p>
    <w:p w14:paraId="1F30A1EF" w14:textId="75C7C0A5" w:rsidR="00AE03E2" w:rsidRPr="00F82275" w:rsidRDefault="00F31ABA" w:rsidP="00A03A82">
      <w:pPr>
        <w:jc w:val="both"/>
        <w:rPr>
          <w:rFonts w:cs="Arial"/>
          <w:bCs/>
        </w:rPr>
      </w:pPr>
      <w:r>
        <w:rPr>
          <w:rFonts w:cs="Arial"/>
          <w:bCs/>
        </w:rPr>
        <w:t>Appendix D provides a full listing of board considerations.</w:t>
      </w:r>
    </w:p>
    <w:p w14:paraId="0BEDB0D3" w14:textId="703D6DF0" w:rsidR="007E3ED8" w:rsidRPr="00192F41" w:rsidRDefault="00236716" w:rsidP="00A03A82">
      <w:pPr>
        <w:jc w:val="both"/>
        <w:rPr>
          <w:rFonts w:cs="Arial"/>
          <w:bCs/>
        </w:rPr>
      </w:pPr>
      <w:r w:rsidRPr="00192F41">
        <w:rPr>
          <w:rFonts w:cs="Arial"/>
          <w:bCs/>
        </w:rPr>
        <w:t>T</w:t>
      </w:r>
      <w:r w:rsidR="007E3ED8" w:rsidRPr="00192F41">
        <w:rPr>
          <w:rFonts w:cs="Arial"/>
          <w:bCs/>
        </w:rPr>
        <w:t xml:space="preserve">he board will monitor price and service outcomes, as well as </w:t>
      </w:r>
      <w:r w:rsidR="00047CA6">
        <w:rPr>
          <w:rFonts w:cs="Arial"/>
          <w:bCs/>
        </w:rPr>
        <w:t xml:space="preserve">the </w:t>
      </w:r>
      <w:r w:rsidR="007E3ED8" w:rsidRPr="00192F41">
        <w:rPr>
          <w:rFonts w:cs="Arial"/>
          <w:bCs/>
        </w:rPr>
        <w:t>delivery of improvement initiatives, via quarterly strategy reporting.</w:t>
      </w:r>
    </w:p>
    <w:p w14:paraId="0C3F9C23" w14:textId="2F3D8BC1" w:rsidR="007D0F57" w:rsidRPr="00192F41" w:rsidRDefault="001573F0" w:rsidP="00D85E17">
      <w:pPr>
        <w:pStyle w:val="Heading3"/>
        <w:rPr>
          <w:rFonts w:cs="Arial"/>
        </w:rPr>
      </w:pPr>
      <w:r w:rsidRPr="00192F41">
        <w:rPr>
          <w:rFonts w:cs="Arial"/>
        </w:rPr>
        <w:t>Management input</w:t>
      </w:r>
    </w:p>
    <w:p w14:paraId="2C5D91D4" w14:textId="06FB3CA4" w:rsidR="00E809E9" w:rsidRPr="00192F41" w:rsidRDefault="00B47E34" w:rsidP="00A03A82">
      <w:pPr>
        <w:jc w:val="both"/>
        <w:rPr>
          <w:rFonts w:cs="Arial"/>
          <w:bCs/>
        </w:rPr>
      </w:pPr>
      <w:r w:rsidRPr="00192F41">
        <w:rPr>
          <w:rFonts w:cs="Arial"/>
          <w:bCs/>
        </w:rPr>
        <w:t>W</w:t>
      </w:r>
      <w:r w:rsidR="002955C0" w:rsidRPr="00192F41">
        <w:rPr>
          <w:rFonts w:cs="Arial"/>
          <w:bCs/>
        </w:rPr>
        <w:t xml:space="preserve">e commenced </w:t>
      </w:r>
      <w:r w:rsidR="00FE3ABB" w:rsidRPr="00192F41">
        <w:rPr>
          <w:rFonts w:cs="Arial"/>
          <w:bCs/>
        </w:rPr>
        <w:t xml:space="preserve">our </w:t>
      </w:r>
      <w:r w:rsidR="002955C0" w:rsidRPr="00192F41">
        <w:rPr>
          <w:rFonts w:cs="Arial"/>
          <w:bCs/>
        </w:rPr>
        <w:t>internal review</w:t>
      </w:r>
      <w:r w:rsidR="00916296">
        <w:rPr>
          <w:rFonts w:cs="Arial"/>
          <w:bCs/>
        </w:rPr>
        <w:t xml:space="preserve">, starting off </w:t>
      </w:r>
      <w:r w:rsidR="00CA7B15">
        <w:rPr>
          <w:rFonts w:cs="Arial"/>
          <w:bCs/>
        </w:rPr>
        <w:t xml:space="preserve">in September 2021 </w:t>
      </w:r>
      <w:r w:rsidR="00916296">
        <w:rPr>
          <w:rFonts w:cs="Arial"/>
          <w:bCs/>
        </w:rPr>
        <w:t>with</w:t>
      </w:r>
      <w:r w:rsidR="00CA7B15">
        <w:rPr>
          <w:rFonts w:cs="Arial"/>
          <w:bCs/>
        </w:rPr>
        <w:t xml:space="preserve"> </w:t>
      </w:r>
      <w:r w:rsidR="00231C4E" w:rsidRPr="00192F41">
        <w:rPr>
          <w:rFonts w:cs="Arial"/>
          <w:bCs/>
        </w:rPr>
        <w:t>discussions with our senior managers about our performance</w:t>
      </w:r>
      <w:r w:rsidR="00736F02" w:rsidRPr="00192F41">
        <w:rPr>
          <w:rFonts w:cs="Arial"/>
          <w:bCs/>
        </w:rPr>
        <w:t xml:space="preserve">, key drivers for the future and initiatives </w:t>
      </w:r>
      <w:r w:rsidR="002E164F" w:rsidRPr="00192F41">
        <w:rPr>
          <w:rFonts w:cs="Arial"/>
          <w:bCs/>
        </w:rPr>
        <w:t>we could consider both in the lead</w:t>
      </w:r>
      <w:r w:rsidR="00047CA6">
        <w:rPr>
          <w:rFonts w:cs="Arial"/>
          <w:bCs/>
        </w:rPr>
        <w:t>-</w:t>
      </w:r>
      <w:r w:rsidR="002E164F" w:rsidRPr="00192F41">
        <w:rPr>
          <w:rFonts w:cs="Arial"/>
          <w:bCs/>
        </w:rPr>
        <w:t>up to and during the next regulatory period.</w:t>
      </w:r>
      <w:r w:rsidR="00D11619" w:rsidRPr="00192F41">
        <w:rPr>
          <w:rFonts w:cs="Arial"/>
          <w:bCs/>
        </w:rPr>
        <w:t xml:space="preserve"> </w:t>
      </w:r>
      <w:r w:rsidR="002D5273" w:rsidRPr="00192F41">
        <w:rPr>
          <w:rFonts w:cs="Arial"/>
          <w:bCs/>
        </w:rPr>
        <w:t xml:space="preserve">Our </w:t>
      </w:r>
      <w:r w:rsidR="00047CA6">
        <w:rPr>
          <w:rFonts w:cs="Arial"/>
          <w:bCs/>
        </w:rPr>
        <w:t>e</w:t>
      </w:r>
      <w:r w:rsidR="002D5273" w:rsidRPr="00192F41">
        <w:rPr>
          <w:rFonts w:cs="Arial"/>
          <w:bCs/>
        </w:rPr>
        <w:t xml:space="preserve">xecutive </w:t>
      </w:r>
      <w:r w:rsidR="00047CA6">
        <w:rPr>
          <w:rFonts w:cs="Arial"/>
          <w:bCs/>
        </w:rPr>
        <w:t>l</w:t>
      </w:r>
      <w:r w:rsidR="002D5273" w:rsidRPr="00192F41">
        <w:rPr>
          <w:rFonts w:cs="Arial"/>
          <w:bCs/>
        </w:rPr>
        <w:t xml:space="preserve">eadership </w:t>
      </w:r>
      <w:r w:rsidR="00047CA6">
        <w:rPr>
          <w:rFonts w:cs="Arial"/>
          <w:bCs/>
        </w:rPr>
        <w:t>t</w:t>
      </w:r>
      <w:r w:rsidR="002D5273" w:rsidRPr="00192F41">
        <w:rPr>
          <w:rFonts w:cs="Arial"/>
          <w:bCs/>
        </w:rPr>
        <w:t xml:space="preserve">eam </w:t>
      </w:r>
      <w:r w:rsidR="007A5A9F" w:rsidRPr="00192F41">
        <w:rPr>
          <w:rFonts w:cs="Arial"/>
          <w:bCs/>
        </w:rPr>
        <w:t xml:space="preserve">was involved in these discussions </w:t>
      </w:r>
      <w:r w:rsidR="00D85E17" w:rsidRPr="00192F41">
        <w:rPr>
          <w:rFonts w:cs="Arial"/>
          <w:bCs/>
        </w:rPr>
        <w:t xml:space="preserve">and has since </w:t>
      </w:r>
      <w:r w:rsidR="002D5273" w:rsidRPr="00192F41">
        <w:rPr>
          <w:rFonts w:cs="Arial"/>
          <w:bCs/>
        </w:rPr>
        <w:t xml:space="preserve">progressively reviewed key elements of the </w:t>
      </w:r>
      <w:r w:rsidR="00B22FAC">
        <w:rPr>
          <w:rFonts w:cs="Arial"/>
          <w:bCs/>
        </w:rPr>
        <w:t>p</w:t>
      </w:r>
      <w:r w:rsidR="002D5273" w:rsidRPr="00192F41">
        <w:rPr>
          <w:rFonts w:cs="Arial"/>
          <w:bCs/>
        </w:rPr>
        <w:t xml:space="preserve">rice </w:t>
      </w:r>
      <w:r w:rsidR="00B22FAC">
        <w:rPr>
          <w:rFonts w:cs="Arial"/>
          <w:bCs/>
        </w:rPr>
        <w:t>s</w:t>
      </w:r>
      <w:r w:rsidR="002D5273" w:rsidRPr="00192F41">
        <w:rPr>
          <w:rFonts w:cs="Arial"/>
          <w:bCs/>
        </w:rPr>
        <w:t xml:space="preserve">ubmission with </w:t>
      </w:r>
      <w:r w:rsidR="00B22FAC">
        <w:rPr>
          <w:rFonts w:cs="Arial"/>
          <w:bCs/>
        </w:rPr>
        <w:t>a</w:t>
      </w:r>
      <w:r w:rsidR="002D5273" w:rsidRPr="00192F41">
        <w:rPr>
          <w:rFonts w:cs="Arial"/>
          <w:bCs/>
        </w:rPr>
        <w:t xml:space="preserve"> particular focus on our capital and operational expenditure.</w:t>
      </w:r>
    </w:p>
    <w:p w14:paraId="1CB03ED2" w14:textId="6CB7EB19" w:rsidR="00E809E9" w:rsidRPr="00192F41" w:rsidRDefault="00E809E9" w:rsidP="00E809E9">
      <w:pPr>
        <w:pStyle w:val="Heading2"/>
        <w:rPr>
          <w:rFonts w:cs="Arial"/>
        </w:rPr>
      </w:pPr>
      <w:r w:rsidRPr="00192F41">
        <w:rPr>
          <w:rFonts w:cs="Arial"/>
        </w:rPr>
        <w:t xml:space="preserve">Quality assurance </w:t>
      </w:r>
    </w:p>
    <w:p w14:paraId="623015DB" w14:textId="77777777" w:rsidR="009F27B3" w:rsidRDefault="00B758AB" w:rsidP="00A03A82">
      <w:pPr>
        <w:jc w:val="both"/>
        <w:rPr>
          <w:rFonts w:cs="Arial"/>
          <w:bCs/>
        </w:rPr>
      </w:pPr>
      <w:r w:rsidRPr="00F82275">
        <w:rPr>
          <w:rFonts w:cs="Arial"/>
          <w:bCs/>
        </w:rPr>
        <w:t xml:space="preserve">In </w:t>
      </w:r>
      <w:r w:rsidR="0043513C" w:rsidRPr="00F82275">
        <w:rPr>
          <w:rFonts w:cs="Arial"/>
          <w:bCs/>
        </w:rPr>
        <w:t>preparing our</w:t>
      </w:r>
      <w:r w:rsidR="00330E4D" w:rsidRPr="00F82275">
        <w:rPr>
          <w:rFonts w:cs="Arial"/>
          <w:bCs/>
        </w:rPr>
        <w:t xml:space="preserve"> price submission, </w:t>
      </w:r>
      <w:r w:rsidR="007A02F8" w:rsidRPr="00F82275">
        <w:rPr>
          <w:rFonts w:cs="Arial"/>
          <w:bCs/>
        </w:rPr>
        <w:t xml:space="preserve">SRW has been supported by several </w:t>
      </w:r>
      <w:r w:rsidR="009A1FDB" w:rsidRPr="00F82275">
        <w:rPr>
          <w:rFonts w:cs="Arial"/>
          <w:bCs/>
        </w:rPr>
        <w:t>technical experts</w:t>
      </w:r>
      <w:r w:rsidR="009F27B3">
        <w:rPr>
          <w:rFonts w:cs="Arial"/>
          <w:bCs/>
        </w:rPr>
        <w:t>:</w:t>
      </w:r>
    </w:p>
    <w:p w14:paraId="310C3C51" w14:textId="0315AEAF" w:rsidR="009F27B3" w:rsidRPr="00F82275" w:rsidRDefault="009F27B3" w:rsidP="009F27B3">
      <w:pPr>
        <w:pStyle w:val="Bulletpointparagraph"/>
        <w:rPr>
          <w:rFonts w:cs="Arial"/>
        </w:rPr>
      </w:pPr>
      <w:r w:rsidRPr="00F82275">
        <w:rPr>
          <w:rFonts w:cs="Arial"/>
        </w:rPr>
        <w:t>Aither</w:t>
      </w:r>
      <w:r w:rsidR="00B22FAC">
        <w:rPr>
          <w:rFonts w:cs="Arial"/>
        </w:rPr>
        <w:t>:</w:t>
      </w:r>
      <w:r w:rsidRPr="00F82275">
        <w:rPr>
          <w:rFonts w:cs="Arial"/>
        </w:rPr>
        <w:t xml:space="preserve"> tariffs and pricing</w:t>
      </w:r>
      <w:r>
        <w:rPr>
          <w:rFonts w:cs="Arial"/>
        </w:rPr>
        <w:t>;</w:t>
      </w:r>
    </w:p>
    <w:p w14:paraId="7F4D2380" w14:textId="1AB09E02" w:rsidR="007A02F8" w:rsidRPr="00192F41" w:rsidRDefault="007A02F8" w:rsidP="00B04FFF">
      <w:pPr>
        <w:pStyle w:val="Bulletpointparagraph"/>
        <w:jc w:val="both"/>
        <w:rPr>
          <w:rFonts w:cs="Arial"/>
        </w:rPr>
      </w:pPr>
      <w:r w:rsidRPr="00192F41">
        <w:rPr>
          <w:rFonts w:cs="Arial"/>
        </w:rPr>
        <w:t xml:space="preserve">Bartley </w:t>
      </w:r>
      <w:r w:rsidR="003A6B15" w:rsidRPr="00C12592">
        <w:rPr>
          <w:rStyle w:val="normaltextrun"/>
          <w:color w:val="000000"/>
          <w:bdr w:val="none" w:sz="0" w:space="0" w:color="auto" w:frame="1"/>
        </w:rPr>
        <w:t xml:space="preserve">Consulting </w:t>
      </w:r>
      <w:r w:rsidR="00815719" w:rsidRPr="00C12592">
        <w:rPr>
          <w:rStyle w:val="normaltextrun"/>
          <w:color w:val="000000"/>
          <w:bdr w:val="none" w:sz="0" w:space="0" w:color="auto" w:frame="1"/>
        </w:rPr>
        <w:t>with Stanford Marketing and Gillian Hayman</w:t>
      </w:r>
      <w:r w:rsidR="003A6B15" w:rsidRPr="00C12592">
        <w:rPr>
          <w:rStyle w:val="normaltextrun"/>
          <w:color w:val="000000"/>
          <w:bdr w:val="none" w:sz="0" w:space="0" w:color="auto" w:frame="1"/>
        </w:rPr>
        <w:t xml:space="preserve"> </w:t>
      </w:r>
      <w:r w:rsidR="00873982" w:rsidRPr="00C12592">
        <w:rPr>
          <w:rStyle w:val="normaltextrun"/>
          <w:rFonts w:cs="Arial"/>
          <w:color w:val="000000"/>
          <w:bdr w:val="none" w:sz="0" w:space="0" w:color="auto" w:frame="1"/>
        </w:rPr>
        <w:t xml:space="preserve">Facilitation </w:t>
      </w:r>
      <w:r w:rsidR="00B22FAC">
        <w:rPr>
          <w:rStyle w:val="normaltextrun"/>
          <w:rFonts w:cs="Arial"/>
          <w:color w:val="000000"/>
          <w:bdr w:val="none" w:sz="0" w:space="0" w:color="auto" w:frame="1"/>
        </w:rPr>
        <w:t>and</w:t>
      </w:r>
      <w:r w:rsidR="00873982" w:rsidRPr="00C12592">
        <w:rPr>
          <w:rStyle w:val="normaltextrun"/>
          <w:rFonts w:cs="Arial"/>
          <w:color w:val="000000"/>
          <w:bdr w:val="none" w:sz="0" w:space="0" w:color="auto" w:frame="1"/>
        </w:rPr>
        <w:t xml:space="preserve"> Project Services</w:t>
      </w:r>
      <w:r w:rsidR="00B22FAC">
        <w:rPr>
          <w:rStyle w:val="normaltextrun"/>
          <w:rFonts w:cs="Arial"/>
          <w:color w:val="000000"/>
          <w:bdr w:val="none" w:sz="0" w:space="0" w:color="auto" w:frame="1"/>
        </w:rPr>
        <w:t>:</w:t>
      </w:r>
      <w:r w:rsidRPr="00192F41">
        <w:rPr>
          <w:rFonts w:cs="Arial"/>
        </w:rPr>
        <w:t xml:space="preserve"> </w:t>
      </w:r>
      <w:r w:rsidR="005E1815">
        <w:rPr>
          <w:rFonts w:cs="Arial"/>
        </w:rPr>
        <w:t>engagement</w:t>
      </w:r>
      <w:r w:rsidR="000631B9">
        <w:rPr>
          <w:rFonts w:cs="Arial"/>
        </w:rPr>
        <w:t>,</w:t>
      </w:r>
      <w:r w:rsidR="005E1815">
        <w:rPr>
          <w:rFonts w:cs="Arial"/>
        </w:rPr>
        <w:t xml:space="preserve"> communications</w:t>
      </w:r>
      <w:r w:rsidR="00383F10">
        <w:rPr>
          <w:rFonts w:cs="Arial"/>
        </w:rPr>
        <w:t>,</w:t>
      </w:r>
      <w:r w:rsidR="005E1815">
        <w:rPr>
          <w:rFonts w:cs="Arial"/>
        </w:rPr>
        <w:t xml:space="preserve"> and facilitation</w:t>
      </w:r>
      <w:r w:rsidRPr="00192F41">
        <w:rPr>
          <w:rFonts w:cs="Arial"/>
        </w:rPr>
        <w:t>; and</w:t>
      </w:r>
    </w:p>
    <w:p w14:paraId="6A5B705A" w14:textId="15308368" w:rsidR="00E52DBB" w:rsidRDefault="007A02F8" w:rsidP="005819F6">
      <w:pPr>
        <w:pStyle w:val="Bulletpointparagraph"/>
        <w:rPr>
          <w:rFonts w:cs="Arial"/>
        </w:rPr>
      </w:pPr>
      <w:r w:rsidRPr="00F82275">
        <w:rPr>
          <w:rFonts w:cs="Arial"/>
        </w:rPr>
        <w:t>KBR</w:t>
      </w:r>
      <w:r w:rsidR="00B22FAC">
        <w:rPr>
          <w:rFonts w:cs="Arial"/>
        </w:rPr>
        <w:t>:</w:t>
      </w:r>
      <w:r w:rsidRPr="00F82275">
        <w:rPr>
          <w:rFonts w:cs="Arial"/>
        </w:rPr>
        <w:t xml:space="preserve"> capital planning and CAPEX business cases</w:t>
      </w:r>
      <w:r w:rsidR="009F27B3">
        <w:rPr>
          <w:rFonts w:cs="Arial"/>
        </w:rPr>
        <w:t>.</w:t>
      </w:r>
    </w:p>
    <w:p w14:paraId="6128CD1E" w14:textId="0B568A27" w:rsidR="00BB4205" w:rsidRPr="00192F41" w:rsidRDefault="00926105" w:rsidP="00A03A82">
      <w:pPr>
        <w:jc w:val="both"/>
        <w:rPr>
          <w:rFonts w:cs="Arial"/>
        </w:rPr>
      </w:pPr>
      <w:r w:rsidRPr="00192F41">
        <w:rPr>
          <w:rFonts w:cs="Arial"/>
        </w:rPr>
        <w:t>This assistance</w:t>
      </w:r>
      <w:r w:rsidR="00015C96" w:rsidRPr="00192F41">
        <w:rPr>
          <w:rFonts w:cs="Arial"/>
        </w:rPr>
        <w:t xml:space="preserve">, combined with the regular reviews by the board and executive team, gives us the confidence of submitting </w:t>
      </w:r>
      <w:r w:rsidR="00BB4205" w:rsidRPr="00192F41">
        <w:rPr>
          <w:rFonts w:cs="Arial"/>
        </w:rPr>
        <w:t xml:space="preserve">a comprehensive and </w:t>
      </w:r>
      <w:r w:rsidR="00BB4205" w:rsidRPr="00F82275">
        <w:rPr>
          <w:rFonts w:cs="Arial"/>
        </w:rPr>
        <w:t>wel</w:t>
      </w:r>
      <w:r w:rsidR="00C51FDD">
        <w:rPr>
          <w:rFonts w:cs="Arial"/>
        </w:rPr>
        <w:t>l</w:t>
      </w:r>
      <w:r w:rsidR="00E52DBB">
        <w:rPr>
          <w:rFonts w:cs="Arial"/>
        </w:rPr>
        <w:t>-</w:t>
      </w:r>
      <w:r w:rsidR="00BB4205" w:rsidRPr="00192F41">
        <w:rPr>
          <w:rFonts w:cs="Arial"/>
        </w:rPr>
        <w:t>founded price submission that will deliver value to our customers.</w:t>
      </w:r>
    </w:p>
    <w:p w14:paraId="2C844B99" w14:textId="66A7632A" w:rsidR="00E809E9" w:rsidRPr="00192F41" w:rsidRDefault="00E809E9" w:rsidP="00E809E9">
      <w:pPr>
        <w:pStyle w:val="Heading2"/>
        <w:rPr>
          <w:rFonts w:cs="Arial"/>
        </w:rPr>
      </w:pPr>
      <w:r w:rsidRPr="00192F41">
        <w:rPr>
          <w:rFonts w:cs="Arial"/>
        </w:rPr>
        <w:t>Prudent and efficient expenditure</w:t>
      </w:r>
    </w:p>
    <w:p w14:paraId="4759C925" w14:textId="532E9BD1" w:rsidR="00355671" w:rsidRPr="00192F41" w:rsidRDefault="00DB1133" w:rsidP="00B04FFF">
      <w:pPr>
        <w:jc w:val="both"/>
        <w:rPr>
          <w:rFonts w:cs="Arial"/>
          <w:color w:val="000000" w:themeColor="text1"/>
          <w:szCs w:val="20"/>
        </w:rPr>
      </w:pPr>
      <w:r w:rsidRPr="00192F41">
        <w:rPr>
          <w:rFonts w:cs="Arial"/>
          <w:color w:val="000000" w:themeColor="text1"/>
          <w:szCs w:val="20"/>
        </w:rPr>
        <w:t xml:space="preserve">SRW has a history of managing its costs and setting prices based on prudent and efficient expenditure and will continue to do so </w:t>
      </w:r>
      <w:r w:rsidR="006075A2">
        <w:rPr>
          <w:rFonts w:cs="Arial"/>
          <w:color w:val="000000" w:themeColor="text1"/>
          <w:szCs w:val="20"/>
        </w:rPr>
        <w:t>during</w:t>
      </w:r>
      <w:r w:rsidRPr="00192F41">
        <w:rPr>
          <w:rFonts w:cs="Arial"/>
          <w:color w:val="000000" w:themeColor="text1"/>
          <w:szCs w:val="20"/>
        </w:rPr>
        <w:t xml:space="preserve"> the next </w:t>
      </w:r>
      <w:r w:rsidR="00355671" w:rsidRPr="00192F41">
        <w:rPr>
          <w:rFonts w:cs="Arial"/>
          <w:color w:val="000000" w:themeColor="text1"/>
          <w:szCs w:val="20"/>
        </w:rPr>
        <w:t>regulatory period.</w:t>
      </w:r>
    </w:p>
    <w:p w14:paraId="2048FB4C" w14:textId="26EA99F2" w:rsidR="00C01FE3" w:rsidRPr="00192F41" w:rsidRDefault="006075A2" w:rsidP="00A03A82">
      <w:pPr>
        <w:jc w:val="both"/>
        <w:rPr>
          <w:rFonts w:cs="Arial"/>
          <w:color w:val="000000" w:themeColor="text1"/>
          <w:szCs w:val="20"/>
        </w:rPr>
      </w:pPr>
      <w:r>
        <w:rPr>
          <w:rFonts w:cs="Arial"/>
          <w:color w:val="000000" w:themeColor="text1"/>
          <w:szCs w:val="20"/>
        </w:rPr>
        <w:t>During</w:t>
      </w:r>
      <w:r w:rsidR="00B823E9" w:rsidRPr="00192F41">
        <w:rPr>
          <w:rFonts w:cs="Arial"/>
          <w:color w:val="000000" w:themeColor="text1"/>
          <w:szCs w:val="20"/>
        </w:rPr>
        <w:t xml:space="preserve"> the period we are proposing </w:t>
      </w:r>
      <w:r w:rsidR="009902A8" w:rsidRPr="00192F41">
        <w:rPr>
          <w:rFonts w:cs="Arial"/>
          <w:color w:val="000000" w:themeColor="text1"/>
          <w:szCs w:val="20"/>
        </w:rPr>
        <w:t xml:space="preserve">a 1% </w:t>
      </w:r>
      <w:r w:rsidR="0057746B">
        <w:rPr>
          <w:rFonts w:cs="Arial"/>
          <w:color w:val="000000" w:themeColor="text1"/>
          <w:szCs w:val="20"/>
        </w:rPr>
        <w:t>productivity</w:t>
      </w:r>
      <w:r w:rsidR="0057746B" w:rsidRPr="00192F41">
        <w:rPr>
          <w:rFonts w:cs="Arial"/>
          <w:color w:val="000000" w:themeColor="text1"/>
          <w:szCs w:val="20"/>
        </w:rPr>
        <w:t xml:space="preserve"> </w:t>
      </w:r>
      <w:r w:rsidR="009902A8" w:rsidRPr="00192F41">
        <w:rPr>
          <w:rFonts w:cs="Arial"/>
          <w:color w:val="000000" w:themeColor="text1"/>
          <w:szCs w:val="20"/>
        </w:rPr>
        <w:t>saving</w:t>
      </w:r>
      <w:r w:rsidR="00B823E9" w:rsidRPr="00192F41">
        <w:rPr>
          <w:rFonts w:cs="Arial"/>
          <w:color w:val="000000" w:themeColor="text1"/>
          <w:szCs w:val="20"/>
        </w:rPr>
        <w:t xml:space="preserve">s per annum, which coming off an already efficient </w:t>
      </w:r>
      <w:r w:rsidR="00C01FE3" w:rsidRPr="00192F41">
        <w:rPr>
          <w:rFonts w:cs="Arial"/>
          <w:color w:val="000000" w:themeColor="text1"/>
          <w:szCs w:val="20"/>
        </w:rPr>
        <w:t>base</w:t>
      </w:r>
      <w:r w:rsidR="009C22CF">
        <w:rPr>
          <w:rFonts w:cs="Arial"/>
          <w:color w:val="000000" w:themeColor="text1"/>
          <w:szCs w:val="20"/>
        </w:rPr>
        <w:t>,</w:t>
      </w:r>
      <w:r w:rsidR="00C01FE3" w:rsidRPr="00192F41">
        <w:rPr>
          <w:rFonts w:cs="Arial"/>
          <w:color w:val="000000" w:themeColor="text1"/>
          <w:szCs w:val="20"/>
        </w:rPr>
        <w:t xml:space="preserve"> demonstrates prudent expenditure</w:t>
      </w:r>
      <w:r w:rsidR="00E97B37" w:rsidRPr="00192F41">
        <w:rPr>
          <w:rFonts w:cs="Arial"/>
          <w:color w:val="000000" w:themeColor="text1"/>
          <w:szCs w:val="20"/>
        </w:rPr>
        <w:t xml:space="preserve"> (see Section 7</w:t>
      </w:r>
      <w:r w:rsidR="0014756E">
        <w:rPr>
          <w:rFonts w:cs="Arial"/>
          <w:color w:val="000000" w:themeColor="text1"/>
          <w:szCs w:val="20"/>
        </w:rPr>
        <w:t xml:space="preserve"> for more detail</w:t>
      </w:r>
      <w:r w:rsidR="0088556A" w:rsidRPr="00192F41">
        <w:rPr>
          <w:rFonts w:cs="Arial"/>
          <w:color w:val="000000" w:themeColor="text1"/>
          <w:szCs w:val="20"/>
        </w:rPr>
        <w:t>).</w:t>
      </w:r>
      <w:r w:rsidR="0088556A">
        <w:rPr>
          <w:rFonts w:cs="Arial"/>
          <w:color w:val="000000" w:themeColor="text1"/>
          <w:szCs w:val="20"/>
        </w:rPr>
        <w:t xml:space="preserve"> </w:t>
      </w:r>
    </w:p>
    <w:p w14:paraId="33BF5256" w14:textId="376A4029" w:rsidR="00DB1133" w:rsidRPr="00192F41" w:rsidRDefault="00DB1133" w:rsidP="00A03A82">
      <w:pPr>
        <w:jc w:val="both"/>
        <w:rPr>
          <w:rFonts w:cs="Arial"/>
          <w:color w:val="000000" w:themeColor="text1"/>
          <w:szCs w:val="20"/>
        </w:rPr>
      </w:pPr>
      <w:r w:rsidRPr="00192F41">
        <w:rPr>
          <w:rFonts w:cs="Arial"/>
          <w:color w:val="000000" w:themeColor="text1"/>
          <w:szCs w:val="20"/>
        </w:rPr>
        <w:t xml:space="preserve">Our CAPEX is tightly controlled where all major projects are subject to business cases and all expenditure has been rigorously reviewed </w:t>
      </w:r>
      <w:r w:rsidR="00480AC4">
        <w:rPr>
          <w:rFonts w:cs="Arial"/>
          <w:color w:val="000000" w:themeColor="text1"/>
          <w:szCs w:val="20"/>
        </w:rPr>
        <w:t xml:space="preserve">against our asset management and risk </w:t>
      </w:r>
      <w:r w:rsidR="00070CCA">
        <w:rPr>
          <w:rFonts w:cs="Arial"/>
          <w:color w:val="000000" w:themeColor="text1"/>
          <w:szCs w:val="20"/>
        </w:rPr>
        <w:t xml:space="preserve">management frameworks </w:t>
      </w:r>
      <w:r w:rsidRPr="00192F41">
        <w:rPr>
          <w:rFonts w:cs="Arial"/>
          <w:color w:val="000000" w:themeColor="text1"/>
          <w:szCs w:val="20"/>
        </w:rPr>
        <w:t>to minimise discretionary spending while ensuring we meet our obligations (i.e. compliance and committed projects).</w:t>
      </w:r>
      <w:r w:rsidR="00A52015">
        <w:rPr>
          <w:rFonts w:cs="Arial"/>
          <w:color w:val="000000" w:themeColor="text1"/>
          <w:szCs w:val="20"/>
        </w:rPr>
        <w:t xml:space="preserve"> The engagement of KBR has added</w:t>
      </w:r>
      <w:r w:rsidR="008106E7">
        <w:rPr>
          <w:rFonts w:cs="Arial"/>
          <w:color w:val="000000" w:themeColor="text1"/>
          <w:szCs w:val="20"/>
        </w:rPr>
        <w:t xml:space="preserve"> another level of rigour to the assessment</w:t>
      </w:r>
      <w:r w:rsidR="001068A8">
        <w:rPr>
          <w:rFonts w:cs="Arial"/>
          <w:color w:val="000000" w:themeColor="text1"/>
          <w:szCs w:val="20"/>
        </w:rPr>
        <w:t xml:space="preserve"> in the development of our CAPEX program.</w:t>
      </w:r>
    </w:p>
    <w:p w14:paraId="6A54F76F" w14:textId="27F32654" w:rsidR="00E809E9" w:rsidRPr="00192F41" w:rsidRDefault="00A90732" w:rsidP="00A03A82">
      <w:pPr>
        <w:jc w:val="both"/>
        <w:rPr>
          <w:rFonts w:cs="Arial"/>
          <w:color w:val="000000" w:themeColor="text1"/>
          <w:szCs w:val="20"/>
        </w:rPr>
      </w:pPr>
      <w:r w:rsidRPr="00192F41">
        <w:rPr>
          <w:rFonts w:cs="Arial"/>
          <w:color w:val="000000" w:themeColor="text1"/>
          <w:szCs w:val="20"/>
        </w:rPr>
        <w:t xml:space="preserve">Successive reviews by our executive </w:t>
      </w:r>
      <w:r w:rsidR="00C9330A" w:rsidRPr="00192F41">
        <w:rPr>
          <w:rFonts w:cs="Arial"/>
          <w:color w:val="000000" w:themeColor="text1"/>
          <w:szCs w:val="20"/>
        </w:rPr>
        <w:t>ha</w:t>
      </w:r>
      <w:r w:rsidR="009D005D">
        <w:rPr>
          <w:rFonts w:cs="Arial"/>
          <w:color w:val="000000" w:themeColor="text1"/>
          <w:szCs w:val="20"/>
        </w:rPr>
        <w:t>s</w:t>
      </w:r>
      <w:r w:rsidRPr="00192F41">
        <w:rPr>
          <w:rFonts w:cs="Arial"/>
          <w:color w:val="000000" w:themeColor="text1"/>
          <w:szCs w:val="20"/>
        </w:rPr>
        <w:t xml:space="preserve"> validated key projects (</w:t>
      </w:r>
      <w:r w:rsidR="00E97B37" w:rsidRPr="00192F41">
        <w:rPr>
          <w:rFonts w:cs="Arial"/>
          <w:color w:val="000000" w:themeColor="text1"/>
          <w:szCs w:val="20"/>
        </w:rPr>
        <w:t>see Section 8</w:t>
      </w:r>
      <w:r w:rsidRPr="00192F41">
        <w:rPr>
          <w:rFonts w:cs="Arial"/>
          <w:color w:val="000000" w:themeColor="text1"/>
          <w:szCs w:val="20"/>
        </w:rPr>
        <w:t>). We have prudently programmed uncertain works by extending some outside the regulatory period and smoothed high</w:t>
      </w:r>
      <w:r w:rsidR="00C51FDD" w:rsidRPr="00F82275">
        <w:rPr>
          <w:rFonts w:cs="Arial"/>
          <w:color w:val="000000" w:themeColor="text1"/>
          <w:szCs w:val="20"/>
        </w:rPr>
        <w:t>-</w:t>
      </w:r>
      <w:r w:rsidRPr="00192F41">
        <w:rPr>
          <w:rFonts w:cs="Arial"/>
          <w:color w:val="000000" w:themeColor="text1"/>
          <w:szCs w:val="20"/>
        </w:rPr>
        <w:t>cost operational programs</w:t>
      </w:r>
      <w:r w:rsidR="00C9330A" w:rsidRPr="00192F41">
        <w:rPr>
          <w:rFonts w:cs="Arial"/>
          <w:color w:val="000000" w:themeColor="text1"/>
          <w:szCs w:val="20"/>
        </w:rPr>
        <w:t>.</w:t>
      </w:r>
    </w:p>
    <w:p w14:paraId="57E59989" w14:textId="77777777" w:rsidR="00E809E9" w:rsidRPr="00192F41" w:rsidRDefault="00E809E9" w:rsidP="00E809E9">
      <w:pPr>
        <w:pStyle w:val="Heading2"/>
        <w:rPr>
          <w:rFonts w:cs="Arial"/>
        </w:rPr>
      </w:pPr>
      <w:r w:rsidRPr="00192F41">
        <w:rPr>
          <w:rFonts w:cs="Arial"/>
        </w:rPr>
        <w:t>Productivity</w:t>
      </w:r>
    </w:p>
    <w:p w14:paraId="7E3FC782" w14:textId="77777777" w:rsidR="00101628" w:rsidRDefault="00095090" w:rsidP="00A03A82">
      <w:pPr>
        <w:jc w:val="both"/>
        <w:rPr>
          <w:rFonts w:cs="Arial"/>
          <w:shd w:val="clear" w:color="auto" w:fill="FAF9F8"/>
        </w:rPr>
      </w:pPr>
      <w:r w:rsidRPr="00192F41">
        <w:rPr>
          <w:rFonts w:cs="Arial"/>
          <w:color w:val="000000" w:themeColor="text1"/>
          <w:szCs w:val="20"/>
        </w:rPr>
        <w:t xml:space="preserve">SRW has been investing in its operational and business processes through extensive modernisation. This is enabling us to commit to a 1% </w:t>
      </w:r>
      <w:r w:rsidR="004A304B">
        <w:rPr>
          <w:rFonts w:cs="Arial"/>
          <w:color w:val="000000" w:themeColor="text1"/>
          <w:szCs w:val="20"/>
        </w:rPr>
        <w:t>productivity</w:t>
      </w:r>
      <w:r w:rsidR="004A304B" w:rsidRPr="00192F41">
        <w:rPr>
          <w:rFonts w:cs="Arial"/>
          <w:color w:val="000000" w:themeColor="text1"/>
          <w:szCs w:val="20"/>
        </w:rPr>
        <w:t xml:space="preserve"> </w:t>
      </w:r>
      <w:r w:rsidRPr="00192F41">
        <w:rPr>
          <w:rFonts w:cs="Arial"/>
          <w:color w:val="000000" w:themeColor="text1"/>
          <w:szCs w:val="20"/>
        </w:rPr>
        <w:t xml:space="preserve">saving </w:t>
      </w:r>
      <w:r w:rsidR="004A304B">
        <w:rPr>
          <w:rFonts w:cs="Arial"/>
          <w:color w:val="000000" w:themeColor="text1"/>
          <w:szCs w:val="20"/>
        </w:rPr>
        <w:t xml:space="preserve">to our OPEX </w:t>
      </w:r>
      <w:r w:rsidRPr="00192F41">
        <w:rPr>
          <w:rFonts w:cs="Arial"/>
          <w:color w:val="000000" w:themeColor="text1"/>
          <w:szCs w:val="20"/>
        </w:rPr>
        <w:t>as well as the ability to absorb additional obligations like compliance activities and reduced carbon emissions within existing OPEX budgets.</w:t>
      </w:r>
      <w:r w:rsidRPr="00192F41">
        <w:rPr>
          <w:rFonts w:cs="Arial"/>
          <w:shd w:val="clear" w:color="auto" w:fill="FAF9F8"/>
        </w:rPr>
        <w:t xml:space="preserve"> </w:t>
      </w:r>
    </w:p>
    <w:p w14:paraId="1E401329" w14:textId="1B78A432" w:rsidR="00E809E9" w:rsidRPr="00192F41" w:rsidRDefault="00E809E9" w:rsidP="00E809E9">
      <w:pPr>
        <w:rPr>
          <w:rFonts w:cs="Arial"/>
        </w:rPr>
      </w:pPr>
      <w:r w:rsidRPr="00192F41">
        <w:rPr>
          <w:rFonts w:cs="Arial"/>
        </w:rPr>
        <w:br w:type="page"/>
      </w:r>
    </w:p>
    <w:p w14:paraId="1B2BBF13" w14:textId="16766B01" w:rsidR="00E809E9" w:rsidRPr="00192F41" w:rsidRDefault="00E809E9" w:rsidP="00E809E9">
      <w:pPr>
        <w:pStyle w:val="Heading2"/>
        <w:rPr>
          <w:rStyle w:val="IntenseEmphasis"/>
          <w:rFonts w:cs="Arial"/>
          <w:i w:val="0"/>
          <w:iCs w:val="0"/>
          <w:sz w:val="36"/>
        </w:rPr>
      </w:pPr>
      <w:r w:rsidRPr="00192F41">
        <w:rPr>
          <w:rStyle w:val="IntenseEmphasis"/>
          <w:rFonts w:cs="Arial"/>
          <w:i w:val="0"/>
          <w:iCs w:val="0"/>
          <w:sz w:val="36"/>
        </w:rPr>
        <w:t>Proposed PREMO rating for management</w:t>
      </w:r>
    </w:p>
    <w:p w14:paraId="784DF1B3" w14:textId="77777777" w:rsidR="00E809E9" w:rsidRPr="00135579" w:rsidRDefault="00E809E9" w:rsidP="00E809E9">
      <w:r w:rsidRPr="00135579">
        <w:t>We are very confident that our PREMO rating for management is standard, based on the following assessment:</w:t>
      </w:r>
    </w:p>
    <w:tbl>
      <w:tblPr>
        <w:tblStyle w:val="ReportTable-TealRows"/>
        <w:tblW w:w="9784" w:type="dxa"/>
        <w:tblInd w:w="-3" w:type="dxa"/>
        <w:tblLook w:val="04A0" w:firstRow="1" w:lastRow="0" w:firstColumn="1" w:lastColumn="0" w:noHBand="0" w:noVBand="1"/>
      </w:tblPr>
      <w:tblGrid>
        <w:gridCol w:w="8531"/>
        <w:gridCol w:w="1253"/>
      </w:tblGrid>
      <w:tr w:rsidR="006632F9" w:rsidRPr="00192F41" w14:paraId="51EA46A6" w14:textId="77777777" w:rsidTr="003D6B0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531" w:type="dxa"/>
            <w:hideMark/>
          </w:tcPr>
          <w:p w14:paraId="613E49E6" w14:textId="77777777" w:rsidR="00E809E9" w:rsidRPr="00192F41" w:rsidRDefault="00E809E9" w:rsidP="00161432">
            <w:pPr>
              <w:rPr>
                <w:rFonts w:eastAsia="Times New Roman" w:cs="Arial"/>
                <w:sz w:val="20"/>
                <w:szCs w:val="20"/>
                <w:lang w:eastAsia="en-AU"/>
              </w:rPr>
            </w:pPr>
            <w:r w:rsidRPr="00192F41">
              <w:rPr>
                <w:rFonts w:eastAsia="Times New Roman" w:cs="Arial"/>
                <w:sz w:val="20"/>
                <w:szCs w:val="20"/>
                <w:lang w:eastAsia="en-AU"/>
              </w:rPr>
              <w:t>Management aspect</w:t>
            </w:r>
          </w:p>
        </w:tc>
        <w:tc>
          <w:tcPr>
            <w:tcW w:w="1253" w:type="dxa"/>
            <w:noWrap/>
            <w:hideMark/>
          </w:tcPr>
          <w:p w14:paraId="2DA5EFB9" w14:textId="657255C9" w:rsidR="00E809E9" w:rsidRPr="00192F41" w:rsidRDefault="00E809E9" w:rsidP="00741545">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192F41">
              <w:rPr>
                <w:rFonts w:eastAsia="Times New Roman" w:cs="Arial"/>
                <w:sz w:val="20"/>
                <w:szCs w:val="20"/>
                <w:lang w:eastAsia="en-AU"/>
              </w:rPr>
              <w:t>Rating</w:t>
            </w:r>
          </w:p>
        </w:tc>
      </w:tr>
      <w:tr w:rsidR="006632F9" w:rsidRPr="00192F41" w14:paraId="557754E0" w14:textId="77777777" w:rsidTr="003D6B01">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531" w:type="dxa"/>
            <w:vAlign w:val="top"/>
          </w:tcPr>
          <w:p w14:paraId="23A54239" w14:textId="77777777" w:rsidR="00E809E9" w:rsidRPr="0045114E" w:rsidRDefault="00E809E9" w:rsidP="00B04FFF">
            <w:pPr>
              <w:ind w:right="138"/>
              <w:jc w:val="both"/>
              <w:rPr>
                <w:rStyle w:val="IntenseEmphasis"/>
                <w:rFonts w:cs="Arial"/>
                <w:i w:val="0"/>
                <w:color w:val="000000" w:themeColor="text1"/>
                <w:sz w:val="20"/>
                <w:szCs w:val="20"/>
              </w:rPr>
            </w:pPr>
            <w:r w:rsidRPr="0045114E">
              <w:rPr>
                <w:rStyle w:val="IntenseEmphasis"/>
                <w:rFonts w:cs="Arial"/>
                <w:i w:val="0"/>
                <w:color w:val="000000" w:themeColor="text1"/>
                <w:sz w:val="20"/>
                <w:szCs w:val="20"/>
              </w:rPr>
              <w:t>To what extent has the business demonstrated how its proposed prices reflect only prudent and efficient expenditure?</w:t>
            </w:r>
          </w:p>
        </w:tc>
        <w:tc>
          <w:tcPr>
            <w:tcW w:w="1253" w:type="dxa"/>
            <w:noWrap/>
            <w:vAlign w:val="top"/>
            <w:hideMark/>
          </w:tcPr>
          <w:p w14:paraId="15EA381C" w14:textId="77777777" w:rsidR="00E809E9" w:rsidRPr="00F82275" w:rsidRDefault="00E809E9" w:rsidP="0045114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E809E9" w:rsidRPr="00192F41" w14:paraId="3FE63EB3" w14:textId="77777777" w:rsidTr="003D6B01">
        <w:trPr>
          <w:trHeight w:val="250"/>
        </w:trPr>
        <w:tc>
          <w:tcPr>
            <w:cnfStyle w:val="001000000000" w:firstRow="0" w:lastRow="0" w:firstColumn="1" w:lastColumn="0" w:oddVBand="0" w:evenVBand="0" w:oddHBand="0" w:evenHBand="0" w:firstRowFirstColumn="0" w:firstRowLastColumn="0" w:lastRowFirstColumn="0" w:lastRowLastColumn="0"/>
            <w:tcW w:w="8531" w:type="dxa"/>
            <w:vAlign w:val="top"/>
          </w:tcPr>
          <w:p w14:paraId="5DFFF2E2" w14:textId="18170327" w:rsidR="00E809E9" w:rsidRPr="00192F41" w:rsidRDefault="00E809E9" w:rsidP="00B04FFF">
            <w:pPr>
              <w:spacing w:before="40" w:after="40"/>
              <w:ind w:left="720" w:right="138"/>
              <w:jc w:val="both"/>
              <w:rPr>
                <w:rStyle w:val="IntenseEmphasis"/>
                <w:rFonts w:cs="Arial"/>
                <w:b/>
                <w:bCs/>
                <w:i w:val="0"/>
                <w:iCs w:val="0"/>
                <w:color w:val="000000" w:themeColor="text1"/>
                <w:sz w:val="20"/>
                <w:szCs w:val="20"/>
              </w:rPr>
            </w:pPr>
            <w:r w:rsidRPr="6B20A4EE">
              <w:rPr>
                <w:rFonts w:cs="Arial"/>
                <w:color w:val="000000" w:themeColor="text1"/>
              </w:rPr>
              <w:t xml:space="preserve">SRW has a history of managing its costs and setting prices based on prudent and efficient expenditure. We continue to provide productivity efficiency savings of 1% pa over the regulatory period. CAPEX is tightly controlled where all major projects are subject to business cases and all expenditure has been rigorously reviewed </w:t>
            </w:r>
            <w:r w:rsidR="00225A71" w:rsidRPr="6B20A4EE">
              <w:rPr>
                <w:rFonts w:cs="Arial"/>
                <w:color w:val="000000" w:themeColor="text1"/>
              </w:rPr>
              <w:t xml:space="preserve">against our asset management and risk management frameworks </w:t>
            </w:r>
            <w:r w:rsidRPr="6B20A4EE">
              <w:rPr>
                <w:rFonts w:cs="Arial"/>
                <w:color w:val="000000" w:themeColor="text1"/>
              </w:rPr>
              <w:t>to minimise discretionary spending while ensuring we meet our obligations (i.e., compliance and committed projects).</w:t>
            </w:r>
            <w:r w:rsidR="00AE4B05" w:rsidRPr="6B20A4EE">
              <w:rPr>
                <w:rFonts w:cs="Arial"/>
                <w:color w:val="000000" w:themeColor="text1"/>
              </w:rPr>
              <w:t xml:space="preserve"> Consultants have aided in this work with KBR</w:t>
            </w:r>
            <w:r w:rsidR="00EC33C4" w:rsidRPr="6B20A4EE">
              <w:rPr>
                <w:rFonts w:cs="Arial"/>
                <w:color w:val="000000" w:themeColor="text1"/>
              </w:rPr>
              <w:t xml:space="preserve"> reviewing </w:t>
            </w:r>
            <w:r w:rsidR="7DC97C2D" w:rsidRPr="6B20A4EE">
              <w:rPr>
                <w:rFonts w:cs="Arial"/>
                <w:color w:val="000000" w:themeColor="text1"/>
              </w:rPr>
              <w:t>CAPEX forecasts</w:t>
            </w:r>
            <w:r w:rsidR="00EC33C4" w:rsidRPr="6B20A4EE">
              <w:rPr>
                <w:rFonts w:cs="Arial"/>
                <w:color w:val="000000" w:themeColor="text1"/>
              </w:rPr>
              <w:t>.</w:t>
            </w:r>
          </w:p>
        </w:tc>
        <w:tc>
          <w:tcPr>
            <w:tcW w:w="1253" w:type="dxa"/>
            <w:noWrap/>
            <w:vAlign w:val="top"/>
          </w:tcPr>
          <w:p w14:paraId="2F06C5D4" w14:textId="6058C358" w:rsidR="006047C0" w:rsidRPr="006047C0" w:rsidRDefault="003D6B01"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Standard-confident</w:t>
            </w:r>
          </w:p>
          <w:p w14:paraId="3F15BC51" w14:textId="538F1573" w:rsidR="00E809E9" w:rsidRPr="00192F41" w:rsidRDefault="00E809E9"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p>
        </w:tc>
      </w:tr>
      <w:tr w:rsidR="006632F9" w:rsidRPr="00192F41" w14:paraId="40ED9D57" w14:textId="77777777" w:rsidTr="003D6B01">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31" w:type="dxa"/>
            <w:vAlign w:val="top"/>
          </w:tcPr>
          <w:p w14:paraId="7F00399B" w14:textId="77777777" w:rsidR="00E809E9" w:rsidRPr="0045114E" w:rsidRDefault="00E809E9" w:rsidP="00B04FFF">
            <w:pPr>
              <w:ind w:right="138"/>
              <w:jc w:val="both"/>
              <w:rPr>
                <w:rStyle w:val="IntenseEmphasis"/>
                <w:rFonts w:cs="Arial"/>
                <w:i w:val="0"/>
                <w:color w:val="000000" w:themeColor="text1"/>
                <w:sz w:val="20"/>
                <w:szCs w:val="20"/>
              </w:rPr>
            </w:pPr>
            <w:r w:rsidRPr="0045114E">
              <w:rPr>
                <w:rStyle w:val="IntenseEmphasis"/>
                <w:rFonts w:cs="Arial"/>
                <w:i w:val="0"/>
                <w:color w:val="000000" w:themeColor="text1"/>
                <w:sz w:val="20"/>
                <w:szCs w:val="20"/>
              </w:rPr>
              <w:t>To what extent has the business justified its commitment to cost efficiency or productivity improvements?</w:t>
            </w:r>
          </w:p>
        </w:tc>
        <w:tc>
          <w:tcPr>
            <w:tcW w:w="1253" w:type="dxa"/>
            <w:noWrap/>
            <w:vAlign w:val="top"/>
          </w:tcPr>
          <w:p w14:paraId="46AEF4AE" w14:textId="77777777" w:rsidR="00E809E9" w:rsidRPr="00F82275" w:rsidRDefault="00E809E9" w:rsidP="0045114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E809E9" w:rsidRPr="00192F41" w14:paraId="23701097" w14:textId="77777777" w:rsidTr="003D6B01">
        <w:trPr>
          <w:trHeight w:val="23"/>
        </w:trPr>
        <w:tc>
          <w:tcPr>
            <w:cnfStyle w:val="001000000000" w:firstRow="0" w:lastRow="0" w:firstColumn="1" w:lastColumn="0" w:oddVBand="0" w:evenVBand="0" w:oddHBand="0" w:evenHBand="0" w:firstRowFirstColumn="0" w:firstRowLastColumn="0" w:lastRowFirstColumn="0" w:lastRowLastColumn="0"/>
            <w:tcW w:w="8531" w:type="dxa"/>
            <w:vAlign w:val="top"/>
          </w:tcPr>
          <w:p w14:paraId="78009896" w14:textId="1FF7B6FF" w:rsidR="00F911F6" w:rsidRPr="00F911F6" w:rsidRDefault="00E809E9" w:rsidP="00B04FFF">
            <w:pPr>
              <w:spacing w:before="40" w:after="120"/>
              <w:ind w:left="720" w:right="138"/>
              <w:jc w:val="both"/>
            </w:pPr>
            <w:bookmarkStart w:id="25" w:name="_Hlk108079231"/>
            <w:r w:rsidRPr="00192F41">
              <w:rPr>
                <w:rFonts w:cs="Arial"/>
                <w:color w:val="000000" w:themeColor="text1"/>
                <w:szCs w:val="20"/>
              </w:rPr>
              <w:t xml:space="preserve">SRW has been investing in its operational and business processes, through extensive modernisation. This </w:t>
            </w:r>
            <w:r w:rsidR="00A73C60">
              <w:rPr>
                <w:rFonts w:cs="Arial"/>
                <w:color w:val="000000" w:themeColor="text1"/>
                <w:szCs w:val="20"/>
              </w:rPr>
              <w:t>ha</w:t>
            </w:r>
            <w:r w:rsidRPr="00192F41">
              <w:rPr>
                <w:rFonts w:cs="Arial"/>
                <w:color w:val="000000" w:themeColor="text1"/>
                <w:szCs w:val="20"/>
              </w:rPr>
              <w:t>s enabling us to commit to a 1% operational saving as well as the ability to absorb additional obligations like compliance activities and reduced carbon emissions within existing OPEX budgets.</w:t>
            </w:r>
          </w:p>
          <w:p w14:paraId="7ABD9A2E" w14:textId="516C749A" w:rsidR="00E809E9" w:rsidRPr="00192F41" w:rsidRDefault="00E809E9" w:rsidP="00B04FFF">
            <w:pPr>
              <w:spacing w:before="40" w:after="40"/>
              <w:ind w:left="720" w:right="138"/>
              <w:jc w:val="both"/>
              <w:rPr>
                <w:rStyle w:val="IntenseEmphasis"/>
                <w:rFonts w:cs="Arial"/>
                <w:b/>
                <w:bCs/>
                <w:i w:val="0"/>
                <w:iCs w:val="0"/>
                <w:color w:val="000000" w:themeColor="text1"/>
                <w:sz w:val="20"/>
                <w:szCs w:val="20"/>
              </w:rPr>
            </w:pPr>
            <w:r w:rsidRPr="00192F41">
              <w:rPr>
                <w:rFonts w:cs="Arial"/>
                <w:color w:val="000000" w:themeColor="text1"/>
                <w:szCs w:val="20"/>
              </w:rPr>
              <w:t xml:space="preserve">SRW has invested </w:t>
            </w:r>
            <w:bookmarkEnd w:id="25"/>
            <w:r w:rsidRPr="00192F41">
              <w:rPr>
                <w:rFonts w:cs="Arial"/>
                <w:color w:val="000000" w:themeColor="text1"/>
                <w:szCs w:val="20"/>
              </w:rPr>
              <w:t xml:space="preserve">in technology to improve business processes, efficiency, and productivity.  </w:t>
            </w:r>
          </w:p>
        </w:tc>
        <w:tc>
          <w:tcPr>
            <w:tcW w:w="1253" w:type="dxa"/>
            <w:noWrap/>
            <w:vAlign w:val="top"/>
          </w:tcPr>
          <w:p w14:paraId="56D0CDB2" w14:textId="664311DA" w:rsidR="00E809E9" w:rsidRPr="00192F41" w:rsidRDefault="003D6B01"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Standard- very confident</w:t>
            </w:r>
          </w:p>
        </w:tc>
      </w:tr>
      <w:tr w:rsidR="006632F9" w:rsidRPr="00192F41" w14:paraId="1A446F5A" w14:textId="77777777" w:rsidTr="003D6B01">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8531" w:type="dxa"/>
            <w:vAlign w:val="top"/>
          </w:tcPr>
          <w:p w14:paraId="1D392C0D" w14:textId="77777777" w:rsidR="00E809E9" w:rsidRPr="0045114E" w:rsidRDefault="00E809E9" w:rsidP="00B04FFF">
            <w:pPr>
              <w:ind w:right="138"/>
              <w:jc w:val="both"/>
              <w:rPr>
                <w:rStyle w:val="IntenseEmphasis"/>
                <w:rFonts w:cs="Arial"/>
                <w:i w:val="0"/>
                <w:color w:val="000000" w:themeColor="text1"/>
                <w:sz w:val="20"/>
                <w:szCs w:val="20"/>
              </w:rPr>
            </w:pPr>
            <w:r w:rsidRPr="0045114E">
              <w:rPr>
                <w:rStyle w:val="IntenseEmphasis"/>
                <w:rFonts w:cs="Arial"/>
                <w:i w:val="0"/>
                <w:color w:val="000000" w:themeColor="text1"/>
                <w:sz w:val="20"/>
                <w:szCs w:val="20"/>
              </w:rPr>
              <w:t>To what extent has the business justified or provided assurance about the quality of the submission, including the quality of supporting information on forecast costs or projects?</w:t>
            </w:r>
          </w:p>
        </w:tc>
        <w:tc>
          <w:tcPr>
            <w:tcW w:w="1253" w:type="dxa"/>
            <w:noWrap/>
            <w:vAlign w:val="top"/>
          </w:tcPr>
          <w:p w14:paraId="355BB53B" w14:textId="77777777" w:rsidR="00E809E9" w:rsidRPr="00F82275" w:rsidRDefault="00E809E9" w:rsidP="0045114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E809E9" w:rsidRPr="00192F41" w14:paraId="543958EE" w14:textId="77777777" w:rsidTr="003D6B01">
        <w:trPr>
          <w:trHeight w:val="79"/>
        </w:trPr>
        <w:tc>
          <w:tcPr>
            <w:cnfStyle w:val="001000000000" w:firstRow="0" w:lastRow="0" w:firstColumn="1" w:lastColumn="0" w:oddVBand="0" w:evenVBand="0" w:oddHBand="0" w:evenHBand="0" w:firstRowFirstColumn="0" w:firstRowLastColumn="0" w:lastRowFirstColumn="0" w:lastRowLastColumn="0"/>
            <w:tcW w:w="8531" w:type="dxa"/>
            <w:vAlign w:val="top"/>
          </w:tcPr>
          <w:p w14:paraId="4E709E25" w14:textId="16D972E0" w:rsidR="00E809E9" w:rsidRPr="00192F41" w:rsidRDefault="00E809E9" w:rsidP="00B04FFF">
            <w:pPr>
              <w:spacing w:before="40" w:after="120"/>
              <w:ind w:left="720" w:right="138"/>
              <w:jc w:val="both"/>
              <w:rPr>
                <w:rFonts w:cs="Arial"/>
                <w:color w:val="000000" w:themeColor="text1"/>
                <w:szCs w:val="20"/>
              </w:rPr>
            </w:pPr>
            <w:r w:rsidRPr="00192F41">
              <w:rPr>
                <w:rFonts w:cs="Arial"/>
                <w:color w:val="000000" w:themeColor="text1"/>
                <w:szCs w:val="20"/>
              </w:rPr>
              <w:t xml:space="preserve">SRW is conscious of the importance of its price submission and its implications on its customers and our ongoing financial sustainability. We have sought assistance for several specialist </w:t>
            </w:r>
            <w:r w:rsidR="00A73C60">
              <w:rPr>
                <w:rFonts w:cs="Arial"/>
                <w:color w:val="000000" w:themeColor="text1"/>
                <w:szCs w:val="20"/>
              </w:rPr>
              <w:t>consultancies</w:t>
            </w:r>
            <w:r w:rsidRPr="00192F41">
              <w:rPr>
                <w:rFonts w:cs="Arial"/>
                <w:color w:val="000000" w:themeColor="text1"/>
                <w:szCs w:val="20"/>
              </w:rPr>
              <w:t xml:space="preserve"> to help provide assurance of the quality and inputs to the submission and accompanying documents. </w:t>
            </w:r>
          </w:p>
          <w:p w14:paraId="49DBEF0F" w14:textId="6772FCFC" w:rsidR="00E809E9" w:rsidRPr="00192F41" w:rsidRDefault="00E809E9" w:rsidP="00B04FFF">
            <w:pPr>
              <w:spacing w:before="40" w:after="120"/>
              <w:ind w:left="720" w:right="138"/>
              <w:jc w:val="both"/>
              <w:rPr>
                <w:rFonts w:cs="Arial"/>
                <w:color w:val="000000" w:themeColor="text1"/>
                <w:szCs w:val="20"/>
              </w:rPr>
            </w:pPr>
            <w:r w:rsidRPr="00192F41">
              <w:rPr>
                <w:rFonts w:cs="Arial"/>
                <w:color w:val="000000" w:themeColor="text1"/>
                <w:szCs w:val="20"/>
              </w:rPr>
              <w:t xml:space="preserve">KBR </w:t>
            </w:r>
            <w:r w:rsidR="00A73C60">
              <w:rPr>
                <w:rFonts w:cs="Arial"/>
                <w:color w:val="000000" w:themeColor="text1"/>
                <w:szCs w:val="20"/>
              </w:rPr>
              <w:t>was</w:t>
            </w:r>
            <w:r w:rsidRPr="00192F41">
              <w:rPr>
                <w:rFonts w:cs="Arial"/>
                <w:color w:val="000000" w:themeColor="text1"/>
                <w:szCs w:val="20"/>
              </w:rPr>
              <w:t xml:space="preserve"> engaged to review our capital program and the business cases for major projects. </w:t>
            </w:r>
          </w:p>
          <w:p w14:paraId="156EF475" w14:textId="02DC0523" w:rsidR="00E809E9" w:rsidRPr="00192F41" w:rsidRDefault="00E809E9" w:rsidP="00B04FFF">
            <w:pPr>
              <w:spacing w:before="40" w:after="40"/>
              <w:ind w:left="720" w:right="138"/>
              <w:jc w:val="both"/>
              <w:rPr>
                <w:rFonts w:cs="Arial"/>
                <w:color w:val="000000" w:themeColor="text1"/>
                <w:szCs w:val="20"/>
              </w:rPr>
            </w:pPr>
            <w:r w:rsidRPr="00192F41">
              <w:rPr>
                <w:rFonts w:cs="Arial"/>
                <w:color w:val="000000" w:themeColor="text1"/>
                <w:szCs w:val="20"/>
              </w:rPr>
              <w:t xml:space="preserve">Aither </w:t>
            </w:r>
            <w:r w:rsidR="00A73C60">
              <w:rPr>
                <w:rFonts w:cs="Arial"/>
                <w:color w:val="000000" w:themeColor="text1"/>
                <w:szCs w:val="20"/>
              </w:rPr>
              <w:t>was</w:t>
            </w:r>
            <w:r w:rsidRPr="00192F41">
              <w:rPr>
                <w:rFonts w:cs="Arial"/>
                <w:color w:val="000000" w:themeColor="text1"/>
                <w:szCs w:val="20"/>
              </w:rPr>
              <w:t xml:space="preserve"> engaged to independently review our submission from an ‘ESC lens’, including a review of: </w:t>
            </w:r>
          </w:p>
          <w:p w14:paraId="5CA4F675" w14:textId="04ED355B" w:rsidR="00E809E9" w:rsidRPr="00192F41" w:rsidRDefault="00E809E9" w:rsidP="00B04FFF">
            <w:pPr>
              <w:pStyle w:val="Bulletpointparagraph"/>
              <w:spacing w:before="40" w:after="40"/>
              <w:ind w:left="1440" w:right="138"/>
              <w:jc w:val="both"/>
              <w:rPr>
                <w:rFonts w:cs="Arial"/>
                <w:color w:val="000000" w:themeColor="text1"/>
                <w:szCs w:val="20"/>
              </w:rPr>
            </w:pPr>
            <w:r w:rsidRPr="00192F41">
              <w:rPr>
                <w:rFonts w:cs="Arial"/>
                <w:color w:val="000000" w:themeColor="text1"/>
                <w:szCs w:val="20"/>
              </w:rPr>
              <w:t>the functionality and inputs into the pricing model</w:t>
            </w:r>
            <w:r w:rsidR="00A73C60">
              <w:rPr>
                <w:rFonts w:cs="Arial"/>
                <w:color w:val="000000" w:themeColor="text1"/>
                <w:szCs w:val="20"/>
              </w:rPr>
              <w:t>;</w:t>
            </w:r>
          </w:p>
          <w:p w14:paraId="3F8FCB0F" w14:textId="04EDBC6D" w:rsidR="00E809E9" w:rsidRPr="00192F41" w:rsidRDefault="00E809E9" w:rsidP="00B04FFF">
            <w:pPr>
              <w:pStyle w:val="Bulletpointparagraph"/>
              <w:spacing w:before="40" w:after="40"/>
              <w:ind w:left="1440" w:right="138"/>
              <w:jc w:val="both"/>
              <w:rPr>
                <w:rFonts w:cs="Arial"/>
                <w:color w:val="000000" w:themeColor="text1"/>
                <w:szCs w:val="20"/>
              </w:rPr>
            </w:pPr>
            <w:r w:rsidRPr="00192F41">
              <w:rPr>
                <w:rFonts w:cs="Arial"/>
                <w:color w:val="000000" w:themeColor="text1"/>
                <w:szCs w:val="20"/>
              </w:rPr>
              <w:t>the development of our tariff structure</w:t>
            </w:r>
            <w:r w:rsidR="00A73C60">
              <w:rPr>
                <w:rFonts w:cs="Arial"/>
                <w:color w:val="000000" w:themeColor="text1"/>
                <w:szCs w:val="20"/>
              </w:rPr>
              <w:t>; and</w:t>
            </w:r>
          </w:p>
          <w:p w14:paraId="0A6DCF27" w14:textId="77777777" w:rsidR="00E809E9" w:rsidRPr="00192F41" w:rsidRDefault="00E809E9" w:rsidP="00B04FFF">
            <w:pPr>
              <w:pStyle w:val="Bulletpointparagraph"/>
              <w:spacing w:before="40" w:after="40"/>
              <w:ind w:left="1440" w:right="138"/>
              <w:jc w:val="both"/>
              <w:rPr>
                <w:rFonts w:cs="Arial"/>
                <w:color w:val="000000" w:themeColor="text1"/>
                <w:szCs w:val="20"/>
              </w:rPr>
            </w:pPr>
            <w:r w:rsidRPr="00192F41">
              <w:rPr>
                <w:rFonts w:cs="Arial"/>
                <w:color w:val="000000" w:themeColor="text1"/>
                <w:szCs w:val="20"/>
              </w:rPr>
              <w:t xml:space="preserve">the consistency and completeness of the submission. </w:t>
            </w:r>
          </w:p>
          <w:p w14:paraId="31B0B055" w14:textId="77777777" w:rsidR="00E809E9" w:rsidRPr="00192F41" w:rsidRDefault="00E809E9" w:rsidP="00B04FFF">
            <w:pPr>
              <w:spacing w:before="40" w:after="40"/>
              <w:ind w:left="720" w:right="138"/>
              <w:jc w:val="both"/>
              <w:rPr>
                <w:rFonts w:cs="Arial"/>
                <w:color w:val="000000" w:themeColor="text1"/>
                <w:szCs w:val="20"/>
              </w:rPr>
            </w:pPr>
          </w:p>
          <w:p w14:paraId="62698A50" w14:textId="77777777" w:rsidR="00E809E9" w:rsidRPr="00192F41" w:rsidRDefault="00E809E9" w:rsidP="00B04FFF">
            <w:pPr>
              <w:spacing w:before="40" w:after="40"/>
              <w:ind w:left="720" w:right="138"/>
              <w:jc w:val="both"/>
              <w:rPr>
                <w:rFonts w:cs="Arial"/>
                <w:color w:val="000000" w:themeColor="text1"/>
                <w:szCs w:val="20"/>
              </w:rPr>
            </w:pPr>
            <w:r w:rsidRPr="00192F41">
              <w:rPr>
                <w:rFonts w:cs="Arial"/>
                <w:color w:val="000000" w:themeColor="text1"/>
                <w:szCs w:val="20"/>
              </w:rPr>
              <w:t xml:space="preserve">Bartley consulting (et al) assisted with our engagement program. </w:t>
            </w:r>
          </w:p>
          <w:p w14:paraId="4BA10618" w14:textId="51763D46" w:rsidR="00E809E9" w:rsidRPr="00192F41" w:rsidRDefault="00E809E9" w:rsidP="00B04FFF">
            <w:pPr>
              <w:spacing w:before="40" w:after="120"/>
              <w:ind w:left="720" w:right="138"/>
              <w:jc w:val="both"/>
              <w:rPr>
                <w:rFonts w:cs="Arial"/>
                <w:color w:val="000000" w:themeColor="text1"/>
                <w:szCs w:val="20"/>
              </w:rPr>
            </w:pPr>
            <w:r w:rsidRPr="00192F41">
              <w:rPr>
                <w:rFonts w:cs="Arial"/>
                <w:color w:val="000000" w:themeColor="text1"/>
                <w:szCs w:val="20"/>
              </w:rPr>
              <w:t xml:space="preserve">In addition, </w:t>
            </w:r>
            <w:r w:rsidRPr="0072630C">
              <w:rPr>
                <w:rFonts w:cs="Arial"/>
                <w:color w:val="000000" w:themeColor="text1"/>
                <w:szCs w:val="20"/>
              </w:rPr>
              <w:t>the Customer Experience Experts</w:t>
            </w:r>
            <w:r w:rsidRPr="00192F41">
              <w:rPr>
                <w:rFonts w:cs="Arial"/>
                <w:color w:val="000000" w:themeColor="text1"/>
                <w:szCs w:val="20"/>
              </w:rPr>
              <w:t xml:space="preserve"> </w:t>
            </w:r>
            <w:r w:rsidR="002F779A">
              <w:rPr>
                <w:rFonts w:cs="Arial"/>
                <w:color w:val="000000" w:themeColor="text1"/>
                <w:szCs w:val="20"/>
              </w:rPr>
              <w:t>(</w:t>
            </w:r>
            <w:r w:rsidR="002F779A">
              <w:rPr>
                <w:color w:val="000000" w:themeColor="text1"/>
                <w:szCs w:val="20"/>
              </w:rPr>
              <w:t xml:space="preserve">CSBA) </w:t>
            </w:r>
            <w:r w:rsidRPr="00192F41">
              <w:rPr>
                <w:rFonts w:cs="Arial"/>
                <w:color w:val="000000" w:themeColor="text1"/>
                <w:szCs w:val="20"/>
              </w:rPr>
              <w:t xml:space="preserve">were engaged to undertake a parallel review of customer sentiment </w:t>
            </w:r>
            <w:r w:rsidR="003F563B">
              <w:rPr>
                <w:rFonts w:cs="Arial"/>
                <w:color w:val="000000" w:themeColor="text1"/>
                <w:szCs w:val="20"/>
              </w:rPr>
              <w:t xml:space="preserve">and satisfaction </w:t>
            </w:r>
            <w:r w:rsidRPr="00192F41">
              <w:rPr>
                <w:rFonts w:cs="Arial"/>
                <w:color w:val="000000" w:themeColor="text1"/>
                <w:szCs w:val="20"/>
              </w:rPr>
              <w:t xml:space="preserve">while our executive team undertook a rigorous review of future operational costs. </w:t>
            </w:r>
          </w:p>
          <w:p w14:paraId="7B73A6EC" w14:textId="2DAF2918" w:rsidR="00E809E9" w:rsidRPr="00192F41" w:rsidRDefault="00E809E9" w:rsidP="00B04FFF">
            <w:pPr>
              <w:spacing w:before="40" w:after="40"/>
              <w:ind w:left="720" w:right="138"/>
              <w:jc w:val="both"/>
              <w:rPr>
                <w:rStyle w:val="IntenseEmphasis"/>
                <w:rFonts w:cs="Arial"/>
                <w:b/>
                <w:bCs/>
                <w:i w:val="0"/>
                <w:iCs w:val="0"/>
                <w:color w:val="000000" w:themeColor="text1"/>
                <w:sz w:val="20"/>
                <w:szCs w:val="20"/>
              </w:rPr>
            </w:pPr>
            <w:r w:rsidRPr="00192F41">
              <w:rPr>
                <w:rFonts w:cs="Arial"/>
                <w:color w:val="000000" w:themeColor="text1"/>
                <w:szCs w:val="20"/>
              </w:rPr>
              <w:t xml:space="preserve">Collectively, the consultants not only assisted but challenged SRW on its approach, forecasting and the development of our </w:t>
            </w:r>
            <w:r w:rsidR="00016139">
              <w:rPr>
                <w:rFonts w:cs="Arial"/>
                <w:color w:val="000000" w:themeColor="text1"/>
                <w:szCs w:val="20"/>
              </w:rPr>
              <w:t>p</w:t>
            </w:r>
            <w:r w:rsidRPr="00192F41">
              <w:rPr>
                <w:rFonts w:cs="Arial"/>
                <w:color w:val="000000" w:themeColor="text1"/>
                <w:szCs w:val="20"/>
              </w:rPr>
              <w:t xml:space="preserve">rice </w:t>
            </w:r>
            <w:r w:rsidR="00016139">
              <w:rPr>
                <w:rFonts w:cs="Arial"/>
                <w:color w:val="000000" w:themeColor="text1"/>
                <w:szCs w:val="20"/>
              </w:rPr>
              <w:t>s</w:t>
            </w:r>
            <w:r w:rsidRPr="00192F41">
              <w:rPr>
                <w:rFonts w:cs="Arial"/>
                <w:color w:val="000000" w:themeColor="text1"/>
                <w:szCs w:val="20"/>
              </w:rPr>
              <w:t>ubmission.</w:t>
            </w:r>
          </w:p>
        </w:tc>
        <w:tc>
          <w:tcPr>
            <w:tcW w:w="1253" w:type="dxa"/>
            <w:noWrap/>
            <w:vAlign w:val="top"/>
          </w:tcPr>
          <w:p w14:paraId="1ED7B4A1" w14:textId="3B3161EE" w:rsidR="00E809E9" w:rsidRPr="00192F41" w:rsidRDefault="003D6B01"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Standard- very confident</w:t>
            </w:r>
          </w:p>
        </w:tc>
      </w:tr>
      <w:tr w:rsidR="006632F9" w:rsidRPr="00192F41" w14:paraId="0EC324A5" w14:textId="77777777" w:rsidTr="003D6B01">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8531" w:type="dxa"/>
            <w:vAlign w:val="top"/>
          </w:tcPr>
          <w:p w14:paraId="37159780" w14:textId="5D59A3E5" w:rsidR="00E809E9" w:rsidRPr="0045114E" w:rsidRDefault="00E809E9" w:rsidP="00B04FFF">
            <w:pPr>
              <w:ind w:right="138"/>
              <w:jc w:val="both"/>
              <w:rPr>
                <w:rStyle w:val="IntenseEmphasis"/>
                <w:rFonts w:cs="Arial"/>
                <w:i w:val="0"/>
                <w:color w:val="000000" w:themeColor="text1"/>
                <w:sz w:val="20"/>
                <w:szCs w:val="20"/>
              </w:rPr>
            </w:pPr>
            <w:r w:rsidRPr="0045114E">
              <w:rPr>
                <w:rStyle w:val="IntenseEmphasis"/>
                <w:rFonts w:cs="Arial"/>
                <w:i w:val="0"/>
                <w:color w:val="000000" w:themeColor="text1"/>
                <w:sz w:val="20"/>
                <w:szCs w:val="20"/>
              </w:rPr>
              <w:t xml:space="preserve">To what extent has the business provided evidence that there is senior level, including </w:t>
            </w:r>
            <w:r w:rsidR="002B7DF7" w:rsidRPr="0045114E">
              <w:rPr>
                <w:rStyle w:val="IntenseEmphasis"/>
                <w:rFonts w:cs="Arial"/>
                <w:i w:val="0"/>
                <w:color w:val="000000" w:themeColor="text1"/>
                <w:sz w:val="20"/>
                <w:szCs w:val="20"/>
              </w:rPr>
              <w:t>b</w:t>
            </w:r>
            <w:r w:rsidRPr="0045114E">
              <w:rPr>
                <w:rStyle w:val="IntenseEmphasis"/>
                <w:rFonts w:cs="Arial"/>
                <w:i w:val="0"/>
                <w:color w:val="000000" w:themeColor="text1"/>
                <w:sz w:val="20"/>
                <w:szCs w:val="20"/>
              </w:rPr>
              <w:t>oard level, ownership and commitment to its submission and its outcomes?</w:t>
            </w:r>
          </w:p>
        </w:tc>
        <w:tc>
          <w:tcPr>
            <w:tcW w:w="1253" w:type="dxa"/>
            <w:noWrap/>
            <w:vAlign w:val="top"/>
          </w:tcPr>
          <w:p w14:paraId="5261D8B3" w14:textId="77777777" w:rsidR="00E809E9" w:rsidRPr="00F82275" w:rsidRDefault="00E809E9" w:rsidP="0045114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E809E9" w:rsidRPr="00192F41" w14:paraId="77472BB3" w14:textId="77777777" w:rsidTr="003D6B01">
        <w:trPr>
          <w:trHeight w:val="453"/>
        </w:trPr>
        <w:tc>
          <w:tcPr>
            <w:cnfStyle w:val="001000000000" w:firstRow="0" w:lastRow="0" w:firstColumn="1" w:lastColumn="0" w:oddVBand="0" w:evenVBand="0" w:oddHBand="0" w:evenHBand="0" w:firstRowFirstColumn="0" w:firstRowLastColumn="0" w:lastRowFirstColumn="0" w:lastRowLastColumn="0"/>
            <w:tcW w:w="8531" w:type="dxa"/>
            <w:vAlign w:val="top"/>
          </w:tcPr>
          <w:p w14:paraId="6F618AB5" w14:textId="4FA976CF" w:rsidR="00E809E9" w:rsidRPr="00192F41" w:rsidRDefault="00E809E9" w:rsidP="00B04FFF">
            <w:pPr>
              <w:spacing w:before="40" w:after="40"/>
              <w:ind w:left="720" w:right="138"/>
              <w:jc w:val="both"/>
              <w:rPr>
                <w:rFonts w:cs="Arial"/>
                <w:color w:val="000000" w:themeColor="text1"/>
                <w:szCs w:val="20"/>
              </w:rPr>
            </w:pPr>
            <w:r w:rsidRPr="00192F41">
              <w:rPr>
                <w:rFonts w:cs="Arial"/>
                <w:color w:val="000000" w:themeColor="text1"/>
                <w:szCs w:val="20"/>
              </w:rPr>
              <w:t xml:space="preserve">The board has been kept regularly informed of progress with the </w:t>
            </w:r>
            <w:r w:rsidR="002B7DF7">
              <w:rPr>
                <w:rFonts w:cs="Arial"/>
                <w:color w:val="000000" w:themeColor="text1"/>
                <w:szCs w:val="20"/>
              </w:rPr>
              <w:t>p</w:t>
            </w:r>
            <w:r w:rsidRPr="00192F41">
              <w:rPr>
                <w:rFonts w:cs="Arial"/>
                <w:color w:val="000000" w:themeColor="text1"/>
                <w:szCs w:val="20"/>
              </w:rPr>
              <w:t xml:space="preserve">rice </w:t>
            </w:r>
            <w:r w:rsidR="002B7DF7">
              <w:rPr>
                <w:rFonts w:cs="Arial"/>
                <w:color w:val="000000" w:themeColor="text1"/>
                <w:szCs w:val="20"/>
              </w:rPr>
              <w:t>s</w:t>
            </w:r>
            <w:r w:rsidRPr="00192F41">
              <w:rPr>
                <w:rFonts w:cs="Arial"/>
                <w:color w:val="000000" w:themeColor="text1"/>
                <w:szCs w:val="20"/>
              </w:rPr>
              <w:t>ubmission since May 2021</w:t>
            </w:r>
            <w:r w:rsidR="006315B1">
              <w:rPr>
                <w:rFonts w:cs="Arial"/>
                <w:color w:val="000000" w:themeColor="text1"/>
                <w:szCs w:val="20"/>
              </w:rPr>
              <w:t xml:space="preserve"> (see Appendix D).</w:t>
            </w:r>
            <w:r w:rsidRPr="00192F41">
              <w:rPr>
                <w:rFonts w:cs="Arial"/>
                <w:color w:val="000000" w:themeColor="text1"/>
                <w:szCs w:val="20"/>
              </w:rPr>
              <w:t xml:space="preserve"> </w:t>
            </w:r>
          </w:p>
          <w:p w14:paraId="0C132783" w14:textId="77777777" w:rsidR="00E809E9" w:rsidRPr="00192F41" w:rsidRDefault="00E809E9" w:rsidP="00B04FFF">
            <w:pPr>
              <w:spacing w:before="40" w:after="40"/>
              <w:ind w:left="720" w:right="138"/>
              <w:jc w:val="both"/>
              <w:rPr>
                <w:rFonts w:cs="Arial"/>
                <w:color w:val="000000" w:themeColor="text1"/>
                <w:szCs w:val="20"/>
              </w:rPr>
            </w:pPr>
          </w:p>
          <w:p w14:paraId="785DF392" w14:textId="27F66E11" w:rsidR="00E809E9" w:rsidRPr="00192F41" w:rsidRDefault="006E4F86" w:rsidP="00B04FFF">
            <w:pPr>
              <w:spacing w:before="40" w:after="120"/>
              <w:ind w:left="720" w:right="138"/>
              <w:jc w:val="both"/>
              <w:rPr>
                <w:rFonts w:cs="Arial"/>
                <w:color w:val="000000" w:themeColor="text1"/>
                <w:szCs w:val="20"/>
              </w:rPr>
            </w:pPr>
            <w:r>
              <w:rPr>
                <w:rFonts w:cs="Arial"/>
                <w:color w:val="000000" w:themeColor="text1"/>
                <w:szCs w:val="20"/>
              </w:rPr>
              <w:t>T</w:t>
            </w:r>
            <w:r w:rsidR="00E809E9" w:rsidRPr="00F82275">
              <w:rPr>
                <w:rFonts w:cs="Arial"/>
                <w:color w:val="000000" w:themeColor="text1"/>
                <w:szCs w:val="20"/>
              </w:rPr>
              <w:t>he</w:t>
            </w:r>
            <w:r w:rsidR="00E809E9" w:rsidRPr="00192F41">
              <w:rPr>
                <w:rFonts w:cs="Arial"/>
                <w:color w:val="000000" w:themeColor="text1"/>
                <w:szCs w:val="20"/>
              </w:rPr>
              <w:t xml:space="preserve"> board has worked closely with management to review the financial sustainability </w:t>
            </w:r>
            <w:r w:rsidR="00544D42">
              <w:rPr>
                <w:rFonts w:cs="Arial"/>
                <w:color w:val="000000" w:themeColor="text1"/>
                <w:szCs w:val="20"/>
              </w:rPr>
              <w:t>for</w:t>
            </w:r>
            <w:r w:rsidR="00544D42" w:rsidRPr="00192F41">
              <w:rPr>
                <w:rFonts w:cs="Arial"/>
                <w:color w:val="000000" w:themeColor="text1"/>
                <w:szCs w:val="20"/>
              </w:rPr>
              <w:t xml:space="preserve"> </w:t>
            </w:r>
            <w:r w:rsidR="00E809E9" w:rsidRPr="00192F41">
              <w:rPr>
                <w:rFonts w:cs="Arial"/>
                <w:color w:val="000000" w:themeColor="text1"/>
                <w:szCs w:val="20"/>
              </w:rPr>
              <w:t xml:space="preserve">the organisation and the development of a 25-year prioritised CAPEX program, both of which have been integral to the development for the </w:t>
            </w:r>
            <w:r w:rsidR="002B7DF7">
              <w:rPr>
                <w:rFonts w:cs="Arial"/>
                <w:color w:val="000000" w:themeColor="text1"/>
                <w:szCs w:val="20"/>
              </w:rPr>
              <w:t>p</w:t>
            </w:r>
            <w:r w:rsidR="00E809E9" w:rsidRPr="00192F41">
              <w:rPr>
                <w:rFonts w:cs="Arial"/>
                <w:color w:val="000000" w:themeColor="text1"/>
                <w:szCs w:val="20"/>
              </w:rPr>
              <w:t xml:space="preserve">rice </w:t>
            </w:r>
            <w:r w:rsidR="002B7DF7">
              <w:rPr>
                <w:rFonts w:cs="Arial"/>
                <w:color w:val="000000" w:themeColor="text1"/>
                <w:szCs w:val="20"/>
              </w:rPr>
              <w:t>s</w:t>
            </w:r>
            <w:r w:rsidR="00E809E9" w:rsidRPr="00192F41">
              <w:rPr>
                <w:rFonts w:cs="Arial"/>
                <w:color w:val="000000" w:themeColor="text1"/>
                <w:szCs w:val="20"/>
              </w:rPr>
              <w:t xml:space="preserve">ubmission. </w:t>
            </w:r>
          </w:p>
          <w:p w14:paraId="4F0EF49E" w14:textId="4A9364FC" w:rsidR="00E809E9" w:rsidRPr="00192F41" w:rsidRDefault="00E809E9" w:rsidP="00B04FFF">
            <w:pPr>
              <w:spacing w:before="40" w:after="120"/>
              <w:ind w:left="720" w:right="138"/>
              <w:jc w:val="both"/>
              <w:rPr>
                <w:rFonts w:cs="Arial"/>
                <w:color w:val="000000" w:themeColor="text1"/>
                <w:szCs w:val="20"/>
              </w:rPr>
            </w:pPr>
            <w:r w:rsidRPr="00192F41">
              <w:rPr>
                <w:rFonts w:cs="Arial"/>
                <w:color w:val="000000" w:themeColor="text1"/>
                <w:szCs w:val="20"/>
              </w:rPr>
              <w:t xml:space="preserve">This approach of regular engagement and review between management and board has ensured alignment and a commitment to the </w:t>
            </w:r>
            <w:r w:rsidR="002B7DF7">
              <w:rPr>
                <w:rFonts w:cs="Arial"/>
                <w:color w:val="000000" w:themeColor="text1"/>
                <w:szCs w:val="20"/>
              </w:rPr>
              <w:t>p</w:t>
            </w:r>
            <w:r w:rsidRPr="00192F41">
              <w:rPr>
                <w:rFonts w:cs="Arial"/>
                <w:color w:val="000000" w:themeColor="text1"/>
                <w:szCs w:val="20"/>
              </w:rPr>
              <w:t xml:space="preserve">rice </w:t>
            </w:r>
            <w:r w:rsidR="002B7DF7">
              <w:rPr>
                <w:rFonts w:cs="Arial"/>
                <w:color w:val="000000" w:themeColor="text1"/>
                <w:szCs w:val="20"/>
              </w:rPr>
              <w:t>s</w:t>
            </w:r>
            <w:r w:rsidRPr="00192F41">
              <w:rPr>
                <w:rFonts w:cs="Arial"/>
                <w:color w:val="000000" w:themeColor="text1"/>
                <w:szCs w:val="20"/>
              </w:rPr>
              <w:t xml:space="preserve">ubmission. </w:t>
            </w:r>
          </w:p>
          <w:p w14:paraId="0BCB23C0" w14:textId="03A66BE5" w:rsidR="00E809E9" w:rsidRPr="00192F41" w:rsidRDefault="00E809E9" w:rsidP="00B04FFF">
            <w:pPr>
              <w:spacing w:before="40" w:after="40"/>
              <w:ind w:left="720" w:right="138"/>
              <w:jc w:val="both"/>
              <w:rPr>
                <w:rStyle w:val="IntenseEmphasis"/>
                <w:rFonts w:cs="Arial"/>
                <w:b/>
                <w:bCs/>
                <w:i w:val="0"/>
                <w:iCs w:val="0"/>
                <w:color w:val="000000" w:themeColor="text1"/>
                <w:sz w:val="20"/>
                <w:szCs w:val="20"/>
              </w:rPr>
            </w:pPr>
            <w:r w:rsidRPr="00192F41">
              <w:rPr>
                <w:rFonts w:cs="Arial"/>
                <w:color w:val="000000" w:themeColor="text1"/>
                <w:szCs w:val="20"/>
              </w:rPr>
              <w:t xml:space="preserve">The initial scoping of the price submission included consultation with senior leadership. This collaborative/consultative approach has continued throughout the development of the </w:t>
            </w:r>
            <w:r w:rsidR="002B7DF7">
              <w:rPr>
                <w:rFonts w:cs="Arial"/>
                <w:color w:val="000000" w:themeColor="text1"/>
                <w:szCs w:val="20"/>
              </w:rPr>
              <w:t>p</w:t>
            </w:r>
            <w:r w:rsidRPr="00192F41">
              <w:rPr>
                <w:rFonts w:cs="Arial"/>
                <w:color w:val="000000" w:themeColor="text1"/>
                <w:szCs w:val="20"/>
              </w:rPr>
              <w:t xml:space="preserve">rice </w:t>
            </w:r>
            <w:r w:rsidR="002B7DF7">
              <w:rPr>
                <w:rFonts w:cs="Arial"/>
                <w:color w:val="000000" w:themeColor="text1"/>
                <w:szCs w:val="20"/>
              </w:rPr>
              <w:t>s</w:t>
            </w:r>
            <w:r w:rsidRPr="00192F41">
              <w:rPr>
                <w:rFonts w:cs="Arial"/>
                <w:color w:val="000000" w:themeColor="text1"/>
                <w:szCs w:val="20"/>
              </w:rPr>
              <w:t xml:space="preserve">ubmission and has achieved alignment and commitment to the </w:t>
            </w:r>
            <w:r w:rsidR="002B7DF7">
              <w:rPr>
                <w:rFonts w:cs="Arial"/>
                <w:color w:val="000000" w:themeColor="text1"/>
                <w:szCs w:val="20"/>
              </w:rPr>
              <w:t>p</w:t>
            </w:r>
            <w:r w:rsidRPr="00192F41">
              <w:rPr>
                <w:rFonts w:cs="Arial"/>
                <w:color w:val="000000" w:themeColor="text1"/>
                <w:szCs w:val="20"/>
              </w:rPr>
              <w:t>rice</w:t>
            </w:r>
            <w:r w:rsidR="002B7DF7">
              <w:rPr>
                <w:rFonts w:cs="Arial"/>
                <w:color w:val="000000" w:themeColor="text1"/>
                <w:szCs w:val="20"/>
              </w:rPr>
              <w:t xml:space="preserve"> s</w:t>
            </w:r>
            <w:r w:rsidRPr="00192F41">
              <w:rPr>
                <w:rFonts w:cs="Arial"/>
                <w:color w:val="000000" w:themeColor="text1"/>
                <w:szCs w:val="20"/>
              </w:rPr>
              <w:t>ubmission from senior leadership/across all business areas.</w:t>
            </w:r>
          </w:p>
        </w:tc>
        <w:tc>
          <w:tcPr>
            <w:tcW w:w="1253" w:type="dxa"/>
            <w:noWrap/>
            <w:vAlign w:val="top"/>
          </w:tcPr>
          <w:p w14:paraId="0B2721C5" w14:textId="75C6CF43" w:rsidR="00E809E9" w:rsidRPr="00192F41" w:rsidRDefault="003D6B01"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Advanced- very confident</w:t>
            </w:r>
          </w:p>
        </w:tc>
      </w:tr>
      <w:tr w:rsidR="006632F9" w:rsidRPr="00192F41" w14:paraId="14B7A5D6" w14:textId="77777777" w:rsidTr="003D6B01">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8531" w:type="dxa"/>
            <w:vAlign w:val="top"/>
          </w:tcPr>
          <w:p w14:paraId="00646785" w14:textId="77777777" w:rsidR="00E809E9" w:rsidRPr="0045114E" w:rsidRDefault="00E809E9" w:rsidP="00B04FFF">
            <w:pPr>
              <w:ind w:right="138"/>
              <w:jc w:val="both"/>
              <w:rPr>
                <w:rStyle w:val="IntenseEmphasis"/>
                <w:rFonts w:cs="Arial"/>
                <w:i w:val="0"/>
                <w:color w:val="000000" w:themeColor="text1"/>
                <w:sz w:val="20"/>
                <w:szCs w:val="20"/>
              </w:rPr>
            </w:pPr>
            <w:r w:rsidRPr="0045114E">
              <w:rPr>
                <w:rStyle w:val="IntenseEmphasis"/>
                <w:rFonts w:cs="Arial"/>
                <w:i w:val="0"/>
                <w:color w:val="000000" w:themeColor="text1"/>
                <w:sz w:val="20"/>
                <w:szCs w:val="20"/>
              </w:rPr>
              <w:t>To what extent has the business demonstrated its price submission is an “open book”?</w:t>
            </w:r>
          </w:p>
        </w:tc>
        <w:tc>
          <w:tcPr>
            <w:tcW w:w="1253" w:type="dxa"/>
            <w:noWrap/>
            <w:vAlign w:val="top"/>
          </w:tcPr>
          <w:p w14:paraId="26E4059A" w14:textId="77777777" w:rsidR="00E809E9" w:rsidRPr="00F82275" w:rsidRDefault="00E809E9" w:rsidP="0045114E">
            <w:pPr>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E809E9" w:rsidRPr="00192F41" w14:paraId="10471391" w14:textId="77777777" w:rsidTr="003D6B01">
        <w:trPr>
          <w:trHeight w:val="400"/>
        </w:trPr>
        <w:tc>
          <w:tcPr>
            <w:cnfStyle w:val="001000000000" w:firstRow="0" w:lastRow="0" w:firstColumn="1" w:lastColumn="0" w:oddVBand="0" w:evenVBand="0" w:oddHBand="0" w:evenHBand="0" w:firstRowFirstColumn="0" w:firstRowLastColumn="0" w:lastRowFirstColumn="0" w:lastRowLastColumn="0"/>
            <w:tcW w:w="8531" w:type="dxa"/>
            <w:tcBorders>
              <w:bottom w:val="single" w:sz="4" w:space="0" w:color="auto"/>
            </w:tcBorders>
            <w:vAlign w:val="top"/>
          </w:tcPr>
          <w:p w14:paraId="6461D024" w14:textId="651E2B4C" w:rsidR="00E809E9" w:rsidRPr="00192F41" w:rsidRDefault="00E809E9" w:rsidP="00B04FFF">
            <w:pPr>
              <w:spacing w:before="40" w:after="120"/>
              <w:ind w:left="720" w:right="138"/>
              <w:jc w:val="both"/>
              <w:rPr>
                <w:rFonts w:eastAsia="Times New Roman" w:cs="Arial"/>
                <w:color w:val="000000" w:themeColor="text1"/>
                <w:szCs w:val="20"/>
                <w:lang w:eastAsia="en-AU"/>
              </w:rPr>
            </w:pPr>
            <w:r w:rsidRPr="00192F41">
              <w:rPr>
                <w:rFonts w:eastAsia="Times New Roman" w:cs="Arial"/>
                <w:color w:val="000000" w:themeColor="text1"/>
                <w:szCs w:val="20"/>
                <w:lang w:eastAsia="en-AU"/>
              </w:rPr>
              <w:t xml:space="preserve">SRW has adopted an open and transparent process </w:t>
            </w:r>
            <w:r w:rsidR="002B7DF7">
              <w:rPr>
                <w:rFonts w:eastAsia="Times New Roman" w:cs="Arial"/>
                <w:color w:val="000000" w:themeColor="text1"/>
                <w:szCs w:val="20"/>
                <w:lang w:eastAsia="en-AU"/>
              </w:rPr>
              <w:t>for</w:t>
            </w:r>
            <w:r w:rsidRPr="00192F41">
              <w:rPr>
                <w:rFonts w:eastAsia="Times New Roman" w:cs="Arial"/>
                <w:color w:val="000000" w:themeColor="text1"/>
                <w:szCs w:val="20"/>
                <w:lang w:eastAsia="en-AU"/>
              </w:rPr>
              <w:t xml:space="preserve"> the development of its </w:t>
            </w:r>
            <w:r w:rsidR="002B7DF7">
              <w:rPr>
                <w:rFonts w:eastAsia="Times New Roman" w:cs="Arial"/>
                <w:color w:val="000000" w:themeColor="text1"/>
                <w:szCs w:val="20"/>
                <w:lang w:eastAsia="en-AU"/>
              </w:rPr>
              <w:t>p</w:t>
            </w:r>
            <w:r w:rsidRPr="00192F41">
              <w:rPr>
                <w:rFonts w:eastAsia="Times New Roman" w:cs="Arial"/>
                <w:color w:val="000000" w:themeColor="text1"/>
                <w:szCs w:val="20"/>
                <w:lang w:eastAsia="en-AU"/>
              </w:rPr>
              <w:t xml:space="preserve">rice </w:t>
            </w:r>
            <w:r w:rsidR="002B7DF7">
              <w:rPr>
                <w:rFonts w:eastAsia="Times New Roman" w:cs="Arial"/>
                <w:color w:val="000000" w:themeColor="text1"/>
                <w:szCs w:val="20"/>
                <w:lang w:eastAsia="en-AU"/>
              </w:rPr>
              <w:t>s</w:t>
            </w:r>
            <w:r w:rsidRPr="00192F41">
              <w:rPr>
                <w:rFonts w:eastAsia="Times New Roman" w:cs="Arial"/>
                <w:color w:val="000000" w:themeColor="text1"/>
                <w:szCs w:val="20"/>
                <w:lang w:eastAsia="en-AU"/>
              </w:rPr>
              <w:t>ubmission.</w:t>
            </w:r>
          </w:p>
          <w:p w14:paraId="61071503" w14:textId="7471EF89" w:rsidR="00E809E9" w:rsidRPr="00192F41" w:rsidRDefault="00E809E9" w:rsidP="00B04FFF">
            <w:pPr>
              <w:spacing w:before="40" w:after="120"/>
              <w:ind w:left="720" w:right="138"/>
              <w:jc w:val="both"/>
              <w:rPr>
                <w:rFonts w:eastAsia="Times New Roman" w:cs="Arial"/>
                <w:color w:val="000000" w:themeColor="text1"/>
                <w:szCs w:val="20"/>
                <w:lang w:eastAsia="en-AU"/>
              </w:rPr>
            </w:pPr>
            <w:r w:rsidRPr="00192F41">
              <w:rPr>
                <w:rFonts w:eastAsia="Times New Roman" w:cs="Arial"/>
                <w:color w:val="000000" w:themeColor="text1"/>
                <w:szCs w:val="20"/>
                <w:lang w:eastAsia="en-AU"/>
              </w:rPr>
              <w:t xml:space="preserve"> Our capital program has been prioritised with a focus on supporting prudent and efficient expenditure. Business cases are available for the top 10 projects, with KBR having reviewed the entire program for completeness. </w:t>
            </w:r>
          </w:p>
          <w:p w14:paraId="7CCDB016" w14:textId="77777777" w:rsidR="00E809E9" w:rsidRPr="00192F41" w:rsidRDefault="00E809E9" w:rsidP="00B04FFF">
            <w:pPr>
              <w:spacing w:before="40" w:after="120"/>
              <w:ind w:left="720" w:right="138"/>
              <w:jc w:val="both"/>
              <w:rPr>
                <w:rFonts w:eastAsia="Times New Roman" w:cs="Arial"/>
                <w:color w:val="000000" w:themeColor="text1"/>
                <w:szCs w:val="20"/>
                <w:lang w:eastAsia="en-AU"/>
              </w:rPr>
            </w:pPr>
            <w:r w:rsidRPr="00192F41">
              <w:rPr>
                <w:rFonts w:eastAsia="Times New Roman" w:cs="Arial"/>
                <w:color w:val="000000" w:themeColor="text1"/>
                <w:szCs w:val="20"/>
                <w:lang w:eastAsia="en-AU"/>
              </w:rPr>
              <w:t xml:space="preserve">We have adopted a straight-line depreciation approach. </w:t>
            </w:r>
          </w:p>
          <w:p w14:paraId="028F0929" w14:textId="38F9391B" w:rsidR="00E809E9" w:rsidRPr="00192F41" w:rsidRDefault="00E809E9" w:rsidP="00B04FFF">
            <w:pPr>
              <w:spacing w:before="40" w:after="40"/>
              <w:ind w:left="720" w:right="138"/>
              <w:jc w:val="both"/>
              <w:rPr>
                <w:rStyle w:val="IntenseEmphasis"/>
                <w:rFonts w:cs="Arial"/>
                <w:b/>
                <w:bCs/>
                <w:i w:val="0"/>
                <w:iCs w:val="0"/>
                <w:color w:val="000000" w:themeColor="text1"/>
                <w:sz w:val="20"/>
                <w:szCs w:val="20"/>
              </w:rPr>
            </w:pPr>
            <w:r w:rsidRPr="00192F41">
              <w:rPr>
                <w:rFonts w:eastAsia="Times New Roman" w:cs="Arial"/>
                <w:color w:val="000000" w:themeColor="text1"/>
                <w:szCs w:val="20"/>
                <w:lang w:eastAsia="en-AU"/>
              </w:rPr>
              <w:t>The submission addresses all the requirements of the guidance paper and is considered by Aither as being complete for submission to the ESC.</w:t>
            </w:r>
          </w:p>
        </w:tc>
        <w:tc>
          <w:tcPr>
            <w:tcW w:w="1253" w:type="dxa"/>
            <w:tcBorders>
              <w:bottom w:val="single" w:sz="4" w:space="0" w:color="auto"/>
            </w:tcBorders>
            <w:noWrap/>
            <w:vAlign w:val="top"/>
          </w:tcPr>
          <w:p w14:paraId="445F1F78" w14:textId="7BC1B551" w:rsidR="00E809E9" w:rsidRPr="00192F41" w:rsidRDefault="003D6B01" w:rsidP="00F911F6">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Standard-confident</w:t>
            </w:r>
          </w:p>
        </w:tc>
      </w:tr>
    </w:tbl>
    <w:p w14:paraId="2E8A8F50" w14:textId="77777777" w:rsidR="00C234C1" w:rsidRDefault="00C234C1" w:rsidP="00E809E9">
      <w:pPr>
        <w:rPr>
          <w:rStyle w:val="IntenseEmphasis"/>
          <w:rFonts w:cs="Arial"/>
          <w:i w:val="0"/>
          <w:iCs w:val="0"/>
          <w:color w:val="auto"/>
        </w:rPr>
      </w:pPr>
    </w:p>
    <w:p w14:paraId="61DDBA00" w14:textId="0295355E" w:rsidR="00ED0B7D" w:rsidRPr="00192F41" w:rsidRDefault="00ED0B7D" w:rsidP="004A6BC0">
      <w:pPr>
        <w:jc w:val="center"/>
        <w:rPr>
          <w:rFonts w:cs="Arial"/>
        </w:rPr>
      </w:pPr>
      <w:r w:rsidRPr="00192F41">
        <w:rPr>
          <w:rFonts w:cs="Arial"/>
        </w:rPr>
        <w:br w:type="page"/>
      </w:r>
    </w:p>
    <w:p w14:paraId="0935A344" w14:textId="715B7EAF" w:rsidR="002D66BD" w:rsidRPr="00192F41" w:rsidRDefault="002D66BD" w:rsidP="00AE2AD9">
      <w:pPr>
        <w:pStyle w:val="NumberedHeading3"/>
        <w:rPr>
          <w:rStyle w:val="IntenseEmphasis"/>
          <w:rFonts w:cs="Arial"/>
          <w:i w:val="0"/>
          <w:iCs w:val="0"/>
          <w:color w:val="002B5C" w:themeColor="text2"/>
          <w:sz w:val="52"/>
        </w:rPr>
      </w:pPr>
      <w:bookmarkStart w:id="26" w:name="_Toc115263677"/>
      <w:r w:rsidRPr="00192F41">
        <w:rPr>
          <w:rStyle w:val="IntenseEmphasis"/>
          <w:rFonts w:cs="Arial"/>
          <w:i w:val="0"/>
          <w:iCs w:val="0"/>
          <w:color w:val="002B5C" w:themeColor="text2"/>
          <w:sz w:val="52"/>
        </w:rPr>
        <w:t>Performance</w:t>
      </w:r>
      <w:bookmarkEnd w:id="26"/>
    </w:p>
    <w:tbl>
      <w:tblPr>
        <w:tblStyle w:val="ReportTable-NavyColumns"/>
        <w:tblW w:w="9634" w:type="dxa"/>
        <w:tblBorders>
          <w:insideH w:val="none" w:sz="0" w:space="0" w:color="auto"/>
        </w:tblBorders>
        <w:shd w:val="clear" w:color="auto" w:fill="D9D9D9" w:themeFill="background1" w:themeFillShade="D9"/>
        <w:tblLook w:val="04A0" w:firstRow="1" w:lastRow="0" w:firstColumn="1" w:lastColumn="0" w:noHBand="0" w:noVBand="1"/>
      </w:tblPr>
      <w:tblGrid>
        <w:gridCol w:w="9634"/>
      </w:tblGrid>
      <w:tr w:rsidR="00420F6E" w:rsidRPr="00192F41" w14:paraId="71780417" w14:textId="77777777" w:rsidTr="001F0D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shd w:val="clear" w:color="auto" w:fill="F2F2F2" w:themeFill="background1" w:themeFillShade="F2"/>
          </w:tcPr>
          <w:p w14:paraId="32EC593F" w14:textId="50FABF50" w:rsidR="00420F6E" w:rsidRPr="00192F41" w:rsidRDefault="00BC7207" w:rsidP="00324E60">
            <w:pPr>
              <w:pStyle w:val="Heading2"/>
              <w:rPr>
                <w:rStyle w:val="IntenseEmphasis"/>
                <w:rFonts w:cs="Arial"/>
                <w:b/>
                <w:bCs/>
                <w:i w:val="0"/>
                <w:iCs w:val="0"/>
                <w:sz w:val="36"/>
              </w:rPr>
            </w:pPr>
            <w:bookmarkStart w:id="27" w:name="_Hlk103787880"/>
            <w:r w:rsidRPr="00192F41">
              <w:rPr>
                <w:rStyle w:val="IntenseEmphasis"/>
                <w:rFonts w:cs="Arial"/>
                <w:b/>
                <w:bCs/>
                <w:i w:val="0"/>
                <w:iCs w:val="0"/>
                <w:sz w:val="36"/>
              </w:rPr>
              <w:t>Key messages</w:t>
            </w:r>
          </w:p>
          <w:p w14:paraId="7383289E" w14:textId="77777777" w:rsidR="00395261" w:rsidRPr="00192F41" w:rsidRDefault="00113807" w:rsidP="00754DA9">
            <w:pPr>
              <w:pStyle w:val="Bulletpointparagraph"/>
              <w:numPr>
                <w:ilvl w:val="0"/>
                <w:numId w:val="0"/>
              </w:numPr>
              <w:ind w:left="360" w:right="402"/>
              <w:jc w:val="both"/>
              <w:rPr>
                <w:rFonts w:cs="Arial"/>
                <w:bCs/>
                <w:color w:val="000000" w:themeColor="text1"/>
              </w:rPr>
            </w:pPr>
            <w:r w:rsidRPr="00192F41">
              <w:rPr>
                <w:rFonts w:cs="Arial"/>
                <w:b w:val="0"/>
                <w:bCs/>
                <w:color w:val="000000" w:themeColor="text1"/>
              </w:rPr>
              <w:t>SRW has a proven track record of delivering high quality affordable services to our customers.</w:t>
            </w:r>
          </w:p>
          <w:p w14:paraId="360F9C72" w14:textId="77777777" w:rsidR="00395261" w:rsidRPr="00192F41" w:rsidRDefault="00395261" w:rsidP="00754DA9">
            <w:pPr>
              <w:pStyle w:val="Bulletpointparagraph"/>
              <w:numPr>
                <w:ilvl w:val="0"/>
                <w:numId w:val="0"/>
              </w:numPr>
              <w:ind w:left="360"/>
              <w:jc w:val="both"/>
              <w:rPr>
                <w:rFonts w:cs="Arial"/>
                <w:b w:val="0"/>
                <w:bCs/>
                <w:color w:val="000000" w:themeColor="text1"/>
              </w:rPr>
            </w:pPr>
          </w:p>
          <w:p w14:paraId="26B6FA22" w14:textId="61ECFE92" w:rsidR="00AD726B" w:rsidRPr="00192F41" w:rsidRDefault="00AD726B" w:rsidP="00754DA9">
            <w:pPr>
              <w:pStyle w:val="Bulletpointparagraph"/>
              <w:ind w:right="402"/>
              <w:jc w:val="both"/>
              <w:rPr>
                <w:rFonts w:cs="Arial"/>
                <w:b w:val="0"/>
                <w:bCs/>
                <w:color w:val="000000" w:themeColor="text1"/>
              </w:rPr>
            </w:pPr>
            <w:r w:rsidRPr="00192F41">
              <w:rPr>
                <w:rFonts w:cs="Arial"/>
                <w:b w:val="0"/>
                <w:bCs/>
                <w:color w:val="000000" w:themeColor="text1"/>
              </w:rPr>
              <w:t xml:space="preserve">We have consistently </w:t>
            </w:r>
            <w:r w:rsidRPr="00F82275">
              <w:rPr>
                <w:rFonts w:cs="Arial"/>
                <w:b w:val="0"/>
                <w:bCs/>
                <w:color w:val="000000" w:themeColor="text1"/>
              </w:rPr>
              <w:t>met</w:t>
            </w:r>
            <w:r w:rsidRPr="00192F41">
              <w:rPr>
                <w:rFonts w:cs="Arial"/>
                <w:b w:val="0"/>
                <w:bCs/>
                <w:color w:val="000000" w:themeColor="text1"/>
              </w:rPr>
              <w:t xml:space="preserve"> or exceeded most of the outcomes in P</w:t>
            </w:r>
            <w:r w:rsidR="00171CCC">
              <w:rPr>
                <w:rFonts w:cs="Arial"/>
                <w:b w:val="0"/>
                <w:bCs/>
                <w:color w:val="000000" w:themeColor="text1"/>
              </w:rPr>
              <w:t xml:space="preserve">rice </w:t>
            </w:r>
            <w:r w:rsidRPr="00192F41">
              <w:rPr>
                <w:rFonts w:cs="Arial"/>
                <w:b w:val="0"/>
                <w:bCs/>
                <w:color w:val="000000" w:themeColor="text1"/>
              </w:rPr>
              <w:t>S</w:t>
            </w:r>
            <w:r w:rsidR="00171CCC">
              <w:rPr>
                <w:rFonts w:cs="Arial"/>
                <w:b w:val="0"/>
                <w:bCs/>
                <w:color w:val="000000" w:themeColor="text1"/>
              </w:rPr>
              <w:t xml:space="preserve">ubmission </w:t>
            </w:r>
            <w:r w:rsidRPr="00192F41">
              <w:rPr>
                <w:rFonts w:cs="Arial"/>
                <w:b w:val="0"/>
                <w:bCs/>
                <w:color w:val="000000" w:themeColor="text1"/>
              </w:rPr>
              <w:t>2018</w:t>
            </w:r>
            <w:r w:rsidR="00703035">
              <w:rPr>
                <w:rFonts w:cs="Arial"/>
                <w:b w:val="0"/>
                <w:bCs/>
                <w:color w:val="000000" w:themeColor="text1"/>
              </w:rPr>
              <w:t>. Those outcomes that we have not met have not resulted in any customer service level impacts</w:t>
            </w:r>
            <w:r w:rsidRPr="00192F41">
              <w:rPr>
                <w:rFonts w:cs="Arial"/>
                <w:b w:val="0"/>
                <w:bCs/>
                <w:color w:val="000000" w:themeColor="text1"/>
              </w:rPr>
              <w:t>.</w:t>
            </w:r>
          </w:p>
          <w:p w14:paraId="684C5325" w14:textId="4841B9B3" w:rsidR="00EE57AB" w:rsidRPr="00192F41" w:rsidRDefault="00AD726B" w:rsidP="00754DA9">
            <w:pPr>
              <w:pStyle w:val="Bulletpointparagraph"/>
              <w:ind w:right="402"/>
              <w:jc w:val="both"/>
              <w:rPr>
                <w:rFonts w:cs="Arial"/>
                <w:b w:val="0"/>
                <w:bCs/>
                <w:color w:val="000000" w:themeColor="text1"/>
              </w:rPr>
            </w:pPr>
            <w:r w:rsidRPr="00192F41">
              <w:rPr>
                <w:rFonts w:cs="Arial"/>
                <w:b w:val="0"/>
                <w:bCs/>
                <w:color w:val="000000" w:themeColor="text1"/>
              </w:rPr>
              <w:t xml:space="preserve">We enjoy a close working relationship with </w:t>
            </w:r>
            <w:r w:rsidR="00171CCC">
              <w:rPr>
                <w:rFonts w:cs="Arial"/>
                <w:b w:val="0"/>
                <w:bCs/>
                <w:color w:val="000000" w:themeColor="text1"/>
              </w:rPr>
              <w:t>our</w:t>
            </w:r>
            <w:r w:rsidRPr="00192F41">
              <w:rPr>
                <w:rFonts w:cs="Arial"/>
                <w:b w:val="0"/>
                <w:bCs/>
                <w:color w:val="000000" w:themeColor="text1"/>
              </w:rPr>
              <w:t xml:space="preserve"> customers, with more than </w:t>
            </w:r>
            <w:r w:rsidR="00171CCC">
              <w:rPr>
                <w:rFonts w:cs="Arial"/>
                <w:b w:val="0"/>
                <w:bCs/>
                <w:color w:val="000000" w:themeColor="text1"/>
              </w:rPr>
              <w:t>three-quarters</w:t>
            </w:r>
            <w:r w:rsidRPr="00192F41">
              <w:rPr>
                <w:rFonts w:cs="Arial"/>
                <w:b w:val="0"/>
                <w:bCs/>
                <w:color w:val="000000" w:themeColor="text1"/>
              </w:rPr>
              <w:t xml:space="preserve"> of </w:t>
            </w:r>
            <w:r w:rsidR="00171CCC">
              <w:rPr>
                <w:rFonts w:cs="Arial"/>
                <w:b w:val="0"/>
                <w:bCs/>
                <w:color w:val="000000" w:themeColor="text1"/>
              </w:rPr>
              <w:t xml:space="preserve">our </w:t>
            </w:r>
            <w:r w:rsidRPr="00192F41">
              <w:rPr>
                <w:rFonts w:cs="Arial"/>
                <w:b w:val="0"/>
                <w:bCs/>
                <w:color w:val="000000" w:themeColor="text1"/>
              </w:rPr>
              <w:t>customers satisfied with the service we provide.</w:t>
            </w:r>
          </w:p>
          <w:p w14:paraId="34242E6F" w14:textId="7FD03576" w:rsidR="00EE57AB" w:rsidRPr="00AD47AC" w:rsidRDefault="00365DB2" w:rsidP="00754DA9">
            <w:pPr>
              <w:pStyle w:val="Bulletpointparagraph"/>
              <w:ind w:right="402"/>
              <w:jc w:val="both"/>
              <w:rPr>
                <w:rFonts w:cs="Arial"/>
                <w:b w:val="0"/>
                <w:i/>
                <w:color w:val="auto"/>
              </w:rPr>
            </w:pPr>
            <w:r w:rsidRPr="00AD47AC">
              <w:rPr>
                <w:rFonts w:cs="Arial"/>
                <w:b w:val="0"/>
                <w:color w:val="auto"/>
              </w:rPr>
              <w:t xml:space="preserve">We have successfully delivered an expanded CAPEX program </w:t>
            </w:r>
            <w:r w:rsidR="00171CCC">
              <w:rPr>
                <w:rFonts w:cs="Arial"/>
                <w:b w:val="0"/>
                <w:color w:val="auto"/>
              </w:rPr>
              <w:t>on</w:t>
            </w:r>
            <w:r w:rsidRPr="00AD47AC">
              <w:rPr>
                <w:rFonts w:cs="Arial"/>
                <w:b w:val="0"/>
                <w:color w:val="auto"/>
              </w:rPr>
              <w:t xml:space="preserve"> the back of additional funding </w:t>
            </w:r>
            <w:r w:rsidR="00AD47AC" w:rsidRPr="00AD47AC">
              <w:rPr>
                <w:rFonts w:cs="Arial"/>
                <w:b w:val="0"/>
                <w:bCs/>
                <w:color w:val="auto"/>
              </w:rPr>
              <w:t>which enabled the $6</w:t>
            </w:r>
            <w:r w:rsidR="0015240E">
              <w:rPr>
                <w:rFonts w:cs="Arial"/>
                <w:b w:val="0"/>
                <w:bCs/>
                <w:color w:val="auto"/>
              </w:rPr>
              <w:t>2</w:t>
            </w:r>
            <w:r w:rsidR="00171CCC">
              <w:rPr>
                <w:rFonts w:cs="Arial"/>
                <w:b w:val="0"/>
                <w:bCs/>
                <w:color w:val="auto"/>
              </w:rPr>
              <w:t xml:space="preserve"> million</w:t>
            </w:r>
            <w:r w:rsidR="00AD47AC" w:rsidRPr="00AD47AC">
              <w:rPr>
                <w:rFonts w:cs="Arial"/>
                <w:b w:val="0"/>
                <w:bCs/>
                <w:color w:val="auto"/>
              </w:rPr>
              <w:t xml:space="preserve"> </w:t>
            </w:r>
            <w:r w:rsidR="00AD47AC" w:rsidRPr="00AD47AC">
              <w:rPr>
                <w:rStyle w:val="IntenseEmphasis"/>
                <w:rFonts w:cs="Arial"/>
                <w:b w:val="0"/>
                <w:bCs/>
                <w:i w:val="0"/>
                <w:iCs w:val="0"/>
                <w:color w:val="auto"/>
              </w:rPr>
              <w:t>MID20</w:t>
            </w:r>
            <w:r w:rsidR="005D4F4C">
              <w:rPr>
                <w:rStyle w:val="IntenseEmphasis"/>
                <w:rFonts w:cs="Arial"/>
                <w:b w:val="0"/>
                <w:bCs/>
                <w:i w:val="0"/>
                <w:iCs w:val="0"/>
                <w:color w:val="auto"/>
              </w:rPr>
              <w:t>3</w:t>
            </w:r>
            <w:r w:rsidR="00AD47AC" w:rsidRPr="00AD47AC">
              <w:rPr>
                <w:rStyle w:val="IntenseEmphasis"/>
                <w:rFonts w:cs="Arial"/>
                <w:b w:val="0"/>
                <w:bCs/>
                <w:i w:val="0"/>
                <w:iCs w:val="0"/>
                <w:color w:val="auto"/>
              </w:rPr>
              <w:t xml:space="preserve">0 Phase 2 project to </w:t>
            </w:r>
            <w:r w:rsidR="5CBF8BBE" w:rsidRPr="6B20A4EE">
              <w:rPr>
                <w:rStyle w:val="IntenseEmphasis"/>
                <w:rFonts w:cs="Arial"/>
                <w:b w:val="0"/>
                <w:i w:val="0"/>
                <w:iCs w:val="0"/>
                <w:color w:val="auto"/>
              </w:rPr>
              <w:t>commence</w:t>
            </w:r>
            <w:r w:rsidR="1D2C9D4B" w:rsidRPr="6B20A4EE">
              <w:rPr>
                <w:rStyle w:val="IntenseEmphasis"/>
                <w:rFonts w:cs="Arial"/>
                <w:b w:val="0"/>
                <w:i w:val="0"/>
                <w:iCs w:val="0"/>
                <w:color w:val="auto"/>
              </w:rPr>
              <w:t xml:space="preserve"> in</w:t>
            </w:r>
            <w:r w:rsidR="325DE787" w:rsidRPr="6B20A4EE">
              <w:rPr>
                <w:rStyle w:val="IntenseEmphasis"/>
                <w:rFonts w:cs="Arial"/>
                <w:b w:val="0"/>
                <w:i w:val="0"/>
                <w:iCs w:val="0"/>
                <w:color w:val="auto"/>
              </w:rPr>
              <w:t xml:space="preserve"> </w:t>
            </w:r>
            <w:r w:rsidR="1D2C9D4B" w:rsidRPr="6B20A4EE">
              <w:rPr>
                <w:rStyle w:val="IntenseEmphasis"/>
                <w:rFonts w:cs="Arial"/>
                <w:b w:val="0"/>
                <w:i w:val="0"/>
                <w:iCs w:val="0"/>
                <w:color w:val="auto"/>
              </w:rPr>
              <w:t>t</w:t>
            </w:r>
            <w:r w:rsidR="193218D1" w:rsidRPr="6B20A4EE">
              <w:rPr>
                <w:rStyle w:val="IntenseEmphasis"/>
                <w:rFonts w:cs="Arial"/>
                <w:b w:val="0"/>
                <w:i w:val="0"/>
                <w:iCs w:val="0"/>
                <w:color w:val="auto"/>
              </w:rPr>
              <w:t>he</w:t>
            </w:r>
            <w:r w:rsidR="00AD47AC" w:rsidRPr="00AD47AC">
              <w:rPr>
                <w:rStyle w:val="IntenseEmphasis"/>
                <w:rFonts w:cs="Arial"/>
                <w:b w:val="0"/>
                <w:bCs/>
                <w:i w:val="0"/>
                <w:iCs w:val="0"/>
                <w:color w:val="auto"/>
              </w:rPr>
              <w:t xml:space="preserve"> </w:t>
            </w:r>
            <w:r w:rsidR="49E6A36B" w:rsidRPr="6B20A4EE">
              <w:rPr>
                <w:rStyle w:val="IntenseEmphasis"/>
                <w:rFonts w:cs="Arial"/>
                <w:b w:val="0"/>
                <w:i w:val="0"/>
                <w:iCs w:val="0"/>
                <w:color w:val="auto"/>
              </w:rPr>
              <w:t>2018-23 regulatory</w:t>
            </w:r>
            <w:r w:rsidR="0E239A97" w:rsidRPr="6B20A4EE">
              <w:rPr>
                <w:rStyle w:val="IntenseEmphasis"/>
                <w:rFonts w:cs="Arial"/>
                <w:b w:val="0"/>
                <w:i w:val="0"/>
                <w:iCs w:val="0"/>
                <w:color w:val="auto"/>
              </w:rPr>
              <w:t xml:space="preserve"> </w:t>
            </w:r>
            <w:r w:rsidR="00AD47AC" w:rsidRPr="00AD47AC">
              <w:rPr>
                <w:rStyle w:val="IntenseEmphasis"/>
                <w:rFonts w:cs="Arial"/>
                <w:b w:val="0"/>
                <w:bCs/>
                <w:i w:val="0"/>
                <w:iCs w:val="0"/>
                <w:color w:val="auto"/>
              </w:rPr>
              <w:t>period.</w:t>
            </w:r>
          </w:p>
          <w:p w14:paraId="7B330C6A" w14:textId="6713CADE" w:rsidR="00EE57AB" w:rsidRPr="00192F41" w:rsidRDefault="00AD726B" w:rsidP="00754DA9">
            <w:pPr>
              <w:pStyle w:val="Bulletpointparagraph"/>
              <w:ind w:right="402"/>
              <w:jc w:val="both"/>
              <w:rPr>
                <w:rFonts w:cs="Arial"/>
                <w:b w:val="0"/>
                <w:bCs/>
                <w:color w:val="000000" w:themeColor="text1"/>
              </w:rPr>
            </w:pPr>
            <w:r w:rsidRPr="00192F41">
              <w:rPr>
                <w:rFonts w:cs="Arial"/>
                <w:b w:val="0"/>
                <w:bCs/>
                <w:color w:val="000000" w:themeColor="text1"/>
              </w:rPr>
              <w:t>Prices have remained consistent with P</w:t>
            </w:r>
            <w:r w:rsidR="00171CCC">
              <w:rPr>
                <w:rFonts w:cs="Arial"/>
                <w:b w:val="0"/>
                <w:bCs/>
                <w:color w:val="000000" w:themeColor="text1"/>
              </w:rPr>
              <w:t xml:space="preserve">rice </w:t>
            </w:r>
            <w:r w:rsidRPr="00192F41">
              <w:rPr>
                <w:rFonts w:cs="Arial"/>
                <w:b w:val="0"/>
                <w:bCs/>
                <w:color w:val="000000" w:themeColor="text1"/>
              </w:rPr>
              <w:t>S</w:t>
            </w:r>
            <w:r w:rsidR="00171CCC">
              <w:rPr>
                <w:rFonts w:cs="Arial"/>
                <w:b w:val="0"/>
                <w:bCs/>
                <w:color w:val="000000" w:themeColor="text1"/>
              </w:rPr>
              <w:t xml:space="preserve">ubmission </w:t>
            </w:r>
            <w:r w:rsidRPr="00192F41">
              <w:rPr>
                <w:rFonts w:cs="Arial"/>
                <w:b w:val="0"/>
                <w:bCs/>
                <w:color w:val="000000" w:themeColor="text1"/>
              </w:rPr>
              <w:t>2018</w:t>
            </w:r>
            <w:r w:rsidR="0030358F" w:rsidRPr="00192F41">
              <w:rPr>
                <w:rFonts w:cs="Arial"/>
                <w:b w:val="0"/>
                <w:bCs/>
                <w:color w:val="000000" w:themeColor="text1"/>
              </w:rPr>
              <w:t>.</w:t>
            </w:r>
          </w:p>
          <w:p w14:paraId="00D8E94D" w14:textId="763ACBD3" w:rsidR="005C5EAC" w:rsidRPr="00192F41" w:rsidRDefault="00B67FC7" w:rsidP="00754DA9">
            <w:pPr>
              <w:pStyle w:val="Bulletpointparagraph"/>
              <w:ind w:right="402"/>
              <w:jc w:val="both"/>
              <w:rPr>
                <w:rFonts w:cs="Arial"/>
              </w:rPr>
            </w:pPr>
            <w:r w:rsidRPr="00192F41">
              <w:rPr>
                <w:rFonts w:cs="Arial"/>
                <w:b w:val="0"/>
                <w:bCs/>
                <w:color w:val="000000" w:themeColor="text1"/>
              </w:rPr>
              <w:t>We</w:t>
            </w:r>
            <w:r w:rsidR="00AD726B" w:rsidRPr="00192F41">
              <w:rPr>
                <w:rFonts w:cs="Arial"/>
                <w:b w:val="0"/>
                <w:bCs/>
                <w:color w:val="000000" w:themeColor="text1"/>
              </w:rPr>
              <w:t xml:space="preserve"> are </w:t>
            </w:r>
            <w:r w:rsidR="00444821">
              <w:rPr>
                <w:rFonts w:cs="Arial"/>
                <w:b w:val="0"/>
                <w:bCs/>
                <w:color w:val="000000" w:themeColor="text1"/>
              </w:rPr>
              <w:t xml:space="preserve">very </w:t>
            </w:r>
            <w:r w:rsidR="00AD726B" w:rsidRPr="00192F41">
              <w:rPr>
                <w:rFonts w:cs="Arial"/>
                <w:b w:val="0"/>
                <w:bCs/>
                <w:color w:val="000000" w:themeColor="text1"/>
              </w:rPr>
              <w:t xml:space="preserve">confident that our PREMO rating for performance is </w:t>
            </w:r>
            <w:r w:rsidR="00444821">
              <w:rPr>
                <w:rFonts w:cs="Arial"/>
                <w:b w:val="0"/>
                <w:bCs/>
                <w:color w:val="000000" w:themeColor="text1"/>
              </w:rPr>
              <w:t>standard</w:t>
            </w:r>
            <w:r w:rsidR="00395261" w:rsidRPr="00192F41">
              <w:rPr>
                <w:rFonts w:cs="Arial"/>
                <w:b w:val="0"/>
                <w:bCs/>
                <w:color w:val="000000" w:themeColor="text1"/>
              </w:rPr>
              <w:t>.</w:t>
            </w:r>
          </w:p>
          <w:p w14:paraId="6DFBD71A" w14:textId="06F1AF26" w:rsidR="005C5EAC" w:rsidRPr="00192F41" w:rsidRDefault="005C5EAC" w:rsidP="008428A7">
            <w:pPr>
              <w:pStyle w:val="Bulletpointparagraph"/>
              <w:numPr>
                <w:ilvl w:val="0"/>
                <w:numId w:val="0"/>
              </w:numPr>
              <w:ind w:left="360"/>
              <w:rPr>
                <w:rFonts w:cs="Arial"/>
              </w:rPr>
            </w:pPr>
          </w:p>
        </w:tc>
      </w:tr>
    </w:tbl>
    <w:bookmarkEnd w:id="27"/>
    <w:p w14:paraId="030583CB" w14:textId="77777777" w:rsidR="00CD11BA" w:rsidRPr="00192F41" w:rsidRDefault="00CD11BA" w:rsidP="00CD11BA">
      <w:pPr>
        <w:pStyle w:val="Heading2"/>
        <w:rPr>
          <w:rStyle w:val="IntenseEmphasis"/>
          <w:rFonts w:cs="Arial"/>
          <w:i w:val="0"/>
          <w:iCs w:val="0"/>
          <w:sz w:val="36"/>
        </w:rPr>
      </w:pPr>
      <w:r w:rsidRPr="00192F41">
        <w:rPr>
          <w:rStyle w:val="IntenseEmphasis"/>
          <w:rFonts w:cs="Arial"/>
          <w:i w:val="0"/>
          <w:iCs w:val="0"/>
          <w:sz w:val="36"/>
        </w:rPr>
        <w:t>Customer outcomes</w:t>
      </w:r>
    </w:p>
    <w:p w14:paraId="0F6FDCD9" w14:textId="0A73DA4D" w:rsidR="002D66BD" w:rsidRPr="00192F41" w:rsidRDefault="002D66BD" w:rsidP="00E6715A">
      <w:pPr>
        <w:jc w:val="both"/>
        <w:rPr>
          <w:rStyle w:val="IntenseEmphasis"/>
          <w:rFonts w:cs="Arial"/>
          <w:i w:val="0"/>
          <w:iCs w:val="0"/>
          <w:color w:val="auto"/>
        </w:rPr>
      </w:pPr>
      <w:r w:rsidRPr="00192F41">
        <w:rPr>
          <w:rStyle w:val="IntenseEmphasis"/>
          <w:rFonts w:cs="Arial"/>
          <w:i w:val="0"/>
          <w:iCs w:val="0"/>
          <w:color w:val="auto"/>
        </w:rPr>
        <w:t xml:space="preserve">Our service measures were developed in consultation with our customers, to focus on measuring </w:t>
      </w:r>
      <w:r w:rsidR="000A2F9D" w:rsidRPr="00192F41">
        <w:rPr>
          <w:rStyle w:val="IntenseEmphasis"/>
          <w:rFonts w:cs="Arial"/>
          <w:i w:val="0"/>
          <w:iCs w:val="0"/>
          <w:color w:val="auto"/>
        </w:rPr>
        <w:t xml:space="preserve">what’s </w:t>
      </w:r>
      <w:r w:rsidRPr="00192F41">
        <w:rPr>
          <w:rStyle w:val="IntenseEmphasis"/>
          <w:rFonts w:cs="Arial"/>
          <w:i w:val="0"/>
          <w:iCs w:val="0"/>
          <w:color w:val="auto"/>
        </w:rPr>
        <w:t>important to them. They are reflected in our Customer Charter, including:</w:t>
      </w:r>
    </w:p>
    <w:p w14:paraId="51782A73" w14:textId="4579F2FF" w:rsidR="002D66BD" w:rsidRPr="00192F41" w:rsidRDefault="002D66BD" w:rsidP="002D66BD">
      <w:pPr>
        <w:pStyle w:val="Bulletpointparagraph"/>
        <w:rPr>
          <w:rStyle w:val="IntenseEmphasis"/>
          <w:rFonts w:cs="Arial"/>
          <w:i w:val="0"/>
          <w:iCs w:val="0"/>
          <w:color w:val="auto"/>
        </w:rPr>
      </w:pPr>
      <w:r w:rsidRPr="00192F41">
        <w:rPr>
          <w:rStyle w:val="IntenseEmphasis"/>
          <w:rFonts w:cs="Arial"/>
          <w:i w:val="0"/>
          <w:iCs w:val="0"/>
          <w:color w:val="auto"/>
        </w:rPr>
        <w:t>our operating performance and service standards</w:t>
      </w:r>
      <w:r w:rsidR="00065418">
        <w:rPr>
          <w:rStyle w:val="IntenseEmphasis"/>
          <w:rFonts w:cs="Arial"/>
          <w:i w:val="0"/>
          <w:iCs w:val="0"/>
          <w:color w:val="auto"/>
        </w:rPr>
        <w:t>;</w:t>
      </w:r>
    </w:p>
    <w:p w14:paraId="0A0171C5" w14:textId="726C093C" w:rsidR="002D66BD" w:rsidRPr="00192F41" w:rsidRDefault="002D66BD" w:rsidP="002D66BD">
      <w:pPr>
        <w:pStyle w:val="Bulletpointparagraph"/>
        <w:rPr>
          <w:rStyle w:val="IntenseEmphasis"/>
          <w:rFonts w:cs="Arial"/>
          <w:i w:val="0"/>
          <w:iCs w:val="0"/>
          <w:color w:val="auto"/>
        </w:rPr>
      </w:pPr>
      <w:r w:rsidRPr="00192F41">
        <w:rPr>
          <w:rStyle w:val="IntenseEmphasis"/>
          <w:rFonts w:cs="Arial"/>
          <w:i w:val="0"/>
          <w:iCs w:val="0"/>
          <w:color w:val="auto"/>
        </w:rPr>
        <w:t>our charges and billing arrangements</w:t>
      </w:r>
      <w:r w:rsidR="00065418">
        <w:rPr>
          <w:rStyle w:val="IntenseEmphasis"/>
          <w:rFonts w:cs="Arial"/>
          <w:i w:val="0"/>
          <w:iCs w:val="0"/>
          <w:color w:val="auto"/>
        </w:rPr>
        <w:t>;</w:t>
      </w:r>
    </w:p>
    <w:p w14:paraId="74764CEF" w14:textId="35AB3284" w:rsidR="002D66BD" w:rsidRPr="00192F41" w:rsidRDefault="002D66BD" w:rsidP="002D66BD">
      <w:pPr>
        <w:pStyle w:val="Bulletpointparagraph"/>
        <w:rPr>
          <w:rStyle w:val="IntenseEmphasis"/>
          <w:rFonts w:cs="Arial"/>
          <w:i w:val="0"/>
          <w:iCs w:val="0"/>
          <w:color w:val="auto"/>
        </w:rPr>
      </w:pPr>
      <w:r w:rsidRPr="00192F41">
        <w:rPr>
          <w:rStyle w:val="IntenseEmphasis"/>
          <w:rFonts w:cs="Arial"/>
          <w:i w:val="0"/>
          <w:iCs w:val="0"/>
          <w:color w:val="auto"/>
        </w:rPr>
        <w:t>our commitments about maintenance, repair and replacement of the infrastructure that delivers water</w:t>
      </w:r>
      <w:r w:rsidR="00065418">
        <w:rPr>
          <w:rStyle w:val="IntenseEmphasis"/>
          <w:rFonts w:cs="Arial"/>
          <w:i w:val="0"/>
          <w:iCs w:val="0"/>
          <w:color w:val="auto"/>
        </w:rPr>
        <w:t>;</w:t>
      </w:r>
    </w:p>
    <w:p w14:paraId="797259C4" w14:textId="2ADC53F6" w:rsidR="002D66BD" w:rsidRPr="00192F41" w:rsidRDefault="002D66BD" w:rsidP="002D66BD">
      <w:pPr>
        <w:pStyle w:val="Bulletpointparagraph"/>
        <w:rPr>
          <w:rStyle w:val="IntenseEmphasis"/>
          <w:rFonts w:cs="Arial"/>
          <w:i w:val="0"/>
          <w:iCs w:val="0"/>
          <w:color w:val="auto"/>
        </w:rPr>
      </w:pPr>
      <w:r w:rsidRPr="00192F41">
        <w:rPr>
          <w:rStyle w:val="IntenseEmphasis"/>
          <w:rFonts w:cs="Arial"/>
          <w:i w:val="0"/>
          <w:iCs w:val="0"/>
          <w:color w:val="auto"/>
        </w:rPr>
        <w:t>how to order water</w:t>
      </w:r>
      <w:r w:rsidR="00065418">
        <w:rPr>
          <w:rStyle w:val="IntenseEmphasis"/>
          <w:rFonts w:cs="Arial"/>
          <w:i w:val="0"/>
          <w:iCs w:val="0"/>
          <w:color w:val="auto"/>
        </w:rPr>
        <w:t>; and</w:t>
      </w:r>
      <w:r w:rsidRPr="00192F41">
        <w:rPr>
          <w:rStyle w:val="IntenseEmphasis"/>
          <w:rFonts w:cs="Arial"/>
          <w:i w:val="0"/>
          <w:iCs w:val="0"/>
          <w:color w:val="auto"/>
        </w:rPr>
        <w:t xml:space="preserve"> </w:t>
      </w:r>
    </w:p>
    <w:p w14:paraId="18089C37" w14:textId="618DBFAC" w:rsidR="002D66BD" w:rsidRPr="00192F41" w:rsidRDefault="002D66BD" w:rsidP="002D66BD">
      <w:pPr>
        <w:pStyle w:val="Bulletpointparagraph"/>
        <w:rPr>
          <w:rStyle w:val="IntenseEmphasis"/>
          <w:rFonts w:cs="Arial"/>
          <w:i w:val="0"/>
          <w:iCs w:val="0"/>
          <w:color w:val="auto"/>
        </w:rPr>
      </w:pPr>
      <w:r w:rsidRPr="00192F41">
        <w:rPr>
          <w:rStyle w:val="IntenseEmphasis"/>
          <w:rFonts w:cs="Arial"/>
          <w:i w:val="0"/>
          <w:iCs w:val="0"/>
          <w:color w:val="auto"/>
        </w:rPr>
        <w:t xml:space="preserve">how and when </w:t>
      </w:r>
      <w:r w:rsidR="008643C4" w:rsidRPr="00192F41">
        <w:rPr>
          <w:rStyle w:val="IntenseEmphasis"/>
          <w:rFonts w:cs="Arial"/>
          <w:i w:val="0"/>
          <w:iCs w:val="0"/>
          <w:color w:val="auto"/>
        </w:rPr>
        <w:t>customers</w:t>
      </w:r>
      <w:r w:rsidRPr="00192F41">
        <w:rPr>
          <w:rStyle w:val="IntenseEmphasis"/>
          <w:rFonts w:cs="Arial"/>
          <w:i w:val="0"/>
          <w:iCs w:val="0"/>
          <w:color w:val="auto"/>
        </w:rPr>
        <w:t xml:space="preserve"> can give us feedback on our performance</w:t>
      </w:r>
      <w:r w:rsidR="00065418">
        <w:rPr>
          <w:rStyle w:val="IntenseEmphasis"/>
          <w:rFonts w:cs="Arial"/>
          <w:i w:val="0"/>
          <w:iCs w:val="0"/>
          <w:color w:val="auto"/>
        </w:rPr>
        <w:t>.</w:t>
      </w:r>
    </w:p>
    <w:p w14:paraId="01E93C2E" w14:textId="5C5F81DA" w:rsidR="00950BFB" w:rsidRPr="00950BFB" w:rsidRDefault="00950BFB" w:rsidP="00E6715A">
      <w:pPr>
        <w:jc w:val="both"/>
        <w:rPr>
          <w:rStyle w:val="IntenseEmphasis"/>
          <w:rFonts w:cs="Arial"/>
          <w:i w:val="0"/>
          <w:iCs w:val="0"/>
          <w:color w:val="auto"/>
        </w:rPr>
      </w:pPr>
      <w:r w:rsidRPr="00950BFB">
        <w:rPr>
          <w:rStyle w:val="IntenseEmphasis"/>
          <w:rFonts w:cs="Arial"/>
          <w:i w:val="0"/>
          <w:iCs w:val="0"/>
          <w:color w:val="auto"/>
        </w:rPr>
        <w:t>In 2021-22, we met or exceeded targets for 14 out of 20 indicators, with a further five being close to or largely met. High rainfall and the introduction of new infrastructure ha</w:t>
      </w:r>
      <w:r w:rsidR="00DC0DCC">
        <w:rPr>
          <w:rStyle w:val="IntenseEmphasis"/>
          <w:rFonts w:cs="Arial"/>
          <w:i w:val="0"/>
          <w:iCs w:val="0"/>
          <w:color w:val="auto"/>
        </w:rPr>
        <w:t>s</w:t>
      </w:r>
      <w:r w:rsidRPr="00950BFB">
        <w:rPr>
          <w:rStyle w:val="IntenseEmphasis"/>
          <w:rFonts w:cs="Arial"/>
          <w:i w:val="0"/>
          <w:iCs w:val="0"/>
          <w:color w:val="auto"/>
        </w:rPr>
        <w:t xml:space="preserve"> impacted our ability to achieve some of our targets. However, the successful commissioning of new infrastructure will lead to improvements in the future. Higher rainfall led to a record low demand for water where, in the Macalister Irrigation Area, customers ordered 50% less water than in 2020-21. The low demand generated some operational difficulties (e.g., channel pool performance and delivery efficiencies were negatively impacted as proportionally more water was needed to be conveyed through the system to meet low water delivery volumes) but it did not impact customers with all orders fulfilled. </w:t>
      </w:r>
    </w:p>
    <w:p w14:paraId="6BB65367" w14:textId="33E95772" w:rsidR="00950BFB" w:rsidRPr="00950BFB" w:rsidRDefault="00950BFB" w:rsidP="00E6715A">
      <w:pPr>
        <w:jc w:val="both"/>
        <w:rPr>
          <w:rStyle w:val="IntenseEmphasis"/>
          <w:rFonts w:cs="Arial"/>
          <w:i w:val="0"/>
          <w:iCs w:val="0"/>
          <w:color w:val="auto"/>
        </w:rPr>
      </w:pPr>
      <w:r w:rsidRPr="00950BFB">
        <w:rPr>
          <w:rStyle w:val="IntenseEmphasis"/>
          <w:rFonts w:cs="Arial"/>
          <w:i w:val="0"/>
          <w:iCs w:val="0"/>
          <w:color w:val="auto"/>
        </w:rPr>
        <w:t>The only area where we did not meet or largely met our target was in the area of water sales. This was due to the</w:t>
      </w:r>
      <w:r w:rsidR="00983A9B">
        <w:rPr>
          <w:rStyle w:val="IntenseEmphasis"/>
          <w:rFonts w:cs="Arial"/>
          <w:i w:val="0"/>
          <w:iCs w:val="0"/>
          <w:color w:val="auto"/>
        </w:rPr>
        <w:t xml:space="preserve"> </w:t>
      </w:r>
      <w:r w:rsidR="001A6C69" w:rsidRPr="00A804B2">
        <w:rPr>
          <w:rStyle w:val="IntenseEmphasis"/>
          <w:rFonts w:cs="Arial"/>
          <w:i w:val="0"/>
          <w:iCs w:val="0"/>
          <w:color w:val="auto"/>
        </w:rPr>
        <w:t>formal</w:t>
      </w:r>
      <w:r w:rsidR="00983A9B" w:rsidRPr="00A804B2">
        <w:rPr>
          <w:rStyle w:val="IntenseEmphasis"/>
          <w:rFonts w:cs="Arial"/>
          <w:i w:val="0"/>
          <w:iCs w:val="0"/>
          <w:color w:val="auto"/>
        </w:rPr>
        <w:t xml:space="preserve"> </w:t>
      </w:r>
      <w:r w:rsidR="00AC34F3" w:rsidRPr="00A804B2">
        <w:rPr>
          <w:rStyle w:val="IntenseEmphasis"/>
          <w:rFonts w:cs="Arial"/>
          <w:i w:val="0"/>
          <w:color w:val="auto"/>
        </w:rPr>
        <w:t>legislative</w:t>
      </w:r>
      <w:r w:rsidR="00AC34F3">
        <w:rPr>
          <w:rStyle w:val="IntenseEmphasis"/>
          <w:rFonts w:cs="Arial"/>
          <w:i w:val="0"/>
          <w:iCs w:val="0"/>
          <w:color w:val="auto"/>
        </w:rPr>
        <w:t xml:space="preserve"> process of </w:t>
      </w:r>
      <w:r w:rsidRPr="00950BFB">
        <w:rPr>
          <w:rStyle w:val="IntenseEmphasis"/>
          <w:rFonts w:cs="Arial"/>
          <w:i w:val="0"/>
          <w:iCs w:val="0"/>
          <w:color w:val="auto"/>
        </w:rPr>
        <w:t>converting</w:t>
      </w:r>
      <w:r w:rsidR="00A60A8E">
        <w:rPr>
          <w:rStyle w:val="IntenseEmphasis"/>
          <w:rFonts w:cs="Arial"/>
          <w:i w:val="0"/>
          <w:iCs w:val="0"/>
          <w:color w:val="auto"/>
        </w:rPr>
        <w:t xml:space="preserve"> the audited</w:t>
      </w:r>
      <w:r w:rsidRPr="00950BFB">
        <w:rPr>
          <w:rStyle w:val="IntenseEmphasis"/>
          <w:rFonts w:cs="Arial"/>
          <w:i w:val="0"/>
          <w:iCs w:val="0"/>
          <w:color w:val="auto"/>
        </w:rPr>
        <w:t xml:space="preserve"> </w:t>
      </w:r>
      <w:r w:rsidR="00983A9B">
        <w:rPr>
          <w:rStyle w:val="IntenseEmphasis"/>
          <w:rFonts w:cs="Arial"/>
          <w:i w:val="0"/>
          <w:iCs w:val="0"/>
          <w:color w:val="auto"/>
        </w:rPr>
        <w:t xml:space="preserve">water </w:t>
      </w:r>
      <w:r w:rsidRPr="00950BFB">
        <w:rPr>
          <w:rStyle w:val="IntenseEmphasis"/>
          <w:rFonts w:cs="Arial"/>
          <w:i w:val="0"/>
          <w:iCs w:val="0"/>
          <w:color w:val="auto"/>
        </w:rPr>
        <w:t>savings</w:t>
      </w:r>
      <w:r w:rsidR="00A60A8E">
        <w:rPr>
          <w:rStyle w:val="IntenseEmphasis"/>
          <w:rFonts w:cs="Arial"/>
          <w:i w:val="0"/>
          <w:iCs w:val="0"/>
          <w:color w:val="auto"/>
        </w:rPr>
        <w:t xml:space="preserve"> (achieved through modernisation)</w:t>
      </w:r>
      <w:r w:rsidRPr="00950BFB">
        <w:rPr>
          <w:rStyle w:val="IntenseEmphasis"/>
          <w:rFonts w:cs="Arial"/>
          <w:i w:val="0"/>
          <w:iCs w:val="0"/>
          <w:color w:val="auto"/>
        </w:rPr>
        <w:t xml:space="preserve"> to entitlements</w:t>
      </w:r>
      <w:r w:rsidR="00A60A8E">
        <w:rPr>
          <w:rStyle w:val="IntenseEmphasis"/>
          <w:rFonts w:cs="Arial"/>
          <w:i w:val="0"/>
          <w:iCs w:val="0"/>
          <w:color w:val="auto"/>
        </w:rPr>
        <w:t xml:space="preserve"> (which </w:t>
      </w:r>
      <w:r w:rsidR="00686C00">
        <w:rPr>
          <w:rStyle w:val="IntenseEmphasis"/>
          <w:rFonts w:cs="Arial"/>
          <w:i w:val="0"/>
          <w:iCs w:val="0"/>
          <w:color w:val="auto"/>
        </w:rPr>
        <w:t>can be allocated)</w:t>
      </w:r>
      <w:r w:rsidRPr="00950BFB">
        <w:rPr>
          <w:rStyle w:val="IntenseEmphasis"/>
          <w:rFonts w:cs="Arial"/>
          <w:i w:val="0"/>
          <w:iCs w:val="0"/>
          <w:color w:val="auto"/>
        </w:rPr>
        <w:t>. However,</w:t>
      </w:r>
      <w:r w:rsidR="00A60A8E">
        <w:rPr>
          <w:rStyle w:val="IntenseEmphasis"/>
          <w:rFonts w:cs="Arial"/>
          <w:i w:val="0"/>
          <w:iCs w:val="0"/>
          <w:color w:val="auto"/>
        </w:rPr>
        <w:t xml:space="preserve"> even given this,</w:t>
      </w:r>
      <w:r w:rsidRPr="00950BFB">
        <w:rPr>
          <w:rStyle w:val="IntenseEmphasis"/>
          <w:rFonts w:cs="Arial"/>
          <w:i w:val="0"/>
          <w:iCs w:val="0"/>
          <w:color w:val="auto"/>
        </w:rPr>
        <w:t xml:space="preserve"> the unseasonably wet year resulted in little demand for such water.  </w:t>
      </w:r>
    </w:p>
    <w:p w14:paraId="4BC3C24F" w14:textId="360C5B92" w:rsidR="00950BFB" w:rsidRDefault="00950BFB" w:rsidP="00E6715A">
      <w:pPr>
        <w:jc w:val="both"/>
        <w:rPr>
          <w:rStyle w:val="IntenseEmphasis"/>
          <w:rFonts w:cs="Arial"/>
          <w:i w:val="0"/>
          <w:iCs w:val="0"/>
          <w:color w:val="auto"/>
        </w:rPr>
      </w:pPr>
      <w:r w:rsidRPr="00950BFB">
        <w:rPr>
          <w:rStyle w:val="IntenseEmphasis"/>
          <w:rFonts w:cs="Arial"/>
          <w:i w:val="0"/>
          <w:iCs w:val="0"/>
          <w:color w:val="auto"/>
        </w:rPr>
        <w:t>Overall, we were able to maintain customer service levels throughout 2021-22 despite not all targets having been met. </w:t>
      </w:r>
    </w:p>
    <w:p w14:paraId="5BE4FBCC" w14:textId="77777777" w:rsidR="00950BFB" w:rsidRDefault="00950BFB" w:rsidP="002D66BD">
      <w:pPr>
        <w:rPr>
          <w:rStyle w:val="IntenseEmphasis"/>
          <w:rFonts w:cs="Arial"/>
          <w:i w:val="0"/>
          <w:iCs w:val="0"/>
          <w:color w:val="auto"/>
        </w:rPr>
      </w:pPr>
    </w:p>
    <w:p w14:paraId="60314BD6" w14:textId="7CE4022D" w:rsidR="000353D7" w:rsidRPr="00192F41" w:rsidRDefault="00087064" w:rsidP="00E6715A">
      <w:pPr>
        <w:jc w:val="both"/>
        <w:rPr>
          <w:rStyle w:val="IntenseEmphasis"/>
          <w:rFonts w:cs="Arial"/>
          <w:i w:val="0"/>
          <w:iCs w:val="0"/>
          <w:color w:val="auto"/>
        </w:rPr>
      </w:pPr>
      <w:r w:rsidRPr="00192F41">
        <w:rPr>
          <w:rStyle w:val="IntenseEmphasis"/>
          <w:rFonts w:cs="Arial"/>
          <w:i w:val="0"/>
          <w:iCs w:val="0"/>
          <w:color w:val="auto"/>
        </w:rPr>
        <w:t xml:space="preserve">A summary of our performance </w:t>
      </w:r>
      <w:r w:rsidR="007C448E">
        <w:rPr>
          <w:rStyle w:val="IntenseEmphasis"/>
          <w:rFonts w:cs="Arial"/>
          <w:i w:val="0"/>
          <w:iCs w:val="0"/>
          <w:color w:val="auto"/>
        </w:rPr>
        <w:t>during</w:t>
      </w:r>
      <w:r w:rsidR="000028B1">
        <w:rPr>
          <w:rStyle w:val="IntenseEmphasis"/>
          <w:rFonts w:cs="Arial"/>
          <w:i w:val="0"/>
          <w:iCs w:val="0"/>
          <w:color w:val="auto"/>
        </w:rPr>
        <w:t xml:space="preserve"> the first four years of Price Submission 2018</w:t>
      </w:r>
      <w:r w:rsidRPr="00192F41">
        <w:rPr>
          <w:rStyle w:val="IntenseEmphasis"/>
          <w:rFonts w:cs="Arial"/>
          <w:i w:val="0"/>
          <w:iCs w:val="0"/>
          <w:color w:val="auto"/>
        </w:rPr>
        <w:t xml:space="preserve"> is </w:t>
      </w:r>
      <w:r w:rsidR="00B607E2" w:rsidRPr="00192F41">
        <w:rPr>
          <w:rStyle w:val="IntenseEmphasis"/>
          <w:rFonts w:cs="Arial"/>
          <w:i w:val="0"/>
          <w:iCs w:val="0"/>
          <w:color w:val="auto"/>
        </w:rPr>
        <w:t xml:space="preserve">provided </w:t>
      </w:r>
      <w:r w:rsidRPr="00192F41">
        <w:rPr>
          <w:rStyle w:val="IntenseEmphasis"/>
          <w:rFonts w:cs="Arial"/>
          <w:i w:val="0"/>
          <w:iCs w:val="0"/>
          <w:color w:val="auto"/>
        </w:rPr>
        <w:t>in the following table</w:t>
      </w:r>
      <w:r w:rsidR="00360320" w:rsidRPr="00192F41">
        <w:rPr>
          <w:rStyle w:val="IntenseEmphasis"/>
          <w:rFonts w:cs="Arial"/>
          <w:i w:val="0"/>
          <w:iCs w:val="0"/>
          <w:color w:val="auto"/>
        </w:rPr>
        <w:t>s</w:t>
      </w:r>
      <w:r w:rsidR="00E759DF" w:rsidRPr="00192F41">
        <w:rPr>
          <w:rStyle w:val="IntenseEmphasis"/>
          <w:rFonts w:cs="Arial"/>
          <w:i w:val="0"/>
          <w:iCs w:val="0"/>
          <w:color w:val="auto"/>
        </w:rPr>
        <w:t>.</w:t>
      </w:r>
    </w:p>
    <w:p w14:paraId="4AB07A42" w14:textId="11594E46" w:rsidR="00F62EAE" w:rsidRPr="00D11098" w:rsidRDefault="00786CA6" w:rsidP="00786CA6">
      <w:pPr>
        <w:pStyle w:val="Caption"/>
        <w:rPr>
          <w:rFonts w:eastAsiaTheme="minorEastAsia"/>
          <w:i w:val="0"/>
          <w:iCs w:val="0"/>
          <w:smallCaps/>
          <w:sz w:val="20"/>
          <w:szCs w:val="20"/>
        </w:rPr>
      </w:pPr>
      <w:bookmarkStart w:id="28" w:name="_Hlk106982418"/>
      <w:r w:rsidRPr="00D11098">
        <w:rPr>
          <w:rFonts w:eastAsiaTheme="minorEastAsia" w:cs="Arial"/>
          <w:b/>
          <w:bCs/>
          <w:i w:val="0"/>
          <w:iCs w:val="0"/>
          <w:color w:val="00B1B0"/>
          <w:spacing w:val="5"/>
          <w:sz w:val="20"/>
          <w:szCs w:val="20"/>
        </w:rPr>
        <w:t xml:space="preserve">Table </w:t>
      </w:r>
      <w:r w:rsidRPr="00D11098">
        <w:rPr>
          <w:rFonts w:eastAsiaTheme="minorEastAsia" w:cs="Arial"/>
          <w:b/>
          <w:bCs/>
          <w:i w:val="0"/>
          <w:iCs w:val="0"/>
          <w:color w:val="00B1B0"/>
          <w:spacing w:val="5"/>
          <w:sz w:val="20"/>
          <w:szCs w:val="20"/>
        </w:rPr>
        <w:fldChar w:fldCharType="begin"/>
      </w:r>
      <w:r w:rsidRPr="00D11098">
        <w:rPr>
          <w:rFonts w:eastAsiaTheme="minorEastAsia" w:cs="Arial"/>
          <w:b/>
          <w:bCs/>
          <w:i w:val="0"/>
          <w:iCs w:val="0"/>
          <w:color w:val="00B1B0"/>
          <w:spacing w:val="5"/>
          <w:sz w:val="20"/>
          <w:szCs w:val="20"/>
        </w:rPr>
        <w:instrText xml:space="preserve"> SEQ Table \* ARABIC </w:instrText>
      </w:r>
      <w:r w:rsidRPr="00D11098">
        <w:rPr>
          <w:rFonts w:eastAsiaTheme="minorEastAsia" w:cs="Arial"/>
          <w:b/>
          <w:bCs/>
          <w:i w:val="0"/>
          <w:iCs w:val="0"/>
          <w:color w:val="00B1B0"/>
          <w:spacing w:val="5"/>
          <w:sz w:val="20"/>
          <w:szCs w:val="20"/>
        </w:rPr>
        <w:fldChar w:fldCharType="separate"/>
      </w:r>
      <w:r w:rsidR="008126A8">
        <w:rPr>
          <w:rFonts w:eastAsiaTheme="minorEastAsia" w:cs="Arial"/>
          <w:b/>
          <w:bCs/>
          <w:i w:val="0"/>
          <w:iCs w:val="0"/>
          <w:noProof/>
          <w:color w:val="00B1B0"/>
          <w:spacing w:val="5"/>
          <w:sz w:val="20"/>
          <w:szCs w:val="20"/>
        </w:rPr>
        <w:t>3</w:t>
      </w:r>
      <w:r w:rsidRPr="00D11098">
        <w:rPr>
          <w:rFonts w:eastAsiaTheme="minorEastAsia" w:cs="Arial"/>
          <w:b/>
          <w:bCs/>
          <w:i w:val="0"/>
          <w:iCs w:val="0"/>
          <w:color w:val="00B1B0"/>
          <w:spacing w:val="5"/>
          <w:sz w:val="20"/>
          <w:szCs w:val="20"/>
        </w:rPr>
        <w:fldChar w:fldCharType="end"/>
      </w:r>
      <w:r w:rsidR="007248B2">
        <w:rPr>
          <w:b/>
          <w:bCs/>
          <w:i w:val="0"/>
          <w:iCs w:val="0"/>
          <w:color w:val="00B1B0" w:themeColor="accent1"/>
          <w:sz w:val="20"/>
          <w:szCs w:val="20"/>
        </w:rPr>
        <w:t xml:space="preserve"> –</w:t>
      </w:r>
      <w:r w:rsidRPr="00D11098">
        <w:rPr>
          <w:rFonts w:eastAsiaTheme="minorEastAsia" w:cs="Arial"/>
          <w:b/>
          <w:bCs/>
          <w:i w:val="0"/>
          <w:iCs w:val="0"/>
          <w:color w:val="00B1B0"/>
          <w:spacing w:val="5"/>
          <w:sz w:val="20"/>
          <w:szCs w:val="20"/>
        </w:rPr>
        <w:t xml:space="preserve"> </w:t>
      </w:r>
      <w:r w:rsidR="00F62EAE" w:rsidRPr="00D11098">
        <w:rPr>
          <w:rFonts w:eastAsiaTheme="minorEastAsia" w:cs="Arial"/>
          <w:b/>
          <w:bCs/>
          <w:i w:val="0"/>
          <w:iCs w:val="0"/>
          <w:color w:val="00B1B0"/>
          <w:spacing w:val="5"/>
          <w:sz w:val="20"/>
          <w:szCs w:val="20"/>
        </w:rPr>
        <w:t>Performance rating</w:t>
      </w:r>
      <w:bookmarkEnd w:id="28"/>
    </w:p>
    <w:p w14:paraId="4C9A7A19" w14:textId="795437BC" w:rsidR="003A3BF3" w:rsidRDefault="003A3BF3" w:rsidP="00947EF3">
      <w:r w:rsidRPr="00204048">
        <w:rPr>
          <w:noProof/>
          <w:sz w:val="20"/>
          <w:szCs w:val="20"/>
        </w:rPr>
        <w:drawing>
          <wp:inline distT="0" distB="0" distL="0" distR="0" wp14:anchorId="1D909801" wp14:editId="4F2423BF">
            <wp:extent cx="5943600" cy="2289810"/>
            <wp:effectExtent l="0" t="0" r="0" b="0"/>
            <wp:docPr id="16" name="Picture 9"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imeline&#10;&#10;Description automatically generated with low confidence"/>
                    <pic:cNvPicPr/>
                  </pic:nvPicPr>
                  <pic:blipFill rotWithShape="1">
                    <a:blip r:embed="rId23"/>
                    <a:srcRect l="1142" r="1754"/>
                    <a:stretch/>
                  </pic:blipFill>
                  <pic:spPr bwMode="auto">
                    <a:xfrm>
                      <a:off x="0" y="0"/>
                      <a:ext cx="5943600" cy="2289810"/>
                    </a:xfrm>
                    <a:prstGeom prst="rect">
                      <a:avLst/>
                    </a:prstGeom>
                    <a:ln>
                      <a:noFill/>
                    </a:ln>
                    <a:extLst>
                      <a:ext uri="{53640926-AAD7-44D8-BBD7-CCE9431645EC}">
                        <a14:shadowObscured xmlns:a14="http://schemas.microsoft.com/office/drawing/2010/main"/>
                      </a:ext>
                    </a:extLst>
                  </pic:spPr>
                </pic:pic>
              </a:graphicData>
            </a:graphic>
          </wp:inline>
        </w:drawing>
      </w:r>
    </w:p>
    <w:p w14:paraId="669693C1" w14:textId="5F8C1DD0" w:rsidR="00DD3883" w:rsidRPr="00D11098" w:rsidRDefault="00786CA6" w:rsidP="00786CA6">
      <w:pPr>
        <w:pStyle w:val="Caption"/>
        <w:rPr>
          <w:rFonts w:eastAsiaTheme="minorEastAsia" w:cs="Arial"/>
          <w:b/>
          <w:bCs/>
          <w:i w:val="0"/>
          <w:iCs w:val="0"/>
          <w:color w:val="00B1B0"/>
          <w:spacing w:val="5"/>
          <w:sz w:val="20"/>
          <w:szCs w:val="20"/>
        </w:rPr>
      </w:pPr>
      <w:r w:rsidRPr="00D11098">
        <w:rPr>
          <w:rFonts w:eastAsiaTheme="minorEastAsia" w:cs="Arial"/>
          <w:b/>
          <w:bCs/>
          <w:i w:val="0"/>
          <w:iCs w:val="0"/>
          <w:color w:val="00B1B0"/>
          <w:spacing w:val="5"/>
          <w:sz w:val="20"/>
          <w:szCs w:val="20"/>
        </w:rPr>
        <w:t xml:space="preserve">Table </w:t>
      </w:r>
      <w:r w:rsidRPr="00D11098">
        <w:rPr>
          <w:rFonts w:eastAsiaTheme="minorEastAsia" w:cs="Arial"/>
          <w:b/>
          <w:bCs/>
          <w:i w:val="0"/>
          <w:iCs w:val="0"/>
          <w:color w:val="00B1B0"/>
          <w:spacing w:val="5"/>
          <w:sz w:val="20"/>
          <w:szCs w:val="20"/>
        </w:rPr>
        <w:fldChar w:fldCharType="begin"/>
      </w:r>
      <w:r w:rsidRPr="00D11098">
        <w:rPr>
          <w:rFonts w:eastAsiaTheme="minorEastAsia" w:cs="Arial"/>
          <w:b/>
          <w:bCs/>
          <w:i w:val="0"/>
          <w:iCs w:val="0"/>
          <w:color w:val="00B1B0"/>
          <w:spacing w:val="5"/>
          <w:sz w:val="20"/>
          <w:szCs w:val="20"/>
        </w:rPr>
        <w:instrText xml:space="preserve"> SEQ Table \* ARABIC </w:instrText>
      </w:r>
      <w:r w:rsidRPr="00D11098">
        <w:rPr>
          <w:rFonts w:eastAsiaTheme="minorEastAsia" w:cs="Arial"/>
          <w:b/>
          <w:bCs/>
          <w:i w:val="0"/>
          <w:iCs w:val="0"/>
          <w:color w:val="00B1B0"/>
          <w:spacing w:val="5"/>
          <w:sz w:val="20"/>
          <w:szCs w:val="20"/>
        </w:rPr>
        <w:fldChar w:fldCharType="separate"/>
      </w:r>
      <w:r w:rsidR="008126A8">
        <w:rPr>
          <w:rFonts w:eastAsiaTheme="minorEastAsia" w:cs="Arial"/>
          <w:b/>
          <w:bCs/>
          <w:i w:val="0"/>
          <w:iCs w:val="0"/>
          <w:noProof/>
          <w:color w:val="00B1B0"/>
          <w:spacing w:val="5"/>
          <w:sz w:val="20"/>
          <w:szCs w:val="20"/>
        </w:rPr>
        <w:t>4</w:t>
      </w:r>
      <w:r w:rsidRPr="00D11098">
        <w:rPr>
          <w:rFonts w:eastAsiaTheme="minorEastAsia" w:cs="Arial"/>
          <w:b/>
          <w:bCs/>
          <w:i w:val="0"/>
          <w:iCs w:val="0"/>
          <w:color w:val="00B1B0"/>
          <w:spacing w:val="5"/>
          <w:sz w:val="20"/>
          <w:szCs w:val="20"/>
        </w:rPr>
        <w:fldChar w:fldCharType="end"/>
      </w:r>
      <w:r w:rsidR="007248B2">
        <w:rPr>
          <w:b/>
          <w:bCs/>
          <w:i w:val="0"/>
          <w:iCs w:val="0"/>
          <w:color w:val="00B1B0" w:themeColor="accent1"/>
          <w:sz w:val="20"/>
          <w:szCs w:val="20"/>
        </w:rPr>
        <w:t xml:space="preserve"> –</w:t>
      </w:r>
      <w:r w:rsidRPr="00D11098">
        <w:rPr>
          <w:rFonts w:eastAsiaTheme="minorEastAsia" w:cs="Arial"/>
          <w:b/>
          <w:bCs/>
          <w:i w:val="0"/>
          <w:iCs w:val="0"/>
          <w:color w:val="00B1B0"/>
          <w:spacing w:val="5"/>
          <w:sz w:val="20"/>
          <w:szCs w:val="20"/>
        </w:rPr>
        <w:t xml:space="preserve"> </w:t>
      </w:r>
      <w:r w:rsidR="00F62EAE" w:rsidRPr="00D11098">
        <w:rPr>
          <w:rFonts w:eastAsiaTheme="minorEastAsia" w:cs="Arial"/>
          <w:b/>
          <w:bCs/>
          <w:i w:val="0"/>
          <w:iCs w:val="0"/>
          <w:color w:val="00B1B0"/>
          <w:spacing w:val="5"/>
          <w:sz w:val="20"/>
          <w:szCs w:val="20"/>
        </w:rPr>
        <w:t>Performance summary</w:t>
      </w:r>
    </w:p>
    <w:tbl>
      <w:tblPr>
        <w:tblStyle w:val="ReportTable-TealRows"/>
        <w:tblW w:w="9639" w:type="dxa"/>
        <w:tblLook w:val="04A0" w:firstRow="1" w:lastRow="0" w:firstColumn="1" w:lastColumn="0" w:noHBand="0" w:noVBand="1"/>
      </w:tblPr>
      <w:tblGrid>
        <w:gridCol w:w="1843"/>
        <w:gridCol w:w="7796"/>
      </w:tblGrid>
      <w:tr w:rsidR="00AA36BA" w:rsidRPr="00192F41" w14:paraId="38BC25C2" w14:textId="77777777" w:rsidTr="004A61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tcPr>
          <w:p w14:paraId="5913ABC1" w14:textId="5B945BB7" w:rsidR="00360320" w:rsidRPr="00192F41" w:rsidRDefault="00360320" w:rsidP="00215363">
            <w:pPr>
              <w:rPr>
                <w:rStyle w:val="IntenseEmphasis"/>
                <w:rFonts w:cs="Arial"/>
                <w:b w:val="0"/>
                <w:bCs/>
                <w:i w:val="0"/>
                <w:iCs w:val="0"/>
                <w:color w:val="FFFFFF" w:themeColor="background1"/>
                <w:sz w:val="20"/>
                <w:szCs w:val="20"/>
              </w:rPr>
            </w:pPr>
            <w:r w:rsidRPr="00192F41">
              <w:rPr>
                <w:rStyle w:val="IntenseEmphasis"/>
                <w:rFonts w:cs="Arial"/>
                <w:bCs/>
                <w:i w:val="0"/>
                <w:iCs w:val="0"/>
                <w:color w:val="FFFFFF" w:themeColor="background1"/>
                <w:sz w:val="20"/>
                <w:szCs w:val="20"/>
              </w:rPr>
              <w:t>Outcome</w:t>
            </w:r>
          </w:p>
        </w:tc>
        <w:tc>
          <w:tcPr>
            <w:tcW w:w="7796" w:type="dxa"/>
          </w:tcPr>
          <w:p w14:paraId="62B0EE8B" w14:textId="3DEF2E82" w:rsidR="00360320" w:rsidRPr="00192F41" w:rsidRDefault="004429E5" w:rsidP="00215363">
            <w:pPr>
              <w:cnfStyle w:val="100000000000" w:firstRow="1" w:lastRow="0" w:firstColumn="0" w:lastColumn="0" w:oddVBand="0" w:evenVBand="0" w:oddHBand="0" w:evenHBand="0" w:firstRowFirstColumn="0" w:firstRowLastColumn="0" w:lastRowFirstColumn="0" w:lastRowLastColumn="0"/>
              <w:rPr>
                <w:rStyle w:val="IntenseEmphasis"/>
                <w:rFonts w:cs="Arial"/>
                <w:b w:val="0"/>
                <w:bCs/>
                <w:i w:val="0"/>
                <w:iCs w:val="0"/>
                <w:color w:val="FFFFFF" w:themeColor="background1"/>
                <w:sz w:val="20"/>
                <w:szCs w:val="20"/>
              </w:rPr>
            </w:pPr>
            <w:r w:rsidRPr="00192F41">
              <w:rPr>
                <w:rStyle w:val="IntenseEmphasis"/>
                <w:rFonts w:cs="Arial"/>
                <w:bCs/>
                <w:i w:val="0"/>
                <w:iCs w:val="0"/>
                <w:color w:val="FFFFFF" w:themeColor="background1"/>
                <w:sz w:val="20"/>
                <w:szCs w:val="20"/>
              </w:rPr>
              <w:t>Performance</w:t>
            </w:r>
          </w:p>
        </w:tc>
      </w:tr>
      <w:tr w:rsidR="00360320" w:rsidRPr="00192F41" w14:paraId="27C91522" w14:textId="77777777" w:rsidTr="00BC489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Align w:val="top"/>
          </w:tcPr>
          <w:p w14:paraId="25016675" w14:textId="522B7EAE" w:rsidR="00360320" w:rsidRPr="00741545" w:rsidRDefault="00360320" w:rsidP="00EC6EC0">
            <w:pPr>
              <w:rPr>
                <w:rStyle w:val="IntenseEmphasis"/>
                <w:rFonts w:cs="Arial"/>
                <w:i w:val="0"/>
                <w:color w:val="000000" w:themeColor="text1"/>
                <w:sz w:val="20"/>
                <w:szCs w:val="20"/>
              </w:rPr>
            </w:pPr>
            <w:r w:rsidRPr="00741545">
              <w:rPr>
                <w:rStyle w:val="IntenseEmphasis"/>
                <w:rFonts w:cs="Arial"/>
                <w:i w:val="0"/>
                <w:color w:val="000000" w:themeColor="text1"/>
                <w:sz w:val="20"/>
                <w:szCs w:val="20"/>
              </w:rPr>
              <w:t>SRW provides great customer service</w:t>
            </w:r>
          </w:p>
        </w:tc>
        <w:tc>
          <w:tcPr>
            <w:tcW w:w="7796" w:type="dxa"/>
            <w:vAlign w:val="top"/>
          </w:tcPr>
          <w:p w14:paraId="41C46E52" w14:textId="1F15F7FA" w:rsidR="00360320" w:rsidRPr="00192F41" w:rsidRDefault="0029208D" w:rsidP="006E6930">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i w:val="0"/>
                <w:iCs w:val="0"/>
                <w:color w:val="000000" w:themeColor="text1"/>
                <w:sz w:val="20"/>
                <w:szCs w:val="20"/>
              </w:rPr>
            </w:pPr>
            <w:r w:rsidRPr="00192F41">
              <w:rPr>
                <w:rStyle w:val="IntenseEmphasis"/>
                <w:rFonts w:cs="Arial"/>
                <w:i w:val="0"/>
                <w:iCs w:val="0"/>
                <w:color w:val="000000" w:themeColor="text1"/>
                <w:sz w:val="20"/>
                <w:szCs w:val="20"/>
              </w:rPr>
              <w:t>Despite ongoing disruptions to our business due to COVID</w:t>
            </w:r>
            <w:r w:rsidR="0075038E">
              <w:rPr>
                <w:rStyle w:val="IntenseEmphasis"/>
                <w:rFonts w:cs="Arial"/>
                <w:i w:val="0"/>
                <w:iCs w:val="0"/>
                <w:color w:val="000000" w:themeColor="text1"/>
                <w:sz w:val="20"/>
                <w:szCs w:val="20"/>
              </w:rPr>
              <w:t>-</w:t>
            </w:r>
            <w:r w:rsidRPr="00192F41">
              <w:rPr>
                <w:rStyle w:val="IntenseEmphasis"/>
                <w:rFonts w:cs="Arial"/>
                <w:i w:val="0"/>
                <w:iCs w:val="0"/>
                <w:color w:val="000000" w:themeColor="text1"/>
                <w:sz w:val="20"/>
                <w:szCs w:val="20"/>
              </w:rPr>
              <w:t>19, we have continued to exceed our target for processing</w:t>
            </w:r>
            <w:r w:rsidR="0033463D" w:rsidRPr="00192F41">
              <w:rPr>
                <w:rStyle w:val="IntenseEmphasis"/>
                <w:rFonts w:cs="Arial"/>
                <w:i w:val="0"/>
                <w:iCs w:val="0"/>
                <w:color w:val="000000" w:themeColor="text1"/>
                <w:sz w:val="20"/>
                <w:szCs w:val="20"/>
              </w:rPr>
              <w:t xml:space="preserve"> </w:t>
            </w:r>
            <w:r w:rsidR="0004195B">
              <w:rPr>
                <w:rStyle w:val="IntenseEmphasis"/>
                <w:rFonts w:cs="Arial"/>
                <w:i w:val="0"/>
                <w:iCs w:val="0"/>
                <w:color w:val="000000" w:themeColor="text1"/>
                <w:sz w:val="20"/>
                <w:szCs w:val="20"/>
              </w:rPr>
              <w:t>applications</w:t>
            </w:r>
            <w:r w:rsidR="0004195B">
              <w:rPr>
                <w:rStyle w:val="IntenseEmphasis"/>
                <w:rFonts w:cs="Arial"/>
                <w:color w:val="000000" w:themeColor="text1"/>
                <w:sz w:val="20"/>
                <w:szCs w:val="20"/>
              </w:rPr>
              <w:t xml:space="preserve"> </w:t>
            </w:r>
            <w:r w:rsidR="0033463D" w:rsidRPr="00192F41">
              <w:rPr>
                <w:rStyle w:val="IntenseEmphasis"/>
                <w:rFonts w:cs="Arial"/>
                <w:i w:val="0"/>
                <w:iCs w:val="0"/>
                <w:color w:val="000000" w:themeColor="text1"/>
                <w:sz w:val="20"/>
                <w:szCs w:val="20"/>
              </w:rPr>
              <w:t xml:space="preserve">with </w:t>
            </w:r>
            <w:r w:rsidR="0075038E">
              <w:rPr>
                <w:rStyle w:val="IntenseEmphasis"/>
                <w:rFonts w:cs="Arial"/>
                <w:i w:val="0"/>
                <w:iCs w:val="0"/>
                <w:color w:val="000000" w:themeColor="text1"/>
                <w:sz w:val="20"/>
                <w:szCs w:val="20"/>
              </w:rPr>
              <w:t>more than</w:t>
            </w:r>
            <w:r w:rsidR="00032B86" w:rsidRPr="00192F41">
              <w:rPr>
                <w:rStyle w:val="IntenseEmphasis"/>
                <w:rFonts w:cs="Arial"/>
                <w:i w:val="0"/>
                <w:iCs w:val="0"/>
                <w:color w:val="000000" w:themeColor="text1"/>
                <w:sz w:val="20"/>
                <w:szCs w:val="20"/>
              </w:rPr>
              <w:t xml:space="preserve"> 90</w:t>
            </w:r>
            <w:r w:rsidR="0033463D" w:rsidRPr="00192F41">
              <w:rPr>
                <w:rStyle w:val="IntenseEmphasis"/>
                <w:rFonts w:cs="Arial"/>
                <w:i w:val="0"/>
                <w:iCs w:val="0"/>
                <w:color w:val="000000" w:themeColor="text1"/>
                <w:sz w:val="20"/>
                <w:szCs w:val="20"/>
              </w:rPr>
              <w:t xml:space="preserve">% of all </w:t>
            </w:r>
            <w:r w:rsidR="00101418" w:rsidRPr="00192F41">
              <w:rPr>
                <w:rStyle w:val="IntenseEmphasis"/>
                <w:rFonts w:cs="Arial"/>
                <w:i w:val="0"/>
                <w:iCs w:val="0"/>
                <w:color w:val="000000" w:themeColor="text1"/>
                <w:sz w:val="20"/>
                <w:szCs w:val="20"/>
              </w:rPr>
              <w:t>applications</w:t>
            </w:r>
            <w:r w:rsidR="0033463D" w:rsidRPr="00192F41">
              <w:rPr>
                <w:rStyle w:val="IntenseEmphasis"/>
                <w:rFonts w:cs="Arial"/>
                <w:i w:val="0"/>
                <w:iCs w:val="0"/>
                <w:color w:val="000000" w:themeColor="text1"/>
                <w:sz w:val="20"/>
                <w:szCs w:val="20"/>
              </w:rPr>
              <w:t xml:space="preserve"> in recent years </w:t>
            </w:r>
            <w:r w:rsidR="00101418" w:rsidRPr="00192F41">
              <w:rPr>
                <w:rStyle w:val="IntenseEmphasis"/>
                <w:rFonts w:cs="Arial"/>
                <w:i w:val="0"/>
                <w:iCs w:val="0"/>
                <w:color w:val="000000" w:themeColor="text1"/>
                <w:sz w:val="20"/>
                <w:szCs w:val="20"/>
              </w:rPr>
              <w:t>completed</w:t>
            </w:r>
            <w:r w:rsidR="0033463D" w:rsidRPr="00192F41">
              <w:rPr>
                <w:rStyle w:val="IntenseEmphasis"/>
                <w:rFonts w:cs="Arial"/>
                <w:i w:val="0"/>
                <w:iCs w:val="0"/>
                <w:color w:val="000000" w:themeColor="text1"/>
                <w:sz w:val="20"/>
                <w:szCs w:val="20"/>
              </w:rPr>
              <w:t xml:space="preserve"> on time</w:t>
            </w:r>
            <w:r w:rsidR="00AF3141" w:rsidRPr="00192F41">
              <w:rPr>
                <w:rStyle w:val="IntenseEmphasis"/>
                <w:rFonts w:cs="Arial"/>
                <w:i w:val="0"/>
                <w:iCs w:val="0"/>
                <w:color w:val="000000" w:themeColor="text1"/>
                <w:sz w:val="20"/>
                <w:szCs w:val="20"/>
              </w:rPr>
              <w:t>.</w:t>
            </w:r>
          </w:p>
        </w:tc>
      </w:tr>
      <w:tr w:rsidR="00360320" w:rsidRPr="00192F41" w14:paraId="1EF0B795" w14:textId="77777777" w:rsidTr="00BC489E">
        <w:tc>
          <w:tcPr>
            <w:cnfStyle w:val="001000000000" w:firstRow="0" w:lastRow="0" w:firstColumn="1" w:lastColumn="0" w:oddVBand="0" w:evenVBand="0" w:oddHBand="0" w:evenHBand="0" w:firstRowFirstColumn="0" w:firstRowLastColumn="0" w:lastRowFirstColumn="0" w:lastRowLastColumn="0"/>
            <w:tcW w:w="1843" w:type="dxa"/>
            <w:vAlign w:val="top"/>
          </w:tcPr>
          <w:p w14:paraId="683C8EEB" w14:textId="22847B12" w:rsidR="00360320" w:rsidRPr="00741545" w:rsidRDefault="00360320" w:rsidP="00EC6EC0">
            <w:pPr>
              <w:rPr>
                <w:rStyle w:val="IntenseEmphasis"/>
                <w:rFonts w:cs="Arial"/>
                <w:i w:val="0"/>
                <w:color w:val="000000" w:themeColor="text1"/>
                <w:sz w:val="20"/>
                <w:szCs w:val="20"/>
              </w:rPr>
            </w:pPr>
            <w:r w:rsidRPr="00741545">
              <w:rPr>
                <w:rStyle w:val="IntenseEmphasis"/>
                <w:rFonts w:cs="Arial"/>
                <w:i w:val="0"/>
                <w:color w:val="000000" w:themeColor="text1"/>
                <w:sz w:val="20"/>
                <w:szCs w:val="20"/>
              </w:rPr>
              <w:t>SRW's water supply system enables good practice irrigation</w:t>
            </w:r>
          </w:p>
        </w:tc>
        <w:tc>
          <w:tcPr>
            <w:tcW w:w="7796" w:type="dxa"/>
            <w:vAlign w:val="top"/>
          </w:tcPr>
          <w:p w14:paraId="7643B7D7" w14:textId="3A4CEF56" w:rsidR="007D3730" w:rsidRPr="00192F41" w:rsidRDefault="007E3E09" w:rsidP="006E6930">
            <w:pPr>
              <w:spacing w:before="40" w:after="40"/>
              <w:ind w:right="119"/>
              <w:jc w:val="both"/>
              <w:cnfStyle w:val="000000000000" w:firstRow="0" w:lastRow="0" w:firstColumn="0" w:lastColumn="0" w:oddVBand="0" w:evenVBand="0" w:oddHBand="0" w:evenHBand="0" w:firstRowFirstColumn="0" w:firstRowLastColumn="0" w:lastRowFirstColumn="0" w:lastRowLastColumn="0"/>
              <w:rPr>
                <w:rStyle w:val="IntenseEmphasis"/>
                <w:rFonts w:cs="Arial"/>
                <w:i w:val="0"/>
                <w:iCs w:val="0"/>
                <w:color w:val="000000" w:themeColor="text1"/>
                <w:sz w:val="20"/>
                <w:szCs w:val="20"/>
              </w:rPr>
            </w:pPr>
            <w:r w:rsidRPr="00192F41">
              <w:rPr>
                <w:rStyle w:val="IntenseEmphasis"/>
                <w:rFonts w:cs="Arial"/>
                <w:i w:val="0"/>
                <w:iCs w:val="0"/>
                <w:color w:val="000000" w:themeColor="text1"/>
                <w:sz w:val="20"/>
                <w:szCs w:val="20"/>
              </w:rPr>
              <w:t>The transition f</w:t>
            </w:r>
            <w:r w:rsidR="00596579" w:rsidRPr="00192F41">
              <w:rPr>
                <w:rStyle w:val="IntenseEmphasis"/>
                <w:rFonts w:cs="Arial"/>
                <w:i w:val="0"/>
                <w:iCs w:val="0"/>
                <w:color w:val="000000" w:themeColor="text1"/>
                <w:sz w:val="20"/>
                <w:szCs w:val="20"/>
              </w:rPr>
              <w:t>rom</w:t>
            </w:r>
            <w:r w:rsidRPr="00192F41">
              <w:rPr>
                <w:rStyle w:val="IntenseEmphasis"/>
                <w:rFonts w:cs="Arial"/>
                <w:i w:val="0"/>
                <w:iCs w:val="0"/>
                <w:color w:val="000000" w:themeColor="text1"/>
                <w:sz w:val="20"/>
                <w:szCs w:val="20"/>
              </w:rPr>
              <w:t xml:space="preserve"> manually operated irrigation systems to automated systems has presented some challenges.</w:t>
            </w:r>
            <w:r w:rsidR="00596579" w:rsidRPr="00192F41">
              <w:rPr>
                <w:rStyle w:val="IntenseEmphasis"/>
                <w:rFonts w:cs="Arial"/>
                <w:i w:val="0"/>
                <w:iCs w:val="0"/>
                <w:color w:val="000000" w:themeColor="text1"/>
                <w:sz w:val="20"/>
                <w:szCs w:val="20"/>
              </w:rPr>
              <w:t xml:space="preserve"> However, </w:t>
            </w:r>
            <w:r w:rsidR="00651973" w:rsidRPr="00192F41">
              <w:rPr>
                <w:rStyle w:val="IntenseEmphasis"/>
                <w:rFonts w:cs="Arial"/>
                <w:i w:val="0"/>
                <w:iCs w:val="0"/>
                <w:color w:val="000000" w:themeColor="text1"/>
                <w:sz w:val="20"/>
                <w:szCs w:val="20"/>
              </w:rPr>
              <w:t>our staff have been proactive</w:t>
            </w:r>
            <w:r w:rsidR="003E77A1" w:rsidRPr="00192F41">
              <w:rPr>
                <w:rStyle w:val="IntenseEmphasis"/>
                <w:rFonts w:cs="Arial"/>
                <w:i w:val="0"/>
                <w:iCs w:val="0"/>
                <w:color w:val="000000" w:themeColor="text1"/>
                <w:sz w:val="20"/>
                <w:szCs w:val="20"/>
              </w:rPr>
              <w:t>, contacting customer</w:t>
            </w:r>
            <w:r w:rsidR="00727120" w:rsidRPr="00192F41">
              <w:rPr>
                <w:rStyle w:val="IntenseEmphasis"/>
                <w:rFonts w:cs="Arial"/>
                <w:i w:val="0"/>
                <w:iCs w:val="0"/>
                <w:color w:val="000000" w:themeColor="text1"/>
                <w:sz w:val="20"/>
                <w:szCs w:val="20"/>
              </w:rPr>
              <w:t xml:space="preserve">s to find solutions </w:t>
            </w:r>
            <w:r w:rsidR="00B92236" w:rsidRPr="00B92236">
              <w:rPr>
                <w:rStyle w:val="IntenseEmphasis"/>
                <w:rFonts w:cs="Arial"/>
                <w:i w:val="0"/>
                <w:iCs w:val="0"/>
                <w:color w:val="000000" w:themeColor="text1"/>
                <w:sz w:val="20"/>
                <w:szCs w:val="20"/>
              </w:rPr>
              <w:t>to</w:t>
            </w:r>
            <w:r w:rsidR="00727120" w:rsidRPr="00192F41">
              <w:rPr>
                <w:rStyle w:val="IntenseEmphasis"/>
                <w:rFonts w:cs="Arial"/>
                <w:i w:val="0"/>
                <w:iCs w:val="0"/>
                <w:color w:val="000000" w:themeColor="text1"/>
                <w:sz w:val="20"/>
                <w:szCs w:val="20"/>
              </w:rPr>
              <w:t xml:space="preserve"> enable good irrigation practices.</w:t>
            </w:r>
            <w:r w:rsidR="002830B3">
              <w:rPr>
                <w:rStyle w:val="IntenseEmphasis"/>
                <w:rFonts w:cs="Arial"/>
                <w:i w:val="0"/>
                <w:iCs w:val="0"/>
                <w:color w:val="000000" w:themeColor="text1"/>
                <w:sz w:val="20"/>
                <w:szCs w:val="20"/>
              </w:rPr>
              <w:t xml:space="preserve"> </w:t>
            </w:r>
            <w:r w:rsidR="00596579" w:rsidRPr="00192F41">
              <w:rPr>
                <w:rStyle w:val="IntenseEmphasis"/>
                <w:rFonts w:cs="Arial"/>
                <w:i w:val="0"/>
                <w:iCs w:val="0"/>
                <w:color w:val="000000" w:themeColor="text1"/>
                <w:sz w:val="20"/>
                <w:szCs w:val="20"/>
              </w:rPr>
              <w:t xml:space="preserve">The net result is that while we have experienced some operational </w:t>
            </w:r>
            <w:r w:rsidR="00367E06" w:rsidRPr="00192F41">
              <w:rPr>
                <w:rStyle w:val="IntenseEmphasis"/>
                <w:rFonts w:cs="Arial"/>
                <w:i w:val="0"/>
                <w:iCs w:val="0"/>
                <w:color w:val="000000" w:themeColor="text1"/>
                <w:sz w:val="20"/>
                <w:szCs w:val="20"/>
              </w:rPr>
              <w:t>difficulties</w:t>
            </w:r>
            <w:r w:rsidR="00596579" w:rsidRPr="00192F41">
              <w:rPr>
                <w:rStyle w:val="IntenseEmphasis"/>
                <w:rFonts w:cs="Arial"/>
                <w:i w:val="0"/>
                <w:iCs w:val="0"/>
                <w:color w:val="000000" w:themeColor="text1"/>
                <w:sz w:val="20"/>
                <w:szCs w:val="20"/>
              </w:rPr>
              <w:t xml:space="preserve"> which are reflected in our performance measures, </w:t>
            </w:r>
            <w:r w:rsidR="00F92E18" w:rsidRPr="00192F41">
              <w:rPr>
                <w:rStyle w:val="IntenseEmphasis"/>
                <w:rFonts w:cs="Arial"/>
                <w:i w:val="0"/>
                <w:iCs w:val="0"/>
                <w:color w:val="000000" w:themeColor="text1"/>
                <w:sz w:val="20"/>
                <w:szCs w:val="20"/>
              </w:rPr>
              <w:t xml:space="preserve">our customers have not been impacted as </w:t>
            </w:r>
            <w:r w:rsidR="00596579" w:rsidRPr="00192F41">
              <w:rPr>
                <w:rStyle w:val="IntenseEmphasis"/>
                <w:rFonts w:cs="Arial"/>
                <w:i w:val="0"/>
                <w:iCs w:val="0"/>
                <w:color w:val="000000" w:themeColor="text1"/>
                <w:sz w:val="20"/>
                <w:szCs w:val="20"/>
              </w:rPr>
              <w:t xml:space="preserve">we have continued to provide close to 100% of all </w:t>
            </w:r>
            <w:r w:rsidR="007D3730" w:rsidRPr="00192F41">
              <w:rPr>
                <w:rStyle w:val="IntenseEmphasis"/>
                <w:rFonts w:cs="Arial"/>
                <w:i w:val="0"/>
                <w:iCs w:val="0"/>
                <w:color w:val="000000" w:themeColor="text1"/>
                <w:sz w:val="20"/>
                <w:szCs w:val="20"/>
              </w:rPr>
              <w:t>orders.</w:t>
            </w:r>
          </w:p>
        </w:tc>
      </w:tr>
      <w:tr w:rsidR="00360320" w:rsidRPr="00192F41" w14:paraId="37114FB4" w14:textId="77777777" w:rsidTr="00FC0B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43" w:type="dxa"/>
            <w:vAlign w:val="top"/>
          </w:tcPr>
          <w:p w14:paraId="13BF8801" w14:textId="523485F6" w:rsidR="00360320" w:rsidRPr="00741545" w:rsidRDefault="00360320" w:rsidP="00EC6EC0">
            <w:pPr>
              <w:rPr>
                <w:rStyle w:val="IntenseEmphasis"/>
                <w:rFonts w:cs="Arial"/>
                <w:i w:val="0"/>
                <w:color w:val="000000" w:themeColor="text1"/>
                <w:sz w:val="20"/>
                <w:szCs w:val="20"/>
              </w:rPr>
            </w:pPr>
            <w:r w:rsidRPr="00741545">
              <w:rPr>
                <w:rStyle w:val="IntenseEmphasis"/>
                <w:rFonts w:cs="Arial"/>
                <w:i w:val="0"/>
                <w:color w:val="000000" w:themeColor="text1"/>
                <w:sz w:val="20"/>
                <w:szCs w:val="20"/>
              </w:rPr>
              <w:t>SRW manages water resources well</w:t>
            </w:r>
          </w:p>
        </w:tc>
        <w:tc>
          <w:tcPr>
            <w:tcW w:w="7796" w:type="dxa"/>
            <w:vAlign w:val="top"/>
          </w:tcPr>
          <w:p w14:paraId="357DBBD2" w14:textId="0AD71660" w:rsidR="005B02F3" w:rsidRPr="00192F41" w:rsidRDefault="0099519A" w:rsidP="006E6930">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color w:val="000000" w:themeColor="text1"/>
                <w:sz w:val="20"/>
                <w:szCs w:val="20"/>
              </w:rPr>
            </w:pPr>
            <w:r w:rsidRPr="00192F41">
              <w:rPr>
                <w:rStyle w:val="IntenseEmphasis"/>
                <w:rFonts w:cs="Arial"/>
                <w:i w:val="0"/>
                <w:iCs w:val="0"/>
                <w:color w:val="000000" w:themeColor="text1"/>
                <w:sz w:val="20"/>
                <w:szCs w:val="20"/>
              </w:rPr>
              <w:t xml:space="preserve">We have </w:t>
            </w:r>
            <w:r w:rsidR="00BE2357" w:rsidRPr="00192F41">
              <w:rPr>
                <w:rStyle w:val="IntenseEmphasis"/>
                <w:rFonts w:cs="Arial"/>
                <w:i w:val="0"/>
                <w:iCs w:val="0"/>
                <w:color w:val="000000" w:themeColor="text1"/>
                <w:sz w:val="20"/>
                <w:szCs w:val="20"/>
              </w:rPr>
              <w:t xml:space="preserve">consistently met </w:t>
            </w:r>
            <w:r w:rsidRPr="00192F41">
              <w:rPr>
                <w:rStyle w:val="IntenseEmphasis"/>
                <w:rFonts w:cs="Arial"/>
                <w:i w:val="0"/>
                <w:iCs w:val="0"/>
                <w:color w:val="000000" w:themeColor="text1"/>
                <w:sz w:val="20"/>
                <w:szCs w:val="20"/>
              </w:rPr>
              <w:t xml:space="preserve">or exceeded </w:t>
            </w:r>
            <w:r w:rsidR="002D2A12" w:rsidRPr="00192F41">
              <w:rPr>
                <w:rStyle w:val="IntenseEmphasis"/>
                <w:rFonts w:cs="Arial"/>
                <w:i w:val="0"/>
                <w:iCs w:val="0"/>
                <w:color w:val="000000" w:themeColor="text1"/>
                <w:sz w:val="20"/>
                <w:szCs w:val="20"/>
              </w:rPr>
              <w:t>all</w:t>
            </w:r>
            <w:r w:rsidRPr="00192F41">
              <w:rPr>
                <w:rStyle w:val="IntenseEmphasis"/>
                <w:rFonts w:cs="Arial"/>
                <w:i w:val="0"/>
                <w:iCs w:val="0"/>
                <w:color w:val="000000" w:themeColor="text1"/>
                <w:sz w:val="20"/>
                <w:szCs w:val="20"/>
              </w:rPr>
              <w:t xml:space="preserve"> our targets in this area.</w:t>
            </w:r>
            <w:r w:rsidR="00196D56">
              <w:rPr>
                <w:rStyle w:val="IntenseEmphasis"/>
                <w:rFonts w:cs="Arial"/>
                <w:i w:val="0"/>
                <w:iCs w:val="0"/>
                <w:color w:val="000000" w:themeColor="text1"/>
                <w:sz w:val="20"/>
                <w:szCs w:val="20"/>
              </w:rPr>
              <w:t xml:space="preserve"> </w:t>
            </w:r>
          </w:p>
          <w:p w14:paraId="35D13CAB" w14:textId="5041618F" w:rsidR="008A2D1A" w:rsidRPr="00192F41" w:rsidRDefault="008F4BE9" w:rsidP="006E6930">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i w:val="0"/>
                <w:iCs w:val="0"/>
                <w:color w:val="000000" w:themeColor="text1"/>
                <w:sz w:val="20"/>
                <w:szCs w:val="20"/>
              </w:rPr>
            </w:pPr>
            <w:r w:rsidRPr="00192F41">
              <w:rPr>
                <w:rStyle w:val="IntenseEmphasis"/>
                <w:rFonts w:cs="Arial"/>
                <w:i w:val="0"/>
                <w:iCs w:val="0"/>
                <w:color w:val="000000" w:themeColor="text1"/>
                <w:sz w:val="20"/>
                <w:szCs w:val="20"/>
              </w:rPr>
              <w:t xml:space="preserve">We have harvested water </w:t>
            </w:r>
            <w:r w:rsidR="006D18AC" w:rsidRPr="00192F41">
              <w:rPr>
                <w:rStyle w:val="IntenseEmphasis"/>
                <w:rFonts w:cs="Arial"/>
                <w:i w:val="0"/>
                <w:iCs w:val="0"/>
                <w:color w:val="000000" w:themeColor="text1"/>
                <w:sz w:val="20"/>
                <w:szCs w:val="20"/>
              </w:rPr>
              <w:t>in accordance with agreed rates, giving customers greater access to water</w:t>
            </w:r>
            <w:r w:rsidR="00AC5886" w:rsidRPr="00192F41">
              <w:rPr>
                <w:rStyle w:val="IntenseEmphasis"/>
                <w:rFonts w:cs="Arial"/>
                <w:i w:val="0"/>
                <w:iCs w:val="0"/>
                <w:color w:val="000000" w:themeColor="text1"/>
                <w:sz w:val="20"/>
                <w:szCs w:val="20"/>
              </w:rPr>
              <w:t>, while managing our releases to minimise losses.</w:t>
            </w:r>
          </w:p>
        </w:tc>
      </w:tr>
      <w:tr w:rsidR="00360320" w:rsidRPr="00192F41" w14:paraId="46AE83C4" w14:textId="77777777" w:rsidTr="00FC0BC6">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auto"/>
            </w:tcBorders>
            <w:vAlign w:val="top"/>
          </w:tcPr>
          <w:p w14:paraId="2E2B6F3A" w14:textId="00173BA3" w:rsidR="00360320" w:rsidRPr="00741545" w:rsidRDefault="00360320" w:rsidP="00EC6EC0">
            <w:pPr>
              <w:rPr>
                <w:rStyle w:val="IntenseEmphasis"/>
                <w:rFonts w:cs="Arial"/>
                <w:i w:val="0"/>
                <w:color w:val="000000" w:themeColor="text1"/>
                <w:sz w:val="20"/>
                <w:szCs w:val="20"/>
              </w:rPr>
            </w:pPr>
            <w:r w:rsidRPr="00741545">
              <w:rPr>
                <w:rStyle w:val="IntenseEmphasis"/>
                <w:rFonts w:cs="Arial"/>
                <w:i w:val="0"/>
                <w:color w:val="000000" w:themeColor="text1"/>
                <w:sz w:val="20"/>
                <w:szCs w:val="20"/>
              </w:rPr>
              <w:t>SRW works with me to manage my needs and entitlements</w:t>
            </w:r>
          </w:p>
        </w:tc>
        <w:tc>
          <w:tcPr>
            <w:tcW w:w="7796" w:type="dxa"/>
            <w:tcBorders>
              <w:bottom w:val="single" w:sz="4" w:space="0" w:color="auto"/>
            </w:tcBorders>
            <w:vAlign w:val="top"/>
          </w:tcPr>
          <w:p w14:paraId="41ED7F63" w14:textId="77777777" w:rsidR="006E6930" w:rsidRDefault="00501CEF" w:rsidP="006E6930">
            <w:pPr>
              <w:spacing w:before="40" w:after="120"/>
              <w:ind w:right="119"/>
              <w:jc w:val="both"/>
              <w:cnfStyle w:val="000000000000" w:firstRow="0" w:lastRow="0" w:firstColumn="0" w:lastColumn="0" w:oddVBand="0" w:evenVBand="0" w:oddHBand="0" w:evenHBand="0" w:firstRowFirstColumn="0" w:firstRowLastColumn="0" w:lastRowFirstColumn="0" w:lastRowLastColumn="0"/>
              <w:rPr>
                <w:rStyle w:val="IntenseEmphasis"/>
                <w:rFonts w:cs="Arial"/>
                <w:i w:val="0"/>
                <w:iCs w:val="0"/>
                <w:color w:val="000000" w:themeColor="text1"/>
                <w:sz w:val="20"/>
                <w:szCs w:val="20"/>
              </w:rPr>
            </w:pPr>
            <w:r w:rsidRPr="00192F41">
              <w:rPr>
                <w:rStyle w:val="IntenseEmphasis"/>
                <w:rFonts w:cs="Arial"/>
                <w:i w:val="0"/>
                <w:iCs w:val="0"/>
                <w:color w:val="000000" w:themeColor="text1"/>
                <w:sz w:val="20"/>
                <w:szCs w:val="20"/>
              </w:rPr>
              <w:t xml:space="preserve">COVID-19 had a significant impact on our ability to </w:t>
            </w:r>
            <w:r w:rsidR="00E04A22" w:rsidRPr="00192F41">
              <w:rPr>
                <w:rStyle w:val="IntenseEmphasis"/>
                <w:rFonts w:cs="Arial"/>
                <w:i w:val="0"/>
                <w:iCs w:val="0"/>
                <w:color w:val="000000" w:themeColor="text1"/>
                <w:sz w:val="20"/>
                <w:szCs w:val="20"/>
              </w:rPr>
              <w:t>engage with our customers in the field</w:t>
            </w:r>
            <w:r w:rsidR="00A177E3" w:rsidRPr="00192F41">
              <w:rPr>
                <w:rStyle w:val="IntenseEmphasis"/>
                <w:rFonts w:cs="Arial"/>
                <w:i w:val="0"/>
                <w:iCs w:val="0"/>
                <w:color w:val="000000" w:themeColor="text1"/>
                <w:sz w:val="20"/>
                <w:szCs w:val="20"/>
              </w:rPr>
              <w:t xml:space="preserve"> which has l</w:t>
            </w:r>
            <w:r w:rsidR="0085203E" w:rsidRPr="00192F41">
              <w:rPr>
                <w:rStyle w:val="IntenseEmphasis"/>
                <w:rFonts w:cs="Arial"/>
                <w:i w:val="0"/>
                <w:iCs w:val="0"/>
                <w:color w:val="000000" w:themeColor="text1"/>
                <w:sz w:val="20"/>
                <w:szCs w:val="20"/>
              </w:rPr>
              <w:t>imited our ability to promote water trading between customers.</w:t>
            </w:r>
            <w:r w:rsidR="009F47A1" w:rsidRPr="00192F41">
              <w:rPr>
                <w:rStyle w:val="IntenseEmphasis"/>
                <w:rFonts w:cs="Arial"/>
                <w:i w:val="0"/>
                <w:iCs w:val="0"/>
                <w:color w:val="000000" w:themeColor="text1"/>
                <w:sz w:val="20"/>
                <w:szCs w:val="20"/>
              </w:rPr>
              <w:t xml:space="preserve"> </w:t>
            </w:r>
            <w:r w:rsidR="00FF0FC2" w:rsidRPr="00192F41">
              <w:rPr>
                <w:rStyle w:val="IntenseEmphasis"/>
                <w:rFonts w:cs="Arial"/>
                <w:i w:val="0"/>
                <w:iCs w:val="0"/>
                <w:color w:val="000000" w:themeColor="text1"/>
                <w:sz w:val="20"/>
                <w:szCs w:val="20"/>
              </w:rPr>
              <w:t>Similarly,</w:t>
            </w:r>
            <w:r w:rsidR="000638A5" w:rsidRPr="00192F41">
              <w:rPr>
                <w:rStyle w:val="IntenseEmphasis"/>
                <w:rFonts w:cs="Arial"/>
                <w:i w:val="0"/>
                <w:iCs w:val="0"/>
                <w:color w:val="000000" w:themeColor="text1"/>
                <w:sz w:val="20"/>
                <w:szCs w:val="20"/>
              </w:rPr>
              <w:t xml:space="preserve"> our ability to offer more water for sale</w:t>
            </w:r>
            <w:r w:rsidR="00333D2D" w:rsidRPr="00192F41">
              <w:rPr>
                <w:rStyle w:val="IntenseEmphasis"/>
                <w:rFonts w:cs="Arial"/>
                <w:i w:val="0"/>
                <w:iCs w:val="0"/>
                <w:color w:val="000000" w:themeColor="text1"/>
                <w:sz w:val="20"/>
                <w:szCs w:val="20"/>
              </w:rPr>
              <w:t xml:space="preserve"> has been limited in recent years</w:t>
            </w:r>
            <w:r w:rsidR="00235028" w:rsidRPr="00192F41">
              <w:rPr>
                <w:rStyle w:val="IntenseEmphasis"/>
                <w:rFonts w:cs="Arial"/>
                <w:i w:val="0"/>
                <w:iCs w:val="0"/>
                <w:color w:val="000000" w:themeColor="text1"/>
                <w:sz w:val="20"/>
                <w:szCs w:val="20"/>
              </w:rPr>
              <w:t xml:space="preserve"> due t</w:t>
            </w:r>
            <w:r w:rsidR="00992799" w:rsidRPr="00192F41">
              <w:rPr>
                <w:rStyle w:val="IntenseEmphasis"/>
                <w:rFonts w:cs="Arial"/>
                <w:i w:val="0"/>
                <w:iCs w:val="0"/>
                <w:color w:val="000000" w:themeColor="text1"/>
                <w:sz w:val="20"/>
                <w:szCs w:val="20"/>
              </w:rPr>
              <w:t xml:space="preserve">o delays </w:t>
            </w:r>
            <w:r w:rsidR="00BE3D96" w:rsidRPr="00192F41">
              <w:rPr>
                <w:rStyle w:val="IntenseEmphasis"/>
                <w:rFonts w:cs="Arial"/>
                <w:i w:val="0"/>
                <w:iCs w:val="0"/>
                <w:color w:val="000000" w:themeColor="text1"/>
                <w:sz w:val="20"/>
                <w:szCs w:val="20"/>
              </w:rPr>
              <w:t>in getting the water savings from modernisation validated</w:t>
            </w:r>
            <w:r w:rsidR="001E68FB" w:rsidRPr="00192F41">
              <w:rPr>
                <w:rStyle w:val="IntenseEmphasis"/>
                <w:rFonts w:cs="Arial"/>
                <w:i w:val="0"/>
                <w:iCs w:val="0"/>
                <w:color w:val="000000" w:themeColor="text1"/>
                <w:sz w:val="20"/>
                <w:szCs w:val="20"/>
              </w:rPr>
              <w:t xml:space="preserve"> before the water can be sold.</w:t>
            </w:r>
          </w:p>
          <w:p w14:paraId="5356DECF" w14:textId="20002DE5" w:rsidR="00CB2E83" w:rsidRPr="00192F41" w:rsidRDefault="001E68FB" w:rsidP="006E6930">
            <w:pPr>
              <w:spacing w:before="40" w:after="40"/>
              <w:ind w:right="119"/>
              <w:jc w:val="both"/>
              <w:cnfStyle w:val="000000000000" w:firstRow="0" w:lastRow="0" w:firstColumn="0" w:lastColumn="0" w:oddVBand="0" w:evenVBand="0" w:oddHBand="0" w:evenHBand="0" w:firstRowFirstColumn="0" w:firstRowLastColumn="0" w:lastRowFirstColumn="0" w:lastRowLastColumn="0"/>
              <w:rPr>
                <w:rStyle w:val="IntenseEmphasis"/>
                <w:rFonts w:cs="Arial"/>
                <w:i w:val="0"/>
                <w:iCs w:val="0"/>
                <w:color w:val="000000" w:themeColor="text1"/>
                <w:sz w:val="20"/>
                <w:szCs w:val="20"/>
              </w:rPr>
            </w:pPr>
            <w:r w:rsidRPr="00192F41">
              <w:rPr>
                <w:rStyle w:val="IntenseEmphasis"/>
                <w:rFonts w:cs="Arial"/>
                <w:i w:val="0"/>
                <w:iCs w:val="0"/>
                <w:color w:val="000000" w:themeColor="text1"/>
                <w:sz w:val="20"/>
                <w:szCs w:val="20"/>
              </w:rPr>
              <w:t>Notwithstanding</w:t>
            </w:r>
            <w:r w:rsidR="00F2150B" w:rsidRPr="00192F41">
              <w:rPr>
                <w:rStyle w:val="IntenseEmphasis"/>
                <w:rFonts w:cs="Arial"/>
                <w:i w:val="0"/>
                <w:iCs w:val="0"/>
                <w:color w:val="000000" w:themeColor="text1"/>
                <w:sz w:val="20"/>
                <w:szCs w:val="20"/>
              </w:rPr>
              <w:t xml:space="preserve"> these challenges, the</w:t>
            </w:r>
            <w:r w:rsidR="00301213" w:rsidRPr="00192F41">
              <w:rPr>
                <w:rStyle w:val="IntenseEmphasis"/>
                <w:rFonts w:cs="Arial"/>
                <w:i w:val="0"/>
                <w:iCs w:val="0"/>
                <w:color w:val="000000" w:themeColor="text1"/>
                <w:sz w:val="20"/>
                <w:szCs w:val="20"/>
              </w:rPr>
              <w:t xml:space="preserve">re has been minimal demand for additional water in recent years due to </w:t>
            </w:r>
            <w:r w:rsidR="00E141D9" w:rsidRPr="00192F41">
              <w:rPr>
                <w:rStyle w:val="IntenseEmphasis"/>
                <w:rFonts w:cs="Arial"/>
                <w:i w:val="0"/>
                <w:iCs w:val="0"/>
                <w:color w:val="000000" w:themeColor="text1"/>
                <w:sz w:val="20"/>
                <w:szCs w:val="20"/>
              </w:rPr>
              <w:t xml:space="preserve">the </w:t>
            </w:r>
            <w:r w:rsidR="003A086B" w:rsidRPr="00192F41">
              <w:rPr>
                <w:rStyle w:val="IntenseEmphasis"/>
                <w:rFonts w:cs="Arial"/>
                <w:i w:val="0"/>
                <w:iCs w:val="0"/>
                <w:color w:val="000000" w:themeColor="text1"/>
                <w:sz w:val="20"/>
                <w:szCs w:val="20"/>
              </w:rPr>
              <w:t>unseasonably</w:t>
            </w:r>
            <w:r w:rsidR="00E141D9" w:rsidRPr="00192F41">
              <w:rPr>
                <w:rStyle w:val="IntenseEmphasis"/>
                <w:rFonts w:cs="Arial"/>
                <w:i w:val="0"/>
                <w:iCs w:val="0"/>
                <w:color w:val="000000" w:themeColor="text1"/>
                <w:sz w:val="20"/>
                <w:szCs w:val="20"/>
              </w:rPr>
              <w:t xml:space="preserve"> wet </w:t>
            </w:r>
            <w:r w:rsidR="00B5701F" w:rsidRPr="00B5701F">
              <w:rPr>
                <w:rStyle w:val="IntenseEmphasis"/>
                <w:rFonts w:cs="Arial"/>
                <w:i w:val="0"/>
                <w:iCs w:val="0"/>
                <w:color w:val="000000" w:themeColor="text1"/>
                <w:sz w:val="20"/>
                <w:szCs w:val="20"/>
              </w:rPr>
              <w:t>conditions</w:t>
            </w:r>
            <w:r w:rsidR="00B5701F">
              <w:rPr>
                <w:rStyle w:val="IntenseEmphasis"/>
                <w:rFonts w:cs="Arial"/>
                <w:i w:val="0"/>
                <w:iCs w:val="0"/>
                <w:color w:val="000000" w:themeColor="text1"/>
                <w:sz w:val="20"/>
                <w:szCs w:val="20"/>
              </w:rPr>
              <w:t>.</w:t>
            </w:r>
            <w:r w:rsidR="00846992" w:rsidRPr="00192F41">
              <w:rPr>
                <w:rStyle w:val="IntenseEmphasis"/>
                <w:rFonts w:cs="Arial"/>
                <w:i w:val="0"/>
                <w:iCs w:val="0"/>
                <w:color w:val="000000" w:themeColor="text1"/>
                <w:sz w:val="20"/>
                <w:szCs w:val="20"/>
              </w:rPr>
              <w:t xml:space="preserve"> </w:t>
            </w:r>
            <w:r w:rsidR="00FF0FC2" w:rsidRPr="00192F41">
              <w:rPr>
                <w:rStyle w:val="IntenseEmphasis"/>
                <w:rFonts w:cs="Arial"/>
                <w:i w:val="0"/>
                <w:iCs w:val="0"/>
                <w:color w:val="000000" w:themeColor="text1"/>
                <w:sz w:val="20"/>
                <w:szCs w:val="20"/>
              </w:rPr>
              <w:t>So,</w:t>
            </w:r>
            <w:r w:rsidR="00846992" w:rsidRPr="00192F41">
              <w:rPr>
                <w:rStyle w:val="IntenseEmphasis"/>
                <w:rFonts w:cs="Arial"/>
                <w:i w:val="0"/>
                <w:iCs w:val="0"/>
                <w:color w:val="000000" w:themeColor="text1"/>
                <w:sz w:val="20"/>
                <w:szCs w:val="20"/>
              </w:rPr>
              <w:t xml:space="preserve"> while we may not have met some of our targets</w:t>
            </w:r>
            <w:r w:rsidR="00E7042F" w:rsidRPr="00192F41">
              <w:rPr>
                <w:rStyle w:val="IntenseEmphasis"/>
                <w:rFonts w:cs="Arial"/>
                <w:i w:val="0"/>
                <w:iCs w:val="0"/>
                <w:color w:val="000000" w:themeColor="text1"/>
                <w:sz w:val="20"/>
                <w:szCs w:val="20"/>
              </w:rPr>
              <w:t>, this has not had a material effect on our customers.</w:t>
            </w:r>
          </w:p>
        </w:tc>
      </w:tr>
    </w:tbl>
    <w:p w14:paraId="28D7BBB8" w14:textId="77777777" w:rsidR="00F066DD" w:rsidRPr="00192F41" w:rsidRDefault="00F066DD" w:rsidP="00DC54D8">
      <w:pPr>
        <w:rPr>
          <w:rStyle w:val="IntenseEmphasis"/>
          <w:rFonts w:cs="Arial"/>
          <w:i w:val="0"/>
          <w:iCs w:val="0"/>
          <w:color w:val="FF0000"/>
        </w:rPr>
      </w:pPr>
    </w:p>
    <w:p w14:paraId="52874286" w14:textId="77777777" w:rsidR="00513BE3" w:rsidRDefault="00513BE3">
      <w:pPr>
        <w:rPr>
          <w:rStyle w:val="IntenseEmphasis"/>
          <w:rFonts w:eastAsiaTheme="majorEastAsia" w:cs="Arial"/>
          <w:b/>
          <w:i w:val="0"/>
          <w:iCs w:val="0"/>
          <w:sz w:val="36"/>
          <w:szCs w:val="26"/>
        </w:rPr>
      </w:pPr>
      <w:r>
        <w:rPr>
          <w:rStyle w:val="IntenseEmphasis"/>
          <w:rFonts w:cs="Arial"/>
          <w:i w:val="0"/>
          <w:iCs w:val="0"/>
          <w:sz w:val="36"/>
        </w:rPr>
        <w:br w:type="page"/>
      </w:r>
    </w:p>
    <w:p w14:paraId="70A593B7" w14:textId="3E154F12" w:rsidR="00A91D63" w:rsidRPr="00192F41" w:rsidRDefault="00A91D63" w:rsidP="004670C8">
      <w:pPr>
        <w:pStyle w:val="Heading2"/>
        <w:rPr>
          <w:rStyle w:val="IntenseEmphasis"/>
          <w:rFonts w:cs="Arial"/>
          <w:i w:val="0"/>
          <w:iCs w:val="0"/>
          <w:sz w:val="36"/>
        </w:rPr>
      </w:pPr>
      <w:r w:rsidRPr="00192F41">
        <w:rPr>
          <w:rStyle w:val="IntenseEmphasis"/>
          <w:rFonts w:cs="Arial"/>
          <w:i w:val="0"/>
          <w:iCs w:val="0"/>
          <w:sz w:val="36"/>
        </w:rPr>
        <w:t>Operating expenditure</w:t>
      </w:r>
    </w:p>
    <w:p w14:paraId="7838762B" w14:textId="0C2076E4" w:rsidR="0081526A" w:rsidRDefault="0081526A" w:rsidP="0027591E">
      <w:pPr>
        <w:jc w:val="both"/>
        <w:rPr>
          <w:rStyle w:val="IntenseEmphasis"/>
          <w:rFonts w:cs="Arial"/>
          <w:i w:val="0"/>
          <w:iCs w:val="0"/>
          <w:color w:val="auto"/>
        </w:rPr>
      </w:pPr>
      <w:r w:rsidRPr="00601CB8">
        <w:rPr>
          <w:rStyle w:val="IntenseEmphasis"/>
          <w:rFonts w:cs="Arial"/>
          <w:i w:val="0"/>
          <w:iCs w:val="0"/>
          <w:color w:val="auto"/>
        </w:rPr>
        <w:t>Since setting the benchmark in 2017, SRW has experienced a significant increase to business costs</w:t>
      </w:r>
      <w:r w:rsidR="006054D8" w:rsidRPr="006054D8">
        <w:rPr>
          <w:rStyle w:val="IntenseEmphasis"/>
          <w:rFonts w:cs="Arial"/>
          <w:i w:val="0"/>
          <w:iCs w:val="0"/>
          <w:color w:val="auto"/>
        </w:rPr>
        <w:t xml:space="preserve"> (including</w:t>
      </w:r>
      <w:r w:rsidRPr="00601CB8">
        <w:rPr>
          <w:rStyle w:val="IntenseEmphasis"/>
          <w:rFonts w:cs="Arial"/>
          <w:i w:val="0"/>
          <w:iCs w:val="0"/>
          <w:color w:val="auto"/>
        </w:rPr>
        <w:t xml:space="preserve"> real wages growth</w:t>
      </w:r>
      <w:r w:rsidR="006054D8" w:rsidRPr="006054D8">
        <w:rPr>
          <w:rStyle w:val="IntenseEmphasis"/>
          <w:rFonts w:cs="Arial"/>
          <w:i w:val="0"/>
          <w:iCs w:val="0"/>
          <w:color w:val="auto"/>
        </w:rPr>
        <w:t>,</w:t>
      </w:r>
      <w:r w:rsidRPr="00601CB8">
        <w:rPr>
          <w:rStyle w:val="IntenseEmphasis"/>
          <w:rFonts w:cs="Arial"/>
          <w:i w:val="0"/>
          <w:iCs w:val="0"/>
          <w:color w:val="auto"/>
        </w:rPr>
        <w:t xml:space="preserve"> higher compliance costs from an uplift in health</w:t>
      </w:r>
      <w:r w:rsidR="00E61721">
        <w:rPr>
          <w:rStyle w:val="IntenseEmphasis"/>
          <w:rFonts w:cs="Arial"/>
          <w:i w:val="0"/>
          <w:iCs w:val="0"/>
          <w:color w:val="auto"/>
        </w:rPr>
        <w:t xml:space="preserve"> and</w:t>
      </w:r>
      <w:r w:rsidRPr="00601CB8">
        <w:rPr>
          <w:rStyle w:val="IntenseEmphasis"/>
          <w:rFonts w:cs="Arial"/>
          <w:i w:val="0"/>
          <w:iCs w:val="0"/>
          <w:color w:val="auto"/>
        </w:rPr>
        <w:t xml:space="preserve"> safety</w:t>
      </w:r>
      <w:r w:rsidR="006054D8" w:rsidRPr="006054D8">
        <w:rPr>
          <w:rStyle w:val="IntenseEmphasis"/>
          <w:rFonts w:cs="Arial"/>
          <w:i w:val="0"/>
          <w:iCs w:val="0"/>
          <w:color w:val="auto"/>
        </w:rPr>
        <w:t>,</w:t>
      </w:r>
      <w:r w:rsidRPr="00601CB8">
        <w:rPr>
          <w:rStyle w:val="IntenseEmphasis"/>
          <w:rFonts w:cs="Arial"/>
          <w:i w:val="0"/>
          <w:iCs w:val="0"/>
          <w:color w:val="auto"/>
        </w:rPr>
        <w:t xml:space="preserve"> cyber security arrangements</w:t>
      </w:r>
      <w:r w:rsidR="006535FD">
        <w:rPr>
          <w:rStyle w:val="IntenseEmphasis"/>
          <w:rFonts w:cs="Arial"/>
          <w:i w:val="0"/>
          <w:iCs w:val="0"/>
          <w:color w:val="auto"/>
        </w:rPr>
        <w:t xml:space="preserve"> and significant increases to</w:t>
      </w:r>
      <w:r w:rsidR="00E61721">
        <w:rPr>
          <w:rStyle w:val="IntenseEmphasis"/>
          <w:rFonts w:cs="Arial"/>
          <w:i w:val="0"/>
          <w:iCs w:val="0"/>
          <w:color w:val="auto"/>
        </w:rPr>
        <w:t xml:space="preserve"> insurance costs</w:t>
      </w:r>
      <w:r w:rsidR="006054D8" w:rsidRPr="006054D8">
        <w:rPr>
          <w:rStyle w:val="IntenseEmphasis"/>
          <w:rFonts w:cs="Arial"/>
          <w:i w:val="0"/>
          <w:iCs w:val="0"/>
          <w:color w:val="auto"/>
        </w:rPr>
        <w:t xml:space="preserve">) which </w:t>
      </w:r>
      <w:r w:rsidRPr="00601CB8">
        <w:rPr>
          <w:rStyle w:val="IntenseEmphasis"/>
          <w:rFonts w:cs="Arial"/>
          <w:i w:val="0"/>
          <w:iCs w:val="0"/>
          <w:color w:val="auto"/>
        </w:rPr>
        <w:t xml:space="preserve">have resulted in </w:t>
      </w:r>
      <w:r w:rsidR="006054D8" w:rsidRPr="006054D8">
        <w:rPr>
          <w:rStyle w:val="IntenseEmphasis"/>
          <w:rFonts w:cs="Arial"/>
          <w:i w:val="0"/>
          <w:iCs w:val="0"/>
          <w:color w:val="auto"/>
        </w:rPr>
        <w:t>our</w:t>
      </w:r>
      <w:r w:rsidRPr="00601CB8">
        <w:rPr>
          <w:rStyle w:val="IntenseEmphasis"/>
          <w:rFonts w:cs="Arial"/>
          <w:i w:val="0"/>
          <w:iCs w:val="0"/>
          <w:color w:val="auto"/>
        </w:rPr>
        <w:t xml:space="preserve"> operating cost base exceeding the benchmark allowance.</w:t>
      </w:r>
      <w:r w:rsidR="006054D8" w:rsidRPr="006054D8">
        <w:rPr>
          <w:rStyle w:val="IntenseEmphasis"/>
          <w:rFonts w:cs="Arial"/>
          <w:i w:val="0"/>
          <w:iCs w:val="0"/>
          <w:color w:val="auto"/>
        </w:rPr>
        <w:t xml:space="preserve"> While this </w:t>
      </w:r>
      <w:r w:rsidRPr="00601CB8">
        <w:rPr>
          <w:rStyle w:val="IntenseEmphasis"/>
          <w:rFonts w:cs="Arial"/>
          <w:i w:val="0"/>
          <w:iCs w:val="0"/>
          <w:color w:val="auto"/>
        </w:rPr>
        <w:t xml:space="preserve">increase in </w:t>
      </w:r>
      <w:r w:rsidR="006054D8" w:rsidRPr="006054D8">
        <w:rPr>
          <w:rStyle w:val="IntenseEmphasis"/>
          <w:rFonts w:cs="Arial"/>
          <w:i w:val="0"/>
          <w:iCs w:val="0"/>
          <w:color w:val="auto"/>
        </w:rPr>
        <w:t xml:space="preserve">costs </w:t>
      </w:r>
      <w:r w:rsidRPr="00601CB8">
        <w:rPr>
          <w:rStyle w:val="IntenseEmphasis"/>
          <w:rFonts w:cs="Arial"/>
          <w:i w:val="0"/>
          <w:iCs w:val="0"/>
          <w:color w:val="auto"/>
        </w:rPr>
        <w:t xml:space="preserve">has been </w:t>
      </w:r>
      <w:r w:rsidR="006054D8" w:rsidRPr="006054D8">
        <w:rPr>
          <w:rStyle w:val="IntenseEmphasis"/>
          <w:rFonts w:cs="Arial"/>
          <w:i w:val="0"/>
          <w:iCs w:val="0"/>
          <w:color w:val="auto"/>
        </w:rPr>
        <w:t xml:space="preserve">partly offset through operating cost management in the latter part of the current regulatory period (e.g., productivity </w:t>
      </w:r>
      <w:r w:rsidRPr="00601CB8">
        <w:rPr>
          <w:rStyle w:val="IntenseEmphasis"/>
          <w:rFonts w:cs="Arial"/>
          <w:i w:val="0"/>
          <w:iCs w:val="0"/>
          <w:color w:val="auto"/>
        </w:rPr>
        <w:t xml:space="preserve">improvements from investments in technology and irrigation modernisation, </w:t>
      </w:r>
      <w:r w:rsidR="006054D8" w:rsidRPr="006054D8">
        <w:rPr>
          <w:rStyle w:val="IntenseEmphasis"/>
          <w:rFonts w:cs="Arial"/>
          <w:i w:val="0"/>
          <w:iCs w:val="0"/>
          <w:color w:val="auto"/>
        </w:rPr>
        <w:t xml:space="preserve">along with lower operating costs </w:t>
      </w:r>
      <w:r w:rsidRPr="00601CB8">
        <w:rPr>
          <w:rStyle w:val="IntenseEmphasis"/>
          <w:rFonts w:cs="Arial"/>
          <w:i w:val="0"/>
          <w:iCs w:val="0"/>
          <w:color w:val="auto"/>
        </w:rPr>
        <w:t>such as less business travel and off-site training cost</w:t>
      </w:r>
      <w:r w:rsidR="006054D8" w:rsidRPr="006054D8">
        <w:rPr>
          <w:rStyle w:val="IntenseEmphasis"/>
          <w:rFonts w:cs="Arial"/>
          <w:i w:val="0"/>
          <w:iCs w:val="0"/>
          <w:color w:val="auto"/>
        </w:rPr>
        <w:t>), an aggregate increase to our operating cost base has occurred from a benchmark allowance in 2022-23 of $23.4</w:t>
      </w:r>
      <w:r w:rsidR="00902291">
        <w:rPr>
          <w:rStyle w:val="IntenseEmphasis"/>
          <w:rFonts w:cs="Arial"/>
          <w:i w:val="0"/>
          <w:iCs w:val="0"/>
          <w:color w:val="auto"/>
        </w:rPr>
        <w:t xml:space="preserve"> </w:t>
      </w:r>
      <w:r w:rsidR="006054D8" w:rsidRPr="006054D8">
        <w:rPr>
          <w:rStyle w:val="IntenseEmphasis"/>
          <w:rFonts w:cs="Arial"/>
          <w:i w:val="0"/>
          <w:iCs w:val="0"/>
          <w:color w:val="auto"/>
        </w:rPr>
        <w:t>m</w:t>
      </w:r>
      <w:r w:rsidR="00902291">
        <w:rPr>
          <w:rStyle w:val="IntenseEmphasis"/>
          <w:rFonts w:cs="Arial"/>
          <w:i w:val="0"/>
          <w:iCs w:val="0"/>
          <w:color w:val="auto"/>
        </w:rPr>
        <w:t>illion</w:t>
      </w:r>
      <w:r w:rsidR="006054D8" w:rsidRPr="006054D8">
        <w:rPr>
          <w:rStyle w:val="IntenseEmphasis"/>
          <w:rFonts w:cs="Arial"/>
          <w:i w:val="0"/>
          <w:iCs w:val="0"/>
          <w:color w:val="auto"/>
        </w:rPr>
        <w:t xml:space="preserve"> to our equivalent forecast of $24.</w:t>
      </w:r>
      <w:r w:rsidR="00B37F76">
        <w:rPr>
          <w:rStyle w:val="IntenseEmphasis"/>
          <w:rFonts w:cs="Arial"/>
          <w:i w:val="0"/>
          <w:iCs w:val="0"/>
          <w:color w:val="auto"/>
        </w:rPr>
        <w:t>5</w:t>
      </w:r>
      <w:r w:rsidR="00902291">
        <w:rPr>
          <w:rStyle w:val="IntenseEmphasis"/>
          <w:rFonts w:cs="Arial"/>
          <w:i w:val="0"/>
          <w:iCs w:val="0"/>
          <w:color w:val="auto"/>
        </w:rPr>
        <w:t xml:space="preserve"> </w:t>
      </w:r>
      <w:r w:rsidR="006054D8" w:rsidRPr="006054D8">
        <w:rPr>
          <w:rStyle w:val="IntenseEmphasis"/>
          <w:rFonts w:cs="Arial"/>
          <w:i w:val="0"/>
          <w:iCs w:val="0"/>
          <w:color w:val="auto"/>
        </w:rPr>
        <w:t>m</w:t>
      </w:r>
      <w:r w:rsidR="00902291">
        <w:rPr>
          <w:rStyle w:val="IntenseEmphasis"/>
          <w:rFonts w:cs="Arial"/>
          <w:i w:val="0"/>
          <w:iCs w:val="0"/>
          <w:color w:val="auto"/>
        </w:rPr>
        <w:t>illion</w:t>
      </w:r>
      <w:r w:rsidR="006054D8" w:rsidRPr="006054D8">
        <w:rPr>
          <w:rStyle w:val="IntenseEmphasis"/>
          <w:rFonts w:cs="Arial"/>
          <w:i w:val="0"/>
          <w:iCs w:val="0"/>
          <w:color w:val="auto"/>
        </w:rPr>
        <w:t>. In the context of significant cost pressure faced during the current regulatory period, SRW ha</w:t>
      </w:r>
      <w:r w:rsidR="00902291">
        <w:rPr>
          <w:rStyle w:val="IntenseEmphasis"/>
          <w:rFonts w:cs="Arial"/>
          <w:i w:val="0"/>
          <w:iCs w:val="0"/>
          <w:color w:val="auto"/>
        </w:rPr>
        <w:t>s</w:t>
      </w:r>
      <w:r w:rsidR="006054D8" w:rsidRPr="006054D8">
        <w:rPr>
          <w:rStyle w:val="IntenseEmphasis"/>
          <w:rFonts w:cs="Arial"/>
          <w:i w:val="0"/>
          <w:iCs w:val="0"/>
          <w:color w:val="auto"/>
        </w:rPr>
        <w:t xml:space="preserve"> assessed an increase in operating costs of this scale as Standard performance.</w:t>
      </w:r>
      <w:r w:rsidR="006054D8" w:rsidRPr="006054D8">
        <w:rPr>
          <w:rStyle w:val="IntenseEmphasis"/>
          <w:rFonts w:cs="Arial"/>
          <w:i w:val="0"/>
          <w:iCs w:val="0"/>
          <w:color w:val="auto"/>
        </w:rPr>
        <w:tab/>
      </w:r>
      <w:r w:rsidR="006054D8" w:rsidRPr="006054D8">
        <w:rPr>
          <w:rStyle w:val="IntenseEmphasis"/>
          <w:rFonts w:cs="Arial"/>
          <w:i w:val="0"/>
          <w:iCs w:val="0"/>
          <w:color w:val="auto"/>
        </w:rPr>
        <w:tab/>
      </w:r>
      <w:r w:rsidR="00167AF9">
        <w:rPr>
          <w:rStyle w:val="IntenseEmphasis"/>
          <w:rFonts w:cs="Arial"/>
          <w:i w:val="0"/>
          <w:iCs w:val="0"/>
          <w:color w:val="auto"/>
        </w:rPr>
        <w:br/>
      </w:r>
    </w:p>
    <w:p w14:paraId="6975E530" w14:textId="0454BDCB" w:rsidR="00DC54D8" w:rsidRDefault="00A67A4C" w:rsidP="000F046C">
      <w:pPr>
        <w:jc w:val="center"/>
        <w:rPr>
          <w:noProof/>
        </w:rPr>
      </w:pPr>
      <w:r>
        <w:rPr>
          <w:noProof/>
        </w:rPr>
        <w:drawing>
          <wp:inline distT="0" distB="0" distL="0" distR="0" wp14:anchorId="4201B80A" wp14:editId="01153B71">
            <wp:extent cx="5490209" cy="2750345"/>
            <wp:effectExtent l="0" t="0" r="0" b="0"/>
            <wp:docPr id="10" name="Chart 10">
              <a:extLst xmlns:a="http://schemas.openxmlformats.org/drawingml/2006/main">
                <a:ext uri="{FF2B5EF4-FFF2-40B4-BE49-F238E27FC236}">
                  <a16:creationId xmlns:a16="http://schemas.microsoft.com/office/drawing/2014/main" id="{00000000-0008-0000-1800-000008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3B39658" w14:textId="0C75EB6E" w:rsidR="00874EC1" w:rsidRDefault="00874EC1" w:rsidP="00874EC1">
      <w:pPr>
        <w:pStyle w:val="Caption"/>
        <w:rPr>
          <w:b/>
          <w:bCs/>
          <w:i w:val="0"/>
          <w:iCs w:val="0"/>
          <w:color w:val="00B1B0" w:themeColor="accent1"/>
          <w:sz w:val="20"/>
          <w:szCs w:val="20"/>
        </w:rPr>
      </w:pPr>
      <w:r w:rsidRPr="00874EC1">
        <w:rPr>
          <w:b/>
          <w:bCs/>
          <w:i w:val="0"/>
          <w:iCs w:val="0"/>
          <w:color w:val="00B1B0" w:themeColor="accent1"/>
          <w:sz w:val="20"/>
          <w:szCs w:val="20"/>
        </w:rPr>
        <w:t xml:space="preserve">Figure </w:t>
      </w:r>
      <w:r w:rsidRPr="00874EC1">
        <w:rPr>
          <w:b/>
          <w:bCs/>
          <w:i w:val="0"/>
          <w:iCs w:val="0"/>
          <w:color w:val="00B1B0" w:themeColor="accent1"/>
          <w:sz w:val="20"/>
          <w:szCs w:val="20"/>
        </w:rPr>
        <w:fldChar w:fldCharType="begin"/>
      </w:r>
      <w:r w:rsidRPr="00874EC1">
        <w:rPr>
          <w:b/>
          <w:bCs/>
          <w:i w:val="0"/>
          <w:iCs w:val="0"/>
          <w:color w:val="00B1B0" w:themeColor="accent1"/>
          <w:sz w:val="20"/>
          <w:szCs w:val="20"/>
        </w:rPr>
        <w:instrText xml:space="preserve"> SEQ Figure \* ARABIC </w:instrText>
      </w:r>
      <w:r w:rsidRPr="00874EC1">
        <w:rPr>
          <w:b/>
          <w:bCs/>
          <w:i w:val="0"/>
          <w:iCs w:val="0"/>
          <w:color w:val="00B1B0" w:themeColor="accent1"/>
          <w:sz w:val="20"/>
          <w:szCs w:val="20"/>
        </w:rPr>
        <w:fldChar w:fldCharType="separate"/>
      </w:r>
      <w:r w:rsidR="008126A8">
        <w:rPr>
          <w:b/>
          <w:bCs/>
          <w:i w:val="0"/>
          <w:iCs w:val="0"/>
          <w:noProof/>
          <w:color w:val="00B1B0" w:themeColor="accent1"/>
          <w:sz w:val="20"/>
          <w:szCs w:val="20"/>
        </w:rPr>
        <w:t>1</w:t>
      </w:r>
      <w:r w:rsidRPr="00874EC1">
        <w:rPr>
          <w:b/>
          <w:bCs/>
          <w:i w:val="0"/>
          <w:iCs w:val="0"/>
          <w:color w:val="00B1B0" w:themeColor="accent1"/>
          <w:sz w:val="20"/>
          <w:szCs w:val="20"/>
        </w:rPr>
        <w:fldChar w:fldCharType="end"/>
      </w:r>
      <w:r w:rsidRPr="00874EC1">
        <w:rPr>
          <w:b/>
          <w:bCs/>
          <w:i w:val="0"/>
          <w:iCs w:val="0"/>
          <w:color w:val="00B1B0" w:themeColor="accent1"/>
          <w:sz w:val="20"/>
          <w:szCs w:val="20"/>
        </w:rPr>
        <w:t xml:space="preserve"> </w:t>
      </w:r>
      <w:r w:rsidR="007248B2">
        <w:rPr>
          <w:b/>
          <w:bCs/>
          <w:i w:val="0"/>
          <w:iCs w:val="0"/>
          <w:color w:val="00B1B0" w:themeColor="accent1"/>
          <w:sz w:val="20"/>
          <w:szCs w:val="20"/>
        </w:rPr>
        <w:t>–</w:t>
      </w:r>
      <w:r w:rsidRPr="00874EC1">
        <w:rPr>
          <w:b/>
          <w:bCs/>
          <w:i w:val="0"/>
          <w:iCs w:val="0"/>
          <w:color w:val="00B1B0" w:themeColor="accent1"/>
          <w:sz w:val="20"/>
          <w:szCs w:val="20"/>
        </w:rPr>
        <w:t xml:space="preserve"> OPEX outcomes </w:t>
      </w:r>
    </w:p>
    <w:p w14:paraId="0E4F5116" w14:textId="77777777" w:rsidR="009F39C7" w:rsidRPr="009F39C7" w:rsidRDefault="009F39C7" w:rsidP="009F39C7"/>
    <w:p w14:paraId="1E064FAE" w14:textId="4B8A876D" w:rsidR="00A91D63" w:rsidRPr="00741545" w:rsidRDefault="00A91D63" w:rsidP="00FC3A98">
      <w:pPr>
        <w:pStyle w:val="Heading2"/>
        <w:rPr>
          <w:rStyle w:val="IntenseEmphasis"/>
          <w:i w:val="0"/>
          <w:sz w:val="36"/>
        </w:rPr>
      </w:pPr>
      <w:r w:rsidRPr="00741545">
        <w:rPr>
          <w:rStyle w:val="IntenseEmphasis"/>
          <w:i w:val="0"/>
          <w:sz w:val="36"/>
        </w:rPr>
        <w:t>Capital expenditure</w:t>
      </w:r>
    </w:p>
    <w:p w14:paraId="2C7F6A35" w14:textId="7678999C" w:rsidR="000A390C" w:rsidRDefault="00341A53" w:rsidP="0027591E">
      <w:pPr>
        <w:jc w:val="both"/>
        <w:rPr>
          <w:rStyle w:val="IntenseEmphasis"/>
          <w:rFonts w:cs="Arial"/>
          <w:i w:val="0"/>
          <w:color w:val="auto"/>
        </w:rPr>
      </w:pPr>
      <w:r w:rsidRPr="0085311F">
        <w:rPr>
          <w:rStyle w:val="IntenseEmphasis"/>
          <w:rFonts w:cs="Arial"/>
          <w:i w:val="0"/>
          <w:color w:val="auto"/>
        </w:rPr>
        <w:t xml:space="preserve">SRW has conducted a historically significant capital expenditure program across the current price submission period. Large investments in technology and infrastructure modernisation works have occurred in each irrigation district, and these projects have underpinned the </w:t>
      </w:r>
      <w:r w:rsidR="00AB30CD">
        <w:rPr>
          <w:rStyle w:val="IntenseEmphasis"/>
          <w:rFonts w:cs="Arial"/>
          <w:i w:val="0"/>
          <w:color w:val="auto"/>
        </w:rPr>
        <w:t>increase</w:t>
      </w:r>
      <w:r w:rsidR="008D430D">
        <w:rPr>
          <w:rStyle w:val="IntenseEmphasis"/>
          <w:rFonts w:cs="Arial"/>
          <w:i w:val="0"/>
          <w:color w:val="auto"/>
        </w:rPr>
        <w:t xml:space="preserve"> in</w:t>
      </w:r>
      <w:r w:rsidRPr="0085311F">
        <w:rPr>
          <w:rStyle w:val="IntenseEmphasis"/>
          <w:rFonts w:cs="Arial"/>
          <w:i w:val="0"/>
          <w:color w:val="auto"/>
        </w:rPr>
        <w:t xml:space="preserve"> expenditure against the benchmark allowance. </w:t>
      </w:r>
    </w:p>
    <w:p w14:paraId="58195D11" w14:textId="60143B61" w:rsidR="004D63F3" w:rsidRDefault="004D63F3">
      <w:pPr>
        <w:rPr>
          <w:rStyle w:val="IntenseEmphasis"/>
          <w:rFonts w:cs="Arial"/>
          <w:i w:val="0"/>
          <w:color w:val="auto"/>
        </w:rPr>
      </w:pPr>
      <w:r>
        <w:rPr>
          <w:rStyle w:val="IntenseEmphasis"/>
          <w:rFonts w:cs="Arial"/>
          <w:i w:val="0"/>
          <w:color w:val="auto"/>
        </w:rPr>
        <w:br w:type="page"/>
      </w:r>
    </w:p>
    <w:p w14:paraId="172F2926" w14:textId="23585A21" w:rsidR="00F62EAE" w:rsidRDefault="00822E7C" w:rsidP="000F046C">
      <w:pPr>
        <w:jc w:val="center"/>
        <w:rPr>
          <w:rStyle w:val="IntenseEmphasis"/>
          <w:rFonts w:cs="Arial"/>
          <w:i w:val="0"/>
          <w:iCs w:val="0"/>
          <w:color w:val="FF0000"/>
        </w:rPr>
      </w:pPr>
      <w:r>
        <w:rPr>
          <w:noProof/>
        </w:rPr>
        <w:drawing>
          <wp:inline distT="0" distB="0" distL="0" distR="0" wp14:anchorId="5B603B53" wp14:editId="7A9AE537">
            <wp:extent cx="5476875" cy="29622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rt 2"/>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5476875" cy="2962275"/>
                    </a:xfrm>
                    <a:prstGeom prst="rect">
                      <a:avLst/>
                    </a:prstGeom>
                    <a:noFill/>
                    <a:ln>
                      <a:noFill/>
                    </a:ln>
                  </pic:spPr>
                </pic:pic>
              </a:graphicData>
            </a:graphic>
          </wp:inline>
        </w:drawing>
      </w:r>
    </w:p>
    <w:p w14:paraId="2679461B" w14:textId="201454EF" w:rsidR="00167AF9" w:rsidRPr="004D63F3" w:rsidRDefault="00167AF9" w:rsidP="00167AF9">
      <w:pPr>
        <w:pStyle w:val="Caption"/>
        <w:rPr>
          <w:rStyle w:val="IntenseEmphasis"/>
          <w:rFonts w:cs="Arial"/>
          <w:b/>
          <w:bCs/>
          <w:i/>
          <w:iCs/>
          <w:color w:val="00B1B0" w:themeColor="accent1"/>
          <w:sz w:val="24"/>
          <w:szCs w:val="20"/>
        </w:rPr>
      </w:pPr>
      <w:r w:rsidRPr="004D63F3">
        <w:rPr>
          <w:b/>
          <w:bCs/>
          <w:i w:val="0"/>
          <w:iCs w:val="0"/>
          <w:color w:val="00B1B0" w:themeColor="accent1"/>
          <w:sz w:val="20"/>
          <w:szCs w:val="20"/>
        </w:rPr>
        <w:t xml:space="preserve">Figure </w:t>
      </w:r>
      <w:r w:rsidRPr="004D63F3">
        <w:rPr>
          <w:b/>
          <w:bCs/>
          <w:i w:val="0"/>
          <w:iCs w:val="0"/>
          <w:color w:val="00B1B0" w:themeColor="accent1"/>
          <w:sz w:val="20"/>
          <w:szCs w:val="20"/>
        </w:rPr>
        <w:fldChar w:fldCharType="begin"/>
      </w:r>
      <w:r w:rsidRPr="004D63F3">
        <w:rPr>
          <w:b/>
          <w:bCs/>
          <w:i w:val="0"/>
          <w:iCs w:val="0"/>
          <w:color w:val="00B1B0" w:themeColor="accent1"/>
          <w:sz w:val="20"/>
          <w:szCs w:val="20"/>
        </w:rPr>
        <w:instrText xml:space="preserve"> SEQ Figure \* ARABIC </w:instrText>
      </w:r>
      <w:r w:rsidRPr="004D63F3">
        <w:rPr>
          <w:b/>
          <w:bCs/>
          <w:i w:val="0"/>
          <w:iCs w:val="0"/>
          <w:color w:val="00B1B0" w:themeColor="accent1"/>
          <w:sz w:val="20"/>
          <w:szCs w:val="20"/>
        </w:rPr>
        <w:fldChar w:fldCharType="separate"/>
      </w:r>
      <w:r w:rsidR="008126A8">
        <w:rPr>
          <w:b/>
          <w:bCs/>
          <w:i w:val="0"/>
          <w:iCs w:val="0"/>
          <w:noProof/>
          <w:color w:val="00B1B0" w:themeColor="accent1"/>
          <w:sz w:val="20"/>
          <w:szCs w:val="20"/>
        </w:rPr>
        <w:t>2</w:t>
      </w:r>
      <w:r w:rsidRPr="004D63F3">
        <w:rPr>
          <w:b/>
          <w:bCs/>
          <w:i w:val="0"/>
          <w:iCs w:val="0"/>
          <w:color w:val="00B1B0" w:themeColor="accent1"/>
          <w:sz w:val="20"/>
          <w:szCs w:val="20"/>
        </w:rPr>
        <w:fldChar w:fldCharType="end"/>
      </w:r>
      <w:r w:rsidRPr="004D63F3">
        <w:rPr>
          <w:b/>
          <w:bCs/>
          <w:i w:val="0"/>
          <w:iCs w:val="0"/>
          <w:color w:val="00B1B0" w:themeColor="accent1"/>
          <w:sz w:val="20"/>
          <w:szCs w:val="20"/>
        </w:rPr>
        <w:t xml:space="preserve"> – CAPEX outcomes </w:t>
      </w:r>
    </w:p>
    <w:p w14:paraId="69C94CAB" w14:textId="5D0F7932" w:rsidR="009723EF" w:rsidRDefault="009723EF" w:rsidP="000F046C">
      <w:pPr>
        <w:jc w:val="center"/>
        <w:rPr>
          <w:rStyle w:val="IntenseEmphasis"/>
          <w:rFonts w:cs="Arial"/>
          <w:i w:val="0"/>
          <w:iCs w:val="0"/>
          <w:color w:val="FF0000"/>
        </w:rPr>
      </w:pPr>
    </w:p>
    <w:p w14:paraId="5BCF3CFA" w14:textId="3FDBBB5B" w:rsidR="00F52B04" w:rsidRPr="00F52B04" w:rsidRDefault="00F52B04" w:rsidP="00F52B04">
      <w:pPr>
        <w:pStyle w:val="Caption"/>
        <w:rPr>
          <w:rStyle w:val="IntenseEmphasis"/>
          <w:rFonts w:cs="Arial"/>
          <w:b/>
          <w:bCs/>
          <w:i/>
          <w:iCs/>
          <w:color w:val="00B1B0" w:themeColor="accent1"/>
          <w:sz w:val="24"/>
          <w:szCs w:val="20"/>
        </w:rPr>
      </w:pPr>
      <w:r w:rsidRPr="00F52B04">
        <w:rPr>
          <w:b/>
          <w:bCs/>
          <w:i w:val="0"/>
          <w:iCs w:val="0"/>
          <w:color w:val="00B1B0" w:themeColor="accent1"/>
          <w:sz w:val="20"/>
          <w:szCs w:val="20"/>
        </w:rPr>
        <w:t xml:space="preserve">Table </w:t>
      </w:r>
      <w:r w:rsidRPr="00F52B04">
        <w:rPr>
          <w:b/>
          <w:bCs/>
          <w:i w:val="0"/>
          <w:iCs w:val="0"/>
          <w:color w:val="00B1B0" w:themeColor="accent1"/>
          <w:sz w:val="20"/>
          <w:szCs w:val="20"/>
        </w:rPr>
        <w:fldChar w:fldCharType="begin"/>
      </w:r>
      <w:r w:rsidRPr="00F52B04">
        <w:rPr>
          <w:b/>
          <w:bCs/>
          <w:i w:val="0"/>
          <w:iCs w:val="0"/>
          <w:color w:val="00B1B0" w:themeColor="accent1"/>
          <w:sz w:val="20"/>
          <w:szCs w:val="20"/>
        </w:rPr>
        <w:instrText xml:space="preserve"> SEQ Table \* ARABIC </w:instrText>
      </w:r>
      <w:r w:rsidRPr="00F52B04">
        <w:rPr>
          <w:b/>
          <w:bCs/>
          <w:i w:val="0"/>
          <w:iCs w:val="0"/>
          <w:color w:val="00B1B0" w:themeColor="accent1"/>
          <w:sz w:val="20"/>
          <w:szCs w:val="20"/>
        </w:rPr>
        <w:fldChar w:fldCharType="separate"/>
      </w:r>
      <w:r w:rsidR="008126A8">
        <w:rPr>
          <w:b/>
          <w:bCs/>
          <w:i w:val="0"/>
          <w:iCs w:val="0"/>
          <w:noProof/>
          <w:color w:val="00B1B0" w:themeColor="accent1"/>
          <w:sz w:val="20"/>
          <w:szCs w:val="20"/>
        </w:rPr>
        <w:t>5</w:t>
      </w:r>
      <w:r w:rsidRPr="00F52B04">
        <w:rPr>
          <w:b/>
          <w:bCs/>
          <w:i w:val="0"/>
          <w:iCs w:val="0"/>
          <w:color w:val="00B1B0" w:themeColor="accent1"/>
          <w:sz w:val="20"/>
          <w:szCs w:val="20"/>
        </w:rPr>
        <w:fldChar w:fldCharType="end"/>
      </w:r>
      <w:r w:rsidRPr="00F52B04">
        <w:rPr>
          <w:b/>
          <w:bCs/>
          <w:i w:val="0"/>
          <w:iCs w:val="0"/>
          <w:color w:val="00B1B0" w:themeColor="accent1"/>
          <w:sz w:val="20"/>
          <w:szCs w:val="20"/>
        </w:rPr>
        <w:t xml:space="preserve"> – CAPEX actual vs forecast</w:t>
      </w:r>
    </w:p>
    <w:tbl>
      <w:tblPr>
        <w:tblW w:w="9639" w:type="dxa"/>
        <w:tblLook w:val="04A0" w:firstRow="1" w:lastRow="0" w:firstColumn="1" w:lastColumn="0" w:noHBand="0" w:noVBand="1"/>
      </w:tblPr>
      <w:tblGrid>
        <w:gridCol w:w="4536"/>
        <w:gridCol w:w="1134"/>
        <w:gridCol w:w="993"/>
        <w:gridCol w:w="992"/>
        <w:gridCol w:w="992"/>
        <w:gridCol w:w="992"/>
      </w:tblGrid>
      <w:tr w:rsidR="00435109" w14:paraId="069EA78C" w14:textId="77777777" w:rsidTr="006F3D89">
        <w:trPr>
          <w:trHeight w:val="465"/>
        </w:trPr>
        <w:tc>
          <w:tcPr>
            <w:tcW w:w="4536" w:type="dxa"/>
            <w:tcBorders>
              <w:left w:val="nil"/>
              <w:right w:val="nil"/>
            </w:tcBorders>
            <w:shd w:val="clear" w:color="000000" w:fill="70CBD0"/>
            <w:noWrap/>
            <w:vAlign w:val="center"/>
            <w:hideMark/>
          </w:tcPr>
          <w:p w14:paraId="0384C219" w14:textId="023CB956" w:rsidR="00E158B4" w:rsidRDefault="00E158B4" w:rsidP="00754DA9">
            <w:pPr>
              <w:spacing w:before="40" w:after="40"/>
              <w:jc w:val="center"/>
              <w:rPr>
                <w:rFonts w:cs="Arial"/>
                <w:b/>
                <w:bCs/>
                <w:color w:val="FFFFFF"/>
                <w:sz w:val="20"/>
                <w:szCs w:val="20"/>
              </w:rPr>
            </w:pPr>
          </w:p>
        </w:tc>
        <w:tc>
          <w:tcPr>
            <w:tcW w:w="1134" w:type="dxa"/>
            <w:tcBorders>
              <w:left w:val="nil"/>
              <w:right w:val="nil"/>
            </w:tcBorders>
            <w:shd w:val="clear" w:color="000000" w:fill="70CBD0"/>
            <w:vAlign w:val="center"/>
            <w:hideMark/>
          </w:tcPr>
          <w:p w14:paraId="1716F7A6" w14:textId="77777777" w:rsidR="00E158B4" w:rsidRDefault="00E158B4" w:rsidP="00754DA9">
            <w:pPr>
              <w:spacing w:before="40" w:after="40"/>
              <w:jc w:val="right"/>
              <w:rPr>
                <w:rFonts w:cs="Arial"/>
                <w:b/>
                <w:bCs/>
                <w:color w:val="FFFFFF"/>
                <w:sz w:val="20"/>
                <w:szCs w:val="20"/>
              </w:rPr>
            </w:pPr>
            <w:r>
              <w:rPr>
                <w:rFonts w:cs="Arial"/>
                <w:b/>
                <w:bCs/>
                <w:color w:val="FFFFFF"/>
                <w:sz w:val="20"/>
                <w:szCs w:val="20"/>
              </w:rPr>
              <w:t>2018-19</w:t>
            </w:r>
          </w:p>
        </w:tc>
        <w:tc>
          <w:tcPr>
            <w:tcW w:w="993" w:type="dxa"/>
            <w:tcBorders>
              <w:left w:val="nil"/>
              <w:right w:val="nil"/>
            </w:tcBorders>
            <w:shd w:val="clear" w:color="000000" w:fill="70CBD0"/>
            <w:vAlign w:val="center"/>
            <w:hideMark/>
          </w:tcPr>
          <w:p w14:paraId="6727687B" w14:textId="77777777" w:rsidR="00E158B4" w:rsidRDefault="00E158B4" w:rsidP="00754DA9">
            <w:pPr>
              <w:spacing w:before="40" w:after="40"/>
              <w:jc w:val="right"/>
              <w:rPr>
                <w:rFonts w:cs="Arial"/>
                <w:b/>
                <w:bCs/>
                <w:color w:val="FFFFFF"/>
                <w:sz w:val="20"/>
                <w:szCs w:val="20"/>
              </w:rPr>
            </w:pPr>
            <w:r>
              <w:rPr>
                <w:rFonts w:cs="Arial"/>
                <w:b/>
                <w:bCs/>
                <w:color w:val="FFFFFF"/>
                <w:sz w:val="20"/>
                <w:szCs w:val="20"/>
              </w:rPr>
              <w:t>2019-20</w:t>
            </w:r>
          </w:p>
        </w:tc>
        <w:tc>
          <w:tcPr>
            <w:tcW w:w="992" w:type="dxa"/>
            <w:tcBorders>
              <w:left w:val="nil"/>
              <w:right w:val="nil"/>
            </w:tcBorders>
            <w:shd w:val="clear" w:color="000000" w:fill="70CBD0"/>
            <w:vAlign w:val="center"/>
            <w:hideMark/>
          </w:tcPr>
          <w:p w14:paraId="6DE013F8" w14:textId="77777777" w:rsidR="00E158B4" w:rsidRDefault="00E158B4" w:rsidP="00754DA9">
            <w:pPr>
              <w:spacing w:before="40" w:after="40"/>
              <w:jc w:val="right"/>
              <w:rPr>
                <w:rFonts w:cs="Arial"/>
                <w:b/>
                <w:bCs/>
                <w:color w:val="FFFFFF"/>
                <w:sz w:val="20"/>
                <w:szCs w:val="20"/>
              </w:rPr>
            </w:pPr>
            <w:r>
              <w:rPr>
                <w:rFonts w:cs="Arial"/>
                <w:b/>
                <w:bCs/>
                <w:color w:val="FFFFFF"/>
                <w:sz w:val="20"/>
                <w:szCs w:val="20"/>
              </w:rPr>
              <w:t>2020-21</w:t>
            </w:r>
          </w:p>
        </w:tc>
        <w:tc>
          <w:tcPr>
            <w:tcW w:w="992" w:type="dxa"/>
            <w:tcBorders>
              <w:left w:val="nil"/>
              <w:right w:val="nil"/>
            </w:tcBorders>
            <w:shd w:val="clear" w:color="000000" w:fill="70CBD0"/>
            <w:vAlign w:val="center"/>
            <w:hideMark/>
          </w:tcPr>
          <w:p w14:paraId="486AF067" w14:textId="77777777" w:rsidR="00E158B4" w:rsidRDefault="00E158B4" w:rsidP="00754DA9">
            <w:pPr>
              <w:spacing w:before="40" w:after="40"/>
              <w:jc w:val="right"/>
              <w:rPr>
                <w:rFonts w:cs="Arial"/>
                <w:b/>
                <w:bCs/>
                <w:color w:val="FFFFFF"/>
                <w:sz w:val="20"/>
                <w:szCs w:val="20"/>
              </w:rPr>
            </w:pPr>
            <w:r>
              <w:rPr>
                <w:rFonts w:cs="Arial"/>
                <w:b/>
                <w:bCs/>
                <w:color w:val="FFFFFF"/>
                <w:sz w:val="20"/>
                <w:szCs w:val="20"/>
              </w:rPr>
              <w:t>2021-22</w:t>
            </w:r>
          </w:p>
        </w:tc>
        <w:tc>
          <w:tcPr>
            <w:tcW w:w="992" w:type="dxa"/>
            <w:tcBorders>
              <w:left w:val="nil"/>
              <w:right w:val="nil"/>
            </w:tcBorders>
            <w:shd w:val="clear" w:color="000000" w:fill="70CBD0"/>
            <w:vAlign w:val="center"/>
            <w:hideMark/>
          </w:tcPr>
          <w:p w14:paraId="49957B0E" w14:textId="77777777" w:rsidR="00E158B4" w:rsidRDefault="00E158B4" w:rsidP="00754DA9">
            <w:pPr>
              <w:spacing w:before="40" w:after="40"/>
              <w:jc w:val="right"/>
              <w:rPr>
                <w:rFonts w:cs="Arial"/>
                <w:b/>
                <w:bCs/>
                <w:color w:val="FFFFFF"/>
                <w:sz w:val="20"/>
                <w:szCs w:val="20"/>
              </w:rPr>
            </w:pPr>
            <w:r>
              <w:rPr>
                <w:rFonts w:cs="Arial"/>
                <w:b/>
                <w:bCs/>
                <w:color w:val="FFFFFF"/>
                <w:sz w:val="20"/>
                <w:szCs w:val="20"/>
              </w:rPr>
              <w:t>2022-23</w:t>
            </w:r>
          </w:p>
        </w:tc>
      </w:tr>
      <w:tr w:rsidR="00435109" w14:paraId="1E901603" w14:textId="77777777" w:rsidTr="006F3D89">
        <w:trPr>
          <w:trHeight w:val="465"/>
        </w:trPr>
        <w:tc>
          <w:tcPr>
            <w:tcW w:w="4536" w:type="dxa"/>
            <w:tcBorders>
              <w:left w:val="nil"/>
              <w:bottom w:val="nil"/>
              <w:right w:val="nil"/>
            </w:tcBorders>
            <w:shd w:val="clear" w:color="000000" w:fill="F5F5F5"/>
            <w:noWrap/>
            <w:vAlign w:val="center"/>
            <w:hideMark/>
          </w:tcPr>
          <w:p w14:paraId="0F8E6913" w14:textId="77777777" w:rsidR="00E158B4" w:rsidRPr="0013120D" w:rsidRDefault="00E158B4" w:rsidP="006E6930">
            <w:pPr>
              <w:spacing w:before="40" w:after="40"/>
              <w:rPr>
                <w:rFonts w:cs="Arial"/>
                <w:color w:val="000000"/>
                <w:sz w:val="20"/>
                <w:szCs w:val="20"/>
              </w:rPr>
            </w:pPr>
            <w:r w:rsidRPr="0013120D">
              <w:rPr>
                <w:rFonts w:cs="Arial"/>
                <w:color w:val="000000"/>
                <w:sz w:val="20"/>
                <w:szCs w:val="20"/>
              </w:rPr>
              <w:t>CAPEX actual (from Corporate Plan)</w:t>
            </w:r>
          </w:p>
        </w:tc>
        <w:tc>
          <w:tcPr>
            <w:tcW w:w="1134" w:type="dxa"/>
            <w:tcBorders>
              <w:left w:val="nil"/>
              <w:bottom w:val="nil"/>
              <w:right w:val="nil"/>
            </w:tcBorders>
            <w:shd w:val="clear" w:color="000000" w:fill="F5F5F5"/>
            <w:vAlign w:val="center"/>
            <w:hideMark/>
          </w:tcPr>
          <w:p w14:paraId="6561AEC1" w14:textId="77777777" w:rsidR="00E158B4" w:rsidRDefault="00E158B4" w:rsidP="006E6930">
            <w:pPr>
              <w:spacing w:before="40" w:after="40"/>
              <w:jc w:val="center"/>
              <w:rPr>
                <w:rFonts w:cs="Arial"/>
                <w:color w:val="000000"/>
                <w:sz w:val="20"/>
                <w:szCs w:val="20"/>
              </w:rPr>
            </w:pPr>
            <w:r>
              <w:rPr>
                <w:rFonts w:cs="Arial"/>
                <w:color w:val="000000"/>
                <w:sz w:val="20"/>
                <w:szCs w:val="20"/>
              </w:rPr>
              <w:t>$53.8m</w:t>
            </w:r>
          </w:p>
        </w:tc>
        <w:tc>
          <w:tcPr>
            <w:tcW w:w="993" w:type="dxa"/>
            <w:tcBorders>
              <w:left w:val="nil"/>
              <w:bottom w:val="nil"/>
              <w:right w:val="nil"/>
            </w:tcBorders>
            <w:shd w:val="clear" w:color="000000" w:fill="F5F5F5"/>
            <w:vAlign w:val="center"/>
            <w:hideMark/>
          </w:tcPr>
          <w:p w14:paraId="6F7A0C6F" w14:textId="77777777" w:rsidR="00E158B4" w:rsidRDefault="00E158B4" w:rsidP="006E6930">
            <w:pPr>
              <w:spacing w:before="40" w:after="40"/>
              <w:jc w:val="center"/>
              <w:rPr>
                <w:rFonts w:cs="Arial"/>
                <w:color w:val="000000"/>
                <w:sz w:val="20"/>
                <w:szCs w:val="20"/>
              </w:rPr>
            </w:pPr>
            <w:r>
              <w:rPr>
                <w:rFonts w:cs="Arial"/>
                <w:color w:val="000000"/>
                <w:sz w:val="20"/>
                <w:szCs w:val="20"/>
              </w:rPr>
              <w:t>$29.8m</w:t>
            </w:r>
          </w:p>
        </w:tc>
        <w:tc>
          <w:tcPr>
            <w:tcW w:w="992" w:type="dxa"/>
            <w:tcBorders>
              <w:left w:val="nil"/>
              <w:bottom w:val="nil"/>
              <w:right w:val="nil"/>
            </w:tcBorders>
            <w:shd w:val="clear" w:color="000000" w:fill="F5F5F5"/>
            <w:vAlign w:val="center"/>
            <w:hideMark/>
          </w:tcPr>
          <w:p w14:paraId="383BF4DD" w14:textId="77777777" w:rsidR="00E158B4" w:rsidRDefault="00E158B4" w:rsidP="006E6930">
            <w:pPr>
              <w:spacing w:before="40" w:after="40"/>
              <w:jc w:val="center"/>
              <w:rPr>
                <w:rFonts w:cs="Arial"/>
                <w:color w:val="000000"/>
                <w:sz w:val="20"/>
                <w:szCs w:val="20"/>
              </w:rPr>
            </w:pPr>
            <w:r>
              <w:rPr>
                <w:rFonts w:cs="Arial"/>
                <w:color w:val="000000"/>
                <w:sz w:val="20"/>
                <w:szCs w:val="20"/>
              </w:rPr>
              <w:t>$15.7m</w:t>
            </w:r>
          </w:p>
        </w:tc>
        <w:tc>
          <w:tcPr>
            <w:tcW w:w="992" w:type="dxa"/>
            <w:tcBorders>
              <w:left w:val="nil"/>
              <w:bottom w:val="nil"/>
              <w:right w:val="nil"/>
            </w:tcBorders>
            <w:shd w:val="clear" w:color="000000" w:fill="F5F5F5"/>
            <w:vAlign w:val="center"/>
            <w:hideMark/>
          </w:tcPr>
          <w:p w14:paraId="6F2D838C" w14:textId="72485CF1" w:rsidR="00E158B4" w:rsidRDefault="00E158B4" w:rsidP="006E6930">
            <w:pPr>
              <w:spacing w:before="40" w:after="40"/>
              <w:jc w:val="center"/>
              <w:rPr>
                <w:rFonts w:cs="Arial"/>
                <w:color w:val="000000"/>
                <w:sz w:val="20"/>
                <w:szCs w:val="20"/>
              </w:rPr>
            </w:pPr>
            <w:r>
              <w:rPr>
                <w:rFonts w:cs="Arial"/>
                <w:color w:val="000000"/>
                <w:sz w:val="20"/>
                <w:szCs w:val="20"/>
              </w:rPr>
              <w:t>$1</w:t>
            </w:r>
            <w:r w:rsidR="00407594">
              <w:rPr>
                <w:rFonts w:cs="Arial"/>
                <w:color w:val="000000"/>
                <w:sz w:val="20"/>
                <w:szCs w:val="20"/>
              </w:rPr>
              <w:t>0</w:t>
            </w:r>
            <w:r w:rsidR="003E3609">
              <w:rPr>
                <w:rFonts w:cs="Arial"/>
                <w:color w:val="000000"/>
                <w:sz w:val="20"/>
                <w:szCs w:val="20"/>
              </w:rPr>
              <w:t>.5</w:t>
            </w:r>
            <w:r>
              <w:rPr>
                <w:rFonts w:cs="Arial"/>
                <w:color w:val="000000"/>
                <w:sz w:val="20"/>
                <w:szCs w:val="20"/>
              </w:rPr>
              <w:t>m</w:t>
            </w:r>
          </w:p>
        </w:tc>
        <w:tc>
          <w:tcPr>
            <w:tcW w:w="992" w:type="dxa"/>
            <w:tcBorders>
              <w:left w:val="nil"/>
              <w:bottom w:val="nil"/>
              <w:right w:val="nil"/>
            </w:tcBorders>
            <w:shd w:val="clear" w:color="000000" w:fill="F5F5F5"/>
            <w:vAlign w:val="center"/>
            <w:hideMark/>
          </w:tcPr>
          <w:p w14:paraId="401C73B7" w14:textId="5D226F74" w:rsidR="00E158B4" w:rsidRDefault="00E158B4" w:rsidP="006E6930">
            <w:pPr>
              <w:spacing w:before="40" w:after="40"/>
              <w:jc w:val="center"/>
              <w:rPr>
                <w:rFonts w:cs="Arial"/>
                <w:color w:val="000000"/>
                <w:sz w:val="20"/>
                <w:szCs w:val="20"/>
              </w:rPr>
            </w:pPr>
            <w:r>
              <w:rPr>
                <w:rFonts w:cs="Arial"/>
                <w:color w:val="000000"/>
                <w:sz w:val="20"/>
                <w:szCs w:val="20"/>
              </w:rPr>
              <w:t>$5</w:t>
            </w:r>
            <w:r w:rsidR="003E3609">
              <w:rPr>
                <w:rFonts w:cs="Arial"/>
                <w:color w:val="000000"/>
                <w:sz w:val="20"/>
                <w:szCs w:val="20"/>
              </w:rPr>
              <w:t>3.8</w:t>
            </w:r>
            <w:r>
              <w:rPr>
                <w:rFonts w:cs="Arial"/>
                <w:color w:val="000000"/>
                <w:sz w:val="20"/>
                <w:szCs w:val="20"/>
              </w:rPr>
              <w:t>m</w:t>
            </w:r>
          </w:p>
        </w:tc>
      </w:tr>
      <w:tr w:rsidR="00435109" w14:paraId="1DF7EE37" w14:textId="77777777" w:rsidTr="00902291">
        <w:trPr>
          <w:trHeight w:val="465"/>
        </w:trPr>
        <w:tc>
          <w:tcPr>
            <w:tcW w:w="4536" w:type="dxa"/>
            <w:tcBorders>
              <w:top w:val="nil"/>
              <w:left w:val="nil"/>
              <w:bottom w:val="single" w:sz="8" w:space="0" w:color="auto"/>
              <w:right w:val="nil"/>
            </w:tcBorders>
            <w:shd w:val="clear" w:color="auto" w:fill="auto"/>
            <w:noWrap/>
            <w:vAlign w:val="center"/>
            <w:hideMark/>
          </w:tcPr>
          <w:p w14:paraId="18A94576" w14:textId="77777777" w:rsidR="00E158B4" w:rsidRPr="0013120D" w:rsidRDefault="00E158B4" w:rsidP="006E6930">
            <w:pPr>
              <w:spacing w:before="40" w:after="40"/>
              <w:rPr>
                <w:rFonts w:cs="Arial"/>
                <w:sz w:val="20"/>
                <w:szCs w:val="20"/>
              </w:rPr>
            </w:pPr>
            <w:r w:rsidRPr="0013120D">
              <w:rPr>
                <w:rFonts w:cs="Arial"/>
                <w:sz w:val="20"/>
                <w:szCs w:val="20"/>
              </w:rPr>
              <w:t>CAPEX forecast (from Price Submission 2018)</w:t>
            </w:r>
          </w:p>
        </w:tc>
        <w:tc>
          <w:tcPr>
            <w:tcW w:w="1134" w:type="dxa"/>
            <w:tcBorders>
              <w:top w:val="nil"/>
              <w:left w:val="nil"/>
              <w:bottom w:val="single" w:sz="8" w:space="0" w:color="auto"/>
              <w:right w:val="nil"/>
            </w:tcBorders>
            <w:shd w:val="clear" w:color="auto" w:fill="auto"/>
            <w:vAlign w:val="center"/>
            <w:hideMark/>
          </w:tcPr>
          <w:p w14:paraId="30DA8793" w14:textId="77777777" w:rsidR="00E158B4" w:rsidRDefault="00E158B4" w:rsidP="006E6930">
            <w:pPr>
              <w:spacing w:before="40" w:after="40"/>
              <w:jc w:val="center"/>
              <w:rPr>
                <w:rFonts w:cs="Arial"/>
                <w:color w:val="000000"/>
                <w:sz w:val="20"/>
                <w:szCs w:val="20"/>
              </w:rPr>
            </w:pPr>
            <w:r>
              <w:rPr>
                <w:rFonts w:cs="Arial"/>
                <w:color w:val="000000"/>
                <w:sz w:val="20"/>
                <w:szCs w:val="20"/>
              </w:rPr>
              <w:t>$49.8m</w:t>
            </w:r>
          </w:p>
        </w:tc>
        <w:tc>
          <w:tcPr>
            <w:tcW w:w="993" w:type="dxa"/>
            <w:tcBorders>
              <w:top w:val="nil"/>
              <w:left w:val="nil"/>
              <w:bottom w:val="single" w:sz="8" w:space="0" w:color="auto"/>
              <w:right w:val="nil"/>
            </w:tcBorders>
            <w:shd w:val="clear" w:color="auto" w:fill="auto"/>
            <w:vAlign w:val="center"/>
            <w:hideMark/>
          </w:tcPr>
          <w:p w14:paraId="4A8FE5B9" w14:textId="77777777" w:rsidR="00E158B4" w:rsidRDefault="00E158B4" w:rsidP="006E6930">
            <w:pPr>
              <w:spacing w:before="40" w:after="40"/>
              <w:jc w:val="center"/>
              <w:rPr>
                <w:rFonts w:cs="Arial"/>
                <w:color w:val="000000"/>
                <w:sz w:val="20"/>
                <w:szCs w:val="20"/>
              </w:rPr>
            </w:pPr>
            <w:r>
              <w:rPr>
                <w:rFonts w:cs="Arial"/>
                <w:color w:val="000000"/>
                <w:sz w:val="20"/>
                <w:szCs w:val="20"/>
              </w:rPr>
              <w:t>$30.7m</w:t>
            </w:r>
          </w:p>
        </w:tc>
        <w:tc>
          <w:tcPr>
            <w:tcW w:w="992" w:type="dxa"/>
            <w:tcBorders>
              <w:top w:val="nil"/>
              <w:left w:val="nil"/>
              <w:bottom w:val="single" w:sz="8" w:space="0" w:color="auto"/>
              <w:right w:val="nil"/>
            </w:tcBorders>
            <w:shd w:val="clear" w:color="auto" w:fill="auto"/>
            <w:vAlign w:val="center"/>
            <w:hideMark/>
          </w:tcPr>
          <w:p w14:paraId="0D6CC373" w14:textId="77777777" w:rsidR="00E158B4" w:rsidRDefault="00E158B4" w:rsidP="006E6930">
            <w:pPr>
              <w:spacing w:before="40" w:after="40"/>
              <w:jc w:val="center"/>
              <w:rPr>
                <w:rFonts w:cs="Arial"/>
                <w:color w:val="000000"/>
                <w:sz w:val="20"/>
                <w:szCs w:val="20"/>
              </w:rPr>
            </w:pPr>
            <w:r>
              <w:rPr>
                <w:rFonts w:cs="Arial"/>
                <w:color w:val="000000"/>
                <w:sz w:val="20"/>
                <w:szCs w:val="20"/>
              </w:rPr>
              <w:t>$16.0m</w:t>
            </w:r>
          </w:p>
        </w:tc>
        <w:tc>
          <w:tcPr>
            <w:tcW w:w="992" w:type="dxa"/>
            <w:tcBorders>
              <w:top w:val="nil"/>
              <w:left w:val="nil"/>
              <w:bottom w:val="single" w:sz="8" w:space="0" w:color="auto"/>
              <w:right w:val="nil"/>
            </w:tcBorders>
            <w:shd w:val="clear" w:color="auto" w:fill="auto"/>
            <w:vAlign w:val="center"/>
            <w:hideMark/>
          </w:tcPr>
          <w:p w14:paraId="2092D311" w14:textId="77777777" w:rsidR="00E158B4" w:rsidRDefault="00E158B4" w:rsidP="006E6930">
            <w:pPr>
              <w:spacing w:before="40" w:after="40"/>
              <w:jc w:val="center"/>
              <w:rPr>
                <w:rFonts w:cs="Arial"/>
                <w:color w:val="000000"/>
                <w:sz w:val="20"/>
                <w:szCs w:val="20"/>
              </w:rPr>
            </w:pPr>
            <w:r>
              <w:rPr>
                <w:rFonts w:cs="Arial"/>
                <w:color w:val="000000"/>
                <w:sz w:val="20"/>
                <w:szCs w:val="20"/>
              </w:rPr>
              <w:t>$8.3m</w:t>
            </w:r>
          </w:p>
        </w:tc>
        <w:tc>
          <w:tcPr>
            <w:tcW w:w="992" w:type="dxa"/>
            <w:tcBorders>
              <w:top w:val="nil"/>
              <w:left w:val="nil"/>
              <w:bottom w:val="single" w:sz="8" w:space="0" w:color="auto"/>
              <w:right w:val="nil"/>
            </w:tcBorders>
            <w:shd w:val="clear" w:color="auto" w:fill="auto"/>
            <w:vAlign w:val="center"/>
            <w:hideMark/>
          </w:tcPr>
          <w:p w14:paraId="3BB8072C" w14:textId="77777777" w:rsidR="00E158B4" w:rsidRDefault="00E158B4" w:rsidP="006E6930">
            <w:pPr>
              <w:spacing w:before="40" w:after="40"/>
              <w:jc w:val="center"/>
              <w:rPr>
                <w:rFonts w:cs="Arial"/>
                <w:color w:val="000000"/>
                <w:sz w:val="20"/>
                <w:szCs w:val="20"/>
              </w:rPr>
            </w:pPr>
            <w:r>
              <w:rPr>
                <w:rFonts w:cs="Arial"/>
                <w:color w:val="000000"/>
                <w:sz w:val="20"/>
                <w:szCs w:val="20"/>
              </w:rPr>
              <w:t>$8.7m</w:t>
            </w:r>
          </w:p>
        </w:tc>
      </w:tr>
    </w:tbl>
    <w:p w14:paraId="26C1F704" w14:textId="77777777" w:rsidR="00C17BA3" w:rsidRDefault="00C17BA3" w:rsidP="00C17BA3">
      <w:pPr>
        <w:tabs>
          <w:tab w:val="center" w:pos="4819"/>
          <w:tab w:val="left" w:pos="6800"/>
        </w:tabs>
        <w:rPr>
          <w:rStyle w:val="IntenseReference"/>
          <w:rFonts w:cs="Arial"/>
        </w:rPr>
      </w:pPr>
    </w:p>
    <w:p w14:paraId="33443F4C" w14:textId="2EF6898D" w:rsidR="00590541" w:rsidRDefault="00590541" w:rsidP="00B854F5">
      <w:pPr>
        <w:jc w:val="both"/>
        <w:rPr>
          <w:rStyle w:val="IntenseEmphasis"/>
          <w:rFonts w:cs="Arial"/>
          <w:i w:val="0"/>
          <w:color w:val="auto"/>
        </w:rPr>
      </w:pPr>
      <w:r w:rsidRPr="0085311F">
        <w:rPr>
          <w:rStyle w:val="IntenseEmphasis"/>
          <w:rFonts w:cs="Arial"/>
          <w:i w:val="0"/>
          <w:color w:val="auto"/>
        </w:rPr>
        <w:t xml:space="preserve">The </w:t>
      </w:r>
      <w:r w:rsidR="57183365" w:rsidRPr="6B20A4EE">
        <w:rPr>
          <w:rStyle w:val="IntenseEmphasis"/>
          <w:rFonts w:cs="Arial"/>
          <w:i w:val="0"/>
          <w:iCs w:val="0"/>
          <w:color w:val="auto"/>
        </w:rPr>
        <w:t>actual expenditure is co</w:t>
      </w:r>
      <w:r w:rsidR="73259D0C" w:rsidRPr="6B20A4EE">
        <w:rPr>
          <w:rStyle w:val="IntenseEmphasis"/>
          <w:rFonts w:cs="Arial"/>
          <w:i w:val="0"/>
          <w:iCs w:val="0"/>
          <w:color w:val="auto"/>
        </w:rPr>
        <w:t>nsistent with</w:t>
      </w:r>
      <w:r w:rsidR="57183365" w:rsidRPr="6B20A4EE">
        <w:rPr>
          <w:rStyle w:val="IntenseEmphasis"/>
          <w:rFonts w:cs="Arial"/>
          <w:i w:val="0"/>
          <w:iCs w:val="0"/>
          <w:color w:val="auto"/>
        </w:rPr>
        <w:t xml:space="preserve"> </w:t>
      </w:r>
      <w:r w:rsidR="34317225" w:rsidRPr="6B20A4EE">
        <w:rPr>
          <w:rStyle w:val="IntenseEmphasis"/>
          <w:rFonts w:cs="Arial"/>
          <w:i w:val="0"/>
          <w:iCs w:val="0"/>
          <w:color w:val="auto"/>
        </w:rPr>
        <w:t>t</w:t>
      </w:r>
      <w:r w:rsidR="2022E581" w:rsidRPr="6B20A4EE">
        <w:rPr>
          <w:rStyle w:val="IntenseEmphasis"/>
          <w:rFonts w:cs="Arial"/>
          <w:i w:val="0"/>
          <w:iCs w:val="0"/>
          <w:color w:val="auto"/>
        </w:rPr>
        <w:t xml:space="preserve">he </w:t>
      </w:r>
      <w:r w:rsidR="0501B63F" w:rsidRPr="6B20A4EE">
        <w:rPr>
          <w:rStyle w:val="IntenseEmphasis"/>
          <w:rFonts w:cs="Arial"/>
          <w:i w:val="0"/>
          <w:iCs w:val="0"/>
          <w:color w:val="auto"/>
        </w:rPr>
        <w:t>2018-23</w:t>
      </w:r>
      <w:r w:rsidRPr="0085311F">
        <w:rPr>
          <w:rStyle w:val="IntenseEmphasis"/>
          <w:rFonts w:cs="Arial"/>
          <w:i w:val="0"/>
          <w:color w:val="auto"/>
        </w:rPr>
        <w:t xml:space="preserve"> price submission benchmark allowance </w:t>
      </w:r>
      <w:r w:rsidR="009D3401">
        <w:rPr>
          <w:rStyle w:val="IntenseEmphasis"/>
          <w:rFonts w:cs="Arial"/>
          <w:i w:val="0"/>
          <w:color w:val="auto"/>
        </w:rPr>
        <w:t xml:space="preserve">(expected expenditure) </w:t>
      </w:r>
      <w:r w:rsidR="4231C206" w:rsidRPr="6B20A4EE">
        <w:rPr>
          <w:rStyle w:val="IntenseEmphasis"/>
          <w:rFonts w:cs="Arial"/>
          <w:i w:val="0"/>
          <w:iCs w:val="0"/>
          <w:color w:val="auto"/>
        </w:rPr>
        <w:t xml:space="preserve">across the first four years of the </w:t>
      </w:r>
      <w:r w:rsidR="4766D666" w:rsidRPr="6B20A4EE">
        <w:rPr>
          <w:rStyle w:val="IntenseEmphasis"/>
          <w:rFonts w:cs="Arial"/>
          <w:i w:val="0"/>
          <w:iCs w:val="0"/>
          <w:color w:val="auto"/>
        </w:rPr>
        <w:t xml:space="preserve">regulatory period. The 2018-23 price submission </w:t>
      </w:r>
      <w:r w:rsidR="281A0D44" w:rsidRPr="537CAED7">
        <w:rPr>
          <w:rStyle w:val="IntenseEmphasis"/>
          <w:rFonts w:cs="Arial"/>
          <w:i w:val="0"/>
          <w:iCs w:val="0"/>
          <w:color w:val="auto"/>
        </w:rPr>
        <w:t>included $</w:t>
      </w:r>
      <w:r w:rsidR="1752F335" w:rsidRPr="6B20A4EE">
        <w:rPr>
          <w:rStyle w:val="IntenseEmphasis"/>
          <w:rFonts w:cs="Arial"/>
          <w:i w:val="0"/>
          <w:iCs w:val="0"/>
          <w:color w:val="auto"/>
        </w:rPr>
        <w:t>1</w:t>
      </w:r>
      <w:r w:rsidR="7F7C0CA2" w:rsidRPr="6B20A4EE">
        <w:rPr>
          <w:rStyle w:val="IntenseEmphasis"/>
          <w:rFonts w:cs="Arial"/>
          <w:i w:val="0"/>
          <w:iCs w:val="0"/>
          <w:color w:val="auto"/>
        </w:rPr>
        <w:t>0.6</w:t>
      </w:r>
      <w:r w:rsidR="00902291">
        <w:rPr>
          <w:rStyle w:val="IntenseEmphasis"/>
          <w:rFonts w:cs="Arial"/>
          <w:i w:val="0"/>
          <w:iCs w:val="0"/>
          <w:color w:val="auto"/>
        </w:rPr>
        <w:t xml:space="preserve"> </w:t>
      </w:r>
      <w:r w:rsidR="31A8AA2C" w:rsidRPr="6D1073BA">
        <w:rPr>
          <w:rStyle w:val="IntenseEmphasis"/>
          <w:rFonts w:cs="Arial"/>
          <w:i w:val="0"/>
          <w:iCs w:val="0"/>
          <w:color w:val="auto"/>
        </w:rPr>
        <w:t>m</w:t>
      </w:r>
      <w:r w:rsidR="00902291">
        <w:rPr>
          <w:rStyle w:val="IntenseEmphasis"/>
          <w:rFonts w:cs="Arial"/>
          <w:i w:val="0"/>
          <w:iCs w:val="0"/>
          <w:color w:val="auto"/>
        </w:rPr>
        <w:t>illion</w:t>
      </w:r>
      <w:r w:rsidR="281A0D44" w:rsidRPr="537CAED7">
        <w:rPr>
          <w:rStyle w:val="IntenseEmphasis"/>
          <w:rFonts w:cs="Arial"/>
          <w:i w:val="0"/>
          <w:iCs w:val="0"/>
          <w:color w:val="auto"/>
        </w:rPr>
        <w:t xml:space="preserve"> towards th</w:t>
      </w:r>
      <w:r w:rsidR="4F9E449B" w:rsidRPr="537CAED7">
        <w:rPr>
          <w:rStyle w:val="IntenseEmphasis"/>
          <w:rFonts w:cs="Arial"/>
          <w:i w:val="0"/>
          <w:iCs w:val="0"/>
          <w:color w:val="auto"/>
        </w:rPr>
        <w:t>e MID2030 Phase 2 project</w:t>
      </w:r>
      <w:r w:rsidR="281A0D44" w:rsidRPr="537CAED7">
        <w:rPr>
          <w:rStyle w:val="IntenseEmphasis"/>
          <w:rFonts w:cs="Arial"/>
          <w:i w:val="0"/>
          <w:iCs w:val="0"/>
          <w:color w:val="auto"/>
        </w:rPr>
        <w:t xml:space="preserve"> (as agreed with the Macalister Customer Consultative Committee), while </w:t>
      </w:r>
      <w:r w:rsidR="375165BB" w:rsidRPr="6B20A4EE">
        <w:rPr>
          <w:rStyle w:val="IntenseEmphasis"/>
          <w:rFonts w:cs="Arial"/>
          <w:i w:val="0"/>
          <w:iCs w:val="0"/>
          <w:color w:val="auto"/>
        </w:rPr>
        <w:t xml:space="preserve">the </w:t>
      </w:r>
      <w:r w:rsidR="281A0D44" w:rsidRPr="537CAED7">
        <w:rPr>
          <w:rStyle w:val="IntenseEmphasis"/>
          <w:rFonts w:cs="Arial"/>
          <w:i w:val="0"/>
          <w:iCs w:val="0"/>
          <w:color w:val="auto"/>
        </w:rPr>
        <w:t>project</w:t>
      </w:r>
      <w:r w:rsidR="1E280266" w:rsidRPr="6B20A4EE">
        <w:rPr>
          <w:rStyle w:val="IntenseEmphasis"/>
          <w:rFonts w:cs="Arial"/>
          <w:i w:val="0"/>
          <w:iCs w:val="0"/>
          <w:color w:val="auto"/>
        </w:rPr>
        <w:t xml:space="preserve"> </w:t>
      </w:r>
      <w:r w:rsidR="4DCC10CC" w:rsidRPr="6B20A4EE">
        <w:rPr>
          <w:rStyle w:val="IntenseEmphasis"/>
          <w:rFonts w:cs="Arial"/>
          <w:i w:val="0"/>
          <w:iCs w:val="0"/>
          <w:color w:val="auto"/>
        </w:rPr>
        <w:t>scope,</w:t>
      </w:r>
      <w:r w:rsidR="281A0D44" w:rsidRPr="537CAED7">
        <w:rPr>
          <w:rStyle w:val="IntenseEmphasis"/>
          <w:rFonts w:cs="Arial"/>
          <w:i w:val="0"/>
          <w:iCs w:val="0"/>
          <w:color w:val="auto"/>
        </w:rPr>
        <w:t xml:space="preserve"> approvals and funding arrangements were sought and finalised. This approach was adopted to provide price stability, by avoiding the likelihood of otherwise reducing prices in 2018-23 regulatory period or having a steeper increase in the future when plans for the final stage of modernisation were finalised. </w:t>
      </w:r>
      <w:r w:rsidR="1E280266" w:rsidRPr="6B20A4EE">
        <w:rPr>
          <w:rStyle w:val="IntenseEmphasis"/>
          <w:rFonts w:cs="Arial"/>
          <w:i w:val="0"/>
          <w:iCs w:val="0"/>
          <w:color w:val="auto"/>
        </w:rPr>
        <w:t>The</w:t>
      </w:r>
      <w:r w:rsidR="5E58DD92" w:rsidRPr="6B20A4EE">
        <w:rPr>
          <w:rStyle w:val="IntenseEmphasis"/>
          <w:rFonts w:cs="Arial"/>
          <w:i w:val="0"/>
          <w:iCs w:val="0"/>
          <w:color w:val="auto"/>
        </w:rPr>
        <w:t xml:space="preserve"> $62.6 million </w:t>
      </w:r>
      <w:r w:rsidR="281A0D44" w:rsidRPr="537CAED7">
        <w:rPr>
          <w:rStyle w:val="IntenseEmphasis"/>
          <w:rFonts w:cs="Arial"/>
          <w:i w:val="0"/>
          <w:iCs w:val="0"/>
          <w:color w:val="auto"/>
        </w:rPr>
        <w:t xml:space="preserve">project commenced upon receipt of </w:t>
      </w:r>
      <w:r w:rsidR="22A086F1" w:rsidRPr="773C3BC7">
        <w:rPr>
          <w:rStyle w:val="IntenseEmphasis"/>
          <w:rFonts w:cs="Arial"/>
          <w:i w:val="0"/>
          <w:iCs w:val="0"/>
          <w:color w:val="auto"/>
        </w:rPr>
        <w:t>$41</w:t>
      </w:r>
      <w:r w:rsidR="65B99F20" w:rsidRPr="6B20A4EE">
        <w:rPr>
          <w:rStyle w:val="IntenseEmphasis"/>
          <w:rFonts w:cs="Arial"/>
          <w:i w:val="0"/>
          <w:iCs w:val="0"/>
          <w:color w:val="auto"/>
        </w:rPr>
        <w:t>.3</w:t>
      </w:r>
      <w:r w:rsidR="00A22959">
        <w:rPr>
          <w:rStyle w:val="IntenseEmphasis"/>
          <w:rFonts w:cs="Arial"/>
          <w:i w:val="0"/>
          <w:iCs w:val="0"/>
          <w:color w:val="auto"/>
        </w:rPr>
        <w:t xml:space="preserve"> </w:t>
      </w:r>
      <w:r w:rsidR="22A086F1" w:rsidRPr="773C3BC7">
        <w:rPr>
          <w:rStyle w:val="IntenseEmphasis"/>
          <w:rFonts w:cs="Arial"/>
          <w:i w:val="0"/>
          <w:iCs w:val="0"/>
          <w:color w:val="auto"/>
        </w:rPr>
        <w:t>m</w:t>
      </w:r>
      <w:r w:rsidR="00A22959">
        <w:rPr>
          <w:rStyle w:val="IntenseEmphasis"/>
          <w:rFonts w:cs="Arial"/>
          <w:i w:val="0"/>
          <w:iCs w:val="0"/>
          <w:color w:val="auto"/>
        </w:rPr>
        <w:t>illion</w:t>
      </w:r>
      <w:r w:rsidR="22A086F1" w:rsidRPr="773C3BC7">
        <w:rPr>
          <w:rStyle w:val="IntenseEmphasis"/>
          <w:rFonts w:cs="Arial"/>
          <w:i w:val="0"/>
          <w:iCs w:val="0"/>
          <w:color w:val="auto"/>
        </w:rPr>
        <w:t xml:space="preserve"> of external </w:t>
      </w:r>
      <w:r w:rsidR="281A0D44" w:rsidRPr="537CAED7">
        <w:rPr>
          <w:rStyle w:val="IntenseEmphasis"/>
          <w:rFonts w:cs="Arial"/>
          <w:i w:val="0"/>
          <w:iCs w:val="0"/>
          <w:color w:val="auto"/>
        </w:rPr>
        <w:t>grant funding</w:t>
      </w:r>
      <w:r w:rsidR="281A0D44" w:rsidRPr="773C3BC7">
        <w:rPr>
          <w:rStyle w:val="IntenseEmphasis"/>
          <w:rFonts w:cs="Arial"/>
          <w:i w:val="0"/>
          <w:iCs w:val="0"/>
          <w:color w:val="auto"/>
        </w:rPr>
        <w:t xml:space="preserve"> </w:t>
      </w:r>
      <w:r w:rsidR="5116EC73" w:rsidRPr="773C3BC7">
        <w:rPr>
          <w:rStyle w:val="IntenseEmphasis"/>
          <w:rFonts w:cs="Arial"/>
          <w:i w:val="0"/>
          <w:iCs w:val="0"/>
          <w:color w:val="auto"/>
        </w:rPr>
        <w:t>from the state and federal governments</w:t>
      </w:r>
      <w:r w:rsidR="281A0D44" w:rsidRPr="537CAED7">
        <w:rPr>
          <w:rStyle w:val="IntenseEmphasis"/>
          <w:rFonts w:cs="Arial"/>
          <w:i w:val="0"/>
          <w:iCs w:val="0"/>
          <w:color w:val="auto"/>
        </w:rPr>
        <w:t xml:space="preserve"> in FY20 </w:t>
      </w:r>
      <w:r w:rsidR="338C13D0" w:rsidRPr="6D1073BA">
        <w:rPr>
          <w:rStyle w:val="IntenseEmphasis"/>
          <w:rFonts w:cs="Arial"/>
          <w:i w:val="0"/>
          <w:iCs w:val="0"/>
          <w:color w:val="auto"/>
        </w:rPr>
        <w:t>and $39</w:t>
      </w:r>
      <w:r w:rsidR="5A61E7C3" w:rsidRPr="6B20A4EE">
        <w:rPr>
          <w:rStyle w:val="IntenseEmphasis"/>
          <w:rFonts w:cs="Arial"/>
          <w:i w:val="0"/>
          <w:iCs w:val="0"/>
          <w:color w:val="auto"/>
        </w:rPr>
        <w:t>.4</w:t>
      </w:r>
      <w:r w:rsidR="00A22959">
        <w:rPr>
          <w:rStyle w:val="IntenseEmphasis"/>
          <w:rFonts w:cs="Arial"/>
          <w:i w:val="0"/>
          <w:iCs w:val="0"/>
          <w:color w:val="auto"/>
        </w:rPr>
        <w:t xml:space="preserve"> </w:t>
      </w:r>
      <w:r w:rsidR="2C532007" w:rsidRPr="6D1073BA">
        <w:rPr>
          <w:rStyle w:val="IntenseEmphasis"/>
          <w:rFonts w:cs="Arial"/>
          <w:i w:val="0"/>
          <w:iCs w:val="0"/>
          <w:color w:val="auto"/>
        </w:rPr>
        <w:t>m</w:t>
      </w:r>
      <w:r w:rsidR="00A22959">
        <w:rPr>
          <w:rStyle w:val="IntenseEmphasis"/>
          <w:rFonts w:cs="Arial"/>
          <w:i w:val="0"/>
          <w:iCs w:val="0"/>
          <w:color w:val="auto"/>
        </w:rPr>
        <w:t>illion</w:t>
      </w:r>
      <w:r w:rsidR="2C532007" w:rsidRPr="6D1073BA">
        <w:rPr>
          <w:rStyle w:val="IntenseEmphasis"/>
          <w:rFonts w:cs="Arial"/>
          <w:i w:val="0"/>
          <w:iCs w:val="0"/>
          <w:color w:val="auto"/>
        </w:rPr>
        <w:t xml:space="preserve"> will be delivered in the 2018-23</w:t>
      </w:r>
      <w:r w:rsidR="31A8AA2C" w:rsidRPr="6D1073BA">
        <w:rPr>
          <w:rStyle w:val="IntenseEmphasis"/>
          <w:rFonts w:cs="Arial"/>
          <w:i w:val="0"/>
          <w:iCs w:val="0"/>
          <w:color w:val="auto"/>
        </w:rPr>
        <w:t xml:space="preserve"> </w:t>
      </w:r>
      <w:r w:rsidR="3EDBB2AD" w:rsidRPr="6D1073BA">
        <w:rPr>
          <w:rStyle w:val="IntenseEmphasis"/>
          <w:rFonts w:cs="Arial"/>
          <w:i w:val="0"/>
          <w:iCs w:val="0"/>
          <w:color w:val="auto"/>
        </w:rPr>
        <w:t>reg</w:t>
      </w:r>
      <w:r w:rsidR="1FC08DFC" w:rsidRPr="6D1073BA">
        <w:rPr>
          <w:rStyle w:val="IntenseEmphasis"/>
          <w:rFonts w:cs="Arial"/>
          <w:i w:val="0"/>
          <w:iCs w:val="0"/>
          <w:color w:val="auto"/>
        </w:rPr>
        <w:t>ulatory period.</w:t>
      </w:r>
      <w:r w:rsidR="008B5A50">
        <w:rPr>
          <w:rStyle w:val="IntenseEmphasis"/>
          <w:rFonts w:cs="Arial"/>
          <w:i w:val="0"/>
          <w:color w:val="auto"/>
        </w:rPr>
        <w:t xml:space="preserve"> </w:t>
      </w:r>
      <w:r w:rsidR="309574F4" w:rsidRPr="6D1073BA">
        <w:rPr>
          <w:rStyle w:val="IntenseEmphasis"/>
          <w:rFonts w:cs="Arial"/>
          <w:i w:val="0"/>
          <w:iCs w:val="0"/>
          <w:color w:val="auto"/>
        </w:rPr>
        <w:t>T</w:t>
      </w:r>
      <w:r w:rsidR="008B5A50" w:rsidRPr="6D1073BA">
        <w:rPr>
          <w:rStyle w:val="IntenseEmphasis"/>
          <w:rFonts w:cs="Arial"/>
          <w:i w:val="0"/>
          <w:iCs w:val="0"/>
          <w:color w:val="auto"/>
        </w:rPr>
        <w:t>his</w:t>
      </w:r>
      <w:r w:rsidR="008B5A50">
        <w:rPr>
          <w:rStyle w:val="IntenseEmphasis"/>
          <w:rFonts w:cs="Arial"/>
          <w:i w:val="0"/>
          <w:color w:val="auto"/>
        </w:rPr>
        <w:t xml:space="preserve"> is the </w:t>
      </w:r>
      <w:r w:rsidR="00C57839">
        <w:rPr>
          <w:rStyle w:val="IntenseEmphasis"/>
          <w:rFonts w:cs="Arial"/>
          <w:i w:val="0"/>
          <w:color w:val="auto"/>
        </w:rPr>
        <w:t xml:space="preserve">primary reason for the </w:t>
      </w:r>
      <w:r w:rsidR="1EB91A36" w:rsidRPr="6B20A4EE">
        <w:rPr>
          <w:rStyle w:val="IntenseEmphasis"/>
          <w:rFonts w:cs="Arial"/>
          <w:i w:val="0"/>
          <w:iCs w:val="0"/>
          <w:color w:val="auto"/>
        </w:rPr>
        <w:t xml:space="preserve">significant </w:t>
      </w:r>
      <w:r w:rsidR="00C57839">
        <w:rPr>
          <w:rStyle w:val="IntenseEmphasis"/>
          <w:rFonts w:cs="Arial"/>
          <w:i w:val="0"/>
          <w:color w:val="auto"/>
        </w:rPr>
        <w:t>increase in expenditure</w:t>
      </w:r>
      <w:r w:rsidR="41E9B6D8" w:rsidRPr="6B20A4EE">
        <w:rPr>
          <w:rStyle w:val="IntenseEmphasis"/>
          <w:rFonts w:cs="Arial"/>
          <w:i w:val="0"/>
          <w:iCs w:val="0"/>
          <w:color w:val="auto"/>
        </w:rPr>
        <w:t xml:space="preserve"> in</w:t>
      </w:r>
      <w:r w:rsidR="185283D2" w:rsidRPr="6B20A4EE">
        <w:rPr>
          <w:rStyle w:val="IntenseEmphasis"/>
          <w:rFonts w:cs="Arial"/>
          <w:i w:val="0"/>
          <w:iCs w:val="0"/>
          <w:color w:val="auto"/>
        </w:rPr>
        <w:t xml:space="preserve"> </w:t>
      </w:r>
      <w:r w:rsidR="41E9B6D8" w:rsidRPr="6B20A4EE">
        <w:rPr>
          <w:rStyle w:val="IntenseEmphasis"/>
          <w:rFonts w:cs="Arial"/>
          <w:i w:val="0"/>
          <w:iCs w:val="0"/>
          <w:color w:val="auto"/>
        </w:rPr>
        <w:t>2022-23</w:t>
      </w:r>
      <w:r w:rsidR="2022E581" w:rsidRPr="6B20A4EE">
        <w:rPr>
          <w:rStyle w:val="IntenseEmphasis"/>
          <w:rFonts w:cs="Arial"/>
          <w:i w:val="0"/>
          <w:iCs w:val="0"/>
          <w:color w:val="auto"/>
        </w:rPr>
        <w:t>.</w:t>
      </w:r>
      <w:r w:rsidR="08993003" w:rsidRPr="6B20A4EE">
        <w:rPr>
          <w:rStyle w:val="IntenseEmphasis"/>
          <w:rFonts w:cs="Arial"/>
          <w:i w:val="0"/>
          <w:iCs w:val="0"/>
          <w:color w:val="auto"/>
        </w:rPr>
        <w:t xml:space="preserve"> </w:t>
      </w:r>
      <w:r w:rsidR="26FF5077" w:rsidRPr="6B20A4EE">
        <w:rPr>
          <w:rStyle w:val="IntenseEmphasis"/>
          <w:rFonts w:cs="Arial"/>
          <w:i w:val="0"/>
          <w:iCs w:val="0"/>
          <w:color w:val="auto"/>
        </w:rPr>
        <w:t>Note, t</w:t>
      </w:r>
      <w:r w:rsidR="08993003" w:rsidRPr="6B20A4EE">
        <w:rPr>
          <w:rStyle w:val="IntenseEmphasis"/>
          <w:rFonts w:cs="Arial"/>
          <w:i w:val="0"/>
          <w:iCs w:val="0"/>
          <w:color w:val="auto"/>
        </w:rPr>
        <w:t>h</w:t>
      </w:r>
      <w:r w:rsidR="11464B8F" w:rsidRPr="6B20A4EE">
        <w:rPr>
          <w:rStyle w:val="IntenseEmphasis"/>
          <w:rFonts w:cs="Arial"/>
          <w:i w:val="0"/>
          <w:iCs w:val="0"/>
          <w:color w:val="auto"/>
        </w:rPr>
        <w:t>e</w:t>
      </w:r>
      <w:r w:rsidR="08993003" w:rsidRPr="6B20A4EE">
        <w:rPr>
          <w:rStyle w:val="IntenseEmphasis"/>
          <w:rFonts w:cs="Arial"/>
          <w:i w:val="0"/>
          <w:iCs w:val="0"/>
          <w:color w:val="auto"/>
        </w:rPr>
        <w:t xml:space="preserve"> increase in expenditure</w:t>
      </w:r>
      <w:r w:rsidR="4325678B" w:rsidRPr="6B20A4EE">
        <w:rPr>
          <w:rStyle w:val="IntenseEmphasis"/>
          <w:rFonts w:cs="Arial"/>
          <w:i w:val="0"/>
          <w:iCs w:val="0"/>
          <w:color w:val="auto"/>
        </w:rPr>
        <w:t xml:space="preserve"> is before the application of grant funding, which is 66% of </w:t>
      </w:r>
      <w:r w:rsidR="73B79B7D" w:rsidRPr="6B20A4EE">
        <w:rPr>
          <w:rStyle w:val="IntenseEmphasis"/>
          <w:rFonts w:cs="Arial"/>
          <w:i w:val="0"/>
          <w:iCs w:val="0"/>
          <w:color w:val="auto"/>
        </w:rPr>
        <w:t>the</w:t>
      </w:r>
      <w:r w:rsidR="08993003" w:rsidRPr="6B20A4EE">
        <w:rPr>
          <w:rStyle w:val="IntenseEmphasis"/>
          <w:rFonts w:cs="Arial"/>
          <w:i w:val="0"/>
          <w:iCs w:val="0"/>
          <w:color w:val="auto"/>
        </w:rPr>
        <w:t xml:space="preserve"> </w:t>
      </w:r>
      <w:r w:rsidR="73B79B7D" w:rsidRPr="6B20A4EE">
        <w:rPr>
          <w:rStyle w:val="IntenseEmphasis"/>
          <w:rFonts w:cs="Arial"/>
          <w:i w:val="0"/>
          <w:iCs w:val="0"/>
          <w:color w:val="auto"/>
        </w:rPr>
        <w:t xml:space="preserve">project value. Therefore, </w:t>
      </w:r>
      <w:r w:rsidR="2A40E894" w:rsidRPr="6B20A4EE">
        <w:rPr>
          <w:rStyle w:val="IntenseEmphasis"/>
          <w:rFonts w:cs="Arial"/>
          <w:i w:val="0"/>
          <w:iCs w:val="0"/>
          <w:color w:val="auto"/>
        </w:rPr>
        <w:t>SRW’s customer contribution in the 2018-23 regulatory period is $13.0 million (33% of $39.4 million)</w:t>
      </w:r>
      <w:r w:rsidR="1E7C2010" w:rsidRPr="6B20A4EE">
        <w:rPr>
          <w:rStyle w:val="IntenseEmphasis"/>
          <w:rFonts w:cs="Arial"/>
          <w:i w:val="0"/>
          <w:iCs w:val="0"/>
          <w:color w:val="auto"/>
        </w:rPr>
        <w:t xml:space="preserve">, which is </w:t>
      </w:r>
      <w:r w:rsidR="5D20D8C7" w:rsidRPr="6B20A4EE">
        <w:rPr>
          <w:rStyle w:val="IntenseEmphasis"/>
          <w:rFonts w:cs="Arial"/>
          <w:i w:val="0"/>
          <w:iCs w:val="0"/>
          <w:color w:val="auto"/>
        </w:rPr>
        <w:t>comparable to</w:t>
      </w:r>
      <w:r w:rsidR="1E7C2010" w:rsidRPr="6B20A4EE">
        <w:rPr>
          <w:rStyle w:val="IntenseEmphasis"/>
          <w:rFonts w:cs="Arial"/>
          <w:i w:val="0"/>
          <w:iCs w:val="0"/>
          <w:color w:val="auto"/>
        </w:rPr>
        <w:t xml:space="preserve"> the $10.6 million that was forecast in the 2018 P</w:t>
      </w:r>
      <w:r w:rsidR="2D6D1739" w:rsidRPr="6B20A4EE">
        <w:rPr>
          <w:rStyle w:val="IntenseEmphasis"/>
          <w:rFonts w:cs="Arial"/>
          <w:i w:val="0"/>
          <w:iCs w:val="0"/>
          <w:color w:val="auto"/>
        </w:rPr>
        <w:t>rice Submission</w:t>
      </w:r>
      <w:r w:rsidRPr="0085311F">
        <w:rPr>
          <w:rStyle w:val="IntenseEmphasis"/>
          <w:rFonts w:cs="Arial"/>
          <w:i w:val="0"/>
          <w:color w:val="auto"/>
        </w:rPr>
        <w:t>.</w:t>
      </w:r>
    </w:p>
    <w:p w14:paraId="349E3660" w14:textId="6A8B9326" w:rsidR="00590541" w:rsidRPr="0085311F" w:rsidRDefault="07F358DC" w:rsidP="00B854F5">
      <w:pPr>
        <w:jc w:val="both"/>
        <w:rPr>
          <w:rStyle w:val="IntenseEmphasis"/>
          <w:rFonts w:cs="Arial"/>
          <w:i w:val="0"/>
          <w:color w:val="auto"/>
        </w:rPr>
      </w:pPr>
      <w:r w:rsidRPr="6B20A4EE">
        <w:rPr>
          <w:rStyle w:val="IntenseEmphasis"/>
          <w:rFonts w:cs="Arial"/>
          <w:i w:val="0"/>
          <w:iCs w:val="0"/>
          <w:color w:val="auto"/>
        </w:rPr>
        <w:t xml:space="preserve">Another </w:t>
      </w:r>
      <w:r w:rsidR="1DC61F6A" w:rsidRPr="6B20A4EE">
        <w:rPr>
          <w:rStyle w:val="IntenseEmphasis"/>
          <w:rFonts w:cs="Arial"/>
          <w:i w:val="0"/>
          <w:iCs w:val="0"/>
          <w:color w:val="auto"/>
        </w:rPr>
        <w:t>s</w:t>
      </w:r>
      <w:r w:rsidR="68BE9D3E" w:rsidRPr="6B20A4EE">
        <w:rPr>
          <w:rStyle w:val="IntenseEmphasis"/>
          <w:rFonts w:cs="Arial"/>
          <w:i w:val="0"/>
          <w:iCs w:val="0"/>
          <w:color w:val="auto"/>
        </w:rPr>
        <w:t>ignificant</w:t>
      </w:r>
      <w:r w:rsidR="1DC61F6A" w:rsidRPr="6B20A4EE">
        <w:rPr>
          <w:rStyle w:val="IntenseEmphasis"/>
          <w:rFonts w:cs="Arial"/>
          <w:i w:val="0"/>
          <w:iCs w:val="0"/>
          <w:color w:val="auto"/>
        </w:rPr>
        <w:t xml:space="preserve"> contribut</w:t>
      </w:r>
      <w:r w:rsidR="362F407E" w:rsidRPr="6B20A4EE">
        <w:rPr>
          <w:rStyle w:val="IntenseEmphasis"/>
          <w:rFonts w:cs="Arial"/>
          <w:i w:val="0"/>
          <w:iCs w:val="0"/>
          <w:color w:val="auto"/>
        </w:rPr>
        <w:t>or</w:t>
      </w:r>
      <w:r w:rsidR="1DC61F6A" w:rsidRPr="6B20A4EE">
        <w:rPr>
          <w:rStyle w:val="IntenseEmphasis"/>
          <w:rFonts w:cs="Arial"/>
          <w:i w:val="0"/>
          <w:iCs w:val="0"/>
          <w:color w:val="auto"/>
        </w:rPr>
        <w:t xml:space="preserve"> to the increase in expenditure in 2022-23 </w:t>
      </w:r>
      <w:r w:rsidR="4862A93C" w:rsidRPr="6B20A4EE">
        <w:rPr>
          <w:rStyle w:val="IntenseEmphasis"/>
          <w:rFonts w:cs="Arial"/>
          <w:i w:val="0"/>
          <w:iCs w:val="0"/>
          <w:color w:val="auto"/>
        </w:rPr>
        <w:t>is</w:t>
      </w:r>
      <w:r w:rsidR="1DC61F6A" w:rsidRPr="6B20A4EE">
        <w:rPr>
          <w:rStyle w:val="IntenseEmphasis"/>
          <w:rFonts w:cs="Arial"/>
          <w:i w:val="0"/>
          <w:iCs w:val="0"/>
          <w:color w:val="auto"/>
        </w:rPr>
        <w:t xml:space="preserve"> </w:t>
      </w:r>
      <w:r w:rsidR="08F1AC9F" w:rsidRPr="6B20A4EE">
        <w:rPr>
          <w:rStyle w:val="IntenseEmphasis"/>
          <w:rFonts w:cs="Arial"/>
          <w:i w:val="0"/>
          <w:iCs w:val="0"/>
          <w:color w:val="auto"/>
        </w:rPr>
        <w:t xml:space="preserve">the </w:t>
      </w:r>
      <w:r w:rsidR="27B51BD5" w:rsidRPr="6B20A4EE">
        <w:rPr>
          <w:rStyle w:val="IntenseEmphasis"/>
          <w:rFonts w:cs="Arial"/>
          <w:i w:val="0"/>
          <w:iCs w:val="0"/>
          <w:color w:val="auto"/>
        </w:rPr>
        <w:t xml:space="preserve">$22 million </w:t>
      </w:r>
      <w:r w:rsidR="0C8DBB4E" w:rsidRPr="6B20A4EE">
        <w:rPr>
          <w:rStyle w:val="IntenseEmphasis"/>
          <w:rFonts w:cs="Arial"/>
          <w:i w:val="0"/>
          <w:iCs w:val="0"/>
          <w:color w:val="auto"/>
        </w:rPr>
        <w:t>WID Modernisation Stages 4 and 5</w:t>
      </w:r>
      <w:r w:rsidR="10CD19FA" w:rsidRPr="6B20A4EE">
        <w:rPr>
          <w:rStyle w:val="IntenseEmphasis"/>
          <w:rFonts w:cs="Arial"/>
          <w:i w:val="0"/>
          <w:iCs w:val="0"/>
          <w:color w:val="auto"/>
        </w:rPr>
        <w:t xml:space="preserve"> project</w:t>
      </w:r>
      <w:r w:rsidR="0C8DBB4E" w:rsidRPr="6B20A4EE">
        <w:rPr>
          <w:rStyle w:val="IntenseEmphasis"/>
          <w:rFonts w:cs="Arial"/>
          <w:i w:val="0"/>
          <w:iCs w:val="0"/>
          <w:color w:val="auto"/>
        </w:rPr>
        <w:t xml:space="preserve">. </w:t>
      </w:r>
      <w:r w:rsidR="153CA665" w:rsidRPr="6B20A4EE">
        <w:rPr>
          <w:rStyle w:val="IntenseEmphasis"/>
          <w:rFonts w:cs="Arial"/>
          <w:i w:val="0"/>
          <w:iCs w:val="0"/>
          <w:color w:val="auto"/>
        </w:rPr>
        <w:t>The p</w:t>
      </w:r>
      <w:r w:rsidR="696D3685">
        <w:t xml:space="preserve">roject </w:t>
      </w:r>
      <w:r w:rsidR="4079F979">
        <w:t xml:space="preserve">was </w:t>
      </w:r>
      <w:r w:rsidR="696D3685">
        <w:t>brought forward upon receipt of grant funding</w:t>
      </w:r>
      <w:r w:rsidR="4B748D96">
        <w:t xml:space="preserve"> (50%</w:t>
      </w:r>
      <w:r w:rsidR="49403A90">
        <w:t xml:space="preserve"> of the project value)</w:t>
      </w:r>
      <w:r w:rsidR="696D3685">
        <w:t xml:space="preserve"> </w:t>
      </w:r>
      <w:r w:rsidR="3D0CA962">
        <w:t xml:space="preserve">and $8.7 million </w:t>
      </w:r>
      <w:r w:rsidR="76A31656">
        <w:t xml:space="preserve">(including grant funding) </w:t>
      </w:r>
      <w:r w:rsidR="3D0CA962">
        <w:t xml:space="preserve">will be delivered in the 2018-23 regulatory period, </w:t>
      </w:r>
      <w:r w:rsidR="696D3685">
        <w:t>enabl</w:t>
      </w:r>
      <w:r w:rsidR="00491E9A">
        <w:t>ing</w:t>
      </w:r>
      <w:r w:rsidR="696D3685">
        <w:t xml:space="preserve"> completion of modernisation for the Werribee Irrigation District. </w:t>
      </w:r>
      <w:r w:rsidR="6207D202">
        <w:t>The scope of this project and f</w:t>
      </w:r>
      <w:r w:rsidR="696D3685">
        <w:t xml:space="preserve">unding </w:t>
      </w:r>
      <w:r w:rsidR="5F953D79">
        <w:t xml:space="preserve">arrangements </w:t>
      </w:r>
      <w:r w:rsidR="696D3685">
        <w:t xml:space="preserve">had not been </w:t>
      </w:r>
      <w:r w:rsidR="7744A995">
        <w:t>determined</w:t>
      </w:r>
      <w:r w:rsidR="696D3685">
        <w:t xml:space="preserve"> at the time of Price Submission 2018 development.</w:t>
      </w:r>
      <w:r w:rsidR="00590541" w:rsidRPr="0085311F">
        <w:rPr>
          <w:rStyle w:val="IntenseEmphasis"/>
          <w:rFonts w:cs="Arial"/>
          <w:i w:val="0"/>
          <w:color w:val="auto"/>
        </w:rPr>
        <w:t xml:space="preserve"> </w:t>
      </w:r>
      <w:r w:rsidR="003551E3">
        <w:rPr>
          <w:rStyle w:val="IntenseEmphasis"/>
          <w:rFonts w:cs="Arial"/>
          <w:i w:val="0"/>
          <w:color w:val="auto"/>
        </w:rPr>
        <w:t xml:space="preserve">Further assessment </w:t>
      </w:r>
      <w:r w:rsidR="00BC4B2C">
        <w:rPr>
          <w:rStyle w:val="IntenseEmphasis"/>
          <w:rFonts w:cs="Arial"/>
          <w:i w:val="0"/>
          <w:color w:val="auto"/>
        </w:rPr>
        <w:t>of our actual capital expenditure v</w:t>
      </w:r>
      <w:r w:rsidR="00A22959">
        <w:rPr>
          <w:rStyle w:val="IntenseEmphasis"/>
          <w:rFonts w:cs="Arial"/>
          <w:i w:val="0"/>
          <w:color w:val="auto"/>
        </w:rPr>
        <w:t>erse</w:t>
      </w:r>
      <w:r w:rsidR="00BC4B2C">
        <w:rPr>
          <w:rStyle w:val="IntenseEmphasis"/>
          <w:rFonts w:cs="Arial"/>
          <w:i w:val="0"/>
          <w:color w:val="auto"/>
        </w:rPr>
        <w:t xml:space="preserve"> </w:t>
      </w:r>
      <w:r w:rsidR="00D57F7D">
        <w:rPr>
          <w:rStyle w:val="IntenseEmphasis"/>
          <w:rFonts w:cs="Arial"/>
          <w:i w:val="0"/>
          <w:color w:val="auto"/>
        </w:rPr>
        <w:t xml:space="preserve">the Price Submission </w:t>
      </w:r>
      <w:r w:rsidR="00A22959">
        <w:rPr>
          <w:rStyle w:val="IntenseEmphasis"/>
          <w:rFonts w:cs="Arial"/>
          <w:i w:val="0"/>
          <w:color w:val="auto"/>
        </w:rPr>
        <w:t xml:space="preserve">2018 </w:t>
      </w:r>
      <w:r w:rsidR="00D57F7D">
        <w:rPr>
          <w:rStyle w:val="IntenseEmphasis"/>
          <w:rFonts w:cs="Arial"/>
          <w:i w:val="0"/>
          <w:color w:val="auto"/>
        </w:rPr>
        <w:t>forecast follows.</w:t>
      </w:r>
    </w:p>
    <w:p w14:paraId="47B82B3B" w14:textId="3DF5034D" w:rsidR="00717925" w:rsidRPr="00612593" w:rsidRDefault="00AF3229" w:rsidP="00717925">
      <w:pPr>
        <w:pStyle w:val="Heading3"/>
      </w:pPr>
      <w:r>
        <w:t xml:space="preserve">Top 10 </w:t>
      </w:r>
      <w:r w:rsidR="00282E4D">
        <w:t>p</w:t>
      </w:r>
      <w:r>
        <w:t>rojects</w:t>
      </w:r>
      <w:r w:rsidR="00A22959">
        <w:t>:</w:t>
      </w:r>
      <w:r>
        <w:t xml:space="preserve"> Price Submission</w:t>
      </w:r>
      <w:r w:rsidR="00282E4D">
        <w:t xml:space="preserve"> </w:t>
      </w:r>
      <w:r w:rsidR="00A22959">
        <w:t xml:space="preserve">2018 </w:t>
      </w:r>
      <w:r w:rsidR="00282E4D">
        <w:t>forecast</w:t>
      </w:r>
    </w:p>
    <w:p w14:paraId="16185433" w14:textId="79E08C68" w:rsidR="00590541" w:rsidRDefault="003878BF" w:rsidP="00B854F5">
      <w:pPr>
        <w:jc w:val="both"/>
        <w:rPr>
          <w:rStyle w:val="IntenseEmphasis"/>
          <w:i w:val="0"/>
          <w:iCs w:val="0"/>
          <w:color w:val="auto"/>
        </w:rPr>
      </w:pPr>
      <w:r>
        <w:rPr>
          <w:rStyle w:val="IntenseEmphasis"/>
          <w:i w:val="0"/>
          <w:iCs w:val="0"/>
          <w:color w:val="auto"/>
        </w:rPr>
        <w:t xml:space="preserve">Capital expenditure on our </w:t>
      </w:r>
      <w:r w:rsidR="00211B09">
        <w:rPr>
          <w:rStyle w:val="IntenseEmphasis"/>
          <w:i w:val="0"/>
          <w:iCs w:val="0"/>
          <w:color w:val="auto"/>
        </w:rPr>
        <w:t>10 largest projects</w:t>
      </w:r>
      <w:r w:rsidR="00AA6BE2">
        <w:rPr>
          <w:rStyle w:val="IntenseEmphasis"/>
          <w:i w:val="0"/>
          <w:iCs w:val="0"/>
          <w:color w:val="auto"/>
        </w:rPr>
        <w:t xml:space="preserve"> that were</w:t>
      </w:r>
      <w:r w:rsidR="00211B09">
        <w:rPr>
          <w:rStyle w:val="IntenseEmphasis"/>
          <w:i w:val="0"/>
          <w:iCs w:val="0"/>
          <w:color w:val="auto"/>
        </w:rPr>
        <w:t xml:space="preserve"> forecast </w:t>
      </w:r>
      <w:r w:rsidR="004A73BB">
        <w:rPr>
          <w:rStyle w:val="IntenseEmphasis"/>
          <w:i w:val="0"/>
          <w:iCs w:val="0"/>
          <w:color w:val="auto"/>
        </w:rPr>
        <w:t>in our Price Submission</w:t>
      </w:r>
      <w:r w:rsidR="00A22959">
        <w:rPr>
          <w:rStyle w:val="IntenseEmphasis"/>
          <w:i w:val="0"/>
          <w:iCs w:val="0"/>
          <w:color w:val="auto"/>
        </w:rPr>
        <w:t xml:space="preserve"> 2018</w:t>
      </w:r>
      <w:r w:rsidR="004A73BB">
        <w:rPr>
          <w:rStyle w:val="IntenseEmphasis"/>
          <w:i w:val="0"/>
          <w:iCs w:val="0"/>
          <w:color w:val="auto"/>
        </w:rPr>
        <w:t>,</w:t>
      </w:r>
      <w:r w:rsidR="00AA6BE2">
        <w:rPr>
          <w:rStyle w:val="IntenseEmphasis"/>
          <w:i w:val="0"/>
          <w:iCs w:val="0"/>
          <w:color w:val="auto"/>
        </w:rPr>
        <w:t xml:space="preserve"> as described below,</w:t>
      </w:r>
      <w:r w:rsidR="004A73BB">
        <w:rPr>
          <w:rStyle w:val="IntenseEmphasis"/>
          <w:i w:val="0"/>
          <w:iCs w:val="0"/>
          <w:color w:val="auto"/>
        </w:rPr>
        <w:t xml:space="preserve"> accounted for </w:t>
      </w:r>
      <w:r w:rsidR="00A22959">
        <w:rPr>
          <w:rStyle w:val="IntenseEmphasis"/>
          <w:i w:val="0"/>
          <w:iCs w:val="0"/>
          <w:color w:val="auto"/>
        </w:rPr>
        <w:t>more than</w:t>
      </w:r>
      <w:r w:rsidR="00C56309">
        <w:rPr>
          <w:rStyle w:val="IntenseEmphasis"/>
          <w:i w:val="0"/>
          <w:iCs w:val="0"/>
          <w:color w:val="auto"/>
        </w:rPr>
        <w:t xml:space="preserve"> 70% of the total expenditure </w:t>
      </w:r>
      <w:r w:rsidR="00A22959">
        <w:rPr>
          <w:rStyle w:val="IntenseEmphasis"/>
          <w:i w:val="0"/>
          <w:iCs w:val="0"/>
          <w:color w:val="auto"/>
        </w:rPr>
        <w:t>during</w:t>
      </w:r>
      <w:r w:rsidR="00C56309">
        <w:rPr>
          <w:rStyle w:val="IntenseEmphasis"/>
          <w:i w:val="0"/>
          <w:iCs w:val="0"/>
          <w:color w:val="auto"/>
        </w:rPr>
        <w:t xml:space="preserve"> the regulatory period.</w:t>
      </w:r>
    </w:p>
    <w:p w14:paraId="5FC718D5" w14:textId="14B6DDFD" w:rsidR="002F0C83" w:rsidRPr="00F52B04" w:rsidRDefault="00453E3F" w:rsidP="00453E3F">
      <w:pPr>
        <w:pStyle w:val="Caption"/>
        <w:rPr>
          <w:smallCaps/>
          <w:sz w:val="20"/>
          <w:szCs w:val="20"/>
        </w:rPr>
      </w:pPr>
      <w:r w:rsidRPr="00F52B04">
        <w:rPr>
          <w:b/>
          <w:bCs/>
          <w:i w:val="0"/>
          <w:iCs w:val="0"/>
          <w:color w:val="00B1B0" w:themeColor="accent1"/>
          <w:sz w:val="20"/>
          <w:szCs w:val="20"/>
        </w:rPr>
        <w:t xml:space="preserve">Table </w:t>
      </w:r>
      <w:r w:rsidRPr="00F52B04">
        <w:rPr>
          <w:b/>
          <w:bCs/>
          <w:i w:val="0"/>
          <w:iCs w:val="0"/>
          <w:color w:val="00B1B0" w:themeColor="accent1"/>
          <w:sz w:val="20"/>
          <w:szCs w:val="20"/>
        </w:rPr>
        <w:fldChar w:fldCharType="begin"/>
      </w:r>
      <w:r w:rsidRPr="00EB0221">
        <w:rPr>
          <w:b/>
          <w:i w:val="0"/>
          <w:color w:val="00B1B0" w:themeColor="accent1"/>
          <w:sz w:val="20"/>
          <w:szCs w:val="20"/>
        </w:rPr>
        <w:instrText xml:space="preserve"> SEQ Table \* ARABIC </w:instrText>
      </w:r>
      <w:r w:rsidRPr="00F52B04">
        <w:rPr>
          <w:b/>
          <w:bCs/>
          <w:i w:val="0"/>
          <w:iCs w:val="0"/>
          <w:color w:val="00B1B0" w:themeColor="accent1"/>
          <w:sz w:val="20"/>
          <w:szCs w:val="20"/>
        </w:rPr>
        <w:fldChar w:fldCharType="separate"/>
      </w:r>
      <w:r w:rsidR="008126A8">
        <w:rPr>
          <w:b/>
          <w:i w:val="0"/>
          <w:noProof/>
          <w:color w:val="00B1B0" w:themeColor="accent1"/>
          <w:sz w:val="20"/>
          <w:szCs w:val="20"/>
        </w:rPr>
        <w:t>6</w:t>
      </w:r>
      <w:r w:rsidRPr="00F52B04">
        <w:rPr>
          <w:b/>
          <w:bCs/>
          <w:i w:val="0"/>
          <w:iCs w:val="0"/>
          <w:color w:val="00B1B0" w:themeColor="accent1"/>
          <w:sz w:val="20"/>
          <w:szCs w:val="20"/>
        </w:rPr>
        <w:fldChar w:fldCharType="end"/>
      </w:r>
      <w:r w:rsidRPr="00F52B04">
        <w:rPr>
          <w:b/>
          <w:bCs/>
          <w:i w:val="0"/>
          <w:iCs w:val="0"/>
          <w:color w:val="00B1B0" w:themeColor="accent1"/>
          <w:sz w:val="20"/>
          <w:szCs w:val="20"/>
        </w:rPr>
        <w:t xml:space="preserve"> </w:t>
      </w:r>
      <w:r w:rsidR="007248B2">
        <w:rPr>
          <w:b/>
          <w:bCs/>
          <w:i w:val="0"/>
          <w:iCs w:val="0"/>
          <w:color w:val="00B1B0" w:themeColor="accent1"/>
          <w:sz w:val="20"/>
          <w:szCs w:val="20"/>
        </w:rPr>
        <w:t>–</w:t>
      </w:r>
      <w:r w:rsidRPr="00F52B04">
        <w:rPr>
          <w:b/>
          <w:bCs/>
          <w:i w:val="0"/>
          <w:iCs w:val="0"/>
          <w:color w:val="00B1B0" w:themeColor="accent1"/>
          <w:sz w:val="20"/>
          <w:szCs w:val="20"/>
        </w:rPr>
        <w:t xml:space="preserve"> </w:t>
      </w:r>
      <w:r w:rsidR="00F876CA" w:rsidRPr="00F52B04">
        <w:rPr>
          <w:b/>
          <w:bCs/>
          <w:i w:val="0"/>
          <w:iCs w:val="0"/>
          <w:color w:val="00B1B0" w:themeColor="accent1"/>
          <w:sz w:val="20"/>
          <w:szCs w:val="20"/>
        </w:rPr>
        <w:t>Top 10 projects</w:t>
      </w:r>
      <w:r w:rsidR="00A22959">
        <w:rPr>
          <w:b/>
          <w:bCs/>
          <w:i w:val="0"/>
          <w:iCs w:val="0"/>
          <w:color w:val="00B1B0" w:themeColor="accent1"/>
          <w:sz w:val="20"/>
          <w:szCs w:val="20"/>
        </w:rPr>
        <w:t>:</w:t>
      </w:r>
      <w:r w:rsidR="00F876CA" w:rsidRPr="00F52B04">
        <w:rPr>
          <w:b/>
          <w:bCs/>
          <w:i w:val="0"/>
          <w:iCs w:val="0"/>
          <w:color w:val="00B1B0" w:themeColor="accent1"/>
          <w:sz w:val="20"/>
          <w:szCs w:val="20"/>
        </w:rPr>
        <w:t xml:space="preserve"> Price Submission</w:t>
      </w:r>
      <w:r w:rsidR="00A22959">
        <w:rPr>
          <w:b/>
          <w:bCs/>
          <w:i w:val="0"/>
          <w:iCs w:val="0"/>
          <w:color w:val="00B1B0" w:themeColor="accent1"/>
          <w:sz w:val="20"/>
          <w:szCs w:val="20"/>
        </w:rPr>
        <w:t xml:space="preserve"> 2018</w:t>
      </w:r>
    </w:p>
    <w:tbl>
      <w:tblPr>
        <w:tblStyle w:val="ReportTable-Teal"/>
        <w:tblW w:w="9639" w:type="dxa"/>
        <w:tblLayout w:type="fixed"/>
        <w:tblLook w:val="04A0" w:firstRow="1" w:lastRow="0" w:firstColumn="1" w:lastColumn="0" w:noHBand="0" w:noVBand="1"/>
        <w:tblCaption w:val=""/>
        <w:tblDescription w:val=""/>
      </w:tblPr>
      <w:tblGrid>
        <w:gridCol w:w="3261"/>
        <w:gridCol w:w="992"/>
        <w:gridCol w:w="992"/>
        <w:gridCol w:w="992"/>
        <w:gridCol w:w="993"/>
        <w:gridCol w:w="992"/>
        <w:gridCol w:w="1417"/>
      </w:tblGrid>
      <w:tr w:rsidR="002F0C83" w:rsidRPr="00192F41" w14:paraId="28E0659F" w14:textId="77777777" w:rsidTr="00754DA9">
        <w:trPr>
          <w:cnfStyle w:val="100000000000" w:firstRow="1" w:lastRow="0" w:firstColumn="0" w:lastColumn="0" w:oddVBand="0" w:evenVBand="0" w:oddHBand="0" w:evenHBand="0" w:firstRowFirstColumn="0" w:firstRowLastColumn="0" w:lastRowFirstColumn="0" w:lastRowLastColumn="0"/>
          <w:trHeight w:val="448"/>
        </w:trPr>
        <w:tc>
          <w:tcPr>
            <w:cnfStyle w:val="001000000000" w:firstRow="0" w:lastRow="0" w:firstColumn="1" w:lastColumn="0" w:oddVBand="0" w:evenVBand="0" w:oddHBand="0" w:evenHBand="0" w:firstRowFirstColumn="0" w:firstRowLastColumn="0" w:lastRowFirstColumn="0" w:lastRowLastColumn="0"/>
            <w:tcW w:w="3261" w:type="dxa"/>
            <w:tcBorders>
              <w:top w:val="nil"/>
              <w:bottom w:val="nil"/>
            </w:tcBorders>
            <w:hideMark/>
          </w:tcPr>
          <w:p w14:paraId="74109963" w14:textId="77777777" w:rsidR="002F0C83" w:rsidRPr="006F3D89" w:rsidRDefault="002F0C83" w:rsidP="00754DA9">
            <w:pPr>
              <w:spacing w:before="40" w:after="40"/>
              <w:rPr>
                <w:rFonts w:cs="Arial"/>
                <w:sz w:val="20"/>
                <w:szCs w:val="20"/>
                <w:lang w:eastAsia="en-AU"/>
              </w:rPr>
            </w:pPr>
            <w:r w:rsidRPr="006F3D89">
              <w:rPr>
                <w:rFonts w:cs="Arial"/>
                <w:sz w:val="20"/>
                <w:szCs w:val="20"/>
                <w:lang w:eastAsia="en-AU"/>
              </w:rPr>
              <w:t>Project title</w:t>
            </w:r>
          </w:p>
        </w:tc>
        <w:tc>
          <w:tcPr>
            <w:tcW w:w="992" w:type="dxa"/>
            <w:tcBorders>
              <w:top w:val="nil"/>
              <w:bottom w:val="nil"/>
            </w:tcBorders>
          </w:tcPr>
          <w:p w14:paraId="1F6CBCE2" w14:textId="1DE2059E"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20</w:t>
            </w:r>
            <w:r w:rsidR="00183E74" w:rsidRPr="006F3D89">
              <w:rPr>
                <w:rFonts w:cs="Arial"/>
                <w:sz w:val="20"/>
                <w:szCs w:val="20"/>
                <w:lang w:eastAsia="en-AU"/>
              </w:rPr>
              <w:t>18</w:t>
            </w:r>
            <w:r w:rsidRPr="006F3D89">
              <w:rPr>
                <w:rFonts w:cs="Arial"/>
                <w:sz w:val="20"/>
                <w:szCs w:val="20"/>
                <w:lang w:eastAsia="en-AU"/>
              </w:rPr>
              <w:t>-</w:t>
            </w:r>
            <w:r w:rsidR="00183E74" w:rsidRPr="006F3D89">
              <w:rPr>
                <w:rFonts w:cs="Arial"/>
                <w:sz w:val="20"/>
                <w:szCs w:val="20"/>
                <w:lang w:eastAsia="en-AU"/>
              </w:rPr>
              <w:t>19</w:t>
            </w:r>
          </w:p>
        </w:tc>
        <w:tc>
          <w:tcPr>
            <w:tcW w:w="992" w:type="dxa"/>
            <w:tcBorders>
              <w:top w:val="nil"/>
              <w:bottom w:val="nil"/>
            </w:tcBorders>
          </w:tcPr>
          <w:p w14:paraId="2996F9AD" w14:textId="619B636B"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20</w:t>
            </w:r>
            <w:r w:rsidR="00183E74" w:rsidRPr="006F3D89">
              <w:rPr>
                <w:rFonts w:cs="Arial"/>
                <w:sz w:val="20"/>
                <w:szCs w:val="20"/>
                <w:lang w:eastAsia="en-AU"/>
              </w:rPr>
              <w:t>19</w:t>
            </w:r>
            <w:r w:rsidRPr="006F3D89">
              <w:rPr>
                <w:rFonts w:cs="Arial"/>
                <w:sz w:val="20"/>
                <w:szCs w:val="20"/>
                <w:lang w:eastAsia="en-AU"/>
              </w:rPr>
              <w:t>-</w:t>
            </w:r>
            <w:r w:rsidR="00183E74" w:rsidRPr="006F3D89">
              <w:rPr>
                <w:rFonts w:cs="Arial"/>
                <w:sz w:val="20"/>
                <w:szCs w:val="20"/>
                <w:lang w:eastAsia="en-AU"/>
              </w:rPr>
              <w:t>20</w:t>
            </w:r>
          </w:p>
        </w:tc>
        <w:tc>
          <w:tcPr>
            <w:tcW w:w="992" w:type="dxa"/>
            <w:tcBorders>
              <w:top w:val="nil"/>
              <w:bottom w:val="nil"/>
            </w:tcBorders>
          </w:tcPr>
          <w:p w14:paraId="1FF537F1" w14:textId="0A202032"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20</w:t>
            </w:r>
            <w:r w:rsidR="00183E74" w:rsidRPr="006F3D89">
              <w:rPr>
                <w:rFonts w:cs="Arial"/>
                <w:sz w:val="20"/>
                <w:szCs w:val="20"/>
                <w:lang w:eastAsia="en-AU"/>
              </w:rPr>
              <w:t>20</w:t>
            </w:r>
            <w:r w:rsidRPr="006F3D89">
              <w:rPr>
                <w:rFonts w:cs="Arial"/>
                <w:sz w:val="20"/>
                <w:szCs w:val="20"/>
                <w:lang w:eastAsia="en-AU"/>
              </w:rPr>
              <w:t>-2</w:t>
            </w:r>
            <w:r w:rsidR="00183E74" w:rsidRPr="006F3D89">
              <w:rPr>
                <w:rFonts w:cs="Arial"/>
                <w:sz w:val="20"/>
                <w:szCs w:val="20"/>
                <w:lang w:eastAsia="en-AU"/>
              </w:rPr>
              <w:t>1</w:t>
            </w:r>
          </w:p>
        </w:tc>
        <w:tc>
          <w:tcPr>
            <w:tcW w:w="993" w:type="dxa"/>
            <w:tcBorders>
              <w:top w:val="nil"/>
              <w:bottom w:val="nil"/>
            </w:tcBorders>
          </w:tcPr>
          <w:p w14:paraId="1D6FE714" w14:textId="40B4E385"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202</w:t>
            </w:r>
            <w:r w:rsidR="00183E74" w:rsidRPr="006F3D89">
              <w:rPr>
                <w:rFonts w:cs="Arial"/>
                <w:sz w:val="20"/>
                <w:szCs w:val="20"/>
                <w:lang w:eastAsia="en-AU"/>
              </w:rPr>
              <w:t>1</w:t>
            </w:r>
            <w:r w:rsidRPr="006F3D89">
              <w:rPr>
                <w:rFonts w:cs="Arial"/>
                <w:sz w:val="20"/>
                <w:szCs w:val="20"/>
                <w:lang w:eastAsia="en-AU"/>
              </w:rPr>
              <w:t>-2</w:t>
            </w:r>
            <w:r w:rsidR="00C5373B" w:rsidRPr="006F3D89">
              <w:rPr>
                <w:rFonts w:cs="Arial"/>
                <w:sz w:val="20"/>
                <w:szCs w:val="20"/>
                <w:lang w:eastAsia="en-AU"/>
              </w:rPr>
              <w:t>2</w:t>
            </w:r>
          </w:p>
        </w:tc>
        <w:tc>
          <w:tcPr>
            <w:tcW w:w="992" w:type="dxa"/>
            <w:tcBorders>
              <w:top w:val="nil"/>
              <w:bottom w:val="nil"/>
            </w:tcBorders>
          </w:tcPr>
          <w:p w14:paraId="6900AB87" w14:textId="30FB8B9E"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202</w:t>
            </w:r>
            <w:r w:rsidR="00C5373B" w:rsidRPr="006F3D89">
              <w:rPr>
                <w:rFonts w:cs="Arial"/>
                <w:sz w:val="20"/>
                <w:szCs w:val="20"/>
                <w:lang w:eastAsia="en-AU"/>
              </w:rPr>
              <w:t>2</w:t>
            </w:r>
            <w:r w:rsidRPr="006F3D89">
              <w:rPr>
                <w:rFonts w:cs="Arial"/>
                <w:sz w:val="20"/>
                <w:szCs w:val="20"/>
                <w:lang w:eastAsia="en-AU"/>
              </w:rPr>
              <w:t>-2</w:t>
            </w:r>
            <w:r w:rsidR="00C5373B" w:rsidRPr="006F3D89">
              <w:rPr>
                <w:rFonts w:cs="Arial"/>
                <w:sz w:val="20"/>
                <w:szCs w:val="20"/>
                <w:lang w:eastAsia="en-AU"/>
              </w:rPr>
              <w:t>3</w:t>
            </w:r>
          </w:p>
        </w:tc>
        <w:tc>
          <w:tcPr>
            <w:tcW w:w="1417" w:type="dxa"/>
            <w:tcBorders>
              <w:top w:val="nil"/>
              <w:bottom w:val="nil"/>
            </w:tcBorders>
            <w:hideMark/>
          </w:tcPr>
          <w:p w14:paraId="59C13BE6" w14:textId="77777777" w:rsidR="002F0C83" w:rsidRPr="006F3D89" w:rsidRDefault="002F0C83" w:rsidP="00754DA9">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6F3D89">
              <w:rPr>
                <w:rFonts w:cs="Arial"/>
                <w:sz w:val="20"/>
                <w:szCs w:val="20"/>
                <w:lang w:eastAsia="en-AU"/>
              </w:rPr>
              <w:t>Total in period ($m)</w:t>
            </w:r>
          </w:p>
        </w:tc>
      </w:tr>
      <w:tr w:rsidR="002F0C83" w:rsidRPr="00192F41" w14:paraId="5611F102" w14:textId="77777777" w:rsidTr="006F3D89">
        <w:tc>
          <w:tcPr>
            <w:cnfStyle w:val="001000000000" w:firstRow="0" w:lastRow="0" w:firstColumn="1" w:lastColumn="0" w:oddVBand="0" w:evenVBand="0" w:oddHBand="0" w:evenHBand="0" w:firstRowFirstColumn="0" w:firstRowLastColumn="0" w:lastRowFirstColumn="0" w:lastRowLastColumn="0"/>
            <w:tcW w:w="3261" w:type="dxa"/>
            <w:tcBorders>
              <w:top w:val="nil"/>
            </w:tcBorders>
            <w:hideMark/>
          </w:tcPr>
          <w:p w14:paraId="43A754B6" w14:textId="126ACAD1" w:rsidR="002F0C83" w:rsidRPr="00192F41" w:rsidRDefault="002F0C83" w:rsidP="00754DA9">
            <w:pPr>
              <w:spacing w:before="40" w:after="40"/>
              <w:contextualSpacing/>
              <w:rPr>
                <w:rFonts w:cs="Arial"/>
                <w:color w:val="000000" w:themeColor="text1"/>
                <w:szCs w:val="20"/>
                <w:lang w:eastAsia="en-AU"/>
              </w:rPr>
            </w:pPr>
            <w:r w:rsidRPr="00192F41">
              <w:rPr>
                <w:rFonts w:cs="Arial"/>
                <w:color w:val="000000" w:themeColor="text1"/>
                <w:szCs w:val="20"/>
                <w:lang w:eastAsia="en-AU"/>
              </w:rPr>
              <w:t xml:space="preserve">MID Modernisation Phase </w:t>
            </w:r>
            <w:r w:rsidR="00331437">
              <w:rPr>
                <w:rFonts w:cs="Arial"/>
                <w:color w:val="000000" w:themeColor="text1"/>
                <w:szCs w:val="20"/>
                <w:lang w:eastAsia="en-AU"/>
              </w:rPr>
              <w:t>1b</w:t>
            </w:r>
            <w:r w:rsidRPr="00192F41">
              <w:rPr>
                <w:rFonts w:cs="Arial"/>
                <w:color w:val="000000" w:themeColor="text1"/>
                <w:szCs w:val="20"/>
                <w:lang w:eastAsia="en-AU"/>
              </w:rPr>
              <w:t xml:space="preserve"> </w:t>
            </w:r>
          </w:p>
        </w:tc>
        <w:tc>
          <w:tcPr>
            <w:tcW w:w="992" w:type="dxa"/>
            <w:tcBorders>
              <w:top w:val="nil"/>
            </w:tcBorders>
            <w:vAlign w:val="top"/>
          </w:tcPr>
          <w:p w14:paraId="3FACEC38" w14:textId="2A915DFF"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$2</w:t>
            </w:r>
            <w:r w:rsidR="00B77B33">
              <w:t>0</w:t>
            </w:r>
            <w:r w:rsidRPr="0048561B">
              <w:t>.0</w:t>
            </w:r>
          </w:p>
        </w:tc>
        <w:tc>
          <w:tcPr>
            <w:tcW w:w="992" w:type="dxa"/>
            <w:tcBorders>
              <w:top w:val="nil"/>
            </w:tcBorders>
            <w:vAlign w:val="top"/>
          </w:tcPr>
          <w:p w14:paraId="67EF09D7" w14:textId="4CADB6A6"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36498">
              <w:t>11</w:t>
            </w:r>
            <w:r w:rsidRPr="0048561B">
              <w:t>.</w:t>
            </w:r>
            <w:r w:rsidR="00136498">
              <w:t>8</w:t>
            </w:r>
          </w:p>
        </w:tc>
        <w:tc>
          <w:tcPr>
            <w:tcW w:w="992" w:type="dxa"/>
            <w:tcBorders>
              <w:top w:val="nil"/>
            </w:tcBorders>
            <w:vAlign w:val="top"/>
          </w:tcPr>
          <w:p w14:paraId="585973B7" w14:textId="7839312E" w:rsidR="002F0C83" w:rsidRPr="0048561B" w:rsidRDefault="00136498" w:rsidP="00754DA9">
            <w:pPr>
              <w:spacing w:before="40" w:after="40"/>
              <w:jc w:val="center"/>
              <w:cnfStyle w:val="000000000000" w:firstRow="0" w:lastRow="0" w:firstColumn="0" w:lastColumn="0" w:oddVBand="0" w:evenVBand="0" w:oddHBand="0" w:evenHBand="0" w:firstRowFirstColumn="0" w:firstRowLastColumn="0" w:lastRowFirstColumn="0" w:lastRowLastColumn="0"/>
            </w:pPr>
            <w:r>
              <w:t>$6.2</w:t>
            </w:r>
          </w:p>
        </w:tc>
        <w:tc>
          <w:tcPr>
            <w:tcW w:w="993" w:type="dxa"/>
            <w:tcBorders>
              <w:top w:val="nil"/>
            </w:tcBorders>
            <w:vAlign w:val="top"/>
          </w:tcPr>
          <w:p w14:paraId="7AB921EC"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2" w:type="dxa"/>
            <w:tcBorders>
              <w:top w:val="nil"/>
            </w:tcBorders>
            <w:vAlign w:val="top"/>
          </w:tcPr>
          <w:p w14:paraId="2B5750E6"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1417" w:type="dxa"/>
            <w:tcBorders>
              <w:top w:val="nil"/>
            </w:tcBorders>
            <w:vAlign w:val="top"/>
            <w:hideMark/>
          </w:tcPr>
          <w:p w14:paraId="4FC74C43" w14:textId="4630473A"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w:t>
            </w:r>
            <w:r w:rsidR="00136498">
              <w:t>3</w:t>
            </w:r>
            <w:r w:rsidR="00EA6C0A">
              <w:t>8</w:t>
            </w:r>
            <w:r w:rsidRPr="0048561B">
              <w:t>.</w:t>
            </w:r>
            <w:r w:rsidR="00EA6C0A">
              <w:t>0</w:t>
            </w:r>
          </w:p>
        </w:tc>
      </w:tr>
      <w:tr w:rsidR="002F0C83" w:rsidRPr="00192F41" w14:paraId="7AE59F6D" w14:textId="77777777" w:rsidTr="00F876CA">
        <w:tc>
          <w:tcPr>
            <w:cnfStyle w:val="001000000000" w:firstRow="0" w:lastRow="0" w:firstColumn="1" w:lastColumn="0" w:oddVBand="0" w:evenVBand="0" w:oddHBand="0" w:evenHBand="0" w:firstRowFirstColumn="0" w:firstRowLastColumn="0" w:lastRowFirstColumn="0" w:lastRowLastColumn="0"/>
            <w:tcW w:w="3261" w:type="dxa"/>
            <w:shd w:val="clear" w:color="auto" w:fill="F5F5F5"/>
            <w:vAlign w:val="top"/>
            <w:hideMark/>
          </w:tcPr>
          <w:p w14:paraId="0957B165" w14:textId="636317B4" w:rsidR="002F0C83" w:rsidRPr="00192F41" w:rsidRDefault="002F0C83" w:rsidP="00754DA9">
            <w:pPr>
              <w:spacing w:before="40" w:after="40"/>
              <w:contextualSpacing/>
              <w:rPr>
                <w:rFonts w:cs="Arial"/>
                <w:color w:val="000000" w:themeColor="text1"/>
                <w:szCs w:val="20"/>
                <w:lang w:eastAsia="en-AU"/>
              </w:rPr>
            </w:pPr>
            <w:r w:rsidRPr="00C07A41">
              <w:rPr>
                <w:rFonts w:cs="Arial"/>
                <w:color w:val="000000" w:themeColor="text1"/>
                <w:szCs w:val="20"/>
                <w:lang w:eastAsia="en-AU"/>
              </w:rPr>
              <w:t xml:space="preserve">WID Modernisation </w:t>
            </w:r>
            <w:r w:rsidR="008E2C32">
              <w:rPr>
                <w:rFonts w:cs="Arial"/>
                <w:color w:val="000000" w:themeColor="text1"/>
                <w:szCs w:val="20"/>
                <w:lang w:eastAsia="en-AU"/>
              </w:rPr>
              <w:t>Stages</w:t>
            </w:r>
            <w:r w:rsidR="003339ED">
              <w:rPr>
                <w:rFonts w:cs="Arial"/>
                <w:color w:val="000000" w:themeColor="text1"/>
                <w:szCs w:val="20"/>
                <w:lang w:eastAsia="en-AU"/>
              </w:rPr>
              <w:t xml:space="preserve"> 1-3</w:t>
            </w:r>
          </w:p>
        </w:tc>
        <w:tc>
          <w:tcPr>
            <w:tcW w:w="992" w:type="dxa"/>
            <w:shd w:val="clear" w:color="auto" w:fill="F5F5F5"/>
            <w:vAlign w:val="top"/>
          </w:tcPr>
          <w:p w14:paraId="3B7797E5" w14:textId="41889F01"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$8.</w:t>
            </w:r>
            <w:r w:rsidR="00EA6C0A">
              <w:t>2</w:t>
            </w:r>
          </w:p>
        </w:tc>
        <w:tc>
          <w:tcPr>
            <w:tcW w:w="992" w:type="dxa"/>
            <w:shd w:val="clear" w:color="auto" w:fill="F5F5F5"/>
            <w:vAlign w:val="top"/>
          </w:tcPr>
          <w:p w14:paraId="760AEF8D" w14:textId="41A7DFC0"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$3.</w:t>
            </w:r>
            <w:r w:rsidR="001D7E8A">
              <w:t>9</w:t>
            </w:r>
          </w:p>
        </w:tc>
        <w:tc>
          <w:tcPr>
            <w:tcW w:w="992" w:type="dxa"/>
            <w:shd w:val="clear" w:color="auto" w:fill="F5F5F5"/>
            <w:vAlign w:val="top"/>
          </w:tcPr>
          <w:p w14:paraId="1C94D961"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3" w:type="dxa"/>
            <w:shd w:val="clear" w:color="auto" w:fill="F5F5F5"/>
            <w:vAlign w:val="top"/>
          </w:tcPr>
          <w:p w14:paraId="15641A1C"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2" w:type="dxa"/>
            <w:shd w:val="clear" w:color="auto" w:fill="F5F5F5"/>
            <w:vAlign w:val="top"/>
          </w:tcPr>
          <w:p w14:paraId="3C4A5CAB"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1417" w:type="dxa"/>
            <w:shd w:val="clear" w:color="auto" w:fill="F5F5F5"/>
            <w:vAlign w:val="top"/>
            <w:hideMark/>
          </w:tcPr>
          <w:p w14:paraId="0BD1E451" w14:textId="733F8523"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$1</w:t>
            </w:r>
            <w:r w:rsidR="001D7E8A">
              <w:t>2</w:t>
            </w:r>
            <w:r w:rsidRPr="0048561B">
              <w:t>.</w:t>
            </w:r>
            <w:r w:rsidR="001D7E8A">
              <w:t>0</w:t>
            </w:r>
          </w:p>
        </w:tc>
      </w:tr>
      <w:tr w:rsidR="002F0C83" w:rsidRPr="00192F41" w14:paraId="1BD00DAE" w14:textId="77777777" w:rsidTr="00F876CA">
        <w:tc>
          <w:tcPr>
            <w:cnfStyle w:val="001000000000" w:firstRow="0" w:lastRow="0" w:firstColumn="1" w:lastColumn="0" w:oddVBand="0" w:evenVBand="0" w:oddHBand="0" w:evenHBand="0" w:firstRowFirstColumn="0" w:firstRowLastColumn="0" w:lastRowFirstColumn="0" w:lastRowLastColumn="0"/>
            <w:tcW w:w="3261" w:type="dxa"/>
            <w:vAlign w:val="top"/>
            <w:hideMark/>
          </w:tcPr>
          <w:p w14:paraId="562204F1" w14:textId="323BA219" w:rsidR="002F0C83" w:rsidRPr="00192F41" w:rsidRDefault="005C4588" w:rsidP="00754DA9">
            <w:pPr>
              <w:spacing w:before="40" w:after="40"/>
              <w:contextualSpacing/>
              <w:rPr>
                <w:rFonts w:cs="Arial"/>
                <w:color w:val="000000" w:themeColor="text1"/>
                <w:szCs w:val="20"/>
                <w:lang w:eastAsia="en-AU"/>
              </w:rPr>
            </w:pPr>
            <w:r>
              <w:rPr>
                <w:rFonts w:cs="Arial"/>
                <w:color w:val="000000" w:themeColor="text1"/>
                <w:szCs w:val="20"/>
                <w:lang w:eastAsia="en-AU"/>
              </w:rPr>
              <w:t>MID Modernisation Phase 2</w:t>
            </w:r>
          </w:p>
        </w:tc>
        <w:tc>
          <w:tcPr>
            <w:tcW w:w="992" w:type="dxa"/>
            <w:vAlign w:val="top"/>
          </w:tcPr>
          <w:p w14:paraId="7DFE818B" w14:textId="7E230AF8"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D7E8A">
              <w:t>0</w:t>
            </w:r>
            <w:r w:rsidRPr="0048561B">
              <w:t>.</w:t>
            </w:r>
            <w:r w:rsidR="001D7E8A">
              <w:t>3</w:t>
            </w:r>
          </w:p>
        </w:tc>
        <w:tc>
          <w:tcPr>
            <w:tcW w:w="992" w:type="dxa"/>
            <w:vAlign w:val="top"/>
          </w:tcPr>
          <w:p w14:paraId="27BCADCE" w14:textId="090CA76B"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$2</w:t>
            </w:r>
            <w:r w:rsidR="001D7E8A">
              <w:t>.1</w:t>
            </w:r>
          </w:p>
        </w:tc>
        <w:tc>
          <w:tcPr>
            <w:tcW w:w="992" w:type="dxa"/>
            <w:vAlign w:val="top"/>
          </w:tcPr>
          <w:p w14:paraId="0C647881" w14:textId="1FC5A09F"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D7E8A">
              <w:t>4</w:t>
            </w:r>
            <w:r w:rsidRPr="0048561B">
              <w:t>.</w:t>
            </w:r>
            <w:r w:rsidR="001D7E8A">
              <w:t>3</w:t>
            </w:r>
          </w:p>
        </w:tc>
        <w:tc>
          <w:tcPr>
            <w:tcW w:w="993" w:type="dxa"/>
            <w:vAlign w:val="top"/>
          </w:tcPr>
          <w:p w14:paraId="056F96FA" w14:textId="6EB88A0D"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D7E8A">
              <w:t>3</w:t>
            </w:r>
            <w:r w:rsidRPr="0048561B">
              <w:t>.</w:t>
            </w:r>
            <w:r w:rsidR="001D7E8A">
              <w:t>3</w:t>
            </w:r>
          </w:p>
        </w:tc>
        <w:tc>
          <w:tcPr>
            <w:tcW w:w="992" w:type="dxa"/>
            <w:vAlign w:val="top"/>
          </w:tcPr>
          <w:p w14:paraId="24FFAB72" w14:textId="0E4D23BD"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D7E8A">
              <w:t>0</w:t>
            </w:r>
            <w:r w:rsidRPr="0048561B">
              <w:t>.</w:t>
            </w:r>
            <w:r w:rsidR="001D7E8A">
              <w:t>7</w:t>
            </w:r>
          </w:p>
        </w:tc>
        <w:tc>
          <w:tcPr>
            <w:tcW w:w="1417" w:type="dxa"/>
            <w:vAlign w:val="top"/>
            <w:hideMark/>
          </w:tcPr>
          <w:p w14:paraId="7F60F7D9" w14:textId="247D8887"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w:t>
            </w:r>
            <w:r w:rsidR="001D7E8A">
              <w:t>10</w:t>
            </w:r>
            <w:r w:rsidRPr="0048561B">
              <w:t>.</w:t>
            </w:r>
            <w:r w:rsidR="001D7E8A">
              <w:t>6</w:t>
            </w:r>
          </w:p>
        </w:tc>
      </w:tr>
      <w:tr w:rsidR="002F0C83" w:rsidRPr="00192F41" w14:paraId="6C7C165E" w14:textId="77777777" w:rsidTr="00F876CA">
        <w:tc>
          <w:tcPr>
            <w:cnfStyle w:val="001000000000" w:firstRow="0" w:lastRow="0" w:firstColumn="1" w:lastColumn="0" w:oddVBand="0" w:evenVBand="0" w:oddHBand="0" w:evenHBand="0" w:firstRowFirstColumn="0" w:firstRowLastColumn="0" w:lastRowFirstColumn="0" w:lastRowLastColumn="0"/>
            <w:tcW w:w="3261" w:type="dxa"/>
            <w:shd w:val="clear" w:color="auto" w:fill="F5F5F5"/>
            <w:vAlign w:val="top"/>
            <w:hideMark/>
          </w:tcPr>
          <w:p w14:paraId="17A97E1E" w14:textId="6D12A83C" w:rsidR="002F0C83" w:rsidRPr="00192F41" w:rsidRDefault="001C5AAE" w:rsidP="00754DA9">
            <w:pPr>
              <w:spacing w:before="40" w:after="40"/>
              <w:contextualSpacing/>
              <w:rPr>
                <w:rFonts w:cs="Arial"/>
                <w:color w:val="000000" w:themeColor="text1"/>
                <w:szCs w:val="20"/>
                <w:lang w:eastAsia="en-AU"/>
              </w:rPr>
            </w:pPr>
            <w:r>
              <w:rPr>
                <w:rFonts w:cs="Arial"/>
                <w:color w:val="000000" w:themeColor="text1"/>
                <w:szCs w:val="20"/>
                <w:lang w:eastAsia="en-AU"/>
              </w:rPr>
              <w:t>BMID Modernisation</w:t>
            </w:r>
          </w:p>
        </w:tc>
        <w:tc>
          <w:tcPr>
            <w:tcW w:w="992" w:type="dxa"/>
            <w:shd w:val="clear" w:color="auto" w:fill="F5F5F5"/>
            <w:vAlign w:val="top"/>
          </w:tcPr>
          <w:p w14:paraId="35B80E5C" w14:textId="2C7CAB21" w:rsidR="002F0C83" w:rsidRPr="0048561B" w:rsidRDefault="001D7E8A" w:rsidP="00754DA9">
            <w:pPr>
              <w:spacing w:before="40" w:after="40"/>
              <w:jc w:val="center"/>
              <w:cnfStyle w:val="000000000000" w:firstRow="0" w:lastRow="0" w:firstColumn="0" w:lastColumn="0" w:oddVBand="0" w:evenVBand="0" w:oddHBand="0" w:evenHBand="0" w:firstRowFirstColumn="0" w:firstRowLastColumn="0" w:lastRowFirstColumn="0" w:lastRowLastColumn="0"/>
            </w:pPr>
            <w:r>
              <w:t>$2.9</w:t>
            </w:r>
          </w:p>
        </w:tc>
        <w:tc>
          <w:tcPr>
            <w:tcW w:w="992" w:type="dxa"/>
            <w:shd w:val="clear" w:color="auto" w:fill="F5F5F5"/>
            <w:vAlign w:val="top"/>
          </w:tcPr>
          <w:p w14:paraId="710BA5C7" w14:textId="78FDA940"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1D7E8A">
              <w:t>1.7</w:t>
            </w:r>
          </w:p>
        </w:tc>
        <w:tc>
          <w:tcPr>
            <w:tcW w:w="992" w:type="dxa"/>
            <w:shd w:val="clear" w:color="auto" w:fill="F5F5F5"/>
            <w:vAlign w:val="top"/>
          </w:tcPr>
          <w:p w14:paraId="66E3B2A2" w14:textId="01580A6D" w:rsidR="002F0C83" w:rsidRPr="0048561B" w:rsidRDefault="00595E9A"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993" w:type="dxa"/>
            <w:shd w:val="clear" w:color="auto" w:fill="F5F5F5"/>
            <w:vAlign w:val="top"/>
          </w:tcPr>
          <w:p w14:paraId="4848EE0E" w14:textId="6397A82B" w:rsidR="002F0C83" w:rsidRPr="0048561B" w:rsidRDefault="00595E9A"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992" w:type="dxa"/>
            <w:shd w:val="clear" w:color="auto" w:fill="F5F5F5"/>
            <w:vAlign w:val="top"/>
          </w:tcPr>
          <w:p w14:paraId="30E17CEF" w14:textId="77777777"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Pr>
                <w:rFonts w:cs="Arial"/>
                <w:color w:val="000000" w:themeColor="text1"/>
                <w:szCs w:val="20"/>
                <w:lang w:eastAsia="en-AU"/>
              </w:rPr>
              <w:t>-</w:t>
            </w:r>
          </w:p>
        </w:tc>
        <w:tc>
          <w:tcPr>
            <w:tcW w:w="1417" w:type="dxa"/>
            <w:shd w:val="clear" w:color="auto" w:fill="F5F5F5"/>
            <w:vAlign w:val="top"/>
            <w:hideMark/>
          </w:tcPr>
          <w:p w14:paraId="55829B3D" w14:textId="4F7883DE"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w:t>
            </w:r>
            <w:r w:rsidR="00595E9A">
              <w:t>4</w:t>
            </w:r>
            <w:r w:rsidRPr="0048561B">
              <w:t>.</w:t>
            </w:r>
            <w:r w:rsidR="00595E9A">
              <w:t>5</w:t>
            </w:r>
          </w:p>
        </w:tc>
      </w:tr>
      <w:tr w:rsidR="00992DA7" w:rsidRPr="00192F41" w14:paraId="38AB630D" w14:textId="77777777" w:rsidTr="00F876CA">
        <w:tc>
          <w:tcPr>
            <w:cnfStyle w:val="001000000000" w:firstRow="0" w:lastRow="0" w:firstColumn="1" w:lastColumn="0" w:oddVBand="0" w:evenVBand="0" w:oddHBand="0" w:evenHBand="0" w:firstRowFirstColumn="0" w:firstRowLastColumn="0" w:lastRowFirstColumn="0" w:lastRowLastColumn="0"/>
            <w:tcW w:w="3261" w:type="dxa"/>
            <w:vAlign w:val="top"/>
            <w:hideMark/>
          </w:tcPr>
          <w:p w14:paraId="6F72F2B5" w14:textId="490F327E" w:rsidR="00992DA7" w:rsidRPr="00192F41" w:rsidRDefault="00992DA7" w:rsidP="00754DA9">
            <w:pPr>
              <w:spacing w:before="40" w:after="40"/>
              <w:contextualSpacing/>
              <w:rPr>
                <w:rFonts w:cs="Arial"/>
                <w:color w:val="000000" w:themeColor="text1"/>
                <w:szCs w:val="20"/>
                <w:lang w:eastAsia="en-AU"/>
              </w:rPr>
            </w:pPr>
            <w:r>
              <w:rPr>
                <w:rFonts w:cs="Arial"/>
                <w:color w:val="000000" w:themeColor="text1"/>
                <w:szCs w:val="20"/>
                <w:lang w:eastAsia="en-AU"/>
              </w:rPr>
              <w:t>Maffra Weir operating gear</w:t>
            </w:r>
          </w:p>
        </w:tc>
        <w:tc>
          <w:tcPr>
            <w:tcW w:w="992" w:type="dxa"/>
            <w:vAlign w:val="top"/>
          </w:tcPr>
          <w:p w14:paraId="54E20072" w14:textId="00B82FD0" w:rsidR="00992DA7" w:rsidRPr="0048561B" w:rsidRDefault="00B71454"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r w:rsidR="00E503DE">
              <w:t>1.3</w:t>
            </w:r>
          </w:p>
        </w:tc>
        <w:tc>
          <w:tcPr>
            <w:tcW w:w="992" w:type="dxa"/>
            <w:vAlign w:val="top"/>
          </w:tcPr>
          <w:p w14:paraId="7D37F9F7" w14:textId="1669522F"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B71454">
              <w:t>1</w:t>
            </w:r>
            <w:r w:rsidRPr="0048561B">
              <w:t>.</w:t>
            </w:r>
            <w:r w:rsidR="00B71454">
              <w:t>1</w:t>
            </w:r>
          </w:p>
        </w:tc>
        <w:tc>
          <w:tcPr>
            <w:tcW w:w="992" w:type="dxa"/>
            <w:vAlign w:val="top"/>
          </w:tcPr>
          <w:p w14:paraId="677D6FCA" w14:textId="6E86F82E" w:rsidR="00992DA7" w:rsidRPr="0048561B" w:rsidRDefault="00B71454"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993" w:type="dxa"/>
            <w:vAlign w:val="top"/>
          </w:tcPr>
          <w:p w14:paraId="52368A59" w14:textId="77394AB4" w:rsidR="00992DA7" w:rsidRPr="0048561B" w:rsidRDefault="00B71454"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992" w:type="dxa"/>
            <w:vAlign w:val="top"/>
          </w:tcPr>
          <w:p w14:paraId="11665CBD" w14:textId="77777777" w:rsidR="00992DA7"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1417" w:type="dxa"/>
            <w:vAlign w:val="top"/>
            <w:hideMark/>
          </w:tcPr>
          <w:p w14:paraId="1F00816C" w14:textId="0FE7C01F" w:rsidR="00992DA7" w:rsidRPr="00192F41"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$2.</w:t>
            </w:r>
            <w:r w:rsidR="00B71454">
              <w:t>4</w:t>
            </w:r>
          </w:p>
        </w:tc>
      </w:tr>
      <w:tr w:rsidR="00992DA7" w:rsidRPr="00192F41" w14:paraId="06AD0E95" w14:textId="77777777" w:rsidTr="00F876CA">
        <w:tc>
          <w:tcPr>
            <w:cnfStyle w:val="001000000000" w:firstRow="0" w:lastRow="0" w:firstColumn="1" w:lastColumn="0" w:oddVBand="0" w:evenVBand="0" w:oddHBand="0" w:evenHBand="0" w:firstRowFirstColumn="0" w:firstRowLastColumn="0" w:lastRowFirstColumn="0" w:lastRowLastColumn="0"/>
            <w:tcW w:w="3261" w:type="dxa"/>
            <w:shd w:val="clear" w:color="auto" w:fill="F5F5F5"/>
            <w:vAlign w:val="top"/>
            <w:hideMark/>
          </w:tcPr>
          <w:p w14:paraId="2203B7BA" w14:textId="26B16135" w:rsidR="00992DA7" w:rsidRPr="00192F41" w:rsidRDefault="00992DA7" w:rsidP="00754DA9">
            <w:pPr>
              <w:spacing w:before="40" w:after="40"/>
              <w:contextualSpacing/>
              <w:rPr>
                <w:rFonts w:cs="Arial"/>
                <w:color w:val="000000" w:themeColor="text1"/>
                <w:szCs w:val="20"/>
                <w:lang w:eastAsia="en-AU"/>
              </w:rPr>
            </w:pPr>
            <w:r>
              <w:rPr>
                <w:rFonts w:cs="Arial"/>
                <w:color w:val="000000" w:themeColor="text1"/>
                <w:szCs w:val="20"/>
                <w:lang w:eastAsia="en-AU"/>
              </w:rPr>
              <w:t>MID channel bank renewal</w:t>
            </w:r>
            <w:r w:rsidRPr="00C07A41">
              <w:rPr>
                <w:rFonts w:cs="Arial"/>
                <w:color w:val="000000" w:themeColor="text1"/>
                <w:szCs w:val="20"/>
                <w:lang w:eastAsia="en-AU"/>
              </w:rPr>
              <w:t xml:space="preserve"> </w:t>
            </w:r>
          </w:p>
        </w:tc>
        <w:tc>
          <w:tcPr>
            <w:tcW w:w="992" w:type="dxa"/>
            <w:shd w:val="clear" w:color="auto" w:fill="F5F5F5"/>
            <w:vAlign w:val="top"/>
          </w:tcPr>
          <w:p w14:paraId="7B250E35" w14:textId="6620029A" w:rsidR="00992DA7" w:rsidRPr="0048561B" w:rsidRDefault="00E503DE" w:rsidP="00754DA9">
            <w:pPr>
              <w:spacing w:before="40" w:after="40"/>
              <w:jc w:val="center"/>
              <w:cnfStyle w:val="000000000000" w:firstRow="0" w:lastRow="0" w:firstColumn="0" w:lastColumn="0" w:oddVBand="0" w:evenVBand="0" w:oddHBand="0" w:evenHBand="0" w:firstRowFirstColumn="0" w:firstRowLastColumn="0" w:lastRowFirstColumn="0" w:lastRowLastColumn="0"/>
            </w:pPr>
            <w:r>
              <w:t>$0.4</w:t>
            </w:r>
          </w:p>
        </w:tc>
        <w:tc>
          <w:tcPr>
            <w:tcW w:w="992" w:type="dxa"/>
            <w:shd w:val="clear" w:color="auto" w:fill="F5F5F5"/>
            <w:vAlign w:val="top"/>
          </w:tcPr>
          <w:p w14:paraId="579F0D60" w14:textId="439DDD9B"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E503DE">
              <w:t>4</w:t>
            </w:r>
          </w:p>
        </w:tc>
        <w:tc>
          <w:tcPr>
            <w:tcW w:w="992" w:type="dxa"/>
            <w:shd w:val="clear" w:color="auto" w:fill="F5F5F5"/>
            <w:vAlign w:val="top"/>
          </w:tcPr>
          <w:p w14:paraId="0BD0FB1D" w14:textId="6A3885D8"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E503DE">
              <w:t>4</w:t>
            </w:r>
          </w:p>
        </w:tc>
        <w:tc>
          <w:tcPr>
            <w:tcW w:w="993" w:type="dxa"/>
            <w:shd w:val="clear" w:color="auto" w:fill="F5F5F5"/>
            <w:vAlign w:val="top"/>
          </w:tcPr>
          <w:p w14:paraId="6B3E35D7" w14:textId="6BFB9914"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E503DE">
              <w:t>4</w:t>
            </w:r>
          </w:p>
        </w:tc>
        <w:tc>
          <w:tcPr>
            <w:tcW w:w="992" w:type="dxa"/>
            <w:shd w:val="clear" w:color="auto" w:fill="F5F5F5"/>
            <w:vAlign w:val="top"/>
          </w:tcPr>
          <w:p w14:paraId="4CA45CAF" w14:textId="0577F653"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E503DE">
              <w:t>4</w:t>
            </w:r>
          </w:p>
        </w:tc>
        <w:tc>
          <w:tcPr>
            <w:tcW w:w="1417" w:type="dxa"/>
            <w:shd w:val="clear" w:color="auto" w:fill="F5F5F5"/>
            <w:vAlign w:val="top"/>
            <w:hideMark/>
          </w:tcPr>
          <w:p w14:paraId="58848ED9" w14:textId="3C4CBEDD" w:rsidR="00992DA7" w:rsidRPr="00192F41"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$2.</w:t>
            </w:r>
            <w:r w:rsidR="00E503DE">
              <w:t>0</w:t>
            </w:r>
          </w:p>
        </w:tc>
      </w:tr>
      <w:tr w:rsidR="00992DA7" w:rsidRPr="00192F41" w14:paraId="5BD89AFF" w14:textId="77777777" w:rsidTr="00754DA9">
        <w:trPr>
          <w:trHeight w:val="597"/>
        </w:trPr>
        <w:tc>
          <w:tcPr>
            <w:cnfStyle w:val="001000000000" w:firstRow="0" w:lastRow="0" w:firstColumn="1" w:lastColumn="0" w:oddVBand="0" w:evenVBand="0" w:oddHBand="0" w:evenHBand="0" w:firstRowFirstColumn="0" w:firstRowLastColumn="0" w:lastRowFirstColumn="0" w:lastRowLastColumn="0"/>
            <w:tcW w:w="3261" w:type="dxa"/>
            <w:vAlign w:val="top"/>
            <w:hideMark/>
          </w:tcPr>
          <w:p w14:paraId="38151284" w14:textId="5A6A88FE" w:rsidR="00992DA7" w:rsidRPr="00754DA9" w:rsidRDefault="00992DA7" w:rsidP="00754DA9">
            <w:pPr>
              <w:spacing w:before="40" w:after="40"/>
              <w:contextualSpacing/>
            </w:pPr>
            <w:r w:rsidRPr="00C07A41">
              <w:rPr>
                <w:rFonts w:cs="Arial"/>
                <w:color w:val="000000" w:themeColor="text1"/>
                <w:szCs w:val="20"/>
                <w:lang w:eastAsia="en-AU"/>
              </w:rPr>
              <w:t xml:space="preserve">Glenmaggie </w:t>
            </w:r>
            <w:r w:rsidR="00A22959">
              <w:rPr>
                <w:rFonts w:cs="Arial"/>
                <w:color w:val="000000" w:themeColor="text1"/>
                <w:szCs w:val="20"/>
                <w:lang w:eastAsia="en-AU"/>
              </w:rPr>
              <w:t>s</w:t>
            </w:r>
            <w:r w:rsidRPr="00C07A41">
              <w:rPr>
                <w:rFonts w:cs="Arial"/>
                <w:color w:val="000000" w:themeColor="text1"/>
                <w:szCs w:val="20"/>
                <w:lang w:eastAsia="en-AU"/>
              </w:rPr>
              <w:t xml:space="preserve">pillway </w:t>
            </w:r>
            <w:r w:rsidR="00A22959">
              <w:rPr>
                <w:rFonts w:cs="Arial"/>
                <w:color w:val="000000" w:themeColor="text1"/>
                <w:szCs w:val="20"/>
                <w:lang w:eastAsia="en-AU"/>
              </w:rPr>
              <w:t>g</w:t>
            </w:r>
            <w:r w:rsidRPr="00C07A41">
              <w:rPr>
                <w:rFonts w:cs="Arial"/>
                <w:color w:val="000000" w:themeColor="text1"/>
                <w:szCs w:val="20"/>
                <w:lang w:eastAsia="en-AU"/>
              </w:rPr>
              <w:t xml:space="preserve">ate </w:t>
            </w:r>
            <w:r w:rsidR="00A22959">
              <w:rPr>
                <w:rFonts w:cs="Arial"/>
                <w:color w:val="000000" w:themeColor="text1"/>
                <w:szCs w:val="20"/>
                <w:lang w:eastAsia="en-AU"/>
              </w:rPr>
              <w:t>r</w:t>
            </w:r>
            <w:r w:rsidRPr="00C07A41">
              <w:rPr>
                <w:rFonts w:cs="Arial"/>
                <w:color w:val="000000" w:themeColor="text1"/>
                <w:szCs w:val="20"/>
                <w:lang w:eastAsia="en-AU"/>
              </w:rPr>
              <w:t>epainting</w:t>
            </w:r>
          </w:p>
        </w:tc>
        <w:tc>
          <w:tcPr>
            <w:tcW w:w="992" w:type="dxa"/>
            <w:vAlign w:val="top"/>
          </w:tcPr>
          <w:p w14:paraId="523402C1" w14:textId="46A10877"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B144CB">
              <w:t>2</w:t>
            </w:r>
          </w:p>
        </w:tc>
        <w:tc>
          <w:tcPr>
            <w:tcW w:w="992" w:type="dxa"/>
            <w:vAlign w:val="top"/>
          </w:tcPr>
          <w:p w14:paraId="305A899F" w14:textId="3F85B23A"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B144CB">
              <w:t>6</w:t>
            </w:r>
          </w:p>
        </w:tc>
        <w:tc>
          <w:tcPr>
            <w:tcW w:w="992" w:type="dxa"/>
            <w:vAlign w:val="top"/>
          </w:tcPr>
          <w:p w14:paraId="1C5E54A2" w14:textId="1A6E5D1C" w:rsidR="00992DA7" w:rsidRPr="0048561B" w:rsidRDefault="00B144CB" w:rsidP="00754DA9">
            <w:pPr>
              <w:spacing w:before="40" w:after="40"/>
              <w:jc w:val="center"/>
              <w:cnfStyle w:val="000000000000" w:firstRow="0" w:lastRow="0" w:firstColumn="0" w:lastColumn="0" w:oddVBand="0" w:evenVBand="0" w:oddHBand="0" w:evenHBand="0" w:firstRowFirstColumn="0" w:firstRowLastColumn="0" w:lastRowFirstColumn="0" w:lastRowLastColumn="0"/>
            </w:pPr>
            <w:r>
              <w:t>-</w:t>
            </w:r>
          </w:p>
        </w:tc>
        <w:tc>
          <w:tcPr>
            <w:tcW w:w="993" w:type="dxa"/>
            <w:vAlign w:val="top"/>
          </w:tcPr>
          <w:p w14:paraId="69E18358" w14:textId="3E9576BE"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356BFF">
              <w:t>2</w:t>
            </w:r>
          </w:p>
        </w:tc>
        <w:tc>
          <w:tcPr>
            <w:tcW w:w="992" w:type="dxa"/>
            <w:vAlign w:val="top"/>
          </w:tcPr>
          <w:p w14:paraId="0B78C587" w14:textId="5DA121D4"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356BFF">
              <w:t>6</w:t>
            </w:r>
          </w:p>
        </w:tc>
        <w:tc>
          <w:tcPr>
            <w:tcW w:w="1417" w:type="dxa"/>
            <w:vAlign w:val="top"/>
            <w:hideMark/>
          </w:tcPr>
          <w:p w14:paraId="333E7781" w14:textId="2687947A" w:rsidR="00992DA7" w:rsidRPr="00192F41"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$1.</w:t>
            </w:r>
            <w:r w:rsidR="00356BFF">
              <w:t>5</w:t>
            </w:r>
          </w:p>
        </w:tc>
      </w:tr>
      <w:tr w:rsidR="00992DA7" w:rsidRPr="00192F41" w14:paraId="0E36368B" w14:textId="77777777" w:rsidTr="00F876CA">
        <w:tc>
          <w:tcPr>
            <w:cnfStyle w:val="001000000000" w:firstRow="0" w:lastRow="0" w:firstColumn="1" w:lastColumn="0" w:oddVBand="0" w:evenVBand="0" w:oddHBand="0" w:evenHBand="0" w:firstRowFirstColumn="0" w:firstRowLastColumn="0" w:lastRowFirstColumn="0" w:lastRowLastColumn="0"/>
            <w:tcW w:w="3261" w:type="dxa"/>
            <w:shd w:val="clear" w:color="auto" w:fill="F5F5F5"/>
            <w:vAlign w:val="top"/>
            <w:hideMark/>
          </w:tcPr>
          <w:p w14:paraId="1FBF1BA7" w14:textId="77D0CA3F" w:rsidR="00992DA7" w:rsidRPr="00192F41" w:rsidRDefault="00992DA7" w:rsidP="00754DA9">
            <w:pPr>
              <w:spacing w:before="40" w:after="40"/>
              <w:contextualSpacing/>
              <w:rPr>
                <w:rFonts w:cs="Arial"/>
                <w:color w:val="000000" w:themeColor="text1"/>
                <w:szCs w:val="20"/>
                <w:lang w:eastAsia="en-AU"/>
              </w:rPr>
            </w:pPr>
            <w:r>
              <w:rPr>
                <w:rFonts w:cs="Arial"/>
                <w:color w:val="000000" w:themeColor="text1"/>
                <w:szCs w:val="20"/>
                <w:lang w:eastAsia="en-AU"/>
              </w:rPr>
              <w:t>Asset management system upgrade</w:t>
            </w:r>
            <w:r w:rsidRPr="00C07A41">
              <w:rPr>
                <w:rFonts w:cs="Arial"/>
                <w:color w:val="000000" w:themeColor="text1"/>
                <w:szCs w:val="20"/>
                <w:lang w:eastAsia="en-AU"/>
              </w:rPr>
              <w:t xml:space="preserve"> </w:t>
            </w:r>
          </w:p>
        </w:tc>
        <w:tc>
          <w:tcPr>
            <w:tcW w:w="992" w:type="dxa"/>
            <w:shd w:val="clear" w:color="auto" w:fill="F5F5F5"/>
            <w:vAlign w:val="top"/>
          </w:tcPr>
          <w:p w14:paraId="3F128BED" w14:textId="77777777"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$1.0</w:t>
            </w:r>
          </w:p>
        </w:tc>
        <w:tc>
          <w:tcPr>
            <w:tcW w:w="992" w:type="dxa"/>
            <w:shd w:val="clear" w:color="auto" w:fill="F5F5F5"/>
            <w:vAlign w:val="top"/>
          </w:tcPr>
          <w:p w14:paraId="458EDC1D" w14:textId="2A361EF9" w:rsidR="00992DA7" w:rsidRPr="0048561B" w:rsidRDefault="00D276A0" w:rsidP="00754DA9">
            <w:pPr>
              <w:spacing w:before="40" w:after="40"/>
              <w:jc w:val="center"/>
              <w:cnfStyle w:val="000000000000" w:firstRow="0" w:lastRow="0" w:firstColumn="0" w:lastColumn="0" w:oddVBand="0" w:evenVBand="0" w:oddHBand="0" w:evenHBand="0" w:firstRowFirstColumn="0" w:firstRowLastColumn="0" w:lastRowFirstColumn="0" w:lastRowLastColumn="0"/>
            </w:pPr>
            <w:r>
              <w:t>$0.1</w:t>
            </w:r>
          </w:p>
        </w:tc>
        <w:tc>
          <w:tcPr>
            <w:tcW w:w="992" w:type="dxa"/>
            <w:shd w:val="clear" w:color="auto" w:fill="F5F5F5"/>
            <w:vAlign w:val="top"/>
          </w:tcPr>
          <w:p w14:paraId="149F21C0" w14:textId="77777777"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3" w:type="dxa"/>
            <w:shd w:val="clear" w:color="auto" w:fill="F5F5F5"/>
            <w:vAlign w:val="top"/>
          </w:tcPr>
          <w:p w14:paraId="37DE74BA" w14:textId="77777777"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2" w:type="dxa"/>
            <w:shd w:val="clear" w:color="auto" w:fill="F5F5F5"/>
            <w:vAlign w:val="top"/>
          </w:tcPr>
          <w:p w14:paraId="6C30E354" w14:textId="77777777" w:rsidR="00992DA7" w:rsidRPr="0048561B"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1417" w:type="dxa"/>
            <w:shd w:val="clear" w:color="auto" w:fill="F5F5F5"/>
            <w:vAlign w:val="top"/>
            <w:hideMark/>
          </w:tcPr>
          <w:p w14:paraId="2A8DEC9A" w14:textId="0D44521A" w:rsidR="00992DA7" w:rsidRPr="00192F41" w:rsidRDefault="00992DA7"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$1.</w:t>
            </w:r>
            <w:r w:rsidR="00D276A0">
              <w:t>1</w:t>
            </w:r>
          </w:p>
        </w:tc>
      </w:tr>
      <w:tr w:rsidR="002F0C83" w:rsidRPr="00192F41" w14:paraId="0F5E89D2" w14:textId="77777777" w:rsidTr="00F876CA">
        <w:tc>
          <w:tcPr>
            <w:cnfStyle w:val="001000000000" w:firstRow="0" w:lastRow="0" w:firstColumn="1" w:lastColumn="0" w:oddVBand="0" w:evenVBand="0" w:oddHBand="0" w:evenHBand="0" w:firstRowFirstColumn="0" w:firstRowLastColumn="0" w:lastRowFirstColumn="0" w:lastRowLastColumn="0"/>
            <w:tcW w:w="3261" w:type="dxa"/>
            <w:tcBorders>
              <w:bottom w:val="single" w:sz="4" w:space="0" w:color="D9D9D9" w:themeColor="background1" w:themeShade="D9"/>
            </w:tcBorders>
            <w:vAlign w:val="top"/>
            <w:hideMark/>
          </w:tcPr>
          <w:p w14:paraId="50D73076" w14:textId="7076BFC5" w:rsidR="002F0C83" w:rsidRPr="00192F41" w:rsidRDefault="00992DA7" w:rsidP="00754DA9">
            <w:pPr>
              <w:spacing w:before="40" w:after="40"/>
              <w:contextualSpacing/>
              <w:rPr>
                <w:rFonts w:cs="Arial"/>
                <w:color w:val="000000" w:themeColor="text1"/>
                <w:szCs w:val="20"/>
                <w:lang w:eastAsia="en-AU"/>
              </w:rPr>
            </w:pPr>
            <w:r>
              <w:rPr>
                <w:rFonts w:cs="Arial"/>
                <w:color w:val="000000" w:themeColor="text1"/>
                <w:szCs w:val="20"/>
                <w:lang w:eastAsia="en-AU"/>
              </w:rPr>
              <w:t>GW&amp;R meter replacement</w:t>
            </w:r>
            <w:r w:rsidR="00FC3E31">
              <w:rPr>
                <w:rFonts w:cs="Arial"/>
                <w:color w:val="000000" w:themeColor="text1"/>
                <w:szCs w:val="20"/>
                <w:lang w:eastAsia="en-AU"/>
              </w:rPr>
              <w:t>s</w:t>
            </w:r>
          </w:p>
        </w:tc>
        <w:tc>
          <w:tcPr>
            <w:tcW w:w="992" w:type="dxa"/>
            <w:tcBorders>
              <w:bottom w:val="single" w:sz="4" w:space="0" w:color="D9D9D9" w:themeColor="background1" w:themeShade="D9"/>
            </w:tcBorders>
            <w:vAlign w:val="top"/>
          </w:tcPr>
          <w:p w14:paraId="26131B13" w14:textId="004B5D86"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$0.</w:t>
            </w:r>
            <w:r w:rsidR="002A2887">
              <w:t>2</w:t>
            </w:r>
          </w:p>
        </w:tc>
        <w:tc>
          <w:tcPr>
            <w:tcW w:w="992" w:type="dxa"/>
            <w:tcBorders>
              <w:bottom w:val="single" w:sz="4" w:space="0" w:color="D9D9D9" w:themeColor="background1" w:themeShade="D9"/>
            </w:tcBorders>
            <w:vAlign w:val="top"/>
          </w:tcPr>
          <w:p w14:paraId="46025DDA" w14:textId="76A3EC9F" w:rsidR="002F0C83" w:rsidRPr="0048561B" w:rsidRDefault="002A2887" w:rsidP="00754DA9">
            <w:pPr>
              <w:tabs>
                <w:tab w:val="center" w:pos="425"/>
                <w:tab w:val="right" w:pos="851"/>
              </w:tabs>
              <w:spacing w:before="40" w:after="40"/>
              <w:jc w:val="center"/>
              <w:cnfStyle w:val="000000000000" w:firstRow="0" w:lastRow="0" w:firstColumn="0" w:lastColumn="0" w:oddVBand="0" w:evenVBand="0" w:oddHBand="0" w:evenHBand="0" w:firstRowFirstColumn="0" w:firstRowLastColumn="0" w:lastRowFirstColumn="0" w:lastRowLastColumn="0"/>
            </w:pPr>
            <w:r>
              <w:t>$0.2</w:t>
            </w:r>
          </w:p>
        </w:tc>
        <w:tc>
          <w:tcPr>
            <w:tcW w:w="992" w:type="dxa"/>
            <w:tcBorders>
              <w:bottom w:val="single" w:sz="4" w:space="0" w:color="D9D9D9" w:themeColor="background1" w:themeShade="D9"/>
            </w:tcBorders>
            <w:vAlign w:val="top"/>
          </w:tcPr>
          <w:p w14:paraId="63D745A4" w14:textId="47C70266" w:rsidR="002F0C83" w:rsidRPr="0048561B" w:rsidRDefault="002A2887" w:rsidP="00754DA9">
            <w:pPr>
              <w:spacing w:before="40" w:after="40"/>
              <w:jc w:val="center"/>
              <w:cnfStyle w:val="000000000000" w:firstRow="0" w:lastRow="0" w:firstColumn="0" w:lastColumn="0" w:oddVBand="0" w:evenVBand="0" w:oddHBand="0" w:evenHBand="0" w:firstRowFirstColumn="0" w:firstRowLastColumn="0" w:lastRowFirstColumn="0" w:lastRowLastColumn="0"/>
            </w:pPr>
            <w:r>
              <w:t>$0.2</w:t>
            </w:r>
          </w:p>
        </w:tc>
        <w:tc>
          <w:tcPr>
            <w:tcW w:w="993" w:type="dxa"/>
            <w:tcBorders>
              <w:bottom w:val="single" w:sz="4" w:space="0" w:color="D9D9D9" w:themeColor="background1" w:themeShade="D9"/>
            </w:tcBorders>
            <w:vAlign w:val="top"/>
          </w:tcPr>
          <w:p w14:paraId="54978F6D" w14:textId="357B326A" w:rsidR="002F0C83" w:rsidRPr="0048561B" w:rsidRDefault="002A2887" w:rsidP="00754DA9">
            <w:pPr>
              <w:spacing w:before="40" w:after="40"/>
              <w:jc w:val="center"/>
              <w:cnfStyle w:val="000000000000" w:firstRow="0" w:lastRow="0" w:firstColumn="0" w:lastColumn="0" w:oddVBand="0" w:evenVBand="0" w:oddHBand="0" w:evenHBand="0" w:firstRowFirstColumn="0" w:firstRowLastColumn="0" w:lastRowFirstColumn="0" w:lastRowLastColumn="0"/>
            </w:pPr>
            <w:r>
              <w:t>$0.2</w:t>
            </w:r>
          </w:p>
        </w:tc>
        <w:tc>
          <w:tcPr>
            <w:tcW w:w="992" w:type="dxa"/>
            <w:tcBorders>
              <w:bottom w:val="single" w:sz="4" w:space="0" w:color="D9D9D9" w:themeColor="background1" w:themeShade="D9"/>
            </w:tcBorders>
            <w:vAlign w:val="top"/>
          </w:tcPr>
          <w:p w14:paraId="5566232F" w14:textId="52CB9732" w:rsidR="002F0C83" w:rsidRPr="0048561B" w:rsidRDefault="002A2887" w:rsidP="00754DA9">
            <w:pPr>
              <w:spacing w:before="40" w:after="40"/>
              <w:jc w:val="center"/>
              <w:cnfStyle w:val="000000000000" w:firstRow="0" w:lastRow="0" w:firstColumn="0" w:lastColumn="0" w:oddVBand="0" w:evenVBand="0" w:oddHBand="0" w:evenHBand="0" w:firstRowFirstColumn="0" w:firstRowLastColumn="0" w:lastRowFirstColumn="0" w:lastRowLastColumn="0"/>
            </w:pPr>
            <w:r>
              <w:t>$0.2</w:t>
            </w:r>
          </w:p>
        </w:tc>
        <w:tc>
          <w:tcPr>
            <w:tcW w:w="1417" w:type="dxa"/>
            <w:tcBorders>
              <w:bottom w:val="single" w:sz="4" w:space="0" w:color="D9D9D9" w:themeColor="background1" w:themeShade="D9"/>
            </w:tcBorders>
            <w:vAlign w:val="top"/>
            <w:hideMark/>
          </w:tcPr>
          <w:p w14:paraId="4A60B311" w14:textId="47147C27"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w:t>
            </w:r>
            <w:r w:rsidR="002A2887">
              <w:t>1</w:t>
            </w:r>
            <w:r w:rsidRPr="0048561B">
              <w:t>.</w:t>
            </w:r>
            <w:r w:rsidR="002A2887">
              <w:t>0</w:t>
            </w:r>
          </w:p>
        </w:tc>
      </w:tr>
      <w:tr w:rsidR="002F0C83" w:rsidRPr="00192F41" w14:paraId="41E7174A" w14:textId="77777777" w:rsidTr="00F876CA">
        <w:tc>
          <w:tcPr>
            <w:cnfStyle w:val="001000000000" w:firstRow="0" w:lastRow="0" w:firstColumn="1" w:lastColumn="0" w:oddVBand="0" w:evenVBand="0" w:oddHBand="0" w:evenHBand="0" w:firstRowFirstColumn="0" w:firstRowLastColumn="0" w:lastRowFirstColumn="0" w:lastRowLastColumn="0"/>
            <w:tcW w:w="3261" w:type="dxa"/>
            <w:tcBorders>
              <w:top w:val="single" w:sz="4" w:space="0" w:color="D9D9D9" w:themeColor="background1" w:themeShade="D9"/>
              <w:bottom w:val="single" w:sz="4" w:space="0" w:color="auto"/>
            </w:tcBorders>
            <w:shd w:val="clear" w:color="auto" w:fill="F5F5F5"/>
            <w:vAlign w:val="top"/>
            <w:hideMark/>
          </w:tcPr>
          <w:p w14:paraId="38D9E5FA" w14:textId="62A52B00" w:rsidR="002F0C83" w:rsidRPr="00192F41" w:rsidRDefault="00992DA7" w:rsidP="00754DA9">
            <w:pPr>
              <w:spacing w:before="40" w:after="40"/>
              <w:contextualSpacing/>
              <w:rPr>
                <w:rFonts w:cs="Arial"/>
                <w:color w:val="000000" w:themeColor="text1"/>
                <w:szCs w:val="20"/>
                <w:lang w:eastAsia="en-AU"/>
              </w:rPr>
            </w:pPr>
            <w:r>
              <w:rPr>
                <w:rFonts w:cs="Arial"/>
                <w:color w:val="000000" w:themeColor="text1"/>
                <w:szCs w:val="20"/>
                <w:lang w:eastAsia="en-AU"/>
              </w:rPr>
              <w:t>Werribee office redevelopment</w:t>
            </w:r>
          </w:p>
        </w:tc>
        <w:tc>
          <w:tcPr>
            <w:tcW w:w="992" w:type="dxa"/>
            <w:tcBorders>
              <w:top w:val="single" w:sz="4" w:space="0" w:color="D9D9D9" w:themeColor="background1" w:themeShade="D9"/>
              <w:bottom w:val="single" w:sz="4" w:space="0" w:color="auto"/>
            </w:tcBorders>
            <w:shd w:val="clear" w:color="auto" w:fill="F5F5F5"/>
            <w:vAlign w:val="top"/>
          </w:tcPr>
          <w:p w14:paraId="4E53BA82" w14:textId="79A234E5"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r w:rsidR="003A5650">
              <w:t>1</w:t>
            </w:r>
            <w:r w:rsidRPr="0048561B">
              <w:t>.</w:t>
            </w:r>
            <w:r w:rsidR="003A5650">
              <w:t>0</w:t>
            </w:r>
          </w:p>
        </w:tc>
        <w:tc>
          <w:tcPr>
            <w:tcW w:w="992" w:type="dxa"/>
            <w:tcBorders>
              <w:top w:val="single" w:sz="4" w:space="0" w:color="D9D9D9" w:themeColor="background1" w:themeShade="D9"/>
              <w:bottom w:val="single" w:sz="4" w:space="0" w:color="auto"/>
            </w:tcBorders>
            <w:shd w:val="clear" w:color="auto" w:fill="F5F5F5"/>
            <w:vAlign w:val="top"/>
          </w:tcPr>
          <w:p w14:paraId="7D26F23A"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2" w:type="dxa"/>
            <w:tcBorders>
              <w:top w:val="single" w:sz="4" w:space="0" w:color="D9D9D9" w:themeColor="background1" w:themeShade="D9"/>
              <w:bottom w:val="single" w:sz="4" w:space="0" w:color="auto"/>
            </w:tcBorders>
            <w:shd w:val="clear" w:color="auto" w:fill="F5F5F5"/>
            <w:vAlign w:val="top"/>
          </w:tcPr>
          <w:p w14:paraId="5A279594"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3" w:type="dxa"/>
            <w:tcBorders>
              <w:top w:val="single" w:sz="4" w:space="0" w:color="D9D9D9" w:themeColor="background1" w:themeShade="D9"/>
              <w:bottom w:val="single" w:sz="4" w:space="0" w:color="auto"/>
            </w:tcBorders>
            <w:shd w:val="clear" w:color="auto" w:fill="F5F5F5"/>
            <w:vAlign w:val="top"/>
          </w:tcPr>
          <w:p w14:paraId="3BA22801"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992" w:type="dxa"/>
            <w:tcBorders>
              <w:top w:val="single" w:sz="4" w:space="0" w:color="D9D9D9" w:themeColor="background1" w:themeShade="D9"/>
              <w:bottom w:val="single" w:sz="4" w:space="0" w:color="auto"/>
            </w:tcBorders>
            <w:shd w:val="clear" w:color="auto" w:fill="F5F5F5"/>
            <w:vAlign w:val="top"/>
          </w:tcPr>
          <w:p w14:paraId="56E59504" w14:textId="77777777" w:rsidR="002F0C83" w:rsidRPr="0048561B"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pPr>
            <w:r w:rsidRPr="0048561B">
              <w:t>-</w:t>
            </w:r>
          </w:p>
        </w:tc>
        <w:tc>
          <w:tcPr>
            <w:tcW w:w="1417" w:type="dxa"/>
            <w:tcBorders>
              <w:top w:val="single" w:sz="4" w:space="0" w:color="D9D9D9" w:themeColor="background1" w:themeShade="D9"/>
              <w:bottom w:val="single" w:sz="4" w:space="0" w:color="auto"/>
            </w:tcBorders>
            <w:shd w:val="clear" w:color="auto" w:fill="F5F5F5"/>
            <w:vAlign w:val="top"/>
            <w:hideMark/>
          </w:tcPr>
          <w:p w14:paraId="40928E73" w14:textId="3FA05E2C" w:rsidR="002F0C83" w:rsidRPr="00192F41" w:rsidRDefault="002F0C83" w:rsidP="00754DA9">
            <w:pPr>
              <w:spacing w:before="40" w:after="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lang w:eastAsia="en-AU"/>
              </w:rPr>
            </w:pPr>
            <w:r w:rsidRPr="0048561B">
              <w:t>$</w:t>
            </w:r>
            <w:r w:rsidR="003A5650">
              <w:t>1</w:t>
            </w:r>
            <w:r w:rsidRPr="0048561B">
              <w:t>.</w:t>
            </w:r>
            <w:r w:rsidR="003A5650">
              <w:t>0</w:t>
            </w:r>
          </w:p>
        </w:tc>
      </w:tr>
    </w:tbl>
    <w:p w14:paraId="7524D20E" w14:textId="77777777" w:rsidR="002F0C83" w:rsidRDefault="002F0C83" w:rsidP="002F0C83">
      <w:pPr>
        <w:rPr>
          <w:rStyle w:val="IntenseEmphasis"/>
          <w:i w:val="0"/>
          <w:iCs w:val="0"/>
          <w:color w:val="auto"/>
        </w:rPr>
      </w:pPr>
    </w:p>
    <w:p w14:paraId="674F57E8" w14:textId="1A870D50" w:rsidR="00FB7315" w:rsidRDefault="00FB7315" w:rsidP="00EB0221">
      <w:pPr>
        <w:jc w:val="both"/>
        <w:rPr>
          <w:rStyle w:val="IntenseEmphasis"/>
          <w:i w:val="0"/>
          <w:iCs w:val="0"/>
          <w:color w:val="auto"/>
        </w:rPr>
      </w:pPr>
      <w:r>
        <w:rPr>
          <w:rStyle w:val="IntenseEmphasis"/>
          <w:i w:val="0"/>
          <w:iCs w:val="0"/>
          <w:color w:val="auto"/>
        </w:rPr>
        <w:t xml:space="preserve">The following tables </w:t>
      </w:r>
      <w:r w:rsidR="00A07F1D">
        <w:rPr>
          <w:rStyle w:val="IntenseEmphasis"/>
          <w:i w:val="0"/>
          <w:iCs w:val="0"/>
          <w:color w:val="auto"/>
        </w:rPr>
        <w:t>compare the</w:t>
      </w:r>
      <w:r>
        <w:rPr>
          <w:rStyle w:val="IntenseEmphasis"/>
          <w:i w:val="0"/>
          <w:iCs w:val="0"/>
          <w:color w:val="auto"/>
        </w:rPr>
        <w:t xml:space="preserve"> </w:t>
      </w:r>
      <w:r w:rsidR="00A07F1D">
        <w:rPr>
          <w:rStyle w:val="IntenseEmphasis"/>
          <w:i w:val="0"/>
          <w:iCs w:val="0"/>
          <w:color w:val="auto"/>
        </w:rPr>
        <w:t xml:space="preserve">forecast </w:t>
      </w:r>
      <w:r w:rsidR="00D36D43">
        <w:rPr>
          <w:rStyle w:val="IntenseEmphasis"/>
          <w:i w:val="0"/>
          <w:iCs w:val="0"/>
          <w:color w:val="auto"/>
        </w:rPr>
        <w:t>capital expenditure</w:t>
      </w:r>
      <w:r w:rsidR="00C60F1E">
        <w:rPr>
          <w:rStyle w:val="IntenseEmphasis"/>
          <w:i w:val="0"/>
          <w:iCs w:val="0"/>
          <w:color w:val="auto"/>
        </w:rPr>
        <w:t xml:space="preserve"> for these 10 largest projects</w:t>
      </w:r>
      <w:r w:rsidR="00D36D43">
        <w:rPr>
          <w:rStyle w:val="IntenseEmphasis"/>
          <w:i w:val="0"/>
          <w:iCs w:val="0"/>
          <w:color w:val="auto"/>
        </w:rPr>
        <w:t xml:space="preserve">, as presented </w:t>
      </w:r>
      <w:r w:rsidR="00A07F1D">
        <w:rPr>
          <w:rStyle w:val="IntenseEmphasis"/>
          <w:i w:val="0"/>
          <w:iCs w:val="0"/>
          <w:color w:val="auto"/>
        </w:rPr>
        <w:t>in our Price Submission</w:t>
      </w:r>
      <w:r w:rsidR="00A22959">
        <w:rPr>
          <w:rStyle w:val="IntenseEmphasis"/>
          <w:i w:val="0"/>
          <w:iCs w:val="0"/>
          <w:color w:val="auto"/>
        </w:rPr>
        <w:t xml:space="preserve"> 2018</w:t>
      </w:r>
      <w:r w:rsidR="00D36D43">
        <w:rPr>
          <w:rStyle w:val="IntenseEmphasis"/>
          <w:i w:val="0"/>
          <w:iCs w:val="0"/>
          <w:color w:val="auto"/>
        </w:rPr>
        <w:t xml:space="preserve">, </w:t>
      </w:r>
      <w:r w:rsidR="00A22819">
        <w:rPr>
          <w:rStyle w:val="IntenseEmphasis"/>
          <w:i w:val="0"/>
          <w:iCs w:val="0"/>
          <w:color w:val="auto"/>
        </w:rPr>
        <w:t xml:space="preserve">to the actual expenditure for the regulatory period. Commentary is provided </w:t>
      </w:r>
      <w:r w:rsidR="008B0AA7">
        <w:rPr>
          <w:rStyle w:val="IntenseEmphasis"/>
          <w:i w:val="0"/>
          <w:iCs w:val="0"/>
          <w:color w:val="auto"/>
        </w:rPr>
        <w:t>where a</w:t>
      </w:r>
      <w:r w:rsidR="00C60F1E">
        <w:rPr>
          <w:rStyle w:val="IntenseEmphasis"/>
          <w:i w:val="0"/>
          <w:iCs w:val="0"/>
          <w:color w:val="auto"/>
        </w:rPr>
        <w:t>n expenditure</w:t>
      </w:r>
      <w:r w:rsidR="008B0AA7">
        <w:rPr>
          <w:rStyle w:val="IntenseEmphasis"/>
          <w:i w:val="0"/>
          <w:iCs w:val="0"/>
          <w:color w:val="auto"/>
        </w:rPr>
        <w:t xml:space="preserve"> variance exists. </w:t>
      </w:r>
    </w:p>
    <w:tbl>
      <w:tblPr>
        <w:tblStyle w:val="ReportTable-TealRows"/>
        <w:tblW w:w="9639" w:type="dxa"/>
        <w:tblLook w:val="04A0" w:firstRow="1" w:lastRow="0" w:firstColumn="1" w:lastColumn="0" w:noHBand="0" w:noVBand="1"/>
      </w:tblPr>
      <w:tblGrid>
        <w:gridCol w:w="2977"/>
        <w:gridCol w:w="6662"/>
      </w:tblGrid>
      <w:tr w:rsidR="00AA6BE2" w:rsidRPr="00192F41" w14:paraId="642A068E" w14:textId="77777777" w:rsidTr="00284E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3821CD9F" w14:textId="063EA4A9" w:rsidR="00AA6BE2" w:rsidRPr="00192F41" w:rsidRDefault="00AA6BE2">
            <w:pPr>
              <w:rPr>
                <w:rFonts w:cs="Arial"/>
                <w:sz w:val="20"/>
                <w:szCs w:val="20"/>
                <w:shd w:val="clear" w:color="auto" w:fill="FAF9F8"/>
              </w:rPr>
            </w:pPr>
            <w:r w:rsidRPr="00EB0221">
              <w:rPr>
                <w:sz w:val="20"/>
                <w:szCs w:val="20"/>
              </w:rPr>
              <w:t xml:space="preserve">Project </w:t>
            </w:r>
            <w:r w:rsidR="00A22959" w:rsidRPr="00EB0221">
              <w:rPr>
                <w:sz w:val="20"/>
                <w:szCs w:val="20"/>
              </w:rPr>
              <w:t>n</w:t>
            </w:r>
            <w:r w:rsidRPr="00EB0221">
              <w:rPr>
                <w:sz w:val="20"/>
                <w:szCs w:val="20"/>
              </w:rPr>
              <w:t>ame</w:t>
            </w:r>
          </w:p>
        </w:tc>
        <w:tc>
          <w:tcPr>
            <w:tcW w:w="6662" w:type="dxa"/>
            <w:vAlign w:val="top"/>
          </w:tcPr>
          <w:p w14:paraId="03DA2E2C" w14:textId="77777777" w:rsidR="00AA6BE2" w:rsidRPr="00192F41" w:rsidRDefault="00AA6BE2">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EB0221">
              <w:rPr>
                <w:sz w:val="20"/>
                <w:szCs w:val="20"/>
              </w:rPr>
              <w:t>MID Modernisation Phase 1b</w:t>
            </w:r>
          </w:p>
        </w:tc>
      </w:tr>
      <w:tr w:rsidR="00AA6BE2" w:rsidRPr="003F4A7C" w14:paraId="38AAC0B2"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3B4A54BF" w14:textId="56A2B785" w:rsidR="00AA6BE2" w:rsidRPr="00192F41" w:rsidRDefault="00AA6BE2" w:rsidP="00B1674E">
            <w:pPr>
              <w:spacing w:before="40" w:after="40"/>
              <w:rPr>
                <w:rFonts w:cs="Arial"/>
                <w:b/>
                <w:color w:val="000000" w:themeColor="text1"/>
                <w:shd w:val="clear" w:color="auto" w:fill="FAF9F8"/>
              </w:rPr>
            </w:pPr>
            <w:r w:rsidRPr="00C019F2">
              <w:t xml:space="preserve">Total </w:t>
            </w:r>
            <w:r w:rsidR="00A22959">
              <w:t>p</w:t>
            </w:r>
            <w:r w:rsidRPr="00C019F2">
              <w:t xml:space="preserve">roject </w:t>
            </w:r>
            <w:r w:rsidR="00A22959">
              <w:t>v</w:t>
            </w:r>
            <w:r w:rsidRPr="00C019F2">
              <w:t>alue</w:t>
            </w:r>
            <w:r>
              <w:t xml:space="preserve"> </w:t>
            </w:r>
            <w:r w:rsidR="00A22959">
              <w:t>f</w:t>
            </w:r>
            <w:r>
              <w:t>orecast</w:t>
            </w:r>
          </w:p>
        </w:tc>
        <w:tc>
          <w:tcPr>
            <w:tcW w:w="6662" w:type="dxa"/>
            <w:vAlign w:val="top"/>
          </w:tcPr>
          <w:p w14:paraId="2DA1F117" w14:textId="7DF03E25" w:rsidR="00AA6BE2" w:rsidRPr="00223DB0" w:rsidRDefault="00D029AB" w:rsidP="00B1674E">
            <w:pPr>
              <w:spacing w:before="40" w:after="40"/>
              <w:ind w:right="119"/>
              <w:cnfStyle w:val="000000100000" w:firstRow="0" w:lastRow="0" w:firstColumn="0" w:lastColumn="0" w:oddVBand="0" w:evenVBand="0" w:oddHBand="1" w:evenHBand="0" w:firstRowFirstColumn="0" w:firstRowLastColumn="0" w:lastRowFirstColumn="0" w:lastRowLastColumn="0"/>
              <w:rPr>
                <w:rFonts w:cs="Arial"/>
                <w:szCs w:val="20"/>
                <w:highlight w:val="yellow"/>
                <w:shd w:val="clear" w:color="auto" w:fill="FAF9F8"/>
              </w:rPr>
            </w:pPr>
            <w:r>
              <w:t>$6</w:t>
            </w:r>
            <w:r w:rsidR="00A917B3">
              <w:t>1</w:t>
            </w:r>
            <w:r w:rsidR="00A22959">
              <w:t xml:space="preserve"> </w:t>
            </w:r>
            <w:r w:rsidR="006975C5">
              <w:t>m</w:t>
            </w:r>
            <w:r w:rsidR="00A22959">
              <w:t>illion</w:t>
            </w:r>
            <w:r w:rsidR="006975C5">
              <w:t xml:space="preserve"> (</w:t>
            </w:r>
            <w:r w:rsidR="00AA6BE2" w:rsidRPr="00D4703A">
              <w:t>$</w:t>
            </w:r>
            <w:r w:rsidR="00304FF2" w:rsidRPr="00D4703A">
              <w:t>38</w:t>
            </w:r>
            <w:r w:rsidR="00A22959">
              <w:t xml:space="preserve"> </w:t>
            </w:r>
            <w:r w:rsidR="00AA6BE2" w:rsidRPr="00D4703A">
              <w:t>m</w:t>
            </w:r>
            <w:r w:rsidR="00A22959">
              <w:t>illion</w:t>
            </w:r>
            <w:r w:rsidR="00AA6BE2" w:rsidRPr="00D4703A">
              <w:t xml:space="preserve"> </w:t>
            </w:r>
            <w:r w:rsidR="00A51E15">
              <w:t xml:space="preserve">within </w:t>
            </w:r>
            <w:r w:rsidR="004F498D">
              <w:t xml:space="preserve">price </w:t>
            </w:r>
            <w:r w:rsidR="00A51E15">
              <w:t xml:space="preserve">period) </w:t>
            </w:r>
            <w:r w:rsidR="00AA6BE2" w:rsidRPr="00D4703A">
              <w:t xml:space="preserve">– </w:t>
            </w:r>
            <w:r w:rsidR="00D4703A" w:rsidRPr="00D4703A">
              <w:t>64</w:t>
            </w:r>
            <w:r w:rsidR="00AA6BE2" w:rsidRPr="00D4703A">
              <w:t>% grant funded</w:t>
            </w:r>
          </w:p>
        </w:tc>
      </w:tr>
      <w:tr w:rsidR="00AA6BE2" w:rsidRPr="003F4A7C" w14:paraId="10EE1746"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09AF2F21" w14:textId="54A8C5DB" w:rsidR="00AA6BE2" w:rsidRPr="00C019F2" w:rsidRDefault="00AA6BE2" w:rsidP="00B1674E">
            <w:pPr>
              <w:spacing w:before="40" w:after="40"/>
            </w:pPr>
            <w:r w:rsidRPr="00C019F2">
              <w:t xml:space="preserve">Total </w:t>
            </w:r>
            <w:r w:rsidR="00A22959">
              <w:t>p</w:t>
            </w:r>
            <w:r w:rsidRPr="00C019F2">
              <w:t xml:space="preserve">roject </w:t>
            </w:r>
            <w:r w:rsidR="00A22959">
              <w:t>v</w:t>
            </w:r>
            <w:r w:rsidRPr="00C019F2">
              <w:t>alue</w:t>
            </w:r>
            <w:r>
              <w:t xml:space="preserve"> </w:t>
            </w:r>
            <w:r w:rsidR="00A22959">
              <w:t>a</w:t>
            </w:r>
            <w:r>
              <w:t>ctual</w:t>
            </w:r>
          </w:p>
        </w:tc>
        <w:tc>
          <w:tcPr>
            <w:tcW w:w="6662" w:type="dxa"/>
            <w:vAlign w:val="top"/>
          </w:tcPr>
          <w:p w14:paraId="20AFBCE3" w14:textId="09C680FB" w:rsidR="00AA6BE2" w:rsidRPr="003F4A7C" w:rsidRDefault="00A51E15"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w:t>
            </w:r>
            <w:r w:rsidR="2FEDAC92">
              <w:t>6</w:t>
            </w:r>
            <w:r w:rsidR="6E1B3337">
              <w:t>5</w:t>
            </w:r>
            <w:r w:rsidR="00A22959">
              <w:t xml:space="preserve"> </w:t>
            </w:r>
            <w:r w:rsidR="2FEDAC92">
              <w:t>m</w:t>
            </w:r>
            <w:r w:rsidR="00A22959">
              <w:t>illion</w:t>
            </w:r>
            <w:r>
              <w:t xml:space="preserve"> (</w:t>
            </w:r>
            <w:r w:rsidR="00AA6BE2" w:rsidRPr="003F4A7C">
              <w:t>$</w:t>
            </w:r>
            <w:r w:rsidR="008D35F9">
              <w:t>47</w:t>
            </w:r>
            <w:r w:rsidR="00A22959">
              <w:t xml:space="preserve"> </w:t>
            </w:r>
            <w:r w:rsidR="00DD3235">
              <w:t>m</w:t>
            </w:r>
            <w:r w:rsidR="00A22959">
              <w:t>illion</w:t>
            </w:r>
            <w:r>
              <w:t xml:space="preserve"> within </w:t>
            </w:r>
            <w:r w:rsidR="004F498D">
              <w:t xml:space="preserve">price </w:t>
            </w:r>
            <w:r>
              <w:t>period)</w:t>
            </w:r>
            <w:r w:rsidR="001473D5">
              <w:t xml:space="preserve"> </w:t>
            </w:r>
            <w:r w:rsidR="00207F34">
              <w:t>–</w:t>
            </w:r>
            <w:r w:rsidR="001473D5">
              <w:t xml:space="preserve"> </w:t>
            </w:r>
            <w:r w:rsidR="00207F34">
              <w:t>60% grant funded.</w:t>
            </w:r>
            <w:r w:rsidR="00BA04C9">
              <w:t xml:space="preserve"> </w:t>
            </w:r>
            <w:r w:rsidR="00402297">
              <w:t xml:space="preserve">The </w:t>
            </w:r>
            <w:r w:rsidR="004508D0">
              <w:t>a</w:t>
            </w:r>
            <w:r w:rsidR="00BA04C9">
              <w:t xml:space="preserve">ctual expenditure </w:t>
            </w:r>
            <w:r w:rsidR="00B532E2">
              <w:t xml:space="preserve">was higher </w:t>
            </w:r>
            <w:r w:rsidR="00E53DA0">
              <w:t>th</w:t>
            </w:r>
            <w:r w:rsidR="00B532E2">
              <w:t>an</w:t>
            </w:r>
            <w:r w:rsidR="0044577F">
              <w:t xml:space="preserve"> forecast </w:t>
            </w:r>
            <w:r w:rsidR="00B532E2">
              <w:t>because</w:t>
            </w:r>
            <w:r w:rsidR="00506849">
              <w:t xml:space="preserve"> </w:t>
            </w:r>
            <w:r w:rsidR="00D76E87">
              <w:t>a greater proportion of the project</w:t>
            </w:r>
            <w:r w:rsidR="00301AE0">
              <w:t xml:space="preserve"> </w:t>
            </w:r>
            <w:r w:rsidR="00526B53">
              <w:t>w</w:t>
            </w:r>
            <w:r w:rsidR="00D76E87">
              <w:t>as</w:t>
            </w:r>
            <w:r w:rsidR="00526B53">
              <w:t xml:space="preserve"> delivered in 2018-19 </w:t>
            </w:r>
            <w:r w:rsidR="00B02E01">
              <w:t xml:space="preserve">rather than 2017-18. </w:t>
            </w:r>
            <w:r w:rsidR="00CB24C0">
              <w:t>The</w:t>
            </w:r>
            <w:r w:rsidR="00E83ECD">
              <w:t xml:space="preserve"> </w:t>
            </w:r>
            <w:r w:rsidR="004A04E4">
              <w:t>total project value was</w:t>
            </w:r>
            <w:r w:rsidR="007E2F17">
              <w:t xml:space="preserve"> $</w:t>
            </w:r>
            <w:r w:rsidR="67C5D55E">
              <w:t>4</w:t>
            </w:r>
            <w:r w:rsidR="00B01E43">
              <w:t xml:space="preserve"> </w:t>
            </w:r>
            <w:r w:rsidR="654B0842">
              <w:t>m</w:t>
            </w:r>
            <w:r w:rsidR="00B01E43">
              <w:t>illion</w:t>
            </w:r>
            <w:r w:rsidR="007E2F17">
              <w:t xml:space="preserve"> </w:t>
            </w:r>
            <w:r w:rsidR="004A04E4">
              <w:t>higher than forecast</w:t>
            </w:r>
            <w:r w:rsidR="00D53A90">
              <w:t xml:space="preserve"> due to</w:t>
            </w:r>
            <w:r w:rsidR="005E1149">
              <w:t xml:space="preserve"> </w:t>
            </w:r>
            <w:r w:rsidR="00D53A90">
              <w:t>the inclusion of additional scope that</w:t>
            </w:r>
            <w:r w:rsidR="00715DCC">
              <w:t xml:space="preserve"> provid</w:t>
            </w:r>
            <w:r w:rsidR="00162FB6">
              <w:t>ed</w:t>
            </w:r>
            <w:r w:rsidR="00715DCC">
              <w:t xml:space="preserve"> </w:t>
            </w:r>
            <w:r w:rsidR="00D53A90">
              <w:t>further</w:t>
            </w:r>
            <w:r w:rsidR="00715DCC">
              <w:t xml:space="preserve"> </w:t>
            </w:r>
            <w:r w:rsidR="0004536A">
              <w:t>system operational</w:t>
            </w:r>
            <w:r w:rsidR="00715DCC">
              <w:t xml:space="preserve"> benefits.</w:t>
            </w:r>
          </w:p>
        </w:tc>
      </w:tr>
      <w:tr w:rsidR="00AA6BE2" w:rsidRPr="003F4A7C" w14:paraId="7C736B9E" w14:textId="77777777" w:rsidTr="00C266EF">
        <w:trPr>
          <w:cnfStyle w:val="000000100000" w:firstRow="0" w:lastRow="0" w:firstColumn="0" w:lastColumn="0" w:oddVBand="0" w:evenVBand="0" w:oddHBand="1" w:evenHBand="0" w:firstRowFirstColumn="0" w:firstRowLastColumn="0" w:lastRowFirstColumn="0" w:lastRowLastColumn="0"/>
          <w:trHeight w:val="158"/>
        </w:trPr>
        <w:tc>
          <w:tcPr>
            <w:cnfStyle w:val="001000000000" w:firstRow="0" w:lastRow="0" w:firstColumn="1" w:lastColumn="0" w:oddVBand="0" w:evenVBand="0" w:oddHBand="0" w:evenHBand="0" w:firstRowFirstColumn="0" w:firstRowLastColumn="0" w:lastRowFirstColumn="0" w:lastRowLastColumn="0"/>
            <w:tcW w:w="2977" w:type="dxa"/>
            <w:vAlign w:val="top"/>
          </w:tcPr>
          <w:p w14:paraId="18FFA4DC" w14:textId="77777777" w:rsidR="00AA6BE2" w:rsidRPr="00192F41" w:rsidRDefault="00AA6BE2" w:rsidP="00B1674E">
            <w:pPr>
              <w:spacing w:before="40" w:after="40"/>
              <w:rPr>
                <w:rFonts w:cs="Arial"/>
                <w:b/>
                <w:color w:val="000000" w:themeColor="text1"/>
                <w:szCs w:val="20"/>
                <w:shd w:val="clear" w:color="auto" w:fill="FAF9F8"/>
              </w:rPr>
            </w:pPr>
            <w:r w:rsidRPr="00C019F2">
              <w:t>Timing</w:t>
            </w:r>
            <w:r>
              <w:t xml:space="preserve"> / Status</w:t>
            </w:r>
          </w:p>
        </w:tc>
        <w:tc>
          <w:tcPr>
            <w:tcW w:w="6662" w:type="dxa"/>
            <w:vAlign w:val="top"/>
          </w:tcPr>
          <w:p w14:paraId="226449E4" w14:textId="13C39ACE" w:rsidR="00AA6BE2" w:rsidRPr="003F4A7C" w:rsidRDefault="00AA6BE2" w:rsidP="00B1674E">
            <w:pPr>
              <w:spacing w:before="40" w:after="40"/>
              <w:ind w:right="119"/>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Commenced FY</w:t>
            </w:r>
            <w:r w:rsidR="00DD3235">
              <w:t>2017</w:t>
            </w:r>
            <w:r w:rsidRPr="003F4A7C">
              <w:t>, completed FY</w:t>
            </w:r>
            <w:r w:rsidR="00DD3235">
              <w:t>202</w:t>
            </w:r>
            <w:r w:rsidR="00071ACC">
              <w:t>1</w:t>
            </w:r>
          </w:p>
        </w:tc>
      </w:tr>
      <w:tr w:rsidR="00AA6BE2" w:rsidRPr="003F4A7C" w14:paraId="5966C293"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72F48AA6" w14:textId="522802C6" w:rsidR="00AA6BE2" w:rsidRPr="007643C1" w:rsidRDefault="00AA6BE2" w:rsidP="00B1674E">
            <w:pPr>
              <w:spacing w:before="40" w:after="40"/>
            </w:pPr>
            <w:r w:rsidRPr="00C019F2">
              <w:t xml:space="preserve">Cost </w:t>
            </w:r>
            <w:r w:rsidR="00A22959">
              <w:t>d</w:t>
            </w:r>
            <w:r w:rsidRPr="00C019F2">
              <w:t xml:space="preserve">river </w:t>
            </w:r>
          </w:p>
        </w:tc>
        <w:tc>
          <w:tcPr>
            <w:tcW w:w="6662" w:type="dxa"/>
            <w:vAlign w:val="top"/>
          </w:tcPr>
          <w:p w14:paraId="2A78050E" w14:textId="77777777" w:rsidR="00AA6BE2" w:rsidRPr="003F4A7C" w:rsidRDefault="00AA6BE2" w:rsidP="00B1674E">
            <w:pPr>
              <w:spacing w:before="40" w:after="40"/>
              <w:ind w:right="119"/>
              <w:cnfStyle w:val="000000000000" w:firstRow="0" w:lastRow="0" w:firstColumn="0" w:lastColumn="0" w:oddVBand="0" w:evenVBand="0" w:oddHBand="0" w:evenHBand="0" w:firstRowFirstColumn="0" w:firstRowLastColumn="0" w:lastRowFirstColumn="0" w:lastRowLastColumn="0"/>
            </w:pPr>
            <w:r w:rsidRPr="003F4A7C">
              <w:t>Improvement/compliance</w:t>
            </w:r>
          </w:p>
        </w:tc>
      </w:tr>
      <w:tr w:rsidR="00AA6BE2" w:rsidRPr="003F4A7C" w14:paraId="3B399394"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56436F19" w14:textId="77777777" w:rsidR="00AA6BE2" w:rsidRPr="00C72A31" w:rsidRDefault="00AA6BE2" w:rsidP="00B1674E">
            <w:pPr>
              <w:spacing w:before="40" w:after="40"/>
            </w:pPr>
            <w:r w:rsidRPr="00C019F2">
              <w:t>Outcome</w:t>
            </w:r>
          </w:p>
        </w:tc>
        <w:tc>
          <w:tcPr>
            <w:tcW w:w="6662" w:type="dxa"/>
            <w:vAlign w:val="top"/>
          </w:tcPr>
          <w:p w14:paraId="7409E8EC" w14:textId="77777777" w:rsidR="00AA6BE2" w:rsidRPr="003F4A7C" w:rsidRDefault="00AA6BE2" w:rsidP="00B1674E">
            <w:pPr>
              <w:spacing w:before="40" w:after="40"/>
              <w:ind w:right="119"/>
              <w:cnfStyle w:val="000000100000" w:firstRow="0" w:lastRow="0" w:firstColumn="0" w:lastColumn="0" w:oddVBand="0" w:evenVBand="0" w:oddHBand="1" w:evenHBand="0" w:firstRowFirstColumn="0" w:firstRowLastColumn="0" w:lastRowFirstColumn="0" w:lastRowLastColumn="0"/>
            </w:pPr>
            <w:r w:rsidRPr="003F4A7C">
              <w:t>Reliable water supply, sustainable water</w:t>
            </w:r>
          </w:p>
        </w:tc>
      </w:tr>
      <w:tr w:rsidR="00AA6BE2" w:rsidRPr="001530DD" w14:paraId="41450B64" w14:textId="77777777" w:rsidTr="00284E0E">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vAlign w:val="top"/>
          </w:tcPr>
          <w:p w14:paraId="2ADF79B2" w14:textId="77777777" w:rsidR="00AA6BE2" w:rsidRPr="00670249" w:rsidRDefault="00AA6BE2" w:rsidP="00B1674E">
            <w:pPr>
              <w:spacing w:before="40" w:after="40"/>
              <w:rPr>
                <w:b/>
                <w:bCs/>
              </w:rPr>
            </w:pPr>
            <w:r w:rsidRPr="00003432">
              <w:t>Description</w:t>
            </w:r>
          </w:p>
        </w:tc>
        <w:tc>
          <w:tcPr>
            <w:tcW w:w="6662" w:type="dxa"/>
            <w:tcBorders>
              <w:bottom w:val="single" w:sz="4" w:space="0" w:color="auto"/>
            </w:tcBorders>
            <w:vAlign w:val="top"/>
          </w:tcPr>
          <w:p w14:paraId="5A4C6ED7" w14:textId="280CF346" w:rsidR="00AA6BE2" w:rsidRPr="001530DD" w:rsidRDefault="00D40ED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b/>
                <w:bCs/>
                <w:color w:val="FF0000"/>
              </w:rPr>
            </w:pPr>
            <w:r w:rsidRPr="00D40ED6">
              <w:t xml:space="preserve">Replacement of open channels with </w:t>
            </w:r>
            <w:r w:rsidR="0079300A">
              <w:t xml:space="preserve">gravity </w:t>
            </w:r>
            <w:r w:rsidRPr="00D40ED6">
              <w:t xml:space="preserve">pipeline </w:t>
            </w:r>
            <w:r w:rsidR="00C27C90">
              <w:t xml:space="preserve">coupled with automation </w:t>
            </w:r>
            <w:r w:rsidR="003F703C">
              <w:t>in the lower channel system</w:t>
            </w:r>
            <w:r w:rsidRPr="00D40ED6">
              <w:t xml:space="preserve"> to modernise</w:t>
            </w:r>
            <w:r>
              <w:t xml:space="preserve"> the Southern Tinamba irrigation </w:t>
            </w:r>
            <w:r w:rsidR="00BF54E0">
              <w:t>supply zone</w:t>
            </w:r>
            <w:r w:rsidR="000C49C6">
              <w:t xml:space="preserve"> within the Macalister </w:t>
            </w:r>
            <w:r w:rsidR="00580ADB">
              <w:t>I</w:t>
            </w:r>
            <w:r w:rsidR="000C49C6">
              <w:t>rrigation District</w:t>
            </w:r>
            <w:r w:rsidR="002C5A2F">
              <w:t>.</w:t>
            </w:r>
          </w:p>
        </w:tc>
      </w:tr>
    </w:tbl>
    <w:p w14:paraId="40C986E6" w14:textId="77777777" w:rsidR="00C24A7E" w:rsidRDefault="00C24A7E" w:rsidP="002F0C83">
      <w:pPr>
        <w:rPr>
          <w:rStyle w:val="IntenseEmphasis"/>
          <w:i w:val="0"/>
          <w:iCs w:val="0"/>
          <w:color w:val="auto"/>
        </w:rPr>
      </w:pPr>
    </w:p>
    <w:p w14:paraId="2CCEA11C" w14:textId="77777777" w:rsidR="00DA219D" w:rsidRPr="00C24A7E" w:rsidRDefault="00DA219D" w:rsidP="002F0C83">
      <w:pPr>
        <w:rPr>
          <w:rStyle w:val="IntenseEmphasis"/>
          <w:i w:val="0"/>
          <w:iCs w:val="0"/>
          <w:color w:val="auto"/>
        </w:rPr>
      </w:pPr>
    </w:p>
    <w:tbl>
      <w:tblPr>
        <w:tblStyle w:val="ReportTable-TealRows"/>
        <w:tblW w:w="9639" w:type="dxa"/>
        <w:tblLook w:val="04A0" w:firstRow="1" w:lastRow="0" w:firstColumn="1" w:lastColumn="0" w:noHBand="0" w:noVBand="1"/>
      </w:tblPr>
      <w:tblGrid>
        <w:gridCol w:w="2977"/>
        <w:gridCol w:w="6662"/>
      </w:tblGrid>
      <w:tr w:rsidR="00841511" w:rsidRPr="00192F41" w14:paraId="7B27E734" w14:textId="77777777" w:rsidTr="00284E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17A30CD4" w14:textId="34ED02C2" w:rsidR="00841511" w:rsidRPr="00192F41" w:rsidRDefault="00841511">
            <w:pPr>
              <w:rPr>
                <w:rFonts w:cs="Arial"/>
                <w:sz w:val="20"/>
                <w:szCs w:val="20"/>
                <w:shd w:val="clear" w:color="auto" w:fill="FAF9F8"/>
              </w:rPr>
            </w:pPr>
            <w:r w:rsidRPr="00EB0221">
              <w:rPr>
                <w:sz w:val="20"/>
                <w:szCs w:val="20"/>
              </w:rPr>
              <w:t xml:space="preserve">Project </w:t>
            </w:r>
            <w:r w:rsidR="00580ADB" w:rsidRPr="00EB0221">
              <w:rPr>
                <w:sz w:val="20"/>
                <w:szCs w:val="20"/>
              </w:rPr>
              <w:t>n</w:t>
            </w:r>
            <w:r w:rsidRPr="00EB0221">
              <w:rPr>
                <w:sz w:val="20"/>
                <w:szCs w:val="20"/>
              </w:rPr>
              <w:t>ame</w:t>
            </w:r>
          </w:p>
        </w:tc>
        <w:tc>
          <w:tcPr>
            <w:tcW w:w="6662" w:type="dxa"/>
            <w:vAlign w:val="top"/>
          </w:tcPr>
          <w:p w14:paraId="652FF070" w14:textId="77777777" w:rsidR="00841511" w:rsidRPr="00192F41" w:rsidRDefault="00841511">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EB0221">
              <w:rPr>
                <w:sz w:val="20"/>
                <w:szCs w:val="20"/>
              </w:rPr>
              <w:t>WID Modernisation Stages 1 - 3</w:t>
            </w:r>
          </w:p>
        </w:tc>
      </w:tr>
      <w:tr w:rsidR="00841511" w:rsidRPr="00192F41" w14:paraId="41FF07F1"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44DDB305" w14:textId="5D0B09ED" w:rsidR="00841511" w:rsidRPr="00192F41" w:rsidRDefault="00841511" w:rsidP="00B1674E">
            <w:pPr>
              <w:spacing w:before="40" w:after="40"/>
              <w:rPr>
                <w:rFonts w:cs="Arial"/>
                <w:b/>
                <w:color w:val="000000" w:themeColor="text1"/>
                <w:szCs w:val="20"/>
                <w:shd w:val="clear" w:color="auto" w:fill="FAF9F8"/>
              </w:rPr>
            </w:pPr>
            <w:r w:rsidRPr="00D52B42">
              <w:t xml:space="preserve">Total </w:t>
            </w:r>
            <w:r w:rsidR="00580ADB">
              <w:t>p</w:t>
            </w:r>
            <w:r w:rsidRPr="00D52B42">
              <w:t xml:space="preserve">roject </w:t>
            </w:r>
            <w:r w:rsidR="00580ADB">
              <w:t>v</w:t>
            </w:r>
            <w:r w:rsidRPr="00D52B42">
              <w:t>alue</w:t>
            </w:r>
            <w:r w:rsidR="0057435E">
              <w:t xml:space="preserve"> </w:t>
            </w:r>
            <w:r w:rsidR="00580ADB">
              <w:t>f</w:t>
            </w:r>
            <w:r w:rsidR="0057435E">
              <w:t>orecast</w:t>
            </w:r>
          </w:p>
        </w:tc>
        <w:tc>
          <w:tcPr>
            <w:tcW w:w="6662" w:type="dxa"/>
            <w:vAlign w:val="top"/>
          </w:tcPr>
          <w:p w14:paraId="0829ADD9" w14:textId="2A3DDB69" w:rsidR="00841511" w:rsidRPr="00B03DB7" w:rsidRDefault="00453708" w:rsidP="00B1674E">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t>$20.9</w:t>
            </w:r>
            <w:r w:rsidR="00580ADB">
              <w:t xml:space="preserve"> </w:t>
            </w:r>
            <w:r>
              <w:t>m</w:t>
            </w:r>
            <w:r w:rsidR="00580ADB">
              <w:t>illion</w:t>
            </w:r>
            <w:r>
              <w:t xml:space="preserve"> (</w:t>
            </w:r>
            <w:r w:rsidR="00841511" w:rsidRPr="00B03DB7">
              <w:t>$</w:t>
            </w:r>
            <w:r w:rsidR="00E2409F" w:rsidRPr="00B03DB7">
              <w:t>12</w:t>
            </w:r>
            <w:r w:rsidR="00580ADB">
              <w:t xml:space="preserve"> </w:t>
            </w:r>
            <w:r w:rsidR="00841511" w:rsidRPr="00B03DB7">
              <w:t>m</w:t>
            </w:r>
            <w:r w:rsidR="00580ADB">
              <w:t>illion</w:t>
            </w:r>
            <w:r>
              <w:t xml:space="preserve"> within price period)</w:t>
            </w:r>
            <w:r w:rsidR="00841511" w:rsidRPr="00B03DB7">
              <w:t xml:space="preserve"> – </w:t>
            </w:r>
            <w:r w:rsidR="003339ED">
              <w:t>50</w:t>
            </w:r>
            <w:r w:rsidR="00841511" w:rsidRPr="00B03DB7">
              <w:t>% grant funded</w:t>
            </w:r>
          </w:p>
        </w:tc>
      </w:tr>
      <w:tr w:rsidR="00841511" w:rsidRPr="00192F41" w14:paraId="418820CC"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6FE08589" w14:textId="7325E9EC" w:rsidR="00841511" w:rsidRPr="00192F41" w:rsidRDefault="00841511" w:rsidP="00B1674E">
            <w:pPr>
              <w:spacing w:before="40" w:after="40"/>
              <w:rPr>
                <w:rFonts w:cs="Arial"/>
                <w:b/>
                <w:color w:val="000000" w:themeColor="text1"/>
                <w:szCs w:val="20"/>
                <w:shd w:val="clear" w:color="auto" w:fill="FAF9F8"/>
              </w:rPr>
            </w:pPr>
            <w:r w:rsidRPr="00C019F2">
              <w:t xml:space="preserve">Total </w:t>
            </w:r>
            <w:r w:rsidR="00580ADB">
              <w:t>p</w:t>
            </w:r>
            <w:r w:rsidRPr="00C019F2">
              <w:t xml:space="preserve">roject </w:t>
            </w:r>
            <w:r w:rsidR="00580ADB">
              <w:t>v</w:t>
            </w:r>
            <w:r w:rsidRPr="00C019F2">
              <w:t>alue</w:t>
            </w:r>
            <w:r>
              <w:t xml:space="preserve"> </w:t>
            </w:r>
            <w:r w:rsidR="00580ADB">
              <w:t>a</w:t>
            </w:r>
            <w:r>
              <w:t>ctual</w:t>
            </w:r>
          </w:p>
        </w:tc>
        <w:tc>
          <w:tcPr>
            <w:tcW w:w="6662" w:type="dxa"/>
            <w:vAlign w:val="top"/>
          </w:tcPr>
          <w:p w14:paraId="136FC292" w14:textId="6ABDDF97" w:rsidR="00841511" w:rsidRPr="00192F41" w:rsidRDefault="00841511" w:rsidP="00B1674E">
            <w:pPr>
              <w:spacing w:before="40" w:after="40"/>
              <w:cnfStyle w:val="000000000000" w:firstRow="0" w:lastRow="0" w:firstColumn="0" w:lastColumn="0" w:oddVBand="0" w:evenVBand="0" w:oddHBand="0" w:evenHBand="0" w:firstRowFirstColumn="0" w:firstRowLastColumn="0" w:lastRowFirstColumn="0" w:lastRowLastColumn="0"/>
              <w:rPr>
                <w:rFonts w:cs="Arial"/>
                <w:color w:val="000000" w:themeColor="text1"/>
                <w:shd w:val="clear" w:color="auto" w:fill="FAF9F8"/>
              </w:rPr>
            </w:pPr>
            <w:r w:rsidRPr="003F4A7C">
              <w:t>$</w:t>
            </w:r>
            <w:r w:rsidR="5FF43B46">
              <w:t>20.0 milli</w:t>
            </w:r>
            <w:r w:rsidR="42FA8F42">
              <w:t>o</w:t>
            </w:r>
            <w:r w:rsidR="5FF43B46">
              <w:t>n (</w:t>
            </w:r>
            <w:r w:rsidR="3701588E">
              <w:t>$</w:t>
            </w:r>
            <w:r w:rsidR="000431B3">
              <w:t>10</w:t>
            </w:r>
            <w:r w:rsidR="008D0389">
              <w:t>.8</w:t>
            </w:r>
            <w:r w:rsidR="00580ADB">
              <w:t xml:space="preserve"> </w:t>
            </w:r>
            <w:r w:rsidR="008D0389">
              <w:t>m</w:t>
            </w:r>
            <w:r w:rsidR="00580ADB">
              <w:t>illion</w:t>
            </w:r>
            <w:r w:rsidR="59F29FB4">
              <w:t xml:space="preserve"> within price period)</w:t>
            </w:r>
            <w:r w:rsidR="3C893596">
              <w:t>.</w:t>
            </w:r>
          </w:p>
        </w:tc>
      </w:tr>
      <w:tr w:rsidR="00841511" w:rsidRPr="00C72A31" w14:paraId="34B515A7"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1E5F1012" w14:textId="62BECC85" w:rsidR="00841511" w:rsidRPr="00C72A31" w:rsidRDefault="00841511" w:rsidP="00B1674E">
            <w:pPr>
              <w:spacing w:before="40" w:after="40"/>
            </w:pPr>
            <w:r w:rsidRPr="00C019F2">
              <w:t>Timing</w:t>
            </w:r>
            <w:r>
              <w:t xml:space="preserve"> / </w:t>
            </w:r>
            <w:r w:rsidR="00580ADB">
              <w:t>s</w:t>
            </w:r>
            <w:r>
              <w:t>tatus</w:t>
            </w:r>
          </w:p>
        </w:tc>
        <w:tc>
          <w:tcPr>
            <w:tcW w:w="6662" w:type="dxa"/>
            <w:vAlign w:val="top"/>
          </w:tcPr>
          <w:p w14:paraId="3FF853D6" w14:textId="4922B476" w:rsidR="00841511" w:rsidRPr="00B03DB7" w:rsidRDefault="00841511" w:rsidP="00B1674E">
            <w:pPr>
              <w:spacing w:before="40" w:after="40"/>
              <w:cnfStyle w:val="000000100000" w:firstRow="0" w:lastRow="0" w:firstColumn="0" w:lastColumn="0" w:oddVBand="0" w:evenVBand="0" w:oddHBand="1" w:evenHBand="0" w:firstRowFirstColumn="0" w:firstRowLastColumn="0" w:lastRowFirstColumn="0" w:lastRowLastColumn="0"/>
            </w:pPr>
            <w:r w:rsidRPr="00B03DB7">
              <w:t>Commenced FY</w:t>
            </w:r>
            <w:r w:rsidR="00FE64A0" w:rsidRPr="00B03DB7">
              <w:t>17</w:t>
            </w:r>
            <w:r w:rsidRPr="00B03DB7">
              <w:t>, completed FY</w:t>
            </w:r>
            <w:r w:rsidR="00FE64A0" w:rsidRPr="00B03DB7">
              <w:t>21</w:t>
            </w:r>
          </w:p>
        </w:tc>
      </w:tr>
      <w:tr w:rsidR="00841511" w:rsidRPr="007643C1" w14:paraId="2842D8D3"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220C8A80" w14:textId="70E10CFA" w:rsidR="00841511" w:rsidRPr="007643C1" w:rsidRDefault="00841511" w:rsidP="00B1674E">
            <w:pPr>
              <w:spacing w:before="40" w:after="40"/>
            </w:pPr>
            <w:r w:rsidRPr="00D52B42">
              <w:t xml:space="preserve">Cost </w:t>
            </w:r>
            <w:r w:rsidR="00580ADB">
              <w:t>d</w:t>
            </w:r>
            <w:r w:rsidRPr="00D52B42">
              <w:t xml:space="preserve">river </w:t>
            </w:r>
          </w:p>
        </w:tc>
        <w:tc>
          <w:tcPr>
            <w:tcW w:w="6662" w:type="dxa"/>
            <w:vAlign w:val="top"/>
          </w:tcPr>
          <w:p w14:paraId="562A1A61" w14:textId="77777777" w:rsidR="00841511" w:rsidRPr="007643C1" w:rsidRDefault="00841511" w:rsidP="00B1674E">
            <w:pPr>
              <w:spacing w:before="40" w:after="40"/>
              <w:cnfStyle w:val="000000000000" w:firstRow="0" w:lastRow="0" w:firstColumn="0" w:lastColumn="0" w:oddVBand="0" w:evenVBand="0" w:oddHBand="0" w:evenHBand="0" w:firstRowFirstColumn="0" w:firstRowLastColumn="0" w:lastRowFirstColumn="0" w:lastRowLastColumn="0"/>
            </w:pPr>
            <w:r w:rsidRPr="00D52B42">
              <w:t>Improvement/compliance</w:t>
            </w:r>
          </w:p>
        </w:tc>
      </w:tr>
      <w:tr w:rsidR="00841511" w:rsidRPr="00C72A31" w14:paraId="0A56AF22"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2784EB79" w14:textId="77777777" w:rsidR="00841511" w:rsidRPr="00C72A31" w:rsidRDefault="00841511" w:rsidP="00B1674E">
            <w:pPr>
              <w:spacing w:before="40" w:after="40"/>
            </w:pPr>
            <w:r w:rsidRPr="00D52B42">
              <w:t>Outcome</w:t>
            </w:r>
          </w:p>
        </w:tc>
        <w:tc>
          <w:tcPr>
            <w:tcW w:w="6662" w:type="dxa"/>
            <w:vAlign w:val="top"/>
          </w:tcPr>
          <w:p w14:paraId="314A4C1D" w14:textId="77777777" w:rsidR="00841511" w:rsidRPr="00C72A31" w:rsidRDefault="00841511" w:rsidP="00B1674E">
            <w:pPr>
              <w:spacing w:before="40" w:after="40"/>
              <w:cnfStyle w:val="000000100000" w:firstRow="0" w:lastRow="0" w:firstColumn="0" w:lastColumn="0" w:oddVBand="0" w:evenVBand="0" w:oddHBand="1" w:evenHBand="0" w:firstRowFirstColumn="0" w:firstRowLastColumn="0" w:lastRowFirstColumn="0" w:lastRowLastColumn="0"/>
            </w:pPr>
            <w:r w:rsidRPr="00D52B42">
              <w:t>Reliable water supply, sustainable water</w:t>
            </w:r>
          </w:p>
        </w:tc>
      </w:tr>
      <w:tr w:rsidR="00841511" w:rsidRPr="00670249" w14:paraId="14EB9EED" w14:textId="77777777" w:rsidTr="00284E0E">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vAlign w:val="top"/>
          </w:tcPr>
          <w:p w14:paraId="3A89607A" w14:textId="77777777" w:rsidR="00841511" w:rsidRPr="00670249" w:rsidRDefault="00841511" w:rsidP="00B1674E">
            <w:pPr>
              <w:spacing w:before="40" w:after="40"/>
              <w:rPr>
                <w:b/>
                <w:bCs/>
              </w:rPr>
            </w:pPr>
            <w:r w:rsidRPr="00D52B42">
              <w:t>Description</w:t>
            </w:r>
          </w:p>
        </w:tc>
        <w:tc>
          <w:tcPr>
            <w:tcW w:w="6662" w:type="dxa"/>
            <w:tcBorders>
              <w:bottom w:val="single" w:sz="4" w:space="0" w:color="auto"/>
            </w:tcBorders>
            <w:vAlign w:val="top"/>
          </w:tcPr>
          <w:p w14:paraId="4346F9D8" w14:textId="296A2F76" w:rsidR="00841511" w:rsidRPr="00670249" w:rsidRDefault="00841511"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b/>
                <w:bCs/>
              </w:rPr>
            </w:pPr>
            <w:r w:rsidRPr="00D52B42">
              <w:t xml:space="preserve">Replacement of open channels with pipelines </w:t>
            </w:r>
            <w:r>
              <w:t>to</w:t>
            </w:r>
            <w:r w:rsidRPr="00D52B42">
              <w:t xml:space="preserve"> modernise </w:t>
            </w:r>
            <w:r>
              <w:t xml:space="preserve">the first three </w:t>
            </w:r>
            <w:r w:rsidRPr="00D52B42">
              <w:t>stages of the Werribee Irrigation District</w:t>
            </w:r>
            <w:r w:rsidR="00580ADB">
              <w:t>.</w:t>
            </w:r>
          </w:p>
        </w:tc>
      </w:tr>
    </w:tbl>
    <w:p w14:paraId="25D11E18" w14:textId="77777777" w:rsidR="00841511" w:rsidRDefault="00841511" w:rsidP="002F0C83">
      <w:pPr>
        <w:rPr>
          <w:rStyle w:val="IntenseEmphasis"/>
          <w:i w:val="0"/>
          <w:iCs w:val="0"/>
          <w:color w:val="auto"/>
        </w:rPr>
      </w:pPr>
    </w:p>
    <w:tbl>
      <w:tblPr>
        <w:tblStyle w:val="ReportTable-TealRows"/>
        <w:tblW w:w="9639" w:type="dxa"/>
        <w:tblLook w:val="04A0" w:firstRow="1" w:lastRow="0" w:firstColumn="1" w:lastColumn="0" w:noHBand="0" w:noVBand="1"/>
      </w:tblPr>
      <w:tblGrid>
        <w:gridCol w:w="2977"/>
        <w:gridCol w:w="6662"/>
      </w:tblGrid>
      <w:tr w:rsidR="00AA6BE2" w:rsidRPr="00192F41" w14:paraId="4EAE2556" w14:textId="77777777" w:rsidTr="00284E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14E0BF34" w14:textId="7716E535" w:rsidR="00AA6BE2" w:rsidRPr="00192F41" w:rsidRDefault="00AA6BE2">
            <w:pPr>
              <w:rPr>
                <w:rFonts w:cs="Arial"/>
                <w:sz w:val="20"/>
                <w:szCs w:val="20"/>
                <w:shd w:val="clear" w:color="auto" w:fill="FAF9F8"/>
              </w:rPr>
            </w:pPr>
            <w:r w:rsidRPr="00EB0221">
              <w:rPr>
                <w:sz w:val="20"/>
                <w:szCs w:val="20"/>
              </w:rPr>
              <w:t xml:space="preserve">Project </w:t>
            </w:r>
            <w:r w:rsidR="00580ADB" w:rsidRPr="00EB0221">
              <w:rPr>
                <w:sz w:val="20"/>
                <w:szCs w:val="20"/>
              </w:rPr>
              <w:t>n</w:t>
            </w:r>
            <w:r w:rsidRPr="00EB0221">
              <w:rPr>
                <w:sz w:val="20"/>
                <w:szCs w:val="20"/>
              </w:rPr>
              <w:t>ame</w:t>
            </w:r>
          </w:p>
        </w:tc>
        <w:tc>
          <w:tcPr>
            <w:tcW w:w="6662" w:type="dxa"/>
            <w:vAlign w:val="top"/>
          </w:tcPr>
          <w:p w14:paraId="0D13E112" w14:textId="763F647E" w:rsidR="00AA6BE2" w:rsidRPr="00192F41" w:rsidRDefault="00AA6BE2">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EB0221">
              <w:rPr>
                <w:sz w:val="20"/>
                <w:szCs w:val="20"/>
              </w:rPr>
              <w:t xml:space="preserve">MID Modernisation Phase </w:t>
            </w:r>
            <w:r w:rsidR="00EC6445" w:rsidRPr="00EB0221">
              <w:rPr>
                <w:sz w:val="20"/>
                <w:szCs w:val="20"/>
              </w:rPr>
              <w:t>2</w:t>
            </w:r>
          </w:p>
        </w:tc>
      </w:tr>
      <w:tr w:rsidR="00AA6BE2" w:rsidRPr="003F4A7C" w14:paraId="5D78C0F6"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09DB3E1F" w14:textId="421F469D" w:rsidR="00AA6BE2" w:rsidRPr="00192F41" w:rsidRDefault="00AA6BE2" w:rsidP="00B1674E">
            <w:pPr>
              <w:spacing w:before="40" w:after="40"/>
              <w:rPr>
                <w:rFonts w:cs="Arial"/>
                <w:b/>
                <w:color w:val="000000" w:themeColor="text1"/>
                <w:szCs w:val="20"/>
                <w:shd w:val="clear" w:color="auto" w:fill="FAF9F8"/>
              </w:rPr>
            </w:pPr>
            <w:r w:rsidRPr="00C019F2">
              <w:t xml:space="preserve">Total </w:t>
            </w:r>
            <w:r w:rsidR="00580ADB">
              <w:t>pr</w:t>
            </w:r>
            <w:r w:rsidRPr="00C019F2">
              <w:t xml:space="preserve">oject </w:t>
            </w:r>
            <w:r w:rsidR="00580ADB">
              <w:t>v</w:t>
            </w:r>
            <w:r w:rsidRPr="00C019F2">
              <w:t>alue</w:t>
            </w:r>
            <w:r>
              <w:t xml:space="preserve"> </w:t>
            </w:r>
            <w:r w:rsidR="00580ADB">
              <w:t>f</w:t>
            </w:r>
            <w:r>
              <w:t>orecast</w:t>
            </w:r>
          </w:p>
        </w:tc>
        <w:tc>
          <w:tcPr>
            <w:tcW w:w="6662" w:type="dxa"/>
            <w:vAlign w:val="top"/>
          </w:tcPr>
          <w:p w14:paraId="3AEAD1A0" w14:textId="137F72D7" w:rsidR="00AA6BE2" w:rsidRPr="003F4A7C" w:rsidRDefault="00AA6BE2"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shd w:val="clear" w:color="auto" w:fill="FAF9F8"/>
              </w:rPr>
            </w:pPr>
            <w:r w:rsidRPr="003F4A7C">
              <w:t>$</w:t>
            </w:r>
            <w:r w:rsidR="0BCF5A4E">
              <w:t>40</w:t>
            </w:r>
            <w:r w:rsidRPr="003F4A7C">
              <w:t>.</w:t>
            </w:r>
            <w:r w:rsidR="00580ADB">
              <w:t xml:space="preserve"> </w:t>
            </w:r>
            <w:r w:rsidRPr="003F4A7C">
              <w:t>m</w:t>
            </w:r>
            <w:r w:rsidR="00580ADB">
              <w:t>illion</w:t>
            </w:r>
            <w:r w:rsidRPr="003F4A7C">
              <w:t xml:space="preserve"> </w:t>
            </w:r>
            <w:r w:rsidR="04C7E0BD">
              <w:t>(</w:t>
            </w:r>
            <w:r w:rsidR="53D19097">
              <w:t>nominal estimate</w:t>
            </w:r>
            <w:r w:rsidR="26403C36">
              <w:t xml:space="preserve"> only</w:t>
            </w:r>
            <w:r w:rsidR="53D19097">
              <w:t xml:space="preserve">, </w:t>
            </w:r>
            <w:r w:rsidR="4CA4613D">
              <w:t>$</w:t>
            </w:r>
            <w:r w:rsidR="006462EF">
              <w:t>10.6</w:t>
            </w:r>
            <w:r w:rsidR="00580ADB">
              <w:t xml:space="preserve"> </w:t>
            </w:r>
            <w:r w:rsidR="00544D73">
              <w:t>m</w:t>
            </w:r>
            <w:r w:rsidR="00580ADB">
              <w:t>illion</w:t>
            </w:r>
            <w:r w:rsidR="00544D73">
              <w:t xml:space="preserve"> </w:t>
            </w:r>
            <w:r w:rsidR="2757AD64">
              <w:t xml:space="preserve">customer contribution </w:t>
            </w:r>
            <w:r w:rsidR="00544D73">
              <w:t xml:space="preserve">within period) </w:t>
            </w:r>
            <w:r w:rsidRPr="003F4A7C">
              <w:t>–</w:t>
            </w:r>
            <w:r w:rsidR="00682C61">
              <w:t xml:space="preserve"> </w:t>
            </w:r>
            <w:r w:rsidRPr="003F4A7C">
              <w:t xml:space="preserve">grant </w:t>
            </w:r>
            <w:r w:rsidR="1433A679">
              <w:t>fund</w:t>
            </w:r>
            <w:r w:rsidR="228CCACB">
              <w:t>ing was yet to be secur</w:t>
            </w:r>
            <w:r w:rsidR="1433A679">
              <w:t>ed</w:t>
            </w:r>
          </w:p>
        </w:tc>
      </w:tr>
      <w:tr w:rsidR="00AA6BE2" w:rsidRPr="003F4A7C" w14:paraId="1FDEF880"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7C8F9566" w14:textId="1A7B5A01" w:rsidR="00AA6BE2" w:rsidRPr="00C019F2" w:rsidRDefault="00AA6BE2" w:rsidP="00B1674E">
            <w:pPr>
              <w:spacing w:before="40" w:after="40"/>
            </w:pPr>
            <w:r w:rsidRPr="00C019F2">
              <w:t xml:space="preserve">Total </w:t>
            </w:r>
            <w:r w:rsidR="00580ADB">
              <w:t>p</w:t>
            </w:r>
            <w:r w:rsidRPr="00C019F2">
              <w:t xml:space="preserve">roject </w:t>
            </w:r>
            <w:r w:rsidR="00580ADB">
              <w:t>v</w:t>
            </w:r>
            <w:r w:rsidRPr="00C019F2">
              <w:t>alue</w:t>
            </w:r>
            <w:r>
              <w:t xml:space="preserve"> </w:t>
            </w:r>
            <w:r w:rsidR="00580ADB">
              <w:t>a</w:t>
            </w:r>
            <w:r>
              <w:t>ctual</w:t>
            </w:r>
          </w:p>
        </w:tc>
        <w:tc>
          <w:tcPr>
            <w:tcW w:w="6662" w:type="dxa"/>
            <w:vAlign w:val="top"/>
          </w:tcPr>
          <w:p w14:paraId="2B6369CF" w14:textId="47EEA8B5" w:rsidR="00AA6BE2" w:rsidRPr="003F4A7C" w:rsidRDefault="00AA6BE2"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3F4A7C">
              <w:t>$</w:t>
            </w:r>
            <w:r w:rsidR="00C71230">
              <w:t>62.6</w:t>
            </w:r>
            <w:r w:rsidR="00580ADB">
              <w:t xml:space="preserve"> </w:t>
            </w:r>
            <w:r w:rsidR="00C71230">
              <w:t>m</w:t>
            </w:r>
            <w:r w:rsidR="00580ADB">
              <w:t>illion</w:t>
            </w:r>
            <w:r w:rsidR="00CE69A2">
              <w:t xml:space="preserve"> ($39.4</w:t>
            </w:r>
            <w:r w:rsidR="00580ADB">
              <w:t xml:space="preserve"> </w:t>
            </w:r>
            <w:r w:rsidR="00CE69A2">
              <w:t>m</w:t>
            </w:r>
            <w:r w:rsidR="00580ADB">
              <w:t>illion</w:t>
            </w:r>
            <w:r w:rsidR="00CE69A2">
              <w:t xml:space="preserve"> within price period</w:t>
            </w:r>
            <w:r w:rsidR="4998BC9D">
              <w:t>)</w:t>
            </w:r>
            <w:r w:rsidR="003AFDAB">
              <w:t xml:space="preserve"> - 66% grant funded</w:t>
            </w:r>
            <w:r w:rsidR="164FFB7D">
              <w:t>.</w:t>
            </w:r>
            <w:r w:rsidR="00820C80">
              <w:t xml:space="preserve"> </w:t>
            </w:r>
            <w:r w:rsidR="00820C80" w:rsidRPr="00820C80">
              <w:t>$1</w:t>
            </w:r>
            <w:r w:rsidR="00203AC7">
              <w:t>0.6</w:t>
            </w:r>
            <w:r w:rsidR="00580ADB">
              <w:t xml:space="preserve"> </w:t>
            </w:r>
            <w:r w:rsidR="00820C80" w:rsidRPr="00820C80">
              <w:t>m</w:t>
            </w:r>
            <w:r w:rsidR="00580ADB">
              <w:t>illion</w:t>
            </w:r>
            <w:r w:rsidR="00820C80" w:rsidRPr="00820C80">
              <w:t xml:space="preserve"> towards this final stage of modernisation</w:t>
            </w:r>
            <w:r w:rsidR="00486BE8">
              <w:t xml:space="preserve"> was forecast</w:t>
            </w:r>
            <w:r w:rsidR="00700E81">
              <w:t xml:space="preserve"> within the price period</w:t>
            </w:r>
            <w:r w:rsidR="00ED70B0">
              <w:t xml:space="preserve"> (as agreed with the </w:t>
            </w:r>
            <w:r w:rsidR="007F414D">
              <w:t>Macalister Customer Consultative Committee)</w:t>
            </w:r>
            <w:r w:rsidR="00486BE8">
              <w:t xml:space="preserve">, while </w:t>
            </w:r>
            <w:r w:rsidR="33240330">
              <w:t xml:space="preserve">the </w:t>
            </w:r>
            <w:r w:rsidR="00ED70B0">
              <w:t>project</w:t>
            </w:r>
            <w:r w:rsidR="00820C80" w:rsidRPr="00820C80">
              <w:t xml:space="preserve"> </w:t>
            </w:r>
            <w:r w:rsidR="3CAF97DB">
              <w:t>scope,</w:t>
            </w:r>
            <w:r w:rsidR="1327CE0B">
              <w:t xml:space="preserve"> </w:t>
            </w:r>
            <w:r w:rsidR="00820C80" w:rsidRPr="00820C80">
              <w:t xml:space="preserve">approvals and funding arrangements </w:t>
            </w:r>
            <w:r w:rsidR="007F414D">
              <w:t xml:space="preserve">were </w:t>
            </w:r>
            <w:r w:rsidR="0069005C">
              <w:t xml:space="preserve">sought and finalised. </w:t>
            </w:r>
            <w:r w:rsidR="00820C80" w:rsidRPr="00820C80">
              <w:t xml:space="preserve">This </w:t>
            </w:r>
            <w:r w:rsidR="00AF234C">
              <w:t>approach was adopted to</w:t>
            </w:r>
            <w:r w:rsidR="00820C80" w:rsidRPr="00820C80">
              <w:t xml:space="preserve"> provide price stability, by avoiding the likelihood of otherwise reducing prices in </w:t>
            </w:r>
            <w:r w:rsidR="00881A48">
              <w:t>2018-23</w:t>
            </w:r>
            <w:r w:rsidR="00820C80" w:rsidRPr="00820C80">
              <w:t xml:space="preserve"> regulatory </w:t>
            </w:r>
            <w:r w:rsidR="004E3033" w:rsidRPr="00820C80">
              <w:t>period or</w:t>
            </w:r>
            <w:r w:rsidR="00820C80" w:rsidRPr="00820C80">
              <w:t xml:space="preserve"> hav</w:t>
            </w:r>
            <w:r w:rsidR="00700E81">
              <w:t>ing</w:t>
            </w:r>
            <w:r w:rsidR="00820C80" w:rsidRPr="00820C80">
              <w:t xml:space="preserve"> a steeper increase in the future when plans for the final stage of modernisation </w:t>
            </w:r>
            <w:r w:rsidR="00C249F3">
              <w:t>were</w:t>
            </w:r>
            <w:r w:rsidR="00820C80" w:rsidRPr="00820C80">
              <w:t xml:space="preserve"> finalised</w:t>
            </w:r>
            <w:r w:rsidR="00C249F3">
              <w:t xml:space="preserve">. </w:t>
            </w:r>
            <w:r w:rsidR="6745C249">
              <w:t xml:space="preserve">The project </w:t>
            </w:r>
            <w:r w:rsidR="019608FD">
              <w:t>commenced</w:t>
            </w:r>
            <w:r w:rsidR="00C249F3">
              <w:t xml:space="preserve"> upon receipt of grant funding</w:t>
            </w:r>
            <w:r w:rsidR="004E3033">
              <w:t xml:space="preserve"> in FY20.</w:t>
            </w:r>
            <w:r w:rsidR="3971E088">
              <w:t xml:space="preserve"> The increase </w:t>
            </w:r>
            <w:r w:rsidR="24BA1E95">
              <w:t>expenditure is before the application of grant funding, which is 66%. Therefore, SRW’s customer contribution in the 2018-23</w:t>
            </w:r>
            <w:r w:rsidR="3F5444CA">
              <w:t xml:space="preserve"> </w:t>
            </w:r>
            <w:r w:rsidR="21754922">
              <w:t>regulatory period is $13.0 million, against a forecast of $10.6 million.</w:t>
            </w:r>
          </w:p>
        </w:tc>
      </w:tr>
      <w:tr w:rsidR="00AA6BE2" w:rsidRPr="003F4A7C" w14:paraId="0105E093"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47F01938" w14:textId="5A50BDA7" w:rsidR="00AA6BE2" w:rsidRPr="00192F41" w:rsidRDefault="00AA6BE2" w:rsidP="00B1674E">
            <w:pPr>
              <w:spacing w:before="40" w:after="40"/>
              <w:rPr>
                <w:rFonts w:cs="Arial"/>
                <w:b/>
                <w:color w:val="000000" w:themeColor="text1"/>
                <w:szCs w:val="20"/>
                <w:shd w:val="clear" w:color="auto" w:fill="FAF9F8"/>
              </w:rPr>
            </w:pPr>
            <w:r w:rsidRPr="00C019F2">
              <w:t>Timing</w:t>
            </w:r>
            <w:r>
              <w:t xml:space="preserve"> / </w:t>
            </w:r>
            <w:r w:rsidR="00580ADB">
              <w:t>s</w:t>
            </w:r>
            <w:r>
              <w:t>tatus</w:t>
            </w:r>
          </w:p>
        </w:tc>
        <w:tc>
          <w:tcPr>
            <w:tcW w:w="6662" w:type="dxa"/>
            <w:vAlign w:val="top"/>
          </w:tcPr>
          <w:p w14:paraId="61046790" w14:textId="77E5656A" w:rsidR="00AA6BE2" w:rsidRPr="003F4A7C" w:rsidRDefault="00AA6BE2"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B03DB7">
              <w:t>Commenced FY</w:t>
            </w:r>
            <w:r w:rsidR="00044C28" w:rsidRPr="00B03DB7">
              <w:t>20</w:t>
            </w:r>
            <w:r w:rsidRPr="00B03DB7">
              <w:t>, complete FY</w:t>
            </w:r>
            <w:r w:rsidR="002653B0" w:rsidRPr="00B03DB7">
              <w:t>24</w:t>
            </w:r>
            <w:r w:rsidRPr="00B03DB7">
              <w:t>.</w:t>
            </w:r>
            <w:r w:rsidRPr="003F4A7C">
              <w:t xml:space="preserve"> </w:t>
            </w:r>
          </w:p>
        </w:tc>
      </w:tr>
      <w:tr w:rsidR="00AA6BE2" w:rsidRPr="003F4A7C" w14:paraId="029900E7" w14:textId="77777777" w:rsidTr="00284E0E">
        <w:tc>
          <w:tcPr>
            <w:cnfStyle w:val="001000000000" w:firstRow="0" w:lastRow="0" w:firstColumn="1" w:lastColumn="0" w:oddVBand="0" w:evenVBand="0" w:oddHBand="0" w:evenHBand="0" w:firstRowFirstColumn="0" w:firstRowLastColumn="0" w:lastRowFirstColumn="0" w:lastRowLastColumn="0"/>
            <w:tcW w:w="2977" w:type="dxa"/>
            <w:vAlign w:val="top"/>
          </w:tcPr>
          <w:p w14:paraId="59851209" w14:textId="468C5141" w:rsidR="00AA6BE2" w:rsidRPr="007643C1" w:rsidRDefault="00AA6BE2" w:rsidP="00B1674E">
            <w:pPr>
              <w:spacing w:before="40" w:after="40"/>
            </w:pPr>
            <w:r w:rsidRPr="00C019F2">
              <w:t xml:space="preserve">Cost </w:t>
            </w:r>
            <w:r w:rsidR="00580ADB">
              <w:t>d</w:t>
            </w:r>
            <w:r w:rsidRPr="00C019F2">
              <w:t>river</w:t>
            </w:r>
          </w:p>
        </w:tc>
        <w:tc>
          <w:tcPr>
            <w:tcW w:w="6662" w:type="dxa"/>
            <w:vAlign w:val="top"/>
          </w:tcPr>
          <w:p w14:paraId="6111CAAC" w14:textId="77777777" w:rsidR="00AA6BE2" w:rsidRPr="003F4A7C" w:rsidRDefault="00AA6BE2"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3F4A7C">
              <w:t>Improvement/compliance</w:t>
            </w:r>
          </w:p>
        </w:tc>
      </w:tr>
      <w:tr w:rsidR="00AA6BE2" w:rsidRPr="003F4A7C" w14:paraId="7CBA425E" w14:textId="77777777" w:rsidTr="00284E0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42C45E48" w14:textId="77777777" w:rsidR="00AA6BE2" w:rsidRPr="00C72A31" w:rsidRDefault="00AA6BE2" w:rsidP="00B1674E">
            <w:pPr>
              <w:spacing w:before="40" w:after="40"/>
            </w:pPr>
            <w:r w:rsidRPr="00C019F2">
              <w:t>Outcome</w:t>
            </w:r>
          </w:p>
        </w:tc>
        <w:tc>
          <w:tcPr>
            <w:tcW w:w="6662" w:type="dxa"/>
            <w:vAlign w:val="top"/>
          </w:tcPr>
          <w:p w14:paraId="0261CB20" w14:textId="77777777" w:rsidR="00AA6BE2" w:rsidRPr="003F4A7C" w:rsidRDefault="00AA6BE2"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3F4A7C">
              <w:t>Reliable water supply, sustainable water</w:t>
            </w:r>
          </w:p>
        </w:tc>
      </w:tr>
      <w:tr w:rsidR="00AA6BE2" w:rsidRPr="001530DD" w14:paraId="6D3315F6" w14:textId="77777777" w:rsidTr="00284E0E">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vAlign w:val="top"/>
          </w:tcPr>
          <w:p w14:paraId="109115C0" w14:textId="77777777" w:rsidR="00AA6BE2" w:rsidRPr="00670249" w:rsidRDefault="00AA6BE2" w:rsidP="00B1674E">
            <w:pPr>
              <w:spacing w:before="40" w:after="40"/>
              <w:rPr>
                <w:b/>
                <w:bCs/>
              </w:rPr>
            </w:pPr>
            <w:r w:rsidRPr="00003432">
              <w:t>Description</w:t>
            </w:r>
          </w:p>
        </w:tc>
        <w:tc>
          <w:tcPr>
            <w:tcW w:w="6662" w:type="dxa"/>
            <w:tcBorders>
              <w:bottom w:val="single" w:sz="4" w:space="0" w:color="auto"/>
            </w:tcBorders>
            <w:vAlign w:val="top"/>
          </w:tcPr>
          <w:p w14:paraId="28FC2C0F" w14:textId="142752FE" w:rsidR="00AA6BE2" w:rsidRPr="001530DD" w:rsidRDefault="00EE7243"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b/>
                <w:bCs/>
                <w:color w:val="FF0000"/>
              </w:rPr>
            </w:pPr>
            <w:r w:rsidRPr="00EE7243">
              <w:t>Pipeline replacing open channel and high-use meter outlet replacements throughout the Macalister Irrigation District</w:t>
            </w:r>
          </w:p>
        </w:tc>
      </w:tr>
    </w:tbl>
    <w:p w14:paraId="31463628" w14:textId="75667ECF" w:rsidR="00DA219D" w:rsidRDefault="00DA219D" w:rsidP="002F0C83">
      <w:pPr>
        <w:rPr>
          <w:rStyle w:val="IntenseEmphasis"/>
          <w:i w:val="0"/>
          <w:iCs w:val="0"/>
          <w:color w:val="auto"/>
        </w:rPr>
      </w:pPr>
    </w:p>
    <w:p w14:paraId="781BCFE5" w14:textId="77777777" w:rsidR="00DA219D" w:rsidRDefault="00DA219D">
      <w:pPr>
        <w:rPr>
          <w:rStyle w:val="IntenseEmphasis"/>
          <w:i w:val="0"/>
          <w:iCs w:val="0"/>
          <w:color w:val="auto"/>
        </w:rPr>
      </w:pPr>
      <w:r>
        <w:rPr>
          <w:rStyle w:val="IntenseEmphasis"/>
          <w:i w:val="0"/>
          <w:iCs w:val="0"/>
          <w:color w:val="auto"/>
        </w:rPr>
        <w:br w:type="page"/>
      </w:r>
    </w:p>
    <w:tbl>
      <w:tblPr>
        <w:tblStyle w:val="ReportTable-TealRows"/>
        <w:tblW w:w="9639" w:type="dxa"/>
        <w:tblLook w:val="04A0" w:firstRow="1" w:lastRow="0" w:firstColumn="1" w:lastColumn="0" w:noHBand="0" w:noVBand="1"/>
      </w:tblPr>
      <w:tblGrid>
        <w:gridCol w:w="2977"/>
        <w:gridCol w:w="6662"/>
      </w:tblGrid>
      <w:tr w:rsidR="00682C61" w:rsidRPr="00192F41" w14:paraId="7963BCE2"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78F841D8" w14:textId="0E744ABC" w:rsidR="00682C61" w:rsidRPr="00192F41" w:rsidRDefault="00682C61">
            <w:pPr>
              <w:rPr>
                <w:rFonts w:cs="Arial"/>
                <w:sz w:val="20"/>
                <w:szCs w:val="20"/>
                <w:shd w:val="clear" w:color="auto" w:fill="FAF9F8"/>
              </w:rPr>
            </w:pPr>
            <w:r w:rsidRPr="00C266EF">
              <w:rPr>
                <w:sz w:val="20"/>
                <w:szCs w:val="20"/>
              </w:rPr>
              <w:t xml:space="preserve">Project </w:t>
            </w:r>
            <w:r w:rsidR="0067638C" w:rsidRPr="00C266EF">
              <w:rPr>
                <w:sz w:val="20"/>
                <w:szCs w:val="20"/>
              </w:rPr>
              <w:t>n</w:t>
            </w:r>
            <w:r w:rsidRPr="00C266EF">
              <w:rPr>
                <w:sz w:val="20"/>
                <w:szCs w:val="20"/>
              </w:rPr>
              <w:t>ame</w:t>
            </w:r>
          </w:p>
        </w:tc>
        <w:tc>
          <w:tcPr>
            <w:tcW w:w="6662" w:type="dxa"/>
            <w:vAlign w:val="top"/>
          </w:tcPr>
          <w:p w14:paraId="670301AA" w14:textId="49D49223" w:rsidR="00682C61" w:rsidRPr="00192F41" w:rsidRDefault="00682C61">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BMID Modernisation</w:t>
            </w:r>
          </w:p>
        </w:tc>
      </w:tr>
      <w:tr w:rsidR="00682C61" w:rsidRPr="00192F41" w14:paraId="6E1B5795"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02521A0C" w14:textId="106547AB" w:rsidR="00682C61" w:rsidRPr="00192F41" w:rsidRDefault="00682C61" w:rsidP="00B1674E">
            <w:pPr>
              <w:spacing w:before="40" w:after="40"/>
              <w:rPr>
                <w:rFonts w:cs="Arial"/>
                <w:b/>
                <w:color w:val="000000" w:themeColor="text1"/>
                <w:shd w:val="clear" w:color="auto" w:fill="FAF9F8"/>
              </w:rPr>
            </w:pPr>
            <w:r w:rsidRPr="00D52B42">
              <w:t xml:space="preserve">Total </w:t>
            </w:r>
            <w:r w:rsidR="0067638C">
              <w:t>p</w:t>
            </w:r>
            <w:r w:rsidRPr="00D52B42">
              <w:t xml:space="preserve">roject </w:t>
            </w:r>
            <w:r w:rsidR="0067638C">
              <w:t>v</w:t>
            </w:r>
            <w:r w:rsidRPr="00D52B42">
              <w:t>alue</w:t>
            </w:r>
            <w:r w:rsidR="002307FA">
              <w:t xml:space="preserve"> </w:t>
            </w:r>
            <w:r w:rsidR="0067638C">
              <w:t>f</w:t>
            </w:r>
            <w:r w:rsidR="002307FA">
              <w:t>orecast</w:t>
            </w:r>
          </w:p>
        </w:tc>
        <w:tc>
          <w:tcPr>
            <w:tcW w:w="6662" w:type="dxa"/>
            <w:vAlign w:val="top"/>
          </w:tcPr>
          <w:p w14:paraId="22BE0039" w14:textId="614A9ECA" w:rsidR="00682C61" w:rsidRPr="00B03DB7" w:rsidRDefault="007A13EF"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t>$</w:t>
            </w:r>
            <w:r w:rsidR="00964B7F">
              <w:t>8.9</w:t>
            </w:r>
            <w:r w:rsidR="0067638C">
              <w:t xml:space="preserve"> </w:t>
            </w:r>
            <w:r w:rsidR="00964B7F">
              <w:t>m</w:t>
            </w:r>
            <w:r w:rsidR="0067638C">
              <w:t>illion</w:t>
            </w:r>
            <w:r>
              <w:t xml:space="preserve"> (</w:t>
            </w:r>
            <w:r w:rsidR="00682C61" w:rsidRPr="00B03DB7">
              <w:t>$</w:t>
            </w:r>
            <w:r w:rsidR="009245CA" w:rsidRPr="00B03DB7">
              <w:t>4.5</w:t>
            </w:r>
            <w:r w:rsidR="0067638C">
              <w:t xml:space="preserve"> </w:t>
            </w:r>
            <w:r w:rsidR="00682C61" w:rsidRPr="00B03DB7">
              <w:t>m</w:t>
            </w:r>
            <w:r w:rsidR="0067638C">
              <w:t>illion</w:t>
            </w:r>
            <w:r>
              <w:t xml:space="preserve"> within price period)</w:t>
            </w:r>
            <w:r w:rsidR="00376C2C" w:rsidRPr="00B03DB7">
              <w:t xml:space="preserve"> </w:t>
            </w:r>
            <w:r w:rsidR="00682C61" w:rsidRPr="00B03DB7">
              <w:t xml:space="preserve">– </w:t>
            </w:r>
            <w:r w:rsidR="00BC6B69" w:rsidRPr="00B03DB7">
              <w:t>5</w:t>
            </w:r>
            <w:r w:rsidR="00964B7F">
              <w:t>0</w:t>
            </w:r>
            <w:r w:rsidR="00682C61" w:rsidRPr="00B03DB7">
              <w:t>% grant funded</w:t>
            </w:r>
          </w:p>
        </w:tc>
      </w:tr>
      <w:tr w:rsidR="00682C61" w:rsidRPr="00192F41" w14:paraId="56865BB0" w14:textId="77777777" w:rsidTr="00E37FBC">
        <w:tc>
          <w:tcPr>
            <w:cnfStyle w:val="001000000000" w:firstRow="0" w:lastRow="0" w:firstColumn="1" w:lastColumn="0" w:oddVBand="0" w:evenVBand="0" w:oddHBand="0" w:evenHBand="0" w:firstRowFirstColumn="0" w:firstRowLastColumn="0" w:lastRowFirstColumn="0" w:lastRowLastColumn="0"/>
            <w:tcW w:w="2977" w:type="dxa"/>
            <w:vAlign w:val="top"/>
          </w:tcPr>
          <w:p w14:paraId="29FBEDE9" w14:textId="7D108CB2" w:rsidR="00682C61" w:rsidRPr="00192F41" w:rsidRDefault="00682C61" w:rsidP="00B1674E">
            <w:pPr>
              <w:spacing w:before="40" w:after="40"/>
              <w:rPr>
                <w:rFonts w:cs="Arial"/>
                <w:b/>
                <w:color w:val="000000" w:themeColor="text1"/>
                <w:szCs w:val="20"/>
                <w:shd w:val="clear" w:color="auto" w:fill="FAF9F8"/>
              </w:rPr>
            </w:pPr>
            <w:r w:rsidRPr="00C019F2">
              <w:t xml:space="preserve">Total </w:t>
            </w:r>
            <w:r w:rsidR="0067638C">
              <w:t>p</w:t>
            </w:r>
            <w:r w:rsidRPr="00C019F2">
              <w:t xml:space="preserve">roject </w:t>
            </w:r>
            <w:r w:rsidR="0067638C">
              <w:t>v</w:t>
            </w:r>
            <w:r w:rsidRPr="00C019F2">
              <w:t>alue</w:t>
            </w:r>
            <w:r>
              <w:t xml:space="preserve"> </w:t>
            </w:r>
            <w:r w:rsidR="0067638C">
              <w:t>a</w:t>
            </w:r>
            <w:r>
              <w:t>ctual</w:t>
            </w:r>
          </w:p>
        </w:tc>
        <w:tc>
          <w:tcPr>
            <w:tcW w:w="6662" w:type="dxa"/>
            <w:vAlign w:val="top"/>
          </w:tcPr>
          <w:p w14:paraId="40E2C402" w14:textId="661CE1C5" w:rsidR="00682C61" w:rsidRPr="00FB3B0F" w:rsidRDefault="007A13EF"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szCs w:val="20"/>
                <w:shd w:val="clear" w:color="auto" w:fill="FAF9F8"/>
              </w:rPr>
            </w:pPr>
            <w:r w:rsidRPr="00FB3B0F">
              <w:t>$</w:t>
            </w:r>
            <w:r w:rsidR="006B0AB4" w:rsidRPr="00FB3B0F">
              <w:t>9</w:t>
            </w:r>
            <w:r w:rsidR="00A8692E" w:rsidRPr="00FB3B0F">
              <w:t>.9</w:t>
            </w:r>
            <w:r w:rsidR="0067638C">
              <w:t xml:space="preserve"> </w:t>
            </w:r>
            <w:r w:rsidR="006B0AB4" w:rsidRPr="00FB3B0F">
              <w:t>m</w:t>
            </w:r>
            <w:r w:rsidR="0067638C">
              <w:t>illion</w:t>
            </w:r>
            <w:r w:rsidR="006B0AB4" w:rsidRPr="00FB3B0F">
              <w:t xml:space="preserve"> (</w:t>
            </w:r>
            <w:r w:rsidR="00682C61" w:rsidRPr="00FB3B0F">
              <w:t>$</w:t>
            </w:r>
            <w:r w:rsidR="00EE092E" w:rsidRPr="00FB3B0F">
              <w:t>5.7</w:t>
            </w:r>
            <w:r w:rsidR="006B0AB4" w:rsidRPr="00FB3B0F">
              <w:t xml:space="preserve"> </w:t>
            </w:r>
            <w:r w:rsidR="0067638C">
              <w:t>million</w:t>
            </w:r>
            <w:r w:rsidR="006B0AB4" w:rsidRPr="00FB3B0F">
              <w:t xml:space="preserve"> within price period)</w:t>
            </w:r>
            <w:r w:rsidR="00A8692E" w:rsidRPr="00FB3B0F">
              <w:t xml:space="preserve">. </w:t>
            </w:r>
            <w:r w:rsidR="004101F2">
              <w:t>Actual costs</w:t>
            </w:r>
            <w:r w:rsidR="004D3472">
              <w:t xml:space="preserve"> exceeded the forecast </w:t>
            </w:r>
            <w:r w:rsidR="001A1CE8" w:rsidRPr="00FB3B0F">
              <w:t>due to scope changes during design development</w:t>
            </w:r>
            <w:r w:rsidR="00E93765">
              <w:t>,</w:t>
            </w:r>
            <w:r w:rsidR="001A1CE8" w:rsidRPr="00FB3B0F">
              <w:t xml:space="preserve"> </w:t>
            </w:r>
            <w:r w:rsidR="00E04121" w:rsidRPr="00FB3B0F">
              <w:t>construction market conditions that saw limited interest</w:t>
            </w:r>
            <w:r w:rsidR="00FB3B0F" w:rsidRPr="00FB3B0F">
              <w:t xml:space="preserve"> in the works </w:t>
            </w:r>
            <w:r w:rsidR="00E93765">
              <w:t>(</w:t>
            </w:r>
            <w:r w:rsidR="00FB3B0F" w:rsidRPr="00FB3B0F">
              <w:t>despite a procurement strategy to package stages and increase the scale of works</w:t>
            </w:r>
            <w:r w:rsidR="00E93765">
              <w:t xml:space="preserve">), and </w:t>
            </w:r>
            <w:r w:rsidR="00E93765" w:rsidRPr="00FB3B0F">
              <w:t>construction cost</w:t>
            </w:r>
            <w:r w:rsidR="00E93765">
              <w:t xml:space="preserve"> variations.</w:t>
            </w:r>
            <w:r w:rsidR="00A8692E" w:rsidRPr="00FB3B0F">
              <w:t xml:space="preserve"> </w:t>
            </w:r>
          </w:p>
        </w:tc>
      </w:tr>
      <w:tr w:rsidR="00682C61" w:rsidRPr="00C72A31" w14:paraId="2089FB7A"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7B785C68" w14:textId="37A7D359" w:rsidR="00682C61" w:rsidRPr="00C72A31" w:rsidRDefault="00682C61" w:rsidP="00B1674E">
            <w:pPr>
              <w:spacing w:before="40" w:after="40"/>
            </w:pPr>
            <w:r w:rsidRPr="00C019F2">
              <w:t>Timing</w:t>
            </w:r>
            <w:r>
              <w:t xml:space="preserve"> / </w:t>
            </w:r>
            <w:r w:rsidR="0067638C">
              <w:t>s</w:t>
            </w:r>
            <w:r>
              <w:t>tatus</w:t>
            </w:r>
          </w:p>
        </w:tc>
        <w:tc>
          <w:tcPr>
            <w:tcW w:w="6662" w:type="dxa"/>
            <w:vAlign w:val="top"/>
          </w:tcPr>
          <w:p w14:paraId="537DEA15" w14:textId="39A2F02C" w:rsidR="00682C61" w:rsidRPr="00B03DB7" w:rsidRDefault="00682C61"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B03DB7">
              <w:t>Commenced FY</w:t>
            </w:r>
            <w:r w:rsidR="00DD1E90" w:rsidRPr="00B03DB7">
              <w:t>17,</w:t>
            </w:r>
            <w:r w:rsidRPr="00B03DB7">
              <w:t xml:space="preserve"> completed FY</w:t>
            </w:r>
            <w:r w:rsidR="00DD1E90" w:rsidRPr="00B03DB7">
              <w:t>21</w:t>
            </w:r>
          </w:p>
        </w:tc>
      </w:tr>
      <w:tr w:rsidR="00682C61" w:rsidRPr="007643C1" w14:paraId="1813F2BA" w14:textId="77777777" w:rsidTr="00E37FBC">
        <w:tc>
          <w:tcPr>
            <w:cnfStyle w:val="001000000000" w:firstRow="0" w:lastRow="0" w:firstColumn="1" w:lastColumn="0" w:oddVBand="0" w:evenVBand="0" w:oddHBand="0" w:evenHBand="0" w:firstRowFirstColumn="0" w:firstRowLastColumn="0" w:lastRowFirstColumn="0" w:lastRowLastColumn="0"/>
            <w:tcW w:w="2977" w:type="dxa"/>
            <w:vAlign w:val="top"/>
          </w:tcPr>
          <w:p w14:paraId="6881349C" w14:textId="5ACFE0D9" w:rsidR="00682C61" w:rsidRPr="007643C1" w:rsidRDefault="00682C61" w:rsidP="00B1674E">
            <w:pPr>
              <w:spacing w:before="40" w:after="40"/>
            </w:pPr>
            <w:r w:rsidRPr="00D52B42">
              <w:t xml:space="preserve">Cost </w:t>
            </w:r>
            <w:r w:rsidR="0067638C">
              <w:t>d</w:t>
            </w:r>
            <w:r w:rsidRPr="00D52B42">
              <w:t xml:space="preserve">river </w:t>
            </w:r>
          </w:p>
        </w:tc>
        <w:tc>
          <w:tcPr>
            <w:tcW w:w="6662" w:type="dxa"/>
            <w:vAlign w:val="top"/>
          </w:tcPr>
          <w:p w14:paraId="3FCC34D7" w14:textId="77777777" w:rsidR="00682C61" w:rsidRPr="009245CA" w:rsidRDefault="00682C61"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9245CA">
              <w:t>Improvement/compliance</w:t>
            </w:r>
          </w:p>
        </w:tc>
      </w:tr>
      <w:tr w:rsidR="00682C61" w:rsidRPr="00C72A31" w14:paraId="675AA09B"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tcPr>
          <w:p w14:paraId="50537C25" w14:textId="77777777" w:rsidR="00682C61" w:rsidRPr="00C72A31" w:rsidRDefault="00682C61" w:rsidP="00B1674E">
            <w:pPr>
              <w:spacing w:before="40" w:after="40"/>
            </w:pPr>
            <w:r w:rsidRPr="00D52B42">
              <w:t>Outcome</w:t>
            </w:r>
          </w:p>
        </w:tc>
        <w:tc>
          <w:tcPr>
            <w:tcW w:w="6662" w:type="dxa"/>
            <w:vAlign w:val="top"/>
          </w:tcPr>
          <w:p w14:paraId="2DCE8896" w14:textId="77777777" w:rsidR="00682C61" w:rsidRPr="009245CA" w:rsidRDefault="00682C61"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9245CA">
              <w:t>Reliable water supply, sustainable water</w:t>
            </w:r>
          </w:p>
        </w:tc>
      </w:tr>
      <w:tr w:rsidR="00682C61" w:rsidRPr="00670249" w14:paraId="2FD8663D" w14:textId="77777777" w:rsidTr="00E37FBC">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vAlign w:val="top"/>
          </w:tcPr>
          <w:p w14:paraId="1AD04A67" w14:textId="77777777" w:rsidR="00682C61" w:rsidRPr="00670249" w:rsidRDefault="00682C61" w:rsidP="00B1674E">
            <w:pPr>
              <w:spacing w:before="40" w:after="40"/>
              <w:rPr>
                <w:b/>
                <w:bCs/>
              </w:rPr>
            </w:pPr>
            <w:r w:rsidRPr="00D52B42">
              <w:t>Description</w:t>
            </w:r>
          </w:p>
        </w:tc>
        <w:tc>
          <w:tcPr>
            <w:tcW w:w="6662" w:type="dxa"/>
            <w:tcBorders>
              <w:bottom w:val="single" w:sz="4" w:space="0" w:color="auto"/>
            </w:tcBorders>
            <w:vAlign w:val="top"/>
          </w:tcPr>
          <w:p w14:paraId="43C32111" w14:textId="7D0E2565" w:rsidR="00682C61" w:rsidRPr="009245CA" w:rsidRDefault="00682C61"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b/>
                <w:bCs/>
              </w:rPr>
            </w:pPr>
            <w:r w:rsidRPr="009245CA">
              <w:t xml:space="preserve">Replacement of open channels with pipelines to modernise the </w:t>
            </w:r>
            <w:r w:rsidR="00320724">
              <w:t>Bacchus Marsh</w:t>
            </w:r>
            <w:r w:rsidRPr="009245CA">
              <w:t xml:space="preserve"> Irrigation District </w:t>
            </w:r>
          </w:p>
        </w:tc>
      </w:tr>
    </w:tbl>
    <w:p w14:paraId="087E2350" w14:textId="6ACB01CB" w:rsidR="00C24A7E" w:rsidRDefault="00C24A7E" w:rsidP="00754DA9">
      <w:pPr>
        <w:spacing w:after="0"/>
        <w:rPr>
          <w:rStyle w:val="IntenseEmphasis"/>
          <w:i w:val="0"/>
          <w:iCs w:val="0"/>
          <w:color w:val="auto"/>
        </w:rPr>
      </w:pPr>
    </w:p>
    <w:tbl>
      <w:tblPr>
        <w:tblStyle w:val="ReportTable-TealRows"/>
        <w:tblW w:w="9639" w:type="dxa"/>
        <w:tblLook w:val="04A0" w:firstRow="1" w:lastRow="0" w:firstColumn="1" w:lastColumn="0" w:noHBand="0" w:noVBand="1"/>
      </w:tblPr>
      <w:tblGrid>
        <w:gridCol w:w="2835"/>
        <w:gridCol w:w="6804"/>
      </w:tblGrid>
      <w:tr w:rsidR="002307FA" w:rsidRPr="00192F41" w14:paraId="2E9F0066"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2FE8D277" w14:textId="5B7B458F" w:rsidR="002307FA" w:rsidRPr="00192F41" w:rsidRDefault="002307FA">
            <w:pPr>
              <w:rPr>
                <w:rFonts w:cs="Arial"/>
                <w:sz w:val="20"/>
                <w:szCs w:val="20"/>
                <w:shd w:val="clear" w:color="auto" w:fill="FAF9F8"/>
              </w:rPr>
            </w:pPr>
            <w:r w:rsidRPr="00C266EF">
              <w:rPr>
                <w:sz w:val="20"/>
                <w:szCs w:val="20"/>
              </w:rPr>
              <w:t xml:space="preserve">Project </w:t>
            </w:r>
            <w:r w:rsidR="0067638C" w:rsidRPr="00C266EF">
              <w:rPr>
                <w:sz w:val="20"/>
                <w:szCs w:val="20"/>
              </w:rPr>
              <w:t>n</w:t>
            </w:r>
            <w:r w:rsidRPr="00C266EF">
              <w:rPr>
                <w:sz w:val="20"/>
                <w:szCs w:val="20"/>
              </w:rPr>
              <w:t>ame</w:t>
            </w:r>
          </w:p>
        </w:tc>
        <w:tc>
          <w:tcPr>
            <w:tcW w:w="6804" w:type="dxa"/>
            <w:vAlign w:val="top"/>
          </w:tcPr>
          <w:p w14:paraId="11DEE25F" w14:textId="40A7DF3D" w:rsidR="002307FA" w:rsidRPr="00192F41" w:rsidRDefault="002307FA">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 xml:space="preserve">Maffra Weir </w:t>
            </w:r>
            <w:r w:rsidR="001151E6" w:rsidRPr="00C266EF">
              <w:rPr>
                <w:sz w:val="20"/>
                <w:szCs w:val="20"/>
              </w:rPr>
              <w:t>o</w:t>
            </w:r>
            <w:r w:rsidRPr="00C266EF">
              <w:rPr>
                <w:sz w:val="20"/>
                <w:szCs w:val="20"/>
              </w:rPr>
              <w:t xml:space="preserve">perating </w:t>
            </w:r>
            <w:r w:rsidR="001151E6" w:rsidRPr="00C266EF">
              <w:rPr>
                <w:sz w:val="20"/>
                <w:szCs w:val="20"/>
              </w:rPr>
              <w:t>g</w:t>
            </w:r>
            <w:r w:rsidRPr="00C266EF">
              <w:rPr>
                <w:sz w:val="20"/>
                <w:szCs w:val="20"/>
              </w:rPr>
              <w:t>ear</w:t>
            </w:r>
          </w:p>
        </w:tc>
      </w:tr>
      <w:tr w:rsidR="002307FA" w:rsidRPr="003F4A7C" w14:paraId="7074FB96"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24DF1123" w14:textId="55BF99E1" w:rsidR="002307FA" w:rsidRPr="00192F41" w:rsidRDefault="002307FA" w:rsidP="00B1674E">
            <w:pPr>
              <w:spacing w:before="40" w:after="40"/>
              <w:rPr>
                <w:rFonts w:cs="Arial"/>
                <w:b/>
                <w:color w:val="000000" w:themeColor="text1"/>
                <w:szCs w:val="20"/>
                <w:shd w:val="clear" w:color="auto" w:fill="FAF9F8"/>
              </w:rPr>
            </w:pPr>
            <w:r w:rsidRPr="00C019F2">
              <w:t xml:space="preserve">Total </w:t>
            </w:r>
            <w:r w:rsidR="0067638C">
              <w:t>p</w:t>
            </w:r>
            <w:r w:rsidRPr="00C019F2">
              <w:t xml:space="preserve">roject </w:t>
            </w:r>
            <w:r w:rsidR="0067638C">
              <w:t>v</w:t>
            </w:r>
            <w:r w:rsidRPr="00C019F2">
              <w:t>alue</w:t>
            </w:r>
            <w:r>
              <w:t xml:space="preserve"> </w:t>
            </w:r>
            <w:r w:rsidR="0067638C">
              <w:t>f</w:t>
            </w:r>
            <w:r>
              <w:t>orecast</w:t>
            </w:r>
          </w:p>
        </w:tc>
        <w:tc>
          <w:tcPr>
            <w:tcW w:w="6804" w:type="dxa"/>
            <w:vAlign w:val="top"/>
          </w:tcPr>
          <w:p w14:paraId="1CA13B84" w14:textId="4CD3BF97" w:rsidR="002307FA" w:rsidRPr="003F4A7C" w:rsidRDefault="002307FA"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w:t>
            </w:r>
            <w:r w:rsidR="00CC2B8D">
              <w:t>2.4</w:t>
            </w:r>
            <w:r w:rsidR="0067638C">
              <w:t xml:space="preserve"> </w:t>
            </w:r>
            <w:r w:rsidRPr="003F4A7C">
              <w:t>m</w:t>
            </w:r>
            <w:r w:rsidR="0067638C">
              <w:t>illion</w:t>
            </w:r>
          </w:p>
        </w:tc>
      </w:tr>
      <w:tr w:rsidR="002307FA" w:rsidRPr="003F4A7C" w14:paraId="338C5E0E"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52E49204" w14:textId="70CC934C" w:rsidR="002307FA" w:rsidRPr="00C019F2" w:rsidRDefault="002307FA" w:rsidP="00B1674E">
            <w:pPr>
              <w:spacing w:before="40" w:after="40"/>
            </w:pPr>
            <w:r w:rsidRPr="00C019F2">
              <w:t xml:space="preserve">Total </w:t>
            </w:r>
            <w:r w:rsidR="0067638C">
              <w:t>p</w:t>
            </w:r>
            <w:r w:rsidRPr="00C019F2">
              <w:t xml:space="preserve">roject </w:t>
            </w:r>
            <w:r w:rsidR="0067638C">
              <w:t>v</w:t>
            </w:r>
            <w:r w:rsidRPr="00C019F2">
              <w:t>alue</w:t>
            </w:r>
            <w:r>
              <w:t xml:space="preserve"> </w:t>
            </w:r>
            <w:r w:rsidR="0067638C">
              <w:t>a</w:t>
            </w:r>
            <w:r>
              <w:t>ctual</w:t>
            </w:r>
          </w:p>
        </w:tc>
        <w:tc>
          <w:tcPr>
            <w:tcW w:w="6804" w:type="dxa"/>
            <w:vAlign w:val="top"/>
          </w:tcPr>
          <w:p w14:paraId="25C28C48" w14:textId="43A83A54" w:rsidR="002307FA" w:rsidRPr="003F4A7C" w:rsidRDefault="7A9AFE68"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w:t>
            </w:r>
            <w:r w:rsidR="775949F2">
              <w:t>3.9</w:t>
            </w:r>
            <w:r w:rsidR="0067638C">
              <w:t xml:space="preserve"> </w:t>
            </w:r>
            <w:r w:rsidR="775949F2">
              <w:t>m</w:t>
            </w:r>
            <w:r w:rsidR="0067638C">
              <w:t>illion</w:t>
            </w:r>
            <w:r w:rsidR="00CD7AE3">
              <w:t xml:space="preserve">. </w:t>
            </w:r>
            <w:r w:rsidR="00B13228">
              <w:t>Higher actual costs</w:t>
            </w:r>
            <w:r w:rsidR="009D4E21">
              <w:t xml:space="preserve"> were incurred on account of </w:t>
            </w:r>
            <w:r w:rsidR="00524CC0">
              <w:t xml:space="preserve">increased </w:t>
            </w:r>
            <w:r w:rsidR="00DC5686">
              <w:t>scope during the design phase</w:t>
            </w:r>
            <w:r w:rsidR="00E26DE6">
              <w:t xml:space="preserve"> (</w:t>
            </w:r>
            <w:r w:rsidR="00993710">
              <w:t xml:space="preserve">opportunities to </w:t>
            </w:r>
            <w:r w:rsidR="00BE70D0">
              <w:t xml:space="preserve">efficiently </w:t>
            </w:r>
            <w:r w:rsidR="00D268AE">
              <w:t>complete</w:t>
            </w:r>
            <w:r w:rsidR="00BE70D0">
              <w:t xml:space="preserve"> additional renewal activities were identified </w:t>
            </w:r>
            <w:r w:rsidR="00026669">
              <w:t>and adopted),</w:t>
            </w:r>
            <w:r w:rsidR="00163FFC">
              <w:t xml:space="preserve"> </w:t>
            </w:r>
            <w:r w:rsidR="009D4E21">
              <w:t>COVID</w:t>
            </w:r>
            <w:r w:rsidR="0067638C">
              <w:t>-</w:t>
            </w:r>
            <w:r w:rsidR="009D4E21">
              <w:t xml:space="preserve">19 impacts </w:t>
            </w:r>
            <w:r w:rsidR="00BE2449">
              <w:t>(</w:t>
            </w:r>
            <w:r w:rsidR="009D4E21">
              <w:t xml:space="preserve">project delivery </w:t>
            </w:r>
            <w:r w:rsidR="00BE2449">
              <w:t xml:space="preserve">delays </w:t>
            </w:r>
            <w:r w:rsidR="009D4E21">
              <w:t>and supply chain</w:t>
            </w:r>
            <w:r w:rsidR="00914ECA">
              <w:t xml:space="preserve"> impacts), </w:t>
            </w:r>
            <w:r w:rsidR="00026669">
              <w:t xml:space="preserve">and </w:t>
            </w:r>
            <w:r w:rsidR="003776A3">
              <w:t>o</w:t>
            </w:r>
            <w:r w:rsidR="009D4E21">
              <w:t xml:space="preserve">nsite modification of pre-manufactured items </w:t>
            </w:r>
            <w:r w:rsidR="00BC5D1B">
              <w:t>(</w:t>
            </w:r>
            <w:r w:rsidR="009D4E21">
              <w:t>to integrate with the existing weir structure and to meet access and operational performance standards and requirements</w:t>
            </w:r>
            <w:r w:rsidR="00BC5D1B">
              <w:t>)</w:t>
            </w:r>
            <w:r w:rsidR="009D4E21">
              <w:t xml:space="preserve">. </w:t>
            </w:r>
          </w:p>
        </w:tc>
      </w:tr>
      <w:tr w:rsidR="002307FA" w:rsidRPr="003F4A7C" w14:paraId="390E07BA"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2B0105E5" w14:textId="5819DCB9" w:rsidR="002307FA" w:rsidRPr="00192F41" w:rsidRDefault="002307FA" w:rsidP="00B1674E">
            <w:pPr>
              <w:spacing w:before="40" w:after="40"/>
              <w:rPr>
                <w:rFonts w:cs="Arial"/>
                <w:b/>
                <w:color w:val="000000" w:themeColor="text1"/>
                <w:szCs w:val="20"/>
                <w:shd w:val="clear" w:color="auto" w:fill="FAF9F8"/>
              </w:rPr>
            </w:pPr>
            <w:r w:rsidRPr="00C019F2">
              <w:t>Timing</w:t>
            </w:r>
            <w:r>
              <w:t xml:space="preserve"> / </w:t>
            </w:r>
            <w:r w:rsidR="0067638C">
              <w:t>s</w:t>
            </w:r>
            <w:r>
              <w:t>tatus</w:t>
            </w:r>
          </w:p>
        </w:tc>
        <w:tc>
          <w:tcPr>
            <w:tcW w:w="6804" w:type="dxa"/>
            <w:vAlign w:val="top"/>
          </w:tcPr>
          <w:p w14:paraId="614BEE9E" w14:textId="2861D1B6" w:rsidR="002307FA" w:rsidRPr="007B0B31" w:rsidRDefault="002307FA"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shd w:val="clear" w:color="auto" w:fill="FAF9F8"/>
              </w:rPr>
            </w:pPr>
            <w:r>
              <w:t>Commenced FY</w:t>
            </w:r>
            <w:r w:rsidR="3E9D2FB4">
              <w:t>17</w:t>
            </w:r>
            <w:r w:rsidR="4D5B85C0">
              <w:t>,</w:t>
            </w:r>
            <w:r>
              <w:t xml:space="preserve"> completed </w:t>
            </w:r>
            <w:r w:rsidR="4D5B85C0">
              <w:t>FY</w:t>
            </w:r>
            <w:r w:rsidR="0C522F10">
              <w:t>22</w:t>
            </w:r>
            <w:r>
              <w:t xml:space="preserve">. </w:t>
            </w:r>
          </w:p>
        </w:tc>
      </w:tr>
      <w:tr w:rsidR="002307FA" w:rsidRPr="003F4A7C" w14:paraId="444DB22E"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6A4B4CB9" w14:textId="667A3F7A" w:rsidR="002307FA" w:rsidRPr="007643C1" w:rsidRDefault="002307FA" w:rsidP="00B1674E">
            <w:pPr>
              <w:spacing w:before="40" w:after="40"/>
            </w:pPr>
            <w:r w:rsidRPr="00C019F2">
              <w:t xml:space="preserve">Cost </w:t>
            </w:r>
            <w:r w:rsidR="0067638C">
              <w:t>d</w:t>
            </w:r>
            <w:r w:rsidRPr="00C019F2">
              <w:t xml:space="preserve">river </w:t>
            </w:r>
          </w:p>
        </w:tc>
        <w:tc>
          <w:tcPr>
            <w:tcW w:w="6804" w:type="dxa"/>
            <w:vAlign w:val="top"/>
          </w:tcPr>
          <w:p w14:paraId="65CB5376" w14:textId="09828123" w:rsidR="002307FA" w:rsidRPr="003F4A7C" w:rsidRDefault="00F64BB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Renewal</w:t>
            </w:r>
          </w:p>
        </w:tc>
      </w:tr>
      <w:tr w:rsidR="002307FA" w:rsidRPr="003F4A7C" w14:paraId="17FC68FB"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73B96028" w14:textId="77777777" w:rsidR="002307FA" w:rsidRPr="00C72A31" w:rsidRDefault="002307FA" w:rsidP="00B1674E">
            <w:pPr>
              <w:spacing w:before="40" w:after="40"/>
            </w:pPr>
            <w:r w:rsidRPr="00C019F2">
              <w:t>Outcome</w:t>
            </w:r>
          </w:p>
        </w:tc>
        <w:tc>
          <w:tcPr>
            <w:tcW w:w="6804" w:type="dxa"/>
            <w:vAlign w:val="top"/>
          </w:tcPr>
          <w:p w14:paraId="29AAC961" w14:textId="47CA9927" w:rsidR="002307FA" w:rsidRPr="003F4A7C" w:rsidRDefault="006A7A92"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9245CA">
              <w:t>Reliable water supply, sustainable water</w:t>
            </w:r>
          </w:p>
        </w:tc>
      </w:tr>
      <w:tr w:rsidR="002307FA" w:rsidRPr="001530DD" w14:paraId="5F7AA66C"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49541763" w14:textId="77777777" w:rsidR="002307FA" w:rsidRPr="00670249" w:rsidRDefault="002307FA" w:rsidP="00B1674E">
            <w:pPr>
              <w:spacing w:before="40" w:after="40"/>
              <w:rPr>
                <w:b/>
                <w:bCs/>
              </w:rPr>
            </w:pPr>
            <w:r w:rsidRPr="00003432">
              <w:t>Description</w:t>
            </w:r>
          </w:p>
        </w:tc>
        <w:tc>
          <w:tcPr>
            <w:tcW w:w="6804" w:type="dxa"/>
            <w:tcBorders>
              <w:bottom w:val="single" w:sz="4" w:space="0" w:color="auto"/>
            </w:tcBorders>
            <w:vAlign w:val="top"/>
          </w:tcPr>
          <w:p w14:paraId="3A11FF44" w14:textId="46CBC9D7" w:rsidR="002307FA" w:rsidRPr="001530DD" w:rsidRDefault="4942035E"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Replacement of outdated and non-compliant operating gear that is used to lift the spillway gates</w:t>
            </w:r>
            <w:r w:rsidRPr="4292AE88">
              <w:t xml:space="preserve">, as well as </w:t>
            </w:r>
            <w:r w:rsidR="3EFA257A" w:rsidRPr="4292AE88">
              <w:t xml:space="preserve">replacement of </w:t>
            </w:r>
            <w:r w:rsidRPr="4292AE88">
              <w:t>the operating bridge.</w:t>
            </w:r>
          </w:p>
        </w:tc>
      </w:tr>
    </w:tbl>
    <w:p w14:paraId="1AA4B995" w14:textId="77777777" w:rsidR="002307FA" w:rsidRDefault="002307FA" w:rsidP="002F0C83">
      <w:pPr>
        <w:rPr>
          <w:rStyle w:val="IntenseEmphasis"/>
          <w:i w:val="0"/>
          <w:iCs w:val="0"/>
          <w:color w:val="auto"/>
        </w:rPr>
      </w:pPr>
    </w:p>
    <w:tbl>
      <w:tblPr>
        <w:tblStyle w:val="ReportTable-TealRows"/>
        <w:tblW w:w="9639" w:type="dxa"/>
        <w:tblLook w:val="04A0" w:firstRow="1" w:lastRow="0" w:firstColumn="1" w:lastColumn="0" w:noHBand="0" w:noVBand="1"/>
      </w:tblPr>
      <w:tblGrid>
        <w:gridCol w:w="2835"/>
        <w:gridCol w:w="6804"/>
      </w:tblGrid>
      <w:tr w:rsidR="00F64BB6" w:rsidRPr="00192F41" w14:paraId="1DE34572"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89BA3A7" w14:textId="5297A674" w:rsidR="00F64BB6" w:rsidRPr="00192F41" w:rsidRDefault="00F64BB6">
            <w:pPr>
              <w:rPr>
                <w:rFonts w:cs="Arial"/>
                <w:sz w:val="20"/>
                <w:szCs w:val="20"/>
                <w:shd w:val="clear" w:color="auto" w:fill="FAF9F8"/>
              </w:rPr>
            </w:pPr>
            <w:r w:rsidRPr="00C266EF">
              <w:rPr>
                <w:sz w:val="20"/>
                <w:szCs w:val="20"/>
              </w:rPr>
              <w:t xml:space="preserve">Project </w:t>
            </w:r>
            <w:r w:rsidR="0067638C" w:rsidRPr="00C266EF">
              <w:rPr>
                <w:sz w:val="20"/>
                <w:szCs w:val="20"/>
              </w:rPr>
              <w:t>n</w:t>
            </w:r>
            <w:r w:rsidRPr="00C266EF">
              <w:rPr>
                <w:sz w:val="20"/>
                <w:szCs w:val="20"/>
              </w:rPr>
              <w:t>ame</w:t>
            </w:r>
          </w:p>
        </w:tc>
        <w:tc>
          <w:tcPr>
            <w:tcW w:w="6804" w:type="dxa"/>
            <w:vAlign w:val="top"/>
          </w:tcPr>
          <w:p w14:paraId="15E218EF" w14:textId="1A129327" w:rsidR="00F64BB6" w:rsidRPr="00192F41" w:rsidRDefault="00F64BB6">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 xml:space="preserve">MID </w:t>
            </w:r>
            <w:r w:rsidR="001151E6" w:rsidRPr="00C266EF">
              <w:rPr>
                <w:sz w:val="20"/>
                <w:szCs w:val="20"/>
              </w:rPr>
              <w:t>c</w:t>
            </w:r>
            <w:r w:rsidRPr="00C266EF">
              <w:rPr>
                <w:sz w:val="20"/>
                <w:szCs w:val="20"/>
              </w:rPr>
              <w:t xml:space="preserve">hannel </w:t>
            </w:r>
            <w:r w:rsidR="001151E6" w:rsidRPr="00C266EF">
              <w:rPr>
                <w:sz w:val="20"/>
                <w:szCs w:val="20"/>
              </w:rPr>
              <w:t>b</w:t>
            </w:r>
            <w:r w:rsidRPr="00C266EF">
              <w:rPr>
                <w:sz w:val="20"/>
                <w:szCs w:val="20"/>
              </w:rPr>
              <w:t xml:space="preserve">ank </w:t>
            </w:r>
            <w:r w:rsidR="001151E6" w:rsidRPr="00C266EF">
              <w:rPr>
                <w:sz w:val="20"/>
                <w:szCs w:val="20"/>
              </w:rPr>
              <w:t>r</w:t>
            </w:r>
            <w:r w:rsidRPr="00C266EF">
              <w:rPr>
                <w:sz w:val="20"/>
                <w:szCs w:val="20"/>
              </w:rPr>
              <w:t>enewal</w:t>
            </w:r>
          </w:p>
        </w:tc>
      </w:tr>
      <w:tr w:rsidR="00F64BB6" w:rsidRPr="003F4A7C" w14:paraId="548EC9D7"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32EBD7DE" w14:textId="18DFEEB1" w:rsidR="00F64BB6" w:rsidRPr="00192F41" w:rsidRDefault="00F64BB6" w:rsidP="00B1674E">
            <w:pPr>
              <w:spacing w:before="40" w:after="40"/>
              <w:rPr>
                <w:rFonts w:cs="Arial"/>
                <w:b/>
                <w:color w:val="000000" w:themeColor="text1"/>
                <w:szCs w:val="20"/>
                <w:shd w:val="clear" w:color="auto" w:fill="FAF9F8"/>
              </w:rPr>
            </w:pPr>
            <w:r w:rsidRPr="00C019F2">
              <w:t xml:space="preserve">Total </w:t>
            </w:r>
            <w:r w:rsidR="0067638C">
              <w:t>p</w:t>
            </w:r>
            <w:r w:rsidRPr="00C019F2">
              <w:t xml:space="preserve">roject </w:t>
            </w:r>
            <w:r w:rsidR="0067638C">
              <w:t>v</w:t>
            </w:r>
            <w:r w:rsidRPr="00C019F2">
              <w:t>alue</w:t>
            </w:r>
            <w:r>
              <w:t xml:space="preserve"> </w:t>
            </w:r>
            <w:r w:rsidR="0067638C">
              <w:t>f</w:t>
            </w:r>
            <w:r>
              <w:t>orecast</w:t>
            </w:r>
          </w:p>
        </w:tc>
        <w:tc>
          <w:tcPr>
            <w:tcW w:w="6804" w:type="dxa"/>
            <w:vAlign w:val="top"/>
          </w:tcPr>
          <w:p w14:paraId="1CC534FF" w14:textId="206FAB47" w:rsidR="00F64BB6" w:rsidRPr="003F4A7C" w:rsidRDefault="00F64BB6"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w:t>
            </w:r>
            <w:r w:rsidR="00861E49">
              <w:t>2</w:t>
            </w:r>
            <w:r w:rsidR="0067638C">
              <w:t xml:space="preserve"> million</w:t>
            </w:r>
          </w:p>
        </w:tc>
      </w:tr>
      <w:tr w:rsidR="00F64BB6" w:rsidRPr="003F4A7C" w14:paraId="0FE70E9D"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04E22795" w14:textId="1461FBE1" w:rsidR="00F64BB6" w:rsidRPr="00C019F2" w:rsidRDefault="00F64BB6" w:rsidP="00B1674E">
            <w:pPr>
              <w:spacing w:before="40" w:after="40"/>
            </w:pPr>
            <w:r w:rsidRPr="00C019F2">
              <w:t xml:space="preserve">Total </w:t>
            </w:r>
            <w:r w:rsidR="0067638C">
              <w:t>p</w:t>
            </w:r>
            <w:r w:rsidRPr="00C019F2">
              <w:t xml:space="preserve">roject </w:t>
            </w:r>
            <w:r w:rsidR="0067638C">
              <w:t>v</w:t>
            </w:r>
            <w:r w:rsidRPr="00C019F2">
              <w:t>alue</w:t>
            </w:r>
            <w:r>
              <w:t xml:space="preserve"> </w:t>
            </w:r>
            <w:r w:rsidR="0067638C">
              <w:t>a</w:t>
            </w:r>
            <w:r>
              <w:t>ctual</w:t>
            </w:r>
          </w:p>
        </w:tc>
        <w:tc>
          <w:tcPr>
            <w:tcW w:w="6804" w:type="dxa"/>
            <w:vAlign w:val="top"/>
          </w:tcPr>
          <w:p w14:paraId="731536DF" w14:textId="057615BB" w:rsidR="00FD77DD" w:rsidRPr="003F4A7C" w:rsidRDefault="00F64BB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757CB1">
              <w:t>$</w:t>
            </w:r>
            <w:r w:rsidR="00FD77DD" w:rsidRPr="00757CB1">
              <w:t>0</w:t>
            </w:r>
            <w:r w:rsidR="5C2DF89C" w:rsidRPr="00757CB1">
              <w:t>.</w:t>
            </w:r>
            <w:r w:rsidR="00757CB1" w:rsidRPr="00757CB1">
              <w:t>5</w:t>
            </w:r>
            <w:r w:rsidR="0067638C">
              <w:t xml:space="preserve"> </w:t>
            </w:r>
            <w:r w:rsidR="5C2DF89C" w:rsidRPr="00757CB1">
              <w:t>m</w:t>
            </w:r>
            <w:r w:rsidR="0067638C">
              <w:t>illion</w:t>
            </w:r>
            <w:r w:rsidR="008F4F1D">
              <w:t xml:space="preserve">. </w:t>
            </w:r>
            <w:r w:rsidR="00555D70" w:rsidRPr="00757CB1">
              <w:t>The p</w:t>
            </w:r>
            <w:r w:rsidR="00725B21" w:rsidRPr="00757CB1">
              <w:t xml:space="preserve">rogram </w:t>
            </w:r>
            <w:r w:rsidR="00303A64">
              <w:t xml:space="preserve">was </w:t>
            </w:r>
            <w:r w:rsidR="00725B21" w:rsidRPr="00757CB1">
              <w:t xml:space="preserve">deferred </w:t>
            </w:r>
            <w:r w:rsidR="00651834" w:rsidRPr="00757CB1">
              <w:t xml:space="preserve">during development of </w:t>
            </w:r>
            <w:r w:rsidR="00F77C13" w:rsidRPr="00757CB1">
              <w:t xml:space="preserve">SRW’s </w:t>
            </w:r>
            <w:r w:rsidR="00651834" w:rsidRPr="00757CB1">
              <w:t>S</w:t>
            </w:r>
            <w:r w:rsidR="00F77C13" w:rsidRPr="00757CB1">
              <w:t xml:space="preserve">trategic </w:t>
            </w:r>
            <w:r w:rsidR="00651834" w:rsidRPr="00757CB1">
              <w:t>A</w:t>
            </w:r>
            <w:r w:rsidR="00F77C13" w:rsidRPr="00757CB1">
              <w:t xml:space="preserve">sset </w:t>
            </w:r>
            <w:r w:rsidR="00651834" w:rsidRPr="00757CB1">
              <w:t>M</w:t>
            </w:r>
            <w:r w:rsidR="00F77C13" w:rsidRPr="00757CB1">
              <w:t xml:space="preserve">anagement </w:t>
            </w:r>
            <w:r w:rsidR="00651834" w:rsidRPr="00757CB1">
              <w:t>P</w:t>
            </w:r>
            <w:r w:rsidR="00F77C13" w:rsidRPr="00757CB1">
              <w:t>lan</w:t>
            </w:r>
            <w:r w:rsidR="00651834" w:rsidRPr="00757CB1">
              <w:t xml:space="preserve"> and </w:t>
            </w:r>
            <w:r w:rsidR="00FD77DD" w:rsidRPr="00757CB1">
              <w:t>asset criticality</w:t>
            </w:r>
            <w:r w:rsidR="00651834" w:rsidRPr="00757CB1">
              <w:t xml:space="preserve"> framework</w:t>
            </w:r>
            <w:r w:rsidR="001A59FA" w:rsidRPr="00757CB1">
              <w:t>,</w:t>
            </w:r>
            <w:r w:rsidR="00C00DE0" w:rsidRPr="00757CB1">
              <w:t xml:space="preserve"> </w:t>
            </w:r>
            <w:r w:rsidR="00881E85" w:rsidRPr="00757CB1">
              <w:t xml:space="preserve">to develop a targeted program </w:t>
            </w:r>
            <w:r w:rsidR="00CD2530" w:rsidRPr="00757CB1">
              <w:t xml:space="preserve">for </w:t>
            </w:r>
            <w:r w:rsidR="001E7417">
              <w:t xml:space="preserve">addressing </w:t>
            </w:r>
            <w:r w:rsidR="00CD2530" w:rsidRPr="00757CB1">
              <w:t>channel erosion</w:t>
            </w:r>
            <w:r w:rsidR="00A84B40" w:rsidRPr="00757CB1">
              <w:t xml:space="preserve">. </w:t>
            </w:r>
            <w:r w:rsidR="001A59FA" w:rsidRPr="00757CB1">
              <w:t xml:space="preserve">The </w:t>
            </w:r>
            <w:r w:rsidR="00A84B40" w:rsidRPr="00757CB1">
              <w:t>program</w:t>
            </w:r>
            <w:r w:rsidR="731DE3B8">
              <w:t xml:space="preserve"> </w:t>
            </w:r>
            <w:r w:rsidR="305A7D1D">
              <w:t>budget</w:t>
            </w:r>
            <w:r w:rsidR="001A59FA" w:rsidRPr="00757CB1">
              <w:t xml:space="preserve"> was </w:t>
            </w:r>
            <w:r w:rsidR="7E7D2A0C">
              <w:t>also reduced</w:t>
            </w:r>
            <w:r w:rsidR="5A677447">
              <w:t xml:space="preserve"> </w:t>
            </w:r>
            <w:r w:rsidR="4DF08776">
              <w:t xml:space="preserve">following </w:t>
            </w:r>
            <w:r w:rsidR="4ED5F71E">
              <w:t>reprioritis</w:t>
            </w:r>
            <w:r w:rsidR="1D28D401">
              <w:t>ation</w:t>
            </w:r>
            <w:r w:rsidR="0087512D">
              <w:t xml:space="preserve"> </w:t>
            </w:r>
            <w:r w:rsidR="00A84B40" w:rsidRPr="00757CB1">
              <w:t>to accommodate</w:t>
            </w:r>
            <w:r w:rsidR="00404434" w:rsidRPr="00757CB1">
              <w:t xml:space="preserve"> </w:t>
            </w:r>
            <w:r w:rsidR="00CE6A40">
              <w:t>additional</w:t>
            </w:r>
            <w:r w:rsidR="00C12F88" w:rsidRPr="00757CB1">
              <w:t xml:space="preserve"> MID Modernisation P</w:t>
            </w:r>
            <w:r w:rsidR="00DD0D39" w:rsidRPr="00757CB1">
              <w:t>hase 1</w:t>
            </w:r>
            <w:r w:rsidR="00C12F88" w:rsidRPr="00757CB1">
              <w:t>B</w:t>
            </w:r>
            <w:r w:rsidR="00CE6A40">
              <w:t xml:space="preserve"> works</w:t>
            </w:r>
            <w:r w:rsidR="00C12F88" w:rsidRPr="00757CB1">
              <w:t>.</w:t>
            </w:r>
            <w:r w:rsidR="00DD0D39">
              <w:t xml:space="preserve"> </w:t>
            </w:r>
          </w:p>
        </w:tc>
      </w:tr>
      <w:tr w:rsidR="00F64BB6" w:rsidRPr="003F4A7C" w14:paraId="2CF55A2A"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2E284B6B" w14:textId="7C3BF433" w:rsidR="00F64BB6" w:rsidRPr="00192F41" w:rsidRDefault="00F64BB6" w:rsidP="00B1674E">
            <w:pPr>
              <w:spacing w:before="40" w:after="40"/>
              <w:rPr>
                <w:rFonts w:cs="Arial"/>
                <w:b/>
                <w:color w:val="000000" w:themeColor="text1"/>
                <w:szCs w:val="20"/>
                <w:shd w:val="clear" w:color="auto" w:fill="FAF9F8"/>
              </w:rPr>
            </w:pPr>
            <w:r w:rsidRPr="00C019F2">
              <w:t>Timing</w:t>
            </w:r>
            <w:r>
              <w:t xml:space="preserve"> / </w:t>
            </w:r>
            <w:r w:rsidR="0067638C">
              <w:t>s</w:t>
            </w:r>
            <w:r>
              <w:t>tatus</w:t>
            </w:r>
          </w:p>
        </w:tc>
        <w:tc>
          <w:tcPr>
            <w:tcW w:w="6804" w:type="dxa"/>
            <w:vAlign w:val="top"/>
          </w:tcPr>
          <w:p w14:paraId="5AE20C0E" w14:textId="6669F397" w:rsidR="00F64BB6" w:rsidRPr="007B0B31" w:rsidRDefault="00F64BB6"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highlight w:val="yellow"/>
                <w:shd w:val="clear" w:color="auto" w:fill="FAF9F8"/>
              </w:rPr>
            </w:pPr>
            <w:r>
              <w:t>Commenced FY</w:t>
            </w:r>
            <w:r w:rsidR="52208D55">
              <w:t>2</w:t>
            </w:r>
            <w:r w:rsidR="00FE7F32">
              <w:t>2</w:t>
            </w:r>
            <w:r w:rsidR="52208D55">
              <w:t>, continuing FY23</w:t>
            </w:r>
          </w:p>
        </w:tc>
      </w:tr>
      <w:tr w:rsidR="00F64BB6" w:rsidRPr="003F4A7C" w14:paraId="74AEECA4"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5B90D85F" w14:textId="5B28CBD6" w:rsidR="00F64BB6" w:rsidRPr="007643C1" w:rsidRDefault="00F64BB6" w:rsidP="00B1674E">
            <w:pPr>
              <w:spacing w:before="40" w:after="40"/>
            </w:pPr>
            <w:r w:rsidRPr="00C019F2">
              <w:t xml:space="preserve">Cost </w:t>
            </w:r>
            <w:r w:rsidR="0067638C">
              <w:t>d</w:t>
            </w:r>
            <w:r w:rsidRPr="00C019F2">
              <w:t xml:space="preserve">river </w:t>
            </w:r>
          </w:p>
        </w:tc>
        <w:tc>
          <w:tcPr>
            <w:tcW w:w="6804" w:type="dxa"/>
            <w:vAlign w:val="top"/>
          </w:tcPr>
          <w:p w14:paraId="5EC9898E" w14:textId="77777777" w:rsidR="00F64BB6" w:rsidRPr="003F4A7C" w:rsidRDefault="00F64BB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Renewal</w:t>
            </w:r>
          </w:p>
        </w:tc>
      </w:tr>
      <w:tr w:rsidR="00F64BB6" w:rsidRPr="003F4A7C" w14:paraId="5B34C481"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75B94A88" w14:textId="77777777" w:rsidR="00F64BB6" w:rsidRPr="00C72A31" w:rsidRDefault="00F64BB6" w:rsidP="00B1674E">
            <w:pPr>
              <w:spacing w:before="40" w:after="40"/>
            </w:pPr>
            <w:r w:rsidRPr="00C019F2">
              <w:t>Outcome</w:t>
            </w:r>
          </w:p>
        </w:tc>
        <w:tc>
          <w:tcPr>
            <w:tcW w:w="6804" w:type="dxa"/>
            <w:vAlign w:val="top"/>
          </w:tcPr>
          <w:p w14:paraId="606D4674" w14:textId="7B3314C7" w:rsidR="00F64BB6" w:rsidRPr="003F4A7C" w:rsidRDefault="00861E49"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9245CA">
              <w:t>Reliable water supply, sustainable water</w:t>
            </w:r>
          </w:p>
        </w:tc>
      </w:tr>
      <w:tr w:rsidR="00F64BB6" w:rsidRPr="001530DD" w14:paraId="30688D48"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12636614" w14:textId="77777777" w:rsidR="00F64BB6" w:rsidRPr="00670249" w:rsidRDefault="00F64BB6" w:rsidP="00B1674E">
            <w:pPr>
              <w:spacing w:before="40" w:after="40"/>
              <w:rPr>
                <w:b/>
                <w:bCs/>
              </w:rPr>
            </w:pPr>
            <w:r w:rsidRPr="00003432">
              <w:t>Description</w:t>
            </w:r>
          </w:p>
        </w:tc>
        <w:tc>
          <w:tcPr>
            <w:tcW w:w="6804" w:type="dxa"/>
            <w:tcBorders>
              <w:bottom w:val="single" w:sz="4" w:space="0" w:color="auto"/>
            </w:tcBorders>
            <w:vAlign w:val="top"/>
          </w:tcPr>
          <w:p w14:paraId="0A4FBF3F" w14:textId="3634499B" w:rsidR="00F64BB6" w:rsidRPr="001530DD" w:rsidRDefault="0842EE4E"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6BE45F76">
              <w:t xml:space="preserve">Repair of MID Sale </w:t>
            </w:r>
            <w:r w:rsidR="001151E6">
              <w:t>m</w:t>
            </w:r>
            <w:r w:rsidRPr="1C152B57">
              <w:t xml:space="preserve">ain </w:t>
            </w:r>
            <w:r w:rsidR="001151E6">
              <w:t>c</w:t>
            </w:r>
            <w:r w:rsidRPr="1C152B57">
              <w:t xml:space="preserve">hannel from erosion </w:t>
            </w:r>
            <w:r w:rsidRPr="3F498675">
              <w:t>damage.</w:t>
            </w:r>
          </w:p>
        </w:tc>
      </w:tr>
    </w:tbl>
    <w:p w14:paraId="0FFB7FBB" w14:textId="77777777" w:rsidR="00F64BB6" w:rsidRDefault="00F64BB6" w:rsidP="002F0C83">
      <w:pPr>
        <w:rPr>
          <w:rStyle w:val="IntenseEmphasis"/>
          <w:i w:val="0"/>
          <w:iCs w:val="0"/>
          <w:color w:val="auto"/>
        </w:rPr>
      </w:pPr>
    </w:p>
    <w:tbl>
      <w:tblPr>
        <w:tblStyle w:val="ReportTable-TealRows"/>
        <w:tblW w:w="9639" w:type="dxa"/>
        <w:tblLook w:val="04A0" w:firstRow="1" w:lastRow="0" w:firstColumn="1" w:lastColumn="0" w:noHBand="0" w:noVBand="1"/>
      </w:tblPr>
      <w:tblGrid>
        <w:gridCol w:w="2835"/>
        <w:gridCol w:w="6804"/>
      </w:tblGrid>
      <w:tr w:rsidR="00F64BB6" w:rsidRPr="00192F41" w14:paraId="46A3ECEE"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21923C3" w14:textId="496BB777" w:rsidR="00F64BB6" w:rsidRPr="00192F41" w:rsidRDefault="00F64BB6">
            <w:pPr>
              <w:rPr>
                <w:rFonts w:cs="Arial"/>
                <w:sz w:val="20"/>
                <w:szCs w:val="20"/>
                <w:shd w:val="clear" w:color="auto" w:fill="FAF9F8"/>
              </w:rPr>
            </w:pPr>
            <w:r w:rsidRPr="00C266EF">
              <w:rPr>
                <w:sz w:val="20"/>
                <w:szCs w:val="20"/>
              </w:rPr>
              <w:t xml:space="preserve">Project </w:t>
            </w:r>
            <w:r w:rsidR="001151E6" w:rsidRPr="00C266EF">
              <w:rPr>
                <w:sz w:val="20"/>
                <w:szCs w:val="20"/>
              </w:rPr>
              <w:t>n</w:t>
            </w:r>
            <w:r w:rsidRPr="00C266EF">
              <w:rPr>
                <w:sz w:val="20"/>
                <w:szCs w:val="20"/>
              </w:rPr>
              <w:t>ame</w:t>
            </w:r>
          </w:p>
        </w:tc>
        <w:tc>
          <w:tcPr>
            <w:tcW w:w="6804" w:type="dxa"/>
            <w:vAlign w:val="top"/>
          </w:tcPr>
          <w:p w14:paraId="597DB55F" w14:textId="61E1DBF3" w:rsidR="00F64BB6" w:rsidRPr="00192F41" w:rsidRDefault="004D422B">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 xml:space="preserve">Glenmaggie </w:t>
            </w:r>
            <w:r w:rsidR="001151E6" w:rsidRPr="00C266EF">
              <w:rPr>
                <w:sz w:val="20"/>
                <w:szCs w:val="20"/>
              </w:rPr>
              <w:t>s</w:t>
            </w:r>
            <w:r w:rsidRPr="00C266EF">
              <w:rPr>
                <w:sz w:val="20"/>
                <w:szCs w:val="20"/>
              </w:rPr>
              <w:t xml:space="preserve">pillway </w:t>
            </w:r>
            <w:r w:rsidR="001151E6" w:rsidRPr="00C266EF">
              <w:rPr>
                <w:sz w:val="20"/>
                <w:szCs w:val="20"/>
              </w:rPr>
              <w:t>g</w:t>
            </w:r>
            <w:r w:rsidRPr="00C266EF">
              <w:rPr>
                <w:sz w:val="20"/>
                <w:szCs w:val="20"/>
              </w:rPr>
              <w:t xml:space="preserve">ate </w:t>
            </w:r>
            <w:r w:rsidR="001151E6" w:rsidRPr="00C266EF">
              <w:rPr>
                <w:sz w:val="20"/>
                <w:szCs w:val="20"/>
              </w:rPr>
              <w:t>r</w:t>
            </w:r>
            <w:r w:rsidRPr="00C266EF">
              <w:rPr>
                <w:sz w:val="20"/>
                <w:szCs w:val="20"/>
              </w:rPr>
              <w:t>epainting</w:t>
            </w:r>
          </w:p>
        </w:tc>
      </w:tr>
      <w:tr w:rsidR="00F64BB6" w:rsidRPr="003F4A7C" w14:paraId="24A6FAC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19C54420" w14:textId="339399EB" w:rsidR="00F64BB6" w:rsidRPr="00192F41" w:rsidRDefault="00F64BB6" w:rsidP="00B1674E">
            <w:pPr>
              <w:spacing w:before="40" w:after="40"/>
              <w:rPr>
                <w:rFonts w:cs="Arial"/>
                <w:b/>
                <w:color w:val="000000" w:themeColor="text1"/>
                <w:szCs w:val="20"/>
                <w:shd w:val="clear" w:color="auto" w:fill="FAF9F8"/>
              </w:rPr>
            </w:pPr>
            <w:r w:rsidRPr="00C019F2">
              <w:t xml:space="preserve">Total </w:t>
            </w:r>
            <w:r w:rsidR="001151E6">
              <w:t>p</w:t>
            </w:r>
            <w:r w:rsidRPr="00C019F2">
              <w:t xml:space="preserve">roject </w:t>
            </w:r>
            <w:r w:rsidR="001151E6">
              <w:t>v</w:t>
            </w:r>
            <w:r w:rsidRPr="00C019F2">
              <w:t>alue</w:t>
            </w:r>
            <w:r>
              <w:t xml:space="preserve"> </w:t>
            </w:r>
            <w:r w:rsidR="001151E6">
              <w:t>f</w:t>
            </w:r>
            <w:r>
              <w:t>orecast</w:t>
            </w:r>
          </w:p>
        </w:tc>
        <w:tc>
          <w:tcPr>
            <w:tcW w:w="6804" w:type="dxa"/>
            <w:vAlign w:val="top"/>
          </w:tcPr>
          <w:p w14:paraId="3FD3350D" w14:textId="12B9A4C3" w:rsidR="00F64BB6" w:rsidRPr="003F4A7C" w:rsidRDefault="00F64BB6"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w:t>
            </w:r>
            <w:r w:rsidR="00062D34">
              <w:t>1.5</w:t>
            </w:r>
            <w:r w:rsidR="001151E6">
              <w:t xml:space="preserve"> </w:t>
            </w:r>
            <w:r w:rsidRPr="003F4A7C">
              <w:t>m</w:t>
            </w:r>
            <w:r w:rsidR="001151E6">
              <w:t>illion</w:t>
            </w:r>
          </w:p>
        </w:tc>
      </w:tr>
      <w:tr w:rsidR="00F64BB6" w:rsidRPr="003F4A7C" w14:paraId="41E65C85"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34EE9F72" w14:textId="7A3C006D" w:rsidR="00F64BB6" w:rsidRPr="00C019F2" w:rsidRDefault="00F64BB6" w:rsidP="00B1674E">
            <w:pPr>
              <w:spacing w:before="40" w:after="40"/>
            </w:pPr>
            <w:r w:rsidRPr="00C019F2">
              <w:t xml:space="preserve">Total </w:t>
            </w:r>
            <w:r w:rsidR="001151E6">
              <w:t>p</w:t>
            </w:r>
            <w:r w:rsidRPr="00C019F2">
              <w:t xml:space="preserve">roject </w:t>
            </w:r>
            <w:r w:rsidR="001151E6">
              <w:t>v</w:t>
            </w:r>
            <w:r w:rsidRPr="00C019F2">
              <w:t>alue</w:t>
            </w:r>
            <w:r>
              <w:t xml:space="preserve"> </w:t>
            </w:r>
            <w:r w:rsidR="001151E6">
              <w:t>a</w:t>
            </w:r>
            <w:r>
              <w:t>ctual</w:t>
            </w:r>
          </w:p>
        </w:tc>
        <w:tc>
          <w:tcPr>
            <w:tcW w:w="6804" w:type="dxa"/>
            <w:vAlign w:val="top"/>
          </w:tcPr>
          <w:p w14:paraId="4167B061" w14:textId="4C817729" w:rsidR="00F64BB6" w:rsidRPr="003F4A7C" w:rsidRDefault="00F64BB6" w:rsidP="00B1674E">
            <w:pPr>
              <w:spacing w:before="40" w:after="40"/>
              <w:cnfStyle w:val="000000000000" w:firstRow="0" w:lastRow="0" w:firstColumn="0" w:lastColumn="0" w:oddVBand="0" w:evenVBand="0" w:oddHBand="0" w:evenHBand="0" w:firstRowFirstColumn="0" w:firstRowLastColumn="0" w:lastRowFirstColumn="0" w:lastRowLastColumn="0"/>
            </w:pPr>
            <w:r w:rsidRPr="003F4A7C">
              <w:t>$</w:t>
            </w:r>
            <w:r w:rsidR="36D58F30">
              <w:t>0</w:t>
            </w:r>
          </w:p>
        </w:tc>
      </w:tr>
      <w:tr w:rsidR="00F64BB6" w:rsidRPr="003F4A7C" w14:paraId="199FF48B"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3D7827A5" w14:textId="120C67FD" w:rsidR="00F64BB6" w:rsidRPr="00192F41" w:rsidRDefault="00F64BB6" w:rsidP="00B1674E">
            <w:pPr>
              <w:spacing w:before="40" w:after="40"/>
              <w:rPr>
                <w:rFonts w:cs="Arial"/>
                <w:b/>
                <w:color w:val="000000" w:themeColor="text1"/>
                <w:szCs w:val="20"/>
                <w:shd w:val="clear" w:color="auto" w:fill="FAF9F8"/>
              </w:rPr>
            </w:pPr>
            <w:r w:rsidRPr="00C019F2">
              <w:t>Timing</w:t>
            </w:r>
            <w:r>
              <w:t xml:space="preserve"> / </w:t>
            </w:r>
            <w:r w:rsidR="001151E6">
              <w:t>s</w:t>
            </w:r>
            <w:r>
              <w:t>tatus</w:t>
            </w:r>
          </w:p>
        </w:tc>
        <w:tc>
          <w:tcPr>
            <w:tcW w:w="6804" w:type="dxa"/>
            <w:vAlign w:val="top"/>
          </w:tcPr>
          <w:p w14:paraId="4595A9CD" w14:textId="5472B876" w:rsidR="00F64BB6" w:rsidRPr="003F4A7C" w:rsidRDefault="4B3D1B6F"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t xml:space="preserve">Not commenced – deferred due to reprioritisation </w:t>
            </w:r>
            <w:r w:rsidR="3268FF03">
              <w:t xml:space="preserve">of </w:t>
            </w:r>
            <w:r w:rsidR="004B3CE4">
              <w:t>higher risk</w:t>
            </w:r>
            <w:r>
              <w:t xml:space="preserve"> projects</w:t>
            </w:r>
            <w:r w:rsidR="004B2AE6">
              <w:t>,</w:t>
            </w:r>
            <w:r>
              <w:t xml:space="preserve"> including Siphon No</w:t>
            </w:r>
            <w:r w:rsidR="004B2AE6">
              <w:t>.</w:t>
            </w:r>
            <w:r>
              <w:t xml:space="preserve"> </w:t>
            </w:r>
            <w:r w:rsidR="4678E2BB">
              <w:t>1.</w:t>
            </w:r>
            <w:r w:rsidR="6FAF7D36">
              <w:t xml:space="preserve"> Project is forecast to commence in 2024-25 at a cost of $2.3m.</w:t>
            </w:r>
          </w:p>
        </w:tc>
      </w:tr>
      <w:tr w:rsidR="00F64BB6" w:rsidRPr="003F4A7C" w14:paraId="6C6BF8A8"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28752E85" w14:textId="02F1035D" w:rsidR="00F64BB6" w:rsidRPr="007643C1" w:rsidRDefault="00F64BB6" w:rsidP="00B1674E">
            <w:pPr>
              <w:spacing w:before="40" w:after="40"/>
            </w:pPr>
            <w:r w:rsidRPr="00C019F2">
              <w:t xml:space="preserve">Cost </w:t>
            </w:r>
            <w:r w:rsidR="001151E6">
              <w:t>d</w:t>
            </w:r>
            <w:r w:rsidRPr="00C019F2">
              <w:t xml:space="preserve">river </w:t>
            </w:r>
          </w:p>
        </w:tc>
        <w:tc>
          <w:tcPr>
            <w:tcW w:w="6804" w:type="dxa"/>
            <w:vAlign w:val="top"/>
          </w:tcPr>
          <w:p w14:paraId="32867CBC" w14:textId="77777777" w:rsidR="00F64BB6" w:rsidRPr="003F4A7C" w:rsidRDefault="00F64BB6" w:rsidP="00B1674E">
            <w:pPr>
              <w:spacing w:before="40" w:after="40"/>
              <w:cnfStyle w:val="000000000000" w:firstRow="0" w:lastRow="0" w:firstColumn="0" w:lastColumn="0" w:oddVBand="0" w:evenVBand="0" w:oddHBand="0" w:evenHBand="0" w:firstRowFirstColumn="0" w:firstRowLastColumn="0" w:lastRowFirstColumn="0" w:lastRowLastColumn="0"/>
            </w:pPr>
            <w:r>
              <w:t>Renewal</w:t>
            </w:r>
          </w:p>
        </w:tc>
      </w:tr>
      <w:tr w:rsidR="00F64BB6" w:rsidRPr="003F4A7C" w14:paraId="17F92916"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052F465D" w14:textId="77777777" w:rsidR="00F64BB6" w:rsidRPr="00C72A31" w:rsidRDefault="00F64BB6" w:rsidP="00B1674E">
            <w:pPr>
              <w:spacing w:before="40" w:after="40"/>
            </w:pPr>
            <w:r w:rsidRPr="00C019F2">
              <w:t>Outcome</w:t>
            </w:r>
          </w:p>
        </w:tc>
        <w:tc>
          <w:tcPr>
            <w:tcW w:w="6804" w:type="dxa"/>
            <w:vAlign w:val="top"/>
          </w:tcPr>
          <w:p w14:paraId="01AAFEAF" w14:textId="16BBF9F5" w:rsidR="00F64BB6" w:rsidRPr="003F4A7C" w:rsidRDefault="00861E49" w:rsidP="00B1674E">
            <w:pPr>
              <w:spacing w:before="40" w:after="40"/>
              <w:cnfStyle w:val="000000100000" w:firstRow="0" w:lastRow="0" w:firstColumn="0" w:lastColumn="0" w:oddVBand="0" w:evenVBand="0" w:oddHBand="1" w:evenHBand="0" w:firstRowFirstColumn="0" w:firstRowLastColumn="0" w:lastRowFirstColumn="0" w:lastRowLastColumn="0"/>
            </w:pPr>
            <w:r w:rsidRPr="009245CA">
              <w:t>Reliable water supply, sustainable water</w:t>
            </w:r>
          </w:p>
        </w:tc>
      </w:tr>
      <w:tr w:rsidR="00F64BB6" w:rsidRPr="001530DD" w14:paraId="7A71302E"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4CA9FC99" w14:textId="77777777" w:rsidR="00F64BB6" w:rsidRPr="00670249" w:rsidRDefault="00F64BB6" w:rsidP="00B1674E">
            <w:pPr>
              <w:spacing w:before="40" w:after="40"/>
              <w:rPr>
                <w:b/>
                <w:bCs/>
              </w:rPr>
            </w:pPr>
            <w:r w:rsidRPr="00003432">
              <w:t>Description</w:t>
            </w:r>
          </w:p>
        </w:tc>
        <w:tc>
          <w:tcPr>
            <w:tcW w:w="6804" w:type="dxa"/>
            <w:tcBorders>
              <w:bottom w:val="single" w:sz="4" w:space="0" w:color="auto"/>
            </w:tcBorders>
            <w:vAlign w:val="top"/>
          </w:tcPr>
          <w:p w14:paraId="304C4EA0" w14:textId="089E6C8A" w:rsidR="00F64BB6" w:rsidRPr="001530DD" w:rsidRDefault="00AA2619" w:rsidP="00B1674E">
            <w:pPr>
              <w:spacing w:before="40" w:after="40"/>
              <w:cnfStyle w:val="000000000000" w:firstRow="0" w:lastRow="0" w:firstColumn="0" w:lastColumn="0" w:oddVBand="0" w:evenVBand="0" w:oddHBand="0" w:evenHBand="0" w:firstRowFirstColumn="0" w:firstRowLastColumn="0" w:lastRowFirstColumn="0" w:lastRowLastColumn="0"/>
              <w:rPr>
                <w:b/>
                <w:bCs/>
                <w:color w:val="FF0000"/>
              </w:rPr>
            </w:pPr>
            <w:r w:rsidRPr="00D45DDC">
              <w:t>Repainting gates</w:t>
            </w:r>
            <w:r w:rsidR="58A7DFF7">
              <w:t xml:space="preserve"> to extend asset life</w:t>
            </w:r>
          </w:p>
        </w:tc>
      </w:tr>
    </w:tbl>
    <w:p w14:paraId="42EB82B2" w14:textId="615DBD51" w:rsidR="00C24A7E" w:rsidRDefault="00C24A7E">
      <w:pPr>
        <w:rPr>
          <w:rStyle w:val="IntenseEmphasis"/>
          <w:i w:val="0"/>
          <w:iCs w:val="0"/>
          <w:color w:val="auto"/>
        </w:rPr>
      </w:pPr>
    </w:p>
    <w:tbl>
      <w:tblPr>
        <w:tblStyle w:val="ReportTable-TealRows"/>
        <w:tblW w:w="9639" w:type="dxa"/>
        <w:tblLook w:val="04A0" w:firstRow="1" w:lastRow="0" w:firstColumn="1" w:lastColumn="0" w:noHBand="0" w:noVBand="1"/>
      </w:tblPr>
      <w:tblGrid>
        <w:gridCol w:w="2835"/>
        <w:gridCol w:w="6804"/>
      </w:tblGrid>
      <w:tr w:rsidR="004D422B" w:rsidRPr="00192F41" w14:paraId="6F6DB037"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512DE8AC" w14:textId="501A7622" w:rsidR="004D422B" w:rsidRPr="00192F41" w:rsidRDefault="004D422B">
            <w:pPr>
              <w:rPr>
                <w:rFonts w:cs="Arial"/>
                <w:sz w:val="20"/>
                <w:szCs w:val="20"/>
                <w:shd w:val="clear" w:color="auto" w:fill="FAF9F8"/>
              </w:rPr>
            </w:pPr>
            <w:r w:rsidRPr="00C266EF">
              <w:rPr>
                <w:sz w:val="20"/>
                <w:szCs w:val="20"/>
              </w:rPr>
              <w:t xml:space="preserve">Project </w:t>
            </w:r>
            <w:r w:rsidR="001151E6" w:rsidRPr="00C266EF">
              <w:rPr>
                <w:sz w:val="20"/>
                <w:szCs w:val="20"/>
              </w:rPr>
              <w:t>n</w:t>
            </w:r>
            <w:r w:rsidRPr="00C266EF">
              <w:rPr>
                <w:sz w:val="20"/>
                <w:szCs w:val="20"/>
              </w:rPr>
              <w:t>ame</w:t>
            </w:r>
          </w:p>
        </w:tc>
        <w:tc>
          <w:tcPr>
            <w:tcW w:w="6804" w:type="dxa"/>
            <w:vAlign w:val="top"/>
          </w:tcPr>
          <w:p w14:paraId="6943F728" w14:textId="3656A08D" w:rsidR="004D422B" w:rsidRPr="00192F41" w:rsidRDefault="004D422B">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 xml:space="preserve">Asset </w:t>
            </w:r>
            <w:r w:rsidR="00DF5CF2" w:rsidRPr="00C266EF">
              <w:rPr>
                <w:sz w:val="20"/>
                <w:szCs w:val="20"/>
              </w:rPr>
              <w:t>m</w:t>
            </w:r>
            <w:r w:rsidRPr="00C266EF">
              <w:rPr>
                <w:sz w:val="20"/>
                <w:szCs w:val="20"/>
              </w:rPr>
              <w:t xml:space="preserve">anagement </w:t>
            </w:r>
            <w:r w:rsidR="00DF5CF2" w:rsidRPr="00C266EF">
              <w:rPr>
                <w:sz w:val="20"/>
                <w:szCs w:val="20"/>
              </w:rPr>
              <w:t>s</w:t>
            </w:r>
            <w:r w:rsidRPr="00C266EF">
              <w:rPr>
                <w:sz w:val="20"/>
                <w:szCs w:val="20"/>
              </w:rPr>
              <w:t xml:space="preserve">ystem </w:t>
            </w:r>
            <w:r w:rsidR="00DF5CF2" w:rsidRPr="00C266EF">
              <w:rPr>
                <w:sz w:val="20"/>
                <w:szCs w:val="20"/>
              </w:rPr>
              <w:t>u</w:t>
            </w:r>
            <w:r w:rsidRPr="00C266EF">
              <w:rPr>
                <w:sz w:val="20"/>
                <w:szCs w:val="20"/>
              </w:rPr>
              <w:t>pgrade</w:t>
            </w:r>
          </w:p>
        </w:tc>
      </w:tr>
      <w:tr w:rsidR="004D422B" w:rsidRPr="003F4A7C" w14:paraId="7F87D263"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5E0E2364" w14:textId="7F330A44" w:rsidR="004D422B" w:rsidRPr="00192F41" w:rsidRDefault="004D422B" w:rsidP="00B1674E">
            <w:pPr>
              <w:spacing w:before="40" w:after="40"/>
              <w:rPr>
                <w:rFonts w:cs="Arial"/>
                <w:b/>
                <w:color w:val="000000" w:themeColor="text1"/>
                <w:szCs w:val="20"/>
                <w:shd w:val="clear" w:color="auto" w:fill="FAF9F8"/>
              </w:rPr>
            </w:pPr>
            <w:r w:rsidRPr="00C019F2">
              <w:t>Total</w:t>
            </w:r>
            <w:r w:rsidR="001151E6">
              <w:t xml:space="preserve"> p</w:t>
            </w:r>
            <w:r w:rsidRPr="00C019F2">
              <w:t xml:space="preserve">roject </w:t>
            </w:r>
            <w:r w:rsidR="001151E6">
              <w:t>v</w:t>
            </w:r>
            <w:r w:rsidRPr="00C019F2">
              <w:t>alue</w:t>
            </w:r>
            <w:r>
              <w:t xml:space="preserve"> </w:t>
            </w:r>
            <w:r w:rsidR="001151E6">
              <w:t>f</w:t>
            </w:r>
            <w:r>
              <w:t>orecast</w:t>
            </w:r>
          </w:p>
        </w:tc>
        <w:tc>
          <w:tcPr>
            <w:tcW w:w="6804" w:type="dxa"/>
            <w:vAlign w:val="top"/>
          </w:tcPr>
          <w:p w14:paraId="5F70A571" w14:textId="0AF5CAF8" w:rsidR="004D422B" w:rsidRPr="008271BF" w:rsidRDefault="004D422B"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8271BF">
              <w:t>$</w:t>
            </w:r>
            <w:r w:rsidR="00062D34" w:rsidRPr="008271BF">
              <w:t>1.1</w:t>
            </w:r>
            <w:r w:rsidR="00DF5CF2">
              <w:t xml:space="preserve"> </w:t>
            </w:r>
            <w:r w:rsidRPr="008271BF">
              <w:t>m</w:t>
            </w:r>
            <w:r w:rsidR="00DF5CF2">
              <w:t>illion</w:t>
            </w:r>
          </w:p>
        </w:tc>
      </w:tr>
      <w:tr w:rsidR="004D422B" w:rsidRPr="003F4A7C" w14:paraId="7A774F3A"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189F2737" w14:textId="1A926188" w:rsidR="004D422B" w:rsidRPr="00C019F2" w:rsidRDefault="004D422B" w:rsidP="00B1674E">
            <w:pPr>
              <w:spacing w:before="40" w:after="40"/>
            </w:pPr>
            <w:r w:rsidRPr="00C019F2">
              <w:t xml:space="preserve">Total </w:t>
            </w:r>
            <w:r w:rsidR="001151E6">
              <w:t>p</w:t>
            </w:r>
            <w:r w:rsidRPr="00C019F2">
              <w:t xml:space="preserve">roject </w:t>
            </w:r>
            <w:r w:rsidR="001151E6">
              <w:t>v</w:t>
            </w:r>
            <w:r w:rsidRPr="00C019F2">
              <w:t>alue</w:t>
            </w:r>
            <w:r>
              <w:t xml:space="preserve"> </w:t>
            </w:r>
            <w:r w:rsidR="001151E6">
              <w:t>a</w:t>
            </w:r>
            <w:r>
              <w:t>ctual</w:t>
            </w:r>
          </w:p>
        </w:tc>
        <w:tc>
          <w:tcPr>
            <w:tcW w:w="6804" w:type="dxa"/>
            <w:vAlign w:val="top"/>
          </w:tcPr>
          <w:p w14:paraId="2CB01736" w14:textId="22ECF333" w:rsidR="004D422B" w:rsidRPr="008271BF" w:rsidRDefault="5DAD16A8" w:rsidP="00B1674E">
            <w:pPr>
              <w:spacing w:before="40" w:after="40"/>
              <w:cnfStyle w:val="000000000000" w:firstRow="0" w:lastRow="0" w:firstColumn="0" w:lastColumn="0" w:oddVBand="0" w:evenVBand="0" w:oddHBand="0" w:evenHBand="0" w:firstRowFirstColumn="0" w:firstRowLastColumn="0" w:lastRowFirstColumn="0" w:lastRowLastColumn="0"/>
            </w:pPr>
            <w:r>
              <w:t>$</w:t>
            </w:r>
            <w:r w:rsidR="540CF446">
              <w:t>125</w:t>
            </w:r>
            <w:r w:rsidR="3299E56C">
              <w:t>,000</w:t>
            </w:r>
            <w:r w:rsidR="0ED0BA41">
              <w:t xml:space="preserve"> (cost to date)</w:t>
            </w:r>
          </w:p>
        </w:tc>
      </w:tr>
      <w:tr w:rsidR="004D422B" w:rsidRPr="003F4A7C" w14:paraId="68B6994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E275164" w14:textId="2F4E1EE7" w:rsidR="004D422B" w:rsidRPr="00192F41" w:rsidRDefault="004D422B" w:rsidP="00B1674E">
            <w:pPr>
              <w:spacing w:before="40" w:after="40"/>
              <w:rPr>
                <w:rFonts w:cs="Arial"/>
                <w:b/>
                <w:color w:val="000000" w:themeColor="text1"/>
                <w:szCs w:val="20"/>
                <w:shd w:val="clear" w:color="auto" w:fill="FAF9F8"/>
              </w:rPr>
            </w:pPr>
            <w:r w:rsidRPr="00C019F2">
              <w:t>Timing</w:t>
            </w:r>
            <w:r>
              <w:t xml:space="preserve"> / </w:t>
            </w:r>
            <w:r w:rsidR="001151E6">
              <w:t>s</w:t>
            </w:r>
            <w:r>
              <w:t>tatus</w:t>
            </w:r>
          </w:p>
        </w:tc>
        <w:tc>
          <w:tcPr>
            <w:tcW w:w="6804" w:type="dxa"/>
            <w:vAlign w:val="top"/>
          </w:tcPr>
          <w:p w14:paraId="556A43C4" w14:textId="41952B50" w:rsidR="004D422B" w:rsidRPr="003F4A7C" w:rsidRDefault="00BA5910"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shd w:val="clear" w:color="auto" w:fill="FAF9F8"/>
              </w:rPr>
            </w:pPr>
            <w:r>
              <w:t>D</w:t>
            </w:r>
            <w:r w:rsidR="00997EB8" w:rsidRPr="00AA1B70">
              <w:t xml:space="preserve">eferred </w:t>
            </w:r>
            <w:r w:rsidR="00997EB8">
              <w:t>until the 2023-28 regulatory period while</w:t>
            </w:r>
            <w:r w:rsidR="00997EB8" w:rsidRPr="00AA1B70">
              <w:t xml:space="preserve"> </w:t>
            </w:r>
            <w:r w:rsidR="00997EB8">
              <w:t xml:space="preserve">other </w:t>
            </w:r>
            <w:r w:rsidR="00997EB8" w:rsidRPr="00AA1B70">
              <w:t xml:space="preserve">ICT enterprise projects are </w:t>
            </w:r>
            <w:r w:rsidR="00997EB8">
              <w:t xml:space="preserve">developed </w:t>
            </w:r>
            <w:r w:rsidR="00997EB8" w:rsidRPr="00AA1B70">
              <w:t xml:space="preserve">(data management and </w:t>
            </w:r>
            <w:r w:rsidR="00997EB8">
              <w:t>f</w:t>
            </w:r>
            <w:r w:rsidR="00997EB8" w:rsidRPr="00AA1B70">
              <w:t>inance system</w:t>
            </w:r>
            <w:r w:rsidR="00997EB8">
              <w:t xml:space="preserve"> upgrade</w:t>
            </w:r>
            <w:r w:rsidR="00997EB8" w:rsidRPr="00AA1B70">
              <w:t xml:space="preserve">). </w:t>
            </w:r>
            <w:r w:rsidR="00997EB8">
              <w:t xml:space="preserve">Deferral seeks to ensure the </w:t>
            </w:r>
            <w:r w:rsidR="00997EB8" w:rsidRPr="00AA1B70">
              <w:t xml:space="preserve">asset information software </w:t>
            </w:r>
            <w:r w:rsidR="00997EB8">
              <w:t xml:space="preserve">can be integrated </w:t>
            </w:r>
            <w:r w:rsidR="00997EB8" w:rsidRPr="00AA1B70">
              <w:t xml:space="preserve">with </w:t>
            </w:r>
            <w:r w:rsidR="00997EB8">
              <w:t>our</w:t>
            </w:r>
            <w:r w:rsidR="00997EB8" w:rsidRPr="00AA1B70">
              <w:t xml:space="preserve"> broader enterprise </w:t>
            </w:r>
            <w:r w:rsidR="00997EB8">
              <w:t>systems. SRW’s asset information strategy has been developed</w:t>
            </w:r>
            <w:r w:rsidR="00C8235A">
              <w:t xml:space="preserve"> </w:t>
            </w:r>
            <w:r w:rsidR="00997EB8">
              <w:t xml:space="preserve">(which the software system is an integral part of) and implementation </w:t>
            </w:r>
            <w:r w:rsidR="00C8235A">
              <w:t>is ongoing</w:t>
            </w:r>
            <w:r w:rsidR="00997EB8">
              <w:t xml:space="preserve">. </w:t>
            </w:r>
            <w:r w:rsidR="0F0A4F67">
              <w:t>The cost to date ($125,000) will not be recovered in the RAB until the project is commissioned in the 2023-28 regulatory period.</w:t>
            </w:r>
            <w:r w:rsidR="3B95D6B6" w:rsidRPr="6B20A4EE">
              <w:rPr>
                <w:b/>
                <w:bCs/>
                <w:color w:val="FF0000"/>
              </w:rPr>
              <w:t xml:space="preserve"> </w:t>
            </w:r>
          </w:p>
        </w:tc>
      </w:tr>
      <w:tr w:rsidR="004D422B" w:rsidRPr="003F4A7C" w14:paraId="55022CC1"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402257C3" w14:textId="34D0A3BA" w:rsidR="004D422B" w:rsidRPr="007643C1" w:rsidRDefault="004D422B" w:rsidP="00B1674E">
            <w:pPr>
              <w:spacing w:before="40" w:after="40"/>
            </w:pPr>
            <w:r w:rsidRPr="00C019F2">
              <w:t xml:space="preserve">Cost </w:t>
            </w:r>
            <w:r w:rsidR="001151E6">
              <w:t>d</w:t>
            </w:r>
            <w:r w:rsidRPr="00C019F2">
              <w:t xml:space="preserve">river </w:t>
            </w:r>
          </w:p>
        </w:tc>
        <w:tc>
          <w:tcPr>
            <w:tcW w:w="6804" w:type="dxa"/>
            <w:vAlign w:val="top"/>
          </w:tcPr>
          <w:p w14:paraId="008DA511" w14:textId="77777777" w:rsidR="004D422B" w:rsidRPr="003F4A7C" w:rsidRDefault="004D422B" w:rsidP="00B1674E">
            <w:pPr>
              <w:spacing w:before="40" w:after="40"/>
              <w:cnfStyle w:val="000000000000" w:firstRow="0" w:lastRow="0" w:firstColumn="0" w:lastColumn="0" w:oddVBand="0" w:evenVBand="0" w:oddHBand="0" w:evenHBand="0" w:firstRowFirstColumn="0" w:firstRowLastColumn="0" w:lastRowFirstColumn="0" w:lastRowLastColumn="0"/>
            </w:pPr>
            <w:r>
              <w:t>Renewal</w:t>
            </w:r>
          </w:p>
        </w:tc>
      </w:tr>
      <w:tr w:rsidR="004D422B" w:rsidRPr="003F4A7C" w14:paraId="79172887"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F7BCF11" w14:textId="77777777" w:rsidR="004D422B" w:rsidRPr="00C72A31" w:rsidRDefault="004D422B" w:rsidP="00B1674E">
            <w:pPr>
              <w:spacing w:before="40" w:after="40"/>
            </w:pPr>
            <w:r w:rsidRPr="00C019F2">
              <w:t>Outcome</w:t>
            </w:r>
          </w:p>
        </w:tc>
        <w:tc>
          <w:tcPr>
            <w:tcW w:w="6804" w:type="dxa"/>
            <w:vAlign w:val="top"/>
          </w:tcPr>
          <w:p w14:paraId="5BC39425" w14:textId="78FD79D0" w:rsidR="004D422B" w:rsidRPr="007B0B31" w:rsidRDefault="00A73FE4" w:rsidP="00B1674E">
            <w:pPr>
              <w:spacing w:before="40" w:after="40"/>
              <w:cnfStyle w:val="000000100000" w:firstRow="0" w:lastRow="0" w:firstColumn="0" w:lastColumn="0" w:oddVBand="0" w:evenVBand="0" w:oddHBand="1" w:evenHBand="0" w:firstRowFirstColumn="0" w:firstRowLastColumn="0" w:lastRowFirstColumn="0" w:lastRowLastColumn="0"/>
              <w:rPr>
                <w:highlight w:val="yellow"/>
              </w:rPr>
            </w:pPr>
            <w:r w:rsidRPr="009245CA">
              <w:t>Reliable water supply, sustainable water</w:t>
            </w:r>
          </w:p>
        </w:tc>
      </w:tr>
      <w:tr w:rsidR="004D422B" w:rsidRPr="001530DD" w14:paraId="113E27FB"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087AC220" w14:textId="77777777" w:rsidR="004D422B" w:rsidRPr="00670249" w:rsidRDefault="004D422B" w:rsidP="00B1674E">
            <w:pPr>
              <w:spacing w:before="40" w:after="40"/>
              <w:rPr>
                <w:b/>
                <w:bCs/>
              </w:rPr>
            </w:pPr>
            <w:r w:rsidRPr="00003432">
              <w:t>Description</w:t>
            </w:r>
          </w:p>
        </w:tc>
        <w:tc>
          <w:tcPr>
            <w:tcW w:w="6804" w:type="dxa"/>
            <w:tcBorders>
              <w:bottom w:val="single" w:sz="4" w:space="0" w:color="auto"/>
            </w:tcBorders>
            <w:vAlign w:val="top"/>
          </w:tcPr>
          <w:p w14:paraId="6875FB7F" w14:textId="52028380" w:rsidR="004D422B" w:rsidRPr="007B0B31" w:rsidRDefault="00D22FCA" w:rsidP="00B1674E">
            <w:pPr>
              <w:spacing w:before="40" w:after="40"/>
              <w:cnfStyle w:val="000000000000" w:firstRow="0" w:lastRow="0" w:firstColumn="0" w:lastColumn="0" w:oddVBand="0" w:evenVBand="0" w:oddHBand="0" w:evenHBand="0" w:firstRowFirstColumn="0" w:firstRowLastColumn="0" w:lastRowFirstColumn="0" w:lastRowLastColumn="0"/>
              <w:rPr>
                <w:b/>
                <w:color w:val="FF0000"/>
                <w:highlight w:val="yellow"/>
              </w:rPr>
            </w:pPr>
            <w:r>
              <w:t xml:space="preserve">Replacement of our </w:t>
            </w:r>
            <w:r w:rsidR="00AA1B70" w:rsidRPr="00AA1B70">
              <w:t>asset information system software</w:t>
            </w:r>
          </w:p>
        </w:tc>
      </w:tr>
    </w:tbl>
    <w:p w14:paraId="7727FB33" w14:textId="77777777" w:rsidR="004D422B" w:rsidRDefault="004D422B" w:rsidP="002F0C83">
      <w:pPr>
        <w:rPr>
          <w:rStyle w:val="IntenseEmphasis"/>
          <w:i w:val="0"/>
          <w:iCs w:val="0"/>
          <w:color w:val="auto"/>
        </w:rPr>
      </w:pPr>
    </w:p>
    <w:tbl>
      <w:tblPr>
        <w:tblStyle w:val="ReportTable-TealRows"/>
        <w:tblW w:w="9639" w:type="dxa"/>
        <w:tblLook w:val="04A0" w:firstRow="1" w:lastRow="0" w:firstColumn="1" w:lastColumn="0" w:noHBand="0" w:noVBand="1"/>
      </w:tblPr>
      <w:tblGrid>
        <w:gridCol w:w="2835"/>
        <w:gridCol w:w="6804"/>
      </w:tblGrid>
      <w:tr w:rsidR="004D422B" w:rsidRPr="00192F41" w14:paraId="1BA44D16"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FEF0B51" w14:textId="3254C183" w:rsidR="004D422B" w:rsidRPr="00192F41" w:rsidRDefault="004D422B">
            <w:pPr>
              <w:rPr>
                <w:rFonts w:cs="Arial"/>
                <w:sz w:val="20"/>
                <w:szCs w:val="20"/>
                <w:shd w:val="clear" w:color="auto" w:fill="FAF9F8"/>
              </w:rPr>
            </w:pPr>
            <w:r w:rsidRPr="00C266EF">
              <w:rPr>
                <w:sz w:val="20"/>
                <w:szCs w:val="20"/>
              </w:rPr>
              <w:t xml:space="preserve">Project </w:t>
            </w:r>
            <w:r w:rsidR="00DF5CF2" w:rsidRPr="00C266EF">
              <w:rPr>
                <w:sz w:val="20"/>
                <w:szCs w:val="20"/>
              </w:rPr>
              <w:t>n</w:t>
            </w:r>
            <w:r w:rsidRPr="00C266EF">
              <w:rPr>
                <w:sz w:val="20"/>
                <w:szCs w:val="20"/>
              </w:rPr>
              <w:t>ame</w:t>
            </w:r>
          </w:p>
        </w:tc>
        <w:tc>
          <w:tcPr>
            <w:tcW w:w="6804" w:type="dxa"/>
            <w:vAlign w:val="top"/>
          </w:tcPr>
          <w:p w14:paraId="2091FD04" w14:textId="36A645C7" w:rsidR="004D422B" w:rsidRPr="00192F41" w:rsidRDefault="004D422B">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GW</w:t>
            </w:r>
            <w:r w:rsidR="00FC3E31" w:rsidRPr="00C266EF">
              <w:rPr>
                <w:sz w:val="20"/>
                <w:szCs w:val="20"/>
              </w:rPr>
              <w:t xml:space="preserve">&amp;R </w:t>
            </w:r>
            <w:r w:rsidR="00DF5CF2" w:rsidRPr="00C266EF">
              <w:rPr>
                <w:sz w:val="20"/>
                <w:szCs w:val="20"/>
              </w:rPr>
              <w:t>me</w:t>
            </w:r>
            <w:r w:rsidR="00FC3E31" w:rsidRPr="00C266EF">
              <w:rPr>
                <w:sz w:val="20"/>
                <w:szCs w:val="20"/>
              </w:rPr>
              <w:t xml:space="preserve">ter </w:t>
            </w:r>
            <w:r w:rsidR="00DF5CF2" w:rsidRPr="00C266EF">
              <w:rPr>
                <w:sz w:val="20"/>
                <w:szCs w:val="20"/>
              </w:rPr>
              <w:t>r</w:t>
            </w:r>
            <w:r w:rsidR="00FC3E31" w:rsidRPr="00C266EF">
              <w:rPr>
                <w:sz w:val="20"/>
                <w:szCs w:val="20"/>
              </w:rPr>
              <w:t>eplacements</w:t>
            </w:r>
          </w:p>
        </w:tc>
      </w:tr>
      <w:tr w:rsidR="004D422B" w:rsidRPr="003F4A7C" w14:paraId="40CB07E7"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092DF52D" w14:textId="7C8485AA" w:rsidR="004D422B" w:rsidRPr="00192F41" w:rsidRDefault="004D422B" w:rsidP="00B1674E">
            <w:pPr>
              <w:spacing w:before="40" w:after="40"/>
              <w:rPr>
                <w:rFonts w:cs="Arial"/>
                <w:b/>
                <w:color w:val="000000" w:themeColor="text1"/>
                <w:szCs w:val="20"/>
                <w:shd w:val="clear" w:color="auto" w:fill="FAF9F8"/>
              </w:rPr>
            </w:pPr>
            <w:r w:rsidRPr="00C019F2">
              <w:t xml:space="preserve">Total </w:t>
            </w:r>
            <w:r w:rsidR="00DF5CF2">
              <w:t>p</w:t>
            </w:r>
            <w:r w:rsidRPr="00C019F2">
              <w:t xml:space="preserve">roject </w:t>
            </w:r>
            <w:r w:rsidR="00DF5CF2">
              <w:t>v</w:t>
            </w:r>
            <w:r w:rsidRPr="00C019F2">
              <w:t>alue</w:t>
            </w:r>
            <w:r>
              <w:t xml:space="preserve"> </w:t>
            </w:r>
            <w:r w:rsidR="00DF5CF2">
              <w:t>f</w:t>
            </w:r>
            <w:r>
              <w:t>orecast</w:t>
            </w:r>
          </w:p>
        </w:tc>
        <w:tc>
          <w:tcPr>
            <w:tcW w:w="6804" w:type="dxa"/>
            <w:vAlign w:val="top"/>
          </w:tcPr>
          <w:p w14:paraId="43236AF5" w14:textId="5BDBE53A" w:rsidR="004D422B" w:rsidRPr="003F4A7C" w:rsidRDefault="004D422B"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w:t>
            </w:r>
            <w:r w:rsidR="00062D34">
              <w:t>1</w:t>
            </w:r>
            <w:r w:rsidR="00DF5CF2">
              <w:t xml:space="preserve"> </w:t>
            </w:r>
            <w:r w:rsidRPr="003F4A7C">
              <w:t>m</w:t>
            </w:r>
            <w:r w:rsidR="00DF5CF2">
              <w:t>illion</w:t>
            </w:r>
          </w:p>
        </w:tc>
      </w:tr>
      <w:tr w:rsidR="004D422B" w:rsidRPr="003F4A7C" w14:paraId="075F9C38"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47FB0D06" w14:textId="3C2508F3" w:rsidR="004D422B" w:rsidRPr="00C019F2" w:rsidRDefault="004D422B" w:rsidP="00B1674E">
            <w:pPr>
              <w:spacing w:before="40" w:after="40"/>
            </w:pPr>
            <w:r w:rsidRPr="00C019F2">
              <w:t xml:space="preserve">Total </w:t>
            </w:r>
            <w:r w:rsidR="00DF5CF2">
              <w:t>p</w:t>
            </w:r>
            <w:r w:rsidRPr="00C019F2">
              <w:t xml:space="preserve">roject </w:t>
            </w:r>
            <w:r w:rsidR="00DF5CF2">
              <w:t>v</w:t>
            </w:r>
            <w:r w:rsidRPr="00C019F2">
              <w:t>alue</w:t>
            </w:r>
            <w:r>
              <w:t xml:space="preserve"> </w:t>
            </w:r>
            <w:r w:rsidR="00DF5CF2">
              <w:t>a</w:t>
            </w:r>
            <w:r>
              <w:t>ctual</w:t>
            </w:r>
          </w:p>
        </w:tc>
        <w:tc>
          <w:tcPr>
            <w:tcW w:w="6804" w:type="dxa"/>
            <w:vAlign w:val="top"/>
          </w:tcPr>
          <w:p w14:paraId="052F6C6F" w14:textId="72FF663A" w:rsidR="004D422B" w:rsidRPr="003F4A7C" w:rsidRDefault="004D422B" w:rsidP="00B1674E">
            <w:pPr>
              <w:spacing w:before="40" w:after="40"/>
              <w:cnfStyle w:val="000000000000" w:firstRow="0" w:lastRow="0" w:firstColumn="0" w:lastColumn="0" w:oddVBand="0" w:evenVBand="0" w:oddHBand="0" w:evenHBand="0" w:firstRowFirstColumn="0" w:firstRowLastColumn="0" w:lastRowFirstColumn="0" w:lastRowLastColumn="0"/>
            </w:pPr>
            <w:r w:rsidRPr="00B02251">
              <w:t>$</w:t>
            </w:r>
            <w:r w:rsidR="006D0D7D" w:rsidRPr="00B02251">
              <w:t>1</w:t>
            </w:r>
            <w:r w:rsidR="00DF5CF2">
              <w:t xml:space="preserve"> </w:t>
            </w:r>
            <w:r w:rsidR="006D0D7D" w:rsidRPr="00B02251">
              <w:t>m</w:t>
            </w:r>
            <w:r w:rsidR="00DF5CF2">
              <w:t>illion</w:t>
            </w:r>
          </w:p>
        </w:tc>
      </w:tr>
      <w:tr w:rsidR="004D422B" w:rsidRPr="003F4A7C" w14:paraId="3759C8CA"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79F8C52A" w14:textId="5443C9FC" w:rsidR="004D422B" w:rsidRPr="00192F41" w:rsidRDefault="004D422B" w:rsidP="00B1674E">
            <w:pPr>
              <w:spacing w:before="40" w:after="40"/>
              <w:rPr>
                <w:rFonts w:cs="Arial"/>
                <w:b/>
                <w:color w:val="000000" w:themeColor="text1"/>
                <w:szCs w:val="20"/>
                <w:shd w:val="clear" w:color="auto" w:fill="FAF9F8"/>
              </w:rPr>
            </w:pPr>
            <w:r w:rsidRPr="00C019F2">
              <w:t>Timing</w:t>
            </w:r>
            <w:r>
              <w:t xml:space="preserve"> / </w:t>
            </w:r>
            <w:r w:rsidR="00DF5CF2">
              <w:t>s</w:t>
            </w:r>
            <w:r>
              <w:t>tatus</w:t>
            </w:r>
          </w:p>
        </w:tc>
        <w:tc>
          <w:tcPr>
            <w:tcW w:w="6804" w:type="dxa"/>
            <w:vAlign w:val="top"/>
          </w:tcPr>
          <w:p w14:paraId="57B0DEA2" w14:textId="432AFA97" w:rsidR="004D422B" w:rsidRPr="003F4A7C" w:rsidRDefault="004D422B"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B02251">
              <w:t>Commenced FY</w:t>
            </w:r>
            <w:r w:rsidR="006D0D7D" w:rsidRPr="00B02251">
              <w:t>18</w:t>
            </w:r>
            <w:r w:rsidRPr="00B02251">
              <w:t>, completed FY</w:t>
            </w:r>
            <w:r w:rsidR="00B02251" w:rsidRPr="00B02251">
              <w:t>23</w:t>
            </w:r>
            <w:r w:rsidRPr="00B02251">
              <w:t>.</w:t>
            </w:r>
            <w:r w:rsidRPr="003F4A7C">
              <w:t xml:space="preserve"> </w:t>
            </w:r>
          </w:p>
        </w:tc>
      </w:tr>
      <w:tr w:rsidR="004D422B" w:rsidRPr="003F4A7C" w14:paraId="7A642ABB"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0A78C25B" w14:textId="4AC26CB8" w:rsidR="004D422B" w:rsidRPr="007643C1" w:rsidRDefault="004D422B" w:rsidP="00B1674E">
            <w:pPr>
              <w:spacing w:before="40" w:after="40"/>
            </w:pPr>
            <w:r w:rsidRPr="00C019F2">
              <w:t xml:space="preserve">Cost </w:t>
            </w:r>
            <w:r w:rsidR="00DF5CF2">
              <w:t>d</w:t>
            </w:r>
            <w:r w:rsidRPr="00C019F2">
              <w:t xml:space="preserve">river </w:t>
            </w:r>
          </w:p>
        </w:tc>
        <w:tc>
          <w:tcPr>
            <w:tcW w:w="6804" w:type="dxa"/>
            <w:vAlign w:val="top"/>
          </w:tcPr>
          <w:p w14:paraId="55C4CFC9" w14:textId="77777777" w:rsidR="004D422B" w:rsidRPr="003F4A7C" w:rsidRDefault="004D422B" w:rsidP="00B1674E">
            <w:pPr>
              <w:spacing w:before="40" w:after="40"/>
              <w:cnfStyle w:val="000000000000" w:firstRow="0" w:lastRow="0" w:firstColumn="0" w:lastColumn="0" w:oddVBand="0" w:evenVBand="0" w:oddHBand="0" w:evenHBand="0" w:firstRowFirstColumn="0" w:firstRowLastColumn="0" w:lastRowFirstColumn="0" w:lastRowLastColumn="0"/>
            </w:pPr>
            <w:r>
              <w:t>Renewal</w:t>
            </w:r>
          </w:p>
        </w:tc>
      </w:tr>
      <w:tr w:rsidR="004D422B" w:rsidRPr="003F4A7C" w14:paraId="414423CD"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6FC84A88" w14:textId="77777777" w:rsidR="004D422B" w:rsidRPr="00C72A31" w:rsidRDefault="004D422B" w:rsidP="00B1674E">
            <w:pPr>
              <w:spacing w:before="40" w:after="40"/>
            </w:pPr>
            <w:r w:rsidRPr="00C019F2">
              <w:t>Outcome</w:t>
            </w:r>
          </w:p>
        </w:tc>
        <w:tc>
          <w:tcPr>
            <w:tcW w:w="6804" w:type="dxa"/>
            <w:vAlign w:val="top"/>
          </w:tcPr>
          <w:p w14:paraId="71E03452" w14:textId="13F27E85" w:rsidR="004D422B" w:rsidRPr="003F4A7C" w:rsidRDefault="000A62A3" w:rsidP="00B1674E">
            <w:pPr>
              <w:spacing w:before="40" w:after="40"/>
              <w:cnfStyle w:val="000000100000" w:firstRow="0" w:lastRow="0" w:firstColumn="0" w:lastColumn="0" w:oddVBand="0" w:evenVBand="0" w:oddHBand="1" w:evenHBand="0" w:firstRowFirstColumn="0" w:firstRowLastColumn="0" w:lastRowFirstColumn="0" w:lastRowLastColumn="0"/>
            </w:pPr>
            <w:r>
              <w:t>Sustainable water, great service</w:t>
            </w:r>
          </w:p>
        </w:tc>
      </w:tr>
      <w:tr w:rsidR="004D422B" w:rsidRPr="001530DD" w14:paraId="5E866006"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6E1E4C9B" w14:textId="77777777" w:rsidR="004D422B" w:rsidRPr="00670249" w:rsidRDefault="004D422B" w:rsidP="00B1674E">
            <w:pPr>
              <w:spacing w:before="40" w:after="40"/>
              <w:rPr>
                <w:b/>
                <w:bCs/>
              </w:rPr>
            </w:pPr>
            <w:r w:rsidRPr="00003432">
              <w:t>Description</w:t>
            </w:r>
          </w:p>
        </w:tc>
        <w:tc>
          <w:tcPr>
            <w:tcW w:w="6804" w:type="dxa"/>
            <w:tcBorders>
              <w:bottom w:val="single" w:sz="4" w:space="0" w:color="auto"/>
            </w:tcBorders>
            <w:vAlign w:val="top"/>
          </w:tcPr>
          <w:p w14:paraId="1B6DCE0C" w14:textId="0EE41608" w:rsidR="004D422B" w:rsidRPr="001530DD" w:rsidRDefault="000A62A3"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b/>
                <w:bCs/>
                <w:color w:val="FF0000"/>
              </w:rPr>
            </w:pPr>
            <w:r w:rsidRPr="00C041D5">
              <w:t xml:space="preserve">Replacement of groundwater and river (GW&amp;R) meters with </w:t>
            </w:r>
            <w:r w:rsidR="00507698">
              <w:t>patent</w:t>
            </w:r>
            <w:r w:rsidRPr="00C041D5">
              <w:t xml:space="preserve"> approved meters</w:t>
            </w:r>
            <w:r w:rsidR="00B02251">
              <w:t>.</w:t>
            </w:r>
          </w:p>
        </w:tc>
      </w:tr>
    </w:tbl>
    <w:p w14:paraId="59134D37" w14:textId="0313530E" w:rsidR="00DA219D" w:rsidRDefault="00DA219D" w:rsidP="002F0C83">
      <w:pPr>
        <w:rPr>
          <w:rStyle w:val="IntenseEmphasis"/>
          <w:i w:val="0"/>
          <w:iCs w:val="0"/>
          <w:color w:val="auto"/>
        </w:rPr>
      </w:pPr>
    </w:p>
    <w:p w14:paraId="1765F9C9" w14:textId="77777777" w:rsidR="00DA219D" w:rsidRDefault="00DA219D">
      <w:pPr>
        <w:rPr>
          <w:rStyle w:val="IntenseEmphasis"/>
          <w:i w:val="0"/>
          <w:iCs w:val="0"/>
          <w:color w:val="auto"/>
        </w:rPr>
      </w:pPr>
      <w:r>
        <w:rPr>
          <w:rStyle w:val="IntenseEmphasis"/>
          <w:i w:val="0"/>
          <w:iCs w:val="0"/>
          <w:color w:val="auto"/>
        </w:rPr>
        <w:br w:type="page"/>
      </w:r>
    </w:p>
    <w:tbl>
      <w:tblPr>
        <w:tblStyle w:val="ReportTable-TealRows"/>
        <w:tblW w:w="9639" w:type="dxa"/>
        <w:tblLook w:val="04A0" w:firstRow="1" w:lastRow="0" w:firstColumn="1" w:lastColumn="0" w:noHBand="0" w:noVBand="1"/>
      </w:tblPr>
      <w:tblGrid>
        <w:gridCol w:w="2835"/>
        <w:gridCol w:w="6804"/>
      </w:tblGrid>
      <w:tr w:rsidR="004D422B" w:rsidRPr="00192F41" w14:paraId="74DE5991"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43867A93" w14:textId="77BE982E" w:rsidR="004D422B" w:rsidRPr="00192F41" w:rsidRDefault="004D422B">
            <w:pPr>
              <w:rPr>
                <w:rFonts w:cs="Arial"/>
                <w:sz w:val="20"/>
                <w:szCs w:val="20"/>
                <w:shd w:val="clear" w:color="auto" w:fill="FAF9F8"/>
              </w:rPr>
            </w:pPr>
            <w:r w:rsidRPr="00C266EF">
              <w:rPr>
                <w:sz w:val="20"/>
                <w:szCs w:val="20"/>
              </w:rPr>
              <w:t xml:space="preserve">Project </w:t>
            </w:r>
            <w:r w:rsidR="00EC044A" w:rsidRPr="00C266EF">
              <w:rPr>
                <w:sz w:val="20"/>
                <w:szCs w:val="20"/>
              </w:rPr>
              <w:t>n</w:t>
            </w:r>
            <w:r w:rsidRPr="00C266EF">
              <w:rPr>
                <w:sz w:val="20"/>
                <w:szCs w:val="20"/>
              </w:rPr>
              <w:t>ame</w:t>
            </w:r>
          </w:p>
        </w:tc>
        <w:tc>
          <w:tcPr>
            <w:tcW w:w="6804" w:type="dxa"/>
            <w:vAlign w:val="top"/>
          </w:tcPr>
          <w:p w14:paraId="19192648" w14:textId="2D2A8D5B" w:rsidR="004D422B" w:rsidRPr="00192F41" w:rsidRDefault="00FC3E31">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C266EF">
              <w:rPr>
                <w:sz w:val="20"/>
                <w:szCs w:val="20"/>
              </w:rPr>
              <w:t>Werribee office redevelopment</w:t>
            </w:r>
          </w:p>
        </w:tc>
      </w:tr>
      <w:tr w:rsidR="004D422B" w:rsidRPr="003F4A7C" w14:paraId="1D938B7B"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111EFF79" w14:textId="14590955" w:rsidR="004D422B" w:rsidRPr="00192F41" w:rsidRDefault="004D422B" w:rsidP="00B1674E">
            <w:pPr>
              <w:spacing w:before="40" w:after="40"/>
              <w:rPr>
                <w:rFonts w:cs="Arial"/>
                <w:b/>
                <w:color w:val="000000" w:themeColor="text1"/>
                <w:szCs w:val="20"/>
                <w:shd w:val="clear" w:color="auto" w:fill="FAF9F8"/>
              </w:rPr>
            </w:pPr>
            <w:r w:rsidRPr="00C019F2">
              <w:t xml:space="preserve">Total </w:t>
            </w:r>
            <w:r w:rsidR="00EC044A">
              <w:t>p</w:t>
            </w:r>
            <w:r w:rsidRPr="00C019F2">
              <w:t xml:space="preserve">roject </w:t>
            </w:r>
            <w:r w:rsidR="00EC044A">
              <w:t>v</w:t>
            </w:r>
            <w:r w:rsidRPr="00C019F2">
              <w:t>alue</w:t>
            </w:r>
            <w:r>
              <w:t xml:space="preserve"> </w:t>
            </w:r>
            <w:r w:rsidR="00EC044A">
              <w:t>f</w:t>
            </w:r>
            <w:r>
              <w:t>orecast</w:t>
            </w:r>
          </w:p>
        </w:tc>
        <w:tc>
          <w:tcPr>
            <w:tcW w:w="6804" w:type="dxa"/>
            <w:vAlign w:val="top"/>
          </w:tcPr>
          <w:p w14:paraId="6D3B78BB" w14:textId="556C7591" w:rsidR="004D422B" w:rsidRPr="003F4A7C" w:rsidRDefault="004D422B" w:rsidP="00B1674E">
            <w:pPr>
              <w:spacing w:before="40" w:after="40"/>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3F4A7C">
              <w:t>$</w:t>
            </w:r>
            <w:r w:rsidR="00062D34">
              <w:t>1</w:t>
            </w:r>
            <w:r w:rsidR="00EC044A">
              <w:t xml:space="preserve"> </w:t>
            </w:r>
            <w:r w:rsidRPr="003F4A7C">
              <w:t>m</w:t>
            </w:r>
            <w:r w:rsidR="00EC044A">
              <w:t>illion</w:t>
            </w:r>
          </w:p>
        </w:tc>
      </w:tr>
      <w:tr w:rsidR="004D422B" w:rsidRPr="003F4A7C" w14:paraId="5FC67B93"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405AB6BD" w14:textId="2BE43138" w:rsidR="004D422B" w:rsidRPr="00C019F2" w:rsidRDefault="004D422B" w:rsidP="00B1674E">
            <w:pPr>
              <w:spacing w:before="40" w:after="40"/>
            </w:pPr>
            <w:r w:rsidRPr="00C019F2">
              <w:t xml:space="preserve">Total </w:t>
            </w:r>
            <w:r w:rsidR="00EC044A">
              <w:t>p</w:t>
            </w:r>
            <w:r w:rsidRPr="00C019F2">
              <w:t xml:space="preserve">roject </w:t>
            </w:r>
            <w:r w:rsidR="00EC044A">
              <w:t>v</w:t>
            </w:r>
            <w:r w:rsidRPr="00C019F2">
              <w:t>alue</w:t>
            </w:r>
            <w:r>
              <w:t xml:space="preserve"> </w:t>
            </w:r>
            <w:r w:rsidR="00EC044A">
              <w:t>a</w:t>
            </w:r>
            <w:r>
              <w:t>ctual</w:t>
            </w:r>
          </w:p>
        </w:tc>
        <w:tc>
          <w:tcPr>
            <w:tcW w:w="6804" w:type="dxa"/>
            <w:vAlign w:val="top"/>
          </w:tcPr>
          <w:p w14:paraId="73214E51" w14:textId="642BA5AA" w:rsidR="004D422B" w:rsidRPr="00814DD0" w:rsidRDefault="004D422B"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14DD0">
              <w:t>$</w:t>
            </w:r>
            <w:r w:rsidR="008F4213" w:rsidRPr="00814DD0">
              <w:t>2.6</w:t>
            </w:r>
            <w:r w:rsidR="00EC044A">
              <w:t xml:space="preserve"> </w:t>
            </w:r>
            <w:r w:rsidR="008F4213" w:rsidRPr="00814DD0">
              <w:t>m</w:t>
            </w:r>
            <w:r w:rsidR="00EC044A">
              <w:t>illion</w:t>
            </w:r>
            <w:r w:rsidR="00A120EE" w:rsidRPr="00814DD0">
              <w:t>.</w:t>
            </w:r>
            <w:r w:rsidR="002405A1">
              <w:t xml:space="preserve"> The initial forecast was based on</w:t>
            </w:r>
            <w:r w:rsidR="002B7FB8">
              <w:t xml:space="preserve"> a modest rebuild, through the project development, a more substantive rebuild was </w:t>
            </w:r>
            <w:r w:rsidR="008E6A67">
              <w:t>required to future proof and meet the needs of our growing footprint in the west.</w:t>
            </w:r>
            <w:r w:rsidR="00A120EE" w:rsidRPr="00814DD0">
              <w:t xml:space="preserve"> The redevelopment </w:t>
            </w:r>
            <w:r w:rsidR="000C1AE0">
              <w:t>cost</w:t>
            </w:r>
            <w:r w:rsidR="00A120EE" w:rsidRPr="00814DD0">
              <w:t xml:space="preserve"> </w:t>
            </w:r>
            <w:r w:rsidR="000C1AE0">
              <w:t>was offset</w:t>
            </w:r>
            <w:r w:rsidR="00A120EE" w:rsidRPr="00814DD0">
              <w:t xml:space="preserve"> </w:t>
            </w:r>
            <w:r w:rsidR="009A698B">
              <w:t xml:space="preserve">directly </w:t>
            </w:r>
            <w:r w:rsidR="00EB79E4">
              <w:t>by</w:t>
            </w:r>
            <w:r w:rsidR="00A120EE" w:rsidRPr="00814DD0">
              <w:t xml:space="preserve"> asset sales revenue</w:t>
            </w:r>
            <w:r w:rsidR="009A698B">
              <w:t>, associated with surplus land at the same site.</w:t>
            </w:r>
          </w:p>
        </w:tc>
      </w:tr>
      <w:tr w:rsidR="004D422B" w:rsidRPr="003F4A7C" w14:paraId="53CCF2E8"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5C7FA3DF" w14:textId="117FF37D" w:rsidR="004D422B" w:rsidRPr="00192F41" w:rsidRDefault="004D422B" w:rsidP="00B1674E">
            <w:pPr>
              <w:spacing w:before="40" w:after="40"/>
              <w:rPr>
                <w:rFonts w:cs="Arial"/>
                <w:b/>
                <w:color w:val="000000" w:themeColor="text1"/>
                <w:szCs w:val="20"/>
                <w:shd w:val="clear" w:color="auto" w:fill="FAF9F8"/>
              </w:rPr>
            </w:pPr>
            <w:r w:rsidRPr="00C019F2">
              <w:t>Timing</w:t>
            </w:r>
            <w:r>
              <w:t xml:space="preserve"> / </w:t>
            </w:r>
            <w:r w:rsidR="00EC044A">
              <w:t>s</w:t>
            </w:r>
            <w:r>
              <w:t>tatus</w:t>
            </w:r>
          </w:p>
        </w:tc>
        <w:tc>
          <w:tcPr>
            <w:tcW w:w="6804" w:type="dxa"/>
            <w:vAlign w:val="top"/>
          </w:tcPr>
          <w:p w14:paraId="27BE8A50" w14:textId="7412D2C6" w:rsidR="004D422B" w:rsidRPr="00814DD0" w:rsidRDefault="004D422B"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814DD0">
              <w:t>Commenced FY</w:t>
            </w:r>
            <w:r w:rsidR="001106A1" w:rsidRPr="00814DD0">
              <w:t>1</w:t>
            </w:r>
            <w:r w:rsidR="00606B8D" w:rsidRPr="00814DD0">
              <w:t>8</w:t>
            </w:r>
            <w:r w:rsidRPr="00814DD0">
              <w:t>, completed F</w:t>
            </w:r>
            <w:r w:rsidR="00606B8D" w:rsidRPr="00814DD0">
              <w:t>Y19</w:t>
            </w:r>
            <w:r w:rsidRPr="00814DD0">
              <w:t xml:space="preserve"> </w:t>
            </w:r>
          </w:p>
        </w:tc>
      </w:tr>
      <w:tr w:rsidR="004D422B" w:rsidRPr="003F4A7C" w14:paraId="0E2E7FF8" w14:textId="77777777" w:rsidTr="00E37FBC">
        <w:tc>
          <w:tcPr>
            <w:cnfStyle w:val="001000000000" w:firstRow="0" w:lastRow="0" w:firstColumn="1" w:lastColumn="0" w:oddVBand="0" w:evenVBand="0" w:oddHBand="0" w:evenHBand="0" w:firstRowFirstColumn="0" w:firstRowLastColumn="0" w:lastRowFirstColumn="0" w:lastRowLastColumn="0"/>
            <w:tcW w:w="2835" w:type="dxa"/>
            <w:vAlign w:val="top"/>
          </w:tcPr>
          <w:p w14:paraId="788F91EF" w14:textId="22740400" w:rsidR="004D422B" w:rsidRPr="007643C1" w:rsidRDefault="004D422B" w:rsidP="00B1674E">
            <w:pPr>
              <w:spacing w:before="40" w:after="40"/>
            </w:pPr>
            <w:r w:rsidRPr="00C019F2">
              <w:t xml:space="preserve">Cost </w:t>
            </w:r>
            <w:r w:rsidR="00EC044A">
              <w:t>d</w:t>
            </w:r>
            <w:r w:rsidRPr="00C019F2">
              <w:t xml:space="preserve">river </w:t>
            </w:r>
          </w:p>
        </w:tc>
        <w:tc>
          <w:tcPr>
            <w:tcW w:w="6804" w:type="dxa"/>
            <w:vAlign w:val="top"/>
          </w:tcPr>
          <w:p w14:paraId="36DE6DFE" w14:textId="77777777" w:rsidR="004D422B" w:rsidRPr="001B7FD6" w:rsidRDefault="004D422B"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1B7FD6">
              <w:t>Renewal</w:t>
            </w:r>
          </w:p>
        </w:tc>
      </w:tr>
      <w:tr w:rsidR="004D422B" w:rsidRPr="003F4A7C" w14:paraId="55E64AA6"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vAlign w:val="top"/>
          </w:tcPr>
          <w:p w14:paraId="28F006A4" w14:textId="77777777" w:rsidR="004D422B" w:rsidRPr="00C72A31" w:rsidRDefault="004D422B" w:rsidP="00B1674E">
            <w:pPr>
              <w:spacing w:before="40" w:after="40"/>
            </w:pPr>
            <w:r w:rsidRPr="00C019F2">
              <w:t>Outcome</w:t>
            </w:r>
          </w:p>
        </w:tc>
        <w:tc>
          <w:tcPr>
            <w:tcW w:w="6804" w:type="dxa"/>
            <w:vAlign w:val="top"/>
          </w:tcPr>
          <w:p w14:paraId="1B3B883D" w14:textId="66E6EA3C" w:rsidR="004D422B" w:rsidRPr="001B7FD6" w:rsidRDefault="001B7FD6"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1B7FD6">
              <w:t>Great customer service</w:t>
            </w:r>
          </w:p>
        </w:tc>
      </w:tr>
      <w:tr w:rsidR="001B7FD6" w:rsidRPr="001530DD" w14:paraId="618EDF97" w14:textId="77777777" w:rsidTr="00E37FBC">
        <w:tc>
          <w:tcPr>
            <w:cnfStyle w:val="001000000000" w:firstRow="0" w:lastRow="0" w:firstColumn="1" w:lastColumn="0" w:oddVBand="0" w:evenVBand="0" w:oddHBand="0" w:evenHBand="0" w:firstRowFirstColumn="0" w:firstRowLastColumn="0" w:lastRowFirstColumn="0" w:lastRowLastColumn="0"/>
            <w:tcW w:w="2835" w:type="dxa"/>
            <w:tcBorders>
              <w:bottom w:val="single" w:sz="4" w:space="0" w:color="auto"/>
            </w:tcBorders>
            <w:vAlign w:val="top"/>
          </w:tcPr>
          <w:p w14:paraId="7ECAAEDF" w14:textId="77777777" w:rsidR="001B7FD6" w:rsidRPr="00670249" w:rsidRDefault="001B7FD6" w:rsidP="00B1674E">
            <w:pPr>
              <w:spacing w:before="40" w:after="40"/>
              <w:rPr>
                <w:b/>
                <w:bCs/>
              </w:rPr>
            </w:pPr>
            <w:r w:rsidRPr="00003432">
              <w:t>Description</w:t>
            </w:r>
          </w:p>
        </w:tc>
        <w:tc>
          <w:tcPr>
            <w:tcW w:w="6804" w:type="dxa"/>
            <w:tcBorders>
              <w:bottom w:val="single" w:sz="4" w:space="0" w:color="auto"/>
            </w:tcBorders>
            <w:vAlign w:val="top"/>
          </w:tcPr>
          <w:p w14:paraId="40A3A8C8" w14:textId="4726F45D" w:rsidR="001B7FD6" w:rsidRPr="004E55FD" w:rsidRDefault="001B7FD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pPr>
            <w:r>
              <w:t xml:space="preserve">Redevelopment of the </w:t>
            </w:r>
            <w:r w:rsidR="008614DB">
              <w:t xml:space="preserve">Werribee </w:t>
            </w:r>
            <w:r w:rsidR="001F0024">
              <w:t>office</w:t>
            </w:r>
            <w:r w:rsidR="00A120EE">
              <w:t xml:space="preserve"> and depot </w:t>
            </w:r>
            <w:r w:rsidR="001F0024">
              <w:t>to</w:t>
            </w:r>
            <w:r w:rsidR="00A120EE">
              <w:t xml:space="preserve"> provide a contemporary work environment for our staff</w:t>
            </w:r>
            <w:r w:rsidR="004E55FD">
              <w:t xml:space="preserve"> to</w:t>
            </w:r>
            <w:r w:rsidR="00A120EE">
              <w:t xml:space="preserve"> meet the current and future needs of the business.</w:t>
            </w:r>
          </w:p>
        </w:tc>
      </w:tr>
    </w:tbl>
    <w:p w14:paraId="1D588E14" w14:textId="5691B02E" w:rsidR="00D320F5" w:rsidRDefault="00D320F5">
      <w:pPr>
        <w:rPr>
          <w:rStyle w:val="IntenseEmphasis"/>
          <w:i w:val="0"/>
          <w:iCs w:val="0"/>
          <w:color w:val="auto"/>
        </w:rPr>
      </w:pPr>
    </w:p>
    <w:p w14:paraId="05A3F7FF" w14:textId="04FB0755" w:rsidR="00B57110" w:rsidRDefault="00F95DDC" w:rsidP="00F95DDC">
      <w:pPr>
        <w:pStyle w:val="Heading3"/>
      </w:pPr>
      <w:r>
        <w:t xml:space="preserve">Top 10 projects </w:t>
      </w:r>
      <w:r w:rsidR="00E16F7F">
        <w:t>–</w:t>
      </w:r>
      <w:r>
        <w:t xml:space="preserve"> 2018</w:t>
      </w:r>
      <w:r w:rsidR="00E16F7F">
        <w:t>-2022 actual</w:t>
      </w:r>
      <w:r>
        <w:t xml:space="preserve"> </w:t>
      </w:r>
    </w:p>
    <w:p w14:paraId="7458DED6" w14:textId="18AE07C6" w:rsidR="00F95DDC" w:rsidRDefault="003F4A7C" w:rsidP="0010577A">
      <w:pPr>
        <w:jc w:val="both"/>
      </w:pPr>
      <w:r w:rsidRPr="00D96485">
        <w:t xml:space="preserve">The </w:t>
      </w:r>
      <w:r w:rsidR="00744585" w:rsidRPr="00D96485">
        <w:t>10 largest projects</w:t>
      </w:r>
      <w:r w:rsidR="00191569" w:rsidRPr="00D96485">
        <w:t xml:space="preserve"> that were delivered or commenced in the 2018-22 regulator</w:t>
      </w:r>
      <w:r w:rsidR="00EC12C2" w:rsidRPr="00D96485">
        <w:t>y</w:t>
      </w:r>
      <w:r w:rsidR="00191569" w:rsidRPr="00D96485">
        <w:t xml:space="preserve"> period</w:t>
      </w:r>
      <w:r w:rsidR="00AA6B79" w:rsidRPr="00D96485">
        <w:t xml:space="preserve"> </w:t>
      </w:r>
      <w:r w:rsidR="00826159" w:rsidRPr="00D96485">
        <w:t xml:space="preserve">included </w:t>
      </w:r>
      <w:r w:rsidR="007E42F6" w:rsidRPr="00D96485">
        <w:t>six</w:t>
      </w:r>
      <w:r w:rsidR="002535CE" w:rsidRPr="00D96485">
        <w:t xml:space="preserve"> of the </w:t>
      </w:r>
      <w:r w:rsidR="00522CC2" w:rsidRPr="00D96485">
        <w:t xml:space="preserve">projects described above, namely, MID Modernisation Phase 1b, WID </w:t>
      </w:r>
      <w:r w:rsidR="00107F63" w:rsidRPr="00D96485">
        <w:t>Modernisation Stages 1-3,</w:t>
      </w:r>
      <w:r w:rsidR="001C6698" w:rsidRPr="00D96485">
        <w:t xml:space="preserve"> MID Modernisation Phase 2, </w:t>
      </w:r>
      <w:r w:rsidR="007E42F6" w:rsidRPr="00D96485">
        <w:t xml:space="preserve">BMID Modernisation, Maffra Weir </w:t>
      </w:r>
      <w:r w:rsidR="00EC044A">
        <w:t>o</w:t>
      </w:r>
      <w:r w:rsidR="007E42F6" w:rsidRPr="00D96485">
        <w:t xml:space="preserve">perating </w:t>
      </w:r>
      <w:r w:rsidR="00EC044A">
        <w:t>g</w:t>
      </w:r>
      <w:r w:rsidR="007E42F6" w:rsidRPr="00D96485">
        <w:t xml:space="preserve">ear, GW&amp;R </w:t>
      </w:r>
      <w:r w:rsidR="00EC044A">
        <w:t>m</w:t>
      </w:r>
      <w:r w:rsidR="007E42F6" w:rsidRPr="00D96485">
        <w:t xml:space="preserve">eter </w:t>
      </w:r>
      <w:r w:rsidR="00EC044A">
        <w:t>r</w:t>
      </w:r>
      <w:r w:rsidR="007E42F6" w:rsidRPr="00D96485">
        <w:t>eplacements and the Werribee office redevelopment</w:t>
      </w:r>
      <w:r w:rsidR="00DF68C7" w:rsidRPr="00D96485">
        <w:t>.</w:t>
      </w:r>
      <w:r w:rsidR="00DF68C7">
        <w:t xml:space="preserve"> </w:t>
      </w:r>
      <w:r w:rsidR="00173FBB">
        <w:t>Other significant</w:t>
      </w:r>
      <w:r w:rsidR="00713442">
        <w:t xml:space="preserve"> projects delivered or commenced</w:t>
      </w:r>
      <w:r w:rsidR="00841511">
        <w:t xml:space="preserve"> in the 2018-22 regulatory period</w:t>
      </w:r>
      <w:r w:rsidR="00713442">
        <w:t>,</w:t>
      </w:r>
      <w:r w:rsidR="00107F63">
        <w:t xml:space="preserve"> </w:t>
      </w:r>
      <w:r w:rsidR="00AA6B79">
        <w:t>are presented in the following tables.</w:t>
      </w:r>
      <w:r w:rsidR="00182020">
        <w:t xml:space="preserve"> The commentary includes </w:t>
      </w:r>
      <w:r w:rsidR="00AF3EE5">
        <w:t>the rationale for inclusion of the project in the 2018-23 regulatory period.</w:t>
      </w:r>
    </w:p>
    <w:p w14:paraId="465BB74C" w14:textId="77777777" w:rsidR="0015400C" w:rsidRDefault="0015400C" w:rsidP="0010577A">
      <w:pPr>
        <w:jc w:val="both"/>
      </w:pPr>
    </w:p>
    <w:tbl>
      <w:tblPr>
        <w:tblStyle w:val="ReportTable-TealRows"/>
        <w:tblW w:w="9639" w:type="dxa"/>
        <w:tblLook w:val="04A0" w:firstRow="1" w:lastRow="0" w:firstColumn="1" w:lastColumn="0" w:noHBand="0" w:noVBand="1"/>
      </w:tblPr>
      <w:tblGrid>
        <w:gridCol w:w="2694"/>
        <w:gridCol w:w="6945"/>
      </w:tblGrid>
      <w:tr w:rsidR="005A4339" w:rsidRPr="00192F41" w14:paraId="37B2B083"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630D42E2" w14:textId="688864C7" w:rsidR="005A4339" w:rsidRPr="00192F41" w:rsidRDefault="005A4339" w:rsidP="005A4339">
            <w:pPr>
              <w:rPr>
                <w:rFonts w:cs="Arial"/>
                <w:sz w:val="20"/>
                <w:szCs w:val="20"/>
                <w:shd w:val="clear" w:color="auto" w:fill="FAF9F8"/>
              </w:rPr>
            </w:pPr>
            <w:r w:rsidRPr="009255D7">
              <w:rPr>
                <w:sz w:val="20"/>
                <w:szCs w:val="20"/>
              </w:rPr>
              <w:t xml:space="preserve">Project </w:t>
            </w:r>
            <w:r w:rsidR="00EC044A" w:rsidRPr="009255D7">
              <w:rPr>
                <w:sz w:val="20"/>
                <w:szCs w:val="20"/>
              </w:rPr>
              <w:t>n</w:t>
            </w:r>
            <w:r w:rsidRPr="009255D7">
              <w:rPr>
                <w:sz w:val="20"/>
                <w:szCs w:val="20"/>
              </w:rPr>
              <w:t>ame</w:t>
            </w:r>
          </w:p>
        </w:tc>
        <w:tc>
          <w:tcPr>
            <w:tcW w:w="6945" w:type="dxa"/>
            <w:vAlign w:val="top"/>
          </w:tcPr>
          <w:p w14:paraId="0ECBB385" w14:textId="2D063F56" w:rsidR="005A4339" w:rsidRPr="00192F41" w:rsidRDefault="005A4339" w:rsidP="005A4339">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9255D7">
              <w:rPr>
                <w:sz w:val="20"/>
                <w:szCs w:val="20"/>
              </w:rPr>
              <w:t>MID Siphon No. 1</w:t>
            </w:r>
          </w:p>
        </w:tc>
      </w:tr>
      <w:tr w:rsidR="005A4339" w:rsidRPr="00192F41" w14:paraId="0A0F6C51"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01592485" w14:textId="15C6F3DA" w:rsidR="005A4339" w:rsidRPr="00C019F2" w:rsidRDefault="005A4339" w:rsidP="00B1674E">
            <w:pPr>
              <w:spacing w:before="40" w:after="40"/>
            </w:pPr>
            <w:r w:rsidRPr="00C019F2">
              <w:t xml:space="preserve">Total </w:t>
            </w:r>
            <w:r w:rsidR="00EC044A">
              <w:t>p</w:t>
            </w:r>
            <w:r w:rsidRPr="00C019F2">
              <w:t xml:space="preserve">roject </w:t>
            </w:r>
            <w:r w:rsidR="00EC044A">
              <w:t>v</w:t>
            </w:r>
            <w:r w:rsidRPr="00C019F2">
              <w:t>alue</w:t>
            </w:r>
            <w:r>
              <w:t xml:space="preserve"> </w:t>
            </w:r>
          </w:p>
        </w:tc>
        <w:tc>
          <w:tcPr>
            <w:tcW w:w="6945" w:type="dxa"/>
            <w:vAlign w:val="top"/>
          </w:tcPr>
          <w:p w14:paraId="53DAC048" w14:textId="3B3B692D" w:rsidR="005A4339" w:rsidRPr="003F4A7C" w:rsidRDefault="004157C6" w:rsidP="00B1674E">
            <w:pPr>
              <w:spacing w:before="40" w:after="40"/>
              <w:cnfStyle w:val="000000100000" w:firstRow="0" w:lastRow="0" w:firstColumn="0" w:lastColumn="0" w:oddVBand="0" w:evenVBand="0" w:oddHBand="1" w:evenHBand="0" w:firstRowFirstColumn="0" w:firstRowLastColumn="0" w:lastRowFirstColumn="0" w:lastRowLastColumn="0"/>
            </w:pPr>
            <w:r>
              <w:t>$1.</w:t>
            </w:r>
            <w:r w:rsidR="00621B87">
              <w:t>4</w:t>
            </w:r>
            <w:r w:rsidR="00EC044A">
              <w:t xml:space="preserve"> million</w:t>
            </w:r>
            <w:r>
              <w:t xml:space="preserve"> </w:t>
            </w:r>
          </w:p>
        </w:tc>
      </w:tr>
      <w:tr w:rsidR="005A4339" w:rsidRPr="00192F41" w14:paraId="404083B8"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2CB07070" w14:textId="6F8F7F8E" w:rsidR="005A4339" w:rsidRPr="00192F41" w:rsidRDefault="005A4339" w:rsidP="00B1674E">
            <w:pPr>
              <w:spacing w:before="40" w:after="40"/>
              <w:rPr>
                <w:rFonts w:cs="Arial"/>
                <w:b/>
                <w:color w:val="000000" w:themeColor="text1"/>
                <w:szCs w:val="20"/>
                <w:shd w:val="clear" w:color="auto" w:fill="FAF9F8"/>
              </w:rPr>
            </w:pPr>
            <w:r w:rsidRPr="00C019F2">
              <w:t>Timing</w:t>
            </w:r>
            <w:r>
              <w:t xml:space="preserve"> / </w:t>
            </w:r>
            <w:r w:rsidR="00EC044A">
              <w:t>s</w:t>
            </w:r>
            <w:r>
              <w:t>tatus</w:t>
            </w:r>
          </w:p>
        </w:tc>
        <w:tc>
          <w:tcPr>
            <w:tcW w:w="6945" w:type="dxa"/>
            <w:vAlign w:val="top"/>
          </w:tcPr>
          <w:p w14:paraId="07D63875" w14:textId="54EA4425" w:rsidR="005A4339" w:rsidRPr="003F4A7C" w:rsidRDefault="00F62A32" w:rsidP="00B1674E">
            <w:pPr>
              <w:spacing w:before="40" w:after="40"/>
              <w:cnfStyle w:val="000000000000" w:firstRow="0" w:lastRow="0" w:firstColumn="0" w:lastColumn="0" w:oddVBand="0" w:evenVBand="0" w:oddHBand="0" w:evenHBand="0" w:firstRowFirstColumn="0" w:firstRowLastColumn="0" w:lastRowFirstColumn="0" w:lastRowLastColumn="0"/>
              <w:rPr>
                <w:rFonts w:cs="Arial"/>
                <w:highlight w:val="yellow"/>
                <w:shd w:val="clear" w:color="auto" w:fill="FAF9F8"/>
              </w:rPr>
            </w:pPr>
            <w:r w:rsidRPr="67094E42">
              <w:rPr>
                <w:rFonts w:cs="Arial"/>
                <w:shd w:val="clear" w:color="auto" w:fill="FAF9F8"/>
              </w:rPr>
              <w:t>C</w:t>
            </w:r>
            <w:r w:rsidR="007C4484" w:rsidRPr="67094E42">
              <w:rPr>
                <w:rFonts w:cs="Arial"/>
                <w:shd w:val="clear" w:color="auto" w:fill="FAF9F8"/>
              </w:rPr>
              <w:t xml:space="preserve">ommenced </w:t>
            </w:r>
            <w:r w:rsidR="4A5E7325" w:rsidRPr="67094E42">
              <w:rPr>
                <w:rFonts w:cs="Arial"/>
                <w:shd w:val="clear" w:color="auto" w:fill="FAF9F8"/>
              </w:rPr>
              <w:t>FY</w:t>
            </w:r>
            <w:r w:rsidR="4D4ABABD" w:rsidRPr="67094E42">
              <w:rPr>
                <w:rFonts w:cs="Arial"/>
                <w:shd w:val="clear" w:color="auto" w:fill="FAF9F8"/>
              </w:rPr>
              <w:t>20</w:t>
            </w:r>
            <w:r w:rsidR="4A5E7325" w:rsidRPr="67094E42">
              <w:rPr>
                <w:rFonts w:cs="Arial"/>
                <w:shd w:val="clear" w:color="auto" w:fill="FAF9F8"/>
              </w:rPr>
              <w:t>,</w:t>
            </w:r>
            <w:r w:rsidR="007C4484" w:rsidRPr="67094E42">
              <w:rPr>
                <w:rFonts w:cs="Arial"/>
                <w:shd w:val="clear" w:color="auto" w:fill="FAF9F8"/>
              </w:rPr>
              <w:t xml:space="preserve"> </w:t>
            </w:r>
            <w:r w:rsidR="60831D10" w:rsidRPr="787BA853">
              <w:rPr>
                <w:rFonts w:cs="Arial"/>
                <w:shd w:val="clear" w:color="auto" w:fill="FAF9F8"/>
              </w:rPr>
              <w:t>Complet</w:t>
            </w:r>
            <w:r w:rsidR="5890E1A3" w:rsidRPr="787BA853">
              <w:rPr>
                <w:rFonts w:cs="Arial"/>
                <w:shd w:val="clear" w:color="auto" w:fill="FAF9F8"/>
              </w:rPr>
              <w:t>ed</w:t>
            </w:r>
            <w:r w:rsidR="4E9FE63A" w:rsidRPr="787BA853">
              <w:rPr>
                <w:rFonts w:cs="Arial"/>
                <w:shd w:val="clear" w:color="auto" w:fill="FAF9F8"/>
              </w:rPr>
              <w:t xml:space="preserve"> FY21</w:t>
            </w:r>
          </w:p>
        </w:tc>
      </w:tr>
      <w:tr w:rsidR="005A4339" w:rsidRPr="007643C1" w14:paraId="4320C5C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0715DC5E" w14:textId="52D68453" w:rsidR="005A4339" w:rsidRPr="007643C1" w:rsidRDefault="005A4339" w:rsidP="00B1674E">
            <w:pPr>
              <w:spacing w:before="40" w:after="40"/>
            </w:pPr>
            <w:r w:rsidRPr="00C019F2">
              <w:t xml:space="preserve">Cost </w:t>
            </w:r>
            <w:r w:rsidR="00EC044A">
              <w:t>d</w:t>
            </w:r>
            <w:r w:rsidRPr="00C019F2">
              <w:t xml:space="preserve">river </w:t>
            </w:r>
          </w:p>
        </w:tc>
        <w:tc>
          <w:tcPr>
            <w:tcW w:w="6945" w:type="dxa"/>
            <w:vAlign w:val="top"/>
          </w:tcPr>
          <w:p w14:paraId="6CB3A729" w14:textId="6E760983" w:rsidR="005A4339" w:rsidRPr="003F4A7C" w:rsidRDefault="00F62A32" w:rsidP="00B1674E">
            <w:pPr>
              <w:spacing w:before="40" w:after="40"/>
              <w:cnfStyle w:val="000000100000" w:firstRow="0" w:lastRow="0" w:firstColumn="0" w:lastColumn="0" w:oddVBand="0" w:evenVBand="0" w:oddHBand="1" w:evenHBand="0" w:firstRowFirstColumn="0" w:firstRowLastColumn="0" w:lastRowFirstColumn="0" w:lastRowLastColumn="0"/>
            </w:pPr>
            <w:r>
              <w:t>Renewal</w:t>
            </w:r>
          </w:p>
        </w:tc>
      </w:tr>
      <w:tr w:rsidR="005A4339" w:rsidRPr="00C72A31" w14:paraId="20230200"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5B4F72AD" w14:textId="77777777" w:rsidR="005A4339" w:rsidRPr="00C72A31" w:rsidRDefault="005A4339" w:rsidP="00B1674E">
            <w:pPr>
              <w:spacing w:before="40" w:after="40"/>
            </w:pPr>
            <w:r w:rsidRPr="00C019F2">
              <w:t>Outcome</w:t>
            </w:r>
          </w:p>
        </w:tc>
        <w:tc>
          <w:tcPr>
            <w:tcW w:w="6945" w:type="dxa"/>
            <w:vAlign w:val="top"/>
          </w:tcPr>
          <w:p w14:paraId="11EF3077" w14:textId="0B6EDAF0" w:rsidR="005A4339" w:rsidRPr="003F4A7C" w:rsidRDefault="00F62A32" w:rsidP="00B1674E">
            <w:pPr>
              <w:spacing w:before="40" w:after="40"/>
              <w:cnfStyle w:val="000000000000" w:firstRow="0" w:lastRow="0" w:firstColumn="0" w:lastColumn="0" w:oddVBand="0" w:evenVBand="0" w:oddHBand="0" w:evenHBand="0" w:firstRowFirstColumn="0" w:firstRowLastColumn="0" w:lastRowFirstColumn="0" w:lastRowLastColumn="0"/>
            </w:pPr>
            <w:r w:rsidRPr="00654552">
              <w:t>Reliable water supply, sustainable water</w:t>
            </w:r>
          </w:p>
        </w:tc>
      </w:tr>
      <w:tr w:rsidR="005A4339" w:rsidRPr="00670249" w14:paraId="4CB2C547"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vAlign w:val="top"/>
          </w:tcPr>
          <w:p w14:paraId="0DFD5F19" w14:textId="77777777" w:rsidR="005A4339" w:rsidRPr="00670249" w:rsidRDefault="005A4339" w:rsidP="00B1674E">
            <w:pPr>
              <w:spacing w:before="40" w:after="40"/>
              <w:rPr>
                <w:b/>
                <w:bCs/>
              </w:rPr>
            </w:pPr>
            <w:r w:rsidRPr="00003432">
              <w:t>Description</w:t>
            </w:r>
          </w:p>
        </w:tc>
        <w:tc>
          <w:tcPr>
            <w:tcW w:w="6945" w:type="dxa"/>
            <w:tcBorders>
              <w:bottom w:val="single" w:sz="4" w:space="0" w:color="auto"/>
            </w:tcBorders>
            <w:vAlign w:val="top"/>
          </w:tcPr>
          <w:p w14:paraId="4C35F2DC" w14:textId="713EBBD6" w:rsidR="005A4339" w:rsidRPr="001530DD" w:rsidRDefault="11B2493C"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t>Following a failure</w:t>
            </w:r>
            <w:r w:rsidR="01CBE256">
              <w:t xml:space="preserve"> and subsequent</w:t>
            </w:r>
            <w:r>
              <w:t xml:space="preserve"> repair</w:t>
            </w:r>
            <w:r w:rsidR="42D4813D">
              <w:t>, a</w:t>
            </w:r>
            <w:r>
              <w:t xml:space="preserve"> detailed inspection</w:t>
            </w:r>
            <w:r w:rsidR="5B211F99">
              <w:t xml:space="preserve"> revealed</w:t>
            </w:r>
            <w:r>
              <w:t xml:space="preserve"> Siphon 1</w:t>
            </w:r>
            <w:r w:rsidR="250242FF">
              <w:t xml:space="preserve"> </w:t>
            </w:r>
            <w:r w:rsidR="10C78E3B">
              <w:t xml:space="preserve">on the Main </w:t>
            </w:r>
            <w:r w:rsidR="31324FCF">
              <w:t>Southern</w:t>
            </w:r>
            <w:r w:rsidR="10C78E3B">
              <w:t xml:space="preserve"> Channel </w:t>
            </w:r>
            <w:r w:rsidR="250242FF">
              <w:t>as</w:t>
            </w:r>
            <w:r w:rsidR="7D59B4A9">
              <w:t xml:space="preserve"> an extreme risk </w:t>
            </w:r>
            <w:r w:rsidR="29919A9E">
              <w:t xml:space="preserve">of </w:t>
            </w:r>
            <w:r w:rsidR="3121240B">
              <w:t xml:space="preserve">repeated </w:t>
            </w:r>
            <w:r w:rsidR="29919A9E">
              <w:t>failure.</w:t>
            </w:r>
            <w:r w:rsidR="7D59B4A9">
              <w:t xml:space="preserve"> </w:t>
            </w:r>
            <w:r w:rsidR="0215DE87">
              <w:t xml:space="preserve">The siphon was </w:t>
            </w:r>
            <w:r w:rsidR="3C42A085">
              <w:t>sub</w:t>
            </w:r>
            <w:r w:rsidR="6BBA2F50">
              <w:t>s</w:t>
            </w:r>
            <w:r w:rsidR="3C42A085">
              <w:t>equently</w:t>
            </w:r>
            <w:r w:rsidR="0215DE87">
              <w:t xml:space="preserve"> replaced with a flume.</w:t>
            </w:r>
          </w:p>
        </w:tc>
      </w:tr>
    </w:tbl>
    <w:p w14:paraId="569635DE" w14:textId="350D76DE" w:rsidR="0015400C" w:rsidRDefault="0015400C" w:rsidP="006A5C22"/>
    <w:p w14:paraId="6095EDCD" w14:textId="77777777" w:rsidR="0015400C" w:rsidRDefault="0015400C">
      <w:r>
        <w:br w:type="page"/>
      </w:r>
    </w:p>
    <w:tbl>
      <w:tblPr>
        <w:tblStyle w:val="ReportTable-TealRows"/>
        <w:tblW w:w="9639" w:type="dxa"/>
        <w:tblLook w:val="04A0" w:firstRow="1" w:lastRow="0" w:firstColumn="1" w:lastColumn="0" w:noHBand="0" w:noVBand="1"/>
      </w:tblPr>
      <w:tblGrid>
        <w:gridCol w:w="2694"/>
        <w:gridCol w:w="6945"/>
      </w:tblGrid>
      <w:tr w:rsidR="00CA6FEB" w:rsidRPr="00192F41" w14:paraId="65F0B478"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055A2320" w14:textId="54EF7491" w:rsidR="00CA6FEB" w:rsidRPr="00192F41" w:rsidRDefault="00CA6FEB">
            <w:pPr>
              <w:rPr>
                <w:rFonts w:cs="Arial"/>
                <w:sz w:val="20"/>
                <w:szCs w:val="20"/>
                <w:shd w:val="clear" w:color="auto" w:fill="FAF9F8"/>
              </w:rPr>
            </w:pPr>
            <w:r w:rsidRPr="009255D7">
              <w:rPr>
                <w:sz w:val="20"/>
                <w:szCs w:val="20"/>
              </w:rPr>
              <w:t xml:space="preserve">Project </w:t>
            </w:r>
            <w:r w:rsidR="00EC044A" w:rsidRPr="009255D7">
              <w:rPr>
                <w:sz w:val="20"/>
                <w:szCs w:val="20"/>
              </w:rPr>
              <w:t>n</w:t>
            </w:r>
            <w:r w:rsidRPr="009255D7">
              <w:rPr>
                <w:sz w:val="20"/>
                <w:szCs w:val="20"/>
              </w:rPr>
              <w:t>ame</w:t>
            </w:r>
          </w:p>
        </w:tc>
        <w:tc>
          <w:tcPr>
            <w:tcW w:w="6945" w:type="dxa"/>
            <w:vAlign w:val="top"/>
          </w:tcPr>
          <w:p w14:paraId="6E023679" w14:textId="6ECEC46E" w:rsidR="00CA6FEB" w:rsidRPr="00192F41" w:rsidRDefault="00CA6FEB">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9255D7">
              <w:rPr>
                <w:sz w:val="20"/>
                <w:szCs w:val="20"/>
              </w:rPr>
              <w:t xml:space="preserve">WID Modernisation Stages </w:t>
            </w:r>
            <w:r w:rsidR="00D57933" w:rsidRPr="009255D7">
              <w:rPr>
                <w:sz w:val="20"/>
                <w:szCs w:val="20"/>
              </w:rPr>
              <w:t>4</w:t>
            </w:r>
            <w:r w:rsidRPr="009255D7">
              <w:rPr>
                <w:sz w:val="20"/>
                <w:szCs w:val="20"/>
              </w:rPr>
              <w:t xml:space="preserve"> </w:t>
            </w:r>
            <w:r w:rsidR="00D57933" w:rsidRPr="009255D7">
              <w:rPr>
                <w:sz w:val="20"/>
                <w:szCs w:val="20"/>
              </w:rPr>
              <w:t>&amp;</w:t>
            </w:r>
            <w:r w:rsidRPr="009255D7">
              <w:rPr>
                <w:sz w:val="20"/>
                <w:szCs w:val="20"/>
              </w:rPr>
              <w:t xml:space="preserve"> </w:t>
            </w:r>
            <w:r w:rsidR="00D57933" w:rsidRPr="009255D7">
              <w:rPr>
                <w:sz w:val="20"/>
                <w:szCs w:val="20"/>
              </w:rPr>
              <w:t>5</w:t>
            </w:r>
          </w:p>
        </w:tc>
      </w:tr>
      <w:tr w:rsidR="005E36FD" w:rsidRPr="00192F41" w14:paraId="05854711"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221AC1D0" w14:textId="113A10B9" w:rsidR="005E36FD" w:rsidRPr="00192F41" w:rsidRDefault="005E36FD" w:rsidP="00B1674E">
            <w:pPr>
              <w:spacing w:before="40" w:after="40"/>
              <w:rPr>
                <w:rFonts w:cs="Arial"/>
                <w:b/>
                <w:color w:val="000000" w:themeColor="text1"/>
                <w:szCs w:val="20"/>
                <w:shd w:val="clear" w:color="auto" w:fill="FAF9F8"/>
              </w:rPr>
            </w:pPr>
            <w:r w:rsidRPr="00C019F2">
              <w:t xml:space="preserve">Total </w:t>
            </w:r>
            <w:r w:rsidR="00EC044A">
              <w:t>p</w:t>
            </w:r>
            <w:r w:rsidRPr="00C019F2">
              <w:t xml:space="preserve">roject </w:t>
            </w:r>
            <w:r w:rsidR="00EC044A">
              <w:t>v</w:t>
            </w:r>
            <w:r w:rsidRPr="00C019F2">
              <w:t>alue</w:t>
            </w:r>
            <w:r w:rsidR="00EC044A">
              <w:t xml:space="preserve"> </w:t>
            </w:r>
          </w:p>
        </w:tc>
        <w:tc>
          <w:tcPr>
            <w:tcW w:w="6945" w:type="dxa"/>
            <w:vAlign w:val="top"/>
          </w:tcPr>
          <w:p w14:paraId="778A08EC" w14:textId="06717202" w:rsidR="00453708" w:rsidRPr="00F60374" w:rsidRDefault="000E0D3C"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F60374">
              <w:t>$22</w:t>
            </w:r>
            <w:r w:rsidR="00EC044A">
              <w:t xml:space="preserve"> </w:t>
            </w:r>
            <w:r w:rsidRPr="00F60374">
              <w:t>m</w:t>
            </w:r>
            <w:r w:rsidR="00EC044A">
              <w:t>illion</w:t>
            </w:r>
            <w:r w:rsidRPr="00F60374">
              <w:t xml:space="preserve"> ($</w:t>
            </w:r>
            <w:r w:rsidR="00A55BD4" w:rsidRPr="00F60374">
              <w:t>8.7</w:t>
            </w:r>
            <w:r w:rsidR="00EC044A">
              <w:t xml:space="preserve"> </w:t>
            </w:r>
            <w:r w:rsidR="00A55BD4" w:rsidRPr="00F60374">
              <w:t>m</w:t>
            </w:r>
            <w:r w:rsidR="00EC044A">
              <w:t>illion</w:t>
            </w:r>
            <w:r w:rsidRPr="00F60374">
              <w:t xml:space="preserve"> within period) – 50% grant funded</w:t>
            </w:r>
            <w:r w:rsidR="00A55BD4" w:rsidRPr="00F60374">
              <w:t>.</w:t>
            </w:r>
            <w:r w:rsidR="00CC1F61" w:rsidRPr="00F60374">
              <w:t xml:space="preserve"> Project brought forward upon receipt of grant funding</w:t>
            </w:r>
            <w:r w:rsidR="00E80A2A" w:rsidRPr="00F60374">
              <w:t xml:space="preserve"> that will enable completion of modernisation for the W</w:t>
            </w:r>
            <w:r w:rsidR="00581EF8" w:rsidRPr="00F60374">
              <w:t xml:space="preserve">erribee </w:t>
            </w:r>
            <w:r w:rsidR="0080562F">
              <w:t>I</w:t>
            </w:r>
            <w:r w:rsidR="00581EF8" w:rsidRPr="00F60374">
              <w:t xml:space="preserve">rrigation </w:t>
            </w:r>
            <w:r w:rsidR="0080562F">
              <w:t>D</w:t>
            </w:r>
            <w:r w:rsidR="00581EF8" w:rsidRPr="00F60374">
              <w:t>istrict.</w:t>
            </w:r>
            <w:r w:rsidR="00EB3821" w:rsidRPr="00F60374">
              <w:t xml:space="preserve"> Funding had not been secured at the time of </w:t>
            </w:r>
            <w:r w:rsidR="00F60374" w:rsidRPr="00F60374">
              <w:t xml:space="preserve">Price Submission </w:t>
            </w:r>
            <w:r w:rsidR="0080562F">
              <w:t xml:space="preserve">2018 </w:t>
            </w:r>
            <w:r w:rsidR="00F60374" w:rsidRPr="00F60374">
              <w:t>development</w:t>
            </w:r>
            <w:r w:rsidR="00453708" w:rsidRPr="00F60374">
              <w:t>.</w:t>
            </w:r>
          </w:p>
        </w:tc>
      </w:tr>
      <w:tr w:rsidR="00CA6FEB" w:rsidRPr="00C72A31" w14:paraId="0340A01D"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6503F811" w14:textId="2423CDC8" w:rsidR="00CA6FEB" w:rsidRPr="00C72A31" w:rsidRDefault="005E36FD" w:rsidP="00B1674E">
            <w:pPr>
              <w:spacing w:before="40" w:after="40"/>
            </w:pPr>
            <w:r w:rsidRPr="00C019F2">
              <w:t>Timing</w:t>
            </w:r>
            <w:r>
              <w:t xml:space="preserve"> / </w:t>
            </w:r>
            <w:r w:rsidR="00EC044A">
              <w:t>s</w:t>
            </w:r>
            <w:r>
              <w:t>tatus</w:t>
            </w:r>
          </w:p>
        </w:tc>
        <w:tc>
          <w:tcPr>
            <w:tcW w:w="6945" w:type="dxa"/>
            <w:vAlign w:val="top"/>
          </w:tcPr>
          <w:p w14:paraId="64509A69" w14:textId="0CBA2E4C" w:rsidR="00CA6FEB" w:rsidRPr="00A55BD4" w:rsidRDefault="005E36FD" w:rsidP="00B1674E">
            <w:pPr>
              <w:spacing w:before="40" w:after="40"/>
              <w:cnfStyle w:val="000000000000" w:firstRow="0" w:lastRow="0" w:firstColumn="0" w:lastColumn="0" w:oddVBand="0" w:evenVBand="0" w:oddHBand="0" w:evenHBand="0" w:firstRowFirstColumn="0" w:firstRowLastColumn="0" w:lastRowFirstColumn="0" w:lastRowLastColumn="0"/>
            </w:pPr>
            <w:r w:rsidRPr="00A55BD4">
              <w:t>Commenced FY</w:t>
            </w:r>
            <w:r w:rsidR="6840A5FD" w:rsidRPr="00A55BD4">
              <w:t>22</w:t>
            </w:r>
            <w:r w:rsidRPr="00A55BD4">
              <w:t>, co</w:t>
            </w:r>
            <w:r w:rsidR="00B80191" w:rsidRPr="00A55BD4">
              <w:t>ntinuing to</w:t>
            </w:r>
            <w:r w:rsidRPr="00A55BD4">
              <w:t xml:space="preserve"> FY</w:t>
            </w:r>
            <w:r w:rsidR="531C93DB" w:rsidRPr="00A55BD4">
              <w:t>25</w:t>
            </w:r>
            <w:r w:rsidRPr="00A55BD4">
              <w:t>.</w:t>
            </w:r>
          </w:p>
        </w:tc>
      </w:tr>
      <w:tr w:rsidR="00CA6FEB" w:rsidRPr="00C72A31" w14:paraId="1718CF0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3ECBE0C0" w14:textId="11D42C6A" w:rsidR="00CA6FEB" w:rsidRPr="007643C1" w:rsidRDefault="00CA6FEB" w:rsidP="00B1674E">
            <w:pPr>
              <w:spacing w:before="40" w:after="40"/>
            </w:pPr>
            <w:r w:rsidRPr="00D52B42">
              <w:t xml:space="preserve">Cost </w:t>
            </w:r>
            <w:r w:rsidR="00EC044A">
              <w:t>d</w:t>
            </w:r>
            <w:r w:rsidRPr="00D52B42">
              <w:t xml:space="preserve">river </w:t>
            </w:r>
          </w:p>
        </w:tc>
        <w:tc>
          <w:tcPr>
            <w:tcW w:w="6945" w:type="dxa"/>
            <w:vAlign w:val="top"/>
          </w:tcPr>
          <w:p w14:paraId="2E79F0D4" w14:textId="77777777" w:rsidR="00CA6FEB" w:rsidRPr="007643C1" w:rsidRDefault="00CA6FEB" w:rsidP="00B1674E">
            <w:pPr>
              <w:spacing w:before="40" w:after="40"/>
              <w:cnfStyle w:val="000000100000" w:firstRow="0" w:lastRow="0" w:firstColumn="0" w:lastColumn="0" w:oddVBand="0" w:evenVBand="0" w:oddHBand="1" w:evenHBand="0" w:firstRowFirstColumn="0" w:firstRowLastColumn="0" w:lastRowFirstColumn="0" w:lastRowLastColumn="0"/>
            </w:pPr>
            <w:r w:rsidRPr="00D52B42">
              <w:t>Improvement/compliance</w:t>
            </w:r>
          </w:p>
        </w:tc>
      </w:tr>
      <w:tr w:rsidR="00CA6FEB" w:rsidRPr="00C72A31" w14:paraId="745DFE48"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2DCA38F9" w14:textId="77777777" w:rsidR="00CA6FEB" w:rsidRPr="00C72A31" w:rsidRDefault="00CA6FEB" w:rsidP="00B1674E">
            <w:pPr>
              <w:spacing w:before="40" w:after="40"/>
            </w:pPr>
            <w:r w:rsidRPr="00D52B42">
              <w:t>Outcome</w:t>
            </w:r>
          </w:p>
        </w:tc>
        <w:tc>
          <w:tcPr>
            <w:tcW w:w="6945" w:type="dxa"/>
            <w:vAlign w:val="top"/>
          </w:tcPr>
          <w:p w14:paraId="41F8799B" w14:textId="77777777" w:rsidR="00CA6FEB" w:rsidRPr="00C72A31" w:rsidRDefault="00CA6FEB" w:rsidP="00B1674E">
            <w:pPr>
              <w:spacing w:before="40" w:after="40"/>
              <w:cnfStyle w:val="000000000000" w:firstRow="0" w:lastRow="0" w:firstColumn="0" w:lastColumn="0" w:oddVBand="0" w:evenVBand="0" w:oddHBand="0" w:evenHBand="0" w:firstRowFirstColumn="0" w:firstRowLastColumn="0" w:lastRowFirstColumn="0" w:lastRowLastColumn="0"/>
            </w:pPr>
            <w:r w:rsidRPr="00D52B42">
              <w:t>Reliable water supply, sustainable water</w:t>
            </w:r>
          </w:p>
        </w:tc>
      </w:tr>
      <w:tr w:rsidR="00CA6FEB" w:rsidRPr="00670249" w14:paraId="490ECE14"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vAlign w:val="top"/>
          </w:tcPr>
          <w:p w14:paraId="6BB47E1B" w14:textId="77777777" w:rsidR="00CA6FEB" w:rsidRPr="00670249" w:rsidRDefault="00CA6FEB" w:rsidP="00B1674E">
            <w:pPr>
              <w:spacing w:before="40" w:after="40"/>
              <w:rPr>
                <w:b/>
                <w:bCs/>
              </w:rPr>
            </w:pPr>
            <w:r w:rsidRPr="00D52B42">
              <w:t>Description</w:t>
            </w:r>
          </w:p>
        </w:tc>
        <w:tc>
          <w:tcPr>
            <w:tcW w:w="6945" w:type="dxa"/>
            <w:tcBorders>
              <w:bottom w:val="single" w:sz="4" w:space="0" w:color="auto"/>
            </w:tcBorders>
            <w:vAlign w:val="top"/>
          </w:tcPr>
          <w:p w14:paraId="0656BFF5" w14:textId="3D4344F5" w:rsidR="00CA6FEB" w:rsidRPr="00670249" w:rsidRDefault="00CA6FEB"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D52B42">
              <w:t xml:space="preserve">Replacement of open channels with pipelines </w:t>
            </w:r>
            <w:r w:rsidR="00B725D0">
              <w:t>to</w:t>
            </w:r>
            <w:r w:rsidRPr="00D52B42">
              <w:t xml:space="preserve"> modernise </w:t>
            </w:r>
            <w:r w:rsidR="0021182B">
              <w:t xml:space="preserve">the first three </w:t>
            </w:r>
            <w:r w:rsidRPr="00D52B42">
              <w:t>stages of the Werribee Irrigation District</w:t>
            </w:r>
          </w:p>
        </w:tc>
      </w:tr>
    </w:tbl>
    <w:p w14:paraId="5804B852" w14:textId="77777777" w:rsidR="00CA6FEB" w:rsidRDefault="00CA6FEB" w:rsidP="00CA6FEB">
      <w:pPr>
        <w:rPr>
          <w:rFonts w:cs="Arial"/>
        </w:rPr>
      </w:pPr>
    </w:p>
    <w:tbl>
      <w:tblPr>
        <w:tblStyle w:val="ReportTable-TealRows"/>
        <w:tblW w:w="9639" w:type="dxa"/>
        <w:tblLook w:val="04A0" w:firstRow="1" w:lastRow="0" w:firstColumn="1" w:lastColumn="0" w:noHBand="0" w:noVBand="1"/>
      </w:tblPr>
      <w:tblGrid>
        <w:gridCol w:w="2694"/>
        <w:gridCol w:w="6945"/>
      </w:tblGrid>
      <w:tr w:rsidR="0097157E" w:rsidRPr="00192F41" w14:paraId="45696767"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20BE3565" w14:textId="32243DF7" w:rsidR="0097157E" w:rsidRPr="00192F41" w:rsidRDefault="0097157E">
            <w:pPr>
              <w:rPr>
                <w:rFonts w:cs="Arial"/>
                <w:sz w:val="20"/>
                <w:szCs w:val="20"/>
                <w:shd w:val="clear" w:color="auto" w:fill="FAF9F8"/>
              </w:rPr>
            </w:pPr>
            <w:r w:rsidRPr="009255D7">
              <w:rPr>
                <w:sz w:val="20"/>
                <w:szCs w:val="20"/>
              </w:rPr>
              <w:t xml:space="preserve">Project </w:t>
            </w:r>
            <w:r w:rsidR="00EC044A" w:rsidRPr="009255D7">
              <w:rPr>
                <w:sz w:val="20"/>
                <w:szCs w:val="20"/>
              </w:rPr>
              <w:t>n</w:t>
            </w:r>
            <w:r w:rsidRPr="009255D7">
              <w:rPr>
                <w:sz w:val="20"/>
                <w:szCs w:val="20"/>
              </w:rPr>
              <w:t>ame</w:t>
            </w:r>
          </w:p>
        </w:tc>
        <w:tc>
          <w:tcPr>
            <w:tcW w:w="6945" w:type="dxa"/>
            <w:vAlign w:val="top"/>
          </w:tcPr>
          <w:p w14:paraId="3C13246E" w14:textId="77777777" w:rsidR="0097157E" w:rsidRPr="00192F41" w:rsidRDefault="0097157E">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9255D7">
              <w:rPr>
                <w:sz w:val="20"/>
                <w:szCs w:val="20"/>
              </w:rPr>
              <w:t>Main Northern Channel Siphon No. 2</w:t>
            </w:r>
          </w:p>
        </w:tc>
      </w:tr>
      <w:tr w:rsidR="0097157E" w:rsidRPr="00192F41" w14:paraId="72516E30"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77B0B348" w14:textId="03B19723" w:rsidR="0097157E" w:rsidRPr="00192F41" w:rsidRDefault="0097157E" w:rsidP="00B1674E">
            <w:pPr>
              <w:spacing w:before="40" w:after="40"/>
              <w:rPr>
                <w:rFonts w:cs="Arial"/>
                <w:b/>
                <w:color w:val="000000" w:themeColor="text1"/>
                <w:szCs w:val="20"/>
                <w:shd w:val="clear" w:color="auto" w:fill="FAF9F8"/>
              </w:rPr>
            </w:pPr>
            <w:r w:rsidRPr="00654552">
              <w:t xml:space="preserve">Total </w:t>
            </w:r>
            <w:r w:rsidR="00EC044A">
              <w:t>p</w:t>
            </w:r>
            <w:r w:rsidRPr="00654552">
              <w:t xml:space="preserve">roject </w:t>
            </w:r>
            <w:r w:rsidR="00EC044A">
              <w:t>v</w:t>
            </w:r>
            <w:r w:rsidRPr="00654552">
              <w:t>alue</w:t>
            </w:r>
            <w:r w:rsidR="00EC044A">
              <w:t xml:space="preserve"> </w:t>
            </w:r>
          </w:p>
        </w:tc>
        <w:tc>
          <w:tcPr>
            <w:tcW w:w="6945" w:type="dxa"/>
            <w:vAlign w:val="top"/>
          </w:tcPr>
          <w:p w14:paraId="50DABB54" w14:textId="3ABE74FD" w:rsidR="0097157E" w:rsidRPr="00192F41" w:rsidRDefault="0097157E"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654552">
              <w:t>$3.4</w:t>
            </w:r>
            <w:r w:rsidR="0080562F">
              <w:t xml:space="preserve"> </w:t>
            </w:r>
            <w:r>
              <w:t>m</w:t>
            </w:r>
            <w:r w:rsidR="0080562F">
              <w:t>illion</w:t>
            </w:r>
            <w:r w:rsidRPr="00654552">
              <w:t xml:space="preserve"> ($</w:t>
            </w:r>
            <w:r w:rsidR="00DD4D3E">
              <w:t>2.5</w:t>
            </w:r>
            <w:r w:rsidR="0080562F">
              <w:t xml:space="preserve"> </w:t>
            </w:r>
            <w:r>
              <w:t>m</w:t>
            </w:r>
            <w:r w:rsidR="0080562F">
              <w:t>illion</w:t>
            </w:r>
            <w:r w:rsidRPr="00654552">
              <w:t xml:space="preserve"> within period) – 50% grant funded</w:t>
            </w:r>
            <w:r w:rsidR="002E4FF9">
              <w:t xml:space="preserve">. </w:t>
            </w:r>
            <w:r w:rsidR="00537F1F">
              <w:t>Project brought forward after condition assessment identified poor condition of this critical asset, and upon receipt of grant.</w:t>
            </w:r>
          </w:p>
        </w:tc>
      </w:tr>
      <w:tr w:rsidR="0097157E" w:rsidRPr="00192F41" w14:paraId="0D4A3887"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38FD1E20" w14:textId="4C6B12EC" w:rsidR="0097157E" w:rsidRPr="00192F41" w:rsidRDefault="0097157E" w:rsidP="00B1674E">
            <w:pPr>
              <w:spacing w:before="40" w:after="40"/>
              <w:rPr>
                <w:rFonts w:cs="Arial"/>
                <w:b/>
                <w:color w:val="000000" w:themeColor="text1"/>
                <w:szCs w:val="20"/>
                <w:shd w:val="clear" w:color="auto" w:fill="FAF9F8"/>
              </w:rPr>
            </w:pPr>
            <w:r w:rsidRPr="00654552">
              <w:t>Timing</w:t>
            </w:r>
            <w:r>
              <w:t xml:space="preserve"> / </w:t>
            </w:r>
            <w:r w:rsidR="00EC044A">
              <w:t>s</w:t>
            </w:r>
            <w:r>
              <w:t>tatus</w:t>
            </w:r>
          </w:p>
        </w:tc>
        <w:tc>
          <w:tcPr>
            <w:tcW w:w="6945" w:type="dxa"/>
            <w:vAlign w:val="top"/>
          </w:tcPr>
          <w:p w14:paraId="617980AC" w14:textId="1B296AC8" w:rsidR="0097157E" w:rsidRPr="00192F41" w:rsidRDefault="0097157E"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hd w:val="clear" w:color="auto" w:fill="FAF9F8"/>
              </w:rPr>
            </w:pPr>
            <w:r w:rsidRPr="00654552">
              <w:t>Commenced FY21 to be completed FY24</w:t>
            </w:r>
            <w:r>
              <w:t>. Business case approved (Gate 2). Detail design in progress.</w:t>
            </w:r>
            <w:r w:rsidR="77A49904">
              <w:t xml:space="preserve"> Construction commencing in 2022-23.</w:t>
            </w:r>
          </w:p>
        </w:tc>
      </w:tr>
      <w:tr w:rsidR="0097157E" w:rsidRPr="00C72A31" w14:paraId="56298F63"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vAlign w:val="top"/>
          </w:tcPr>
          <w:p w14:paraId="1713ECA1" w14:textId="1F3D09CA" w:rsidR="0097157E" w:rsidRPr="007643C1" w:rsidRDefault="0097157E" w:rsidP="00B1674E">
            <w:pPr>
              <w:spacing w:before="40" w:after="40"/>
            </w:pPr>
            <w:r w:rsidRPr="00654552">
              <w:t xml:space="preserve">Cost </w:t>
            </w:r>
            <w:r w:rsidR="00EC044A">
              <w:t>d</w:t>
            </w:r>
            <w:r w:rsidRPr="00654552">
              <w:t xml:space="preserve">river </w:t>
            </w:r>
          </w:p>
        </w:tc>
        <w:tc>
          <w:tcPr>
            <w:tcW w:w="6945" w:type="dxa"/>
            <w:vAlign w:val="top"/>
          </w:tcPr>
          <w:p w14:paraId="72698BEA" w14:textId="77777777" w:rsidR="0097157E" w:rsidRPr="007643C1" w:rsidRDefault="0097157E" w:rsidP="00B1674E">
            <w:pPr>
              <w:spacing w:before="40" w:after="40"/>
              <w:cnfStyle w:val="000000100000" w:firstRow="0" w:lastRow="0" w:firstColumn="0" w:lastColumn="0" w:oddVBand="0" w:evenVBand="0" w:oddHBand="1" w:evenHBand="0" w:firstRowFirstColumn="0" w:firstRowLastColumn="0" w:lastRowFirstColumn="0" w:lastRowLastColumn="0"/>
            </w:pPr>
            <w:r w:rsidRPr="00654552">
              <w:t>Renewal</w:t>
            </w:r>
          </w:p>
        </w:tc>
      </w:tr>
      <w:tr w:rsidR="0097157E" w:rsidRPr="00C72A31" w14:paraId="3DE1CA6D" w14:textId="77777777" w:rsidTr="00E37FBC">
        <w:tc>
          <w:tcPr>
            <w:cnfStyle w:val="001000000000" w:firstRow="0" w:lastRow="0" w:firstColumn="1" w:lastColumn="0" w:oddVBand="0" w:evenVBand="0" w:oddHBand="0" w:evenHBand="0" w:firstRowFirstColumn="0" w:firstRowLastColumn="0" w:lastRowFirstColumn="0" w:lastRowLastColumn="0"/>
            <w:tcW w:w="2694" w:type="dxa"/>
            <w:vAlign w:val="top"/>
          </w:tcPr>
          <w:p w14:paraId="136E9AB7" w14:textId="77777777" w:rsidR="0097157E" w:rsidRPr="00C72A31" w:rsidRDefault="0097157E" w:rsidP="00B1674E">
            <w:pPr>
              <w:spacing w:before="40" w:after="40"/>
            </w:pPr>
            <w:r w:rsidRPr="00654552">
              <w:t>Outcome</w:t>
            </w:r>
          </w:p>
        </w:tc>
        <w:tc>
          <w:tcPr>
            <w:tcW w:w="6945" w:type="dxa"/>
            <w:vAlign w:val="top"/>
          </w:tcPr>
          <w:p w14:paraId="1532187A" w14:textId="77777777" w:rsidR="0097157E" w:rsidRPr="00C72A31" w:rsidRDefault="0097157E" w:rsidP="00B1674E">
            <w:pPr>
              <w:spacing w:before="40" w:after="40"/>
              <w:cnfStyle w:val="000000000000" w:firstRow="0" w:lastRow="0" w:firstColumn="0" w:lastColumn="0" w:oddVBand="0" w:evenVBand="0" w:oddHBand="0" w:evenHBand="0" w:firstRowFirstColumn="0" w:firstRowLastColumn="0" w:lastRowFirstColumn="0" w:lastRowLastColumn="0"/>
            </w:pPr>
            <w:r w:rsidRPr="00654552">
              <w:t>Reliable water supply, sustainable water</w:t>
            </w:r>
          </w:p>
        </w:tc>
      </w:tr>
      <w:tr w:rsidR="0097157E" w:rsidRPr="00670249" w14:paraId="446A05D0"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tcBorders>
              <w:bottom w:val="single" w:sz="4" w:space="0" w:color="auto"/>
            </w:tcBorders>
            <w:vAlign w:val="top"/>
          </w:tcPr>
          <w:p w14:paraId="462D3DAE" w14:textId="77777777" w:rsidR="0097157E" w:rsidRPr="00670249" w:rsidRDefault="0097157E" w:rsidP="00B1674E">
            <w:pPr>
              <w:spacing w:before="40" w:after="40"/>
              <w:rPr>
                <w:b/>
                <w:bCs/>
              </w:rPr>
            </w:pPr>
            <w:r w:rsidRPr="00654552">
              <w:t>Description</w:t>
            </w:r>
          </w:p>
        </w:tc>
        <w:tc>
          <w:tcPr>
            <w:tcW w:w="6945" w:type="dxa"/>
            <w:tcBorders>
              <w:bottom w:val="single" w:sz="4" w:space="0" w:color="auto"/>
            </w:tcBorders>
            <w:vAlign w:val="top"/>
          </w:tcPr>
          <w:p w14:paraId="50A4269C" w14:textId="33417ED4" w:rsidR="0097157E" w:rsidRPr="00670249" w:rsidRDefault="0097157E" w:rsidP="00B1674E">
            <w:pPr>
              <w:spacing w:before="40" w:after="40"/>
              <w:cnfStyle w:val="000000100000" w:firstRow="0" w:lastRow="0" w:firstColumn="0" w:lastColumn="0" w:oddVBand="0" w:evenVBand="0" w:oddHBand="1" w:evenHBand="0" w:firstRowFirstColumn="0" w:firstRowLastColumn="0" w:lastRowFirstColumn="0" w:lastRowLastColumn="0"/>
            </w:pPr>
            <w:r w:rsidRPr="00654552">
              <w:t>Replace high risk siphon on the Main Northern Channel</w:t>
            </w:r>
          </w:p>
        </w:tc>
      </w:tr>
    </w:tbl>
    <w:p w14:paraId="14E64D8F" w14:textId="4793B0F5" w:rsidR="003A18C9" w:rsidRDefault="003A18C9">
      <w:pPr>
        <w:rPr>
          <w:rFonts w:cs="Arial"/>
        </w:rPr>
      </w:pPr>
    </w:p>
    <w:tbl>
      <w:tblPr>
        <w:tblStyle w:val="ReportTable-TealRows"/>
        <w:tblW w:w="9639" w:type="dxa"/>
        <w:tblLook w:val="04A0" w:firstRow="1" w:lastRow="0" w:firstColumn="1" w:lastColumn="0" w:noHBand="0" w:noVBand="1"/>
      </w:tblPr>
      <w:tblGrid>
        <w:gridCol w:w="2410"/>
        <w:gridCol w:w="7229"/>
      </w:tblGrid>
      <w:tr w:rsidR="0097157E" w:rsidRPr="00192F41" w14:paraId="6F6EA1A6" w14:textId="77777777" w:rsidTr="00E37F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Align w:val="top"/>
          </w:tcPr>
          <w:p w14:paraId="342376DC" w14:textId="15FC8D8B" w:rsidR="0097157E" w:rsidRPr="00192F41" w:rsidRDefault="0097157E">
            <w:pPr>
              <w:rPr>
                <w:rFonts w:cs="Arial"/>
                <w:sz w:val="20"/>
                <w:szCs w:val="20"/>
                <w:shd w:val="clear" w:color="auto" w:fill="FAF9F8"/>
              </w:rPr>
            </w:pPr>
            <w:r w:rsidRPr="009255D7">
              <w:rPr>
                <w:sz w:val="20"/>
                <w:szCs w:val="20"/>
              </w:rPr>
              <w:t xml:space="preserve">Project </w:t>
            </w:r>
            <w:r w:rsidR="00D32BFF" w:rsidRPr="009255D7">
              <w:rPr>
                <w:sz w:val="20"/>
                <w:szCs w:val="20"/>
              </w:rPr>
              <w:t>n</w:t>
            </w:r>
            <w:r w:rsidRPr="009255D7">
              <w:rPr>
                <w:sz w:val="20"/>
                <w:szCs w:val="20"/>
              </w:rPr>
              <w:t>ame</w:t>
            </w:r>
          </w:p>
        </w:tc>
        <w:tc>
          <w:tcPr>
            <w:tcW w:w="7229" w:type="dxa"/>
            <w:vAlign w:val="top"/>
          </w:tcPr>
          <w:p w14:paraId="4F93AD5D" w14:textId="77777777" w:rsidR="0097157E" w:rsidRPr="00192F41" w:rsidRDefault="0097157E">
            <w:pP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9255D7">
              <w:rPr>
                <w:sz w:val="20"/>
                <w:szCs w:val="20"/>
              </w:rPr>
              <w:t>Main Southern Channel Siphon No. 2</w:t>
            </w:r>
          </w:p>
        </w:tc>
      </w:tr>
      <w:tr w:rsidR="0097157E" w:rsidRPr="00192F41" w14:paraId="516635F6"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Align w:val="top"/>
          </w:tcPr>
          <w:p w14:paraId="023C477B" w14:textId="44BAB621" w:rsidR="0097157E" w:rsidRPr="00192F41" w:rsidRDefault="0097157E" w:rsidP="00B1674E">
            <w:pPr>
              <w:spacing w:before="40" w:after="40"/>
              <w:rPr>
                <w:rFonts w:cs="Arial"/>
                <w:b/>
                <w:color w:val="000000" w:themeColor="text1"/>
                <w:szCs w:val="20"/>
                <w:shd w:val="clear" w:color="auto" w:fill="FAF9F8"/>
              </w:rPr>
            </w:pPr>
            <w:r w:rsidRPr="00DC0804">
              <w:t>Total</w:t>
            </w:r>
            <w:r w:rsidR="00D32BFF">
              <w:t xml:space="preserve"> p</w:t>
            </w:r>
            <w:r w:rsidRPr="00DC0804">
              <w:t xml:space="preserve">roject </w:t>
            </w:r>
            <w:r w:rsidR="00D32BFF">
              <w:t>v</w:t>
            </w:r>
            <w:r w:rsidRPr="00DC0804">
              <w:t>alue</w:t>
            </w:r>
          </w:p>
        </w:tc>
        <w:tc>
          <w:tcPr>
            <w:tcW w:w="7229" w:type="dxa"/>
            <w:vAlign w:val="top"/>
          </w:tcPr>
          <w:p w14:paraId="5D8EFBFE" w14:textId="6453DD6C" w:rsidR="0097157E" w:rsidRPr="00192F41" w:rsidRDefault="0097157E"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DC0804">
              <w:t>$1.5</w:t>
            </w:r>
            <w:r w:rsidR="00D32BFF">
              <w:t xml:space="preserve"> </w:t>
            </w:r>
            <w:r>
              <w:t>m</w:t>
            </w:r>
            <w:r w:rsidR="00D32BFF">
              <w:t>illion</w:t>
            </w:r>
            <w:r w:rsidRPr="00DC0804">
              <w:t xml:space="preserve"> ($</w:t>
            </w:r>
            <w:r w:rsidR="00DD4D3E">
              <w:t>1</w:t>
            </w:r>
            <w:r w:rsidRPr="00DC0804">
              <w:t>.</w:t>
            </w:r>
            <w:r w:rsidR="00DD4D3E">
              <w:t>2</w:t>
            </w:r>
            <w:r w:rsidR="00D32BFF">
              <w:t xml:space="preserve"> </w:t>
            </w:r>
            <w:r>
              <w:t>m</w:t>
            </w:r>
            <w:r w:rsidR="00D32BFF">
              <w:t>illion</w:t>
            </w:r>
            <w:r w:rsidRPr="00DC0804">
              <w:t xml:space="preserve"> within period) – 50% grant funded</w:t>
            </w:r>
            <w:r w:rsidR="002E4FF9">
              <w:t xml:space="preserve">. Project brought forward </w:t>
            </w:r>
            <w:r w:rsidR="00E3142D">
              <w:t xml:space="preserve">after condition assessment identified </w:t>
            </w:r>
            <w:r w:rsidR="00537F1F">
              <w:t xml:space="preserve">poor condition of this critical asset, and </w:t>
            </w:r>
            <w:r w:rsidR="002E4FF9">
              <w:t>upon receipt of grant.</w:t>
            </w:r>
          </w:p>
        </w:tc>
      </w:tr>
      <w:tr w:rsidR="0097157E" w:rsidRPr="00192F41" w14:paraId="73E6FBAA" w14:textId="77777777" w:rsidTr="00E37FBC">
        <w:tc>
          <w:tcPr>
            <w:cnfStyle w:val="001000000000" w:firstRow="0" w:lastRow="0" w:firstColumn="1" w:lastColumn="0" w:oddVBand="0" w:evenVBand="0" w:oddHBand="0" w:evenHBand="0" w:firstRowFirstColumn="0" w:firstRowLastColumn="0" w:lastRowFirstColumn="0" w:lastRowLastColumn="0"/>
            <w:tcW w:w="2410" w:type="dxa"/>
            <w:vAlign w:val="top"/>
          </w:tcPr>
          <w:p w14:paraId="5931046B" w14:textId="2F8DE6BD" w:rsidR="0097157E" w:rsidRPr="00192F41" w:rsidRDefault="0097157E" w:rsidP="00B1674E">
            <w:pPr>
              <w:spacing w:before="40" w:after="40"/>
              <w:rPr>
                <w:rFonts w:cs="Arial"/>
                <w:b/>
                <w:color w:val="000000" w:themeColor="text1"/>
                <w:szCs w:val="20"/>
                <w:shd w:val="clear" w:color="auto" w:fill="FAF9F8"/>
              </w:rPr>
            </w:pPr>
            <w:r w:rsidRPr="00DC0804">
              <w:t>Timing</w:t>
            </w:r>
            <w:r>
              <w:t xml:space="preserve"> / </w:t>
            </w:r>
            <w:r w:rsidR="00D32BFF">
              <w:t>s</w:t>
            </w:r>
            <w:r>
              <w:t>tatus</w:t>
            </w:r>
          </w:p>
        </w:tc>
        <w:tc>
          <w:tcPr>
            <w:tcW w:w="7229" w:type="dxa"/>
            <w:vAlign w:val="top"/>
          </w:tcPr>
          <w:p w14:paraId="488365D8" w14:textId="22EF4A8F" w:rsidR="0097157E" w:rsidRPr="00192F41" w:rsidRDefault="0097157E"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hd w:val="clear" w:color="auto" w:fill="FAF9F8"/>
              </w:rPr>
            </w:pPr>
            <w:r w:rsidRPr="00DC0804">
              <w:t>Commenced FY21 to be completed FY24</w:t>
            </w:r>
            <w:r>
              <w:t>. Business case approved (Gate 2). Detail design in progress.</w:t>
            </w:r>
            <w:r w:rsidR="06D9A3EB">
              <w:t xml:space="preserve"> Construction commencing in 2022-23.</w:t>
            </w:r>
          </w:p>
        </w:tc>
      </w:tr>
      <w:tr w:rsidR="0097157E" w:rsidRPr="00C72A31" w14:paraId="0F3D60A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vAlign w:val="top"/>
          </w:tcPr>
          <w:p w14:paraId="785C7AC4" w14:textId="46732D97" w:rsidR="0097157E" w:rsidRPr="007643C1" w:rsidRDefault="0097157E" w:rsidP="00B1674E">
            <w:pPr>
              <w:spacing w:before="40" w:after="40"/>
            </w:pPr>
            <w:r w:rsidRPr="00DC0804">
              <w:t xml:space="preserve">Cost </w:t>
            </w:r>
            <w:r w:rsidR="00D32BFF">
              <w:t>d</w:t>
            </w:r>
            <w:r w:rsidRPr="00DC0804">
              <w:t xml:space="preserve">river </w:t>
            </w:r>
          </w:p>
        </w:tc>
        <w:tc>
          <w:tcPr>
            <w:tcW w:w="7229" w:type="dxa"/>
            <w:vAlign w:val="top"/>
          </w:tcPr>
          <w:p w14:paraId="0EDEAA71" w14:textId="77777777" w:rsidR="0097157E" w:rsidRPr="007643C1" w:rsidRDefault="0097157E" w:rsidP="00B1674E">
            <w:pPr>
              <w:spacing w:before="40" w:after="40"/>
              <w:cnfStyle w:val="000000100000" w:firstRow="0" w:lastRow="0" w:firstColumn="0" w:lastColumn="0" w:oddVBand="0" w:evenVBand="0" w:oddHBand="1" w:evenHBand="0" w:firstRowFirstColumn="0" w:firstRowLastColumn="0" w:lastRowFirstColumn="0" w:lastRowLastColumn="0"/>
            </w:pPr>
            <w:r w:rsidRPr="00DC0804">
              <w:t>Renewal</w:t>
            </w:r>
          </w:p>
        </w:tc>
      </w:tr>
      <w:tr w:rsidR="0097157E" w:rsidRPr="00C72A31" w14:paraId="1CAE5FB2" w14:textId="77777777" w:rsidTr="00E37FBC">
        <w:tc>
          <w:tcPr>
            <w:cnfStyle w:val="001000000000" w:firstRow="0" w:lastRow="0" w:firstColumn="1" w:lastColumn="0" w:oddVBand="0" w:evenVBand="0" w:oddHBand="0" w:evenHBand="0" w:firstRowFirstColumn="0" w:firstRowLastColumn="0" w:lastRowFirstColumn="0" w:lastRowLastColumn="0"/>
            <w:tcW w:w="2410" w:type="dxa"/>
            <w:vAlign w:val="top"/>
          </w:tcPr>
          <w:p w14:paraId="40B0E771" w14:textId="77777777" w:rsidR="0097157E" w:rsidRPr="00C72A31" w:rsidRDefault="0097157E" w:rsidP="00B1674E">
            <w:pPr>
              <w:spacing w:before="40" w:after="40"/>
            </w:pPr>
            <w:r w:rsidRPr="00DC0804">
              <w:t>Outcome</w:t>
            </w:r>
          </w:p>
        </w:tc>
        <w:tc>
          <w:tcPr>
            <w:tcW w:w="7229" w:type="dxa"/>
            <w:vAlign w:val="top"/>
          </w:tcPr>
          <w:p w14:paraId="5DABA38E" w14:textId="77777777" w:rsidR="0097157E" w:rsidRPr="00C72A31" w:rsidRDefault="0097157E" w:rsidP="00B1674E">
            <w:pPr>
              <w:spacing w:before="40" w:after="40"/>
              <w:cnfStyle w:val="000000000000" w:firstRow="0" w:lastRow="0" w:firstColumn="0" w:lastColumn="0" w:oddVBand="0" w:evenVBand="0" w:oddHBand="0" w:evenHBand="0" w:firstRowFirstColumn="0" w:firstRowLastColumn="0" w:lastRowFirstColumn="0" w:lastRowLastColumn="0"/>
            </w:pPr>
            <w:r w:rsidRPr="00DC0804">
              <w:t>Reliable water supply, sustainable water</w:t>
            </w:r>
          </w:p>
        </w:tc>
      </w:tr>
      <w:tr w:rsidR="0097157E" w:rsidRPr="00670249" w14:paraId="7E7673C2" w14:textId="77777777" w:rsidTr="00E37F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single" w:sz="4" w:space="0" w:color="auto"/>
            </w:tcBorders>
            <w:vAlign w:val="top"/>
          </w:tcPr>
          <w:p w14:paraId="2F4FF58E" w14:textId="77777777" w:rsidR="0097157E" w:rsidRPr="00670249" w:rsidRDefault="0097157E" w:rsidP="00B1674E">
            <w:pPr>
              <w:spacing w:before="40" w:after="40"/>
              <w:rPr>
                <w:b/>
                <w:bCs/>
              </w:rPr>
            </w:pPr>
            <w:r w:rsidRPr="00DC0804">
              <w:t>Description</w:t>
            </w:r>
          </w:p>
        </w:tc>
        <w:tc>
          <w:tcPr>
            <w:tcW w:w="7229" w:type="dxa"/>
            <w:tcBorders>
              <w:bottom w:val="single" w:sz="4" w:space="0" w:color="auto"/>
            </w:tcBorders>
            <w:vAlign w:val="top"/>
          </w:tcPr>
          <w:p w14:paraId="298C17B6" w14:textId="58A41112" w:rsidR="0097157E" w:rsidRPr="00670249" w:rsidRDefault="0097157E" w:rsidP="00B1674E">
            <w:pPr>
              <w:spacing w:before="40" w:after="40"/>
              <w:cnfStyle w:val="000000100000" w:firstRow="0" w:lastRow="0" w:firstColumn="0" w:lastColumn="0" w:oddVBand="0" w:evenVBand="0" w:oddHBand="1" w:evenHBand="0" w:firstRowFirstColumn="0" w:firstRowLastColumn="0" w:lastRowFirstColumn="0" w:lastRowLastColumn="0"/>
              <w:rPr>
                <w:b/>
                <w:bCs/>
              </w:rPr>
            </w:pPr>
            <w:r w:rsidRPr="00DC0804">
              <w:t>Replace high</w:t>
            </w:r>
            <w:r w:rsidR="00D32BFF">
              <w:t>-</w:t>
            </w:r>
            <w:r w:rsidRPr="00DC0804">
              <w:t>risk siphon on the Main Southern Channel</w:t>
            </w:r>
          </w:p>
        </w:tc>
      </w:tr>
    </w:tbl>
    <w:p w14:paraId="09EE99DD" w14:textId="77777777" w:rsidR="00A12D0B" w:rsidRDefault="00A12D0B" w:rsidP="00887319">
      <w:pPr>
        <w:pStyle w:val="Heading2"/>
      </w:pPr>
    </w:p>
    <w:p w14:paraId="64E61891" w14:textId="77777777" w:rsidR="00A12D0B" w:rsidRDefault="00A12D0B">
      <w:pPr>
        <w:rPr>
          <w:rFonts w:eastAsiaTheme="majorEastAsia" w:cstheme="majorBidi"/>
          <w:b/>
          <w:color w:val="00B1B0"/>
          <w:sz w:val="36"/>
          <w:szCs w:val="26"/>
        </w:rPr>
      </w:pPr>
      <w:r>
        <w:br w:type="page"/>
      </w:r>
    </w:p>
    <w:p w14:paraId="4716A6C4" w14:textId="21917945" w:rsidR="00887319" w:rsidRPr="00887319" w:rsidRDefault="00A91D63" w:rsidP="00887319">
      <w:pPr>
        <w:pStyle w:val="Heading2"/>
      </w:pPr>
      <w:r w:rsidRPr="00E9519D">
        <w:t>Customer sentiment</w:t>
      </w:r>
    </w:p>
    <w:p w14:paraId="08F4AFA5" w14:textId="05D698BA" w:rsidR="00FC4DC8" w:rsidRPr="007248B2" w:rsidRDefault="005F0E04" w:rsidP="00AC6021">
      <w:pPr>
        <w:jc w:val="both"/>
      </w:pPr>
      <w:r w:rsidRPr="00192F41">
        <w:rPr>
          <w:rStyle w:val="IntenseEmphasis"/>
          <w:rFonts w:cs="Arial"/>
          <w:i w:val="0"/>
          <w:iCs w:val="0"/>
          <w:color w:val="auto"/>
        </w:rPr>
        <w:t>SRW enjoys a close working relationship with its customers</w:t>
      </w:r>
      <w:r w:rsidR="00A55C8A" w:rsidRPr="00192F41">
        <w:rPr>
          <w:rStyle w:val="IntenseEmphasis"/>
          <w:rFonts w:cs="Arial"/>
          <w:i w:val="0"/>
          <w:iCs w:val="0"/>
          <w:color w:val="auto"/>
        </w:rPr>
        <w:t>, reinforced through its customer committees (Macali</w:t>
      </w:r>
      <w:r w:rsidR="00FC4DC8" w:rsidRPr="00192F41">
        <w:rPr>
          <w:rStyle w:val="IntenseEmphasis"/>
          <w:rFonts w:cs="Arial"/>
          <w:i w:val="0"/>
          <w:iCs w:val="0"/>
          <w:color w:val="auto"/>
        </w:rPr>
        <w:t>s</w:t>
      </w:r>
      <w:r w:rsidR="00A55C8A" w:rsidRPr="00192F41">
        <w:rPr>
          <w:rStyle w:val="IntenseEmphasis"/>
          <w:rFonts w:cs="Arial"/>
          <w:i w:val="0"/>
          <w:iCs w:val="0"/>
          <w:color w:val="auto"/>
        </w:rPr>
        <w:t>ter Customer Consulta</w:t>
      </w:r>
      <w:r w:rsidR="00FC4DC8" w:rsidRPr="00192F41">
        <w:rPr>
          <w:rStyle w:val="IntenseEmphasis"/>
          <w:rFonts w:cs="Arial"/>
          <w:i w:val="0"/>
          <w:iCs w:val="0"/>
          <w:color w:val="auto"/>
        </w:rPr>
        <w:t>t</w:t>
      </w:r>
      <w:r w:rsidR="00A55C8A" w:rsidRPr="00192F41">
        <w:rPr>
          <w:rStyle w:val="IntenseEmphasis"/>
          <w:rFonts w:cs="Arial"/>
          <w:i w:val="0"/>
          <w:iCs w:val="0"/>
          <w:color w:val="auto"/>
        </w:rPr>
        <w:t>ive Committee and the Werribee</w:t>
      </w:r>
      <w:r w:rsidR="00FC4DC8" w:rsidRPr="00192F41">
        <w:rPr>
          <w:rStyle w:val="IntenseEmphasis"/>
          <w:rFonts w:cs="Arial"/>
          <w:i w:val="0"/>
          <w:iCs w:val="0"/>
          <w:color w:val="auto"/>
        </w:rPr>
        <w:t xml:space="preserve"> and Bacchus Marc</w:t>
      </w:r>
      <w:r w:rsidR="004E0F26" w:rsidRPr="00192F41">
        <w:rPr>
          <w:rStyle w:val="IntenseEmphasis"/>
          <w:rFonts w:cs="Arial"/>
          <w:i w:val="0"/>
          <w:iCs w:val="0"/>
          <w:color w:val="auto"/>
        </w:rPr>
        <w:t>h</w:t>
      </w:r>
      <w:r w:rsidR="00FC4DC8" w:rsidRPr="00192F41">
        <w:rPr>
          <w:rStyle w:val="IntenseEmphasis"/>
          <w:rFonts w:cs="Arial"/>
          <w:i w:val="0"/>
          <w:iCs w:val="0"/>
          <w:color w:val="auto"/>
        </w:rPr>
        <w:t xml:space="preserve"> Customer Consultative Committee) and the </w:t>
      </w:r>
      <w:r w:rsidR="00202039" w:rsidRPr="007248B2">
        <w:t xml:space="preserve">Southern Groundwater </w:t>
      </w:r>
      <w:r w:rsidR="000329D2" w:rsidRPr="007248B2">
        <w:t>and</w:t>
      </w:r>
      <w:r w:rsidR="00202039" w:rsidRPr="007248B2">
        <w:t xml:space="preserve"> Rivers Forum</w:t>
      </w:r>
      <w:r w:rsidR="00FC4DC8" w:rsidRPr="007248B2">
        <w:t xml:space="preserve"> with whom we meet regularly throughout the year.</w:t>
      </w:r>
      <w:r w:rsidR="0067520E" w:rsidRPr="007248B2">
        <w:t xml:space="preserve"> The customer committees provide valuable feedback on our performance and </w:t>
      </w:r>
      <w:r w:rsidR="003D0D8D" w:rsidRPr="007248B2">
        <w:t xml:space="preserve">matters </w:t>
      </w:r>
      <w:r w:rsidR="0067520E" w:rsidRPr="007248B2">
        <w:t>of concern to our customers.</w:t>
      </w:r>
      <w:r w:rsidR="00A475F4" w:rsidRPr="007248B2">
        <w:t xml:space="preserve"> </w:t>
      </w:r>
    </w:p>
    <w:p w14:paraId="7E676EC0" w14:textId="19CC7F04" w:rsidR="00175384" w:rsidRPr="00192F41" w:rsidRDefault="00175384" w:rsidP="00AC6021">
      <w:pPr>
        <w:jc w:val="both"/>
        <w:rPr>
          <w:rStyle w:val="IntenseEmphasis"/>
          <w:rFonts w:cs="Arial"/>
          <w:i w:val="0"/>
          <w:iCs w:val="0"/>
          <w:color w:val="auto"/>
        </w:rPr>
      </w:pPr>
      <w:r w:rsidRPr="00192F41">
        <w:rPr>
          <w:rStyle w:val="IntenseEmphasis"/>
          <w:rFonts w:cs="Arial"/>
          <w:i w:val="0"/>
          <w:iCs w:val="0"/>
          <w:color w:val="auto"/>
        </w:rPr>
        <w:t>SRW commissioned CSBA to conduct its customer satisfaction survey in 2019</w:t>
      </w:r>
      <w:r w:rsidR="005F733F" w:rsidRPr="00192F41">
        <w:rPr>
          <w:rStyle w:val="IntenseEmphasis"/>
          <w:rFonts w:cs="Arial"/>
          <w:i w:val="0"/>
          <w:iCs w:val="0"/>
          <w:color w:val="auto"/>
        </w:rPr>
        <w:t xml:space="preserve"> and again in </w:t>
      </w:r>
      <w:r w:rsidRPr="00192F41">
        <w:rPr>
          <w:rStyle w:val="IntenseEmphasis"/>
          <w:rFonts w:cs="Arial"/>
          <w:i w:val="0"/>
          <w:iCs w:val="0"/>
          <w:color w:val="auto"/>
        </w:rPr>
        <w:t>2022.</w:t>
      </w:r>
      <w:r w:rsidR="00525C1A" w:rsidRPr="00192F41">
        <w:rPr>
          <w:rStyle w:val="IntenseEmphasis"/>
          <w:rFonts w:cs="Arial"/>
          <w:i w:val="0"/>
          <w:iCs w:val="0"/>
          <w:color w:val="auto"/>
        </w:rPr>
        <w:t xml:space="preserve"> A total of 883 customers were interviewed</w:t>
      </w:r>
      <w:r w:rsidR="00565B3D" w:rsidRPr="00192F41">
        <w:rPr>
          <w:rStyle w:val="IntenseEmphasis"/>
          <w:rFonts w:cs="Arial"/>
          <w:i w:val="0"/>
          <w:iCs w:val="0"/>
          <w:color w:val="auto"/>
        </w:rPr>
        <w:t xml:space="preserve"> in 2022</w:t>
      </w:r>
      <w:r w:rsidR="00FB7AEF">
        <w:rPr>
          <w:rStyle w:val="IntenseEmphasis"/>
          <w:rFonts w:cs="Arial"/>
          <w:i w:val="0"/>
          <w:iCs w:val="0"/>
          <w:color w:val="auto"/>
        </w:rPr>
        <w:t>, while 1</w:t>
      </w:r>
      <w:r w:rsidR="000329D2">
        <w:rPr>
          <w:rStyle w:val="IntenseEmphasis"/>
          <w:rFonts w:cs="Arial"/>
          <w:i w:val="0"/>
          <w:iCs w:val="0"/>
          <w:color w:val="auto"/>
        </w:rPr>
        <w:t>,</w:t>
      </w:r>
      <w:r w:rsidR="00FB7AEF">
        <w:rPr>
          <w:rStyle w:val="IntenseEmphasis"/>
          <w:rFonts w:cs="Arial"/>
          <w:i w:val="0"/>
          <w:iCs w:val="0"/>
          <w:color w:val="auto"/>
        </w:rPr>
        <w:t>000</w:t>
      </w:r>
      <w:r w:rsidR="00320877">
        <w:rPr>
          <w:rStyle w:val="IntenseEmphasis"/>
          <w:rFonts w:cs="Arial"/>
          <w:i w:val="0"/>
          <w:iCs w:val="0"/>
          <w:color w:val="auto"/>
        </w:rPr>
        <w:t xml:space="preserve"> completed the survey in 2019</w:t>
      </w:r>
      <w:r w:rsidR="00C55614" w:rsidRPr="00192F41">
        <w:rPr>
          <w:rStyle w:val="IntenseEmphasis"/>
          <w:rFonts w:cs="Arial"/>
          <w:i w:val="0"/>
          <w:iCs w:val="0"/>
          <w:color w:val="auto"/>
        </w:rPr>
        <w:t>.</w:t>
      </w:r>
    </w:p>
    <w:p w14:paraId="3867E643" w14:textId="340AB875" w:rsidR="00781312" w:rsidRDefault="00C55614" w:rsidP="00AC6021">
      <w:pPr>
        <w:jc w:val="both"/>
        <w:rPr>
          <w:rStyle w:val="IntenseEmphasis"/>
          <w:rFonts w:cs="Arial"/>
          <w:i w:val="0"/>
          <w:iCs w:val="0"/>
          <w:color w:val="auto"/>
        </w:rPr>
      </w:pPr>
      <w:r w:rsidRPr="00192F41">
        <w:rPr>
          <w:rStyle w:val="IntenseEmphasis"/>
          <w:rFonts w:cs="Arial"/>
          <w:i w:val="0"/>
          <w:iCs w:val="0"/>
          <w:color w:val="auto"/>
        </w:rPr>
        <w:t xml:space="preserve">The surveys </w:t>
      </w:r>
      <w:r w:rsidR="00263384" w:rsidRPr="00192F41">
        <w:rPr>
          <w:rStyle w:val="IntenseEmphasis"/>
          <w:rFonts w:cs="Arial"/>
          <w:i w:val="0"/>
          <w:iCs w:val="0"/>
          <w:color w:val="auto"/>
        </w:rPr>
        <w:t>revealed a</w:t>
      </w:r>
      <w:r w:rsidRPr="00192F41">
        <w:rPr>
          <w:rStyle w:val="IntenseEmphasis"/>
          <w:rFonts w:cs="Arial"/>
          <w:i w:val="0"/>
          <w:iCs w:val="0"/>
          <w:color w:val="auto"/>
        </w:rPr>
        <w:t xml:space="preserve"> high level of customer satisfaction with </w:t>
      </w:r>
      <w:r w:rsidR="00B938BF" w:rsidRPr="00192F41">
        <w:rPr>
          <w:rStyle w:val="IntenseEmphasis"/>
          <w:rFonts w:cs="Arial"/>
          <w:i w:val="0"/>
          <w:iCs w:val="0"/>
          <w:color w:val="auto"/>
        </w:rPr>
        <w:t xml:space="preserve">76% </w:t>
      </w:r>
      <w:r w:rsidR="002C15B9">
        <w:rPr>
          <w:rStyle w:val="IntenseEmphasis"/>
          <w:rFonts w:cs="Arial"/>
          <w:i w:val="0"/>
          <w:iCs w:val="0"/>
          <w:color w:val="auto"/>
        </w:rPr>
        <w:t>overall</w:t>
      </w:r>
      <w:r w:rsidR="00B938BF" w:rsidRPr="00192F41">
        <w:rPr>
          <w:rStyle w:val="IntenseEmphasis"/>
          <w:rFonts w:cs="Arial"/>
          <w:i w:val="0"/>
          <w:iCs w:val="0"/>
          <w:color w:val="auto"/>
        </w:rPr>
        <w:t xml:space="preserve"> indicating that SRW is living up to customer expectations.</w:t>
      </w:r>
      <w:r w:rsidR="00DF3F28" w:rsidRPr="00192F41">
        <w:rPr>
          <w:rStyle w:val="IntenseEmphasis"/>
          <w:rFonts w:cs="Arial"/>
          <w:i w:val="0"/>
          <w:iCs w:val="0"/>
          <w:color w:val="auto"/>
        </w:rPr>
        <w:t xml:space="preserve"> </w:t>
      </w:r>
      <w:r w:rsidR="004045AD">
        <w:rPr>
          <w:rStyle w:val="IntenseEmphasis"/>
          <w:rFonts w:cs="Arial"/>
          <w:i w:val="0"/>
          <w:iCs w:val="0"/>
          <w:color w:val="auto"/>
        </w:rPr>
        <w:t>Customers</w:t>
      </w:r>
      <w:r w:rsidR="00D24B60">
        <w:rPr>
          <w:rStyle w:val="IntenseEmphasis"/>
          <w:rFonts w:cs="Arial"/>
          <w:i w:val="0"/>
          <w:iCs w:val="0"/>
          <w:color w:val="auto"/>
        </w:rPr>
        <w:t xml:space="preserve"> in irrigation districts</w:t>
      </w:r>
      <w:r w:rsidR="004045AD">
        <w:rPr>
          <w:rStyle w:val="IntenseEmphasis"/>
          <w:rFonts w:cs="Arial"/>
          <w:i w:val="0"/>
          <w:iCs w:val="0"/>
          <w:color w:val="auto"/>
        </w:rPr>
        <w:t xml:space="preserve"> are generally more satisfied with our service (82%)</w:t>
      </w:r>
      <w:r w:rsidR="00505617">
        <w:rPr>
          <w:rStyle w:val="IntenseEmphasis"/>
          <w:rFonts w:cs="Arial"/>
          <w:i w:val="0"/>
          <w:iCs w:val="0"/>
          <w:color w:val="auto"/>
        </w:rPr>
        <w:t xml:space="preserve"> which is directly linked to greater exposure to </w:t>
      </w:r>
      <w:r w:rsidR="00E060D1">
        <w:rPr>
          <w:rStyle w:val="IntenseEmphasis"/>
          <w:rFonts w:cs="Arial"/>
          <w:i w:val="0"/>
          <w:iCs w:val="0"/>
          <w:color w:val="auto"/>
        </w:rPr>
        <w:t xml:space="preserve">our staff </w:t>
      </w:r>
      <w:r w:rsidR="00860943">
        <w:rPr>
          <w:rStyle w:val="IntenseEmphasis"/>
          <w:rFonts w:cs="Arial"/>
          <w:i w:val="0"/>
          <w:iCs w:val="0"/>
          <w:color w:val="auto"/>
        </w:rPr>
        <w:t xml:space="preserve">and </w:t>
      </w:r>
      <w:r w:rsidR="00E060D1">
        <w:rPr>
          <w:rStyle w:val="IntenseEmphasis"/>
          <w:rFonts w:cs="Arial"/>
          <w:i w:val="0"/>
          <w:iCs w:val="0"/>
          <w:color w:val="auto"/>
        </w:rPr>
        <w:t>the active role we play in delivering their water</w:t>
      </w:r>
      <w:r w:rsidR="00860943">
        <w:rPr>
          <w:rStyle w:val="IntenseEmphasis"/>
          <w:rFonts w:cs="Arial"/>
          <w:i w:val="0"/>
          <w:iCs w:val="0"/>
          <w:color w:val="auto"/>
        </w:rPr>
        <w:t xml:space="preserve">. </w:t>
      </w:r>
      <w:r w:rsidR="002E15B6">
        <w:rPr>
          <w:rStyle w:val="IntenseEmphasis"/>
          <w:rFonts w:cs="Arial"/>
          <w:i w:val="0"/>
          <w:iCs w:val="0"/>
          <w:color w:val="auto"/>
        </w:rPr>
        <w:t xml:space="preserve"> </w:t>
      </w:r>
    </w:p>
    <w:p w14:paraId="77AF623E" w14:textId="6230365C" w:rsidR="00C55614" w:rsidRPr="00192F41" w:rsidRDefault="00DA64F3" w:rsidP="00AC6021">
      <w:pPr>
        <w:jc w:val="both"/>
        <w:rPr>
          <w:rStyle w:val="IntenseEmphasis"/>
          <w:rFonts w:cs="Arial"/>
          <w:i w:val="0"/>
          <w:iCs w:val="0"/>
          <w:color w:val="auto"/>
        </w:rPr>
      </w:pPr>
      <w:r>
        <w:rPr>
          <w:rStyle w:val="IntenseEmphasis"/>
          <w:rFonts w:cs="Arial"/>
          <w:i w:val="0"/>
          <w:iCs w:val="0"/>
          <w:color w:val="auto"/>
        </w:rPr>
        <w:t xml:space="preserve">Groundwater </w:t>
      </w:r>
      <w:r w:rsidR="00C85D59">
        <w:rPr>
          <w:rStyle w:val="IntenseEmphasis"/>
          <w:rFonts w:cs="Arial"/>
          <w:i w:val="0"/>
          <w:iCs w:val="0"/>
          <w:color w:val="auto"/>
        </w:rPr>
        <w:t>and</w:t>
      </w:r>
      <w:r>
        <w:rPr>
          <w:rStyle w:val="IntenseEmphasis"/>
          <w:rFonts w:cs="Arial"/>
          <w:i w:val="0"/>
          <w:iCs w:val="0"/>
          <w:color w:val="auto"/>
        </w:rPr>
        <w:t xml:space="preserve"> rivers customers, still express a high level of</w:t>
      </w:r>
      <w:r w:rsidR="00FD30F5">
        <w:rPr>
          <w:rStyle w:val="IntenseEmphasis"/>
          <w:rFonts w:cs="Arial"/>
          <w:i w:val="0"/>
          <w:iCs w:val="0"/>
          <w:color w:val="auto"/>
        </w:rPr>
        <w:t xml:space="preserve"> s</w:t>
      </w:r>
      <w:r w:rsidR="009E200C">
        <w:rPr>
          <w:rStyle w:val="IntenseEmphasis"/>
          <w:rFonts w:cs="Arial"/>
          <w:i w:val="0"/>
          <w:iCs w:val="0"/>
          <w:color w:val="auto"/>
        </w:rPr>
        <w:t xml:space="preserve">atisfaction with the services we provide, </w:t>
      </w:r>
      <w:r w:rsidR="00E3455B">
        <w:rPr>
          <w:rStyle w:val="IntenseEmphasis"/>
          <w:rFonts w:cs="Arial"/>
          <w:i w:val="0"/>
          <w:iCs w:val="0"/>
          <w:color w:val="auto"/>
        </w:rPr>
        <w:t>(</w:t>
      </w:r>
      <w:r w:rsidR="00685E92">
        <w:rPr>
          <w:rStyle w:val="IntenseEmphasis"/>
          <w:rFonts w:cs="Arial"/>
          <w:i w:val="0"/>
          <w:iCs w:val="0"/>
          <w:color w:val="auto"/>
        </w:rPr>
        <w:t>78% for groundwater customers</w:t>
      </w:r>
      <w:r w:rsidR="008D7AC0">
        <w:rPr>
          <w:rStyle w:val="IntenseEmphasis"/>
          <w:rFonts w:cs="Arial"/>
          <w:i w:val="0"/>
          <w:iCs w:val="0"/>
          <w:color w:val="auto"/>
        </w:rPr>
        <w:t xml:space="preserve"> and 70% for surfacewater customers). </w:t>
      </w:r>
      <w:r w:rsidR="00D4497E">
        <w:rPr>
          <w:rStyle w:val="IntenseEmphasis"/>
          <w:rFonts w:cs="Arial"/>
          <w:i w:val="0"/>
          <w:iCs w:val="0"/>
          <w:color w:val="auto"/>
        </w:rPr>
        <w:t>We support our</w:t>
      </w:r>
      <w:r w:rsidR="00FD30F5">
        <w:rPr>
          <w:rStyle w:val="IntenseEmphasis"/>
          <w:rFonts w:cs="Arial"/>
          <w:i w:val="0"/>
          <w:iCs w:val="0"/>
          <w:color w:val="auto"/>
        </w:rPr>
        <w:t xml:space="preserve"> g</w:t>
      </w:r>
      <w:r w:rsidR="002E15B6">
        <w:rPr>
          <w:rStyle w:val="IntenseEmphasis"/>
          <w:rFonts w:cs="Arial"/>
          <w:i w:val="0"/>
          <w:iCs w:val="0"/>
          <w:color w:val="auto"/>
        </w:rPr>
        <w:t xml:space="preserve">roundwater and rivers customers </w:t>
      </w:r>
      <w:r w:rsidR="00425EA1">
        <w:rPr>
          <w:rStyle w:val="IntenseEmphasis"/>
          <w:rFonts w:cs="Arial"/>
          <w:i w:val="0"/>
          <w:iCs w:val="0"/>
          <w:color w:val="auto"/>
        </w:rPr>
        <w:t>in different ways</w:t>
      </w:r>
      <w:r w:rsidR="00FD30F5">
        <w:rPr>
          <w:rStyle w:val="IntenseEmphasis"/>
          <w:rFonts w:cs="Arial"/>
          <w:i w:val="0"/>
          <w:iCs w:val="0"/>
          <w:color w:val="auto"/>
        </w:rPr>
        <w:t>;</w:t>
      </w:r>
      <w:r w:rsidR="00425EA1">
        <w:rPr>
          <w:rStyle w:val="IntenseEmphasis"/>
          <w:rFonts w:cs="Arial"/>
          <w:i w:val="0"/>
          <w:iCs w:val="0"/>
          <w:color w:val="auto"/>
        </w:rPr>
        <w:t xml:space="preserve"> </w:t>
      </w:r>
      <w:r w:rsidR="00C85D59">
        <w:rPr>
          <w:rStyle w:val="IntenseEmphasis"/>
          <w:rFonts w:cs="Arial"/>
          <w:i w:val="0"/>
          <w:iCs w:val="0"/>
          <w:color w:val="auto"/>
        </w:rPr>
        <w:t xml:space="preserve">through </w:t>
      </w:r>
      <w:r w:rsidR="00FD30F5">
        <w:rPr>
          <w:rStyle w:val="IntenseEmphasis"/>
          <w:rFonts w:cs="Arial"/>
          <w:i w:val="0"/>
          <w:iCs w:val="0"/>
          <w:color w:val="auto"/>
        </w:rPr>
        <w:t xml:space="preserve">building knowledge </w:t>
      </w:r>
      <w:r w:rsidR="001B61E9">
        <w:rPr>
          <w:rStyle w:val="IntenseEmphasis"/>
          <w:rFonts w:cs="Arial"/>
          <w:i w:val="0"/>
          <w:iCs w:val="0"/>
          <w:color w:val="auto"/>
        </w:rPr>
        <w:t>of</w:t>
      </w:r>
      <w:r w:rsidR="00C6499C">
        <w:rPr>
          <w:rStyle w:val="IntenseEmphasis"/>
          <w:rFonts w:cs="Arial"/>
          <w:i w:val="0"/>
          <w:iCs w:val="0"/>
          <w:color w:val="auto"/>
        </w:rPr>
        <w:t xml:space="preserve"> unregulated resources</w:t>
      </w:r>
      <w:r w:rsidR="001B61E9">
        <w:rPr>
          <w:rStyle w:val="IntenseEmphasis"/>
          <w:rFonts w:cs="Arial"/>
          <w:i w:val="0"/>
          <w:iCs w:val="0"/>
          <w:color w:val="auto"/>
        </w:rPr>
        <w:t xml:space="preserve"> to inform </w:t>
      </w:r>
      <w:r w:rsidR="00E207C7">
        <w:rPr>
          <w:rStyle w:val="IntenseEmphasis"/>
          <w:rFonts w:cs="Arial"/>
          <w:i w:val="0"/>
          <w:iCs w:val="0"/>
          <w:color w:val="auto"/>
        </w:rPr>
        <w:t>licensing</w:t>
      </w:r>
      <w:r w:rsidR="001B61E9">
        <w:rPr>
          <w:rStyle w:val="IntenseEmphasis"/>
          <w:rFonts w:cs="Arial"/>
          <w:i w:val="0"/>
          <w:iCs w:val="0"/>
          <w:color w:val="auto"/>
        </w:rPr>
        <w:t xml:space="preserve"> decisions</w:t>
      </w:r>
      <w:r w:rsidR="00C6499C">
        <w:rPr>
          <w:rStyle w:val="IntenseEmphasis"/>
          <w:rFonts w:cs="Arial"/>
          <w:i w:val="0"/>
          <w:iCs w:val="0"/>
          <w:color w:val="auto"/>
        </w:rPr>
        <w:t xml:space="preserve">, </w:t>
      </w:r>
      <w:r w:rsidR="009F0099">
        <w:rPr>
          <w:rStyle w:val="IntenseEmphasis"/>
          <w:rFonts w:cs="Arial"/>
          <w:i w:val="0"/>
          <w:iCs w:val="0"/>
          <w:color w:val="auto"/>
        </w:rPr>
        <w:t xml:space="preserve">managing rosters and restrictions and advocating for policy to support their enterprises. These actions are </w:t>
      </w:r>
      <w:r w:rsidR="00B616EA">
        <w:rPr>
          <w:rStyle w:val="IntenseEmphasis"/>
          <w:rFonts w:cs="Arial"/>
          <w:i w:val="0"/>
          <w:iCs w:val="0"/>
          <w:color w:val="auto"/>
        </w:rPr>
        <w:t>less</w:t>
      </w:r>
      <w:r w:rsidR="009F0099">
        <w:rPr>
          <w:rStyle w:val="IntenseEmphasis"/>
          <w:rFonts w:cs="Arial"/>
          <w:i w:val="0"/>
          <w:iCs w:val="0"/>
          <w:color w:val="auto"/>
        </w:rPr>
        <w:t xml:space="preserve"> o</w:t>
      </w:r>
      <w:r w:rsidR="00B616EA">
        <w:rPr>
          <w:rStyle w:val="IntenseEmphasis"/>
          <w:rFonts w:cs="Arial"/>
          <w:i w:val="0"/>
          <w:iCs w:val="0"/>
          <w:color w:val="auto"/>
        </w:rPr>
        <w:t>vert</w:t>
      </w:r>
      <w:r w:rsidR="009F0099">
        <w:rPr>
          <w:rStyle w:val="IntenseEmphasis"/>
          <w:rFonts w:cs="Arial"/>
          <w:i w:val="0"/>
          <w:iCs w:val="0"/>
          <w:color w:val="auto"/>
        </w:rPr>
        <w:t xml:space="preserve"> and theref</w:t>
      </w:r>
      <w:r w:rsidR="00173ED6">
        <w:rPr>
          <w:rStyle w:val="IntenseEmphasis"/>
          <w:rFonts w:cs="Arial"/>
          <w:i w:val="0"/>
          <w:iCs w:val="0"/>
          <w:color w:val="auto"/>
        </w:rPr>
        <w:t>o</w:t>
      </w:r>
      <w:r w:rsidR="009F0099">
        <w:rPr>
          <w:rStyle w:val="IntenseEmphasis"/>
          <w:rFonts w:cs="Arial"/>
          <w:i w:val="0"/>
          <w:iCs w:val="0"/>
          <w:color w:val="auto"/>
        </w:rPr>
        <w:t xml:space="preserve">re groundwater </w:t>
      </w:r>
      <w:r w:rsidR="000329D2">
        <w:rPr>
          <w:rStyle w:val="IntenseEmphasis"/>
          <w:rFonts w:cs="Arial"/>
          <w:i w:val="0"/>
          <w:iCs w:val="0"/>
          <w:color w:val="auto"/>
        </w:rPr>
        <w:t>and</w:t>
      </w:r>
      <w:r w:rsidR="009F0099">
        <w:rPr>
          <w:rStyle w:val="IntenseEmphasis"/>
          <w:rFonts w:cs="Arial"/>
          <w:i w:val="0"/>
          <w:iCs w:val="0"/>
          <w:color w:val="auto"/>
        </w:rPr>
        <w:t xml:space="preserve"> rivers customers do not always understand </w:t>
      </w:r>
      <w:r w:rsidR="00AB7D89">
        <w:rPr>
          <w:rStyle w:val="IntenseEmphasis"/>
          <w:rFonts w:cs="Arial"/>
          <w:i w:val="0"/>
          <w:iCs w:val="0"/>
          <w:color w:val="auto"/>
        </w:rPr>
        <w:t>what services are linked to their fees</w:t>
      </w:r>
      <w:r w:rsidR="00B616EA">
        <w:rPr>
          <w:rStyle w:val="IntenseEmphasis"/>
          <w:rFonts w:cs="Arial"/>
          <w:i w:val="0"/>
          <w:iCs w:val="0"/>
          <w:color w:val="auto"/>
        </w:rPr>
        <w:t>.</w:t>
      </w:r>
    </w:p>
    <w:p w14:paraId="0F17BD08" w14:textId="14CF9D57" w:rsidR="005728EA" w:rsidRDefault="00216A15" w:rsidP="00887319">
      <w:pPr>
        <w:jc w:val="both"/>
        <w:rPr>
          <w:rStyle w:val="IntenseEmphasis"/>
          <w:rFonts w:cs="Arial"/>
          <w:i w:val="0"/>
          <w:iCs w:val="0"/>
          <w:color w:val="auto"/>
        </w:rPr>
      </w:pPr>
      <w:r>
        <w:rPr>
          <w:rStyle w:val="IntenseEmphasis"/>
          <w:rFonts w:cs="Arial"/>
          <w:i w:val="0"/>
          <w:iCs w:val="0"/>
          <w:color w:val="auto"/>
        </w:rPr>
        <w:t xml:space="preserve">The survey </w:t>
      </w:r>
      <w:r w:rsidR="00546C8A">
        <w:rPr>
          <w:rStyle w:val="IntenseEmphasis"/>
          <w:rFonts w:cs="Arial"/>
          <w:i w:val="0"/>
          <w:iCs w:val="0"/>
          <w:color w:val="auto"/>
        </w:rPr>
        <w:t>results show</w:t>
      </w:r>
      <w:r>
        <w:rPr>
          <w:rStyle w:val="IntenseEmphasis"/>
          <w:rFonts w:cs="Arial"/>
          <w:i w:val="0"/>
          <w:iCs w:val="0"/>
          <w:color w:val="auto"/>
        </w:rPr>
        <w:t xml:space="preserve"> that 7</w:t>
      </w:r>
      <w:r w:rsidR="002D4CCE">
        <w:rPr>
          <w:rStyle w:val="IntenseEmphasis"/>
          <w:rFonts w:cs="Arial"/>
          <w:i w:val="0"/>
          <w:iCs w:val="0"/>
          <w:color w:val="auto"/>
        </w:rPr>
        <w:t>6</w:t>
      </w:r>
      <w:r>
        <w:rPr>
          <w:rStyle w:val="IntenseEmphasis"/>
          <w:rFonts w:cs="Arial"/>
          <w:i w:val="0"/>
          <w:iCs w:val="0"/>
          <w:color w:val="auto"/>
        </w:rPr>
        <w:t>% of customers believe SRW provide</w:t>
      </w:r>
      <w:r w:rsidR="000329D2">
        <w:rPr>
          <w:rStyle w:val="IntenseEmphasis"/>
          <w:rFonts w:cs="Arial"/>
          <w:i w:val="0"/>
          <w:iCs w:val="0"/>
          <w:color w:val="auto"/>
        </w:rPr>
        <w:t>s</w:t>
      </w:r>
      <w:r>
        <w:rPr>
          <w:rStyle w:val="IntenseEmphasis"/>
          <w:rFonts w:cs="Arial"/>
          <w:i w:val="0"/>
          <w:iCs w:val="0"/>
          <w:color w:val="auto"/>
        </w:rPr>
        <w:t xml:space="preserve"> good value for service, a slight increase from 2019.</w:t>
      </w:r>
      <w:r w:rsidR="00D12AFA">
        <w:rPr>
          <w:rStyle w:val="IntenseEmphasis"/>
          <w:rFonts w:cs="Arial"/>
          <w:i w:val="0"/>
          <w:iCs w:val="0"/>
          <w:color w:val="auto"/>
        </w:rPr>
        <w:t xml:space="preserve"> </w:t>
      </w:r>
      <w:r w:rsidR="00EC765B">
        <w:rPr>
          <w:rStyle w:val="IntenseEmphasis"/>
          <w:rFonts w:cs="Arial"/>
          <w:i w:val="0"/>
          <w:iCs w:val="0"/>
          <w:color w:val="auto"/>
        </w:rPr>
        <w:t>Only 13% do not believe</w:t>
      </w:r>
      <w:r w:rsidR="00367A16">
        <w:rPr>
          <w:rStyle w:val="IntenseEmphasis"/>
          <w:rFonts w:cs="Arial"/>
          <w:i w:val="0"/>
          <w:iCs w:val="0"/>
          <w:color w:val="auto"/>
        </w:rPr>
        <w:t xml:space="preserve"> we offer a good value service</w:t>
      </w:r>
      <w:r w:rsidR="00830FF8">
        <w:rPr>
          <w:rStyle w:val="IntenseEmphasis"/>
          <w:rFonts w:cs="Arial"/>
          <w:i w:val="0"/>
          <w:iCs w:val="0"/>
          <w:color w:val="auto"/>
        </w:rPr>
        <w:t>, the remaining 11% responded that they did not know</w:t>
      </w:r>
      <w:r w:rsidR="0019548A">
        <w:rPr>
          <w:rStyle w:val="IntenseEmphasis"/>
          <w:rFonts w:cs="Arial"/>
          <w:i w:val="0"/>
          <w:iCs w:val="0"/>
          <w:color w:val="auto"/>
        </w:rPr>
        <w:t>.</w:t>
      </w:r>
      <w:r w:rsidR="00D12AFA">
        <w:rPr>
          <w:rStyle w:val="IntenseEmphasis"/>
          <w:rFonts w:cs="Arial"/>
          <w:i w:val="0"/>
          <w:iCs w:val="0"/>
          <w:color w:val="auto"/>
        </w:rPr>
        <w:t xml:space="preserve"> </w:t>
      </w:r>
      <w:r w:rsidR="00823D84">
        <w:rPr>
          <w:rStyle w:val="IntenseEmphasis"/>
          <w:rFonts w:cs="Arial"/>
          <w:i w:val="0"/>
          <w:iCs w:val="0"/>
          <w:color w:val="auto"/>
        </w:rPr>
        <w:t xml:space="preserve">Again, </w:t>
      </w:r>
      <w:r w:rsidR="004E6A29">
        <w:rPr>
          <w:rStyle w:val="IntenseEmphasis"/>
          <w:rFonts w:cs="Arial"/>
          <w:i w:val="0"/>
          <w:iCs w:val="0"/>
          <w:color w:val="auto"/>
        </w:rPr>
        <w:t>customers</w:t>
      </w:r>
      <w:r w:rsidR="00AF2C61">
        <w:rPr>
          <w:rStyle w:val="IntenseEmphasis"/>
          <w:rFonts w:cs="Arial"/>
          <w:i w:val="0"/>
          <w:iCs w:val="0"/>
          <w:color w:val="auto"/>
        </w:rPr>
        <w:t xml:space="preserve"> in the irrigation districts</w:t>
      </w:r>
      <w:r w:rsidR="004E6A29">
        <w:rPr>
          <w:rStyle w:val="IntenseEmphasis"/>
          <w:rFonts w:cs="Arial"/>
          <w:i w:val="0"/>
          <w:iCs w:val="0"/>
          <w:color w:val="auto"/>
        </w:rPr>
        <w:t xml:space="preserve"> report the highest level of satisfaction, with</w:t>
      </w:r>
      <w:r w:rsidR="008620DB">
        <w:rPr>
          <w:rStyle w:val="IntenseEmphasis"/>
          <w:rFonts w:cs="Arial"/>
          <w:i w:val="0"/>
          <w:iCs w:val="0"/>
          <w:color w:val="auto"/>
        </w:rPr>
        <w:t xml:space="preserve"> 81% </w:t>
      </w:r>
      <w:r w:rsidR="009536C6">
        <w:rPr>
          <w:rStyle w:val="IntenseEmphasis"/>
          <w:rFonts w:cs="Arial"/>
          <w:i w:val="0"/>
          <w:iCs w:val="0"/>
          <w:color w:val="auto"/>
        </w:rPr>
        <w:t>believing</w:t>
      </w:r>
      <w:r w:rsidR="008620DB">
        <w:rPr>
          <w:rStyle w:val="IntenseEmphasis"/>
          <w:rFonts w:cs="Arial"/>
          <w:i w:val="0"/>
          <w:iCs w:val="0"/>
          <w:color w:val="auto"/>
        </w:rPr>
        <w:t xml:space="preserve"> we offer a good value</w:t>
      </w:r>
      <w:r w:rsidR="009536C6">
        <w:rPr>
          <w:rStyle w:val="IntenseEmphasis"/>
          <w:rFonts w:cs="Arial"/>
          <w:i w:val="0"/>
          <w:iCs w:val="0"/>
          <w:color w:val="auto"/>
        </w:rPr>
        <w:t xml:space="preserve"> an increase of 2% on the 2019 results.</w:t>
      </w:r>
    </w:p>
    <w:p w14:paraId="078AF7FC" w14:textId="77777777" w:rsidR="00887319" w:rsidRDefault="00887319" w:rsidP="00887319">
      <w:pPr>
        <w:jc w:val="both"/>
        <w:rPr>
          <w:rStyle w:val="IntenseEmphasis"/>
          <w:rFonts w:cs="Arial"/>
          <w:i w:val="0"/>
          <w:iCs w:val="0"/>
          <w:color w:val="auto"/>
        </w:rPr>
      </w:pPr>
    </w:p>
    <w:p w14:paraId="1DCABF6E" w14:textId="7ED174C9" w:rsidR="00DC1B7C" w:rsidRPr="00192F41" w:rsidRDefault="00823350" w:rsidP="00415CA9">
      <w:pPr>
        <w:pStyle w:val="Caption"/>
        <w:rPr>
          <w:rStyle w:val="IntenseEmphasis"/>
          <w:rFonts w:cs="Arial"/>
          <w:i/>
          <w:color w:val="auto"/>
          <w:u w:val="single"/>
        </w:rPr>
      </w:pPr>
      <w:r w:rsidRPr="00DE6DDC">
        <w:rPr>
          <w:b/>
          <w:bCs/>
          <w:i w:val="0"/>
          <w:iCs w:val="0"/>
          <w:color w:val="00B1B0" w:themeColor="accent1"/>
          <w:sz w:val="20"/>
          <w:szCs w:val="20"/>
        </w:rPr>
        <w:t>Table</w:t>
      </w:r>
      <w:r w:rsidR="00415CA9">
        <w:rPr>
          <w:b/>
          <w:bCs/>
          <w:i w:val="0"/>
          <w:iCs w:val="0"/>
          <w:color w:val="00B1B0" w:themeColor="accent1"/>
          <w:sz w:val="20"/>
          <w:szCs w:val="20"/>
        </w:rPr>
        <w:t xml:space="preserve"> </w:t>
      </w:r>
      <w:r w:rsidRPr="00DE6DDC">
        <w:rPr>
          <w:b/>
          <w:bCs/>
          <w:i w:val="0"/>
          <w:iCs w:val="0"/>
          <w:color w:val="00B1B0" w:themeColor="accent1"/>
          <w:sz w:val="20"/>
          <w:szCs w:val="20"/>
        </w:rPr>
        <w:fldChar w:fldCharType="begin"/>
      </w:r>
      <w:r w:rsidRPr="00DE6DDC">
        <w:rPr>
          <w:b/>
          <w:bCs/>
          <w:i w:val="0"/>
          <w:iCs w:val="0"/>
          <w:color w:val="00B1B0" w:themeColor="accent1"/>
          <w:sz w:val="20"/>
          <w:szCs w:val="20"/>
        </w:rPr>
        <w:instrText xml:space="preserve"> SEQ Table \* ARABIC </w:instrText>
      </w:r>
      <w:r w:rsidRPr="00DE6DDC">
        <w:rPr>
          <w:b/>
          <w:bCs/>
          <w:i w:val="0"/>
          <w:iCs w:val="0"/>
          <w:color w:val="00B1B0" w:themeColor="accent1"/>
          <w:sz w:val="20"/>
          <w:szCs w:val="20"/>
        </w:rPr>
        <w:fldChar w:fldCharType="separate"/>
      </w:r>
      <w:r w:rsidR="008126A8">
        <w:rPr>
          <w:b/>
          <w:bCs/>
          <w:i w:val="0"/>
          <w:iCs w:val="0"/>
          <w:noProof/>
          <w:color w:val="00B1B0" w:themeColor="accent1"/>
          <w:sz w:val="20"/>
          <w:szCs w:val="20"/>
        </w:rPr>
        <w:t>7</w:t>
      </w:r>
      <w:r w:rsidRPr="00DE6DDC">
        <w:rPr>
          <w:b/>
          <w:bCs/>
          <w:i w:val="0"/>
          <w:iCs w:val="0"/>
          <w:color w:val="00B1B0" w:themeColor="accent1"/>
          <w:sz w:val="20"/>
          <w:szCs w:val="20"/>
        </w:rPr>
        <w:fldChar w:fldCharType="end"/>
      </w:r>
      <w:r w:rsidRPr="00DE6DDC">
        <w:rPr>
          <w:b/>
          <w:bCs/>
          <w:i w:val="0"/>
          <w:iCs w:val="0"/>
          <w:color w:val="00B1B0" w:themeColor="accent1"/>
          <w:sz w:val="20"/>
          <w:szCs w:val="20"/>
        </w:rPr>
        <w:t xml:space="preserve"> </w:t>
      </w:r>
      <w:r w:rsidR="007248B2">
        <w:rPr>
          <w:b/>
          <w:bCs/>
          <w:i w:val="0"/>
          <w:iCs w:val="0"/>
          <w:color w:val="00B1B0" w:themeColor="accent1"/>
          <w:sz w:val="20"/>
          <w:szCs w:val="20"/>
        </w:rPr>
        <w:t>–</w:t>
      </w:r>
      <w:r w:rsidRPr="00DE6DDC">
        <w:rPr>
          <w:b/>
          <w:bCs/>
          <w:i w:val="0"/>
          <w:iCs w:val="0"/>
          <w:color w:val="00B1B0" w:themeColor="accent1"/>
          <w:sz w:val="20"/>
          <w:szCs w:val="20"/>
        </w:rPr>
        <w:t xml:space="preserve"> </w:t>
      </w:r>
      <w:r w:rsidR="00F62EAE" w:rsidRPr="00DE6DDC">
        <w:rPr>
          <w:b/>
          <w:bCs/>
          <w:i w:val="0"/>
          <w:iCs w:val="0"/>
          <w:color w:val="00B1B0" w:themeColor="accent1"/>
          <w:sz w:val="20"/>
          <w:szCs w:val="20"/>
        </w:rPr>
        <w:t xml:space="preserve">Customer </w:t>
      </w:r>
      <w:r w:rsidR="00E54164" w:rsidRPr="00DE6DDC">
        <w:rPr>
          <w:b/>
          <w:bCs/>
          <w:i w:val="0"/>
          <w:iCs w:val="0"/>
          <w:color w:val="00B1B0" w:themeColor="accent1"/>
          <w:sz w:val="20"/>
          <w:szCs w:val="20"/>
        </w:rPr>
        <w:t>satisfaction survey 2022</w:t>
      </w:r>
    </w:p>
    <w:tbl>
      <w:tblPr>
        <w:tblStyle w:val="ReportTable-TealRows"/>
        <w:tblW w:w="0" w:type="auto"/>
        <w:tblLook w:val="04A0" w:firstRow="1" w:lastRow="0" w:firstColumn="1" w:lastColumn="0" w:noHBand="0" w:noVBand="1"/>
      </w:tblPr>
      <w:tblGrid>
        <w:gridCol w:w="1555"/>
        <w:gridCol w:w="8073"/>
      </w:tblGrid>
      <w:tr w:rsidR="00AA36BA" w:rsidRPr="00192F41" w14:paraId="198EDF26" w14:textId="77777777" w:rsidTr="00215363">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555" w:type="dxa"/>
          </w:tcPr>
          <w:p w14:paraId="0123A820" w14:textId="2C7FB7EE" w:rsidR="00B42517" w:rsidRPr="00E9519D" w:rsidRDefault="00FD6379" w:rsidP="00754DA9">
            <w:pPr>
              <w:spacing w:before="40" w:after="40"/>
              <w:rPr>
                <w:rStyle w:val="IntenseEmphasis"/>
                <w:rFonts w:cs="Arial"/>
                <w:i w:val="0"/>
                <w:color w:val="FFFFFF" w:themeColor="background1"/>
                <w:sz w:val="20"/>
                <w:szCs w:val="20"/>
              </w:rPr>
            </w:pPr>
            <w:r w:rsidRPr="00E9519D">
              <w:rPr>
                <w:rStyle w:val="IntenseEmphasis"/>
                <w:rFonts w:cs="Arial"/>
                <w:i w:val="0"/>
                <w:color w:val="FFFFFF" w:themeColor="background1"/>
                <w:sz w:val="20"/>
                <w:szCs w:val="20"/>
              </w:rPr>
              <w:t>Experience</w:t>
            </w:r>
          </w:p>
        </w:tc>
        <w:tc>
          <w:tcPr>
            <w:tcW w:w="8073" w:type="dxa"/>
          </w:tcPr>
          <w:p w14:paraId="4FF588D3" w14:textId="663A55D7" w:rsidR="00B42517" w:rsidRPr="00E9519D" w:rsidRDefault="0059408D" w:rsidP="00754DA9">
            <w:pPr>
              <w:spacing w:before="40" w:after="40"/>
              <w:cnfStyle w:val="100000000000" w:firstRow="1" w:lastRow="0" w:firstColumn="0" w:lastColumn="0" w:oddVBand="0" w:evenVBand="0" w:oddHBand="0" w:evenHBand="0" w:firstRowFirstColumn="0" w:firstRowLastColumn="0" w:lastRowFirstColumn="0" w:lastRowLastColumn="0"/>
              <w:rPr>
                <w:rStyle w:val="IntenseEmphasis"/>
                <w:rFonts w:cs="Arial"/>
                <w:i w:val="0"/>
                <w:color w:val="FFFFFF" w:themeColor="background1"/>
                <w:sz w:val="20"/>
                <w:szCs w:val="20"/>
              </w:rPr>
            </w:pPr>
            <w:r w:rsidRPr="00E9519D">
              <w:rPr>
                <w:rStyle w:val="IntenseEmphasis"/>
                <w:rFonts w:cs="Arial"/>
                <w:i w:val="0"/>
                <w:color w:val="FFFFFF" w:themeColor="background1"/>
                <w:sz w:val="20"/>
                <w:szCs w:val="20"/>
              </w:rPr>
              <w:t>I</w:t>
            </w:r>
            <w:r w:rsidR="001369DF" w:rsidRPr="00E9519D">
              <w:rPr>
                <w:rStyle w:val="IntenseEmphasis"/>
                <w:rFonts w:cs="Arial"/>
                <w:i w:val="0"/>
                <w:color w:val="FFFFFF" w:themeColor="background1"/>
                <w:sz w:val="20"/>
                <w:szCs w:val="20"/>
              </w:rPr>
              <w:t>n</w:t>
            </w:r>
            <w:r w:rsidRPr="00E9519D">
              <w:rPr>
                <w:rStyle w:val="IntenseEmphasis"/>
                <w:rFonts w:cs="Arial"/>
                <w:i w:val="0"/>
                <w:color w:val="FFFFFF" w:themeColor="background1"/>
                <w:sz w:val="20"/>
                <w:szCs w:val="20"/>
              </w:rPr>
              <w:t>sight</w:t>
            </w:r>
          </w:p>
        </w:tc>
      </w:tr>
      <w:tr w:rsidR="001369DF" w:rsidRPr="00192F41" w14:paraId="11EBB3B0" w14:textId="77777777" w:rsidTr="002153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55" w:type="dxa"/>
          </w:tcPr>
          <w:p w14:paraId="1913613D" w14:textId="651EADB0" w:rsidR="00B42517" w:rsidRPr="00B1674E" w:rsidRDefault="00987EF6" w:rsidP="00B1674E">
            <w:pPr>
              <w:spacing w:before="40" w:after="40"/>
              <w:rPr>
                <w:rStyle w:val="IntenseEmphasis"/>
                <w:rFonts w:cs="Arial"/>
                <w:i w:val="0"/>
                <w:color w:val="auto"/>
                <w:sz w:val="20"/>
                <w:szCs w:val="20"/>
              </w:rPr>
            </w:pPr>
            <w:r w:rsidRPr="00B1674E">
              <w:rPr>
                <w:rStyle w:val="IntenseEmphasis"/>
                <w:rFonts w:cs="Arial"/>
                <w:i w:val="0"/>
                <w:color w:val="auto"/>
                <w:sz w:val="20"/>
                <w:szCs w:val="20"/>
              </w:rPr>
              <w:t>Overall</w:t>
            </w:r>
            <w:r w:rsidR="0089099A" w:rsidRPr="00B1674E">
              <w:rPr>
                <w:rStyle w:val="IntenseEmphasis"/>
                <w:rFonts w:cs="Arial"/>
                <w:i w:val="0"/>
                <w:color w:val="auto"/>
                <w:sz w:val="20"/>
                <w:szCs w:val="20"/>
              </w:rPr>
              <w:t xml:space="preserve"> experience</w:t>
            </w:r>
          </w:p>
        </w:tc>
        <w:tc>
          <w:tcPr>
            <w:tcW w:w="8073" w:type="dxa"/>
          </w:tcPr>
          <w:p w14:paraId="17862FFD" w14:textId="64E8710F" w:rsidR="00B42517" w:rsidRPr="00192F41" w:rsidRDefault="00B42517"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bCs/>
                <w:i w:val="0"/>
                <w:iCs w:val="0"/>
                <w:color w:val="auto"/>
                <w:sz w:val="20"/>
                <w:szCs w:val="20"/>
              </w:rPr>
            </w:pPr>
            <w:r w:rsidRPr="00192F41">
              <w:rPr>
                <w:rFonts w:cs="Arial"/>
                <w:bCs/>
                <w:szCs w:val="20"/>
              </w:rPr>
              <w:t xml:space="preserve">SRW </w:t>
            </w:r>
            <w:r w:rsidR="002562E1" w:rsidRPr="00192F41">
              <w:rPr>
                <w:rFonts w:cs="Arial"/>
                <w:bCs/>
                <w:szCs w:val="20"/>
              </w:rPr>
              <w:t xml:space="preserve">is </w:t>
            </w:r>
            <w:r w:rsidRPr="00192F41">
              <w:rPr>
                <w:rFonts w:cs="Arial"/>
                <w:bCs/>
                <w:szCs w:val="20"/>
              </w:rPr>
              <w:t xml:space="preserve">living up to customer expectations (76%) – particularly </w:t>
            </w:r>
            <w:r w:rsidR="004B0BAA">
              <w:rPr>
                <w:rFonts w:cs="Arial"/>
                <w:bCs/>
                <w:szCs w:val="20"/>
              </w:rPr>
              <w:t>i</w:t>
            </w:r>
            <w:r w:rsidRPr="00192F41">
              <w:rPr>
                <w:rFonts w:cs="Arial"/>
                <w:bCs/>
                <w:szCs w:val="20"/>
              </w:rPr>
              <w:t>rrigation customers (82%).</w:t>
            </w:r>
            <w:r w:rsidR="00E54164" w:rsidRPr="00192F41">
              <w:rPr>
                <w:rFonts w:cs="Arial"/>
                <w:bCs/>
                <w:szCs w:val="20"/>
              </w:rPr>
              <w:t xml:space="preserve"> However, </w:t>
            </w:r>
            <w:r w:rsidR="004B0BAA">
              <w:rPr>
                <w:rFonts w:cs="Arial"/>
                <w:bCs/>
                <w:szCs w:val="20"/>
              </w:rPr>
              <w:t>more than</w:t>
            </w:r>
            <w:r w:rsidRPr="00192F41">
              <w:rPr>
                <w:rFonts w:cs="Arial"/>
                <w:bCs/>
                <w:szCs w:val="20"/>
              </w:rPr>
              <w:t xml:space="preserve"> 30% </w:t>
            </w:r>
            <w:r w:rsidR="004B0BAA">
              <w:rPr>
                <w:rFonts w:cs="Arial"/>
                <w:bCs/>
                <w:szCs w:val="20"/>
              </w:rPr>
              <w:t xml:space="preserve">of </w:t>
            </w:r>
            <w:r w:rsidRPr="00192F41">
              <w:rPr>
                <w:rFonts w:cs="Arial"/>
                <w:bCs/>
                <w:szCs w:val="20"/>
              </w:rPr>
              <w:t xml:space="preserve">Werribee </w:t>
            </w:r>
            <w:r w:rsidR="004B0BAA">
              <w:rPr>
                <w:rFonts w:cs="Arial"/>
                <w:bCs/>
                <w:szCs w:val="20"/>
              </w:rPr>
              <w:t>and</w:t>
            </w:r>
            <w:r w:rsidRPr="00192F41">
              <w:rPr>
                <w:rFonts w:cs="Arial"/>
                <w:bCs/>
                <w:szCs w:val="20"/>
              </w:rPr>
              <w:t xml:space="preserve"> Bacchus Marsh customers </w:t>
            </w:r>
            <w:r w:rsidR="004B0BAA">
              <w:rPr>
                <w:rFonts w:cs="Arial"/>
                <w:bCs/>
                <w:szCs w:val="20"/>
              </w:rPr>
              <w:t xml:space="preserve">are </w:t>
            </w:r>
            <w:r w:rsidRPr="00192F41">
              <w:rPr>
                <w:rFonts w:cs="Arial"/>
                <w:bCs/>
                <w:szCs w:val="20"/>
              </w:rPr>
              <w:t>dissatisfied.</w:t>
            </w:r>
          </w:p>
        </w:tc>
      </w:tr>
      <w:tr w:rsidR="001369DF" w:rsidRPr="00192F41" w14:paraId="684BCE74" w14:textId="77777777" w:rsidTr="00215363">
        <w:trPr>
          <w:cantSplit/>
        </w:trPr>
        <w:tc>
          <w:tcPr>
            <w:cnfStyle w:val="001000000000" w:firstRow="0" w:lastRow="0" w:firstColumn="1" w:lastColumn="0" w:oddVBand="0" w:evenVBand="0" w:oddHBand="0" w:evenHBand="0" w:firstRowFirstColumn="0" w:firstRowLastColumn="0" w:lastRowFirstColumn="0" w:lastRowLastColumn="0"/>
            <w:tcW w:w="1555" w:type="dxa"/>
          </w:tcPr>
          <w:p w14:paraId="1A5911F3" w14:textId="5DB8095A" w:rsidR="00B42517" w:rsidRPr="00B1674E" w:rsidRDefault="00987EF6" w:rsidP="00B1674E">
            <w:pPr>
              <w:spacing w:before="40" w:after="40"/>
              <w:rPr>
                <w:rStyle w:val="IntenseEmphasis"/>
                <w:rFonts w:cs="Arial"/>
                <w:i w:val="0"/>
                <w:color w:val="auto"/>
                <w:sz w:val="20"/>
                <w:szCs w:val="20"/>
              </w:rPr>
            </w:pPr>
            <w:r w:rsidRPr="00B1674E">
              <w:rPr>
                <w:rStyle w:val="IntenseEmphasis"/>
                <w:rFonts w:cs="Arial"/>
                <w:i w:val="0"/>
                <w:color w:val="auto"/>
                <w:sz w:val="20"/>
                <w:szCs w:val="20"/>
              </w:rPr>
              <w:t>Water supply and access</w:t>
            </w:r>
          </w:p>
        </w:tc>
        <w:tc>
          <w:tcPr>
            <w:tcW w:w="8073" w:type="dxa"/>
          </w:tcPr>
          <w:p w14:paraId="661254CB" w14:textId="68CBE896" w:rsidR="00B42517" w:rsidRPr="00192F41" w:rsidRDefault="00987EF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rStyle w:val="IntenseEmphasis"/>
                <w:rFonts w:cs="Arial"/>
                <w:bCs/>
                <w:i w:val="0"/>
                <w:iCs w:val="0"/>
                <w:color w:val="auto"/>
                <w:sz w:val="20"/>
                <w:szCs w:val="20"/>
              </w:rPr>
            </w:pPr>
            <w:r w:rsidRPr="00192F41">
              <w:rPr>
                <w:rFonts w:cs="Arial"/>
                <w:bCs/>
                <w:szCs w:val="20"/>
              </w:rPr>
              <w:t xml:space="preserve">Customers </w:t>
            </w:r>
            <w:r w:rsidR="00E54164" w:rsidRPr="00192F41">
              <w:rPr>
                <w:rFonts w:cs="Arial"/>
                <w:bCs/>
                <w:szCs w:val="20"/>
              </w:rPr>
              <w:t xml:space="preserve">were </w:t>
            </w:r>
            <w:r w:rsidRPr="00192F41">
              <w:rPr>
                <w:rFonts w:cs="Arial"/>
                <w:bCs/>
                <w:szCs w:val="20"/>
              </w:rPr>
              <w:t xml:space="preserve">generally satisfied with </w:t>
            </w:r>
            <w:r w:rsidR="004B0BAA">
              <w:rPr>
                <w:rFonts w:cs="Arial"/>
                <w:bCs/>
                <w:szCs w:val="20"/>
              </w:rPr>
              <w:t xml:space="preserve">the </w:t>
            </w:r>
            <w:r w:rsidRPr="00192F41">
              <w:rPr>
                <w:rFonts w:cs="Arial"/>
                <w:bCs/>
                <w:szCs w:val="20"/>
              </w:rPr>
              <w:t>water supply</w:t>
            </w:r>
            <w:r w:rsidR="000E4F61" w:rsidRPr="00192F41">
              <w:rPr>
                <w:rFonts w:cs="Arial"/>
                <w:bCs/>
                <w:szCs w:val="20"/>
              </w:rPr>
              <w:t xml:space="preserve">. </w:t>
            </w:r>
            <w:r w:rsidRPr="00192F41">
              <w:rPr>
                <w:rFonts w:cs="Arial"/>
                <w:bCs/>
                <w:szCs w:val="20"/>
              </w:rPr>
              <w:t xml:space="preserve">Delivering correct volume of water when needed is the top attribute driving overall satisfaction with water supply </w:t>
            </w:r>
            <w:r w:rsidR="004B0BAA">
              <w:rPr>
                <w:rFonts w:cs="Arial"/>
                <w:bCs/>
                <w:szCs w:val="20"/>
              </w:rPr>
              <w:t>and</w:t>
            </w:r>
            <w:r w:rsidRPr="00192F41">
              <w:rPr>
                <w:rFonts w:cs="Arial"/>
                <w:bCs/>
                <w:szCs w:val="20"/>
              </w:rPr>
              <w:t xml:space="preserve"> access. SRW rates well (8.0) overall for this – noting </w:t>
            </w:r>
            <w:r w:rsidR="000E4F61" w:rsidRPr="00192F41">
              <w:rPr>
                <w:rFonts w:cs="Arial"/>
                <w:bCs/>
                <w:szCs w:val="20"/>
              </w:rPr>
              <w:t xml:space="preserve">surface water and </w:t>
            </w:r>
            <w:r w:rsidRPr="00192F41">
              <w:rPr>
                <w:rFonts w:cs="Arial"/>
                <w:bCs/>
                <w:szCs w:val="20"/>
              </w:rPr>
              <w:t xml:space="preserve">Bacchus Marsh </w:t>
            </w:r>
            <w:r w:rsidR="004B0BAA">
              <w:rPr>
                <w:rFonts w:cs="Arial"/>
                <w:bCs/>
                <w:szCs w:val="20"/>
              </w:rPr>
              <w:t xml:space="preserve">have </w:t>
            </w:r>
            <w:r w:rsidRPr="00192F41">
              <w:rPr>
                <w:rFonts w:cs="Arial"/>
                <w:bCs/>
                <w:szCs w:val="20"/>
              </w:rPr>
              <w:t>lower scores (7.5).</w:t>
            </w:r>
          </w:p>
        </w:tc>
      </w:tr>
      <w:tr w:rsidR="001369DF" w:rsidRPr="00192F41" w14:paraId="1A27B8B6" w14:textId="77777777" w:rsidTr="002153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55" w:type="dxa"/>
          </w:tcPr>
          <w:p w14:paraId="3F3C28C2" w14:textId="74C9D173" w:rsidR="00B42517" w:rsidRPr="00B1674E" w:rsidRDefault="0089099A" w:rsidP="00B1674E">
            <w:pPr>
              <w:spacing w:before="40" w:after="40"/>
              <w:rPr>
                <w:rStyle w:val="IntenseEmphasis"/>
                <w:rFonts w:cs="Arial"/>
                <w:i w:val="0"/>
                <w:color w:val="auto"/>
                <w:sz w:val="20"/>
                <w:szCs w:val="20"/>
              </w:rPr>
            </w:pPr>
            <w:r w:rsidRPr="00B1674E">
              <w:rPr>
                <w:rStyle w:val="IntenseEmphasis"/>
                <w:rFonts w:cs="Arial"/>
                <w:i w:val="0"/>
                <w:color w:val="auto"/>
                <w:sz w:val="20"/>
                <w:szCs w:val="20"/>
              </w:rPr>
              <w:t>Customer service</w:t>
            </w:r>
          </w:p>
        </w:tc>
        <w:tc>
          <w:tcPr>
            <w:tcW w:w="8073" w:type="dxa"/>
          </w:tcPr>
          <w:p w14:paraId="7473800D" w14:textId="7B9EFD99" w:rsidR="0089099A" w:rsidRPr="00192F41" w:rsidRDefault="0089099A"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bCs/>
                <w:i w:val="0"/>
                <w:iCs w:val="0"/>
                <w:color w:val="auto"/>
                <w:sz w:val="20"/>
                <w:szCs w:val="20"/>
              </w:rPr>
            </w:pPr>
            <w:r w:rsidRPr="00192F41">
              <w:rPr>
                <w:rStyle w:val="IntenseEmphasis"/>
                <w:rFonts w:cs="Arial"/>
                <w:bCs/>
                <w:i w:val="0"/>
                <w:iCs w:val="0"/>
                <w:color w:val="auto"/>
                <w:sz w:val="20"/>
                <w:szCs w:val="20"/>
              </w:rPr>
              <w:t xml:space="preserve">Almost a third (32%) </w:t>
            </w:r>
            <w:r w:rsidR="004B0BAA">
              <w:rPr>
                <w:rStyle w:val="IntenseEmphasis"/>
                <w:rFonts w:cs="Arial"/>
                <w:bCs/>
                <w:i w:val="0"/>
                <w:iCs w:val="0"/>
                <w:color w:val="auto"/>
                <w:sz w:val="20"/>
                <w:szCs w:val="20"/>
              </w:rPr>
              <w:t xml:space="preserve">of </w:t>
            </w:r>
            <w:r w:rsidRPr="00192F41">
              <w:rPr>
                <w:rStyle w:val="IntenseEmphasis"/>
                <w:rFonts w:cs="Arial"/>
                <w:bCs/>
                <w:i w:val="0"/>
                <w:iCs w:val="0"/>
                <w:color w:val="auto"/>
                <w:sz w:val="20"/>
                <w:szCs w:val="20"/>
              </w:rPr>
              <w:t xml:space="preserve">all </w:t>
            </w:r>
            <w:r w:rsidRPr="00192F41">
              <w:rPr>
                <w:rFonts w:cs="Arial"/>
                <w:szCs w:val="20"/>
              </w:rPr>
              <w:t xml:space="preserve">customers </w:t>
            </w:r>
            <w:r w:rsidR="00964DBA" w:rsidRPr="00192F41">
              <w:rPr>
                <w:rFonts w:cs="Arial"/>
                <w:szCs w:val="20"/>
              </w:rPr>
              <w:t xml:space="preserve">are </w:t>
            </w:r>
            <w:r w:rsidRPr="00192F41">
              <w:rPr>
                <w:rFonts w:cs="Arial"/>
                <w:szCs w:val="20"/>
              </w:rPr>
              <w:t>‘extremely</w:t>
            </w:r>
            <w:r w:rsidR="00B56B0A" w:rsidRPr="00192F41">
              <w:rPr>
                <w:rStyle w:val="IntenseEmphasis"/>
                <w:rFonts w:cs="Arial"/>
                <w:bCs/>
                <w:i w:val="0"/>
                <w:iCs w:val="0"/>
                <w:color w:val="auto"/>
                <w:sz w:val="20"/>
                <w:szCs w:val="20"/>
              </w:rPr>
              <w:t xml:space="preserve"> </w:t>
            </w:r>
            <w:r w:rsidRPr="00192F41">
              <w:rPr>
                <w:rStyle w:val="IntenseEmphasis"/>
                <w:rFonts w:cs="Arial"/>
                <w:bCs/>
                <w:i w:val="0"/>
                <w:iCs w:val="0"/>
                <w:color w:val="auto"/>
                <w:sz w:val="20"/>
                <w:szCs w:val="20"/>
              </w:rPr>
              <w:t>satisfied’ – slightly less than 2019.</w:t>
            </w:r>
          </w:p>
          <w:p w14:paraId="01F4748B" w14:textId="7B940DD4" w:rsidR="00B42517" w:rsidRPr="00192F41" w:rsidRDefault="0089099A"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Style w:val="IntenseEmphasis"/>
                <w:rFonts w:cs="Arial"/>
                <w:bCs/>
                <w:i w:val="0"/>
                <w:iCs w:val="0"/>
                <w:color w:val="auto"/>
                <w:sz w:val="20"/>
                <w:szCs w:val="20"/>
              </w:rPr>
            </w:pPr>
            <w:r w:rsidRPr="00192F41">
              <w:rPr>
                <w:rStyle w:val="IntenseEmphasis"/>
                <w:rFonts w:cs="Arial"/>
                <w:bCs/>
                <w:i w:val="0"/>
                <w:iCs w:val="0"/>
                <w:color w:val="auto"/>
                <w:sz w:val="20"/>
                <w:szCs w:val="20"/>
              </w:rPr>
              <w:t xml:space="preserve">Key drivers for satisfaction with customer service </w:t>
            </w:r>
            <w:r w:rsidR="004B0BAA">
              <w:rPr>
                <w:rStyle w:val="IntenseEmphasis"/>
                <w:rFonts w:cs="Arial"/>
                <w:bCs/>
                <w:i w:val="0"/>
                <w:iCs w:val="0"/>
                <w:color w:val="auto"/>
                <w:sz w:val="20"/>
                <w:szCs w:val="20"/>
              </w:rPr>
              <w:t>include</w:t>
            </w:r>
            <w:r w:rsidRPr="00192F41">
              <w:rPr>
                <w:rStyle w:val="IntenseEmphasis"/>
                <w:rFonts w:cs="Arial"/>
                <w:bCs/>
                <w:i w:val="0"/>
                <w:iCs w:val="0"/>
                <w:color w:val="auto"/>
                <w:sz w:val="20"/>
                <w:szCs w:val="20"/>
              </w:rPr>
              <w:t xml:space="preserve"> response in reasonable timeframe</w:t>
            </w:r>
            <w:r w:rsidR="004B0BAA">
              <w:rPr>
                <w:rStyle w:val="IntenseEmphasis"/>
                <w:rFonts w:cs="Arial"/>
                <w:bCs/>
                <w:i w:val="0"/>
                <w:iCs w:val="0"/>
                <w:color w:val="auto"/>
                <w:sz w:val="20"/>
                <w:szCs w:val="20"/>
              </w:rPr>
              <w:t xml:space="preserve"> and</w:t>
            </w:r>
            <w:r w:rsidRPr="00192F41">
              <w:rPr>
                <w:rStyle w:val="IntenseEmphasis"/>
                <w:rFonts w:cs="Arial"/>
                <w:bCs/>
                <w:i w:val="0"/>
                <w:iCs w:val="0"/>
                <w:color w:val="auto"/>
                <w:sz w:val="20"/>
                <w:szCs w:val="20"/>
              </w:rPr>
              <w:t xml:space="preserve"> status updates on queries.</w:t>
            </w:r>
            <w:r w:rsidR="004B0BAA">
              <w:rPr>
                <w:rStyle w:val="IntenseEmphasis"/>
                <w:rFonts w:cs="Arial"/>
                <w:bCs/>
                <w:i w:val="0"/>
                <w:iCs w:val="0"/>
                <w:color w:val="auto"/>
                <w:sz w:val="20"/>
                <w:szCs w:val="20"/>
              </w:rPr>
              <w:t xml:space="preserve"> A v</w:t>
            </w:r>
            <w:r w:rsidRPr="00192F41">
              <w:rPr>
                <w:rStyle w:val="IntenseEmphasis"/>
                <w:rFonts w:cs="Arial"/>
                <w:bCs/>
                <w:i w:val="0"/>
                <w:iCs w:val="0"/>
                <w:color w:val="auto"/>
                <w:sz w:val="20"/>
                <w:szCs w:val="20"/>
              </w:rPr>
              <w:t>ariety of payment options has become more important since 2019 (up from 8.2 to 8.4) –</w:t>
            </w:r>
            <w:r w:rsidR="009D3480" w:rsidRPr="00192F41">
              <w:rPr>
                <w:rStyle w:val="IntenseEmphasis"/>
                <w:rFonts w:cs="Arial"/>
                <w:bCs/>
                <w:i w:val="0"/>
                <w:iCs w:val="0"/>
                <w:color w:val="auto"/>
                <w:sz w:val="20"/>
                <w:szCs w:val="20"/>
              </w:rPr>
              <w:t xml:space="preserve"> </w:t>
            </w:r>
            <w:r w:rsidRPr="00192F41">
              <w:rPr>
                <w:rStyle w:val="IntenseEmphasis"/>
                <w:rFonts w:cs="Arial"/>
                <w:bCs/>
                <w:i w:val="0"/>
                <w:iCs w:val="0"/>
                <w:color w:val="auto"/>
                <w:sz w:val="20"/>
                <w:szCs w:val="20"/>
              </w:rPr>
              <w:t xml:space="preserve">particularly for </w:t>
            </w:r>
            <w:r w:rsidR="004B0BAA">
              <w:rPr>
                <w:rStyle w:val="IntenseEmphasis"/>
                <w:rFonts w:cs="Arial"/>
                <w:bCs/>
                <w:i w:val="0"/>
                <w:iCs w:val="0"/>
                <w:color w:val="auto"/>
                <w:sz w:val="20"/>
                <w:szCs w:val="20"/>
              </w:rPr>
              <w:t>g</w:t>
            </w:r>
            <w:r w:rsidRPr="00192F41">
              <w:rPr>
                <w:rStyle w:val="IntenseEmphasis"/>
                <w:rFonts w:cs="Arial"/>
                <w:bCs/>
                <w:i w:val="0"/>
                <w:iCs w:val="0"/>
                <w:color w:val="auto"/>
                <w:sz w:val="20"/>
                <w:szCs w:val="20"/>
              </w:rPr>
              <w:t>roundwater customers.</w:t>
            </w:r>
          </w:p>
        </w:tc>
      </w:tr>
      <w:tr w:rsidR="001369DF" w:rsidRPr="00192F41" w14:paraId="75A8DA3B" w14:textId="77777777" w:rsidTr="00215363">
        <w:trPr>
          <w:cantSplit/>
        </w:trPr>
        <w:tc>
          <w:tcPr>
            <w:cnfStyle w:val="001000000000" w:firstRow="0" w:lastRow="0" w:firstColumn="1" w:lastColumn="0" w:oddVBand="0" w:evenVBand="0" w:oddHBand="0" w:evenHBand="0" w:firstRowFirstColumn="0" w:firstRowLastColumn="0" w:lastRowFirstColumn="0" w:lastRowLastColumn="0"/>
            <w:tcW w:w="1555" w:type="dxa"/>
          </w:tcPr>
          <w:p w14:paraId="00E5EB26" w14:textId="6FBC4012" w:rsidR="00B42517" w:rsidRPr="00B1674E" w:rsidRDefault="00056E96" w:rsidP="00B1674E">
            <w:pPr>
              <w:spacing w:before="40" w:after="40"/>
              <w:rPr>
                <w:rStyle w:val="IntenseEmphasis"/>
                <w:rFonts w:cs="Arial"/>
                <w:i w:val="0"/>
                <w:color w:val="auto"/>
                <w:sz w:val="20"/>
                <w:szCs w:val="20"/>
              </w:rPr>
            </w:pPr>
            <w:r w:rsidRPr="00B1674E">
              <w:rPr>
                <w:rStyle w:val="IntenseEmphasis"/>
                <w:rFonts w:cs="Arial"/>
                <w:i w:val="0"/>
                <w:color w:val="auto"/>
                <w:sz w:val="20"/>
                <w:szCs w:val="20"/>
              </w:rPr>
              <w:t>Listening communicating and consulting</w:t>
            </w:r>
          </w:p>
        </w:tc>
        <w:tc>
          <w:tcPr>
            <w:tcW w:w="8073" w:type="dxa"/>
          </w:tcPr>
          <w:p w14:paraId="0F7AD0CC" w14:textId="01357ABD" w:rsidR="00B42517" w:rsidRPr="00192F41" w:rsidRDefault="00056E96" w:rsidP="00B1674E">
            <w:pPr>
              <w:spacing w:before="40" w:after="40"/>
              <w:ind w:right="119"/>
              <w:jc w:val="both"/>
              <w:cnfStyle w:val="000000000000" w:firstRow="0" w:lastRow="0" w:firstColumn="0" w:lastColumn="0" w:oddVBand="0" w:evenVBand="0" w:oddHBand="0" w:evenHBand="0" w:firstRowFirstColumn="0" w:firstRowLastColumn="0" w:lastRowFirstColumn="0" w:lastRowLastColumn="0"/>
              <w:rPr>
                <w:rStyle w:val="IntenseEmphasis"/>
                <w:rFonts w:cs="Arial"/>
                <w:bCs/>
                <w:i w:val="0"/>
                <w:iCs w:val="0"/>
                <w:color w:val="auto"/>
                <w:sz w:val="20"/>
                <w:szCs w:val="20"/>
              </w:rPr>
            </w:pPr>
            <w:r w:rsidRPr="00192F41">
              <w:rPr>
                <w:rFonts w:cs="Arial"/>
                <w:bCs/>
                <w:szCs w:val="20"/>
              </w:rPr>
              <w:t xml:space="preserve">Satisfaction (8-10) with communication decreased slightly from 2019 (from 67% to 64%). Mostly due to a larger proportion responding ‘NA’. </w:t>
            </w:r>
          </w:p>
        </w:tc>
      </w:tr>
      <w:tr w:rsidR="001369DF" w:rsidRPr="00192F41" w14:paraId="4E741E55" w14:textId="77777777" w:rsidTr="00215363">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555" w:type="dxa"/>
            <w:tcBorders>
              <w:bottom w:val="single" w:sz="4" w:space="0" w:color="auto"/>
            </w:tcBorders>
          </w:tcPr>
          <w:p w14:paraId="5CC90E63" w14:textId="18E3DB82" w:rsidR="00056E96" w:rsidRPr="00B1674E" w:rsidRDefault="0059408D" w:rsidP="00B1674E">
            <w:pPr>
              <w:spacing w:before="40" w:after="40"/>
              <w:rPr>
                <w:rStyle w:val="IntenseEmphasis"/>
                <w:rFonts w:cs="Arial"/>
                <w:i w:val="0"/>
                <w:color w:val="auto"/>
                <w:sz w:val="20"/>
                <w:szCs w:val="20"/>
              </w:rPr>
            </w:pPr>
            <w:r w:rsidRPr="00B1674E">
              <w:rPr>
                <w:rStyle w:val="IntenseEmphasis"/>
                <w:rFonts w:cs="Arial"/>
                <w:i w:val="0"/>
                <w:color w:val="auto"/>
                <w:sz w:val="20"/>
                <w:szCs w:val="20"/>
              </w:rPr>
              <w:t>Value for service</w:t>
            </w:r>
          </w:p>
        </w:tc>
        <w:tc>
          <w:tcPr>
            <w:tcW w:w="8073" w:type="dxa"/>
            <w:tcBorders>
              <w:bottom w:val="single" w:sz="4" w:space="0" w:color="auto"/>
            </w:tcBorders>
          </w:tcPr>
          <w:p w14:paraId="2839DA30" w14:textId="79E37CF1" w:rsidR="00056E96" w:rsidRPr="00192F41" w:rsidRDefault="0059408D" w:rsidP="00B1674E">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192F41">
              <w:rPr>
                <w:rFonts w:cs="Arial"/>
                <w:bCs/>
                <w:szCs w:val="20"/>
              </w:rPr>
              <w:t xml:space="preserve">Similar to 2019, customers think SRW provides </w:t>
            </w:r>
            <w:r w:rsidR="001173D9" w:rsidRPr="00192F41">
              <w:rPr>
                <w:rFonts w:cs="Arial"/>
                <w:bCs/>
                <w:szCs w:val="20"/>
              </w:rPr>
              <w:t xml:space="preserve">a </w:t>
            </w:r>
            <w:r w:rsidRPr="00192F41">
              <w:rPr>
                <w:rFonts w:cs="Arial"/>
                <w:bCs/>
                <w:szCs w:val="20"/>
              </w:rPr>
              <w:t>good value service (75%)</w:t>
            </w:r>
            <w:r w:rsidR="004B0BAA">
              <w:rPr>
                <w:rFonts w:cs="Arial"/>
                <w:bCs/>
                <w:szCs w:val="20"/>
              </w:rPr>
              <w:t>.</w:t>
            </w:r>
          </w:p>
        </w:tc>
      </w:tr>
    </w:tbl>
    <w:p w14:paraId="0186E4F6" w14:textId="10600108" w:rsidR="008C64E4" w:rsidRPr="00192F41" w:rsidRDefault="008C64E4" w:rsidP="00DC1B7C">
      <w:pPr>
        <w:rPr>
          <w:rStyle w:val="IntenseEmphasis"/>
          <w:rFonts w:cs="Arial"/>
          <w:i w:val="0"/>
          <w:iCs w:val="0"/>
          <w:color w:val="auto"/>
        </w:rPr>
      </w:pPr>
      <w:r w:rsidRPr="00192F41">
        <w:rPr>
          <w:rStyle w:val="IntenseEmphasis"/>
          <w:rFonts w:cs="Arial"/>
          <w:i w:val="0"/>
          <w:iCs w:val="0"/>
          <w:color w:val="auto"/>
        </w:rPr>
        <w:br w:type="page"/>
      </w:r>
    </w:p>
    <w:p w14:paraId="71BFD921" w14:textId="7F62DDEF" w:rsidR="00E443F0" w:rsidRPr="00192F41" w:rsidRDefault="00E443F0" w:rsidP="00E443F0">
      <w:pPr>
        <w:pStyle w:val="Heading2"/>
        <w:rPr>
          <w:rStyle w:val="IntenseEmphasis"/>
          <w:rFonts w:cs="Arial"/>
          <w:i w:val="0"/>
          <w:iCs w:val="0"/>
          <w:sz w:val="36"/>
        </w:rPr>
      </w:pPr>
      <w:bookmarkStart w:id="29" w:name="_Hlk103766813"/>
      <w:r w:rsidRPr="00192F41">
        <w:rPr>
          <w:rStyle w:val="IntenseEmphasis"/>
          <w:rFonts w:cs="Arial"/>
          <w:i w:val="0"/>
          <w:iCs w:val="0"/>
          <w:sz w:val="36"/>
        </w:rPr>
        <w:t>Propose</w:t>
      </w:r>
      <w:r w:rsidR="00985A88" w:rsidRPr="00192F41">
        <w:rPr>
          <w:rStyle w:val="IntenseEmphasis"/>
          <w:rFonts w:cs="Arial"/>
          <w:i w:val="0"/>
          <w:iCs w:val="0"/>
          <w:sz w:val="36"/>
        </w:rPr>
        <w:t>d</w:t>
      </w:r>
      <w:r w:rsidRPr="00192F41">
        <w:rPr>
          <w:rStyle w:val="IntenseEmphasis"/>
          <w:rFonts w:cs="Arial"/>
          <w:i w:val="0"/>
          <w:iCs w:val="0"/>
          <w:sz w:val="36"/>
        </w:rPr>
        <w:t xml:space="preserve"> PREMO rating</w:t>
      </w:r>
      <w:r w:rsidR="008F33B3" w:rsidRPr="00192F41">
        <w:rPr>
          <w:rStyle w:val="IntenseEmphasis"/>
          <w:rFonts w:cs="Arial"/>
          <w:i w:val="0"/>
          <w:iCs w:val="0"/>
          <w:sz w:val="36"/>
        </w:rPr>
        <w:t xml:space="preserve"> for performance</w:t>
      </w:r>
    </w:p>
    <w:p w14:paraId="278AF388" w14:textId="225DB563" w:rsidR="00DB39AE" w:rsidRPr="00B61A64" w:rsidRDefault="00DB39AE" w:rsidP="00B61A64">
      <w:bookmarkStart w:id="30" w:name="_Hlk107588513"/>
      <w:r w:rsidRPr="00B61A64">
        <w:t xml:space="preserve">We are </w:t>
      </w:r>
      <w:r w:rsidR="005E67F3" w:rsidRPr="00B61A64">
        <w:t xml:space="preserve">very </w:t>
      </w:r>
      <w:r w:rsidRPr="00B61A64">
        <w:t xml:space="preserve">confident that our PREMO rating for performance is </w:t>
      </w:r>
      <w:r w:rsidR="005E67F3" w:rsidRPr="00B61A64">
        <w:t>standar</w:t>
      </w:r>
      <w:r w:rsidR="007C5141" w:rsidRPr="00B61A64">
        <w:t>d</w:t>
      </w:r>
      <w:r w:rsidRPr="00B61A64">
        <w:t xml:space="preserve"> based on the following assessment:</w:t>
      </w:r>
    </w:p>
    <w:tbl>
      <w:tblPr>
        <w:tblStyle w:val="ReportTable-TealRows"/>
        <w:tblW w:w="9781" w:type="dxa"/>
        <w:tblLook w:val="04A0" w:firstRow="1" w:lastRow="0" w:firstColumn="1" w:lastColumn="0" w:noHBand="0" w:noVBand="1"/>
      </w:tblPr>
      <w:tblGrid>
        <w:gridCol w:w="8647"/>
        <w:gridCol w:w="1134"/>
      </w:tblGrid>
      <w:tr w:rsidR="00215363" w:rsidRPr="00192F41" w14:paraId="13C51268" w14:textId="77777777" w:rsidTr="008D1C13">
        <w:trPr>
          <w:cnfStyle w:val="100000000000" w:firstRow="1" w:lastRow="0" w:firstColumn="0" w:lastColumn="0" w:oddVBand="0" w:evenVBand="0" w:oddHBand="0" w:evenHBand="0" w:firstRowFirstColumn="0" w:firstRowLastColumn="0" w:lastRowFirstColumn="0" w:lastRowLastColumn="0"/>
          <w:cantSplit/>
          <w:trHeight w:val="165"/>
          <w:tblHeader/>
        </w:trPr>
        <w:tc>
          <w:tcPr>
            <w:cnfStyle w:val="001000000000" w:firstRow="0" w:lastRow="0" w:firstColumn="1" w:lastColumn="0" w:oddVBand="0" w:evenVBand="0" w:oddHBand="0" w:evenHBand="0" w:firstRowFirstColumn="0" w:firstRowLastColumn="0" w:lastRowFirstColumn="0" w:lastRowLastColumn="0"/>
            <w:tcW w:w="8647" w:type="dxa"/>
            <w:hideMark/>
          </w:tcPr>
          <w:bookmarkEnd w:id="30"/>
          <w:p w14:paraId="31AC4D8D" w14:textId="1645A319" w:rsidR="00215363" w:rsidRPr="00192F41" w:rsidRDefault="00914F6A" w:rsidP="00DD4987">
            <w:pPr>
              <w:spacing w:before="40" w:after="40"/>
              <w:textAlignment w:val="baseline"/>
              <w:rPr>
                <w:rFonts w:eastAsia="Times New Roman" w:cs="Arial"/>
                <w:b w:val="0"/>
                <w:bCs/>
                <w:sz w:val="18"/>
                <w:szCs w:val="18"/>
                <w:lang w:eastAsia="en-AU"/>
              </w:rPr>
            </w:pPr>
            <w:r w:rsidRPr="00192F41">
              <w:rPr>
                <w:rFonts w:eastAsia="Times New Roman" w:cs="Arial"/>
                <w:bCs/>
                <w:sz w:val="20"/>
                <w:szCs w:val="20"/>
                <w:lang w:eastAsia="en-AU"/>
              </w:rPr>
              <w:t>Performance aspect</w:t>
            </w:r>
          </w:p>
        </w:tc>
        <w:tc>
          <w:tcPr>
            <w:tcW w:w="1134" w:type="dxa"/>
            <w:hideMark/>
          </w:tcPr>
          <w:p w14:paraId="3A27EDEB" w14:textId="70097301" w:rsidR="00215363" w:rsidRPr="00192F41" w:rsidRDefault="00215363" w:rsidP="00DD4987">
            <w:pPr>
              <w:spacing w:before="40" w:after="40"/>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s="Arial"/>
                <w:b w:val="0"/>
                <w:bCs/>
                <w:sz w:val="18"/>
                <w:szCs w:val="18"/>
                <w:lang w:eastAsia="en-AU"/>
              </w:rPr>
            </w:pPr>
            <w:r w:rsidRPr="00192F41">
              <w:rPr>
                <w:rFonts w:eastAsia="Times New Roman" w:cs="Arial"/>
                <w:bCs/>
                <w:sz w:val="20"/>
                <w:szCs w:val="20"/>
                <w:lang w:eastAsia="en-AU"/>
              </w:rPr>
              <w:t>Rating</w:t>
            </w:r>
          </w:p>
        </w:tc>
      </w:tr>
      <w:tr w:rsidR="00215363" w:rsidRPr="00192F41" w14:paraId="0DC238C7" w14:textId="77777777" w:rsidTr="0085311F">
        <w:trPr>
          <w:cnfStyle w:val="000000100000" w:firstRow="0" w:lastRow="0" w:firstColumn="0" w:lastColumn="0" w:oddVBand="0" w:evenVBand="0" w:oddHBand="1" w:evenHBand="0" w:firstRowFirstColumn="0" w:firstRowLastColumn="0" w:lastRowFirstColumn="0" w:lastRowLastColumn="0"/>
          <w:cantSplit/>
          <w:trHeight w:val="475"/>
        </w:trPr>
        <w:tc>
          <w:tcPr>
            <w:cnfStyle w:val="001000000000" w:firstRow="0" w:lastRow="0" w:firstColumn="1" w:lastColumn="0" w:oddVBand="0" w:evenVBand="0" w:oddHBand="0" w:evenHBand="0" w:firstRowFirstColumn="0" w:firstRowLastColumn="0" w:lastRowFirstColumn="0" w:lastRowLastColumn="0"/>
            <w:tcW w:w="8647" w:type="dxa"/>
          </w:tcPr>
          <w:p w14:paraId="52FBE918" w14:textId="7B56C3DD" w:rsidR="00215363" w:rsidRPr="000153AB" w:rsidRDefault="00215363" w:rsidP="00DD4987">
            <w:pPr>
              <w:spacing w:before="40" w:after="40"/>
              <w:ind w:right="110"/>
              <w:jc w:val="both"/>
              <w:textAlignment w:val="baseline"/>
              <w:rPr>
                <w:rFonts w:eastAsia="Times New Roman" w:cs="Arial"/>
                <w:color w:val="000000" w:themeColor="text1"/>
                <w:szCs w:val="20"/>
                <w:lang w:eastAsia="en-AU"/>
              </w:rPr>
            </w:pPr>
            <w:r w:rsidRPr="000153AB">
              <w:rPr>
                <w:rFonts w:eastAsia="Times New Roman" w:cs="Arial"/>
                <w:color w:val="000000" w:themeColor="text1"/>
                <w:szCs w:val="20"/>
                <w:lang w:eastAsia="en-AU"/>
              </w:rPr>
              <w:t>To what extent has the business demonstrated delivery of its customer outcomes commitment over the current regulatory period? Did its customers get what they paid for? </w:t>
            </w:r>
          </w:p>
        </w:tc>
        <w:tc>
          <w:tcPr>
            <w:tcW w:w="1134" w:type="dxa"/>
            <w:vAlign w:val="top"/>
          </w:tcPr>
          <w:p w14:paraId="252A10F7" w14:textId="77777777" w:rsidR="00215363" w:rsidRPr="00192F41" w:rsidRDefault="00215363" w:rsidP="00DD4987">
            <w:pPr>
              <w:spacing w:before="40" w:after="40"/>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215363" w:rsidRPr="00192F41" w14:paraId="32E72737" w14:textId="77777777" w:rsidTr="008D1C13">
        <w:trPr>
          <w:cantSplit/>
          <w:trHeight w:val="2939"/>
        </w:trPr>
        <w:tc>
          <w:tcPr>
            <w:cnfStyle w:val="001000000000" w:firstRow="0" w:lastRow="0" w:firstColumn="1" w:lastColumn="0" w:oddVBand="0" w:evenVBand="0" w:oddHBand="0" w:evenHBand="0" w:firstRowFirstColumn="0" w:firstRowLastColumn="0" w:lastRowFirstColumn="0" w:lastRowLastColumn="0"/>
            <w:tcW w:w="8647" w:type="dxa"/>
            <w:hideMark/>
          </w:tcPr>
          <w:p w14:paraId="333FC731" w14:textId="6EA24694" w:rsidR="00215363" w:rsidRPr="00DD4987" w:rsidRDefault="00215363" w:rsidP="00DD4987">
            <w:pPr>
              <w:spacing w:before="40" w:after="120"/>
              <w:ind w:left="720" w:right="110"/>
              <w:jc w:val="both"/>
              <w:textAlignment w:val="baseline"/>
              <w:rPr>
                <w:rFonts w:eastAsia="Times New Roman" w:cs="Arial"/>
                <w:color w:val="000000" w:themeColor="text1"/>
                <w:szCs w:val="20"/>
                <w:lang w:eastAsia="en-AU"/>
              </w:rPr>
            </w:pPr>
            <w:r w:rsidRPr="00192F41">
              <w:rPr>
                <w:rFonts w:eastAsia="Times New Roman" w:cs="Arial"/>
                <w:color w:val="000000" w:themeColor="text1"/>
                <w:szCs w:val="20"/>
                <w:shd w:val="clear" w:color="auto" w:fill="FFFFFF"/>
                <w:lang w:eastAsia="en-AU"/>
              </w:rPr>
              <w:t xml:space="preserve">SRW has consistently met or exceeded most of its customer outcomes over the regulatory period. There has been a significant improvement in the processing of applications. While some operational targets have proved challenging, this has not impacted customers with delivery targets being met on a regular basis. </w:t>
            </w:r>
            <w:r w:rsidR="005B02F3" w:rsidRPr="00192F41">
              <w:rPr>
                <w:rFonts w:eastAsia="Times New Roman" w:cs="Arial"/>
                <w:color w:val="000000" w:themeColor="text1"/>
                <w:szCs w:val="20"/>
                <w:shd w:val="clear" w:color="auto" w:fill="FFFFFF"/>
                <w:lang w:eastAsia="en-AU"/>
              </w:rPr>
              <w:t>We have</w:t>
            </w:r>
            <w:r w:rsidRPr="00192F41">
              <w:rPr>
                <w:rFonts w:eastAsia="Times New Roman" w:cs="Arial"/>
                <w:color w:val="000000" w:themeColor="text1"/>
                <w:szCs w:val="20"/>
                <w:shd w:val="clear" w:color="auto" w:fill="FFFFFF"/>
                <w:lang w:eastAsia="en-AU"/>
              </w:rPr>
              <w:t xml:space="preserve"> struggled to sell additional water entitlements. However</w:t>
            </w:r>
            <w:r w:rsidR="00E27F9A">
              <w:rPr>
                <w:rFonts w:eastAsia="Times New Roman" w:cs="Arial"/>
                <w:color w:val="000000" w:themeColor="text1"/>
                <w:szCs w:val="20"/>
                <w:shd w:val="clear" w:color="auto" w:fill="FFFFFF"/>
                <w:lang w:eastAsia="en-AU"/>
              </w:rPr>
              <w:t xml:space="preserve"> there</w:t>
            </w:r>
            <w:r w:rsidRPr="00192F41">
              <w:rPr>
                <w:rFonts w:eastAsia="Times New Roman" w:cs="Arial"/>
                <w:color w:val="000000" w:themeColor="text1"/>
                <w:szCs w:val="20"/>
                <w:shd w:val="clear" w:color="auto" w:fill="FFFFFF"/>
                <w:lang w:eastAsia="en-AU"/>
              </w:rPr>
              <w:t xml:space="preserve"> has been very little demand for additional water. SRW is continuing the processing of water sales such that additional water can be offered to the market when demand returns.</w:t>
            </w:r>
            <w:r w:rsidRPr="00192F41">
              <w:rPr>
                <w:rFonts w:eastAsia="Times New Roman" w:cs="Arial"/>
                <w:color w:val="000000" w:themeColor="text1"/>
                <w:szCs w:val="20"/>
                <w:lang w:eastAsia="en-AU"/>
              </w:rPr>
              <w:t> </w:t>
            </w:r>
          </w:p>
          <w:p w14:paraId="749B8BDF" w14:textId="627A8FD4" w:rsidR="00215363" w:rsidRDefault="00215363" w:rsidP="00DD4987">
            <w:pPr>
              <w:spacing w:before="40" w:after="40"/>
              <w:ind w:left="720" w:right="110"/>
              <w:jc w:val="both"/>
              <w:textAlignment w:val="baseline"/>
              <w:rPr>
                <w:rFonts w:eastAsia="Times New Roman" w:cs="Arial"/>
                <w:color w:val="000000" w:themeColor="text1"/>
                <w:szCs w:val="20"/>
                <w:lang w:eastAsia="en-AU"/>
              </w:rPr>
            </w:pPr>
            <w:r w:rsidRPr="00192F41">
              <w:rPr>
                <w:rFonts w:eastAsia="Times New Roman" w:cs="Arial"/>
                <w:color w:val="000000" w:themeColor="text1"/>
                <w:szCs w:val="20"/>
                <w:shd w:val="clear" w:color="auto" w:fill="FFFFFF"/>
                <w:lang w:eastAsia="en-AU"/>
              </w:rPr>
              <w:t>We note the ESC’s observation of SRW 2020</w:t>
            </w:r>
            <w:r w:rsidR="00736E27">
              <w:rPr>
                <w:rFonts w:eastAsia="Times New Roman" w:cs="Arial"/>
                <w:color w:val="000000" w:themeColor="text1"/>
                <w:szCs w:val="20"/>
                <w:shd w:val="clear" w:color="auto" w:fill="FFFFFF"/>
                <w:lang w:eastAsia="en-AU"/>
              </w:rPr>
              <w:t>-</w:t>
            </w:r>
            <w:r w:rsidRPr="00192F41">
              <w:rPr>
                <w:rFonts w:eastAsia="Times New Roman" w:cs="Arial"/>
                <w:color w:val="000000" w:themeColor="text1"/>
                <w:szCs w:val="20"/>
                <w:shd w:val="clear" w:color="auto" w:fill="FFFFFF"/>
                <w:lang w:eastAsia="en-AU"/>
              </w:rPr>
              <w:t>21 performance ‘SRW was one of the businesses that is more critical in its self-assessment. It has clearly explained its performance to its customers and reported its performance back to its customers promptly and prominently on its website, showing ownership of its outcome’s performance.’ </w:t>
            </w:r>
            <w:r w:rsidRPr="00192F41">
              <w:rPr>
                <w:rFonts w:eastAsia="Times New Roman" w:cs="Arial"/>
                <w:color w:val="000000" w:themeColor="text1"/>
                <w:szCs w:val="20"/>
                <w:lang w:eastAsia="en-AU"/>
              </w:rPr>
              <w:t> </w:t>
            </w:r>
          </w:p>
          <w:p w14:paraId="0A5FCF4A" w14:textId="365EF9A2" w:rsidR="00EA596F" w:rsidRPr="000153AB" w:rsidRDefault="00EA596F" w:rsidP="00DD4987">
            <w:pPr>
              <w:spacing w:before="40" w:after="40"/>
              <w:ind w:left="720" w:right="110"/>
              <w:jc w:val="both"/>
              <w:textAlignment w:val="baseline"/>
              <w:rPr>
                <w:rFonts w:eastAsia="Times New Roman" w:cs="Arial"/>
                <w:color w:val="000000" w:themeColor="text1"/>
                <w:sz w:val="18"/>
                <w:szCs w:val="18"/>
                <w:lang w:eastAsia="en-AU"/>
              </w:rPr>
            </w:pPr>
          </w:p>
        </w:tc>
        <w:tc>
          <w:tcPr>
            <w:tcW w:w="1134" w:type="dxa"/>
            <w:vAlign w:val="top"/>
            <w:hideMark/>
          </w:tcPr>
          <w:p w14:paraId="18A00381" w14:textId="074F5B6C" w:rsidR="00215363" w:rsidRPr="00192F41" w:rsidRDefault="003D6B01" w:rsidP="00DD4987">
            <w:pPr>
              <w:spacing w:before="40" w:after="40"/>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eastAsia="en-AU"/>
              </w:rPr>
            </w:pPr>
            <w:r>
              <w:rPr>
                <w:rFonts w:eastAsia="Times New Roman" w:cs="Arial"/>
                <w:color w:val="000000" w:themeColor="text1"/>
                <w:szCs w:val="20"/>
                <w:lang w:eastAsia="en-AU"/>
              </w:rPr>
              <w:t>Advanced- very confident</w:t>
            </w:r>
            <w:r w:rsidR="00215363" w:rsidRPr="00F82275">
              <w:rPr>
                <w:rFonts w:eastAsia="Times New Roman" w:cs="Arial"/>
                <w:color w:val="000000" w:themeColor="text1"/>
                <w:szCs w:val="20"/>
                <w:lang w:eastAsia="en-AU"/>
              </w:rPr>
              <w:t> </w:t>
            </w:r>
          </w:p>
        </w:tc>
      </w:tr>
      <w:tr w:rsidR="00215363" w:rsidRPr="00192F41" w14:paraId="64573C76" w14:textId="77777777" w:rsidTr="0085311F">
        <w:trPr>
          <w:cnfStyle w:val="000000100000" w:firstRow="0" w:lastRow="0" w:firstColumn="0" w:lastColumn="0" w:oddVBand="0" w:evenVBand="0" w:oddHBand="1" w:evenHBand="0" w:firstRowFirstColumn="0" w:firstRowLastColumn="0" w:lastRowFirstColumn="0" w:lastRowLastColumn="0"/>
          <w:cantSplit/>
          <w:trHeight w:val="633"/>
        </w:trPr>
        <w:tc>
          <w:tcPr>
            <w:cnfStyle w:val="001000000000" w:firstRow="0" w:lastRow="0" w:firstColumn="1" w:lastColumn="0" w:oddVBand="0" w:evenVBand="0" w:oddHBand="0" w:evenHBand="0" w:firstRowFirstColumn="0" w:firstRowLastColumn="0" w:lastRowFirstColumn="0" w:lastRowLastColumn="0"/>
            <w:tcW w:w="8647" w:type="dxa"/>
            <w:vAlign w:val="top"/>
          </w:tcPr>
          <w:p w14:paraId="65FCB655" w14:textId="2C7A4386" w:rsidR="00215363" w:rsidRPr="000153AB" w:rsidRDefault="00215363" w:rsidP="00DD4987">
            <w:pPr>
              <w:spacing w:before="40" w:after="40"/>
              <w:ind w:right="110"/>
              <w:jc w:val="both"/>
              <w:textAlignment w:val="baseline"/>
              <w:rPr>
                <w:rFonts w:eastAsia="Times New Roman" w:cs="Arial"/>
                <w:color w:val="000000" w:themeColor="text1"/>
                <w:szCs w:val="20"/>
                <w:lang w:eastAsia="en-AU"/>
              </w:rPr>
            </w:pPr>
            <w:r w:rsidRPr="000153AB">
              <w:rPr>
                <w:rFonts w:eastAsia="Times New Roman" w:cs="Arial"/>
                <w:color w:val="000000" w:themeColor="text1"/>
                <w:szCs w:val="20"/>
                <w:lang w:eastAsia="en-AU"/>
              </w:rPr>
              <w:t>How does actual operating expenditure across the current period compare with the established benchmark allowance, and to what extent has the business rationalised any discrepancies? </w:t>
            </w:r>
          </w:p>
        </w:tc>
        <w:tc>
          <w:tcPr>
            <w:tcW w:w="1134" w:type="dxa"/>
            <w:vAlign w:val="top"/>
          </w:tcPr>
          <w:p w14:paraId="2AEBCC9F" w14:textId="77777777" w:rsidR="00215363" w:rsidRPr="00192F41" w:rsidRDefault="00215363" w:rsidP="00DD4987">
            <w:pPr>
              <w:spacing w:before="40" w:after="40"/>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215363" w:rsidRPr="00192F41" w14:paraId="1538FB78" w14:textId="77777777" w:rsidTr="008D1C13">
        <w:trPr>
          <w:cantSplit/>
          <w:trHeight w:val="1200"/>
        </w:trPr>
        <w:tc>
          <w:tcPr>
            <w:cnfStyle w:val="001000000000" w:firstRow="0" w:lastRow="0" w:firstColumn="1" w:lastColumn="0" w:oddVBand="0" w:evenVBand="0" w:oddHBand="0" w:evenHBand="0" w:firstRowFirstColumn="0" w:firstRowLastColumn="0" w:lastRowFirstColumn="0" w:lastRowLastColumn="0"/>
            <w:tcW w:w="8647" w:type="dxa"/>
            <w:vAlign w:val="top"/>
            <w:hideMark/>
          </w:tcPr>
          <w:p w14:paraId="5DFFE353" w14:textId="77777777" w:rsidR="00DD4987" w:rsidRDefault="00D15691" w:rsidP="00DD4987">
            <w:pPr>
              <w:spacing w:before="40" w:after="120"/>
              <w:ind w:left="720" w:right="110"/>
              <w:jc w:val="both"/>
              <w:rPr>
                <w:rStyle w:val="IntenseEmphasis"/>
                <w:rFonts w:cs="Arial"/>
                <w:i w:val="0"/>
                <w:color w:val="auto"/>
                <w:sz w:val="20"/>
                <w:szCs w:val="20"/>
              </w:rPr>
            </w:pPr>
            <w:r w:rsidRPr="00E27D38">
              <w:rPr>
                <w:rStyle w:val="IntenseEmphasis"/>
                <w:rFonts w:cs="Arial"/>
                <w:i w:val="0"/>
                <w:color w:val="auto"/>
                <w:sz w:val="20"/>
                <w:szCs w:val="20"/>
              </w:rPr>
              <w:t>Since setting the benchmark in 2017, SRW has experienced a significant increase to business costs</w:t>
            </w:r>
            <w:r w:rsidR="0030296B" w:rsidRPr="00E27D38">
              <w:rPr>
                <w:rStyle w:val="IntenseEmphasis"/>
                <w:rFonts w:cs="Arial"/>
                <w:i w:val="0"/>
                <w:color w:val="auto"/>
                <w:sz w:val="20"/>
                <w:szCs w:val="20"/>
              </w:rPr>
              <w:t xml:space="preserve"> (</w:t>
            </w:r>
            <w:r w:rsidR="002E74A3" w:rsidRPr="00E27D38">
              <w:rPr>
                <w:rStyle w:val="IntenseEmphasis"/>
                <w:rFonts w:cs="Arial"/>
                <w:i w:val="0"/>
                <w:color w:val="auto"/>
                <w:sz w:val="20"/>
                <w:szCs w:val="20"/>
              </w:rPr>
              <w:t xml:space="preserve">including </w:t>
            </w:r>
            <w:r w:rsidRPr="00E27D38">
              <w:rPr>
                <w:rStyle w:val="IntenseEmphasis"/>
                <w:rFonts w:cs="Arial"/>
                <w:i w:val="0"/>
                <w:color w:val="auto"/>
                <w:sz w:val="20"/>
                <w:szCs w:val="20"/>
              </w:rPr>
              <w:t>real wages growth</w:t>
            </w:r>
            <w:r w:rsidR="003F4F84" w:rsidRPr="00E27D38">
              <w:rPr>
                <w:rStyle w:val="IntenseEmphasis"/>
                <w:rFonts w:cs="Arial"/>
                <w:i w:val="0"/>
                <w:color w:val="auto"/>
                <w:sz w:val="20"/>
                <w:szCs w:val="20"/>
              </w:rPr>
              <w:t>,</w:t>
            </w:r>
            <w:r w:rsidRPr="00E27D38">
              <w:rPr>
                <w:rStyle w:val="IntenseEmphasis"/>
                <w:rFonts w:cs="Arial"/>
                <w:i w:val="0"/>
                <w:color w:val="auto"/>
                <w:sz w:val="20"/>
                <w:szCs w:val="20"/>
              </w:rPr>
              <w:t xml:space="preserve"> higher compliance costs from an uplift in health</w:t>
            </w:r>
            <w:r w:rsidR="005E3658">
              <w:rPr>
                <w:rStyle w:val="IntenseEmphasis"/>
                <w:rFonts w:cs="Arial"/>
                <w:i w:val="0"/>
                <w:color w:val="auto"/>
                <w:sz w:val="20"/>
                <w:szCs w:val="20"/>
              </w:rPr>
              <w:t xml:space="preserve"> and </w:t>
            </w:r>
            <w:r w:rsidRPr="00E27D38">
              <w:rPr>
                <w:rStyle w:val="IntenseEmphasis"/>
                <w:rFonts w:cs="Arial"/>
                <w:i w:val="0"/>
                <w:color w:val="auto"/>
                <w:sz w:val="20"/>
                <w:szCs w:val="20"/>
              </w:rPr>
              <w:t>safety</w:t>
            </w:r>
            <w:r w:rsidR="000E4B8D" w:rsidRPr="00E27D38">
              <w:rPr>
                <w:rStyle w:val="IntenseEmphasis"/>
                <w:rFonts w:cs="Arial"/>
                <w:i w:val="0"/>
                <w:color w:val="auto"/>
                <w:sz w:val="20"/>
                <w:szCs w:val="20"/>
              </w:rPr>
              <w:t>,</w:t>
            </w:r>
            <w:r w:rsidRPr="00E27D38">
              <w:rPr>
                <w:rStyle w:val="IntenseEmphasis"/>
                <w:rFonts w:cs="Arial"/>
                <w:i w:val="0"/>
                <w:color w:val="auto"/>
                <w:sz w:val="20"/>
                <w:szCs w:val="20"/>
              </w:rPr>
              <w:t xml:space="preserve"> cyber security arrangements</w:t>
            </w:r>
            <w:r w:rsidR="005E3658">
              <w:rPr>
                <w:rStyle w:val="IntenseEmphasis"/>
                <w:rFonts w:cs="Arial"/>
                <w:i w:val="0"/>
                <w:color w:val="auto"/>
                <w:sz w:val="20"/>
                <w:szCs w:val="20"/>
              </w:rPr>
              <w:t xml:space="preserve"> and increases to insurance costs</w:t>
            </w:r>
            <w:r w:rsidR="0030296B" w:rsidRPr="00E27D38">
              <w:rPr>
                <w:rStyle w:val="IntenseEmphasis"/>
                <w:rFonts w:cs="Arial"/>
                <w:i w:val="0"/>
                <w:color w:val="auto"/>
                <w:sz w:val="20"/>
                <w:szCs w:val="20"/>
              </w:rPr>
              <w:t>)</w:t>
            </w:r>
            <w:r w:rsidRPr="00E27D38">
              <w:rPr>
                <w:rStyle w:val="IntenseEmphasis"/>
                <w:rFonts w:cs="Arial"/>
                <w:i w:val="0"/>
                <w:color w:val="auto"/>
                <w:sz w:val="20"/>
                <w:szCs w:val="20"/>
              </w:rPr>
              <w:t xml:space="preserve"> </w:t>
            </w:r>
            <w:r w:rsidR="002D0DDF" w:rsidRPr="00E27D38">
              <w:rPr>
                <w:rStyle w:val="IntenseEmphasis"/>
                <w:rFonts w:cs="Arial"/>
                <w:i w:val="0"/>
                <w:color w:val="auto"/>
                <w:sz w:val="20"/>
                <w:szCs w:val="20"/>
              </w:rPr>
              <w:t xml:space="preserve">which </w:t>
            </w:r>
            <w:r w:rsidRPr="00E27D38">
              <w:rPr>
                <w:rStyle w:val="IntenseEmphasis"/>
                <w:rFonts w:cs="Arial"/>
                <w:i w:val="0"/>
                <w:color w:val="auto"/>
                <w:sz w:val="20"/>
                <w:szCs w:val="20"/>
              </w:rPr>
              <w:t>ha</w:t>
            </w:r>
            <w:r w:rsidR="007C4220">
              <w:rPr>
                <w:rStyle w:val="IntenseEmphasis"/>
                <w:rFonts w:cs="Arial"/>
                <w:i w:val="0"/>
                <w:color w:val="auto"/>
                <w:sz w:val="20"/>
                <w:szCs w:val="20"/>
              </w:rPr>
              <w:t>s</w:t>
            </w:r>
            <w:r w:rsidRPr="00E27D38">
              <w:rPr>
                <w:rStyle w:val="IntenseEmphasis"/>
                <w:rFonts w:cs="Arial"/>
                <w:i w:val="0"/>
                <w:color w:val="auto"/>
                <w:sz w:val="20"/>
                <w:szCs w:val="20"/>
              </w:rPr>
              <w:t xml:space="preserve"> resulted in </w:t>
            </w:r>
            <w:r w:rsidR="002D0DDF" w:rsidRPr="00E27D38">
              <w:rPr>
                <w:rStyle w:val="IntenseEmphasis"/>
                <w:rFonts w:cs="Arial"/>
                <w:i w:val="0"/>
                <w:color w:val="auto"/>
                <w:sz w:val="20"/>
                <w:szCs w:val="20"/>
              </w:rPr>
              <w:t>our</w:t>
            </w:r>
            <w:r w:rsidRPr="00E27D38">
              <w:rPr>
                <w:rStyle w:val="IntenseEmphasis"/>
                <w:rFonts w:cs="Arial"/>
                <w:i w:val="0"/>
                <w:color w:val="auto"/>
                <w:sz w:val="20"/>
                <w:szCs w:val="20"/>
              </w:rPr>
              <w:t xml:space="preserve"> operating cost base exceeding the benchmark allowance.</w:t>
            </w:r>
            <w:r w:rsidR="00B57DEB" w:rsidRPr="00E27D38">
              <w:rPr>
                <w:rStyle w:val="IntenseEmphasis"/>
                <w:rFonts w:cs="Arial"/>
                <w:i w:val="0"/>
                <w:color w:val="auto"/>
                <w:sz w:val="20"/>
                <w:szCs w:val="20"/>
              </w:rPr>
              <w:t xml:space="preserve"> </w:t>
            </w:r>
            <w:r w:rsidR="0079305A" w:rsidRPr="00E27D38">
              <w:rPr>
                <w:rStyle w:val="IntenseEmphasis"/>
                <w:rFonts w:cs="Arial"/>
                <w:i w:val="0"/>
                <w:color w:val="auto"/>
                <w:sz w:val="20"/>
                <w:szCs w:val="20"/>
              </w:rPr>
              <w:t>While this increase in costs</w:t>
            </w:r>
            <w:r w:rsidRPr="00E27D38">
              <w:rPr>
                <w:rStyle w:val="IntenseEmphasis"/>
                <w:rFonts w:cs="Arial"/>
                <w:i w:val="0"/>
                <w:color w:val="auto"/>
                <w:sz w:val="20"/>
                <w:szCs w:val="20"/>
              </w:rPr>
              <w:t xml:space="preserve"> has been </w:t>
            </w:r>
            <w:r w:rsidR="0079305A" w:rsidRPr="00E27D38">
              <w:rPr>
                <w:rStyle w:val="IntenseEmphasis"/>
                <w:rFonts w:cs="Arial"/>
                <w:i w:val="0"/>
                <w:color w:val="auto"/>
                <w:sz w:val="20"/>
                <w:szCs w:val="20"/>
              </w:rPr>
              <w:t xml:space="preserve">partly </w:t>
            </w:r>
            <w:r w:rsidR="00B57DEB" w:rsidRPr="00E27D38">
              <w:rPr>
                <w:rStyle w:val="IntenseEmphasis"/>
                <w:rFonts w:cs="Arial"/>
                <w:i w:val="0"/>
                <w:color w:val="auto"/>
                <w:sz w:val="20"/>
                <w:szCs w:val="20"/>
              </w:rPr>
              <w:t xml:space="preserve">offset </w:t>
            </w:r>
            <w:r w:rsidR="000C1121" w:rsidRPr="00E27D38">
              <w:rPr>
                <w:rStyle w:val="IntenseEmphasis"/>
                <w:rFonts w:cs="Arial"/>
                <w:i w:val="0"/>
                <w:color w:val="auto"/>
                <w:sz w:val="20"/>
                <w:szCs w:val="20"/>
              </w:rPr>
              <w:t xml:space="preserve">through </w:t>
            </w:r>
            <w:r w:rsidR="0079305A" w:rsidRPr="00E27D38">
              <w:rPr>
                <w:rStyle w:val="IntenseEmphasis"/>
                <w:rFonts w:cs="Arial"/>
                <w:i w:val="0"/>
                <w:color w:val="auto"/>
                <w:sz w:val="20"/>
                <w:szCs w:val="20"/>
              </w:rPr>
              <w:t xml:space="preserve">operating cost management in the latter part of the current regulatory period </w:t>
            </w:r>
            <w:r w:rsidR="00944D67" w:rsidRPr="00E27D38">
              <w:rPr>
                <w:rStyle w:val="IntenseEmphasis"/>
                <w:rFonts w:cs="Arial"/>
                <w:i w:val="0"/>
                <w:color w:val="auto"/>
                <w:sz w:val="20"/>
                <w:szCs w:val="20"/>
              </w:rPr>
              <w:t>(e.g</w:t>
            </w:r>
            <w:r w:rsidR="00A45DF3" w:rsidRPr="00E27D38">
              <w:rPr>
                <w:rStyle w:val="IntenseEmphasis"/>
                <w:rFonts w:cs="Arial"/>
                <w:i w:val="0"/>
                <w:color w:val="auto"/>
                <w:sz w:val="20"/>
                <w:szCs w:val="20"/>
              </w:rPr>
              <w:t>.</w:t>
            </w:r>
            <w:r w:rsidRPr="00E27D38">
              <w:rPr>
                <w:rStyle w:val="IntenseEmphasis"/>
                <w:rFonts w:cs="Arial"/>
                <w:i w:val="0"/>
                <w:color w:val="auto"/>
                <w:sz w:val="20"/>
                <w:szCs w:val="20"/>
              </w:rPr>
              <w:t xml:space="preserve"> </w:t>
            </w:r>
            <w:r w:rsidR="0079305A" w:rsidRPr="00E27D38">
              <w:rPr>
                <w:rStyle w:val="IntenseEmphasis"/>
                <w:rFonts w:cs="Arial"/>
                <w:i w:val="0"/>
                <w:color w:val="auto"/>
                <w:sz w:val="20"/>
                <w:szCs w:val="20"/>
              </w:rPr>
              <w:t xml:space="preserve">productivity improvements from </w:t>
            </w:r>
            <w:r w:rsidRPr="00E27D38">
              <w:rPr>
                <w:rStyle w:val="IntenseEmphasis"/>
                <w:rFonts w:cs="Arial"/>
                <w:i w:val="0"/>
                <w:color w:val="auto"/>
                <w:sz w:val="20"/>
                <w:szCs w:val="20"/>
              </w:rPr>
              <w:t>investments in technology and irrigation modernisation, a</w:t>
            </w:r>
            <w:r w:rsidR="00397539" w:rsidRPr="00E27D38">
              <w:rPr>
                <w:rStyle w:val="IntenseEmphasis"/>
                <w:rFonts w:cs="Arial"/>
                <w:i w:val="0"/>
                <w:color w:val="auto"/>
                <w:sz w:val="20"/>
                <w:szCs w:val="20"/>
              </w:rPr>
              <w:t>long with</w:t>
            </w:r>
            <w:r w:rsidRPr="00E27D38">
              <w:rPr>
                <w:rStyle w:val="IntenseEmphasis"/>
                <w:rFonts w:cs="Arial"/>
                <w:i w:val="0"/>
                <w:color w:val="auto"/>
                <w:sz w:val="20"/>
                <w:szCs w:val="20"/>
              </w:rPr>
              <w:t xml:space="preserve"> lower </w:t>
            </w:r>
            <w:r w:rsidR="00987ACC" w:rsidRPr="00E27D38">
              <w:rPr>
                <w:rStyle w:val="IntenseEmphasis"/>
                <w:rFonts w:cs="Arial"/>
                <w:i w:val="0"/>
                <w:color w:val="auto"/>
                <w:sz w:val="20"/>
                <w:szCs w:val="20"/>
              </w:rPr>
              <w:t>operating</w:t>
            </w:r>
            <w:r w:rsidR="0013231A" w:rsidRPr="00E27D38">
              <w:rPr>
                <w:rStyle w:val="IntenseEmphasis"/>
                <w:rFonts w:cs="Arial"/>
                <w:i w:val="0"/>
                <w:color w:val="auto"/>
                <w:sz w:val="20"/>
                <w:szCs w:val="20"/>
              </w:rPr>
              <w:t xml:space="preserve"> </w:t>
            </w:r>
            <w:r w:rsidRPr="00E27D38">
              <w:rPr>
                <w:rStyle w:val="IntenseEmphasis"/>
                <w:rFonts w:cs="Arial"/>
                <w:i w:val="0"/>
                <w:color w:val="auto"/>
                <w:sz w:val="20"/>
                <w:szCs w:val="20"/>
              </w:rPr>
              <w:t>costs such as less business travel and off-site training cost)</w:t>
            </w:r>
            <w:r w:rsidR="00BE6C85" w:rsidRPr="00E27D38">
              <w:rPr>
                <w:rStyle w:val="IntenseEmphasis"/>
                <w:rFonts w:cs="Arial"/>
                <w:i w:val="0"/>
                <w:color w:val="auto"/>
                <w:sz w:val="20"/>
                <w:szCs w:val="20"/>
              </w:rPr>
              <w:t xml:space="preserve">, </w:t>
            </w:r>
            <w:r w:rsidR="00BE6C85" w:rsidRPr="0062740D">
              <w:rPr>
                <w:rStyle w:val="IntenseEmphasis"/>
                <w:rFonts w:cs="Arial"/>
                <w:i w:val="0"/>
                <w:color w:val="auto"/>
                <w:sz w:val="20"/>
                <w:szCs w:val="20"/>
              </w:rPr>
              <w:t xml:space="preserve">an aggregate increase to our operating cost base has occurred from a benchmark allowance in 2022-23 of </w:t>
            </w:r>
            <w:r w:rsidR="003035E1" w:rsidRPr="0062740D">
              <w:rPr>
                <w:rStyle w:val="IntenseEmphasis"/>
                <w:rFonts w:cs="Arial"/>
                <w:i w:val="0"/>
                <w:color w:val="auto"/>
                <w:sz w:val="20"/>
                <w:szCs w:val="20"/>
              </w:rPr>
              <w:t>$23.4</w:t>
            </w:r>
            <w:r w:rsidR="005346D9">
              <w:rPr>
                <w:rStyle w:val="IntenseEmphasis"/>
                <w:rFonts w:cs="Arial"/>
                <w:i w:val="0"/>
                <w:color w:val="auto"/>
                <w:sz w:val="20"/>
                <w:szCs w:val="20"/>
              </w:rPr>
              <w:t xml:space="preserve"> </w:t>
            </w:r>
            <w:r w:rsidR="003035E1" w:rsidRPr="0062740D">
              <w:rPr>
                <w:rStyle w:val="IntenseEmphasis"/>
                <w:rFonts w:cs="Arial"/>
                <w:i w:val="0"/>
                <w:color w:val="auto"/>
                <w:sz w:val="20"/>
                <w:szCs w:val="20"/>
              </w:rPr>
              <w:t>m</w:t>
            </w:r>
            <w:r w:rsidR="005346D9">
              <w:rPr>
                <w:rStyle w:val="IntenseEmphasis"/>
                <w:rFonts w:cs="Arial"/>
                <w:i w:val="0"/>
                <w:color w:val="auto"/>
                <w:sz w:val="20"/>
                <w:szCs w:val="20"/>
              </w:rPr>
              <w:t>illion</w:t>
            </w:r>
            <w:r w:rsidR="00BE6C85" w:rsidRPr="0062740D">
              <w:rPr>
                <w:rStyle w:val="IntenseEmphasis"/>
                <w:rFonts w:cs="Arial"/>
                <w:i w:val="0"/>
                <w:color w:val="auto"/>
                <w:sz w:val="20"/>
                <w:szCs w:val="20"/>
              </w:rPr>
              <w:t xml:space="preserve"> to our equivalent forecast of </w:t>
            </w:r>
            <w:r w:rsidR="003035E1" w:rsidRPr="0062740D">
              <w:rPr>
                <w:rStyle w:val="IntenseEmphasis"/>
                <w:rFonts w:cs="Arial"/>
                <w:i w:val="0"/>
                <w:color w:val="auto"/>
                <w:sz w:val="20"/>
                <w:szCs w:val="20"/>
              </w:rPr>
              <w:t>$24.2</w:t>
            </w:r>
            <w:r w:rsidR="005346D9">
              <w:rPr>
                <w:rStyle w:val="IntenseEmphasis"/>
                <w:rFonts w:cs="Arial"/>
                <w:i w:val="0"/>
                <w:color w:val="auto"/>
                <w:sz w:val="20"/>
                <w:szCs w:val="20"/>
              </w:rPr>
              <w:t xml:space="preserve"> </w:t>
            </w:r>
            <w:r w:rsidR="003035E1" w:rsidRPr="0062740D">
              <w:rPr>
                <w:rStyle w:val="IntenseEmphasis"/>
                <w:rFonts w:cs="Arial"/>
                <w:i w:val="0"/>
                <w:color w:val="auto"/>
                <w:sz w:val="20"/>
                <w:szCs w:val="20"/>
              </w:rPr>
              <w:t>m</w:t>
            </w:r>
            <w:r w:rsidR="005346D9">
              <w:rPr>
                <w:rStyle w:val="IntenseEmphasis"/>
                <w:rFonts w:cs="Arial"/>
                <w:i w:val="0"/>
                <w:color w:val="auto"/>
                <w:sz w:val="20"/>
                <w:szCs w:val="20"/>
              </w:rPr>
              <w:t>illion</w:t>
            </w:r>
            <w:r w:rsidR="0062740D" w:rsidRPr="0062740D">
              <w:rPr>
                <w:rStyle w:val="IntenseEmphasis"/>
                <w:rFonts w:cs="Arial"/>
                <w:i w:val="0"/>
                <w:color w:val="auto"/>
                <w:sz w:val="20"/>
                <w:szCs w:val="20"/>
              </w:rPr>
              <w:t>.</w:t>
            </w:r>
          </w:p>
          <w:p w14:paraId="7787923E" w14:textId="00768603" w:rsidR="00215363" w:rsidRDefault="001506DB" w:rsidP="00DD4987">
            <w:pPr>
              <w:spacing w:before="40" w:after="40"/>
              <w:ind w:left="720" w:right="110"/>
              <w:jc w:val="both"/>
              <w:rPr>
                <w:rStyle w:val="IntenseEmphasis"/>
                <w:rFonts w:cs="Arial"/>
                <w:i w:val="0"/>
                <w:color w:val="auto"/>
                <w:sz w:val="20"/>
                <w:szCs w:val="20"/>
              </w:rPr>
            </w:pPr>
            <w:r w:rsidRPr="0062740D">
              <w:rPr>
                <w:rStyle w:val="IntenseEmphasis"/>
                <w:rFonts w:cs="Arial"/>
                <w:i w:val="0"/>
                <w:color w:val="auto"/>
                <w:sz w:val="20"/>
                <w:szCs w:val="20"/>
              </w:rPr>
              <w:t>In</w:t>
            </w:r>
            <w:r w:rsidRPr="009A698B">
              <w:rPr>
                <w:rStyle w:val="IntenseEmphasis"/>
                <w:rFonts w:cs="Arial"/>
                <w:i w:val="0"/>
                <w:color w:val="auto"/>
                <w:sz w:val="20"/>
                <w:szCs w:val="20"/>
              </w:rPr>
              <w:t xml:space="preserve"> </w:t>
            </w:r>
            <w:r w:rsidRPr="00F513B7">
              <w:rPr>
                <w:rStyle w:val="IntenseEmphasis"/>
                <w:rFonts w:cs="Arial"/>
                <w:i w:val="0"/>
                <w:color w:val="auto"/>
                <w:sz w:val="20"/>
                <w:szCs w:val="20"/>
              </w:rPr>
              <w:t xml:space="preserve">the context of significant cost pressure faced </w:t>
            </w:r>
            <w:r w:rsidRPr="00E27D38">
              <w:rPr>
                <w:rStyle w:val="IntenseEmphasis"/>
                <w:rFonts w:cs="Arial"/>
                <w:i w:val="0"/>
                <w:color w:val="auto"/>
                <w:sz w:val="20"/>
                <w:szCs w:val="20"/>
              </w:rPr>
              <w:t>during the current regulatory period, SRW ha</w:t>
            </w:r>
            <w:r w:rsidR="005346D9">
              <w:rPr>
                <w:rStyle w:val="IntenseEmphasis"/>
                <w:rFonts w:cs="Arial"/>
                <w:i w:val="0"/>
                <w:color w:val="auto"/>
                <w:sz w:val="20"/>
                <w:szCs w:val="20"/>
              </w:rPr>
              <w:t>s</w:t>
            </w:r>
            <w:r w:rsidRPr="00E27D38">
              <w:rPr>
                <w:rStyle w:val="IntenseEmphasis"/>
                <w:rFonts w:cs="Arial"/>
                <w:i w:val="0"/>
                <w:color w:val="auto"/>
                <w:sz w:val="20"/>
                <w:szCs w:val="20"/>
              </w:rPr>
              <w:t xml:space="preserve"> assessed an increase in operating costs of this scale as Standard performance</w:t>
            </w:r>
            <w:r w:rsidR="00D15691" w:rsidRPr="00E27D38" w:rsidDel="00BE6C85">
              <w:rPr>
                <w:rStyle w:val="IntenseEmphasis"/>
                <w:rFonts w:cs="Arial"/>
                <w:i w:val="0"/>
                <w:color w:val="auto"/>
                <w:sz w:val="20"/>
                <w:szCs w:val="20"/>
              </w:rPr>
              <w:t>.</w:t>
            </w:r>
            <w:r w:rsidR="005E3658">
              <w:rPr>
                <w:rStyle w:val="IntenseEmphasis"/>
                <w:rFonts w:cs="Arial"/>
                <w:i w:val="0"/>
                <w:color w:val="auto"/>
                <w:sz w:val="20"/>
                <w:szCs w:val="20"/>
              </w:rPr>
              <w:t xml:space="preserve"> </w:t>
            </w:r>
          </w:p>
          <w:p w14:paraId="68D8413F" w14:textId="0E51E9EB" w:rsidR="00EA596F" w:rsidRPr="000153AB" w:rsidRDefault="00EA596F" w:rsidP="00DD4987">
            <w:pPr>
              <w:spacing w:before="40" w:after="40"/>
              <w:ind w:left="720" w:right="110"/>
              <w:jc w:val="both"/>
              <w:rPr>
                <w:rFonts w:eastAsia="Times New Roman" w:cs="Arial"/>
                <w:color w:val="000000" w:themeColor="text1"/>
                <w:sz w:val="18"/>
                <w:szCs w:val="18"/>
                <w:lang w:eastAsia="en-AU"/>
              </w:rPr>
            </w:pPr>
          </w:p>
        </w:tc>
        <w:tc>
          <w:tcPr>
            <w:tcW w:w="1134" w:type="dxa"/>
            <w:vAlign w:val="top"/>
            <w:hideMark/>
          </w:tcPr>
          <w:p w14:paraId="4B4BF22E" w14:textId="65761A26" w:rsidR="00215363" w:rsidRPr="00192F41" w:rsidRDefault="003D6B01" w:rsidP="00DD4987">
            <w:pPr>
              <w:spacing w:before="40" w:after="40"/>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eastAsia="en-AU"/>
              </w:rPr>
            </w:pPr>
            <w:r>
              <w:rPr>
                <w:rFonts w:eastAsia="Times New Roman" w:cs="Arial"/>
                <w:color w:val="000000" w:themeColor="text1"/>
                <w:szCs w:val="20"/>
                <w:lang w:eastAsia="en-AU"/>
              </w:rPr>
              <w:t>Standard- satisfied</w:t>
            </w:r>
            <w:r w:rsidR="00215363" w:rsidRPr="00F82275">
              <w:rPr>
                <w:rFonts w:eastAsia="Times New Roman" w:cs="Arial"/>
                <w:color w:val="000000" w:themeColor="text1"/>
                <w:szCs w:val="20"/>
                <w:lang w:eastAsia="en-AU"/>
              </w:rPr>
              <w:t> </w:t>
            </w:r>
          </w:p>
        </w:tc>
      </w:tr>
      <w:tr w:rsidR="00215363" w:rsidRPr="00192F41" w14:paraId="0751E39F" w14:textId="77777777" w:rsidTr="0085311F">
        <w:trPr>
          <w:cnfStyle w:val="000000100000" w:firstRow="0" w:lastRow="0" w:firstColumn="0" w:lastColumn="0" w:oddVBand="0" w:evenVBand="0" w:oddHBand="1" w:evenHBand="0" w:firstRowFirstColumn="0" w:firstRowLastColumn="0" w:lastRowFirstColumn="0" w:lastRowLastColumn="0"/>
          <w:cantSplit/>
          <w:trHeight w:val="575"/>
        </w:trPr>
        <w:tc>
          <w:tcPr>
            <w:cnfStyle w:val="001000000000" w:firstRow="0" w:lastRow="0" w:firstColumn="1" w:lastColumn="0" w:oddVBand="0" w:evenVBand="0" w:oddHBand="0" w:evenHBand="0" w:firstRowFirstColumn="0" w:firstRowLastColumn="0" w:lastRowFirstColumn="0" w:lastRowLastColumn="0"/>
            <w:tcW w:w="8647" w:type="dxa"/>
            <w:vAlign w:val="top"/>
          </w:tcPr>
          <w:p w14:paraId="46AB302D" w14:textId="4275BAE7" w:rsidR="00215363" w:rsidRPr="000153AB" w:rsidRDefault="00215363" w:rsidP="00DD4987">
            <w:pPr>
              <w:spacing w:before="40" w:after="40"/>
              <w:ind w:right="110"/>
              <w:jc w:val="both"/>
              <w:textAlignment w:val="baseline"/>
              <w:rPr>
                <w:rFonts w:eastAsia="Times New Roman" w:cs="Arial"/>
                <w:color w:val="000000" w:themeColor="text1"/>
                <w:szCs w:val="20"/>
                <w:lang w:eastAsia="en-AU"/>
              </w:rPr>
            </w:pPr>
            <w:r w:rsidRPr="000153AB">
              <w:rPr>
                <w:rFonts w:eastAsia="Times New Roman" w:cs="Arial"/>
                <w:color w:val="000000" w:themeColor="text1"/>
                <w:szCs w:val="20"/>
                <w:lang w:eastAsia="en-AU"/>
              </w:rPr>
              <w:t>How does actual capital expenditure across the current period compare with the established benchmark allowance, and to what extent has the business rationalised any discrepancies? </w:t>
            </w:r>
          </w:p>
        </w:tc>
        <w:tc>
          <w:tcPr>
            <w:tcW w:w="1134" w:type="dxa"/>
            <w:vAlign w:val="top"/>
          </w:tcPr>
          <w:p w14:paraId="3063FC80" w14:textId="77777777" w:rsidR="00215363" w:rsidRPr="00192F41" w:rsidRDefault="00215363" w:rsidP="00DD4987">
            <w:pPr>
              <w:spacing w:before="40" w:after="40"/>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CA4F77" w:rsidRPr="00192F41" w14:paraId="2A7F1C15" w14:textId="77777777" w:rsidTr="003C0F3F">
        <w:trPr>
          <w:cantSplit/>
          <w:trHeight w:val="1200"/>
        </w:trPr>
        <w:tc>
          <w:tcPr>
            <w:cnfStyle w:val="001000000000" w:firstRow="0" w:lastRow="0" w:firstColumn="1" w:lastColumn="0" w:oddVBand="0" w:evenVBand="0" w:oddHBand="0" w:evenHBand="0" w:firstRowFirstColumn="0" w:firstRowLastColumn="0" w:lastRowFirstColumn="0" w:lastRowLastColumn="0"/>
            <w:tcW w:w="8647" w:type="dxa"/>
            <w:shd w:val="clear" w:color="auto" w:fill="auto"/>
            <w:vAlign w:val="top"/>
          </w:tcPr>
          <w:p w14:paraId="31779D0B" w14:textId="2DDF70F6" w:rsidR="005259FD" w:rsidRPr="00F9578E" w:rsidRDefault="003D623D" w:rsidP="00DD4987">
            <w:pPr>
              <w:spacing w:before="40" w:after="120"/>
              <w:ind w:left="720" w:right="110"/>
              <w:jc w:val="both"/>
              <w:rPr>
                <w:rStyle w:val="IntenseEmphasis"/>
                <w:rFonts w:cs="Arial"/>
                <w:i w:val="0"/>
                <w:color w:val="auto"/>
                <w:sz w:val="20"/>
                <w:szCs w:val="20"/>
              </w:rPr>
            </w:pPr>
            <w:r w:rsidRPr="00F9578E">
              <w:rPr>
                <w:rStyle w:val="IntenseEmphasis"/>
                <w:rFonts w:cs="Arial"/>
                <w:i w:val="0"/>
                <w:color w:val="auto"/>
                <w:sz w:val="20"/>
                <w:szCs w:val="20"/>
              </w:rPr>
              <w:t xml:space="preserve">SRW has conducted a historically significant capital expenditure program across the current price submission period. Large investments in technology and infrastructure modernisation works have occurred in each irrigation district, and these projects have underpinned the strong expenditure performance against the benchmark allowance. </w:t>
            </w:r>
          </w:p>
          <w:p w14:paraId="03BDF327" w14:textId="252EFAD1" w:rsidR="00DB26E5" w:rsidRPr="00F17E12" w:rsidRDefault="50F1A085" w:rsidP="00DD4987">
            <w:pPr>
              <w:spacing w:before="40" w:after="40"/>
              <w:ind w:left="720" w:right="110"/>
              <w:jc w:val="both"/>
              <w:rPr>
                <w:rFonts w:cs="Arial"/>
                <w:color w:val="000000" w:themeColor="text1"/>
                <w:szCs w:val="20"/>
              </w:rPr>
            </w:pPr>
            <w:r w:rsidRPr="6B20A4EE">
              <w:rPr>
                <w:rStyle w:val="IntenseEmphasis"/>
                <w:rFonts w:cs="Arial"/>
                <w:i w:val="0"/>
                <w:iCs w:val="0"/>
                <w:color w:val="000000" w:themeColor="text1"/>
                <w:sz w:val="20"/>
                <w:szCs w:val="20"/>
              </w:rPr>
              <w:t xml:space="preserve">The </w:t>
            </w:r>
            <w:r w:rsidR="7AEC35E7" w:rsidRPr="6B20A4EE">
              <w:rPr>
                <w:rStyle w:val="IntenseEmphasis"/>
                <w:rFonts w:cs="Arial"/>
                <w:i w:val="0"/>
                <w:iCs w:val="0"/>
                <w:color w:val="000000" w:themeColor="text1"/>
                <w:sz w:val="20"/>
                <w:szCs w:val="20"/>
              </w:rPr>
              <w:t>receipt of $41 million in state and federal government funding enabled</w:t>
            </w:r>
            <w:r w:rsidR="005259FD" w:rsidRPr="00F9578E">
              <w:rPr>
                <w:rStyle w:val="IntenseEmphasis"/>
                <w:rFonts w:cs="Arial"/>
                <w:i w:val="0"/>
                <w:color w:val="000000" w:themeColor="text1"/>
                <w:sz w:val="20"/>
                <w:szCs w:val="20"/>
              </w:rPr>
              <w:t xml:space="preserve"> the commencement of the </w:t>
            </w:r>
            <w:r w:rsidR="00D36563" w:rsidRPr="00F9578E">
              <w:rPr>
                <w:rStyle w:val="IntenseEmphasis"/>
                <w:rFonts w:cs="Arial"/>
                <w:i w:val="0"/>
                <w:color w:val="000000" w:themeColor="text1"/>
                <w:sz w:val="20"/>
                <w:szCs w:val="20"/>
              </w:rPr>
              <w:t>$62</w:t>
            </w:r>
            <w:r w:rsidR="005346D9">
              <w:rPr>
                <w:rStyle w:val="IntenseEmphasis"/>
                <w:rFonts w:cs="Arial"/>
                <w:i w:val="0"/>
                <w:color w:val="000000" w:themeColor="text1"/>
                <w:sz w:val="20"/>
                <w:szCs w:val="20"/>
              </w:rPr>
              <w:t xml:space="preserve"> million</w:t>
            </w:r>
            <w:r w:rsidR="00D36563" w:rsidRPr="00F9578E">
              <w:rPr>
                <w:rStyle w:val="IntenseEmphasis"/>
                <w:rFonts w:cs="Arial"/>
                <w:color w:val="000000" w:themeColor="text1"/>
                <w:sz w:val="20"/>
                <w:szCs w:val="20"/>
              </w:rPr>
              <w:t xml:space="preserve"> </w:t>
            </w:r>
            <w:r w:rsidR="005259FD" w:rsidRPr="00F9578E">
              <w:rPr>
                <w:rStyle w:val="IntenseEmphasis"/>
                <w:rFonts w:cs="Arial"/>
                <w:i w:val="0"/>
                <w:color w:val="000000" w:themeColor="text1"/>
                <w:sz w:val="20"/>
                <w:szCs w:val="20"/>
              </w:rPr>
              <w:t>MID2030 Phase 2 project</w:t>
            </w:r>
            <w:r w:rsidR="4B32A338" w:rsidRPr="6B20A4EE">
              <w:rPr>
                <w:rStyle w:val="IntenseEmphasis"/>
                <w:rFonts w:cs="Arial"/>
                <w:i w:val="0"/>
                <w:iCs w:val="0"/>
                <w:color w:val="000000" w:themeColor="text1"/>
                <w:sz w:val="20"/>
                <w:szCs w:val="20"/>
              </w:rPr>
              <w:t>,</w:t>
            </w:r>
            <w:r w:rsidR="005B6565" w:rsidRPr="00F9578E">
              <w:rPr>
                <w:rStyle w:val="IntenseEmphasis"/>
                <w:rFonts w:cs="Arial"/>
                <w:i w:val="0"/>
                <w:color w:val="000000" w:themeColor="text1"/>
                <w:sz w:val="20"/>
                <w:szCs w:val="20"/>
              </w:rPr>
              <w:t xml:space="preserve"> which </w:t>
            </w:r>
            <w:r w:rsidR="24CEC245" w:rsidRPr="6B20A4EE">
              <w:rPr>
                <w:rStyle w:val="IntenseEmphasis"/>
                <w:rFonts w:cs="Arial"/>
                <w:i w:val="0"/>
                <w:iCs w:val="0"/>
                <w:color w:val="000000" w:themeColor="text1"/>
                <w:sz w:val="20"/>
                <w:szCs w:val="20"/>
              </w:rPr>
              <w:t>contributed to the actual capital expenditure exceeding the benchmark allowance</w:t>
            </w:r>
            <w:r w:rsidR="005B6565" w:rsidRPr="00F9578E">
              <w:rPr>
                <w:rStyle w:val="IntenseEmphasis"/>
                <w:rFonts w:cs="Arial"/>
                <w:i w:val="0"/>
                <w:color w:val="000000" w:themeColor="text1"/>
                <w:sz w:val="20"/>
                <w:szCs w:val="20"/>
              </w:rPr>
              <w:t>.</w:t>
            </w:r>
          </w:p>
        </w:tc>
        <w:tc>
          <w:tcPr>
            <w:tcW w:w="1134" w:type="dxa"/>
            <w:shd w:val="clear" w:color="auto" w:fill="auto"/>
            <w:vAlign w:val="top"/>
          </w:tcPr>
          <w:p w14:paraId="2925CEE6" w14:textId="7689A568" w:rsidR="00CA4F77" w:rsidRPr="00192F41" w:rsidRDefault="003D6B01" w:rsidP="00DD4987">
            <w:pPr>
              <w:spacing w:before="40" w:after="40"/>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szCs w:val="20"/>
                <w:lang w:eastAsia="en-AU"/>
              </w:rPr>
              <w:t>Standard- satisfied</w:t>
            </w:r>
          </w:p>
        </w:tc>
      </w:tr>
      <w:tr w:rsidR="00215363" w:rsidRPr="00192F41" w14:paraId="74215F07" w14:textId="77777777" w:rsidTr="008D1C13">
        <w:trPr>
          <w:cnfStyle w:val="000000100000" w:firstRow="0" w:lastRow="0" w:firstColumn="0" w:lastColumn="0" w:oddVBand="0" w:evenVBand="0" w:oddHBand="1" w:evenHBand="0" w:firstRowFirstColumn="0" w:firstRowLastColumn="0" w:lastRowFirstColumn="0" w:lastRowLastColumn="0"/>
          <w:cantSplit/>
          <w:trHeight w:val="470"/>
        </w:trPr>
        <w:tc>
          <w:tcPr>
            <w:cnfStyle w:val="001000000000" w:firstRow="0" w:lastRow="0" w:firstColumn="1" w:lastColumn="0" w:oddVBand="0" w:evenVBand="0" w:oddHBand="0" w:evenHBand="0" w:firstRowFirstColumn="0" w:firstRowLastColumn="0" w:lastRowFirstColumn="0" w:lastRowLastColumn="0"/>
            <w:tcW w:w="8647" w:type="dxa"/>
          </w:tcPr>
          <w:p w14:paraId="48F8DDD6" w14:textId="0278E933" w:rsidR="00215363" w:rsidRPr="000153AB" w:rsidRDefault="00215363" w:rsidP="00DD4987">
            <w:pPr>
              <w:spacing w:before="40" w:after="40"/>
              <w:ind w:right="110"/>
              <w:jc w:val="both"/>
              <w:textAlignment w:val="baseline"/>
              <w:rPr>
                <w:rFonts w:eastAsia="Times New Roman" w:cs="Arial"/>
                <w:color w:val="000000" w:themeColor="text1"/>
                <w:szCs w:val="20"/>
                <w:lang w:eastAsia="en-AU"/>
              </w:rPr>
            </w:pPr>
            <w:r w:rsidRPr="000153AB">
              <w:rPr>
                <w:rFonts w:eastAsia="Times New Roman" w:cs="Arial"/>
                <w:color w:val="000000" w:themeColor="text1"/>
                <w:szCs w:val="20"/>
                <w:lang w:eastAsia="en-AU"/>
              </w:rPr>
              <w:t>To what extent does customer sentiment demonstrate satisfaction in the business’s performance over the current regulatory period? Are customers happy with the value they receive from their water business? </w:t>
            </w:r>
          </w:p>
        </w:tc>
        <w:tc>
          <w:tcPr>
            <w:tcW w:w="1134" w:type="dxa"/>
            <w:vAlign w:val="top"/>
          </w:tcPr>
          <w:p w14:paraId="0E632D9E" w14:textId="77777777" w:rsidR="00215363" w:rsidRPr="00192F41" w:rsidRDefault="00215363" w:rsidP="00DD4987">
            <w:pPr>
              <w:spacing w:before="40" w:after="40"/>
              <w:jc w:val="center"/>
              <w:textAlignment w:val="baseline"/>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215363" w:rsidRPr="00192F41" w14:paraId="671822A4" w14:textId="77777777" w:rsidTr="005E44F3">
        <w:trPr>
          <w:cantSplit/>
          <w:trHeight w:val="3770"/>
        </w:trPr>
        <w:tc>
          <w:tcPr>
            <w:cnfStyle w:val="001000000000" w:firstRow="0" w:lastRow="0" w:firstColumn="1" w:lastColumn="0" w:oddVBand="0" w:evenVBand="0" w:oddHBand="0" w:evenHBand="0" w:firstRowFirstColumn="0" w:firstRowLastColumn="0" w:lastRowFirstColumn="0" w:lastRowLastColumn="0"/>
            <w:tcW w:w="8647" w:type="dxa"/>
            <w:tcBorders>
              <w:bottom w:val="single" w:sz="4" w:space="0" w:color="auto"/>
            </w:tcBorders>
            <w:hideMark/>
          </w:tcPr>
          <w:p w14:paraId="044F2BB4" w14:textId="11CFB07D" w:rsidR="00215363" w:rsidRPr="00192F41" w:rsidRDefault="00215363" w:rsidP="00DD4987">
            <w:pPr>
              <w:spacing w:before="40" w:after="40"/>
              <w:ind w:left="720" w:right="110"/>
              <w:jc w:val="both"/>
              <w:textAlignment w:val="baseline"/>
              <w:rPr>
                <w:rFonts w:eastAsia="Times New Roman" w:cs="Arial"/>
                <w:color w:val="000000" w:themeColor="text1"/>
                <w:sz w:val="18"/>
                <w:szCs w:val="18"/>
                <w:lang w:eastAsia="en-AU"/>
              </w:rPr>
            </w:pPr>
            <w:r w:rsidRPr="00192F41">
              <w:rPr>
                <w:rFonts w:eastAsia="Times New Roman" w:cs="Arial"/>
                <w:color w:val="000000" w:themeColor="text1"/>
                <w:szCs w:val="20"/>
                <w:lang w:eastAsia="en-AU"/>
              </w:rPr>
              <w:t xml:space="preserve">Our surveys and engagement activities reveal </w:t>
            </w:r>
            <w:r w:rsidR="00352148">
              <w:rPr>
                <w:rFonts w:eastAsia="Times New Roman" w:cs="Arial"/>
                <w:color w:val="000000" w:themeColor="text1"/>
                <w:szCs w:val="20"/>
                <w:lang w:eastAsia="en-AU"/>
              </w:rPr>
              <w:t>over</w:t>
            </w:r>
            <w:r w:rsidR="00B724B8">
              <w:rPr>
                <w:rFonts w:eastAsia="Times New Roman" w:cs="Arial"/>
                <w:color w:val="000000" w:themeColor="text1"/>
                <w:szCs w:val="20"/>
                <w:lang w:eastAsia="en-AU"/>
              </w:rPr>
              <w:t xml:space="preserve"> three quarters of our customer base are </w:t>
            </w:r>
            <w:r w:rsidR="008C366A">
              <w:rPr>
                <w:rFonts w:eastAsia="Times New Roman" w:cs="Arial"/>
                <w:color w:val="000000" w:themeColor="text1"/>
                <w:szCs w:val="20"/>
                <w:lang w:eastAsia="en-AU"/>
              </w:rPr>
              <w:t>happy</w:t>
            </w:r>
            <w:r w:rsidR="00B724B8">
              <w:rPr>
                <w:rFonts w:eastAsia="Times New Roman" w:cs="Arial"/>
                <w:color w:val="000000" w:themeColor="text1"/>
                <w:szCs w:val="20"/>
                <w:lang w:eastAsia="en-AU"/>
              </w:rPr>
              <w:t xml:space="preserve"> with</w:t>
            </w:r>
            <w:r w:rsidR="00845BE5">
              <w:rPr>
                <w:rFonts w:eastAsia="Times New Roman" w:cs="Arial"/>
                <w:color w:val="000000" w:themeColor="text1"/>
                <w:szCs w:val="20"/>
                <w:lang w:eastAsia="en-AU"/>
              </w:rPr>
              <w:t xml:space="preserve"> the service we provide. </w:t>
            </w:r>
            <w:r w:rsidRPr="00192F41">
              <w:rPr>
                <w:rFonts w:eastAsia="Times New Roman" w:cs="Arial"/>
                <w:color w:val="000000" w:themeColor="text1"/>
                <w:szCs w:val="20"/>
                <w:lang w:eastAsia="en-AU"/>
              </w:rPr>
              <w:t xml:space="preserve"> Our recent customer </w:t>
            </w:r>
            <w:r w:rsidR="00352148">
              <w:rPr>
                <w:rFonts w:eastAsia="Times New Roman" w:cs="Arial"/>
                <w:color w:val="000000" w:themeColor="text1"/>
                <w:szCs w:val="20"/>
                <w:lang w:eastAsia="en-AU"/>
              </w:rPr>
              <w:t xml:space="preserve">satisfaction </w:t>
            </w:r>
            <w:r w:rsidRPr="00192F41">
              <w:rPr>
                <w:rFonts w:eastAsia="Times New Roman" w:cs="Arial"/>
                <w:color w:val="000000" w:themeColor="text1"/>
                <w:szCs w:val="20"/>
                <w:lang w:eastAsia="en-AU"/>
              </w:rPr>
              <w:t>survey, conducted in 2022, supports this where: </w:t>
            </w:r>
          </w:p>
          <w:p w14:paraId="6C4C469E" w14:textId="53E13355" w:rsidR="00215363" w:rsidRPr="00192F41" w:rsidRDefault="00215363" w:rsidP="00DD4987">
            <w:pPr>
              <w:numPr>
                <w:ilvl w:val="0"/>
                <w:numId w:val="6"/>
              </w:numPr>
              <w:spacing w:before="40" w:after="40"/>
              <w:ind w:left="1093" w:right="110" w:firstLine="0"/>
              <w:jc w:val="both"/>
              <w:textAlignment w:val="baseline"/>
              <w:rPr>
                <w:rFonts w:eastAsia="Times New Roman" w:cs="Arial"/>
                <w:color w:val="000000" w:themeColor="text1"/>
                <w:szCs w:val="20"/>
                <w:lang w:eastAsia="en-AU"/>
              </w:rPr>
            </w:pPr>
            <w:r w:rsidRPr="00192F41">
              <w:rPr>
                <w:rFonts w:eastAsia="Times New Roman" w:cs="Arial"/>
                <w:color w:val="000000" w:themeColor="text1"/>
                <w:szCs w:val="20"/>
                <w:lang w:eastAsia="en-AU"/>
              </w:rPr>
              <w:t>76% of all customers (including 82% of irrigation customers) confirmed SRW was living up to expectations</w:t>
            </w:r>
            <w:r w:rsidR="00203637">
              <w:rPr>
                <w:rFonts w:eastAsia="Times New Roman" w:cs="Arial"/>
                <w:color w:val="000000" w:themeColor="text1"/>
                <w:szCs w:val="20"/>
                <w:lang w:eastAsia="en-AU"/>
              </w:rPr>
              <w:t>; and</w:t>
            </w:r>
          </w:p>
          <w:p w14:paraId="7B200FD4" w14:textId="1700DFB9" w:rsidR="00215363" w:rsidRPr="00192F41" w:rsidRDefault="00215363" w:rsidP="00DD4987">
            <w:pPr>
              <w:numPr>
                <w:ilvl w:val="0"/>
                <w:numId w:val="6"/>
              </w:numPr>
              <w:spacing w:before="40" w:after="120"/>
              <w:ind w:left="1093" w:right="110" w:firstLine="0"/>
              <w:jc w:val="both"/>
              <w:textAlignment w:val="baseline"/>
              <w:rPr>
                <w:rFonts w:eastAsia="Times New Roman" w:cs="Arial"/>
                <w:color w:val="000000" w:themeColor="text1"/>
                <w:szCs w:val="20"/>
                <w:lang w:eastAsia="en-AU"/>
              </w:rPr>
            </w:pPr>
            <w:r w:rsidRPr="00192F41">
              <w:rPr>
                <w:rFonts w:eastAsia="Times New Roman" w:cs="Arial"/>
                <w:color w:val="000000" w:themeColor="text1"/>
                <w:szCs w:val="20"/>
                <w:lang w:eastAsia="en-AU"/>
              </w:rPr>
              <w:t>7</w:t>
            </w:r>
            <w:r w:rsidR="000E4216">
              <w:rPr>
                <w:rFonts w:eastAsia="Times New Roman" w:cs="Arial"/>
                <w:color w:val="000000" w:themeColor="text1"/>
                <w:szCs w:val="20"/>
                <w:lang w:eastAsia="en-AU"/>
              </w:rPr>
              <w:t>6</w:t>
            </w:r>
            <w:r w:rsidRPr="00192F41">
              <w:rPr>
                <w:rFonts w:eastAsia="Times New Roman" w:cs="Arial"/>
                <w:color w:val="000000" w:themeColor="text1"/>
                <w:szCs w:val="20"/>
                <w:lang w:eastAsia="en-AU"/>
              </w:rPr>
              <w:t>% of all customers indicated SRW provides a good value service.  </w:t>
            </w:r>
          </w:p>
          <w:p w14:paraId="3636E19F" w14:textId="6364DDE5" w:rsidR="001E0380" w:rsidRPr="00F82275" w:rsidRDefault="00D11846" w:rsidP="00DD4987">
            <w:pPr>
              <w:spacing w:before="40" w:after="120"/>
              <w:ind w:left="720" w:right="110"/>
              <w:jc w:val="both"/>
              <w:textAlignment w:val="baseline"/>
              <w:rPr>
                <w:rFonts w:eastAsia="Times New Roman" w:cs="Arial"/>
                <w:color w:val="000000" w:themeColor="text1"/>
                <w:sz w:val="18"/>
                <w:szCs w:val="18"/>
                <w:lang w:eastAsia="en-AU"/>
              </w:rPr>
            </w:pPr>
            <w:r>
              <w:rPr>
                <w:rFonts w:eastAsia="Times New Roman" w:cs="Arial"/>
                <w:color w:val="000000" w:themeColor="text1"/>
                <w:szCs w:val="20"/>
                <w:lang w:eastAsia="en-AU"/>
              </w:rPr>
              <w:t>Within our irrigation districts, 85% of customer</w:t>
            </w:r>
            <w:r w:rsidR="00B8049F">
              <w:rPr>
                <w:rFonts w:eastAsia="Times New Roman" w:cs="Arial"/>
                <w:color w:val="000000" w:themeColor="text1"/>
                <w:szCs w:val="20"/>
                <w:lang w:eastAsia="en-AU"/>
              </w:rPr>
              <w:t>s</w:t>
            </w:r>
            <w:r>
              <w:rPr>
                <w:rFonts w:eastAsia="Times New Roman" w:cs="Arial"/>
                <w:color w:val="000000" w:themeColor="text1"/>
                <w:szCs w:val="20"/>
                <w:lang w:eastAsia="en-AU"/>
              </w:rPr>
              <w:t xml:space="preserve"> within the Macalister Irrigation District are happy</w:t>
            </w:r>
            <w:r w:rsidR="00215363" w:rsidRPr="00192F41">
              <w:rPr>
                <w:rFonts w:eastAsia="Times New Roman" w:cs="Arial"/>
                <w:color w:val="000000" w:themeColor="text1"/>
                <w:szCs w:val="20"/>
                <w:lang w:eastAsia="en-AU"/>
              </w:rPr>
              <w:t xml:space="preserve"> </w:t>
            </w:r>
            <w:r w:rsidR="00B8049F">
              <w:rPr>
                <w:rFonts w:eastAsia="Times New Roman" w:cs="Arial"/>
                <w:color w:val="000000" w:themeColor="text1"/>
                <w:szCs w:val="20"/>
                <w:lang w:eastAsia="en-AU"/>
              </w:rPr>
              <w:t>with the level of service, while on average, two-thirds of customers across the Werribee and Bacchus Marsh areas report being satisfied with the level of service.</w:t>
            </w:r>
          </w:p>
          <w:p w14:paraId="442119E5" w14:textId="3E6D32C2" w:rsidR="00215363" w:rsidRPr="00192F41" w:rsidRDefault="00FD7051" w:rsidP="00DD4987">
            <w:pPr>
              <w:spacing w:before="40" w:after="120"/>
              <w:ind w:left="720" w:right="110"/>
              <w:jc w:val="both"/>
              <w:textAlignment w:val="baseline"/>
              <w:rPr>
                <w:rFonts w:eastAsia="Times New Roman" w:cs="Arial"/>
                <w:color w:val="000000" w:themeColor="text1"/>
                <w:sz w:val="18"/>
                <w:szCs w:val="18"/>
                <w:lang w:eastAsia="en-AU"/>
              </w:rPr>
            </w:pPr>
            <w:r>
              <w:rPr>
                <w:rFonts w:eastAsia="Times New Roman" w:cs="Arial"/>
                <w:color w:val="000000" w:themeColor="text1"/>
                <w:szCs w:val="20"/>
                <w:lang w:eastAsia="en-AU"/>
              </w:rPr>
              <w:t>Feedback from our g</w:t>
            </w:r>
            <w:r w:rsidR="00203637">
              <w:rPr>
                <w:rFonts w:eastAsia="Times New Roman" w:cs="Arial"/>
                <w:color w:val="000000" w:themeColor="text1"/>
                <w:szCs w:val="20"/>
                <w:lang w:eastAsia="en-AU"/>
              </w:rPr>
              <w:t>roundwater and river</w:t>
            </w:r>
            <w:r w:rsidR="00215363" w:rsidRPr="00192F41">
              <w:rPr>
                <w:rFonts w:eastAsia="Times New Roman" w:cs="Arial"/>
                <w:color w:val="000000" w:themeColor="text1"/>
                <w:szCs w:val="20"/>
                <w:lang w:eastAsia="en-AU"/>
              </w:rPr>
              <w:t xml:space="preserve"> customers</w:t>
            </w:r>
            <w:r>
              <w:rPr>
                <w:rFonts w:eastAsia="Times New Roman" w:cs="Arial"/>
                <w:color w:val="000000" w:themeColor="text1"/>
                <w:szCs w:val="20"/>
                <w:lang w:eastAsia="en-AU"/>
              </w:rPr>
              <w:t>,</w:t>
            </w:r>
            <w:r w:rsidR="00215363" w:rsidRPr="00192F41">
              <w:rPr>
                <w:rFonts w:eastAsia="Times New Roman" w:cs="Arial"/>
                <w:color w:val="000000" w:themeColor="text1"/>
                <w:szCs w:val="20"/>
                <w:lang w:eastAsia="en-AU"/>
              </w:rPr>
              <w:t xml:space="preserve"> </w:t>
            </w:r>
            <w:r w:rsidR="00BA2DCA">
              <w:rPr>
                <w:rFonts w:eastAsia="Times New Roman" w:cs="Arial"/>
                <w:color w:val="000000" w:themeColor="text1"/>
                <w:szCs w:val="20"/>
                <w:lang w:eastAsia="en-AU"/>
              </w:rPr>
              <w:t>7</w:t>
            </w:r>
            <w:r w:rsidR="00BA2DCA">
              <w:rPr>
                <w:rFonts w:eastAsia="Times New Roman"/>
                <w:color w:val="000000" w:themeColor="text1"/>
                <w:szCs w:val="20"/>
                <w:lang w:eastAsia="en-AU"/>
              </w:rPr>
              <w:t>8</w:t>
            </w:r>
            <w:r w:rsidR="00F57AB3">
              <w:rPr>
                <w:rFonts w:eastAsia="Times New Roman"/>
                <w:color w:val="000000" w:themeColor="text1"/>
                <w:szCs w:val="20"/>
                <w:lang w:eastAsia="en-AU"/>
              </w:rPr>
              <w:t>%</w:t>
            </w:r>
            <w:r w:rsidR="00374F0A">
              <w:rPr>
                <w:rFonts w:eastAsia="Times New Roman"/>
                <w:color w:val="000000" w:themeColor="text1"/>
                <w:szCs w:val="20"/>
                <w:lang w:eastAsia="en-AU"/>
              </w:rPr>
              <w:t xml:space="preserve"> of </w:t>
            </w:r>
            <w:r w:rsidR="00BA2DCA">
              <w:rPr>
                <w:rFonts w:eastAsia="Times New Roman"/>
                <w:color w:val="000000" w:themeColor="text1"/>
                <w:szCs w:val="20"/>
                <w:lang w:eastAsia="en-AU"/>
              </w:rPr>
              <w:t xml:space="preserve">groundwater </w:t>
            </w:r>
            <w:r w:rsidR="00374F0A">
              <w:rPr>
                <w:rFonts w:eastAsia="Times New Roman"/>
                <w:color w:val="000000" w:themeColor="text1"/>
                <w:szCs w:val="20"/>
                <w:lang w:eastAsia="en-AU"/>
              </w:rPr>
              <w:t xml:space="preserve">customers </w:t>
            </w:r>
            <w:r w:rsidR="00BA2DCA">
              <w:rPr>
                <w:rFonts w:eastAsia="Times New Roman"/>
                <w:color w:val="000000" w:themeColor="text1"/>
                <w:szCs w:val="20"/>
                <w:lang w:eastAsia="en-AU"/>
              </w:rPr>
              <w:t xml:space="preserve">and </w:t>
            </w:r>
            <w:r w:rsidR="00F57AB3">
              <w:rPr>
                <w:rFonts w:eastAsia="Times New Roman"/>
                <w:color w:val="000000" w:themeColor="text1"/>
                <w:szCs w:val="20"/>
                <w:lang w:eastAsia="en-AU"/>
              </w:rPr>
              <w:t>70% of surfacewater customers</w:t>
            </w:r>
            <w:r w:rsidR="00374F0A">
              <w:rPr>
                <w:rFonts w:eastAsia="Times New Roman" w:cs="Arial"/>
                <w:color w:val="000000" w:themeColor="text1"/>
                <w:szCs w:val="20"/>
                <w:lang w:eastAsia="en-AU"/>
              </w:rPr>
              <w:t xml:space="preserve"> </w:t>
            </w:r>
            <w:r w:rsidR="005D0535">
              <w:rPr>
                <w:rFonts w:eastAsia="Times New Roman" w:cs="Arial"/>
                <w:color w:val="000000" w:themeColor="text1"/>
                <w:szCs w:val="20"/>
                <w:lang w:eastAsia="en-AU"/>
              </w:rPr>
              <w:t>indicat</w:t>
            </w:r>
            <w:r w:rsidR="007068A4">
              <w:rPr>
                <w:rFonts w:eastAsia="Times New Roman" w:cs="Arial"/>
                <w:color w:val="000000" w:themeColor="text1"/>
                <w:szCs w:val="20"/>
                <w:lang w:eastAsia="en-AU"/>
              </w:rPr>
              <w:t>ing</w:t>
            </w:r>
            <w:r w:rsidR="005D0535">
              <w:rPr>
                <w:rFonts w:eastAsia="Times New Roman" w:cs="Arial"/>
                <w:color w:val="000000" w:themeColor="text1"/>
                <w:szCs w:val="20"/>
                <w:lang w:eastAsia="en-AU"/>
              </w:rPr>
              <w:t xml:space="preserve"> that we are living up to their expectations</w:t>
            </w:r>
            <w:r w:rsidR="008E25B2">
              <w:rPr>
                <w:rFonts w:eastAsia="Times New Roman" w:cs="Arial"/>
                <w:color w:val="000000" w:themeColor="text1"/>
                <w:szCs w:val="20"/>
                <w:lang w:eastAsia="en-AU"/>
              </w:rPr>
              <w:t>.  This is l</w:t>
            </w:r>
            <w:r w:rsidR="005D0535">
              <w:rPr>
                <w:rFonts w:eastAsia="Times New Roman" w:cs="Arial"/>
                <w:color w:val="000000" w:themeColor="text1"/>
                <w:szCs w:val="20"/>
                <w:lang w:eastAsia="en-AU"/>
              </w:rPr>
              <w:t>ikely</w:t>
            </w:r>
            <w:r w:rsidR="008E25B2">
              <w:rPr>
                <w:rFonts w:eastAsia="Times New Roman" w:cs="Arial"/>
                <w:color w:val="000000" w:themeColor="text1"/>
                <w:szCs w:val="20"/>
                <w:lang w:eastAsia="en-AU"/>
              </w:rPr>
              <w:t xml:space="preserve"> driven by</w:t>
            </w:r>
            <w:r w:rsidR="00EA079A">
              <w:rPr>
                <w:rFonts w:eastAsia="Times New Roman" w:cs="Arial"/>
                <w:color w:val="000000" w:themeColor="text1"/>
                <w:szCs w:val="20"/>
                <w:lang w:eastAsia="en-AU"/>
              </w:rPr>
              <w:t xml:space="preserve"> a lack of understanding around</w:t>
            </w:r>
            <w:r w:rsidR="00215363" w:rsidRPr="00192F41">
              <w:rPr>
                <w:rFonts w:eastAsia="Times New Roman" w:cs="Arial"/>
                <w:color w:val="000000" w:themeColor="text1"/>
                <w:szCs w:val="20"/>
                <w:lang w:eastAsia="en-AU"/>
              </w:rPr>
              <w:t xml:space="preserve"> the </w:t>
            </w:r>
            <w:r w:rsidR="00EA079A">
              <w:rPr>
                <w:rFonts w:eastAsia="Times New Roman" w:cs="Arial"/>
                <w:color w:val="000000" w:themeColor="text1"/>
                <w:szCs w:val="20"/>
                <w:lang w:eastAsia="en-AU"/>
              </w:rPr>
              <w:t xml:space="preserve">reason they </w:t>
            </w:r>
            <w:r w:rsidR="00215363" w:rsidRPr="00192F41">
              <w:rPr>
                <w:rFonts w:eastAsia="Times New Roman" w:cs="Arial"/>
                <w:color w:val="000000" w:themeColor="text1"/>
                <w:szCs w:val="20"/>
                <w:lang w:eastAsia="en-AU"/>
              </w:rPr>
              <w:t>need to pay licen</w:t>
            </w:r>
            <w:r w:rsidR="00203637">
              <w:rPr>
                <w:rFonts w:eastAsia="Times New Roman" w:cs="Arial"/>
                <w:color w:val="000000" w:themeColor="text1"/>
                <w:szCs w:val="20"/>
                <w:lang w:eastAsia="en-AU"/>
              </w:rPr>
              <w:t>ce</w:t>
            </w:r>
            <w:r w:rsidR="00215363" w:rsidRPr="00192F41">
              <w:rPr>
                <w:rFonts w:eastAsia="Times New Roman" w:cs="Arial"/>
                <w:color w:val="000000" w:themeColor="text1"/>
                <w:szCs w:val="20"/>
                <w:lang w:eastAsia="en-AU"/>
              </w:rPr>
              <w:t xml:space="preserve"> fees for groundwater and river water ‘on their land’ </w:t>
            </w:r>
            <w:r w:rsidR="00035171">
              <w:rPr>
                <w:rFonts w:eastAsia="Times New Roman" w:cs="Arial"/>
                <w:color w:val="000000" w:themeColor="text1"/>
                <w:szCs w:val="20"/>
                <w:lang w:eastAsia="en-AU"/>
              </w:rPr>
              <w:t>i.e</w:t>
            </w:r>
            <w:r w:rsidR="00215363" w:rsidRPr="00192F41">
              <w:rPr>
                <w:rFonts w:eastAsia="Times New Roman" w:cs="Arial"/>
                <w:color w:val="000000" w:themeColor="text1"/>
                <w:szCs w:val="20"/>
                <w:lang w:eastAsia="en-AU"/>
              </w:rPr>
              <w:t xml:space="preserve"> managing the resources, providing fair access for all licences</w:t>
            </w:r>
            <w:r w:rsidR="00035171">
              <w:rPr>
                <w:rFonts w:eastAsia="Times New Roman" w:cs="Arial"/>
                <w:color w:val="000000" w:themeColor="text1"/>
                <w:szCs w:val="20"/>
                <w:lang w:eastAsia="en-AU"/>
              </w:rPr>
              <w:t xml:space="preserve"> and advocating for policy reform</w:t>
            </w:r>
            <w:r w:rsidR="00215363" w:rsidRPr="00192F41">
              <w:rPr>
                <w:rFonts w:eastAsia="Times New Roman" w:cs="Arial"/>
                <w:color w:val="000000" w:themeColor="text1"/>
                <w:szCs w:val="20"/>
                <w:lang w:eastAsia="en-AU"/>
              </w:rPr>
              <w:t>. </w:t>
            </w:r>
          </w:p>
          <w:p w14:paraId="08296627" w14:textId="2260CED5" w:rsidR="00215363" w:rsidRPr="000153AB" w:rsidRDefault="00215363" w:rsidP="00DD4987">
            <w:pPr>
              <w:spacing w:before="40" w:after="40"/>
              <w:ind w:left="720" w:right="110"/>
              <w:jc w:val="both"/>
              <w:textAlignment w:val="baseline"/>
              <w:rPr>
                <w:rFonts w:eastAsia="Times New Roman" w:cs="Arial"/>
                <w:color w:val="000000" w:themeColor="text1"/>
                <w:sz w:val="18"/>
                <w:szCs w:val="18"/>
                <w:lang w:eastAsia="en-AU"/>
              </w:rPr>
            </w:pPr>
            <w:r w:rsidRPr="00192F41">
              <w:rPr>
                <w:rFonts w:eastAsia="Times New Roman" w:cs="Arial"/>
                <w:color w:val="000000" w:themeColor="text1"/>
                <w:szCs w:val="20"/>
                <w:lang w:eastAsia="en-AU"/>
              </w:rPr>
              <w:t xml:space="preserve">While appreciating the high customer satisfaction scores obtained through surveys, SRW </w:t>
            </w:r>
            <w:r w:rsidR="007F7B04">
              <w:rPr>
                <w:rFonts w:eastAsia="Times New Roman" w:cs="Arial"/>
                <w:color w:val="000000" w:themeColor="text1"/>
                <w:szCs w:val="20"/>
                <w:lang w:eastAsia="en-AU"/>
              </w:rPr>
              <w:t>remains focussed on continuing to improve</w:t>
            </w:r>
            <w:r w:rsidRPr="00192F41">
              <w:rPr>
                <w:rFonts w:eastAsia="Times New Roman" w:cs="Arial"/>
                <w:color w:val="000000" w:themeColor="text1"/>
                <w:szCs w:val="20"/>
                <w:lang w:eastAsia="en-AU"/>
              </w:rPr>
              <w:t xml:space="preserve"> post-modernisation reliability </w:t>
            </w:r>
            <w:r w:rsidR="007F7B04">
              <w:rPr>
                <w:rFonts w:eastAsia="Times New Roman" w:cs="Arial"/>
                <w:color w:val="000000" w:themeColor="text1"/>
                <w:szCs w:val="20"/>
                <w:lang w:eastAsia="en-AU"/>
              </w:rPr>
              <w:t xml:space="preserve">in our irrigation districts </w:t>
            </w:r>
            <w:r w:rsidRPr="00192F41">
              <w:rPr>
                <w:rFonts w:eastAsia="Times New Roman" w:cs="Arial"/>
                <w:color w:val="000000" w:themeColor="text1"/>
                <w:szCs w:val="20"/>
                <w:lang w:eastAsia="en-AU"/>
              </w:rPr>
              <w:t>and customer understanding of our role in resource management</w:t>
            </w:r>
            <w:r w:rsidR="007F7B04">
              <w:rPr>
                <w:rFonts w:eastAsia="Times New Roman" w:cs="Arial"/>
                <w:color w:val="000000" w:themeColor="text1"/>
                <w:szCs w:val="20"/>
                <w:lang w:eastAsia="en-AU"/>
              </w:rPr>
              <w:t xml:space="preserve"> across all our services</w:t>
            </w:r>
            <w:r w:rsidRPr="00192F41">
              <w:rPr>
                <w:rFonts w:eastAsia="Times New Roman" w:cs="Arial"/>
                <w:color w:val="000000" w:themeColor="text1"/>
                <w:szCs w:val="20"/>
                <w:lang w:eastAsia="en-AU"/>
              </w:rPr>
              <w:t>. </w:t>
            </w:r>
          </w:p>
        </w:tc>
        <w:tc>
          <w:tcPr>
            <w:tcW w:w="1134" w:type="dxa"/>
            <w:tcBorders>
              <w:bottom w:val="single" w:sz="4" w:space="0" w:color="auto"/>
            </w:tcBorders>
            <w:vAlign w:val="top"/>
            <w:hideMark/>
          </w:tcPr>
          <w:p w14:paraId="3740A5B5" w14:textId="7DD4CB94" w:rsidR="00215363" w:rsidRPr="00192F41" w:rsidRDefault="003D6B01" w:rsidP="00DD4987">
            <w:pPr>
              <w:spacing w:before="40" w:after="40"/>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 w:val="18"/>
                <w:szCs w:val="18"/>
                <w:lang w:eastAsia="en-AU"/>
              </w:rPr>
            </w:pPr>
            <w:r>
              <w:rPr>
                <w:rFonts w:eastAsia="Times New Roman" w:cs="Arial"/>
                <w:color w:val="000000" w:themeColor="text1"/>
                <w:szCs w:val="20"/>
                <w:lang w:eastAsia="en-AU"/>
              </w:rPr>
              <w:t>Standard- very confident</w:t>
            </w:r>
            <w:r w:rsidR="00215363" w:rsidRPr="00F82275">
              <w:rPr>
                <w:rFonts w:eastAsia="Times New Roman" w:cs="Arial"/>
                <w:color w:val="000000" w:themeColor="text1"/>
                <w:szCs w:val="20"/>
                <w:lang w:eastAsia="en-AU"/>
              </w:rPr>
              <w:t> </w:t>
            </w:r>
          </w:p>
        </w:tc>
      </w:tr>
    </w:tbl>
    <w:p w14:paraId="7D295313" w14:textId="77777777" w:rsidR="0019393F" w:rsidRPr="00192F41" w:rsidRDefault="0019393F" w:rsidP="008306F7">
      <w:pPr>
        <w:rPr>
          <w:rFonts w:cs="Arial"/>
          <w:shd w:val="clear" w:color="auto" w:fill="FAF9F8"/>
        </w:rPr>
      </w:pPr>
    </w:p>
    <w:bookmarkEnd w:id="29"/>
    <w:p w14:paraId="67ABE1FB" w14:textId="19A60660" w:rsidR="006C491B" w:rsidRPr="00192F41" w:rsidRDefault="006C491B" w:rsidP="006C491B">
      <w:pPr>
        <w:rPr>
          <w:rFonts w:cs="Arial"/>
          <w:shd w:val="clear" w:color="auto" w:fill="FAF9F8"/>
        </w:rPr>
      </w:pPr>
      <w:r>
        <w:rPr>
          <w:rFonts w:cs="Arial"/>
          <w:shd w:val="clear" w:color="auto" w:fill="FAF9F8"/>
        </w:rPr>
        <w:br w:type="page"/>
      </w:r>
    </w:p>
    <w:p w14:paraId="2F384FEA" w14:textId="450BF133" w:rsidR="00851956" w:rsidRPr="00D96CC9" w:rsidRDefault="00851956" w:rsidP="00733271">
      <w:pPr>
        <w:pStyle w:val="NumberedHeading3"/>
        <w:rPr>
          <w:sz w:val="52"/>
          <w:szCs w:val="52"/>
        </w:rPr>
      </w:pPr>
      <w:bookmarkStart w:id="31" w:name="_Ref113869827"/>
      <w:bookmarkStart w:id="32" w:name="_Toc115263678"/>
      <w:r w:rsidRPr="00D96CC9">
        <w:rPr>
          <w:sz w:val="52"/>
          <w:szCs w:val="52"/>
        </w:rPr>
        <w:t>Risk</w:t>
      </w:r>
      <w:bookmarkEnd w:id="31"/>
      <w:bookmarkEnd w:id="32"/>
    </w:p>
    <w:tbl>
      <w:tblPr>
        <w:tblStyle w:val="ReportTable-NavyColumns"/>
        <w:tblW w:w="9918" w:type="dxa"/>
        <w:tblBorders>
          <w:insideH w:val="none" w:sz="0" w:space="0" w:color="auto"/>
        </w:tblBorders>
        <w:shd w:val="clear" w:color="auto" w:fill="D9D9D9" w:themeFill="background1" w:themeFillShade="D9"/>
        <w:tblLook w:val="04A0" w:firstRow="1" w:lastRow="0" w:firstColumn="1" w:lastColumn="0" w:noHBand="0" w:noVBand="1"/>
      </w:tblPr>
      <w:tblGrid>
        <w:gridCol w:w="9918"/>
      </w:tblGrid>
      <w:tr w:rsidR="009A686E" w:rsidRPr="00192F41" w14:paraId="0F97F5EC" w14:textId="77777777" w:rsidTr="00F555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18" w:type="dxa"/>
            <w:shd w:val="clear" w:color="auto" w:fill="F2F2F2" w:themeFill="background1" w:themeFillShade="F2"/>
          </w:tcPr>
          <w:p w14:paraId="3FE67388" w14:textId="2E42D0FC" w:rsidR="00E326A4" w:rsidRPr="0080298F" w:rsidRDefault="00BC7207" w:rsidP="00E326A4">
            <w:pPr>
              <w:pStyle w:val="Heading2"/>
              <w:rPr>
                <w:b/>
              </w:rPr>
            </w:pPr>
            <w:r w:rsidRPr="0080298F">
              <w:rPr>
                <w:b/>
              </w:rPr>
              <w:t>Key messages</w:t>
            </w:r>
          </w:p>
          <w:p w14:paraId="1ADF4285" w14:textId="1460EFCF" w:rsidR="001E341E" w:rsidRPr="00192F41" w:rsidRDefault="001E341E" w:rsidP="00F86C95">
            <w:pPr>
              <w:pStyle w:val="Bulletpointparagraph"/>
              <w:numPr>
                <w:ilvl w:val="0"/>
                <w:numId w:val="0"/>
              </w:numPr>
              <w:ind w:left="360" w:right="550"/>
              <w:jc w:val="both"/>
              <w:rPr>
                <w:rFonts w:cs="Arial"/>
                <w:bCs/>
                <w:color w:val="000000" w:themeColor="text1"/>
              </w:rPr>
            </w:pPr>
            <w:r w:rsidRPr="00192F41">
              <w:rPr>
                <w:rFonts w:cs="Arial"/>
                <w:b w:val="0"/>
                <w:bCs/>
                <w:color w:val="000000" w:themeColor="text1"/>
              </w:rPr>
              <w:t>SRW seeks to minimise risk to ourselves, our customers</w:t>
            </w:r>
            <w:r w:rsidR="000E4B8D" w:rsidRPr="00F82275">
              <w:rPr>
                <w:rFonts w:cs="Arial"/>
                <w:bCs/>
                <w:color w:val="000000" w:themeColor="text1"/>
              </w:rPr>
              <w:t>,</w:t>
            </w:r>
            <w:r w:rsidRPr="00192F41">
              <w:rPr>
                <w:rFonts w:cs="Arial"/>
                <w:b w:val="0"/>
                <w:bCs/>
                <w:color w:val="000000" w:themeColor="text1"/>
              </w:rPr>
              <w:t xml:space="preserve"> and the communities within which we operate.</w:t>
            </w:r>
          </w:p>
          <w:p w14:paraId="11C9D4B4" w14:textId="77777777" w:rsidR="000B2771" w:rsidRPr="00192F41" w:rsidRDefault="000B2771" w:rsidP="00F86C95">
            <w:pPr>
              <w:pStyle w:val="Bulletpointparagraph"/>
              <w:numPr>
                <w:ilvl w:val="0"/>
                <w:numId w:val="0"/>
              </w:numPr>
              <w:ind w:left="360" w:right="550"/>
              <w:rPr>
                <w:rFonts w:cs="Arial"/>
                <w:b w:val="0"/>
              </w:rPr>
            </w:pPr>
          </w:p>
          <w:p w14:paraId="327F3EB9" w14:textId="5300EF45" w:rsidR="001E341E" w:rsidRPr="00192F41" w:rsidRDefault="001E341E" w:rsidP="00F86C95">
            <w:pPr>
              <w:pStyle w:val="Bulletpointparagraph"/>
              <w:ind w:right="550"/>
              <w:rPr>
                <w:rFonts w:cs="Arial"/>
                <w:b w:val="0"/>
              </w:rPr>
            </w:pPr>
            <w:r w:rsidRPr="00192F41">
              <w:rPr>
                <w:rFonts w:cs="Arial"/>
                <w:b w:val="0"/>
                <w:bCs/>
                <w:color w:val="000000" w:themeColor="text1"/>
              </w:rPr>
              <w:t>We have a mature risk management framework consistent with ISO 31000:2018, that enables us to fully understand our risks.</w:t>
            </w:r>
          </w:p>
          <w:p w14:paraId="2B8BC0A3" w14:textId="59AD961A" w:rsidR="008A1571" w:rsidRPr="00192F41" w:rsidRDefault="008A1571" w:rsidP="00F86C95">
            <w:pPr>
              <w:pStyle w:val="Bulletpointparagraph"/>
              <w:ind w:right="550"/>
              <w:rPr>
                <w:rFonts w:cs="Arial"/>
                <w:b w:val="0"/>
              </w:rPr>
            </w:pPr>
            <w:r w:rsidRPr="00192F41">
              <w:rPr>
                <w:rFonts w:cs="Arial"/>
                <w:b w:val="0"/>
                <w:bCs/>
                <w:color w:val="000000" w:themeColor="text1"/>
              </w:rPr>
              <w:t>We have identified</w:t>
            </w:r>
            <w:r w:rsidR="009A3951" w:rsidRPr="00192F41">
              <w:rPr>
                <w:rFonts w:cs="Arial"/>
                <w:b w:val="0"/>
                <w:bCs/>
                <w:color w:val="000000" w:themeColor="text1"/>
              </w:rPr>
              <w:t xml:space="preserve"> potentially </w:t>
            </w:r>
            <w:r w:rsidRPr="00192F41">
              <w:rPr>
                <w:rFonts w:cs="Arial"/>
                <w:b w:val="0"/>
                <w:bCs/>
                <w:color w:val="000000" w:themeColor="text1"/>
              </w:rPr>
              <w:t>significant risks and developed plans to manage/mitigate their impacts on prices and services.</w:t>
            </w:r>
          </w:p>
          <w:p w14:paraId="6F226A48" w14:textId="21A547ED" w:rsidR="008A1571" w:rsidRPr="00192F41" w:rsidRDefault="008A1571" w:rsidP="00F86C95">
            <w:pPr>
              <w:pStyle w:val="Bulletpointparagraph"/>
              <w:ind w:right="550"/>
              <w:rPr>
                <w:rFonts w:cs="Arial"/>
                <w:b w:val="0"/>
              </w:rPr>
            </w:pPr>
            <w:r w:rsidRPr="00192F41">
              <w:rPr>
                <w:rFonts w:cs="Arial"/>
                <w:b w:val="0"/>
                <w:bCs/>
                <w:color w:val="000000" w:themeColor="text1"/>
              </w:rPr>
              <w:t xml:space="preserve">To minimise risks, we developed business cases for all major projects and deferred </w:t>
            </w:r>
            <w:r w:rsidR="009D4710">
              <w:rPr>
                <w:rFonts w:cs="Arial"/>
                <w:b w:val="0"/>
                <w:bCs/>
                <w:color w:val="000000" w:themeColor="text1"/>
              </w:rPr>
              <w:t>some</w:t>
            </w:r>
            <w:r w:rsidRPr="00F82275">
              <w:rPr>
                <w:rFonts w:cs="Arial"/>
                <w:b w:val="0"/>
                <w:bCs/>
                <w:color w:val="000000" w:themeColor="text1"/>
              </w:rPr>
              <w:t xml:space="preserve"> </w:t>
            </w:r>
            <w:r w:rsidRPr="00192F41">
              <w:rPr>
                <w:rFonts w:cs="Arial"/>
                <w:b w:val="0"/>
                <w:bCs/>
                <w:color w:val="000000" w:themeColor="text1"/>
              </w:rPr>
              <w:t xml:space="preserve">projects where the scope </w:t>
            </w:r>
            <w:r w:rsidR="004F0231">
              <w:rPr>
                <w:rFonts w:cs="Arial"/>
                <w:b w:val="0"/>
                <w:bCs/>
                <w:color w:val="000000" w:themeColor="text1"/>
              </w:rPr>
              <w:t xml:space="preserve">and timing </w:t>
            </w:r>
            <w:r w:rsidRPr="00192F41">
              <w:rPr>
                <w:rFonts w:cs="Arial"/>
                <w:b w:val="0"/>
                <w:bCs/>
                <w:color w:val="000000" w:themeColor="text1"/>
              </w:rPr>
              <w:t>is uncertain.</w:t>
            </w:r>
          </w:p>
          <w:p w14:paraId="13179560" w14:textId="77777777" w:rsidR="00F270F3" w:rsidRPr="00F270F3" w:rsidRDefault="008A1571" w:rsidP="00F86C95">
            <w:pPr>
              <w:pStyle w:val="Bulletpointparagraph"/>
              <w:ind w:right="550"/>
              <w:rPr>
                <w:rFonts w:cs="Arial"/>
                <w:b w:val="0"/>
              </w:rPr>
            </w:pPr>
            <w:r w:rsidRPr="00F82275">
              <w:rPr>
                <w:rFonts w:cs="Arial"/>
                <w:b w:val="0"/>
                <w:bCs/>
                <w:color w:val="000000" w:themeColor="text1"/>
              </w:rPr>
              <w:t>In allocating risk, we have considered the party in the best position to manage the risk</w:t>
            </w:r>
            <w:r w:rsidR="00F270F3">
              <w:rPr>
                <w:rFonts w:cs="Arial"/>
                <w:b w:val="0"/>
                <w:bCs/>
                <w:color w:val="000000" w:themeColor="text1"/>
              </w:rPr>
              <w:t>.</w:t>
            </w:r>
          </w:p>
          <w:p w14:paraId="5751920A" w14:textId="631711AE" w:rsidR="005C5EAC" w:rsidRPr="00192F41" w:rsidRDefault="005A14EB" w:rsidP="00F86C95">
            <w:pPr>
              <w:pStyle w:val="Bulletpointparagraph"/>
              <w:ind w:right="550"/>
              <w:rPr>
                <w:rFonts w:cs="Arial"/>
                <w:b w:val="0"/>
              </w:rPr>
            </w:pPr>
            <w:r w:rsidRPr="00192F41">
              <w:rPr>
                <w:rFonts w:cs="Arial"/>
                <w:b w:val="0"/>
                <w:bCs/>
                <w:color w:val="000000" w:themeColor="text1"/>
              </w:rPr>
              <w:t>W</w:t>
            </w:r>
            <w:r w:rsidR="008A1571" w:rsidRPr="00192F41">
              <w:rPr>
                <w:rFonts w:cs="Arial"/>
                <w:b w:val="0"/>
                <w:bCs/>
                <w:color w:val="000000" w:themeColor="text1"/>
              </w:rPr>
              <w:t>e are very confident that our PREMO rating for risk is standard.</w:t>
            </w:r>
          </w:p>
          <w:p w14:paraId="0341D513" w14:textId="5D85210B" w:rsidR="005C5EAC" w:rsidRPr="00192F41" w:rsidRDefault="005C5EAC" w:rsidP="00B27C36">
            <w:pPr>
              <w:pStyle w:val="Bulletpointparagraph"/>
              <w:numPr>
                <w:ilvl w:val="0"/>
                <w:numId w:val="0"/>
              </w:numPr>
              <w:ind w:left="360"/>
              <w:rPr>
                <w:rFonts w:cs="Arial"/>
                <w:b w:val="0"/>
              </w:rPr>
            </w:pPr>
            <w:bookmarkStart w:id="33" w:name="_Hlk103787904"/>
          </w:p>
        </w:tc>
      </w:tr>
    </w:tbl>
    <w:bookmarkEnd w:id="33"/>
    <w:p w14:paraId="4011B4C0" w14:textId="69544161" w:rsidR="006106D3" w:rsidRPr="004F4D8B" w:rsidRDefault="006106D3" w:rsidP="006106D3">
      <w:pPr>
        <w:pStyle w:val="Heading2"/>
      </w:pPr>
      <w:r w:rsidRPr="004F4D8B">
        <w:t>Risk management</w:t>
      </w:r>
    </w:p>
    <w:p w14:paraId="2B11408E" w14:textId="7587D075" w:rsidR="00F012DE" w:rsidRPr="00192F41" w:rsidRDefault="00F012DE" w:rsidP="0080298F">
      <w:pPr>
        <w:jc w:val="both"/>
        <w:rPr>
          <w:rFonts w:cs="Arial"/>
        </w:rPr>
      </w:pPr>
      <w:r w:rsidRPr="00192F41">
        <w:rPr>
          <w:rFonts w:cs="Arial"/>
        </w:rPr>
        <w:t xml:space="preserve">Our work on risk management continues to be consistent with the International Standard ISO 31000:2018 and requirements under the Statement of Obligations. Appropriate controls and treatments have been established to manage each risk. Risks are recorded in a comprehensive risk register. We review these on an ongoing basis. Consequence assessment considers each risk against six themes: people, financial sustainability, reputation, third party losses, </w:t>
      </w:r>
      <w:r w:rsidR="002D2A12" w:rsidRPr="00192F41">
        <w:rPr>
          <w:rFonts w:cs="Arial"/>
        </w:rPr>
        <w:t>customers,</w:t>
      </w:r>
      <w:r w:rsidRPr="00192F41">
        <w:rPr>
          <w:rFonts w:cs="Arial"/>
        </w:rPr>
        <w:t xml:space="preserve"> and environment. </w:t>
      </w:r>
    </w:p>
    <w:p w14:paraId="4FE646E6" w14:textId="77777777" w:rsidR="00F012DE" w:rsidRPr="00192F41" w:rsidRDefault="00F012DE" w:rsidP="0080298F">
      <w:pPr>
        <w:jc w:val="both"/>
        <w:rPr>
          <w:rFonts w:cs="Arial"/>
        </w:rPr>
      </w:pPr>
      <w:r w:rsidRPr="00192F41">
        <w:rPr>
          <w:rFonts w:cs="Arial"/>
        </w:rPr>
        <w:t>An annual risk review is conducted and presented to the board in June each year. Strategic risks are individually reviewed at board committee level throughout the year, allowing for a comprehensive presentation by risk owners, and a thorough examination of the topic by the board committee. An attestation by the Managing Director to each board meeting and to the Audit, Risk and Governance Committee, includes risk occurrence for the month, changes to individual risk ratings, changes to risk mitigation strategies, and any emerging risks which may have been identified.</w:t>
      </w:r>
    </w:p>
    <w:p w14:paraId="0A6BEAB5" w14:textId="147AAAB5" w:rsidR="00A959A7" w:rsidRPr="00F82275" w:rsidRDefault="00A959A7" w:rsidP="0080298F">
      <w:pPr>
        <w:jc w:val="both"/>
        <w:rPr>
          <w:rFonts w:cs="Arial"/>
        </w:rPr>
      </w:pPr>
      <w:r w:rsidRPr="00A959A7">
        <w:rPr>
          <w:rFonts w:cs="Arial"/>
        </w:rPr>
        <w:t>In addition to the risk mitigation tools identified in Appendix D of the guidelines, SRW has established a range of initiatives aimed at minimising the risks. These measures are summarised on the following pages for the more significant risks.</w:t>
      </w:r>
    </w:p>
    <w:p w14:paraId="6E65299C" w14:textId="40F38FFC" w:rsidR="00404FF6" w:rsidRPr="004F4D8B" w:rsidRDefault="00404FF6" w:rsidP="00404FF6">
      <w:pPr>
        <w:pStyle w:val="Heading2"/>
      </w:pPr>
      <w:r w:rsidRPr="004F4D8B">
        <w:t>Risk identification</w:t>
      </w:r>
    </w:p>
    <w:p w14:paraId="39FA304C" w14:textId="5B9862FA" w:rsidR="00404FF6" w:rsidRPr="004F4D8B" w:rsidRDefault="00404FF6" w:rsidP="0080298F">
      <w:pPr>
        <w:jc w:val="both"/>
        <w:rPr>
          <w:rFonts w:cs="Arial"/>
        </w:rPr>
      </w:pPr>
      <w:r w:rsidRPr="004F4D8B">
        <w:rPr>
          <w:rFonts w:cs="Arial"/>
        </w:rPr>
        <w:t xml:space="preserve">SRW has undertaken a review of risks that could impact service delivery and or pricing. This has included consideration of, among other things, our existing corporate </w:t>
      </w:r>
      <w:r w:rsidR="00752CFF" w:rsidRPr="004F4D8B">
        <w:rPr>
          <w:rFonts w:cs="Arial"/>
        </w:rPr>
        <w:t xml:space="preserve">strategic </w:t>
      </w:r>
      <w:r w:rsidRPr="004F4D8B">
        <w:rPr>
          <w:rFonts w:cs="Arial"/>
        </w:rPr>
        <w:t>risk register, DELWP’s list of key stat</w:t>
      </w:r>
      <w:r>
        <w:rPr>
          <w:rFonts w:cs="Arial"/>
        </w:rPr>
        <w:t>e</w:t>
      </w:r>
      <w:r w:rsidR="004F4D8B">
        <w:rPr>
          <w:rFonts w:cs="Arial"/>
        </w:rPr>
        <w:t>-</w:t>
      </w:r>
      <w:r w:rsidRPr="004F4D8B">
        <w:rPr>
          <w:rFonts w:cs="Arial"/>
        </w:rPr>
        <w:t>level emergency risks to the water sector and the prompts contained in the ESC Guidance Paper.</w:t>
      </w:r>
      <w:r w:rsidR="00752CFF" w:rsidRPr="004F4D8B">
        <w:rPr>
          <w:rFonts w:cs="Arial"/>
        </w:rPr>
        <w:t xml:space="preserve"> Our corporate strategic risks ha</w:t>
      </w:r>
      <w:r w:rsidR="004F4D8B">
        <w:rPr>
          <w:rFonts w:cs="Arial"/>
        </w:rPr>
        <w:t>ve</w:t>
      </w:r>
      <w:r w:rsidR="00752CFF" w:rsidRPr="004F4D8B">
        <w:rPr>
          <w:rFonts w:cs="Arial"/>
        </w:rPr>
        <w:t xml:space="preserve"> formed the basis of the analysis and where we can we have linked our corporate risks throughout this section.</w:t>
      </w:r>
    </w:p>
    <w:p w14:paraId="00F7F12B" w14:textId="33B1DBE5" w:rsidR="00592F9B" w:rsidRDefault="006077A5" w:rsidP="0080298F">
      <w:pPr>
        <w:jc w:val="both"/>
        <w:rPr>
          <w:rFonts w:cs="Arial"/>
        </w:rPr>
      </w:pPr>
      <w:r w:rsidRPr="004F4D8B">
        <w:rPr>
          <w:rFonts w:cs="Arial"/>
        </w:rPr>
        <w:t>Key</w:t>
      </w:r>
      <w:r w:rsidR="00404FF6" w:rsidRPr="004F4D8B">
        <w:rPr>
          <w:rFonts w:cs="Arial"/>
        </w:rPr>
        <w:t xml:space="preserve"> risks to service levels and pricing</w:t>
      </w:r>
      <w:r w:rsidRPr="004F4D8B">
        <w:rPr>
          <w:rFonts w:cs="Arial"/>
        </w:rPr>
        <w:t xml:space="preserve"> are summarise</w:t>
      </w:r>
      <w:r w:rsidR="00592F9B" w:rsidRPr="004F4D8B">
        <w:rPr>
          <w:rFonts w:cs="Arial"/>
        </w:rPr>
        <w:t xml:space="preserve">d </w:t>
      </w:r>
      <w:r w:rsidRPr="004F4D8B">
        <w:rPr>
          <w:rFonts w:cs="Arial"/>
        </w:rPr>
        <w:t>in the</w:t>
      </w:r>
      <w:r>
        <w:rPr>
          <w:rFonts w:cs="Arial"/>
        </w:rPr>
        <w:t xml:space="preserve"> following</w:t>
      </w:r>
      <w:r w:rsidRPr="004F4D8B">
        <w:rPr>
          <w:rFonts w:cs="Arial"/>
        </w:rPr>
        <w:t xml:space="preserve"> table</w:t>
      </w:r>
      <w:r w:rsidR="00592F9B" w:rsidRPr="004F4D8B">
        <w:rPr>
          <w:rFonts w:cs="Arial"/>
        </w:rPr>
        <w:t>.</w:t>
      </w:r>
    </w:p>
    <w:p w14:paraId="7860C00E" w14:textId="77777777" w:rsidR="006A737E" w:rsidRPr="004F4D8B" w:rsidRDefault="006A737E" w:rsidP="00404FF6">
      <w:pPr>
        <w:rPr>
          <w:rFonts w:cs="Arial"/>
        </w:rPr>
      </w:pPr>
    </w:p>
    <w:p w14:paraId="13D7891D" w14:textId="6AF2D1CE" w:rsidR="00404FF6" w:rsidRPr="00007A6E" w:rsidRDefault="00007A6E" w:rsidP="00007A6E">
      <w:pPr>
        <w:pStyle w:val="Caption"/>
        <w:rPr>
          <w:b/>
          <w:bCs/>
          <w:i w:val="0"/>
          <w:iCs w:val="0"/>
          <w:color w:val="00B1B0" w:themeColor="accent1"/>
          <w:sz w:val="20"/>
          <w:szCs w:val="20"/>
        </w:rPr>
      </w:pPr>
      <w:r w:rsidRPr="00007A6E">
        <w:rPr>
          <w:b/>
          <w:bCs/>
          <w:i w:val="0"/>
          <w:iCs w:val="0"/>
          <w:color w:val="00B1B0" w:themeColor="accent1"/>
          <w:sz w:val="20"/>
          <w:szCs w:val="20"/>
        </w:rPr>
        <w:t xml:space="preserve">Table </w:t>
      </w:r>
      <w:r w:rsidRPr="00007A6E">
        <w:rPr>
          <w:b/>
          <w:bCs/>
          <w:i w:val="0"/>
          <w:iCs w:val="0"/>
          <w:color w:val="00B1B0" w:themeColor="accent1"/>
          <w:sz w:val="20"/>
          <w:szCs w:val="20"/>
        </w:rPr>
        <w:fldChar w:fldCharType="begin"/>
      </w:r>
      <w:r w:rsidRPr="00007A6E">
        <w:rPr>
          <w:b/>
          <w:bCs/>
          <w:i w:val="0"/>
          <w:iCs w:val="0"/>
          <w:color w:val="00B1B0" w:themeColor="accent1"/>
          <w:sz w:val="20"/>
          <w:szCs w:val="20"/>
        </w:rPr>
        <w:instrText xml:space="preserve"> SEQ Table \* ARABIC </w:instrText>
      </w:r>
      <w:r w:rsidRPr="00007A6E">
        <w:rPr>
          <w:b/>
          <w:bCs/>
          <w:i w:val="0"/>
          <w:iCs w:val="0"/>
          <w:color w:val="00B1B0" w:themeColor="accent1"/>
          <w:sz w:val="20"/>
          <w:szCs w:val="20"/>
        </w:rPr>
        <w:fldChar w:fldCharType="separate"/>
      </w:r>
      <w:r w:rsidR="008126A8">
        <w:rPr>
          <w:b/>
          <w:bCs/>
          <w:i w:val="0"/>
          <w:iCs w:val="0"/>
          <w:noProof/>
          <w:color w:val="00B1B0" w:themeColor="accent1"/>
          <w:sz w:val="20"/>
          <w:szCs w:val="20"/>
        </w:rPr>
        <w:t>8</w:t>
      </w:r>
      <w:r w:rsidRPr="00007A6E">
        <w:rPr>
          <w:b/>
          <w:bCs/>
          <w:i w:val="0"/>
          <w:iCs w:val="0"/>
          <w:color w:val="00B1B0" w:themeColor="accent1"/>
          <w:sz w:val="20"/>
          <w:szCs w:val="20"/>
        </w:rPr>
        <w:fldChar w:fldCharType="end"/>
      </w:r>
      <w:r>
        <w:rPr>
          <w:b/>
          <w:bCs/>
          <w:i w:val="0"/>
          <w:iCs w:val="0"/>
          <w:color w:val="00B1B0" w:themeColor="accent1"/>
          <w:sz w:val="20"/>
          <w:szCs w:val="20"/>
        </w:rPr>
        <w:t xml:space="preserve"> </w:t>
      </w:r>
      <w:r w:rsidR="007248B2">
        <w:rPr>
          <w:b/>
          <w:bCs/>
          <w:i w:val="0"/>
          <w:iCs w:val="0"/>
          <w:color w:val="00B1B0" w:themeColor="accent1"/>
          <w:sz w:val="20"/>
          <w:szCs w:val="20"/>
        </w:rPr>
        <w:t>–</w:t>
      </w:r>
      <w:r>
        <w:rPr>
          <w:b/>
          <w:bCs/>
          <w:i w:val="0"/>
          <w:iCs w:val="0"/>
          <w:color w:val="00B1B0" w:themeColor="accent1"/>
          <w:sz w:val="20"/>
          <w:szCs w:val="20"/>
        </w:rPr>
        <w:t xml:space="preserve"> </w:t>
      </w:r>
      <w:r w:rsidR="00404FF6" w:rsidRPr="00007A6E">
        <w:rPr>
          <w:b/>
          <w:bCs/>
          <w:i w:val="0"/>
          <w:iCs w:val="0"/>
          <w:color w:val="00B1B0" w:themeColor="accent1"/>
          <w:sz w:val="20"/>
          <w:szCs w:val="20"/>
        </w:rPr>
        <w:t>Price submission risks</w:t>
      </w:r>
    </w:p>
    <w:tbl>
      <w:tblPr>
        <w:tblStyle w:val="ReportTable-TealRows"/>
        <w:tblW w:w="9472" w:type="dxa"/>
        <w:tblLook w:val="04A0" w:firstRow="1" w:lastRow="0" w:firstColumn="1" w:lastColumn="0" w:noHBand="0" w:noVBand="1"/>
      </w:tblPr>
      <w:tblGrid>
        <w:gridCol w:w="2268"/>
        <w:gridCol w:w="2552"/>
        <w:gridCol w:w="4652"/>
      </w:tblGrid>
      <w:tr w:rsidR="001A5CA6" w:rsidRPr="00192F41" w14:paraId="4C77F18B" w14:textId="09D9F41C" w:rsidTr="001A5CA6">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2268" w:type="dxa"/>
            <w:hideMark/>
          </w:tcPr>
          <w:p w14:paraId="4EB3C878" w14:textId="77777777" w:rsidR="001A5CA6" w:rsidRPr="0080298F" w:rsidRDefault="001A5CA6" w:rsidP="00F86C95">
            <w:pPr>
              <w:spacing w:before="40" w:after="40"/>
              <w:rPr>
                <w:rFonts w:eastAsia="Times New Roman" w:cs="Arial"/>
                <w:sz w:val="20"/>
                <w:szCs w:val="20"/>
                <w:lang w:eastAsia="en-AU"/>
              </w:rPr>
            </w:pPr>
            <w:bookmarkStart w:id="34" w:name="_Hlk108619094"/>
            <w:r w:rsidRPr="0080298F">
              <w:rPr>
                <w:rFonts w:eastAsia="Times New Roman" w:cs="Arial"/>
                <w:kern w:val="24"/>
                <w:sz w:val="20"/>
                <w:szCs w:val="20"/>
                <w:lang w:eastAsia="en-AU"/>
              </w:rPr>
              <w:t>Risk category</w:t>
            </w:r>
          </w:p>
        </w:tc>
        <w:tc>
          <w:tcPr>
            <w:tcW w:w="2552" w:type="dxa"/>
            <w:hideMark/>
          </w:tcPr>
          <w:p w14:paraId="621E8081" w14:textId="2B27E1E1" w:rsidR="001A5CA6" w:rsidRPr="0080298F" w:rsidRDefault="001A5CA6" w:rsidP="00F86C95">
            <w:pPr>
              <w:spacing w:before="40" w:after="40"/>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80298F">
              <w:rPr>
                <w:rFonts w:eastAsia="Times New Roman" w:cs="Arial"/>
                <w:kern w:val="24"/>
                <w:sz w:val="20"/>
                <w:szCs w:val="20"/>
                <w:lang w:eastAsia="en-AU"/>
              </w:rPr>
              <w:t xml:space="preserve">Significance to </w:t>
            </w:r>
            <w:r w:rsidR="001A7F1E" w:rsidRPr="0080298F">
              <w:rPr>
                <w:rFonts w:eastAsia="Times New Roman" w:cs="Arial"/>
                <w:kern w:val="24"/>
                <w:sz w:val="20"/>
                <w:szCs w:val="20"/>
                <w:lang w:eastAsia="en-AU"/>
              </w:rPr>
              <w:t>p</w:t>
            </w:r>
            <w:r w:rsidRPr="0080298F">
              <w:rPr>
                <w:rFonts w:eastAsia="Times New Roman" w:cs="Arial"/>
                <w:kern w:val="24"/>
                <w:sz w:val="20"/>
                <w:szCs w:val="20"/>
                <w:lang w:eastAsia="en-AU"/>
              </w:rPr>
              <w:t>rice sub</w:t>
            </w:r>
            <w:r w:rsidR="001A7F1E" w:rsidRPr="0080298F">
              <w:rPr>
                <w:rFonts w:eastAsia="Times New Roman" w:cs="Arial"/>
                <w:kern w:val="24"/>
                <w:sz w:val="20"/>
                <w:szCs w:val="20"/>
                <w:lang w:eastAsia="en-AU"/>
              </w:rPr>
              <w:t>mission</w:t>
            </w:r>
          </w:p>
        </w:tc>
        <w:tc>
          <w:tcPr>
            <w:tcW w:w="4652" w:type="dxa"/>
            <w:hideMark/>
          </w:tcPr>
          <w:p w14:paraId="4734B7B2" w14:textId="77777777" w:rsidR="001A5CA6" w:rsidRPr="0080298F" w:rsidRDefault="001A5CA6" w:rsidP="00F86C95">
            <w:pPr>
              <w:spacing w:before="40" w:after="40"/>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80298F">
              <w:rPr>
                <w:rFonts w:eastAsia="Times New Roman" w:cs="Arial"/>
                <w:kern w:val="24"/>
                <w:sz w:val="20"/>
                <w:szCs w:val="20"/>
                <w:lang w:eastAsia="en-AU"/>
              </w:rPr>
              <w:t>Potential risks to prices and services</w:t>
            </w:r>
          </w:p>
        </w:tc>
      </w:tr>
      <w:tr w:rsidR="001A5CA6" w:rsidRPr="00192F41" w14:paraId="53286A5C" w14:textId="73EFCD42" w:rsidTr="001A5CA6">
        <w:trPr>
          <w:cnfStyle w:val="000000100000" w:firstRow="0" w:lastRow="0" w:firstColumn="0" w:lastColumn="0" w:oddVBand="0" w:evenVBand="0" w:oddHBand="1" w:evenHBand="0" w:firstRowFirstColumn="0" w:firstRowLastColumn="0" w:lastRowFirstColumn="0" w:lastRowLastColumn="0"/>
          <w:trHeight w:val="59"/>
        </w:trPr>
        <w:tc>
          <w:tcPr>
            <w:cnfStyle w:val="001000000000" w:firstRow="0" w:lastRow="0" w:firstColumn="1" w:lastColumn="0" w:oddVBand="0" w:evenVBand="0" w:oddHBand="0" w:evenHBand="0" w:firstRowFirstColumn="0" w:firstRowLastColumn="0" w:lastRowFirstColumn="0" w:lastRowLastColumn="0"/>
            <w:tcW w:w="2268" w:type="dxa"/>
            <w:vMerge w:val="restart"/>
            <w:hideMark/>
          </w:tcPr>
          <w:p w14:paraId="307A3F15" w14:textId="77777777" w:rsidR="001A5CA6" w:rsidRPr="0080298F" w:rsidRDefault="001A5CA6" w:rsidP="00F632AA">
            <w:pPr>
              <w:spacing w:before="40" w:after="40"/>
              <w:rPr>
                <w:rFonts w:eastAsia="Times New Roman" w:cs="Arial"/>
                <w:color w:val="000000" w:themeColor="text1"/>
                <w:szCs w:val="20"/>
                <w:lang w:eastAsia="en-AU"/>
              </w:rPr>
            </w:pPr>
            <w:bookmarkStart w:id="35" w:name="_Hlk108789100"/>
            <w:r w:rsidRPr="0080298F">
              <w:rPr>
                <w:rFonts w:eastAsia="Times New Roman" w:cs="Arial"/>
                <w:color w:val="000000" w:themeColor="text1"/>
                <w:kern w:val="24"/>
                <w:szCs w:val="20"/>
                <w:lang w:eastAsia="en-AU"/>
              </w:rPr>
              <w:t>Inflow risk</w:t>
            </w:r>
          </w:p>
          <w:p w14:paraId="5CD2DD72"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 </w:t>
            </w:r>
          </w:p>
        </w:tc>
        <w:tc>
          <w:tcPr>
            <w:tcW w:w="2552" w:type="dxa"/>
            <w:hideMark/>
          </w:tcPr>
          <w:p w14:paraId="20864FEF"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Significant risks</w:t>
            </w:r>
          </w:p>
        </w:tc>
        <w:tc>
          <w:tcPr>
            <w:tcW w:w="4652" w:type="dxa"/>
            <w:hideMark/>
          </w:tcPr>
          <w:p w14:paraId="5BB53E6B" w14:textId="208FC9DA" w:rsidR="001A5CA6" w:rsidRPr="00192F41" w:rsidRDefault="00F86C95"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kern w:val="24"/>
                <w:szCs w:val="20"/>
                <w:lang w:eastAsia="en-AU"/>
              </w:rPr>
              <w:t>N</w:t>
            </w:r>
            <w:r w:rsidR="001A5CA6" w:rsidRPr="00192F41">
              <w:rPr>
                <w:rFonts w:eastAsia="Times New Roman" w:cs="Arial"/>
                <w:color w:val="000000" w:themeColor="text1"/>
                <w:kern w:val="24"/>
                <w:szCs w:val="20"/>
                <w:lang w:eastAsia="en-AU"/>
              </w:rPr>
              <w:t>il</w:t>
            </w:r>
          </w:p>
        </w:tc>
      </w:tr>
      <w:tr w:rsidR="001A5CA6" w:rsidRPr="00192F41" w14:paraId="5A058767" w14:textId="081E4045" w:rsidTr="0080298F">
        <w:trPr>
          <w:trHeight w:val="20"/>
        </w:trPr>
        <w:tc>
          <w:tcPr>
            <w:cnfStyle w:val="001000000000" w:firstRow="0" w:lastRow="0" w:firstColumn="1" w:lastColumn="0" w:oddVBand="0" w:evenVBand="0" w:oddHBand="0" w:evenHBand="0" w:firstRowFirstColumn="0" w:firstRowLastColumn="0" w:lastRowFirstColumn="0" w:lastRowLastColumn="0"/>
            <w:tcW w:w="2268" w:type="dxa"/>
            <w:vMerge/>
            <w:hideMark/>
          </w:tcPr>
          <w:p w14:paraId="50851CF1"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1DB43B5F"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26565B9E" w14:textId="07D2329E"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Impact of climate change (</w:t>
            </w:r>
            <w:r w:rsidR="001A7F1E">
              <w:rPr>
                <w:rFonts w:eastAsia="Times New Roman" w:cs="Arial"/>
                <w:color w:val="000000" w:themeColor="text1"/>
                <w:kern w:val="24"/>
                <w:szCs w:val="20"/>
                <w:lang w:eastAsia="en-AU"/>
              </w:rPr>
              <w:t>c</w:t>
            </w:r>
            <w:r w:rsidRPr="00192F41">
              <w:rPr>
                <w:rFonts w:eastAsia="Times New Roman" w:cs="Arial"/>
                <w:color w:val="000000" w:themeColor="text1"/>
                <w:kern w:val="24"/>
                <w:szCs w:val="20"/>
                <w:lang w:eastAsia="en-AU"/>
              </w:rPr>
              <w:t>orp</w:t>
            </w:r>
            <w:r w:rsidR="001A7F1E">
              <w:rPr>
                <w:rFonts w:eastAsia="Times New Roman" w:cs="Arial"/>
                <w:color w:val="000000" w:themeColor="text1"/>
                <w:kern w:val="24"/>
                <w:szCs w:val="20"/>
                <w:lang w:eastAsia="en-AU"/>
              </w:rPr>
              <w:t>orate</w:t>
            </w:r>
            <w:r w:rsidRPr="00192F41">
              <w:rPr>
                <w:rFonts w:eastAsia="Times New Roman" w:cs="Arial"/>
                <w:color w:val="000000" w:themeColor="text1"/>
                <w:kern w:val="24"/>
                <w:szCs w:val="20"/>
                <w:lang w:eastAsia="en-AU"/>
              </w:rPr>
              <w:t xml:space="preserve"> risk)</w:t>
            </w:r>
          </w:p>
        </w:tc>
      </w:tr>
      <w:tr w:rsidR="001A5CA6" w:rsidRPr="00192F41" w14:paraId="5C0FEE70" w14:textId="1ADE23E0" w:rsidTr="00F86C9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vMerge w:val="restart"/>
            <w:shd w:val="clear" w:color="auto" w:fill="auto"/>
            <w:hideMark/>
          </w:tcPr>
          <w:p w14:paraId="21284D71"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Demand forecasting risk</w:t>
            </w:r>
          </w:p>
        </w:tc>
        <w:tc>
          <w:tcPr>
            <w:tcW w:w="2552" w:type="dxa"/>
            <w:hideMark/>
          </w:tcPr>
          <w:p w14:paraId="222FA56B"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18E9CAA6" w14:textId="7C9BBBEF" w:rsidR="001A5CA6" w:rsidRPr="00192F41" w:rsidRDefault="001A7F1E"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N</w:t>
            </w:r>
            <w:r w:rsidR="001A5CA6" w:rsidRPr="00192F41">
              <w:rPr>
                <w:rFonts w:eastAsia="Times New Roman" w:cs="Arial"/>
                <w:color w:val="000000" w:themeColor="text1"/>
                <w:kern w:val="24"/>
                <w:szCs w:val="20"/>
                <w:lang w:eastAsia="en-AU"/>
              </w:rPr>
              <w:t>il</w:t>
            </w:r>
          </w:p>
        </w:tc>
      </w:tr>
      <w:tr w:rsidR="001A5CA6" w:rsidRPr="00192F41" w14:paraId="08ACFCF9" w14:textId="4F18B06D" w:rsidTr="00F86C95">
        <w:trPr>
          <w:trHeight w:val="20"/>
        </w:trPr>
        <w:tc>
          <w:tcPr>
            <w:cnfStyle w:val="001000000000" w:firstRow="0" w:lastRow="0" w:firstColumn="1" w:lastColumn="0" w:oddVBand="0" w:evenVBand="0" w:oddHBand="0" w:evenHBand="0" w:firstRowFirstColumn="0" w:firstRowLastColumn="0" w:lastRowFirstColumn="0" w:lastRowLastColumn="0"/>
            <w:tcW w:w="2268" w:type="dxa"/>
            <w:vMerge/>
            <w:shd w:val="clear" w:color="auto" w:fill="auto"/>
            <w:hideMark/>
          </w:tcPr>
          <w:p w14:paraId="6A3B1800"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7814A59E"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4B2294A3" w14:textId="77777777"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Variable demand</w:t>
            </w:r>
          </w:p>
        </w:tc>
      </w:tr>
      <w:tr w:rsidR="001A5CA6" w:rsidRPr="00192F41" w14:paraId="2FB1ADB4" w14:textId="4CC4A110" w:rsidTr="0080298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vMerge w:val="restart"/>
            <w:hideMark/>
          </w:tcPr>
          <w:p w14:paraId="6F718212" w14:textId="77777777" w:rsidR="001A5CA6" w:rsidRPr="0080298F" w:rsidRDefault="001A5CA6" w:rsidP="00F632AA">
            <w:pPr>
              <w:spacing w:before="40" w:after="40"/>
              <w:rPr>
                <w:rFonts w:eastAsia="Times New Roman" w:cs="Arial"/>
                <w:color w:val="000000" w:themeColor="text1"/>
                <w:szCs w:val="20"/>
                <w:lang w:eastAsia="en-AU"/>
              </w:rPr>
            </w:pPr>
            <w:bookmarkStart w:id="36" w:name="_Hlk108619029"/>
            <w:r w:rsidRPr="0080298F">
              <w:rPr>
                <w:rFonts w:eastAsia="Times New Roman" w:cs="Arial"/>
                <w:color w:val="000000" w:themeColor="text1"/>
                <w:kern w:val="24"/>
                <w:szCs w:val="20"/>
                <w:lang w:eastAsia="en-AU"/>
              </w:rPr>
              <w:t>Operational risks</w:t>
            </w:r>
          </w:p>
        </w:tc>
        <w:tc>
          <w:tcPr>
            <w:tcW w:w="2552" w:type="dxa"/>
            <w:hideMark/>
          </w:tcPr>
          <w:p w14:paraId="7097CD6B"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0AB07CD5" w14:textId="0F277E17" w:rsidR="001A5CA6" w:rsidRPr="00192F41" w:rsidRDefault="001A5CA6"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 xml:space="preserve">Distribution failure, Water quality, </w:t>
            </w:r>
            <w:r w:rsidR="001A7F1E">
              <w:rPr>
                <w:rFonts w:eastAsia="Times New Roman" w:cs="Arial"/>
                <w:color w:val="000000" w:themeColor="text1"/>
                <w:kern w:val="24"/>
                <w:szCs w:val="20"/>
                <w:lang w:eastAsia="en-AU"/>
              </w:rPr>
              <w:t>n</w:t>
            </w:r>
            <w:r w:rsidRPr="00192F41">
              <w:rPr>
                <w:rFonts w:eastAsia="Times New Roman" w:cs="Arial"/>
                <w:color w:val="000000" w:themeColor="text1"/>
                <w:kern w:val="24"/>
                <w:szCs w:val="20"/>
                <w:lang w:eastAsia="en-AU"/>
              </w:rPr>
              <w:t>atural disasters, OPEX</w:t>
            </w:r>
          </w:p>
        </w:tc>
      </w:tr>
      <w:tr w:rsidR="001A5CA6" w:rsidRPr="00192F41" w14:paraId="7957E431" w14:textId="21EFB4BA" w:rsidTr="0080298F">
        <w:trPr>
          <w:trHeight w:val="327"/>
        </w:trPr>
        <w:tc>
          <w:tcPr>
            <w:cnfStyle w:val="001000000000" w:firstRow="0" w:lastRow="0" w:firstColumn="1" w:lastColumn="0" w:oddVBand="0" w:evenVBand="0" w:oddHBand="0" w:evenHBand="0" w:firstRowFirstColumn="0" w:firstRowLastColumn="0" w:lastRowFirstColumn="0" w:lastRowLastColumn="0"/>
            <w:tcW w:w="2268" w:type="dxa"/>
            <w:vMerge/>
            <w:hideMark/>
          </w:tcPr>
          <w:p w14:paraId="4E61A051"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125019AC"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25F59196" w14:textId="5F537A13" w:rsidR="001A5CA6" w:rsidRPr="00192F41" w:rsidRDefault="001A5CA6" w:rsidP="00B32EE8">
            <w:pPr>
              <w:spacing w:before="40" w:after="12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Headworks supply failure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 Environmental damage due to over extraction from an aquifer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w:t>
            </w:r>
          </w:p>
          <w:p w14:paraId="58DEE083" w14:textId="202033C1"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 xml:space="preserve">Occupational </w:t>
            </w:r>
            <w:r w:rsidR="001A7F1E">
              <w:rPr>
                <w:rFonts w:eastAsia="Times New Roman" w:cs="Arial"/>
                <w:color w:val="000000" w:themeColor="text1"/>
                <w:kern w:val="24"/>
                <w:szCs w:val="20"/>
                <w:lang w:eastAsia="en-AU"/>
              </w:rPr>
              <w:t>h</w:t>
            </w:r>
            <w:r w:rsidRPr="00192F41">
              <w:rPr>
                <w:rFonts w:eastAsia="Times New Roman" w:cs="Arial"/>
                <w:color w:val="000000" w:themeColor="text1"/>
                <w:kern w:val="24"/>
                <w:szCs w:val="20"/>
                <w:lang w:eastAsia="en-AU"/>
              </w:rPr>
              <w:t xml:space="preserve">ealth </w:t>
            </w:r>
            <w:r w:rsidR="001A7F1E">
              <w:rPr>
                <w:rFonts w:eastAsia="Times New Roman" w:cs="Arial"/>
                <w:color w:val="000000" w:themeColor="text1"/>
                <w:kern w:val="24"/>
                <w:szCs w:val="20"/>
                <w:lang w:eastAsia="en-AU"/>
              </w:rPr>
              <w:t>and</w:t>
            </w:r>
            <w:r w:rsidRPr="00192F41">
              <w:rPr>
                <w:rFonts w:eastAsia="Times New Roman" w:cs="Arial"/>
                <w:color w:val="000000" w:themeColor="text1"/>
                <w:kern w:val="24"/>
                <w:szCs w:val="20"/>
                <w:lang w:eastAsia="en-AU"/>
              </w:rPr>
              <w:t xml:space="preserve"> </w:t>
            </w:r>
            <w:r w:rsidR="001A7F1E">
              <w:rPr>
                <w:rFonts w:eastAsia="Times New Roman" w:cs="Arial"/>
                <w:color w:val="000000" w:themeColor="text1"/>
                <w:kern w:val="24"/>
                <w:szCs w:val="20"/>
                <w:lang w:eastAsia="en-AU"/>
              </w:rPr>
              <w:t>s</w:t>
            </w:r>
            <w:r w:rsidRPr="00192F41">
              <w:rPr>
                <w:rFonts w:eastAsia="Times New Roman" w:cs="Arial"/>
                <w:color w:val="000000" w:themeColor="text1"/>
                <w:kern w:val="24"/>
                <w:szCs w:val="20"/>
                <w:lang w:eastAsia="en-AU"/>
              </w:rPr>
              <w:t>afety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w:t>
            </w:r>
          </w:p>
        </w:tc>
      </w:tr>
      <w:tr w:rsidR="001A5CA6" w:rsidRPr="00192F41" w14:paraId="74E08D90" w14:textId="790FFE43" w:rsidTr="00F86C95">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vMerge w:val="restart"/>
            <w:shd w:val="clear" w:color="auto" w:fill="auto"/>
            <w:hideMark/>
          </w:tcPr>
          <w:p w14:paraId="3BDA2D81"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Construction risks</w:t>
            </w:r>
          </w:p>
        </w:tc>
        <w:tc>
          <w:tcPr>
            <w:tcW w:w="2552" w:type="dxa"/>
            <w:hideMark/>
          </w:tcPr>
          <w:p w14:paraId="3C107186"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5DDFFC57" w14:textId="77777777" w:rsidR="001A5CA6" w:rsidRPr="00192F41" w:rsidRDefault="001A5CA6"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Construction and CAPEX risks</w:t>
            </w:r>
          </w:p>
        </w:tc>
      </w:tr>
      <w:tr w:rsidR="001A5CA6" w:rsidRPr="00192F41" w14:paraId="18385B1B" w14:textId="06528C21" w:rsidTr="00F86C95">
        <w:trPr>
          <w:trHeight w:val="20"/>
        </w:trPr>
        <w:tc>
          <w:tcPr>
            <w:cnfStyle w:val="001000000000" w:firstRow="0" w:lastRow="0" w:firstColumn="1" w:lastColumn="0" w:oddVBand="0" w:evenVBand="0" w:oddHBand="0" w:evenHBand="0" w:firstRowFirstColumn="0" w:firstRowLastColumn="0" w:lastRowFirstColumn="0" w:lastRowLastColumn="0"/>
            <w:tcW w:w="2268" w:type="dxa"/>
            <w:vMerge/>
            <w:shd w:val="clear" w:color="auto" w:fill="auto"/>
            <w:hideMark/>
          </w:tcPr>
          <w:p w14:paraId="65A3C618"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56F37F6D"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566C6A56" w14:textId="0E6E33A2" w:rsidR="001A5CA6" w:rsidRPr="00192F41" w:rsidRDefault="001A7F1E"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N</w:t>
            </w:r>
            <w:r w:rsidR="001A5CA6" w:rsidRPr="00192F41">
              <w:rPr>
                <w:rFonts w:eastAsia="Times New Roman" w:cs="Arial"/>
                <w:color w:val="000000" w:themeColor="text1"/>
                <w:kern w:val="24"/>
                <w:szCs w:val="20"/>
                <w:lang w:eastAsia="en-AU"/>
              </w:rPr>
              <w:t>il</w:t>
            </w:r>
          </w:p>
        </w:tc>
      </w:tr>
      <w:tr w:rsidR="001A5CA6" w:rsidRPr="00192F41" w14:paraId="12734633" w14:textId="77D66B79" w:rsidTr="0080298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268" w:type="dxa"/>
            <w:vMerge w:val="restart"/>
            <w:hideMark/>
          </w:tcPr>
          <w:p w14:paraId="450BE9EF"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Regulatory and policy risks</w:t>
            </w:r>
          </w:p>
        </w:tc>
        <w:tc>
          <w:tcPr>
            <w:tcW w:w="2552" w:type="dxa"/>
            <w:hideMark/>
          </w:tcPr>
          <w:p w14:paraId="751A4878"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1BBBE600" w14:textId="25A80FD0" w:rsidR="001A5CA6" w:rsidRPr="00192F41" w:rsidRDefault="001A5CA6"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Policy / regulatory changes</w:t>
            </w:r>
          </w:p>
        </w:tc>
      </w:tr>
      <w:tr w:rsidR="001A5CA6" w:rsidRPr="00192F41" w14:paraId="0D99D98D" w14:textId="6CF1BEEC" w:rsidTr="0080298F">
        <w:trPr>
          <w:trHeight w:val="20"/>
        </w:trPr>
        <w:tc>
          <w:tcPr>
            <w:cnfStyle w:val="001000000000" w:firstRow="0" w:lastRow="0" w:firstColumn="1" w:lastColumn="0" w:oddVBand="0" w:evenVBand="0" w:oddHBand="0" w:evenHBand="0" w:firstRowFirstColumn="0" w:firstRowLastColumn="0" w:lastRowFirstColumn="0" w:lastRowLastColumn="0"/>
            <w:tcW w:w="2268" w:type="dxa"/>
            <w:vMerge/>
            <w:hideMark/>
          </w:tcPr>
          <w:p w14:paraId="6B58CED8"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490416C6"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3CEA8FC2" w14:textId="307B3494"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Align and meet shareholder expectations (</w:t>
            </w:r>
            <w:r w:rsidR="001A7F1E">
              <w:rPr>
                <w:rFonts w:eastAsia="Times New Roman" w:cs="Arial"/>
                <w:color w:val="000000" w:themeColor="text1"/>
                <w:kern w:val="24"/>
                <w:szCs w:val="20"/>
                <w:lang w:eastAsia="en-AU"/>
              </w:rPr>
              <w:t>corporate</w:t>
            </w:r>
            <w:r>
              <w:rPr>
                <w:rFonts w:eastAsia="Times New Roman" w:cs="Arial"/>
                <w:color w:val="000000" w:themeColor="text1"/>
                <w:kern w:val="24"/>
                <w:szCs w:val="20"/>
                <w:lang w:eastAsia="en-AU"/>
              </w:rPr>
              <w:t xml:space="preserve"> risk</w:t>
            </w:r>
            <w:r w:rsidRPr="00192F41">
              <w:rPr>
                <w:rFonts w:eastAsia="Times New Roman" w:cs="Arial"/>
                <w:color w:val="000000" w:themeColor="text1"/>
                <w:szCs w:val="20"/>
                <w:lang w:eastAsia="en-AU"/>
              </w:rPr>
              <w:t>)</w:t>
            </w:r>
          </w:p>
        </w:tc>
      </w:tr>
      <w:tr w:rsidR="001A5CA6" w:rsidRPr="00192F41" w14:paraId="081B0F33" w14:textId="02F88744" w:rsidTr="00F86C95">
        <w:trPr>
          <w:cnfStyle w:val="000000100000" w:firstRow="0" w:lastRow="0" w:firstColumn="0" w:lastColumn="0" w:oddVBand="0" w:evenVBand="0" w:oddHBand="1" w:evenHBand="0" w:firstRowFirstColumn="0" w:firstRowLastColumn="0" w:lastRowFirstColumn="0" w:lastRowLastColumn="0"/>
          <w:trHeight w:val="174"/>
        </w:trPr>
        <w:tc>
          <w:tcPr>
            <w:cnfStyle w:val="001000000000" w:firstRow="0" w:lastRow="0" w:firstColumn="1" w:lastColumn="0" w:oddVBand="0" w:evenVBand="0" w:oddHBand="0" w:evenHBand="0" w:firstRowFirstColumn="0" w:firstRowLastColumn="0" w:lastRowFirstColumn="0" w:lastRowLastColumn="0"/>
            <w:tcW w:w="2268" w:type="dxa"/>
            <w:vMerge w:val="restart"/>
            <w:shd w:val="clear" w:color="auto" w:fill="auto"/>
            <w:hideMark/>
          </w:tcPr>
          <w:p w14:paraId="623BA20E"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Financial risks</w:t>
            </w:r>
          </w:p>
          <w:p w14:paraId="24C4D6E4"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 </w:t>
            </w:r>
          </w:p>
        </w:tc>
        <w:tc>
          <w:tcPr>
            <w:tcW w:w="2552" w:type="dxa"/>
            <w:hideMark/>
          </w:tcPr>
          <w:p w14:paraId="2E74C092"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500C6F6A" w14:textId="21946B65" w:rsidR="001A5CA6" w:rsidRPr="00192F41" w:rsidRDefault="001A5CA6"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kern w:val="24"/>
                <w:szCs w:val="20"/>
                <w:lang w:eastAsia="en-AU"/>
              </w:rPr>
              <w:t xml:space="preserve">Significant increase in </w:t>
            </w:r>
            <w:r w:rsidRPr="00192F41">
              <w:rPr>
                <w:rFonts w:eastAsia="Times New Roman" w:cs="Arial"/>
                <w:color w:val="000000" w:themeColor="text1"/>
                <w:kern w:val="24"/>
                <w:szCs w:val="20"/>
                <w:lang w:eastAsia="en-AU"/>
              </w:rPr>
              <w:t xml:space="preserve">CPI, </w:t>
            </w:r>
            <w:r w:rsidR="001A7F1E">
              <w:rPr>
                <w:rFonts w:eastAsia="Times New Roman" w:cs="Arial"/>
                <w:color w:val="000000" w:themeColor="text1"/>
                <w:kern w:val="24"/>
                <w:szCs w:val="20"/>
                <w:lang w:eastAsia="en-AU"/>
              </w:rPr>
              <w:t>l</w:t>
            </w:r>
            <w:r w:rsidRPr="00192F41">
              <w:rPr>
                <w:rFonts w:eastAsia="Times New Roman" w:cs="Arial"/>
                <w:color w:val="000000" w:themeColor="text1"/>
                <w:kern w:val="24"/>
                <w:szCs w:val="20"/>
                <w:lang w:eastAsia="en-AU"/>
              </w:rPr>
              <w:t xml:space="preserve">ong-term sustainability, </w:t>
            </w:r>
            <w:r w:rsidR="001A7F1E">
              <w:rPr>
                <w:rFonts w:eastAsia="Times New Roman" w:cs="Arial"/>
                <w:color w:val="000000" w:themeColor="text1"/>
                <w:kern w:val="24"/>
                <w:szCs w:val="20"/>
                <w:lang w:eastAsia="en-AU"/>
              </w:rPr>
              <w:t>w</w:t>
            </w:r>
            <w:r w:rsidRPr="00192F41">
              <w:rPr>
                <w:rFonts w:eastAsia="Times New Roman" w:cs="Arial"/>
                <w:color w:val="000000" w:themeColor="text1"/>
                <w:kern w:val="24"/>
                <w:szCs w:val="20"/>
                <w:lang w:eastAsia="en-AU"/>
              </w:rPr>
              <w:t xml:space="preserve">ater sales, </w:t>
            </w:r>
            <w:r w:rsidR="001A7F1E">
              <w:rPr>
                <w:rFonts w:eastAsia="Times New Roman" w:cs="Arial"/>
                <w:color w:val="000000" w:themeColor="text1"/>
                <w:kern w:val="24"/>
                <w:szCs w:val="20"/>
                <w:lang w:eastAsia="en-AU"/>
              </w:rPr>
              <w:t>r</w:t>
            </w:r>
            <w:r w:rsidRPr="00192F41">
              <w:rPr>
                <w:rFonts w:eastAsia="Times New Roman" w:cs="Arial"/>
                <w:color w:val="000000" w:themeColor="text1"/>
                <w:kern w:val="24"/>
                <w:szCs w:val="20"/>
                <w:lang w:eastAsia="en-AU"/>
              </w:rPr>
              <w:t xml:space="preserve">evenue shortfall </w:t>
            </w:r>
          </w:p>
        </w:tc>
      </w:tr>
      <w:tr w:rsidR="001A5CA6" w:rsidRPr="00192F41" w14:paraId="03F6F6A0" w14:textId="7E07C39C" w:rsidTr="00F86C95">
        <w:trPr>
          <w:trHeight w:val="20"/>
        </w:trPr>
        <w:tc>
          <w:tcPr>
            <w:cnfStyle w:val="001000000000" w:firstRow="0" w:lastRow="0" w:firstColumn="1" w:lastColumn="0" w:oddVBand="0" w:evenVBand="0" w:oddHBand="0" w:evenHBand="0" w:firstRowFirstColumn="0" w:firstRowLastColumn="0" w:lastRowFirstColumn="0" w:lastRowLastColumn="0"/>
            <w:tcW w:w="2268" w:type="dxa"/>
            <w:vMerge/>
            <w:shd w:val="clear" w:color="auto" w:fill="auto"/>
            <w:hideMark/>
          </w:tcPr>
          <w:p w14:paraId="1122DB44" w14:textId="77777777" w:rsidR="001A5CA6" w:rsidRPr="0080298F" w:rsidRDefault="001A5CA6" w:rsidP="00F632AA">
            <w:pPr>
              <w:spacing w:before="40" w:after="40"/>
              <w:rPr>
                <w:rFonts w:eastAsia="Times New Roman" w:cs="Arial"/>
                <w:color w:val="000000" w:themeColor="text1"/>
                <w:szCs w:val="20"/>
                <w:lang w:eastAsia="en-AU"/>
              </w:rPr>
            </w:pPr>
          </w:p>
        </w:tc>
        <w:tc>
          <w:tcPr>
            <w:tcW w:w="2552" w:type="dxa"/>
            <w:hideMark/>
          </w:tcPr>
          <w:p w14:paraId="01427AFA"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hideMark/>
          </w:tcPr>
          <w:p w14:paraId="6E746FEE" w14:textId="5F9CD4B3"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 xml:space="preserve">Energy costs, EBA/wages, OPEX, </w:t>
            </w:r>
            <w:r w:rsidR="001A7F1E">
              <w:rPr>
                <w:rFonts w:eastAsia="Times New Roman" w:cs="Arial"/>
                <w:color w:val="000000" w:themeColor="text1"/>
                <w:kern w:val="24"/>
                <w:szCs w:val="20"/>
                <w:lang w:eastAsia="en-AU"/>
              </w:rPr>
              <w:t>c</w:t>
            </w:r>
            <w:r w:rsidRPr="00192F41">
              <w:rPr>
                <w:rFonts w:eastAsia="Times New Roman" w:cs="Arial"/>
                <w:color w:val="000000" w:themeColor="text1"/>
                <w:kern w:val="24"/>
                <w:szCs w:val="20"/>
                <w:lang w:eastAsia="en-AU"/>
              </w:rPr>
              <w:t>ustomer affordability</w:t>
            </w:r>
          </w:p>
        </w:tc>
      </w:tr>
      <w:tr w:rsidR="001A5CA6" w:rsidRPr="00192F41" w14:paraId="6CAF7860" w14:textId="16D5C00A" w:rsidTr="0080298F">
        <w:trPr>
          <w:cnfStyle w:val="000000100000" w:firstRow="0" w:lastRow="0" w:firstColumn="0" w:lastColumn="0" w:oddVBand="0" w:evenVBand="0" w:oddHBand="1" w:evenHBand="0" w:firstRowFirstColumn="0" w:firstRowLastColumn="0" w:lastRowFirstColumn="0" w:lastRowLastColumn="0"/>
          <w:trHeight w:val="116"/>
        </w:trPr>
        <w:tc>
          <w:tcPr>
            <w:cnfStyle w:val="001000000000" w:firstRow="0" w:lastRow="0" w:firstColumn="1" w:lastColumn="0" w:oddVBand="0" w:evenVBand="0" w:oddHBand="0" w:evenHBand="0" w:firstRowFirstColumn="0" w:firstRowLastColumn="0" w:lastRowFirstColumn="0" w:lastRowLastColumn="0"/>
            <w:tcW w:w="2268" w:type="dxa"/>
            <w:vMerge w:val="restart"/>
            <w:hideMark/>
          </w:tcPr>
          <w:p w14:paraId="34600C34"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Business risks</w:t>
            </w:r>
          </w:p>
          <w:p w14:paraId="63C0E395" w14:textId="77777777" w:rsidR="001A5CA6" w:rsidRPr="0080298F" w:rsidRDefault="001A5CA6" w:rsidP="00F632AA">
            <w:pPr>
              <w:spacing w:before="40" w:after="40"/>
              <w:rPr>
                <w:rFonts w:eastAsia="Times New Roman" w:cs="Arial"/>
                <w:color w:val="000000" w:themeColor="text1"/>
                <w:szCs w:val="20"/>
                <w:lang w:eastAsia="en-AU"/>
              </w:rPr>
            </w:pPr>
            <w:r w:rsidRPr="0080298F">
              <w:rPr>
                <w:rFonts w:eastAsia="Times New Roman" w:cs="Arial"/>
                <w:color w:val="000000" w:themeColor="text1"/>
                <w:kern w:val="24"/>
                <w:szCs w:val="20"/>
                <w:lang w:eastAsia="en-AU"/>
              </w:rPr>
              <w:t> </w:t>
            </w:r>
          </w:p>
        </w:tc>
        <w:tc>
          <w:tcPr>
            <w:tcW w:w="2552" w:type="dxa"/>
            <w:hideMark/>
          </w:tcPr>
          <w:p w14:paraId="79E7A9E9" w14:textId="77777777" w:rsidR="001A5CA6" w:rsidRPr="00192F41" w:rsidRDefault="001A5CA6" w:rsidP="00F632AA">
            <w:pPr>
              <w:spacing w:before="40" w:after="40"/>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cs="Arial"/>
                <w:szCs w:val="20"/>
              </w:rPr>
              <w:t>Significant risks</w:t>
            </w:r>
          </w:p>
        </w:tc>
        <w:tc>
          <w:tcPr>
            <w:tcW w:w="4652" w:type="dxa"/>
            <w:hideMark/>
          </w:tcPr>
          <w:p w14:paraId="476E473B" w14:textId="6566A80E" w:rsidR="001A5CA6" w:rsidRPr="00192F41" w:rsidRDefault="001A5CA6" w:rsidP="00ED4C9A">
            <w:pPr>
              <w:spacing w:before="40" w:after="40"/>
              <w:ind w:right="227"/>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 xml:space="preserve">Cyber security, </w:t>
            </w:r>
            <w:r w:rsidR="001A7F1E">
              <w:rPr>
                <w:rFonts w:eastAsia="Times New Roman" w:cs="Arial"/>
                <w:color w:val="000000" w:themeColor="text1"/>
                <w:kern w:val="24"/>
                <w:szCs w:val="20"/>
                <w:lang w:eastAsia="en-AU"/>
              </w:rPr>
              <w:t>p</w:t>
            </w:r>
            <w:r w:rsidRPr="00192F41">
              <w:rPr>
                <w:rFonts w:eastAsia="Times New Roman" w:cs="Arial"/>
                <w:color w:val="000000" w:themeColor="text1"/>
                <w:kern w:val="24"/>
                <w:szCs w:val="20"/>
                <w:lang w:eastAsia="en-AU"/>
              </w:rPr>
              <w:t>andemic </w:t>
            </w:r>
          </w:p>
        </w:tc>
      </w:tr>
      <w:bookmarkEnd w:id="35"/>
      <w:tr w:rsidR="001A5CA6" w:rsidRPr="00192F41" w14:paraId="6A7C7314" w14:textId="3CF0FE01" w:rsidTr="001A5CA6">
        <w:trPr>
          <w:trHeight w:val="478"/>
        </w:trPr>
        <w:tc>
          <w:tcPr>
            <w:cnfStyle w:val="001000000000" w:firstRow="0" w:lastRow="0" w:firstColumn="1" w:lastColumn="0" w:oddVBand="0" w:evenVBand="0" w:oddHBand="0" w:evenHBand="0" w:firstRowFirstColumn="0" w:firstRowLastColumn="0" w:lastRowFirstColumn="0" w:lastRowLastColumn="0"/>
            <w:tcW w:w="2268" w:type="dxa"/>
            <w:vMerge/>
            <w:tcBorders>
              <w:bottom w:val="single" w:sz="4" w:space="0" w:color="auto"/>
            </w:tcBorders>
            <w:hideMark/>
          </w:tcPr>
          <w:p w14:paraId="22A9E1D4" w14:textId="77777777" w:rsidR="001A5CA6" w:rsidRPr="00192F41" w:rsidRDefault="001A5CA6" w:rsidP="00F632AA">
            <w:pPr>
              <w:spacing w:before="40" w:after="40"/>
              <w:rPr>
                <w:rFonts w:eastAsia="Times New Roman" w:cs="Arial"/>
                <w:color w:val="000000" w:themeColor="text1"/>
                <w:szCs w:val="20"/>
                <w:lang w:eastAsia="en-AU"/>
              </w:rPr>
            </w:pPr>
          </w:p>
        </w:tc>
        <w:tc>
          <w:tcPr>
            <w:tcW w:w="2552" w:type="dxa"/>
            <w:tcBorders>
              <w:bottom w:val="single" w:sz="4" w:space="0" w:color="auto"/>
            </w:tcBorders>
            <w:hideMark/>
          </w:tcPr>
          <w:p w14:paraId="6A494BAB" w14:textId="77777777" w:rsidR="001A5CA6" w:rsidRPr="00192F41" w:rsidRDefault="001A5CA6" w:rsidP="00F632AA">
            <w:pPr>
              <w:spacing w:before="40" w:after="40"/>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Potential risks</w:t>
            </w:r>
          </w:p>
        </w:tc>
        <w:tc>
          <w:tcPr>
            <w:tcW w:w="4652" w:type="dxa"/>
            <w:tcBorders>
              <w:bottom w:val="single" w:sz="4" w:space="0" w:color="auto"/>
            </w:tcBorders>
            <w:hideMark/>
          </w:tcPr>
          <w:p w14:paraId="18E8CE2B" w14:textId="46908FE5" w:rsidR="001A5CA6" w:rsidRPr="00192F41" w:rsidRDefault="001A5CA6" w:rsidP="00B32EE8">
            <w:pPr>
              <w:spacing w:before="40" w:after="12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Financial mismanagement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 </w:t>
            </w:r>
            <w:r w:rsidR="001A7F1E">
              <w:rPr>
                <w:rFonts w:eastAsia="Times New Roman" w:cs="Arial"/>
                <w:color w:val="000000" w:themeColor="text1"/>
                <w:kern w:val="24"/>
                <w:szCs w:val="20"/>
                <w:lang w:eastAsia="en-AU"/>
              </w:rPr>
              <w:t>l</w:t>
            </w:r>
            <w:r w:rsidRPr="00192F41">
              <w:rPr>
                <w:rFonts w:eastAsia="Times New Roman" w:cs="Arial"/>
                <w:color w:val="000000" w:themeColor="text1"/>
                <w:kern w:val="24"/>
                <w:szCs w:val="20"/>
                <w:lang w:eastAsia="en-AU"/>
              </w:rPr>
              <w:t>oss of scale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w:t>
            </w:r>
          </w:p>
          <w:p w14:paraId="363A0271" w14:textId="4D6F4D09" w:rsidR="001A5CA6" w:rsidRPr="00192F41" w:rsidRDefault="001A5CA6" w:rsidP="00ED4C9A">
            <w:pPr>
              <w:spacing w:before="40" w:after="40"/>
              <w:ind w:right="227"/>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kern w:val="24"/>
                <w:szCs w:val="20"/>
                <w:lang w:eastAsia="en-AU"/>
              </w:rPr>
              <w:t>Terrorism (</w:t>
            </w:r>
            <w:r w:rsidR="001A7F1E">
              <w:rPr>
                <w:rFonts w:eastAsia="Times New Roman" w:cs="Arial"/>
                <w:color w:val="000000" w:themeColor="text1"/>
                <w:kern w:val="24"/>
                <w:szCs w:val="20"/>
                <w:lang w:eastAsia="en-AU"/>
              </w:rPr>
              <w:t>corporate</w:t>
            </w:r>
            <w:r w:rsidRPr="00192F41">
              <w:rPr>
                <w:rFonts w:eastAsia="Times New Roman" w:cs="Arial"/>
                <w:color w:val="000000" w:themeColor="text1"/>
                <w:kern w:val="24"/>
                <w:szCs w:val="20"/>
                <w:lang w:eastAsia="en-AU"/>
              </w:rPr>
              <w:t xml:space="preserve"> risk)</w:t>
            </w:r>
          </w:p>
        </w:tc>
      </w:tr>
    </w:tbl>
    <w:p w14:paraId="7E709E82" w14:textId="77777777" w:rsidR="003A18C9" w:rsidRDefault="003A18C9">
      <w:pPr>
        <w:rPr>
          <w:rFonts w:eastAsiaTheme="majorEastAsia" w:cs="Arial"/>
          <w:b/>
          <w:color w:val="00B1B0"/>
          <w:sz w:val="36"/>
          <w:szCs w:val="26"/>
          <w:shd w:val="clear" w:color="auto" w:fill="FAF9F8"/>
        </w:rPr>
      </w:pPr>
      <w:bookmarkStart w:id="37" w:name="_Hlk107904952"/>
      <w:bookmarkEnd w:id="34"/>
      <w:bookmarkEnd w:id="36"/>
      <w:r>
        <w:rPr>
          <w:rFonts w:cs="Arial"/>
          <w:shd w:val="clear" w:color="auto" w:fill="FAF9F8"/>
        </w:rPr>
        <w:br w:type="page"/>
      </w:r>
    </w:p>
    <w:bookmarkEnd w:id="37"/>
    <w:p w14:paraId="4CDED926" w14:textId="265245A0" w:rsidR="001A7F1E" w:rsidRPr="001A7F1E" w:rsidRDefault="001A7F1E" w:rsidP="001A7F1E">
      <w:pPr>
        <w:pStyle w:val="Heading2"/>
      </w:pPr>
      <w:r>
        <w:t>Significant risks</w:t>
      </w:r>
    </w:p>
    <w:p w14:paraId="6FF70855" w14:textId="6C152CE6" w:rsidR="00592F9B" w:rsidRPr="001A7F1E" w:rsidRDefault="00404FF6" w:rsidP="00F632AA">
      <w:pPr>
        <w:jc w:val="both"/>
        <w:rPr>
          <w:rFonts w:cs="Arial"/>
        </w:rPr>
      </w:pPr>
      <w:r w:rsidRPr="00192F41">
        <w:rPr>
          <w:rFonts w:cs="Arial"/>
        </w:rPr>
        <w:t xml:space="preserve">The following </w:t>
      </w:r>
      <w:r w:rsidR="00592F9B">
        <w:rPr>
          <w:rFonts w:cs="Arial"/>
        </w:rPr>
        <w:t xml:space="preserve">tables </w:t>
      </w:r>
      <w:r w:rsidRPr="00F82275">
        <w:rPr>
          <w:rFonts w:cs="Arial"/>
        </w:rPr>
        <w:t>describe</w:t>
      </w:r>
      <w:r w:rsidRPr="00192F41">
        <w:rPr>
          <w:rFonts w:cs="Arial"/>
        </w:rPr>
        <w:t xml:space="preserve"> the more </w:t>
      </w:r>
      <w:r w:rsidRPr="001A7F1E">
        <w:rPr>
          <w:rFonts w:cs="Arial"/>
        </w:rPr>
        <w:t>significant risks and how we plan to manage them to minimise the potential impacts to customers and prices.</w:t>
      </w:r>
    </w:p>
    <w:tbl>
      <w:tblPr>
        <w:tblStyle w:val="Tealheader-Grayrows1"/>
        <w:tblW w:w="9781" w:type="dxa"/>
        <w:tblLook w:val="04A0" w:firstRow="1" w:lastRow="0" w:firstColumn="1" w:lastColumn="0" w:noHBand="0" w:noVBand="1"/>
      </w:tblPr>
      <w:tblGrid>
        <w:gridCol w:w="1560"/>
        <w:gridCol w:w="8221"/>
      </w:tblGrid>
      <w:tr w:rsidR="00404FF6" w:rsidRPr="00192F41" w14:paraId="1A9FBF56" w14:textId="77777777" w:rsidTr="00B41EA4">
        <w:trPr>
          <w:cnfStyle w:val="100000000000" w:firstRow="1" w:lastRow="0" w:firstColumn="0" w:lastColumn="0" w:oddVBand="0" w:evenVBand="0" w:oddHBand="0" w:evenHBand="0" w:firstRowFirstColumn="0" w:firstRowLastColumn="0" w:lastRowFirstColumn="0" w:lastRowLastColumn="0"/>
        </w:trPr>
        <w:tc>
          <w:tcPr>
            <w:tcW w:w="1560" w:type="dxa"/>
          </w:tcPr>
          <w:p w14:paraId="116F6CD4" w14:textId="77777777" w:rsidR="00404FF6" w:rsidRPr="002650CA" w:rsidRDefault="00404FF6" w:rsidP="0087003B">
            <w:pPr>
              <w:spacing w:before="40" w:after="40"/>
              <w:rPr>
                <w:rFonts w:cs="Arial"/>
                <w:sz w:val="20"/>
                <w:szCs w:val="20"/>
              </w:rPr>
            </w:pPr>
            <w:r w:rsidRPr="002650CA">
              <w:rPr>
                <w:rFonts w:cs="Arial"/>
                <w:sz w:val="20"/>
                <w:szCs w:val="20"/>
              </w:rPr>
              <w:t>Risk</w:t>
            </w:r>
          </w:p>
        </w:tc>
        <w:tc>
          <w:tcPr>
            <w:tcW w:w="8221" w:type="dxa"/>
          </w:tcPr>
          <w:p w14:paraId="7AAEAFEB" w14:textId="1861C2B8" w:rsidR="00404FF6" w:rsidRPr="002650CA" w:rsidRDefault="00404FF6" w:rsidP="0087003B">
            <w:pPr>
              <w:tabs>
                <w:tab w:val="left" w:pos="2920"/>
              </w:tabs>
              <w:spacing w:before="40" w:after="40"/>
              <w:rPr>
                <w:rFonts w:cs="Arial"/>
                <w:sz w:val="20"/>
                <w:szCs w:val="20"/>
              </w:rPr>
            </w:pPr>
            <w:r w:rsidRPr="002650CA">
              <w:rPr>
                <w:rFonts w:cs="Arial"/>
                <w:sz w:val="20"/>
                <w:szCs w:val="20"/>
              </w:rPr>
              <w:t>Distribution failure</w:t>
            </w:r>
          </w:p>
        </w:tc>
      </w:tr>
      <w:tr w:rsidR="00404FF6" w:rsidRPr="00192F41" w14:paraId="0C4773F3" w14:textId="77777777" w:rsidTr="00B41EA4">
        <w:trPr>
          <w:cnfStyle w:val="000000100000" w:firstRow="0" w:lastRow="0" w:firstColumn="0" w:lastColumn="0" w:oddVBand="0" w:evenVBand="0" w:oddHBand="1" w:evenHBand="0" w:firstRowFirstColumn="0" w:firstRowLastColumn="0" w:lastRowFirstColumn="0" w:lastRowLastColumn="0"/>
        </w:trPr>
        <w:tc>
          <w:tcPr>
            <w:tcW w:w="1560" w:type="dxa"/>
          </w:tcPr>
          <w:p w14:paraId="7D7C0E8B" w14:textId="77777777" w:rsidR="00404FF6" w:rsidRPr="00C314B0" w:rsidRDefault="00404FF6" w:rsidP="0087003B">
            <w:pPr>
              <w:spacing w:before="40" w:after="40"/>
              <w:rPr>
                <w:rFonts w:cs="Arial"/>
                <w:color w:val="000000" w:themeColor="text1"/>
                <w:sz w:val="20"/>
                <w:szCs w:val="20"/>
              </w:rPr>
            </w:pPr>
            <w:r w:rsidRPr="00C314B0">
              <w:rPr>
                <w:rFonts w:cs="Arial"/>
                <w:color w:val="000000" w:themeColor="text1"/>
                <w:sz w:val="20"/>
                <w:szCs w:val="20"/>
              </w:rPr>
              <w:t>The risk</w:t>
            </w:r>
          </w:p>
        </w:tc>
        <w:tc>
          <w:tcPr>
            <w:tcW w:w="8221" w:type="dxa"/>
          </w:tcPr>
          <w:p w14:paraId="1B46F591" w14:textId="20BBAD3D" w:rsidR="00404FF6" w:rsidRPr="00192F41" w:rsidRDefault="00404FF6" w:rsidP="00A0333E">
            <w:pPr>
              <w:spacing w:before="40" w:after="40"/>
              <w:ind w:right="115"/>
              <w:jc w:val="both"/>
              <w:rPr>
                <w:rFonts w:cs="Arial"/>
                <w:sz w:val="20"/>
                <w:szCs w:val="20"/>
              </w:rPr>
            </w:pPr>
            <w:r w:rsidRPr="00192F41">
              <w:rPr>
                <w:rFonts w:cs="Arial"/>
                <w:sz w:val="20"/>
                <w:szCs w:val="20"/>
              </w:rPr>
              <w:t>SRW operates an extensive network of pipes, channels</w:t>
            </w:r>
            <w:r w:rsidR="000E4B8D" w:rsidRPr="00F82275">
              <w:rPr>
                <w:rFonts w:cs="Arial"/>
                <w:sz w:val="20"/>
                <w:szCs w:val="20"/>
              </w:rPr>
              <w:t>,</w:t>
            </w:r>
            <w:r w:rsidRPr="00192F41">
              <w:rPr>
                <w:rFonts w:cs="Arial"/>
                <w:sz w:val="20"/>
                <w:szCs w:val="20"/>
              </w:rPr>
              <w:t xml:space="preserve"> and pumps to supply water to customers. While we have been undertaking an extensive modernisation program, we are still managing an aging asset portfolio that is prone to failure.</w:t>
            </w:r>
          </w:p>
        </w:tc>
      </w:tr>
      <w:tr w:rsidR="00404FF6" w:rsidRPr="00192F41" w14:paraId="3E313A1F" w14:textId="77777777" w:rsidTr="00B41EA4">
        <w:tc>
          <w:tcPr>
            <w:tcW w:w="1560" w:type="dxa"/>
          </w:tcPr>
          <w:p w14:paraId="2C37F491" w14:textId="77777777" w:rsidR="00404FF6" w:rsidRPr="00C314B0" w:rsidRDefault="00404FF6" w:rsidP="0087003B">
            <w:pPr>
              <w:spacing w:before="40" w:after="40"/>
              <w:rPr>
                <w:rFonts w:cs="Arial"/>
                <w:color w:val="000000" w:themeColor="text1"/>
                <w:sz w:val="20"/>
                <w:szCs w:val="20"/>
              </w:rPr>
            </w:pPr>
            <w:r w:rsidRPr="00C314B0">
              <w:rPr>
                <w:rFonts w:cs="Arial"/>
                <w:color w:val="000000" w:themeColor="text1"/>
                <w:sz w:val="20"/>
                <w:szCs w:val="20"/>
              </w:rPr>
              <w:t>Controls and mitigation</w:t>
            </w:r>
          </w:p>
        </w:tc>
        <w:tc>
          <w:tcPr>
            <w:tcW w:w="8221" w:type="dxa"/>
          </w:tcPr>
          <w:p w14:paraId="79AE167F" w14:textId="21FC90DF" w:rsidR="00404FF6" w:rsidRPr="00E70CBE" w:rsidRDefault="00404FF6" w:rsidP="00A0333E">
            <w:pPr>
              <w:pStyle w:val="Bulletpointparagraph"/>
              <w:spacing w:before="40" w:after="40"/>
              <w:ind w:left="360" w:right="115"/>
              <w:jc w:val="both"/>
              <w:rPr>
                <w:rFonts w:cs="Arial"/>
                <w:sz w:val="20"/>
                <w:szCs w:val="20"/>
              </w:rPr>
            </w:pPr>
            <w:r w:rsidRPr="00FF3CA0">
              <w:rPr>
                <w:rFonts w:cs="Arial"/>
                <w:sz w:val="20"/>
                <w:szCs w:val="20"/>
              </w:rPr>
              <w:t>We have forecast $</w:t>
            </w:r>
            <w:r w:rsidR="000D011B" w:rsidRPr="00FF3CA0">
              <w:rPr>
                <w:rFonts w:cs="Arial"/>
                <w:sz w:val="20"/>
                <w:szCs w:val="20"/>
              </w:rPr>
              <w:t>7</w:t>
            </w:r>
            <w:r w:rsidR="00264868">
              <w:rPr>
                <w:rFonts w:cs="Arial"/>
                <w:sz w:val="20"/>
                <w:szCs w:val="20"/>
              </w:rPr>
              <w:t>1</w:t>
            </w:r>
            <w:r w:rsidR="001A7F1E">
              <w:rPr>
                <w:rFonts w:cs="Arial"/>
                <w:sz w:val="20"/>
                <w:szCs w:val="20"/>
              </w:rPr>
              <w:t xml:space="preserve"> </w:t>
            </w:r>
            <w:r w:rsidR="00142C85" w:rsidRPr="00FF3CA0">
              <w:rPr>
                <w:rFonts w:cs="Arial"/>
                <w:sz w:val="20"/>
                <w:szCs w:val="20"/>
              </w:rPr>
              <w:t>m</w:t>
            </w:r>
            <w:r w:rsidR="001A7F1E">
              <w:rPr>
                <w:rFonts w:cs="Arial"/>
                <w:sz w:val="20"/>
                <w:szCs w:val="20"/>
              </w:rPr>
              <w:t>illion</w:t>
            </w:r>
            <w:r w:rsidRPr="00FF3CA0">
              <w:rPr>
                <w:rFonts w:cs="Arial"/>
                <w:sz w:val="20"/>
                <w:szCs w:val="20"/>
              </w:rPr>
              <w:t xml:space="preserve"> in renewal </w:t>
            </w:r>
            <w:r w:rsidR="16FA76D8" w:rsidRPr="6B20A4EE">
              <w:rPr>
                <w:rFonts w:cs="Arial"/>
                <w:sz w:val="20"/>
                <w:szCs w:val="20"/>
              </w:rPr>
              <w:t xml:space="preserve">capital expenditure </w:t>
            </w:r>
            <w:r w:rsidRPr="00FF3CA0">
              <w:rPr>
                <w:rFonts w:cs="Arial"/>
                <w:sz w:val="20"/>
                <w:szCs w:val="20"/>
              </w:rPr>
              <w:t>budget (see Section 8).</w:t>
            </w:r>
          </w:p>
          <w:p w14:paraId="26A1EC57" w14:textId="24E8606E" w:rsidR="00404FF6" w:rsidRPr="00192F41" w:rsidRDefault="00404FF6" w:rsidP="00A0333E">
            <w:pPr>
              <w:pStyle w:val="Bulletpointparagraph"/>
              <w:spacing w:before="40" w:after="40"/>
              <w:ind w:left="360" w:right="115"/>
              <w:jc w:val="both"/>
              <w:rPr>
                <w:rFonts w:cs="Arial"/>
                <w:sz w:val="20"/>
                <w:szCs w:val="20"/>
              </w:rPr>
            </w:pPr>
            <w:r w:rsidRPr="00192F41">
              <w:rPr>
                <w:rFonts w:cs="Arial"/>
                <w:sz w:val="20"/>
                <w:szCs w:val="20"/>
              </w:rPr>
              <w:t xml:space="preserve">The allocation is based on our Asset Management System </w:t>
            </w:r>
            <w:r w:rsidR="008B67C5">
              <w:rPr>
                <w:rFonts w:cs="Arial"/>
                <w:sz w:val="20"/>
                <w:szCs w:val="20"/>
              </w:rPr>
              <w:t>(AMS)</w:t>
            </w:r>
            <w:r w:rsidRPr="00192F41">
              <w:rPr>
                <w:rFonts w:cs="Arial"/>
                <w:sz w:val="20"/>
                <w:szCs w:val="20"/>
              </w:rPr>
              <w:t xml:space="preserve"> having regard to asset age, type, conditions, life expectancy and criticality.</w:t>
            </w:r>
          </w:p>
          <w:p w14:paraId="2CF49628" w14:textId="1DC5F7F4" w:rsidR="00404FF6" w:rsidRPr="00192F41" w:rsidRDefault="00404FF6" w:rsidP="00A0333E">
            <w:pPr>
              <w:pStyle w:val="Bulletpointparagraph"/>
              <w:spacing w:before="40" w:after="40"/>
              <w:ind w:left="360" w:right="115"/>
              <w:jc w:val="both"/>
              <w:rPr>
                <w:rFonts w:cs="Arial"/>
                <w:sz w:val="20"/>
                <w:szCs w:val="20"/>
              </w:rPr>
            </w:pPr>
            <w:r w:rsidRPr="00192F41">
              <w:rPr>
                <w:rFonts w:cs="Arial"/>
                <w:sz w:val="20"/>
                <w:szCs w:val="20"/>
              </w:rPr>
              <w:t>AMS is compliant with Asset Management Accountability Framework set by government.</w:t>
            </w:r>
          </w:p>
        </w:tc>
      </w:tr>
      <w:tr w:rsidR="00404FF6" w:rsidRPr="00192F41" w14:paraId="61890703" w14:textId="77777777" w:rsidTr="00B41EA4">
        <w:trPr>
          <w:cnfStyle w:val="000000100000" w:firstRow="0" w:lastRow="0" w:firstColumn="0" w:lastColumn="0" w:oddVBand="0" w:evenVBand="0" w:oddHBand="1" w:evenHBand="0" w:firstRowFirstColumn="0" w:firstRowLastColumn="0" w:lastRowFirstColumn="0" w:lastRowLastColumn="0"/>
        </w:trPr>
        <w:tc>
          <w:tcPr>
            <w:tcW w:w="1560" w:type="dxa"/>
          </w:tcPr>
          <w:p w14:paraId="018F9CF2" w14:textId="77777777" w:rsidR="00404FF6" w:rsidRPr="00C314B0" w:rsidRDefault="00404FF6" w:rsidP="0087003B">
            <w:pPr>
              <w:spacing w:before="40" w:after="40"/>
              <w:rPr>
                <w:rFonts w:cs="Arial"/>
                <w:sz w:val="20"/>
                <w:szCs w:val="20"/>
              </w:rPr>
            </w:pPr>
            <w:r w:rsidRPr="00C314B0">
              <w:rPr>
                <w:rFonts w:cs="Arial"/>
                <w:sz w:val="20"/>
                <w:szCs w:val="20"/>
              </w:rPr>
              <w:t>Monitoring</w:t>
            </w:r>
          </w:p>
        </w:tc>
        <w:tc>
          <w:tcPr>
            <w:tcW w:w="8221" w:type="dxa"/>
          </w:tcPr>
          <w:p w14:paraId="7D848FAE" w14:textId="77777777" w:rsidR="00404FF6" w:rsidRPr="00192F41" w:rsidRDefault="00404FF6" w:rsidP="00A0333E">
            <w:pPr>
              <w:spacing w:before="40" w:after="40"/>
              <w:ind w:right="115"/>
              <w:jc w:val="both"/>
              <w:rPr>
                <w:rFonts w:cs="Arial"/>
                <w:sz w:val="20"/>
                <w:szCs w:val="20"/>
              </w:rPr>
            </w:pPr>
            <w:r w:rsidRPr="00192F41">
              <w:rPr>
                <w:rFonts w:cs="Arial"/>
                <w:sz w:val="20"/>
                <w:szCs w:val="20"/>
              </w:rPr>
              <w:t>Performance outcomes have been established to monitor the impact of failures on customers (see Section 6).</w:t>
            </w:r>
          </w:p>
        </w:tc>
      </w:tr>
      <w:tr w:rsidR="00404FF6" w:rsidRPr="00192F41" w14:paraId="568D3ABB" w14:textId="77777777" w:rsidTr="00B41EA4">
        <w:tc>
          <w:tcPr>
            <w:tcW w:w="1560" w:type="dxa"/>
          </w:tcPr>
          <w:p w14:paraId="60DEECC2" w14:textId="77777777" w:rsidR="00404FF6" w:rsidRPr="00C314B0" w:rsidRDefault="00404FF6" w:rsidP="0087003B">
            <w:pPr>
              <w:spacing w:before="40" w:after="40"/>
              <w:rPr>
                <w:rFonts w:cs="Arial"/>
                <w:sz w:val="20"/>
                <w:szCs w:val="20"/>
              </w:rPr>
            </w:pPr>
            <w:r w:rsidRPr="00C314B0">
              <w:rPr>
                <w:rFonts w:cs="Arial"/>
                <w:sz w:val="20"/>
                <w:szCs w:val="20"/>
              </w:rPr>
              <w:t>Risk allocation</w:t>
            </w:r>
          </w:p>
        </w:tc>
        <w:tc>
          <w:tcPr>
            <w:tcW w:w="8221" w:type="dxa"/>
          </w:tcPr>
          <w:p w14:paraId="632DB32E" w14:textId="43211C20" w:rsidR="00404FF6" w:rsidRPr="00192F41" w:rsidRDefault="005D2E0F" w:rsidP="00487DF7">
            <w:pPr>
              <w:spacing w:before="40" w:after="120"/>
              <w:ind w:right="115"/>
              <w:jc w:val="both"/>
              <w:rPr>
                <w:rFonts w:cs="Arial"/>
                <w:sz w:val="20"/>
                <w:szCs w:val="20"/>
              </w:rPr>
            </w:pPr>
            <w:r>
              <w:rPr>
                <w:rFonts w:cs="Arial"/>
                <w:sz w:val="20"/>
                <w:szCs w:val="20"/>
              </w:rPr>
              <w:t>SRW bears the risk of failure to our distribution network</w:t>
            </w:r>
            <w:r w:rsidR="00750E1F">
              <w:rPr>
                <w:rFonts w:cs="Arial"/>
                <w:sz w:val="20"/>
                <w:szCs w:val="20"/>
              </w:rPr>
              <w:t>, we set performance measures around supply outages</w:t>
            </w:r>
            <w:r>
              <w:rPr>
                <w:rFonts w:cs="Arial"/>
                <w:sz w:val="20"/>
                <w:szCs w:val="20"/>
              </w:rPr>
              <w:t>.</w:t>
            </w:r>
            <w:r w:rsidR="00750E1F">
              <w:rPr>
                <w:rFonts w:cs="Arial"/>
                <w:sz w:val="20"/>
                <w:szCs w:val="20"/>
              </w:rPr>
              <w:t xml:space="preserve"> In line with this, t</w:t>
            </w:r>
            <w:r w:rsidR="00404FF6" w:rsidRPr="00192F41">
              <w:rPr>
                <w:rFonts w:cs="Arial"/>
                <w:sz w:val="20"/>
                <w:szCs w:val="20"/>
              </w:rPr>
              <w:t>he renewals program has been extensively reviewed</w:t>
            </w:r>
            <w:r w:rsidR="460FA70D" w:rsidRPr="1CD7AE77">
              <w:rPr>
                <w:rFonts w:cs="Arial"/>
                <w:sz w:val="20"/>
                <w:szCs w:val="20"/>
              </w:rPr>
              <w:t>, with a focus on critical assets,</w:t>
            </w:r>
            <w:r w:rsidR="00404FF6" w:rsidRPr="00192F41">
              <w:rPr>
                <w:rFonts w:cs="Arial"/>
                <w:sz w:val="20"/>
                <w:szCs w:val="20"/>
              </w:rPr>
              <w:t xml:space="preserve"> to avoid the adoption of an overly conservative approach to renewal investment.</w:t>
            </w:r>
          </w:p>
          <w:p w14:paraId="6B3FCA58" w14:textId="77777777" w:rsidR="00404FF6" w:rsidRPr="00192F41" w:rsidRDefault="00404FF6" w:rsidP="00487DF7">
            <w:pPr>
              <w:spacing w:before="40" w:after="120"/>
              <w:ind w:right="115"/>
              <w:jc w:val="both"/>
              <w:rPr>
                <w:rFonts w:cs="Arial"/>
                <w:sz w:val="20"/>
                <w:szCs w:val="20"/>
              </w:rPr>
            </w:pPr>
            <w:r w:rsidRPr="003B1125">
              <w:rPr>
                <w:rFonts w:cs="Arial"/>
                <w:sz w:val="20"/>
                <w:szCs w:val="20"/>
              </w:rPr>
              <w:t>The program is well below depreciation levels reflecting</w:t>
            </w:r>
            <w:r w:rsidRPr="00192F41">
              <w:rPr>
                <w:rFonts w:cs="Arial"/>
                <w:sz w:val="20"/>
                <w:szCs w:val="20"/>
              </w:rPr>
              <w:t xml:space="preserve"> our ongoing commitment to get the most out of our assets and avoid premature replacement.</w:t>
            </w:r>
          </w:p>
          <w:p w14:paraId="09427B9F" w14:textId="50B5CC41" w:rsidR="00404FF6" w:rsidRPr="00192F41" w:rsidRDefault="00404FF6" w:rsidP="00487DF7">
            <w:pPr>
              <w:spacing w:before="40" w:after="40"/>
              <w:ind w:right="115"/>
              <w:jc w:val="both"/>
              <w:rPr>
                <w:rFonts w:cs="Arial"/>
                <w:sz w:val="20"/>
                <w:szCs w:val="20"/>
              </w:rPr>
            </w:pPr>
            <w:r w:rsidRPr="00192F41">
              <w:rPr>
                <w:rFonts w:cs="Arial"/>
                <w:sz w:val="20"/>
                <w:szCs w:val="20"/>
              </w:rPr>
              <w:t>The deterioration of assets takes time</w:t>
            </w:r>
            <w:r w:rsidR="00B32EE8" w:rsidRPr="00C314B0">
              <w:rPr>
                <w:rFonts w:cs="Arial"/>
                <w:bCs/>
                <w:sz w:val="20"/>
                <w:szCs w:val="20"/>
              </w:rPr>
              <w:t>,</w:t>
            </w:r>
            <w:r w:rsidRPr="00192F41">
              <w:rPr>
                <w:rFonts w:cs="Arial"/>
                <w:sz w:val="20"/>
                <w:szCs w:val="20"/>
              </w:rPr>
              <w:t xml:space="preserve"> </w:t>
            </w:r>
            <w:r w:rsidR="00B41EA4">
              <w:rPr>
                <w:rFonts w:cs="Arial"/>
                <w:sz w:val="20"/>
                <w:szCs w:val="20"/>
              </w:rPr>
              <w:t>so</w:t>
            </w:r>
            <w:r w:rsidRPr="00192F41">
              <w:rPr>
                <w:rFonts w:cs="Arial"/>
                <w:sz w:val="20"/>
                <w:szCs w:val="20"/>
              </w:rPr>
              <w:t xml:space="preserve"> we do not expect a sudden upsurge in failures</w:t>
            </w:r>
            <w:r w:rsidR="2AEDE9BE" w:rsidRPr="36FB2F9D">
              <w:rPr>
                <w:rFonts w:cs="Arial"/>
                <w:sz w:val="20"/>
                <w:szCs w:val="20"/>
              </w:rPr>
              <w:t>.</w:t>
            </w:r>
          </w:p>
        </w:tc>
      </w:tr>
      <w:tr w:rsidR="00404FF6" w:rsidRPr="00192F41" w14:paraId="2F78BEF6" w14:textId="77777777" w:rsidTr="00B41EA4">
        <w:trPr>
          <w:cnfStyle w:val="000000100000" w:firstRow="0" w:lastRow="0" w:firstColumn="0" w:lastColumn="0" w:oddVBand="0" w:evenVBand="0" w:oddHBand="1" w:evenHBand="0" w:firstRowFirstColumn="0" w:firstRowLastColumn="0" w:lastRowFirstColumn="0" w:lastRowLastColumn="0"/>
        </w:trPr>
        <w:tc>
          <w:tcPr>
            <w:tcW w:w="1560" w:type="dxa"/>
            <w:tcBorders>
              <w:bottom w:val="single" w:sz="4" w:space="0" w:color="auto"/>
            </w:tcBorders>
          </w:tcPr>
          <w:p w14:paraId="03130C14" w14:textId="77777777" w:rsidR="00404FF6" w:rsidRPr="00C314B0" w:rsidRDefault="00404FF6" w:rsidP="0087003B">
            <w:pPr>
              <w:spacing w:before="40" w:after="40"/>
              <w:rPr>
                <w:rFonts w:cs="Arial"/>
                <w:sz w:val="20"/>
                <w:szCs w:val="20"/>
              </w:rPr>
            </w:pPr>
            <w:r w:rsidRPr="00C314B0">
              <w:rPr>
                <w:rFonts w:cs="Arial"/>
                <w:sz w:val="20"/>
                <w:szCs w:val="20"/>
              </w:rPr>
              <w:t>Residual risk level</w:t>
            </w:r>
          </w:p>
        </w:tc>
        <w:tc>
          <w:tcPr>
            <w:tcW w:w="8221" w:type="dxa"/>
            <w:tcBorders>
              <w:bottom w:val="single" w:sz="4" w:space="0" w:color="auto"/>
            </w:tcBorders>
          </w:tcPr>
          <w:p w14:paraId="0CC2FD36" w14:textId="77777777" w:rsidR="00404FF6" w:rsidRPr="00192F41" w:rsidRDefault="00404FF6" w:rsidP="00A0333E">
            <w:pPr>
              <w:spacing w:before="40" w:after="40"/>
              <w:ind w:right="115"/>
              <w:jc w:val="both"/>
              <w:rPr>
                <w:rFonts w:cs="Arial"/>
                <w:sz w:val="20"/>
                <w:szCs w:val="20"/>
              </w:rPr>
            </w:pPr>
            <w:r w:rsidRPr="00192F41">
              <w:rPr>
                <w:rFonts w:cs="Arial"/>
                <w:sz w:val="20"/>
                <w:szCs w:val="20"/>
              </w:rPr>
              <w:t>Moderate risk given the aging nature of our infrastructure.</w:t>
            </w:r>
          </w:p>
        </w:tc>
      </w:tr>
    </w:tbl>
    <w:p w14:paraId="09306A94" w14:textId="4972BF68" w:rsidR="00782C5C" w:rsidRDefault="00782C5C" w:rsidP="00815788">
      <w:pPr>
        <w:rPr>
          <w:rStyle w:val="IntenseReference"/>
          <w:rFonts w:cs="Arial"/>
          <w:sz w:val="14"/>
          <w:szCs w:val="14"/>
        </w:rPr>
      </w:pPr>
    </w:p>
    <w:p w14:paraId="5225E2BB" w14:textId="77777777" w:rsidR="00782C5C" w:rsidRDefault="00782C5C">
      <w:pPr>
        <w:rPr>
          <w:rStyle w:val="IntenseReference"/>
          <w:rFonts w:cs="Arial"/>
          <w:sz w:val="14"/>
          <w:szCs w:val="14"/>
        </w:rPr>
      </w:pPr>
      <w:r>
        <w:rPr>
          <w:rStyle w:val="IntenseReference"/>
          <w:rFonts w:cs="Arial"/>
          <w:sz w:val="14"/>
          <w:szCs w:val="14"/>
        </w:rPr>
        <w:br w:type="page"/>
      </w:r>
    </w:p>
    <w:tbl>
      <w:tblPr>
        <w:tblStyle w:val="Tealheader-Grayrows1"/>
        <w:tblW w:w="9781" w:type="dxa"/>
        <w:tblLook w:val="04A0" w:firstRow="1" w:lastRow="0" w:firstColumn="1" w:lastColumn="0" w:noHBand="0" w:noVBand="1"/>
      </w:tblPr>
      <w:tblGrid>
        <w:gridCol w:w="1701"/>
        <w:gridCol w:w="8080"/>
      </w:tblGrid>
      <w:tr w:rsidR="00404FF6" w:rsidRPr="00192F41" w14:paraId="3450FC52" w14:textId="77777777" w:rsidTr="004F3B44">
        <w:trPr>
          <w:cnfStyle w:val="100000000000" w:firstRow="1" w:lastRow="0" w:firstColumn="0" w:lastColumn="0" w:oddVBand="0" w:evenVBand="0" w:oddHBand="0" w:evenHBand="0" w:firstRowFirstColumn="0" w:firstRowLastColumn="0" w:lastRowFirstColumn="0" w:lastRowLastColumn="0"/>
        </w:trPr>
        <w:tc>
          <w:tcPr>
            <w:tcW w:w="1701" w:type="dxa"/>
          </w:tcPr>
          <w:p w14:paraId="07CBC231" w14:textId="66FDE667" w:rsidR="00404FF6" w:rsidRPr="002650CA" w:rsidRDefault="00404FF6" w:rsidP="0087003B">
            <w:pPr>
              <w:spacing w:before="40" w:after="40"/>
              <w:rPr>
                <w:rFonts w:cs="Arial"/>
                <w:b w:val="0"/>
                <w:sz w:val="20"/>
                <w:szCs w:val="20"/>
              </w:rPr>
            </w:pPr>
            <w:r w:rsidRPr="002650CA">
              <w:rPr>
                <w:rFonts w:cs="Arial"/>
                <w:sz w:val="20"/>
                <w:szCs w:val="20"/>
              </w:rPr>
              <w:t>Risk</w:t>
            </w:r>
          </w:p>
        </w:tc>
        <w:tc>
          <w:tcPr>
            <w:tcW w:w="8080" w:type="dxa"/>
          </w:tcPr>
          <w:p w14:paraId="2EE5789D" w14:textId="77777777" w:rsidR="00404FF6" w:rsidRPr="002650CA" w:rsidRDefault="00404FF6" w:rsidP="0087003B">
            <w:pPr>
              <w:tabs>
                <w:tab w:val="left" w:pos="3290"/>
              </w:tabs>
              <w:spacing w:before="40" w:after="40"/>
              <w:rPr>
                <w:rFonts w:cs="Arial"/>
                <w:b w:val="0"/>
                <w:sz w:val="20"/>
                <w:szCs w:val="20"/>
              </w:rPr>
            </w:pPr>
            <w:r w:rsidRPr="002650CA">
              <w:rPr>
                <w:rFonts w:cs="Arial"/>
                <w:sz w:val="20"/>
                <w:szCs w:val="20"/>
              </w:rPr>
              <w:t>Water quality</w:t>
            </w:r>
          </w:p>
        </w:tc>
      </w:tr>
      <w:tr w:rsidR="00404FF6" w:rsidRPr="00192F41" w14:paraId="5687814D" w14:textId="77777777" w:rsidTr="004F3B44">
        <w:trPr>
          <w:cnfStyle w:val="000000100000" w:firstRow="0" w:lastRow="0" w:firstColumn="0" w:lastColumn="0" w:oddVBand="0" w:evenVBand="0" w:oddHBand="1" w:evenHBand="0" w:firstRowFirstColumn="0" w:firstRowLastColumn="0" w:lastRowFirstColumn="0" w:lastRowLastColumn="0"/>
          <w:trHeight w:val="1083"/>
        </w:trPr>
        <w:tc>
          <w:tcPr>
            <w:tcW w:w="1701" w:type="dxa"/>
          </w:tcPr>
          <w:p w14:paraId="21ECB51A" w14:textId="77777777" w:rsidR="00404FF6" w:rsidRPr="00A0333E" w:rsidRDefault="00404FF6" w:rsidP="0087003B">
            <w:pPr>
              <w:spacing w:before="40" w:after="40"/>
              <w:rPr>
                <w:rFonts w:cs="Arial"/>
                <w:color w:val="000000" w:themeColor="text1"/>
                <w:sz w:val="20"/>
                <w:szCs w:val="20"/>
              </w:rPr>
            </w:pPr>
            <w:r w:rsidRPr="00A0333E">
              <w:rPr>
                <w:rFonts w:cs="Arial"/>
                <w:color w:val="000000" w:themeColor="text1"/>
                <w:sz w:val="20"/>
                <w:szCs w:val="20"/>
              </w:rPr>
              <w:t>The risk</w:t>
            </w:r>
          </w:p>
        </w:tc>
        <w:tc>
          <w:tcPr>
            <w:tcW w:w="8080" w:type="dxa"/>
          </w:tcPr>
          <w:p w14:paraId="10EC5BB9" w14:textId="2C83BF66" w:rsidR="00404FF6" w:rsidRPr="00192F41" w:rsidRDefault="00404FF6" w:rsidP="00A0333E">
            <w:pPr>
              <w:spacing w:before="40" w:after="40"/>
              <w:ind w:right="115"/>
              <w:jc w:val="both"/>
              <w:rPr>
                <w:rFonts w:cs="Arial"/>
                <w:color w:val="000000" w:themeColor="text1"/>
                <w:sz w:val="20"/>
                <w:szCs w:val="20"/>
              </w:rPr>
            </w:pPr>
            <w:r w:rsidRPr="00192F41">
              <w:rPr>
                <w:rFonts w:cs="Arial"/>
                <w:color w:val="000000" w:themeColor="text1"/>
                <w:sz w:val="20"/>
                <w:szCs w:val="20"/>
              </w:rPr>
              <w:t>SRW provides raw water</w:t>
            </w:r>
            <w:r w:rsidR="003D4B02">
              <w:rPr>
                <w:rFonts w:cs="Arial"/>
                <w:color w:val="000000" w:themeColor="text1"/>
                <w:sz w:val="20"/>
                <w:szCs w:val="20"/>
              </w:rPr>
              <w:t>.</w:t>
            </w:r>
            <w:r w:rsidRPr="00192F41">
              <w:rPr>
                <w:rFonts w:cs="Arial"/>
                <w:color w:val="000000" w:themeColor="text1"/>
                <w:sz w:val="20"/>
                <w:szCs w:val="20"/>
              </w:rPr>
              <w:t xml:space="preserve"> </w:t>
            </w:r>
            <w:r w:rsidR="003D4B02">
              <w:rPr>
                <w:rFonts w:cs="Arial"/>
                <w:color w:val="000000" w:themeColor="text1"/>
                <w:sz w:val="20"/>
                <w:szCs w:val="20"/>
              </w:rPr>
              <w:t>I</w:t>
            </w:r>
            <w:r w:rsidRPr="00192F41">
              <w:rPr>
                <w:rFonts w:cs="Arial"/>
                <w:color w:val="000000" w:themeColor="text1"/>
                <w:sz w:val="20"/>
                <w:szCs w:val="20"/>
              </w:rPr>
              <w:t xml:space="preserve">t does not treat the water it manages or licences, nor does it </w:t>
            </w:r>
            <w:r w:rsidR="00B535F6">
              <w:rPr>
                <w:rFonts w:cs="Arial"/>
                <w:color w:val="000000" w:themeColor="text1"/>
                <w:sz w:val="20"/>
                <w:szCs w:val="20"/>
              </w:rPr>
              <w:t>guarantee water</w:t>
            </w:r>
            <w:r w:rsidRPr="00192F41">
              <w:rPr>
                <w:rFonts w:cs="Arial"/>
                <w:color w:val="000000" w:themeColor="text1"/>
                <w:sz w:val="20"/>
                <w:szCs w:val="20"/>
              </w:rPr>
              <w:t xml:space="preserve"> quality. It is up to customer</w:t>
            </w:r>
            <w:r w:rsidR="00895082">
              <w:rPr>
                <w:rFonts w:cs="Arial"/>
                <w:color w:val="000000" w:themeColor="text1"/>
                <w:sz w:val="20"/>
                <w:szCs w:val="20"/>
              </w:rPr>
              <w:t>s</w:t>
            </w:r>
            <w:r w:rsidRPr="00192F41">
              <w:rPr>
                <w:rFonts w:cs="Arial"/>
                <w:color w:val="000000" w:themeColor="text1"/>
                <w:sz w:val="20"/>
                <w:szCs w:val="20"/>
              </w:rPr>
              <w:t xml:space="preserve"> to determine whether the water is fit for purpose. </w:t>
            </w:r>
            <w:r w:rsidR="003D4B02">
              <w:rPr>
                <w:rFonts w:cs="Arial"/>
                <w:color w:val="000000" w:themeColor="text1"/>
                <w:sz w:val="20"/>
                <w:szCs w:val="20"/>
              </w:rPr>
              <w:t>However</w:t>
            </w:r>
            <w:r w:rsidR="0049049D">
              <w:rPr>
                <w:rFonts w:cs="Arial"/>
                <w:color w:val="000000" w:themeColor="text1"/>
                <w:sz w:val="20"/>
                <w:szCs w:val="20"/>
              </w:rPr>
              <w:t>,</w:t>
            </w:r>
            <w:r w:rsidRPr="00192F41">
              <w:rPr>
                <w:rFonts w:cs="Arial"/>
                <w:color w:val="000000" w:themeColor="text1"/>
                <w:sz w:val="20"/>
                <w:szCs w:val="20"/>
              </w:rPr>
              <w:t xml:space="preserve"> there are times when we </w:t>
            </w:r>
            <w:r w:rsidR="00C83427">
              <w:rPr>
                <w:rFonts w:cs="Arial"/>
                <w:color w:val="000000" w:themeColor="text1"/>
                <w:sz w:val="20"/>
                <w:szCs w:val="20"/>
              </w:rPr>
              <w:t xml:space="preserve">alert customers to water quality issues and rare occasions when we </w:t>
            </w:r>
            <w:r w:rsidRPr="00192F41">
              <w:rPr>
                <w:rFonts w:cs="Arial"/>
                <w:color w:val="000000" w:themeColor="text1"/>
                <w:sz w:val="20"/>
                <w:szCs w:val="20"/>
              </w:rPr>
              <w:t xml:space="preserve">suspend supply (e.g., high </w:t>
            </w:r>
            <w:r w:rsidR="00AB54ED">
              <w:rPr>
                <w:rFonts w:cs="Arial"/>
                <w:color w:val="000000" w:themeColor="text1"/>
                <w:sz w:val="20"/>
                <w:szCs w:val="20"/>
              </w:rPr>
              <w:t>b</w:t>
            </w:r>
            <w:r w:rsidR="00096C4A">
              <w:rPr>
                <w:rFonts w:cs="Arial"/>
                <w:color w:val="000000" w:themeColor="text1"/>
                <w:sz w:val="20"/>
                <w:szCs w:val="20"/>
              </w:rPr>
              <w:t xml:space="preserve">lue </w:t>
            </w:r>
            <w:r w:rsidR="00AB54ED">
              <w:rPr>
                <w:rFonts w:cs="Arial"/>
                <w:color w:val="000000" w:themeColor="text1"/>
                <w:sz w:val="20"/>
                <w:szCs w:val="20"/>
              </w:rPr>
              <w:t>g</w:t>
            </w:r>
            <w:r w:rsidR="00096C4A">
              <w:rPr>
                <w:rFonts w:cs="Arial"/>
                <w:color w:val="000000" w:themeColor="text1"/>
                <w:sz w:val="20"/>
                <w:szCs w:val="20"/>
              </w:rPr>
              <w:t xml:space="preserve">reen </w:t>
            </w:r>
            <w:r w:rsidR="00AB54ED">
              <w:rPr>
                <w:rFonts w:cs="Arial"/>
                <w:color w:val="000000" w:themeColor="text1"/>
                <w:sz w:val="20"/>
                <w:szCs w:val="20"/>
              </w:rPr>
              <w:t>a</w:t>
            </w:r>
            <w:r w:rsidR="00096C4A">
              <w:rPr>
                <w:rFonts w:cs="Arial"/>
                <w:color w:val="000000" w:themeColor="text1"/>
                <w:sz w:val="20"/>
                <w:szCs w:val="20"/>
              </w:rPr>
              <w:t>lgae</w:t>
            </w:r>
            <w:r w:rsidRPr="00192F41">
              <w:rPr>
                <w:rFonts w:cs="Arial"/>
                <w:color w:val="000000" w:themeColor="text1"/>
                <w:sz w:val="20"/>
                <w:szCs w:val="20"/>
              </w:rPr>
              <w:t xml:space="preserve"> levels, chemical spills</w:t>
            </w:r>
            <w:r w:rsidR="00E06EFD">
              <w:rPr>
                <w:rFonts w:cs="Arial"/>
                <w:color w:val="000000" w:themeColor="text1"/>
                <w:sz w:val="20"/>
                <w:szCs w:val="20"/>
              </w:rPr>
              <w:t>,</w:t>
            </w:r>
            <w:r w:rsidRPr="00192F41">
              <w:rPr>
                <w:rFonts w:cs="Arial"/>
                <w:color w:val="000000" w:themeColor="text1"/>
                <w:sz w:val="20"/>
                <w:szCs w:val="20"/>
              </w:rPr>
              <w:t xml:space="preserve"> and poor-quality recycled water from the Western Treatment Plant</w:t>
            </w:r>
            <w:r w:rsidR="00FB4988">
              <w:rPr>
                <w:rFonts w:cs="Arial"/>
                <w:color w:val="000000" w:themeColor="text1"/>
                <w:sz w:val="20"/>
                <w:szCs w:val="20"/>
              </w:rPr>
              <w:t xml:space="preserve"> (WTP)</w:t>
            </w:r>
            <w:r w:rsidR="000737E3">
              <w:rPr>
                <w:rFonts w:cs="Arial"/>
                <w:color w:val="000000" w:themeColor="text1"/>
                <w:sz w:val="20"/>
                <w:szCs w:val="20"/>
              </w:rPr>
              <w:t>)</w:t>
            </w:r>
          </w:p>
        </w:tc>
      </w:tr>
      <w:tr w:rsidR="00404FF6" w:rsidRPr="00192F41" w14:paraId="2D859427" w14:textId="77777777" w:rsidTr="004F3B44">
        <w:tc>
          <w:tcPr>
            <w:tcW w:w="1701" w:type="dxa"/>
          </w:tcPr>
          <w:p w14:paraId="2778508C" w14:textId="77777777" w:rsidR="00404FF6" w:rsidRPr="00A0333E" w:rsidRDefault="00404FF6" w:rsidP="0087003B">
            <w:pPr>
              <w:spacing w:before="40" w:after="40"/>
              <w:rPr>
                <w:rFonts w:cs="Arial"/>
                <w:color w:val="000000" w:themeColor="text1"/>
                <w:sz w:val="20"/>
                <w:szCs w:val="20"/>
              </w:rPr>
            </w:pPr>
            <w:r w:rsidRPr="00A0333E">
              <w:rPr>
                <w:rFonts w:cs="Arial"/>
                <w:color w:val="000000" w:themeColor="text1"/>
                <w:sz w:val="20"/>
                <w:szCs w:val="20"/>
              </w:rPr>
              <w:t>Controls and mitigation</w:t>
            </w:r>
          </w:p>
        </w:tc>
        <w:tc>
          <w:tcPr>
            <w:tcW w:w="8080" w:type="dxa"/>
          </w:tcPr>
          <w:p w14:paraId="4DB6E213" w14:textId="52F3E980" w:rsidR="00404FF6" w:rsidRPr="00192F41" w:rsidRDefault="00404FF6" w:rsidP="00A0333E">
            <w:pPr>
              <w:pStyle w:val="Bulletpointparagraph"/>
              <w:spacing w:before="40" w:after="40"/>
              <w:ind w:left="360" w:right="115"/>
              <w:jc w:val="both"/>
              <w:rPr>
                <w:rFonts w:cs="Arial"/>
                <w:sz w:val="20"/>
                <w:szCs w:val="20"/>
              </w:rPr>
            </w:pPr>
            <w:r w:rsidRPr="00192F41">
              <w:rPr>
                <w:rFonts w:cs="Arial"/>
                <w:sz w:val="20"/>
                <w:szCs w:val="20"/>
              </w:rPr>
              <w:t xml:space="preserve">Safe drinking water and </w:t>
            </w:r>
            <w:r w:rsidR="00AB54ED">
              <w:rPr>
                <w:rFonts w:cs="Arial"/>
                <w:sz w:val="20"/>
                <w:szCs w:val="20"/>
              </w:rPr>
              <w:t>b</w:t>
            </w:r>
            <w:r w:rsidR="00096C4A">
              <w:rPr>
                <w:rFonts w:cs="Arial"/>
                <w:sz w:val="20"/>
                <w:szCs w:val="20"/>
              </w:rPr>
              <w:t xml:space="preserve">lue </w:t>
            </w:r>
            <w:r w:rsidR="00AB54ED">
              <w:rPr>
                <w:rFonts w:cs="Arial"/>
                <w:sz w:val="20"/>
                <w:szCs w:val="20"/>
              </w:rPr>
              <w:t>g</w:t>
            </w:r>
            <w:r w:rsidR="00096C4A">
              <w:rPr>
                <w:rFonts w:cs="Arial"/>
                <w:sz w:val="20"/>
                <w:szCs w:val="20"/>
              </w:rPr>
              <w:t xml:space="preserve">reen </w:t>
            </w:r>
            <w:r w:rsidR="00AB54ED">
              <w:rPr>
                <w:rFonts w:cs="Arial"/>
                <w:sz w:val="20"/>
                <w:szCs w:val="20"/>
              </w:rPr>
              <w:t>a</w:t>
            </w:r>
            <w:r w:rsidR="00096C4A">
              <w:rPr>
                <w:rFonts w:cs="Arial"/>
                <w:sz w:val="20"/>
                <w:szCs w:val="20"/>
              </w:rPr>
              <w:t>lgae</w:t>
            </w:r>
            <w:r w:rsidR="00E07EF7">
              <w:rPr>
                <w:rFonts w:cs="Arial"/>
                <w:sz w:val="20"/>
                <w:szCs w:val="20"/>
              </w:rPr>
              <w:t xml:space="preserve"> </w:t>
            </w:r>
            <w:r w:rsidRPr="00192F41">
              <w:rPr>
                <w:rFonts w:cs="Arial"/>
                <w:sz w:val="20"/>
                <w:szCs w:val="20"/>
              </w:rPr>
              <w:t>monitoring program.</w:t>
            </w:r>
          </w:p>
          <w:p w14:paraId="7C0BDD39" w14:textId="2C10870A" w:rsidR="00404FF6" w:rsidRPr="00192F41" w:rsidRDefault="00404FF6" w:rsidP="00A0333E">
            <w:pPr>
              <w:pStyle w:val="Bulletpointparagraph"/>
              <w:spacing w:before="40" w:after="40"/>
              <w:ind w:left="360" w:right="115"/>
              <w:jc w:val="both"/>
              <w:rPr>
                <w:rFonts w:cs="Arial"/>
                <w:sz w:val="20"/>
                <w:szCs w:val="20"/>
              </w:rPr>
            </w:pPr>
            <w:r w:rsidRPr="00192F41">
              <w:rPr>
                <w:rFonts w:cs="Arial"/>
                <w:sz w:val="20"/>
                <w:szCs w:val="20"/>
              </w:rPr>
              <w:t xml:space="preserve">Melbourne Water </w:t>
            </w:r>
            <w:r w:rsidRPr="19B4D80B">
              <w:rPr>
                <w:rFonts w:cs="Arial"/>
                <w:sz w:val="20"/>
                <w:szCs w:val="20"/>
              </w:rPr>
              <w:t xml:space="preserve">(MWC) </w:t>
            </w:r>
            <w:r w:rsidRPr="00192F41">
              <w:rPr>
                <w:rFonts w:cs="Arial"/>
                <w:sz w:val="20"/>
                <w:szCs w:val="20"/>
              </w:rPr>
              <w:t>monitors the quality of water from WTP and advises SRW and customers accordingly.</w:t>
            </w:r>
          </w:p>
          <w:p w14:paraId="6E32CA3E" w14:textId="020B34D7" w:rsidR="00404FF6" w:rsidRPr="00192F41" w:rsidRDefault="00404FF6" w:rsidP="00A0333E">
            <w:pPr>
              <w:pStyle w:val="Bulletpointparagraph"/>
              <w:spacing w:before="40" w:after="40"/>
              <w:ind w:left="360" w:right="115"/>
              <w:jc w:val="both"/>
              <w:rPr>
                <w:rFonts w:cs="Arial"/>
                <w:sz w:val="20"/>
                <w:szCs w:val="20"/>
              </w:rPr>
            </w:pPr>
            <w:r w:rsidRPr="19B4D80B">
              <w:rPr>
                <w:rFonts w:cs="Arial"/>
                <w:sz w:val="20"/>
                <w:szCs w:val="20"/>
              </w:rPr>
              <w:t xml:space="preserve">SRW has scheduled meetings with MWC to monitor water quality particularly </w:t>
            </w:r>
            <w:r w:rsidR="00AB54ED">
              <w:rPr>
                <w:rFonts w:cs="Arial"/>
                <w:sz w:val="20"/>
                <w:szCs w:val="20"/>
              </w:rPr>
              <w:t>blue green algae</w:t>
            </w:r>
            <w:r w:rsidRPr="19B4D80B">
              <w:rPr>
                <w:rFonts w:cs="Arial"/>
                <w:sz w:val="20"/>
                <w:szCs w:val="20"/>
              </w:rPr>
              <w:t xml:space="preserve"> from WTP and advocate </w:t>
            </w:r>
            <w:r w:rsidR="00E07EF7">
              <w:rPr>
                <w:rFonts w:cs="Arial"/>
                <w:sz w:val="20"/>
                <w:szCs w:val="20"/>
              </w:rPr>
              <w:t>for</w:t>
            </w:r>
            <w:r w:rsidRPr="19B4D80B">
              <w:rPr>
                <w:rFonts w:cs="Arial"/>
                <w:sz w:val="20"/>
                <w:szCs w:val="20"/>
              </w:rPr>
              <w:t xml:space="preserve"> customer</w:t>
            </w:r>
            <w:r w:rsidR="00E23A8E">
              <w:rPr>
                <w:rFonts w:cs="Arial"/>
                <w:sz w:val="20"/>
                <w:szCs w:val="20"/>
              </w:rPr>
              <w:t>s</w:t>
            </w:r>
            <w:r w:rsidRPr="19B4D80B">
              <w:rPr>
                <w:rFonts w:cs="Arial"/>
                <w:sz w:val="20"/>
                <w:szCs w:val="20"/>
              </w:rPr>
              <w:t xml:space="preserve"> </w:t>
            </w:r>
            <w:r w:rsidR="00E07EF7">
              <w:rPr>
                <w:rFonts w:cs="Arial"/>
                <w:sz w:val="20"/>
                <w:szCs w:val="20"/>
              </w:rPr>
              <w:t>where</w:t>
            </w:r>
            <w:r w:rsidRPr="19B4D80B">
              <w:rPr>
                <w:rFonts w:cs="Arial"/>
                <w:sz w:val="20"/>
                <w:szCs w:val="20"/>
              </w:rPr>
              <w:t xml:space="preserve"> they impact </w:t>
            </w:r>
            <w:r w:rsidR="00E07EF7">
              <w:rPr>
                <w:rFonts w:cs="Arial"/>
                <w:sz w:val="20"/>
                <w:szCs w:val="20"/>
              </w:rPr>
              <w:t xml:space="preserve">their </w:t>
            </w:r>
            <w:r w:rsidRPr="19B4D80B">
              <w:rPr>
                <w:rFonts w:cs="Arial"/>
                <w:sz w:val="20"/>
                <w:szCs w:val="20"/>
              </w:rPr>
              <w:t xml:space="preserve">business. </w:t>
            </w:r>
          </w:p>
        </w:tc>
      </w:tr>
      <w:tr w:rsidR="00404FF6" w:rsidRPr="00192F41" w14:paraId="728892C3" w14:textId="77777777" w:rsidTr="004F3B44">
        <w:trPr>
          <w:cnfStyle w:val="000000100000" w:firstRow="0" w:lastRow="0" w:firstColumn="0" w:lastColumn="0" w:oddVBand="0" w:evenVBand="0" w:oddHBand="1" w:evenHBand="0" w:firstRowFirstColumn="0" w:firstRowLastColumn="0" w:lastRowFirstColumn="0" w:lastRowLastColumn="0"/>
        </w:trPr>
        <w:tc>
          <w:tcPr>
            <w:tcW w:w="1701" w:type="dxa"/>
          </w:tcPr>
          <w:p w14:paraId="789157BC" w14:textId="77777777" w:rsidR="00404FF6" w:rsidRPr="00A0333E" w:rsidRDefault="00404FF6" w:rsidP="0087003B">
            <w:pPr>
              <w:spacing w:before="40" w:after="40"/>
              <w:rPr>
                <w:rFonts w:cs="Arial"/>
                <w:sz w:val="20"/>
                <w:szCs w:val="20"/>
              </w:rPr>
            </w:pPr>
            <w:bookmarkStart w:id="38" w:name="_Hlk108528691"/>
            <w:r w:rsidRPr="00A0333E">
              <w:rPr>
                <w:rFonts w:cs="Arial"/>
                <w:sz w:val="20"/>
                <w:szCs w:val="20"/>
              </w:rPr>
              <w:t>Monitoring</w:t>
            </w:r>
          </w:p>
        </w:tc>
        <w:tc>
          <w:tcPr>
            <w:tcW w:w="8080" w:type="dxa"/>
          </w:tcPr>
          <w:p w14:paraId="7ADFB0A5" w14:textId="77777777" w:rsidR="00404FF6" w:rsidRPr="00192F41" w:rsidRDefault="00404FF6" w:rsidP="00A0333E">
            <w:pPr>
              <w:spacing w:before="40" w:after="40"/>
              <w:ind w:right="115"/>
              <w:jc w:val="both"/>
              <w:rPr>
                <w:rFonts w:cs="Arial"/>
                <w:sz w:val="20"/>
                <w:szCs w:val="20"/>
              </w:rPr>
            </w:pPr>
            <w:r w:rsidRPr="00192F41">
              <w:rPr>
                <w:rFonts w:cs="Arial"/>
                <w:sz w:val="20"/>
                <w:szCs w:val="20"/>
              </w:rPr>
              <w:t>Performance outcomes have been established to monitor the impact of water quality on customers (see Section 6).</w:t>
            </w:r>
          </w:p>
        </w:tc>
      </w:tr>
      <w:bookmarkEnd w:id="38"/>
      <w:tr w:rsidR="00404FF6" w:rsidRPr="00192F41" w14:paraId="4B0B38D1" w14:textId="77777777" w:rsidTr="004F3B44">
        <w:tc>
          <w:tcPr>
            <w:tcW w:w="1701" w:type="dxa"/>
          </w:tcPr>
          <w:p w14:paraId="7C734789" w14:textId="77777777" w:rsidR="00404FF6" w:rsidRPr="00A0333E" w:rsidRDefault="00404FF6" w:rsidP="0087003B">
            <w:pPr>
              <w:spacing w:before="40" w:after="40"/>
              <w:rPr>
                <w:rFonts w:cs="Arial"/>
                <w:sz w:val="20"/>
                <w:szCs w:val="20"/>
              </w:rPr>
            </w:pPr>
            <w:r w:rsidRPr="00A0333E">
              <w:rPr>
                <w:rFonts w:cs="Arial"/>
                <w:sz w:val="20"/>
                <w:szCs w:val="20"/>
              </w:rPr>
              <w:t>Risk allocation</w:t>
            </w:r>
          </w:p>
        </w:tc>
        <w:tc>
          <w:tcPr>
            <w:tcW w:w="8080" w:type="dxa"/>
          </w:tcPr>
          <w:p w14:paraId="6F4548B1" w14:textId="1B3BFDAD" w:rsidR="00C83427" w:rsidRDefault="00404FF6" w:rsidP="00A0333E">
            <w:pPr>
              <w:spacing w:before="40" w:after="40"/>
              <w:ind w:right="115"/>
              <w:jc w:val="both"/>
              <w:rPr>
                <w:rFonts w:cs="Arial"/>
                <w:color w:val="000000" w:themeColor="text1"/>
                <w:sz w:val="20"/>
                <w:szCs w:val="20"/>
              </w:rPr>
            </w:pPr>
            <w:r w:rsidRPr="00AB335B">
              <w:rPr>
                <w:rFonts w:cs="Arial"/>
                <w:color w:val="000000" w:themeColor="text1"/>
                <w:sz w:val="20"/>
                <w:szCs w:val="20"/>
              </w:rPr>
              <w:t>Our</w:t>
            </w:r>
            <w:r w:rsidRPr="00192F41">
              <w:rPr>
                <w:rFonts w:cs="Arial"/>
                <w:color w:val="000000" w:themeColor="text1"/>
                <w:sz w:val="20"/>
                <w:szCs w:val="20"/>
              </w:rPr>
              <w:t xml:space="preserve"> customers </w:t>
            </w:r>
            <w:r w:rsidRPr="00AB335B">
              <w:rPr>
                <w:rFonts w:cs="Arial"/>
                <w:color w:val="000000" w:themeColor="text1"/>
                <w:sz w:val="20"/>
                <w:szCs w:val="20"/>
              </w:rPr>
              <w:t>bear</w:t>
            </w:r>
            <w:r w:rsidRPr="00192F41">
              <w:rPr>
                <w:rFonts w:cs="Arial"/>
                <w:color w:val="000000" w:themeColor="text1"/>
                <w:sz w:val="20"/>
                <w:szCs w:val="20"/>
              </w:rPr>
              <w:t xml:space="preserve"> the risk </w:t>
            </w:r>
            <w:r w:rsidR="00CB5FB7">
              <w:rPr>
                <w:rFonts w:cs="Arial"/>
                <w:color w:val="000000" w:themeColor="text1"/>
                <w:sz w:val="20"/>
                <w:szCs w:val="20"/>
              </w:rPr>
              <w:t>associated with</w:t>
            </w:r>
            <w:r w:rsidRPr="00192F41">
              <w:rPr>
                <w:rFonts w:cs="Arial"/>
                <w:color w:val="000000" w:themeColor="text1"/>
                <w:sz w:val="20"/>
                <w:szCs w:val="20"/>
              </w:rPr>
              <w:t xml:space="preserve"> suitable water</w:t>
            </w:r>
            <w:r w:rsidRPr="66FD0B53">
              <w:rPr>
                <w:rFonts w:cs="Arial"/>
                <w:color w:val="000000" w:themeColor="text1"/>
                <w:sz w:val="20"/>
                <w:szCs w:val="20"/>
              </w:rPr>
              <w:t xml:space="preserve"> quality</w:t>
            </w:r>
            <w:r w:rsidRPr="00192F41">
              <w:rPr>
                <w:rFonts w:cs="Arial"/>
                <w:color w:val="000000" w:themeColor="text1"/>
                <w:sz w:val="20"/>
                <w:szCs w:val="20"/>
              </w:rPr>
              <w:t xml:space="preserve">, although SRW </w:t>
            </w:r>
            <w:r w:rsidRPr="00AB335B">
              <w:rPr>
                <w:rFonts w:cs="Arial"/>
                <w:color w:val="000000" w:themeColor="text1"/>
                <w:sz w:val="20"/>
                <w:szCs w:val="20"/>
              </w:rPr>
              <w:t>seeks</w:t>
            </w:r>
            <w:r w:rsidRPr="00192F41">
              <w:rPr>
                <w:rFonts w:cs="Arial"/>
                <w:color w:val="000000" w:themeColor="text1"/>
                <w:sz w:val="20"/>
                <w:szCs w:val="20"/>
              </w:rPr>
              <w:t xml:space="preserve"> to mitigate the risk</w:t>
            </w:r>
            <w:r w:rsidR="00C83427">
              <w:rPr>
                <w:rFonts w:cs="Arial"/>
                <w:color w:val="000000" w:themeColor="text1"/>
                <w:sz w:val="20"/>
                <w:szCs w:val="20"/>
              </w:rPr>
              <w:t xml:space="preserve"> by:</w:t>
            </w:r>
          </w:p>
          <w:p w14:paraId="5D705895" w14:textId="032C2B29" w:rsidR="00C83427" w:rsidRPr="002727FE" w:rsidRDefault="00C83427" w:rsidP="00A0333E">
            <w:pPr>
              <w:pStyle w:val="Bulletpointparagraph"/>
              <w:spacing w:before="40" w:after="40"/>
              <w:ind w:left="360" w:right="115"/>
              <w:jc w:val="both"/>
              <w:rPr>
                <w:rFonts w:cs="Arial"/>
                <w:sz w:val="20"/>
                <w:szCs w:val="20"/>
              </w:rPr>
            </w:pPr>
            <w:r w:rsidRPr="002727FE">
              <w:rPr>
                <w:rFonts w:cs="Arial"/>
                <w:sz w:val="20"/>
                <w:szCs w:val="20"/>
              </w:rPr>
              <w:t xml:space="preserve">Providing </w:t>
            </w:r>
            <w:r w:rsidR="001854C9" w:rsidRPr="002727FE">
              <w:rPr>
                <w:rFonts w:cs="Arial"/>
                <w:sz w:val="20"/>
                <w:szCs w:val="20"/>
              </w:rPr>
              <w:t xml:space="preserve">readily available </w:t>
            </w:r>
            <w:r w:rsidRPr="002727FE">
              <w:rPr>
                <w:rFonts w:cs="Arial"/>
                <w:sz w:val="20"/>
                <w:szCs w:val="20"/>
              </w:rPr>
              <w:t>customer information</w:t>
            </w:r>
            <w:r w:rsidRPr="002727FE" w:rsidDel="00C83427">
              <w:rPr>
                <w:rFonts w:cs="Arial"/>
                <w:sz w:val="20"/>
                <w:szCs w:val="20"/>
              </w:rPr>
              <w:t xml:space="preserve"> </w:t>
            </w:r>
            <w:r w:rsidRPr="002727FE">
              <w:rPr>
                <w:rFonts w:cs="Arial"/>
                <w:sz w:val="20"/>
                <w:szCs w:val="20"/>
              </w:rPr>
              <w:t>regarding the nature of the water quality risk within their service area</w:t>
            </w:r>
            <w:r w:rsidR="00EB051E" w:rsidRPr="002727FE">
              <w:rPr>
                <w:rFonts w:cs="Arial"/>
                <w:sz w:val="20"/>
                <w:szCs w:val="20"/>
              </w:rPr>
              <w:t>.</w:t>
            </w:r>
          </w:p>
          <w:p w14:paraId="02EF9649" w14:textId="50806CCE" w:rsidR="00C83427" w:rsidRPr="002727FE" w:rsidRDefault="00C83427" w:rsidP="00A0333E">
            <w:pPr>
              <w:pStyle w:val="Bulletpointparagraph"/>
              <w:spacing w:before="40" w:after="40"/>
              <w:ind w:left="360" w:right="115"/>
              <w:jc w:val="both"/>
              <w:rPr>
                <w:rFonts w:cs="Arial"/>
                <w:sz w:val="20"/>
                <w:szCs w:val="20"/>
              </w:rPr>
            </w:pPr>
            <w:r w:rsidRPr="002727FE">
              <w:rPr>
                <w:rFonts w:cs="Arial"/>
                <w:sz w:val="20"/>
                <w:szCs w:val="20"/>
              </w:rPr>
              <w:t>Water quality monitoring systems including blue green algae monitoring program</w:t>
            </w:r>
            <w:r w:rsidR="00EB051E" w:rsidRPr="002727FE">
              <w:rPr>
                <w:rFonts w:cs="Arial"/>
                <w:sz w:val="20"/>
                <w:szCs w:val="20"/>
              </w:rPr>
              <w:t>.</w:t>
            </w:r>
          </w:p>
          <w:p w14:paraId="398C00E6" w14:textId="2BA80121" w:rsidR="00404FF6" w:rsidRPr="00AB335B" w:rsidRDefault="00C83427" w:rsidP="00A0333E">
            <w:pPr>
              <w:pStyle w:val="Bulletpointparagraph"/>
              <w:spacing w:before="40" w:after="40"/>
              <w:ind w:left="360" w:right="115"/>
              <w:jc w:val="both"/>
              <w:rPr>
                <w:color w:val="FF0000"/>
                <w:sz w:val="20"/>
                <w:szCs w:val="20"/>
              </w:rPr>
            </w:pPr>
            <w:r w:rsidRPr="002727FE">
              <w:rPr>
                <w:rFonts w:cs="Arial"/>
                <w:sz w:val="20"/>
                <w:szCs w:val="20"/>
              </w:rPr>
              <w:t>F</w:t>
            </w:r>
            <w:r w:rsidR="00404FF6" w:rsidRPr="002727FE">
              <w:rPr>
                <w:rFonts w:cs="Arial"/>
                <w:sz w:val="20"/>
                <w:szCs w:val="20"/>
              </w:rPr>
              <w:t xml:space="preserve">or recycled water </w:t>
            </w:r>
            <w:r w:rsidRPr="002727FE">
              <w:rPr>
                <w:rFonts w:cs="Arial"/>
                <w:sz w:val="20"/>
                <w:szCs w:val="20"/>
              </w:rPr>
              <w:t xml:space="preserve">customers in Werribee, SRW receives regular monitoring advice on water quality from MWC. A bulk water supply agreement is in place which sets out water quality </w:t>
            </w:r>
            <w:r w:rsidR="00094D74" w:rsidRPr="002727FE">
              <w:rPr>
                <w:rFonts w:cs="Arial"/>
                <w:sz w:val="20"/>
                <w:szCs w:val="20"/>
              </w:rPr>
              <w:t>Service Level Agreement (SLA)</w:t>
            </w:r>
            <w:r w:rsidRPr="002727FE">
              <w:rPr>
                <w:rFonts w:cs="Arial"/>
                <w:sz w:val="20"/>
                <w:szCs w:val="20"/>
              </w:rPr>
              <w:t xml:space="preserve">. Those water quality parameters that are not covered as an SLA (I.e. blue green algae, dicamba) form part of a notification process from MWC to SRW and </w:t>
            </w:r>
            <w:r w:rsidR="00094D74" w:rsidRPr="002727FE">
              <w:rPr>
                <w:rFonts w:cs="Arial"/>
                <w:sz w:val="20"/>
                <w:szCs w:val="20"/>
              </w:rPr>
              <w:t xml:space="preserve">are </w:t>
            </w:r>
            <w:r w:rsidRPr="002727FE">
              <w:rPr>
                <w:rFonts w:cs="Arial"/>
                <w:sz w:val="20"/>
                <w:szCs w:val="20"/>
              </w:rPr>
              <w:t>communicated to customers.</w:t>
            </w:r>
          </w:p>
        </w:tc>
      </w:tr>
      <w:tr w:rsidR="00404FF6" w:rsidRPr="00192F41" w14:paraId="3D74F811" w14:textId="77777777" w:rsidTr="004F3B44">
        <w:trPr>
          <w:cnfStyle w:val="000000100000" w:firstRow="0" w:lastRow="0" w:firstColumn="0" w:lastColumn="0" w:oddVBand="0" w:evenVBand="0" w:oddHBand="1" w:evenHBand="0" w:firstRowFirstColumn="0" w:firstRowLastColumn="0" w:lastRowFirstColumn="0" w:lastRowLastColumn="0"/>
        </w:trPr>
        <w:tc>
          <w:tcPr>
            <w:tcW w:w="1701" w:type="dxa"/>
            <w:tcBorders>
              <w:bottom w:val="single" w:sz="4" w:space="0" w:color="auto"/>
            </w:tcBorders>
          </w:tcPr>
          <w:p w14:paraId="088F8BC9" w14:textId="77777777" w:rsidR="00404FF6" w:rsidRPr="00A0333E" w:rsidRDefault="00404FF6" w:rsidP="0087003B">
            <w:pPr>
              <w:spacing w:before="40" w:after="40"/>
              <w:rPr>
                <w:rFonts w:cs="Arial"/>
                <w:color w:val="000000" w:themeColor="text1"/>
                <w:sz w:val="20"/>
                <w:szCs w:val="20"/>
              </w:rPr>
            </w:pPr>
            <w:r w:rsidRPr="00A0333E">
              <w:rPr>
                <w:rFonts w:cs="Arial"/>
                <w:color w:val="000000" w:themeColor="text1"/>
                <w:sz w:val="20"/>
                <w:szCs w:val="20"/>
              </w:rPr>
              <w:t>Residual risk level</w:t>
            </w:r>
          </w:p>
        </w:tc>
        <w:tc>
          <w:tcPr>
            <w:tcW w:w="8080" w:type="dxa"/>
            <w:tcBorders>
              <w:bottom w:val="single" w:sz="4" w:space="0" w:color="auto"/>
            </w:tcBorders>
          </w:tcPr>
          <w:p w14:paraId="05F25A0A" w14:textId="38F51A9D" w:rsidR="00404FF6" w:rsidRPr="00F82275" w:rsidRDefault="00404FF6" w:rsidP="00A0333E">
            <w:pPr>
              <w:spacing w:before="40" w:after="40" w:line="285" w:lineRule="exact"/>
              <w:ind w:right="115"/>
              <w:jc w:val="both"/>
              <w:rPr>
                <w:rFonts w:cs="Arial"/>
                <w:color w:val="000000" w:themeColor="text1"/>
                <w:sz w:val="20"/>
                <w:szCs w:val="20"/>
              </w:rPr>
            </w:pPr>
            <w:r w:rsidRPr="00192F41">
              <w:rPr>
                <w:rFonts w:cs="Arial"/>
                <w:color w:val="000000" w:themeColor="text1"/>
                <w:sz w:val="20"/>
                <w:szCs w:val="20"/>
              </w:rPr>
              <w:t>Moderate risk given that the frequency of events.</w:t>
            </w:r>
          </w:p>
        </w:tc>
      </w:tr>
    </w:tbl>
    <w:p w14:paraId="5B3CC232" w14:textId="0600E718" w:rsidR="00782C5C" w:rsidRDefault="00782C5C" w:rsidP="003F509B">
      <w:pPr>
        <w:rPr>
          <w:rStyle w:val="IntenseReference"/>
          <w:rFonts w:cs="Arial"/>
          <w:u w:val="single"/>
        </w:rPr>
      </w:pPr>
    </w:p>
    <w:p w14:paraId="6BAE2AFB" w14:textId="77777777" w:rsidR="00782C5C" w:rsidRDefault="00782C5C">
      <w:pPr>
        <w:rPr>
          <w:rStyle w:val="IntenseReference"/>
          <w:rFonts w:cs="Arial"/>
          <w:u w:val="single"/>
        </w:rPr>
      </w:pPr>
      <w:r>
        <w:rPr>
          <w:rStyle w:val="IntenseReference"/>
          <w:rFonts w:cs="Arial"/>
          <w:u w:val="single"/>
        </w:rPr>
        <w:br w:type="page"/>
      </w:r>
    </w:p>
    <w:tbl>
      <w:tblPr>
        <w:tblStyle w:val="Tealheader-Grayrows1"/>
        <w:tblW w:w="9781" w:type="dxa"/>
        <w:tblLook w:val="04A0" w:firstRow="1" w:lastRow="0" w:firstColumn="1" w:lastColumn="0" w:noHBand="0" w:noVBand="1"/>
      </w:tblPr>
      <w:tblGrid>
        <w:gridCol w:w="1843"/>
        <w:gridCol w:w="7938"/>
      </w:tblGrid>
      <w:tr w:rsidR="00404FF6" w:rsidRPr="00192F41" w14:paraId="7CECBF41"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44F2D872" w14:textId="77777777" w:rsidR="00404FF6" w:rsidRPr="002650CA" w:rsidRDefault="00404FF6" w:rsidP="0087003B">
            <w:pPr>
              <w:spacing w:before="40" w:after="40"/>
              <w:rPr>
                <w:rFonts w:cs="Arial"/>
                <w:b w:val="0"/>
                <w:sz w:val="20"/>
                <w:szCs w:val="20"/>
              </w:rPr>
            </w:pPr>
            <w:r w:rsidRPr="002650CA">
              <w:rPr>
                <w:rFonts w:cs="Arial"/>
                <w:sz w:val="20"/>
                <w:szCs w:val="20"/>
              </w:rPr>
              <w:t>Risk</w:t>
            </w:r>
          </w:p>
        </w:tc>
        <w:tc>
          <w:tcPr>
            <w:tcW w:w="7938" w:type="dxa"/>
          </w:tcPr>
          <w:p w14:paraId="336676EA" w14:textId="77777777" w:rsidR="00404FF6" w:rsidRPr="002650CA" w:rsidRDefault="00404FF6" w:rsidP="0087003B">
            <w:pPr>
              <w:spacing w:before="40" w:after="40"/>
              <w:rPr>
                <w:rFonts w:cs="Arial"/>
                <w:b w:val="0"/>
                <w:sz w:val="20"/>
                <w:szCs w:val="20"/>
              </w:rPr>
            </w:pPr>
            <w:r w:rsidRPr="002650CA">
              <w:rPr>
                <w:rFonts w:cs="Arial"/>
                <w:sz w:val="20"/>
                <w:szCs w:val="20"/>
              </w:rPr>
              <w:t>Climate change and natural disasters</w:t>
            </w:r>
          </w:p>
        </w:tc>
      </w:tr>
      <w:tr w:rsidR="00404FF6" w:rsidRPr="00192F41" w14:paraId="09C19068"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21720F0F" w14:textId="77777777" w:rsidR="00404FF6" w:rsidRPr="00A0333E" w:rsidRDefault="00404FF6" w:rsidP="0087003B">
            <w:pPr>
              <w:spacing w:before="40" w:after="40"/>
              <w:rPr>
                <w:rFonts w:cs="Arial"/>
                <w:color w:val="000000" w:themeColor="text1"/>
                <w:sz w:val="20"/>
                <w:szCs w:val="20"/>
              </w:rPr>
            </w:pPr>
            <w:r w:rsidRPr="00A0333E">
              <w:rPr>
                <w:rFonts w:cs="Arial"/>
                <w:color w:val="000000" w:themeColor="text1"/>
                <w:sz w:val="20"/>
                <w:szCs w:val="20"/>
              </w:rPr>
              <w:t>The risk</w:t>
            </w:r>
          </w:p>
        </w:tc>
        <w:tc>
          <w:tcPr>
            <w:tcW w:w="7938" w:type="dxa"/>
          </w:tcPr>
          <w:p w14:paraId="2FB88266" w14:textId="77777777" w:rsidR="00404FF6" w:rsidRPr="00192F41" w:rsidRDefault="00404FF6" w:rsidP="00487DF7">
            <w:pPr>
              <w:spacing w:before="40" w:after="120"/>
              <w:ind w:right="113"/>
              <w:rPr>
                <w:rFonts w:cs="Arial"/>
                <w:sz w:val="20"/>
                <w:szCs w:val="20"/>
              </w:rPr>
            </w:pPr>
            <w:r w:rsidRPr="00192F41">
              <w:rPr>
                <w:rFonts w:cs="Arial"/>
                <w:sz w:val="20"/>
                <w:szCs w:val="20"/>
              </w:rPr>
              <w:t xml:space="preserve">In recent decades Victoria’s climate has become warmer and drier and will continue to change. Climate projections indicate there will be a decline in annual rainfall, considerably more very hot days, longer fire seasons with an increase in very high fire danger days and more extreme rainfall and storm events. </w:t>
            </w:r>
          </w:p>
          <w:p w14:paraId="546F55A0" w14:textId="475A1E48" w:rsidR="00404FF6" w:rsidRPr="00192F41" w:rsidRDefault="00404FF6" w:rsidP="00487DF7">
            <w:pPr>
              <w:spacing w:before="40" w:after="120"/>
              <w:ind w:right="113"/>
              <w:jc w:val="both"/>
              <w:rPr>
                <w:rFonts w:cs="Arial"/>
                <w:sz w:val="20"/>
                <w:szCs w:val="20"/>
              </w:rPr>
            </w:pPr>
            <w:r w:rsidRPr="002A7877">
              <w:rPr>
                <w:rFonts w:cs="Arial"/>
                <w:sz w:val="20"/>
                <w:szCs w:val="20"/>
              </w:rPr>
              <w:t xml:space="preserve">Extreme weather poses one of the most significant risks to the water industry, with SRW susceptible to floods and fires that can impact service delivery and increase costs. For example, repairs to </w:t>
            </w:r>
            <w:r w:rsidR="00B6655C" w:rsidRPr="002A7877">
              <w:rPr>
                <w:rFonts w:cs="Arial"/>
                <w:sz w:val="20"/>
                <w:szCs w:val="20"/>
              </w:rPr>
              <w:t xml:space="preserve">infrastructure on the Thomson and Macalister rivers </w:t>
            </w:r>
            <w:r w:rsidRPr="002A7877">
              <w:rPr>
                <w:rFonts w:cs="Arial"/>
                <w:sz w:val="20"/>
                <w:szCs w:val="20"/>
              </w:rPr>
              <w:t>after the 2007 floods cost $</w:t>
            </w:r>
            <w:r w:rsidR="00B6655C" w:rsidRPr="002A7877">
              <w:rPr>
                <w:rFonts w:cs="Arial"/>
                <w:sz w:val="20"/>
                <w:szCs w:val="20"/>
              </w:rPr>
              <w:t>4.5</w:t>
            </w:r>
            <w:r w:rsidR="00E3440B">
              <w:rPr>
                <w:rFonts w:cs="Arial"/>
                <w:sz w:val="20"/>
                <w:szCs w:val="20"/>
              </w:rPr>
              <w:t xml:space="preserve"> </w:t>
            </w:r>
            <w:r w:rsidR="00B6655C" w:rsidRPr="002A7877">
              <w:rPr>
                <w:rFonts w:cs="Arial"/>
                <w:sz w:val="20"/>
                <w:szCs w:val="20"/>
              </w:rPr>
              <w:t>m</w:t>
            </w:r>
            <w:r w:rsidR="00E3440B">
              <w:rPr>
                <w:rFonts w:cs="Arial"/>
                <w:sz w:val="20"/>
                <w:szCs w:val="20"/>
              </w:rPr>
              <w:t>illion</w:t>
            </w:r>
            <w:r w:rsidR="001E779B">
              <w:rPr>
                <w:rFonts w:cs="Arial"/>
                <w:sz w:val="20"/>
                <w:szCs w:val="20"/>
              </w:rPr>
              <w:t xml:space="preserve"> </w:t>
            </w:r>
            <w:r w:rsidRPr="002A7877">
              <w:rPr>
                <w:rFonts w:cs="Arial"/>
                <w:sz w:val="20"/>
                <w:szCs w:val="20"/>
              </w:rPr>
              <w:t xml:space="preserve">while </w:t>
            </w:r>
            <w:r w:rsidR="00B6655C" w:rsidRPr="002A7877">
              <w:rPr>
                <w:rFonts w:cs="Arial"/>
                <w:sz w:val="20"/>
                <w:szCs w:val="20"/>
              </w:rPr>
              <w:t xml:space="preserve">the </w:t>
            </w:r>
            <w:r w:rsidRPr="002A7877">
              <w:rPr>
                <w:rFonts w:cs="Arial"/>
                <w:sz w:val="20"/>
                <w:szCs w:val="20"/>
              </w:rPr>
              <w:t xml:space="preserve">recent </w:t>
            </w:r>
            <w:r w:rsidR="00B6655C" w:rsidRPr="002A7877">
              <w:rPr>
                <w:rFonts w:cs="Arial"/>
                <w:sz w:val="20"/>
                <w:szCs w:val="20"/>
              </w:rPr>
              <w:t xml:space="preserve">Thomson </w:t>
            </w:r>
            <w:r w:rsidR="00060360" w:rsidRPr="002A7877">
              <w:rPr>
                <w:rFonts w:cs="Arial"/>
                <w:sz w:val="20"/>
                <w:szCs w:val="20"/>
              </w:rPr>
              <w:t>River</w:t>
            </w:r>
            <w:r w:rsidR="00B6655C" w:rsidRPr="002A7877">
              <w:rPr>
                <w:rFonts w:cs="Arial"/>
                <w:sz w:val="20"/>
                <w:szCs w:val="20"/>
              </w:rPr>
              <w:t xml:space="preserve"> </w:t>
            </w:r>
            <w:r w:rsidRPr="002A7877">
              <w:rPr>
                <w:rFonts w:cs="Arial"/>
                <w:sz w:val="20"/>
                <w:szCs w:val="20"/>
              </w:rPr>
              <w:t xml:space="preserve">flood </w:t>
            </w:r>
            <w:r w:rsidR="00B6655C" w:rsidRPr="002A7877">
              <w:rPr>
                <w:rFonts w:cs="Arial"/>
                <w:sz w:val="20"/>
                <w:szCs w:val="20"/>
              </w:rPr>
              <w:t xml:space="preserve">caused </w:t>
            </w:r>
            <w:r w:rsidRPr="002A7877">
              <w:rPr>
                <w:rFonts w:cs="Arial"/>
                <w:sz w:val="20"/>
                <w:szCs w:val="20"/>
              </w:rPr>
              <w:t xml:space="preserve">damage at Cowwarr </w:t>
            </w:r>
            <w:r w:rsidR="00B6655C" w:rsidRPr="002A7877">
              <w:rPr>
                <w:rFonts w:cs="Arial"/>
                <w:sz w:val="20"/>
                <w:szCs w:val="20"/>
              </w:rPr>
              <w:t xml:space="preserve">weir </w:t>
            </w:r>
            <w:r w:rsidRPr="002A7877">
              <w:rPr>
                <w:rFonts w:cs="Arial"/>
                <w:sz w:val="20"/>
                <w:szCs w:val="20"/>
              </w:rPr>
              <w:t>in the order of $</w:t>
            </w:r>
            <w:r w:rsidR="00B6655C" w:rsidRPr="002A7877">
              <w:rPr>
                <w:rFonts w:cs="Arial"/>
                <w:sz w:val="20"/>
                <w:szCs w:val="20"/>
              </w:rPr>
              <w:t>0.8</w:t>
            </w:r>
            <w:r w:rsidR="00E3440B">
              <w:rPr>
                <w:rFonts w:cs="Arial"/>
                <w:sz w:val="20"/>
                <w:szCs w:val="20"/>
              </w:rPr>
              <w:t xml:space="preserve"> </w:t>
            </w:r>
            <w:r w:rsidR="00F91293">
              <w:rPr>
                <w:rFonts w:cs="Arial"/>
                <w:sz w:val="20"/>
                <w:szCs w:val="20"/>
              </w:rPr>
              <w:t>m</w:t>
            </w:r>
            <w:r w:rsidR="00E3440B">
              <w:rPr>
                <w:rFonts w:cs="Arial"/>
                <w:sz w:val="20"/>
                <w:szCs w:val="20"/>
              </w:rPr>
              <w:t>illion</w:t>
            </w:r>
            <w:r w:rsidRPr="002A7877">
              <w:rPr>
                <w:rFonts w:cs="Arial"/>
                <w:sz w:val="20"/>
                <w:szCs w:val="20"/>
              </w:rPr>
              <w:t>).</w:t>
            </w:r>
          </w:p>
          <w:p w14:paraId="4E34BB68" w14:textId="358DD32F" w:rsidR="00404FF6" w:rsidRPr="00192F41" w:rsidRDefault="00404FF6" w:rsidP="00487DF7">
            <w:pPr>
              <w:spacing w:before="40" w:after="120"/>
              <w:ind w:right="113"/>
              <w:rPr>
                <w:rFonts w:cs="Arial"/>
                <w:sz w:val="20"/>
                <w:szCs w:val="20"/>
              </w:rPr>
            </w:pPr>
            <w:r w:rsidRPr="00192F41">
              <w:rPr>
                <w:rFonts w:cs="Arial"/>
                <w:sz w:val="20"/>
                <w:szCs w:val="20"/>
              </w:rPr>
              <w:t>On top of this</w:t>
            </w:r>
            <w:r w:rsidR="00E3440B">
              <w:rPr>
                <w:rFonts w:cs="Arial"/>
                <w:sz w:val="20"/>
                <w:szCs w:val="20"/>
              </w:rPr>
              <w:t>,</w:t>
            </w:r>
            <w:r w:rsidRPr="00192F41">
              <w:rPr>
                <w:rFonts w:cs="Arial"/>
                <w:sz w:val="20"/>
                <w:szCs w:val="20"/>
              </w:rPr>
              <w:t xml:space="preserve"> there is the potential for earthquakes and other natural disasters.</w:t>
            </w:r>
          </w:p>
          <w:p w14:paraId="1CF91FF5" w14:textId="17F5C6DC" w:rsidR="00BD3745" w:rsidRDefault="00404FF6" w:rsidP="00487DF7">
            <w:pPr>
              <w:spacing w:before="40" w:after="120"/>
              <w:ind w:right="113"/>
              <w:rPr>
                <w:rFonts w:cs="Arial"/>
                <w:sz w:val="20"/>
                <w:szCs w:val="20"/>
              </w:rPr>
            </w:pPr>
            <w:r w:rsidRPr="00192F41">
              <w:rPr>
                <w:rFonts w:cs="Arial"/>
                <w:sz w:val="20"/>
                <w:szCs w:val="20"/>
              </w:rPr>
              <w:t xml:space="preserve">The Royal Commission into National Natural Disasters (2020) highlights natural hazards have already increased and intensified. We could expect at least one such event during the regulatory period. </w:t>
            </w:r>
            <w:r w:rsidR="00BD3745">
              <w:rPr>
                <w:rFonts w:cs="Arial"/>
                <w:sz w:val="20"/>
                <w:szCs w:val="20"/>
              </w:rPr>
              <w:t>While SRW did receive state government disaster relief for recent damage at Cowwarr weir, h</w:t>
            </w:r>
            <w:r w:rsidRPr="00F82275">
              <w:rPr>
                <w:rFonts w:cs="Arial"/>
                <w:sz w:val="20"/>
                <w:szCs w:val="20"/>
              </w:rPr>
              <w:t xml:space="preserve">istorically </w:t>
            </w:r>
            <w:r w:rsidR="00BD3745">
              <w:rPr>
                <w:rFonts w:cs="Arial"/>
                <w:sz w:val="20"/>
                <w:szCs w:val="20"/>
              </w:rPr>
              <w:t xml:space="preserve">SRW accepts these risks and seeks to manage the resulting financial costs </w:t>
            </w:r>
            <w:r w:rsidR="006F1EF5">
              <w:rPr>
                <w:rFonts w:cs="Arial"/>
                <w:sz w:val="20"/>
                <w:szCs w:val="20"/>
              </w:rPr>
              <w:t>by reviewing and reprioritising expenditure.</w:t>
            </w:r>
            <w:r w:rsidR="00BD3745">
              <w:rPr>
                <w:rFonts w:cs="Arial"/>
                <w:sz w:val="20"/>
                <w:szCs w:val="20"/>
              </w:rPr>
              <w:t xml:space="preserve"> </w:t>
            </w:r>
          </w:p>
          <w:p w14:paraId="58066E47" w14:textId="4F5BEB6F" w:rsidR="00404FF6" w:rsidRPr="00192F41" w:rsidRDefault="00BD3745" w:rsidP="00487DF7">
            <w:pPr>
              <w:spacing w:before="40" w:after="120"/>
              <w:ind w:right="113"/>
              <w:rPr>
                <w:rFonts w:cs="Arial"/>
                <w:sz w:val="20"/>
                <w:szCs w:val="20"/>
              </w:rPr>
            </w:pPr>
            <w:r>
              <w:rPr>
                <w:rFonts w:cs="Arial"/>
                <w:sz w:val="20"/>
                <w:szCs w:val="20"/>
              </w:rPr>
              <w:t>In the event of a catastrophic natural disaster, we would expect government disaster relief for any uninsurable costs.</w:t>
            </w:r>
          </w:p>
        </w:tc>
      </w:tr>
      <w:tr w:rsidR="00404FF6" w:rsidRPr="00192F41" w14:paraId="6560DC1B" w14:textId="77777777">
        <w:tc>
          <w:tcPr>
            <w:tcW w:w="1843" w:type="dxa"/>
          </w:tcPr>
          <w:p w14:paraId="61CDADDC" w14:textId="77777777" w:rsidR="00404FF6" w:rsidRPr="00A0333E" w:rsidRDefault="00404FF6" w:rsidP="0087003B">
            <w:pPr>
              <w:spacing w:before="40" w:after="40"/>
              <w:rPr>
                <w:rFonts w:cs="Arial"/>
                <w:color w:val="000000" w:themeColor="text1"/>
                <w:sz w:val="20"/>
                <w:szCs w:val="20"/>
              </w:rPr>
            </w:pPr>
            <w:r w:rsidRPr="00A0333E">
              <w:rPr>
                <w:rFonts w:cs="Arial"/>
                <w:color w:val="000000" w:themeColor="text1"/>
                <w:sz w:val="20"/>
                <w:szCs w:val="20"/>
              </w:rPr>
              <w:t>Controls and mitigation</w:t>
            </w:r>
          </w:p>
        </w:tc>
        <w:tc>
          <w:tcPr>
            <w:tcW w:w="7938" w:type="dxa"/>
          </w:tcPr>
          <w:p w14:paraId="21CE8EF5" w14:textId="77777777" w:rsidR="00FA46BD" w:rsidRDefault="00FA46BD" w:rsidP="006F3D89">
            <w:pPr>
              <w:pStyle w:val="Bulletpointparagraph"/>
              <w:spacing w:before="40" w:after="40"/>
              <w:ind w:left="360" w:right="115"/>
              <w:jc w:val="both"/>
              <w:rPr>
                <w:rFonts w:cs="Arial"/>
                <w:sz w:val="20"/>
                <w:szCs w:val="20"/>
              </w:rPr>
            </w:pPr>
            <w:r>
              <w:rPr>
                <w:rFonts w:cs="Arial"/>
                <w:sz w:val="20"/>
                <w:szCs w:val="20"/>
              </w:rPr>
              <w:t>Vulnerable assets well maintained and monitored:</w:t>
            </w:r>
          </w:p>
          <w:p w14:paraId="48F96098" w14:textId="3F56DD6C" w:rsidR="00FA46BD" w:rsidRDefault="00FA46BD" w:rsidP="006F3D89">
            <w:pPr>
              <w:pStyle w:val="Bulletpointparagraph"/>
              <w:numPr>
                <w:ilvl w:val="1"/>
                <w:numId w:val="2"/>
              </w:numPr>
              <w:spacing w:before="40" w:after="40"/>
              <w:ind w:left="881" w:right="115"/>
              <w:jc w:val="both"/>
              <w:rPr>
                <w:rFonts w:cs="Arial"/>
                <w:sz w:val="20"/>
                <w:szCs w:val="20"/>
              </w:rPr>
            </w:pPr>
            <w:r>
              <w:rPr>
                <w:rFonts w:cs="Arial"/>
                <w:sz w:val="20"/>
                <w:szCs w:val="20"/>
              </w:rPr>
              <w:t xml:space="preserve">Dams and weirs within ‘limit of tolerability’ set by </w:t>
            </w:r>
            <w:r w:rsidR="00991117">
              <w:rPr>
                <w:rFonts w:cs="Arial"/>
                <w:sz w:val="20"/>
                <w:szCs w:val="20"/>
              </w:rPr>
              <w:t xml:space="preserve">the </w:t>
            </w:r>
            <w:r>
              <w:rPr>
                <w:rFonts w:cs="Arial"/>
                <w:sz w:val="20"/>
                <w:szCs w:val="20"/>
              </w:rPr>
              <w:t xml:space="preserve">Australian National Committee </w:t>
            </w:r>
            <w:r w:rsidR="00060360">
              <w:rPr>
                <w:rFonts w:cs="Arial"/>
                <w:sz w:val="20"/>
                <w:szCs w:val="20"/>
              </w:rPr>
              <w:t>on</w:t>
            </w:r>
            <w:r>
              <w:rPr>
                <w:rFonts w:cs="Arial"/>
                <w:sz w:val="20"/>
                <w:szCs w:val="20"/>
              </w:rPr>
              <w:t xml:space="preserve"> Large Dams</w:t>
            </w:r>
            <w:r w:rsidR="00991117">
              <w:rPr>
                <w:rFonts w:cs="Arial"/>
                <w:sz w:val="20"/>
                <w:szCs w:val="20"/>
              </w:rPr>
              <w:t xml:space="preserve"> (</w:t>
            </w:r>
            <w:r w:rsidR="00BD3745">
              <w:rPr>
                <w:rFonts w:cs="Arial"/>
                <w:sz w:val="20"/>
                <w:szCs w:val="20"/>
              </w:rPr>
              <w:t>ANCOLD</w:t>
            </w:r>
            <w:r w:rsidR="00991117">
              <w:rPr>
                <w:rFonts w:cs="Arial"/>
                <w:sz w:val="20"/>
                <w:szCs w:val="20"/>
              </w:rPr>
              <w:t>)</w:t>
            </w:r>
            <w:r w:rsidR="00BD3745">
              <w:rPr>
                <w:rFonts w:cs="Arial"/>
                <w:sz w:val="20"/>
                <w:szCs w:val="20"/>
              </w:rPr>
              <w:t xml:space="preserve"> </w:t>
            </w:r>
            <w:r>
              <w:rPr>
                <w:rFonts w:cs="Arial"/>
                <w:sz w:val="20"/>
                <w:szCs w:val="20"/>
              </w:rPr>
              <w:t>guidelines</w:t>
            </w:r>
          </w:p>
          <w:p w14:paraId="0EBB7AAD" w14:textId="2F192184" w:rsidR="00FA46BD" w:rsidRDefault="00FA46BD" w:rsidP="006F3D89">
            <w:pPr>
              <w:pStyle w:val="Bulletpointparagraph"/>
              <w:numPr>
                <w:ilvl w:val="1"/>
                <w:numId w:val="2"/>
              </w:numPr>
              <w:spacing w:before="40" w:after="40"/>
              <w:ind w:left="881" w:right="115"/>
              <w:jc w:val="both"/>
              <w:rPr>
                <w:rFonts w:cs="Arial"/>
                <w:sz w:val="20"/>
                <w:szCs w:val="20"/>
              </w:rPr>
            </w:pPr>
            <w:r>
              <w:rPr>
                <w:rFonts w:cs="Arial"/>
                <w:sz w:val="20"/>
                <w:szCs w:val="20"/>
              </w:rPr>
              <w:t>Other assets ‘as low as reasonably practicable’ (ALARP)</w:t>
            </w:r>
          </w:p>
          <w:p w14:paraId="2A93C716" w14:textId="77777777" w:rsidR="00404FF6" w:rsidRPr="00FE465E" w:rsidRDefault="00404FF6" w:rsidP="006F3D89">
            <w:pPr>
              <w:pStyle w:val="Bulletpointparagraph"/>
              <w:spacing w:before="40" w:after="40"/>
              <w:ind w:left="360" w:right="115"/>
              <w:jc w:val="both"/>
              <w:rPr>
                <w:rFonts w:cs="Arial"/>
                <w:sz w:val="20"/>
                <w:szCs w:val="20"/>
              </w:rPr>
            </w:pPr>
            <w:r w:rsidRPr="00FE465E">
              <w:rPr>
                <w:rFonts w:cs="Arial"/>
                <w:sz w:val="20"/>
                <w:szCs w:val="20"/>
              </w:rPr>
              <w:t>Emergency management framework</w:t>
            </w:r>
          </w:p>
          <w:p w14:paraId="02495BA1" w14:textId="42C57598" w:rsidR="00404FF6" w:rsidRPr="00FE465E" w:rsidRDefault="00404FF6" w:rsidP="006F3D89">
            <w:pPr>
              <w:pStyle w:val="Bulletpointparagraph"/>
              <w:spacing w:before="40" w:after="40"/>
              <w:ind w:left="360" w:right="115"/>
              <w:jc w:val="both"/>
              <w:rPr>
                <w:rFonts w:cs="Arial"/>
                <w:sz w:val="20"/>
                <w:szCs w:val="20"/>
              </w:rPr>
            </w:pPr>
            <w:r w:rsidRPr="00FE465E">
              <w:rPr>
                <w:rFonts w:cs="Arial"/>
                <w:sz w:val="20"/>
                <w:szCs w:val="20"/>
              </w:rPr>
              <w:t>Dam Safety Emergency Plans for all large dams and high</w:t>
            </w:r>
            <w:r w:rsidR="00991117">
              <w:rPr>
                <w:rFonts w:cs="Arial"/>
                <w:sz w:val="20"/>
                <w:szCs w:val="20"/>
              </w:rPr>
              <w:t>-</w:t>
            </w:r>
            <w:r w:rsidRPr="00FE465E">
              <w:rPr>
                <w:rFonts w:cs="Arial"/>
                <w:sz w:val="20"/>
                <w:szCs w:val="20"/>
              </w:rPr>
              <w:t>hazard structures.</w:t>
            </w:r>
          </w:p>
          <w:p w14:paraId="534CF1A6" w14:textId="77777777" w:rsidR="00404FF6" w:rsidRPr="00FE465E" w:rsidRDefault="00404FF6" w:rsidP="006F3D89">
            <w:pPr>
              <w:pStyle w:val="Bulletpointparagraph"/>
              <w:spacing w:before="40" w:after="40"/>
              <w:ind w:left="360" w:right="115"/>
              <w:jc w:val="both"/>
              <w:rPr>
                <w:rFonts w:cs="Arial"/>
                <w:sz w:val="20"/>
                <w:szCs w:val="20"/>
              </w:rPr>
            </w:pPr>
            <w:r w:rsidRPr="00FE465E">
              <w:rPr>
                <w:rFonts w:cs="Arial"/>
                <w:sz w:val="20"/>
                <w:szCs w:val="20"/>
              </w:rPr>
              <w:t>Seek disaster funding relief when available.</w:t>
            </w:r>
          </w:p>
          <w:p w14:paraId="49DF560E" w14:textId="044B21DB" w:rsidR="00404FF6" w:rsidRPr="00FE465E" w:rsidRDefault="00404FF6" w:rsidP="006F3D89">
            <w:pPr>
              <w:pStyle w:val="Bulletpointparagraph"/>
              <w:spacing w:before="40" w:after="40"/>
              <w:ind w:left="360" w:right="115"/>
              <w:jc w:val="both"/>
              <w:rPr>
                <w:rFonts w:cs="Arial"/>
                <w:sz w:val="20"/>
                <w:szCs w:val="20"/>
              </w:rPr>
            </w:pPr>
            <w:r w:rsidRPr="00FE465E">
              <w:rPr>
                <w:rFonts w:cs="Arial"/>
                <w:sz w:val="20"/>
                <w:szCs w:val="20"/>
              </w:rPr>
              <w:t>Maintain insurances</w:t>
            </w:r>
            <w:r w:rsidR="00BD3745">
              <w:rPr>
                <w:rFonts w:cs="Arial"/>
                <w:sz w:val="20"/>
                <w:szCs w:val="20"/>
              </w:rPr>
              <w:t xml:space="preserve"> (annual liability and property premiums in the region of $0.5</w:t>
            </w:r>
            <w:r w:rsidR="00991117">
              <w:rPr>
                <w:rFonts w:cs="Arial"/>
                <w:sz w:val="20"/>
                <w:szCs w:val="20"/>
              </w:rPr>
              <w:t xml:space="preserve"> </w:t>
            </w:r>
            <w:r w:rsidR="00BD3745">
              <w:rPr>
                <w:rFonts w:cs="Arial"/>
                <w:sz w:val="20"/>
                <w:szCs w:val="20"/>
              </w:rPr>
              <w:t>m</w:t>
            </w:r>
            <w:r w:rsidR="00991117">
              <w:rPr>
                <w:rFonts w:cs="Arial"/>
                <w:sz w:val="20"/>
                <w:szCs w:val="20"/>
              </w:rPr>
              <w:t>illion</w:t>
            </w:r>
            <w:r w:rsidR="00BD3745">
              <w:rPr>
                <w:rFonts w:cs="Arial"/>
                <w:sz w:val="20"/>
                <w:szCs w:val="20"/>
              </w:rPr>
              <w:t xml:space="preserve"> per annum)</w:t>
            </w:r>
          </w:p>
          <w:p w14:paraId="37738277" w14:textId="77777777" w:rsidR="00404FF6" w:rsidRPr="00192F41" w:rsidRDefault="00404FF6" w:rsidP="006F3D89">
            <w:pPr>
              <w:pStyle w:val="Bulletpointparagraph"/>
              <w:spacing w:before="40" w:after="40"/>
              <w:ind w:left="360" w:right="115"/>
              <w:jc w:val="both"/>
              <w:rPr>
                <w:rFonts w:cs="Arial"/>
              </w:rPr>
            </w:pPr>
            <w:r w:rsidRPr="00FE465E">
              <w:rPr>
                <w:rFonts w:cs="Arial"/>
                <w:sz w:val="20"/>
                <w:szCs w:val="20"/>
              </w:rPr>
              <w:t>Climate adaptation plan</w:t>
            </w:r>
          </w:p>
        </w:tc>
      </w:tr>
      <w:tr w:rsidR="00404FF6" w:rsidRPr="00192F41" w14:paraId="3E6BA5E0"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4FE8DF95" w14:textId="77777777" w:rsidR="00404FF6" w:rsidRPr="00A0333E" w:rsidRDefault="00404FF6" w:rsidP="0087003B">
            <w:pPr>
              <w:spacing w:before="40" w:after="40"/>
              <w:rPr>
                <w:rFonts w:cs="Arial"/>
                <w:color w:val="000000" w:themeColor="text1"/>
                <w:sz w:val="20"/>
                <w:szCs w:val="20"/>
              </w:rPr>
            </w:pPr>
            <w:r w:rsidRPr="00A0333E">
              <w:rPr>
                <w:rFonts w:cs="Arial"/>
                <w:sz w:val="20"/>
                <w:szCs w:val="20"/>
              </w:rPr>
              <w:t>Monitoring</w:t>
            </w:r>
          </w:p>
        </w:tc>
        <w:tc>
          <w:tcPr>
            <w:tcW w:w="7938" w:type="dxa"/>
          </w:tcPr>
          <w:p w14:paraId="33D646EC" w14:textId="77777777" w:rsidR="00404FF6" w:rsidRPr="00192F41" w:rsidRDefault="00404FF6" w:rsidP="006F3D89">
            <w:pPr>
              <w:spacing w:before="40" w:after="40"/>
              <w:ind w:right="115"/>
              <w:jc w:val="both"/>
              <w:rPr>
                <w:rFonts w:cs="Arial"/>
                <w:sz w:val="20"/>
                <w:szCs w:val="20"/>
              </w:rPr>
            </w:pPr>
            <w:r w:rsidRPr="00192F41">
              <w:rPr>
                <w:rFonts w:cs="Arial"/>
                <w:sz w:val="20"/>
                <w:szCs w:val="20"/>
              </w:rPr>
              <w:t>Performance outcomes have been established to monitor our ability to supply customers which will include interruptions caused by natural disasters (see Section 6).</w:t>
            </w:r>
          </w:p>
        </w:tc>
      </w:tr>
      <w:tr w:rsidR="00404FF6" w:rsidRPr="00192F41" w14:paraId="10FC9049" w14:textId="77777777" w:rsidTr="00204FD1">
        <w:tc>
          <w:tcPr>
            <w:tcW w:w="1843" w:type="dxa"/>
          </w:tcPr>
          <w:p w14:paraId="42C7498F" w14:textId="77777777" w:rsidR="00404FF6" w:rsidRPr="00A0333E" w:rsidRDefault="00404FF6" w:rsidP="0087003B">
            <w:pPr>
              <w:spacing w:before="40" w:after="40"/>
              <w:rPr>
                <w:rFonts w:cs="Arial"/>
                <w:sz w:val="20"/>
                <w:szCs w:val="20"/>
              </w:rPr>
            </w:pPr>
            <w:r w:rsidRPr="00A0333E">
              <w:rPr>
                <w:rFonts w:cs="Arial"/>
                <w:sz w:val="20"/>
                <w:szCs w:val="20"/>
              </w:rPr>
              <w:t>Risk allocation</w:t>
            </w:r>
          </w:p>
        </w:tc>
        <w:tc>
          <w:tcPr>
            <w:tcW w:w="7938" w:type="dxa"/>
          </w:tcPr>
          <w:p w14:paraId="725DBBDA" w14:textId="784CC0B2" w:rsidR="00404FF6" w:rsidRPr="00192F41" w:rsidRDefault="00404FF6" w:rsidP="006F3D89">
            <w:pPr>
              <w:spacing w:before="40" w:after="40"/>
              <w:ind w:right="115"/>
              <w:jc w:val="both"/>
              <w:rPr>
                <w:rFonts w:cs="Arial"/>
                <w:sz w:val="20"/>
                <w:szCs w:val="20"/>
              </w:rPr>
            </w:pPr>
            <w:r w:rsidRPr="00192F41">
              <w:rPr>
                <w:rFonts w:cs="Arial"/>
                <w:sz w:val="20"/>
                <w:szCs w:val="20"/>
              </w:rPr>
              <w:t>SRW bears the risk of natural disasters with the potential of having to debt fund residual costs.</w:t>
            </w:r>
            <w:r w:rsidR="00AF255C">
              <w:rPr>
                <w:rFonts w:cs="Arial"/>
                <w:sz w:val="20"/>
                <w:szCs w:val="20"/>
              </w:rPr>
              <w:t xml:space="preserve"> </w:t>
            </w:r>
          </w:p>
        </w:tc>
      </w:tr>
      <w:tr w:rsidR="00404FF6" w:rsidRPr="00192F41" w14:paraId="508FA438"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4437FE30" w14:textId="77777777" w:rsidR="00404FF6" w:rsidRPr="00A0333E" w:rsidRDefault="00404FF6" w:rsidP="0087003B">
            <w:pPr>
              <w:spacing w:before="40" w:after="40"/>
              <w:rPr>
                <w:rFonts w:cs="Arial"/>
                <w:sz w:val="20"/>
                <w:szCs w:val="20"/>
              </w:rPr>
            </w:pPr>
            <w:r w:rsidRPr="00A0333E">
              <w:rPr>
                <w:rFonts w:cs="Arial"/>
                <w:sz w:val="20"/>
                <w:szCs w:val="20"/>
              </w:rPr>
              <w:t>Residual risk level</w:t>
            </w:r>
          </w:p>
        </w:tc>
        <w:tc>
          <w:tcPr>
            <w:tcW w:w="7938" w:type="dxa"/>
            <w:tcBorders>
              <w:bottom w:val="single" w:sz="4" w:space="0" w:color="auto"/>
            </w:tcBorders>
          </w:tcPr>
          <w:p w14:paraId="331F3DB9" w14:textId="6E89ED76" w:rsidR="00404FF6" w:rsidRPr="00192F41" w:rsidRDefault="00404FF6" w:rsidP="006F3D89">
            <w:pPr>
              <w:spacing w:before="40" w:after="40"/>
              <w:ind w:right="115"/>
              <w:jc w:val="both"/>
              <w:rPr>
                <w:rFonts w:cs="Arial"/>
                <w:sz w:val="20"/>
                <w:szCs w:val="20"/>
              </w:rPr>
            </w:pPr>
            <w:r w:rsidRPr="00192F41">
              <w:rPr>
                <w:rFonts w:cs="Arial"/>
                <w:sz w:val="20"/>
                <w:szCs w:val="20"/>
              </w:rPr>
              <w:t xml:space="preserve">Low given the likely frequency and historic ability to </w:t>
            </w:r>
            <w:r w:rsidR="00FA46BD">
              <w:rPr>
                <w:rFonts w:cs="Arial"/>
                <w:sz w:val="20"/>
                <w:szCs w:val="20"/>
              </w:rPr>
              <w:t>manage any unforeseen costs via insurance, government</w:t>
            </w:r>
            <w:r w:rsidR="000E4B8D">
              <w:rPr>
                <w:rFonts w:cs="Arial"/>
                <w:sz w:val="20"/>
                <w:szCs w:val="20"/>
              </w:rPr>
              <w:t>,</w:t>
            </w:r>
            <w:r w:rsidR="00FA46BD">
              <w:rPr>
                <w:rFonts w:cs="Arial"/>
                <w:sz w:val="20"/>
                <w:szCs w:val="20"/>
              </w:rPr>
              <w:t xml:space="preserve"> and a re-allocation of benchmark allowances.</w:t>
            </w:r>
          </w:p>
        </w:tc>
      </w:tr>
    </w:tbl>
    <w:p w14:paraId="3672DD3B" w14:textId="016BB5BF" w:rsidR="00815788" w:rsidRPr="00192F41" w:rsidRDefault="004A5E1E" w:rsidP="00815788">
      <w:pPr>
        <w:rPr>
          <w:rFonts w:cs="Arial"/>
        </w:rPr>
      </w:pPr>
      <w:r>
        <w:rPr>
          <w:rFonts w:cs="Arial"/>
        </w:rPr>
        <w:br w:type="page"/>
      </w:r>
    </w:p>
    <w:tbl>
      <w:tblPr>
        <w:tblStyle w:val="Tealheader-Grayrows1"/>
        <w:tblW w:w="9781" w:type="dxa"/>
        <w:tblLook w:val="04A0" w:firstRow="1" w:lastRow="0" w:firstColumn="1" w:lastColumn="0" w:noHBand="0" w:noVBand="1"/>
      </w:tblPr>
      <w:tblGrid>
        <w:gridCol w:w="1843"/>
        <w:gridCol w:w="7938"/>
      </w:tblGrid>
      <w:tr w:rsidR="00404FF6" w:rsidRPr="00192F41" w14:paraId="260A2128"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42008511" w14:textId="77777777" w:rsidR="00404FF6" w:rsidRPr="002650CA" w:rsidRDefault="00404FF6">
            <w:pPr>
              <w:rPr>
                <w:rFonts w:cs="Arial"/>
                <w:b w:val="0"/>
                <w:sz w:val="20"/>
                <w:szCs w:val="20"/>
              </w:rPr>
            </w:pPr>
            <w:r w:rsidRPr="002650CA">
              <w:rPr>
                <w:rFonts w:cs="Arial"/>
                <w:sz w:val="20"/>
                <w:szCs w:val="20"/>
              </w:rPr>
              <w:t>Risk</w:t>
            </w:r>
          </w:p>
        </w:tc>
        <w:tc>
          <w:tcPr>
            <w:tcW w:w="7938" w:type="dxa"/>
          </w:tcPr>
          <w:p w14:paraId="28FDA75B" w14:textId="77777777" w:rsidR="00404FF6" w:rsidRPr="002650CA" w:rsidRDefault="00404FF6">
            <w:pPr>
              <w:rPr>
                <w:rFonts w:cs="Arial"/>
                <w:b w:val="0"/>
                <w:sz w:val="20"/>
                <w:szCs w:val="20"/>
              </w:rPr>
            </w:pPr>
            <w:r w:rsidRPr="002650CA">
              <w:rPr>
                <w:rFonts w:cs="Arial"/>
                <w:sz w:val="20"/>
                <w:szCs w:val="20"/>
              </w:rPr>
              <w:t>OPEX</w:t>
            </w:r>
          </w:p>
        </w:tc>
      </w:tr>
      <w:tr w:rsidR="00404FF6" w:rsidRPr="00192F41" w14:paraId="08B6B140"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6DA6BFDD" w14:textId="77777777" w:rsidR="00404FF6" w:rsidRPr="00A0333E" w:rsidRDefault="00404FF6">
            <w:pPr>
              <w:rPr>
                <w:rFonts w:cs="Arial"/>
                <w:sz w:val="20"/>
                <w:szCs w:val="20"/>
              </w:rPr>
            </w:pPr>
            <w:r w:rsidRPr="00A0333E">
              <w:rPr>
                <w:rFonts w:cs="Arial"/>
                <w:color w:val="000000" w:themeColor="text1"/>
                <w:sz w:val="20"/>
                <w:szCs w:val="20"/>
              </w:rPr>
              <w:t>The risk</w:t>
            </w:r>
          </w:p>
        </w:tc>
        <w:tc>
          <w:tcPr>
            <w:tcW w:w="7938" w:type="dxa"/>
          </w:tcPr>
          <w:p w14:paraId="311B744D" w14:textId="466C78F2" w:rsidR="00404FF6" w:rsidRPr="00B80FC6" w:rsidRDefault="00404FF6" w:rsidP="009E5BF1">
            <w:pPr>
              <w:spacing w:before="40" w:after="120"/>
              <w:ind w:right="115"/>
              <w:jc w:val="both"/>
              <w:rPr>
                <w:rFonts w:cs="Arial"/>
                <w:sz w:val="20"/>
                <w:szCs w:val="20"/>
              </w:rPr>
            </w:pPr>
            <w:r w:rsidRPr="00326143">
              <w:rPr>
                <w:rFonts w:cs="Arial"/>
                <w:sz w:val="20"/>
                <w:szCs w:val="20"/>
              </w:rPr>
              <w:t>SRW is proposing an OPEX budget of $</w:t>
            </w:r>
            <w:r w:rsidR="005A4A56" w:rsidRPr="00326143">
              <w:rPr>
                <w:rFonts w:cs="Arial"/>
                <w:sz w:val="20"/>
                <w:szCs w:val="20"/>
              </w:rPr>
              <w:t>1</w:t>
            </w:r>
            <w:r w:rsidR="004C08DB">
              <w:rPr>
                <w:rFonts w:cs="Arial"/>
                <w:sz w:val="20"/>
                <w:szCs w:val="20"/>
              </w:rPr>
              <w:t>2</w:t>
            </w:r>
            <w:r w:rsidR="004C08DB">
              <w:rPr>
                <w:sz w:val="20"/>
                <w:szCs w:val="20"/>
              </w:rPr>
              <w:t>1</w:t>
            </w:r>
            <w:r w:rsidR="00F61F69">
              <w:rPr>
                <w:rFonts w:cs="Arial"/>
                <w:sz w:val="20"/>
                <w:szCs w:val="20"/>
              </w:rPr>
              <w:t xml:space="preserve"> </w:t>
            </w:r>
            <w:r w:rsidR="005A4A56" w:rsidRPr="00326143">
              <w:rPr>
                <w:rFonts w:cs="Arial"/>
                <w:sz w:val="20"/>
                <w:szCs w:val="20"/>
              </w:rPr>
              <w:t>m</w:t>
            </w:r>
            <w:r w:rsidR="00F61F69">
              <w:rPr>
                <w:rFonts w:cs="Arial"/>
                <w:sz w:val="20"/>
                <w:szCs w:val="20"/>
              </w:rPr>
              <w:t>illion</w:t>
            </w:r>
            <w:r w:rsidRPr="00326143">
              <w:rPr>
                <w:rFonts w:cs="Arial"/>
                <w:sz w:val="20"/>
                <w:szCs w:val="20"/>
              </w:rPr>
              <w:t xml:space="preserve"> over the regulatory period.</w:t>
            </w:r>
          </w:p>
          <w:p w14:paraId="054980EC" w14:textId="409172AF" w:rsidR="00404FF6" w:rsidRPr="00B80FC6" w:rsidRDefault="00404FF6" w:rsidP="009E5BF1">
            <w:pPr>
              <w:spacing w:before="40" w:after="120"/>
              <w:ind w:right="115"/>
              <w:jc w:val="both"/>
              <w:rPr>
                <w:rFonts w:cs="Arial"/>
                <w:sz w:val="20"/>
                <w:szCs w:val="20"/>
              </w:rPr>
            </w:pPr>
            <w:r w:rsidRPr="00B80FC6">
              <w:rPr>
                <w:rFonts w:cs="Arial"/>
                <w:sz w:val="20"/>
                <w:szCs w:val="20"/>
              </w:rPr>
              <w:t>This assumes a productivity savings of 1% per annum.</w:t>
            </w:r>
          </w:p>
          <w:p w14:paraId="684F6C4A" w14:textId="63CB3C37" w:rsidR="0039461D" w:rsidRPr="00B80FC6" w:rsidRDefault="00404FF6" w:rsidP="009E5BF1">
            <w:pPr>
              <w:spacing w:before="40" w:after="120"/>
              <w:ind w:right="115"/>
              <w:jc w:val="both"/>
              <w:rPr>
                <w:rFonts w:cs="Arial"/>
                <w:sz w:val="20"/>
                <w:szCs w:val="20"/>
              </w:rPr>
            </w:pPr>
            <w:r w:rsidRPr="00B80FC6">
              <w:rPr>
                <w:rFonts w:cs="Arial"/>
                <w:sz w:val="20"/>
                <w:szCs w:val="20"/>
              </w:rPr>
              <w:t xml:space="preserve">See </w:t>
            </w:r>
            <w:r w:rsidR="00F61F69">
              <w:rPr>
                <w:rFonts w:cs="Arial"/>
                <w:sz w:val="20"/>
                <w:szCs w:val="20"/>
              </w:rPr>
              <w:t>S</w:t>
            </w:r>
            <w:r w:rsidRPr="00B80FC6">
              <w:rPr>
                <w:rFonts w:cs="Arial"/>
                <w:sz w:val="20"/>
                <w:szCs w:val="20"/>
              </w:rPr>
              <w:t>ection 7 for more details on OPEX.</w:t>
            </w:r>
            <w:r w:rsidR="0095134C" w:rsidRPr="00B80FC6">
              <w:rPr>
                <w:rFonts w:cs="Arial"/>
                <w:sz w:val="20"/>
                <w:szCs w:val="20"/>
              </w:rPr>
              <w:t xml:space="preserve"> </w:t>
            </w:r>
          </w:p>
          <w:p w14:paraId="6FE39421" w14:textId="69A9F148" w:rsidR="00404FF6" w:rsidRPr="00326143" w:rsidRDefault="00A6632C" w:rsidP="00BD137D">
            <w:pPr>
              <w:spacing w:before="40" w:after="40"/>
              <w:ind w:right="115"/>
              <w:jc w:val="both"/>
              <w:rPr>
                <w:rFonts w:cs="Arial"/>
                <w:sz w:val="20"/>
                <w:szCs w:val="20"/>
              </w:rPr>
            </w:pPr>
            <w:r w:rsidRPr="00B80FC6">
              <w:rPr>
                <w:rFonts w:cs="Arial"/>
                <w:sz w:val="20"/>
                <w:szCs w:val="20"/>
              </w:rPr>
              <w:t>Like many parts of the government sector, SRW has experienced an escalation of compliance activities and associated</w:t>
            </w:r>
            <w:r w:rsidR="00FC3025" w:rsidRPr="00B80FC6">
              <w:rPr>
                <w:rFonts w:cs="Arial"/>
                <w:sz w:val="20"/>
                <w:szCs w:val="20"/>
              </w:rPr>
              <w:t xml:space="preserve"> costs</w:t>
            </w:r>
            <w:r w:rsidRPr="00B80FC6">
              <w:rPr>
                <w:rFonts w:cs="Arial"/>
                <w:sz w:val="20"/>
                <w:szCs w:val="20"/>
              </w:rPr>
              <w:t xml:space="preserve">. Community and government expectations generally increase our obligations over time, and this steady increase to compliance and service obligations is expected to continue </w:t>
            </w:r>
            <w:r w:rsidR="00FC3025" w:rsidRPr="00B80FC6">
              <w:rPr>
                <w:rFonts w:cs="Arial"/>
                <w:sz w:val="20"/>
                <w:szCs w:val="20"/>
              </w:rPr>
              <w:t>throughout</w:t>
            </w:r>
            <w:r w:rsidRPr="00B80FC6">
              <w:rPr>
                <w:rFonts w:cs="Arial"/>
                <w:sz w:val="20"/>
                <w:szCs w:val="20"/>
              </w:rPr>
              <w:t xml:space="preserve"> the next regulatory </w:t>
            </w:r>
            <w:r w:rsidR="00FC3025" w:rsidRPr="00B80FC6">
              <w:rPr>
                <w:rFonts w:cs="Arial"/>
                <w:sz w:val="20"/>
                <w:szCs w:val="20"/>
              </w:rPr>
              <w:t>period</w:t>
            </w:r>
            <w:r w:rsidR="009F2254" w:rsidRPr="00B80FC6">
              <w:rPr>
                <w:rFonts w:cs="Arial"/>
                <w:sz w:val="20"/>
                <w:szCs w:val="20"/>
              </w:rPr>
              <w:t xml:space="preserve"> which </w:t>
            </w:r>
            <w:r w:rsidR="002A7877" w:rsidRPr="00B80FC6">
              <w:rPr>
                <w:rFonts w:cs="Arial"/>
                <w:sz w:val="20"/>
                <w:szCs w:val="20"/>
              </w:rPr>
              <w:t xml:space="preserve">may </w:t>
            </w:r>
            <w:r w:rsidR="009F2254" w:rsidRPr="00B80FC6">
              <w:rPr>
                <w:rFonts w:cs="Arial"/>
                <w:sz w:val="20"/>
                <w:szCs w:val="20"/>
              </w:rPr>
              <w:t>result in an increase to our OPEX budget.</w:t>
            </w:r>
          </w:p>
        </w:tc>
      </w:tr>
      <w:tr w:rsidR="00404FF6" w:rsidRPr="00192F41" w14:paraId="3EE033EA" w14:textId="77777777">
        <w:tc>
          <w:tcPr>
            <w:tcW w:w="1843" w:type="dxa"/>
          </w:tcPr>
          <w:p w14:paraId="63BA9015" w14:textId="77777777" w:rsidR="00404FF6" w:rsidRPr="00A0333E" w:rsidRDefault="00404FF6">
            <w:pPr>
              <w:rPr>
                <w:rFonts w:cs="Arial"/>
                <w:sz w:val="20"/>
                <w:szCs w:val="20"/>
              </w:rPr>
            </w:pPr>
            <w:r w:rsidRPr="00A0333E">
              <w:rPr>
                <w:rFonts w:cs="Arial"/>
                <w:sz w:val="20"/>
                <w:szCs w:val="20"/>
              </w:rPr>
              <w:t>Controls</w:t>
            </w:r>
          </w:p>
        </w:tc>
        <w:tc>
          <w:tcPr>
            <w:tcW w:w="7938" w:type="dxa"/>
          </w:tcPr>
          <w:p w14:paraId="07365970" w14:textId="77777777" w:rsidR="00404FF6" w:rsidRPr="00192F41" w:rsidRDefault="00404FF6" w:rsidP="00BD137D">
            <w:pPr>
              <w:pStyle w:val="Bulletpointparagraph"/>
              <w:spacing w:before="40" w:after="40"/>
              <w:ind w:left="360" w:right="115"/>
              <w:jc w:val="both"/>
              <w:rPr>
                <w:rFonts w:cs="Arial"/>
                <w:sz w:val="20"/>
                <w:szCs w:val="20"/>
              </w:rPr>
            </w:pPr>
            <w:r w:rsidRPr="00192F41">
              <w:rPr>
                <w:rFonts w:cs="Arial"/>
                <w:sz w:val="20"/>
                <w:szCs w:val="20"/>
              </w:rPr>
              <w:t>Operational cost estimates based on historical trends.</w:t>
            </w:r>
          </w:p>
          <w:p w14:paraId="4B11CF11" w14:textId="19532697" w:rsidR="00404FF6" w:rsidRPr="00192F41" w:rsidRDefault="00404FF6" w:rsidP="00BD137D">
            <w:pPr>
              <w:pStyle w:val="Bulletpointparagraph"/>
              <w:spacing w:before="40" w:after="40"/>
              <w:ind w:left="360" w:right="115"/>
              <w:jc w:val="both"/>
              <w:rPr>
                <w:rFonts w:cs="Arial"/>
                <w:sz w:val="20"/>
                <w:szCs w:val="20"/>
              </w:rPr>
            </w:pPr>
            <w:r w:rsidRPr="00192F41">
              <w:rPr>
                <w:rFonts w:cs="Arial"/>
                <w:sz w:val="20"/>
                <w:szCs w:val="20"/>
              </w:rPr>
              <w:t>Material changes (e.g</w:t>
            </w:r>
            <w:r w:rsidR="00060360" w:rsidRPr="00F82275">
              <w:rPr>
                <w:rFonts w:cs="Arial"/>
                <w:sz w:val="20"/>
                <w:szCs w:val="20"/>
              </w:rPr>
              <w:t>.,</w:t>
            </w:r>
            <w:r w:rsidRPr="00192F41">
              <w:rPr>
                <w:rFonts w:cs="Arial"/>
                <w:sz w:val="20"/>
                <w:szCs w:val="20"/>
              </w:rPr>
              <w:t xml:space="preserve"> ICT compliance</w:t>
            </w:r>
            <w:r w:rsidR="00BC6FBF">
              <w:rPr>
                <w:rFonts w:cs="Arial"/>
                <w:sz w:val="20"/>
                <w:szCs w:val="20"/>
              </w:rPr>
              <w:t xml:space="preserve"> such as cyber security uplift</w:t>
            </w:r>
            <w:r w:rsidRPr="00192F41">
              <w:rPr>
                <w:rFonts w:cs="Arial"/>
                <w:sz w:val="20"/>
                <w:szCs w:val="20"/>
              </w:rPr>
              <w:t>) have been subject to review.</w:t>
            </w:r>
          </w:p>
          <w:p w14:paraId="05418D8E" w14:textId="58B36D8F" w:rsidR="00404FF6" w:rsidRPr="00192F41" w:rsidRDefault="00404FF6" w:rsidP="00BD137D">
            <w:pPr>
              <w:pStyle w:val="Bulletpointparagraph"/>
              <w:spacing w:before="40" w:after="40"/>
              <w:ind w:left="360" w:right="115"/>
              <w:jc w:val="both"/>
              <w:rPr>
                <w:rFonts w:cs="Arial"/>
                <w:sz w:val="20"/>
                <w:szCs w:val="20"/>
              </w:rPr>
            </w:pPr>
            <w:r w:rsidRPr="00192F41">
              <w:rPr>
                <w:rFonts w:cs="Arial"/>
                <w:sz w:val="20"/>
                <w:szCs w:val="20"/>
              </w:rPr>
              <w:t xml:space="preserve">Development and implementation of </w:t>
            </w:r>
            <w:r w:rsidR="00F92992">
              <w:rPr>
                <w:rFonts w:cs="Arial"/>
                <w:sz w:val="20"/>
                <w:szCs w:val="20"/>
              </w:rPr>
              <w:t xml:space="preserve">an </w:t>
            </w:r>
            <w:r w:rsidRPr="00192F41">
              <w:rPr>
                <w:rFonts w:cs="Arial"/>
                <w:sz w:val="20"/>
                <w:szCs w:val="20"/>
              </w:rPr>
              <w:t>efficiency improvement program, designed to drive efficiency gains</w:t>
            </w:r>
            <w:r w:rsidR="00A6632C">
              <w:rPr>
                <w:rFonts w:cs="Arial"/>
                <w:sz w:val="20"/>
                <w:szCs w:val="20"/>
              </w:rPr>
              <w:t xml:space="preserve"> which enable both underlying reduction to operational costs of 1% as well as capacity to meet any additional compliance or service obligations</w:t>
            </w:r>
            <w:r w:rsidRPr="00192F41">
              <w:rPr>
                <w:rFonts w:cs="Arial"/>
                <w:sz w:val="20"/>
                <w:szCs w:val="20"/>
              </w:rPr>
              <w:t>.</w:t>
            </w:r>
          </w:p>
        </w:tc>
      </w:tr>
      <w:tr w:rsidR="00404FF6" w:rsidRPr="00192F41" w14:paraId="5BD21F81"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3A345BBE" w14:textId="77777777" w:rsidR="00404FF6" w:rsidRPr="00A0333E" w:rsidRDefault="00404FF6">
            <w:pPr>
              <w:rPr>
                <w:rFonts w:cs="Arial"/>
                <w:sz w:val="20"/>
                <w:szCs w:val="20"/>
              </w:rPr>
            </w:pPr>
            <w:r w:rsidRPr="00A0333E">
              <w:rPr>
                <w:rFonts w:cs="Arial"/>
                <w:sz w:val="20"/>
                <w:szCs w:val="20"/>
              </w:rPr>
              <w:t>Monitoring</w:t>
            </w:r>
          </w:p>
        </w:tc>
        <w:tc>
          <w:tcPr>
            <w:tcW w:w="7938" w:type="dxa"/>
          </w:tcPr>
          <w:p w14:paraId="05B069A9" w14:textId="64CA03E0" w:rsidR="00404FF6" w:rsidRPr="00192F41" w:rsidRDefault="00404FF6" w:rsidP="00BD137D">
            <w:pPr>
              <w:spacing w:before="40" w:after="40"/>
              <w:ind w:right="115"/>
              <w:jc w:val="both"/>
              <w:rPr>
                <w:rFonts w:cs="Arial"/>
                <w:sz w:val="20"/>
                <w:szCs w:val="20"/>
              </w:rPr>
            </w:pPr>
            <w:r w:rsidRPr="00192F41">
              <w:rPr>
                <w:rFonts w:cs="Arial"/>
                <w:sz w:val="20"/>
                <w:szCs w:val="20"/>
              </w:rPr>
              <w:t xml:space="preserve">Operational expenditure is monitored through regular financial reporting to </w:t>
            </w:r>
            <w:r w:rsidR="00A6632C">
              <w:rPr>
                <w:rFonts w:cs="Arial"/>
                <w:sz w:val="20"/>
                <w:szCs w:val="20"/>
              </w:rPr>
              <w:t xml:space="preserve">senior management and </w:t>
            </w:r>
            <w:r w:rsidRPr="00192F41">
              <w:rPr>
                <w:rFonts w:cs="Arial"/>
                <w:sz w:val="20"/>
                <w:szCs w:val="20"/>
              </w:rPr>
              <w:t>the board.</w:t>
            </w:r>
          </w:p>
        </w:tc>
      </w:tr>
      <w:tr w:rsidR="00404FF6" w:rsidRPr="00192F41" w14:paraId="502B9D80" w14:textId="77777777" w:rsidTr="00204FD1">
        <w:tc>
          <w:tcPr>
            <w:tcW w:w="1843" w:type="dxa"/>
          </w:tcPr>
          <w:p w14:paraId="270F9106" w14:textId="77777777" w:rsidR="00404FF6" w:rsidRPr="00A0333E" w:rsidRDefault="00404FF6">
            <w:pPr>
              <w:rPr>
                <w:rFonts w:cs="Arial"/>
                <w:sz w:val="20"/>
                <w:szCs w:val="20"/>
              </w:rPr>
            </w:pPr>
            <w:r w:rsidRPr="00A0333E">
              <w:rPr>
                <w:rFonts w:cs="Arial"/>
                <w:sz w:val="20"/>
                <w:szCs w:val="20"/>
              </w:rPr>
              <w:t>Risk allocation</w:t>
            </w:r>
          </w:p>
        </w:tc>
        <w:tc>
          <w:tcPr>
            <w:tcW w:w="7938" w:type="dxa"/>
          </w:tcPr>
          <w:p w14:paraId="1B3B6202" w14:textId="2E2B0B19" w:rsidR="00404FF6" w:rsidRPr="00192F41" w:rsidRDefault="00A40441" w:rsidP="00BD137D">
            <w:pPr>
              <w:spacing w:before="40" w:after="40"/>
              <w:ind w:right="115"/>
              <w:jc w:val="both"/>
              <w:rPr>
                <w:rFonts w:cs="Arial"/>
                <w:sz w:val="20"/>
                <w:szCs w:val="20"/>
              </w:rPr>
            </w:pPr>
            <w:r>
              <w:rPr>
                <w:rFonts w:cs="Arial"/>
                <w:sz w:val="20"/>
                <w:szCs w:val="20"/>
              </w:rPr>
              <w:t xml:space="preserve">SRW bears the risk of </w:t>
            </w:r>
            <w:r w:rsidR="006A1592">
              <w:rPr>
                <w:rFonts w:cs="Arial"/>
                <w:sz w:val="20"/>
                <w:szCs w:val="20"/>
              </w:rPr>
              <w:t>operational expenditure</w:t>
            </w:r>
            <w:r w:rsidR="005641B4">
              <w:rPr>
                <w:rFonts w:cs="Arial"/>
                <w:sz w:val="20"/>
                <w:szCs w:val="20"/>
              </w:rPr>
              <w:t xml:space="preserve">. We </w:t>
            </w:r>
            <w:r w:rsidR="00404FF6" w:rsidRPr="00192F41">
              <w:rPr>
                <w:rFonts w:cs="Arial"/>
                <w:sz w:val="20"/>
                <w:szCs w:val="20"/>
              </w:rPr>
              <w:t xml:space="preserve">already operate under a prudent and efficient model where operational expenditure is tightly controlled and </w:t>
            </w:r>
            <w:r w:rsidR="0850B794" w:rsidRPr="6B20A4EE">
              <w:rPr>
                <w:rFonts w:cs="Arial"/>
                <w:sz w:val="20"/>
                <w:szCs w:val="20"/>
              </w:rPr>
              <w:t>are</w:t>
            </w:r>
            <w:r w:rsidR="00404FF6" w:rsidRPr="00192F41">
              <w:rPr>
                <w:rFonts w:cs="Arial"/>
                <w:sz w:val="20"/>
                <w:szCs w:val="20"/>
              </w:rPr>
              <w:t xml:space="preserve"> committed to finding savings to cover any increases in expenditure.</w:t>
            </w:r>
          </w:p>
        </w:tc>
      </w:tr>
      <w:tr w:rsidR="00404FF6" w:rsidRPr="00192F41" w14:paraId="1179A78A"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344608E0" w14:textId="77777777" w:rsidR="00404FF6" w:rsidRPr="00A0333E" w:rsidRDefault="00404FF6">
            <w:pPr>
              <w:rPr>
                <w:rFonts w:cs="Arial"/>
                <w:sz w:val="20"/>
                <w:szCs w:val="20"/>
              </w:rPr>
            </w:pPr>
            <w:r w:rsidRPr="00A0333E">
              <w:rPr>
                <w:rFonts w:cs="Arial"/>
                <w:sz w:val="20"/>
                <w:szCs w:val="20"/>
              </w:rPr>
              <w:t>Residual risk</w:t>
            </w:r>
          </w:p>
        </w:tc>
        <w:tc>
          <w:tcPr>
            <w:tcW w:w="7938" w:type="dxa"/>
            <w:tcBorders>
              <w:bottom w:val="single" w:sz="4" w:space="0" w:color="auto"/>
            </w:tcBorders>
          </w:tcPr>
          <w:p w14:paraId="7DCF36E3" w14:textId="652863FA" w:rsidR="00404FF6" w:rsidRPr="00192F41" w:rsidRDefault="00404FF6" w:rsidP="00BD137D">
            <w:pPr>
              <w:spacing w:before="40" w:after="40"/>
              <w:ind w:right="115"/>
              <w:jc w:val="both"/>
              <w:rPr>
                <w:rFonts w:cs="Arial"/>
                <w:sz w:val="20"/>
                <w:szCs w:val="20"/>
              </w:rPr>
            </w:pPr>
            <w:r w:rsidRPr="00192F41">
              <w:rPr>
                <w:rFonts w:cs="Arial"/>
                <w:sz w:val="20"/>
                <w:szCs w:val="20"/>
              </w:rPr>
              <w:t>Moderate risk given the prudent and efficient budgetary framework</w:t>
            </w:r>
            <w:r w:rsidR="005C17FE">
              <w:rPr>
                <w:rFonts w:cs="Arial"/>
                <w:sz w:val="20"/>
                <w:szCs w:val="20"/>
              </w:rPr>
              <w:t>, noting that government compliance obligations are often imposed at short</w:t>
            </w:r>
            <w:r w:rsidR="00C81AE4">
              <w:rPr>
                <w:rFonts w:cs="Arial"/>
                <w:sz w:val="20"/>
                <w:szCs w:val="20"/>
              </w:rPr>
              <w:t xml:space="preserve"> </w:t>
            </w:r>
            <w:r w:rsidR="005C17FE">
              <w:rPr>
                <w:rFonts w:cs="Arial"/>
                <w:sz w:val="20"/>
                <w:szCs w:val="20"/>
              </w:rPr>
              <w:t>notice.</w:t>
            </w:r>
          </w:p>
        </w:tc>
      </w:tr>
    </w:tbl>
    <w:p w14:paraId="1FB503F1" w14:textId="1E5F3C7E" w:rsidR="00782C5C" w:rsidRDefault="00782C5C" w:rsidP="00B85E41">
      <w:pPr>
        <w:spacing w:after="0"/>
        <w:rPr>
          <w:rStyle w:val="IntenseReference"/>
          <w:rFonts w:cs="Arial"/>
        </w:rPr>
      </w:pPr>
    </w:p>
    <w:p w14:paraId="46A05E1A" w14:textId="77777777" w:rsidR="00782C5C" w:rsidRDefault="00782C5C">
      <w:pPr>
        <w:rPr>
          <w:rStyle w:val="IntenseReference"/>
          <w:rFonts w:cs="Arial"/>
        </w:rPr>
      </w:pPr>
      <w:r>
        <w:rPr>
          <w:rStyle w:val="IntenseReference"/>
          <w:rFonts w:cs="Arial"/>
        </w:rPr>
        <w:br w:type="page"/>
      </w:r>
    </w:p>
    <w:tbl>
      <w:tblPr>
        <w:tblStyle w:val="Tealheader-Grayrows1"/>
        <w:tblW w:w="9781" w:type="dxa"/>
        <w:tblLook w:val="04A0" w:firstRow="1" w:lastRow="0" w:firstColumn="1" w:lastColumn="0" w:noHBand="0" w:noVBand="1"/>
      </w:tblPr>
      <w:tblGrid>
        <w:gridCol w:w="1843"/>
        <w:gridCol w:w="7938"/>
      </w:tblGrid>
      <w:tr w:rsidR="00404FF6" w:rsidRPr="00192F41" w14:paraId="36CBAF4B"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0FE36708" w14:textId="77777777" w:rsidR="00404FF6" w:rsidRPr="002650CA" w:rsidRDefault="00404FF6">
            <w:pPr>
              <w:rPr>
                <w:rFonts w:cs="Arial"/>
                <w:b w:val="0"/>
                <w:sz w:val="20"/>
                <w:szCs w:val="20"/>
              </w:rPr>
            </w:pPr>
            <w:r w:rsidRPr="002650CA">
              <w:rPr>
                <w:rFonts w:cs="Arial"/>
                <w:sz w:val="20"/>
                <w:szCs w:val="20"/>
              </w:rPr>
              <w:t>Risk</w:t>
            </w:r>
          </w:p>
        </w:tc>
        <w:tc>
          <w:tcPr>
            <w:tcW w:w="7938" w:type="dxa"/>
          </w:tcPr>
          <w:p w14:paraId="21F45E20" w14:textId="77777777" w:rsidR="00404FF6" w:rsidRPr="002650CA" w:rsidRDefault="00404FF6">
            <w:pPr>
              <w:rPr>
                <w:rFonts w:cs="Arial"/>
                <w:b w:val="0"/>
                <w:sz w:val="20"/>
                <w:szCs w:val="20"/>
              </w:rPr>
            </w:pPr>
            <w:r w:rsidRPr="002650CA">
              <w:rPr>
                <w:rFonts w:cs="Arial"/>
                <w:sz w:val="20"/>
                <w:szCs w:val="20"/>
              </w:rPr>
              <w:t>Construction and CAPEX</w:t>
            </w:r>
          </w:p>
        </w:tc>
      </w:tr>
      <w:tr w:rsidR="00404FF6" w:rsidRPr="00192F41" w14:paraId="115F51F0"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3F109687" w14:textId="77777777" w:rsidR="00404FF6" w:rsidRPr="00BD137D" w:rsidRDefault="00404FF6" w:rsidP="00FC3923">
            <w:pPr>
              <w:spacing w:before="40" w:after="40"/>
              <w:rPr>
                <w:rFonts w:cs="Arial"/>
                <w:sz w:val="20"/>
                <w:szCs w:val="20"/>
              </w:rPr>
            </w:pPr>
            <w:r w:rsidRPr="00BD137D">
              <w:rPr>
                <w:rFonts w:cs="Arial"/>
                <w:color w:val="000000" w:themeColor="text1"/>
                <w:sz w:val="20"/>
                <w:szCs w:val="20"/>
              </w:rPr>
              <w:t>The risk</w:t>
            </w:r>
          </w:p>
        </w:tc>
        <w:tc>
          <w:tcPr>
            <w:tcW w:w="7938" w:type="dxa"/>
          </w:tcPr>
          <w:p w14:paraId="5D635CF0" w14:textId="62528FC0" w:rsidR="00404FF6" w:rsidRPr="009E5BF1" w:rsidRDefault="00E51E39" w:rsidP="009E5BF1">
            <w:pPr>
              <w:spacing w:before="40" w:after="120"/>
              <w:ind w:right="115"/>
              <w:jc w:val="both"/>
              <w:rPr>
                <w:rFonts w:cs="Arial"/>
                <w:color w:val="000000"/>
                <w:sz w:val="20"/>
                <w:szCs w:val="20"/>
              </w:rPr>
            </w:pPr>
            <w:r>
              <w:rPr>
                <w:rFonts w:cs="Arial"/>
                <w:color w:val="000000"/>
                <w:sz w:val="20"/>
                <w:szCs w:val="20"/>
              </w:rPr>
              <w:t>SRW is proposing a $125</w:t>
            </w:r>
            <w:r w:rsidR="00C70259">
              <w:rPr>
                <w:rFonts w:cs="Arial"/>
                <w:color w:val="000000"/>
                <w:sz w:val="20"/>
                <w:szCs w:val="20"/>
              </w:rPr>
              <w:t xml:space="preserve"> </w:t>
            </w:r>
            <w:r>
              <w:rPr>
                <w:rFonts w:cs="Arial"/>
                <w:color w:val="000000"/>
                <w:sz w:val="20"/>
                <w:szCs w:val="20"/>
              </w:rPr>
              <w:t>m</w:t>
            </w:r>
            <w:r w:rsidR="00C70259">
              <w:rPr>
                <w:rFonts w:cs="Arial"/>
                <w:color w:val="000000"/>
                <w:sz w:val="20"/>
                <w:szCs w:val="20"/>
              </w:rPr>
              <w:t>illion</w:t>
            </w:r>
            <w:r>
              <w:rPr>
                <w:rFonts w:cs="Arial"/>
                <w:color w:val="000000"/>
                <w:sz w:val="20"/>
                <w:szCs w:val="20"/>
              </w:rPr>
              <w:t xml:space="preserve"> CAPEX program over the regulatory period, comprising $5</w:t>
            </w:r>
            <w:r w:rsidR="00B24A10">
              <w:rPr>
                <w:rFonts w:cs="Arial"/>
                <w:color w:val="000000"/>
                <w:sz w:val="20"/>
                <w:szCs w:val="20"/>
              </w:rPr>
              <w:t>4</w:t>
            </w:r>
            <w:r w:rsidR="00C70259">
              <w:rPr>
                <w:rFonts w:cs="Arial"/>
                <w:color w:val="000000"/>
                <w:sz w:val="20"/>
                <w:szCs w:val="20"/>
              </w:rPr>
              <w:t xml:space="preserve"> </w:t>
            </w:r>
            <w:r>
              <w:rPr>
                <w:rFonts w:cs="Arial"/>
                <w:color w:val="000000"/>
                <w:sz w:val="20"/>
                <w:szCs w:val="20"/>
              </w:rPr>
              <w:t>m</w:t>
            </w:r>
            <w:r w:rsidR="00C70259">
              <w:rPr>
                <w:rFonts w:cs="Arial"/>
                <w:color w:val="000000"/>
                <w:sz w:val="20"/>
                <w:szCs w:val="20"/>
              </w:rPr>
              <w:t>illion</w:t>
            </w:r>
            <w:r>
              <w:rPr>
                <w:rFonts w:cs="Arial"/>
                <w:color w:val="000000"/>
                <w:sz w:val="20"/>
                <w:szCs w:val="20"/>
              </w:rPr>
              <w:t xml:space="preserve"> in modernisation and $71</w:t>
            </w:r>
            <w:r w:rsidR="00C70259">
              <w:rPr>
                <w:rFonts w:cs="Arial"/>
                <w:color w:val="000000"/>
                <w:sz w:val="20"/>
                <w:szCs w:val="20"/>
              </w:rPr>
              <w:t xml:space="preserve"> </w:t>
            </w:r>
            <w:r>
              <w:rPr>
                <w:rFonts w:cs="Arial"/>
                <w:color w:val="000000"/>
                <w:sz w:val="20"/>
                <w:szCs w:val="20"/>
              </w:rPr>
              <w:t>m</w:t>
            </w:r>
            <w:r w:rsidR="00C70259">
              <w:rPr>
                <w:rFonts w:cs="Arial"/>
                <w:color w:val="000000"/>
                <w:sz w:val="20"/>
                <w:szCs w:val="20"/>
              </w:rPr>
              <w:t>illion</w:t>
            </w:r>
            <w:r>
              <w:rPr>
                <w:rFonts w:cs="Arial"/>
                <w:color w:val="000000"/>
                <w:sz w:val="20"/>
                <w:szCs w:val="20"/>
              </w:rPr>
              <w:t xml:space="preserve"> in renewals.</w:t>
            </w:r>
          </w:p>
          <w:p w14:paraId="3879E42E" w14:textId="537B352E" w:rsidR="00404FF6" w:rsidRDefault="00404FF6" w:rsidP="009E5BF1">
            <w:pPr>
              <w:pStyle w:val="Bulletpointparagraph"/>
              <w:numPr>
                <w:ilvl w:val="0"/>
                <w:numId w:val="0"/>
              </w:numPr>
              <w:spacing w:before="40" w:after="120"/>
              <w:ind w:left="25" w:right="115"/>
              <w:jc w:val="both"/>
              <w:rPr>
                <w:rFonts w:cs="Arial"/>
                <w:sz w:val="20"/>
                <w:szCs w:val="20"/>
              </w:rPr>
            </w:pPr>
            <w:r w:rsidRPr="00192F41">
              <w:rPr>
                <w:rFonts w:cs="Arial"/>
                <w:sz w:val="20"/>
                <w:szCs w:val="20"/>
              </w:rPr>
              <w:t xml:space="preserve">See </w:t>
            </w:r>
            <w:r w:rsidR="00C70259">
              <w:rPr>
                <w:rFonts w:cs="Arial"/>
                <w:sz w:val="20"/>
                <w:szCs w:val="20"/>
              </w:rPr>
              <w:t>S</w:t>
            </w:r>
            <w:r w:rsidRPr="00192F41">
              <w:rPr>
                <w:rFonts w:cs="Arial"/>
                <w:sz w:val="20"/>
                <w:szCs w:val="20"/>
              </w:rPr>
              <w:t>ection 8 for more details on CAPEX.</w:t>
            </w:r>
          </w:p>
          <w:p w14:paraId="47F15BE6" w14:textId="06ED5CC1" w:rsidR="00404FF6" w:rsidRPr="00192F41" w:rsidRDefault="005C17FE" w:rsidP="00BD137D">
            <w:pPr>
              <w:pStyle w:val="Bulletpointparagraph"/>
              <w:numPr>
                <w:ilvl w:val="0"/>
                <w:numId w:val="0"/>
              </w:numPr>
              <w:spacing w:before="40" w:after="40"/>
              <w:ind w:left="25" w:right="115"/>
              <w:jc w:val="both"/>
              <w:rPr>
                <w:rFonts w:cs="Arial"/>
                <w:sz w:val="20"/>
                <w:szCs w:val="20"/>
              </w:rPr>
            </w:pPr>
            <w:r>
              <w:rPr>
                <w:rFonts w:cs="Arial"/>
                <w:sz w:val="20"/>
                <w:szCs w:val="20"/>
              </w:rPr>
              <w:t xml:space="preserve">The capacity to complete capital works projects has been affected by COVID-19 restrictions and capacity restraints in the current regulatory period. </w:t>
            </w:r>
            <w:r w:rsidR="00706DF0">
              <w:rPr>
                <w:rFonts w:cs="Arial"/>
                <w:sz w:val="20"/>
                <w:szCs w:val="20"/>
              </w:rPr>
              <w:t>SRW expects these conditions to continue for at least the early part of the next regulatory period.</w:t>
            </w:r>
          </w:p>
        </w:tc>
      </w:tr>
      <w:tr w:rsidR="00404FF6" w:rsidRPr="00192F41" w14:paraId="2F4E3664" w14:textId="77777777">
        <w:tc>
          <w:tcPr>
            <w:tcW w:w="1843" w:type="dxa"/>
          </w:tcPr>
          <w:p w14:paraId="10D70D54" w14:textId="77777777" w:rsidR="00404FF6" w:rsidRPr="00BD137D" w:rsidRDefault="00404FF6" w:rsidP="00FC3923">
            <w:pPr>
              <w:spacing w:before="40" w:after="40"/>
              <w:rPr>
                <w:rFonts w:cs="Arial"/>
                <w:sz w:val="20"/>
                <w:szCs w:val="20"/>
              </w:rPr>
            </w:pPr>
            <w:r w:rsidRPr="00BD137D">
              <w:rPr>
                <w:rFonts w:cs="Arial"/>
                <w:sz w:val="20"/>
                <w:szCs w:val="20"/>
              </w:rPr>
              <w:t>Controls</w:t>
            </w:r>
          </w:p>
        </w:tc>
        <w:tc>
          <w:tcPr>
            <w:tcW w:w="7938" w:type="dxa"/>
          </w:tcPr>
          <w:p w14:paraId="2526F847" w14:textId="77777777" w:rsidR="00404FF6" w:rsidRPr="00DB1CE3" w:rsidRDefault="00404FF6" w:rsidP="00BD137D">
            <w:pPr>
              <w:pStyle w:val="Bulletpointparagraph"/>
              <w:spacing w:before="40" w:after="40"/>
              <w:ind w:left="360" w:right="115"/>
              <w:jc w:val="both"/>
              <w:rPr>
                <w:rFonts w:cs="Arial"/>
                <w:sz w:val="20"/>
                <w:szCs w:val="20"/>
              </w:rPr>
            </w:pPr>
            <w:r w:rsidRPr="00DB1CE3">
              <w:rPr>
                <w:rFonts w:cs="Arial"/>
                <w:sz w:val="20"/>
                <w:szCs w:val="20"/>
              </w:rPr>
              <w:t>Business cases have been prepared for the top 10 projects.</w:t>
            </w:r>
          </w:p>
          <w:p w14:paraId="630F8E70" w14:textId="77777777" w:rsidR="00404FF6" w:rsidRPr="00DB1CE3" w:rsidRDefault="00404FF6" w:rsidP="00BD137D">
            <w:pPr>
              <w:pStyle w:val="Bulletpointparagraph"/>
              <w:spacing w:before="40" w:after="40"/>
              <w:ind w:left="360" w:right="115"/>
              <w:jc w:val="both"/>
              <w:rPr>
                <w:rFonts w:cs="Arial"/>
                <w:sz w:val="20"/>
                <w:szCs w:val="20"/>
              </w:rPr>
            </w:pPr>
            <w:r w:rsidRPr="00DB1CE3">
              <w:rPr>
                <w:rFonts w:cs="Arial"/>
                <w:sz w:val="20"/>
                <w:szCs w:val="20"/>
              </w:rPr>
              <w:t>P50 cost estimates have been prepared for the top 10 projects.</w:t>
            </w:r>
          </w:p>
          <w:p w14:paraId="66D845F0" w14:textId="35038EBA" w:rsidR="00404FF6" w:rsidRPr="00DB1CE3" w:rsidRDefault="00404FF6" w:rsidP="00BD137D">
            <w:pPr>
              <w:pStyle w:val="Bulletpointparagraph"/>
              <w:spacing w:before="40" w:after="40"/>
              <w:ind w:left="360" w:right="115"/>
              <w:jc w:val="both"/>
              <w:rPr>
                <w:rFonts w:cs="Arial"/>
                <w:sz w:val="20"/>
                <w:szCs w:val="20"/>
              </w:rPr>
            </w:pPr>
            <w:r w:rsidRPr="00DB1CE3">
              <w:rPr>
                <w:rFonts w:cs="Arial"/>
                <w:sz w:val="20"/>
                <w:szCs w:val="20"/>
              </w:rPr>
              <w:t>Projects have been subject to a rigorous risk</w:t>
            </w:r>
            <w:r w:rsidR="005C17FE">
              <w:rPr>
                <w:rFonts w:cs="Arial"/>
                <w:sz w:val="20"/>
                <w:szCs w:val="20"/>
              </w:rPr>
              <w:t>-</w:t>
            </w:r>
            <w:r w:rsidRPr="00DB1CE3">
              <w:rPr>
                <w:rFonts w:cs="Arial"/>
                <w:sz w:val="20"/>
                <w:szCs w:val="20"/>
              </w:rPr>
              <w:t>based prioritisation assessment with a focus on compliance and committed projects.</w:t>
            </w:r>
          </w:p>
          <w:p w14:paraId="30F6926A" w14:textId="77777777" w:rsidR="000110E4" w:rsidRPr="00DB1CE3" w:rsidRDefault="00404FF6" w:rsidP="00BD137D">
            <w:pPr>
              <w:pStyle w:val="Bulletpointparagraph"/>
              <w:spacing w:before="40" w:after="40"/>
              <w:ind w:left="360" w:right="115"/>
              <w:jc w:val="both"/>
              <w:rPr>
                <w:rFonts w:cs="Arial"/>
                <w:sz w:val="20"/>
                <w:szCs w:val="20"/>
              </w:rPr>
            </w:pPr>
            <w:r w:rsidRPr="00DB1CE3">
              <w:rPr>
                <w:rFonts w:cs="Arial"/>
                <w:sz w:val="20"/>
                <w:szCs w:val="20"/>
              </w:rPr>
              <w:t>Projects that lack certainty/business cases have been deferred</w:t>
            </w:r>
            <w:r w:rsidR="000110E4" w:rsidRPr="00DB1CE3">
              <w:rPr>
                <w:rFonts w:cs="Arial"/>
                <w:sz w:val="20"/>
                <w:szCs w:val="20"/>
              </w:rPr>
              <w:t>.</w:t>
            </w:r>
          </w:p>
          <w:p w14:paraId="2249A44D" w14:textId="03623D1F" w:rsidR="00404FF6" w:rsidRPr="00DB1CE3" w:rsidRDefault="0093351D" w:rsidP="00BD137D">
            <w:pPr>
              <w:pStyle w:val="Bulletpointparagraph"/>
              <w:spacing w:before="40" w:after="40"/>
              <w:ind w:left="360" w:right="115"/>
              <w:jc w:val="both"/>
              <w:rPr>
                <w:rFonts w:cs="Arial"/>
                <w:sz w:val="20"/>
                <w:szCs w:val="20"/>
              </w:rPr>
            </w:pPr>
            <w:r>
              <w:rPr>
                <w:rFonts w:cs="Arial"/>
                <w:sz w:val="20"/>
                <w:szCs w:val="20"/>
              </w:rPr>
              <w:t>Project reprioritisation</w:t>
            </w:r>
            <w:r w:rsidR="00CA64A6">
              <w:rPr>
                <w:rFonts w:cs="Arial"/>
                <w:sz w:val="20"/>
                <w:szCs w:val="20"/>
              </w:rPr>
              <w:t>.</w:t>
            </w:r>
          </w:p>
          <w:p w14:paraId="3720F0C7" w14:textId="7BDEB13E" w:rsidR="00CA64A6" w:rsidRPr="00DB1CE3" w:rsidRDefault="00B401D7" w:rsidP="00BD137D">
            <w:pPr>
              <w:pStyle w:val="Bulletpointparagraph"/>
              <w:spacing w:before="40" w:after="40"/>
              <w:ind w:left="360" w:right="115"/>
              <w:jc w:val="both"/>
              <w:rPr>
                <w:rFonts w:cs="Arial"/>
                <w:sz w:val="20"/>
                <w:szCs w:val="20"/>
              </w:rPr>
            </w:pPr>
            <w:r>
              <w:rPr>
                <w:rFonts w:cs="Arial"/>
                <w:sz w:val="20"/>
                <w:szCs w:val="20"/>
              </w:rPr>
              <w:t xml:space="preserve">Increased </w:t>
            </w:r>
            <w:r w:rsidR="24D4E25F" w:rsidRPr="6B20A4EE">
              <w:rPr>
                <w:rFonts w:cs="Arial"/>
                <w:sz w:val="20"/>
                <w:szCs w:val="20"/>
              </w:rPr>
              <w:t>borrow</w:t>
            </w:r>
            <w:r w:rsidR="441DF72E" w:rsidRPr="6B20A4EE">
              <w:rPr>
                <w:rFonts w:cs="Arial"/>
                <w:sz w:val="20"/>
                <w:szCs w:val="20"/>
              </w:rPr>
              <w:t>ing</w:t>
            </w:r>
            <w:r w:rsidR="24D4E25F" w:rsidRPr="6B20A4EE">
              <w:rPr>
                <w:rFonts w:cs="Arial"/>
                <w:sz w:val="20"/>
                <w:szCs w:val="20"/>
              </w:rPr>
              <w:t>s</w:t>
            </w:r>
            <w:r w:rsidR="002474B1">
              <w:rPr>
                <w:rFonts w:cs="Arial"/>
                <w:sz w:val="20"/>
                <w:szCs w:val="20"/>
              </w:rPr>
              <w:t xml:space="preserve"> to be offset in future submissions.</w:t>
            </w:r>
          </w:p>
          <w:p w14:paraId="3122D355" w14:textId="568F1A0B" w:rsidR="18B33A86" w:rsidRDefault="18B33A86" w:rsidP="00BD137D">
            <w:pPr>
              <w:pStyle w:val="Bulletpointparagraph"/>
              <w:spacing w:before="40" w:after="40"/>
              <w:ind w:left="360" w:right="115"/>
              <w:jc w:val="both"/>
              <w:rPr>
                <w:sz w:val="20"/>
                <w:szCs w:val="20"/>
              </w:rPr>
            </w:pPr>
            <w:r w:rsidRPr="6B20A4EE">
              <w:rPr>
                <w:rFonts w:cs="Arial"/>
                <w:sz w:val="20"/>
                <w:szCs w:val="20"/>
              </w:rPr>
              <w:t>Contract controls</w:t>
            </w:r>
            <w:r w:rsidR="3E7F066A" w:rsidRPr="6B20A4EE">
              <w:rPr>
                <w:rFonts w:cs="Arial"/>
                <w:sz w:val="20"/>
                <w:szCs w:val="20"/>
              </w:rPr>
              <w:t xml:space="preserve"> to ensure contractors </w:t>
            </w:r>
            <w:r w:rsidR="5C765E34" w:rsidRPr="6B20A4EE">
              <w:rPr>
                <w:rFonts w:cs="Arial"/>
                <w:sz w:val="20"/>
                <w:szCs w:val="20"/>
              </w:rPr>
              <w:t xml:space="preserve">manage (and </w:t>
            </w:r>
            <w:r w:rsidR="3E7F066A" w:rsidRPr="6B20A4EE">
              <w:rPr>
                <w:rFonts w:cs="Arial"/>
                <w:sz w:val="20"/>
                <w:szCs w:val="20"/>
              </w:rPr>
              <w:t>are accountable for</w:t>
            </w:r>
            <w:r w:rsidR="5D901144" w:rsidRPr="6B20A4EE">
              <w:rPr>
                <w:rFonts w:cs="Arial"/>
                <w:sz w:val="20"/>
                <w:szCs w:val="20"/>
              </w:rPr>
              <w:t xml:space="preserve">) </w:t>
            </w:r>
            <w:r w:rsidR="6F473759" w:rsidRPr="6B20A4EE">
              <w:rPr>
                <w:rFonts w:cs="Arial"/>
                <w:sz w:val="20"/>
                <w:szCs w:val="20"/>
              </w:rPr>
              <w:t xml:space="preserve">delivery </w:t>
            </w:r>
            <w:r w:rsidR="5D901144" w:rsidRPr="6B20A4EE">
              <w:rPr>
                <w:rFonts w:cs="Arial"/>
                <w:sz w:val="20"/>
                <w:szCs w:val="20"/>
              </w:rPr>
              <w:t>risks</w:t>
            </w:r>
            <w:r w:rsidR="63FD2D76" w:rsidRPr="6B20A4EE">
              <w:rPr>
                <w:rFonts w:cs="Arial"/>
                <w:sz w:val="20"/>
                <w:szCs w:val="20"/>
              </w:rPr>
              <w:t>.</w:t>
            </w:r>
          </w:p>
          <w:p w14:paraId="346F5CF7" w14:textId="1BB3317D" w:rsidR="00404FF6" w:rsidRPr="00192F41" w:rsidRDefault="0081499D" w:rsidP="00BD137D">
            <w:pPr>
              <w:pStyle w:val="Bulletpointparagraph"/>
              <w:spacing w:before="40" w:after="40"/>
              <w:ind w:left="360" w:right="115"/>
              <w:jc w:val="both"/>
              <w:rPr>
                <w:rFonts w:cs="Arial"/>
              </w:rPr>
            </w:pPr>
            <w:r w:rsidRPr="00DB1CE3">
              <w:rPr>
                <w:rFonts w:cs="Arial"/>
                <w:sz w:val="20"/>
                <w:szCs w:val="20"/>
              </w:rPr>
              <w:t>KBR w</w:t>
            </w:r>
            <w:r>
              <w:rPr>
                <w:rFonts w:cs="Arial"/>
                <w:sz w:val="20"/>
                <w:szCs w:val="20"/>
              </w:rPr>
              <w:t>as</w:t>
            </w:r>
            <w:r w:rsidRPr="00DB1CE3">
              <w:rPr>
                <w:rFonts w:cs="Arial"/>
                <w:sz w:val="20"/>
                <w:szCs w:val="20"/>
              </w:rPr>
              <w:t xml:space="preserve"> engaged to </w:t>
            </w:r>
            <w:r>
              <w:rPr>
                <w:rFonts w:cs="Arial"/>
                <w:sz w:val="20"/>
                <w:szCs w:val="20"/>
              </w:rPr>
              <w:t>support</w:t>
            </w:r>
            <w:r w:rsidRPr="52B12668">
              <w:rPr>
                <w:rFonts w:cs="Arial"/>
                <w:sz w:val="20"/>
                <w:szCs w:val="20"/>
              </w:rPr>
              <w:t xml:space="preserve"> </w:t>
            </w:r>
            <w:r>
              <w:rPr>
                <w:rFonts w:cs="Arial"/>
                <w:sz w:val="20"/>
                <w:szCs w:val="20"/>
              </w:rPr>
              <w:t>business case development</w:t>
            </w:r>
            <w:r w:rsidRPr="00DB1CE3">
              <w:rPr>
                <w:rFonts w:cs="Arial"/>
                <w:sz w:val="20"/>
                <w:szCs w:val="20"/>
              </w:rPr>
              <w:t>.</w:t>
            </w:r>
          </w:p>
        </w:tc>
      </w:tr>
      <w:tr w:rsidR="00404FF6" w:rsidRPr="00192F41" w14:paraId="4940BE6E"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668958D1" w14:textId="77777777" w:rsidR="00404FF6" w:rsidRPr="00BD137D" w:rsidRDefault="00404FF6" w:rsidP="00FC3923">
            <w:pPr>
              <w:spacing w:before="40" w:after="40"/>
              <w:rPr>
                <w:rFonts w:cs="Arial"/>
                <w:sz w:val="20"/>
                <w:szCs w:val="20"/>
              </w:rPr>
            </w:pPr>
            <w:r w:rsidRPr="00BD137D">
              <w:rPr>
                <w:rFonts w:cs="Arial"/>
                <w:sz w:val="20"/>
                <w:szCs w:val="20"/>
              </w:rPr>
              <w:t>Monitoring</w:t>
            </w:r>
          </w:p>
        </w:tc>
        <w:tc>
          <w:tcPr>
            <w:tcW w:w="7938" w:type="dxa"/>
          </w:tcPr>
          <w:p w14:paraId="1B34878C" w14:textId="01219271" w:rsidR="00404FF6" w:rsidRPr="00192F41" w:rsidRDefault="00404FF6" w:rsidP="00BD137D">
            <w:pPr>
              <w:spacing w:before="40" w:after="40"/>
              <w:ind w:right="115"/>
              <w:jc w:val="both"/>
              <w:rPr>
                <w:rFonts w:cs="Arial"/>
                <w:sz w:val="20"/>
                <w:szCs w:val="20"/>
              </w:rPr>
            </w:pPr>
            <w:r w:rsidRPr="00192F41">
              <w:rPr>
                <w:rFonts w:cs="Arial"/>
                <w:sz w:val="20"/>
                <w:szCs w:val="20"/>
              </w:rPr>
              <w:t xml:space="preserve">Capital delivery will be monitored via </w:t>
            </w:r>
            <w:r w:rsidR="00706DF0">
              <w:rPr>
                <w:rFonts w:cs="Arial"/>
                <w:sz w:val="20"/>
                <w:szCs w:val="20"/>
              </w:rPr>
              <w:t xml:space="preserve">detailed </w:t>
            </w:r>
            <w:r w:rsidRPr="00192F41">
              <w:rPr>
                <w:rFonts w:cs="Arial"/>
                <w:sz w:val="20"/>
                <w:szCs w:val="20"/>
              </w:rPr>
              <w:t xml:space="preserve">reports to </w:t>
            </w:r>
            <w:r w:rsidR="00706DF0">
              <w:rPr>
                <w:rFonts w:cs="Arial"/>
                <w:sz w:val="20"/>
                <w:szCs w:val="20"/>
              </w:rPr>
              <w:t xml:space="preserve">senior management and </w:t>
            </w:r>
            <w:r w:rsidRPr="00192F41">
              <w:rPr>
                <w:rFonts w:cs="Arial"/>
                <w:sz w:val="20"/>
                <w:szCs w:val="20"/>
              </w:rPr>
              <w:t>the board’s Asset Governance Committee.</w:t>
            </w:r>
            <w:r w:rsidR="00B64AFE">
              <w:rPr>
                <w:rFonts w:cs="Arial"/>
                <w:sz w:val="20"/>
                <w:szCs w:val="20"/>
              </w:rPr>
              <w:t xml:space="preserve"> </w:t>
            </w:r>
            <w:r w:rsidRPr="00192F41">
              <w:rPr>
                <w:rFonts w:cs="Arial"/>
                <w:sz w:val="20"/>
                <w:szCs w:val="20"/>
              </w:rPr>
              <w:t>Capital expenditure is monitored through regular financial reporting to the board.</w:t>
            </w:r>
          </w:p>
        </w:tc>
      </w:tr>
      <w:tr w:rsidR="00404FF6" w:rsidRPr="00192F41" w14:paraId="7F635810" w14:textId="77777777" w:rsidTr="00204FD1">
        <w:trPr>
          <w:trHeight w:val="395"/>
        </w:trPr>
        <w:tc>
          <w:tcPr>
            <w:tcW w:w="1843" w:type="dxa"/>
          </w:tcPr>
          <w:p w14:paraId="53D6611E" w14:textId="77777777" w:rsidR="00404FF6" w:rsidRPr="00BD137D" w:rsidRDefault="00404FF6" w:rsidP="00FC3923">
            <w:pPr>
              <w:spacing w:before="40" w:after="40"/>
              <w:rPr>
                <w:rFonts w:cs="Arial"/>
                <w:sz w:val="20"/>
                <w:szCs w:val="20"/>
              </w:rPr>
            </w:pPr>
            <w:r w:rsidRPr="00BD137D">
              <w:rPr>
                <w:rFonts w:cs="Arial"/>
                <w:sz w:val="20"/>
                <w:szCs w:val="20"/>
              </w:rPr>
              <w:t>Risk allocation</w:t>
            </w:r>
          </w:p>
        </w:tc>
        <w:tc>
          <w:tcPr>
            <w:tcW w:w="7938" w:type="dxa"/>
          </w:tcPr>
          <w:p w14:paraId="6258AFF6" w14:textId="12AF8518" w:rsidR="00404FF6" w:rsidRPr="00192F41" w:rsidRDefault="00404FF6" w:rsidP="00BD137D">
            <w:pPr>
              <w:spacing w:before="40" w:after="40"/>
              <w:ind w:right="115"/>
              <w:jc w:val="both"/>
              <w:rPr>
                <w:rFonts w:cs="Arial"/>
                <w:sz w:val="20"/>
                <w:szCs w:val="20"/>
              </w:rPr>
            </w:pPr>
            <w:r w:rsidRPr="00192F41">
              <w:rPr>
                <w:rFonts w:cs="Arial"/>
                <w:sz w:val="20"/>
                <w:szCs w:val="20"/>
              </w:rPr>
              <w:t xml:space="preserve">SRW bears the initial risk of the program, noting that there is the ability to defer or </w:t>
            </w:r>
            <w:r w:rsidRPr="00F82275">
              <w:rPr>
                <w:rFonts w:cs="Arial"/>
                <w:sz w:val="20"/>
                <w:szCs w:val="20"/>
              </w:rPr>
              <w:t>re</w:t>
            </w:r>
            <w:r w:rsidR="00706DF0">
              <w:rPr>
                <w:rFonts w:cs="Arial"/>
                <w:sz w:val="20"/>
                <w:szCs w:val="20"/>
              </w:rPr>
              <w:t>-</w:t>
            </w:r>
            <w:r w:rsidRPr="00F82275">
              <w:rPr>
                <w:rFonts w:cs="Arial"/>
                <w:sz w:val="20"/>
                <w:szCs w:val="20"/>
              </w:rPr>
              <w:t>scope</w:t>
            </w:r>
            <w:r w:rsidRPr="00192F41">
              <w:rPr>
                <w:rFonts w:cs="Arial"/>
                <w:sz w:val="20"/>
                <w:szCs w:val="20"/>
              </w:rPr>
              <w:t xml:space="preserve"> projects.</w:t>
            </w:r>
          </w:p>
        </w:tc>
      </w:tr>
      <w:tr w:rsidR="00404FF6" w:rsidRPr="00192F41" w14:paraId="6CEEEC04"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21366D01" w14:textId="77777777" w:rsidR="00404FF6" w:rsidRPr="00BD137D" w:rsidRDefault="00404FF6" w:rsidP="00FC3923">
            <w:pPr>
              <w:spacing w:before="40" w:after="40"/>
              <w:rPr>
                <w:rFonts w:cs="Arial"/>
                <w:sz w:val="20"/>
                <w:szCs w:val="20"/>
              </w:rPr>
            </w:pPr>
            <w:r w:rsidRPr="00BD137D">
              <w:rPr>
                <w:rFonts w:cs="Arial"/>
                <w:sz w:val="20"/>
                <w:szCs w:val="20"/>
              </w:rPr>
              <w:t>Residual risk</w:t>
            </w:r>
          </w:p>
        </w:tc>
        <w:tc>
          <w:tcPr>
            <w:tcW w:w="7938" w:type="dxa"/>
            <w:tcBorders>
              <w:bottom w:val="single" w:sz="4" w:space="0" w:color="auto"/>
            </w:tcBorders>
          </w:tcPr>
          <w:p w14:paraId="40007756" w14:textId="2EE23D39" w:rsidR="00404FF6" w:rsidRPr="00192F41" w:rsidRDefault="00404FF6" w:rsidP="00172664">
            <w:pPr>
              <w:spacing w:before="40" w:after="40"/>
              <w:ind w:right="115"/>
              <w:jc w:val="both"/>
              <w:rPr>
                <w:rFonts w:cs="Arial"/>
                <w:sz w:val="20"/>
                <w:szCs w:val="20"/>
              </w:rPr>
            </w:pPr>
            <w:r w:rsidRPr="00192F41">
              <w:rPr>
                <w:rFonts w:cs="Arial"/>
                <w:sz w:val="20"/>
                <w:szCs w:val="20"/>
              </w:rPr>
              <w:t xml:space="preserve">Moderate risk given the </w:t>
            </w:r>
            <w:r w:rsidR="00AF3E37">
              <w:rPr>
                <w:rFonts w:cs="Arial"/>
                <w:sz w:val="20"/>
                <w:szCs w:val="20"/>
              </w:rPr>
              <w:t>extent of (asset planning) preparatory work undertaken by SRW, and the shovel-ready nature of all large projects (business case completed by start of regulatory period). We also note SRW’s capacity to manage</w:t>
            </w:r>
            <w:r w:rsidRPr="00192F41">
              <w:rPr>
                <w:rFonts w:cs="Arial"/>
                <w:sz w:val="20"/>
                <w:szCs w:val="20"/>
              </w:rPr>
              <w:t xml:space="preserve"> the </w:t>
            </w:r>
            <w:r w:rsidRPr="00F82275">
              <w:rPr>
                <w:rFonts w:cs="Arial"/>
                <w:sz w:val="20"/>
                <w:szCs w:val="20"/>
              </w:rPr>
              <w:t>risk</w:t>
            </w:r>
            <w:r w:rsidRPr="00192F41">
              <w:rPr>
                <w:rFonts w:cs="Arial"/>
                <w:sz w:val="20"/>
                <w:szCs w:val="20"/>
              </w:rPr>
              <w:t xml:space="preserve"> through our ability to reprioritise/rescope projects.</w:t>
            </w:r>
          </w:p>
        </w:tc>
      </w:tr>
    </w:tbl>
    <w:p w14:paraId="23718EB7" w14:textId="7FFA032E" w:rsidR="00782C5C" w:rsidRDefault="00782C5C" w:rsidP="00DF392E">
      <w:pPr>
        <w:rPr>
          <w:rStyle w:val="IntenseReference"/>
          <w:rFonts w:cs="Arial"/>
        </w:rPr>
      </w:pPr>
    </w:p>
    <w:p w14:paraId="35590103" w14:textId="77777777" w:rsidR="00782C5C" w:rsidRDefault="00782C5C">
      <w:pPr>
        <w:rPr>
          <w:rStyle w:val="IntenseReference"/>
          <w:rFonts w:cs="Arial"/>
        </w:rPr>
      </w:pPr>
      <w:r>
        <w:rPr>
          <w:rStyle w:val="IntenseReference"/>
          <w:rFonts w:cs="Arial"/>
        </w:rPr>
        <w:br w:type="page"/>
      </w:r>
    </w:p>
    <w:tbl>
      <w:tblPr>
        <w:tblStyle w:val="Tealheader-Grayrows1"/>
        <w:tblW w:w="9781" w:type="dxa"/>
        <w:tblLook w:val="04A0" w:firstRow="1" w:lastRow="0" w:firstColumn="1" w:lastColumn="0" w:noHBand="0" w:noVBand="1"/>
      </w:tblPr>
      <w:tblGrid>
        <w:gridCol w:w="1843"/>
        <w:gridCol w:w="7938"/>
      </w:tblGrid>
      <w:tr w:rsidR="00404FF6" w:rsidRPr="00192F41" w14:paraId="0D28DADE"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0F7DB109" w14:textId="77777777" w:rsidR="00404FF6" w:rsidRPr="002650CA" w:rsidRDefault="00404FF6" w:rsidP="00FC3923">
            <w:pPr>
              <w:spacing w:before="40" w:after="40"/>
              <w:rPr>
                <w:rFonts w:cs="Arial"/>
                <w:b w:val="0"/>
                <w:sz w:val="20"/>
                <w:szCs w:val="20"/>
              </w:rPr>
            </w:pPr>
            <w:r w:rsidRPr="002650CA">
              <w:rPr>
                <w:rFonts w:cs="Arial"/>
                <w:sz w:val="20"/>
                <w:szCs w:val="20"/>
              </w:rPr>
              <w:t>Risk</w:t>
            </w:r>
          </w:p>
        </w:tc>
        <w:tc>
          <w:tcPr>
            <w:tcW w:w="7938" w:type="dxa"/>
          </w:tcPr>
          <w:p w14:paraId="63FD72C5" w14:textId="77777777" w:rsidR="00404FF6" w:rsidRPr="002650CA" w:rsidRDefault="00404FF6" w:rsidP="00FC3923">
            <w:pPr>
              <w:spacing w:before="40" w:after="40"/>
              <w:rPr>
                <w:rFonts w:cs="Arial"/>
                <w:b w:val="0"/>
                <w:sz w:val="20"/>
                <w:szCs w:val="20"/>
              </w:rPr>
            </w:pPr>
            <w:r w:rsidRPr="002650CA">
              <w:rPr>
                <w:rFonts w:cs="Arial"/>
                <w:sz w:val="20"/>
                <w:szCs w:val="20"/>
              </w:rPr>
              <w:t>CPI</w:t>
            </w:r>
          </w:p>
        </w:tc>
      </w:tr>
      <w:tr w:rsidR="00404FF6" w:rsidRPr="00192F41" w14:paraId="71135965"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73612E51"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The risk</w:t>
            </w:r>
          </w:p>
        </w:tc>
        <w:tc>
          <w:tcPr>
            <w:tcW w:w="7938" w:type="dxa"/>
          </w:tcPr>
          <w:p w14:paraId="5E13B264" w14:textId="69D9F20E" w:rsidR="00AF3E37" w:rsidRPr="00C34116" w:rsidRDefault="00404FF6" w:rsidP="00431EA3">
            <w:pPr>
              <w:spacing w:before="40" w:after="120"/>
              <w:ind w:right="115"/>
              <w:jc w:val="both"/>
              <w:rPr>
                <w:rFonts w:cs="Arial"/>
                <w:color w:val="000000" w:themeColor="text1"/>
                <w:sz w:val="20"/>
                <w:szCs w:val="20"/>
              </w:rPr>
            </w:pPr>
            <w:r w:rsidRPr="00F17CDF">
              <w:rPr>
                <w:rFonts w:cs="Arial"/>
                <w:color w:val="000000" w:themeColor="text1"/>
                <w:sz w:val="20"/>
                <w:szCs w:val="20"/>
              </w:rPr>
              <w:t>The RBA Statement on Monetary Policy (May 2022) reports that the c</w:t>
            </w:r>
            <w:r w:rsidRPr="00C34116">
              <w:rPr>
                <w:rFonts w:cs="Arial"/>
                <w:color w:val="000000" w:themeColor="text1"/>
                <w:sz w:val="20"/>
                <w:szCs w:val="20"/>
              </w:rPr>
              <w:t xml:space="preserve">onsumer price inflation in Australia has picked up markedly since the middle of 2021. The headline inflation is forecast to peak </w:t>
            </w:r>
            <w:r w:rsidR="00252091" w:rsidRPr="00C34116">
              <w:rPr>
                <w:rFonts w:cs="Arial"/>
                <w:color w:val="000000" w:themeColor="text1"/>
                <w:sz w:val="20"/>
                <w:szCs w:val="20"/>
              </w:rPr>
              <w:t>at</w:t>
            </w:r>
            <w:r w:rsidRPr="00C34116">
              <w:rPr>
                <w:rFonts w:cs="Arial"/>
                <w:color w:val="000000" w:themeColor="text1"/>
                <w:sz w:val="20"/>
                <w:szCs w:val="20"/>
              </w:rPr>
              <w:t xml:space="preserve"> around 6% and the underlying rate at 4</w:t>
            </w:r>
            <w:r w:rsidR="00981CC6" w:rsidRPr="00C34116">
              <w:rPr>
                <w:rFonts w:cs="Arial"/>
                <w:color w:val="000000" w:themeColor="text1"/>
                <w:sz w:val="20"/>
                <w:szCs w:val="20"/>
              </w:rPr>
              <w:t>.75</w:t>
            </w:r>
            <w:r w:rsidRPr="00C34116">
              <w:rPr>
                <w:rFonts w:cs="Arial"/>
                <w:color w:val="000000" w:themeColor="text1"/>
                <w:sz w:val="20"/>
                <w:szCs w:val="20"/>
              </w:rPr>
              <w:t>% in the second half of 2022. As some of the current cost pressures reflect supply bottlenecks domestically and abroad and are likely to moderate over time, headline and underlying inflation are forecast to return to the top of the 2%-3% range by 2024 with higher labour costs expected to become the primary driver of inflation outcomes later in the forecast period.</w:t>
            </w:r>
          </w:p>
          <w:p w14:paraId="1F744C00" w14:textId="38538B4D" w:rsidR="0002023E" w:rsidRPr="00C34116" w:rsidRDefault="00404FF6" w:rsidP="00172664">
            <w:pPr>
              <w:spacing w:before="40" w:after="40"/>
              <w:ind w:right="115"/>
              <w:jc w:val="both"/>
              <w:rPr>
                <w:rFonts w:cs="Arial"/>
                <w:color w:val="000000" w:themeColor="text1"/>
                <w:sz w:val="20"/>
                <w:szCs w:val="20"/>
              </w:rPr>
            </w:pPr>
            <w:r w:rsidRPr="00C34116">
              <w:rPr>
                <w:rFonts w:cs="Arial"/>
                <w:color w:val="000000" w:themeColor="text1"/>
                <w:sz w:val="20"/>
                <w:szCs w:val="20"/>
              </w:rPr>
              <w:t xml:space="preserve">The pricing model </w:t>
            </w:r>
            <w:r w:rsidR="00AF3E37" w:rsidRPr="00C34116">
              <w:rPr>
                <w:rFonts w:cs="Arial"/>
                <w:color w:val="000000" w:themeColor="text1"/>
                <w:sz w:val="20"/>
                <w:szCs w:val="20"/>
              </w:rPr>
              <w:t xml:space="preserve">determined by </w:t>
            </w:r>
            <w:r w:rsidRPr="00C34116">
              <w:rPr>
                <w:rFonts w:cs="Arial"/>
                <w:color w:val="000000" w:themeColor="text1"/>
                <w:sz w:val="20"/>
                <w:szCs w:val="20"/>
              </w:rPr>
              <w:t>the ESC a</w:t>
            </w:r>
            <w:r w:rsidR="00AF3E37" w:rsidRPr="00C34116">
              <w:rPr>
                <w:rFonts w:cs="Arial"/>
                <w:color w:val="000000" w:themeColor="text1"/>
                <w:sz w:val="20"/>
                <w:szCs w:val="20"/>
              </w:rPr>
              <w:t xml:space="preserve">llows a ‘pass-through’ of inflation as part of the real, CPI plus, model. While the pricing model theoretically insulates SRW from higher inflation, there remain several risk exposures </w:t>
            </w:r>
            <w:r w:rsidR="0002023E" w:rsidRPr="00C34116">
              <w:rPr>
                <w:rFonts w:cs="Arial"/>
                <w:color w:val="000000" w:themeColor="text1"/>
                <w:sz w:val="20"/>
                <w:szCs w:val="20"/>
              </w:rPr>
              <w:t>for SRW to manage:</w:t>
            </w:r>
          </w:p>
          <w:p w14:paraId="76083987" w14:textId="4B7070AA" w:rsidR="0002023E" w:rsidRPr="00C34116" w:rsidRDefault="0002023E" w:rsidP="00172664">
            <w:pPr>
              <w:pStyle w:val="Bulletpointparagraph"/>
              <w:spacing w:before="40" w:after="40"/>
              <w:ind w:right="115"/>
              <w:jc w:val="both"/>
              <w:rPr>
                <w:rFonts w:cs="Arial"/>
                <w:color w:val="000000" w:themeColor="text1"/>
                <w:sz w:val="20"/>
                <w:szCs w:val="20"/>
              </w:rPr>
            </w:pPr>
            <w:r w:rsidRPr="00C34116">
              <w:rPr>
                <w:rFonts w:cs="Arial"/>
                <w:color w:val="000000" w:themeColor="text1"/>
                <w:sz w:val="20"/>
                <w:szCs w:val="20"/>
              </w:rPr>
              <w:t>The headline CPI rate may not be representative of cost increases experienced by SRW. In the current regulatory period, this has particularly been the case for employee and construction costs</w:t>
            </w:r>
          </w:p>
          <w:p w14:paraId="567F6A06" w14:textId="39D83014" w:rsidR="00404FF6" w:rsidRPr="00F17CDF" w:rsidRDefault="0002023E" w:rsidP="00172664">
            <w:pPr>
              <w:pStyle w:val="Bulletpointparagraph"/>
              <w:spacing w:before="40" w:after="40"/>
              <w:ind w:right="115"/>
              <w:jc w:val="both"/>
            </w:pPr>
            <w:r w:rsidRPr="00C34116">
              <w:rPr>
                <w:rFonts w:cs="Arial"/>
                <w:color w:val="000000" w:themeColor="text1"/>
                <w:sz w:val="20"/>
                <w:szCs w:val="20"/>
              </w:rPr>
              <w:t>Cost of living and cost of business pressures create a reputational context hereby SRW is either directed (by government) or decides (noting customer capacity to pay) not to pass on the full CPI plus price increase.</w:t>
            </w:r>
          </w:p>
        </w:tc>
      </w:tr>
      <w:tr w:rsidR="00404FF6" w:rsidRPr="00192F41" w14:paraId="4247ECB4" w14:textId="77777777">
        <w:tc>
          <w:tcPr>
            <w:tcW w:w="1843" w:type="dxa"/>
          </w:tcPr>
          <w:p w14:paraId="0E596324"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Controls</w:t>
            </w:r>
          </w:p>
        </w:tc>
        <w:tc>
          <w:tcPr>
            <w:tcW w:w="7938" w:type="dxa"/>
          </w:tcPr>
          <w:p w14:paraId="3591B9F6" w14:textId="6885A4FE" w:rsidR="00D72D52" w:rsidRPr="00F17CDF" w:rsidRDefault="00D72D52" w:rsidP="00172664">
            <w:pPr>
              <w:pStyle w:val="Bulletpointparagraph"/>
              <w:spacing w:before="40" w:after="40"/>
              <w:ind w:left="360" w:right="115"/>
              <w:jc w:val="both"/>
              <w:rPr>
                <w:rFonts w:cs="Arial"/>
                <w:sz w:val="20"/>
                <w:szCs w:val="20"/>
              </w:rPr>
            </w:pPr>
            <w:r w:rsidRPr="00F17CDF">
              <w:rPr>
                <w:rFonts w:cs="Arial"/>
                <w:sz w:val="20"/>
                <w:szCs w:val="20"/>
              </w:rPr>
              <w:t>Employee entitlement management to avoid real wage growth</w:t>
            </w:r>
            <w:r w:rsidR="00C34116">
              <w:rPr>
                <w:rFonts w:cs="Arial"/>
                <w:sz w:val="20"/>
                <w:szCs w:val="20"/>
              </w:rPr>
              <w:t>.</w:t>
            </w:r>
          </w:p>
          <w:p w14:paraId="1F9A4E60" w14:textId="6A179976" w:rsidR="00D72D52" w:rsidRPr="00F17CDF" w:rsidRDefault="00D72D52" w:rsidP="00172664">
            <w:pPr>
              <w:pStyle w:val="Bulletpointparagraph"/>
              <w:spacing w:before="40" w:after="40"/>
              <w:ind w:left="360" w:right="115"/>
              <w:jc w:val="both"/>
              <w:rPr>
                <w:rFonts w:cs="Arial"/>
                <w:sz w:val="20"/>
                <w:szCs w:val="20"/>
              </w:rPr>
            </w:pPr>
            <w:r w:rsidRPr="00F17CDF">
              <w:rPr>
                <w:rFonts w:cs="Arial"/>
                <w:sz w:val="20"/>
                <w:szCs w:val="20"/>
              </w:rPr>
              <w:t xml:space="preserve">Introduction of centralised procurement and increasing use of aggregated purchasing arrangements (such as </w:t>
            </w:r>
            <w:r w:rsidR="00C34116">
              <w:rPr>
                <w:rFonts w:cs="Arial"/>
                <w:sz w:val="20"/>
                <w:szCs w:val="20"/>
              </w:rPr>
              <w:t>s</w:t>
            </w:r>
            <w:r w:rsidRPr="00F17CDF">
              <w:rPr>
                <w:rFonts w:cs="Arial"/>
                <w:sz w:val="20"/>
                <w:szCs w:val="20"/>
              </w:rPr>
              <w:t>tate government purchase contracts)</w:t>
            </w:r>
            <w:r w:rsidR="00C34116">
              <w:rPr>
                <w:rFonts w:cs="Arial"/>
                <w:sz w:val="20"/>
                <w:szCs w:val="20"/>
              </w:rPr>
              <w:t>.</w:t>
            </w:r>
          </w:p>
          <w:p w14:paraId="602F2086" w14:textId="77777777" w:rsidR="00404FF6" w:rsidRPr="00F17CDF" w:rsidRDefault="00D72D52" w:rsidP="00172664">
            <w:pPr>
              <w:pStyle w:val="Bulletpointparagraph"/>
              <w:spacing w:before="40" w:after="40"/>
              <w:ind w:left="360" w:right="115"/>
              <w:jc w:val="both"/>
              <w:rPr>
                <w:rFonts w:cs="Arial"/>
                <w:sz w:val="20"/>
                <w:szCs w:val="20"/>
              </w:rPr>
            </w:pPr>
            <w:r w:rsidRPr="00F17CDF">
              <w:rPr>
                <w:rFonts w:cs="Arial"/>
                <w:sz w:val="20"/>
                <w:szCs w:val="20"/>
              </w:rPr>
              <w:t>Ongoing productivity identification program and associated operating cost reduction activities.</w:t>
            </w:r>
          </w:p>
          <w:p w14:paraId="163D21D7" w14:textId="4D8AC4BC" w:rsidR="00404FF6" w:rsidRPr="00F17CDF" w:rsidRDefault="00D72D52" w:rsidP="00172664">
            <w:pPr>
              <w:pStyle w:val="Bulletpointparagraph"/>
              <w:spacing w:before="40" w:after="40"/>
              <w:ind w:left="360" w:right="115"/>
              <w:jc w:val="both"/>
              <w:rPr>
                <w:rFonts w:cs="Arial"/>
                <w:color w:val="FF0000"/>
                <w:sz w:val="20"/>
                <w:szCs w:val="20"/>
              </w:rPr>
            </w:pPr>
            <w:r w:rsidRPr="00F17CDF">
              <w:rPr>
                <w:rFonts w:cs="Arial"/>
                <w:sz w:val="20"/>
                <w:szCs w:val="20"/>
              </w:rPr>
              <w:t xml:space="preserve">Regular consultation with customers to best understand </w:t>
            </w:r>
            <w:r w:rsidR="005149D6" w:rsidRPr="00F17CDF">
              <w:rPr>
                <w:rFonts w:cs="Arial"/>
                <w:sz w:val="20"/>
                <w:szCs w:val="20"/>
              </w:rPr>
              <w:t>pricing</w:t>
            </w:r>
            <w:r w:rsidRPr="00F17CDF">
              <w:rPr>
                <w:rFonts w:cs="Arial"/>
                <w:sz w:val="20"/>
                <w:szCs w:val="20"/>
              </w:rPr>
              <w:t xml:space="preserve"> matters that are directly affecting our customer base</w:t>
            </w:r>
            <w:r w:rsidR="00307CD8" w:rsidRPr="00F17CDF">
              <w:rPr>
                <w:rFonts w:cs="Arial"/>
                <w:sz w:val="20"/>
                <w:szCs w:val="20"/>
              </w:rPr>
              <w:t xml:space="preserve"> (rather than rely on nationally compiled statistics)</w:t>
            </w:r>
            <w:r w:rsidRPr="00F17CDF">
              <w:rPr>
                <w:rFonts w:cs="Arial"/>
                <w:sz w:val="20"/>
                <w:szCs w:val="20"/>
              </w:rPr>
              <w:t>.</w:t>
            </w:r>
          </w:p>
        </w:tc>
      </w:tr>
      <w:tr w:rsidR="00404FF6" w:rsidRPr="00192F41" w14:paraId="337D69AA"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5C5086B0" w14:textId="77777777" w:rsidR="00404FF6" w:rsidRPr="00172664" w:rsidRDefault="00404FF6" w:rsidP="00FC3923">
            <w:pPr>
              <w:spacing w:before="40" w:after="40"/>
              <w:rPr>
                <w:rFonts w:cs="Arial"/>
                <w:sz w:val="20"/>
                <w:szCs w:val="20"/>
              </w:rPr>
            </w:pPr>
            <w:r w:rsidRPr="00172664">
              <w:rPr>
                <w:rFonts w:cs="Arial"/>
                <w:sz w:val="20"/>
                <w:szCs w:val="20"/>
              </w:rPr>
              <w:t>Monitoring</w:t>
            </w:r>
          </w:p>
        </w:tc>
        <w:tc>
          <w:tcPr>
            <w:tcW w:w="7938" w:type="dxa"/>
          </w:tcPr>
          <w:p w14:paraId="184BEADA" w14:textId="1BDC6FC0"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 xml:space="preserve">The impacts of CPI will be monitored via regular financial reporting to </w:t>
            </w:r>
            <w:r w:rsidR="00D72D52">
              <w:rPr>
                <w:rFonts w:cs="Arial"/>
                <w:color w:val="000000" w:themeColor="text1"/>
                <w:sz w:val="20"/>
                <w:szCs w:val="20"/>
              </w:rPr>
              <w:t xml:space="preserve">senior management and </w:t>
            </w:r>
            <w:r w:rsidRPr="00192F41">
              <w:rPr>
                <w:rFonts w:cs="Arial"/>
                <w:color w:val="000000" w:themeColor="text1"/>
                <w:sz w:val="20"/>
                <w:szCs w:val="20"/>
              </w:rPr>
              <w:t>the board.</w:t>
            </w:r>
          </w:p>
        </w:tc>
      </w:tr>
      <w:tr w:rsidR="00404FF6" w:rsidRPr="00192F41" w14:paraId="14B0175F" w14:textId="77777777" w:rsidTr="00204FD1">
        <w:tc>
          <w:tcPr>
            <w:tcW w:w="1843" w:type="dxa"/>
          </w:tcPr>
          <w:p w14:paraId="6D4B68A2" w14:textId="77777777" w:rsidR="00404FF6" w:rsidRPr="00172664" w:rsidRDefault="00404FF6" w:rsidP="00FC3923">
            <w:pPr>
              <w:spacing w:before="40" w:after="40"/>
              <w:rPr>
                <w:rFonts w:cs="Arial"/>
                <w:sz w:val="20"/>
                <w:szCs w:val="20"/>
              </w:rPr>
            </w:pPr>
            <w:r w:rsidRPr="00172664">
              <w:rPr>
                <w:rFonts w:cs="Arial"/>
                <w:sz w:val="20"/>
                <w:szCs w:val="20"/>
              </w:rPr>
              <w:t>Risk allocation</w:t>
            </w:r>
          </w:p>
        </w:tc>
        <w:tc>
          <w:tcPr>
            <w:tcW w:w="7938" w:type="dxa"/>
          </w:tcPr>
          <w:p w14:paraId="55BDD683" w14:textId="7C0EB218" w:rsidR="00860035" w:rsidRDefault="00035EA7" w:rsidP="00431EA3">
            <w:pPr>
              <w:spacing w:before="40" w:after="120"/>
              <w:ind w:right="115"/>
              <w:jc w:val="both"/>
              <w:rPr>
                <w:rFonts w:cs="Arial"/>
                <w:color w:val="000000" w:themeColor="text1"/>
                <w:sz w:val="20"/>
                <w:szCs w:val="20"/>
              </w:rPr>
            </w:pPr>
            <w:r>
              <w:rPr>
                <w:rFonts w:cs="Arial"/>
                <w:color w:val="000000" w:themeColor="text1"/>
                <w:sz w:val="20"/>
                <w:szCs w:val="20"/>
              </w:rPr>
              <w:t>Customers bear the risk of increases in CPI</w:t>
            </w:r>
            <w:r w:rsidR="001A5CA6">
              <w:rPr>
                <w:rFonts w:cs="Arial"/>
                <w:color w:val="000000" w:themeColor="text1"/>
                <w:sz w:val="20"/>
                <w:szCs w:val="20"/>
              </w:rPr>
              <w:t xml:space="preserve">. </w:t>
            </w:r>
            <w:r w:rsidR="00404FF6" w:rsidRPr="00192F41">
              <w:rPr>
                <w:rFonts w:cs="Arial"/>
                <w:color w:val="000000" w:themeColor="text1"/>
                <w:sz w:val="20"/>
                <w:szCs w:val="20"/>
              </w:rPr>
              <w:t xml:space="preserve">In recognition of the uncertainty, SRW is proposing price increases </w:t>
            </w:r>
            <w:r w:rsidR="00681507">
              <w:rPr>
                <w:rFonts w:cs="Arial"/>
                <w:color w:val="000000" w:themeColor="text1"/>
                <w:sz w:val="20"/>
                <w:szCs w:val="20"/>
              </w:rPr>
              <w:t>no higher than</w:t>
            </w:r>
            <w:r w:rsidR="00404FF6" w:rsidRPr="00192F41">
              <w:rPr>
                <w:rFonts w:cs="Arial"/>
                <w:color w:val="000000" w:themeColor="text1"/>
                <w:sz w:val="20"/>
                <w:szCs w:val="20"/>
              </w:rPr>
              <w:t xml:space="preserve"> CPI (plus an additional 1% and 1.5% in the WID and MID)</w:t>
            </w:r>
            <w:r w:rsidR="0061424C">
              <w:rPr>
                <w:rFonts w:cs="Arial"/>
                <w:color w:val="000000" w:themeColor="text1"/>
                <w:sz w:val="20"/>
                <w:szCs w:val="20"/>
              </w:rPr>
              <w:t xml:space="preserve"> across the regulatory period</w:t>
            </w:r>
            <w:r w:rsidR="00771B5B">
              <w:rPr>
                <w:rFonts w:cs="Arial"/>
                <w:color w:val="000000" w:themeColor="text1"/>
                <w:sz w:val="20"/>
                <w:szCs w:val="20"/>
              </w:rPr>
              <w:t>. O</w:t>
            </w:r>
            <w:r w:rsidR="00860035">
              <w:rPr>
                <w:rFonts w:cs="Arial"/>
                <w:color w:val="000000" w:themeColor="text1"/>
                <w:sz w:val="20"/>
                <w:szCs w:val="20"/>
              </w:rPr>
              <w:t>ur intent is to charge customers using the CPI plus model inherent to the ESC’s price regulatory approach and as a result, the risk of higher prices from inflation is held by SRW’s customers.</w:t>
            </w:r>
          </w:p>
          <w:p w14:paraId="00FA12CE" w14:textId="460FE62C" w:rsidR="00404FF6" w:rsidRPr="00192F41" w:rsidRDefault="007A1115" w:rsidP="00172664">
            <w:pPr>
              <w:spacing w:before="40" w:after="40"/>
              <w:ind w:right="115"/>
              <w:jc w:val="both"/>
              <w:rPr>
                <w:rFonts w:cs="Arial"/>
                <w:color w:val="000000" w:themeColor="text1"/>
                <w:sz w:val="20"/>
                <w:szCs w:val="20"/>
              </w:rPr>
            </w:pPr>
            <w:r>
              <w:rPr>
                <w:rFonts w:cs="Arial"/>
                <w:color w:val="000000" w:themeColor="text1"/>
                <w:sz w:val="20"/>
                <w:szCs w:val="20"/>
              </w:rPr>
              <w:t>Consistent with the ESC pricing model, should SRW’s cost management controls deliver an operating cost base lower than the rate of inflation during the upcoming regulatory period, a lower price to customers from this performance will be passed through to customers in the next regulatory period (from 1 July 2028).</w:t>
            </w:r>
          </w:p>
        </w:tc>
      </w:tr>
      <w:tr w:rsidR="00404FF6" w:rsidRPr="00192F41" w14:paraId="11B8D7F8"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427D4345"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Residual risk</w:t>
            </w:r>
          </w:p>
        </w:tc>
        <w:tc>
          <w:tcPr>
            <w:tcW w:w="7938" w:type="dxa"/>
            <w:tcBorders>
              <w:bottom w:val="single" w:sz="4" w:space="0" w:color="auto"/>
            </w:tcBorders>
          </w:tcPr>
          <w:p w14:paraId="5A8A9667" w14:textId="0FC78B6A"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 xml:space="preserve">The net risk to customer pricing and service levels is moderate given the uncertainty that prevails and our capping of </w:t>
            </w:r>
            <w:r w:rsidR="2DFB9D26" w:rsidRPr="6B20A4EE">
              <w:rPr>
                <w:rFonts w:cs="Arial"/>
                <w:color w:val="000000" w:themeColor="text1"/>
                <w:sz w:val="20"/>
                <w:szCs w:val="20"/>
              </w:rPr>
              <w:t xml:space="preserve">most </w:t>
            </w:r>
            <w:r w:rsidRPr="00192F41">
              <w:rPr>
                <w:rFonts w:cs="Arial"/>
                <w:color w:val="000000" w:themeColor="text1"/>
                <w:sz w:val="20"/>
                <w:szCs w:val="20"/>
              </w:rPr>
              <w:t>prices at CPI.</w:t>
            </w:r>
          </w:p>
        </w:tc>
      </w:tr>
    </w:tbl>
    <w:p w14:paraId="626AAC5F" w14:textId="77777777" w:rsidR="00DF392E" w:rsidRPr="00192F41" w:rsidRDefault="00DF392E" w:rsidP="00DF392E">
      <w:pPr>
        <w:rPr>
          <w:rStyle w:val="IntenseReference"/>
          <w:rFonts w:cs="Arial"/>
        </w:rPr>
      </w:pPr>
    </w:p>
    <w:p w14:paraId="6BBF7AB5" w14:textId="77777777" w:rsidR="006301E1" w:rsidRDefault="006301E1">
      <w:pPr>
        <w:rPr>
          <w:rStyle w:val="IntenseReference"/>
          <w:rFonts w:cs="Arial"/>
        </w:rPr>
      </w:pPr>
      <w:r>
        <w:rPr>
          <w:rStyle w:val="IntenseReference"/>
          <w:rFonts w:cs="Arial"/>
        </w:rPr>
        <w:br w:type="page"/>
      </w:r>
    </w:p>
    <w:tbl>
      <w:tblPr>
        <w:tblStyle w:val="Tealheader-Grayrows1"/>
        <w:tblW w:w="9781" w:type="dxa"/>
        <w:tblLook w:val="04A0" w:firstRow="1" w:lastRow="0" w:firstColumn="1" w:lastColumn="0" w:noHBand="0" w:noVBand="1"/>
      </w:tblPr>
      <w:tblGrid>
        <w:gridCol w:w="1843"/>
        <w:gridCol w:w="7938"/>
      </w:tblGrid>
      <w:tr w:rsidR="002650CA" w:rsidRPr="002650CA" w14:paraId="558DD82A"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3F0E4436" w14:textId="77777777" w:rsidR="002650CA" w:rsidRPr="002650CA" w:rsidRDefault="002650CA" w:rsidP="00FC3923">
            <w:pPr>
              <w:spacing w:before="40" w:after="40"/>
              <w:rPr>
                <w:rFonts w:cs="Arial"/>
                <w:b w:val="0"/>
                <w:sz w:val="20"/>
                <w:szCs w:val="20"/>
              </w:rPr>
            </w:pPr>
            <w:r w:rsidRPr="002650CA">
              <w:rPr>
                <w:rFonts w:cs="Arial"/>
                <w:sz w:val="20"/>
                <w:szCs w:val="20"/>
              </w:rPr>
              <w:t>Risk</w:t>
            </w:r>
          </w:p>
        </w:tc>
        <w:tc>
          <w:tcPr>
            <w:tcW w:w="7938" w:type="dxa"/>
          </w:tcPr>
          <w:p w14:paraId="215BB079" w14:textId="77777777" w:rsidR="002650CA" w:rsidRPr="002650CA" w:rsidRDefault="002650CA" w:rsidP="00FC3923">
            <w:pPr>
              <w:spacing w:before="40" w:after="40"/>
              <w:rPr>
                <w:rFonts w:cs="Arial"/>
                <w:b w:val="0"/>
                <w:sz w:val="20"/>
                <w:szCs w:val="20"/>
              </w:rPr>
            </w:pPr>
            <w:r w:rsidRPr="002650CA">
              <w:rPr>
                <w:rFonts w:cs="Arial"/>
                <w:sz w:val="20"/>
                <w:szCs w:val="20"/>
              </w:rPr>
              <w:t>Water sales</w:t>
            </w:r>
          </w:p>
        </w:tc>
      </w:tr>
      <w:tr w:rsidR="002650CA" w:rsidRPr="00192F41" w14:paraId="6B342175"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3DAAA4AA" w14:textId="77777777" w:rsidR="002650CA" w:rsidRPr="00172664" w:rsidRDefault="002650CA" w:rsidP="00FC3923">
            <w:pPr>
              <w:spacing w:before="40" w:after="40"/>
              <w:rPr>
                <w:rFonts w:cs="Arial"/>
                <w:color w:val="000000" w:themeColor="text1"/>
                <w:sz w:val="20"/>
                <w:szCs w:val="20"/>
              </w:rPr>
            </w:pPr>
            <w:r w:rsidRPr="00172664">
              <w:rPr>
                <w:rFonts w:cs="Arial"/>
                <w:color w:val="000000" w:themeColor="text1"/>
                <w:sz w:val="20"/>
                <w:szCs w:val="20"/>
              </w:rPr>
              <w:t>The risk</w:t>
            </w:r>
          </w:p>
        </w:tc>
        <w:tc>
          <w:tcPr>
            <w:tcW w:w="7938" w:type="dxa"/>
          </w:tcPr>
          <w:p w14:paraId="20783A19" w14:textId="56D8D352" w:rsidR="00980E8E" w:rsidRPr="00980E8E" w:rsidRDefault="00980E8E" w:rsidP="00FC3923">
            <w:pPr>
              <w:spacing w:before="40" w:after="120"/>
              <w:ind w:right="115"/>
              <w:jc w:val="both"/>
              <w:rPr>
                <w:rFonts w:cs="Arial"/>
                <w:color w:val="000000" w:themeColor="text1"/>
                <w:sz w:val="20"/>
                <w:szCs w:val="20"/>
              </w:rPr>
            </w:pPr>
            <w:r w:rsidRPr="00980E8E">
              <w:rPr>
                <w:rFonts w:cs="Arial"/>
                <w:color w:val="000000" w:themeColor="text1"/>
                <w:sz w:val="20"/>
                <w:szCs w:val="20"/>
              </w:rPr>
              <w:t>SRW has identified up to 24</w:t>
            </w:r>
            <w:r w:rsidR="00B51DDB">
              <w:rPr>
                <w:rFonts w:cs="Arial"/>
                <w:color w:val="000000" w:themeColor="text1"/>
                <w:sz w:val="20"/>
                <w:szCs w:val="20"/>
              </w:rPr>
              <w:t xml:space="preserve"> </w:t>
            </w:r>
            <w:r w:rsidRPr="00980E8E">
              <w:rPr>
                <w:rFonts w:cs="Arial"/>
                <w:color w:val="000000" w:themeColor="text1"/>
                <w:sz w:val="20"/>
                <w:szCs w:val="20"/>
              </w:rPr>
              <w:t xml:space="preserve">GL of potential water savings from modernisation. These savings could be converted to shares and sold. The process for converting the savings to shares is complex and is subject to approval from the Minister for Water. Part of the </w:t>
            </w:r>
            <w:r w:rsidR="003C4CDD">
              <w:rPr>
                <w:rFonts w:cs="Arial"/>
                <w:color w:val="000000" w:themeColor="text1"/>
                <w:sz w:val="20"/>
                <w:szCs w:val="20"/>
              </w:rPr>
              <w:t>premise</w:t>
            </w:r>
            <w:r w:rsidRPr="00980E8E">
              <w:rPr>
                <w:rFonts w:cs="Arial"/>
                <w:color w:val="000000" w:themeColor="text1"/>
                <w:sz w:val="20"/>
                <w:szCs w:val="20"/>
              </w:rPr>
              <w:t xml:space="preserve"> behind modernisation was that the water savings would be made available to customers.</w:t>
            </w:r>
            <w:r w:rsidRPr="00980E8E">
              <w:rPr>
                <w:rFonts w:cs="Arial"/>
                <w:color w:val="000000" w:themeColor="text1"/>
                <w:sz w:val="20"/>
                <w:szCs w:val="20"/>
              </w:rPr>
              <w:tab/>
            </w:r>
            <w:r w:rsidRPr="00980E8E">
              <w:rPr>
                <w:rFonts w:cs="Arial"/>
                <w:color w:val="000000" w:themeColor="text1"/>
                <w:sz w:val="20"/>
                <w:szCs w:val="20"/>
              </w:rPr>
              <w:tab/>
            </w:r>
            <w:r w:rsidRPr="00980E8E">
              <w:rPr>
                <w:rFonts w:cs="Arial"/>
                <w:color w:val="000000" w:themeColor="text1"/>
                <w:sz w:val="20"/>
                <w:szCs w:val="20"/>
              </w:rPr>
              <w:tab/>
            </w:r>
            <w:r w:rsidRPr="00980E8E">
              <w:rPr>
                <w:rFonts w:cs="Arial"/>
                <w:color w:val="000000" w:themeColor="text1"/>
                <w:sz w:val="20"/>
                <w:szCs w:val="20"/>
              </w:rPr>
              <w:tab/>
            </w:r>
            <w:r w:rsidRPr="00980E8E">
              <w:rPr>
                <w:rFonts w:cs="Arial"/>
                <w:color w:val="000000" w:themeColor="text1"/>
                <w:sz w:val="20"/>
                <w:szCs w:val="20"/>
              </w:rPr>
              <w:tab/>
            </w:r>
            <w:r w:rsidRPr="00980E8E">
              <w:rPr>
                <w:rFonts w:cs="Arial"/>
                <w:color w:val="000000" w:themeColor="text1"/>
                <w:sz w:val="20"/>
                <w:szCs w:val="20"/>
              </w:rPr>
              <w:tab/>
            </w:r>
          </w:p>
          <w:p w14:paraId="567BECB1" w14:textId="40F6D062" w:rsidR="002650CA" w:rsidRPr="00192F41" w:rsidRDefault="002650CA" w:rsidP="00FC3923">
            <w:pPr>
              <w:spacing w:before="40" w:after="40"/>
              <w:ind w:right="115"/>
              <w:jc w:val="both"/>
              <w:rPr>
                <w:rFonts w:cs="Arial"/>
                <w:color w:val="000000" w:themeColor="text1"/>
                <w:sz w:val="20"/>
                <w:szCs w:val="20"/>
              </w:rPr>
            </w:pPr>
            <w:r w:rsidRPr="00192F41">
              <w:rPr>
                <w:rFonts w:cs="Arial"/>
                <w:color w:val="000000" w:themeColor="text1"/>
                <w:sz w:val="20"/>
                <w:szCs w:val="20"/>
              </w:rPr>
              <w:t xml:space="preserve">There is potential for a change in state policy </w:t>
            </w:r>
            <w:r>
              <w:rPr>
                <w:rFonts w:cs="Arial"/>
                <w:color w:val="000000" w:themeColor="text1"/>
                <w:sz w:val="20"/>
                <w:szCs w:val="20"/>
              </w:rPr>
              <w:t xml:space="preserve">that </w:t>
            </w:r>
            <w:r w:rsidRPr="00192F41">
              <w:rPr>
                <w:rFonts w:cs="Arial"/>
                <w:color w:val="000000" w:themeColor="text1"/>
                <w:sz w:val="20"/>
                <w:szCs w:val="20"/>
              </w:rPr>
              <w:t xml:space="preserve">could lead to some of the water being allocated to </w:t>
            </w:r>
            <w:r>
              <w:rPr>
                <w:rFonts w:cs="Arial"/>
                <w:color w:val="000000" w:themeColor="text1"/>
                <w:sz w:val="20"/>
                <w:szCs w:val="20"/>
              </w:rPr>
              <w:t xml:space="preserve">uses other than for production. There is also the potential for a lack of demand or depressed pricing. Hence, </w:t>
            </w:r>
            <w:r w:rsidRPr="00192F41">
              <w:rPr>
                <w:rFonts w:cs="Arial"/>
                <w:color w:val="000000" w:themeColor="text1"/>
                <w:sz w:val="20"/>
                <w:szCs w:val="20"/>
              </w:rPr>
              <w:t>SRW has budgeted 1</w:t>
            </w:r>
            <w:r w:rsidR="000D4AF9">
              <w:rPr>
                <w:rFonts w:cs="Arial"/>
                <w:color w:val="000000" w:themeColor="text1"/>
                <w:sz w:val="20"/>
                <w:szCs w:val="20"/>
              </w:rPr>
              <w:t xml:space="preserve"> </w:t>
            </w:r>
            <w:r w:rsidRPr="00192F41">
              <w:rPr>
                <w:rFonts w:cs="Arial"/>
                <w:color w:val="000000" w:themeColor="text1"/>
                <w:sz w:val="20"/>
                <w:szCs w:val="20"/>
              </w:rPr>
              <w:t>GL valued at $2.</w:t>
            </w:r>
            <w:r w:rsidR="006C6EB8" w:rsidRPr="006C6EB8">
              <w:rPr>
                <w:rFonts w:cs="Arial"/>
                <w:color w:val="000000" w:themeColor="text1"/>
                <w:sz w:val="20"/>
                <w:szCs w:val="20"/>
              </w:rPr>
              <w:t>5</w:t>
            </w:r>
            <w:r w:rsidR="000D4AF9">
              <w:rPr>
                <w:rFonts w:cs="Arial"/>
                <w:color w:val="000000" w:themeColor="text1"/>
                <w:sz w:val="20"/>
                <w:szCs w:val="20"/>
              </w:rPr>
              <w:t xml:space="preserve"> </w:t>
            </w:r>
            <w:r w:rsidR="006C6EB8" w:rsidRPr="006C6EB8">
              <w:rPr>
                <w:rFonts w:cs="Arial"/>
                <w:color w:val="000000" w:themeColor="text1"/>
                <w:sz w:val="20"/>
                <w:szCs w:val="20"/>
              </w:rPr>
              <w:t>m</w:t>
            </w:r>
            <w:r w:rsidR="000D4AF9">
              <w:rPr>
                <w:rFonts w:cs="Arial"/>
                <w:color w:val="000000" w:themeColor="text1"/>
                <w:sz w:val="20"/>
                <w:szCs w:val="20"/>
              </w:rPr>
              <w:t>illion</w:t>
            </w:r>
            <w:r w:rsidRPr="00192F41">
              <w:rPr>
                <w:rFonts w:cs="Arial"/>
                <w:color w:val="000000" w:themeColor="text1"/>
                <w:sz w:val="20"/>
                <w:szCs w:val="20"/>
              </w:rPr>
              <w:t xml:space="preserve"> of water savings to be made available each year during the regulatory period.</w:t>
            </w:r>
            <w:r w:rsidR="00B82593">
              <w:rPr>
                <w:rFonts w:cs="Arial"/>
                <w:color w:val="000000" w:themeColor="text1"/>
                <w:sz w:val="20"/>
                <w:szCs w:val="20"/>
              </w:rPr>
              <w:t xml:space="preserve"> </w:t>
            </w:r>
            <w:r w:rsidR="00E11DA7" w:rsidRPr="00E11DA7">
              <w:rPr>
                <w:rFonts w:cs="Arial"/>
                <w:color w:val="000000" w:themeColor="text1"/>
                <w:sz w:val="20"/>
                <w:szCs w:val="20"/>
              </w:rPr>
              <w:t>This is based on previous sales records and demand and willingness to pay assessments that suggest $2,500 per ML of permanent water share is reasonable.</w:t>
            </w:r>
          </w:p>
        </w:tc>
      </w:tr>
      <w:tr w:rsidR="002650CA" w:rsidRPr="00192F41" w14:paraId="5893E92D" w14:textId="77777777">
        <w:tc>
          <w:tcPr>
            <w:tcW w:w="1843" w:type="dxa"/>
          </w:tcPr>
          <w:p w14:paraId="49F47991" w14:textId="77777777" w:rsidR="002650CA" w:rsidRPr="00172664" w:rsidRDefault="002650CA" w:rsidP="00FC3923">
            <w:pPr>
              <w:spacing w:before="40" w:after="40"/>
              <w:rPr>
                <w:rFonts w:cs="Arial"/>
                <w:color w:val="000000" w:themeColor="text1"/>
                <w:sz w:val="20"/>
                <w:szCs w:val="20"/>
              </w:rPr>
            </w:pPr>
            <w:r w:rsidRPr="00172664">
              <w:rPr>
                <w:rFonts w:cs="Arial"/>
                <w:color w:val="000000" w:themeColor="text1"/>
                <w:sz w:val="20"/>
                <w:szCs w:val="20"/>
              </w:rPr>
              <w:t>Controls</w:t>
            </w:r>
          </w:p>
        </w:tc>
        <w:tc>
          <w:tcPr>
            <w:tcW w:w="7938" w:type="dxa"/>
          </w:tcPr>
          <w:p w14:paraId="42E89774" w14:textId="77777777" w:rsidR="002650CA" w:rsidRPr="004237AA" w:rsidRDefault="002650CA" w:rsidP="00FC3923">
            <w:pPr>
              <w:pStyle w:val="Bulletpointparagraph"/>
              <w:spacing w:before="40" w:after="40"/>
              <w:ind w:left="360" w:right="115"/>
              <w:jc w:val="both"/>
              <w:rPr>
                <w:rFonts w:cs="Arial"/>
                <w:sz w:val="20"/>
                <w:szCs w:val="20"/>
              </w:rPr>
            </w:pPr>
            <w:r w:rsidRPr="004237AA">
              <w:rPr>
                <w:rFonts w:cs="Arial"/>
                <w:sz w:val="20"/>
                <w:szCs w:val="20"/>
              </w:rPr>
              <w:t>Validate the water savings as soon as practicable.</w:t>
            </w:r>
          </w:p>
          <w:p w14:paraId="70070691" w14:textId="6D5A1959" w:rsidR="002650CA" w:rsidRPr="00192F41" w:rsidRDefault="002650CA" w:rsidP="00FC3923">
            <w:pPr>
              <w:pStyle w:val="Bulletpointparagraph"/>
              <w:spacing w:before="40" w:after="40"/>
              <w:ind w:left="360" w:right="115"/>
              <w:jc w:val="both"/>
              <w:rPr>
                <w:rFonts w:cs="Arial"/>
              </w:rPr>
            </w:pPr>
            <w:r w:rsidRPr="004237AA">
              <w:rPr>
                <w:rFonts w:cs="Arial"/>
                <w:sz w:val="20"/>
                <w:szCs w:val="20"/>
              </w:rPr>
              <w:t xml:space="preserve">Agree a water sales plan with the </w:t>
            </w:r>
            <w:r w:rsidR="009D55D8">
              <w:rPr>
                <w:rFonts w:cs="Arial"/>
                <w:sz w:val="20"/>
                <w:szCs w:val="20"/>
              </w:rPr>
              <w:t>M</w:t>
            </w:r>
            <w:r w:rsidRPr="004237AA">
              <w:rPr>
                <w:rFonts w:cs="Arial"/>
                <w:sz w:val="20"/>
                <w:szCs w:val="20"/>
              </w:rPr>
              <w:t>inisters</w:t>
            </w:r>
          </w:p>
        </w:tc>
      </w:tr>
      <w:tr w:rsidR="002650CA" w:rsidRPr="00192F41" w14:paraId="17EB3AB3"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3D6550F8" w14:textId="77777777" w:rsidR="002650CA" w:rsidRPr="00172664" w:rsidRDefault="002650CA" w:rsidP="00FC3923">
            <w:pPr>
              <w:spacing w:before="40" w:after="40"/>
              <w:rPr>
                <w:rFonts w:cs="Arial"/>
                <w:color w:val="000000" w:themeColor="text1"/>
                <w:sz w:val="20"/>
                <w:szCs w:val="20"/>
              </w:rPr>
            </w:pPr>
            <w:r w:rsidRPr="00172664">
              <w:rPr>
                <w:rFonts w:cs="Arial"/>
                <w:color w:val="000000" w:themeColor="text1"/>
                <w:sz w:val="20"/>
                <w:szCs w:val="20"/>
              </w:rPr>
              <w:t>Monitoring</w:t>
            </w:r>
          </w:p>
        </w:tc>
        <w:tc>
          <w:tcPr>
            <w:tcW w:w="7938" w:type="dxa"/>
          </w:tcPr>
          <w:p w14:paraId="72E009F7" w14:textId="77777777" w:rsidR="002650CA" w:rsidRPr="00192F41" w:rsidRDefault="002650CA" w:rsidP="00FC3923">
            <w:pPr>
              <w:spacing w:before="40" w:after="40"/>
              <w:ind w:right="115"/>
              <w:jc w:val="both"/>
              <w:rPr>
                <w:rFonts w:cs="Arial"/>
                <w:color w:val="000000" w:themeColor="text1"/>
                <w:sz w:val="20"/>
                <w:szCs w:val="20"/>
              </w:rPr>
            </w:pPr>
            <w:r w:rsidRPr="00192F41">
              <w:rPr>
                <w:rFonts w:cs="Arial"/>
                <w:color w:val="000000" w:themeColor="text1"/>
                <w:sz w:val="20"/>
                <w:szCs w:val="20"/>
              </w:rPr>
              <w:t>Performance outcomes have been established to monitor water sales (see Section 6).</w:t>
            </w:r>
          </w:p>
        </w:tc>
      </w:tr>
      <w:tr w:rsidR="002650CA" w:rsidRPr="00192F41" w14:paraId="6B6043A1" w14:textId="77777777">
        <w:tc>
          <w:tcPr>
            <w:tcW w:w="1843" w:type="dxa"/>
          </w:tcPr>
          <w:p w14:paraId="3637A325" w14:textId="77777777" w:rsidR="002650CA" w:rsidRPr="00172664" w:rsidRDefault="002650CA" w:rsidP="00FC3923">
            <w:pPr>
              <w:spacing w:before="40" w:after="40"/>
              <w:rPr>
                <w:rFonts w:cs="Arial"/>
                <w:color w:val="000000" w:themeColor="text1"/>
                <w:sz w:val="20"/>
                <w:szCs w:val="20"/>
              </w:rPr>
            </w:pPr>
            <w:r w:rsidRPr="00172664">
              <w:rPr>
                <w:rFonts w:cs="Arial"/>
                <w:color w:val="000000" w:themeColor="text1"/>
                <w:sz w:val="20"/>
                <w:szCs w:val="20"/>
              </w:rPr>
              <w:t>Risk allocation</w:t>
            </w:r>
          </w:p>
        </w:tc>
        <w:tc>
          <w:tcPr>
            <w:tcW w:w="7938" w:type="dxa"/>
          </w:tcPr>
          <w:p w14:paraId="0F7A8C2D" w14:textId="77777777" w:rsidR="002650CA" w:rsidRPr="00192F41" w:rsidRDefault="002650CA" w:rsidP="00FC3923">
            <w:pPr>
              <w:spacing w:before="40" w:after="40"/>
              <w:ind w:right="115"/>
              <w:jc w:val="both"/>
              <w:rPr>
                <w:rFonts w:cs="Arial"/>
                <w:color w:val="000000" w:themeColor="text1"/>
                <w:sz w:val="20"/>
                <w:szCs w:val="20"/>
              </w:rPr>
            </w:pPr>
            <w:r w:rsidRPr="00192F41">
              <w:rPr>
                <w:rFonts w:cs="Arial"/>
                <w:color w:val="000000" w:themeColor="text1"/>
                <w:sz w:val="20"/>
                <w:szCs w:val="20"/>
              </w:rPr>
              <w:t>SRW bears the risk of a reduction in water sales and would need to review OPEX and/or CAPEX to cover the loss in revenue.</w:t>
            </w:r>
          </w:p>
        </w:tc>
      </w:tr>
      <w:tr w:rsidR="002650CA" w:rsidRPr="00192F41" w14:paraId="743FBCE2" w14:textId="77777777">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670F7AE9" w14:textId="77777777" w:rsidR="002650CA" w:rsidRPr="00172664" w:rsidRDefault="002650CA" w:rsidP="00FC3923">
            <w:pPr>
              <w:spacing w:before="40" w:after="40"/>
              <w:rPr>
                <w:rFonts w:cs="Arial"/>
                <w:color w:val="000000" w:themeColor="text1"/>
                <w:sz w:val="20"/>
                <w:szCs w:val="20"/>
              </w:rPr>
            </w:pPr>
            <w:r w:rsidRPr="00172664">
              <w:rPr>
                <w:rFonts w:cs="Arial"/>
                <w:color w:val="000000" w:themeColor="text1"/>
                <w:sz w:val="20"/>
                <w:szCs w:val="20"/>
              </w:rPr>
              <w:t>Residual risk</w:t>
            </w:r>
          </w:p>
        </w:tc>
        <w:tc>
          <w:tcPr>
            <w:tcW w:w="7938" w:type="dxa"/>
            <w:tcBorders>
              <w:bottom w:val="single" w:sz="4" w:space="0" w:color="auto"/>
            </w:tcBorders>
          </w:tcPr>
          <w:p w14:paraId="57EB2D8F" w14:textId="77777777" w:rsidR="002650CA" w:rsidRPr="00192F41" w:rsidRDefault="002650CA" w:rsidP="00FC3923">
            <w:pPr>
              <w:spacing w:before="40" w:after="40"/>
              <w:ind w:right="115"/>
              <w:jc w:val="both"/>
              <w:rPr>
                <w:rFonts w:cs="Arial"/>
                <w:color w:val="000000" w:themeColor="text1"/>
                <w:sz w:val="20"/>
                <w:szCs w:val="20"/>
              </w:rPr>
            </w:pPr>
            <w:r w:rsidRPr="00192F41">
              <w:rPr>
                <w:rFonts w:cs="Arial"/>
                <w:color w:val="000000" w:themeColor="text1"/>
                <w:sz w:val="20"/>
                <w:szCs w:val="20"/>
              </w:rPr>
              <w:t>Moderate risk given the relatively conservative approach being adopted for the amount of water to be made available.</w:t>
            </w:r>
          </w:p>
        </w:tc>
      </w:tr>
    </w:tbl>
    <w:p w14:paraId="4406CFA0" w14:textId="77777777" w:rsidR="00B50337" w:rsidRDefault="00B50337" w:rsidP="00DF392E">
      <w:pPr>
        <w:rPr>
          <w:rStyle w:val="IntenseReference"/>
          <w:rFonts w:cs="Arial"/>
        </w:rPr>
      </w:pPr>
    </w:p>
    <w:tbl>
      <w:tblPr>
        <w:tblStyle w:val="Tealheader-Grayrows1"/>
        <w:tblW w:w="9781" w:type="dxa"/>
        <w:tblLook w:val="04A0" w:firstRow="1" w:lastRow="0" w:firstColumn="1" w:lastColumn="0" w:noHBand="0" w:noVBand="1"/>
      </w:tblPr>
      <w:tblGrid>
        <w:gridCol w:w="1843"/>
        <w:gridCol w:w="7938"/>
      </w:tblGrid>
      <w:tr w:rsidR="00404FF6" w:rsidRPr="00192F41" w14:paraId="6FB624DD"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2E98F750" w14:textId="77777777" w:rsidR="00404FF6" w:rsidRPr="002650CA" w:rsidRDefault="00404FF6" w:rsidP="00FC3923">
            <w:pPr>
              <w:spacing w:before="40" w:after="40"/>
              <w:rPr>
                <w:rFonts w:cs="Arial"/>
                <w:b w:val="0"/>
                <w:sz w:val="20"/>
                <w:szCs w:val="20"/>
              </w:rPr>
            </w:pPr>
            <w:bookmarkStart w:id="39" w:name="_Hlk108626539"/>
            <w:r w:rsidRPr="002650CA">
              <w:rPr>
                <w:rFonts w:cs="Arial"/>
                <w:sz w:val="20"/>
                <w:szCs w:val="20"/>
              </w:rPr>
              <w:t>Risk</w:t>
            </w:r>
          </w:p>
        </w:tc>
        <w:tc>
          <w:tcPr>
            <w:tcW w:w="7938" w:type="dxa"/>
          </w:tcPr>
          <w:p w14:paraId="3D548D1B" w14:textId="77777777" w:rsidR="00404FF6" w:rsidRPr="002650CA" w:rsidRDefault="00404FF6" w:rsidP="00FC3923">
            <w:pPr>
              <w:spacing w:before="40" w:after="40"/>
              <w:rPr>
                <w:rFonts w:cs="Arial"/>
                <w:b w:val="0"/>
                <w:sz w:val="20"/>
                <w:szCs w:val="20"/>
              </w:rPr>
            </w:pPr>
            <w:r w:rsidRPr="002650CA">
              <w:rPr>
                <w:rFonts w:cs="Arial"/>
                <w:sz w:val="20"/>
                <w:szCs w:val="20"/>
              </w:rPr>
              <w:t>Long-term sustainability</w:t>
            </w:r>
          </w:p>
        </w:tc>
      </w:tr>
      <w:tr w:rsidR="00404FF6" w:rsidRPr="00192F41" w14:paraId="6940658A"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39B12D3E"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The risk</w:t>
            </w:r>
          </w:p>
        </w:tc>
        <w:tc>
          <w:tcPr>
            <w:tcW w:w="7938" w:type="dxa"/>
          </w:tcPr>
          <w:p w14:paraId="5D218035" w14:textId="6E56E729"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SRW is challenged with managing an aging asset base and a gap in renewal fun</w:t>
            </w:r>
            <w:r w:rsidR="00AC35FA">
              <w:rPr>
                <w:rFonts w:cs="Arial"/>
                <w:color w:val="000000" w:themeColor="text1"/>
                <w:sz w:val="20"/>
                <w:szCs w:val="20"/>
              </w:rPr>
              <w:t>d</w:t>
            </w:r>
            <w:r w:rsidRPr="00192F41">
              <w:rPr>
                <w:rFonts w:cs="Arial"/>
                <w:color w:val="000000" w:themeColor="text1"/>
                <w:sz w:val="20"/>
                <w:szCs w:val="20"/>
              </w:rPr>
              <w:t>s to maintain and replace the assets. We have developed a 25</w:t>
            </w:r>
            <w:r w:rsidR="00FE6371">
              <w:rPr>
                <w:rFonts w:cs="Arial"/>
                <w:color w:val="000000" w:themeColor="text1"/>
                <w:sz w:val="20"/>
                <w:szCs w:val="20"/>
              </w:rPr>
              <w:t>-</w:t>
            </w:r>
            <w:r w:rsidRPr="00192F41">
              <w:rPr>
                <w:rFonts w:cs="Arial"/>
                <w:color w:val="000000" w:themeColor="text1"/>
                <w:sz w:val="20"/>
                <w:szCs w:val="20"/>
              </w:rPr>
              <w:t xml:space="preserve">year </w:t>
            </w:r>
            <w:r w:rsidR="00AC35FA" w:rsidRPr="00192F41">
              <w:rPr>
                <w:rFonts w:cs="Arial"/>
                <w:color w:val="000000" w:themeColor="text1"/>
                <w:sz w:val="20"/>
                <w:szCs w:val="20"/>
              </w:rPr>
              <w:t xml:space="preserve">plan </w:t>
            </w:r>
            <w:r w:rsidR="00AC35FA">
              <w:rPr>
                <w:rFonts w:cs="Arial"/>
                <w:color w:val="000000" w:themeColor="text1"/>
                <w:sz w:val="20"/>
                <w:szCs w:val="20"/>
              </w:rPr>
              <w:t>to ensure our long</w:t>
            </w:r>
            <w:r w:rsidR="00373F7C">
              <w:rPr>
                <w:rFonts w:cs="Arial"/>
                <w:color w:val="000000" w:themeColor="text1"/>
                <w:sz w:val="20"/>
                <w:szCs w:val="20"/>
              </w:rPr>
              <w:t>-</w:t>
            </w:r>
            <w:r w:rsidR="00AC35FA">
              <w:rPr>
                <w:rFonts w:cs="Arial"/>
                <w:color w:val="000000" w:themeColor="text1"/>
                <w:sz w:val="20"/>
                <w:szCs w:val="20"/>
              </w:rPr>
              <w:t xml:space="preserve">term financial </w:t>
            </w:r>
            <w:r w:rsidRPr="00192F41">
              <w:rPr>
                <w:rFonts w:cs="Arial"/>
                <w:color w:val="000000" w:themeColor="text1"/>
                <w:sz w:val="20"/>
                <w:szCs w:val="20"/>
              </w:rPr>
              <w:t xml:space="preserve">sustainability, that acknowledges these challenges and plots targets for the pricing period and through to the year 2047. </w:t>
            </w:r>
          </w:p>
        </w:tc>
      </w:tr>
      <w:tr w:rsidR="00404FF6" w:rsidRPr="00192F41" w14:paraId="3B4C8082" w14:textId="77777777">
        <w:tc>
          <w:tcPr>
            <w:tcW w:w="1843" w:type="dxa"/>
          </w:tcPr>
          <w:p w14:paraId="66845BBD"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Controls</w:t>
            </w:r>
          </w:p>
        </w:tc>
        <w:tc>
          <w:tcPr>
            <w:tcW w:w="7938" w:type="dxa"/>
          </w:tcPr>
          <w:p w14:paraId="7EC03E1E" w14:textId="77777777" w:rsidR="00404FF6" w:rsidRPr="002657BB" w:rsidRDefault="00404FF6" w:rsidP="00172664">
            <w:pPr>
              <w:pStyle w:val="Bulletpointparagraph"/>
              <w:spacing w:before="40" w:after="40"/>
              <w:ind w:left="360" w:right="115"/>
              <w:jc w:val="both"/>
              <w:rPr>
                <w:rFonts w:cs="Arial"/>
                <w:sz w:val="20"/>
                <w:szCs w:val="20"/>
              </w:rPr>
            </w:pPr>
            <w:r w:rsidRPr="002657BB">
              <w:rPr>
                <w:rFonts w:cs="Arial"/>
                <w:sz w:val="20"/>
                <w:szCs w:val="20"/>
              </w:rPr>
              <w:t>Price increases above CPI to maintain assets (see Section 9)</w:t>
            </w:r>
          </w:p>
          <w:p w14:paraId="301C0AA6" w14:textId="77777777" w:rsidR="00404FF6" w:rsidRPr="002657BB" w:rsidRDefault="00404FF6" w:rsidP="00172664">
            <w:pPr>
              <w:pStyle w:val="Bulletpointparagraph"/>
              <w:spacing w:before="40" w:after="40"/>
              <w:ind w:left="360" w:right="115"/>
              <w:jc w:val="both"/>
              <w:rPr>
                <w:rFonts w:cs="Arial"/>
                <w:sz w:val="20"/>
                <w:szCs w:val="20"/>
              </w:rPr>
            </w:pPr>
            <w:r w:rsidRPr="002657BB">
              <w:rPr>
                <w:rFonts w:cs="Arial"/>
                <w:sz w:val="20"/>
                <w:szCs w:val="20"/>
              </w:rPr>
              <w:t>Modernisation (see Section 8)</w:t>
            </w:r>
          </w:p>
          <w:p w14:paraId="3ED13E9F" w14:textId="77777777" w:rsidR="00404FF6" w:rsidRPr="002657BB" w:rsidRDefault="00404FF6" w:rsidP="00172664">
            <w:pPr>
              <w:pStyle w:val="Bulletpointparagraph"/>
              <w:spacing w:before="40" w:after="40"/>
              <w:ind w:left="360" w:right="115"/>
              <w:jc w:val="both"/>
              <w:rPr>
                <w:rFonts w:cs="Arial"/>
                <w:sz w:val="20"/>
                <w:szCs w:val="20"/>
              </w:rPr>
            </w:pPr>
            <w:r w:rsidRPr="002657BB">
              <w:rPr>
                <w:rFonts w:cs="Arial"/>
                <w:sz w:val="20"/>
                <w:szCs w:val="20"/>
              </w:rPr>
              <w:t>Water sales (see Section 9)</w:t>
            </w:r>
          </w:p>
          <w:p w14:paraId="7C5C3C10" w14:textId="77777777" w:rsidR="00404FF6" w:rsidRPr="002657BB" w:rsidRDefault="00404FF6" w:rsidP="00172664">
            <w:pPr>
              <w:pStyle w:val="Bulletpointparagraph"/>
              <w:spacing w:before="40" w:after="40"/>
              <w:ind w:left="360" w:right="115"/>
              <w:jc w:val="both"/>
              <w:rPr>
                <w:rFonts w:cs="Arial"/>
                <w:sz w:val="20"/>
                <w:szCs w:val="20"/>
              </w:rPr>
            </w:pPr>
            <w:r w:rsidRPr="002657BB">
              <w:rPr>
                <w:rFonts w:cs="Arial"/>
                <w:sz w:val="20"/>
                <w:szCs w:val="20"/>
              </w:rPr>
              <w:t>Optimised asset management (see Section 8)</w:t>
            </w:r>
          </w:p>
          <w:p w14:paraId="79793E00" w14:textId="77777777" w:rsidR="00404FF6" w:rsidRPr="00192F41" w:rsidRDefault="00404FF6" w:rsidP="00172664">
            <w:pPr>
              <w:pStyle w:val="Bulletpointparagraph"/>
              <w:spacing w:before="40" w:after="40"/>
              <w:ind w:left="360" w:right="115"/>
              <w:jc w:val="both"/>
              <w:rPr>
                <w:rFonts w:cs="Arial"/>
                <w:color w:val="000000" w:themeColor="text1"/>
              </w:rPr>
            </w:pPr>
            <w:r w:rsidRPr="002657BB">
              <w:rPr>
                <w:rFonts w:cs="Arial"/>
                <w:sz w:val="20"/>
                <w:szCs w:val="20"/>
              </w:rPr>
              <w:t>Efficiency and productivity savings (see Section 7)</w:t>
            </w:r>
          </w:p>
        </w:tc>
      </w:tr>
      <w:tr w:rsidR="00404FF6" w:rsidRPr="00192F41" w14:paraId="47FF1519"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00EAD478"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Monitoring</w:t>
            </w:r>
          </w:p>
        </w:tc>
        <w:tc>
          <w:tcPr>
            <w:tcW w:w="7938" w:type="dxa"/>
          </w:tcPr>
          <w:p w14:paraId="4BE5BFE2" w14:textId="7D07B2B3"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 xml:space="preserve">The financial sustainability of the organisation is of paramount importance to the board and </w:t>
            </w:r>
            <w:r w:rsidR="00680ADB">
              <w:rPr>
                <w:rFonts w:cs="Arial"/>
                <w:color w:val="000000" w:themeColor="text1"/>
                <w:sz w:val="20"/>
                <w:szCs w:val="20"/>
              </w:rPr>
              <w:t>is</w:t>
            </w:r>
            <w:r w:rsidRPr="00192F41">
              <w:rPr>
                <w:rFonts w:cs="Arial"/>
                <w:color w:val="000000" w:themeColor="text1"/>
                <w:sz w:val="20"/>
                <w:szCs w:val="20"/>
              </w:rPr>
              <w:t xml:space="preserve"> reviewed on a regular basis.</w:t>
            </w:r>
          </w:p>
        </w:tc>
      </w:tr>
      <w:tr w:rsidR="00404FF6" w:rsidRPr="00192F41" w14:paraId="72ACE3C3" w14:textId="77777777" w:rsidTr="00204FD1">
        <w:tc>
          <w:tcPr>
            <w:tcW w:w="1843" w:type="dxa"/>
          </w:tcPr>
          <w:p w14:paraId="1FD936C7"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Risk allocation</w:t>
            </w:r>
          </w:p>
        </w:tc>
        <w:tc>
          <w:tcPr>
            <w:tcW w:w="7938" w:type="dxa"/>
          </w:tcPr>
          <w:p w14:paraId="6B1729D6" w14:textId="015E5167"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The 25</w:t>
            </w:r>
            <w:r w:rsidR="00FE6371">
              <w:rPr>
                <w:rFonts w:cs="Arial"/>
                <w:color w:val="000000" w:themeColor="text1"/>
                <w:sz w:val="20"/>
                <w:szCs w:val="20"/>
              </w:rPr>
              <w:t>-</w:t>
            </w:r>
            <w:r w:rsidRPr="00192F41">
              <w:rPr>
                <w:rFonts w:cs="Arial"/>
                <w:color w:val="000000" w:themeColor="text1"/>
                <w:sz w:val="20"/>
                <w:szCs w:val="20"/>
              </w:rPr>
              <w:t>year sustainability plan includes a series of interventions, including sustained (i.e</w:t>
            </w:r>
            <w:r w:rsidR="00C81AE4" w:rsidRPr="00192F41">
              <w:rPr>
                <w:rFonts w:cs="Arial"/>
                <w:color w:val="000000" w:themeColor="text1"/>
                <w:sz w:val="20"/>
                <w:szCs w:val="20"/>
              </w:rPr>
              <w:t>.,</w:t>
            </w:r>
            <w:r w:rsidRPr="00192F41">
              <w:rPr>
                <w:rFonts w:cs="Arial"/>
                <w:color w:val="000000" w:themeColor="text1"/>
                <w:sz w:val="20"/>
                <w:szCs w:val="20"/>
              </w:rPr>
              <w:t xml:space="preserve"> annual) price </w:t>
            </w:r>
            <w:r w:rsidR="4F14D46B" w:rsidRPr="6B20A4EE">
              <w:rPr>
                <w:rFonts w:cs="Arial"/>
                <w:color w:val="000000" w:themeColor="text1"/>
                <w:sz w:val="20"/>
                <w:szCs w:val="20"/>
              </w:rPr>
              <w:t>increases</w:t>
            </w:r>
            <w:r w:rsidRPr="00192F41">
              <w:rPr>
                <w:rFonts w:cs="Arial"/>
                <w:color w:val="000000" w:themeColor="text1"/>
                <w:sz w:val="20"/>
                <w:szCs w:val="20"/>
              </w:rPr>
              <w:t xml:space="preserve"> </w:t>
            </w:r>
            <w:r w:rsidR="007B680D">
              <w:rPr>
                <w:rFonts w:cs="Arial"/>
                <w:color w:val="000000" w:themeColor="text1"/>
                <w:sz w:val="20"/>
                <w:szCs w:val="20"/>
              </w:rPr>
              <w:t>in our irrigation districts</w:t>
            </w:r>
            <w:r w:rsidRPr="00192F41">
              <w:rPr>
                <w:rFonts w:cs="Arial"/>
                <w:color w:val="000000" w:themeColor="text1"/>
                <w:sz w:val="20"/>
                <w:szCs w:val="20"/>
              </w:rPr>
              <w:t xml:space="preserve"> of 1%-2% (+CPI) and productivity savings of 0.75%-1%.</w:t>
            </w:r>
          </w:p>
        </w:tc>
      </w:tr>
      <w:tr w:rsidR="00404FF6" w:rsidRPr="00192F41" w14:paraId="37EA3441"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6DAA94C4"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Residual risk</w:t>
            </w:r>
          </w:p>
        </w:tc>
        <w:tc>
          <w:tcPr>
            <w:tcW w:w="7938" w:type="dxa"/>
            <w:tcBorders>
              <w:bottom w:val="single" w:sz="4" w:space="0" w:color="auto"/>
            </w:tcBorders>
          </w:tcPr>
          <w:p w14:paraId="441A16D1" w14:textId="1326332E"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There is a high level of risk, especially when pursuing real price increases of 1% in an inflationary period.</w:t>
            </w:r>
          </w:p>
        </w:tc>
      </w:tr>
      <w:bookmarkEnd w:id="39"/>
    </w:tbl>
    <w:p w14:paraId="64CF39FE" w14:textId="36B5E5F7" w:rsidR="00017C58" w:rsidRPr="00192F41" w:rsidRDefault="00017C58" w:rsidP="000F59C4">
      <w:pPr>
        <w:rPr>
          <w:rStyle w:val="IntenseReference"/>
          <w:rFonts w:cs="Arial"/>
        </w:rPr>
      </w:pPr>
      <w:r w:rsidRPr="00192F41">
        <w:rPr>
          <w:rStyle w:val="IntenseReference"/>
          <w:rFonts w:cs="Arial"/>
        </w:rPr>
        <w:br w:type="page"/>
      </w:r>
    </w:p>
    <w:tbl>
      <w:tblPr>
        <w:tblStyle w:val="Tealheader-Grayrows1"/>
        <w:tblW w:w="9781" w:type="dxa"/>
        <w:tblLook w:val="04A0" w:firstRow="1" w:lastRow="0" w:firstColumn="1" w:lastColumn="0" w:noHBand="0" w:noVBand="1"/>
      </w:tblPr>
      <w:tblGrid>
        <w:gridCol w:w="1843"/>
        <w:gridCol w:w="7938"/>
      </w:tblGrid>
      <w:tr w:rsidR="00404FF6" w:rsidRPr="00192F41" w14:paraId="25DFA043"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4DC5C4F5" w14:textId="77777777" w:rsidR="00404FF6" w:rsidRPr="00BD0900" w:rsidRDefault="00404FF6" w:rsidP="00FC3923">
            <w:pPr>
              <w:spacing w:before="40" w:after="40"/>
              <w:rPr>
                <w:rFonts w:cs="Arial"/>
                <w:b w:val="0"/>
                <w:sz w:val="20"/>
                <w:szCs w:val="20"/>
              </w:rPr>
            </w:pPr>
            <w:r w:rsidRPr="00BD0900">
              <w:rPr>
                <w:rFonts w:cs="Arial"/>
                <w:sz w:val="20"/>
                <w:szCs w:val="20"/>
              </w:rPr>
              <w:t>Risk</w:t>
            </w:r>
          </w:p>
        </w:tc>
        <w:tc>
          <w:tcPr>
            <w:tcW w:w="7938" w:type="dxa"/>
          </w:tcPr>
          <w:p w14:paraId="3721C717" w14:textId="77777777" w:rsidR="00404FF6" w:rsidRPr="00BD0900" w:rsidRDefault="00404FF6" w:rsidP="00FC3923">
            <w:pPr>
              <w:spacing w:before="40" w:after="40"/>
              <w:rPr>
                <w:rFonts w:cs="Arial"/>
                <w:b w:val="0"/>
                <w:sz w:val="20"/>
                <w:szCs w:val="20"/>
              </w:rPr>
            </w:pPr>
            <w:r w:rsidRPr="00BD0900">
              <w:rPr>
                <w:rFonts w:cs="Arial"/>
                <w:sz w:val="20"/>
                <w:szCs w:val="20"/>
              </w:rPr>
              <w:t>Cyber security</w:t>
            </w:r>
          </w:p>
        </w:tc>
      </w:tr>
      <w:tr w:rsidR="00404FF6" w:rsidRPr="00192F41" w14:paraId="52F9A82A"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0F13FB31"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The risk</w:t>
            </w:r>
          </w:p>
        </w:tc>
        <w:tc>
          <w:tcPr>
            <w:tcW w:w="7938" w:type="dxa"/>
          </w:tcPr>
          <w:p w14:paraId="35744C7B" w14:textId="017B00B3" w:rsidR="00F74260" w:rsidRPr="00F74260" w:rsidRDefault="00404FF6" w:rsidP="0003715E">
            <w:pPr>
              <w:pStyle w:val="BodyText"/>
              <w:spacing w:before="40"/>
              <w:ind w:right="115"/>
              <w:rPr>
                <w:rFonts w:ascii="Arial" w:hAnsi="Arial" w:cs="Arial"/>
                <w:color w:val="000000" w:themeColor="text1"/>
                <w:sz w:val="20"/>
                <w:szCs w:val="20"/>
              </w:rPr>
            </w:pPr>
            <w:r w:rsidRPr="00F74260">
              <w:rPr>
                <w:rFonts w:ascii="Arial" w:hAnsi="Arial" w:cs="Arial"/>
                <w:color w:val="000000" w:themeColor="text1"/>
                <w:sz w:val="20"/>
                <w:szCs w:val="20"/>
              </w:rPr>
              <w:t xml:space="preserve">Cyber security failure at a global scale </w:t>
            </w:r>
            <w:r w:rsidR="00F74260" w:rsidRPr="00F74260">
              <w:rPr>
                <w:rFonts w:ascii="Arial" w:hAnsi="Arial" w:cs="Arial"/>
                <w:color w:val="000000" w:themeColor="text1"/>
                <w:sz w:val="20"/>
                <w:szCs w:val="20"/>
              </w:rPr>
              <w:t>is</w:t>
            </w:r>
            <w:r w:rsidRPr="00F74260">
              <w:rPr>
                <w:rFonts w:ascii="Arial" w:hAnsi="Arial" w:cs="Arial"/>
                <w:color w:val="000000" w:themeColor="text1"/>
                <w:sz w:val="20"/>
                <w:szCs w:val="20"/>
              </w:rPr>
              <w:t xml:space="preserve"> among the top </w:t>
            </w:r>
            <w:r w:rsidR="0034410E">
              <w:rPr>
                <w:rFonts w:ascii="Arial" w:hAnsi="Arial" w:cs="Arial"/>
                <w:color w:val="000000" w:themeColor="text1"/>
                <w:sz w:val="20"/>
                <w:szCs w:val="20"/>
              </w:rPr>
              <w:t>10</w:t>
            </w:r>
            <w:r w:rsidRPr="00F74260">
              <w:rPr>
                <w:rFonts w:ascii="Arial" w:hAnsi="Arial" w:cs="Arial"/>
                <w:color w:val="000000" w:themeColor="text1"/>
                <w:sz w:val="20"/>
                <w:szCs w:val="20"/>
              </w:rPr>
              <w:t xml:space="preserve"> risks that have worsened since the start of the pandemic.  </w:t>
            </w:r>
          </w:p>
          <w:p w14:paraId="49A6DFBA" w14:textId="77777777" w:rsidR="00F74260" w:rsidRPr="00F74260" w:rsidRDefault="00F74260" w:rsidP="0003715E">
            <w:pPr>
              <w:pStyle w:val="BodyText"/>
              <w:spacing w:before="40"/>
              <w:ind w:right="115"/>
              <w:rPr>
                <w:rFonts w:ascii="Arial" w:hAnsi="Arial" w:cs="Arial"/>
                <w:color w:val="000000" w:themeColor="text1"/>
                <w:sz w:val="20"/>
                <w:szCs w:val="20"/>
              </w:rPr>
            </w:pPr>
            <w:r w:rsidRPr="00F74260">
              <w:rPr>
                <w:rFonts w:ascii="Arial" w:hAnsi="Arial" w:cs="Arial"/>
                <w:color w:val="000000" w:themeColor="text1"/>
                <w:sz w:val="20"/>
                <w:szCs w:val="20"/>
              </w:rPr>
              <w:t>DELWP has identified that critical infrastructure is highly likely to remain a priority target for cybercriminals, but because of current measures in place are unlikely to have a significant impact on the water sector. Notwithstanding this, it is listed as an extreme risk.</w:t>
            </w:r>
          </w:p>
          <w:p w14:paraId="46F2281D" w14:textId="21E1C2A1" w:rsidR="00404FF6" w:rsidRPr="00192F41" w:rsidRDefault="00F74260" w:rsidP="00172664">
            <w:pPr>
              <w:pStyle w:val="BodyText"/>
              <w:spacing w:before="40" w:after="40"/>
              <w:ind w:right="115"/>
              <w:rPr>
                <w:rFonts w:ascii="Arial" w:hAnsi="Arial" w:cs="Arial"/>
                <w:color w:val="FF0000"/>
                <w:sz w:val="20"/>
                <w:szCs w:val="20"/>
              </w:rPr>
            </w:pPr>
            <w:r w:rsidRPr="00F74260">
              <w:rPr>
                <w:rFonts w:ascii="Arial" w:hAnsi="Arial" w:cs="Arial"/>
                <w:color w:val="000000" w:themeColor="text1"/>
                <w:sz w:val="20"/>
                <w:szCs w:val="20"/>
              </w:rPr>
              <w:t>At a national level, the Australian Critical Infrastructure Resilience Strategy sets the framework for enhancing the security and resilience of Australia’s critical infrastructure assets. The Victorian Government's Critical Infrastructure Resilience Strategy and DELWP’s Water Sector Resilience Plan provide guidance at a state level.</w:t>
            </w:r>
          </w:p>
        </w:tc>
      </w:tr>
      <w:tr w:rsidR="00404FF6" w:rsidRPr="00192F41" w14:paraId="0A58BE35" w14:textId="77777777" w:rsidTr="31AE0AC4">
        <w:trPr>
          <w:trHeight w:val="330"/>
        </w:trPr>
        <w:tc>
          <w:tcPr>
            <w:tcW w:w="1843" w:type="dxa"/>
          </w:tcPr>
          <w:p w14:paraId="4EB545F9"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Controls</w:t>
            </w:r>
          </w:p>
        </w:tc>
        <w:tc>
          <w:tcPr>
            <w:tcW w:w="7938" w:type="dxa"/>
            <w:vAlign w:val="top"/>
          </w:tcPr>
          <w:p w14:paraId="1B4A3ED2" w14:textId="5864FB66" w:rsidR="00404FF6" w:rsidRPr="00F244DD" w:rsidRDefault="757C7D9F" w:rsidP="00172664">
            <w:pPr>
              <w:spacing w:before="40" w:after="40"/>
              <w:ind w:right="115"/>
              <w:jc w:val="both"/>
            </w:pPr>
            <w:r w:rsidRPr="008B2F2E">
              <w:rPr>
                <w:rFonts w:cs="Arial"/>
                <w:color w:val="000000" w:themeColor="text1"/>
                <w:sz w:val="20"/>
                <w:szCs w:val="20"/>
              </w:rPr>
              <w:t>C</w:t>
            </w:r>
            <w:r w:rsidR="1EBE32B3" w:rsidRPr="008B2F2E">
              <w:rPr>
                <w:rFonts w:cs="Arial"/>
                <w:color w:val="000000" w:themeColor="text1"/>
                <w:sz w:val="20"/>
                <w:szCs w:val="20"/>
              </w:rPr>
              <w:t xml:space="preserve">yber Response Plan, </w:t>
            </w:r>
            <w:r w:rsidR="000A31C1">
              <w:rPr>
                <w:rFonts w:cs="Arial"/>
                <w:color w:val="000000" w:themeColor="text1"/>
                <w:sz w:val="20"/>
                <w:szCs w:val="20"/>
              </w:rPr>
              <w:t>Business Continuity Plan</w:t>
            </w:r>
            <w:r w:rsidR="1EBE32B3" w:rsidRPr="008B2F2E">
              <w:rPr>
                <w:rFonts w:cs="Arial"/>
                <w:color w:val="000000" w:themeColor="text1"/>
                <w:sz w:val="20"/>
                <w:szCs w:val="20"/>
              </w:rPr>
              <w:t>, Disaster Recovery Plan</w:t>
            </w:r>
          </w:p>
        </w:tc>
      </w:tr>
      <w:tr w:rsidR="00404FF6" w:rsidRPr="00192F41" w14:paraId="2CD1D617" w14:textId="77777777" w:rsidTr="006E0CF3">
        <w:trPr>
          <w:cnfStyle w:val="000000100000" w:firstRow="0" w:lastRow="0" w:firstColumn="0" w:lastColumn="0" w:oddVBand="0" w:evenVBand="0" w:oddHBand="1" w:evenHBand="0" w:firstRowFirstColumn="0" w:firstRowLastColumn="0" w:lastRowFirstColumn="0" w:lastRowLastColumn="0"/>
        </w:trPr>
        <w:tc>
          <w:tcPr>
            <w:tcW w:w="1843" w:type="dxa"/>
          </w:tcPr>
          <w:p w14:paraId="0985A869"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Monitoring</w:t>
            </w:r>
          </w:p>
        </w:tc>
        <w:tc>
          <w:tcPr>
            <w:tcW w:w="7938" w:type="dxa"/>
            <w:vAlign w:val="top"/>
          </w:tcPr>
          <w:p w14:paraId="679A7D9D" w14:textId="110B528C" w:rsidR="00404FF6" w:rsidRPr="0014771D" w:rsidRDefault="1EBE32B3" w:rsidP="00172664">
            <w:pPr>
              <w:spacing w:before="40" w:after="40"/>
              <w:ind w:right="115"/>
              <w:jc w:val="both"/>
              <w:rPr>
                <w:rFonts w:cs="Arial"/>
                <w:color w:val="000000" w:themeColor="text1"/>
                <w:sz w:val="20"/>
                <w:szCs w:val="20"/>
              </w:rPr>
            </w:pPr>
            <w:r w:rsidRPr="0014771D">
              <w:rPr>
                <w:rFonts w:cs="Arial"/>
                <w:color w:val="000000" w:themeColor="text1"/>
                <w:sz w:val="20"/>
                <w:szCs w:val="20"/>
              </w:rPr>
              <w:t>Best of breed tools to detect, prote</w:t>
            </w:r>
            <w:r w:rsidR="31AE0AC4" w:rsidRPr="0014771D">
              <w:rPr>
                <w:rFonts w:cs="Arial"/>
                <w:color w:val="000000" w:themeColor="text1"/>
                <w:sz w:val="20"/>
                <w:szCs w:val="20"/>
              </w:rPr>
              <w:t>ct, prevent and monitor at all levels of possible threat vectors</w:t>
            </w:r>
          </w:p>
        </w:tc>
      </w:tr>
      <w:tr w:rsidR="00404FF6" w:rsidRPr="00192F41" w14:paraId="19343E07" w14:textId="77777777" w:rsidTr="006E0CF3">
        <w:tc>
          <w:tcPr>
            <w:tcW w:w="1843" w:type="dxa"/>
          </w:tcPr>
          <w:p w14:paraId="090EF2F8" w14:textId="77777777" w:rsidR="00404FF6" w:rsidRPr="00172664" w:rsidRDefault="00404FF6" w:rsidP="00FC3923">
            <w:pPr>
              <w:spacing w:before="40" w:after="40"/>
              <w:rPr>
                <w:rFonts w:cs="Arial"/>
                <w:color w:val="000000" w:themeColor="text1"/>
                <w:sz w:val="20"/>
                <w:szCs w:val="20"/>
              </w:rPr>
            </w:pPr>
            <w:r w:rsidRPr="00172664">
              <w:rPr>
                <w:rFonts w:cs="Arial"/>
                <w:sz w:val="20"/>
                <w:szCs w:val="20"/>
              </w:rPr>
              <w:t>Risk allocation</w:t>
            </w:r>
          </w:p>
        </w:tc>
        <w:tc>
          <w:tcPr>
            <w:tcW w:w="7938" w:type="dxa"/>
            <w:vAlign w:val="top"/>
          </w:tcPr>
          <w:p w14:paraId="1D8BD9EE" w14:textId="72D6025C" w:rsidR="00404FF6" w:rsidRPr="0014771D" w:rsidRDefault="6351A497" w:rsidP="00172664">
            <w:pPr>
              <w:spacing w:before="40" w:after="40"/>
              <w:ind w:right="115"/>
              <w:jc w:val="both"/>
              <w:rPr>
                <w:rFonts w:cs="Arial"/>
                <w:color w:val="000000" w:themeColor="text1"/>
                <w:sz w:val="20"/>
                <w:szCs w:val="20"/>
              </w:rPr>
            </w:pPr>
            <w:r w:rsidRPr="0014771D">
              <w:rPr>
                <w:rFonts w:cs="Arial"/>
                <w:color w:val="000000" w:themeColor="text1"/>
                <w:sz w:val="20"/>
                <w:szCs w:val="20"/>
              </w:rPr>
              <w:t>SRW bears the reputational risk</w:t>
            </w:r>
            <w:r w:rsidR="321F67BD" w:rsidRPr="0014771D">
              <w:rPr>
                <w:rFonts w:cs="Arial"/>
                <w:color w:val="000000" w:themeColor="text1"/>
                <w:sz w:val="20"/>
                <w:szCs w:val="20"/>
              </w:rPr>
              <w:t>, through loss of sensitive data, or loss of critical application</w:t>
            </w:r>
          </w:p>
        </w:tc>
      </w:tr>
      <w:tr w:rsidR="00404FF6" w:rsidRPr="00192F41" w14:paraId="5F6CF73F" w14:textId="77777777" w:rsidTr="006E0CF3">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043C5FB9"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Residual risk</w:t>
            </w:r>
          </w:p>
        </w:tc>
        <w:tc>
          <w:tcPr>
            <w:tcW w:w="7938" w:type="dxa"/>
            <w:tcBorders>
              <w:bottom w:val="single" w:sz="4" w:space="0" w:color="auto"/>
            </w:tcBorders>
            <w:vAlign w:val="top"/>
          </w:tcPr>
          <w:p w14:paraId="3FEC184C" w14:textId="36630CB2" w:rsidR="00404FF6" w:rsidRPr="0014771D" w:rsidRDefault="455B2729" w:rsidP="00172664">
            <w:pPr>
              <w:spacing w:before="40" w:after="40"/>
              <w:ind w:right="115"/>
              <w:jc w:val="both"/>
              <w:rPr>
                <w:rFonts w:cs="Arial"/>
                <w:color w:val="000000" w:themeColor="text1"/>
                <w:sz w:val="20"/>
                <w:szCs w:val="20"/>
              </w:rPr>
            </w:pPr>
            <w:r w:rsidRPr="0014771D">
              <w:rPr>
                <w:rFonts w:cs="Arial"/>
                <w:color w:val="000000" w:themeColor="text1"/>
                <w:sz w:val="20"/>
                <w:szCs w:val="20"/>
              </w:rPr>
              <w:t>Residual risk is Lo</w:t>
            </w:r>
            <w:r w:rsidR="33AC2856" w:rsidRPr="0014771D">
              <w:rPr>
                <w:rFonts w:cs="Arial"/>
                <w:color w:val="000000" w:themeColor="text1"/>
                <w:sz w:val="20"/>
                <w:szCs w:val="20"/>
              </w:rPr>
              <w:t xml:space="preserve">w, due to key </w:t>
            </w:r>
            <w:r w:rsidR="00B27B36" w:rsidRPr="0014771D">
              <w:rPr>
                <w:rFonts w:cs="Arial"/>
                <w:color w:val="000000" w:themeColor="text1"/>
                <w:sz w:val="20"/>
                <w:szCs w:val="20"/>
              </w:rPr>
              <w:t>infrastructure</w:t>
            </w:r>
            <w:r w:rsidR="33AC2856" w:rsidRPr="0014771D">
              <w:rPr>
                <w:rFonts w:cs="Arial"/>
                <w:color w:val="000000" w:themeColor="text1"/>
                <w:sz w:val="20"/>
                <w:szCs w:val="20"/>
              </w:rPr>
              <w:t xml:space="preserve"> being stored at </w:t>
            </w:r>
            <w:r w:rsidR="000A31C1">
              <w:rPr>
                <w:rFonts w:cs="Arial"/>
                <w:color w:val="000000" w:themeColor="text1"/>
                <w:sz w:val="20"/>
                <w:szCs w:val="20"/>
              </w:rPr>
              <w:t xml:space="preserve">a </w:t>
            </w:r>
            <w:r w:rsidR="33AC2856" w:rsidRPr="0014771D">
              <w:rPr>
                <w:rFonts w:cs="Arial"/>
                <w:color w:val="000000" w:themeColor="text1"/>
                <w:sz w:val="20"/>
                <w:szCs w:val="20"/>
              </w:rPr>
              <w:t xml:space="preserve">secure </w:t>
            </w:r>
            <w:r w:rsidR="000A31C1">
              <w:rPr>
                <w:rFonts w:cs="Arial"/>
                <w:color w:val="000000" w:themeColor="text1"/>
                <w:sz w:val="20"/>
                <w:szCs w:val="20"/>
              </w:rPr>
              <w:t>d</w:t>
            </w:r>
            <w:r w:rsidR="33AC2856" w:rsidRPr="0014771D">
              <w:rPr>
                <w:rFonts w:cs="Arial"/>
                <w:color w:val="000000" w:themeColor="text1"/>
                <w:sz w:val="20"/>
                <w:szCs w:val="20"/>
              </w:rPr>
              <w:t xml:space="preserve">ata centre, and </w:t>
            </w:r>
            <w:r w:rsidR="000A31C1">
              <w:rPr>
                <w:rFonts w:cs="Arial"/>
                <w:color w:val="000000" w:themeColor="text1"/>
                <w:sz w:val="20"/>
                <w:szCs w:val="20"/>
              </w:rPr>
              <w:t xml:space="preserve">the </w:t>
            </w:r>
            <w:r w:rsidR="33AC2856" w:rsidRPr="0014771D">
              <w:rPr>
                <w:rFonts w:cs="Arial"/>
                <w:color w:val="000000" w:themeColor="text1"/>
                <w:sz w:val="20"/>
                <w:szCs w:val="20"/>
              </w:rPr>
              <w:t>use of cyber protection tools</w:t>
            </w:r>
          </w:p>
        </w:tc>
      </w:tr>
    </w:tbl>
    <w:p w14:paraId="7D068D1D" w14:textId="77777777" w:rsidR="00017C58" w:rsidRPr="00192F41" w:rsidRDefault="00017C58" w:rsidP="00017C58">
      <w:pPr>
        <w:rPr>
          <w:rStyle w:val="IntenseReference"/>
          <w:rFonts w:cs="Arial"/>
        </w:rPr>
      </w:pPr>
    </w:p>
    <w:tbl>
      <w:tblPr>
        <w:tblStyle w:val="Tealheader-Grayrows1"/>
        <w:tblW w:w="9781" w:type="dxa"/>
        <w:tblLook w:val="04A0" w:firstRow="1" w:lastRow="0" w:firstColumn="1" w:lastColumn="0" w:noHBand="0" w:noVBand="1"/>
      </w:tblPr>
      <w:tblGrid>
        <w:gridCol w:w="1843"/>
        <w:gridCol w:w="7938"/>
      </w:tblGrid>
      <w:tr w:rsidR="00404FF6" w:rsidRPr="00192F41" w14:paraId="2E010750" w14:textId="77777777">
        <w:trPr>
          <w:cnfStyle w:val="100000000000" w:firstRow="1" w:lastRow="0" w:firstColumn="0" w:lastColumn="0" w:oddVBand="0" w:evenVBand="0" w:oddHBand="0" w:evenHBand="0" w:firstRowFirstColumn="0" w:firstRowLastColumn="0" w:lastRowFirstColumn="0" w:lastRowLastColumn="0"/>
        </w:trPr>
        <w:tc>
          <w:tcPr>
            <w:tcW w:w="1843" w:type="dxa"/>
          </w:tcPr>
          <w:p w14:paraId="69FE188A" w14:textId="77777777" w:rsidR="00404FF6" w:rsidRPr="00192F41" w:rsidRDefault="00404FF6" w:rsidP="00FC3923">
            <w:pPr>
              <w:spacing w:before="40" w:after="40"/>
              <w:rPr>
                <w:rFonts w:cs="Arial"/>
                <w:b w:val="0"/>
                <w:sz w:val="20"/>
                <w:szCs w:val="20"/>
              </w:rPr>
            </w:pPr>
            <w:bookmarkStart w:id="40" w:name="_Hlk107913404"/>
            <w:r w:rsidRPr="00192F41">
              <w:rPr>
                <w:rFonts w:cs="Arial"/>
                <w:sz w:val="20"/>
                <w:szCs w:val="20"/>
              </w:rPr>
              <w:t>Risk</w:t>
            </w:r>
          </w:p>
        </w:tc>
        <w:tc>
          <w:tcPr>
            <w:tcW w:w="7938" w:type="dxa"/>
          </w:tcPr>
          <w:p w14:paraId="540063C9" w14:textId="77777777" w:rsidR="00404FF6" w:rsidRPr="00BD0900" w:rsidRDefault="00404FF6" w:rsidP="00FC3923">
            <w:pPr>
              <w:spacing w:before="40" w:after="40"/>
              <w:rPr>
                <w:rFonts w:cs="Arial"/>
                <w:b w:val="0"/>
                <w:sz w:val="20"/>
                <w:szCs w:val="20"/>
              </w:rPr>
            </w:pPr>
            <w:r w:rsidRPr="00BD0900">
              <w:rPr>
                <w:rFonts w:cs="Arial"/>
                <w:sz w:val="20"/>
                <w:szCs w:val="20"/>
              </w:rPr>
              <w:t>Pandemic</w:t>
            </w:r>
          </w:p>
        </w:tc>
      </w:tr>
      <w:tr w:rsidR="00404FF6" w:rsidRPr="00192F41" w14:paraId="33C6B78C"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7882541D"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The risk</w:t>
            </w:r>
          </w:p>
        </w:tc>
        <w:tc>
          <w:tcPr>
            <w:tcW w:w="7938" w:type="dxa"/>
          </w:tcPr>
          <w:p w14:paraId="3AE1C463" w14:textId="0D82BD02" w:rsidR="00404FF6" w:rsidRPr="00192F41" w:rsidRDefault="00E76B3E" w:rsidP="0003715E">
            <w:pPr>
              <w:spacing w:before="40" w:after="120"/>
              <w:ind w:right="115"/>
              <w:jc w:val="both"/>
              <w:rPr>
                <w:rFonts w:cs="Arial"/>
                <w:color w:val="000000" w:themeColor="text1"/>
                <w:sz w:val="20"/>
                <w:szCs w:val="20"/>
              </w:rPr>
            </w:pPr>
            <w:r>
              <w:rPr>
                <w:rFonts w:cs="Arial"/>
                <w:color w:val="000000" w:themeColor="text1"/>
                <w:sz w:val="20"/>
                <w:szCs w:val="20"/>
              </w:rPr>
              <w:t>COVID-</w:t>
            </w:r>
            <w:r w:rsidR="00404FF6" w:rsidRPr="00192F41">
              <w:rPr>
                <w:rFonts w:cs="Arial"/>
                <w:color w:val="000000" w:themeColor="text1"/>
                <w:sz w:val="20"/>
                <w:szCs w:val="20"/>
              </w:rPr>
              <w:t>19 has had a direct impact on our operations. The Global Risks Report indicates that despite management strategies (incl</w:t>
            </w:r>
            <w:r w:rsidR="000A31C1">
              <w:rPr>
                <w:rFonts w:cs="Arial"/>
                <w:color w:val="000000" w:themeColor="text1"/>
                <w:sz w:val="20"/>
                <w:szCs w:val="20"/>
              </w:rPr>
              <w:t>uding</w:t>
            </w:r>
            <w:r w:rsidR="00404FF6" w:rsidRPr="00192F41">
              <w:rPr>
                <w:rFonts w:cs="Arial"/>
                <w:color w:val="000000" w:themeColor="text1"/>
                <w:sz w:val="20"/>
                <w:szCs w:val="20"/>
              </w:rPr>
              <w:t xml:space="preserve"> vaccination), more infectious variants will continue to emerge. The collateral health impacts globally include the emergence of further variants, mental health deterioration and potential increase in other diseases (including malaria and tuberculosis). The threat of </w:t>
            </w:r>
            <w:r w:rsidR="008D3E7A">
              <w:rPr>
                <w:rFonts w:cs="Arial"/>
                <w:color w:val="000000" w:themeColor="text1"/>
                <w:sz w:val="20"/>
                <w:szCs w:val="20"/>
              </w:rPr>
              <w:t>COVID</w:t>
            </w:r>
            <w:r w:rsidR="000A31C1">
              <w:rPr>
                <w:rFonts w:cs="Arial"/>
                <w:color w:val="000000" w:themeColor="text1"/>
                <w:sz w:val="20"/>
                <w:szCs w:val="20"/>
              </w:rPr>
              <w:t>-19</w:t>
            </w:r>
            <w:r w:rsidR="00404FF6" w:rsidRPr="00192F41">
              <w:rPr>
                <w:rFonts w:cs="Arial"/>
                <w:color w:val="000000" w:themeColor="text1"/>
                <w:sz w:val="20"/>
                <w:szCs w:val="20"/>
              </w:rPr>
              <w:t xml:space="preserve"> and other disease is likely to extend into the regulatory period.</w:t>
            </w:r>
          </w:p>
          <w:p w14:paraId="0237DA84" w14:textId="4C47AAAB" w:rsidR="00404FF6" w:rsidRPr="00192F41" w:rsidRDefault="00404FF6" w:rsidP="00172664">
            <w:pPr>
              <w:spacing w:before="40" w:after="40"/>
              <w:ind w:right="115"/>
              <w:jc w:val="both"/>
              <w:rPr>
                <w:rFonts w:cs="Arial"/>
                <w:color w:val="FF0000"/>
                <w:sz w:val="20"/>
                <w:szCs w:val="20"/>
              </w:rPr>
            </w:pPr>
            <w:r w:rsidRPr="00192F41">
              <w:rPr>
                <w:rFonts w:cs="Arial"/>
                <w:color w:val="000000" w:themeColor="text1"/>
                <w:sz w:val="20"/>
                <w:szCs w:val="20"/>
              </w:rPr>
              <w:t xml:space="preserve">Notwithstanding the significant impact that </w:t>
            </w:r>
            <w:r w:rsidR="009C0E5F">
              <w:rPr>
                <w:rFonts w:cs="Arial"/>
                <w:color w:val="000000" w:themeColor="text1"/>
                <w:sz w:val="20"/>
                <w:szCs w:val="20"/>
              </w:rPr>
              <w:t>COVID</w:t>
            </w:r>
            <w:r w:rsidRPr="00192F41">
              <w:rPr>
                <w:rFonts w:cs="Arial"/>
                <w:color w:val="000000" w:themeColor="text1"/>
                <w:sz w:val="20"/>
                <w:szCs w:val="20"/>
              </w:rPr>
              <w:t>-19 has had on the global community, SRW has been able to effectively respond with minimal disruption to services. Increased costs have been offset by savings (e.g</w:t>
            </w:r>
            <w:r w:rsidR="00C81AE4" w:rsidRPr="00192F41">
              <w:rPr>
                <w:rFonts w:cs="Arial"/>
                <w:color w:val="000000" w:themeColor="text1"/>
                <w:sz w:val="20"/>
                <w:szCs w:val="20"/>
              </w:rPr>
              <w:t>.,</w:t>
            </w:r>
            <w:r w:rsidRPr="00192F41">
              <w:rPr>
                <w:rFonts w:cs="Arial"/>
                <w:color w:val="000000" w:themeColor="text1"/>
                <w:sz w:val="20"/>
                <w:szCs w:val="20"/>
              </w:rPr>
              <w:t xml:space="preserve"> transport and travel)</w:t>
            </w:r>
            <w:r w:rsidR="00DF4380">
              <w:rPr>
                <w:rFonts w:cs="Arial"/>
                <w:color w:val="000000" w:themeColor="text1"/>
                <w:sz w:val="20"/>
                <w:szCs w:val="20"/>
              </w:rPr>
              <w:t>.</w:t>
            </w:r>
          </w:p>
        </w:tc>
      </w:tr>
      <w:tr w:rsidR="00404FF6" w:rsidRPr="00192F41" w14:paraId="24DCC289" w14:textId="77777777">
        <w:tc>
          <w:tcPr>
            <w:tcW w:w="1843" w:type="dxa"/>
          </w:tcPr>
          <w:p w14:paraId="697C352D"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Controls</w:t>
            </w:r>
          </w:p>
        </w:tc>
        <w:tc>
          <w:tcPr>
            <w:tcW w:w="7938" w:type="dxa"/>
          </w:tcPr>
          <w:p w14:paraId="5D10DC7B" w14:textId="1956E5B0" w:rsidR="00404FF6" w:rsidRPr="00192F41" w:rsidRDefault="00404FF6" w:rsidP="00172664">
            <w:pPr>
              <w:pStyle w:val="Bulletpointparagraph"/>
              <w:spacing w:before="40" w:after="40"/>
              <w:ind w:left="360" w:right="115"/>
              <w:jc w:val="both"/>
              <w:rPr>
                <w:rFonts w:cs="Arial"/>
                <w:sz w:val="20"/>
                <w:szCs w:val="20"/>
              </w:rPr>
            </w:pPr>
            <w:r w:rsidRPr="00192F41">
              <w:rPr>
                <w:rFonts w:cs="Arial"/>
                <w:sz w:val="20"/>
                <w:szCs w:val="20"/>
              </w:rPr>
              <w:t xml:space="preserve">Corporate </w:t>
            </w:r>
            <w:r w:rsidR="000A31C1">
              <w:rPr>
                <w:rFonts w:cs="Arial"/>
                <w:sz w:val="20"/>
                <w:szCs w:val="20"/>
              </w:rPr>
              <w:t>I</w:t>
            </w:r>
            <w:r w:rsidRPr="00192F41">
              <w:rPr>
                <w:rFonts w:cs="Arial"/>
                <w:sz w:val="20"/>
                <w:szCs w:val="20"/>
              </w:rPr>
              <w:t xml:space="preserve">ncident </w:t>
            </w:r>
            <w:r w:rsidR="000A31C1">
              <w:rPr>
                <w:rFonts w:cs="Arial"/>
                <w:sz w:val="20"/>
                <w:szCs w:val="20"/>
              </w:rPr>
              <w:t>M</w:t>
            </w:r>
            <w:r w:rsidRPr="00192F41">
              <w:rPr>
                <w:rFonts w:cs="Arial"/>
                <w:sz w:val="20"/>
                <w:szCs w:val="20"/>
              </w:rPr>
              <w:t xml:space="preserve">anagement </w:t>
            </w:r>
            <w:r w:rsidR="000A31C1">
              <w:rPr>
                <w:rFonts w:cs="Arial"/>
                <w:sz w:val="20"/>
                <w:szCs w:val="20"/>
              </w:rPr>
              <w:t>P</w:t>
            </w:r>
            <w:r w:rsidRPr="00192F41">
              <w:rPr>
                <w:rFonts w:cs="Arial"/>
                <w:sz w:val="20"/>
                <w:szCs w:val="20"/>
              </w:rPr>
              <w:t>lan</w:t>
            </w:r>
          </w:p>
          <w:p w14:paraId="6AE7526B" w14:textId="52A4AEAE" w:rsidR="00404FF6" w:rsidRPr="00192F41" w:rsidRDefault="00404FF6" w:rsidP="00172664">
            <w:pPr>
              <w:pStyle w:val="Bulletpointparagraph"/>
              <w:spacing w:before="40" w:after="40"/>
              <w:ind w:left="360" w:right="115"/>
              <w:jc w:val="both"/>
              <w:rPr>
                <w:rFonts w:cs="Arial"/>
                <w:sz w:val="20"/>
                <w:szCs w:val="20"/>
              </w:rPr>
            </w:pPr>
            <w:r w:rsidRPr="00192F41">
              <w:rPr>
                <w:rFonts w:cs="Arial"/>
                <w:sz w:val="20"/>
                <w:szCs w:val="20"/>
              </w:rPr>
              <w:t xml:space="preserve">Business </w:t>
            </w:r>
            <w:r w:rsidR="000A31C1">
              <w:rPr>
                <w:rFonts w:cs="Arial"/>
                <w:sz w:val="20"/>
                <w:szCs w:val="20"/>
              </w:rPr>
              <w:t>C</w:t>
            </w:r>
            <w:r w:rsidRPr="00192F41">
              <w:rPr>
                <w:rFonts w:cs="Arial"/>
                <w:sz w:val="20"/>
                <w:szCs w:val="20"/>
              </w:rPr>
              <w:t xml:space="preserve">ontinuity </w:t>
            </w:r>
            <w:r w:rsidR="000A31C1">
              <w:rPr>
                <w:rFonts w:cs="Arial"/>
                <w:sz w:val="20"/>
                <w:szCs w:val="20"/>
              </w:rPr>
              <w:t>P</w:t>
            </w:r>
            <w:r w:rsidRPr="00192F41">
              <w:rPr>
                <w:rFonts w:cs="Arial"/>
                <w:sz w:val="20"/>
                <w:szCs w:val="20"/>
              </w:rPr>
              <w:t>lan</w:t>
            </w:r>
          </w:p>
          <w:p w14:paraId="4751B6C0" w14:textId="5C5BACC5" w:rsidR="00404FF6" w:rsidRPr="00192F41" w:rsidRDefault="00404FF6" w:rsidP="00172664">
            <w:pPr>
              <w:pStyle w:val="Bulletpointparagraph"/>
              <w:spacing w:before="40" w:after="40"/>
              <w:ind w:left="360" w:right="115"/>
              <w:jc w:val="both"/>
              <w:rPr>
                <w:rFonts w:cs="Arial"/>
                <w:sz w:val="20"/>
                <w:szCs w:val="20"/>
              </w:rPr>
            </w:pPr>
            <w:r w:rsidRPr="00192F41">
              <w:rPr>
                <w:rFonts w:cs="Arial"/>
                <w:sz w:val="20"/>
                <w:szCs w:val="20"/>
              </w:rPr>
              <w:t xml:space="preserve">Pandemic </w:t>
            </w:r>
            <w:r w:rsidR="000A31C1">
              <w:rPr>
                <w:rFonts w:cs="Arial"/>
                <w:sz w:val="20"/>
                <w:szCs w:val="20"/>
              </w:rPr>
              <w:t>M</w:t>
            </w:r>
            <w:r w:rsidRPr="00192F41">
              <w:rPr>
                <w:rFonts w:cs="Arial"/>
                <w:sz w:val="20"/>
                <w:szCs w:val="20"/>
              </w:rPr>
              <w:t xml:space="preserve">anagement </w:t>
            </w:r>
            <w:r w:rsidR="000A31C1">
              <w:rPr>
                <w:rFonts w:cs="Arial"/>
                <w:sz w:val="20"/>
                <w:szCs w:val="20"/>
              </w:rPr>
              <w:t>P</w:t>
            </w:r>
            <w:r w:rsidRPr="00192F41">
              <w:rPr>
                <w:rFonts w:cs="Arial"/>
                <w:sz w:val="20"/>
                <w:szCs w:val="20"/>
              </w:rPr>
              <w:t>lan</w:t>
            </w:r>
          </w:p>
        </w:tc>
      </w:tr>
      <w:tr w:rsidR="00404FF6" w:rsidRPr="00192F41" w14:paraId="33BC94EF" w14:textId="77777777">
        <w:trPr>
          <w:cnfStyle w:val="000000100000" w:firstRow="0" w:lastRow="0" w:firstColumn="0" w:lastColumn="0" w:oddVBand="0" w:evenVBand="0" w:oddHBand="1" w:evenHBand="0" w:firstRowFirstColumn="0" w:firstRowLastColumn="0" w:lastRowFirstColumn="0" w:lastRowLastColumn="0"/>
        </w:trPr>
        <w:tc>
          <w:tcPr>
            <w:tcW w:w="1843" w:type="dxa"/>
          </w:tcPr>
          <w:p w14:paraId="441FD2FE"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Monitoring</w:t>
            </w:r>
          </w:p>
        </w:tc>
        <w:tc>
          <w:tcPr>
            <w:tcW w:w="7938" w:type="dxa"/>
          </w:tcPr>
          <w:p w14:paraId="13EE3038" w14:textId="7F08A196" w:rsidR="00404FF6" w:rsidRPr="0085311F" w:rsidRDefault="00901B24" w:rsidP="00172664">
            <w:pPr>
              <w:spacing w:before="40" w:after="40"/>
              <w:ind w:right="115"/>
              <w:jc w:val="both"/>
              <w:rPr>
                <w:rFonts w:cs="Arial"/>
                <w:sz w:val="20"/>
                <w:szCs w:val="20"/>
              </w:rPr>
            </w:pPr>
            <w:r>
              <w:rPr>
                <w:rFonts w:cs="Arial"/>
                <w:sz w:val="20"/>
                <w:szCs w:val="20"/>
              </w:rPr>
              <w:t xml:space="preserve">Management will monitor and report to board any significant changes to our </w:t>
            </w:r>
            <w:r w:rsidR="0010044D">
              <w:rPr>
                <w:rFonts w:cs="Arial"/>
                <w:sz w:val="20"/>
                <w:szCs w:val="20"/>
              </w:rPr>
              <w:t>pandemic response.</w:t>
            </w:r>
          </w:p>
        </w:tc>
      </w:tr>
      <w:tr w:rsidR="00404FF6" w:rsidRPr="00192F41" w14:paraId="2E38C630" w14:textId="77777777" w:rsidTr="00204FD1">
        <w:tc>
          <w:tcPr>
            <w:tcW w:w="1843" w:type="dxa"/>
          </w:tcPr>
          <w:p w14:paraId="64AA5E54" w14:textId="77777777" w:rsidR="00404FF6" w:rsidRPr="00172664" w:rsidRDefault="00404FF6" w:rsidP="00FC3923">
            <w:pPr>
              <w:spacing w:before="40" w:after="40"/>
              <w:rPr>
                <w:rFonts w:cs="Arial"/>
                <w:color w:val="000000" w:themeColor="text1"/>
                <w:sz w:val="20"/>
                <w:szCs w:val="20"/>
              </w:rPr>
            </w:pPr>
            <w:r w:rsidRPr="00172664">
              <w:rPr>
                <w:rFonts w:cs="Arial"/>
                <w:sz w:val="20"/>
                <w:szCs w:val="20"/>
              </w:rPr>
              <w:t>Risk allocation</w:t>
            </w:r>
          </w:p>
        </w:tc>
        <w:tc>
          <w:tcPr>
            <w:tcW w:w="7938" w:type="dxa"/>
          </w:tcPr>
          <w:p w14:paraId="76F19D9F" w14:textId="77777777" w:rsidR="00404FF6" w:rsidRPr="00192F41" w:rsidRDefault="00404FF6" w:rsidP="00172664">
            <w:pPr>
              <w:spacing w:before="40" w:after="40"/>
              <w:ind w:right="115"/>
              <w:jc w:val="both"/>
              <w:rPr>
                <w:rFonts w:cs="Arial"/>
                <w:color w:val="FF0000"/>
                <w:sz w:val="20"/>
                <w:szCs w:val="20"/>
              </w:rPr>
            </w:pPr>
            <w:r w:rsidRPr="00192F41">
              <w:rPr>
                <w:rFonts w:cs="Arial"/>
                <w:color w:val="000000" w:themeColor="text1"/>
                <w:sz w:val="20"/>
                <w:szCs w:val="20"/>
              </w:rPr>
              <w:t>We are not allocating any additional resources to the speculative risk of a pandemic but would seek to manage the risk in accordance with existing business systems. Hence, SRW bears the risk of a pandemic.</w:t>
            </w:r>
          </w:p>
        </w:tc>
      </w:tr>
      <w:tr w:rsidR="00404FF6" w:rsidRPr="00192F41" w14:paraId="6126B0AC" w14:textId="77777777" w:rsidTr="00204FD1">
        <w:trPr>
          <w:cnfStyle w:val="000000100000" w:firstRow="0" w:lastRow="0" w:firstColumn="0" w:lastColumn="0" w:oddVBand="0" w:evenVBand="0" w:oddHBand="1" w:evenHBand="0" w:firstRowFirstColumn="0" w:firstRowLastColumn="0" w:lastRowFirstColumn="0" w:lastRowLastColumn="0"/>
        </w:trPr>
        <w:tc>
          <w:tcPr>
            <w:tcW w:w="1843" w:type="dxa"/>
            <w:tcBorders>
              <w:bottom w:val="single" w:sz="4" w:space="0" w:color="auto"/>
            </w:tcBorders>
          </w:tcPr>
          <w:p w14:paraId="5317E8CB" w14:textId="77777777" w:rsidR="00404FF6" w:rsidRPr="00172664" w:rsidRDefault="00404FF6" w:rsidP="00FC3923">
            <w:pPr>
              <w:spacing w:before="40" w:after="40"/>
              <w:rPr>
                <w:rFonts w:cs="Arial"/>
                <w:color w:val="000000" w:themeColor="text1"/>
                <w:sz w:val="20"/>
                <w:szCs w:val="20"/>
              </w:rPr>
            </w:pPr>
            <w:r w:rsidRPr="00172664">
              <w:rPr>
                <w:rFonts w:cs="Arial"/>
                <w:color w:val="000000" w:themeColor="text1"/>
                <w:sz w:val="20"/>
                <w:szCs w:val="20"/>
              </w:rPr>
              <w:t>Residual risk</w:t>
            </w:r>
          </w:p>
        </w:tc>
        <w:tc>
          <w:tcPr>
            <w:tcW w:w="7938" w:type="dxa"/>
            <w:tcBorders>
              <w:bottom w:val="single" w:sz="4" w:space="0" w:color="auto"/>
            </w:tcBorders>
          </w:tcPr>
          <w:p w14:paraId="574A86EA" w14:textId="77777777" w:rsidR="00404FF6" w:rsidRPr="00192F41" w:rsidRDefault="00404FF6" w:rsidP="00172664">
            <w:pPr>
              <w:spacing w:before="40" w:after="40"/>
              <w:ind w:right="115"/>
              <w:jc w:val="both"/>
              <w:rPr>
                <w:rFonts w:cs="Arial"/>
                <w:color w:val="000000" w:themeColor="text1"/>
                <w:sz w:val="20"/>
                <w:szCs w:val="20"/>
              </w:rPr>
            </w:pPr>
            <w:r w:rsidRPr="00192F41">
              <w:rPr>
                <w:rFonts w:cs="Arial"/>
                <w:color w:val="000000" w:themeColor="text1"/>
                <w:sz w:val="20"/>
                <w:szCs w:val="20"/>
              </w:rPr>
              <w:t>Our performance to date indicates that we have systems in place to effectively manage a pandemic with the risk to prices or services of any such risk as being relatively low.</w:t>
            </w:r>
          </w:p>
        </w:tc>
      </w:tr>
      <w:bookmarkEnd w:id="40"/>
    </w:tbl>
    <w:p w14:paraId="2454A561" w14:textId="4AA86AE0" w:rsidR="00404FF6" w:rsidRPr="00192F41" w:rsidRDefault="00A15E20" w:rsidP="00404FF6">
      <w:pPr>
        <w:jc w:val="center"/>
        <w:rPr>
          <w:rStyle w:val="IntenseReference"/>
          <w:rFonts w:cs="Arial"/>
        </w:rPr>
      </w:pPr>
      <w:r>
        <w:rPr>
          <w:rStyle w:val="IntenseReference"/>
          <w:rFonts w:cs="Arial"/>
        </w:rPr>
        <w:br w:type="page"/>
      </w:r>
    </w:p>
    <w:p w14:paraId="7D53915B" w14:textId="18F9EA01" w:rsidR="00404FF6" w:rsidRPr="00D9390A" w:rsidRDefault="00404FF6" w:rsidP="00404FF6">
      <w:pPr>
        <w:pStyle w:val="Heading2"/>
      </w:pPr>
      <w:r>
        <w:t>Other risks</w:t>
      </w:r>
    </w:p>
    <w:p w14:paraId="22FE6052" w14:textId="5E99ABBB" w:rsidR="00404FF6" w:rsidRPr="00192F41" w:rsidRDefault="00E64481" w:rsidP="00172664">
      <w:pPr>
        <w:jc w:val="both"/>
      </w:pPr>
      <w:r>
        <w:t xml:space="preserve">SRW considered a </w:t>
      </w:r>
      <w:r w:rsidR="002840A5">
        <w:t>range</w:t>
      </w:r>
      <w:r w:rsidR="00404FF6" w:rsidRPr="00192F41">
        <w:t xml:space="preserve"> of other risks but </w:t>
      </w:r>
      <w:r w:rsidR="00612593">
        <w:t>assessed them as</w:t>
      </w:r>
      <w:r w:rsidR="00404FF6" w:rsidRPr="00192F41">
        <w:t xml:space="preserve"> not </w:t>
      </w:r>
      <w:r w:rsidR="00612593">
        <w:t>posing</w:t>
      </w:r>
      <w:r w:rsidR="00404FF6" w:rsidRPr="00192F41">
        <w:t xml:space="preserve"> a significant risk to prices or services.</w:t>
      </w:r>
      <w:r w:rsidR="009A7774">
        <w:t xml:space="preserve"> Some of these are described in the following sections.</w:t>
      </w:r>
    </w:p>
    <w:p w14:paraId="53438706" w14:textId="3979C749" w:rsidR="00612593" w:rsidRPr="00612593" w:rsidRDefault="00612593" w:rsidP="00612593">
      <w:pPr>
        <w:pStyle w:val="Heading3"/>
      </w:pPr>
      <w:r w:rsidRPr="00612593">
        <w:t>Inflows</w:t>
      </w:r>
    </w:p>
    <w:p w14:paraId="218BF1C0" w14:textId="0F1E5011" w:rsidR="008A0A95" w:rsidRDefault="00225956" w:rsidP="00172664">
      <w:pPr>
        <w:pStyle w:val="Default"/>
        <w:jc w:val="both"/>
        <w:rPr>
          <w:sz w:val="22"/>
          <w:szCs w:val="22"/>
        </w:rPr>
      </w:pPr>
      <w:r>
        <w:rPr>
          <w:sz w:val="22"/>
          <w:szCs w:val="22"/>
        </w:rPr>
        <w:t>Inflow risk</w:t>
      </w:r>
      <w:r w:rsidR="00E97D4D">
        <w:rPr>
          <w:sz w:val="22"/>
          <w:szCs w:val="22"/>
        </w:rPr>
        <w:t xml:space="preserve"> is defined</w:t>
      </w:r>
      <w:r>
        <w:rPr>
          <w:sz w:val="22"/>
          <w:szCs w:val="22"/>
        </w:rPr>
        <w:t xml:space="preserve"> as an inability for water businesses to meet customer demand due to extended low rainfall and inflows. </w:t>
      </w:r>
      <w:r w:rsidR="002170B3">
        <w:rPr>
          <w:sz w:val="22"/>
          <w:szCs w:val="22"/>
        </w:rPr>
        <w:t xml:space="preserve">Rural water </w:t>
      </w:r>
      <w:r w:rsidR="002F70EF">
        <w:rPr>
          <w:sz w:val="22"/>
          <w:szCs w:val="22"/>
        </w:rPr>
        <w:t>supply and manage</w:t>
      </w:r>
      <w:r w:rsidR="00D54003">
        <w:rPr>
          <w:sz w:val="22"/>
          <w:szCs w:val="22"/>
        </w:rPr>
        <w:t>ment</w:t>
      </w:r>
      <w:r w:rsidR="002F70EF">
        <w:rPr>
          <w:sz w:val="22"/>
          <w:szCs w:val="22"/>
        </w:rPr>
        <w:t xml:space="preserve"> is based on a system of entitlements</w:t>
      </w:r>
      <w:r w:rsidR="00EB6323">
        <w:rPr>
          <w:sz w:val="22"/>
          <w:szCs w:val="22"/>
        </w:rPr>
        <w:t xml:space="preserve"> for which our customers pay a fixed fee regardless of delivery/access</w:t>
      </w:r>
      <w:r w:rsidR="00B800D5">
        <w:rPr>
          <w:sz w:val="22"/>
          <w:szCs w:val="22"/>
        </w:rPr>
        <w:t xml:space="preserve">. </w:t>
      </w:r>
      <w:r w:rsidR="00D54003">
        <w:rPr>
          <w:sz w:val="22"/>
          <w:szCs w:val="22"/>
        </w:rPr>
        <w:t>Within this</w:t>
      </w:r>
      <w:r w:rsidR="004E62A4">
        <w:rPr>
          <w:sz w:val="22"/>
          <w:szCs w:val="22"/>
        </w:rPr>
        <w:t>,</w:t>
      </w:r>
      <w:r w:rsidR="00D54003">
        <w:rPr>
          <w:sz w:val="22"/>
          <w:szCs w:val="22"/>
        </w:rPr>
        <w:t xml:space="preserve"> o</w:t>
      </w:r>
      <w:r w:rsidR="00B800D5">
        <w:rPr>
          <w:sz w:val="22"/>
          <w:szCs w:val="22"/>
        </w:rPr>
        <w:t>ur role is to max</w:t>
      </w:r>
      <w:r w:rsidR="00BF4E2A">
        <w:rPr>
          <w:sz w:val="22"/>
          <w:szCs w:val="22"/>
        </w:rPr>
        <w:t>i</w:t>
      </w:r>
      <w:r w:rsidR="00B800D5">
        <w:rPr>
          <w:sz w:val="22"/>
          <w:szCs w:val="22"/>
        </w:rPr>
        <w:t>mise</w:t>
      </w:r>
      <w:r w:rsidR="00DA585D">
        <w:rPr>
          <w:sz w:val="22"/>
          <w:szCs w:val="22"/>
        </w:rPr>
        <w:t xml:space="preserve"> the value</w:t>
      </w:r>
      <w:r w:rsidR="008A0A95">
        <w:rPr>
          <w:sz w:val="22"/>
          <w:szCs w:val="22"/>
        </w:rPr>
        <w:t xml:space="preserve"> of and access to those entitlements</w:t>
      </w:r>
      <w:r w:rsidR="00D54003">
        <w:rPr>
          <w:sz w:val="22"/>
          <w:szCs w:val="22"/>
        </w:rPr>
        <w:t xml:space="preserve"> for our customers</w:t>
      </w:r>
      <w:r w:rsidR="008A0A95">
        <w:rPr>
          <w:sz w:val="22"/>
          <w:szCs w:val="22"/>
        </w:rPr>
        <w:t>.</w:t>
      </w:r>
    </w:p>
    <w:p w14:paraId="79D3B734" w14:textId="77777777" w:rsidR="008A0A95" w:rsidRDefault="008A0A95" w:rsidP="00E97D4D">
      <w:pPr>
        <w:pStyle w:val="Default"/>
        <w:rPr>
          <w:sz w:val="22"/>
          <w:szCs w:val="22"/>
        </w:rPr>
      </w:pPr>
    </w:p>
    <w:p w14:paraId="3F4CC3C0" w14:textId="07437BC5" w:rsidR="00EF3B7F" w:rsidRDefault="008A0A95" w:rsidP="00172664">
      <w:pPr>
        <w:jc w:val="both"/>
      </w:pPr>
      <w:r>
        <w:t>Unlike an urban water retailer, o</w:t>
      </w:r>
      <w:r w:rsidRPr="00612593">
        <w:t xml:space="preserve">ur customers have a far broader range of options than we do for managing </w:t>
      </w:r>
      <w:r>
        <w:t xml:space="preserve">their </w:t>
      </w:r>
      <w:r w:rsidR="00EF3B7F">
        <w:t xml:space="preserve">own </w:t>
      </w:r>
      <w:r w:rsidRPr="00612593">
        <w:t xml:space="preserve">water supply risk. </w:t>
      </w:r>
      <w:r w:rsidR="006A319F">
        <w:t>Some examples of this are:</w:t>
      </w:r>
    </w:p>
    <w:p w14:paraId="2AFAF32C" w14:textId="281B6995" w:rsidR="00EF3B7F" w:rsidRDefault="00FF73E5" w:rsidP="00F459A2">
      <w:pPr>
        <w:pStyle w:val="ListParagraph"/>
        <w:numPr>
          <w:ilvl w:val="0"/>
          <w:numId w:val="7"/>
        </w:numPr>
      </w:pPr>
      <w:r>
        <w:t>h</w:t>
      </w:r>
      <w:r w:rsidR="00EF3B7F">
        <w:t xml:space="preserve">aving </w:t>
      </w:r>
      <w:r w:rsidR="008A0A95">
        <w:t>multiple sources of water (for example groundwater and surface</w:t>
      </w:r>
      <w:r w:rsidR="002B29C8">
        <w:t xml:space="preserve"> </w:t>
      </w:r>
      <w:r w:rsidR="008A0A95">
        <w:t>water)</w:t>
      </w:r>
      <w:r>
        <w:t>;</w:t>
      </w:r>
      <w:r w:rsidR="008A0A95" w:rsidRPr="00612593">
        <w:t xml:space="preserve"> </w:t>
      </w:r>
    </w:p>
    <w:p w14:paraId="56BEB513" w14:textId="78D67BF7" w:rsidR="00EF3B7F" w:rsidRDefault="008A0A95" w:rsidP="00F459A2">
      <w:pPr>
        <w:pStyle w:val="ListParagraph"/>
        <w:numPr>
          <w:ilvl w:val="0"/>
          <w:numId w:val="7"/>
        </w:numPr>
      </w:pPr>
      <w:r>
        <w:t>construct</w:t>
      </w:r>
      <w:r w:rsidR="00EF3B7F">
        <w:t>ing</w:t>
      </w:r>
      <w:r>
        <w:t xml:space="preserve"> on-farm storages to harvest water for use at a later time</w:t>
      </w:r>
      <w:r w:rsidR="00FF73E5">
        <w:t>;</w:t>
      </w:r>
    </w:p>
    <w:p w14:paraId="36BBD155" w14:textId="134E6213" w:rsidR="00EF3B7F" w:rsidRDefault="00EF3B7F" w:rsidP="00F459A2">
      <w:pPr>
        <w:pStyle w:val="ListParagraph"/>
        <w:numPr>
          <w:ilvl w:val="0"/>
          <w:numId w:val="7"/>
        </w:numPr>
      </w:pPr>
      <w:r>
        <w:t>investing</w:t>
      </w:r>
      <w:r w:rsidR="008A0A95">
        <w:t xml:space="preserve"> in efficient irrigation systems</w:t>
      </w:r>
      <w:r w:rsidR="00FF73E5">
        <w:t>; and</w:t>
      </w:r>
    </w:p>
    <w:p w14:paraId="5155DC38" w14:textId="2D3119EE" w:rsidR="00EF3B7F" w:rsidRDefault="00EF3B7F" w:rsidP="00F459A2">
      <w:pPr>
        <w:pStyle w:val="ListParagraph"/>
        <w:numPr>
          <w:ilvl w:val="0"/>
          <w:numId w:val="7"/>
        </w:numPr>
      </w:pPr>
      <w:r>
        <w:t xml:space="preserve">making </w:t>
      </w:r>
      <w:r w:rsidR="008A0A95">
        <w:t xml:space="preserve">decisions about water application </w:t>
      </w:r>
      <w:r w:rsidR="006A319F">
        <w:t>timing,</w:t>
      </w:r>
      <w:r w:rsidR="00323068">
        <w:t xml:space="preserve"> </w:t>
      </w:r>
      <w:r w:rsidR="008A0A95">
        <w:t>crop type, and other business decisions such as purchasing stock feed rather than irrigating pasture.</w:t>
      </w:r>
      <w:r w:rsidR="008A0A95" w:rsidRPr="00612593">
        <w:t xml:space="preserve"> </w:t>
      </w:r>
    </w:p>
    <w:p w14:paraId="43CD66C0" w14:textId="2DAC9827" w:rsidR="008A0A95" w:rsidRPr="00612593" w:rsidRDefault="008A0A95" w:rsidP="00172664">
      <w:pPr>
        <w:jc w:val="both"/>
      </w:pPr>
      <w:r w:rsidRPr="00612593">
        <w:t>Notwithstanding this, at times we partner with our customer</w:t>
      </w:r>
      <w:r>
        <w:t>s</w:t>
      </w:r>
      <w:r w:rsidRPr="00612593">
        <w:t xml:space="preserve"> to support them in improving their water security to manage times of shortfall.</w:t>
      </w:r>
    </w:p>
    <w:p w14:paraId="5E4E3D8E" w14:textId="7CE15D02" w:rsidR="00FE4C7E" w:rsidRPr="00D54003" w:rsidRDefault="00FE4C7E" w:rsidP="00172664">
      <w:pPr>
        <w:jc w:val="both"/>
      </w:pPr>
      <w:r>
        <w:t>Within regulated systems</w:t>
      </w:r>
      <w:r w:rsidR="00F8701A">
        <w:t xml:space="preserve"> our ability to harvest water is</w:t>
      </w:r>
      <w:r w:rsidR="00784216">
        <w:t xml:space="preserve"> </w:t>
      </w:r>
      <w:r w:rsidR="004D37BD">
        <w:t>governed</w:t>
      </w:r>
      <w:r w:rsidR="00784216">
        <w:t xml:space="preserve"> by the design of our assets and the</w:t>
      </w:r>
      <w:r w:rsidR="00FB6237">
        <w:t xml:space="preserve"> </w:t>
      </w:r>
      <w:r w:rsidR="00727245">
        <w:t>b</w:t>
      </w:r>
      <w:r w:rsidR="00FB6237">
        <w:t xml:space="preserve">ulk </w:t>
      </w:r>
      <w:r w:rsidR="00727245">
        <w:t>e</w:t>
      </w:r>
      <w:r w:rsidR="00FB6237">
        <w:t xml:space="preserve">ntitlement </w:t>
      </w:r>
      <w:r w:rsidR="004D37BD">
        <w:t>arrangements</w:t>
      </w:r>
      <w:r w:rsidR="008533D4">
        <w:t xml:space="preserve"> which set out our obligations to divert (where possible), store and release water.</w:t>
      </w:r>
      <w:r w:rsidR="009D0E52">
        <w:t xml:space="preserve"> To manage the inflow risk</w:t>
      </w:r>
      <w:r w:rsidR="001D3E59">
        <w:t>,</w:t>
      </w:r>
      <w:r w:rsidR="00040B2C">
        <w:t xml:space="preserve"> we </w:t>
      </w:r>
      <w:r w:rsidR="00B4637A">
        <w:t>manage our storages</w:t>
      </w:r>
      <w:r w:rsidR="00D54003">
        <w:t xml:space="preserve"> to ensure water can be available when it’s most valued, </w:t>
      </w:r>
      <w:r w:rsidR="00F95B00">
        <w:t xml:space="preserve">and </w:t>
      </w:r>
      <w:r w:rsidR="00040B2C">
        <w:t xml:space="preserve">use annual </w:t>
      </w:r>
      <w:r w:rsidR="00B8415B">
        <w:t xml:space="preserve">seasonal </w:t>
      </w:r>
      <w:r w:rsidR="000501B1">
        <w:t>allocation</w:t>
      </w:r>
      <w:r w:rsidR="00AD747B">
        <w:t>s</w:t>
      </w:r>
      <w:r w:rsidR="00FB6A8A">
        <w:t xml:space="preserve"> </w:t>
      </w:r>
      <w:r w:rsidR="00EF2AB3">
        <w:t xml:space="preserve">based on </w:t>
      </w:r>
      <w:r w:rsidR="00E14B28">
        <w:t xml:space="preserve">volume in </w:t>
      </w:r>
      <w:r w:rsidR="00EF2AB3">
        <w:t>storage</w:t>
      </w:r>
      <w:r w:rsidR="00E14B28">
        <w:t xml:space="preserve">, </w:t>
      </w:r>
      <w:r w:rsidR="00D54003">
        <w:t>inflows</w:t>
      </w:r>
      <w:r w:rsidR="00E14B28">
        <w:t xml:space="preserve"> and climate outlook</w:t>
      </w:r>
      <w:r w:rsidR="002B0300">
        <w:t xml:space="preserve"> to manage customers</w:t>
      </w:r>
      <w:r w:rsidR="001D3E59">
        <w:t>’</w:t>
      </w:r>
      <w:r w:rsidR="002B0300">
        <w:t xml:space="preserve"> expectations and allow them time to </w:t>
      </w:r>
      <w:r w:rsidR="00A11C11">
        <w:t>implement different on-farm strategies.</w:t>
      </w:r>
    </w:p>
    <w:p w14:paraId="4AC976DE" w14:textId="52646FFE" w:rsidR="00E57B63" w:rsidRPr="00E57B63" w:rsidRDefault="00E57B63" w:rsidP="00172664">
      <w:pPr>
        <w:jc w:val="both"/>
      </w:pPr>
      <w:r w:rsidRPr="00612593">
        <w:t>Modernisation provides us with an additional buffer</w:t>
      </w:r>
      <w:r>
        <w:t xml:space="preserve"> through minim</w:t>
      </w:r>
      <w:r w:rsidR="00323068">
        <w:t>i</w:t>
      </w:r>
      <w:r>
        <w:t xml:space="preserve">sing losses in </w:t>
      </w:r>
      <w:r w:rsidR="00F95B00">
        <w:t>the</w:t>
      </w:r>
      <w:r>
        <w:t xml:space="preserve"> system and the creation of water savings to underpin future reliability</w:t>
      </w:r>
      <w:r w:rsidRPr="00612593">
        <w:t xml:space="preserve">. </w:t>
      </w:r>
    </w:p>
    <w:p w14:paraId="3ECF0C38" w14:textId="372D9C8F" w:rsidR="002F4579" w:rsidRDefault="00115B6C" w:rsidP="00172664">
      <w:pPr>
        <w:jc w:val="both"/>
      </w:pPr>
      <w:r>
        <w:t xml:space="preserve">In unregulated systems, we have </w:t>
      </w:r>
      <w:r w:rsidR="00A11C11">
        <w:t>less</w:t>
      </w:r>
      <w:r w:rsidR="001F23CB">
        <w:t xml:space="preserve"> control. However</w:t>
      </w:r>
      <w:r w:rsidR="001D3E59">
        <w:t>,</w:t>
      </w:r>
      <w:r w:rsidR="001F23CB">
        <w:t xml:space="preserve"> to ensure access </w:t>
      </w:r>
      <w:r w:rsidR="00A11C11">
        <w:t xml:space="preserve">to entitlements </w:t>
      </w:r>
      <w:r w:rsidR="001F23CB">
        <w:t>is maximised</w:t>
      </w:r>
      <w:r w:rsidR="001D3E59">
        <w:t>,</w:t>
      </w:r>
      <w:r w:rsidR="00A32320">
        <w:t xml:space="preserve"> we limi</w:t>
      </w:r>
      <w:r w:rsidR="0000652E">
        <w:t>t</w:t>
      </w:r>
      <w:r w:rsidR="00A11C11">
        <w:t xml:space="preserve"> </w:t>
      </w:r>
      <w:r w:rsidR="00B42B66">
        <w:t xml:space="preserve">the </w:t>
      </w:r>
      <w:r w:rsidR="00A16369">
        <w:t>timing and volume of water customers can access through</w:t>
      </w:r>
      <w:r w:rsidR="00A11C11">
        <w:t xml:space="preserve"> r</w:t>
      </w:r>
      <w:r w:rsidR="002F4579">
        <w:t>osters and restrictions</w:t>
      </w:r>
      <w:r w:rsidR="00A11C11">
        <w:t xml:space="preserve"> when flows are low</w:t>
      </w:r>
      <w:r w:rsidR="002F4579">
        <w:t xml:space="preserve">. </w:t>
      </w:r>
    </w:p>
    <w:p w14:paraId="422A335B" w14:textId="153A811E" w:rsidR="007D4855" w:rsidRDefault="007D4855" w:rsidP="00172664">
      <w:pPr>
        <w:jc w:val="both"/>
      </w:pPr>
      <w:r>
        <w:t>More broadly we operate within a licensing framework</w:t>
      </w:r>
      <w:r w:rsidR="00D43B4B">
        <w:t xml:space="preserve"> that ensures water is allocated and managed sustainably.</w:t>
      </w:r>
    </w:p>
    <w:p w14:paraId="1E87DBDA" w14:textId="67431449" w:rsidR="00B62590" w:rsidRPr="00612593" w:rsidRDefault="00B62590" w:rsidP="00B62590">
      <w:r w:rsidRPr="00612593">
        <w:t xml:space="preserve">Hence, the net risk to </w:t>
      </w:r>
      <w:r>
        <w:t xml:space="preserve">pricing and service levels </w:t>
      </w:r>
      <w:r w:rsidRPr="00612593">
        <w:t>is minimal.</w:t>
      </w:r>
    </w:p>
    <w:p w14:paraId="23442BD2" w14:textId="6AACA9C0" w:rsidR="00612593" w:rsidRPr="00612593" w:rsidRDefault="00612593" w:rsidP="00612593">
      <w:pPr>
        <w:pStyle w:val="Heading3"/>
      </w:pPr>
      <w:r w:rsidRPr="00612593">
        <w:t>Demand forecasting</w:t>
      </w:r>
    </w:p>
    <w:p w14:paraId="0951ECC9" w14:textId="49786C7C" w:rsidR="00612593" w:rsidRPr="00612593" w:rsidRDefault="00612593" w:rsidP="00172664">
      <w:pPr>
        <w:jc w:val="both"/>
      </w:pPr>
      <w:r w:rsidRPr="00612593">
        <w:t xml:space="preserve">As </w:t>
      </w:r>
      <w:r w:rsidR="001A14FA">
        <w:t>indicated</w:t>
      </w:r>
      <w:r w:rsidRPr="00612593">
        <w:t xml:space="preserve"> above, our customers own the entitlements to the water. Their access to water is effectively capped at these entitlements (after adjusting for storage levels). Hence the demand for water is capped.</w:t>
      </w:r>
    </w:p>
    <w:p w14:paraId="36DB3F20" w14:textId="7256F0DD" w:rsidR="00612593" w:rsidRPr="00612593" w:rsidRDefault="00612593" w:rsidP="00172664">
      <w:pPr>
        <w:jc w:val="both"/>
      </w:pPr>
      <w:r w:rsidRPr="00612593">
        <w:t>Unlike urban systems, most of our revenue is based on fixed price tariffs where customers pay, based on their share entitlement or allocation, irrespective of the amount of water used.</w:t>
      </w:r>
      <w:r w:rsidR="00D60DD6">
        <w:t xml:space="preserve"> </w:t>
      </w:r>
      <w:r w:rsidRPr="00612593">
        <w:t>Hence our revenues remain relatively static irrespective of demand levels as we are not subject to the fluctuations of a take and use system.</w:t>
      </w:r>
    </w:p>
    <w:p w14:paraId="14118D7D" w14:textId="77777777" w:rsidR="00612593" w:rsidRPr="00612593" w:rsidRDefault="00612593" w:rsidP="00172664">
      <w:pPr>
        <w:jc w:val="both"/>
      </w:pPr>
      <w:r w:rsidRPr="00612593">
        <w:t>Customers can gain access to additional water through market trades or purchasing more water when we make it available.</w:t>
      </w:r>
    </w:p>
    <w:p w14:paraId="536E8BE3" w14:textId="05DB0F88" w:rsidR="00B62590" w:rsidRPr="00612593" w:rsidRDefault="00B62590" w:rsidP="00172664">
      <w:pPr>
        <w:jc w:val="both"/>
      </w:pPr>
      <w:r w:rsidRPr="00612593">
        <w:t xml:space="preserve">Hence, the net risk to </w:t>
      </w:r>
      <w:r>
        <w:t xml:space="preserve">pricing and service levels </w:t>
      </w:r>
      <w:r w:rsidRPr="00612593">
        <w:t>is minimal.</w:t>
      </w:r>
    </w:p>
    <w:p w14:paraId="098F43FC" w14:textId="22F263F2" w:rsidR="00612593" w:rsidRPr="00612593" w:rsidRDefault="00612593" w:rsidP="00612593">
      <w:pPr>
        <w:pStyle w:val="Heading3"/>
      </w:pPr>
      <w:r w:rsidRPr="00612593">
        <w:t>Revenue shortfall</w:t>
      </w:r>
    </w:p>
    <w:p w14:paraId="3F050213" w14:textId="1AA49EB4" w:rsidR="00612593" w:rsidRPr="00612593" w:rsidRDefault="00612593" w:rsidP="00172664">
      <w:pPr>
        <w:jc w:val="both"/>
      </w:pPr>
      <w:r w:rsidRPr="00612593">
        <w:t xml:space="preserve">Despite our best efforts to model future revenue, there is the potential for a shortfall due to </w:t>
      </w:r>
      <w:r w:rsidR="00077AB9" w:rsidRPr="00612593">
        <w:t>several</w:t>
      </w:r>
      <w:r w:rsidRPr="00612593">
        <w:t xml:space="preserve"> factors, including a lack of water demand, lack of water share sales and unpaid accounts. We operate a hybrid model of both fixed and variable fees so that even in periods of low supply, revenues remain relatively stable. </w:t>
      </w:r>
      <w:r w:rsidRPr="00EC040A">
        <w:t>For instance</w:t>
      </w:r>
      <w:r w:rsidR="00077AB9" w:rsidRPr="00EC040A">
        <w:t>,</w:t>
      </w:r>
      <w:r w:rsidRPr="00EC040A">
        <w:t xml:space="preserve"> </w:t>
      </w:r>
      <w:r w:rsidR="00D60DD6" w:rsidRPr="00EC040A">
        <w:t>t</w:t>
      </w:r>
      <w:r w:rsidRPr="00EC040A">
        <w:t xml:space="preserve">he 2022 irrigation season saw water demand down by 40% with revenues down by just </w:t>
      </w:r>
      <w:r w:rsidR="00B05B97">
        <w:t>-</w:t>
      </w:r>
      <w:r w:rsidR="003757E5">
        <w:t>4</w:t>
      </w:r>
      <w:r w:rsidR="007B6A16">
        <w:t>.2</w:t>
      </w:r>
      <w:r w:rsidRPr="00EC040A">
        <w:t>%.</w:t>
      </w:r>
    </w:p>
    <w:p w14:paraId="3E2D6E04" w14:textId="60823A33" w:rsidR="00612593" w:rsidRPr="00612593" w:rsidRDefault="00612593" w:rsidP="00612593">
      <w:bookmarkStart w:id="41" w:name="_Hlk109722144"/>
      <w:r w:rsidRPr="00612593">
        <w:t xml:space="preserve">Hence, the net risk to </w:t>
      </w:r>
      <w:r w:rsidR="00B62590">
        <w:t xml:space="preserve">pricing </w:t>
      </w:r>
      <w:r w:rsidR="00E2067E">
        <w:t xml:space="preserve">and service levels </w:t>
      </w:r>
      <w:r w:rsidRPr="00612593">
        <w:t>is minimal.</w:t>
      </w:r>
    </w:p>
    <w:bookmarkEnd w:id="41"/>
    <w:p w14:paraId="4AB01EE8" w14:textId="6882CEF1" w:rsidR="00612593" w:rsidRPr="00612593" w:rsidRDefault="00612593" w:rsidP="00612593">
      <w:pPr>
        <w:pStyle w:val="Heading3"/>
      </w:pPr>
      <w:r w:rsidRPr="00612593">
        <w:t>Policy and regulatory change</w:t>
      </w:r>
    </w:p>
    <w:p w14:paraId="619E94D4" w14:textId="05E4FFF8" w:rsidR="00612593" w:rsidRPr="00612593" w:rsidRDefault="00612593" w:rsidP="002379D7">
      <w:pPr>
        <w:jc w:val="both"/>
      </w:pPr>
      <w:r w:rsidRPr="00612593">
        <w:t>SRW is bound by a range of regulatory requirements as well as our Statement of Obligation</w:t>
      </w:r>
      <w:r w:rsidR="00C819E7">
        <w:t>s</w:t>
      </w:r>
      <w:r w:rsidRPr="00612593">
        <w:t>, Letters of Expectation</w:t>
      </w:r>
      <w:r w:rsidR="000E4B8D" w:rsidRPr="00612593">
        <w:t>,</w:t>
      </w:r>
      <w:r w:rsidRPr="00612593">
        <w:t xml:space="preserve"> and government policy. Our </w:t>
      </w:r>
      <w:r w:rsidR="0044696D">
        <w:t>p</w:t>
      </w:r>
      <w:r w:rsidRPr="00612593">
        <w:t xml:space="preserve">rice </w:t>
      </w:r>
      <w:r w:rsidR="0044696D">
        <w:t>s</w:t>
      </w:r>
      <w:r w:rsidRPr="00612593">
        <w:t xml:space="preserve">ubmission has been designed to accommodate recent changes such as those to carbon emissions, </w:t>
      </w:r>
      <w:r w:rsidR="00F3112C">
        <w:t>cultural</w:t>
      </w:r>
      <w:r w:rsidRPr="00612593">
        <w:t xml:space="preserve"> water</w:t>
      </w:r>
      <w:r w:rsidR="000E4B8D" w:rsidRPr="00612593">
        <w:t>,</w:t>
      </w:r>
      <w:r w:rsidRPr="00612593">
        <w:t xml:space="preserve"> and compliance. </w:t>
      </w:r>
      <w:r w:rsidR="007B452C">
        <w:t xml:space="preserve">Whilst </w:t>
      </w:r>
      <w:r w:rsidR="007F3C4B">
        <w:t>detailed plans for delivery are not yet developed</w:t>
      </w:r>
      <w:r w:rsidR="008D370D">
        <w:t>,</w:t>
      </w:r>
      <w:r w:rsidR="007F3C4B">
        <w:t xml:space="preserve"> w</w:t>
      </w:r>
      <w:r w:rsidRPr="00612593">
        <w:t>e have factored these into our model and expect that other changes could be accommodate</w:t>
      </w:r>
      <w:r w:rsidR="00017260">
        <w:t>d</w:t>
      </w:r>
      <w:r w:rsidRPr="00612593">
        <w:t xml:space="preserve"> via a review of our operating budget. </w:t>
      </w:r>
    </w:p>
    <w:p w14:paraId="0A753DD8" w14:textId="2DD951BE" w:rsidR="00E2067E" w:rsidRPr="00612593" w:rsidRDefault="00E2067E" w:rsidP="00E2067E">
      <w:r w:rsidRPr="00612593">
        <w:t xml:space="preserve">Hence, the net risk to revenue </w:t>
      </w:r>
      <w:r>
        <w:t xml:space="preserve">and service levels </w:t>
      </w:r>
      <w:r w:rsidRPr="00612593">
        <w:t>is minimal.</w:t>
      </w:r>
    </w:p>
    <w:p w14:paraId="634951D7" w14:textId="569AE930" w:rsidR="00612593" w:rsidRPr="00612593" w:rsidRDefault="00612593" w:rsidP="00612593">
      <w:pPr>
        <w:pStyle w:val="Heading3"/>
      </w:pPr>
      <w:r w:rsidRPr="00612593">
        <w:t>Business</w:t>
      </w:r>
    </w:p>
    <w:p w14:paraId="0ED581B8" w14:textId="55F6E8E6" w:rsidR="00612593" w:rsidRPr="00612593" w:rsidRDefault="00612593" w:rsidP="002379D7">
      <w:pPr>
        <w:jc w:val="both"/>
      </w:pPr>
      <w:r w:rsidRPr="00612593">
        <w:t xml:space="preserve">We are unlikely to see a significant loss in revenue due to new technology or a change in the competitive landscape. While some customers may reduce their water demand through improvements, it is expected that any unused entitlements could be taken up by </w:t>
      </w:r>
      <w:r w:rsidR="0044696D">
        <w:t>others</w:t>
      </w:r>
      <w:r w:rsidRPr="00612593">
        <w:t xml:space="preserve"> in the district. Irrespective our charges will remain fixed based on entitlement rather than usage.</w:t>
      </w:r>
    </w:p>
    <w:p w14:paraId="2A0E9AC7" w14:textId="7A7416D5" w:rsidR="00B62590" w:rsidRPr="00612593" w:rsidRDefault="00B62590" w:rsidP="00B62590">
      <w:r w:rsidRPr="00612593">
        <w:t xml:space="preserve">Hence, the net risk to </w:t>
      </w:r>
      <w:r>
        <w:t xml:space="preserve">pricing and service levels </w:t>
      </w:r>
      <w:r w:rsidRPr="00612593">
        <w:t>is minimal.</w:t>
      </w:r>
    </w:p>
    <w:p w14:paraId="1F337100" w14:textId="61540AEA" w:rsidR="00612593" w:rsidRPr="00612593" w:rsidRDefault="00612593" w:rsidP="00612593">
      <w:pPr>
        <w:pStyle w:val="Heading3"/>
      </w:pPr>
      <w:r w:rsidRPr="00612593">
        <w:t xml:space="preserve">Energy </w:t>
      </w:r>
      <w:r w:rsidR="0044696D">
        <w:t>p</w:t>
      </w:r>
      <w:r w:rsidRPr="00612593">
        <w:t>rices</w:t>
      </w:r>
    </w:p>
    <w:p w14:paraId="1382BE75" w14:textId="075BFAD7" w:rsidR="00612593" w:rsidRPr="00612593" w:rsidRDefault="00612593" w:rsidP="002379D7">
      <w:pPr>
        <w:jc w:val="both"/>
      </w:pPr>
      <w:r w:rsidRPr="00612593">
        <w:t>SRW does not operate any water or wastewater treatment plants, so is a relatively low consumer of electricity</w:t>
      </w:r>
      <w:r w:rsidR="002C6D38">
        <w:t xml:space="preserve"> when compared to other</w:t>
      </w:r>
      <w:r w:rsidR="005C75CE">
        <w:t xml:space="preserve"> </w:t>
      </w:r>
      <w:r w:rsidR="005C75CE" w:rsidRPr="00612593">
        <w:t>corporations</w:t>
      </w:r>
      <w:r w:rsidRPr="00612593">
        <w:t xml:space="preserve">. We have solar generating capacity at our larger sites. </w:t>
      </w:r>
      <w:r w:rsidR="00E3123F">
        <w:t>It</w:t>
      </w:r>
      <w:r w:rsidRPr="00612593">
        <w:t xml:space="preserve"> is expected that changes in electricity costs will be able to be accommodated within existing OPEX parameters.</w:t>
      </w:r>
    </w:p>
    <w:p w14:paraId="19D13D7D" w14:textId="4FAD6B94" w:rsidR="00612593" w:rsidRPr="00612593" w:rsidRDefault="00612593" w:rsidP="002379D7">
      <w:pPr>
        <w:jc w:val="both"/>
      </w:pPr>
      <w:r w:rsidRPr="00612593">
        <w:t>SRW has a relatively large vehicle fleet but is transitioning toward a more fuel e</w:t>
      </w:r>
      <w:r w:rsidR="00F513B7">
        <w:t xml:space="preserve">fficient </w:t>
      </w:r>
      <w:r w:rsidRPr="00612593">
        <w:t>fleet as part of our net zero carbon emission targets. Once again, it is expected that changes in fuel costs will be able to be accommodated within existing OPEX parameters.</w:t>
      </w:r>
    </w:p>
    <w:p w14:paraId="40E3B4F5" w14:textId="51C051CF" w:rsidR="009B1C1F" w:rsidRPr="00192F41" w:rsidRDefault="00B62590" w:rsidP="00C42955">
      <w:pPr>
        <w:rPr>
          <w:rStyle w:val="IntenseEmphasis"/>
          <w:rFonts w:cs="Arial"/>
          <w:i w:val="0"/>
          <w:iCs w:val="0"/>
          <w:color w:val="auto"/>
        </w:rPr>
      </w:pPr>
      <w:r w:rsidRPr="00612593">
        <w:t xml:space="preserve">Hence, the net risk to </w:t>
      </w:r>
      <w:r>
        <w:t xml:space="preserve">pricing and service levels </w:t>
      </w:r>
      <w:r w:rsidRPr="00612593">
        <w:t>is minimal.</w:t>
      </w:r>
      <w:r w:rsidR="009B1C1F" w:rsidRPr="00192F41">
        <w:rPr>
          <w:rStyle w:val="IntenseEmphasis"/>
          <w:rFonts w:cs="Arial"/>
          <w:i w:val="0"/>
          <w:iCs w:val="0"/>
          <w:color w:val="auto"/>
        </w:rPr>
        <w:br w:type="page"/>
      </w:r>
    </w:p>
    <w:p w14:paraId="25F46A97" w14:textId="2ABE9421" w:rsidR="00C83FBC" w:rsidRPr="00192F41" w:rsidRDefault="00C83FBC" w:rsidP="00C83FBC">
      <w:pPr>
        <w:pStyle w:val="Heading2"/>
        <w:rPr>
          <w:rStyle w:val="IntenseEmphasis"/>
          <w:rFonts w:cs="Arial"/>
          <w:i w:val="0"/>
          <w:iCs w:val="0"/>
          <w:sz w:val="36"/>
        </w:rPr>
      </w:pPr>
      <w:r w:rsidRPr="00192F41">
        <w:rPr>
          <w:rStyle w:val="IntenseEmphasis"/>
          <w:rFonts w:cs="Arial"/>
          <w:i w:val="0"/>
          <w:iCs w:val="0"/>
          <w:sz w:val="36"/>
        </w:rPr>
        <w:t xml:space="preserve">Proposed PREMO </w:t>
      </w:r>
      <w:r w:rsidR="008F33B3" w:rsidRPr="00192F41">
        <w:rPr>
          <w:rStyle w:val="IntenseEmphasis"/>
          <w:rFonts w:cs="Arial"/>
          <w:i w:val="0"/>
          <w:iCs w:val="0"/>
          <w:sz w:val="36"/>
        </w:rPr>
        <w:t xml:space="preserve">rating for </w:t>
      </w:r>
      <w:r w:rsidR="003A47ED" w:rsidRPr="00192F41">
        <w:rPr>
          <w:rStyle w:val="IntenseEmphasis"/>
          <w:rFonts w:cs="Arial"/>
          <w:i w:val="0"/>
          <w:iCs w:val="0"/>
          <w:sz w:val="36"/>
        </w:rPr>
        <w:t>risk</w:t>
      </w:r>
    </w:p>
    <w:p w14:paraId="6B37F999" w14:textId="2FB875F3" w:rsidR="00DB39AE" w:rsidRPr="00C26AC5" w:rsidRDefault="00DB39AE" w:rsidP="004D64CD">
      <w:pPr>
        <w:jc w:val="both"/>
      </w:pPr>
      <w:r w:rsidRPr="00C26AC5">
        <w:t>We are very confident that our PREMO rating for risk is standard, based on the following assessment:</w:t>
      </w:r>
    </w:p>
    <w:tbl>
      <w:tblPr>
        <w:tblStyle w:val="ReportTable-TealRows"/>
        <w:tblW w:w="9781" w:type="dxa"/>
        <w:tblLook w:val="04A0" w:firstRow="1" w:lastRow="0" w:firstColumn="1" w:lastColumn="0" w:noHBand="0" w:noVBand="1"/>
      </w:tblPr>
      <w:tblGrid>
        <w:gridCol w:w="8647"/>
        <w:gridCol w:w="1134"/>
      </w:tblGrid>
      <w:tr w:rsidR="00D25D98" w:rsidRPr="00192F41" w14:paraId="64CD3259" w14:textId="77777777" w:rsidTr="008D1C13">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8647" w:type="dxa"/>
            <w:hideMark/>
          </w:tcPr>
          <w:p w14:paraId="007874FD" w14:textId="51B6C4A2" w:rsidR="00D25D98" w:rsidRPr="00192F41" w:rsidRDefault="00914F6A" w:rsidP="00FC3923">
            <w:pPr>
              <w:spacing w:before="40" w:after="40"/>
              <w:rPr>
                <w:rFonts w:eastAsia="Times New Roman" w:cs="Arial"/>
                <w:bCs/>
                <w:sz w:val="20"/>
                <w:szCs w:val="20"/>
                <w:lang w:eastAsia="en-AU"/>
              </w:rPr>
            </w:pPr>
            <w:r w:rsidRPr="00192F41">
              <w:rPr>
                <w:rFonts w:eastAsia="Times New Roman" w:cs="Arial"/>
                <w:sz w:val="20"/>
                <w:szCs w:val="20"/>
                <w:lang w:eastAsia="en-AU"/>
              </w:rPr>
              <w:t>Risk a</w:t>
            </w:r>
            <w:r w:rsidR="00D25D98" w:rsidRPr="00192F41">
              <w:rPr>
                <w:rFonts w:eastAsia="Times New Roman" w:cs="Arial"/>
                <w:sz w:val="20"/>
                <w:szCs w:val="20"/>
                <w:lang w:eastAsia="en-AU"/>
              </w:rPr>
              <w:t>spect</w:t>
            </w:r>
          </w:p>
        </w:tc>
        <w:tc>
          <w:tcPr>
            <w:tcW w:w="1134" w:type="dxa"/>
            <w:noWrap/>
            <w:hideMark/>
          </w:tcPr>
          <w:p w14:paraId="282CB8FF" w14:textId="77777777" w:rsidR="00D25D98" w:rsidRPr="00192F41" w:rsidRDefault="00D25D98" w:rsidP="00FC3923">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bCs/>
                <w:sz w:val="20"/>
                <w:szCs w:val="20"/>
                <w:lang w:eastAsia="en-AU"/>
              </w:rPr>
            </w:pPr>
            <w:r w:rsidRPr="00192F41">
              <w:rPr>
                <w:rFonts w:eastAsia="Times New Roman" w:cs="Arial"/>
                <w:sz w:val="20"/>
                <w:szCs w:val="20"/>
                <w:lang w:eastAsia="en-AU"/>
              </w:rPr>
              <w:t>Rating</w:t>
            </w:r>
          </w:p>
        </w:tc>
      </w:tr>
      <w:tr w:rsidR="00D25D98" w:rsidRPr="00192F41" w14:paraId="689CA9BD" w14:textId="77777777" w:rsidTr="008D1C13">
        <w:trPr>
          <w:cnfStyle w:val="000000100000" w:firstRow="0" w:lastRow="0" w:firstColumn="0" w:lastColumn="0" w:oddVBand="0" w:evenVBand="0" w:oddHBand="1" w:evenHBand="0" w:firstRowFirstColumn="0" w:firstRowLastColumn="0" w:lastRowFirstColumn="0" w:lastRowLastColumn="0"/>
          <w:trHeight w:val="554"/>
        </w:trPr>
        <w:tc>
          <w:tcPr>
            <w:cnfStyle w:val="001000000000" w:firstRow="0" w:lastRow="0" w:firstColumn="1" w:lastColumn="0" w:oddVBand="0" w:evenVBand="0" w:oddHBand="0" w:evenHBand="0" w:firstRowFirstColumn="0" w:firstRowLastColumn="0" w:lastRowFirstColumn="0" w:lastRowLastColumn="0"/>
            <w:tcW w:w="8647" w:type="dxa"/>
            <w:vAlign w:val="top"/>
          </w:tcPr>
          <w:p w14:paraId="2F118003" w14:textId="09EA66B2" w:rsidR="00D25D98" w:rsidRPr="004D64CD" w:rsidRDefault="00D25D98" w:rsidP="00FC3923">
            <w:pPr>
              <w:spacing w:before="40" w:after="40"/>
              <w:ind w:right="110"/>
              <w:jc w:val="both"/>
              <w:rPr>
                <w:rStyle w:val="IntenseEmphasis"/>
                <w:rFonts w:cs="Arial"/>
                <w:i w:val="0"/>
                <w:color w:val="000000" w:themeColor="text1"/>
                <w:sz w:val="20"/>
                <w:szCs w:val="20"/>
              </w:rPr>
            </w:pPr>
            <w:r w:rsidRPr="004D64CD">
              <w:rPr>
                <w:rStyle w:val="IntenseEmphasis"/>
                <w:rFonts w:cs="Arial"/>
                <w:i w:val="0"/>
                <w:color w:val="000000" w:themeColor="text1"/>
                <w:sz w:val="20"/>
                <w:szCs w:val="20"/>
              </w:rPr>
              <w:t>To what extent has the business demonstrated a robust process for identifying risk, and how it has decided who should bear these risks? i.e., such that customers are not paying more than they need to.</w:t>
            </w:r>
          </w:p>
        </w:tc>
        <w:tc>
          <w:tcPr>
            <w:tcW w:w="1134" w:type="dxa"/>
            <w:noWrap/>
            <w:vAlign w:val="top"/>
            <w:hideMark/>
          </w:tcPr>
          <w:p w14:paraId="4D68BA59" w14:textId="1CF360F8" w:rsidR="00D25D98" w:rsidRPr="00192F41" w:rsidRDefault="00D25D98" w:rsidP="00FC3923">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D25D98" w:rsidRPr="00192F41" w14:paraId="09D69482" w14:textId="77777777" w:rsidTr="008D1C13">
        <w:trPr>
          <w:trHeight w:val="4420"/>
        </w:trPr>
        <w:tc>
          <w:tcPr>
            <w:cnfStyle w:val="001000000000" w:firstRow="0" w:lastRow="0" w:firstColumn="1" w:lastColumn="0" w:oddVBand="0" w:evenVBand="0" w:oddHBand="0" w:evenHBand="0" w:firstRowFirstColumn="0" w:firstRowLastColumn="0" w:lastRowFirstColumn="0" w:lastRowLastColumn="0"/>
            <w:tcW w:w="8647" w:type="dxa"/>
            <w:vAlign w:val="top"/>
          </w:tcPr>
          <w:p w14:paraId="10874784" w14:textId="65C53BA7" w:rsidR="00D25D98" w:rsidRPr="00192F41" w:rsidRDefault="00D25D98" w:rsidP="0003715E">
            <w:pPr>
              <w:spacing w:before="40" w:after="120"/>
              <w:ind w:left="720" w:right="110"/>
              <w:jc w:val="both"/>
              <w:rPr>
                <w:rFonts w:eastAsia="Times New Roman" w:cs="Arial"/>
                <w:iCs/>
                <w:color w:val="000000" w:themeColor="text1"/>
                <w:szCs w:val="20"/>
                <w:lang w:eastAsia="en-AU"/>
              </w:rPr>
            </w:pPr>
            <w:r w:rsidRPr="00192F41">
              <w:rPr>
                <w:rFonts w:eastAsia="Times New Roman" w:cs="Arial"/>
                <w:iCs/>
                <w:color w:val="000000" w:themeColor="text1"/>
                <w:szCs w:val="20"/>
                <w:lang w:eastAsia="en-AU"/>
              </w:rPr>
              <w:t>Our risk management is consistent with ISO 31000:2018 and requirements under the S</w:t>
            </w:r>
            <w:r w:rsidR="005F0446">
              <w:rPr>
                <w:rFonts w:eastAsia="Times New Roman" w:cs="Arial"/>
                <w:iCs/>
                <w:color w:val="000000" w:themeColor="text1"/>
                <w:szCs w:val="20"/>
                <w:lang w:eastAsia="en-AU"/>
              </w:rPr>
              <w:t xml:space="preserve">tatement </w:t>
            </w:r>
            <w:r w:rsidRPr="00192F41">
              <w:rPr>
                <w:rFonts w:eastAsia="Times New Roman" w:cs="Arial"/>
                <w:iCs/>
                <w:color w:val="000000" w:themeColor="text1"/>
                <w:szCs w:val="20"/>
                <w:lang w:eastAsia="en-AU"/>
              </w:rPr>
              <w:t>o</w:t>
            </w:r>
            <w:r w:rsidR="005F0446">
              <w:rPr>
                <w:rFonts w:eastAsia="Times New Roman" w:cs="Arial"/>
                <w:iCs/>
                <w:color w:val="000000" w:themeColor="text1"/>
                <w:szCs w:val="20"/>
                <w:lang w:eastAsia="en-AU"/>
              </w:rPr>
              <w:t xml:space="preserve">f </w:t>
            </w:r>
            <w:r w:rsidRPr="00192F41">
              <w:rPr>
                <w:rFonts w:eastAsia="Times New Roman" w:cs="Arial"/>
                <w:iCs/>
                <w:color w:val="000000" w:themeColor="text1"/>
                <w:szCs w:val="20"/>
                <w:lang w:eastAsia="en-AU"/>
              </w:rPr>
              <w:t>O</w:t>
            </w:r>
            <w:r w:rsidR="005F0446">
              <w:rPr>
                <w:rFonts w:eastAsia="Times New Roman" w:cs="Arial"/>
                <w:iCs/>
                <w:color w:val="000000" w:themeColor="text1"/>
                <w:szCs w:val="20"/>
                <w:lang w:eastAsia="en-AU"/>
              </w:rPr>
              <w:t>bligations</w:t>
            </w:r>
            <w:r w:rsidRPr="00192F41">
              <w:rPr>
                <w:rFonts w:eastAsia="Times New Roman" w:cs="Arial"/>
                <w:iCs/>
                <w:color w:val="000000" w:themeColor="text1"/>
                <w:szCs w:val="20"/>
                <w:lang w:eastAsia="en-AU"/>
              </w:rPr>
              <w:t>. Appropriate controls and treatments have been established to manage each risk. We review these on an ongoing basis. The risks are regularly reviewed and considered including potential new risks. A specific review was conducted in preparing the price submission, having regard to risks associated with inflows, demand, operations, construction, regulations, finances, and business risks. It did not identify any material changes in our risks or approach to managing risks but noted the following</w:t>
            </w:r>
            <w:r w:rsidR="005F0446">
              <w:rPr>
                <w:rFonts w:eastAsia="Times New Roman" w:cs="Arial"/>
                <w:iCs/>
                <w:color w:val="000000" w:themeColor="text1"/>
                <w:szCs w:val="20"/>
                <w:lang w:eastAsia="en-AU"/>
              </w:rPr>
              <w:t>:</w:t>
            </w:r>
          </w:p>
          <w:p w14:paraId="30CF59D6" w14:textId="238C7D5F" w:rsidR="00D25D98" w:rsidRPr="00192F41" w:rsidRDefault="00D25D98" w:rsidP="00F459A2">
            <w:pPr>
              <w:pStyle w:val="Bulletpointparagraph"/>
              <w:numPr>
                <w:ilvl w:val="0"/>
                <w:numId w:val="11"/>
              </w:numPr>
              <w:spacing w:before="40" w:after="40"/>
              <w:ind w:left="1305" w:right="110"/>
              <w:jc w:val="both"/>
              <w:rPr>
                <w:rFonts w:cs="Arial"/>
                <w:color w:val="000000" w:themeColor="text1"/>
                <w:szCs w:val="20"/>
                <w:lang w:eastAsia="en-AU"/>
              </w:rPr>
            </w:pPr>
            <w:r w:rsidRPr="00192F41">
              <w:rPr>
                <w:rFonts w:cs="Arial"/>
                <w:color w:val="000000" w:themeColor="text1"/>
                <w:szCs w:val="20"/>
                <w:lang w:eastAsia="en-AU"/>
              </w:rPr>
              <w:t>most of our revenue is derived from entitlement charges which means we have low exposure to seasonal variations (e.g., millennial drought and the recent wet seasons) that could otherwise lead to revenues</w:t>
            </w:r>
            <w:r w:rsidR="005F0446">
              <w:rPr>
                <w:rFonts w:cs="Arial"/>
                <w:color w:val="000000" w:themeColor="text1"/>
                <w:szCs w:val="20"/>
                <w:lang w:eastAsia="en-AU"/>
              </w:rPr>
              <w:t>;</w:t>
            </w:r>
          </w:p>
          <w:p w14:paraId="1DB63A24" w14:textId="59CFFF47" w:rsidR="00D25D98" w:rsidRPr="00192F41" w:rsidRDefault="00D25D98" w:rsidP="00F459A2">
            <w:pPr>
              <w:pStyle w:val="Bulletpointparagraph"/>
              <w:numPr>
                <w:ilvl w:val="0"/>
                <w:numId w:val="11"/>
              </w:numPr>
              <w:spacing w:before="40" w:after="40"/>
              <w:ind w:left="1305" w:right="110"/>
              <w:jc w:val="both"/>
              <w:rPr>
                <w:rFonts w:cs="Arial"/>
                <w:color w:val="000000" w:themeColor="text1"/>
                <w:szCs w:val="20"/>
                <w:lang w:eastAsia="en-AU"/>
              </w:rPr>
            </w:pPr>
            <w:r w:rsidRPr="00192F41">
              <w:rPr>
                <w:rFonts w:cs="Arial"/>
                <w:color w:val="000000" w:themeColor="text1"/>
                <w:szCs w:val="20"/>
                <w:lang w:eastAsia="en-AU"/>
              </w:rPr>
              <w:t>capital projects are supported by comprehensive business cases which have considered the potential for increased construction costs</w:t>
            </w:r>
            <w:r w:rsidR="005F0446">
              <w:rPr>
                <w:rFonts w:cs="Arial"/>
                <w:color w:val="000000" w:themeColor="text1"/>
                <w:szCs w:val="20"/>
                <w:lang w:eastAsia="en-AU"/>
              </w:rPr>
              <w:t>;</w:t>
            </w:r>
          </w:p>
          <w:p w14:paraId="72E130EC" w14:textId="0D18C5BB" w:rsidR="00D25D98" w:rsidRPr="00192F41" w:rsidRDefault="00D25D98" w:rsidP="00F459A2">
            <w:pPr>
              <w:pStyle w:val="Bulletpointparagraph"/>
              <w:numPr>
                <w:ilvl w:val="0"/>
                <w:numId w:val="11"/>
              </w:numPr>
              <w:spacing w:before="40" w:after="40"/>
              <w:ind w:left="1305" w:right="110"/>
              <w:jc w:val="both"/>
              <w:rPr>
                <w:rFonts w:cs="Arial"/>
                <w:color w:val="000000" w:themeColor="text1"/>
                <w:szCs w:val="20"/>
                <w:lang w:eastAsia="en-AU"/>
              </w:rPr>
            </w:pPr>
            <w:r w:rsidRPr="00192F41">
              <w:rPr>
                <w:rFonts w:cs="Arial"/>
                <w:color w:val="000000" w:themeColor="text1"/>
                <w:szCs w:val="20"/>
                <w:lang w:eastAsia="en-AU"/>
              </w:rPr>
              <w:t xml:space="preserve">capital projects have been prioritised through a risk prioritisation framework to ensure that only those projects that need to be undertaken during the regulatory period are considered included in the </w:t>
            </w:r>
            <w:r w:rsidR="005F0446">
              <w:rPr>
                <w:rFonts w:cs="Arial"/>
                <w:color w:val="000000" w:themeColor="text1"/>
                <w:szCs w:val="20"/>
                <w:lang w:eastAsia="en-AU"/>
              </w:rPr>
              <w:t>p</w:t>
            </w:r>
            <w:r w:rsidRPr="00192F41">
              <w:rPr>
                <w:rFonts w:cs="Arial"/>
                <w:color w:val="000000" w:themeColor="text1"/>
                <w:szCs w:val="20"/>
                <w:lang w:eastAsia="en-AU"/>
              </w:rPr>
              <w:t xml:space="preserve">rice </w:t>
            </w:r>
            <w:r w:rsidR="005F0446">
              <w:rPr>
                <w:rFonts w:cs="Arial"/>
                <w:color w:val="000000" w:themeColor="text1"/>
                <w:szCs w:val="20"/>
                <w:lang w:eastAsia="en-AU"/>
              </w:rPr>
              <w:t>s</w:t>
            </w:r>
            <w:r w:rsidRPr="00192F41">
              <w:rPr>
                <w:rFonts w:cs="Arial"/>
                <w:color w:val="000000" w:themeColor="text1"/>
                <w:szCs w:val="20"/>
                <w:lang w:eastAsia="en-AU"/>
              </w:rPr>
              <w:t>ubmission</w:t>
            </w:r>
            <w:r w:rsidR="005F0446">
              <w:rPr>
                <w:rFonts w:cs="Arial"/>
                <w:color w:val="000000" w:themeColor="text1"/>
                <w:szCs w:val="20"/>
                <w:lang w:eastAsia="en-AU"/>
              </w:rPr>
              <w:t>; and</w:t>
            </w:r>
          </w:p>
          <w:p w14:paraId="685CF525" w14:textId="36AAF4BA" w:rsidR="00D25D98" w:rsidRPr="0003715E" w:rsidRDefault="00D25D98" w:rsidP="00F459A2">
            <w:pPr>
              <w:pStyle w:val="Bulletpointparagraph"/>
              <w:numPr>
                <w:ilvl w:val="0"/>
                <w:numId w:val="11"/>
              </w:numPr>
              <w:spacing w:before="40" w:after="120"/>
              <w:ind w:left="1305" w:right="110"/>
              <w:jc w:val="both"/>
              <w:rPr>
                <w:rFonts w:cs="Arial"/>
                <w:color w:val="000000" w:themeColor="text1"/>
                <w:szCs w:val="20"/>
                <w:lang w:eastAsia="en-AU"/>
              </w:rPr>
            </w:pPr>
            <w:r w:rsidRPr="00192F41">
              <w:rPr>
                <w:rFonts w:cs="Arial"/>
                <w:color w:val="000000" w:themeColor="text1"/>
                <w:szCs w:val="20"/>
                <w:lang w:eastAsia="en-AU"/>
              </w:rPr>
              <w:t>we are a low</w:t>
            </w:r>
            <w:r w:rsidR="005F0446">
              <w:rPr>
                <w:rFonts w:cs="Arial"/>
                <w:color w:val="000000" w:themeColor="text1"/>
                <w:szCs w:val="20"/>
                <w:lang w:eastAsia="en-AU"/>
              </w:rPr>
              <w:t>-</w:t>
            </w:r>
            <w:r w:rsidRPr="00192F41">
              <w:rPr>
                <w:rFonts w:cs="Arial"/>
                <w:color w:val="000000" w:themeColor="text1"/>
                <w:szCs w:val="20"/>
                <w:lang w:eastAsia="en-AU"/>
              </w:rPr>
              <w:t xml:space="preserve">energy user and, with extensive solar assets, </w:t>
            </w:r>
            <w:r w:rsidR="003135E4">
              <w:rPr>
                <w:rFonts w:cs="Arial"/>
                <w:color w:val="000000" w:themeColor="text1"/>
                <w:szCs w:val="20"/>
                <w:lang w:eastAsia="en-AU"/>
              </w:rPr>
              <w:t>and</w:t>
            </w:r>
            <w:r w:rsidRPr="00192F41">
              <w:rPr>
                <w:rFonts w:cs="Arial"/>
                <w:color w:val="000000" w:themeColor="text1"/>
                <w:szCs w:val="20"/>
                <w:lang w:eastAsia="en-AU"/>
              </w:rPr>
              <w:t xml:space="preserve"> have minimal exposure to rising energy prices</w:t>
            </w:r>
            <w:r w:rsidR="005F0446">
              <w:rPr>
                <w:rFonts w:cs="Arial"/>
                <w:color w:val="000000" w:themeColor="text1"/>
                <w:szCs w:val="20"/>
                <w:lang w:eastAsia="en-AU"/>
              </w:rPr>
              <w:t>.</w:t>
            </w:r>
          </w:p>
          <w:p w14:paraId="3D21DA28" w14:textId="2600705B" w:rsidR="00D25D98" w:rsidRPr="00192F41" w:rsidRDefault="00D25D98" w:rsidP="0003715E">
            <w:pPr>
              <w:spacing w:before="40" w:after="40"/>
              <w:ind w:left="720" w:right="110"/>
              <w:jc w:val="both"/>
              <w:rPr>
                <w:rStyle w:val="IntenseEmphasis"/>
                <w:rFonts w:cs="Arial"/>
                <w:b/>
                <w:bCs/>
                <w:i w:val="0"/>
                <w:iCs w:val="0"/>
                <w:color w:val="000000" w:themeColor="text1"/>
                <w:sz w:val="20"/>
                <w:szCs w:val="20"/>
              </w:rPr>
            </w:pPr>
            <w:r w:rsidRPr="00192F41">
              <w:rPr>
                <w:rFonts w:eastAsia="Times New Roman" w:cs="Arial"/>
                <w:iCs/>
                <w:color w:val="000000" w:themeColor="text1"/>
                <w:szCs w:val="20"/>
                <w:lang w:eastAsia="en-AU"/>
              </w:rPr>
              <w:t xml:space="preserve">Refer to </w:t>
            </w:r>
            <w:r w:rsidR="009B78CB">
              <w:rPr>
                <w:rFonts w:eastAsia="Times New Roman" w:cs="Arial"/>
                <w:iCs/>
                <w:color w:val="000000" w:themeColor="text1"/>
                <w:szCs w:val="20"/>
                <w:lang w:eastAsia="en-AU"/>
              </w:rPr>
              <w:t xml:space="preserve">Section </w:t>
            </w:r>
            <w:r w:rsidR="009B78CB">
              <w:rPr>
                <w:rFonts w:eastAsia="Times New Roman" w:cs="Arial"/>
                <w:iCs/>
                <w:color w:val="000000" w:themeColor="text1"/>
                <w:szCs w:val="20"/>
                <w:lang w:eastAsia="en-AU"/>
              </w:rPr>
              <w:fldChar w:fldCharType="begin"/>
            </w:r>
            <w:r w:rsidR="009B78CB">
              <w:rPr>
                <w:rFonts w:eastAsia="Times New Roman" w:cs="Arial"/>
                <w:iCs/>
                <w:color w:val="000000" w:themeColor="text1"/>
                <w:szCs w:val="20"/>
                <w:lang w:eastAsia="en-AU"/>
              </w:rPr>
              <w:instrText xml:space="preserve"> REF _Ref113869827 \r \h </w:instrText>
            </w:r>
            <w:r w:rsidR="004D64CD">
              <w:rPr>
                <w:rFonts w:eastAsia="Times New Roman" w:cs="Arial"/>
                <w:iCs/>
                <w:color w:val="000000" w:themeColor="text1"/>
                <w:szCs w:val="20"/>
                <w:lang w:eastAsia="en-AU"/>
              </w:rPr>
              <w:instrText xml:space="preserve"> \* MERGEFORMAT </w:instrText>
            </w:r>
            <w:r w:rsidR="009B78CB">
              <w:rPr>
                <w:rFonts w:eastAsia="Times New Roman" w:cs="Arial"/>
                <w:iCs/>
                <w:color w:val="000000" w:themeColor="text1"/>
                <w:szCs w:val="20"/>
                <w:lang w:eastAsia="en-AU"/>
              </w:rPr>
            </w:r>
            <w:r w:rsidR="009B78CB">
              <w:rPr>
                <w:rFonts w:eastAsia="Times New Roman" w:cs="Arial"/>
                <w:iCs/>
                <w:color w:val="000000" w:themeColor="text1"/>
                <w:szCs w:val="20"/>
                <w:lang w:eastAsia="en-AU"/>
              </w:rPr>
              <w:fldChar w:fldCharType="separate"/>
            </w:r>
            <w:r w:rsidR="008126A8">
              <w:rPr>
                <w:rFonts w:eastAsia="Times New Roman" w:cs="Arial"/>
                <w:iCs/>
                <w:color w:val="000000" w:themeColor="text1"/>
                <w:szCs w:val="20"/>
                <w:lang w:eastAsia="en-AU"/>
              </w:rPr>
              <w:t>4</w:t>
            </w:r>
            <w:r w:rsidR="009B78CB">
              <w:rPr>
                <w:rFonts w:eastAsia="Times New Roman" w:cs="Arial"/>
                <w:iCs/>
                <w:color w:val="000000" w:themeColor="text1"/>
                <w:szCs w:val="20"/>
                <w:lang w:eastAsia="en-AU"/>
              </w:rPr>
              <w:fldChar w:fldCharType="end"/>
            </w:r>
            <w:r w:rsidR="009B78CB">
              <w:rPr>
                <w:rFonts w:eastAsia="Times New Roman" w:cs="Arial"/>
                <w:iCs/>
                <w:color w:val="000000" w:themeColor="text1"/>
                <w:szCs w:val="20"/>
                <w:lang w:eastAsia="en-AU"/>
              </w:rPr>
              <w:t xml:space="preserve"> outlining our </w:t>
            </w:r>
            <w:r w:rsidRPr="00192F41">
              <w:rPr>
                <w:rFonts w:eastAsia="Times New Roman" w:cs="Arial"/>
                <w:iCs/>
                <w:color w:val="000000" w:themeColor="text1"/>
                <w:szCs w:val="20"/>
                <w:lang w:eastAsia="en-AU"/>
              </w:rPr>
              <w:t xml:space="preserve">risk response. </w:t>
            </w:r>
          </w:p>
        </w:tc>
        <w:tc>
          <w:tcPr>
            <w:tcW w:w="1134" w:type="dxa"/>
            <w:noWrap/>
            <w:vAlign w:val="top"/>
          </w:tcPr>
          <w:p w14:paraId="56BAFE02" w14:textId="0B68AE88" w:rsidR="00D25D98" w:rsidRPr="00192F41" w:rsidRDefault="003D6B01" w:rsidP="004D64C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szCs w:val="20"/>
                <w:lang w:eastAsia="en-AU"/>
              </w:rPr>
              <w:t>Standard- very confident</w:t>
            </w:r>
          </w:p>
        </w:tc>
      </w:tr>
      <w:tr w:rsidR="00D25D98" w:rsidRPr="00192F41" w14:paraId="55AAFAF4" w14:textId="77777777" w:rsidTr="008D1C13">
        <w:trPr>
          <w:cnfStyle w:val="000000100000" w:firstRow="0" w:lastRow="0" w:firstColumn="0" w:lastColumn="0" w:oddVBand="0" w:evenVBand="0" w:oddHBand="1" w:evenHBand="0" w:firstRowFirstColumn="0" w:firstRowLastColumn="0" w:lastRowFirstColumn="0" w:lastRowLastColumn="0"/>
          <w:trHeight w:val="729"/>
        </w:trPr>
        <w:tc>
          <w:tcPr>
            <w:cnfStyle w:val="001000000000" w:firstRow="0" w:lastRow="0" w:firstColumn="1" w:lastColumn="0" w:oddVBand="0" w:evenVBand="0" w:oddHBand="0" w:evenHBand="0" w:firstRowFirstColumn="0" w:firstRowLastColumn="0" w:lastRowFirstColumn="0" w:lastRowLastColumn="0"/>
            <w:tcW w:w="8647" w:type="dxa"/>
            <w:vAlign w:val="top"/>
          </w:tcPr>
          <w:p w14:paraId="5D28AC06" w14:textId="77777777" w:rsidR="00D25D98" w:rsidRPr="004D64CD" w:rsidRDefault="00D25D98" w:rsidP="0003715E">
            <w:pPr>
              <w:spacing w:before="40" w:after="40"/>
              <w:ind w:right="110"/>
              <w:jc w:val="both"/>
              <w:rPr>
                <w:rStyle w:val="IntenseEmphasis"/>
                <w:rFonts w:cs="Arial"/>
                <w:i w:val="0"/>
                <w:color w:val="000000" w:themeColor="text1"/>
                <w:sz w:val="20"/>
                <w:szCs w:val="20"/>
              </w:rPr>
            </w:pPr>
            <w:r w:rsidRPr="004D64CD">
              <w:rPr>
                <w:rStyle w:val="IntenseEmphasis"/>
                <w:rFonts w:cs="Arial"/>
                <w:i w:val="0"/>
                <w:color w:val="000000" w:themeColor="text1"/>
                <w:sz w:val="20"/>
                <w:szCs w:val="20"/>
              </w:rPr>
              <w:t>To what extent does the proposed guaranteed service level (GSL) scheme provide incentives for the business to be accountable for the quality of services delivered, and provide incentives to deliver valued services efficiently?</w:t>
            </w:r>
          </w:p>
        </w:tc>
        <w:tc>
          <w:tcPr>
            <w:tcW w:w="1134" w:type="dxa"/>
            <w:noWrap/>
            <w:vAlign w:val="top"/>
            <w:hideMark/>
          </w:tcPr>
          <w:p w14:paraId="7C5C3F63" w14:textId="3FDBD8D8" w:rsidR="00D25D98" w:rsidRPr="00192F41" w:rsidRDefault="00D25D98" w:rsidP="004D64CD">
            <w:pPr>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p>
        </w:tc>
      </w:tr>
      <w:tr w:rsidR="00D25D98" w:rsidRPr="00192F41" w14:paraId="137ECC9F" w14:textId="77777777" w:rsidTr="00804A67">
        <w:trPr>
          <w:trHeight w:val="407"/>
        </w:trPr>
        <w:tc>
          <w:tcPr>
            <w:cnfStyle w:val="001000000000" w:firstRow="0" w:lastRow="0" w:firstColumn="1" w:lastColumn="0" w:oddVBand="0" w:evenVBand="0" w:oddHBand="0" w:evenHBand="0" w:firstRowFirstColumn="0" w:firstRowLastColumn="0" w:lastRowFirstColumn="0" w:lastRowLastColumn="0"/>
            <w:tcW w:w="8647" w:type="dxa"/>
            <w:tcBorders>
              <w:bottom w:val="single" w:sz="4" w:space="0" w:color="auto"/>
            </w:tcBorders>
            <w:vAlign w:val="top"/>
          </w:tcPr>
          <w:p w14:paraId="5927218C" w14:textId="309A0A76" w:rsidR="00D25D98" w:rsidRPr="00192F41" w:rsidRDefault="00D25D98" w:rsidP="0003715E">
            <w:pPr>
              <w:spacing w:before="40" w:after="40"/>
              <w:ind w:left="720" w:right="110"/>
              <w:jc w:val="both"/>
              <w:rPr>
                <w:rStyle w:val="IntenseEmphasis"/>
                <w:rFonts w:cs="Arial"/>
                <w:b/>
                <w:bCs/>
                <w:i w:val="0"/>
                <w:iCs w:val="0"/>
                <w:color w:val="000000" w:themeColor="text1"/>
                <w:sz w:val="20"/>
                <w:szCs w:val="20"/>
              </w:rPr>
            </w:pPr>
            <w:r w:rsidRPr="00192F41">
              <w:rPr>
                <w:rFonts w:eastAsia="Times New Roman" w:cs="Arial"/>
                <w:color w:val="000000" w:themeColor="text1"/>
                <w:szCs w:val="20"/>
                <w:lang w:eastAsia="en-AU"/>
              </w:rPr>
              <w:t>Not applicable: SRW is a rural water corporation and as such is not obliged to propose guaranteed service level (GSL).</w:t>
            </w:r>
          </w:p>
        </w:tc>
        <w:tc>
          <w:tcPr>
            <w:tcW w:w="1134" w:type="dxa"/>
            <w:tcBorders>
              <w:bottom w:val="single" w:sz="4" w:space="0" w:color="auto"/>
            </w:tcBorders>
            <w:noWrap/>
            <w:vAlign w:val="top"/>
          </w:tcPr>
          <w:p w14:paraId="4D3ED0E0" w14:textId="745CBE37" w:rsidR="00D25D98" w:rsidRPr="00192F41" w:rsidRDefault="00FC3923" w:rsidP="004D64CD">
            <w:pPr>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szCs w:val="20"/>
                <w:lang w:eastAsia="en-AU"/>
              </w:rPr>
              <w:t>N.A</w:t>
            </w:r>
          </w:p>
        </w:tc>
      </w:tr>
    </w:tbl>
    <w:p w14:paraId="6BC9C613" w14:textId="77777777" w:rsidR="008D1C13" w:rsidRPr="00192F41" w:rsidRDefault="008D1C13" w:rsidP="005F6366">
      <w:pPr>
        <w:rPr>
          <w:rStyle w:val="IntenseEmphasis"/>
          <w:rFonts w:cs="Arial"/>
          <w:i w:val="0"/>
          <w:iCs w:val="0"/>
          <w:color w:val="auto"/>
        </w:rPr>
      </w:pPr>
    </w:p>
    <w:p w14:paraId="2BED5D56" w14:textId="3BBD848C" w:rsidR="00E4373C" w:rsidRPr="00192F41" w:rsidRDefault="00E4373C" w:rsidP="00C42955">
      <w:pPr>
        <w:rPr>
          <w:rStyle w:val="IntenseEmphasis"/>
          <w:rFonts w:cs="Arial"/>
          <w:i w:val="0"/>
          <w:iCs w:val="0"/>
          <w:color w:val="auto"/>
        </w:rPr>
      </w:pPr>
      <w:r w:rsidRPr="00192F41">
        <w:rPr>
          <w:rStyle w:val="IntenseEmphasis"/>
          <w:rFonts w:cs="Arial"/>
          <w:i w:val="0"/>
          <w:iCs w:val="0"/>
          <w:color w:val="auto"/>
        </w:rPr>
        <w:br w:type="page"/>
      </w:r>
    </w:p>
    <w:p w14:paraId="484AC1E6" w14:textId="248F2C72" w:rsidR="001268E4" w:rsidRPr="00192F41" w:rsidRDefault="001268E4" w:rsidP="00AE2AD9">
      <w:pPr>
        <w:pStyle w:val="NumberedHeading3"/>
        <w:rPr>
          <w:rStyle w:val="IntenseEmphasis"/>
          <w:rFonts w:cs="Arial"/>
          <w:i w:val="0"/>
          <w:iCs w:val="0"/>
          <w:color w:val="002B5C" w:themeColor="text2"/>
          <w:sz w:val="52"/>
        </w:rPr>
      </w:pPr>
      <w:bookmarkStart w:id="42" w:name="_Toc115263679"/>
      <w:r w:rsidRPr="00192F41">
        <w:rPr>
          <w:rStyle w:val="IntenseEmphasis"/>
          <w:rFonts w:cs="Arial"/>
          <w:i w:val="0"/>
          <w:iCs w:val="0"/>
          <w:color w:val="002B5C" w:themeColor="text2"/>
          <w:sz w:val="52"/>
        </w:rPr>
        <w:t>Engagement</w:t>
      </w:r>
      <w:bookmarkEnd w:id="42"/>
      <w:r w:rsidR="004D6D3D" w:rsidRPr="00192F41">
        <w:rPr>
          <w:rStyle w:val="IntenseEmphasis"/>
          <w:rFonts w:cs="Arial"/>
          <w:i w:val="0"/>
          <w:iCs w:val="0"/>
          <w:color w:val="002B5C" w:themeColor="text2"/>
          <w:sz w:val="52"/>
        </w:rPr>
        <w:t xml:space="preserve"> </w:t>
      </w:r>
    </w:p>
    <w:tbl>
      <w:tblPr>
        <w:tblStyle w:val="ReportTable-NavyColumns"/>
        <w:tblW w:w="9776" w:type="dxa"/>
        <w:tblBorders>
          <w:insideH w:val="none" w:sz="0" w:space="0" w:color="auto"/>
        </w:tblBorders>
        <w:shd w:val="clear" w:color="auto" w:fill="D9D9D9" w:themeFill="background1" w:themeFillShade="D9"/>
        <w:tblLook w:val="04A0" w:firstRow="1" w:lastRow="0" w:firstColumn="1" w:lastColumn="0" w:noHBand="0" w:noVBand="1"/>
      </w:tblPr>
      <w:tblGrid>
        <w:gridCol w:w="9776"/>
      </w:tblGrid>
      <w:tr w:rsidR="009A686E" w:rsidRPr="00192F41" w14:paraId="76690EC7" w14:textId="77777777" w:rsidTr="00F555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2F2F2" w:themeFill="background1" w:themeFillShade="F2"/>
          </w:tcPr>
          <w:p w14:paraId="3A9D4E31" w14:textId="41CFC30D" w:rsidR="009A686E" w:rsidRPr="00192F41" w:rsidRDefault="00BC7207" w:rsidP="00324E60">
            <w:pPr>
              <w:pStyle w:val="Heading2"/>
              <w:rPr>
                <w:rStyle w:val="IntenseEmphasis"/>
                <w:rFonts w:cs="Arial"/>
                <w:b/>
                <w:bCs/>
                <w:i w:val="0"/>
                <w:iCs w:val="0"/>
                <w:sz w:val="36"/>
              </w:rPr>
            </w:pPr>
            <w:r w:rsidRPr="00192F41">
              <w:rPr>
                <w:rStyle w:val="IntenseEmphasis"/>
                <w:rFonts w:cs="Arial"/>
                <w:b/>
                <w:bCs/>
                <w:i w:val="0"/>
                <w:iCs w:val="0"/>
                <w:sz w:val="36"/>
              </w:rPr>
              <w:t>Key messages</w:t>
            </w:r>
          </w:p>
          <w:p w14:paraId="4997FB18" w14:textId="2E1A73CD" w:rsidR="00945EC5" w:rsidRPr="00192F41" w:rsidRDefault="006E3A10" w:rsidP="00FC3923">
            <w:pPr>
              <w:pStyle w:val="Bulletpointparagraph"/>
              <w:numPr>
                <w:ilvl w:val="0"/>
                <w:numId w:val="0"/>
              </w:numPr>
              <w:ind w:left="360" w:right="411"/>
              <w:jc w:val="both"/>
              <w:rPr>
                <w:rFonts w:cs="Arial"/>
                <w:b w:val="0"/>
                <w:color w:val="000000" w:themeColor="text1"/>
              </w:rPr>
            </w:pPr>
            <w:r w:rsidRPr="00192F41">
              <w:rPr>
                <w:rFonts w:cs="Arial"/>
                <w:b w:val="0"/>
                <w:color w:val="000000" w:themeColor="text1"/>
              </w:rPr>
              <w:t>SRW has a history of close customer connection and an understanding of their needs</w:t>
            </w:r>
            <w:r w:rsidR="00697EAF" w:rsidRPr="00192F41">
              <w:rPr>
                <w:rFonts w:cs="Arial"/>
                <w:b w:val="0"/>
                <w:color w:val="000000" w:themeColor="text1"/>
              </w:rPr>
              <w:t xml:space="preserve"> built over more than two decades</w:t>
            </w:r>
            <w:r w:rsidRPr="00192F41">
              <w:rPr>
                <w:rFonts w:cs="Arial"/>
                <w:b w:val="0"/>
                <w:color w:val="000000" w:themeColor="text1"/>
              </w:rPr>
              <w:t>. This means we can engage in deep discussion around the issues that matter to them, and the implications of pricing changes.</w:t>
            </w:r>
          </w:p>
          <w:p w14:paraId="758C8307" w14:textId="77777777" w:rsidR="0096581C" w:rsidRPr="00192F41" w:rsidRDefault="0096581C" w:rsidP="00FC3923">
            <w:pPr>
              <w:pStyle w:val="Bulletpointparagraph"/>
              <w:numPr>
                <w:ilvl w:val="0"/>
                <w:numId w:val="0"/>
              </w:numPr>
              <w:ind w:left="360" w:right="411"/>
              <w:rPr>
                <w:rFonts w:cs="Arial"/>
                <w:b w:val="0"/>
                <w:color w:val="000000" w:themeColor="text1"/>
              </w:rPr>
            </w:pPr>
          </w:p>
          <w:p w14:paraId="5D332FB0" w14:textId="69410FD5" w:rsidR="00CC0C7A" w:rsidRPr="00192F41" w:rsidRDefault="00CC0C7A" w:rsidP="00FC3923">
            <w:pPr>
              <w:pStyle w:val="Bulletpointparagraph"/>
              <w:ind w:right="411"/>
              <w:jc w:val="both"/>
              <w:rPr>
                <w:rFonts w:cs="Arial"/>
                <w:b w:val="0"/>
                <w:bCs/>
                <w:color w:val="000000" w:themeColor="text1"/>
              </w:rPr>
            </w:pPr>
            <w:r w:rsidRPr="00192F41">
              <w:rPr>
                <w:rFonts w:cs="Arial"/>
                <w:b w:val="0"/>
                <w:bCs/>
                <w:color w:val="000000" w:themeColor="text1"/>
              </w:rPr>
              <w:t xml:space="preserve">Engagement was designed to enable all customers to be involved in the price submission, in different ways and at different points throughout </w:t>
            </w:r>
            <w:r w:rsidR="00A36823" w:rsidRPr="00192F41">
              <w:rPr>
                <w:rFonts w:cs="Arial"/>
                <w:b w:val="0"/>
                <w:bCs/>
                <w:color w:val="000000" w:themeColor="text1"/>
              </w:rPr>
              <w:t>the process</w:t>
            </w:r>
            <w:r w:rsidR="0072572F">
              <w:rPr>
                <w:rFonts w:cs="Arial"/>
                <w:b w:val="0"/>
                <w:bCs/>
                <w:color w:val="000000" w:themeColor="text1"/>
              </w:rPr>
              <w:t>.</w:t>
            </w:r>
          </w:p>
          <w:p w14:paraId="5B5A4283" w14:textId="77777777" w:rsidR="00B27C36" w:rsidRPr="00192F41" w:rsidRDefault="00CA0586" w:rsidP="00FC3923">
            <w:pPr>
              <w:pStyle w:val="Bulletpointparagraph"/>
              <w:ind w:right="411"/>
              <w:jc w:val="both"/>
              <w:rPr>
                <w:rFonts w:cs="Arial"/>
                <w:b w:val="0"/>
                <w:bCs/>
                <w:color w:val="000000" w:themeColor="text1"/>
              </w:rPr>
            </w:pPr>
            <w:r w:rsidRPr="00192F41">
              <w:rPr>
                <w:rFonts w:cs="Arial"/>
                <w:b w:val="0"/>
                <w:bCs/>
                <w:color w:val="000000" w:themeColor="text1"/>
              </w:rPr>
              <w:t>The biennial customer survey, completed in early 2022, provided an additional source of rich information on what customers value and how satisfied they are with the services we provide.</w:t>
            </w:r>
          </w:p>
          <w:p w14:paraId="1C59C34A" w14:textId="6FCA4575" w:rsidR="000541C8" w:rsidRPr="00192F41" w:rsidRDefault="004F0328" w:rsidP="00FC3923">
            <w:pPr>
              <w:pStyle w:val="Bulletpointparagraph"/>
              <w:ind w:right="411"/>
              <w:jc w:val="both"/>
              <w:rPr>
                <w:rFonts w:cs="Arial"/>
                <w:b w:val="0"/>
                <w:bCs/>
                <w:color w:val="000000" w:themeColor="text1"/>
              </w:rPr>
            </w:pPr>
            <w:r w:rsidRPr="00192F41">
              <w:rPr>
                <w:rFonts w:cs="Arial"/>
                <w:b w:val="0"/>
                <w:bCs/>
                <w:color w:val="000000" w:themeColor="text1"/>
              </w:rPr>
              <w:t>F</w:t>
            </w:r>
            <w:r w:rsidR="000541C8" w:rsidRPr="00192F41">
              <w:rPr>
                <w:rFonts w:cs="Arial"/>
                <w:b w:val="0"/>
                <w:bCs/>
                <w:color w:val="000000" w:themeColor="text1"/>
              </w:rPr>
              <w:t xml:space="preserve">eedback was consistent with the </w:t>
            </w:r>
            <w:r w:rsidR="00F14DFE" w:rsidRPr="00192F41">
              <w:rPr>
                <w:rFonts w:cs="Arial"/>
                <w:b w:val="0"/>
                <w:bCs/>
                <w:color w:val="000000" w:themeColor="text1"/>
              </w:rPr>
              <w:t xml:space="preserve">findings from the </w:t>
            </w:r>
            <w:r w:rsidR="0072572F">
              <w:rPr>
                <w:rFonts w:cs="Arial"/>
                <w:b w:val="0"/>
                <w:bCs/>
                <w:color w:val="000000" w:themeColor="text1"/>
              </w:rPr>
              <w:t>P</w:t>
            </w:r>
            <w:r w:rsidR="000541C8" w:rsidRPr="00192F41">
              <w:rPr>
                <w:rFonts w:cs="Arial"/>
                <w:b w:val="0"/>
                <w:bCs/>
                <w:color w:val="000000" w:themeColor="text1"/>
              </w:rPr>
              <w:t xml:space="preserve">rice </w:t>
            </w:r>
            <w:r w:rsidR="0072572F">
              <w:rPr>
                <w:rFonts w:cs="Arial"/>
                <w:b w:val="0"/>
                <w:bCs/>
                <w:color w:val="000000" w:themeColor="text1"/>
              </w:rPr>
              <w:t>S</w:t>
            </w:r>
            <w:r w:rsidR="000541C8" w:rsidRPr="00192F41">
              <w:rPr>
                <w:rFonts w:cs="Arial"/>
                <w:b w:val="0"/>
                <w:bCs/>
                <w:color w:val="000000" w:themeColor="text1"/>
              </w:rPr>
              <w:t xml:space="preserve">ubmission </w:t>
            </w:r>
            <w:r w:rsidR="0072572F">
              <w:rPr>
                <w:rFonts w:cs="Arial"/>
                <w:b w:val="0"/>
                <w:bCs/>
                <w:color w:val="000000" w:themeColor="text1"/>
              </w:rPr>
              <w:t>2018</w:t>
            </w:r>
            <w:r w:rsidR="000541C8" w:rsidRPr="00192F41">
              <w:rPr>
                <w:rFonts w:cs="Arial"/>
                <w:b w:val="0"/>
                <w:bCs/>
                <w:color w:val="000000" w:themeColor="text1"/>
              </w:rPr>
              <w:t xml:space="preserve"> with customers indicating that reliability, sustainability and </w:t>
            </w:r>
            <w:r w:rsidR="009B4996" w:rsidRPr="00192F41">
              <w:rPr>
                <w:rFonts w:cs="Arial"/>
                <w:b w:val="0"/>
                <w:bCs/>
                <w:color w:val="000000" w:themeColor="text1"/>
              </w:rPr>
              <w:t xml:space="preserve">keeping prices as low as </w:t>
            </w:r>
            <w:r w:rsidR="00891169">
              <w:rPr>
                <w:rFonts w:cs="Arial"/>
                <w:b w:val="0"/>
                <w:bCs/>
                <w:color w:val="000000" w:themeColor="text1"/>
              </w:rPr>
              <w:t>reasonable</w:t>
            </w:r>
            <w:r w:rsidR="00B76945" w:rsidRPr="00192F41">
              <w:rPr>
                <w:rFonts w:cs="Arial"/>
                <w:b w:val="0"/>
                <w:bCs/>
                <w:color w:val="000000" w:themeColor="text1"/>
              </w:rPr>
              <w:t xml:space="preserve"> are</w:t>
            </w:r>
            <w:r w:rsidR="009B4996" w:rsidRPr="00192F41">
              <w:rPr>
                <w:rFonts w:cs="Arial"/>
                <w:b w:val="0"/>
                <w:bCs/>
                <w:color w:val="000000" w:themeColor="text1"/>
              </w:rPr>
              <w:t xml:space="preserve"> </w:t>
            </w:r>
            <w:r w:rsidR="00891169">
              <w:rPr>
                <w:rFonts w:cs="Arial"/>
                <w:b w:val="0"/>
                <w:bCs/>
                <w:color w:val="000000" w:themeColor="text1"/>
              </w:rPr>
              <w:t xml:space="preserve">of </w:t>
            </w:r>
            <w:r w:rsidR="00B76945" w:rsidRPr="00192F41">
              <w:rPr>
                <w:rFonts w:cs="Arial"/>
                <w:b w:val="0"/>
                <w:bCs/>
                <w:color w:val="000000" w:themeColor="text1"/>
              </w:rPr>
              <w:t>most</w:t>
            </w:r>
            <w:r w:rsidR="000541C8" w:rsidRPr="00192F41">
              <w:rPr>
                <w:rFonts w:cs="Arial"/>
                <w:b w:val="0"/>
                <w:bCs/>
                <w:color w:val="000000" w:themeColor="text1"/>
              </w:rPr>
              <w:t xml:space="preserve"> importance to them.</w:t>
            </w:r>
          </w:p>
          <w:p w14:paraId="23BC397F" w14:textId="77777777" w:rsidR="000541C8" w:rsidRPr="00192F41" w:rsidRDefault="000541C8" w:rsidP="00FC3923">
            <w:pPr>
              <w:pStyle w:val="Bulletpointparagraph"/>
              <w:ind w:right="411"/>
              <w:jc w:val="both"/>
              <w:rPr>
                <w:rFonts w:cs="Arial"/>
                <w:b w:val="0"/>
                <w:bCs/>
                <w:color w:val="000000" w:themeColor="text1"/>
              </w:rPr>
            </w:pPr>
            <w:r w:rsidRPr="00192F41">
              <w:rPr>
                <w:rFonts w:cs="Arial"/>
                <w:b w:val="0"/>
                <w:bCs/>
                <w:color w:val="000000" w:themeColor="text1"/>
              </w:rPr>
              <w:t>Most of our customers are business enterprises where profitability rather than affordability is paramount.</w:t>
            </w:r>
          </w:p>
          <w:p w14:paraId="0086DCB6" w14:textId="18495D8E" w:rsidR="00C6517F" w:rsidRPr="0016745F" w:rsidRDefault="000B1AC4" w:rsidP="00FC3923">
            <w:pPr>
              <w:pStyle w:val="Bulletpointparagraph"/>
              <w:ind w:right="411"/>
              <w:jc w:val="both"/>
              <w:rPr>
                <w:rFonts w:cs="Arial"/>
              </w:rPr>
            </w:pPr>
            <w:r w:rsidRPr="00192F41">
              <w:rPr>
                <w:rFonts w:cs="Arial"/>
                <w:b w:val="0"/>
                <w:bCs/>
                <w:color w:val="000000" w:themeColor="text1"/>
              </w:rPr>
              <w:t>W</w:t>
            </w:r>
            <w:r w:rsidR="000541C8" w:rsidRPr="00192F41">
              <w:rPr>
                <w:rFonts w:cs="Arial"/>
                <w:b w:val="0"/>
                <w:bCs/>
                <w:color w:val="000000" w:themeColor="text1"/>
              </w:rPr>
              <w:t xml:space="preserve">e are </w:t>
            </w:r>
            <w:r w:rsidR="0016745F">
              <w:rPr>
                <w:rFonts w:cs="Arial"/>
                <w:b w:val="0"/>
                <w:bCs/>
                <w:color w:val="000000" w:themeColor="text1"/>
              </w:rPr>
              <w:t xml:space="preserve">satisfied </w:t>
            </w:r>
            <w:r w:rsidR="000541C8" w:rsidRPr="00192F41">
              <w:rPr>
                <w:rFonts w:cs="Arial"/>
                <w:b w:val="0"/>
                <w:bCs/>
                <w:color w:val="000000" w:themeColor="text1"/>
              </w:rPr>
              <w:t xml:space="preserve">that our PREMO rating for engagement is </w:t>
            </w:r>
            <w:r w:rsidR="0016745F">
              <w:rPr>
                <w:rFonts w:cs="Arial"/>
                <w:b w:val="0"/>
                <w:bCs/>
                <w:color w:val="000000" w:themeColor="text1"/>
              </w:rPr>
              <w:t>advanced.</w:t>
            </w:r>
            <w:r w:rsidR="00032419">
              <w:rPr>
                <w:rFonts w:cs="Arial"/>
                <w:b w:val="0"/>
                <w:bCs/>
                <w:color w:val="000000" w:themeColor="text1"/>
              </w:rPr>
              <w:t xml:space="preserve"> </w:t>
            </w:r>
          </w:p>
          <w:p w14:paraId="244E99A5" w14:textId="7F47CCC0" w:rsidR="00C6517F" w:rsidRPr="00192F41" w:rsidRDefault="00C6517F" w:rsidP="00945EC5">
            <w:pPr>
              <w:pStyle w:val="Bulletpointparagraph"/>
              <w:numPr>
                <w:ilvl w:val="0"/>
                <w:numId w:val="0"/>
              </w:numPr>
              <w:ind w:left="360"/>
              <w:rPr>
                <w:rFonts w:cs="Arial"/>
              </w:rPr>
            </w:pPr>
          </w:p>
        </w:tc>
      </w:tr>
    </w:tbl>
    <w:p w14:paraId="76FD6A58" w14:textId="41315CAF" w:rsidR="001268E4" w:rsidRDefault="001B6C1E" w:rsidP="009D6656">
      <w:pPr>
        <w:pStyle w:val="Heading2"/>
        <w:rPr>
          <w:rStyle w:val="IntenseEmphasis"/>
          <w:rFonts w:cs="Arial"/>
          <w:i w:val="0"/>
          <w:sz w:val="36"/>
          <w:szCs w:val="36"/>
        </w:rPr>
      </w:pPr>
      <w:r w:rsidRPr="2BA14116">
        <w:rPr>
          <w:rStyle w:val="IntenseEmphasis"/>
          <w:rFonts w:cs="Arial"/>
          <w:i w:val="0"/>
          <w:sz w:val="36"/>
          <w:szCs w:val="36"/>
        </w:rPr>
        <w:t>Our approach</w:t>
      </w:r>
    </w:p>
    <w:p w14:paraId="0A7ED40A" w14:textId="7EF6CB87" w:rsidR="000A2277" w:rsidRDefault="009D5296" w:rsidP="004D64CD">
      <w:pPr>
        <w:jc w:val="both"/>
      </w:pPr>
      <w:r w:rsidRPr="009D5296">
        <w:t>Customer engagement has been part of SRW since our creation. We are a product of customer rate protests in 1991, which predicated the disestablishment of the Rural Water Corporation and creation of regionally based rural water businesses with close customer relationships.</w:t>
      </w:r>
      <w:r w:rsidR="000A2277">
        <w:t xml:space="preserve"> </w:t>
      </w:r>
      <w:r w:rsidRPr="009D5296">
        <w:t>This legacy is our history, and in this context</w:t>
      </w:r>
      <w:r w:rsidR="00DB7CA4">
        <w:t>,</w:t>
      </w:r>
      <w:r w:rsidRPr="009D5296">
        <w:t xml:space="preserve"> we have an inherent incentive to maintain close relationships with our customers.</w:t>
      </w:r>
    </w:p>
    <w:p w14:paraId="7B26698F" w14:textId="436F0675" w:rsidR="00336882" w:rsidRDefault="00336882" w:rsidP="004D64CD">
      <w:pPr>
        <w:jc w:val="both"/>
      </w:pPr>
      <w:r>
        <w:t xml:space="preserve">Our approach was founded on </w:t>
      </w:r>
      <w:r w:rsidR="00B5489F">
        <w:t>capitalising on our existing customer channels</w:t>
      </w:r>
      <w:r w:rsidR="00FD277B">
        <w:t xml:space="preserve">, </w:t>
      </w:r>
      <w:r w:rsidR="00F31FA8">
        <w:t>particularly</w:t>
      </w:r>
      <w:r w:rsidR="00FD277B">
        <w:t xml:space="preserve"> our </w:t>
      </w:r>
      <w:r w:rsidR="008F08B4">
        <w:t xml:space="preserve">customer </w:t>
      </w:r>
      <w:r w:rsidR="00FD277B">
        <w:t>consultative committees</w:t>
      </w:r>
      <w:r w:rsidR="000020D4">
        <w:t xml:space="preserve"> and </w:t>
      </w:r>
      <w:r w:rsidR="00126518">
        <w:t xml:space="preserve">biennial customer </w:t>
      </w:r>
      <w:r w:rsidR="000020D4">
        <w:t>satisfaction survey</w:t>
      </w:r>
      <w:r w:rsidR="00126518">
        <w:t xml:space="preserve"> findings</w:t>
      </w:r>
      <w:r w:rsidR="00FD277B">
        <w:t>, an</w:t>
      </w:r>
      <w:r w:rsidR="00A7035D">
        <w:t xml:space="preserve">d </w:t>
      </w:r>
      <w:r w:rsidR="008F08B4">
        <w:t>then sough</w:t>
      </w:r>
      <w:r w:rsidR="00B1340D">
        <w:t>t</w:t>
      </w:r>
      <w:r w:rsidR="00A7035D">
        <w:t xml:space="preserve"> </w:t>
      </w:r>
      <w:r w:rsidR="00FD277B">
        <w:t>to expand on this to give all customers an opportunity to be involved in the price submissi</w:t>
      </w:r>
      <w:r w:rsidR="00A7035D">
        <w:t>o</w:t>
      </w:r>
      <w:r w:rsidR="00FD277B">
        <w:t>n process</w:t>
      </w:r>
      <w:r w:rsidR="008F08B4">
        <w:t xml:space="preserve"> at different points</w:t>
      </w:r>
      <w:r w:rsidR="00FD277B">
        <w:t>.</w:t>
      </w:r>
      <w:r w:rsidR="005F1550">
        <w:t xml:space="preserve"> </w:t>
      </w:r>
      <w:r w:rsidR="00B1340D">
        <w:t>We</w:t>
      </w:r>
      <w:r w:rsidR="00442DB7">
        <w:t xml:space="preserve"> </w:t>
      </w:r>
      <w:r w:rsidR="00462257">
        <w:t>enhanced</w:t>
      </w:r>
      <w:r w:rsidR="00442DB7">
        <w:t xml:space="preserve"> our engagement effort and</w:t>
      </w:r>
      <w:r w:rsidR="00B1340D">
        <w:t xml:space="preserve"> </w:t>
      </w:r>
      <w:r w:rsidR="00A2120A">
        <w:t>significantly improved our reach from the Price Submission</w:t>
      </w:r>
      <w:r w:rsidR="00704AD0">
        <w:t xml:space="preserve"> 2018</w:t>
      </w:r>
      <w:r w:rsidR="00FD277B">
        <w:t>.</w:t>
      </w:r>
    </w:p>
    <w:p w14:paraId="43AC9A68" w14:textId="23E2AFE9" w:rsidR="005F4E54" w:rsidRDefault="005F4E54" w:rsidP="004D64CD">
      <w:pPr>
        <w:jc w:val="both"/>
        <w:rPr>
          <w:rFonts w:cs="Arial"/>
        </w:rPr>
      </w:pPr>
      <w:r w:rsidRPr="00192F41">
        <w:rPr>
          <w:rFonts w:cs="Arial"/>
        </w:rPr>
        <w:t xml:space="preserve">We appointed a dedicated, independently facilitated Customer Reference Group to </w:t>
      </w:r>
      <w:r w:rsidRPr="00192F41">
        <w:rPr>
          <w:rStyle w:val="normaltextrun"/>
          <w:rFonts w:eastAsiaTheme="majorEastAsia" w:cs="Arial"/>
          <w:color w:val="000000"/>
          <w:lang w:val="en-US"/>
        </w:rPr>
        <w:t>increase customer knowledge, insight and transparency into the price submission process and</w:t>
      </w:r>
      <w:r w:rsidRPr="00192F41">
        <w:rPr>
          <w:rStyle w:val="normaltextrun"/>
          <w:rFonts w:cs="Arial"/>
          <w:lang w:val="en-US"/>
        </w:rPr>
        <w:t xml:space="preserve"> </w:t>
      </w:r>
      <w:r w:rsidRPr="00192F41">
        <w:rPr>
          <w:rStyle w:val="normaltextrun"/>
          <w:rFonts w:eastAsiaTheme="majorEastAsia" w:cs="Arial"/>
          <w:color w:val="000000"/>
          <w:lang w:val="en-US"/>
        </w:rPr>
        <w:t>ensure</w:t>
      </w:r>
      <w:r w:rsidRPr="00192F41">
        <w:rPr>
          <w:rStyle w:val="normaltextrun"/>
          <w:rFonts w:cs="Arial"/>
          <w:color w:val="000000"/>
          <w:lang w:val="en-US"/>
        </w:rPr>
        <w:t xml:space="preserve"> decisions directly reflect well-considered customer views.</w:t>
      </w:r>
      <w:r w:rsidRPr="00192F41">
        <w:rPr>
          <w:rFonts w:cs="Arial"/>
        </w:rPr>
        <w:t xml:space="preserve"> The group consisted of customers from a variety of locations and enterprise backgrounds, as well as the Victorian Environmental Water Holder and worked alongside SRW throughout the process.</w:t>
      </w:r>
    </w:p>
    <w:p w14:paraId="05C8D827" w14:textId="4542E7D0" w:rsidR="009E5870" w:rsidRPr="00F94513" w:rsidRDefault="00B9724A" w:rsidP="00B9724A">
      <w:pPr>
        <w:rPr>
          <w:rFonts w:eastAsiaTheme="majorEastAsia" w:cstheme="majorBidi"/>
          <w:b/>
          <w:color w:val="002B5C" w:themeColor="text2"/>
          <w:sz w:val="32"/>
          <w:szCs w:val="24"/>
        </w:rPr>
      </w:pPr>
      <w:r>
        <w:rPr>
          <w:noProof/>
        </w:rPr>
        <w:drawing>
          <wp:inline distT="0" distB="0" distL="0" distR="0" wp14:anchorId="49CE8E98" wp14:editId="14412ED2">
            <wp:extent cx="5952490" cy="8641080"/>
            <wp:effectExtent l="0" t="0" r="0" b="7620"/>
            <wp:docPr id="3" name="Picture 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52490" cy="8641080"/>
                    </a:xfrm>
                    <a:prstGeom prst="rect">
                      <a:avLst/>
                    </a:prstGeom>
                    <a:noFill/>
                    <a:ln>
                      <a:noFill/>
                    </a:ln>
                  </pic:spPr>
                </pic:pic>
              </a:graphicData>
            </a:graphic>
          </wp:inline>
        </w:drawing>
      </w:r>
      <w:r w:rsidR="009E5870" w:rsidRPr="00F94513">
        <w:rPr>
          <w:rFonts w:eastAsiaTheme="majorEastAsia" w:cstheme="majorBidi"/>
          <w:b/>
          <w:color w:val="002B5C" w:themeColor="text2"/>
          <w:sz w:val="32"/>
          <w:szCs w:val="24"/>
        </w:rPr>
        <w:t>Engagement process</w:t>
      </w:r>
    </w:p>
    <w:p w14:paraId="05190F7C" w14:textId="77777777" w:rsidR="009E5870" w:rsidRDefault="009E5870" w:rsidP="004D64CD">
      <w:pPr>
        <w:jc w:val="both"/>
        <w:rPr>
          <w:rFonts w:cs="Arial"/>
        </w:rPr>
      </w:pPr>
      <w:r>
        <w:rPr>
          <w:rFonts w:cs="Arial"/>
        </w:rPr>
        <w:t>SRW enjoys a strong ongoing connection with our customers and meet regularly with customer consultative committees that represent the three irrigation districts, and the Southern Groundwater and Rivers Forum, who represent unregulated river and groundwater users. This provides a strong foundation on which to build further.</w:t>
      </w:r>
    </w:p>
    <w:p w14:paraId="2D73CE2E" w14:textId="77777777" w:rsidR="009E5870" w:rsidRDefault="009E5870" w:rsidP="004D64CD">
      <w:pPr>
        <w:jc w:val="both"/>
        <w:rPr>
          <w:rFonts w:cs="Arial"/>
        </w:rPr>
      </w:pPr>
      <w:r>
        <w:rPr>
          <w:rFonts w:cs="Arial"/>
        </w:rPr>
        <w:t>Further foundational information is obtained via biennial customer satisfaction telephone surveys that link directly to the service and value we provide. These are undertaken by a third party and usually reach around 1,000 randomly selected customers.</w:t>
      </w:r>
    </w:p>
    <w:p w14:paraId="4EB99526" w14:textId="77777777" w:rsidR="009E5870" w:rsidRPr="00192F41" w:rsidRDefault="009E5870" w:rsidP="004D64CD">
      <w:pPr>
        <w:jc w:val="both"/>
        <w:rPr>
          <w:rFonts w:cs="Arial"/>
        </w:rPr>
      </w:pPr>
      <w:r>
        <w:rPr>
          <w:rFonts w:cs="Arial"/>
        </w:rPr>
        <w:t>We</w:t>
      </w:r>
      <w:r w:rsidRPr="00192F41">
        <w:rPr>
          <w:rFonts w:cs="Arial"/>
        </w:rPr>
        <w:t xml:space="preserve"> began deliberate and targeted engagement planning in early 2021</w:t>
      </w:r>
      <w:r>
        <w:rPr>
          <w:rFonts w:cs="Arial"/>
        </w:rPr>
        <w:t>.</w:t>
      </w:r>
      <w:r w:rsidRPr="00192F41">
        <w:rPr>
          <w:rFonts w:cs="Arial"/>
        </w:rPr>
        <w:t xml:space="preserve"> Our aim was to build upon the Price Submission 2018 to achieve broader, deeper engagement.</w:t>
      </w:r>
    </w:p>
    <w:p w14:paraId="409BB5DC" w14:textId="77777777" w:rsidR="009E5870" w:rsidRPr="00192F41" w:rsidRDefault="009E5870" w:rsidP="004D64CD">
      <w:pPr>
        <w:jc w:val="both"/>
        <w:rPr>
          <w:rFonts w:cs="Arial"/>
        </w:rPr>
      </w:pPr>
      <w:r w:rsidRPr="00192F41">
        <w:rPr>
          <w:rFonts w:cs="Arial"/>
        </w:rPr>
        <w:t xml:space="preserve">In establishing </w:t>
      </w:r>
      <w:r>
        <w:rPr>
          <w:rFonts w:cs="Arial"/>
        </w:rPr>
        <w:t>the</w:t>
      </w:r>
      <w:r w:rsidRPr="00192F41">
        <w:rPr>
          <w:rFonts w:cs="Arial"/>
        </w:rPr>
        <w:t xml:space="preserve"> approach, process, and scope of our engagement efforts we took into account the </w:t>
      </w:r>
      <w:r>
        <w:rPr>
          <w:rFonts w:cs="Arial"/>
        </w:rPr>
        <w:t>ESC</w:t>
      </w:r>
      <w:r w:rsidRPr="00192F41">
        <w:rPr>
          <w:rFonts w:cs="Arial"/>
        </w:rPr>
        <w:t xml:space="preserve"> guidance, as well as our foundational understanding of our customers</w:t>
      </w:r>
      <w:r>
        <w:rPr>
          <w:rFonts w:cs="Arial"/>
        </w:rPr>
        <w:t xml:space="preserve"> and the parallel technical process</w:t>
      </w:r>
      <w:r w:rsidRPr="00192F41">
        <w:rPr>
          <w:rFonts w:cs="Arial"/>
        </w:rPr>
        <w:t xml:space="preserve">. The </w:t>
      </w:r>
      <w:r>
        <w:rPr>
          <w:rFonts w:cs="Arial"/>
        </w:rPr>
        <w:t xml:space="preserve">following </w:t>
      </w:r>
      <w:r w:rsidRPr="00192F41">
        <w:rPr>
          <w:rFonts w:cs="Arial"/>
        </w:rPr>
        <w:t>diagram shows our engagement performance in relation to the timing, content, and form.</w:t>
      </w:r>
    </w:p>
    <w:p w14:paraId="42D233E3" w14:textId="146E3AFC" w:rsidR="003C2F93" w:rsidRDefault="00F3093D" w:rsidP="009541D5">
      <w:pPr>
        <w:jc w:val="center"/>
        <w:rPr>
          <w:rFonts w:cs="Arial"/>
        </w:rPr>
      </w:pPr>
      <w:r>
        <w:rPr>
          <w:rFonts w:cs="Arial"/>
          <w:noProof/>
        </w:rPr>
        <w:drawing>
          <wp:inline distT="0" distB="0" distL="0" distR="0" wp14:anchorId="0B1D34A6" wp14:editId="651F17B4">
            <wp:extent cx="5523500" cy="5153891"/>
            <wp:effectExtent l="0" t="0" r="1270" b="889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530737" cy="5160644"/>
                    </a:xfrm>
                    <a:prstGeom prst="rect">
                      <a:avLst/>
                    </a:prstGeom>
                  </pic:spPr>
                </pic:pic>
              </a:graphicData>
            </a:graphic>
          </wp:inline>
        </w:drawing>
      </w:r>
    </w:p>
    <w:p w14:paraId="45490D46" w14:textId="40A8A97F" w:rsidR="00A05123" w:rsidRPr="007C3DB9" w:rsidRDefault="00A05123" w:rsidP="00A05123">
      <w:pPr>
        <w:pStyle w:val="Caption"/>
        <w:rPr>
          <w:rFonts w:cs="Arial"/>
          <w:b/>
          <w:bCs/>
          <w:i w:val="0"/>
          <w:iCs w:val="0"/>
          <w:color w:val="00B1B0" w:themeColor="accent1"/>
          <w:sz w:val="20"/>
          <w:szCs w:val="20"/>
        </w:rPr>
      </w:pPr>
      <w:r w:rsidRPr="007C3DB9">
        <w:rPr>
          <w:b/>
          <w:bCs/>
          <w:i w:val="0"/>
          <w:iCs w:val="0"/>
          <w:color w:val="00B1B0" w:themeColor="accent1"/>
          <w:sz w:val="20"/>
          <w:szCs w:val="20"/>
        </w:rPr>
        <w:t xml:space="preserve">Figure </w:t>
      </w:r>
      <w:r w:rsidRPr="007C3DB9">
        <w:rPr>
          <w:b/>
          <w:bCs/>
          <w:i w:val="0"/>
          <w:iCs w:val="0"/>
          <w:color w:val="00B1B0" w:themeColor="accent1"/>
          <w:sz w:val="20"/>
          <w:szCs w:val="20"/>
        </w:rPr>
        <w:fldChar w:fldCharType="begin"/>
      </w:r>
      <w:r w:rsidRPr="007C3DB9">
        <w:rPr>
          <w:b/>
          <w:bCs/>
          <w:i w:val="0"/>
          <w:iCs w:val="0"/>
          <w:color w:val="00B1B0" w:themeColor="accent1"/>
          <w:sz w:val="20"/>
          <w:szCs w:val="20"/>
        </w:rPr>
        <w:instrText xml:space="preserve"> SEQ Figure \* ARABIC </w:instrText>
      </w:r>
      <w:r w:rsidRPr="007C3DB9">
        <w:rPr>
          <w:b/>
          <w:bCs/>
          <w:i w:val="0"/>
          <w:iCs w:val="0"/>
          <w:color w:val="00B1B0" w:themeColor="accent1"/>
          <w:sz w:val="20"/>
          <w:szCs w:val="20"/>
        </w:rPr>
        <w:fldChar w:fldCharType="separate"/>
      </w:r>
      <w:r w:rsidR="008126A8">
        <w:rPr>
          <w:b/>
          <w:bCs/>
          <w:i w:val="0"/>
          <w:iCs w:val="0"/>
          <w:noProof/>
          <w:color w:val="00B1B0" w:themeColor="accent1"/>
          <w:sz w:val="20"/>
          <w:szCs w:val="20"/>
        </w:rPr>
        <w:t>3</w:t>
      </w:r>
      <w:r w:rsidRPr="007C3DB9">
        <w:rPr>
          <w:b/>
          <w:bCs/>
          <w:i w:val="0"/>
          <w:iCs w:val="0"/>
          <w:color w:val="00B1B0" w:themeColor="accent1"/>
          <w:sz w:val="20"/>
          <w:szCs w:val="20"/>
        </w:rPr>
        <w:fldChar w:fldCharType="end"/>
      </w:r>
      <w:r w:rsidRPr="007C3DB9">
        <w:rPr>
          <w:b/>
          <w:bCs/>
          <w:i w:val="0"/>
          <w:iCs w:val="0"/>
          <w:color w:val="00B1B0" w:themeColor="accent1"/>
          <w:sz w:val="20"/>
          <w:szCs w:val="20"/>
        </w:rPr>
        <w:t xml:space="preserve"> </w:t>
      </w:r>
      <w:r w:rsidR="007C3DB9" w:rsidRPr="007C3DB9">
        <w:rPr>
          <w:b/>
          <w:bCs/>
          <w:i w:val="0"/>
          <w:iCs w:val="0"/>
          <w:color w:val="00B1B0" w:themeColor="accent1"/>
          <w:sz w:val="20"/>
          <w:szCs w:val="20"/>
        </w:rPr>
        <w:t>–</w:t>
      </w:r>
      <w:r w:rsidRPr="007C3DB9">
        <w:rPr>
          <w:b/>
          <w:bCs/>
          <w:i w:val="0"/>
          <w:iCs w:val="0"/>
          <w:color w:val="00B1B0" w:themeColor="accent1"/>
          <w:sz w:val="20"/>
          <w:szCs w:val="20"/>
        </w:rPr>
        <w:t xml:space="preserve"> </w:t>
      </w:r>
      <w:r w:rsidR="007C3DB9" w:rsidRPr="007C3DB9">
        <w:rPr>
          <w:b/>
          <w:bCs/>
          <w:i w:val="0"/>
          <w:iCs w:val="0"/>
          <w:color w:val="00B1B0" w:themeColor="accent1"/>
          <w:sz w:val="20"/>
          <w:szCs w:val="20"/>
        </w:rPr>
        <w:t>Engagement approach</w:t>
      </w:r>
    </w:p>
    <w:p w14:paraId="43DE7F65" w14:textId="4CCF8A3A" w:rsidR="007A3F1B" w:rsidRPr="00192F41" w:rsidRDefault="007A3F1B" w:rsidP="002C4F4E">
      <w:pPr>
        <w:rPr>
          <w:rFonts w:cs="Arial"/>
        </w:rPr>
      </w:pPr>
    </w:p>
    <w:p w14:paraId="3DA4EC6E" w14:textId="50B57685" w:rsidR="00E53B5B" w:rsidRPr="00192F41" w:rsidRDefault="00E53B5B" w:rsidP="00E53B5B">
      <w:pPr>
        <w:pStyle w:val="BodyText"/>
        <w:rPr>
          <w:rFonts w:ascii="Arial" w:eastAsiaTheme="minorHAnsi" w:hAnsi="Arial" w:cs="Arial"/>
          <w:sz w:val="22"/>
          <w:szCs w:val="22"/>
          <w:lang w:eastAsia="en-US"/>
        </w:rPr>
      </w:pPr>
      <w:r w:rsidRPr="00192F41">
        <w:rPr>
          <w:rFonts w:ascii="Arial" w:eastAsiaTheme="minorHAnsi" w:hAnsi="Arial" w:cs="Arial"/>
          <w:sz w:val="22"/>
          <w:szCs w:val="22"/>
          <w:lang w:eastAsia="en-US"/>
        </w:rPr>
        <w:t>We developed a phased</w:t>
      </w:r>
      <w:r w:rsidR="00DE6477" w:rsidRPr="00192F41">
        <w:rPr>
          <w:rFonts w:ascii="Arial" w:eastAsiaTheme="minorHAnsi" w:hAnsi="Arial" w:cs="Arial"/>
          <w:sz w:val="22"/>
          <w:szCs w:val="22"/>
          <w:lang w:eastAsia="en-US"/>
        </w:rPr>
        <w:t xml:space="preserve">, </w:t>
      </w:r>
      <w:r w:rsidR="001714E9" w:rsidRPr="00192F41">
        <w:rPr>
          <w:rFonts w:ascii="Arial" w:eastAsiaTheme="minorHAnsi" w:hAnsi="Arial" w:cs="Arial"/>
          <w:sz w:val="22"/>
          <w:szCs w:val="22"/>
          <w:lang w:eastAsia="en-US"/>
        </w:rPr>
        <w:t>tiered</w:t>
      </w:r>
      <w:r w:rsidRPr="00192F41">
        <w:rPr>
          <w:rFonts w:ascii="Arial" w:eastAsiaTheme="minorHAnsi" w:hAnsi="Arial" w:cs="Arial"/>
          <w:sz w:val="22"/>
          <w:szCs w:val="22"/>
          <w:lang w:eastAsia="en-US"/>
        </w:rPr>
        <w:t xml:space="preserve"> approach based on four clearly defined phases</w:t>
      </w:r>
      <w:r w:rsidR="006219CA" w:rsidRPr="00192F41">
        <w:rPr>
          <w:rFonts w:ascii="Arial" w:eastAsiaTheme="minorHAnsi" w:hAnsi="Arial" w:cs="Arial"/>
          <w:sz w:val="22"/>
          <w:szCs w:val="22"/>
          <w:lang w:eastAsia="en-US"/>
        </w:rPr>
        <w:t xml:space="preserve"> of the </w:t>
      </w:r>
      <w:r w:rsidR="009E5870">
        <w:rPr>
          <w:rFonts w:ascii="Arial" w:eastAsiaTheme="minorHAnsi" w:hAnsi="Arial" w:cs="Arial"/>
          <w:sz w:val="22"/>
          <w:szCs w:val="22"/>
          <w:lang w:eastAsia="en-US"/>
        </w:rPr>
        <w:t>p</w:t>
      </w:r>
      <w:r w:rsidR="006219CA" w:rsidRPr="00192F41">
        <w:rPr>
          <w:rFonts w:ascii="Arial" w:eastAsiaTheme="minorHAnsi" w:hAnsi="Arial" w:cs="Arial"/>
          <w:sz w:val="22"/>
          <w:szCs w:val="22"/>
          <w:lang w:eastAsia="en-US"/>
        </w:rPr>
        <w:t>rice</w:t>
      </w:r>
      <w:r w:rsidR="009E5870">
        <w:rPr>
          <w:rFonts w:ascii="Arial" w:eastAsiaTheme="minorHAnsi" w:hAnsi="Arial" w:cs="Arial"/>
          <w:sz w:val="22"/>
          <w:szCs w:val="22"/>
          <w:lang w:eastAsia="en-US"/>
        </w:rPr>
        <w:t xml:space="preserve"> s</w:t>
      </w:r>
      <w:r w:rsidR="00FE0AED" w:rsidRPr="00192F41">
        <w:rPr>
          <w:rFonts w:ascii="Arial" w:eastAsiaTheme="minorHAnsi" w:hAnsi="Arial" w:cs="Arial"/>
          <w:sz w:val="22"/>
          <w:szCs w:val="22"/>
          <w:lang w:eastAsia="en-US"/>
        </w:rPr>
        <w:t>ubmission development</w:t>
      </w:r>
      <w:r w:rsidR="00FA5E96" w:rsidRPr="00192F41">
        <w:rPr>
          <w:rFonts w:ascii="Arial" w:eastAsiaTheme="minorHAnsi" w:hAnsi="Arial" w:cs="Arial"/>
          <w:sz w:val="22"/>
          <w:szCs w:val="22"/>
          <w:lang w:eastAsia="en-US"/>
        </w:rPr>
        <w:t xml:space="preserve"> and different levels of engagement</w:t>
      </w:r>
      <w:r w:rsidR="00A30B35" w:rsidRPr="00192F41">
        <w:rPr>
          <w:rFonts w:ascii="Arial" w:eastAsiaTheme="minorHAnsi" w:hAnsi="Arial" w:cs="Arial"/>
          <w:sz w:val="22"/>
          <w:szCs w:val="22"/>
          <w:lang w:eastAsia="en-US"/>
        </w:rPr>
        <w:t xml:space="preserve"> (using the IAP2 spectrum)</w:t>
      </w:r>
      <w:r w:rsidR="00FA5E96" w:rsidRPr="00192F41">
        <w:rPr>
          <w:rFonts w:ascii="Arial" w:eastAsiaTheme="minorHAnsi" w:hAnsi="Arial" w:cs="Arial"/>
          <w:sz w:val="22"/>
          <w:szCs w:val="22"/>
          <w:lang w:eastAsia="en-US"/>
        </w:rPr>
        <w:t xml:space="preserve"> for different ‘groups’ of customers</w:t>
      </w:r>
      <w:r w:rsidR="00A30B35" w:rsidRPr="00192F41">
        <w:rPr>
          <w:rFonts w:ascii="Arial" w:eastAsiaTheme="minorHAnsi" w:hAnsi="Arial" w:cs="Arial"/>
          <w:sz w:val="22"/>
          <w:szCs w:val="22"/>
          <w:lang w:eastAsia="en-US"/>
        </w:rPr>
        <w:t xml:space="preserve"> outlined below</w:t>
      </w:r>
      <w:r w:rsidR="000A0BF2" w:rsidRPr="00192F41">
        <w:rPr>
          <w:rFonts w:ascii="Arial" w:eastAsiaTheme="minorHAnsi" w:hAnsi="Arial" w:cs="Arial"/>
          <w:sz w:val="22"/>
          <w:szCs w:val="22"/>
          <w:lang w:eastAsia="en-US"/>
        </w:rPr>
        <w:t>.</w:t>
      </w:r>
    </w:p>
    <w:p w14:paraId="251EF8C9" w14:textId="77777777" w:rsidR="00A30B35" w:rsidRDefault="00A30B35" w:rsidP="00E53B5B">
      <w:pPr>
        <w:pStyle w:val="BodyText"/>
        <w:rPr>
          <w:rFonts w:ascii="Arial" w:eastAsiaTheme="minorHAnsi" w:hAnsi="Arial" w:cs="Arial"/>
          <w:sz w:val="16"/>
          <w:szCs w:val="16"/>
          <w:lang w:eastAsia="en-US"/>
        </w:rPr>
      </w:pPr>
    </w:p>
    <w:p w14:paraId="62E23F5E" w14:textId="2A29D149" w:rsidR="00E8126D" w:rsidRPr="006F4158" w:rsidRDefault="00E8126D" w:rsidP="00E8126D">
      <w:pPr>
        <w:pStyle w:val="Caption"/>
        <w:rPr>
          <w:rFonts w:cs="Arial"/>
          <w:b/>
          <w:bCs/>
          <w:i w:val="0"/>
          <w:iCs w:val="0"/>
          <w:color w:val="00B1B0" w:themeColor="accent1"/>
        </w:rPr>
      </w:pPr>
      <w:r w:rsidRPr="006F4158">
        <w:rPr>
          <w:b/>
          <w:bCs/>
          <w:i w:val="0"/>
          <w:iCs w:val="0"/>
          <w:color w:val="00B1B0" w:themeColor="accent1"/>
          <w:sz w:val="20"/>
          <w:szCs w:val="20"/>
        </w:rPr>
        <w:t xml:space="preserve">Table </w:t>
      </w:r>
      <w:r w:rsidRPr="006F4158">
        <w:rPr>
          <w:b/>
          <w:bCs/>
          <w:i w:val="0"/>
          <w:iCs w:val="0"/>
          <w:color w:val="00B1B0" w:themeColor="accent1"/>
          <w:sz w:val="20"/>
          <w:szCs w:val="20"/>
        </w:rPr>
        <w:fldChar w:fldCharType="begin"/>
      </w:r>
      <w:r w:rsidRPr="006F4158">
        <w:rPr>
          <w:b/>
          <w:bCs/>
          <w:i w:val="0"/>
          <w:iCs w:val="0"/>
          <w:color w:val="00B1B0" w:themeColor="accent1"/>
          <w:sz w:val="20"/>
          <w:szCs w:val="20"/>
        </w:rPr>
        <w:instrText xml:space="preserve"> SEQ Table \* ARABIC </w:instrText>
      </w:r>
      <w:r w:rsidRPr="006F4158">
        <w:rPr>
          <w:b/>
          <w:bCs/>
          <w:i w:val="0"/>
          <w:iCs w:val="0"/>
          <w:color w:val="00B1B0" w:themeColor="accent1"/>
          <w:sz w:val="20"/>
          <w:szCs w:val="20"/>
        </w:rPr>
        <w:fldChar w:fldCharType="separate"/>
      </w:r>
      <w:r w:rsidR="008126A8">
        <w:rPr>
          <w:b/>
          <w:bCs/>
          <w:i w:val="0"/>
          <w:iCs w:val="0"/>
          <w:noProof/>
          <w:color w:val="00B1B0" w:themeColor="accent1"/>
          <w:sz w:val="20"/>
          <w:szCs w:val="20"/>
        </w:rPr>
        <w:t>9</w:t>
      </w:r>
      <w:r w:rsidRPr="006F4158">
        <w:rPr>
          <w:b/>
          <w:bCs/>
          <w:i w:val="0"/>
          <w:iCs w:val="0"/>
          <w:color w:val="00B1B0" w:themeColor="accent1"/>
          <w:sz w:val="20"/>
          <w:szCs w:val="20"/>
        </w:rPr>
        <w:fldChar w:fldCharType="end"/>
      </w:r>
      <w:r w:rsidRPr="006F4158">
        <w:rPr>
          <w:b/>
          <w:bCs/>
          <w:i w:val="0"/>
          <w:iCs w:val="0"/>
          <w:color w:val="00B1B0" w:themeColor="accent1"/>
          <w:sz w:val="20"/>
          <w:szCs w:val="20"/>
        </w:rPr>
        <w:t xml:space="preserve"> </w:t>
      </w:r>
      <w:r w:rsidR="006F4158" w:rsidRPr="006F4158">
        <w:rPr>
          <w:b/>
          <w:bCs/>
          <w:i w:val="0"/>
          <w:iCs w:val="0"/>
          <w:color w:val="00B1B0" w:themeColor="accent1"/>
          <w:sz w:val="20"/>
          <w:szCs w:val="20"/>
        </w:rPr>
        <w:t>–</w:t>
      </w:r>
      <w:r w:rsidRPr="006F4158">
        <w:rPr>
          <w:b/>
          <w:bCs/>
          <w:i w:val="0"/>
          <w:iCs w:val="0"/>
          <w:color w:val="00B1B0" w:themeColor="accent1"/>
          <w:sz w:val="20"/>
          <w:szCs w:val="20"/>
        </w:rPr>
        <w:t xml:space="preserve"> </w:t>
      </w:r>
      <w:r w:rsidR="006F4158" w:rsidRPr="006F4158">
        <w:rPr>
          <w:b/>
          <w:bCs/>
          <w:i w:val="0"/>
          <w:iCs w:val="0"/>
          <w:color w:val="00B1B0" w:themeColor="accent1"/>
          <w:sz w:val="20"/>
          <w:szCs w:val="20"/>
        </w:rPr>
        <w:t xml:space="preserve">Engagement </w:t>
      </w:r>
      <w:r w:rsidR="006F4158">
        <w:rPr>
          <w:b/>
          <w:bCs/>
          <w:i w:val="0"/>
          <w:iCs w:val="0"/>
          <w:color w:val="00B1B0" w:themeColor="accent1"/>
          <w:sz w:val="20"/>
          <w:szCs w:val="20"/>
        </w:rPr>
        <w:t>approach across phases of development</w:t>
      </w:r>
      <w:r w:rsidR="006F4158" w:rsidRPr="006F4158">
        <w:rPr>
          <w:b/>
          <w:bCs/>
          <w:i w:val="0"/>
          <w:iCs w:val="0"/>
          <w:color w:val="00B1B0" w:themeColor="accent1"/>
          <w:sz w:val="20"/>
          <w:szCs w:val="20"/>
        </w:rPr>
        <w:t xml:space="preserve"> </w:t>
      </w:r>
    </w:p>
    <w:tbl>
      <w:tblPr>
        <w:tblStyle w:val="Tealheader-Grayrows1"/>
        <w:tblW w:w="0" w:type="auto"/>
        <w:tblLook w:val="04A0" w:firstRow="1" w:lastRow="0" w:firstColumn="1" w:lastColumn="0" w:noHBand="0" w:noVBand="1"/>
      </w:tblPr>
      <w:tblGrid>
        <w:gridCol w:w="2835"/>
        <w:gridCol w:w="1560"/>
        <w:gridCol w:w="1701"/>
        <w:gridCol w:w="1701"/>
        <w:gridCol w:w="1842"/>
      </w:tblGrid>
      <w:tr w:rsidR="00DE6477" w:rsidRPr="009F1890" w14:paraId="5DDA649F" w14:textId="77777777" w:rsidTr="001418B8">
        <w:trPr>
          <w:cnfStyle w:val="100000000000" w:firstRow="1" w:lastRow="0" w:firstColumn="0" w:lastColumn="0" w:oddVBand="0" w:evenVBand="0" w:oddHBand="0" w:evenHBand="0" w:firstRowFirstColumn="0" w:firstRowLastColumn="0" w:lastRowFirstColumn="0" w:lastRowLastColumn="0"/>
        </w:trPr>
        <w:tc>
          <w:tcPr>
            <w:tcW w:w="2835" w:type="dxa"/>
          </w:tcPr>
          <w:p w14:paraId="03349960" w14:textId="77777777" w:rsidR="006B10DC" w:rsidRPr="00FD0986" w:rsidRDefault="006B10DC" w:rsidP="00FC3923">
            <w:pPr>
              <w:spacing w:before="40" w:after="40"/>
              <w:rPr>
                <w:rFonts w:cs="Arial"/>
                <w:sz w:val="20"/>
                <w:szCs w:val="20"/>
              </w:rPr>
            </w:pPr>
          </w:p>
        </w:tc>
        <w:tc>
          <w:tcPr>
            <w:tcW w:w="1560" w:type="dxa"/>
          </w:tcPr>
          <w:p w14:paraId="1C31B449" w14:textId="77777777" w:rsidR="006B10DC" w:rsidRPr="00FD0986" w:rsidRDefault="006B10DC" w:rsidP="00EC0C9A">
            <w:pPr>
              <w:spacing w:before="40" w:after="40"/>
              <w:jc w:val="center"/>
              <w:rPr>
                <w:rFonts w:cs="Arial"/>
                <w:sz w:val="20"/>
                <w:szCs w:val="20"/>
              </w:rPr>
            </w:pPr>
            <w:r w:rsidRPr="00FD0986">
              <w:rPr>
                <w:rFonts w:cs="Arial"/>
                <w:sz w:val="20"/>
                <w:szCs w:val="20"/>
              </w:rPr>
              <w:t>Phase 1</w:t>
            </w:r>
          </w:p>
          <w:p w14:paraId="13EC9879" w14:textId="63086452" w:rsidR="00DE6477" w:rsidRPr="00FD0986" w:rsidRDefault="00DE6477" w:rsidP="00EC0C9A">
            <w:pPr>
              <w:spacing w:before="40" w:after="40"/>
              <w:jc w:val="center"/>
              <w:rPr>
                <w:rFonts w:cs="Arial"/>
                <w:sz w:val="20"/>
                <w:szCs w:val="20"/>
              </w:rPr>
            </w:pPr>
            <w:r w:rsidRPr="00FD0986">
              <w:rPr>
                <w:rFonts w:cs="Arial"/>
                <w:sz w:val="20"/>
                <w:szCs w:val="20"/>
              </w:rPr>
              <w:t xml:space="preserve">Informing </w:t>
            </w:r>
            <w:r w:rsidR="00805073" w:rsidRPr="00FD0986">
              <w:rPr>
                <w:rFonts w:cs="Arial"/>
                <w:sz w:val="20"/>
                <w:szCs w:val="20"/>
              </w:rPr>
              <w:t>and</w:t>
            </w:r>
            <w:r w:rsidRPr="00FD0986">
              <w:rPr>
                <w:rFonts w:cs="Arial"/>
                <w:sz w:val="20"/>
                <w:szCs w:val="20"/>
              </w:rPr>
              <w:t xml:space="preserve"> listening</w:t>
            </w:r>
          </w:p>
        </w:tc>
        <w:tc>
          <w:tcPr>
            <w:tcW w:w="1701" w:type="dxa"/>
          </w:tcPr>
          <w:p w14:paraId="7E3EE617" w14:textId="77777777" w:rsidR="006B10DC" w:rsidRPr="00FD0986" w:rsidRDefault="006B10DC" w:rsidP="00EC0C9A">
            <w:pPr>
              <w:spacing w:before="40" w:after="40"/>
              <w:jc w:val="center"/>
              <w:rPr>
                <w:rFonts w:cs="Arial"/>
                <w:sz w:val="20"/>
                <w:szCs w:val="20"/>
              </w:rPr>
            </w:pPr>
            <w:r w:rsidRPr="00FD0986">
              <w:rPr>
                <w:rFonts w:cs="Arial"/>
                <w:sz w:val="20"/>
                <w:szCs w:val="20"/>
              </w:rPr>
              <w:t>Phase 2</w:t>
            </w:r>
          </w:p>
          <w:p w14:paraId="76A20DF5" w14:textId="3260CD29" w:rsidR="00F0614E" w:rsidRPr="00FD0986" w:rsidRDefault="00F0614E" w:rsidP="00EC0C9A">
            <w:pPr>
              <w:spacing w:before="40" w:after="40"/>
              <w:jc w:val="center"/>
              <w:rPr>
                <w:rFonts w:cs="Arial"/>
                <w:sz w:val="20"/>
                <w:szCs w:val="20"/>
              </w:rPr>
            </w:pPr>
            <w:r w:rsidRPr="00FD0986">
              <w:rPr>
                <w:rFonts w:cs="Arial"/>
                <w:sz w:val="20"/>
                <w:szCs w:val="20"/>
              </w:rPr>
              <w:t>Price-service design</w:t>
            </w:r>
          </w:p>
        </w:tc>
        <w:tc>
          <w:tcPr>
            <w:tcW w:w="1701" w:type="dxa"/>
          </w:tcPr>
          <w:p w14:paraId="65E71FE2" w14:textId="77777777" w:rsidR="006B10DC" w:rsidRPr="00FD0986" w:rsidRDefault="006B10DC" w:rsidP="00EC0C9A">
            <w:pPr>
              <w:spacing w:before="40" w:after="40"/>
              <w:jc w:val="center"/>
              <w:rPr>
                <w:rFonts w:cs="Arial"/>
                <w:sz w:val="20"/>
                <w:szCs w:val="20"/>
              </w:rPr>
            </w:pPr>
            <w:r w:rsidRPr="00FD0986">
              <w:rPr>
                <w:rFonts w:cs="Arial"/>
                <w:sz w:val="20"/>
                <w:szCs w:val="20"/>
              </w:rPr>
              <w:t>Phase 3</w:t>
            </w:r>
          </w:p>
          <w:p w14:paraId="41FE6318" w14:textId="64D25D00" w:rsidR="000A0BF2" w:rsidRPr="00FD0986" w:rsidRDefault="000A0BF2" w:rsidP="00EC0C9A">
            <w:pPr>
              <w:spacing w:before="40" w:after="40"/>
              <w:jc w:val="center"/>
              <w:rPr>
                <w:rFonts w:cs="Arial"/>
                <w:sz w:val="20"/>
                <w:szCs w:val="20"/>
              </w:rPr>
            </w:pPr>
            <w:r w:rsidRPr="00FD0986">
              <w:rPr>
                <w:rFonts w:cs="Arial"/>
                <w:sz w:val="20"/>
                <w:szCs w:val="20"/>
              </w:rPr>
              <w:t xml:space="preserve">Testing </w:t>
            </w:r>
            <w:r w:rsidR="00805073" w:rsidRPr="00FD0986">
              <w:rPr>
                <w:rFonts w:cs="Arial"/>
                <w:sz w:val="20"/>
                <w:szCs w:val="20"/>
              </w:rPr>
              <w:t>and</w:t>
            </w:r>
            <w:r w:rsidRPr="00FD0986">
              <w:rPr>
                <w:rFonts w:cs="Arial"/>
                <w:sz w:val="20"/>
                <w:szCs w:val="20"/>
              </w:rPr>
              <w:t xml:space="preserve"> prioritising</w:t>
            </w:r>
          </w:p>
        </w:tc>
        <w:tc>
          <w:tcPr>
            <w:tcW w:w="1842" w:type="dxa"/>
          </w:tcPr>
          <w:p w14:paraId="28978419" w14:textId="77777777" w:rsidR="006B10DC" w:rsidRPr="00FD0986" w:rsidRDefault="006B10DC" w:rsidP="00EC0C9A">
            <w:pPr>
              <w:spacing w:before="40" w:after="40"/>
              <w:jc w:val="center"/>
              <w:rPr>
                <w:rFonts w:cs="Arial"/>
                <w:sz w:val="20"/>
                <w:szCs w:val="20"/>
              </w:rPr>
            </w:pPr>
            <w:r w:rsidRPr="00FD0986">
              <w:rPr>
                <w:rFonts w:cs="Arial"/>
                <w:sz w:val="20"/>
                <w:szCs w:val="20"/>
              </w:rPr>
              <w:t>Phase 4</w:t>
            </w:r>
          </w:p>
          <w:p w14:paraId="572C698F" w14:textId="1F1506C1" w:rsidR="000A0BF2" w:rsidRPr="00FD0986" w:rsidRDefault="00F43A55" w:rsidP="00EC0C9A">
            <w:pPr>
              <w:spacing w:before="40" w:after="40"/>
              <w:jc w:val="center"/>
              <w:rPr>
                <w:rFonts w:cs="Arial"/>
                <w:sz w:val="20"/>
                <w:szCs w:val="20"/>
              </w:rPr>
            </w:pPr>
            <w:r w:rsidRPr="00FD0986">
              <w:rPr>
                <w:rFonts w:cs="Arial"/>
                <w:sz w:val="20"/>
                <w:szCs w:val="20"/>
              </w:rPr>
              <w:t>Reporting back</w:t>
            </w:r>
          </w:p>
        </w:tc>
      </w:tr>
      <w:tr w:rsidR="00DE6477" w:rsidRPr="009F1890" w14:paraId="78A5822C" w14:textId="77777777" w:rsidTr="005E2798">
        <w:trPr>
          <w:cnfStyle w:val="000000100000" w:firstRow="0" w:lastRow="0" w:firstColumn="0" w:lastColumn="0" w:oddVBand="0" w:evenVBand="0" w:oddHBand="1" w:evenHBand="0" w:firstRowFirstColumn="0" w:firstRowLastColumn="0" w:lastRowFirstColumn="0" w:lastRowLastColumn="0"/>
        </w:trPr>
        <w:tc>
          <w:tcPr>
            <w:tcW w:w="2835" w:type="dxa"/>
          </w:tcPr>
          <w:p w14:paraId="1E530127" w14:textId="32E922B4" w:rsidR="006B10DC" w:rsidRPr="00C66B2A" w:rsidRDefault="006B10DC" w:rsidP="0003715E">
            <w:pPr>
              <w:spacing w:before="40" w:after="40"/>
              <w:rPr>
                <w:rFonts w:cs="Arial"/>
                <w:sz w:val="20"/>
                <w:szCs w:val="20"/>
              </w:rPr>
            </w:pPr>
            <w:r w:rsidRPr="00C66B2A">
              <w:rPr>
                <w:rFonts w:cs="Arial"/>
                <w:sz w:val="20"/>
                <w:szCs w:val="20"/>
              </w:rPr>
              <w:t>Independently facilitated C</w:t>
            </w:r>
            <w:r w:rsidR="00805073" w:rsidRPr="00C66B2A">
              <w:rPr>
                <w:rFonts w:cs="Arial"/>
                <w:sz w:val="20"/>
                <w:szCs w:val="20"/>
              </w:rPr>
              <w:t>ustomer Reference Group</w:t>
            </w:r>
          </w:p>
        </w:tc>
        <w:tc>
          <w:tcPr>
            <w:tcW w:w="1560" w:type="dxa"/>
          </w:tcPr>
          <w:p w14:paraId="0B6F0573" w14:textId="6ED285C5" w:rsidR="006B10DC" w:rsidRPr="009F1890" w:rsidRDefault="006A786C" w:rsidP="00EC0C9A">
            <w:pPr>
              <w:spacing w:before="40" w:after="40"/>
              <w:jc w:val="center"/>
              <w:rPr>
                <w:rFonts w:cs="Arial"/>
                <w:sz w:val="20"/>
                <w:szCs w:val="20"/>
              </w:rPr>
            </w:pPr>
            <w:r w:rsidRPr="009F1890">
              <w:rPr>
                <w:rFonts w:cs="Arial"/>
                <w:sz w:val="20"/>
                <w:szCs w:val="20"/>
              </w:rPr>
              <w:t>Involve</w:t>
            </w:r>
          </w:p>
        </w:tc>
        <w:tc>
          <w:tcPr>
            <w:tcW w:w="1701" w:type="dxa"/>
          </w:tcPr>
          <w:p w14:paraId="103B6716" w14:textId="48FF1806" w:rsidR="006B10DC" w:rsidRPr="009F1890" w:rsidRDefault="006A786C" w:rsidP="00EC0C9A">
            <w:pPr>
              <w:spacing w:before="40" w:after="40"/>
              <w:jc w:val="center"/>
              <w:rPr>
                <w:rFonts w:cs="Arial"/>
                <w:sz w:val="20"/>
                <w:szCs w:val="20"/>
              </w:rPr>
            </w:pPr>
            <w:r w:rsidRPr="009F1890">
              <w:rPr>
                <w:rFonts w:cs="Arial"/>
                <w:sz w:val="20"/>
                <w:szCs w:val="20"/>
              </w:rPr>
              <w:t>Involve</w:t>
            </w:r>
          </w:p>
        </w:tc>
        <w:tc>
          <w:tcPr>
            <w:tcW w:w="1701" w:type="dxa"/>
          </w:tcPr>
          <w:p w14:paraId="410D1F90" w14:textId="692D2AE8" w:rsidR="006B10DC" w:rsidRPr="009F1890" w:rsidRDefault="006A786C" w:rsidP="00EC0C9A">
            <w:pPr>
              <w:spacing w:before="40" w:after="40"/>
              <w:jc w:val="center"/>
              <w:rPr>
                <w:rFonts w:cs="Arial"/>
                <w:sz w:val="20"/>
                <w:szCs w:val="20"/>
              </w:rPr>
            </w:pPr>
            <w:r w:rsidRPr="009F1890">
              <w:rPr>
                <w:rFonts w:cs="Arial"/>
                <w:sz w:val="20"/>
                <w:szCs w:val="20"/>
              </w:rPr>
              <w:t>Involve</w:t>
            </w:r>
          </w:p>
        </w:tc>
        <w:tc>
          <w:tcPr>
            <w:tcW w:w="1842" w:type="dxa"/>
          </w:tcPr>
          <w:p w14:paraId="745B9664" w14:textId="04D3ECB6" w:rsidR="006B10DC" w:rsidRPr="009F1890" w:rsidRDefault="006A786C" w:rsidP="00EC0C9A">
            <w:pPr>
              <w:spacing w:before="40" w:after="40"/>
              <w:jc w:val="center"/>
              <w:rPr>
                <w:rFonts w:cs="Arial"/>
                <w:sz w:val="20"/>
                <w:szCs w:val="20"/>
              </w:rPr>
            </w:pPr>
            <w:r w:rsidRPr="009F1890">
              <w:rPr>
                <w:rFonts w:cs="Arial"/>
                <w:sz w:val="20"/>
                <w:szCs w:val="20"/>
              </w:rPr>
              <w:t>Involve</w:t>
            </w:r>
          </w:p>
        </w:tc>
      </w:tr>
      <w:tr w:rsidR="00DE6477" w:rsidRPr="009F1890" w14:paraId="00A90ACF" w14:textId="77777777" w:rsidTr="005E2798">
        <w:tc>
          <w:tcPr>
            <w:tcW w:w="2835" w:type="dxa"/>
          </w:tcPr>
          <w:p w14:paraId="007FB7F7" w14:textId="29EE39C1" w:rsidR="006B10DC" w:rsidRPr="00C66B2A" w:rsidRDefault="006B10DC" w:rsidP="0003715E">
            <w:pPr>
              <w:spacing w:before="40" w:after="40"/>
              <w:rPr>
                <w:rFonts w:cs="Arial"/>
                <w:sz w:val="20"/>
                <w:szCs w:val="20"/>
              </w:rPr>
            </w:pPr>
            <w:r w:rsidRPr="00C66B2A">
              <w:rPr>
                <w:rFonts w:cs="Arial"/>
                <w:sz w:val="20"/>
                <w:szCs w:val="20"/>
              </w:rPr>
              <w:t xml:space="preserve">Customer </w:t>
            </w:r>
            <w:r w:rsidR="00805073" w:rsidRPr="00C66B2A">
              <w:rPr>
                <w:rFonts w:cs="Arial"/>
                <w:sz w:val="20"/>
                <w:szCs w:val="20"/>
              </w:rPr>
              <w:t>c</w:t>
            </w:r>
            <w:r w:rsidRPr="00C66B2A">
              <w:rPr>
                <w:rFonts w:cs="Arial"/>
                <w:sz w:val="20"/>
                <w:szCs w:val="20"/>
              </w:rPr>
              <w:t xml:space="preserve">onsultative </w:t>
            </w:r>
            <w:r w:rsidR="00805073" w:rsidRPr="00C66B2A">
              <w:rPr>
                <w:rFonts w:cs="Arial"/>
                <w:sz w:val="20"/>
                <w:szCs w:val="20"/>
              </w:rPr>
              <w:t>c</w:t>
            </w:r>
            <w:r w:rsidRPr="00C66B2A">
              <w:rPr>
                <w:rFonts w:cs="Arial"/>
                <w:sz w:val="20"/>
                <w:szCs w:val="20"/>
              </w:rPr>
              <w:t xml:space="preserve">ommittees </w:t>
            </w:r>
            <w:r w:rsidR="000A0BF2" w:rsidRPr="00C66B2A">
              <w:rPr>
                <w:rFonts w:cs="Arial"/>
                <w:sz w:val="20"/>
                <w:szCs w:val="20"/>
              </w:rPr>
              <w:t xml:space="preserve">(incl. </w:t>
            </w:r>
            <w:r w:rsidRPr="00C66B2A">
              <w:rPr>
                <w:rFonts w:cs="Arial"/>
                <w:sz w:val="20"/>
                <w:szCs w:val="20"/>
              </w:rPr>
              <w:t>SGRF</w:t>
            </w:r>
            <w:r w:rsidR="008525AC" w:rsidRPr="00C66B2A">
              <w:rPr>
                <w:rFonts w:cs="Arial"/>
                <w:sz w:val="20"/>
                <w:szCs w:val="20"/>
              </w:rPr>
              <w:t>)</w:t>
            </w:r>
          </w:p>
        </w:tc>
        <w:tc>
          <w:tcPr>
            <w:tcW w:w="1560" w:type="dxa"/>
          </w:tcPr>
          <w:p w14:paraId="3EC13A73" w14:textId="597ED6AE" w:rsidR="006B10DC" w:rsidRPr="009F1890" w:rsidRDefault="006A786C" w:rsidP="00EC0C9A">
            <w:pPr>
              <w:spacing w:before="40" w:after="40"/>
              <w:jc w:val="center"/>
              <w:rPr>
                <w:rFonts w:cs="Arial"/>
                <w:sz w:val="20"/>
                <w:szCs w:val="20"/>
              </w:rPr>
            </w:pPr>
            <w:r w:rsidRPr="009F1890">
              <w:rPr>
                <w:rFonts w:cs="Arial"/>
                <w:sz w:val="20"/>
                <w:szCs w:val="20"/>
              </w:rPr>
              <w:t>Consult</w:t>
            </w:r>
          </w:p>
        </w:tc>
        <w:tc>
          <w:tcPr>
            <w:tcW w:w="1701" w:type="dxa"/>
          </w:tcPr>
          <w:p w14:paraId="15EC1EB4" w14:textId="75D6C0ED" w:rsidR="006B10DC" w:rsidRPr="009F1890" w:rsidRDefault="006B10DC" w:rsidP="00EC0C9A">
            <w:pPr>
              <w:spacing w:before="40" w:after="40"/>
              <w:jc w:val="center"/>
              <w:rPr>
                <w:rFonts w:cs="Arial"/>
                <w:sz w:val="20"/>
                <w:szCs w:val="20"/>
              </w:rPr>
            </w:pPr>
            <w:r w:rsidRPr="009F1890">
              <w:rPr>
                <w:rFonts w:cs="Arial"/>
                <w:sz w:val="20"/>
                <w:szCs w:val="20"/>
              </w:rPr>
              <w:t>Consult</w:t>
            </w:r>
          </w:p>
        </w:tc>
        <w:tc>
          <w:tcPr>
            <w:tcW w:w="1701" w:type="dxa"/>
          </w:tcPr>
          <w:p w14:paraId="495DE127" w14:textId="4AB43CF5" w:rsidR="006B10DC" w:rsidRPr="009F1890" w:rsidRDefault="006A786C" w:rsidP="00EC0C9A">
            <w:pPr>
              <w:spacing w:before="40" w:after="40"/>
              <w:jc w:val="center"/>
              <w:rPr>
                <w:rFonts w:cs="Arial"/>
                <w:sz w:val="20"/>
                <w:szCs w:val="20"/>
              </w:rPr>
            </w:pPr>
            <w:r w:rsidRPr="009F1890">
              <w:rPr>
                <w:rFonts w:cs="Arial"/>
                <w:sz w:val="20"/>
                <w:szCs w:val="20"/>
              </w:rPr>
              <w:t>Consult</w:t>
            </w:r>
          </w:p>
        </w:tc>
        <w:tc>
          <w:tcPr>
            <w:tcW w:w="1842" w:type="dxa"/>
          </w:tcPr>
          <w:p w14:paraId="319372D4" w14:textId="7F935C64" w:rsidR="006B10DC" w:rsidRPr="009F1890" w:rsidRDefault="006B10DC" w:rsidP="00EC0C9A">
            <w:pPr>
              <w:spacing w:before="40" w:after="40"/>
              <w:jc w:val="center"/>
              <w:rPr>
                <w:rFonts w:cs="Arial"/>
                <w:sz w:val="20"/>
                <w:szCs w:val="20"/>
              </w:rPr>
            </w:pPr>
            <w:r w:rsidRPr="009F1890">
              <w:rPr>
                <w:rFonts w:cs="Arial"/>
                <w:sz w:val="20"/>
                <w:szCs w:val="20"/>
              </w:rPr>
              <w:t>Consult</w:t>
            </w:r>
          </w:p>
        </w:tc>
      </w:tr>
      <w:tr w:rsidR="00DE6477" w:rsidRPr="009F1890" w14:paraId="309DE927" w14:textId="77777777" w:rsidTr="001418B8">
        <w:trPr>
          <w:cnfStyle w:val="000000100000" w:firstRow="0" w:lastRow="0" w:firstColumn="0" w:lastColumn="0" w:oddVBand="0" w:evenVBand="0" w:oddHBand="1" w:evenHBand="0" w:firstRowFirstColumn="0" w:firstRowLastColumn="0" w:lastRowFirstColumn="0" w:lastRowLastColumn="0"/>
        </w:trPr>
        <w:tc>
          <w:tcPr>
            <w:tcW w:w="2835" w:type="dxa"/>
          </w:tcPr>
          <w:p w14:paraId="701047DE" w14:textId="6C1E1CEF" w:rsidR="006B10DC" w:rsidRPr="00C66B2A" w:rsidRDefault="006B10DC" w:rsidP="0003715E">
            <w:pPr>
              <w:spacing w:before="40" w:after="40"/>
              <w:rPr>
                <w:rFonts w:cs="Arial"/>
                <w:sz w:val="20"/>
                <w:szCs w:val="20"/>
              </w:rPr>
            </w:pPr>
            <w:r w:rsidRPr="00C66B2A">
              <w:rPr>
                <w:rFonts w:cs="Arial"/>
                <w:sz w:val="20"/>
                <w:szCs w:val="20"/>
              </w:rPr>
              <w:t xml:space="preserve">All </w:t>
            </w:r>
            <w:r w:rsidR="008525AC" w:rsidRPr="00C66B2A">
              <w:rPr>
                <w:rFonts w:cs="Arial"/>
                <w:sz w:val="20"/>
                <w:szCs w:val="20"/>
              </w:rPr>
              <w:t xml:space="preserve">SRW </w:t>
            </w:r>
            <w:r w:rsidRPr="00C66B2A">
              <w:rPr>
                <w:rFonts w:cs="Arial"/>
                <w:sz w:val="20"/>
                <w:szCs w:val="20"/>
              </w:rPr>
              <w:t>customers</w:t>
            </w:r>
          </w:p>
        </w:tc>
        <w:tc>
          <w:tcPr>
            <w:tcW w:w="1560" w:type="dxa"/>
          </w:tcPr>
          <w:p w14:paraId="3BA1F0FB" w14:textId="58514027" w:rsidR="006B10DC" w:rsidRPr="009F1890" w:rsidRDefault="006B10DC" w:rsidP="00EC0C9A">
            <w:pPr>
              <w:spacing w:before="40" w:after="40"/>
              <w:jc w:val="center"/>
              <w:rPr>
                <w:rFonts w:cs="Arial"/>
                <w:sz w:val="20"/>
                <w:szCs w:val="20"/>
              </w:rPr>
            </w:pPr>
            <w:r w:rsidRPr="009F1890">
              <w:rPr>
                <w:rFonts w:cs="Arial"/>
                <w:sz w:val="20"/>
                <w:szCs w:val="20"/>
              </w:rPr>
              <w:t>Consult</w:t>
            </w:r>
          </w:p>
        </w:tc>
        <w:tc>
          <w:tcPr>
            <w:tcW w:w="1701" w:type="dxa"/>
          </w:tcPr>
          <w:p w14:paraId="4EA6B0C3" w14:textId="16266DC0" w:rsidR="006B10DC" w:rsidRPr="009F1890" w:rsidRDefault="006B10DC" w:rsidP="00EC0C9A">
            <w:pPr>
              <w:spacing w:before="40" w:after="40"/>
              <w:jc w:val="center"/>
              <w:rPr>
                <w:rFonts w:cs="Arial"/>
                <w:sz w:val="20"/>
                <w:szCs w:val="20"/>
              </w:rPr>
            </w:pPr>
            <w:r w:rsidRPr="009F1890">
              <w:rPr>
                <w:rFonts w:cs="Arial"/>
                <w:sz w:val="20"/>
                <w:szCs w:val="20"/>
              </w:rPr>
              <w:t>Inform</w:t>
            </w:r>
          </w:p>
        </w:tc>
        <w:tc>
          <w:tcPr>
            <w:tcW w:w="1701" w:type="dxa"/>
          </w:tcPr>
          <w:p w14:paraId="6BD81209" w14:textId="622230DD" w:rsidR="006B10DC" w:rsidRPr="009F1890" w:rsidRDefault="006B10DC" w:rsidP="00EC0C9A">
            <w:pPr>
              <w:spacing w:before="40" w:after="40"/>
              <w:jc w:val="center"/>
              <w:rPr>
                <w:rFonts w:cs="Arial"/>
                <w:sz w:val="20"/>
                <w:szCs w:val="20"/>
              </w:rPr>
            </w:pPr>
            <w:r w:rsidRPr="009F1890">
              <w:rPr>
                <w:rFonts w:cs="Arial"/>
                <w:sz w:val="20"/>
                <w:szCs w:val="20"/>
              </w:rPr>
              <w:t>Consult</w:t>
            </w:r>
          </w:p>
        </w:tc>
        <w:tc>
          <w:tcPr>
            <w:tcW w:w="1842" w:type="dxa"/>
          </w:tcPr>
          <w:p w14:paraId="5B38E45F" w14:textId="5B4D2807" w:rsidR="006B10DC" w:rsidRPr="009F1890" w:rsidRDefault="006B10DC" w:rsidP="00EC0C9A">
            <w:pPr>
              <w:spacing w:before="40" w:after="40"/>
              <w:jc w:val="center"/>
              <w:rPr>
                <w:rFonts w:cs="Arial"/>
                <w:sz w:val="20"/>
                <w:szCs w:val="20"/>
              </w:rPr>
            </w:pPr>
            <w:r w:rsidRPr="009F1890">
              <w:rPr>
                <w:rFonts w:cs="Arial"/>
                <w:sz w:val="20"/>
                <w:szCs w:val="20"/>
              </w:rPr>
              <w:t>Inform</w:t>
            </w:r>
          </w:p>
        </w:tc>
      </w:tr>
      <w:tr w:rsidR="00DE6477" w:rsidRPr="009F1890" w14:paraId="011E0891" w14:textId="77777777" w:rsidTr="0088538C">
        <w:tc>
          <w:tcPr>
            <w:tcW w:w="2835" w:type="dxa"/>
            <w:tcBorders>
              <w:bottom w:val="single" w:sz="4" w:space="0" w:color="auto"/>
            </w:tcBorders>
          </w:tcPr>
          <w:p w14:paraId="35065270" w14:textId="17294E36" w:rsidR="006B10DC" w:rsidRPr="00C66B2A" w:rsidRDefault="006B10DC" w:rsidP="0003715E">
            <w:pPr>
              <w:spacing w:before="40" w:after="40"/>
              <w:rPr>
                <w:rFonts w:cs="Arial"/>
                <w:sz w:val="20"/>
                <w:szCs w:val="20"/>
              </w:rPr>
            </w:pPr>
            <w:r w:rsidRPr="00C66B2A">
              <w:rPr>
                <w:rFonts w:cs="Arial"/>
                <w:sz w:val="20"/>
                <w:szCs w:val="20"/>
              </w:rPr>
              <w:t>Special interest groups (i.e</w:t>
            </w:r>
            <w:r w:rsidR="00C81AE4" w:rsidRPr="00C66B2A">
              <w:rPr>
                <w:rFonts w:cs="Arial"/>
                <w:sz w:val="20"/>
                <w:szCs w:val="20"/>
              </w:rPr>
              <w:t>.,</w:t>
            </w:r>
            <w:r w:rsidRPr="00C66B2A">
              <w:rPr>
                <w:rFonts w:cs="Arial"/>
                <w:sz w:val="20"/>
                <w:szCs w:val="20"/>
              </w:rPr>
              <w:t xml:space="preserve"> Traditional Owners)</w:t>
            </w:r>
          </w:p>
        </w:tc>
        <w:tc>
          <w:tcPr>
            <w:tcW w:w="1560" w:type="dxa"/>
            <w:tcBorders>
              <w:bottom w:val="single" w:sz="4" w:space="0" w:color="auto"/>
            </w:tcBorders>
          </w:tcPr>
          <w:p w14:paraId="4E956149" w14:textId="4A1B93F6" w:rsidR="006B10DC" w:rsidRPr="009F1890" w:rsidRDefault="006B10DC" w:rsidP="00EC0C9A">
            <w:pPr>
              <w:spacing w:before="40" w:after="40"/>
              <w:jc w:val="center"/>
              <w:rPr>
                <w:rFonts w:cs="Arial"/>
                <w:sz w:val="20"/>
                <w:szCs w:val="20"/>
              </w:rPr>
            </w:pPr>
            <w:r w:rsidRPr="009F1890">
              <w:rPr>
                <w:rFonts w:cs="Arial"/>
                <w:sz w:val="20"/>
                <w:szCs w:val="20"/>
              </w:rPr>
              <w:t>Consult</w:t>
            </w:r>
          </w:p>
        </w:tc>
        <w:tc>
          <w:tcPr>
            <w:tcW w:w="1701" w:type="dxa"/>
            <w:tcBorders>
              <w:bottom w:val="single" w:sz="4" w:space="0" w:color="auto"/>
            </w:tcBorders>
          </w:tcPr>
          <w:p w14:paraId="53C21C1D" w14:textId="77777777" w:rsidR="006B10DC" w:rsidRPr="009F1890" w:rsidRDefault="006B10DC" w:rsidP="00EC0C9A">
            <w:pPr>
              <w:spacing w:before="40" w:after="40"/>
              <w:jc w:val="center"/>
              <w:rPr>
                <w:rFonts w:cs="Arial"/>
                <w:sz w:val="20"/>
                <w:szCs w:val="20"/>
              </w:rPr>
            </w:pPr>
            <w:r w:rsidRPr="009F1890">
              <w:rPr>
                <w:rFonts w:cs="Arial"/>
                <w:sz w:val="20"/>
                <w:szCs w:val="20"/>
              </w:rPr>
              <w:t>Inform</w:t>
            </w:r>
          </w:p>
        </w:tc>
        <w:tc>
          <w:tcPr>
            <w:tcW w:w="1701" w:type="dxa"/>
            <w:tcBorders>
              <w:bottom w:val="single" w:sz="4" w:space="0" w:color="auto"/>
            </w:tcBorders>
          </w:tcPr>
          <w:p w14:paraId="58BD6245" w14:textId="615607ED" w:rsidR="006B10DC" w:rsidRPr="009F1890" w:rsidRDefault="006B10DC" w:rsidP="00EC0C9A">
            <w:pPr>
              <w:spacing w:before="40" w:after="40"/>
              <w:jc w:val="center"/>
              <w:rPr>
                <w:rFonts w:cs="Arial"/>
                <w:sz w:val="20"/>
                <w:szCs w:val="20"/>
              </w:rPr>
            </w:pPr>
            <w:r w:rsidRPr="009F1890">
              <w:rPr>
                <w:rFonts w:cs="Arial"/>
                <w:sz w:val="20"/>
                <w:szCs w:val="20"/>
              </w:rPr>
              <w:t>Consult</w:t>
            </w:r>
          </w:p>
        </w:tc>
        <w:tc>
          <w:tcPr>
            <w:tcW w:w="1842" w:type="dxa"/>
            <w:tcBorders>
              <w:bottom w:val="single" w:sz="4" w:space="0" w:color="auto"/>
            </w:tcBorders>
          </w:tcPr>
          <w:p w14:paraId="746FD3D2" w14:textId="77777777" w:rsidR="006B10DC" w:rsidRPr="009F1890" w:rsidRDefault="006B10DC" w:rsidP="00EC0C9A">
            <w:pPr>
              <w:spacing w:before="40" w:after="40"/>
              <w:jc w:val="center"/>
              <w:rPr>
                <w:rFonts w:cs="Arial"/>
                <w:sz w:val="20"/>
                <w:szCs w:val="20"/>
              </w:rPr>
            </w:pPr>
            <w:r w:rsidRPr="009F1890">
              <w:rPr>
                <w:rFonts w:cs="Arial"/>
                <w:sz w:val="20"/>
                <w:szCs w:val="20"/>
              </w:rPr>
              <w:t>Inform</w:t>
            </w:r>
          </w:p>
        </w:tc>
      </w:tr>
    </w:tbl>
    <w:p w14:paraId="450E8CA1" w14:textId="77777777" w:rsidR="0042312D" w:rsidRDefault="0042312D" w:rsidP="002C4F4E">
      <w:pPr>
        <w:rPr>
          <w:rFonts w:cs="Arial"/>
        </w:rPr>
      </w:pPr>
    </w:p>
    <w:p w14:paraId="31EB9C00" w14:textId="122BFA10" w:rsidR="00BD19FF" w:rsidRPr="00192F41" w:rsidRDefault="00BD19FF" w:rsidP="0003715E">
      <w:pPr>
        <w:jc w:val="both"/>
        <w:rPr>
          <w:rFonts w:cs="Arial"/>
        </w:rPr>
      </w:pPr>
      <w:r w:rsidRPr="00192F41">
        <w:rPr>
          <w:rFonts w:cs="Arial"/>
        </w:rPr>
        <w:t xml:space="preserve">SRW engaged external consultants to </w:t>
      </w:r>
      <w:r w:rsidR="000603E9" w:rsidRPr="00192F41">
        <w:rPr>
          <w:rFonts w:cs="Arial"/>
        </w:rPr>
        <w:t xml:space="preserve">provide expertise </w:t>
      </w:r>
      <w:r w:rsidR="002A0794" w:rsidRPr="00192F41">
        <w:rPr>
          <w:rFonts w:cs="Arial"/>
        </w:rPr>
        <w:t xml:space="preserve">and </w:t>
      </w:r>
      <w:r w:rsidRPr="00192F41">
        <w:rPr>
          <w:rFonts w:cs="Arial"/>
        </w:rPr>
        <w:t xml:space="preserve">support </w:t>
      </w:r>
      <w:r w:rsidR="002A0794" w:rsidRPr="00192F41">
        <w:rPr>
          <w:rFonts w:cs="Arial"/>
        </w:rPr>
        <w:t xml:space="preserve">to </w:t>
      </w:r>
      <w:r w:rsidRPr="00192F41">
        <w:rPr>
          <w:rFonts w:cs="Arial"/>
        </w:rPr>
        <w:t>the engagement process. We worked collaboratively with Bartley Consulting in association with Stanford Marketing and Gillian Hayman Facilitation and Project Services to enhance our draft engagement framework, design communication materials and support engagement efforts through the delivery of surveys, workshops</w:t>
      </w:r>
      <w:r w:rsidR="000E4B8D" w:rsidRPr="00192F41">
        <w:rPr>
          <w:rFonts w:cs="Arial"/>
        </w:rPr>
        <w:t>,</w:t>
      </w:r>
      <w:r w:rsidRPr="00192F41">
        <w:rPr>
          <w:rFonts w:cs="Arial"/>
        </w:rPr>
        <w:t xml:space="preserve"> and meeting facilitation.</w:t>
      </w:r>
      <w:r w:rsidR="00A27ACC">
        <w:rPr>
          <w:rFonts w:cs="Arial"/>
        </w:rPr>
        <w:t xml:space="preserve">  </w:t>
      </w:r>
      <w:r w:rsidR="004C77ED">
        <w:rPr>
          <w:rFonts w:cs="Arial"/>
        </w:rPr>
        <w:t>The same consultants</w:t>
      </w:r>
      <w:r w:rsidR="00D77A22">
        <w:rPr>
          <w:rFonts w:cs="Arial"/>
        </w:rPr>
        <w:t xml:space="preserve"> also prepared a comprehensive engagement report</w:t>
      </w:r>
      <w:r w:rsidR="004F2D33">
        <w:rPr>
          <w:rFonts w:cs="Arial"/>
        </w:rPr>
        <w:t xml:space="preserve"> which documents our </w:t>
      </w:r>
      <w:r w:rsidR="00E74DC3">
        <w:rPr>
          <w:rFonts w:cs="Arial"/>
        </w:rPr>
        <w:t xml:space="preserve">process, actions and </w:t>
      </w:r>
      <w:r w:rsidR="000C7105">
        <w:rPr>
          <w:rFonts w:cs="Arial"/>
        </w:rPr>
        <w:t>results (see Appendix F).</w:t>
      </w:r>
      <w:r w:rsidR="00E74DC3">
        <w:rPr>
          <w:rFonts w:cs="Arial"/>
        </w:rPr>
        <w:t xml:space="preserve"> </w:t>
      </w:r>
    </w:p>
    <w:p w14:paraId="04665107" w14:textId="77777777" w:rsidR="007971B0" w:rsidRDefault="00BD19FF" w:rsidP="002C4F4E">
      <w:pPr>
        <w:rPr>
          <w:rFonts w:cs="Arial"/>
        </w:rPr>
      </w:pPr>
      <w:r w:rsidRPr="00192F41">
        <w:rPr>
          <w:rFonts w:cs="Arial"/>
        </w:rPr>
        <w:t>The approach was guided by a set of principles</w:t>
      </w:r>
      <w:r w:rsidR="007971B0">
        <w:rPr>
          <w:rFonts w:cs="Arial"/>
        </w:rPr>
        <w:t>:</w:t>
      </w:r>
    </w:p>
    <w:p w14:paraId="5D06D3FF" w14:textId="11132071" w:rsidR="00BD19FF" w:rsidRPr="00192F41" w:rsidRDefault="00BD19FF" w:rsidP="002C4F4E">
      <w:pPr>
        <w:pStyle w:val="Bulletpointparagraph"/>
        <w:rPr>
          <w:rFonts w:cs="Arial"/>
        </w:rPr>
      </w:pPr>
      <w:r w:rsidRPr="00192F41">
        <w:rPr>
          <w:rFonts w:cs="Arial"/>
        </w:rPr>
        <w:t xml:space="preserve">engagement aligns with </w:t>
      </w:r>
      <w:r w:rsidR="00755C82" w:rsidRPr="00192F41">
        <w:rPr>
          <w:rFonts w:cs="Arial"/>
        </w:rPr>
        <w:t xml:space="preserve">SRWs </w:t>
      </w:r>
      <w:r w:rsidRPr="00192F41">
        <w:rPr>
          <w:rFonts w:cs="Arial"/>
        </w:rPr>
        <w:t xml:space="preserve">strategic aspirations; </w:t>
      </w:r>
    </w:p>
    <w:p w14:paraId="69FFB500" w14:textId="1DB727C1" w:rsidR="00BD19FF" w:rsidRPr="00192F41" w:rsidRDefault="00A22382" w:rsidP="002C4F4E">
      <w:pPr>
        <w:pStyle w:val="Bulletpointparagraph"/>
        <w:rPr>
          <w:rFonts w:cs="Arial"/>
        </w:rPr>
      </w:pPr>
      <w:r w:rsidRPr="00192F41">
        <w:rPr>
          <w:rFonts w:cs="Arial"/>
        </w:rPr>
        <w:t xml:space="preserve">we use </w:t>
      </w:r>
      <w:r w:rsidR="00BD19FF" w:rsidRPr="00192F41">
        <w:rPr>
          <w:rFonts w:cs="Arial"/>
        </w:rPr>
        <w:t>best practice engagement methods;</w:t>
      </w:r>
    </w:p>
    <w:p w14:paraId="11CFB943" w14:textId="25D038B7" w:rsidR="00BD19FF" w:rsidRPr="00192F41" w:rsidRDefault="00BD19FF" w:rsidP="002C4F4E">
      <w:pPr>
        <w:pStyle w:val="Bulletpointparagraph"/>
        <w:rPr>
          <w:rFonts w:cs="Arial"/>
        </w:rPr>
      </w:pPr>
      <w:r w:rsidRPr="00192F41">
        <w:rPr>
          <w:rFonts w:cs="Arial"/>
        </w:rPr>
        <w:t>engagement is inclusive;</w:t>
      </w:r>
    </w:p>
    <w:p w14:paraId="69030745" w14:textId="77777777" w:rsidR="00BD19FF" w:rsidRPr="00192F41" w:rsidRDefault="00BD19FF" w:rsidP="002C4F4E">
      <w:pPr>
        <w:pStyle w:val="Bulletpointparagraph"/>
        <w:rPr>
          <w:rFonts w:cs="Arial"/>
        </w:rPr>
      </w:pPr>
      <w:r w:rsidRPr="00192F41">
        <w:rPr>
          <w:rFonts w:cs="Arial"/>
        </w:rPr>
        <w:t>engagement is meaningful; and</w:t>
      </w:r>
    </w:p>
    <w:p w14:paraId="343ACA4B" w14:textId="3756966F" w:rsidR="00BD19FF" w:rsidRPr="00192F41" w:rsidRDefault="00BD19FF" w:rsidP="002C4F4E">
      <w:pPr>
        <w:pStyle w:val="Bulletpointparagraph"/>
        <w:rPr>
          <w:rFonts w:cs="Arial"/>
        </w:rPr>
      </w:pPr>
      <w:r w:rsidRPr="00192F41">
        <w:rPr>
          <w:rFonts w:cs="Arial"/>
        </w:rPr>
        <w:t xml:space="preserve">engagement </w:t>
      </w:r>
      <w:r w:rsidR="00AC4E69" w:rsidRPr="00192F41">
        <w:rPr>
          <w:rFonts w:cs="Arial"/>
        </w:rPr>
        <w:t xml:space="preserve">is </w:t>
      </w:r>
      <w:r w:rsidRPr="00192F41">
        <w:rPr>
          <w:rFonts w:cs="Arial"/>
        </w:rPr>
        <w:t>transparent and inclusive.</w:t>
      </w:r>
    </w:p>
    <w:p w14:paraId="2393C90A" w14:textId="3FEDA66D" w:rsidR="00BD19FF" w:rsidRPr="00192F41" w:rsidRDefault="00BD19FF" w:rsidP="0003715E">
      <w:pPr>
        <w:jc w:val="both"/>
        <w:rPr>
          <w:rFonts w:cs="Arial"/>
        </w:rPr>
      </w:pPr>
      <w:r w:rsidRPr="00192F41">
        <w:rPr>
          <w:rFonts w:cs="Arial"/>
        </w:rPr>
        <w:t xml:space="preserve">We </w:t>
      </w:r>
      <w:r w:rsidR="008E6217" w:rsidRPr="00192F41">
        <w:rPr>
          <w:rFonts w:cs="Arial"/>
        </w:rPr>
        <w:t>used</w:t>
      </w:r>
      <w:r w:rsidRPr="00192F41">
        <w:rPr>
          <w:rFonts w:cs="Arial"/>
        </w:rPr>
        <w:t xml:space="preserve"> a </w:t>
      </w:r>
      <w:r w:rsidR="00DA5407" w:rsidRPr="00192F41">
        <w:rPr>
          <w:rFonts w:cs="Arial"/>
        </w:rPr>
        <w:t>variety</w:t>
      </w:r>
      <w:r w:rsidRPr="00192F41">
        <w:rPr>
          <w:rFonts w:cs="Arial"/>
        </w:rPr>
        <w:t xml:space="preserve"> of </w:t>
      </w:r>
      <w:r w:rsidR="00DA5407" w:rsidRPr="00192F41">
        <w:rPr>
          <w:rFonts w:cs="Arial"/>
        </w:rPr>
        <w:t>methods and media</w:t>
      </w:r>
      <w:r w:rsidRPr="00192F41">
        <w:rPr>
          <w:rFonts w:cs="Arial"/>
        </w:rPr>
        <w:t xml:space="preserve"> to engage with our customer base to </w:t>
      </w:r>
      <w:r w:rsidR="001418B8" w:rsidRPr="00192F41">
        <w:rPr>
          <w:rFonts w:cs="Arial"/>
        </w:rPr>
        <w:t xml:space="preserve">maximise the ideas and </w:t>
      </w:r>
      <w:r w:rsidRPr="00192F41">
        <w:rPr>
          <w:rFonts w:cs="Arial"/>
        </w:rPr>
        <w:t>feedback</w:t>
      </w:r>
      <w:r w:rsidR="00254EA8" w:rsidRPr="00192F41">
        <w:rPr>
          <w:rFonts w:cs="Arial"/>
        </w:rPr>
        <w:t>.</w:t>
      </w:r>
      <w:r w:rsidRPr="00192F41">
        <w:rPr>
          <w:rFonts w:cs="Arial"/>
        </w:rPr>
        <w:t xml:space="preserve"> These included:</w:t>
      </w:r>
    </w:p>
    <w:p w14:paraId="2F44786D" w14:textId="07BC562F" w:rsidR="00896A0E" w:rsidRPr="00192F41" w:rsidRDefault="00E53BA7" w:rsidP="0003715E">
      <w:pPr>
        <w:pStyle w:val="Bulletpointparagraph"/>
        <w:jc w:val="both"/>
        <w:rPr>
          <w:rFonts w:cs="Arial"/>
        </w:rPr>
      </w:pPr>
      <w:r w:rsidRPr="00192F41">
        <w:rPr>
          <w:rFonts w:cs="Arial"/>
        </w:rPr>
        <w:t xml:space="preserve">Leveraging </w:t>
      </w:r>
      <w:r w:rsidR="001418B8" w:rsidRPr="00192F41">
        <w:rPr>
          <w:rFonts w:cs="Arial"/>
        </w:rPr>
        <w:t xml:space="preserve">strong, </w:t>
      </w:r>
      <w:r w:rsidRPr="00192F41">
        <w:rPr>
          <w:rFonts w:cs="Arial"/>
        </w:rPr>
        <w:t>existing relationships</w:t>
      </w:r>
      <w:r w:rsidR="00AA3F99" w:rsidRPr="00192F41">
        <w:rPr>
          <w:rFonts w:cs="Arial"/>
        </w:rPr>
        <w:t xml:space="preserve">, </w:t>
      </w:r>
      <w:r w:rsidR="00896A0E" w:rsidRPr="00192F41">
        <w:rPr>
          <w:rFonts w:cs="Arial"/>
        </w:rPr>
        <w:t>information</w:t>
      </w:r>
      <w:r w:rsidR="000E4B8D" w:rsidRPr="00192F41">
        <w:rPr>
          <w:rFonts w:cs="Arial"/>
        </w:rPr>
        <w:t>,</w:t>
      </w:r>
      <w:r w:rsidR="008D34D3" w:rsidRPr="00192F41">
        <w:rPr>
          <w:rFonts w:cs="Arial"/>
        </w:rPr>
        <w:t xml:space="preserve"> and</w:t>
      </w:r>
      <w:r w:rsidR="00AA3F99" w:rsidRPr="00192F41">
        <w:rPr>
          <w:rFonts w:cs="Arial"/>
        </w:rPr>
        <w:t xml:space="preserve"> activities</w:t>
      </w:r>
      <w:r w:rsidR="00896A0E" w:rsidRPr="00192F41">
        <w:rPr>
          <w:rFonts w:cs="Arial"/>
        </w:rPr>
        <w:t xml:space="preserve"> </w:t>
      </w:r>
      <w:r w:rsidR="00F14777" w:rsidRPr="00192F41">
        <w:rPr>
          <w:rFonts w:cs="Arial"/>
        </w:rPr>
        <w:t>such as</w:t>
      </w:r>
      <w:r w:rsidR="0008266A">
        <w:rPr>
          <w:rFonts w:cs="Arial"/>
        </w:rPr>
        <w:t xml:space="preserve"> our existing customer committees</w:t>
      </w:r>
      <w:r w:rsidR="00A46FF4">
        <w:rPr>
          <w:rFonts w:cs="Arial"/>
        </w:rPr>
        <w:t xml:space="preserve">, relationships </w:t>
      </w:r>
      <w:r w:rsidR="008D454A">
        <w:rPr>
          <w:rFonts w:cs="Arial"/>
        </w:rPr>
        <w:t>between customers and our</w:t>
      </w:r>
      <w:r w:rsidR="00A46FF4">
        <w:rPr>
          <w:rFonts w:cs="Arial"/>
        </w:rPr>
        <w:t xml:space="preserve"> operational staff and customer service tea</w:t>
      </w:r>
      <w:r w:rsidR="008D454A">
        <w:rPr>
          <w:rFonts w:cs="Arial"/>
        </w:rPr>
        <w:t>m.</w:t>
      </w:r>
    </w:p>
    <w:p w14:paraId="461C78E6" w14:textId="7619403E" w:rsidR="00BD19FF" w:rsidRPr="00212E26" w:rsidRDefault="004A2CA0" w:rsidP="0003715E">
      <w:pPr>
        <w:pStyle w:val="Bulletpointparagraph"/>
        <w:jc w:val="both"/>
        <w:rPr>
          <w:rFonts w:cs="Arial"/>
        </w:rPr>
      </w:pPr>
      <w:r w:rsidRPr="00212E26">
        <w:rPr>
          <w:rFonts w:cs="Arial"/>
        </w:rPr>
        <w:t>Initiating</w:t>
      </w:r>
      <w:r w:rsidR="00030380" w:rsidRPr="00212E26">
        <w:rPr>
          <w:rFonts w:cs="Arial"/>
        </w:rPr>
        <w:t xml:space="preserve"> specific and targeted</w:t>
      </w:r>
      <w:r w:rsidR="00E45B8A" w:rsidRPr="00212E26">
        <w:rPr>
          <w:rFonts w:cs="Arial"/>
        </w:rPr>
        <w:t xml:space="preserve"> </w:t>
      </w:r>
      <w:r w:rsidR="00030380" w:rsidRPr="00212E26">
        <w:rPr>
          <w:rFonts w:cs="Arial"/>
        </w:rPr>
        <w:t>activities</w:t>
      </w:r>
      <w:r w:rsidR="00B57F3C" w:rsidRPr="00212E26">
        <w:rPr>
          <w:rFonts w:cs="Arial"/>
        </w:rPr>
        <w:t xml:space="preserve"> to broaden and strengthen our reach</w:t>
      </w:r>
      <w:r w:rsidR="00030380" w:rsidRPr="00212E26">
        <w:rPr>
          <w:rFonts w:cs="Arial"/>
        </w:rPr>
        <w:t xml:space="preserve"> such as</w:t>
      </w:r>
      <w:r w:rsidR="008D454A" w:rsidRPr="00212E26">
        <w:rPr>
          <w:rFonts w:cs="Arial"/>
        </w:rPr>
        <w:t xml:space="preserve"> the establishment of </w:t>
      </w:r>
      <w:r w:rsidR="00BD19FF" w:rsidRPr="00212E26">
        <w:rPr>
          <w:rFonts w:cs="Arial"/>
        </w:rPr>
        <w:t>a specially appointed Customer Reference Group</w:t>
      </w:r>
      <w:r w:rsidR="001A0D54" w:rsidRPr="00212E26">
        <w:rPr>
          <w:rFonts w:cs="Arial"/>
        </w:rPr>
        <w:t xml:space="preserve"> and the </w:t>
      </w:r>
      <w:r w:rsidR="00BD19FF" w:rsidRPr="00212E26">
        <w:rPr>
          <w:rFonts w:cs="Arial"/>
        </w:rPr>
        <w:t>online engagement hub</w:t>
      </w:r>
      <w:r w:rsidR="001E157C">
        <w:rPr>
          <w:rFonts w:cs="Arial"/>
        </w:rPr>
        <w:t>, as well as customer</w:t>
      </w:r>
      <w:r w:rsidR="00805073">
        <w:rPr>
          <w:rFonts w:cs="Arial"/>
        </w:rPr>
        <w:t>-</w:t>
      </w:r>
      <w:r w:rsidR="001E157C">
        <w:rPr>
          <w:rFonts w:cs="Arial"/>
        </w:rPr>
        <w:t xml:space="preserve">wide surveys and </w:t>
      </w:r>
      <w:r w:rsidR="0015525C">
        <w:rPr>
          <w:rFonts w:cs="Arial"/>
        </w:rPr>
        <w:t>face-to-face sessions.</w:t>
      </w:r>
    </w:p>
    <w:p w14:paraId="13A1FD97" w14:textId="54DB33E4" w:rsidR="005C19FA" w:rsidRDefault="005C19FA" w:rsidP="0003715E">
      <w:pPr>
        <w:jc w:val="both"/>
        <w:rPr>
          <w:rFonts w:cs="Arial"/>
        </w:rPr>
      </w:pPr>
      <w:r>
        <w:rPr>
          <w:rFonts w:cs="Arial"/>
        </w:rPr>
        <w:t>The</w:t>
      </w:r>
      <w:r w:rsidR="001D556C">
        <w:rPr>
          <w:rFonts w:cs="Arial"/>
        </w:rPr>
        <w:t xml:space="preserve"> purpose of appointing an</w:t>
      </w:r>
      <w:r w:rsidRPr="00192F41">
        <w:rPr>
          <w:rFonts w:cs="Arial"/>
        </w:rPr>
        <w:t xml:space="preserve"> independently facilitated Customer Reference Group</w:t>
      </w:r>
      <w:r w:rsidR="001D556C">
        <w:rPr>
          <w:rFonts w:cs="Arial"/>
        </w:rPr>
        <w:t xml:space="preserve"> was</w:t>
      </w:r>
      <w:r w:rsidRPr="00192F41">
        <w:rPr>
          <w:rFonts w:cs="Arial"/>
        </w:rPr>
        <w:t xml:space="preserve"> to </w:t>
      </w:r>
      <w:r w:rsidRPr="005C19FA">
        <w:t>increase customer knowledge, insight and transparency into the price submission process and ensure decisions directly reflect well-considered customer views.</w:t>
      </w:r>
      <w:r w:rsidRPr="00192F41">
        <w:rPr>
          <w:rFonts w:cs="Arial"/>
        </w:rPr>
        <w:t xml:space="preserve">  </w:t>
      </w:r>
    </w:p>
    <w:p w14:paraId="64E9B74D" w14:textId="77777777" w:rsidR="008F7C58" w:rsidRPr="00192F41" w:rsidRDefault="008F7C58" w:rsidP="005C19FA">
      <w:pPr>
        <w:rPr>
          <w:rFonts w:cs="Arial"/>
        </w:rPr>
      </w:pPr>
    </w:p>
    <w:p w14:paraId="493AF24F" w14:textId="31D6DE30" w:rsidR="0019462D" w:rsidRPr="00231D56" w:rsidRDefault="0019462D" w:rsidP="002F0ECA">
      <w:pPr>
        <w:pStyle w:val="Heading3"/>
        <w:jc w:val="both"/>
        <w:rPr>
          <w:rStyle w:val="IntenseEmphasis"/>
          <w:i w:val="0"/>
          <w:color w:val="002B5C" w:themeColor="text2"/>
          <w:sz w:val="32"/>
          <w:szCs w:val="32"/>
        </w:rPr>
      </w:pPr>
      <w:r w:rsidRPr="00231D56">
        <w:rPr>
          <w:rStyle w:val="IntenseEmphasis"/>
          <w:i w:val="0"/>
          <w:color w:val="002B5C" w:themeColor="text2"/>
          <w:sz w:val="32"/>
          <w:szCs w:val="32"/>
        </w:rPr>
        <w:t>Engaging with First Nations people and vulnerable communities</w:t>
      </w:r>
    </w:p>
    <w:p w14:paraId="455594D2" w14:textId="77777777" w:rsidR="00805073" w:rsidRDefault="006279EF" w:rsidP="002F0ECA">
      <w:pPr>
        <w:jc w:val="both"/>
        <w:rPr>
          <w:rFonts w:cs="Arial"/>
        </w:rPr>
      </w:pPr>
      <w:r w:rsidRPr="004030F4">
        <w:rPr>
          <w:rFonts w:cs="Arial"/>
        </w:rPr>
        <w:t xml:space="preserve">We do not have data indicating whether a customer identifies as a First Nations individual. To maximise participation of all customers, we provided a number of different ways for individuals to participate and promoted them broadly. All Registered Aboriginal Parties (RAP) within our area of operation were informed of our process directly, provided updates and invited to engage directly with us. </w:t>
      </w:r>
    </w:p>
    <w:p w14:paraId="5ACA5531" w14:textId="77777777" w:rsidR="00805073" w:rsidRDefault="006279EF" w:rsidP="002F0ECA">
      <w:pPr>
        <w:jc w:val="both"/>
        <w:rPr>
          <w:rFonts w:cs="Arial"/>
        </w:rPr>
      </w:pPr>
      <w:r w:rsidRPr="004030F4">
        <w:rPr>
          <w:rFonts w:cs="Arial"/>
        </w:rPr>
        <w:t xml:space="preserve">One RAP responded and provided direct feedback which has been </w:t>
      </w:r>
      <w:r w:rsidR="00F4134E" w:rsidRPr="004030F4">
        <w:rPr>
          <w:rFonts w:cs="Arial"/>
        </w:rPr>
        <w:t>considered</w:t>
      </w:r>
      <w:r w:rsidRPr="004030F4">
        <w:rPr>
          <w:rFonts w:cs="Arial"/>
        </w:rPr>
        <w:t xml:space="preserve">, noting that they do not pay for their entitlement and therefore did not express a view that directly related to the </w:t>
      </w:r>
      <w:r w:rsidR="00805073">
        <w:rPr>
          <w:rFonts w:cs="Arial"/>
        </w:rPr>
        <w:t>p</w:t>
      </w:r>
      <w:r w:rsidRPr="004030F4">
        <w:rPr>
          <w:rFonts w:cs="Arial"/>
        </w:rPr>
        <w:t>rice</w:t>
      </w:r>
      <w:r w:rsidR="00805073">
        <w:rPr>
          <w:rFonts w:cs="Arial"/>
        </w:rPr>
        <w:t xml:space="preserve"> s</w:t>
      </w:r>
      <w:r w:rsidRPr="004030F4">
        <w:rPr>
          <w:rFonts w:cs="Arial"/>
        </w:rPr>
        <w:t xml:space="preserve">ubmission. </w:t>
      </w:r>
    </w:p>
    <w:p w14:paraId="0F52A533" w14:textId="3FEF8095" w:rsidR="006279EF" w:rsidRDefault="006279EF" w:rsidP="002F0ECA">
      <w:pPr>
        <w:jc w:val="both"/>
        <w:rPr>
          <w:rFonts w:cs="Arial"/>
        </w:rPr>
      </w:pPr>
      <w:r w:rsidRPr="004030F4">
        <w:rPr>
          <w:rFonts w:cs="Arial"/>
        </w:rPr>
        <w:t>SRW currently have a policy that supports that waiving of tariffs for water licenced for cultural use.</w:t>
      </w:r>
      <w:r w:rsidR="00FA3EBD">
        <w:rPr>
          <w:rFonts w:cs="Arial"/>
        </w:rPr>
        <w:t xml:space="preserve"> </w:t>
      </w:r>
      <w:r w:rsidR="00FA3EBD" w:rsidRPr="007F3C97">
        <w:rPr>
          <w:rFonts w:cs="Arial"/>
        </w:rPr>
        <w:t>Currently</w:t>
      </w:r>
      <w:r w:rsidR="00B10302" w:rsidRPr="007F3C97">
        <w:rPr>
          <w:rFonts w:cs="Arial"/>
        </w:rPr>
        <w:t>, two RAPs hold significant entitlements for cultural uses</w:t>
      </w:r>
      <w:r w:rsidR="00B166AE" w:rsidRPr="007F3C97">
        <w:rPr>
          <w:rFonts w:cs="Arial"/>
        </w:rPr>
        <w:t xml:space="preserve">, which are the result of </w:t>
      </w:r>
      <w:r w:rsidR="002F1722" w:rsidRPr="007F3C97">
        <w:rPr>
          <w:rFonts w:cs="Arial"/>
        </w:rPr>
        <w:t xml:space="preserve">working in partnership over </w:t>
      </w:r>
      <w:r w:rsidR="002C6859" w:rsidRPr="007F3C97">
        <w:rPr>
          <w:rFonts w:cs="Arial"/>
        </w:rPr>
        <w:t>significant period of time</w:t>
      </w:r>
      <w:r w:rsidR="004C61BB" w:rsidRPr="007F3C97">
        <w:rPr>
          <w:rFonts w:cs="Arial"/>
        </w:rPr>
        <w:t>, which has provided a level of clarity around their goals and aspirations</w:t>
      </w:r>
      <w:r w:rsidR="002C6859" w:rsidRPr="007F3C97">
        <w:rPr>
          <w:rFonts w:cs="Arial"/>
        </w:rPr>
        <w:t>.</w:t>
      </w:r>
      <w:r w:rsidR="004C61BB">
        <w:rPr>
          <w:rFonts w:cs="Arial"/>
        </w:rPr>
        <w:t xml:space="preserve"> </w:t>
      </w:r>
      <w:r w:rsidR="00333D53">
        <w:rPr>
          <w:rFonts w:cs="Arial"/>
        </w:rPr>
        <w:t>We continue to</w:t>
      </w:r>
      <w:r w:rsidR="004B68A2">
        <w:rPr>
          <w:rFonts w:cs="Arial"/>
        </w:rPr>
        <w:t xml:space="preserve"> build on our foundations</w:t>
      </w:r>
      <w:r w:rsidR="00345094">
        <w:rPr>
          <w:rFonts w:cs="Arial"/>
        </w:rPr>
        <w:t xml:space="preserve"> with other RAPs to</w:t>
      </w:r>
      <w:r w:rsidR="009F5EE7">
        <w:rPr>
          <w:rFonts w:cs="Arial"/>
        </w:rPr>
        <w:t xml:space="preserve"> develop stronger relationships to</w:t>
      </w:r>
      <w:r w:rsidR="004B68A2">
        <w:rPr>
          <w:rFonts w:cs="Arial"/>
        </w:rPr>
        <w:t xml:space="preserve"> support self-determination with tangible outcomes.</w:t>
      </w:r>
    </w:p>
    <w:p w14:paraId="51A44F01" w14:textId="77777777" w:rsidR="00F45DCF" w:rsidRDefault="00722A77" w:rsidP="002F0ECA">
      <w:pPr>
        <w:jc w:val="both"/>
        <w:rPr>
          <w:rFonts w:cs="Arial"/>
        </w:rPr>
      </w:pPr>
      <w:r w:rsidRPr="004030F4">
        <w:rPr>
          <w:rFonts w:cs="Arial"/>
        </w:rPr>
        <w:t xml:space="preserve">Acknowledging that </w:t>
      </w:r>
      <w:r w:rsidR="009D38B3" w:rsidRPr="004030F4">
        <w:rPr>
          <w:rFonts w:cs="Arial"/>
        </w:rPr>
        <w:t>our customers do not rely on water for basic</w:t>
      </w:r>
      <w:r w:rsidR="00EA5462" w:rsidRPr="004030F4">
        <w:rPr>
          <w:rFonts w:cs="Arial"/>
        </w:rPr>
        <w:t xml:space="preserve"> human needs</w:t>
      </w:r>
      <w:r w:rsidR="00213F24">
        <w:rPr>
          <w:rFonts w:cs="Arial"/>
        </w:rPr>
        <w:t xml:space="preserve"> (i.e</w:t>
      </w:r>
      <w:r w:rsidR="00C81AE4">
        <w:rPr>
          <w:rFonts w:cs="Arial"/>
        </w:rPr>
        <w:t>.,</w:t>
      </w:r>
      <w:r w:rsidR="00213F24">
        <w:rPr>
          <w:rFonts w:cs="Arial"/>
        </w:rPr>
        <w:t xml:space="preserve"> we do not licence or provide treated water for human consumption)</w:t>
      </w:r>
      <w:r w:rsidR="00EA5462" w:rsidRPr="004030F4">
        <w:rPr>
          <w:rFonts w:cs="Arial"/>
        </w:rPr>
        <w:t xml:space="preserve">, rather </w:t>
      </w:r>
      <w:r w:rsidR="00E02A3E" w:rsidRPr="004030F4">
        <w:rPr>
          <w:rFonts w:cs="Arial"/>
        </w:rPr>
        <w:t>they have a commercial interest in accessing water to sustain or grow a business</w:t>
      </w:r>
      <w:r w:rsidR="009778E2" w:rsidRPr="004030F4">
        <w:rPr>
          <w:rFonts w:cs="Arial"/>
        </w:rPr>
        <w:t>, our approach to</w:t>
      </w:r>
      <w:r w:rsidR="001B1A23" w:rsidRPr="004030F4">
        <w:rPr>
          <w:rFonts w:cs="Arial"/>
        </w:rPr>
        <w:t xml:space="preserve"> engaging with vulnerable individuals</w:t>
      </w:r>
      <w:r w:rsidR="00F46101" w:rsidRPr="004030F4">
        <w:rPr>
          <w:rFonts w:cs="Arial"/>
        </w:rPr>
        <w:t xml:space="preserve"> was difficult. </w:t>
      </w:r>
    </w:p>
    <w:p w14:paraId="77F5720B" w14:textId="03799073" w:rsidR="006279EF" w:rsidRPr="006279EF" w:rsidRDefault="00F46101" w:rsidP="002F0ECA">
      <w:pPr>
        <w:jc w:val="both"/>
        <w:rPr>
          <w:rFonts w:cs="Arial"/>
        </w:rPr>
      </w:pPr>
      <w:r w:rsidRPr="004030F4">
        <w:rPr>
          <w:rFonts w:cs="Arial"/>
        </w:rPr>
        <w:t xml:space="preserve">We sought representation from the Rural Financial </w:t>
      </w:r>
      <w:r w:rsidR="004D04E7">
        <w:rPr>
          <w:rFonts w:cs="Arial"/>
        </w:rPr>
        <w:t>C</w:t>
      </w:r>
      <w:r w:rsidRPr="004030F4">
        <w:rPr>
          <w:rFonts w:cs="Arial"/>
        </w:rPr>
        <w:t xml:space="preserve">ounselling </w:t>
      </w:r>
      <w:r w:rsidR="004D04E7">
        <w:rPr>
          <w:rFonts w:cs="Arial"/>
        </w:rPr>
        <w:t>S</w:t>
      </w:r>
      <w:r w:rsidRPr="004030F4">
        <w:rPr>
          <w:rFonts w:cs="Arial"/>
        </w:rPr>
        <w:t>ervice</w:t>
      </w:r>
      <w:r w:rsidR="004D04E7">
        <w:rPr>
          <w:rFonts w:cs="Arial"/>
        </w:rPr>
        <w:t>s</w:t>
      </w:r>
      <w:r w:rsidRPr="004030F4">
        <w:rPr>
          <w:rFonts w:cs="Arial"/>
        </w:rPr>
        <w:t xml:space="preserve"> in both the east and west of the </w:t>
      </w:r>
      <w:r w:rsidR="00F45DCF">
        <w:rPr>
          <w:rFonts w:cs="Arial"/>
        </w:rPr>
        <w:t>s</w:t>
      </w:r>
      <w:r w:rsidRPr="004030F4">
        <w:rPr>
          <w:rFonts w:cs="Arial"/>
        </w:rPr>
        <w:t>tate</w:t>
      </w:r>
      <w:r w:rsidR="007D2C39" w:rsidRPr="004030F4">
        <w:rPr>
          <w:rFonts w:cs="Arial"/>
        </w:rPr>
        <w:t>, however they were unable to participate.</w:t>
      </w:r>
      <w:r w:rsidR="002D35B4" w:rsidRPr="004030F4">
        <w:rPr>
          <w:rFonts w:cs="Arial"/>
        </w:rPr>
        <w:t xml:space="preserve"> We did however receive feedback</w:t>
      </w:r>
      <w:r w:rsidR="007B0A4F" w:rsidRPr="004030F4">
        <w:rPr>
          <w:rFonts w:cs="Arial"/>
        </w:rPr>
        <w:t xml:space="preserve"> regarding our approach to </w:t>
      </w:r>
      <w:r w:rsidR="00F2796F" w:rsidRPr="004030F4">
        <w:rPr>
          <w:rFonts w:cs="Arial"/>
        </w:rPr>
        <w:t xml:space="preserve">debt recovery and </w:t>
      </w:r>
      <w:r w:rsidR="00963FE2">
        <w:rPr>
          <w:rFonts w:cs="Arial"/>
        </w:rPr>
        <w:t>now have a great understanding of the areas</w:t>
      </w:r>
      <w:r w:rsidR="00F2796F" w:rsidRPr="004030F4">
        <w:rPr>
          <w:rFonts w:cs="Arial"/>
        </w:rPr>
        <w:t xml:space="preserve"> we can </w:t>
      </w:r>
      <w:r w:rsidR="00963FE2">
        <w:rPr>
          <w:rFonts w:cs="Arial"/>
        </w:rPr>
        <w:t>focus on, and the steps we can take</w:t>
      </w:r>
      <w:r w:rsidR="00F2796F" w:rsidRPr="004030F4">
        <w:rPr>
          <w:rFonts w:cs="Arial"/>
        </w:rPr>
        <w:t xml:space="preserve"> to</w:t>
      </w:r>
      <w:r w:rsidR="00642801" w:rsidRPr="004030F4">
        <w:rPr>
          <w:rFonts w:cs="Arial"/>
        </w:rPr>
        <w:t xml:space="preserve"> help </w:t>
      </w:r>
      <w:r w:rsidR="00963FE2">
        <w:rPr>
          <w:rFonts w:cs="Arial"/>
        </w:rPr>
        <w:t xml:space="preserve">our </w:t>
      </w:r>
      <w:r w:rsidR="00642801" w:rsidRPr="004030F4">
        <w:rPr>
          <w:rFonts w:cs="Arial"/>
        </w:rPr>
        <w:t>customers.</w:t>
      </w:r>
      <w:r w:rsidR="00214A38">
        <w:rPr>
          <w:rFonts w:cs="Arial"/>
        </w:rPr>
        <w:t xml:space="preserve"> This feedback related to </w:t>
      </w:r>
      <w:r w:rsidR="00D742DE">
        <w:rPr>
          <w:rFonts w:cs="Arial"/>
        </w:rPr>
        <w:t xml:space="preserve">improving </w:t>
      </w:r>
      <w:r w:rsidR="00D31574">
        <w:rPr>
          <w:rFonts w:cs="Arial"/>
        </w:rPr>
        <w:t>visibility into the hards</w:t>
      </w:r>
      <w:r w:rsidR="00880A80">
        <w:rPr>
          <w:rFonts w:cs="Arial"/>
        </w:rPr>
        <w:t xml:space="preserve">hip provisions available to customers, </w:t>
      </w:r>
      <w:r w:rsidR="00214A38">
        <w:rPr>
          <w:rFonts w:cs="Arial"/>
        </w:rPr>
        <w:t>building better relationships with</w:t>
      </w:r>
      <w:r w:rsidR="000148E9">
        <w:rPr>
          <w:rFonts w:cs="Arial"/>
        </w:rPr>
        <w:t xml:space="preserve"> Rural Financial Counselling Services</w:t>
      </w:r>
      <w:r w:rsidR="00880A80">
        <w:rPr>
          <w:rFonts w:cs="Arial"/>
        </w:rPr>
        <w:t xml:space="preserve"> and</w:t>
      </w:r>
      <w:r w:rsidR="00236E99">
        <w:rPr>
          <w:rFonts w:cs="Arial"/>
        </w:rPr>
        <w:t xml:space="preserve"> being</w:t>
      </w:r>
      <w:r w:rsidR="00963178">
        <w:rPr>
          <w:rFonts w:cs="Arial"/>
        </w:rPr>
        <w:t xml:space="preserve"> mindful of the impact of debt collection on individuals or business</w:t>
      </w:r>
      <w:r w:rsidR="00BB6BA2">
        <w:rPr>
          <w:rFonts w:cs="Arial"/>
        </w:rPr>
        <w:t>es</w:t>
      </w:r>
      <w:r w:rsidR="00963178">
        <w:rPr>
          <w:rFonts w:cs="Arial"/>
        </w:rPr>
        <w:t xml:space="preserve"> in financial hardship.</w:t>
      </w:r>
      <w:r w:rsidR="00CA68FD">
        <w:rPr>
          <w:rFonts w:cs="Arial"/>
        </w:rPr>
        <w:t xml:space="preserve"> Addressing these matter</w:t>
      </w:r>
      <w:r w:rsidR="00184D32">
        <w:rPr>
          <w:rFonts w:cs="Arial"/>
        </w:rPr>
        <w:t>s</w:t>
      </w:r>
      <w:r w:rsidR="00CA68FD">
        <w:rPr>
          <w:rFonts w:cs="Arial"/>
        </w:rPr>
        <w:t xml:space="preserve"> will support </w:t>
      </w:r>
      <w:r w:rsidR="00B458D5">
        <w:rPr>
          <w:rFonts w:cs="Arial"/>
        </w:rPr>
        <w:t xml:space="preserve">the outcomes of this </w:t>
      </w:r>
      <w:r w:rsidR="00231D56">
        <w:rPr>
          <w:rFonts w:cs="Arial"/>
        </w:rPr>
        <w:t>p</w:t>
      </w:r>
      <w:r w:rsidR="00B458D5">
        <w:rPr>
          <w:rFonts w:cs="Arial"/>
        </w:rPr>
        <w:t xml:space="preserve">rice </w:t>
      </w:r>
      <w:r w:rsidR="00231D56">
        <w:rPr>
          <w:rFonts w:cs="Arial"/>
        </w:rPr>
        <w:t>s</w:t>
      </w:r>
      <w:r w:rsidR="00B458D5">
        <w:rPr>
          <w:rFonts w:cs="Arial"/>
        </w:rPr>
        <w:t>ubmission.</w:t>
      </w:r>
    </w:p>
    <w:p w14:paraId="2EA47F31" w14:textId="34814977" w:rsidR="00D44574" w:rsidRPr="00231D56" w:rsidRDefault="00D44574" w:rsidP="00322C30">
      <w:pPr>
        <w:pStyle w:val="Heading3"/>
        <w:rPr>
          <w:rStyle w:val="IntenseEmphasis"/>
          <w:i w:val="0"/>
          <w:color w:val="002B5C" w:themeColor="text2"/>
          <w:sz w:val="32"/>
          <w:szCs w:val="32"/>
        </w:rPr>
      </w:pPr>
      <w:bookmarkStart w:id="43" w:name="_Hlk109302294"/>
      <w:r w:rsidRPr="00231D56">
        <w:rPr>
          <w:rStyle w:val="IntenseEmphasis"/>
          <w:i w:val="0"/>
          <w:color w:val="002B5C" w:themeColor="text2"/>
          <w:sz w:val="32"/>
          <w:szCs w:val="32"/>
        </w:rPr>
        <w:t>Scope</w:t>
      </w:r>
    </w:p>
    <w:bookmarkEnd w:id="43"/>
    <w:p w14:paraId="349B67C9" w14:textId="17FC313A" w:rsidR="00AD1DF2" w:rsidRDefault="00A078F7" w:rsidP="002F0ECA">
      <w:pPr>
        <w:jc w:val="both"/>
        <w:rPr>
          <w:rFonts w:cs="Arial"/>
        </w:rPr>
      </w:pPr>
      <w:r>
        <w:rPr>
          <w:rFonts w:cs="Arial"/>
        </w:rPr>
        <w:t xml:space="preserve">The scope </w:t>
      </w:r>
      <w:r w:rsidR="001502A5">
        <w:rPr>
          <w:rFonts w:cs="Arial"/>
        </w:rPr>
        <w:t xml:space="preserve">and depth </w:t>
      </w:r>
      <w:r>
        <w:rPr>
          <w:rFonts w:cs="Arial"/>
        </w:rPr>
        <w:t>of engagement varied acc</w:t>
      </w:r>
      <w:r w:rsidR="00AD1DF2">
        <w:rPr>
          <w:rFonts w:cs="Arial"/>
        </w:rPr>
        <w:t>ording to</w:t>
      </w:r>
      <w:r w:rsidR="00F372E2">
        <w:rPr>
          <w:rFonts w:cs="Arial"/>
        </w:rPr>
        <w:t xml:space="preserve"> </w:t>
      </w:r>
      <w:r w:rsidR="001502A5">
        <w:rPr>
          <w:rFonts w:cs="Arial"/>
        </w:rPr>
        <w:t>the audience</w:t>
      </w:r>
      <w:r w:rsidR="008C4A68">
        <w:rPr>
          <w:rFonts w:cs="Arial"/>
        </w:rPr>
        <w:t>. Discussions were deeper and more detailed</w:t>
      </w:r>
      <w:r w:rsidR="009648C0">
        <w:rPr>
          <w:rFonts w:cs="Arial"/>
        </w:rPr>
        <w:t xml:space="preserve"> with the C</w:t>
      </w:r>
      <w:r w:rsidR="00231D56">
        <w:rPr>
          <w:rFonts w:cs="Arial"/>
        </w:rPr>
        <w:t>ustomer Reference Group</w:t>
      </w:r>
      <w:r w:rsidR="009648C0">
        <w:rPr>
          <w:rFonts w:cs="Arial"/>
        </w:rPr>
        <w:t xml:space="preserve">, while </w:t>
      </w:r>
      <w:r w:rsidR="00106167">
        <w:rPr>
          <w:rFonts w:cs="Arial"/>
        </w:rPr>
        <w:t>engagement with the entire customer base was focussed at two key junctures</w:t>
      </w:r>
      <w:r w:rsidR="00F659B5">
        <w:rPr>
          <w:rFonts w:cs="Arial"/>
        </w:rPr>
        <w:t>:</w:t>
      </w:r>
      <w:r w:rsidR="00106167" w:rsidRPr="00192F41">
        <w:rPr>
          <w:rFonts w:cs="Arial"/>
        </w:rPr>
        <w:t xml:space="preserve"> Phase 1 (inform</w:t>
      </w:r>
      <w:r w:rsidR="00106167">
        <w:rPr>
          <w:rFonts w:cs="Arial"/>
        </w:rPr>
        <w:t>ing</w:t>
      </w:r>
      <w:r w:rsidR="00106167" w:rsidRPr="00192F41">
        <w:rPr>
          <w:rFonts w:cs="Arial"/>
        </w:rPr>
        <w:t xml:space="preserve"> and listen</w:t>
      </w:r>
      <w:r w:rsidR="00106167">
        <w:rPr>
          <w:rFonts w:cs="Arial"/>
        </w:rPr>
        <w:t>ing</w:t>
      </w:r>
      <w:r w:rsidR="00106167" w:rsidRPr="00192F41">
        <w:rPr>
          <w:rFonts w:cs="Arial"/>
        </w:rPr>
        <w:t>) beginning in October 2021 and Phase 3 (testing</w:t>
      </w:r>
      <w:r w:rsidR="00106167">
        <w:rPr>
          <w:rFonts w:cs="Arial"/>
        </w:rPr>
        <w:t xml:space="preserve"> and prioritisation</w:t>
      </w:r>
      <w:r w:rsidR="00106167" w:rsidRPr="00192F41">
        <w:rPr>
          <w:rFonts w:cs="Arial"/>
        </w:rPr>
        <w:t>) in May 2022.</w:t>
      </w:r>
    </w:p>
    <w:p w14:paraId="39E03BBF" w14:textId="1BD43A0D" w:rsidR="00695F47" w:rsidRPr="00192F41" w:rsidRDefault="00695F47" w:rsidP="002F0ECA">
      <w:pPr>
        <w:jc w:val="both"/>
        <w:rPr>
          <w:rFonts w:cs="Arial"/>
        </w:rPr>
      </w:pPr>
      <w:r w:rsidRPr="00192F41">
        <w:rPr>
          <w:rFonts w:cs="Arial"/>
        </w:rPr>
        <w:t xml:space="preserve">This </w:t>
      </w:r>
      <w:r w:rsidR="00E27CBC">
        <w:rPr>
          <w:rFonts w:cs="Arial"/>
        </w:rPr>
        <w:t>Customer R</w:t>
      </w:r>
      <w:r w:rsidR="0073519F">
        <w:rPr>
          <w:rFonts w:cs="Arial"/>
        </w:rPr>
        <w:t>e</w:t>
      </w:r>
      <w:r w:rsidR="00E27CBC">
        <w:rPr>
          <w:rFonts w:cs="Arial"/>
        </w:rPr>
        <w:t>fe</w:t>
      </w:r>
      <w:r w:rsidR="0073519F">
        <w:rPr>
          <w:rFonts w:cs="Arial"/>
        </w:rPr>
        <w:t>r</w:t>
      </w:r>
      <w:r w:rsidR="00E27CBC">
        <w:rPr>
          <w:rFonts w:cs="Arial"/>
        </w:rPr>
        <w:t xml:space="preserve">ence Group </w:t>
      </w:r>
      <w:r w:rsidR="0073519F">
        <w:rPr>
          <w:rFonts w:cs="Arial"/>
        </w:rPr>
        <w:t>met on</w:t>
      </w:r>
      <w:r w:rsidRPr="00192F41">
        <w:rPr>
          <w:rFonts w:cs="Arial"/>
        </w:rPr>
        <w:t xml:space="preserve"> five</w:t>
      </w:r>
      <w:r w:rsidR="0073519F">
        <w:rPr>
          <w:rFonts w:cs="Arial"/>
        </w:rPr>
        <w:t xml:space="preserve"> occasions </w:t>
      </w:r>
      <w:r w:rsidR="00AD1DF2">
        <w:rPr>
          <w:rFonts w:cs="Arial"/>
        </w:rPr>
        <w:t xml:space="preserve">over </w:t>
      </w:r>
      <w:r w:rsidR="00231D56">
        <w:rPr>
          <w:rFonts w:cs="Arial"/>
        </w:rPr>
        <w:t>eight</w:t>
      </w:r>
      <w:r w:rsidR="00AD1DF2">
        <w:rPr>
          <w:rFonts w:cs="Arial"/>
        </w:rPr>
        <w:t xml:space="preserve"> months and</w:t>
      </w:r>
      <w:r w:rsidRPr="00192F41">
        <w:rPr>
          <w:rFonts w:cs="Arial"/>
        </w:rPr>
        <w:t xml:space="preserve"> </w:t>
      </w:r>
      <w:r w:rsidR="00AD1DF2">
        <w:rPr>
          <w:rFonts w:cs="Arial"/>
        </w:rPr>
        <w:t>discussed</w:t>
      </w:r>
      <w:r w:rsidRPr="00192F41">
        <w:rPr>
          <w:rFonts w:cs="Arial"/>
        </w:rPr>
        <w:t xml:space="preserve"> a number of topics and concepts including:</w:t>
      </w:r>
    </w:p>
    <w:p w14:paraId="6A60D63E" w14:textId="1B73E8B0" w:rsidR="00695F47" w:rsidRPr="00192F41" w:rsidRDefault="00DB4D85" w:rsidP="00695F47">
      <w:pPr>
        <w:pStyle w:val="Bulletpointparagraph"/>
        <w:rPr>
          <w:rStyle w:val="normaltextrun"/>
          <w:rFonts w:cs="Arial"/>
        </w:rPr>
      </w:pPr>
      <w:r>
        <w:rPr>
          <w:rStyle w:val="normaltextrun"/>
          <w:rFonts w:cs="Arial"/>
        </w:rPr>
        <w:t>c</w:t>
      </w:r>
      <w:r w:rsidR="00695F47" w:rsidRPr="00192F41">
        <w:rPr>
          <w:rStyle w:val="normaltextrun"/>
          <w:rFonts w:cs="Arial"/>
        </w:rPr>
        <w:t>ustomer value, expectations and challenges</w:t>
      </w:r>
      <w:r>
        <w:rPr>
          <w:rStyle w:val="normaltextrun"/>
          <w:rFonts w:cs="Arial"/>
        </w:rPr>
        <w:t>;</w:t>
      </w:r>
    </w:p>
    <w:p w14:paraId="2007E9C8" w14:textId="77777777" w:rsidR="00695F47" w:rsidRPr="00192F41" w:rsidRDefault="00695F47" w:rsidP="002F0ECA">
      <w:pPr>
        <w:pStyle w:val="Bulletpointparagraph"/>
        <w:jc w:val="both"/>
        <w:rPr>
          <w:rStyle w:val="eop"/>
          <w:rFonts w:cs="Arial"/>
        </w:rPr>
      </w:pPr>
      <w:r w:rsidRPr="00192F41">
        <w:rPr>
          <w:rStyle w:val="normaltextrun"/>
          <w:rFonts w:cs="Arial"/>
        </w:rPr>
        <w:t>SRW’s operational initiatives and capital priorities and their potential impacts on customers;</w:t>
      </w:r>
    </w:p>
    <w:p w14:paraId="6AA06EA7" w14:textId="77777777" w:rsidR="00695F47" w:rsidRPr="00192F41" w:rsidRDefault="00695F47" w:rsidP="002F0ECA">
      <w:pPr>
        <w:pStyle w:val="Bulletpointparagraph"/>
        <w:jc w:val="both"/>
        <w:rPr>
          <w:rStyle w:val="normaltextrun"/>
          <w:rFonts w:cs="Arial"/>
        </w:rPr>
      </w:pPr>
      <w:r w:rsidRPr="00192F41">
        <w:rPr>
          <w:rStyle w:val="normaltextrun"/>
          <w:rFonts w:cs="Arial"/>
        </w:rPr>
        <w:t>service levels and customer outcomes;</w:t>
      </w:r>
    </w:p>
    <w:p w14:paraId="27C1E412" w14:textId="0CD3CE09" w:rsidR="00695F47" w:rsidRPr="00192F41" w:rsidRDefault="00695F47" w:rsidP="00695F47">
      <w:pPr>
        <w:pStyle w:val="Bulletpointparagraph"/>
        <w:rPr>
          <w:rStyle w:val="normaltextrun"/>
          <w:rFonts w:cs="Arial"/>
        </w:rPr>
      </w:pPr>
      <w:r w:rsidRPr="00192F41">
        <w:rPr>
          <w:rStyle w:val="normaltextrun"/>
          <w:rFonts w:cs="Arial"/>
        </w:rPr>
        <w:t xml:space="preserve">proposed pricing </w:t>
      </w:r>
      <w:r w:rsidR="00733D21" w:rsidRPr="00192F41">
        <w:rPr>
          <w:rStyle w:val="normaltextrun"/>
          <w:rFonts w:cs="Arial"/>
        </w:rPr>
        <w:t xml:space="preserve">pathways </w:t>
      </w:r>
      <w:r w:rsidR="00DE5AE9" w:rsidRPr="00192F41">
        <w:rPr>
          <w:rStyle w:val="normaltextrun"/>
          <w:rFonts w:cs="Arial"/>
        </w:rPr>
        <w:t>for each customer base</w:t>
      </w:r>
      <w:r w:rsidRPr="00192F41">
        <w:rPr>
          <w:rStyle w:val="normaltextrun"/>
          <w:rFonts w:cs="Arial"/>
        </w:rPr>
        <w:t>;</w:t>
      </w:r>
    </w:p>
    <w:p w14:paraId="5457537D" w14:textId="2BC44B21" w:rsidR="00695F47" w:rsidRPr="00192F41" w:rsidRDefault="00695F47" w:rsidP="00695F47">
      <w:pPr>
        <w:pStyle w:val="Bulletpointparagraph"/>
        <w:rPr>
          <w:rStyle w:val="normaltextrun"/>
          <w:rFonts w:cs="Arial"/>
        </w:rPr>
      </w:pPr>
      <w:r w:rsidRPr="00192F41">
        <w:rPr>
          <w:rStyle w:val="normaltextrun"/>
          <w:rFonts w:cs="Arial"/>
        </w:rPr>
        <w:t>tariff</w:t>
      </w:r>
      <w:r w:rsidR="00DE5AE9" w:rsidRPr="00192F41">
        <w:rPr>
          <w:rStyle w:val="normaltextrun"/>
          <w:rFonts w:cs="Arial"/>
        </w:rPr>
        <w:t xml:space="preserve"> reform concepts</w:t>
      </w:r>
      <w:r w:rsidRPr="00192F41">
        <w:rPr>
          <w:rStyle w:val="normaltextrun"/>
          <w:rFonts w:cs="Arial"/>
        </w:rPr>
        <w:t>;</w:t>
      </w:r>
    </w:p>
    <w:p w14:paraId="352AD128" w14:textId="15A1115B" w:rsidR="00695F47" w:rsidRPr="00192F41" w:rsidRDefault="00695F47" w:rsidP="00695F47">
      <w:pPr>
        <w:pStyle w:val="Bulletpointparagraph"/>
        <w:rPr>
          <w:rStyle w:val="normaltextrun"/>
          <w:rFonts w:cs="Arial"/>
        </w:rPr>
      </w:pPr>
      <w:r w:rsidRPr="00192F41">
        <w:rPr>
          <w:rStyle w:val="normaltextrun"/>
          <w:rFonts w:cs="Arial"/>
        </w:rPr>
        <w:t>timing, format</w:t>
      </w:r>
      <w:r w:rsidR="00A4144E" w:rsidRPr="00192F41">
        <w:rPr>
          <w:rStyle w:val="normaltextrun"/>
          <w:rFonts w:cs="Arial"/>
        </w:rPr>
        <w:t>, approach</w:t>
      </w:r>
      <w:r w:rsidRPr="00192F41">
        <w:rPr>
          <w:rStyle w:val="normaltextrun"/>
          <w:rFonts w:cs="Arial"/>
        </w:rPr>
        <w:t xml:space="preserve"> audiences for engagement; and</w:t>
      </w:r>
    </w:p>
    <w:p w14:paraId="46A6B0D7" w14:textId="203B5BF2" w:rsidR="00695F47" w:rsidRPr="00192F41" w:rsidRDefault="00DD732C" w:rsidP="00695F47">
      <w:pPr>
        <w:pStyle w:val="Bulletpointparagraph"/>
        <w:rPr>
          <w:rStyle w:val="normaltextrun"/>
          <w:rFonts w:cs="Arial"/>
        </w:rPr>
      </w:pPr>
      <w:r>
        <w:rPr>
          <w:rStyle w:val="normaltextrun"/>
          <w:rFonts w:cs="Arial"/>
        </w:rPr>
        <w:t>content</w:t>
      </w:r>
      <w:r w:rsidR="00A4144E" w:rsidRPr="00192F41">
        <w:rPr>
          <w:rStyle w:val="normaltextrun"/>
          <w:rFonts w:cs="Arial"/>
        </w:rPr>
        <w:t xml:space="preserve"> of</w:t>
      </w:r>
      <w:r w:rsidR="00695F47" w:rsidRPr="00192F41">
        <w:rPr>
          <w:rStyle w:val="normaltextrun"/>
          <w:rFonts w:cs="Arial"/>
        </w:rPr>
        <w:t xml:space="preserve"> communication materials</w:t>
      </w:r>
      <w:r w:rsidR="00DB4D85">
        <w:rPr>
          <w:rStyle w:val="normaltextrun"/>
          <w:rFonts w:cs="Arial"/>
        </w:rPr>
        <w:t>.</w:t>
      </w:r>
    </w:p>
    <w:p w14:paraId="075A5F7E" w14:textId="7FFD4E4A" w:rsidR="00F372E2" w:rsidRDefault="00F4134E" w:rsidP="002F0ECA">
      <w:pPr>
        <w:jc w:val="both"/>
        <w:rPr>
          <w:rFonts w:cs="Arial"/>
        </w:rPr>
      </w:pPr>
      <w:r>
        <w:rPr>
          <w:rFonts w:cs="Arial"/>
        </w:rPr>
        <w:t>Most</w:t>
      </w:r>
      <w:r w:rsidR="00171850">
        <w:rPr>
          <w:rFonts w:cs="Arial"/>
        </w:rPr>
        <w:t xml:space="preserve"> of the </w:t>
      </w:r>
      <w:r w:rsidR="00F372E2">
        <w:rPr>
          <w:rFonts w:cs="Arial"/>
        </w:rPr>
        <w:t xml:space="preserve">matters were </w:t>
      </w:r>
      <w:r w:rsidR="00171850">
        <w:rPr>
          <w:rFonts w:cs="Arial"/>
        </w:rPr>
        <w:t>also</w:t>
      </w:r>
      <w:r w:rsidR="00F372E2">
        <w:rPr>
          <w:rFonts w:cs="Arial"/>
        </w:rPr>
        <w:t xml:space="preserve"> raised with existing </w:t>
      </w:r>
      <w:r w:rsidR="00231D56">
        <w:rPr>
          <w:rFonts w:cs="Arial"/>
        </w:rPr>
        <w:t>c</w:t>
      </w:r>
      <w:r w:rsidR="00F372E2">
        <w:rPr>
          <w:rFonts w:cs="Arial"/>
        </w:rPr>
        <w:t xml:space="preserve">ustomer </w:t>
      </w:r>
      <w:r w:rsidR="00231D56">
        <w:rPr>
          <w:rFonts w:cs="Arial"/>
        </w:rPr>
        <w:t>c</w:t>
      </w:r>
      <w:r w:rsidR="00F372E2">
        <w:rPr>
          <w:rFonts w:cs="Arial"/>
        </w:rPr>
        <w:t xml:space="preserve">onsultative </w:t>
      </w:r>
      <w:r w:rsidR="00231D56">
        <w:rPr>
          <w:rFonts w:cs="Arial"/>
        </w:rPr>
        <w:t>c</w:t>
      </w:r>
      <w:r w:rsidR="00F372E2">
        <w:rPr>
          <w:rFonts w:cs="Arial"/>
        </w:rPr>
        <w:t>ommittees</w:t>
      </w:r>
      <w:r w:rsidR="00171850">
        <w:rPr>
          <w:rFonts w:cs="Arial"/>
        </w:rPr>
        <w:t>.</w:t>
      </w:r>
      <w:r w:rsidR="00A477CC">
        <w:rPr>
          <w:rFonts w:cs="Arial"/>
        </w:rPr>
        <w:t xml:space="preserve"> We maintained connection</w:t>
      </w:r>
      <w:r w:rsidR="003C3950">
        <w:rPr>
          <w:rFonts w:cs="Arial"/>
        </w:rPr>
        <w:t xml:space="preserve"> with these groups at all points throughout</w:t>
      </w:r>
      <w:r w:rsidR="00760C94">
        <w:rPr>
          <w:rFonts w:cs="Arial"/>
        </w:rPr>
        <w:t xml:space="preserve"> the </w:t>
      </w:r>
      <w:r w:rsidR="00231D56">
        <w:rPr>
          <w:rFonts w:cs="Arial"/>
        </w:rPr>
        <w:t>p</w:t>
      </w:r>
      <w:r w:rsidR="00760C94">
        <w:rPr>
          <w:rFonts w:cs="Arial"/>
        </w:rPr>
        <w:t xml:space="preserve">rice </w:t>
      </w:r>
      <w:r w:rsidR="00231D56">
        <w:rPr>
          <w:rFonts w:cs="Arial"/>
        </w:rPr>
        <w:t>s</w:t>
      </w:r>
      <w:r w:rsidR="00760C94">
        <w:rPr>
          <w:rFonts w:cs="Arial"/>
        </w:rPr>
        <w:t>ubmission development.</w:t>
      </w:r>
    </w:p>
    <w:p w14:paraId="2DC9C0E9" w14:textId="49337807" w:rsidR="00F4743C" w:rsidRPr="00484827" w:rsidRDefault="005D1770" w:rsidP="002F0ECA">
      <w:pPr>
        <w:jc w:val="both"/>
        <w:rPr>
          <w:rFonts w:cs="Arial"/>
        </w:rPr>
      </w:pPr>
      <w:r>
        <w:rPr>
          <w:rFonts w:cs="Arial"/>
        </w:rPr>
        <w:t>During Phase 1</w:t>
      </w:r>
      <w:r w:rsidR="00416547">
        <w:rPr>
          <w:rFonts w:cs="Arial"/>
        </w:rPr>
        <w:t xml:space="preserve"> </w:t>
      </w:r>
      <w:r w:rsidR="0010372D">
        <w:rPr>
          <w:rFonts w:cs="Arial"/>
        </w:rPr>
        <w:t xml:space="preserve">we </w:t>
      </w:r>
      <w:r w:rsidR="004D3F02">
        <w:rPr>
          <w:rFonts w:cs="Arial"/>
        </w:rPr>
        <w:t>promoted</w:t>
      </w:r>
      <w:r w:rsidR="0010372D">
        <w:rPr>
          <w:rFonts w:cs="Arial"/>
        </w:rPr>
        <w:t xml:space="preserve"> </w:t>
      </w:r>
      <w:r w:rsidR="00416547">
        <w:rPr>
          <w:rFonts w:cs="Arial"/>
        </w:rPr>
        <w:t xml:space="preserve">a </w:t>
      </w:r>
      <w:r w:rsidR="0010372D">
        <w:rPr>
          <w:rFonts w:cs="Arial"/>
        </w:rPr>
        <w:t xml:space="preserve">survey </w:t>
      </w:r>
      <w:r w:rsidR="004D3F02">
        <w:rPr>
          <w:rFonts w:cs="Arial"/>
        </w:rPr>
        <w:t>to all our customers</w:t>
      </w:r>
      <w:r w:rsidR="0010372D">
        <w:rPr>
          <w:rFonts w:cs="Arial"/>
        </w:rPr>
        <w:t xml:space="preserve"> with the objectives to:</w:t>
      </w:r>
    </w:p>
    <w:p w14:paraId="2FFA7A98" w14:textId="33B15E1A" w:rsidR="00F4743C" w:rsidRPr="00484827" w:rsidRDefault="000E2013" w:rsidP="000E2013">
      <w:pPr>
        <w:pStyle w:val="Bulletpointparagraph"/>
      </w:pPr>
      <w:r>
        <w:t>p</w:t>
      </w:r>
      <w:r w:rsidR="00F4743C" w:rsidRPr="00484827">
        <w:t>rofile SRW customers’ current and future needs and expectations</w:t>
      </w:r>
      <w:r>
        <w:t>;</w:t>
      </w:r>
    </w:p>
    <w:p w14:paraId="373DEBCA" w14:textId="0980D9C7" w:rsidR="00F4743C" w:rsidRPr="00484827" w:rsidRDefault="00003B9B" w:rsidP="000E2013">
      <w:pPr>
        <w:pStyle w:val="Bulletpointparagraph"/>
      </w:pPr>
      <w:r>
        <w:t>u</w:t>
      </w:r>
      <w:r w:rsidR="00F4743C" w:rsidRPr="00484827">
        <w:t>nderstand customer and community expectations of SRW to help identify service offerings and priorities</w:t>
      </w:r>
      <w:r w:rsidR="000E2013">
        <w:t>;</w:t>
      </w:r>
      <w:r w:rsidR="00C40A7F">
        <w:t xml:space="preserve"> and</w:t>
      </w:r>
    </w:p>
    <w:p w14:paraId="5D8B84AA" w14:textId="34AAA595" w:rsidR="00F4743C" w:rsidRPr="00484827" w:rsidRDefault="00003B9B" w:rsidP="000E2013">
      <w:pPr>
        <w:pStyle w:val="Bulletpointparagraph"/>
      </w:pPr>
      <w:r>
        <w:t>e</w:t>
      </w:r>
      <w:r w:rsidR="00F4743C" w:rsidRPr="00484827">
        <w:t>stablish customer awareness, and value derived from P</w:t>
      </w:r>
      <w:r w:rsidR="00C40A7F">
        <w:t xml:space="preserve">rice Submission </w:t>
      </w:r>
      <w:r w:rsidR="00F4743C" w:rsidRPr="00484827">
        <w:t>2018</w:t>
      </w:r>
      <w:r w:rsidR="00F60D84">
        <w:t>.</w:t>
      </w:r>
    </w:p>
    <w:p w14:paraId="190974AF" w14:textId="24FA2C6F" w:rsidR="00192E00" w:rsidRPr="00484827" w:rsidRDefault="00192E00" w:rsidP="00C81BC9">
      <w:pPr>
        <w:pStyle w:val="BodyText"/>
        <w:rPr>
          <w:rFonts w:ascii="Arial" w:hAnsi="Arial" w:cs="Arial"/>
          <w:sz w:val="22"/>
          <w:szCs w:val="22"/>
        </w:rPr>
      </w:pPr>
      <w:r w:rsidRPr="00484827">
        <w:rPr>
          <w:rFonts w:ascii="Arial" w:hAnsi="Arial" w:cs="Arial"/>
          <w:sz w:val="22"/>
          <w:szCs w:val="22"/>
        </w:rPr>
        <w:t>The Phase 3 survey focus</w:t>
      </w:r>
      <w:r w:rsidR="00F60D84">
        <w:rPr>
          <w:rFonts w:ascii="Arial" w:hAnsi="Arial" w:cs="Arial"/>
          <w:sz w:val="22"/>
          <w:szCs w:val="22"/>
        </w:rPr>
        <w:t>s</w:t>
      </w:r>
      <w:r w:rsidRPr="00484827">
        <w:rPr>
          <w:rFonts w:ascii="Arial" w:hAnsi="Arial" w:cs="Arial"/>
          <w:sz w:val="22"/>
          <w:szCs w:val="22"/>
        </w:rPr>
        <w:t>ed on testing customers’ preferences and priorities in relation to SRW’s draft price proposals and service outcomes. The scenarios were developed from Phase 1 customer feedback and Phase 2 initial testing with SRW’s C</w:t>
      </w:r>
      <w:r w:rsidR="00F60D84">
        <w:rPr>
          <w:rFonts w:ascii="Arial" w:hAnsi="Arial" w:cs="Arial"/>
          <w:sz w:val="22"/>
          <w:szCs w:val="22"/>
        </w:rPr>
        <w:t xml:space="preserve">ustomer </w:t>
      </w:r>
      <w:r w:rsidRPr="00484827">
        <w:rPr>
          <w:rFonts w:ascii="Arial" w:hAnsi="Arial" w:cs="Arial"/>
          <w:sz w:val="22"/>
          <w:szCs w:val="22"/>
        </w:rPr>
        <w:t>R</w:t>
      </w:r>
      <w:r w:rsidR="00F60D84">
        <w:rPr>
          <w:rFonts w:ascii="Arial" w:hAnsi="Arial" w:cs="Arial"/>
          <w:sz w:val="22"/>
          <w:szCs w:val="22"/>
        </w:rPr>
        <w:t xml:space="preserve">eference </w:t>
      </w:r>
      <w:r w:rsidRPr="00484827">
        <w:rPr>
          <w:rFonts w:ascii="Arial" w:hAnsi="Arial" w:cs="Arial"/>
          <w:sz w:val="22"/>
          <w:szCs w:val="22"/>
        </w:rPr>
        <w:t>G</w:t>
      </w:r>
      <w:r w:rsidR="00F60D84">
        <w:rPr>
          <w:rFonts w:ascii="Arial" w:hAnsi="Arial" w:cs="Arial"/>
          <w:sz w:val="22"/>
          <w:szCs w:val="22"/>
        </w:rPr>
        <w:t>roup</w:t>
      </w:r>
      <w:r w:rsidRPr="00484827">
        <w:rPr>
          <w:rFonts w:ascii="Arial" w:hAnsi="Arial" w:cs="Arial"/>
          <w:sz w:val="22"/>
          <w:szCs w:val="22"/>
        </w:rPr>
        <w:t xml:space="preserve">, its </w:t>
      </w:r>
      <w:r w:rsidR="00F60D84">
        <w:rPr>
          <w:rFonts w:ascii="Arial" w:hAnsi="Arial" w:cs="Arial"/>
          <w:sz w:val="22"/>
          <w:szCs w:val="22"/>
        </w:rPr>
        <w:t>customer consultative committees</w:t>
      </w:r>
      <w:r w:rsidRPr="00484827">
        <w:rPr>
          <w:rFonts w:ascii="Arial" w:hAnsi="Arial" w:cs="Arial"/>
          <w:sz w:val="22"/>
          <w:szCs w:val="22"/>
        </w:rPr>
        <w:t xml:space="preserve"> and </w:t>
      </w:r>
      <w:r w:rsidR="00F60D84">
        <w:rPr>
          <w:rFonts w:ascii="Arial" w:hAnsi="Arial" w:cs="Arial"/>
          <w:sz w:val="22"/>
          <w:szCs w:val="22"/>
        </w:rPr>
        <w:t>Southern Groundwater and River Forum</w:t>
      </w:r>
      <w:r w:rsidRPr="00484827">
        <w:rPr>
          <w:rFonts w:ascii="Arial" w:hAnsi="Arial" w:cs="Arial"/>
          <w:sz w:val="22"/>
          <w:szCs w:val="22"/>
        </w:rPr>
        <w:t xml:space="preserve"> members.</w:t>
      </w:r>
    </w:p>
    <w:p w14:paraId="1ACE1C4B" w14:textId="77777777" w:rsidR="00192E00" w:rsidRPr="00484827" w:rsidRDefault="00192E00" w:rsidP="00192E00">
      <w:pPr>
        <w:pStyle w:val="BodyText"/>
        <w:rPr>
          <w:rFonts w:ascii="Arial" w:hAnsi="Arial" w:cs="Arial"/>
          <w:sz w:val="22"/>
          <w:szCs w:val="22"/>
        </w:rPr>
      </w:pPr>
      <w:r w:rsidRPr="00484827">
        <w:rPr>
          <w:rFonts w:ascii="Arial" w:hAnsi="Arial" w:cs="Arial"/>
          <w:sz w:val="22"/>
          <w:szCs w:val="22"/>
        </w:rPr>
        <w:t>The survey objectives were to:</w:t>
      </w:r>
    </w:p>
    <w:p w14:paraId="1B2B94AF" w14:textId="47CBCF95" w:rsidR="00192E00" w:rsidRPr="00484827" w:rsidRDefault="00003B9B" w:rsidP="00C81BC9">
      <w:pPr>
        <w:pStyle w:val="Bulletpointparagraph"/>
        <w:jc w:val="both"/>
      </w:pPr>
      <w:r>
        <w:t>t</w:t>
      </w:r>
      <w:r w:rsidR="00192E00" w:rsidRPr="00484827">
        <w:t>est customers’ support or otherwise for SRW’s proposed price increases (baseline or other options) according to their water source</w:t>
      </w:r>
      <w:r w:rsidR="000E2013">
        <w:t>; and</w:t>
      </w:r>
    </w:p>
    <w:p w14:paraId="71F3B757" w14:textId="4CD300FF" w:rsidR="00192E00" w:rsidRPr="00484827" w:rsidRDefault="00003B9B" w:rsidP="00C81BC9">
      <w:pPr>
        <w:pStyle w:val="Bulletpointparagraph"/>
        <w:jc w:val="both"/>
      </w:pPr>
      <w:r>
        <w:t>e</w:t>
      </w:r>
      <w:r w:rsidR="00192E00" w:rsidRPr="00484827">
        <w:t>stablish the importance of SRW’s proposed core price/service outcomes with customers and identify the areas SRW should focus on in line with each proposed outcome.</w:t>
      </w:r>
    </w:p>
    <w:p w14:paraId="0400516D" w14:textId="32665083" w:rsidR="00695F47" w:rsidRPr="00192F41" w:rsidRDefault="00695F47" w:rsidP="00C81BC9">
      <w:pPr>
        <w:jc w:val="both"/>
        <w:rPr>
          <w:rFonts w:cs="Arial"/>
        </w:rPr>
      </w:pPr>
      <w:r w:rsidRPr="00192F41">
        <w:rPr>
          <w:rFonts w:cs="Arial"/>
        </w:rPr>
        <w:t xml:space="preserve">Throughout Phase 3 we also invited key customers including </w:t>
      </w:r>
      <w:r w:rsidR="00F60D84">
        <w:rPr>
          <w:rFonts w:cs="Arial"/>
        </w:rPr>
        <w:t>bulk entitlement</w:t>
      </w:r>
      <w:r w:rsidRPr="00192F41">
        <w:rPr>
          <w:rFonts w:cs="Arial"/>
        </w:rPr>
        <w:t xml:space="preserve"> holders and Traditional Owners to engage with us one-to-one</w:t>
      </w:r>
      <w:r w:rsidR="00E2046B" w:rsidRPr="00192F41">
        <w:rPr>
          <w:rFonts w:cs="Arial"/>
        </w:rPr>
        <w:t xml:space="preserve"> </w:t>
      </w:r>
      <w:r w:rsidR="00336291" w:rsidRPr="00192F41">
        <w:rPr>
          <w:rFonts w:cs="Arial"/>
        </w:rPr>
        <w:t>focussing on value, proposed pricing pathways,</w:t>
      </w:r>
      <w:r w:rsidR="008C1E3D" w:rsidRPr="00192F41">
        <w:rPr>
          <w:rFonts w:cs="Arial"/>
        </w:rPr>
        <w:t xml:space="preserve"> our ongoing relationship</w:t>
      </w:r>
      <w:r w:rsidR="000E4B8D" w:rsidRPr="00192F41">
        <w:rPr>
          <w:rFonts w:cs="Arial"/>
        </w:rPr>
        <w:t>,</w:t>
      </w:r>
      <w:r w:rsidR="00091EE3" w:rsidRPr="00192F41">
        <w:rPr>
          <w:rFonts w:cs="Arial"/>
        </w:rPr>
        <w:t xml:space="preserve"> and</w:t>
      </w:r>
      <w:r w:rsidR="005425E5" w:rsidRPr="00192F41">
        <w:rPr>
          <w:rFonts w:cs="Arial"/>
        </w:rPr>
        <w:t xml:space="preserve"> mutual outcomes.</w:t>
      </w:r>
    </w:p>
    <w:p w14:paraId="0B644980" w14:textId="14A5EBE3" w:rsidR="00BD19FF" w:rsidRPr="00192F41" w:rsidRDefault="003A647C" w:rsidP="00C81BC9">
      <w:pPr>
        <w:jc w:val="both"/>
        <w:rPr>
          <w:rFonts w:cs="Arial"/>
        </w:rPr>
      </w:pPr>
      <w:r>
        <w:rPr>
          <w:rFonts w:cs="Arial"/>
        </w:rPr>
        <w:t>As noted earlier, t</w:t>
      </w:r>
      <w:r w:rsidR="00695F47" w:rsidRPr="00192F41">
        <w:rPr>
          <w:rFonts w:cs="Arial"/>
        </w:rPr>
        <w:t xml:space="preserve">he results from the biennial customer satisfaction survey </w:t>
      </w:r>
      <w:r w:rsidR="00742ABD">
        <w:rPr>
          <w:rFonts w:cs="Arial"/>
        </w:rPr>
        <w:t>provided</w:t>
      </w:r>
      <w:r w:rsidR="00695F47" w:rsidRPr="00192F41">
        <w:rPr>
          <w:rFonts w:cs="Arial"/>
        </w:rPr>
        <w:t xml:space="preserve"> another key feedback mechanism. </w:t>
      </w:r>
      <w:r w:rsidR="006B0838">
        <w:rPr>
          <w:rFonts w:cs="Arial"/>
        </w:rPr>
        <w:t xml:space="preserve">We drew on information </w:t>
      </w:r>
      <w:r w:rsidR="003F2CBB">
        <w:rPr>
          <w:rFonts w:cs="Arial"/>
        </w:rPr>
        <w:t>gathered</w:t>
      </w:r>
      <w:r w:rsidR="006B0838">
        <w:rPr>
          <w:rFonts w:cs="Arial"/>
        </w:rPr>
        <w:t xml:space="preserve"> from both the</w:t>
      </w:r>
      <w:r w:rsidR="00695F47" w:rsidRPr="00192F41">
        <w:rPr>
          <w:rFonts w:cs="Arial"/>
        </w:rPr>
        <w:t xml:space="preserve"> </w:t>
      </w:r>
      <w:r w:rsidR="00642BE0">
        <w:rPr>
          <w:rFonts w:cs="Arial"/>
        </w:rPr>
        <w:t>most recent</w:t>
      </w:r>
      <w:r w:rsidR="00695F47" w:rsidRPr="00192F41">
        <w:rPr>
          <w:rFonts w:cs="Arial"/>
        </w:rPr>
        <w:t xml:space="preserve"> survey, designed with the price submission development in mind, and completed by </w:t>
      </w:r>
      <w:r>
        <w:rPr>
          <w:rFonts w:cs="Arial"/>
        </w:rPr>
        <w:t>883</w:t>
      </w:r>
      <w:r w:rsidR="00695F47" w:rsidRPr="00192F41">
        <w:rPr>
          <w:rFonts w:cs="Arial"/>
        </w:rPr>
        <w:t xml:space="preserve"> randomly selected customers</w:t>
      </w:r>
      <w:r w:rsidR="003F2CBB">
        <w:rPr>
          <w:rFonts w:cs="Arial"/>
        </w:rPr>
        <w:t xml:space="preserve"> as well as the previous survey completed by </w:t>
      </w:r>
      <w:r w:rsidR="005027E4">
        <w:rPr>
          <w:rFonts w:cs="Arial"/>
        </w:rPr>
        <w:t>1</w:t>
      </w:r>
      <w:r w:rsidR="00742ABD">
        <w:rPr>
          <w:rFonts w:cs="Arial"/>
        </w:rPr>
        <w:t>,</w:t>
      </w:r>
      <w:r w:rsidR="005027E4">
        <w:rPr>
          <w:rFonts w:cs="Arial"/>
        </w:rPr>
        <w:t>000</w:t>
      </w:r>
      <w:r w:rsidR="003F2CBB">
        <w:rPr>
          <w:rFonts w:cs="Arial"/>
        </w:rPr>
        <w:t xml:space="preserve"> customers in 2019</w:t>
      </w:r>
      <w:r w:rsidR="00695F47" w:rsidRPr="00192F41">
        <w:rPr>
          <w:rFonts w:cs="Arial"/>
        </w:rPr>
        <w:t>.</w:t>
      </w:r>
      <w:r w:rsidR="0044763A" w:rsidRPr="00192F41">
        <w:rPr>
          <w:rFonts w:cs="Arial"/>
        </w:rPr>
        <w:t xml:space="preserve"> This provided</w:t>
      </w:r>
      <w:r w:rsidR="008E13D0" w:rsidRPr="00192F41">
        <w:rPr>
          <w:rFonts w:cs="Arial"/>
        </w:rPr>
        <w:t xml:space="preserve"> valuable information regarding the value</w:t>
      </w:r>
      <w:r w:rsidR="00B643B6" w:rsidRPr="00192F41">
        <w:rPr>
          <w:rFonts w:cs="Arial"/>
        </w:rPr>
        <w:t xml:space="preserve"> for service, </w:t>
      </w:r>
      <w:r w:rsidR="004A3C3C" w:rsidRPr="00192F41">
        <w:rPr>
          <w:rFonts w:cs="Arial"/>
        </w:rPr>
        <w:t>our performance</w:t>
      </w:r>
      <w:r w:rsidR="000E4B8D" w:rsidRPr="00192F41">
        <w:rPr>
          <w:rFonts w:cs="Arial"/>
        </w:rPr>
        <w:t>,</w:t>
      </w:r>
      <w:r w:rsidR="00C33F6D" w:rsidRPr="00192F41">
        <w:rPr>
          <w:rFonts w:cs="Arial"/>
        </w:rPr>
        <w:t xml:space="preserve"> and expectations.</w:t>
      </w:r>
    </w:p>
    <w:p w14:paraId="0D26F100" w14:textId="79E2943D" w:rsidR="002867EB" w:rsidRPr="00192F41" w:rsidRDefault="002867EB" w:rsidP="002867EB">
      <w:pPr>
        <w:pStyle w:val="Heading2"/>
        <w:rPr>
          <w:rFonts w:cs="Arial"/>
        </w:rPr>
      </w:pPr>
      <w:r w:rsidRPr="00192F41">
        <w:rPr>
          <w:rFonts w:cs="Arial"/>
        </w:rPr>
        <w:t>Feedback</w:t>
      </w:r>
    </w:p>
    <w:p w14:paraId="08CDE61A" w14:textId="5841F74D" w:rsidR="00D44574" w:rsidRPr="00231D56" w:rsidRDefault="00D44574" w:rsidP="002867EB">
      <w:pPr>
        <w:pStyle w:val="Heading3"/>
      </w:pPr>
      <w:r w:rsidRPr="00231D56">
        <w:t>Customer feedback</w:t>
      </w:r>
    </w:p>
    <w:p w14:paraId="089F63DB" w14:textId="316C6D21" w:rsidR="00EC3100" w:rsidRDefault="00EC3100" w:rsidP="00EC3100">
      <w:pPr>
        <w:pStyle w:val="Heading4"/>
      </w:pPr>
      <w:r>
        <w:t>Value</w:t>
      </w:r>
    </w:p>
    <w:p w14:paraId="65B2DBC2" w14:textId="405B3B0B" w:rsidR="00BD19FF" w:rsidRPr="00192F41" w:rsidRDefault="00E35712" w:rsidP="00C81BC9">
      <w:pPr>
        <w:jc w:val="both"/>
        <w:rPr>
          <w:rFonts w:cs="Arial"/>
        </w:rPr>
      </w:pPr>
      <w:r>
        <w:rPr>
          <w:rFonts w:cs="Arial"/>
        </w:rPr>
        <w:t>I</w:t>
      </w:r>
      <w:r w:rsidR="00BD19FF" w:rsidRPr="00192F41">
        <w:rPr>
          <w:rFonts w:cs="Arial"/>
        </w:rPr>
        <w:t>n general</w:t>
      </w:r>
      <w:r w:rsidR="00F659B5" w:rsidRPr="00192F41">
        <w:rPr>
          <w:rFonts w:cs="Arial"/>
        </w:rPr>
        <w:t>,</w:t>
      </w:r>
      <w:r w:rsidR="00BD19FF" w:rsidRPr="00192F41">
        <w:rPr>
          <w:rFonts w:cs="Arial"/>
        </w:rPr>
        <w:t xml:space="preserve"> our customers are happy with the level of service we provide, and believe we offer good value for money. Acknowledging the broad range of customers, the various uses of water, size of enterprise and the different interactions they have with SRW, some of the findings from surveys and discussions are contradictory, however, on balance </w:t>
      </w:r>
      <w:r w:rsidR="006D7607" w:rsidRPr="00192F41">
        <w:rPr>
          <w:rFonts w:cs="Arial"/>
        </w:rPr>
        <w:t>most</w:t>
      </w:r>
      <w:r w:rsidR="00BD19FF" w:rsidRPr="00192F41">
        <w:rPr>
          <w:rFonts w:cs="Arial"/>
        </w:rPr>
        <w:t xml:space="preserve"> of our customers value and appreciate SRW’s provision of water, customer service and level of communication and are seeking similar outcomes for the future.</w:t>
      </w:r>
    </w:p>
    <w:p w14:paraId="7F4D0381" w14:textId="77777777" w:rsidR="00BD19FF" w:rsidRPr="00192F41" w:rsidRDefault="00BD19FF" w:rsidP="00C81BC9">
      <w:pPr>
        <w:jc w:val="both"/>
        <w:rPr>
          <w:rFonts w:cs="Arial"/>
        </w:rPr>
      </w:pPr>
      <w:r w:rsidRPr="00192F41">
        <w:rPr>
          <w:rFonts w:cs="Arial"/>
        </w:rPr>
        <w:t xml:space="preserve">Our customers told us that they want to see us make continuous improvements to ensure we continue to provide the same if not better access to water while keeping costs as low as reasonable.  </w:t>
      </w:r>
    </w:p>
    <w:p w14:paraId="4DA1DF5B" w14:textId="77777777" w:rsidR="00BD19FF" w:rsidRPr="005E547C" w:rsidRDefault="00BD19FF" w:rsidP="00C81BC9">
      <w:pPr>
        <w:jc w:val="both"/>
        <w:rPr>
          <w:rFonts w:cs="Arial"/>
          <w:bCs/>
        </w:rPr>
      </w:pPr>
      <w:r w:rsidRPr="00192F41">
        <w:rPr>
          <w:rFonts w:cs="Arial"/>
        </w:rPr>
        <w:t xml:space="preserve">The sentiment around pricing is clear and consistent, which led to the core outcome: </w:t>
      </w:r>
      <w:r w:rsidRPr="005E547C">
        <w:rPr>
          <w:rFonts w:cs="Arial"/>
          <w:bCs/>
        </w:rPr>
        <w:t>fair and reasonable prices.</w:t>
      </w:r>
    </w:p>
    <w:p w14:paraId="371CE14F" w14:textId="56E05D13" w:rsidR="00BD19FF" w:rsidRPr="00192F41" w:rsidRDefault="00C31F32" w:rsidP="00C81BC9">
      <w:pPr>
        <w:jc w:val="both"/>
        <w:rPr>
          <w:rFonts w:cs="Arial"/>
        </w:rPr>
      </w:pPr>
      <w:r>
        <w:rPr>
          <w:rFonts w:cs="Arial"/>
        </w:rPr>
        <w:t>W</w:t>
      </w:r>
      <w:r w:rsidR="00BD19FF" w:rsidRPr="00192F41">
        <w:rPr>
          <w:rFonts w:cs="Arial"/>
        </w:rPr>
        <w:t xml:space="preserve">e tested more specifically what was important to our customers. Overwhelmingly, access to water, having a reliable water supply in the future and having a reliable water supply now were the most important matters. These link directly to the proposed outcomes of </w:t>
      </w:r>
      <w:r w:rsidR="00BD19FF" w:rsidRPr="002B3F9C">
        <w:rPr>
          <w:rFonts w:cs="Arial"/>
        </w:rPr>
        <w:t>reliable water supply</w:t>
      </w:r>
      <w:r w:rsidR="00BD19FF" w:rsidRPr="00192F41">
        <w:rPr>
          <w:rFonts w:cs="Arial"/>
        </w:rPr>
        <w:t xml:space="preserve"> and </w:t>
      </w:r>
      <w:r w:rsidR="00BD19FF" w:rsidRPr="002B3F9C">
        <w:rPr>
          <w:rFonts w:cs="Arial"/>
        </w:rPr>
        <w:t>sustainable water</w:t>
      </w:r>
      <w:r w:rsidR="00BD19FF" w:rsidRPr="00192F41">
        <w:rPr>
          <w:rFonts w:cs="Arial"/>
        </w:rPr>
        <w:t>.</w:t>
      </w:r>
    </w:p>
    <w:p w14:paraId="11205A0B" w14:textId="4EC5DD4A" w:rsidR="00BD19FF" w:rsidRPr="00192F41" w:rsidRDefault="00BD19FF" w:rsidP="00C81BC9">
      <w:pPr>
        <w:jc w:val="both"/>
        <w:rPr>
          <w:rFonts w:cs="Arial"/>
        </w:rPr>
      </w:pPr>
      <w:r w:rsidRPr="00192F41">
        <w:rPr>
          <w:rFonts w:cs="Arial"/>
        </w:rPr>
        <w:t xml:space="preserve">Being easy to deal with and having responsive customer service also scored highly, informing the outcome: </w:t>
      </w:r>
      <w:r w:rsidRPr="002B3F9C">
        <w:rPr>
          <w:rFonts w:cs="Arial"/>
        </w:rPr>
        <w:t>great service</w:t>
      </w:r>
      <w:r w:rsidRPr="00192F41">
        <w:rPr>
          <w:rFonts w:cs="Arial"/>
        </w:rPr>
        <w:t>. Aligned with this outcome is feedback that we seek ways to do things better, more efficiently, more effectively.</w:t>
      </w:r>
    </w:p>
    <w:p w14:paraId="0ED0AB30" w14:textId="1F1C53B5" w:rsidR="00BD19FF" w:rsidRPr="00192F41" w:rsidRDefault="00BD19FF" w:rsidP="00C81BC9">
      <w:pPr>
        <w:jc w:val="both"/>
        <w:rPr>
          <w:rFonts w:cs="Arial"/>
        </w:rPr>
      </w:pPr>
      <w:r w:rsidRPr="00192F41">
        <w:rPr>
          <w:rFonts w:cs="Arial"/>
        </w:rPr>
        <w:t xml:space="preserve">The survey included a section dedicated to some of the less overt aspects of our business such as advocacy, improving environmental outcomes, supporting reconciliation, climate adaptation, having a positive social impact and supporting customer experiencing hardship. While there </w:t>
      </w:r>
      <w:r w:rsidR="009D2680" w:rsidRPr="00192F41">
        <w:rPr>
          <w:rFonts w:cs="Arial"/>
        </w:rPr>
        <w:t>are</w:t>
      </w:r>
      <w:r w:rsidRPr="00192F41">
        <w:rPr>
          <w:rFonts w:cs="Arial"/>
        </w:rPr>
        <w:t xml:space="preserve"> varying levels of support amongst these different aspects, </w:t>
      </w:r>
      <w:r w:rsidR="006D7607" w:rsidRPr="00192F41">
        <w:rPr>
          <w:rFonts w:cs="Arial"/>
        </w:rPr>
        <w:t>overall</w:t>
      </w:r>
      <w:r w:rsidRPr="00192F41">
        <w:rPr>
          <w:rFonts w:cs="Arial"/>
        </w:rPr>
        <w:t xml:space="preserve"> the vast majority (more than 80%</w:t>
      </w:r>
      <w:r w:rsidR="0063027E">
        <w:rPr>
          <w:rFonts w:cs="Arial"/>
        </w:rPr>
        <w:t>)</w:t>
      </w:r>
      <w:r w:rsidRPr="00192F41">
        <w:rPr>
          <w:rFonts w:cs="Arial"/>
        </w:rPr>
        <w:t xml:space="preserve"> think it is important that SRW contributes to broader community outcomes as well. This links directly to the outcome: </w:t>
      </w:r>
      <w:r w:rsidRPr="002B3F9C">
        <w:rPr>
          <w:rFonts w:cs="Arial"/>
        </w:rPr>
        <w:t>valued community member</w:t>
      </w:r>
      <w:r w:rsidRPr="00192F41">
        <w:rPr>
          <w:rFonts w:cs="Arial"/>
        </w:rPr>
        <w:t>.</w:t>
      </w:r>
    </w:p>
    <w:p w14:paraId="711BAB89" w14:textId="595024DD" w:rsidR="00A87E6C" w:rsidRDefault="00EC3100" w:rsidP="00EC3100">
      <w:pPr>
        <w:pStyle w:val="Heading4"/>
      </w:pPr>
      <w:r>
        <w:t>Price</w:t>
      </w:r>
    </w:p>
    <w:p w14:paraId="48A2B633" w14:textId="77777777" w:rsidR="00302EE6" w:rsidRPr="002B3F9C" w:rsidRDefault="00302EE6" w:rsidP="00C81BC9">
      <w:pPr>
        <w:jc w:val="both"/>
        <w:rPr>
          <w:rFonts w:cs="Arial"/>
        </w:rPr>
      </w:pPr>
      <w:r w:rsidRPr="002B3F9C">
        <w:rPr>
          <w:rFonts w:cs="Arial"/>
        </w:rPr>
        <w:t>We tested a range of price pathways with each customer group as well as some tariff reform concepts.</w:t>
      </w:r>
    </w:p>
    <w:p w14:paraId="5B7F96E3" w14:textId="76ACABF8" w:rsidR="00302EE6" w:rsidRPr="002B3F9C" w:rsidRDefault="00E343E0" w:rsidP="00C81BC9">
      <w:pPr>
        <w:jc w:val="both"/>
        <w:rPr>
          <w:rFonts w:cs="Arial"/>
        </w:rPr>
      </w:pPr>
      <w:r w:rsidRPr="002B3F9C">
        <w:rPr>
          <w:rFonts w:cs="Arial"/>
        </w:rPr>
        <w:t>F</w:t>
      </w:r>
      <w:r w:rsidR="00302EE6" w:rsidRPr="002B3F9C">
        <w:rPr>
          <w:rFonts w:cs="Arial"/>
        </w:rPr>
        <w:t>eedback in the M</w:t>
      </w:r>
      <w:r w:rsidR="002B3F9C">
        <w:rPr>
          <w:rFonts w:cs="Arial"/>
        </w:rPr>
        <w:t>acalister Irrigation District</w:t>
      </w:r>
      <w:r w:rsidR="00302EE6" w:rsidRPr="002B3F9C">
        <w:rPr>
          <w:rFonts w:cs="Arial"/>
        </w:rPr>
        <w:t xml:space="preserve"> showed that on balance customers preferred an increase of around 1.3 % plus CPI acknowledging the service trade-offs, however there was notable support for an increase as high as 3.1% plus CPI. </w:t>
      </w:r>
    </w:p>
    <w:p w14:paraId="48CC6E49" w14:textId="6913AB76" w:rsidR="00302EE6" w:rsidRPr="002B3F9C" w:rsidRDefault="00302EE6" w:rsidP="00C81BC9">
      <w:pPr>
        <w:jc w:val="both"/>
        <w:rPr>
          <w:rFonts w:cs="Arial"/>
        </w:rPr>
      </w:pPr>
      <w:r w:rsidRPr="002B3F9C">
        <w:rPr>
          <w:rFonts w:cs="Arial"/>
        </w:rPr>
        <w:t>In the W</w:t>
      </w:r>
      <w:r w:rsidR="002B3F9C">
        <w:rPr>
          <w:rFonts w:cs="Arial"/>
        </w:rPr>
        <w:t xml:space="preserve">erribee </w:t>
      </w:r>
      <w:r w:rsidRPr="002B3F9C">
        <w:rPr>
          <w:rFonts w:cs="Arial"/>
        </w:rPr>
        <w:t>I</w:t>
      </w:r>
      <w:r w:rsidR="002B3F9C">
        <w:rPr>
          <w:rFonts w:cs="Arial"/>
        </w:rPr>
        <w:t xml:space="preserve">rrigation </w:t>
      </w:r>
      <w:r w:rsidRPr="002B3F9C">
        <w:rPr>
          <w:rFonts w:cs="Arial"/>
        </w:rPr>
        <w:t>D</w:t>
      </w:r>
      <w:r w:rsidR="002B3F9C">
        <w:rPr>
          <w:rFonts w:cs="Arial"/>
        </w:rPr>
        <w:t>istrict</w:t>
      </w:r>
      <w:r w:rsidRPr="002B3F9C">
        <w:rPr>
          <w:rFonts w:cs="Arial"/>
        </w:rPr>
        <w:t xml:space="preserve">, we tested price pathways between 0.3% plus CPI and 1.7% plus CPI, with </w:t>
      </w:r>
      <w:r w:rsidR="006D7607" w:rsidRPr="002B3F9C">
        <w:rPr>
          <w:rFonts w:cs="Arial"/>
        </w:rPr>
        <w:t>most of the</w:t>
      </w:r>
      <w:r w:rsidRPr="002B3F9C">
        <w:rPr>
          <w:rFonts w:cs="Arial"/>
        </w:rPr>
        <w:t xml:space="preserve"> feedback from surveys suggesting we could aim for an increase of around 1.5% plus CPI. </w:t>
      </w:r>
    </w:p>
    <w:p w14:paraId="423A0694" w14:textId="4B3163BD" w:rsidR="00A87E6C" w:rsidRDefault="00E57BC0" w:rsidP="00C81BC9">
      <w:pPr>
        <w:jc w:val="both"/>
        <w:rPr>
          <w:rFonts w:cs="Arial"/>
        </w:rPr>
      </w:pPr>
      <w:r>
        <w:rPr>
          <w:rFonts w:cs="Arial"/>
        </w:rPr>
        <w:t>I</w:t>
      </w:r>
      <w:r w:rsidR="003427DB">
        <w:rPr>
          <w:rFonts w:cs="Arial"/>
        </w:rPr>
        <w:t>n</w:t>
      </w:r>
      <w:r>
        <w:rPr>
          <w:rFonts w:cs="Arial"/>
        </w:rPr>
        <w:t xml:space="preserve"> the </w:t>
      </w:r>
      <w:r w:rsidR="002B3F9C">
        <w:rPr>
          <w:rFonts w:cs="Arial"/>
        </w:rPr>
        <w:t>Bacchus Marsh Irrigation District</w:t>
      </w:r>
      <w:r>
        <w:rPr>
          <w:rFonts w:cs="Arial"/>
        </w:rPr>
        <w:t xml:space="preserve">, we tested price pathways </w:t>
      </w:r>
      <w:r w:rsidR="009F08AF">
        <w:rPr>
          <w:rFonts w:cs="Arial"/>
        </w:rPr>
        <w:t xml:space="preserve">between </w:t>
      </w:r>
      <w:r w:rsidR="004B622E">
        <w:rPr>
          <w:rFonts w:cs="Arial"/>
        </w:rPr>
        <w:t>CPI</w:t>
      </w:r>
      <w:r w:rsidR="009F08AF">
        <w:rPr>
          <w:rFonts w:cs="Arial"/>
        </w:rPr>
        <w:t xml:space="preserve"> and </w:t>
      </w:r>
      <w:r w:rsidRPr="00E57BC0">
        <w:rPr>
          <w:rFonts w:cs="Arial"/>
        </w:rPr>
        <w:t>0.2% + CPI</w:t>
      </w:r>
      <w:r w:rsidR="003427DB">
        <w:rPr>
          <w:rFonts w:cs="Arial"/>
        </w:rPr>
        <w:t xml:space="preserve"> </w:t>
      </w:r>
      <w:r w:rsidR="00877434">
        <w:rPr>
          <w:rFonts w:cs="Arial"/>
        </w:rPr>
        <w:t>but</w:t>
      </w:r>
      <w:r w:rsidR="003E4F66">
        <w:rPr>
          <w:rFonts w:cs="Arial"/>
        </w:rPr>
        <w:t xml:space="preserve"> received feedback that </w:t>
      </w:r>
      <w:r w:rsidR="00071F84">
        <w:rPr>
          <w:rFonts w:cs="Arial"/>
        </w:rPr>
        <w:t>any increase</w:t>
      </w:r>
      <w:r w:rsidR="003E4F66">
        <w:rPr>
          <w:rFonts w:cs="Arial"/>
        </w:rPr>
        <w:t xml:space="preserve"> was </w:t>
      </w:r>
      <w:r w:rsidR="00071F84">
        <w:rPr>
          <w:rFonts w:cs="Arial"/>
        </w:rPr>
        <w:t>a</w:t>
      </w:r>
      <w:r w:rsidR="003E4F66">
        <w:rPr>
          <w:rFonts w:cs="Arial"/>
        </w:rPr>
        <w:t xml:space="preserve"> concern.</w:t>
      </w:r>
    </w:p>
    <w:p w14:paraId="7B965973" w14:textId="5A71CD7C" w:rsidR="00A87E6C" w:rsidRDefault="003E4F66" w:rsidP="00C81BC9">
      <w:pPr>
        <w:jc w:val="both"/>
        <w:rPr>
          <w:rFonts w:cs="Arial"/>
        </w:rPr>
      </w:pPr>
      <w:r>
        <w:rPr>
          <w:rFonts w:cs="Arial"/>
        </w:rPr>
        <w:t>W</w:t>
      </w:r>
      <w:r w:rsidR="00510338">
        <w:rPr>
          <w:rFonts w:cs="Arial"/>
        </w:rPr>
        <w:t>e</w:t>
      </w:r>
      <w:r>
        <w:rPr>
          <w:rFonts w:cs="Arial"/>
        </w:rPr>
        <w:t xml:space="preserve"> advised </w:t>
      </w:r>
      <w:r w:rsidR="002B3F9C">
        <w:rPr>
          <w:rFonts w:cs="Arial"/>
        </w:rPr>
        <w:t>g</w:t>
      </w:r>
      <w:r>
        <w:rPr>
          <w:rFonts w:cs="Arial"/>
        </w:rPr>
        <w:t xml:space="preserve">roundwater and </w:t>
      </w:r>
      <w:r w:rsidR="002B3F9C">
        <w:rPr>
          <w:rFonts w:cs="Arial"/>
        </w:rPr>
        <w:t>r</w:t>
      </w:r>
      <w:r>
        <w:rPr>
          <w:rFonts w:cs="Arial"/>
        </w:rPr>
        <w:t xml:space="preserve">ivers customers </w:t>
      </w:r>
      <w:r w:rsidR="00510338">
        <w:rPr>
          <w:rFonts w:cs="Arial"/>
        </w:rPr>
        <w:t xml:space="preserve">that we were considering prices </w:t>
      </w:r>
      <w:r w:rsidR="00133D91">
        <w:rPr>
          <w:rFonts w:cs="Arial"/>
        </w:rPr>
        <w:t xml:space="preserve">capped </w:t>
      </w:r>
      <w:r w:rsidR="00510338">
        <w:rPr>
          <w:rFonts w:cs="Arial"/>
        </w:rPr>
        <w:t>at CPI</w:t>
      </w:r>
      <w:r w:rsidR="00133D91">
        <w:rPr>
          <w:rFonts w:cs="Arial"/>
        </w:rPr>
        <w:t xml:space="preserve"> which drew concern with some questioning why we charge at all.</w:t>
      </w:r>
    </w:p>
    <w:p w14:paraId="5F0889C6" w14:textId="4F5906DC" w:rsidR="00D44574" w:rsidRPr="002B3F9C" w:rsidRDefault="00D44574" w:rsidP="00322C30">
      <w:pPr>
        <w:pStyle w:val="Heading3"/>
      </w:pPr>
      <w:r w:rsidRPr="002B3F9C">
        <w:t>Responding to feedback</w:t>
      </w:r>
    </w:p>
    <w:p w14:paraId="2AE6022E" w14:textId="63029FEC" w:rsidR="00A7616E" w:rsidRPr="00192F41" w:rsidRDefault="00A7616E" w:rsidP="00C81BC9">
      <w:pPr>
        <w:jc w:val="both"/>
        <w:rPr>
          <w:rFonts w:cs="Arial"/>
          <w:color w:val="000000" w:themeColor="text1"/>
        </w:rPr>
      </w:pPr>
      <w:r w:rsidRPr="00192F41">
        <w:rPr>
          <w:rFonts w:cs="Arial"/>
          <w:color w:val="000000" w:themeColor="text1"/>
        </w:rPr>
        <w:t xml:space="preserve">Our customers provided valuable feedback on what’s important to them and what they want from SRW. </w:t>
      </w:r>
      <w:r w:rsidR="009D1433" w:rsidRPr="00192F41">
        <w:rPr>
          <w:rFonts w:cs="Arial"/>
          <w:color w:val="000000" w:themeColor="text1"/>
        </w:rPr>
        <w:t>Th</w:t>
      </w:r>
      <w:r w:rsidR="00EE165E" w:rsidRPr="00192F41">
        <w:rPr>
          <w:rFonts w:cs="Arial"/>
          <w:color w:val="000000" w:themeColor="text1"/>
        </w:rPr>
        <w:t xml:space="preserve">is </w:t>
      </w:r>
      <w:r w:rsidR="009D1433" w:rsidRPr="00192F41">
        <w:rPr>
          <w:rFonts w:cs="Arial"/>
          <w:color w:val="000000" w:themeColor="text1"/>
        </w:rPr>
        <w:t>feedback has been directly fed into our submission</w:t>
      </w:r>
      <w:r w:rsidR="00EE165E" w:rsidRPr="00192F41">
        <w:rPr>
          <w:rFonts w:cs="Arial"/>
          <w:color w:val="000000" w:themeColor="text1"/>
        </w:rPr>
        <w:t xml:space="preserve"> and </w:t>
      </w:r>
      <w:r w:rsidRPr="00192F41">
        <w:rPr>
          <w:rFonts w:cs="Arial"/>
          <w:color w:val="000000" w:themeColor="text1"/>
        </w:rPr>
        <w:t>distilled this into five key outcomes</w:t>
      </w:r>
      <w:r w:rsidR="00EF4F53">
        <w:rPr>
          <w:rFonts w:cs="Arial"/>
          <w:color w:val="000000" w:themeColor="text1"/>
        </w:rPr>
        <w:t xml:space="preserve"> (see </w:t>
      </w:r>
      <w:r w:rsidR="007C343D">
        <w:rPr>
          <w:rFonts w:cs="Arial"/>
          <w:color w:val="000000" w:themeColor="text1"/>
        </w:rPr>
        <w:t>S</w:t>
      </w:r>
      <w:r w:rsidR="00EF4F53">
        <w:rPr>
          <w:rFonts w:cs="Arial"/>
          <w:color w:val="000000" w:themeColor="text1"/>
        </w:rPr>
        <w:t xml:space="preserve">ection </w:t>
      </w:r>
      <w:r w:rsidR="00423225">
        <w:rPr>
          <w:rFonts w:cs="Arial"/>
          <w:color w:val="000000" w:themeColor="text1"/>
        </w:rPr>
        <w:fldChar w:fldCharType="begin"/>
      </w:r>
      <w:r w:rsidR="00423225">
        <w:rPr>
          <w:rFonts w:cs="Arial"/>
          <w:color w:val="000000" w:themeColor="text1"/>
        </w:rPr>
        <w:instrText xml:space="preserve"> REF _Ref113434936 \r \h </w:instrText>
      </w:r>
      <w:r w:rsidR="00423225">
        <w:rPr>
          <w:rFonts w:cs="Arial"/>
          <w:color w:val="000000" w:themeColor="text1"/>
        </w:rPr>
      </w:r>
      <w:r w:rsidR="00423225">
        <w:rPr>
          <w:rFonts w:cs="Arial"/>
          <w:color w:val="000000" w:themeColor="text1"/>
        </w:rPr>
        <w:fldChar w:fldCharType="separate"/>
      </w:r>
      <w:r w:rsidR="008126A8">
        <w:rPr>
          <w:rFonts w:cs="Arial"/>
          <w:color w:val="000000" w:themeColor="text1"/>
        </w:rPr>
        <w:t>6</w:t>
      </w:r>
      <w:r w:rsidR="00423225">
        <w:rPr>
          <w:rFonts w:cs="Arial"/>
          <w:color w:val="000000" w:themeColor="text1"/>
        </w:rPr>
        <w:fldChar w:fldCharType="end"/>
      </w:r>
      <w:r w:rsidR="00EF4F53">
        <w:rPr>
          <w:rFonts w:cs="Arial"/>
          <w:color w:val="000000" w:themeColor="text1"/>
        </w:rPr>
        <w:t>).</w:t>
      </w:r>
    </w:p>
    <w:p w14:paraId="68B0F093" w14:textId="29E300C4" w:rsidR="009C6FE6" w:rsidRDefault="00D33CC2" w:rsidP="00C81BC9">
      <w:pPr>
        <w:jc w:val="both"/>
        <w:rPr>
          <w:rFonts w:cs="Arial"/>
          <w:color w:val="000000" w:themeColor="text1"/>
        </w:rPr>
      </w:pPr>
      <w:r w:rsidRPr="007C343D">
        <w:rPr>
          <w:rFonts w:cs="Arial"/>
          <w:color w:val="000000" w:themeColor="text1"/>
        </w:rPr>
        <w:t xml:space="preserve">Through our engagement program we tested the </w:t>
      </w:r>
      <w:r w:rsidR="00BB7856" w:rsidRPr="007C343D">
        <w:rPr>
          <w:rFonts w:cs="Arial"/>
          <w:color w:val="000000" w:themeColor="text1"/>
        </w:rPr>
        <w:t xml:space="preserve">tariff options below. </w:t>
      </w:r>
      <w:r w:rsidR="009C6FE6" w:rsidRPr="007C343D">
        <w:rPr>
          <w:rFonts w:cs="Arial"/>
          <w:color w:val="000000" w:themeColor="text1"/>
        </w:rPr>
        <w:t xml:space="preserve">The following provides a summary of the feedback on possible </w:t>
      </w:r>
      <w:r w:rsidR="009A70E1" w:rsidRPr="007C343D">
        <w:rPr>
          <w:rFonts w:cs="Arial"/>
          <w:color w:val="000000" w:themeColor="text1"/>
        </w:rPr>
        <w:t>initiatives</w:t>
      </w:r>
      <w:r w:rsidR="009C6FE6" w:rsidRPr="007C343D">
        <w:rPr>
          <w:rFonts w:cs="Arial"/>
          <w:color w:val="000000" w:themeColor="text1"/>
        </w:rPr>
        <w:t>.</w:t>
      </w:r>
    </w:p>
    <w:p w14:paraId="611241CE" w14:textId="6AD5108E" w:rsidR="00FB4014" w:rsidRPr="007C343D" w:rsidRDefault="00FB4014" w:rsidP="009C6FE6">
      <w:pPr>
        <w:rPr>
          <w:rFonts w:cs="Arial"/>
          <w:color w:val="000000" w:themeColor="text1"/>
        </w:rPr>
      </w:pPr>
      <w:r>
        <w:rPr>
          <w:rFonts w:cs="Arial"/>
          <w:color w:val="000000" w:themeColor="text1"/>
        </w:rPr>
        <w:br w:type="page"/>
      </w:r>
    </w:p>
    <w:p w14:paraId="670A2F6F" w14:textId="000F685E" w:rsidR="009C6FE6" w:rsidRPr="006F4158" w:rsidRDefault="006F4158" w:rsidP="006F4158">
      <w:pPr>
        <w:pStyle w:val="Caption"/>
        <w:rPr>
          <w:rStyle w:val="IntenseReference"/>
          <w:rFonts w:cs="Arial"/>
          <w:b w:val="0"/>
          <w:bCs w:val="0"/>
          <w:i w:val="0"/>
          <w:iCs w:val="0"/>
          <w:color w:val="00B1B0" w:themeColor="accent1"/>
          <w:sz w:val="20"/>
          <w:szCs w:val="20"/>
          <w:u w:val="single"/>
        </w:rPr>
      </w:pPr>
      <w:r w:rsidRPr="006F4158">
        <w:rPr>
          <w:b/>
          <w:bCs/>
          <w:i w:val="0"/>
          <w:iCs w:val="0"/>
          <w:color w:val="00B1B0" w:themeColor="accent1"/>
          <w:sz w:val="20"/>
          <w:szCs w:val="20"/>
        </w:rPr>
        <w:t xml:space="preserve">Table </w:t>
      </w:r>
      <w:r w:rsidRPr="006F4158">
        <w:rPr>
          <w:b/>
          <w:bCs/>
          <w:i w:val="0"/>
          <w:iCs w:val="0"/>
          <w:color w:val="00B1B0" w:themeColor="accent1"/>
          <w:sz w:val="20"/>
          <w:szCs w:val="20"/>
        </w:rPr>
        <w:fldChar w:fldCharType="begin"/>
      </w:r>
      <w:r w:rsidRPr="006F4158">
        <w:rPr>
          <w:b/>
          <w:bCs/>
          <w:i w:val="0"/>
          <w:iCs w:val="0"/>
          <w:color w:val="00B1B0" w:themeColor="accent1"/>
          <w:sz w:val="20"/>
          <w:szCs w:val="20"/>
        </w:rPr>
        <w:instrText xml:space="preserve"> SEQ Table \* ARABIC </w:instrText>
      </w:r>
      <w:r w:rsidRPr="006F4158">
        <w:rPr>
          <w:b/>
          <w:bCs/>
          <w:i w:val="0"/>
          <w:iCs w:val="0"/>
          <w:color w:val="00B1B0" w:themeColor="accent1"/>
          <w:sz w:val="20"/>
          <w:szCs w:val="20"/>
        </w:rPr>
        <w:fldChar w:fldCharType="separate"/>
      </w:r>
      <w:r w:rsidR="008126A8">
        <w:rPr>
          <w:b/>
          <w:bCs/>
          <w:i w:val="0"/>
          <w:iCs w:val="0"/>
          <w:noProof/>
          <w:color w:val="00B1B0" w:themeColor="accent1"/>
          <w:sz w:val="20"/>
          <w:szCs w:val="20"/>
        </w:rPr>
        <w:t>10</w:t>
      </w:r>
      <w:r w:rsidRPr="006F4158">
        <w:rPr>
          <w:b/>
          <w:bCs/>
          <w:i w:val="0"/>
          <w:iCs w:val="0"/>
          <w:color w:val="00B1B0" w:themeColor="accent1"/>
          <w:sz w:val="20"/>
          <w:szCs w:val="20"/>
        </w:rPr>
        <w:fldChar w:fldCharType="end"/>
      </w:r>
      <w:r w:rsidRPr="006F4158">
        <w:rPr>
          <w:b/>
          <w:bCs/>
          <w:i w:val="0"/>
          <w:iCs w:val="0"/>
          <w:color w:val="00B1B0" w:themeColor="accent1"/>
          <w:sz w:val="20"/>
          <w:szCs w:val="20"/>
        </w:rPr>
        <w:t xml:space="preserve"> </w:t>
      </w:r>
      <w:r w:rsidR="007248B2">
        <w:rPr>
          <w:b/>
          <w:bCs/>
          <w:i w:val="0"/>
          <w:iCs w:val="0"/>
          <w:color w:val="00B1B0" w:themeColor="accent1"/>
          <w:sz w:val="20"/>
          <w:szCs w:val="20"/>
        </w:rPr>
        <w:t>–</w:t>
      </w:r>
      <w:r w:rsidRPr="006F4158">
        <w:rPr>
          <w:b/>
          <w:bCs/>
          <w:i w:val="0"/>
          <w:iCs w:val="0"/>
          <w:color w:val="00B1B0" w:themeColor="accent1"/>
          <w:sz w:val="20"/>
          <w:szCs w:val="20"/>
        </w:rPr>
        <w:t xml:space="preserve"> </w:t>
      </w:r>
      <w:r w:rsidR="009C6FE6" w:rsidRPr="006F4158">
        <w:rPr>
          <w:b/>
          <w:bCs/>
          <w:i w:val="0"/>
          <w:iCs w:val="0"/>
          <w:color w:val="00B1B0" w:themeColor="accent1"/>
          <w:sz w:val="20"/>
          <w:szCs w:val="20"/>
        </w:rPr>
        <w:t>Tariff response</w:t>
      </w:r>
    </w:p>
    <w:tbl>
      <w:tblPr>
        <w:tblStyle w:val="Tealheader-Grayrows"/>
        <w:tblW w:w="9781" w:type="dxa"/>
        <w:tblLook w:val="04A0" w:firstRow="1" w:lastRow="0" w:firstColumn="1" w:lastColumn="0" w:noHBand="0" w:noVBand="1"/>
      </w:tblPr>
      <w:tblGrid>
        <w:gridCol w:w="1843"/>
        <w:gridCol w:w="3969"/>
        <w:gridCol w:w="3969"/>
      </w:tblGrid>
      <w:tr w:rsidR="009C6FE6" w:rsidRPr="00212317" w14:paraId="526F5E05" w14:textId="77777777" w:rsidTr="00423225">
        <w:trPr>
          <w:cnfStyle w:val="100000000000" w:firstRow="1" w:lastRow="0" w:firstColumn="0" w:lastColumn="0" w:oddVBand="0" w:evenVBand="0" w:oddHBand="0" w:evenHBand="0" w:firstRowFirstColumn="0" w:firstRowLastColumn="0" w:lastRowFirstColumn="0" w:lastRowLastColumn="0"/>
          <w:tblHeader/>
        </w:trPr>
        <w:tc>
          <w:tcPr>
            <w:tcW w:w="1843" w:type="dxa"/>
          </w:tcPr>
          <w:p w14:paraId="0CCAB515" w14:textId="139C6A91" w:rsidR="009C6FE6" w:rsidRPr="00212317" w:rsidRDefault="009C6FE6" w:rsidP="00EC0C9A">
            <w:pPr>
              <w:spacing w:before="40" w:after="40"/>
              <w:rPr>
                <w:rStyle w:val="IntenseReference"/>
                <w:rFonts w:cs="Arial"/>
                <w:sz w:val="20"/>
                <w:szCs w:val="20"/>
                <w:u w:val="single"/>
              </w:rPr>
            </w:pPr>
            <w:r w:rsidRPr="00212317">
              <w:rPr>
                <w:rFonts w:cs="Arial"/>
                <w:sz w:val="20"/>
                <w:szCs w:val="20"/>
              </w:rPr>
              <w:t>We asked customers if they supported</w:t>
            </w:r>
          </w:p>
        </w:tc>
        <w:tc>
          <w:tcPr>
            <w:tcW w:w="3969" w:type="dxa"/>
          </w:tcPr>
          <w:p w14:paraId="57918E7D" w14:textId="72B0F04C" w:rsidR="009C6FE6" w:rsidRPr="00212317" w:rsidRDefault="009C6FE6" w:rsidP="00EC0C9A">
            <w:pPr>
              <w:spacing w:before="40" w:after="40"/>
              <w:rPr>
                <w:rStyle w:val="IntenseReference"/>
                <w:rFonts w:cs="Arial"/>
                <w:sz w:val="20"/>
                <w:szCs w:val="20"/>
                <w:u w:val="single"/>
              </w:rPr>
            </w:pPr>
            <w:r w:rsidRPr="00212317">
              <w:rPr>
                <w:rFonts w:cs="Arial"/>
                <w:sz w:val="20"/>
                <w:szCs w:val="20"/>
              </w:rPr>
              <w:t>Customer response</w:t>
            </w:r>
          </w:p>
        </w:tc>
        <w:tc>
          <w:tcPr>
            <w:tcW w:w="3969" w:type="dxa"/>
          </w:tcPr>
          <w:p w14:paraId="06144388" w14:textId="08FF9996" w:rsidR="009C6FE6" w:rsidRPr="00212317" w:rsidRDefault="009C6FE6" w:rsidP="00EC0C9A">
            <w:pPr>
              <w:spacing w:before="40" w:after="40"/>
              <w:rPr>
                <w:rStyle w:val="IntenseReference"/>
                <w:rFonts w:cs="Arial"/>
                <w:sz w:val="20"/>
                <w:szCs w:val="20"/>
                <w:u w:val="single"/>
              </w:rPr>
            </w:pPr>
            <w:r w:rsidRPr="00212317">
              <w:rPr>
                <w:rFonts w:cs="Arial"/>
                <w:sz w:val="20"/>
                <w:szCs w:val="20"/>
              </w:rPr>
              <w:t>We are now proposing</w:t>
            </w:r>
          </w:p>
        </w:tc>
      </w:tr>
      <w:tr w:rsidR="009C6FE6" w:rsidRPr="00212317" w14:paraId="14B7ACF2" w14:textId="77777777" w:rsidTr="00351DAD">
        <w:trPr>
          <w:cnfStyle w:val="000000100000" w:firstRow="0" w:lastRow="0" w:firstColumn="0" w:lastColumn="0" w:oddVBand="0" w:evenVBand="0" w:oddHBand="1" w:evenHBand="0" w:firstRowFirstColumn="0" w:firstRowLastColumn="0" w:lastRowFirstColumn="0" w:lastRowLastColumn="0"/>
          <w:trHeight w:val="1255"/>
        </w:trPr>
        <w:tc>
          <w:tcPr>
            <w:tcW w:w="0" w:type="dxa"/>
          </w:tcPr>
          <w:p w14:paraId="1576C6B4" w14:textId="50B3BA47" w:rsidR="009C6FE6" w:rsidRPr="00C81BC9" w:rsidRDefault="009C6FE6">
            <w:pPr>
              <w:rPr>
                <w:rStyle w:val="IntenseReference"/>
                <w:rFonts w:cs="Arial"/>
                <w:color w:val="000000" w:themeColor="text1"/>
                <w:sz w:val="20"/>
                <w:szCs w:val="20"/>
                <w:u w:val="single"/>
              </w:rPr>
            </w:pPr>
            <w:r w:rsidRPr="00C81BC9">
              <w:rPr>
                <w:rFonts w:cs="Arial"/>
                <w:color w:val="000000" w:themeColor="text1"/>
                <w:sz w:val="20"/>
                <w:szCs w:val="20"/>
                <w:shd w:val="clear" w:color="auto" w:fill="FAF9F8"/>
              </w:rPr>
              <w:t>Greater investment in MID salinity program</w:t>
            </w:r>
          </w:p>
        </w:tc>
        <w:tc>
          <w:tcPr>
            <w:tcW w:w="0" w:type="dxa"/>
          </w:tcPr>
          <w:p w14:paraId="08B1958D" w14:textId="2D4707F0" w:rsidR="009C6FE6" w:rsidRPr="00212317" w:rsidRDefault="009C6FE6" w:rsidP="00C81BC9">
            <w:pPr>
              <w:spacing w:before="40" w:after="40"/>
              <w:ind w:right="115"/>
              <w:jc w:val="both"/>
              <w:rPr>
                <w:rStyle w:val="IntenseReference"/>
                <w:rFonts w:cs="Arial"/>
                <w:color w:val="000000" w:themeColor="text1"/>
                <w:sz w:val="20"/>
                <w:szCs w:val="20"/>
                <w:u w:val="single"/>
              </w:rPr>
            </w:pPr>
            <w:r w:rsidRPr="00212317">
              <w:rPr>
                <w:rFonts w:cs="Arial"/>
                <w:color w:val="000000" w:themeColor="text1"/>
                <w:sz w:val="20"/>
                <w:szCs w:val="20"/>
                <w:shd w:val="clear" w:color="auto" w:fill="FAF9F8"/>
              </w:rPr>
              <w:t>Similar numbers favour/oppose greater investment in the salinity program</w:t>
            </w:r>
            <w:r w:rsidR="00E977C7" w:rsidRPr="00212317">
              <w:rPr>
                <w:rFonts w:cs="Arial"/>
                <w:color w:val="000000" w:themeColor="text1"/>
                <w:sz w:val="20"/>
                <w:szCs w:val="20"/>
                <w:shd w:val="clear" w:color="auto" w:fill="FAF9F8"/>
              </w:rPr>
              <w:t xml:space="preserve"> across all engagement platforms, so our proposal seeks to find the middle ground</w:t>
            </w:r>
          </w:p>
        </w:tc>
        <w:tc>
          <w:tcPr>
            <w:tcW w:w="0" w:type="dxa"/>
          </w:tcPr>
          <w:p w14:paraId="1FC2F181" w14:textId="77777777" w:rsidR="009C6FE6" w:rsidRPr="00212317" w:rsidRDefault="009C6FE6" w:rsidP="00C81BC9">
            <w:pPr>
              <w:spacing w:before="40" w:after="40"/>
              <w:ind w:right="115"/>
              <w:jc w:val="both"/>
              <w:rPr>
                <w:rStyle w:val="IntenseReference"/>
                <w:rFonts w:cs="Arial"/>
                <w:color w:val="000000" w:themeColor="text1"/>
                <w:sz w:val="20"/>
                <w:szCs w:val="20"/>
                <w:u w:val="single"/>
              </w:rPr>
            </w:pPr>
            <w:r w:rsidRPr="00212317">
              <w:rPr>
                <w:rFonts w:cs="Arial"/>
                <w:color w:val="000000" w:themeColor="text1"/>
                <w:sz w:val="20"/>
                <w:szCs w:val="20"/>
                <w:shd w:val="clear" w:color="auto" w:fill="FAF9F8"/>
              </w:rPr>
              <w:t>SRW will continue to operate the program, but aim for greater efficiency</w:t>
            </w:r>
          </w:p>
        </w:tc>
      </w:tr>
      <w:tr w:rsidR="009C6FE6" w:rsidRPr="00212317" w14:paraId="0D943D0A" w14:textId="77777777" w:rsidTr="00351DAD">
        <w:trPr>
          <w:trHeight w:val="1585"/>
        </w:trPr>
        <w:tc>
          <w:tcPr>
            <w:tcW w:w="0" w:type="dxa"/>
          </w:tcPr>
          <w:p w14:paraId="6572738A" w14:textId="77777777" w:rsidR="009C6FE6" w:rsidRPr="00C81BC9" w:rsidRDefault="009C6FE6">
            <w:pPr>
              <w:rPr>
                <w:smallCaps/>
                <w:sz w:val="20"/>
                <w:szCs w:val="20"/>
              </w:rPr>
            </w:pPr>
            <w:r w:rsidRPr="00C81BC9">
              <w:rPr>
                <w:rFonts w:cs="Arial"/>
                <w:color w:val="000000" w:themeColor="text1"/>
                <w:sz w:val="20"/>
                <w:szCs w:val="20"/>
              </w:rPr>
              <w:t>Differential pricing where customers paid more for larger outlets</w:t>
            </w:r>
          </w:p>
        </w:tc>
        <w:tc>
          <w:tcPr>
            <w:tcW w:w="0" w:type="dxa"/>
          </w:tcPr>
          <w:p w14:paraId="72C754BD" w14:textId="54CC7C45" w:rsidR="009C6FE6" w:rsidRPr="00212317" w:rsidRDefault="009C6FE6" w:rsidP="00C81BC9">
            <w:pPr>
              <w:spacing w:before="40" w:after="40"/>
              <w:ind w:right="115"/>
              <w:jc w:val="both"/>
              <w:rPr>
                <w:b/>
                <w:smallCaps/>
                <w:sz w:val="20"/>
                <w:szCs w:val="20"/>
              </w:rPr>
            </w:pPr>
            <w:r w:rsidRPr="00212317">
              <w:rPr>
                <w:rFonts w:cs="Arial"/>
                <w:color w:val="000000" w:themeColor="text1"/>
                <w:sz w:val="20"/>
                <w:szCs w:val="20"/>
              </w:rPr>
              <w:t>Mostly opposed to differential pricing</w:t>
            </w:r>
            <w:r w:rsidR="00772F09" w:rsidRPr="00212317">
              <w:rPr>
                <w:rFonts w:cs="Arial"/>
                <w:color w:val="000000" w:themeColor="text1"/>
                <w:sz w:val="20"/>
                <w:szCs w:val="20"/>
              </w:rPr>
              <w:t xml:space="preserve">, however we </w:t>
            </w:r>
            <w:r w:rsidR="00445F5B" w:rsidRPr="00212317">
              <w:rPr>
                <w:rFonts w:cs="Arial"/>
                <w:color w:val="000000" w:themeColor="text1"/>
                <w:sz w:val="20"/>
                <w:szCs w:val="20"/>
              </w:rPr>
              <w:t xml:space="preserve">believe </w:t>
            </w:r>
            <w:r w:rsidR="00772F09" w:rsidRPr="00212317">
              <w:rPr>
                <w:rFonts w:cs="Arial"/>
                <w:color w:val="000000" w:themeColor="text1"/>
                <w:sz w:val="20"/>
                <w:szCs w:val="20"/>
              </w:rPr>
              <w:t>this may change as modernisation progresses</w:t>
            </w:r>
          </w:p>
        </w:tc>
        <w:tc>
          <w:tcPr>
            <w:tcW w:w="0" w:type="dxa"/>
          </w:tcPr>
          <w:p w14:paraId="640ACE2B" w14:textId="77777777" w:rsidR="009C6FE6" w:rsidRPr="00212317" w:rsidRDefault="009C6FE6" w:rsidP="00C81BC9">
            <w:pPr>
              <w:spacing w:before="40" w:after="40"/>
              <w:ind w:right="115"/>
              <w:jc w:val="both"/>
              <w:rPr>
                <w:b/>
                <w:smallCaps/>
                <w:sz w:val="20"/>
                <w:szCs w:val="20"/>
              </w:rPr>
            </w:pPr>
            <w:r w:rsidRPr="00212317">
              <w:rPr>
                <w:rFonts w:cs="Arial"/>
                <w:color w:val="000000" w:themeColor="text1"/>
                <w:sz w:val="20"/>
                <w:szCs w:val="20"/>
              </w:rPr>
              <w:t>SRW will maintain a uniform outlet price but explore differential pricing options for PS28</w:t>
            </w:r>
          </w:p>
        </w:tc>
      </w:tr>
      <w:tr w:rsidR="009C6FE6" w:rsidRPr="00212317" w14:paraId="50AFB1D3" w14:textId="77777777" w:rsidTr="00351DAD">
        <w:trPr>
          <w:cnfStyle w:val="000000100000" w:firstRow="0" w:lastRow="0" w:firstColumn="0" w:lastColumn="0" w:oddVBand="0" w:evenVBand="0" w:oddHBand="1" w:evenHBand="0" w:firstRowFirstColumn="0" w:firstRowLastColumn="0" w:lastRowFirstColumn="0" w:lastRowLastColumn="0"/>
          <w:trHeight w:val="1170"/>
        </w:trPr>
        <w:tc>
          <w:tcPr>
            <w:tcW w:w="0" w:type="dxa"/>
          </w:tcPr>
          <w:p w14:paraId="0AF64DF3" w14:textId="77777777" w:rsidR="009C6FE6" w:rsidRPr="00C81BC9" w:rsidRDefault="009C6FE6">
            <w:pPr>
              <w:rPr>
                <w:smallCaps/>
                <w:sz w:val="20"/>
                <w:szCs w:val="20"/>
              </w:rPr>
            </w:pPr>
            <w:r w:rsidRPr="00C81BC9">
              <w:rPr>
                <w:rFonts w:cs="Arial"/>
                <w:color w:val="000000" w:themeColor="text1"/>
                <w:sz w:val="20"/>
                <w:szCs w:val="20"/>
              </w:rPr>
              <w:t>Combine recycled and river water to a ‘single product’</w:t>
            </w:r>
          </w:p>
        </w:tc>
        <w:tc>
          <w:tcPr>
            <w:tcW w:w="0" w:type="dxa"/>
          </w:tcPr>
          <w:p w14:paraId="2619284A" w14:textId="1F91425E" w:rsidR="009C6FE6" w:rsidRPr="00212317" w:rsidRDefault="00107A5C" w:rsidP="00C81BC9">
            <w:pPr>
              <w:spacing w:before="40" w:after="40"/>
              <w:ind w:right="115"/>
              <w:jc w:val="both"/>
              <w:rPr>
                <w:b/>
                <w:smallCaps/>
                <w:sz w:val="20"/>
                <w:szCs w:val="20"/>
              </w:rPr>
            </w:pPr>
            <w:r w:rsidRPr="00212317">
              <w:rPr>
                <w:rFonts w:cs="Arial"/>
                <w:color w:val="000000" w:themeColor="text1"/>
                <w:sz w:val="20"/>
                <w:szCs w:val="20"/>
              </w:rPr>
              <w:t xml:space="preserve">Through the surveys 75% supported </w:t>
            </w:r>
            <w:r w:rsidR="005576F2" w:rsidRPr="00212317">
              <w:rPr>
                <w:rFonts w:cs="Arial"/>
                <w:color w:val="000000" w:themeColor="text1"/>
                <w:sz w:val="20"/>
                <w:szCs w:val="20"/>
              </w:rPr>
              <w:t>merging the products</w:t>
            </w:r>
            <w:r w:rsidR="001D5A8F" w:rsidRPr="00212317">
              <w:rPr>
                <w:rFonts w:cs="Arial"/>
                <w:color w:val="000000" w:themeColor="text1"/>
                <w:sz w:val="20"/>
                <w:szCs w:val="20"/>
              </w:rPr>
              <w:t xml:space="preserve">. </w:t>
            </w:r>
            <w:r w:rsidR="000D4836" w:rsidRPr="00212317">
              <w:rPr>
                <w:rFonts w:cs="Arial"/>
                <w:color w:val="000000" w:themeColor="text1"/>
                <w:sz w:val="20"/>
                <w:szCs w:val="20"/>
              </w:rPr>
              <w:t>WBMCCC and individuals</w:t>
            </w:r>
            <w:r w:rsidR="005576F2" w:rsidRPr="00212317">
              <w:rPr>
                <w:rFonts w:cs="Arial"/>
                <w:color w:val="000000" w:themeColor="text1"/>
                <w:sz w:val="20"/>
                <w:szCs w:val="20"/>
              </w:rPr>
              <w:t xml:space="preserve"> </w:t>
            </w:r>
            <w:r w:rsidR="004A2877" w:rsidRPr="00212317">
              <w:rPr>
                <w:rFonts w:cs="Arial"/>
                <w:color w:val="000000" w:themeColor="text1"/>
                <w:sz w:val="20"/>
                <w:szCs w:val="20"/>
              </w:rPr>
              <w:t xml:space="preserve">in attendance at </w:t>
            </w:r>
            <w:r w:rsidR="005576F2" w:rsidRPr="00212317">
              <w:rPr>
                <w:rFonts w:cs="Arial"/>
                <w:color w:val="000000" w:themeColor="text1"/>
                <w:sz w:val="20"/>
                <w:szCs w:val="20"/>
              </w:rPr>
              <w:t>open houses also support this proposal</w:t>
            </w:r>
          </w:p>
        </w:tc>
        <w:tc>
          <w:tcPr>
            <w:tcW w:w="0" w:type="dxa"/>
          </w:tcPr>
          <w:p w14:paraId="2E2B5D86" w14:textId="77777777" w:rsidR="009C6FE6" w:rsidRPr="00212317" w:rsidRDefault="009C6FE6" w:rsidP="00C81BC9">
            <w:pPr>
              <w:spacing w:before="40" w:after="40"/>
              <w:ind w:right="115"/>
              <w:jc w:val="both"/>
              <w:rPr>
                <w:b/>
                <w:smallCaps/>
                <w:sz w:val="20"/>
                <w:szCs w:val="20"/>
              </w:rPr>
            </w:pPr>
            <w:r w:rsidRPr="00212317">
              <w:rPr>
                <w:rFonts w:cs="Arial"/>
                <w:color w:val="000000" w:themeColor="text1"/>
                <w:sz w:val="20"/>
                <w:szCs w:val="20"/>
              </w:rPr>
              <w:t>SRW to pursue managing recycled and river water as a single product</w:t>
            </w:r>
          </w:p>
        </w:tc>
      </w:tr>
      <w:tr w:rsidR="009C6FE6" w:rsidRPr="00212317" w14:paraId="6602951B" w14:textId="77777777" w:rsidTr="006078FC">
        <w:trPr>
          <w:trHeight w:val="1160"/>
        </w:trPr>
        <w:tc>
          <w:tcPr>
            <w:tcW w:w="0" w:type="dxa"/>
          </w:tcPr>
          <w:p w14:paraId="7F45C4D0" w14:textId="7166F0E8" w:rsidR="009C6FE6" w:rsidRPr="00C81BC9" w:rsidRDefault="009C6FE6">
            <w:pPr>
              <w:rPr>
                <w:smallCaps/>
                <w:sz w:val="20"/>
                <w:szCs w:val="20"/>
              </w:rPr>
            </w:pPr>
            <w:r w:rsidRPr="00C81BC9">
              <w:rPr>
                <w:rFonts w:cs="Arial"/>
                <w:color w:val="000000" w:themeColor="text1"/>
                <w:sz w:val="20"/>
                <w:szCs w:val="20"/>
              </w:rPr>
              <w:t>Greater investment in WID drainage</w:t>
            </w:r>
          </w:p>
        </w:tc>
        <w:tc>
          <w:tcPr>
            <w:tcW w:w="0" w:type="dxa"/>
          </w:tcPr>
          <w:p w14:paraId="329C659C" w14:textId="60C401D4" w:rsidR="009C6FE6" w:rsidRPr="00212317" w:rsidRDefault="009C6FE6" w:rsidP="00C81BC9">
            <w:pPr>
              <w:spacing w:before="40" w:after="40"/>
              <w:ind w:right="115"/>
              <w:jc w:val="both"/>
              <w:rPr>
                <w:b/>
                <w:smallCaps/>
                <w:sz w:val="20"/>
                <w:szCs w:val="20"/>
              </w:rPr>
            </w:pPr>
            <w:r w:rsidRPr="00212317">
              <w:rPr>
                <w:rFonts w:cs="Arial"/>
                <w:color w:val="000000" w:themeColor="text1"/>
                <w:sz w:val="20"/>
                <w:szCs w:val="20"/>
              </w:rPr>
              <w:t>Most opposed paying more for drainage services despite a request for improved drainage</w:t>
            </w:r>
            <w:r w:rsidR="004A2877" w:rsidRPr="00212317">
              <w:rPr>
                <w:rFonts w:cs="Arial"/>
                <w:color w:val="000000" w:themeColor="text1"/>
                <w:sz w:val="20"/>
                <w:szCs w:val="20"/>
              </w:rPr>
              <w:t>, so our proposal seeks to find a middle ground</w:t>
            </w:r>
          </w:p>
        </w:tc>
        <w:tc>
          <w:tcPr>
            <w:tcW w:w="0" w:type="dxa"/>
          </w:tcPr>
          <w:p w14:paraId="34F2E9DD" w14:textId="491DFF97" w:rsidR="009C6FE6" w:rsidRPr="00212317" w:rsidRDefault="009C6FE6" w:rsidP="00C81BC9">
            <w:pPr>
              <w:spacing w:before="40" w:after="40"/>
              <w:ind w:right="115"/>
              <w:jc w:val="both"/>
              <w:rPr>
                <w:b/>
                <w:smallCaps/>
                <w:sz w:val="20"/>
                <w:szCs w:val="20"/>
              </w:rPr>
            </w:pPr>
            <w:r w:rsidRPr="00212317">
              <w:rPr>
                <w:rFonts w:cs="Arial"/>
                <w:color w:val="000000" w:themeColor="text1"/>
                <w:sz w:val="20"/>
                <w:szCs w:val="20"/>
              </w:rPr>
              <w:t>SRW will continue to maintain drains within existing budgets but for greater efficiency opportunities and partnerships with Melb</w:t>
            </w:r>
            <w:r w:rsidR="003152B5" w:rsidRPr="00212317">
              <w:rPr>
                <w:rFonts w:cs="Arial"/>
                <w:color w:val="000000" w:themeColor="text1"/>
                <w:sz w:val="20"/>
                <w:szCs w:val="20"/>
              </w:rPr>
              <w:t>ourne</w:t>
            </w:r>
            <w:r w:rsidRPr="00212317">
              <w:rPr>
                <w:rFonts w:cs="Arial"/>
                <w:color w:val="000000" w:themeColor="text1"/>
                <w:sz w:val="20"/>
                <w:szCs w:val="20"/>
              </w:rPr>
              <w:t xml:space="preserve"> Water, Council etc</w:t>
            </w:r>
          </w:p>
        </w:tc>
      </w:tr>
      <w:tr w:rsidR="009C6FE6" w:rsidRPr="00212317" w14:paraId="64747157" w14:textId="77777777" w:rsidTr="006078FC">
        <w:trPr>
          <w:cnfStyle w:val="000000100000" w:firstRow="0" w:lastRow="0" w:firstColumn="0" w:lastColumn="0" w:oddVBand="0" w:evenVBand="0" w:oddHBand="1" w:evenHBand="0" w:firstRowFirstColumn="0" w:firstRowLastColumn="0" w:lastRowFirstColumn="0" w:lastRowLastColumn="0"/>
          <w:trHeight w:val="1622"/>
        </w:trPr>
        <w:tc>
          <w:tcPr>
            <w:tcW w:w="0" w:type="dxa"/>
            <w:tcBorders>
              <w:bottom w:val="single" w:sz="4" w:space="0" w:color="auto"/>
            </w:tcBorders>
          </w:tcPr>
          <w:p w14:paraId="0C1F1423" w14:textId="77777777" w:rsidR="009C6FE6" w:rsidRPr="006078FC" w:rsidRDefault="009C6FE6" w:rsidP="006078FC">
            <w:pPr>
              <w:spacing w:before="40" w:after="40"/>
              <w:rPr>
                <w:rFonts w:cs="Arial"/>
                <w:sz w:val="20"/>
                <w:szCs w:val="20"/>
              </w:rPr>
            </w:pPr>
            <w:r w:rsidRPr="006078FC">
              <w:rPr>
                <w:rFonts w:cs="Arial"/>
                <w:sz w:val="20"/>
                <w:szCs w:val="20"/>
              </w:rPr>
              <w:t>Higher application fees for more complex applications</w:t>
            </w:r>
          </w:p>
        </w:tc>
        <w:tc>
          <w:tcPr>
            <w:tcW w:w="0" w:type="dxa"/>
            <w:tcBorders>
              <w:bottom w:val="single" w:sz="4" w:space="0" w:color="auto"/>
            </w:tcBorders>
          </w:tcPr>
          <w:p w14:paraId="1F5448B3" w14:textId="727B87BF" w:rsidR="009C6FE6" w:rsidRPr="006078FC" w:rsidRDefault="009C6FE6" w:rsidP="006078FC">
            <w:pPr>
              <w:spacing w:before="40" w:after="40"/>
              <w:ind w:right="115"/>
              <w:jc w:val="both"/>
              <w:rPr>
                <w:rFonts w:cs="Arial"/>
                <w:sz w:val="20"/>
                <w:szCs w:val="20"/>
              </w:rPr>
            </w:pPr>
            <w:r w:rsidRPr="006078FC">
              <w:rPr>
                <w:rFonts w:cs="Arial"/>
                <w:sz w:val="20"/>
                <w:szCs w:val="20"/>
              </w:rPr>
              <w:t>S</w:t>
            </w:r>
            <w:r w:rsidR="00B458D5" w:rsidRPr="006078FC">
              <w:rPr>
                <w:rFonts w:cs="Arial"/>
                <w:sz w:val="20"/>
                <w:szCs w:val="20"/>
              </w:rPr>
              <w:t>urvey results suggested a s</w:t>
            </w:r>
            <w:r w:rsidRPr="006078FC">
              <w:rPr>
                <w:rFonts w:cs="Arial"/>
                <w:sz w:val="20"/>
                <w:szCs w:val="20"/>
              </w:rPr>
              <w:t>light majority oppose high fees for more complex applications</w:t>
            </w:r>
            <w:r w:rsidR="00B458D5" w:rsidRPr="006078FC">
              <w:rPr>
                <w:rFonts w:cs="Arial"/>
                <w:sz w:val="20"/>
                <w:szCs w:val="20"/>
              </w:rPr>
              <w:t>, however deeper discussion</w:t>
            </w:r>
            <w:r w:rsidR="001E5B28" w:rsidRPr="006078FC">
              <w:rPr>
                <w:rFonts w:cs="Arial"/>
                <w:sz w:val="20"/>
                <w:szCs w:val="20"/>
              </w:rPr>
              <w:t>s</w:t>
            </w:r>
            <w:r w:rsidR="00B458D5" w:rsidRPr="006078FC">
              <w:rPr>
                <w:rFonts w:cs="Arial"/>
                <w:sz w:val="20"/>
                <w:szCs w:val="20"/>
              </w:rPr>
              <w:t xml:space="preserve"> with </w:t>
            </w:r>
            <w:r w:rsidR="007855F8" w:rsidRPr="006078FC">
              <w:rPr>
                <w:rFonts w:cs="Arial"/>
                <w:sz w:val="20"/>
                <w:szCs w:val="20"/>
              </w:rPr>
              <w:t>the CRG and SGRF</w:t>
            </w:r>
            <w:r w:rsidR="001E5B28" w:rsidRPr="006078FC">
              <w:rPr>
                <w:rFonts w:cs="Arial"/>
                <w:sz w:val="20"/>
                <w:szCs w:val="20"/>
              </w:rPr>
              <w:t xml:space="preserve"> members</w:t>
            </w:r>
            <w:r w:rsidR="007855F8" w:rsidRPr="006078FC">
              <w:rPr>
                <w:rFonts w:cs="Arial"/>
                <w:sz w:val="20"/>
                <w:szCs w:val="20"/>
              </w:rPr>
              <w:t xml:space="preserve"> suggested a </w:t>
            </w:r>
            <w:r w:rsidR="001E5B28" w:rsidRPr="006078FC">
              <w:rPr>
                <w:rFonts w:cs="Arial"/>
                <w:sz w:val="20"/>
                <w:szCs w:val="20"/>
              </w:rPr>
              <w:t xml:space="preserve">greater </w:t>
            </w:r>
            <w:r w:rsidR="007855F8" w:rsidRPr="006078FC">
              <w:rPr>
                <w:rFonts w:cs="Arial"/>
                <w:sz w:val="20"/>
                <w:szCs w:val="20"/>
              </w:rPr>
              <w:t>level of support</w:t>
            </w:r>
          </w:p>
        </w:tc>
        <w:tc>
          <w:tcPr>
            <w:tcW w:w="0" w:type="dxa"/>
            <w:tcBorders>
              <w:bottom w:val="single" w:sz="4" w:space="0" w:color="auto"/>
            </w:tcBorders>
          </w:tcPr>
          <w:p w14:paraId="7F75C787" w14:textId="2E678948" w:rsidR="009C6FE6" w:rsidRPr="006078FC" w:rsidRDefault="00846E5A" w:rsidP="006078FC">
            <w:pPr>
              <w:spacing w:before="40" w:after="40"/>
              <w:ind w:right="115"/>
              <w:jc w:val="both"/>
              <w:rPr>
                <w:rFonts w:cs="Arial"/>
                <w:sz w:val="20"/>
                <w:szCs w:val="20"/>
              </w:rPr>
            </w:pPr>
            <w:r w:rsidRPr="006078FC">
              <w:rPr>
                <w:rFonts w:cs="Arial"/>
                <w:sz w:val="20"/>
                <w:szCs w:val="20"/>
              </w:rPr>
              <w:t xml:space="preserve">We have identified a cost/revenue discrepancy in our applications business.  </w:t>
            </w:r>
            <w:r w:rsidR="006724D5" w:rsidRPr="006078FC">
              <w:rPr>
                <w:rFonts w:cs="Arial"/>
                <w:sz w:val="20"/>
                <w:szCs w:val="20"/>
              </w:rPr>
              <w:t>We</w:t>
            </w:r>
            <w:r w:rsidRPr="006078FC">
              <w:rPr>
                <w:rFonts w:cs="Arial"/>
                <w:sz w:val="20"/>
                <w:szCs w:val="20"/>
              </w:rPr>
              <w:t xml:space="preserve"> are proposing different tariff mechanism</w:t>
            </w:r>
            <w:r w:rsidR="00DA2E73" w:rsidRPr="006078FC">
              <w:rPr>
                <w:rFonts w:cs="Arial"/>
                <w:sz w:val="20"/>
                <w:szCs w:val="20"/>
              </w:rPr>
              <w:t>s</w:t>
            </w:r>
            <w:r w:rsidRPr="006078FC">
              <w:rPr>
                <w:rFonts w:cs="Arial"/>
                <w:sz w:val="20"/>
                <w:szCs w:val="20"/>
              </w:rPr>
              <w:t xml:space="preserve"> to </w:t>
            </w:r>
            <w:r w:rsidR="006724D5" w:rsidRPr="006078FC">
              <w:rPr>
                <w:rFonts w:cs="Arial"/>
                <w:sz w:val="20"/>
                <w:szCs w:val="20"/>
              </w:rPr>
              <w:t xml:space="preserve">recover costs, and will monitor the cost of complex applications for consideration in the next </w:t>
            </w:r>
            <w:r w:rsidR="003152B5" w:rsidRPr="006078FC">
              <w:rPr>
                <w:rFonts w:cs="Arial"/>
                <w:sz w:val="20"/>
                <w:szCs w:val="20"/>
              </w:rPr>
              <w:t>p</w:t>
            </w:r>
            <w:r w:rsidR="006724D5" w:rsidRPr="006078FC">
              <w:rPr>
                <w:rFonts w:cs="Arial"/>
                <w:sz w:val="20"/>
                <w:szCs w:val="20"/>
              </w:rPr>
              <w:t>rice submission</w:t>
            </w:r>
          </w:p>
        </w:tc>
      </w:tr>
    </w:tbl>
    <w:p w14:paraId="2A91566F" w14:textId="34BF96F4" w:rsidR="00992311" w:rsidRDefault="00992311" w:rsidP="00EE165E">
      <w:pPr>
        <w:rPr>
          <w:rFonts w:cs="Arial"/>
          <w:shd w:val="clear" w:color="auto" w:fill="FAF9F8"/>
        </w:rPr>
      </w:pPr>
    </w:p>
    <w:p w14:paraId="350ED167" w14:textId="77777777" w:rsidR="00EA790F" w:rsidRDefault="00EA790F">
      <w:pPr>
        <w:rPr>
          <w:rFonts w:cs="Arial"/>
          <w:shd w:val="clear" w:color="auto" w:fill="FAF9F8"/>
        </w:rPr>
      </w:pPr>
      <w:r>
        <w:rPr>
          <w:rFonts w:cs="Arial"/>
          <w:shd w:val="clear" w:color="auto" w:fill="FAF9F8"/>
        </w:rPr>
        <w:br w:type="page"/>
      </w:r>
    </w:p>
    <w:p w14:paraId="5A336694" w14:textId="1534EDBE" w:rsidR="00EE165E" w:rsidRPr="003152B5" w:rsidRDefault="009E2D0F" w:rsidP="00EE165E">
      <w:pPr>
        <w:rPr>
          <w:rFonts w:cs="Arial"/>
          <w:color w:val="000000" w:themeColor="text1"/>
        </w:rPr>
      </w:pPr>
      <w:r w:rsidRPr="003152B5">
        <w:rPr>
          <w:rFonts w:cs="Arial"/>
          <w:color w:val="000000" w:themeColor="text1"/>
        </w:rPr>
        <w:t>The following provi</w:t>
      </w:r>
      <w:r w:rsidR="00A10DED" w:rsidRPr="003152B5">
        <w:rPr>
          <w:rFonts w:cs="Arial"/>
          <w:color w:val="000000" w:themeColor="text1"/>
        </w:rPr>
        <w:t>d</w:t>
      </w:r>
      <w:r w:rsidRPr="003152B5">
        <w:rPr>
          <w:rFonts w:cs="Arial"/>
          <w:color w:val="000000" w:themeColor="text1"/>
        </w:rPr>
        <w:t>es a summar</w:t>
      </w:r>
      <w:r w:rsidR="00A10DED" w:rsidRPr="003152B5">
        <w:rPr>
          <w:rFonts w:cs="Arial"/>
          <w:color w:val="000000" w:themeColor="text1"/>
        </w:rPr>
        <w:t>y</w:t>
      </w:r>
      <w:r w:rsidRPr="003152B5">
        <w:rPr>
          <w:rFonts w:cs="Arial"/>
          <w:color w:val="000000" w:themeColor="text1"/>
        </w:rPr>
        <w:t xml:space="preserve"> of the feedback</w:t>
      </w:r>
      <w:r w:rsidR="004E7CC8" w:rsidRPr="003152B5">
        <w:rPr>
          <w:rFonts w:cs="Arial"/>
          <w:color w:val="000000" w:themeColor="text1"/>
        </w:rPr>
        <w:t xml:space="preserve"> on prices</w:t>
      </w:r>
      <w:r w:rsidRPr="003152B5">
        <w:rPr>
          <w:rFonts w:cs="Arial"/>
          <w:color w:val="000000" w:themeColor="text1"/>
        </w:rPr>
        <w:t xml:space="preserve"> and </w:t>
      </w:r>
      <w:r w:rsidR="00EE5E0D" w:rsidRPr="003152B5">
        <w:rPr>
          <w:rFonts w:cs="Arial"/>
          <w:color w:val="000000" w:themeColor="text1"/>
        </w:rPr>
        <w:t xml:space="preserve">our response to </w:t>
      </w:r>
      <w:r w:rsidR="0093702B" w:rsidRPr="003152B5">
        <w:rPr>
          <w:rFonts w:cs="Arial"/>
          <w:color w:val="000000" w:themeColor="text1"/>
        </w:rPr>
        <w:t>them.</w:t>
      </w:r>
    </w:p>
    <w:p w14:paraId="656B7265" w14:textId="73CBC872" w:rsidR="00117410" w:rsidRPr="007C2881" w:rsidRDefault="00343672" w:rsidP="00FC79A9">
      <w:pPr>
        <w:pStyle w:val="Caption"/>
        <w:rPr>
          <w:rStyle w:val="IntenseReference"/>
          <w:rFonts w:cs="Arial"/>
          <w:i w:val="0"/>
          <w:iCs w:val="0"/>
          <w:smallCaps w:val="0"/>
          <w:sz w:val="20"/>
          <w:szCs w:val="16"/>
        </w:rPr>
      </w:pPr>
      <w:r>
        <w:rPr>
          <w:rStyle w:val="IntenseReference"/>
          <w:rFonts w:cs="Arial"/>
          <w:i w:val="0"/>
          <w:iCs w:val="0"/>
          <w:smallCaps w:val="0"/>
          <w:sz w:val="20"/>
          <w:szCs w:val="16"/>
        </w:rPr>
        <w:t>T</w:t>
      </w:r>
      <w:r w:rsidR="007C2881" w:rsidRPr="007C2881">
        <w:rPr>
          <w:rStyle w:val="IntenseReference"/>
          <w:rFonts w:cs="Arial"/>
          <w:i w:val="0"/>
          <w:iCs w:val="0"/>
          <w:smallCaps w:val="0"/>
          <w:sz w:val="20"/>
          <w:szCs w:val="16"/>
        </w:rPr>
        <w:t xml:space="preserve">able </w:t>
      </w:r>
      <w:r w:rsidR="00FC79A9" w:rsidRPr="007C2881">
        <w:rPr>
          <w:rStyle w:val="IntenseReference"/>
          <w:rFonts w:cs="Arial"/>
          <w:i w:val="0"/>
          <w:iCs w:val="0"/>
          <w:smallCaps w:val="0"/>
          <w:sz w:val="20"/>
          <w:szCs w:val="16"/>
        </w:rPr>
        <w:fldChar w:fldCharType="begin"/>
      </w:r>
      <w:r w:rsidR="00FC79A9" w:rsidRPr="007C2881">
        <w:rPr>
          <w:rStyle w:val="IntenseReference"/>
          <w:rFonts w:cs="Arial"/>
          <w:i w:val="0"/>
          <w:iCs w:val="0"/>
          <w:smallCaps w:val="0"/>
          <w:sz w:val="20"/>
          <w:szCs w:val="16"/>
        </w:rPr>
        <w:instrText xml:space="preserve"> SEQ Table \* ARABIC </w:instrText>
      </w:r>
      <w:r w:rsidR="00FC79A9" w:rsidRPr="007C2881">
        <w:rPr>
          <w:rStyle w:val="IntenseReference"/>
          <w:rFonts w:cs="Arial"/>
          <w:i w:val="0"/>
          <w:iCs w:val="0"/>
          <w:smallCaps w:val="0"/>
          <w:sz w:val="20"/>
          <w:szCs w:val="16"/>
        </w:rPr>
        <w:fldChar w:fldCharType="separate"/>
      </w:r>
      <w:r w:rsidR="008126A8">
        <w:rPr>
          <w:rStyle w:val="IntenseReference"/>
          <w:rFonts w:cs="Arial"/>
          <w:i w:val="0"/>
          <w:iCs w:val="0"/>
          <w:smallCaps w:val="0"/>
          <w:noProof/>
          <w:sz w:val="20"/>
          <w:szCs w:val="16"/>
        </w:rPr>
        <w:t>11</w:t>
      </w:r>
      <w:r w:rsidR="00FC79A9" w:rsidRPr="007C2881">
        <w:rPr>
          <w:rStyle w:val="IntenseReference"/>
          <w:rFonts w:cs="Arial"/>
          <w:i w:val="0"/>
          <w:iCs w:val="0"/>
          <w:smallCaps w:val="0"/>
          <w:sz w:val="20"/>
          <w:szCs w:val="16"/>
        </w:rPr>
        <w:fldChar w:fldCharType="end"/>
      </w:r>
      <w:r w:rsidR="007248B2">
        <w:rPr>
          <w:b/>
          <w:bCs/>
          <w:i w:val="0"/>
          <w:iCs w:val="0"/>
          <w:color w:val="00B1B0" w:themeColor="accent1"/>
          <w:sz w:val="20"/>
          <w:szCs w:val="20"/>
        </w:rPr>
        <w:t xml:space="preserve"> –</w:t>
      </w:r>
      <w:r w:rsidR="007C2881" w:rsidRPr="007C2881">
        <w:rPr>
          <w:rStyle w:val="IntenseReference"/>
          <w:rFonts w:cs="Arial"/>
          <w:i w:val="0"/>
          <w:iCs w:val="0"/>
          <w:smallCaps w:val="0"/>
          <w:sz w:val="20"/>
          <w:szCs w:val="16"/>
        </w:rPr>
        <w:t xml:space="preserve"> </w:t>
      </w:r>
      <w:r>
        <w:rPr>
          <w:rStyle w:val="IntenseReference"/>
          <w:rFonts w:cs="Arial"/>
          <w:i w:val="0"/>
          <w:iCs w:val="0"/>
          <w:smallCaps w:val="0"/>
          <w:sz w:val="20"/>
          <w:szCs w:val="16"/>
        </w:rPr>
        <w:t>P</w:t>
      </w:r>
      <w:r w:rsidR="007C2881" w:rsidRPr="007C2881">
        <w:rPr>
          <w:rStyle w:val="IntenseReference"/>
          <w:rFonts w:cs="Arial"/>
          <w:i w:val="0"/>
          <w:iCs w:val="0"/>
          <w:smallCaps w:val="0"/>
          <w:sz w:val="20"/>
          <w:szCs w:val="16"/>
        </w:rPr>
        <w:t xml:space="preserve">ricing </w:t>
      </w:r>
      <w:r>
        <w:rPr>
          <w:rStyle w:val="IntenseReference"/>
          <w:rFonts w:cs="Arial"/>
          <w:i w:val="0"/>
          <w:iCs w:val="0"/>
          <w:smallCaps w:val="0"/>
          <w:sz w:val="20"/>
          <w:szCs w:val="16"/>
        </w:rPr>
        <w:t>R</w:t>
      </w:r>
      <w:r w:rsidR="007C2881" w:rsidRPr="007C2881">
        <w:rPr>
          <w:rStyle w:val="IntenseReference"/>
          <w:rFonts w:cs="Arial"/>
          <w:i w:val="0"/>
          <w:iCs w:val="0"/>
          <w:smallCaps w:val="0"/>
          <w:sz w:val="20"/>
          <w:szCs w:val="16"/>
        </w:rPr>
        <w:t>esponse</w:t>
      </w:r>
    </w:p>
    <w:tbl>
      <w:tblPr>
        <w:tblStyle w:val="ReportTable-TealRows"/>
        <w:tblW w:w="9781" w:type="dxa"/>
        <w:tblLook w:val="04A0" w:firstRow="1" w:lastRow="0" w:firstColumn="1" w:lastColumn="0" w:noHBand="0" w:noVBand="1"/>
      </w:tblPr>
      <w:tblGrid>
        <w:gridCol w:w="2977"/>
        <w:gridCol w:w="3231"/>
        <w:gridCol w:w="3573"/>
      </w:tblGrid>
      <w:tr w:rsidR="00117410" w:rsidRPr="00212317" w14:paraId="06328064" w14:textId="77777777" w:rsidTr="00423225">
        <w:trPr>
          <w:cnfStyle w:val="100000000000" w:firstRow="1" w:lastRow="0" w:firstColumn="0" w:lastColumn="0" w:oddVBand="0" w:evenVBand="0" w:oddHBand="0" w:evenHBand="0" w:firstRowFirstColumn="0" w:firstRowLastColumn="0" w:lastRowFirstColumn="0" w:lastRowLastColumn="0"/>
          <w:trHeight w:val="364"/>
          <w:tblHeader/>
        </w:trPr>
        <w:tc>
          <w:tcPr>
            <w:cnfStyle w:val="001000000000" w:firstRow="0" w:lastRow="0" w:firstColumn="1" w:lastColumn="0" w:oddVBand="0" w:evenVBand="0" w:oddHBand="0" w:evenHBand="0" w:firstRowFirstColumn="0" w:firstRowLastColumn="0" w:lastRowFirstColumn="0" w:lastRowLastColumn="0"/>
            <w:tcW w:w="2977" w:type="dxa"/>
            <w:hideMark/>
          </w:tcPr>
          <w:p w14:paraId="66108553" w14:textId="77777777" w:rsidR="00117410" w:rsidRPr="00212317" w:rsidRDefault="00117410">
            <w:pPr>
              <w:rPr>
                <w:rFonts w:cs="Arial"/>
                <w:sz w:val="20"/>
                <w:szCs w:val="20"/>
              </w:rPr>
            </w:pPr>
            <w:r w:rsidRPr="00212317">
              <w:rPr>
                <w:rFonts w:cs="Arial"/>
                <w:sz w:val="20"/>
                <w:szCs w:val="20"/>
              </w:rPr>
              <w:t>We asked our customers,</w:t>
            </w:r>
          </w:p>
          <w:p w14:paraId="22D7ABED" w14:textId="51696242" w:rsidR="00117410" w:rsidRPr="00212317" w:rsidRDefault="00117410">
            <w:pPr>
              <w:rPr>
                <w:rFonts w:cs="Arial"/>
                <w:sz w:val="20"/>
                <w:szCs w:val="20"/>
              </w:rPr>
            </w:pPr>
            <w:r w:rsidRPr="00212317">
              <w:rPr>
                <w:rFonts w:cs="Arial"/>
                <w:sz w:val="20"/>
                <w:szCs w:val="20"/>
              </w:rPr>
              <w:t>if they supported</w:t>
            </w:r>
          </w:p>
        </w:tc>
        <w:tc>
          <w:tcPr>
            <w:tcW w:w="3231" w:type="dxa"/>
            <w:hideMark/>
          </w:tcPr>
          <w:p w14:paraId="46EB76B8" w14:textId="52EB71AA" w:rsidR="00117410" w:rsidRPr="00212317" w:rsidRDefault="0011741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212317">
              <w:rPr>
                <w:rFonts w:cs="Arial"/>
                <w:sz w:val="20"/>
                <w:szCs w:val="20"/>
              </w:rPr>
              <w:t>Customer response</w:t>
            </w:r>
          </w:p>
        </w:tc>
        <w:tc>
          <w:tcPr>
            <w:tcW w:w="3573" w:type="dxa"/>
            <w:hideMark/>
          </w:tcPr>
          <w:p w14:paraId="52363F98" w14:textId="77777777" w:rsidR="00117410" w:rsidRPr="00212317" w:rsidRDefault="00117410">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212317">
              <w:rPr>
                <w:rFonts w:cs="Arial"/>
                <w:sz w:val="20"/>
                <w:szCs w:val="20"/>
              </w:rPr>
              <w:t>SRW proposal</w:t>
            </w:r>
          </w:p>
        </w:tc>
      </w:tr>
      <w:tr w:rsidR="00117410" w:rsidRPr="00212317" w14:paraId="52E05624" w14:textId="77777777" w:rsidTr="003A6A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hideMark/>
          </w:tcPr>
          <w:p w14:paraId="5A742B75" w14:textId="77777777" w:rsidR="00117410" w:rsidRPr="000B5CEC" w:rsidRDefault="00117410" w:rsidP="000B5CEC">
            <w:pPr>
              <w:spacing w:before="40" w:after="40"/>
              <w:rPr>
                <w:rFonts w:cs="Arial"/>
                <w:szCs w:val="20"/>
              </w:rPr>
            </w:pPr>
            <w:r w:rsidRPr="000B5CEC">
              <w:rPr>
                <w:rFonts w:cs="Arial"/>
                <w:szCs w:val="20"/>
              </w:rPr>
              <w:t>G&amp;R price increases of:</w:t>
            </w:r>
          </w:p>
          <w:p w14:paraId="35B40B02" w14:textId="77777777" w:rsidR="00117410" w:rsidRPr="000B5CEC" w:rsidRDefault="00117410" w:rsidP="000B5CEC">
            <w:pPr>
              <w:spacing w:before="40" w:after="40"/>
              <w:rPr>
                <w:rFonts w:cs="Arial"/>
                <w:szCs w:val="20"/>
              </w:rPr>
            </w:pPr>
            <w:r w:rsidRPr="000B5CEC">
              <w:rPr>
                <w:rFonts w:cs="Arial"/>
                <w:szCs w:val="20"/>
              </w:rPr>
              <w:t>CPI only</w:t>
            </w:r>
          </w:p>
        </w:tc>
        <w:tc>
          <w:tcPr>
            <w:tcW w:w="3231" w:type="dxa"/>
            <w:vAlign w:val="top"/>
            <w:hideMark/>
          </w:tcPr>
          <w:p w14:paraId="57172DF5" w14:textId="77777777" w:rsidR="00117410" w:rsidRPr="00212317" w:rsidRDefault="00117410" w:rsidP="003A6AFD">
            <w:pPr>
              <w:spacing w:before="40" w:after="40"/>
              <w:ind w:right="90"/>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Responses varied, with some customers seeking price reductions or just a CPI increase</w:t>
            </w:r>
          </w:p>
        </w:tc>
        <w:tc>
          <w:tcPr>
            <w:tcW w:w="3573" w:type="dxa"/>
            <w:vAlign w:val="top"/>
            <w:hideMark/>
          </w:tcPr>
          <w:p w14:paraId="2F4AEEDD" w14:textId="77777777" w:rsidR="00117410" w:rsidRPr="00212317" w:rsidRDefault="00117410" w:rsidP="003A6AFD">
            <w:pPr>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We need greater investment in compliance which can (in part) be offset by productivity savings, resulting in proposed price increases of:</w:t>
            </w:r>
          </w:p>
          <w:p w14:paraId="68BA6C79" w14:textId="5914B1E8" w:rsidR="00117410" w:rsidRPr="00212317" w:rsidRDefault="00117410" w:rsidP="003A6AFD">
            <w:pPr>
              <w:pStyle w:val="Bulletpointparagraph"/>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CPI only per annum</w:t>
            </w:r>
          </w:p>
        </w:tc>
      </w:tr>
      <w:tr w:rsidR="00117410" w:rsidRPr="00212317" w14:paraId="35DE39CC" w14:textId="77777777" w:rsidTr="003A6AFD">
        <w:trPr>
          <w:trHeight w:val="457"/>
        </w:trPr>
        <w:tc>
          <w:tcPr>
            <w:cnfStyle w:val="001000000000" w:firstRow="0" w:lastRow="0" w:firstColumn="1" w:lastColumn="0" w:oddVBand="0" w:evenVBand="0" w:oddHBand="0" w:evenHBand="0" w:firstRowFirstColumn="0" w:firstRowLastColumn="0" w:lastRowFirstColumn="0" w:lastRowLastColumn="0"/>
            <w:tcW w:w="2977" w:type="dxa"/>
            <w:hideMark/>
          </w:tcPr>
          <w:p w14:paraId="03558A69" w14:textId="77777777" w:rsidR="00117410" w:rsidRPr="000B5CEC" w:rsidRDefault="00117410" w:rsidP="000B5CEC">
            <w:pPr>
              <w:spacing w:before="40" w:after="40"/>
              <w:rPr>
                <w:rFonts w:cs="Arial"/>
                <w:szCs w:val="20"/>
              </w:rPr>
            </w:pPr>
            <w:r w:rsidRPr="000B5CEC">
              <w:rPr>
                <w:rFonts w:cs="Arial"/>
                <w:szCs w:val="20"/>
              </w:rPr>
              <w:t>BMID price increases of:</w:t>
            </w:r>
          </w:p>
          <w:p w14:paraId="03AB7DC5" w14:textId="77777777" w:rsidR="00117410" w:rsidRPr="000B5CEC" w:rsidRDefault="00117410" w:rsidP="000B5CEC">
            <w:pPr>
              <w:spacing w:before="40" w:after="40"/>
              <w:rPr>
                <w:rFonts w:cs="Arial"/>
                <w:szCs w:val="20"/>
              </w:rPr>
            </w:pPr>
            <w:r w:rsidRPr="000B5CEC">
              <w:rPr>
                <w:rFonts w:cs="Arial"/>
                <w:szCs w:val="20"/>
              </w:rPr>
              <w:t>0.0% – 0.2% + CPI pa</w:t>
            </w:r>
          </w:p>
        </w:tc>
        <w:tc>
          <w:tcPr>
            <w:tcW w:w="3231" w:type="dxa"/>
            <w:vAlign w:val="top"/>
            <w:hideMark/>
          </w:tcPr>
          <w:p w14:paraId="650494B4" w14:textId="77777777" w:rsidR="00117410" w:rsidRPr="00212317" w:rsidRDefault="00117410" w:rsidP="003A6AFD">
            <w:pPr>
              <w:spacing w:before="40" w:after="40"/>
              <w:ind w:right="90"/>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General opposition to any price increase</w:t>
            </w:r>
          </w:p>
        </w:tc>
        <w:tc>
          <w:tcPr>
            <w:tcW w:w="3573" w:type="dxa"/>
            <w:vAlign w:val="top"/>
            <w:hideMark/>
          </w:tcPr>
          <w:p w14:paraId="7BC9A8AF" w14:textId="77777777" w:rsidR="00117410" w:rsidRPr="00212317" w:rsidRDefault="00117410" w:rsidP="003A6AFD">
            <w:pPr>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We need to fund past CAPEX which can (in part) be offset by productivity savings, resulting in proposed price increases of:</w:t>
            </w:r>
          </w:p>
          <w:p w14:paraId="025945FA" w14:textId="70ADDD6E" w:rsidR="00117410" w:rsidRPr="00212317" w:rsidRDefault="00117410" w:rsidP="003A6AFD">
            <w:pPr>
              <w:pStyle w:val="Bulletpointparagraph"/>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CPI only per annum</w:t>
            </w:r>
          </w:p>
        </w:tc>
      </w:tr>
      <w:tr w:rsidR="00117410" w:rsidRPr="00212317" w14:paraId="3273D5F0" w14:textId="77777777" w:rsidTr="003A6AFD">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2977" w:type="dxa"/>
            <w:hideMark/>
          </w:tcPr>
          <w:p w14:paraId="295C26DF" w14:textId="77777777" w:rsidR="00117410" w:rsidRPr="000B5CEC" w:rsidRDefault="00117410" w:rsidP="000B5CEC">
            <w:pPr>
              <w:spacing w:before="40" w:after="40"/>
              <w:rPr>
                <w:rFonts w:cs="Arial"/>
                <w:szCs w:val="20"/>
              </w:rPr>
            </w:pPr>
            <w:r w:rsidRPr="000B5CEC">
              <w:rPr>
                <w:rFonts w:cs="Arial"/>
                <w:szCs w:val="20"/>
              </w:rPr>
              <w:t>WID price increases of:</w:t>
            </w:r>
          </w:p>
          <w:p w14:paraId="4F4C08BC" w14:textId="0204A1DB" w:rsidR="00117410" w:rsidRPr="000B5CEC" w:rsidRDefault="00117410" w:rsidP="000B5CEC">
            <w:pPr>
              <w:spacing w:before="40" w:after="40"/>
              <w:rPr>
                <w:rFonts w:cs="Arial"/>
                <w:szCs w:val="20"/>
              </w:rPr>
            </w:pPr>
            <w:r w:rsidRPr="000B5CEC">
              <w:rPr>
                <w:rFonts w:cs="Arial"/>
                <w:szCs w:val="20"/>
              </w:rPr>
              <w:t>0.</w:t>
            </w:r>
            <w:r w:rsidR="008275AD" w:rsidRPr="000B5CEC">
              <w:rPr>
                <w:rFonts w:cs="Arial"/>
                <w:szCs w:val="20"/>
              </w:rPr>
              <w:t>3</w:t>
            </w:r>
            <w:r w:rsidRPr="000B5CEC">
              <w:rPr>
                <w:rFonts w:cs="Arial"/>
                <w:szCs w:val="20"/>
              </w:rPr>
              <w:t xml:space="preserve"> to 1.</w:t>
            </w:r>
            <w:r w:rsidR="008275AD" w:rsidRPr="000B5CEC">
              <w:rPr>
                <w:rFonts w:cs="Arial"/>
                <w:szCs w:val="20"/>
              </w:rPr>
              <w:t>7</w:t>
            </w:r>
            <w:r w:rsidRPr="000B5CEC">
              <w:rPr>
                <w:rFonts w:cs="Arial"/>
                <w:szCs w:val="20"/>
              </w:rPr>
              <w:t>% + CPI pa.</w:t>
            </w:r>
          </w:p>
        </w:tc>
        <w:tc>
          <w:tcPr>
            <w:tcW w:w="3231" w:type="dxa"/>
            <w:vAlign w:val="top"/>
            <w:hideMark/>
          </w:tcPr>
          <w:p w14:paraId="32F7F854" w14:textId="77777777" w:rsidR="00117410" w:rsidRPr="00212317" w:rsidRDefault="00117410" w:rsidP="003A6AFD">
            <w:pPr>
              <w:spacing w:before="40" w:after="40"/>
              <w:ind w:right="90"/>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Very strong support for options with a 1.0% to 1.3% price increase, although it is acknowledged that some did not support any increase.</w:t>
            </w:r>
          </w:p>
        </w:tc>
        <w:tc>
          <w:tcPr>
            <w:tcW w:w="3573" w:type="dxa"/>
            <w:vAlign w:val="top"/>
            <w:hideMark/>
          </w:tcPr>
          <w:p w14:paraId="6DFE74CC" w14:textId="77777777" w:rsidR="00117410" w:rsidRPr="00212317" w:rsidRDefault="00117410" w:rsidP="003A6AFD">
            <w:pPr>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We need to fund past and future modernisation CAPEX which can (in part) be offset by productivity savings, resulting in proposed price increases of:</w:t>
            </w:r>
          </w:p>
          <w:p w14:paraId="55D39E7C" w14:textId="0F8B5E50" w:rsidR="00117410" w:rsidRPr="00212317" w:rsidRDefault="00117410" w:rsidP="003A6AFD">
            <w:pPr>
              <w:pStyle w:val="Bulletpointparagraph"/>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1.0% + CPI per annum</w:t>
            </w:r>
          </w:p>
        </w:tc>
      </w:tr>
      <w:tr w:rsidR="00117410" w:rsidRPr="00212317" w14:paraId="6F2CC493" w14:textId="77777777" w:rsidTr="003A6AFD">
        <w:trPr>
          <w:trHeight w:val="769"/>
        </w:trPr>
        <w:tc>
          <w:tcPr>
            <w:cnfStyle w:val="001000000000" w:firstRow="0" w:lastRow="0" w:firstColumn="1" w:lastColumn="0" w:oddVBand="0" w:evenVBand="0" w:oddHBand="0" w:evenHBand="0" w:firstRowFirstColumn="0" w:firstRowLastColumn="0" w:lastRowFirstColumn="0" w:lastRowLastColumn="0"/>
            <w:tcW w:w="2977" w:type="dxa"/>
            <w:hideMark/>
          </w:tcPr>
          <w:p w14:paraId="20E31854" w14:textId="77777777" w:rsidR="00117410" w:rsidRPr="000B5CEC" w:rsidRDefault="00117410" w:rsidP="000B5CEC">
            <w:pPr>
              <w:spacing w:before="40" w:after="40"/>
              <w:rPr>
                <w:rFonts w:cs="Arial"/>
                <w:szCs w:val="20"/>
              </w:rPr>
            </w:pPr>
            <w:r w:rsidRPr="000B5CEC">
              <w:rPr>
                <w:rFonts w:cs="Arial"/>
                <w:szCs w:val="20"/>
              </w:rPr>
              <w:t>MID price increases of:</w:t>
            </w:r>
          </w:p>
          <w:p w14:paraId="43291493" w14:textId="77777777" w:rsidR="00117410" w:rsidRPr="000B5CEC" w:rsidRDefault="00117410" w:rsidP="000B5CEC">
            <w:pPr>
              <w:spacing w:before="40" w:after="40"/>
              <w:rPr>
                <w:rFonts w:cs="Arial"/>
                <w:szCs w:val="20"/>
              </w:rPr>
            </w:pPr>
            <w:r w:rsidRPr="000B5CEC">
              <w:rPr>
                <w:rFonts w:cs="Arial"/>
                <w:szCs w:val="20"/>
              </w:rPr>
              <w:t>1.3 – 3.1% + CPI pa.</w:t>
            </w:r>
          </w:p>
        </w:tc>
        <w:tc>
          <w:tcPr>
            <w:tcW w:w="3231" w:type="dxa"/>
            <w:vAlign w:val="top"/>
            <w:hideMark/>
          </w:tcPr>
          <w:p w14:paraId="1A071EE0" w14:textId="675AA448" w:rsidR="00117410" w:rsidRPr="00212317" w:rsidRDefault="007C2D8F" w:rsidP="003A6AFD">
            <w:pPr>
              <w:spacing w:before="40" w:after="40"/>
              <w:ind w:right="90"/>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 xml:space="preserve">Majority </w:t>
            </w:r>
            <w:r w:rsidR="00117410" w:rsidRPr="00212317">
              <w:rPr>
                <w:rFonts w:cs="Arial"/>
                <w:szCs w:val="20"/>
              </w:rPr>
              <w:t xml:space="preserve">support for minimal price increases, but with notable </w:t>
            </w:r>
            <w:r w:rsidRPr="00212317">
              <w:rPr>
                <w:rFonts w:cs="Arial"/>
                <w:szCs w:val="20"/>
              </w:rPr>
              <w:t xml:space="preserve">(40% of survey respondents) support </w:t>
            </w:r>
            <w:r w:rsidR="00F6614F" w:rsidRPr="00212317">
              <w:rPr>
                <w:rFonts w:cs="Arial"/>
                <w:szCs w:val="20"/>
              </w:rPr>
              <w:t>for increases over 2%</w:t>
            </w:r>
          </w:p>
        </w:tc>
        <w:tc>
          <w:tcPr>
            <w:tcW w:w="3573" w:type="dxa"/>
            <w:vAlign w:val="top"/>
            <w:hideMark/>
          </w:tcPr>
          <w:p w14:paraId="1E383831" w14:textId="77777777" w:rsidR="00117410" w:rsidRPr="00212317" w:rsidRDefault="00117410" w:rsidP="003A6AFD">
            <w:pPr>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We need to fund past and future modernisation CAPEX which can (in part) be offset by productivity savings, resulting in proposed price increases of:</w:t>
            </w:r>
          </w:p>
          <w:p w14:paraId="6DD067D8" w14:textId="26D68A7B" w:rsidR="00117410" w:rsidRPr="00212317" w:rsidRDefault="00117410" w:rsidP="003A6AFD">
            <w:pPr>
              <w:pStyle w:val="Bulletpointparagraph"/>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1.5% + CPI per annum</w:t>
            </w:r>
          </w:p>
        </w:tc>
      </w:tr>
      <w:tr w:rsidR="00117410" w:rsidRPr="00212317" w14:paraId="31F18A8B" w14:textId="77777777" w:rsidTr="006078FC">
        <w:trPr>
          <w:cnfStyle w:val="000000100000" w:firstRow="0" w:lastRow="0" w:firstColumn="0" w:lastColumn="0" w:oddVBand="0" w:evenVBand="0" w:oddHBand="1" w:evenHBand="0" w:firstRowFirstColumn="0" w:firstRowLastColumn="0" w:lastRowFirstColumn="0" w:lastRowLastColumn="0"/>
          <w:trHeight w:val="769"/>
        </w:trPr>
        <w:tc>
          <w:tcPr>
            <w:cnfStyle w:val="001000000000" w:firstRow="0" w:lastRow="0" w:firstColumn="1" w:lastColumn="0" w:oddVBand="0" w:evenVBand="0" w:oddHBand="0" w:evenHBand="0" w:firstRowFirstColumn="0" w:firstRowLastColumn="0" w:lastRowFirstColumn="0" w:lastRowLastColumn="0"/>
            <w:tcW w:w="2977" w:type="dxa"/>
          </w:tcPr>
          <w:p w14:paraId="0029E0CF" w14:textId="024CC716" w:rsidR="00117410" w:rsidRPr="000B5CEC" w:rsidRDefault="00117410" w:rsidP="000B5CEC">
            <w:pPr>
              <w:spacing w:before="40" w:after="40"/>
              <w:rPr>
                <w:rFonts w:cs="Arial"/>
                <w:szCs w:val="20"/>
              </w:rPr>
            </w:pPr>
            <w:r w:rsidRPr="000B5CEC">
              <w:rPr>
                <w:rFonts w:cs="Arial"/>
                <w:szCs w:val="20"/>
              </w:rPr>
              <w:t xml:space="preserve">Latrobe </w:t>
            </w:r>
            <w:r w:rsidR="003152B5" w:rsidRPr="000B5CEC">
              <w:rPr>
                <w:rFonts w:cs="Arial"/>
                <w:szCs w:val="20"/>
              </w:rPr>
              <w:t>bulk entitlement</w:t>
            </w:r>
            <w:r w:rsidRPr="000B5CEC">
              <w:rPr>
                <w:rFonts w:cs="Arial"/>
                <w:szCs w:val="20"/>
              </w:rPr>
              <w:t xml:space="preserve"> price increases of:</w:t>
            </w:r>
          </w:p>
          <w:p w14:paraId="61A21C6B" w14:textId="15E57402" w:rsidR="00117410" w:rsidRPr="000B5CEC" w:rsidRDefault="00117410" w:rsidP="000B5CEC">
            <w:pPr>
              <w:spacing w:before="40" w:after="40"/>
              <w:rPr>
                <w:rFonts w:cs="Arial"/>
                <w:szCs w:val="20"/>
              </w:rPr>
            </w:pPr>
            <w:r w:rsidRPr="000B5CEC">
              <w:rPr>
                <w:rFonts w:cs="Arial"/>
                <w:szCs w:val="20"/>
              </w:rPr>
              <w:t xml:space="preserve">1.5% (approx.) + CPI pa </w:t>
            </w:r>
          </w:p>
        </w:tc>
        <w:tc>
          <w:tcPr>
            <w:tcW w:w="3231" w:type="dxa"/>
            <w:vAlign w:val="top"/>
          </w:tcPr>
          <w:p w14:paraId="2329300F" w14:textId="7BE6FBE6" w:rsidR="00117410" w:rsidRPr="00212317" w:rsidRDefault="00117410" w:rsidP="003A6AFD">
            <w:pPr>
              <w:spacing w:before="40" w:after="40"/>
              <w:ind w:right="90"/>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General support, knowing the increase is primarily to fund dam safety works</w:t>
            </w:r>
          </w:p>
        </w:tc>
        <w:tc>
          <w:tcPr>
            <w:tcW w:w="3573" w:type="dxa"/>
            <w:vAlign w:val="top"/>
          </w:tcPr>
          <w:p w14:paraId="7E25629F" w14:textId="2A817A77" w:rsidR="00117410" w:rsidRPr="00212317" w:rsidRDefault="00117410" w:rsidP="003A6AFD">
            <w:pPr>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 xml:space="preserve">We need to fund CAPEX but will consult in accordance with the </w:t>
            </w:r>
            <w:r w:rsidR="003152B5" w:rsidRPr="00212317">
              <w:rPr>
                <w:rFonts w:cs="Arial"/>
                <w:szCs w:val="20"/>
              </w:rPr>
              <w:t>bulk entitlement</w:t>
            </w:r>
            <w:r w:rsidRPr="00212317">
              <w:rPr>
                <w:rFonts w:cs="Arial"/>
                <w:szCs w:val="20"/>
              </w:rPr>
              <w:t xml:space="preserve"> instrument, expecting price increases of around:</w:t>
            </w:r>
          </w:p>
          <w:p w14:paraId="7B457049" w14:textId="66CECE8B" w:rsidR="00117410" w:rsidRPr="00212317" w:rsidRDefault="00117410" w:rsidP="003A6AFD">
            <w:pPr>
              <w:pStyle w:val="Bulletpointparagraph"/>
              <w:spacing w:before="40" w:after="40"/>
              <w:ind w:right="115"/>
              <w:cnfStyle w:val="000000100000" w:firstRow="0" w:lastRow="0" w:firstColumn="0" w:lastColumn="0" w:oddVBand="0" w:evenVBand="0" w:oddHBand="1" w:evenHBand="0" w:firstRowFirstColumn="0" w:firstRowLastColumn="0" w:lastRowFirstColumn="0" w:lastRowLastColumn="0"/>
              <w:rPr>
                <w:rFonts w:cs="Arial"/>
                <w:szCs w:val="20"/>
              </w:rPr>
            </w:pPr>
            <w:r w:rsidRPr="00212317">
              <w:rPr>
                <w:rFonts w:cs="Arial"/>
                <w:szCs w:val="20"/>
              </w:rPr>
              <w:t>1.5% + CPI per annum</w:t>
            </w:r>
          </w:p>
        </w:tc>
      </w:tr>
      <w:tr w:rsidR="00117410" w:rsidRPr="00212317" w14:paraId="1339F736" w14:textId="77777777" w:rsidTr="006078FC">
        <w:trPr>
          <w:trHeight w:val="769"/>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tcPr>
          <w:p w14:paraId="1A5CD13D" w14:textId="3A2BEFE8" w:rsidR="00117410" w:rsidRPr="000B5CEC" w:rsidRDefault="00117410" w:rsidP="000B5CEC">
            <w:pPr>
              <w:spacing w:before="40" w:after="40"/>
              <w:rPr>
                <w:rFonts w:cs="Arial"/>
                <w:szCs w:val="20"/>
              </w:rPr>
            </w:pPr>
            <w:r w:rsidRPr="000B5CEC">
              <w:rPr>
                <w:rFonts w:cs="Arial"/>
                <w:szCs w:val="20"/>
              </w:rPr>
              <w:t xml:space="preserve">Werribee and Maribyrnong </w:t>
            </w:r>
            <w:r w:rsidR="003152B5" w:rsidRPr="000B5CEC">
              <w:rPr>
                <w:rFonts w:cs="Arial"/>
                <w:szCs w:val="20"/>
              </w:rPr>
              <w:t>bulk entitlement</w:t>
            </w:r>
            <w:r w:rsidRPr="000B5CEC">
              <w:rPr>
                <w:rFonts w:cs="Arial"/>
                <w:szCs w:val="20"/>
              </w:rPr>
              <w:t xml:space="preserve"> price increases of 1.9% (approx.) + CPI pa</w:t>
            </w:r>
          </w:p>
        </w:tc>
        <w:tc>
          <w:tcPr>
            <w:tcW w:w="3231" w:type="dxa"/>
            <w:tcBorders>
              <w:bottom w:val="single" w:sz="4" w:space="0" w:color="auto"/>
            </w:tcBorders>
            <w:vAlign w:val="top"/>
          </w:tcPr>
          <w:p w14:paraId="75D3C35C" w14:textId="10ADF043" w:rsidR="00117410" w:rsidRPr="00212317" w:rsidRDefault="00117410" w:rsidP="003A6AFD">
            <w:pPr>
              <w:spacing w:before="40" w:after="40"/>
              <w:ind w:right="90"/>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General support, knowing the increase is primarily to fund dam safety works</w:t>
            </w:r>
          </w:p>
        </w:tc>
        <w:tc>
          <w:tcPr>
            <w:tcW w:w="3573" w:type="dxa"/>
            <w:tcBorders>
              <w:bottom w:val="single" w:sz="4" w:space="0" w:color="auto"/>
            </w:tcBorders>
            <w:vAlign w:val="top"/>
          </w:tcPr>
          <w:p w14:paraId="57FA9516" w14:textId="543858A7" w:rsidR="00117410" w:rsidRPr="00212317" w:rsidRDefault="00117410" w:rsidP="003A6AFD">
            <w:pPr>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 xml:space="preserve">We need to fund CAPEX but will consult in accordance with the </w:t>
            </w:r>
            <w:r w:rsidR="003152B5" w:rsidRPr="00212317">
              <w:rPr>
                <w:rFonts w:cs="Arial"/>
                <w:szCs w:val="20"/>
              </w:rPr>
              <w:t>bulk entitlement</w:t>
            </w:r>
            <w:r w:rsidRPr="00212317">
              <w:rPr>
                <w:rFonts w:cs="Arial"/>
                <w:szCs w:val="20"/>
              </w:rPr>
              <w:t xml:space="preserve"> instrument, expecting price increases of around:</w:t>
            </w:r>
          </w:p>
          <w:p w14:paraId="43363FCA" w14:textId="1B5D5692" w:rsidR="00117410" w:rsidRPr="00212317" w:rsidRDefault="00117410" w:rsidP="003A6AFD">
            <w:pPr>
              <w:pStyle w:val="Bulletpointparagraph"/>
              <w:spacing w:before="40" w:after="40"/>
              <w:ind w:right="115"/>
              <w:cnfStyle w:val="000000000000" w:firstRow="0" w:lastRow="0" w:firstColumn="0" w:lastColumn="0" w:oddVBand="0" w:evenVBand="0" w:oddHBand="0" w:evenHBand="0" w:firstRowFirstColumn="0" w:firstRowLastColumn="0" w:lastRowFirstColumn="0" w:lastRowLastColumn="0"/>
              <w:rPr>
                <w:rFonts w:cs="Arial"/>
                <w:szCs w:val="20"/>
              </w:rPr>
            </w:pPr>
            <w:r w:rsidRPr="00212317">
              <w:rPr>
                <w:rFonts w:cs="Arial"/>
                <w:szCs w:val="20"/>
              </w:rPr>
              <w:t>1.9% + CPI per annum</w:t>
            </w:r>
          </w:p>
        </w:tc>
      </w:tr>
    </w:tbl>
    <w:p w14:paraId="1E378CC2" w14:textId="185E1A8D" w:rsidR="00322C30" w:rsidRPr="003152B5" w:rsidRDefault="00322C30" w:rsidP="00322C30">
      <w:pPr>
        <w:pStyle w:val="Heading3"/>
      </w:pPr>
      <w:r w:rsidRPr="003152B5">
        <w:t>Unmet expectations</w:t>
      </w:r>
    </w:p>
    <w:p w14:paraId="5FF7C7A3" w14:textId="417DEE94" w:rsidR="00224956" w:rsidRPr="003152B5" w:rsidRDefault="00165E64" w:rsidP="000B5CEC">
      <w:pPr>
        <w:jc w:val="both"/>
        <w:rPr>
          <w:rFonts w:cs="Arial"/>
          <w:color w:val="000000" w:themeColor="text1"/>
        </w:rPr>
      </w:pPr>
      <w:r w:rsidRPr="003152B5">
        <w:rPr>
          <w:rFonts w:cs="Arial"/>
          <w:color w:val="000000" w:themeColor="text1"/>
        </w:rPr>
        <w:t>Our customers have provided us with some invaluable feedback</w:t>
      </w:r>
      <w:r w:rsidR="0017312E" w:rsidRPr="003152B5">
        <w:rPr>
          <w:rFonts w:cs="Arial"/>
          <w:color w:val="000000" w:themeColor="text1"/>
        </w:rPr>
        <w:t xml:space="preserve"> and as much as we have endeavoured to respond </w:t>
      </w:r>
      <w:r w:rsidR="005B38B2" w:rsidRPr="003152B5">
        <w:rPr>
          <w:rFonts w:cs="Arial"/>
          <w:color w:val="000000" w:themeColor="text1"/>
        </w:rPr>
        <w:t>to all of it with</w:t>
      </w:r>
      <w:r w:rsidR="0017312E" w:rsidRPr="003152B5">
        <w:rPr>
          <w:rFonts w:cs="Arial"/>
          <w:color w:val="000000" w:themeColor="text1"/>
        </w:rPr>
        <w:t>in our price submission, there are some aspects</w:t>
      </w:r>
      <w:r w:rsidR="00044512" w:rsidRPr="003152B5">
        <w:rPr>
          <w:rFonts w:cs="Arial"/>
          <w:color w:val="000000" w:themeColor="text1"/>
        </w:rPr>
        <w:t xml:space="preserve"> that are more difficult to </w:t>
      </w:r>
      <w:r w:rsidR="005B38B2" w:rsidRPr="003152B5">
        <w:rPr>
          <w:rFonts w:cs="Arial"/>
          <w:color w:val="000000" w:themeColor="text1"/>
        </w:rPr>
        <w:t>agree upon</w:t>
      </w:r>
      <w:r w:rsidR="00044512" w:rsidRPr="003152B5">
        <w:rPr>
          <w:rFonts w:cs="Arial"/>
          <w:color w:val="000000" w:themeColor="text1"/>
        </w:rPr>
        <w:t>.</w:t>
      </w:r>
    </w:p>
    <w:p w14:paraId="6C9B7C88" w14:textId="125D2CA7" w:rsidR="00FF1ED0" w:rsidRPr="003152B5" w:rsidRDefault="00FF1ED0" w:rsidP="00FF1ED0">
      <w:pPr>
        <w:pStyle w:val="Heading4"/>
      </w:pPr>
      <w:r w:rsidRPr="003152B5">
        <w:t>Value</w:t>
      </w:r>
    </w:p>
    <w:p w14:paraId="4D7D6DEE" w14:textId="24AD2D38" w:rsidR="00FF1ED0" w:rsidRPr="003152B5" w:rsidRDefault="00FF1ED0" w:rsidP="000B5CEC">
      <w:pPr>
        <w:jc w:val="both"/>
        <w:rPr>
          <w:rFonts w:cs="Arial"/>
          <w:color w:val="000000" w:themeColor="text1"/>
        </w:rPr>
      </w:pPr>
      <w:r w:rsidRPr="003152B5">
        <w:rPr>
          <w:rFonts w:cs="Arial"/>
          <w:color w:val="000000" w:themeColor="text1"/>
        </w:rPr>
        <w:t>Some customers queried the need for price increases</w:t>
      </w:r>
      <w:r w:rsidR="001013E7" w:rsidRPr="003152B5">
        <w:rPr>
          <w:rFonts w:cs="Arial"/>
          <w:color w:val="000000" w:themeColor="text1"/>
        </w:rPr>
        <w:t xml:space="preserve">. </w:t>
      </w:r>
      <w:r w:rsidR="00B56856" w:rsidRPr="003152B5">
        <w:rPr>
          <w:rFonts w:cs="Arial"/>
          <w:color w:val="000000" w:themeColor="text1"/>
        </w:rPr>
        <w:t xml:space="preserve">During </w:t>
      </w:r>
      <w:r w:rsidR="00BE5B23" w:rsidRPr="003152B5">
        <w:rPr>
          <w:rFonts w:cs="Arial"/>
          <w:color w:val="000000" w:themeColor="text1"/>
        </w:rPr>
        <w:t>face-to-face</w:t>
      </w:r>
      <w:r w:rsidR="00B56856" w:rsidRPr="003152B5">
        <w:rPr>
          <w:rFonts w:cs="Arial"/>
          <w:color w:val="000000" w:themeColor="text1"/>
        </w:rPr>
        <w:t xml:space="preserve"> meetings it became apparent that some of our customers </w:t>
      </w:r>
      <w:r w:rsidR="00B56856" w:rsidRPr="003152B5" w:rsidDel="00706EAC">
        <w:rPr>
          <w:rFonts w:cs="Arial"/>
          <w:color w:val="000000" w:themeColor="text1"/>
        </w:rPr>
        <w:t xml:space="preserve">don’t </w:t>
      </w:r>
      <w:r w:rsidR="00706EAC" w:rsidRPr="003152B5">
        <w:rPr>
          <w:rFonts w:cs="Arial"/>
          <w:color w:val="000000" w:themeColor="text1"/>
        </w:rPr>
        <w:t xml:space="preserve">have a full appreciation </w:t>
      </w:r>
      <w:r w:rsidR="00C553BC" w:rsidRPr="003152B5">
        <w:rPr>
          <w:rFonts w:cs="Arial"/>
          <w:color w:val="000000" w:themeColor="text1"/>
        </w:rPr>
        <w:t>of the role we play</w:t>
      </w:r>
      <w:r w:rsidR="008704EB" w:rsidRPr="003152B5">
        <w:rPr>
          <w:rFonts w:cs="Arial"/>
          <w:color w:val="000000" w:themeColor="text1"/>
        </w:rPr>
        <w:t xml:space="preserve"> and showed greater acceptance of price proposals once they were explained in more detail.</w:t>
      </w:r>
      <w:r w:rsidR="00BB06E7" w:rsidRPr="003152B5">
        <w:rPr>
          <w:rFonts w:cs="Arial"/>
          <w:color w:val="000000" w:themeColor="text1"/>
        </w:rPr>
        <w:t xml:space="preserve"> The </w:t>
      </w:r>
      <w:r w:rsidR="000D3A2A" w:rsidRPr="003152B5">
        <w:rPr>
          <w:rFonts w:cs="Arial"/>
          <w:color w:val="000000" w:themeColor="text1"/>
        </w:rPr>
        <w:t>d</w:t>
      </w:r>
      <w:r w:rsidR="00BB06E7" w:rsidRPr="003152B5">
        <w:rPr>
          <w:rFonts w:cs="Arial"/>
          <w:color w:val="000000" w:themeColor="text1"/>
        </w:rPr>
        <w:t>iscussion</w:t>
      </w:r>
      <w:r w:rsidR="000D3A2A" w:rsidRPr="003152B5">
        <w:rPr>
          <w:rFonts w:cs="Arial"/>
          <w:color w:val="000000" w:themeColor="text1"/>
        </w:rPr>
        <w:t>s</w:t>
      </w:r>
      <w:r w:rsidR="00BB06E7" w:rsidRPr="003152B5">
        <w:rPr>
          <w:rFonts w:cs="Arial"/>
          <w:color w:val="000000" w:themeColor="text1"/>
        </w:rPr>
        <w:t xml:space="preserve"> highlighted the need for SRW</w:t>
      </w:r>
      <w:r w:rsidR="000D3A2A" w:rsidRPr="003152B5">
        <w:rPr>
          <w:rFonts w:cs="Arial"/>
          <w:color w:val="000000" w:themeColor="text1"/>
        </w:rPr>
        <w:t xml:space="preserve"> to be more transparent</w:t>
      </w:r>
      <w:r w:rsidR="002B612D" w:rsidRPr="003152B5">
        <w:rPr>
          <w:rFonts w:cs="Arial"/>
          <w:color w:val="000000" w:themeColor="text1"/>
        </w:rPr>
        <w:t>, through varied communication channels</w:t>
      </w:r>
      <w:r w:rsidR="000D3A2A" w:rsidRPr="003152B5">
        <w:rPr>
          <w:rFonts w:cs="Arial"/>
          <w:color w:val="000000" w:themeColor="text1"/>
        </w:rPr>
        <w:t xml:space="preserve"> </w:t>
      </w:r>
      <w:r w:rsidR="000439B1" w:rsidRPr="003152B5">
        <w:rPr>
          <w:rFonts w:cs="Arial"/>
          <w:color w:val="000000" w:themeColor="text1"/>
        </w:rPr>
        <w:t xml:space="preserve">about the activities </w:t>
      </w:r>
      <w:r w:rsidR="002B612D" w:rsidRPr="003152B5">
        <w:rPr>
          <w:rFonts w:cs="Arial"/>
          <w:color w:val="000000" w:themeColor="text1"/>
        </w:rPr>
        <w:t xml:space="preserve">we </w:t>
      </w:r>
      <w:r w:rsidR="000439B1" w:rsidRPr="003152B5">
        <w:rPr>
          <w:rFonts w:cs="Arial"/>
          <w:color w:val="000000" w:themeColor="text1"/>
        </w:rPr>
        <w:t>undertake</w:t>
      </w:r>
      <w:r w:rsidR="007058EA" w:rsidRPr="003152B5">
        <w:rPr>
          <w:rFonts w:cs="Arial"/>
          <w:color w:val="000000" w:themeColor="text1"/>
        </w:rPr>
        <w:t>, in</w:t>
      </w:r>
      <w:r w:rsidR="00F304C7" w:rsidRPr="003152B5">
        <w:rPr>
          <w:rFonts w:cs="Arial"/>
          <w:color w:val="000000" w:themeColor="text1"/>
        </w:rPr>
        <w:t>c</w:t>
      </w:r>
      <w:r w:rsidR="007058EA" w:rsidRPr="003152B5">
        <w:rPr>
          <w:rFonts w:cs="Arial"/>
          <w:color w:val="000000" w:themeColor="text1"/>
        </w:rPr>
        <w:t>luding the</w:t>
      </w:r>
      <w:r w:rsidR="00F304C7" w:rsidRPr="003152B5">
        <w:rPr>
          <w:rFonts w:cs="Arial"/>
          <w:color w:val="000000" w:themeColor="text1"/>
        </w:rPr>
        <w:t xml:space="preserve"> provision of maint</w:t>
      </w:r>
      <w:r w:rsidR="00A648D8" w:rsidRPr="003152B5">
        <w:rPr>
          <w:rFonts w:cs="Arial"/>
          <w:color w:val="000000" w:themeColor="text1"/>
        </w:rPr>
        <w:t>en</w:t>
      </w:r>
      <w:r w:rsidR="00F304C7" w:rsidRPr="003152B5">
        <w:rPr>
          <w:rFonts w:cs="Arial"/>
          <w:color w:val="000000" w:themeColor="text1"/>
        </w:rPr>
        <w:t>ance updates to our customers.</w:t>
      </w:r>
    </w:p>
    <w:p w14:paraId="7107DF90" w14:textId="6CD98CEC" w:rsidR="007F280E" w:rsidRPr="003152B5" w:rsidRDefault="007F280E" w:rsidP="006522C7">
      <w:pPr>
        <w:pStyle w:val="Heading4"/>
      </w:pPr>
      <w:bookmarkStart w:id="44" w:name="_Hlk109303958"/>
      <w:r w:rsidRPr="003152B5">
        <w:t>CP</w:t>
      </w:r>
      <w:r w:rsidR="006522C7" w:rsidRPr="003152B5">
        <w:t>I</w:t>
      </w:r>
    </w:p>
    <w:p w14:paraId="5689139B" w14:textId="2E432948" w:rsidR="007F280E" w:rsidRPr="003152B5" w:rsidRDefault="00044512" w:rsidP="000B5CEC">
      <w:pPr>
        <w:jc w:val="both"/>
        <w:rPr>
          <w:rFonts w:cs="Arial"/>
          <w:color w:val="000000" w:themeColor="text1"/>
        </w:rPr>
      </w:pPr>
      <w:r w:rsidRPr="003152B5">
        <w:rPr>
          <w:rFonts w:cs="Arial"/>
          <w:color w:val="000000" w:themeColor="text1"/>
        </w:rPr>
        <w:t xml:space="preserve">A number of customers </w:t>
      </w:r>
      <w:r w:rsidR="00345103" w:rsidRPr="003152B5">
        <w:rPr>
          <w:rFonts w:cs="Arial"/>
          <w:color w:val="000000" w:themeColor="text1"/>
        </w:rPr>
        <w:t>queried why we were looking to include CPI in our pricing.</w:t>
      </w:r>
      <w:r w:rsidR="00B54EA5" w:rsidRPr="003152B5">
        <w:rPr>
          <w:rFonts w:cs="Arial"/>
          <w:color w:val="000000" w:themeColor="text1"/>
        </w:rPr>
        <w:t xml:space="preserve"> </w:t>
      </w:r>
      <w:r w:rsidR="00F8483B" w:rsidRPr="003152B5">
        <w:rPr>
          <w:rFonts w:cs="Arial"/>
          <w:color w:val="000000" w:themeColor="text1"/>
        </w:rPr>
        <w:t>In the past SRW has frozen some prices, especially in the gro</w:t>
      </w:r>
      <w:r w:rsidR="00B34FC8" w:rsidRPr="003152B5">
        <w:rPr>
          <w:rFonts w:cs="Arial"/>
          <w:color w:val="000000" w:themeColor="text1"/>
        </w:rPr>
        <w:t>u</w:t>
      </w:r>
      <w:r w:rsidR="00F8483B" w:rsidRPr="003152B5">
        <w:rPr>
          <w:rFonts w:cs="Arial"/>
          <w:color w:val="000000" w:themeColor="text1"/>
        </w:rPr>
        <w:t>n</w:t>
      </w:r>
      <w:r w:rsidR="00B34FC8" w:rsidRPr="003152B5">
        <w:rPr>
          <w:rFonts w:cs="Arial"/>
          <w:color w:val="000000" w:themeColor="text1"/>
        </w:rPr>
        <w:t>d</w:t>
      </w:r>
      <w:r w:rsidR="00F8483B" w:rsidRPr="003152B5">
        <w:rPr>
          <w:rFonts w:cs="Arial"/>
          <w:color w:val="000000" w:themeColor="text1"/>
        </w:rPr>
        <w:t xml:space="preserve">water and rivers space. However, </w:t>
      </w:r>
      <w:r w:rsidR="00874A4F" w:rsidRPr="003152B5">
        <w:rPr>
          <w:rFonts w:cs="Arial"/>
          <w:color w:val="000000" w:themeColor="text1"/>
        </w:rPr>
        <w:t xml:space="preserve">as </w:t>
      </w:r>
      <w:r w:rsidR="00F8483B" w:rsidRPr="003152B5">
        <w:rPr>
          <w:rFonts w:cs="Arial"/>
          <w:color w:val="000000" w:themeColor="text1"/>
        </w:rPr>
        <w:t xml:space="preserve">we are </w:t>
      </w:r>
      <w:r w:rsidR="00B54EA5" w:rsidRPr="003152B5">
        <w:rPr>
          <w:rFonts w:cs="Arial"/>
          <w:color w:val="000000" w:themeColor="text1"/>
        </w:rPr>
        <w:t>facing increasing costs an</w:t>
      </w:r>
      <w:r w:rsidR="00F8483B" w:rsidRPr="003152B5">
        <w:rPr>
          <w:rFonts w:cs="Arial"/>
          <w:color w:val="000000" w:themeColor="text1"/>
        </w:rPr>
        <w:t xml:space="preserve">d </w:t>
      </w:r>
      <w:r w:rsidR="00046631" w:rsidRPr="003152B5">
        <w:rPr>
          <w:rFonts w:cs="Arial"/>
          <w:color w:val="000000" w:themeColor="text1"/>
        </w:rPr>
        <w:t xml:space="preserve">rising </w:t>
      </w:r>
      <w:r w:rsidR="00B54EA5" w:rsidRPr="003152B5">
        <w:rPr>
          <w:rFonts w:cs="Arial"/>
          <w:color w:val="000000" w:themeColor="text1"/>
        </w:rPr>
        <w:t>inflation rates it is simply not sustainable to</w:t>
      </w:r>
      <w:r w:rsidR="00457D33" w:rsidRPr="003152B5">
        <w:rPr>
          <w:rFonts w:cs="Arial"/>
          <w:color w:val="000000" w:themeColor="text1"/>
        </w:rPr>
        <w:t xml:space="preserve"> continue to freeze prices.</w:t>
      </w:r>
      <w:r w:rsidR="00B54EA5" w:rsidRPr="003152B5">
        <w:rPr>
          <w:rFonts w:cs="Arial"/>
          <w:color w:val="000000" w:themeColor="text1"/>
        </w:rPr>
        <w:t xml:space="preserve"> </w:t>
      </w:r>
      <w:r w:rsidR="00457D33" w:rsidRPr="003152B5">
        <w:rPr>
          <w:rFonts w:cs="Arial"/>
          <w:color w:val="000000" w:themeColor="text1"/>
        </w:rPr>
        <w:t>Hence</w:t>
      </w:r>
      <w:r w:rsidR="00647565" w:rsidRPr="003152B5">
        <w:rPr>
          <w:rFonts w:cs="Arial"/>
          <w:color w:val="000000" w:themeColor="text1"/>
        </w:rPr>
        <w:t>,</w:t>
      </w:r>
      <w:r w:rsidR="00457D33" w:rsidRPr="003152B5">
        <w:rPr>
          <w:rFonts w:cs="Arial"/>
          <w:color w:val="000000" w:themeColor="text1"/>
        </w:rPr>
        <w:t xml:space="preserve"> our proposal is to include CPI in future pricing but</w:t>
      </w:r>
      <w:r w:rsidR="00E57493" w:rsidRPr="003152B5">
        <w:rPr>
          <w:rFonts w:cs="Arial"/>
          <w:color w:val="000000" w:themeColor="text1"/>
        </w:rPr>
        <w:t xml:space="preserve"> apply it as a cap.</w:t>
      </w:r>
      <w:r w:rsidR="0030332F" w:rsidRPr="003152B5">
        <w:rPr>
          <w:rFonts w:cs="Arial"/>
          <w:color w:val="000000" w:themeColor="text1"/>
        </w:rPr>
        <w:t xml:space="preserve"> I</w:t>
      </w:r>
      <w:r w:rsidR="003E2895" w:rsidRPr="003152B5">
        <w:rPr>
          <w:rFonts w:cs="Arial"/>
          <w:color w:val="000000" w:themeColor="text1"/>
        </w:rPr>
        <w:t>n</w:t>
      </w:r>
      <w:r w:rsidR="0030332F" w:rsidRPr="003152B5">
        <w:rPr>
          <w:rFonts w:cs="Arial"/>
          <w:color w:val="000000" w:themeColor="text1"/>
        </w:rPr>
        <w:t xml:space="preserve"> other words</w:t>
      </w:r>
      <w:r w:rsidR="00874A4F" w:rsidRPr="003152B5">
        <w:rPr>
          <w:rFonts w:cs="Arial"/>
          <w:color w:val="000000" w:themeColor="text1"/>
        </w:rPr>
        <w:t>,</w:t>
      </w:r>
      <w:r w:rsidR="0030332F" w:rsidRPr="003152B5">
        <w:rPr>
          <w:rFonts w:cs="Arial"/>
          <w:color w:val="000000" w:themeColor="text1"/>
        </w:rPr>
        <w:t xml:space="preserve"> </w:t>
      </w:r>
      <w:r w:rsidR="003E2895" w:rsidRPr="003152B5">
        <w:rPr>
          <w:rFonts w:cs="Arial"/>
          <w:color w:val="000000" w:themeColor="text1"/>
        </w:rPr>
        <w:t>we wear the cost if our costs exceed CPI</w:t>
      </w:r>
      <w:r w:rsidR="00B07EBF">
        <w:rPr>
          <w:rFonts w:cs="Arial"/>
          <w:color w:val="000000" w:themeColor="text1"/>
        </w:rPr>
        <w:t>,</w:t>
      </w:r>
      <w:r w:rsidR="003E2895" w:rsidRPr="003152B5">
        <w:rPr>
          <w:rFonts w:cs="Arial"/>
          <w:color w:val="000000" w:themeColor="text1"/>
        </w:rPr>
        <w:t xml:space="preserve"> conversely</w:t>
      </w:r>
      <w:r w:rsidR="007F280E" w:rsidRPr="003152B5">
        <w:rPr>
          <w:rFonts w:cs="Arial"/>
          <w:color w:val="000000" w:themeColor="text1"/>
        </w:rPr>
        <w:t xml:space="preserve"> the customers enjoy the benefits of reduce</w:t>
      </w:r>
      <w:r w:rsidR="00874A4F" w:rsidRPr="003152B5">
        <w:rPr>
          <w:rFonts w:cs="Arial"/>
          <w:color w:val="000000" w:themeColor="text1"/>
        </w:rPr>
        <w:t>d</w:t>
      </w:r>
      <w:r w:rsidR="006522C7" w:rsidRPr="003152B5">
        <w:rPr>
          <w:rFonts w:cs="Arial"/>
          <w:color w:val="000000" w:themeColor="text1"/>
        </w:rPr>
        <w:t xml:space="preserve"> </w:t>
      </w:r>
      <w:r w:rsidR="007F280E" w:rsidRPr="003152B5">
        <w:rPr>
          <w:rFonts w:cs="Arial"/>
          <w:color w:val="000000" w:themeColor="text1"/>
        </w:rPr>
        <w:t>price increases if our costs are below CPI.</w:t>
      </w:r>
      <w:r w:rsidR="00392609" w:rsidRPr="003152B5">
        <w:rPr>
          <w:rFonts w:cs="Arial"/>
          <w:color w:val="000000" w:themeColor="text1"/>
        </w:rPr>
        <w:t xml:space="preserve"> This will be considered </w:t>
      </w:r>
      <w:r w:rsidR="001A08DC" w:rsidRPr="003152B5">
        <w:rPr>
          <w:rFonts w:cs="Arial"/>
          <w:color w:val="000000" w:themeColor="text1"/>
        </w:rPr>
        <w:t xml:space="preserve">on an annual basis through our </w:t>
      </w:r>
      <w:r w:rsidR="00E71287" w:rsidRPr="003152B5">
        <w:rPr>
          <w:rFonts w:cs="Arial"/>
          <w:color w:val="000000" w:themeColor="text1"/>
        </w:rPr>
        <w:t>annual tariff review.</w:t>
      </w:r>
    </w:p>
    <w:bookmarkEnd w:id="44"/>
    <w:p w14:paraId="27226C12" w14:textId="70A02091" w:rsidR="007F280E" w:rsidRPr="003152B5" w:rsidRDefault="00D505A8" w:rsidP="00D505A8">
      <w:pPr>
        <w:pStyle w:val="Heading4"/>
      </w:pPr>
      <w:r w:rsidRPr="003152B5">
        <w:t>No f</w:t>
      </w:r>
      <w:r w:rsidR="006522C7" w:rsidRPr="003152B5">
        <w:t>ees</w:t>
      </w:r>
    </w:p>
    <w:p w14:paraId="5E8F13A7" w14:textId="73821997" w:rsidR="00A30FF4" w:rsidRPr="003152B5" w:rsidRDefault="006522C7" w:rsidP="000B5CEC">
      <w:pPr>
        <w:jc w:val="both"/>
        <w:rPr>
          <w:rFonts w:cs="Arial"/>
          <w:color w:val="000000" w:themeColor="text1"/>
        </w:rPr>
      </w:pPr>
      <w:r w:rsidRPr="003152B5">
        <w:rPr>
          <w:rFonts w:cs="Arial"/>
          <w:color w:val="000000" w:themeColor="text1"/>
        </w:rPr>
        <w:t xml:space="preserve">Some </w:t>
      </w:r>
      <w:r w:rsidR="00241DF5" w:rsidRPr="003152B5">
        <w:rPr>
          <w:rFonts w:cs="Arial"/>
          <w:color w:val="000000" w:themeColor="text1"/>
        </w:rPr>
        <w:t>groundwater and rivers</w:t>
      </w:r>
      <w:r w:rsidRPr="003152B5">
        <w:rPr>
          <w:rFonts w:cs="Arial"/>
          <w:color w:val="000000" w:themeColor="text1"/>
        </w:rPr>
        <w:t xml:space="preserve"> </w:t>
      </w:r>
      <w:r w:rsidR="00A648D8" w:rsidRPr="003152B5">
        <w:rPr>
          <w:rFonts w:cs="Arial"/>
          <w:color w:val="000000" w:themeColor="text1"/>
        </w:rPr>
        <w:t>customers question why we charge fees</w:t>
      </w:r>
      <w:r w:rsidR="00D505A8" w:rsidRPr="003152B5">
        <w:rPr>
          <w:rFonts w:cs="Arial"/>
          <w:color w:val="000000" w:themeColor="text1"/>
        </w:rPr>
        <w:t>, again citing that they do not see any service or value from SRW.</w:t>
      </w:r>
      <w:r w:rsidR="00A648D8" w:rsidRPr="003152B5">
        <w:rPr>
          <w:rFonts w:cs="Arial"/>
          <w:color w:val="000000" w:themeColor="text1"/>
        </w:rPr>
        <w:t xml:space="preserve"> </w:t>
      </w:r>
      <w:r w:rsidR="00A30FF4" w:rsidRPr="003152B5">
        <w:rPr>
          <w:rFonts w:cs="Arial"/>
          <w:color w:val="000000" w:themeColor="text1"/>
        </w:rPr>
        <w:t>Once again this highlights the need for SRW to increase awareness of the services we provide.</w:t>
      </w:r>
    </w:p>
    <w:p w14:paraId="792B4C02" w14:textId="2CD3EFDD" w:rsidR="00555EB4" w:rsidRPr="003152B5" w:rsidRDefault="00555EB4" w:rsidP="00555EB4">
      <w:pPr>
        <w:pStyle w:val="Heading4"/>
      </w:pPr>
      <w:r w:rsidRPr="003152B5">
        <w:t>Drainage works</w:t>
      </w:r>
    </w:p>
    <w:p w14:paraId="5279861B" w14:textId="79A5A1DD" w:rsidR="00A21EEA" w:rsidRPr="003152B5" w:rsidRDefault="00555EB4" w:rsidP="000B5CEC">
      <w:pPr>
        <w:jc w:val="both"/>
        <w:rPr>
          <w:rFonts w:cs="Arial"/>
          <w:color w:val="000000" w:themeColor="text1"/>
        </w:rPr>
      </w:pPr>
      <w:r w:rsidRPr="003152B5">
        <w:rPr>
          <w:rFonts w:cs="Arial"/>
          <w:color w:val="000000" w:themeColor="text1"/>
        </w:rPr>
        <w:t>Some customers in the W</w:t>
      </w:r>
      <w:r w:rsidR="0026382B">
        <w:rPr>
          <w:rFonts w:cs="Arial"/>
          <w:color w:val="000000" w:themeColor="text1"/>
        </w:rPr>
        <w:t>erribee Irrigation District</w:t>
      </w:r>
      <w:r w:rsidRPr="003152B5">
        <w:rPr>
          <w:rFonts w:cs="Arial"/>
          <w:color w:val="000000" w:themeColor="text1"/>
        </w:rPr>
        <w:t xml:space="preserve"> an</w:t>
      </w:r>
      <w:r w:rsidR="00392765" w:rsidRPr="003152B5">
        <w:rPr>
          <w:rFonts w:cs="Arial"/>
          <w:color w:val="000000" w:themeColor="text1"/>
        </w:rPr>
        <w:t>d</w:t>
      </w:r>
      <w:r w:rsidRPr="003152B5">
        <w:rPr>
          <w:rFonts w:cs="Arial"/>
          <w:color w:val="000000" w:themeColor="text1"/>
        </w:rPr>
        <w:t xml:space="preserve"> </w:t>
      </w:r>
      <w:r w:rsidR="0026382B">
        <w:rPr>
          <w:rFonts w:cs="Arial"/>
          <w:color w:val="000000" w:themeColor="text1"/>
        </w:rPr>
        <w:t>Macalister Irrigation Area</w:t>
      </w:r>
      <w:r>
        <w:rPr>
          <w:rFonts w:cs="Arial"/>
          <w:color w:val="000000" w:themeColor="text1"/>
        </w:rPr>
        <w:t xml:space="preserve"> </w:t>
      </w:r>
      <w:r w:rsidRPr="003152B5">
        <w:rPr>
          <w:rFonts w:cs="Arial"/>
          <w:color w:val="000000" w:themeColor="text1"/>
        </w:rPr>
        <w:t>raise</w:t>
      </w:r>
      <w:r w:rsidR="00D453CB" w:rsidRPr="003152B5">
        <w:rPr>
          <w:rFonts w:cs="Arial"/>
          <w:color w:val="000000" w:themeColor="text1"/>
        </w:rPr>
        <w:t>d</w:t>
      </w:r>
      <w:r w:rsidRPr="003152B5">
        <w:rPr>
          <w:rFonts w:cs="Arial"/>
          <w:color w:val="000000" w:themeColor="text1"/>
        </w:rPr>
        <w:t xml:space="preserve"> concerns about drainage wanting SRW to invest more effort in this space. However, they we</w:t>
      </w:r>
      <w:r w:rsidR="00D453CB" w:rsidRPr="003152B5">
        <w:rPr>
          <w:rFonts w:cs="Arial"/>
          <w:color w:val="000000" w:themeColor="text1"/>
        </w:rPr>
        <w:t>r</w:t>
      </w:r>
      <w:r w:rsidRPr="003152B5">
        <w:rPr>
          <w:rFonts w:cs="Arial"/>
          <w:color w:val="000000" w:themeColor="text1"/>
        </w:rPr>
        <w:t xml:space="preserve">e unwilling to pay </w:t>
      </w:r>
      <w:r w:rsidR="007318DC" w:rsidRPr="003152B5">
        <w:rPr>
          <w:rFonts w:cs="Arial"/>
          <w:color w:val="000000" w:themeColor="text1"/>
        </w:rPr>
        <w:t>additional costs in improving drainage. SRW now proposes to work with customers an</w:t>
      </w:r>
      <w:r w:rsidR="00A21EEA" w:rsidRPr="003152B5">
        <w:rPr>
          <w:rFonts w:cs="Arial"/>
          <w:color w:val="000000" w:themeColor="text1"/>
        </w:rPr>
        <w:t xml:space="preserve">d various </w:t>
      </w:r>
      <w:r w:rsidR="007318DC" w:rsidRPr="003152B5">
        <w:rPr>
          <w:rFonts w:cs="Arial"/>
          <w:color w:val="000000" w:themeColor="text1"/>
        </w:rPr>
        <w:t>ag</w:t>
      </w:r>
      <w:r w:rsidR="00A21EEA" w:rsidRPr="003152B5">
        <w:rPr>
          <w:rFonts w:cs="Arial"/>
          <w:color w:val="000000" w:themeColor="text1"/>
        </w:rPr>
        <w:t>e</w:t>
      </w:r>
      <w:r w:rsidR="007318DC" w:rsidRPr="003152B5">
        <w:rPr>
          <w:rFonts w:cs="Arial"/>
          <w:color w:val="000000" w:themeColor="text1"/>
        </w:rPr>
        <w:t>ncies (e.g</w:t>
      </w:r>
      <w:r w:rsidR="00B348D3" w:rsidRPr="003152B5">
        <w:rPr>
          <w:rFonts w:cs="Arial"/>
          <w:color w:val="000000" w:themeColor="text1"/>
        </w:rPr>
        <w:t>.,</w:t>
      </w:r>
      <w:r w:rsidR="007318DC" w:rsidRPr="003152B5">
        <w:rPr>
          <w:rFonts w:cs="Arial"/>
          <w:color w:val="000000" w:themeColor="text1"/>
        </w:rPr>
        <w:t xml:space="preserve"> W</w:t>
      </w:r>
      <w:r w:rsidR="00733F79">
        <w:rPr>
          <w:rFonts w:cs="Arial"/>
          <w:color w:val="000000" w:themeColor="text1"/>
        </w:rPr>
        <w:t xml:space="preserve">est </w:t>
      </w:r>
      <w:r w:rsidR="007318DC" w:rsidRPr="003152B5">
        <w:rPr>
          <w:rFonts w:cs="Arial"/>
          <w:color w:val="000000" w:themeColor="text1"/>
        </w:rPr>
        <w:t>G</w:t>
      </w:r>
      <w:r w:rsidR="00733F79">
        <w:rPr>
          <w:rFonts w:cs="Arial"/>
          <w:color w:val="000000" w:themeColor="text1"/>
        </w:rPr>
        <w:t xml:space="preserve">ippsland </w:t>
      </w:r>
      <w:r w:rsidR="007318DC" w:rsidRPr="003152B5">
        <w:rPr>
          <w:rFonts w:cs="Arial"/>
          <w:color w:val="000000" w:themeColor="text1"/>
        </w:rPr>
        <w:t>C</w:t>
      </w:r>
      <w:r w:rsidR="00733F79">
        <w:rPr>
          <w:rFonts w:cs="Arial"/>
          <w:color w:val="000000" w:themeColor="text1"/>
        </w:rPr>
        <w:t xml:space="preserve">atchment </w:t>
      </w:r>
      <w:r w:rsidR="007318DC" w:rsidRPr="003152B5">
        <w:rPr>
          <w:rFonts w:cs="Arial"/>
          <w:color w:val="000000" w:themeColor="text1"/>
        </w:rPr>
        <w:t>M</w:t>
      </w:r>
      <w:r w:rsidR="00733F79">
        <w:rPr>
          <w:rFonts w:cs="Arial"/>
          <w:color w:val="000000" w:themeColor="text1"/>
        </w:rPr>
        <w:t xml:space="preserve">anagement </w:t>
      </w:r>
      <w:r w:rsidR="007318DC" w:rsidRPr="003152B5">
        <w:rPr>
          <w:rFonts w:cs="Arial"/>
          <w:color w:val="000000" w:themeColor="text1"/>
        </w:rPr>
        <w:t>A</w:t>
      </w:r>
      <w:r w:rsidR="00733F79">
        <w:rPr>
          <w:rFonts w:cs="Arial"/>
          <w:color w:val="000000" w:themeColor="text1"/>
        </w:rPr>
        <w:t>uthority</w:t>
      </w:r>
      <w:r w:rsidR="007318DC" w:rsidRPr="003152B5">
        <w:rPr>
          <w:rFonts w:cs="Arial"/>
          <w:color w:val="000000" w:themeColor="text1"/>
        </w:rPr>
        <w:t xml:space="preserve">, Melbourne Water </w:t>
      </w:r>
      <w:r w:rsidR="009D2680" w:rsidRPr="003152B5">
        <w:rPr>
          <w:rFonts w:cs="Arial"/>
          <w:color w:val="000000" w:themeColor="text1"/>
        </w:rPr>
        <w:t>and</w:t>
      </w:r>
      <w:r w:rsidR="007318DC" w:rsidRPr="003152B5">
        <w:rPr>
          <w:rFonts w:cs="Arial"/>
          <w:color w:val="000000" w:themeColor="text1"/>
        </w:rPr>
        <w:t xml:space="preserve"> </w:t>
      </w:r>
      <w:r w:rsidR="00733F79">
        <w:rPr>
          <w:rFonts w:cs="Arial"/>
          <w:color w:val="000000" w:themeColor="text1"/>
        </w:rPr>
        <w:t>c</w:t>
      </w:r>
      <w:r w:rsidR="007318DC" w:rsidRPr="003152B5">
        <w:rPr>
          <w:rFonts w:cs="Arial"/>
          <w:color w:val="000000" w:themeColor="text1"/>
        </w:rPr>
        <w:t xml:space="preserve">ouncils) </w:t>
      </w:r>
      <w:r w:rsidR="00A21EEA" w:rsidRPr="003152B5">
        <w:rPr>
          <w:rFonts w:cs="Arial"/>
          <w:color w:val="000000" w:themeColor="text1"/>
        </w:rPr>
        <w:t>to un</w:t>
      </w:r>
      <w:r w:rsidR="00C07D2E" w:rsidRPr="003152B5">
        <w:rPr>
          <w:rFonts w:cs="Arial"/>
          <w:color w:val="000000" w:themeColor="text1"/>
        </w:rPr>
        <w:t>derstand</w:t>
      </w:r>
      <w:r w:rsidR="00A21EEA" w:rsidRPr="003152B5">
        <w:rPr>
          <w:rFonts w:cs="Arial"/>
          <w:color w:val="000000" w:themeColor="text1"/>
        </w:rPr>
        <w:t xml:space="preserve"> how we can optimise drainage services within existing</w:t>
      </w:r>
      <w:r w:rsidR="00D453CB" w:rsidRPr="003152B5">
        <w:rPr>
          <w:rFonts w:cs="Arial"/>
          <w:color w:val="000000" w:themeColor="text1"/>
        </w:rPr>
        <w:t xml:space="preserve"> our current operational</w:t>
      </w:r>
      <w:r w:rsidR="00A21EEA" w:rsidRPr="003152B5">
        <w:rPr>
          <w:rFonts w:cs="Arial"/>
          <w:color w:val="000000" w:themeColor="text1"/>
        </w:rPr>
        <w:t xml:space="preserve"> budget.</w:t>
      </w:r>
    </w:p>
    <w:p w14:paraId="0F403AAB" w14:textId="3E4DEFF2" w:rsidR="00C07D2E" w:rsidRPr="003152B5" w:rsidRDefault="00C07D2E" w:rsidP="00C07D2E">
      <w:pPr>
        <w:pStyle w:val="Heading4"/>
      </w:pPr>
      <w:r w:rsidRPr="003152B5">
        <w:t xml:space="preserve">Recreation </w:t>
      </w:r>
      <w:r w:rsidR="00733F79">
        <w:t>f</w:t>
      </w:r>
      <w:r w:rsidR="00FA52E3" w:rsidRPr="003152B5">
        <w:t>a</w:t>
      </w:r>
      <w:r w:rsidRPr="003152B5">
        <w:t>cilities</w:t>
      </w:r>
    </w:p>
    <w:p w14:paraId="246E30CD" w14:textId="34B1CCED" w:rsidR="0066167A" w:rsidRPr="003152B5" w:rsidRDefault="00ED2DEB" w:rsidP="000B5CEC">
      <w:pPr>
        <w:jc w:val="both"/>
        <w:rPr>
          <w:rFonts w:cs="Arial"/>
          <w:color w:val="000000" w:themeColor="text1"/>
        </w:rPr>
      </w:pPr>
      <w:r w:rsidRPr="003152B5">
        <w:rPr>
          <w:rFonts w:cs="Arial"/>
          <w:color w:val="000000" w:themeColor="text1"/>
        </w:rPr>
        <w:t xml:space="preserve">SRW operates </w:t>
      </w:r>
      <w:r w:rsidR="00733F79">
        <w:rPr>
          <w:rFonts w:cs="Arial"/>
          <w:color w:val="000000" w:themeColor="text1"/>
        </w:rPr>
        <w:t>several</w:t>
      </w:r>
      <w:r w:rsidRPr="003152B5">
        <w:rPr>
          <w:rFonts w:cs="Arial"/>
          <w:color w:val="000000" w:themeColor="text1"/>
        </w:rPr>
        <w:t xml:space="preserve"> recreational facilities w</w:t>
      </w:r>
      <w:r w:rsidR="00B37823" w:rsidRPr="003152B5">
        <w:rPr>
          <w:rFonts w:cs="Arial"/>
          <w:color w:val="000000" w:themeColor="text1"/>
        </w:rPr>
        <w:t>hich we maintain</w:t>
      </w:r>
      <w:r w:rsidR="00B60899" w:rsidRPr="003152B5">
        <w:rPr>
          <w:rFonts w:cs="Arial"/>
          <w:color w:val="000000" w:themeColor="text1"/>
        </w:rPr>
        <w:t xml:space="preserve">, in accordance with </w:t>
      </w:r>
      <w:r w:rsidR="00E90B9A" w:rsidRPr="003152B5">
        <w:rPr>
          <w:rFonts w:cs="Arial"/>
          <w:color w:val="000000" w:themeColor="text1"/>
        </w:rPr>
        <w:t>a state-wide practice,</w:t>
      </w:r>
      <w:r w:rsidR="00B37823" w:rsidRPr="003152B5">
        <w:rPr>
          <w:rFonts w:cs="Arial"/>
          <w:color w:val="000000" w:themeColor="text1"/>
        </w:rPr>
        <w:t xml:space="preserve"> via a</w:t>
      </w:r>
      <w:r w:rsidR="00BE5B23" w:rsidRPr="003152B5">
        <w:rPr>
          <w:rFonts w:cs="Arial"/>
          <w:color w:val="000000" w:themeColor="text1"/>
        </w:rPr>
        <w:t xml:space="preserve"> c</w:t>
      </w:r>
      <w:r w:rsidRPr="003152B5">
        <w:rPr>
          <w:rFonts w:cs="Arial"/>
          <w:color w:val="000000" w:themeColor="text1"/>
        </w:rPr>
        <w:t xml:space="preserve">harge </w:t>
      </w:r>
      <w:r w:rsidR="00BE5B23" w:rsidRPr="003152B5">
        <w:rPr>
          <w:rFonts w:cs="Arial"/>
          <w:color w:val="000000" w:themeColor="text1"/>
        </w:rPr>
        <w:t xml:space="preserve">to </w:t>
      </w:r>
      <w:r w:rsidRPr="003152B5">
        <w:rPr>
          <w:rFonts w:cs="Arial"/>
          <w:color w:val="000000" w:themeColor="text1"/>
        </w:rPr>
        <w:t>our urban water customers</w:t>
      </w:r>
      <w:r w:rsidR="00587C4D" w:rsidRPr="003152B5">
        <w:rPr>
          <w:rFonts w:cs="Arial"/>
          <w:color w:val="000000" w:themeColor="text1"/>
        </w:rPr>
        <w:t xml:space="preserve">. </w:t>
      </w:r>
      <w:r w:rsidR="001411BE" w:rsidRPr="003152B5">
        <w:rPr>
          <w:rFonts w:cs="Arial"/>
          <w:color w:val="000000" w:themeColor="text1"/>
        </w:rPr>
        <w:t>We also include a small fee on our</w:t>
      </w:r>
      <w:r w:rsidRPr="003152B5">
        <w:rPr>
          <w:rFonts w:cs="Arial"/>
          <w:color w:val="000000" w:themeColor="text1"/>
        </w:rPr>
        <w:t xml:space="preserve"> </w:t>
      </w:r>
      <w:r w:rsidR="001E2476">
        <w:rPr>
          <w:rFonts w:cs="Arial"/>
          <w:color w:val="000000" w:themeColor="text1"/>
        </w:rPr>
        <w:t>Macalister Irrigation District</w:t>
      </w:r>
      <w:r w:rsidRPr="003152B5">
        <w:rPr>
          <w:rFonts w:cs="Arial"/>
          <w:color w:val="000000" w:themeColor="text1"/>
        </w:rPr>
        <w:t xml:space="preserve"> irrigators</w:t>
      </w:r>
      <w:r w:rsidR="001411BE" w:rsidRPr="003152B5">
        <w:rPr>
          <w:rFonts w:cs="Arial"/>
          <w:color w:val="000000" w:themeColor="text1"/>
        </w:rPr>
        <w:t xml:space="preserve"> to cover 4% of </w:t>
      </w:r>
      <w:r w:rsidR="00763901" w:rsidRPr="003152B5">
        <w:rPr>
          <w:rFonts w:cs="Arial"/>
          <w:color w:val="000000" w:themeColor="text1"/>
        </w:rPr>
        <w:t xml:space="preserve">the </w:t>
      </w:r>
      <w:r w:rsidR="001411BE" w:rsidRPr="003152B5">
        <w:rPr>
          <w:rFonts w:cs="Arial"/>
          <w:color w:val="000000" w:themeColor="text1"/>
        </w:rPr>
        <w:t>costs</w:t>
      </w:r>
      <w:r w:rsidR="00763901" w:rsidRPr="003152B5">
        <w:rPr>
          <w:rFonts w:cs="Arial"/>
          <w:color w:val="000000" w:themeColor="text1"/>
        </w:rPr>
        <w:t xml:space="preserve"> of maintaining our recreational facilities in Gippsland.</w:t>
      </w:r>
      <w:r w:rsidRPr="003152B5">
        <w:rPr>
          <w:rFonts w:cs="Arial"/>
          <w:color w:val="000000" w:themeColor="text1"/>
        </w:rPr>
        <w:t xml:space="preserve"> Gippsland Water has sought a review of the </w:t>
      </w:r>
      <w:r w:rsidR="00EB769B" w:rsidRPr="003152B5">
        <w:rPr>
          <w:rFonts w:cs="Arial"/>
          <w:color w:val="000000" w:themeColor="text1"/>
        </w:rPr>
        <w:t xml:space="preserve">current </w:t>
      </w:r>
      <w:r w:rsidR="00A70526" w:rsidRPr="003152B5">
        <w:rPr>
          <w:rFonts w:cs="Arial"/>
          <w:color w:val="000000" w:themeColor="text1"/>
        </w:rPr>
        <w:t>population</w:t>
      </w:r>
      <w:r w:rsidR="002365C5" w:rsidRPr="003152B5">
        <w:rPr>
          <w:rFonts w:cs="Arial"/>
          <w:color w:val="000000" w:themeColor="text1"/>
        </w:rPr>
        <w:t>-based</w:t>
      </w:r>
      <w:r w:rsidR="00A70526" w:rsidRPr="003152B5">
        <w:rPr>
          <w:rFonts w:cs="Arial"/>
          <w:color w:val="000000" w:themeColor="text1"/>
        </w:rPr>
        <w:t xml:space="preserve"> distribution model</w:t>
      </w:r>
      <w:r w:rsidRPr="003152B5">
        <w:rPr>
          <w:rFonts w:cs="Arial"/>
          <w:color w:val="000000" w:themeColor="text1"/>
        </w:rPr>
        <w:t xml:space="preserve">, suggesting that the costs should be levied on </w:t>
      </w:r>
      <w:r w:rsidR="00A70526" w:rsidRPr="003152B5">
        <w:rPr>
          <w:rFonts w:cs="Arial"/>
          <w:color w:val="000000" w:themeColor="text1"/>
        </w:rPr>
        <w:t xml:space="preserve">all </w:t>
      </w:r>
      <w:r w:rsidR="001E2476">
        <w:rPr>
          <w:rFonts w:cs="Arial"/>
          <w:color w:val="000000" w:themeColor="text1"/>
        </w:rPr>
        <w:t>bulk entitlement</w:t>
      </w:r>
      <w:r w:rsidRPr="003152B5">
        <w:rPr>
          <w:rFonts w:cs="Arial"/>
          <w:color w:val="000000" w:themeColor="text1"/>
        </w:rPr>
        <w:t xml:space="preserve"> holders, </w:t>
      </w:r>
      <w:r w:rsidR="00723229" w:rsidRPr="003152B5">
        <w:rPr>
          <w:rFonts w:cs="Arial"/>
          <w:color w:val="000000" w:themeColor="text1"/>
        </w:rPr>
        <w:t>but</w:t>
      </w:r>
      <w:r w:rsidR="00A70526" w:rsidRPr="003152B5">
        <w:rPr>
          <w:rFonts w:cs="Arial"/>
          <w:color w:val="000000" w:themeColor="text1"/>
        </w:rPr>
        <w:t xml:space="preserve">, </w:t>
      </w:r>
      <w:r w:rsidRPr="003152B5">
        <w:rPr>
          <w:rFonts w:cs="Arial"/>
          <w:color w:val="000000" w:themeColor="text1"/>
        </w:rPr>
        <w:t>principally the power companies</w:t>
      </w:r>
      <w:r w:rsidR="00A70526" w:rsidRPr="003152B5">
        <w:rPr>
          <w:rFonts w:cs="Arial"/>
          <w:color w:val="000000" w:themeColor="text1"/>
        </w:rPr>
        <w:t xml:space="preserve"> as they have a broad customer base</w:t>
      </w:r>
      <w:r w:rsidRPr="003152B5">
        <w:rPr>
          <w:rFonts w:cs="Arial"/>
          <w:color w:val="000000" w:themeColor="text1"/>
        </w:rPr>
        <w:t xml:space="preserve">. There are no provisions in the </w:t>
      </w:r>
      <w:r w:rsidR="001E2476">
        <w:rPr>
          <w:rFonts w:cs="Arial"/>
          <w:color w:val="000000" w:themeColor="text1"/>
        </w:rPr>
        <w:t>bulk entitlement</w:t>
      </w:r>
      <w:r w:rsidRPr="003152B5">
        <w:rPr>
          <w:rFonts w:cs="Arial"/>
          <w:color w:val="000000" w:themeColor="text1"/>
        </w:rPr>
        <w:t xml:space="preserve"> orders to impose such a fee</w:t>
      </w:r>
      <w:r w:rsidR="005F42C3" w:rsidRPr="003152B5">
        <w:rPr>
          <w:rFonts w:cs="Arial"/>
          <w:color w:val="000000" w:themeColor="text1"/>
        </w:rPr>
        <w:t xml:space="preserve">. </w:t>
      </w:r>
      <w:r w:rsidR="005D1312" w:rsidRPr="003152B5">
        <w:rPr>
          <w:rFonts w:cs="Arial"/>
          <w:color w:val="000000" w:themeColor="text1"/>
        </w:rPr>
        <w:t xml:space="preserve">The power companies have not agreed </w:t>
      </w:r>
      <w:r w:rsidR="00EF7C1F" w:rsidRPr="003152B5">
        <w:rPr>
          <w:rFonts w:cs="Arial"/>
          <w:color w:val="000000" w:themeColor="text1"/>
        </w:rPr>
        <w:t xml:space="preserve">to </w:t>
      </w:r>
      <w:r w:rsidR="001C719D" w:rsidRPr="003152B5">
        <w:rPr>
          <w:rFonts w:cs="Arial"/>
          <w:color w:val="000000" w:themeColor="text1"/>
        </w:rPr>
        <w:t>fund</w:t>
      </w:r>
      <w:r w:rsidR="00DA38BC" w:rsidRPr="003152B5">
        <w:rPr>
          <w:rFonts w:cs="Arial"/>
          <w:color w:val="000000" w:themeColor="text1"/>
        </w:rPr>
        <w:t xml:space="preserve"> recreational facilities</w:t>
      </w:r>
      <w:r w:rsidR="00EF7C1F" w:rsidRPr="003152B5">
        <w:rPr>
          <w:rFonts w:cs="Arial"/>
          <w:color w:val="000000" w:themeColor="text1"/>
        </w:rPr>
        <w:t xml:space="preserve">. </w:t>
      </w:r>
      <w:r w:rsidR="00A70526" w:rsidRPr="003152B5">
        <w:rPr>
          <w:rFonts w:cs="Arial"/>
          <w:color w:val="000000" w:themeColor="text1"/>
        </w:rPr>
        <w:t xml:space="preserve">As such, </w:t>
      </w:r>
      <w:r w:rsidR="009667E1" w:rsidRPr="003152B5">
        <w:rPr>
          <w:rFonts w:cs="Arial"/>
          <w:color w:val="000000" w:themeColor="text1"/>
        </w:rPr>
        <w:t xml:space="preserve">SRW </w:t>
      </w:r>
      <w:r w:rsidR="00BE0458" w:rsidRPr="003152B5">
        <w:rPr>
          <w:rFonts w:cs="Arial"/>
          <w:color w:val="000000" w:themeColor="text1"/>
        </w:rPr>
        <w:t>is</w:t>
      </w:r>
      <w:r w:rsidR="00A70526" w:rsidRPr="003152B5">
        <w:rPr>
          <w:rFonts w:cs="Arial"/>
          <w:color w:val="000000" w:themeColor="text1"/>
        </w:rPr>
        <w:t xml:space="preserve"> </w:t>
      </w:r>
      <w:r w:rsidR="009667E1" w:rsidRPr="003152B5">
        <w:rPr>
          <w:rFonts w:cs="Arial"/>
          <w:color w:val="000000" w:themeColor="text1"/>
        </w:rPr>
        <w:t xml:space="preserve">proposing to maintain the existing arrangements but has </w:t>
      </w:r>
      <w:r w:rsidRPr="003152B5">
        <w:rPr>
          <w:rFonts w:cs="Arial"/>
          <w:color w:val="000000" w:themeColor="text1"/>
        </w:rPr>
        <w:t xml:space="preserve">instigated discussions </w:t>
      </w:r>
      <w:r w:rsidR="00A70526" w:rsidRPr="003152B5">
        <w:rPr>
          <w:rFonts w:cs="Arial"/>
          <w:color w:val="000000" w:themeColor="text1"/>
        </w:rPr>
        <w:t xml:space="preserve">and will continue to engage </w:t>
      </w:r>
      <w:r w:rsidRPr="003152B5">
        <w:rPr>
          <w:rFonts w:cs="Arial"/>
          <w:color w:val="000000" w:themeColor="text1"/>
        </w:rPr>
        <w:t xml:space="preserve">with </w:t>
      </w:r>
      <w:r w:rsidR="00A70526" w:rsidRPr="003152B5">
        <w:rPr>
          <w:rFonts w:cs="Arial"/>
          <w:color w:val="000000" w:themeColor="text1"/>
        </w:rPr>
        <w:t xml:space="preserve">other </w:t>
      </w:r>
      <w:r w:rsidR="00714968">
        <w:rPr>
          <w:rFonts w:cs="Arial"/>
          <w:color w:val="000000" w:themeColor="text1"/>
        </w:rPr>
        <w:t>bulk entitlement</w:t>
      </w:r>
      <w:r w:rsidRPr="003152B5">
        <w:rPr>
          <w:rFonts w:cs="Arial"/>
          <w:color w:val="000000" w:themeColor="text1"/>
        </w:rPr>
        <w:t xml:space="preserve"> holders to confirm whether they would be prepared to share some of these costs.</w:t>
      </w:r>
      <w:r w:rsidR="00591023" w:rsidRPr="003152B5">
        <w:rPr>
          <w:rFonts w:cs="Arial"/>
          <w:color w:val="000000" w:themeColor="text1"/>
        </w:rPr>
        <w:t xml:space="preserve"> </w:t>
      </w:r>
      <w:r w:rsidR="00B65378" w:rsidRPr="003152B5">
        <w:rPr>
          <w:rFonts w:cs="Arial"/>
          <w:color w:val="000000" w:themeColor="text1"/>
        </w:rPr>
        <w:t xml:space="preserve">However, through the engagement </w:t>
      </w:r>
      <w:r w:rsidR="00591023" w:rsidRPr="003152B5">
        <w:rPr>
          <w:rFonts w:cs="Arial"/>
          <w:color w:val="000000" w:themeColor="text1"/>
        </w:rPr>
        <w:t>process</w:t>
      </w:r>
      <w:r w:rsidR="00B65378" w:rsidRPr="003152B5">
        <w:rPr>
          <w:rFonts w:cs="Arial"/>
          <w:color w:val="000000" w:themeColor="text1"/>
        </w:rPr>
        <w:t xml:space="preserve"> with Gippsland Water in particular</w:t>
      </w:r>
      <w:r w:rsidR="00591023" w:rsidRPr="003152B5">
        <w:rPr>
          <w:rFonts w:cs="Arial"/>
          <w:color w:val="000000" w:themeColor="text1"/>
        </w:rPr>
        <w:t>, SRW has also critically reviewed the ope</w:t>
      </w:r>
      <w:r w:rsidR="003603EF" w:rsidRPr="003152B5">
        <w:rPr>
          <w:rFonts w:cs="Arial"/>
          <w:color w:val="000000" w:themeColor="text1"/>
        </w:rPr>
        <w:t xml:space="preserve">rational </w:t>
      </w:r>
      <w:r w:rsidR="00B65378" w:rsidRPr="003152B5">
        <w:rPr>
          <w:rFonts w:cs="Arial"/>
          <w:color w:val="000000" w:themeColor="text1"/>
        </w:rPr>
        <w:t>expenditure</w:t>
      </w:r>
      <w:r w:rsidR="00257B3B">
        <w:rPr>
          <w:rFonts w:cs="Arial"/>
          <w:color w:val="000000" w:themeColor="text1"/>
        </w:rPr>
        <w:t xml:space="preserve"> and reduced </w:t>
      </w:r>
      <w:r w:rsidR="00051EA8">
        <w:rPr>
          <w:rFonts w:cs="Arial"/>
          <w:color w:val="000000" w:themeColor="text1"/>
        </w:rPr>
        <w:t>costs by 10%.</w:t>
      </w:r>
    </w:p>
    <w:p w14:paraId="51E7635E" w14:textId="67538286" w:rsidR="00555EB4" w:rsidRPr="003152B5" w:rsidRDefault="00224820" w:rsidP="00224820">
      <w:pPr>
        <w:pStyle w:val="Heading4"/>
      </w:pPr>
      <w:r w:rsidRPr="003152B5">
        <w:t>Other expectations</w:t>
      </w:r>
    </w:p>
    <w:p w14:paraId="05DE3B3A" w14:textId="1DE2AD98" w:rsidR="008306F7" w:rsidRPr="003152B5" w:rsidRDefault="00224820" w:rsidP="000B5CEC">
      <w:pPr>
        <w:jc w:val="both"/>
        <w:rPr>
          <w:color w:val="000000" w:themeColor="text1"/>
        </w:rPr>
      </w:pPr>
      <w:r w:rsidRPr="003152B5">
        <w:rPr>
          <w:rFonts w:cs="Arial"/>
          <w:color w:val="000000" w:themeColor="text1"/>
        </w:rPr>
        <w:t>There will invariably be times when we may not meet customer expect</w:t>
      </w:r>
      <w:r w:rsidR="005B3688" w:rsidRPr="003152B5">
        <w:rPr>
          <w:rFonts w:cs="Arial"/>
          <w:color w:val="000000" w:themeColor="text1"/>
        </w:rPr>
        <w:t>a</w:t>
      </w:r>
      <w:r w:rsidRPr="003152B5">
        <w:rPr>
          <w:rFonts w:cs="Arial"/>
          <w:color w:val="000000" w:themeColor="text1"/>
        </w:rPr>
        <w:t>tions.</w:t>
      </w:r>
      <w:r w:rsidR="005B3688" w:rsidRPr="003152B5">
        <w:rPr>
          <w:rFonts w:cs="Arial"/>
          <w:color w:val="000000" w:themeColor="text1"/>
        </w:rPr>
        <w:t xml:space="preserve"> Our intention is to monitor </w:t>
      </w:r>
      <w:r w:rsidR="00353E2B" w:rsidRPr="003152B5">
        <w:rPr>
          <w:rFonts w:cs="Arial"/>
          <w:color w:val="000000" w:themeColor="text1"/>
        </w:rPr>
        <w:t xml:space="preserve">any </w:t>
      </w:r>
      <w:r w:rsidR="005B3688" w:rsidRPr="003152B5">
        <w:rPr>
          <w:rFonts w:cs="Arial"/>
          <w:color w:val="000000" w:themeColor="text1"/>
        </w:rPr>
        <w:t xml:space="preserve">such feedback and seek to minimise any differences. The customer </w:t>
      </w:r>
      <w:r w:rsidR="008F54EA" w:rsidRPr="003152B5">
        <w:rPr>
          <w:rFonts w:cs="Arial"/>
          <w:color w:val="000000" w:themeColor="text1"/>
        </w:rPr>
        <w:t>consultative</w:t>
      </w:r>
      <w:r w:rsidR="005B3688" w:rsidRPr="003152B5">
        <w:rPr>
          <w:rFonts w:cs="Arial"/>
          <w:color w:val="000000" w:themeColor="text1"/>
        </w:rPr>
        <w:t xml:space="preserve"> committee</w:t>
      </w:r>
      <w:r w:rsidR="008F54EA" w:rsidRPr="003152B5">
        <w:rPr>
          <w:rFonts w:cs="Arial"/>
          <w:color w:val="000000" w:themeColor="text1"/>
        </w:rPr>
        <w:t>s</w:t>
      </w:r>
      <w:r w:rsidR="005B3688" w:rsidRPr="003152B5">
        <w:rPr>
          <w:rFonts w:cs="Arial"/>
          <w:color w:val="000000" w:themeColor="text1"/>
        </w:rPr>
        <w:t xml:space="preserve"> have provided a great forum in the past to</w:t>
      </w:r>
      <w:r w:rsidR="008F54EA" w:rsidRPr="003152B5">
        <w:rPr>
          <w:rFonts w:cs="Arial"/>
          <w:color w:val="000000" w:themeColor="text1"/>
        </w:rPr>
        <w:t xml:space="preserve"> d</w:t>
      </w:r>
      <w:r w:rsidR="005B3688" w:rsidRPr="003152B5">
        <w:rPr>
          <w:rFonts w:cs="Arial"/>
          <w:color w:val="000000" w:themeColor="text1"/>
        </w:rPr>
        <w:t>iscuss ideas an</w:t>
      </w:r>
      <w:r w:rsidR="004E29A3" w:rsidRPr="003152B5">
        <w:rPr>
          <w:rFonts w:cs="Arial"/>
          <w:color w:val="000000" w:themeColor="text1"/>
        </w:rPr>
        <w:t>d</w:t>
      </w:r>
      <w:r w:rsidR="005B3688" w:rsidRPr="003152B5">
        <w:rPr>
          <w:rFonts w:cs="Arial"/>
          <w:color w:val="000000" w:themeColor="text1"/>
        </w:rPr>
        <w:t xml:space="preserve"> </w:t>
      </w:r>
      <w:r w:rsidR="00E970DB" w:rsidRPr="003152B5">
        <w:rPr>
          <w:rFonts w:cs="Arial"/>
          <w:color w:val="000000" w:themeColor="text1"/>
        </w:rPr>
        <w:t xml:space="preserve">resolve outstanding </w:t>
      </w:r>
      <w:r w:rsidR="005B3688" w:rsidRPr="003152B5">
        <w:rPr>
          <w:rFonts w:cs="Arial"/>
          <w:color w:val="000000" w:themeColor="text1"/>
        </w:rPr>
        <w:t>issues</w:t>
      </w:r>
      <w:r w:rsidR="00353E2B" w:rsidRPr="003152B5">
        <w:rPr>
          <w:rFonts w:cs="Arial"/>
          <w:color w:val="000000" w:themeColor="text1"/>
        </w:rPr>
        <w:t>, only strategic and operational matters</w:t>
      </w:r>
      <w:r w:rsidR="005B3688" w:rsidRPr="003152B5">
        <w:rPr>
          <w:rFonts w:cs="Arial"/>
          <w:color w:val="000000" w:themeColor="text1"/>
        </w:rPr>
        <w:t xml:space="preserve">. It is </w:t>
      </w:r>
      <w:r w:rsidR="004E29A3" w:rsidRPr="003152B5">
        <w:rPr>
          <w:rFonts w:cs="Arial"/>
          <w:color w:val="000000" w:themeColor="text1"/>
        </w:rPr>
        <w:t>envisaged</w:t>
      </w:r>
      <w:r w:rsidR="005B3688" w:rsidRPr="003152B5">
        <w:rPr>
          <w:rFonts w:cs="Arial"/>
          <w:color w:val="000000" w:themeColor="text1"/>
        </w:rPr>
        <w:t xml:space="preserve"> that </w:t>
      </w:r>
      <w:r w:rsidR="000F5335" w:rsidRPr="003152B5">
        <w:rPr>
          <w:rFonts w:cs="Arial"/>
          <w:color w:val="000000" w:themeColor="text1"/>
        </w:rPr>
        <w:t>any unmet expecta</w:t>
      </w:r>
      <w:r w:rsidR="008F54EA" w:rsidRPr="003152B5">
        <w:rPr>
          <w:rFonts w:cs="Arial"/>
          <w:color w:val="000000" w:themeColor="text1"/>
        </w:rPr>
        <w:t>t</w:t>
      </w:r>
      <w:r w:rsidR="000F5335" w:rsidRPr="003152B5">
        <w:rPr>
          <w:rFonts w:cs="Arial"/>
          <w:color w:val="000000" w:themeColor="text1"/>
        </w:rPr>
        <w:t>ion</w:t>
      </w:r>
      <w:r w:rsidR="008F54EA" w:rsidRPr="003152B5">
        <w:rPr>
          <w:rFonts w:cs="Arial"/>
          <w:color w:val="000000" w:themeColor="text1"/>
        </w:rPr>
        <w:t>s</w:t>
      </w:r>
      <w:r w:rsidR="000F5335" w:rsidRPr="003152B5">
        <w:rPr>
          <w:rFonts w:cs="Arial"/>
          <w:color w:val="000000" w:themeColor="text1"/>
        </w:rPr>
        <w:t xml:space="preserve"> in the future will be discusse</w:t>
      </w:r>
      <w:r w:rsidR="008F54EA" w:rsidRPr="003152B5">
        <w:rPr>
          <w:rFonts w:cs="Arial"/>
          <w:color w:val="000000" w:themeColor="text1"/>
        </w:rPr>
        <w:t>d</w:t>
      </w:r>
      <w:r w:rsidR="000F5335" w:rsidRPr="003152B5">
        <w:rPr>
          <w:rFonts w:cs="Arial"/>
          <w:color w:val="000000" w:themeColor="text1"/>
        </w:rPr>
        <w:t xml:space="preserve"> with these committee</w:t>
      </w:r>
      <w:r w:rsidR="008F54EA" w:rsidRPr="003152B5">
        <w:rPr>
          <w:rFonts w:cs="Arial"/>
          <w:color w:val="000000" w:themeColor="text1"/>
        </w:rPr>
        <w:t>s</w:t>
      </w:r>
      <w:r w:rsidR="000F5335" w:rsidRPr="003152B5">
        <w:rPr>
          <w:rFonts w:cs="Arial"/>
          <w:color w:val="000000" w:themeColor="text1"/>
        </w:rPr>
        <w:t xml:space="preserve"> in the </w:t>
      </w:r>
      <w:r w:rsidR="00691070" w:rsidRPr="003152B5">
        <w:rPr>
          <w:rFonts w:cs="Arial"/>
          <w:color w:val="000000" w:themeColor="text1"/>
        </w:rPr>
        <w:t xml:space="preserve">hope of reaching </w:t>
      </w:r>
      <w:r w:rsidR="007F3F65" w:rsidRPr="003152B5">
        <w:rPr>
          <w:rFonts w:cs="Arial"/>
          <w:color w:val="000000" w:themeColor="text1"/>
        </w:rPr>
        <w:t>agreed outcomes</w:t>
      </w:r>
      <w:r w:rsidR="00691070" w:rsidRPr="003152B5">
        <w:rPr>
          <w:rFonts w:cs="Arial"/>
          <w:color w:val="000000" w:themeColor="text1"/>
        </w:rPr>
        <w:t>.</w:t>
      </w:r>
    </w:p>
    <w:p w14:paraId="72623E54" w14:textId="77777777" w:rsidR="00AD2264" w:rsidRDefault="00AD2264">
      <w:pPr>
        <w:rPr>
          <w:rStyle w:val="IntenseEmphasis"/>
          <w:rFonts w:eastAsiaTheme="majorEastAsia" w:cs="Arial"/>
          <w:b/>
          <w:i w:val="0"/>
          <w:iCs w:val="0"/>
          <w:sz w:val="36"/>
          <w:szCs w:val="26"/>
        </w:rPr>
      </w:pPr>
      <w:r>
        <w:rPr>
          <w:rStyle w:val="IntenseEmphasis"/>
          <w:rFonts w:cs="Arial"/>
          <w:i w:val="0"/>
          <w:iCs w:val="0"/>
          <w:sz w:val="36"/>
        </w:rPr>
        <w:br w:type="page"/>
      </w:r>
    </w:p>
    <w:p w14:paraId="77E1B898" w14:textId="16F5E516" w:rsidR="00C83FBC" w:rsidRPr="00192F41" w:rsidRDefault="00C83FBC" w:rsidP="00C83FBC">
      <w:pPr>
        <w:pStyle w:val="Heading2"/>
        <w:rPr>
          <w:rStyle w:val="IntenseEmphasis"/>
          <w:rFonts w:cs="Arial"/>
          <w:i w:val="0"/>
          <w:iCs w:val="0"/>
          <w:sz w:val="36"/>
        </w:rPr>
      </w:pPr>
      <w:r w:rsidRPr="00192F41">
        <w:rPr>
          <w:rStyle w:val="IntenseEmphasis"/>
          <w:rFonts w:cs="Arial"/>
          <w:i w:val="0"/>
          <w:iCs w:val="0"/>
          <w:sz w:val="36"/>
        </w:rPr>
        <w:t>Proposed PREMO rating</w:t>
      </w:r>
      <w:r w:rsidR="003A47ED" w:rsidRPr="00192F41">
        <w:rPr>
          <w:rStyle w:val="IntenseEmphasis"/>
          <w:rFonts w:cs="Arial"/>
          <w:i w:val="0"/>
          <w:iCs w:val="0"/>
          <w:sz w:val="36"/>
        </w:rPr>
        <w:t xml:space="preserve"> for engagement</w:t>
      </w:r>
    </w:p>
    <w:p w14:paraId="14CAB0FD" w14:textId="415835FF" w:rsidR="00BA22D3" w:rsidRPr="00FD02B1" w:rsidRDefault="00DB39AE" w:rsidP="000B5CEC">
      <w:pPr>
        <w:jc w:val="both"/>
        <w:rPr>
          <w:rFonts w:cs="Arial"/>
          <w:color w:val="000000" w:themeColor="text1"/>
        </w:rPr>
      </w:pPr>
      <w:bookmarkStart w:id="45" w:name="_Hlk107588444"/>
      <w:r w:rsidRPr="00FD02B1">
        <w:rPr>
          <w:rFonts w:cs="Arial"/>
          <w:color w:val="000000" w:themeColor="text1"/>
        </w:rPr>
        <w:t xml:space="preserve">We are </w:t>
      </w:r>
      <w:r w:rsidR="0097647B" w:rsidRPr="00FD02B1">
        <w:rPr>
          <w:rFonts w:cs="Arial"/>
          <w:color w:val="000000" w:themeColor="text1"/>
        </w:rPr>
        <w:t>satisfied</w:t>
      </w:r>
      <w:r w:rsidRPr="00FD02B1">
        <w:rPr>
          <w:rFonts w:cs="Arial"/>
          <w:color w:val="000000" w:themeColor="text1"/>
        </w:rPr>
        <w:t xml:space="preserve"> that our PREMO rating for engagement is </w:t>
      </w:r>
      <w:r w:rsidR="0097647B" w:rsidRPr="00FD02B1">
        <w:rPr>
          <w:rFonts w:cs="Arial"/>
          <w:color w:val="000000" w:themeColor="text1"/>
        </w:rPr>
        <w:t>advanced</w:t>
      </w:r>
      <w:r w:rsidRPr="00FD02B1">
        <w:rPr>
          <w:rFonts w:cs="Arial"/>
          <w:color w:val="000000" w:themeColor="text1"/>
        </w:rPr>
        <w:t xml:space="preserve">, </w:t>
      </w:r>
      <w:r w:rsidR="00BA22D3" w:rsidRPr="00FD02B1">
        <w:rPr>
          <w:rFonts w:cs="Arial"/>
          <w:color w:val="000000" w:themeColor="text1"/>
        </w:rPr>
        <w:t>based on the following assessment</w:t>
      </w:r>
      <w:r w:rsidR="000F16F5">
        <w:rPr>
          <w:rFonts w:cs="Arial"/>
          <w:color w:val="000000" w:themeColor="text1"/>
        </w:rPr>
        <w:t xml:space="preserve"> and the evidence provided in Appendix F – Engagement Report</w:t>
      </w:r>
      <w:r w:rsidR="00BA22D3" w:rsidRPr="00FD02B1">
        <w:rPr>
          <w:rFonts w:cs="Arial"/>
          <w:color w:val="000000" w:themeColor="text1"/>
        </w:rPr>
        <w:t>:</w:t>
      </w:r>
    </w:p>
    <w:tbl>
      <w:tblPr>
        <w:tblStyle w:val="ReportTable-TealRows"/>
        <w:tblW w:w="9781" w:type="dxa"/>
        <w:tblLook w:val="04A0" w:firstRow="1" w:lastRow="0" w:firstColumn="1" w:lastColumn="0" w:noHBand="0" w:noVBand="1"/>
      </w:tblPr>
      <w:tblGrid>
        <w:gridCol w:w="8505"/>
        <w:gridCol w:w="1276"/>
      </w:tblGrid>
      <w:tr w:rsidR="00914F6A" w:rsidRPr="00212317" w14:paraId="32D15144" w14:textId="77777777" w:rsidTr="003641B3">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8505" w:type="dxa"/>
            <w:vAlign w:val="top"/>
            <w:hideMark/>
          </w:tcPr>
          <w:bookmarkEnd w:id="45"/>
          <w:p w14:paraId="5FDE04AB" w14:textId="437229C1" w:rsidR="00914F6A" w:rsidRPr="000B5CEC" w:rsidRDefault="00914F6A" w:rsidP="00383876">
            <w:pPr>
              <w:spacing w:after="120"/>
              <w:rPr>
                <w:rFonts w:cs="Arial"/>
                <w:sz w:val="20"/>
                <w:szCs w:val="20"/>
              </w:rPr>
            </w:pPr>
            <w:r w:rsidRPr="000B5CEC">
              <w:rPr>
                <w:rFonts w:cs="Arial"/>
                <w:sz w:val="20"/>
                <w:szCs w:val="20"/>
              </w:rPr>
              <w:t>Engagement Aspect</w:t>
            </w:r>
          </w:p>
        </w:tc>
        <w:tc>
          <w:tcPr>
            <w:tcW w:w="1276" w:type="dxa"/>
            <w:noWrap/>
            <w:vAlign w:val="top"/>
            <w:hideMark/>
          </w:tcPr>
          <w:p w14:paraId="6365FCDE" w14:textId="77777777" w:rsidR="00914F6A" w:rsidRPr="000B5CEC" w:rsidRDefault="00914F6A" w:rsidP="000B5CEC">
            <w:pPr>
              <w:spacing w:after="12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0B5CEC">
              <w:rPr>
                <w:rFonts w:cs="Arial"/>
                <w:sz w:val="20"/>
                <w:szCs w:val="20"/>
              </w:rPr>
              <w:t>Rating</w:t>
            </w:r>
          </w:p>
        </w:tc>
      </w:tr>
      <w:tr w:rsidR="00914F6A" w:rsidRPr="00212317" w14:paraId="141B8867" w14:textId="77777777" w:rsidTr="003641B3">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505" w:type="dxa"/>
            <w:vAlign w:val="top"/>
          </w:tcPr>
          <w:p w14:paraId="232769C2" w14:textId="77777777" w:rsidR="00914F6A" w:rsidRPr="000B5CEC" w:rsidRDefault="00914F6A" w:rsidP="000B5CEC">
            <w:pPr>
              <w:spacing w:before="40" w:after="40"/>
              <w:ind w:right="113"/>
              <w:jc w:val="both"/>
              <w:rPr>
                <w:szCs w:val="20"/>
              </w:rPr>
            </w:pPr>
            <w:r w:rsidRPr="000B5CEC">
              <w:rPr>
                <w:szCs w:val="20"/>
              </w:rPr>
              <w:t>To what extent has the business justified how the form of engagement suits the content of consultation, the circumstances facing the water business and its customers?</w:t>
            </w:r>
          </w:p>
        </w:tc>
        <w:tc>
          <w:tcPr>
            <w:tcW w:w="1276" w:type="dxa"/>
            <w:noWrap/>
            <w:vAlign w:val="top"/>
            <w:hideMark/>
          </w:tcPr>
          <w:p w14:paraId="3A10F8F7" w14:textId="073E4CF9"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328D282D" w14:textId="77777777" w:rsidTr="003641B3">
        <w:trPr>
          <w:trHeight w:val="250"/>
        </w:trPr>
        <w:tc>
          <w:tcPr>
            <w:cnfStyle w:val="001000000000" w:firstRow="0" w:lastRow="0" w:firstColumn="1" w:lastColumn="0" w:oddVBand="0" w:evenVBand="0" w:oddHBand="0" w:evenHBand="0" w:firstRowFirstColumn="0" w:firstRowLastColumn="0" w:lastRowFirstColumn="0" w:lastRowLastColumn="0"/>
            <w:tcW w:w="8505" w:type="dxa"/>
            <w:vAlign w:val="top"/>
          </w:tcPr>
          <w:p w14:paraId="07350A73" w14:textId="0E4EE382"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SRW has a well-established engagement program built upon regular meetings with its three customer consultative committees </w:t>
            </w:r>
            <w:r w:rsidR="00FF4E97" w:rsidRPr="00212317">
              <w:rPr>
                <w:rFonts w:cs="Arial"/>
                <w:color w:val="000000" w:themeColor="text1"/>
                <w:szCs w:val="20"/>
              </w:rPr>
              <w:t xml:space="preserve">and </w:t>
            </w:r>
            <w:r w:rsidR="00290A31" w:rsidRPr="00212317">
              <w:rPr>
                <w:rFonts w:cs="Arial"/>
                <w:color w:val="000000" w:themeColor="text1"/>
                <w:szCs w:val="20"/>
              </w:rPr>
              <w:t>the</w:t>
            </w:r>
            <w:r w:rsidR="00FF4E97" w:rsidRPr="00212317">
              <w:rPr>
                <w:rFonts w:cs="Arial"/>
                <w:color w:val="000000" w:themeColor="text1"/>
                <w:szCs w:val="20"/>
              </w:rPr>
              <w:t xml:space="preserve"> Southern Groundwater and Rivers Forum</w:t>
            </w:r>
            <w:r w:rsidR="00290A31" w:rsidRPr="00212317">
              <w:rPr>
                <w:rFonts w:cs="Arial"/>
                <w:color w:val="000000" w:themeColor="text1"/>
                <w:szCs w:val="20"/>
              </w:rPr>
              <w:t>,</w:t>
            </w:r>
            <w:r w:rsidRPr="00212317">
              <w:rPr>
                <w:rFonts w:cs="Arial"/>
                <w:color w:val="000000" w:themeColor="text1"/>
                <w:szCs w:val="20"/>
              </w:rPr>
              <w:t xml:space="preserve"> which are chaired by customers, regular surveys including the 2022 customer satisfaction survey, and a strong presence 'in the field'. This provides valuable insight into our customers and a strong platform on which we were able to develop a tailored engagement program, reflecting the needs and circumstances of our various customer groups. </w:t>
            </w:r>
          </w:p>
          <w:p w14:paraId="2C0A2CB6" w14:textId="243DC2CA" w:rsidR="00914F6A" w:rsidRPr="00212317" w:rsidRDefault="00A45B19" w:rsidP="000B5CEC">
            <w:pPr>
              <w:spacing w:before="40" w:after="120"/>
              <w:ind w:left="720" w:right="113"/>
              <w:jc w:val="both"/>
              <w:rPr>
                <w:rFonts w:cs="Arial"/>
                <w:color w:val="000000" w:themeColor="text1"/>
                <w:szCs w:val="20"/>
              </w:rPr>
            </w:pPr>
            <w:r w:rsidRPr="00212317">
              <w:rPr>
                <w:rFonts w:cs="Arial"/>
                <w:color w:val="000000" w:themeColor="text1"/>
                <w:szCs w:val="20"/>
              </w:rPr>
              <w:t>To improve on our engagement efforts f</w:t>
            </w:r>
            <w:r w:rsidR="001231E5" w:rsidRPr="00212317">
              <w:rPr>
                <w:rFonts w:cs="Arial"/>
                <w:color w:val="000000" w:themeColor="text1"/>
                <w:szCs w:val="20"/>
              </w:rPr>
              <w:t>ro</w:t>
            </w:r>
            <w:r w:rsidRPr="00212317">
              <w:rPr>
                <w:rFonts w:cs="Arial"/>
                <w:color w:val="000000" w:themeColor="text1"/>
                <w:szCs w:val="20"/>
              </w:rPr>
              <w:t>m the Price Submission</w:t>
            </w:r>
            <w:r w:rsidR="007E6927" w:rsidRPr="00212317">
              <w:rPr>
                <w:rFonts w:cs="Arial"/>
                <w:color w:val="000000" w:themeColor="text1"/>
                <w:szCs w:val="20"/>
              </w:rPr>
              <w:t xml:space="preserve"> 2018</w:t>
            </w:r>
            <w:r w:rsidRPr="00212317">
              <w:rPr>
                <w:rFonts w:cs="Arial"/>
                <w:color w:val="000000" w:themeColor="text1"/>
                <w:szCs w:val="20"/>
              </w:rPr>
              <w:t xml:space="preserve">, we formed </w:t>
            </w:r>
            <w:r w:rsidR="00914F6A" w:rsidRPr="00212317">
              <w:rPr>
                <w:rFonts w:cs="Arial"/>
                <w:color w:val="000000" w:themeColor="text1"/>
                <w:szCs w:val="20"/>
              </w:rPr>
              <w:t>a Customer Reference Group (IAP2 level of ‘Involve’)</w:t>
            </w:r>
            <w:r w:rsidR="00354A28" w:rsidRPr="00212317">
              <w:rPr>
                <w:rFonts w:cs="Arial"/>
                <w:color w:val="000000" w:themeColor="text1"/>
                <w:szCs w:val="20"/>
              </w:rPr>
              <w:t xml:space="preserve">, consulted all </w:t>
            </w:r>
            <w:r w:rsidR="001231E5" w:rsidRPr="00212317">
              <w:rPr>
                <w:rFonts w:cs="Arial"/>
                <w:color w:val="000000" w:themeColor="text1"/>
                <w:szCs w:val="20"/>
              </w:rPr>
              <w:t>customers</w:t>
            </w:r>
            <w:r w:rsidR="00354A28" w:rsidRPr="00212317">
              <w:rPr>
                <w:rFonts w:cs="Arial"/>
                <w:color w:val="000000" w:themeColor="text1"/>
                <w:szCs w:val="20"/>
              </w:rPr>
              <w:t xml:space="preserve"> at two key junctures</w:t>
            </w:r>
            <w:r w:rsidR="00C7309E" w:rsidRPr="00212317">
              <w:rPr>
                <w:rFonts w:cs="Arial"/>
                <w:color w:val="000000" w:themeColor="text1"/>
                <w:szCs w:val="20"/>
              </w:rPr>
              <w:t xml:space="preserve"> via surveys</w:t>
            </w:r>
            <w:r w:rsidR="00C15209" w:rsidRPr="00212317">
              <w:rPr>
                <w:rFonts w:cs="Arial"/>
                <w:color w:val="000000" w:themeColor="text1"/>
                <w:szCs w:val="20"/>
              </w:rPr>
              <w:t xml:space="preserve"> and public meetings</w:t>
            </w:r>
            <w:r w:rsidR="00C7309E" w:rsidRPr="00212317">
              <w:rPr>
                <w:rFonts w:cs="Arial"/>
                <w:color w:val="000000" w:themeColor="text1"/>
                <w:szCs w:val="20"/>
              </w:rPr>
              <w:t xml:space="preserve"> and established an online </w:t>
            </w:r>
            <w:r w:rsidR="004C41D5" w:rsidRPr="00212317">
              <w:rPr>
                <w:rFonts w:cs="Arial"/>
                <w:color w:val="000000" w:themeColor="text1"/>
                <w:szCs w:val="20"/>
              </w:rPr>
              <w:t>e</w:t>
            </w:r>
            <w:r w:rsidR="00C7309E" w:rsidRPr="00212317">
              <w:rPr>
                <w:rFonts w:cs="Arial"/>
                <w:color w:val="000000" w:themeColor="text1"/>
                <w:szCs w:val="20"/>
              </w:rPr>
              <w:t xml:space="preserve">ngagement </w:t>
            </w:r>
            <w:r w:rsidR="004C41D5" w:rsidRPr="00212317">
              <w:rPr>
                <w:rFonts w:cs="Arial"/>
                <w:color w:val="000000" w:themeColor="text1"/>
                <w:szCs w:val="20"/>
              </w:rPr>
              <w:t>h</w:t>
            </w:r>
            <w:r w:rsidR="00C7309E" w:rsidRPr="00212317">
              <w:rPr>
                <w:rFonts w:cs="Arial"/>
                <w:color w:val="000000" w:themeColor="text1"/>
                <w:szCs w:val="20"/>
              </w:rPr>
              <w:t>ub</w:t>
            </w:r>
            <w:r w:rsidR="00C15209" w:rsidRPr="00212317">
              <w:rPr>
                <w:rFonts w:cs="Arial"/>
                <w:color w:val="000000" w:themeColor="text1"/>
                <w:szCs w:val="20"/>
              </w:rPr>
              <w:t>.</w:t>
            </w:r>
          </w:p>
          <w:p w14:paraId="0ED2B896" w14:textId="4FF120ED" w:rsidR="005F3387" w:rsidRPr="00212317" w:rsidRDefault="007E6927" w:rsidP="000B5CEC">
            <w:pPr>
              <w:spacing w:before="40" w:after="120"/>
              <w:ind w:left="720" w:right="113"/>
              <w:jc w:val="both"/>
              <w:rPr>
                <w:rFonts w:cs="Arial"/>
                <w:color w:val="000000" w:themeColor="text1"/>
                <w:szCs w:val="20"/>
              </w:rPr>
            </w:pPr>
            <w:r w:rsidRPr="00212317">
              <w:rPr>
                <w:rFonts w:cs="Arial"/>
                <w:color w:val="000000" w:themeColor="text1"/>
                <w:szCs w:val="20"/>
              </w:rPr>
              <w:t>We t</w:t>
            </w:r>
            <w:r w:rsidR="009475B3" w:rsidRPr="00212317">
              <w:rPr>
                <w:rFonts w:cs="Arial"/>
                <w:color w:val="000000" w:themeColor="text1"/>
                <w:szCs w:val="20"/>
              </w:rPr>
              <w:t xml:space="preserve">argeted, bespoke engagement was undertaken with </w:t>
            </w:r>
            <w:r w:rsidRPr="00212317">
              <w:rPr>
                <w:rFonts w:cs="Arial"/>
                <w:color w:val="000000" w:themeColor="text1"/>
                <w:szCs w:val="20"/>
              </w:rPr>
              <w:t>bulk entitlement</w:t>
            </w:r>
            <w:r w:rsidR="00914F6A" w:rsidRPr="00212317">
              <w:rPr>
                <w:rFonts w:cs="Arial"/>
                <w:color w:val="000000" w:themeColor="text1"/>
                <w:szCs w:val="20"/>
              </w:rPr>
              <w:t xml:space="preserve"> holders (i.e., other water corporations, power companies and the </w:t>
            </w:r>
            <w:r w:rsidRPr="00212317">
              <w:rPr>
                <w:rFonts w:cs="Arial"/>
                <w:color w:val="000000" w:themeColor="text1"/>
                <w:szCs w:val="20"/>
              </w:rPr>
              <w:t xml:space="preserve">Victorian </w:t>
            </w:r>
            <w:r w:rsidR="00822585" w:rsidRPr="00212317">
              <w:rPr>
                <w:rFonts w:cs="Arial"/>
                <w:color w:val="000000" w:themeColor="text1"/>
                <w:szCs w:val="20"/>
              </w:rPr>
              <w:t>Environmental Water Holder</w:t>
            </w:r>
            <w:r w:rsidR="00914F6A" w:rsidRPr="00212317">
              <w:rPr>
                <w:rFonts w:cs="Arial"/>
                <w:color w:val="000000" w:themeColor="text1"/>
                <w:szCs w:val="20"/>
              </w:rPr>
              <w:t>)</w:t>
            </w:r>
            <w:r w:rsidR="009475B3" w:rsidRPr="00212317">
              <w:rPr>
                <w:rFonts w:cs="Arial"/>
                <w:color w:val="000000" w:themeColor="text1"/>
                <w:szCs w:val="20"/>
              </w:rPr>
              <w:t>, Traditional Owners</w:t>
            </w:r>
            <w:r w:rsidR="00914F6A" w:rsidRPr="00212317">
              <w:rPr>
                <w:rFonts w:cs="Arial"/>
                <w:color w:val="000000" w:themeColor="text1"/>
                <w:szCs w:val="20"/>
              </w:rPr>
              <w:t xml:space="preserve"> and industry representatives. </w:t>
            </w:r>
          </w:p>
          <w:p w14:paraId="55B8101E" w14:textId="3F163F64" w:rsidR="00914F6A" w:rsidRPr="00212317" w:rsidRDefault="005F3387" w:rsidP="000B5CEC">
            <w:pPr>
              <w:spacing w:before="40" w:after="120"/>
              <w:ind w:left="720" w:right="113"/>
              <w:jc w:val="both"/>
              <w:rPr>
                <w:rFonts w:cs="Arial"/>
                <w:color w:val="000000" w:themeColor="text1"/>
                <w:szCs w:val="20"/>
              </w:rPr>
            </w:pPr>
            <w:r w:rsidRPr="00212317">
              <w:rPr>
                <w:rFonts w:cs="Arial"/>
                <w:color w:val="000000" w:themeColor="text1"/>
                <w:szCs w:val="20"/>
              </w:rPr>
              <w:t>Out engagement approac</w:t>
            </w:r>
            <w:r w:rsidR="00500B9B" w:rsidRPr="00212317">
              <w:rPr>
                <w:rFonts w:cs="Arial"/>
                <w:color w:val="000000" w:themeColor="text1"/>
                <w:szCs w:val="20"/>
              </w:rPr>
              <w:t>h also took into consideration the limitations</w:t>
            </w:r>
            <w:r w:rsidR="00FF6545" w:rsidRPr="00212317">
              <w:rPr>
                <w:rFonts w:cs="Arial"/>
                <w:color w:val="000000" w:themeColor="text1"/>
                <w:szCs w:val="20"/>
              </w:rPr>
              <w:t xml:space="preserve"> of the COVID-19 pandemic</w:t>
            </w:r>
            <w:r w:rsidR="00377DCC" w:rsidRPr="00212317">
              <w:rPr>
                <w:rFonts w:cs="Arial"/>
                <w:color w:val="000000" w:themeColor="text1"/>
                <w:szCs w:val="20"/>
              </w:rPr>
              <w:t>.</w:t>
            </w:r>
          </w:p>
          <w:p w14:paraId="55CDA43B" w14:textId="21F3B8B7" w:rsidR="00914F6A" w:rsidRPr="000F16F5" w:rsidRDefault="00914F6A" w:rsidP="00E46B2F">
            <w:pPr>
              <w:spacing w:before="40" w:after="120"/>
              <w:ind w:left="720" w:right="113"/>
              <w:jc w:val="both"/>
              <w:rPr>
                <w:rFonts w:cs="Arial"/>
                <w:color w:val="000000" w:themeColor="text1"/>
                <w:szCs w:val="20"/>
              </w:rPr>
            </w:pPr>
            <w:r w:rsidRPr="00212317">
              <w:rPr>
                <w:rFonts w:cs="Arial"/>
                <w:color w:val="000000" w:themeColor="text1"/>
                <w:szCs w:val="20"/>
              </w:rPr>
              <w:t>The engagement has shaped our strategic direction and planning through to 2028, feeding directly into our outcome statements and pricing.</w:t>
            </w:r>
            <w:r w:rsidR="002275BF">
              <w:rPr>
                <w:rFonts w:cs="Arial"/>
                <w:color w:val="000000" w:themeColor="text1"/>
                <w:szCs w:val="20"/>
              </w:rPr>
              <w:t xml:space="preserve"> </w:t>
            </w:r>
          </w:p>
        </w:tc>
        <w:tc>
          <w:tcPr>
            <w:tcW w:w="1276" w:type="dxa"/>
            <w:noWrap/>
            <w:vAlign w:val="top"/>
          </w:tcPr>
          <w:p w14:paraId="4D223C22" w14:textId="39AB6107"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Advanced- confident</w:t>
            </w:r>
          </w:p>
        </w:tc>
      </w:tr>
      <w:tr w:rsidR="00914F6A" w:rsidRPr="00212317" w14:paraId="06D640B9" w14:textId="77777777" w:rsidTr="003641B3">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505" w:type="dxa"/>
            <w:vAlign w:val="top"/>
          </w:tcPr>
          <w:p w14:paraId="7F4C96F4" w14:textId="344051BA" w:rsidR="00914F6A" w:rsidRPr="000B5CEC" w:rsidRDefault="00914F6A" w:rsidP="000B5CEC">
            <w:pPr>
              <w:spacing w:before="40" w:after="40"/>
              <w:ind w:right="113"/>
              <w:jc w:val="both"/>
              <w:rPr>
                <w:szCs w:val="20"/>
              </w:rPr>
            </w:pPr>
            <w:r w:rsidRPr="000B5CEC">
              <w:rPr>
                <w:szCs w:val="20"/>
              </w:rPr>
              <w:t>To what extent has the business demonstrated that it provided appropriate instruction and information to customers about the purpose, form, and content of the customer engagement?</w:t>
            </w:r>
          </w:p>
        </w:tc>
        <w:tc>
          <w:tcPr>
            <w:tcW w:w="1276" w:type="dxa"/>
            <w:noWrap/>
            <w:vAlign w:val="top"/>
            <w:hideMark/>
          </w:tcPr>
          <w:p w14:paraId="3848100B" w14:textId="7C1BAEEA"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328FF83B" w14:textId="77777777" w:rsidTr="003641B3">
        <w:trPr>
          <w:trHeight w:val="288"/>
        </w:trPr>
        <w:tc>
          <w:tcPr>
            <w:cnfStyle w:val="001000000000" w:firstRow="0" w:lastRow="0" w:firstColumn="1" w:lastColumn="0" w:oddVBand="0" w:evenVBand="0" w:oddHBand="0" w:evenHBand="0" w:firstRowFirstColumn="0" w:firstRowLastColumn="0" w:lastRowFirstColumn="0" w:lastRowLastColumn="0"/>
            <w:tcW w:w="8505" w:type="dxa"/>
            <w:vAlign w:val="top"/>
          </w:tcPr>
          <w:p w14:paraId="17DE454D" w14:textId="2867EA81" w:rsidR="00914F6A" w:rsidRPr="00212317" w:rsidRDefault="00914F6A" w:rsidP="000B5CEC">
            <w:pPr>
              <w:spacing w:before="40" w:after="40"/>
              <w:ind w:left="720" w:right="113"/>
              <w:jc w:val="both"/>
              <w:rPr>
                <w:rFonts w:cs="Arial"/>
                <w:color w:val="000000" w:themeColor="text1"/>
                <w:szCs w:val="20"/>
              </w:rPr>
            </w:pPr>
            <w:r w:rsidRPr="00212317">
              <w:rPr>
                <w:rFonts w:cs="Arial"/>
                <w:color w:val="000000" w:themeColor="text1"/>
                <w:szCs w:val="20"/>
              </w:rPr>
              <w:t xml:space="preserve">SRW worked collaboratively with external consultants to formulate the approach and produce the information throughout the process to ensure it was fit for purpose. </w:t>
            </w:r>
          </w:p>
          <w:p w14:paraId="61E1B03C" w14:textId="731A5CA5"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SRW advised all customers about the purpose and process of the </w:t>
            </w:r>
            <w:r w:rsidR="00822585" w:rsidRPr="00212317">
              <w:rPr>
                <w:rFonts w:cs="Arial"/>
                <w:color w:val="000000" w:themeColor="text1"/>
                <w:szCs w:val="20"/>
              </w:rPr>
              <w:t>p</w:t>
            </w:r>
            <w:r w:rsidRPr="00212317">
              <w:rPr>
                <w:rFonts w:cs="Arial"/>
                <w:color w:val="000000" w:themeColor="text1"/>
                <w:szCs w:val="20"/>
              </w:rPr>
              <w:t xml:space="preserve">rice </w:t>
            </w:r>
            <w:r w:rsidR="00822585" w:rsidRPr="00212317">
              <w:rPr>
                <w:rFonts w:cs="Arial"/>
                <w:color w:val="000000" w:themeColor="text1"/>
                <w:szCs w:val="20"/>
              </w:rPr>
              <w:t>s</w:t>
            </w:r>
            <w:r w:rsidRPr="00212317">
              <w:rPr>
                <w:rFonts w:cs="Arial"/>
                <w:color w:val="000000" w:themeColor="text1"/>
                <w:szCs w:val="20"/>
              </w:rPr>
              <w:t>ubmission via several means including a fact</w:t>
            </w:r>
            <w:r w:rsidR="00822585" w:rsidRPr="00212317">
              <w:rPr>
                <w:rFonts w:cs="Arial"/>
                <w:color w:val="000000" w:themeColor="text1"/>
                <w:szCs w:val="20"/>
              </w:rPr>
              <w:t xml:space="preserve"> </w:t>
            </w:r>
            <w:r w:rsidRPr="00212317">
              <w:rPr>
                <w:rFonts w:cs="Arial"/>
                <w:color w:val="000000" w:themeColor="text1"/>
                <w:szCs w:val="20"/>
              </w:rPr>
              <w:t xml:space="preserve">sheet in all customers’ bills, direct SMS, and email (where details are known to SRW). </w:t>
            </w:r>
          </w:p>
          <w:p w14:paraId="7BB6AC23" w14:textId="5E52AFEC"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An online engagement hub (linked to our corporate website) was established to keep all customers up to date and to provide feedback at any point. This had mixed success, but customers were also provided with </w:t>
            </w:r>
            <w:r w:rsidR="004C41D5" w:rsidRPr="00212317">
              <w:rPr>
                <w:rFonts w:cs="Arial"/>
                <w:color w:val="000000" w:themeColor="text1"/>
                <w:szCs w:val="20"/>
              </w:rPr>
              <w:t xml:space="preserve">a </w:t>
            </w:r>
            <w:r w:rsidRPr="00212317">
              <w:rPr>
                <w:rFonts w:cs="Arial"/>
                <w:color w:val="000000" w:themeColor="text1"/>
                <w:szCs w:val="20"/>
              </w:rPr>
              <w:t xml:space="preserve">phone number and a dedicated email address </w:t>
            </w:r>
            <w:r w:rsidR="004C41D5" w:rsidRPr="00212317">
              <w:rPr>
                <w:rFonts w:cs="Arial"/>
                <w:color w:val="000000" w:themeColor="text1"/>
                <w:szCs w:val="20"/>
              </w:rPr>
              <w:t>to</w:t>
            </w:r>
            <w:r w:rsidRPr="00212317">
              <w:rPr>
                <w:rFonts w:cs="Arial"/>
                <w:color w:val="000000" w:themeColor="text1"/>
                <w:szCs w:val="20"/>
              </w:rPr>
              <w:t xml:space="preserve"> contact </w:t>
            </w:r>
            <w:r w:rsidR="004C41D5" w:rsidRPr="00212317">
              <w:rPr>
                <w:rFonts w:cs="Arial"/>
                <w:color w:val="000000" w:themeColor="text1"/>
                <w:szCs w:val="20"/>
              </w:rPr>
              <w:t>SRW</w:t>
            </w:r>
            <w:r w:rsidRPr="00212317">
              <w:rPr>
                <w:rFonts w:cs="Arial"/>
                <w:color w:val="000000" w:themeColor="text1"/>
                <w:szCs w:val="20"/>
              </w:rPr>
              <w:t xml:space="preserve">. </w:t>
            </w:r>
          </w:p>
          <w:p w14:paraId="7B0B887E" w14:textId="67A4D797"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At key points throughout we used direct SMS, email, unpaid and paid social media as well as traditional media to promote the call for involvement and feedback. </w:t>
            </w:r>
          </w:p>
          <w:p w14:paraId="31A067E3" w14:textId="1C311BF5" w:rsidR="00914F6A" w:rsidRPr="00E46B2F" w:rsidRDefault="00914F6A" w:rsidP="00E46B2F">
            <w:pPr>
              <w:spacing w:before="40" w:after="120"/>
              <w:ind w:left="720" w:right="113"/>
              <w:jc w:val="both"/>
              <w:rPr>
                <w:rFonts w:cs="Arial"/>
                <w:color w:val="000000" w:themeColor="text1"/>
                <w:szCs w:val="20"/>
              </w:rPr>
            </w:pPr>
            <w:r w:rsidRPr="00212317">
              <w:rPr>
                <w:rFonts w:cs="Arial"/>
                <w:color w:val="000000" w:themeColor="text1"/>
                <w:szCs w:val="20"/>
              </w:rPr>
              <w:t>All information and feedback points available to customers were included in each piece of communications material developed.</w:t>
            </w:r>
          </w:p>
        </w:tc>
        <w:tc>
          <w:tcPr>
            <w:tcW w:w="1276" w:type="dxa"/>
            <w:noWrap/>
            <w:vAlign w:val="top"/>
          </w:tcPr>
          <w:p w14:paraId="71BE3825" w14:textId="125B1F3C"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Advanced- satisfied</w:t>
            </w:r>
          </w:p>
        </w:tc>
      </w:tr>
      <w:tr w:rsidR="00914F6A" w:rsidRPr="00212317" w14:paraId="514DEEA7" w14:textId="77777777" w:rsidTr="003641B3">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8505" w:type="dxa"/>
            <w:vAlign w:val="top"/>
          </w:tcPr>
          <w:p w14:paraId="647D9C0C" w14:textId="77777777" w:rsidR="00914F6A" w:rsidRPr="000B5CEC" w:rsidRDefault="00914F6A" w:rsidP="000B5CEC">
            <w:pPr>
              <w:spacing w:before="40" w:after="40"/>
              <w:ind w:right="113"/>
              <w:jc w:val="both"/>
              <w:rPr>
                <w:szCs w:val="20"/>
              </w:rPr>
            </w:pPr>
            <w:r w:rsidRPr="000B5CEC">
              <w:rPr>
                <w:szCs w:val="20"/>
              </w:rPr>
              <w:t>To what extent has the business demonstrated that the matters it has engaged on are those that have the most influence on the services provided to customers and prices charged?</w:t>
            </w:r>
          </w:p>
        </w:tc>
        <w:tc>
          <w:tcPr>
            <w:tcW w:w="1276" w:type="dxa"/>
            <w:noWrap/>
            <w:vAlign w:val="top"/>
            <w:hideMark/>
          </w:tcPr>
          <w:p w14:paraId="41D863F5" w14:textId="4D124BA1"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1DA65A54" w14:textId="77777777" w:rsidTr="003641B3">
        <w:trPr>
          <w:trHeight w:val="273"/>
        </w:trPr>
        <w:tc>
          <w:tcPr>
            <w:cnfStyle w:val="001000000000" w:firstRow="0" w:lastRow="0" w:firstColumn="1" w:lastColumn="0" w:oddVBand="0" w:evenVBand="0" w:oddHBand="0" w:evenHBand="0" w:firstRowFirstColumn="0" w:firstRowLastColumn="0" w:lastRowFirstColumn="0" w:lastRowLastColumn="0"/>
            <w:tcW w:w="8505" w:type="dxa"/>
            <w:vAlign w:val="top"/>
          </w:tcPr>
          <w:p w14:paraId="29E02FB8" w14:textId="48763D6E"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Our engagement framework was developed in collaboration with external consultants to </w:t>
            </w:r>
            <w:r w:rsidR="00FE278E" w:rsidRPr="00212317">
              <w:rPr>
                <w:rFonts w:cs="Arial"/>
                <w:color w:val="000000" w:themeColor="text1"/>
                <w:szCs w:val="20"/>
              </w:rPr>
              <w:t>complement</w:t>
            </w:r>
            <w:r w:rsidRPr="00212317">
              <w:rPr>
                <w:rFonts w:cs="Arial"/>
                <w:color w:val="000000" w:themeColor="text1"/>
                <w:szCs w:val="20"/>
              </w:rPr>
              <w:t xml:space="preserve"> the phased development of our </w:t>
            </w:r>
            <w:r w:rsidR="00FE278E" w:rsidRPr="00212317">
              <w:rPr>
                <w:rFonts w:cs="Arial"/>
                <w:color w:val="000000" w:themeColor="text1"/>
                <w:szCs w:val="20"/>
              </w:rPr>
              <w:t>p</w:t>
            </w:r>
            <w:r w:rsidRPr="00212317">
              <w:rPr>
                <w:rFonts w:cs="Arial"/>
                <w:color w:val="000000" w:themeColor="text1"/>
                <w:szCs w:val="20"/>
              </w:rPr>
              <w:t xml:space="preserve">rice </w:t>
            </w:r>
            <w:r w:rsidR="00FE278E" w:rsidRPr="00212317">
              <w:rPr>
                <w:rFonts w:cs="Arial"/>
                <w:color w:val="000000" w:themeColor="text1"/>
                <w:szCs w:val="20"/>
              </w:rPr>
              <w:t>s</w:t>
            </w:r>
            <w:r w:rsidRPr="00212317">
              <w:rPr>
                <w:rFonts w:cs="Arial"/>
                <w:color w:val="000000" w:themeColor="text1"/>
                <w:szCs w:val="20"/>
              </w:rPr>
              <w:t xml:space="preserve">ubmission. This means that feedback provided by customers in Phase 1 directly influenced the outcomes in Phase 2 and beyond. </w:t>
            </w:r>
          </w:p>
          <w:p w14:paraId="03E78D90" w14:textId="6DFE5CE5" w:rsidR="00914F6A" w:rsidRPr="00212317" w:rsidRDefault="00914F6A" w:rsidP="000B5CEC">
            <w:pPr>
              <w:spacing w:before="40" w:after="40"/>
              <w:ind w:left="720" w:right="113"/>
              <w:jc w:val="both"/>
              <w:rPr>
                <w:szCs w:val="20"/>
              </w:rPr>
            </w:pPr>
            <w:r w:rsidRPr="00212317">
              <w:rPr>
                <w:rFonts w:cs="Arial"/>
                <w:color w:val="000000" w:themeColor="text1"/>
                <w:szCs w:val="20"/>
              </w:rPr>
              <w:t>We engaged with the C</w:t>
            </w:r>
            <w:r w:rsidR="00DB09EA" w:rsidRPr="00212317">
              <w:rPr>
                <w:rFonts w:cs="Arial"/>
                <w:color w:val="000000" w:themeColor="text1"/>
                <w:szCs w:val="20"/>
              </w:rPr>
              <w:t>ustomer Reference Group</w:t>
            </w:r>
            <w:r w:rsidRPr="00212317">
              <w:rPr>
                <w:rFonts w:cs="Arial"/>
                <w:color w:val="000000" w:themeColor="text1"/>
                <w:szCs w:val="20"/>
              </w:rPr>
              <w:t xml:space="preserve"> and the </w:t>
            </w:r>
            <w:r w:rsidR="00DB09EA" w:rsidRPr="00212317">
              <w:rPr>
                <w:rFonts w:cs="Arial"/>
                <w:color w:val="000000" w:themeColor="text1"/>
                <w:szCs w:val="20"/>
              </w:rPr>
              <w:t>customer consultative committees</w:t>
            </w:r>
            <w:r w:rsidRPr="00212317">
              <w:rPr>
                <w:rFonts w:cs="Arial"/>
                <w:color w:val="000000" w:themeColor="text1"/>
                <w:szCs w:val="20"/>
              </w:rPr>
              <w:t xml:space="preserve"> through each </w:t>
            </w:r>
            <w:r w:rsidR="00DB09EA" w:rsidRPr="00212317">
              <w:rPr>
                <w:rFonts w:cs="Arial"/>
                <w:color w:val="000000" w:themeColor="text1"/>
                <w:szCs w:val="20"/>
              </w:rPr>
              <w:t>p</w:t>
            </w:r>
            <w:r w:rsidRPr="00212317">
              <w:rPr>
                <w:rFonts w:cs="Arial"/>
                <w:color w:val="000000" w:themeColor="text1"/>
                <w:szCs w:val="20"/>
              </w:rPr>
              <w:t>hase of the submission development as a touch point to collect more information and data, but also test ideas and approach. This meant we had a deep understanding of our customers’ expectations and how they related to pricing and tariffs.</w:t>
            </w:r>
          </w:p>
        </w:tc>
        <w:tc>
          <w:tcPr>
            <w:tcW w:w="1276" w:type="dxa"/>
            <w:noWrap/>
            <w:vAlign w:val="top"/>
          </w:tcPr>
          <w:p w14:paraId="652E7120" w14:textId="177053B6"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Advanced- confident</w:t>
            </w:r>
          </w:p>
        </w:tc>
      </w:tr>
      <w:tr w:rsidR="00914F6A" w:rsidRPr="00212317" w14:paraId="7F4AD5E9" w14:textId="77777777" w:rsidTr="003641B3">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505" w:type="dxa"/>
            <w:vAlign w:val="top"/>
          </w:tcPr>
          <w:p w14:paraId="35C951CA" w14:textId="77777777" w:rsidR="00914F6A" w:rsidRPr="000B5CEC" w:rsidRDefault="00914F6A" w:rsidP="000B5CEC">
            <w:pPr>
              <w:spacing w:before="40" w:after="40"/>
              <w:ind w:right="113"/>
              <w:jc w:val="both"/>
              <w:rPr>
                <w:szCs w:val="20"/>
              </w:rPr>
            </w:pPr>
            <w:r w:rsidRPr="000B5CEC">
              <w:rPr>
                <w:szCs w:val="20"/>
              </w:rPr>
              <w:t>To what extent has the business explained how it decided when to carry out its engagement?</w:t>
            </w:r>
          </w:p>
        </w:tc>
        <w:tc>
          <w:tcPr>
            <w:tcW w:w="1276" w:type="dxa"/>
            <w:noWrap/>
            <w:vAlign w:val="top"/>
            <w:hideMark/>
          </w:tcPr>
          <w:p w14:paraId="0753730D" w14:textId="51EC4CCF"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4EC21474" w14:textId="77777777" w:rsidTr="003641B3">
        <w:trPr>
          <w:trHeight w:val="23"/>
        </w:trPr>
        <w:tc>
          <w:tcPr>
            <w:cnfStyle w:val="001000000000" w:firstRow="0" w:lastRow="0" w:firstColumn="1" w:lastColumn="0" w:oddVBand="0" w:evenVBand="0" w:oddHBand="0" w:evenHBand="0" w:firstRowFirstColumn="0" w:firstRowLastColumn="0" w:lastRowFirstColumn="0" w:lastRowLastColumn="0"/>
            <w:tcW w:w="8505" w:type="dxa"/>
            <w:vAlign w:val="top"/>
          </w:tcPr>
          <w:p w14:paraId="0BE09FCB" w14:textId="1E2841FE"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The engagement was guided by a set of principles; it aligns with our strategic aspirations, we apply best practice, it’s inclusive, meaningful, and transparent.  </w:t>
            </w:r>
          </w:p>
          <w:p w14:paraId="2D3B724C" w14:textId="4EBF3885"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SRW engaged the services of external consultants to help refine our approach to engagement which was based on early and consistent engagement that aligned to the four different development phases: ‘Informing and listening’, ‘Option design and prioritisation’, ‘Testing’ and ‘Closing the loop’.</w:t>
            </w:r>
          </w:p>
          <w:p w14:paraId="00EA974A" w14:textId="7E07024D"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The approach was tailored and agile, to ensure we could respond quickly to the difficulties of </w:t>
            </w:r>
            <w:r w:rsidR="0065327E" w:rsidRPr="00212317">
              <w:rPr>
                <w:rFonts w:cs="Arial"/>
                <w:color w:val="000000" w:themeColor="text1"/>
                <w:szCs w:val="20"/>
              </w:rPr>
              <w:t>COVID-19</w:t>
            </w:r>
            <w:r w:rsidRPr="00212317">
              <w:rPr>
                <w:rFonts w:cs="Arial"/>
                <w:color w:val="000000" w:themeColor="text1"/>
                <w:szCs w:val="20"/>
              </w:rPr>
              <w:t xml:space="preserve">, and informed by the views of the </w:t>
            </w:r>
            <w:r w:rsidR="0065327E" w:rsidRPr="00212317">
              <w:rPr>
                <w:rFonts w:cs="Arial"/>
                <w:color w:val="000000" w:themeColor="text1"/>
                <w:szCs w:val="20"/>
              </w:rPr>
              <w:t>Customer Reference Group</w:t>
            </w:r>
            <w:r w:rsidRPr="00212317">
              <w:rPr>
                <w:rFonts w:cs="Arial"/>
                <w:color w:val="000000" w:themeColor="text1"/>
                <w:szCs w:val="20"/>
              </w:rPr>
              <w:t xml:space="preserve">, comprised of customers representing each customer base (MID, WID, BMID and G&amp;R) as well as the Victorian Environmental Water Holder. </w:t>
            </w:r>
          </w:p>
          <w:p w14:paraId="0D862AAD" w14:textId="7FD9CF13"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While our specific engagement program may be different to some of the large urban water corporations, it represents our commitment to an ongoing engagement and relationship with our customers where it’s not just about providing water but it’s about managing the water, which our customers effectively own through water licences, shares, and </w:t>
            </w:r>
            <w:r w:rsidR="0065327E" w:rsidRPr="00212317">
              <w:rPr>
                <w:rFonts w:cs="Arial"/>
                <w:color w:val="000000" w:themeColor="text1"/>
                <w:szCs w:val="20"/>
              </w:rPr>
              <w:t>bulk entitlements</w:t>
            </w:r>
            <w:r w:rsidRPr="00212317">
              <w:rPr>
                <w:rFonts w:cs="Arial"/>
                <w:color w:val="000000" w:themeColor="text1"/>
                <w:szCs w:val="20"/>
              </w:rPr>
              <w:t xml:space="preserve">. We are not just a service provider but partner with our customers to lead to more productive outcomes. </w:t>
            </w:r>
          </w:p>
          <w:p w14:paraId="0A5DEC03" w14:textId="6F1FE65E" w:rsidR="00914F6A" w:rsidRPr="00212317" w:rsidRDefault="00914F6A" w:rsidP="000B5CEC">
            <w:pPr>
              <w:spacing w:before="40" w:after="40"/>
              <w:ind w:left="720" w:right="113"/>
              <w:jc w:val="both"/>
              <w:rPr>
                <w:szCs w:val="20"/>
              </w:rPr>
            </w:pPr>
            <w:r w:rsidRPr="00212317">
              <w:rPr>
                <w:rFonts w:cs="Arial"/>
                <w:color w:val="000000" w:themeColor="text1"/>
                <w:szCs w:val="20"/>
              </w:rPr>
              <w:t>The benefits of this approach are demonstrated through results from our 2022 Customer Satisfaction Survey where we retained a satisfaction rating of 76% of customers saying we meet expectations through the challenges presented by the pandemic.</w:t>
            </w:r>
          </w:p>
        </w:tc>
        <w:tc>
          <w:tcPr>
            <w:tcW w:w="1276" w:type="dxa"/>
            <w:noWrap/>
            <w:vAlign w:val="top"/>
          </w:tcPr>
          <w:p w14:paraId="5033E167" w14:textId="7B9B885D"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Advanced- satisfied</w:t>
            </w:r>
          </w:p>
        </w:tc>
      </w:tr>
      <w:tr w:rsidR="00914F6A" w:rsidRPr="00212317" w14:paraId="4EAD78AD" w14:textId="77777777" w:rsidTr="003641B3">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8505" w:type="dxa"/>
            <w:vAlign w:val="top"/>
          </w:tcPr>
          <w:p w14:paraId="74FD5A61" w14:textId="77777777" w:rsidR="00914F6A" w:rsidRPr="000B5CEC" w:rsidRDefault="00914F6A" w:rsidP="000B5CEC">
            <w:pPr>
              <w:spacing w:before="40" w:after="40"/>
              <w:ind w:right="113"/>
              <w:jc w:val="both"/>
              <w:rPr>
                <w:szCs w:val="20"/>
              </w:rPr>
            </w:pPr>
            <w:r w:rsidRPr="000B5CEC">
              <w:rPr>
                <w:szCs w:val="20"/>
              </w:rPr>
              <w:t>To what extent has the business demonstrated how its engagement with customers has influenced its submission?</w:t>
            </w:r>
          </w:p>
        </w:tc>
        <w:tc>
          <w:tcPr>
            <w:tcW w:w="1276" w:type="dxa"/>
            <w:noWrap/>
            <w:vAlign w:val="top"/>
          </w:tcPr>
          <w:p w14:paraId="36813C7E" w14:textId="714B7B8F"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34D047DC" w14:textId="77777777" w:rsidTr="003641B3">
        <w:trPr>
          <w:trHeight w:val="79"/>
        </w:trPr>
        <w:tc>
          <w:tcPr>
            <w:cnfStyle w:val="001000000000" w:firstRow="0" w:lastRow="0" w:firstColumn="1" w:lastColumn="0" w:oddVBand="0" w:evenVBand="0" w:oddHBand="0" w:evenHBand="0" w:firstRowFirstColumn="0" w:firstRowLastColumn="0" w:lastRowFirstColumn="0" w:lastRowLastColumn="0"/>
            <w:tcW w:w="8505" w:type="dxa"/>
            <w:vAlign w:val="top"/>
          </w:tcPr>
          <w:p w14:paraId="03F41AE4" w14:textId="21A44F63"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The customer outcomes, performance measures and new initiatives have been directly and heavily influenced by the findings from Phase 1: Informing &amp; Listening. </w:t>
            </w:r>
          </w:p>
          <w:p w14:paraId="46B85267" w14:textId="1B58F68E"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We drew on feedback from the previous biennial customer satisfaction survey, workshop discussions with the C</w:t>
            </w:r>
            <w:r w:rsidR="0065327E" w:rsidRPr="00212317">
              <w:rPr>
                <w:rFonts w:cs="Arial"/>
                <w:color w:val="000000" w:themeColor="text1"/>
                <w:szCs w:val="20"/>
              </w:rPr>
              <w:t>ustomer Reference Group</w:t>
            </w:r>
            <w:r w:rsidRPr="00212317">
              <w:rPr>
                <w:rFonts w:cs="Arial"/>
                <w:color w:val="000000" w:themeColor="text1"/>
                <w:szCs w:val="20"/>
              </w:rPr>
              <w:t xml:space="preserve"> as well as the customer consultative committees and outcomes from a customer wide survey (which was open for </w:t>
            </w:r>
            <w:r w:rsidR="0065327E" w:rsidRPr="00212317">
              <w:rPr>
                <w:rFonts w:cs="Arial"/>
                <w:color w:val="000000" w:themeColor="text1"/>
                <w:szCs w:val="20"/>
              </w:rPr>
              <w:t>four</w:t>
            </w:r>
            <w:r w:rsidRPr="00212317">
              <w:rPr>
                <w:rFonts w:cs="Arial"/>
                <w:color w:val="000000" w:themeColor="text1"/>
                <w:szCs w:val="20"/>
              </w:rPr>
              <w:t xml:space="preserve"> months). </w:t>
            </w:r>
          </w:p>
          <w:p w14:paraId="6FBAC50D" w14:textId="2D84AAB1"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This told us what customer think we do well, where we can improve, as well as what challenges they are facing, what is important to them and where we should focus. This directly informed the customer outcomes and measures. </w:t>
            </w:r>
          </w:p>
          <w:p w14:paraId="016C1DFA" w14:textId="07D8F3E8" w:rsidR="00914F6A" w:rsidRPr="00212317" w:rsidRDefault="00914F6A" w:rsidP="000B5CEC">
            <w:pPr>
              <w:spacing w:before="40" w:after="40"/>
              <w:ind w:left="720" w:right="113"/>
              <w:jc w:val="both"/>
              <w:rPr>
                <w:szCs w:val="20"/>
              </w:rPr>
            </w:pPr>
            <w:r w:rsidRPr="00212317">
              <w:rPr>
                <w:rFonts w:cs="Arial"/>
                <w:color w:val="000000" w:themeColor="text1"/>
                <w:szCs w:val="20"/>
              </w:rPr>
              <w:t>Engagement in both Phases 1 and 3 was low, and most findings would not be considered statistically significant. We relied on feedback from the core groups – the C</w:t>
            </w:r>
            <w:r w:rsidR="0065327E" w:rsidRPr="00212317">
              <w:rPr>
                <w:rFonts w:cs="Arial"/>
                <w:color w:val="000000" w:themeColor="text1"/>
                <w:szCs w:val="20"/>
              </w:rPr>
              <w:t>ustomer Reference Group</w:t>
            </w:r>
            <w:r w:rsidRPr="00212317">
              <w:rPr>
                <w:rFonts w:cs="Arial"/>
                <w:color w:val="000000" w:themeColor="text1"/>
                <w:szCs w:val="20"/>
              </w:rPr>
              <w:t xml:space="preserve"> and </w:t>
            </w:r>
            <w:r w:rsidR="0065327E" w:rsidRPr="00212317">
              <w:rPr>
                <w:rFonts w:cs="Arial"/>
                <w:color w:val="000000" w:themeColor="text1"/>
                <w:szCs w:val="20"/>
              </w:rPr>
              <w:t>the customer consultative committee –</w:t>
            </w:r>
            <w:r w:rsidRPr="00212317">
              <w:rPr>
                <w:rFonts w:cs="Arial"/>
                <w:color w:val="000000" w:themeColor="text1"/>
                <w:szCs w:val="20"/>
              </w:rPr>
              <w:t xml:space="preserve"> which may not be representative of our broad customer base.</w:t>
            </w:r>
          </w:p>
        </w:tc>
        <w:tc>
          <w:tcPr>
            <w:tcW w:w="1276" w:type="dxa"/>
            <w:noWrap/>
            <w:vAlign w:val="top"/>
          </w:tcPr>
          <w:p w14:paraId="2BC6B000" w14:textId="111057F2" w:rsidR="00914F6A" w:rsidRPr="00212317" w:rsidRDefault="00474F9A"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Advanced- confident</w:t>
            </w:r>
          </w:p>
        </w:tc>
      </w:tr>
      <w:tr w:rsidR="00914F6A" w:rsidRPr="00212317" w14:paraId="1111F8E9" w14:textId="77777777" w:rsidTr="003641B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8505" w:type="dxa"/>
            <w:vAlign w:val="top"/>
          </w:tcPr>
          <w:p w14:paraId="6FFB6B59" w14:textId="77777777" w:rsidR="00914F6A" w:rsidRPr="000B5CEC" w:rsidRDefault="00914F6A" w:rsidP="000B5CEC">
            <w:pPr>
              <w:spacing w:before="40" w:after="40"/>
              <w:ind w:right="113"/>
              <w:jc w:val="both"/>
              <w:rPr>
                <w:szCs w:val="20"/>
              </w:rPr>
            </w:pPr>
            <w:r w:rsidRPr="000B5CEC">
              <w:rPr>
                <w:szCs w:val="20"/>
              </w:rPr>
              <w:t>To what extent has the business demonstrated that its engagement was inclusive of consumers experiencing vulnerability?</w:t>
            </w:r>
          </w:p>
        </w:tc>
        <w:tc>
          <w:tcPr>
            <w:tcW w:w="1276" w:type="dxa"/>
            <w:noWrap/>
            <w:vAlign w:val="top"/>
          </w:tcPr>
          <w:p w14:paraId="1B5221C1" w14:textId="77D01F65"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5A506711" w14:textId="77777777" w:rsidTr="003641B3">
        <w:trPr>
          <w:trHeight w:val="453"/>
        </w:trPr>
        <w:tc>
          <w:tcPr>
            <w:cnfStyle w:val="001000000000" w:firstRow="0" w:lastRow="0" w:firstColumn="1" w:lastColumn="0" w:oddVBand="0" w:evenVBand="0" w:oddHBand="0" w:evenHBand="0" w:firstRowFirstColumn="0" w:firstRowLastColumn="0" w:lastRowFirstColumn="0" w:lastRowLastColumn="0"/>
            <w:tcW w:w="8505" w:type="dxa"/>
            <w:vAlign w:val="top"/>
          </w:tcPr>
          <w:p w14:paraId="074C20AE" w14:textId="2C7F5D07"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SRW provide</w:t>
            </w:r>
            <w:r w:rsidR="005D7B6F" w:rsidRPr="00212317">
              <w:rPr>
                <w:rFonts w:cs="Arial"/>
                <w:color w:val="000000" w:themeColor="text1"/>
                <w:szCs w:val="20"/>
              </w:rPr>
              <w:t>s</w:t>
            </w:r>
            <w:r w:rsidRPr="00212317">
              <w:rPr>
                <w:rFonts w:cs="Arial"/>
                <w:color w:val="000000" w:themeColor="text1"/>
                <w:szCs w:val="20"/>
              </w:rPr>
              <w:t xml:space="preserve"> water for agricultural, urban, and commercial customers.  This means that the cost of water is important to their profitability and business viability. </w:t>
            </w:r>
          </w:p>
          <w:p w14:paraId="055A1E65" w14:textId="33D99336"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Engagement was inclusive for all customers including those experiencing financial hardship, and through direct engagement with the Rural Financial Counselling Services around how SRW manages and deals with the non-payment of bills. </w:t>
            </w:r>
          </w:p>
          <w:p w14:paraId="314C2CC8" w14:textId="035559C3"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All surveys allowed for anonymity, and there were several ways in which people could contact us throughout. </w:t>
            </w:r>
          </w:p>
          <w:p w14:paraId="1BF89DA9" w14:textId="525EBAB7" w:rsidR="00914F6A" w:rsidRPr="00212317" w:rsidRDefault="00914F6A" w:rsidP="000B5CEC">
            <w:pPr>
              <w:spacing w:before="40" w:after="40"/>
              <w:ind w:left="720" w:right="113"/>
              <w:jc w:val="both"/>
              <w:rPr>
                <w:szCs w:val="20"/>
              </w:rPr>
            </w:pPr>
            <w:r w:rsidRPr="00212317">
              <w:rPr>
                <w:rFonts w:cs="Arial"/>
                <w:color w:val="000000" w:themeColor="text1"/>
                <w:szCs w:val="20"/>
              </w:rPr>
              <w:t>Currently agricultural enterprises are generally prosperous; however, we do acknowledge that periods of drought, flood or other hardships can occur.</w:t>
            </w:r>
          </w:p>
        </w:tc>
        <w:tc>
          <w:tcPr>
            <w:tcW w:w="1276" w:type="dxa"/>
            <w:noWrap/>
            <w:vAlign w:val="top"/>
          </w:tcPr>
          <w:p w14:paraId="2BC5224E" w14:textId="7EB60F4C"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Standard- satisfied</w:t>
            </w:r>
          </w:p>
        </w:tc>
      </w:tr>
      <w:tr w:rsidR="00914F6A" w:rsidRPr="00212317" w14:paraId="69F38BB5" w14:textId="77777777" w:rsidTr="003641B3">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8505" w:type="dxa"/>
            <w:vAlign w:val="top"/>
          </w:tcPr>
          <w:p w14:paraId="7986ACD3" w14:textId="77777777" w:rsidR="00914F6A" w:rsidRPr="000B5CEC" w:rsidRDefault="00914F6A" w:rsidP="000B5CEC">
            <w:pPr>
              <w:spacing w:before="40" w:after="40"/>
              <w:ind w:right="113"/>
              <w:jc w:val="both"/>
              <w:rPr>
                <w:szCs w:val="20"/>
              </w:rPr>
            </w:pPr>
            <w:r w:rsidRPr="000B5CEC">
              <w:rPr>
                <w:szCs w:val="20"/>
              </w:rPr>
              <w:t>To what extent has the business demonstrated that its engagement was inclusive of First Nations people?</w:t>
            </w:r>
          </w:p>
        </w:tc>
        <w:tc>
          <w:tcPr>
            <w:tcW w:w="1276" w:type="dxa"/>
            <w:noWrap/>
            <w:vAlign w:val="top"/>
          </w:tcPr>
          <w:p w14:paraId="3EA124F8" w14:textId="06516F0A" w:rsidR="00914F6A" w:rsidRPr="00212317" w:rsidRDefault="00914F6A" w:rsidP="000B5CEC">
            <w:pPr>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p>
        </w:tc>
      </w:tr>
      <w:tr w:rsidR="00914F6A" w:rsidRPr="00212317" w14:paraId="0727E68A" w14:textId="77777777" w:rsidTr="00212317">
        <w:trPr>
          <w:trHeight w:val="400"/>
        </w:trPr>
        <w:tc>
          <w:tcPr>
            <w:cnfStyle w:val="001000000000" w:firstRow="0" w:lastRow="0" w:firstColumn="1" w:lastColumn="0" w:oddVBand="0" w:evenVBand="0" w:oddHBand="0" w:evenHBand="0" w:firstRowFirstColumn="0" w:firstRowLastColumn="0" w:lastRowFirstColumn="0" w:lastRowLastColumn="0"/>
            <w:tcW w:w="8505" w:type="dxa"/>
            <w:vAlign w:val="top"/>
          </w:tcPr>
          <w:p w14:paraId="44FB6B15" w14:textId="7EBB1761"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The engagement was inclusive for all customers, and several different ways to provide feedback were available.</w:t>
            </w:r>
          </w:p>
          <w:p w14:paraId="6C063513" w14:textId="4E2AEE6C" w:rsidR="00914F6A" w:rsidRPr="00212317" w:rsidRDefault="00914F6A" w:rsidP="000B5CEC">
            <w:pPr>
              <w:spacing w:before="40" w:after="120"/>
              <w:ind w:left="720" w:right="113"/>
              <w:jc w:val="both"/>
              <w:rPr>
                <w:rFonts w:cs="Arial"/>
                <w:color w:val="000000" w:themeColor="text1"/>
                <w:szCs w:val="20"/>
              </w:rPr>
            </w:pPr>
            <w:r w:rsidRPr="00212317">
              <w:rPr>
                <w:rFonts w:cs="Arial"/>
                <w:color w:val="000000" w:themeColor="text1"/>
                <w:szCs w:val="20"/>
              </w:rPr>
              <w:t xml:space="preserve">SRW has strong relationships with some Registered Aboriginal Parties (RAP) within our area of operation, and we leveraged those, and the discussion through which two allocations for cultural water (which are exempt from fees) were granted to engage around water and water pricing for Traditional Owners. </w:t>
            </w:r>
          </w:p>
          <w:p w14:paraId="2795324A" w14:textId="3C40F8DF" w:rsidR="00914F6A" w:rsidRPr="000B5CEC" w:rsidRDefault="00914F6A" w:rsidP="000B5CEC">
            <w:pPr>
              <w:spacing w:before="40" w:after="40"/>
              <w:ind w:left="720" w:right="113"/>
              <w:jc w:val="both"/>
              <w:rPr>
                <w:rFonts w:cs="Arial"/>
                <w:color w:val="000000" w:themeColor="text1"/>
                <w:szCs w:val="20"/>
              </w:rPr>
            </w:pPr>
            <w:r w:rsidRPr="00212317">
              <w:rPr>
                <w:rFonts w:cs="Arial"/>
                <w:color w:val="000000" w:themeColor="text1"/>
                <w:szCs w:val="20"/>
              </w:rPr>
              <w:t xml:space="preserve">Each RAP was informed of the </w:t>
            </w:r>
            <w:r w:rsidR="00375EA2" w:rsidRPr="00212317">
              <w:rPr>
                <w:rFonts w:cs="Arial"/>
                <w:color w:val="000000" w:themeColor="text1"/>
                <w:szCs w:val="20"/>
              </w:rPr>
              <w:t>p</w:t>
            </w:r>
            <w:r w:rsidRPr="00212317">
              <w:rPr>
                <w:rFonts w:cs="Arial"/>
                <w:color w:val="000000" w:themeColor="text1"/>
                <w:szCs w:val="20"/>
              </w:rPr>
              <w:t xml:space="preserve">rice </w:t>
            </w:r>
            <w:r w:rsidR="00375EA2" w:rsidRPr="00212317">
              <w:rPr>
                <w:rFonts w:cs="Arial"/>
                <w:color w:val="000000" w:themeColor="text1"/>
                <w:szCs w:val="20"/>
              </w:rPr>
              <w:t>s</w:t>
            </w:r>
            <w:r w:rsidRPr="00212317">
              <w:rPr>
                <w:rFonts w:cs="Arial"/>
                <w:color w:val="000000" w:themeColor="text1"/>
                <w:szCs w:val="20"/>
              </w:rPr>
              <w:t>ubmission process via newsletter and provided with the same information as our direct customers, as well as the invitation for one-to-one discussions around water pricing and the aspirations of Traditional Owners.</w:t>
            </w:r>
          </w:p>
        </w:tc>
        <w:tc>
          <w:tcPr>
            <w:tcW w:w="1276" w:type="dxa"/>
            <w:shd w:val="clear" w:color="auto" w:fill="auto"/>
            <w:noWrap/>
            <w:vAlign w:val="top"/>
          </w:tcPr>
          <w:p w14:paraId="21B6FCFA" w14:textId="2975DAEF" w:rsidR="00914F6A" w:rsidRPr="00212317" w:rsidRDefault="003D6B01" w:rsidP="000B5CEC">
            <w:pPr>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212317">
              <w:rPr>
                <w:rFonts w:cs="Arial"/>
                <w:color w:val="000000" w:themeColor="text1"/>
                <w:szCs w:val="20"/>
              </w:rPr>
              <w:t>Standard- very confident</w:t>
            </w:r>
          </w:p>
        </w:tc>
      </w:tr>
    </w:tbl>
    <w:p w14:paraId="6BDB6CE5" w14:textId="77777777" w:rsidR="00212317" w:rsidRDefault="00212317">
      <w:r>
        <w:br w:type="page"/>
      </w:r>
    </w:p>
    <w:p w14:paraId="4DDB842D" w14:textId="0C91B143" w:rsidR="001268E4" w:rsidRPr="00192F41" w:rsidRDefault="001268E4" w:rsidP="00AE2AD9">
      <w:pPr>
        <w:pStyle w:val="NumberedHeading3"/>
        <w:rPr>
          <w:rStyle w:val="IntenseEmphasis"/>
          <w:rFonts w:cs="Arial"/>
          <w:i w:val="0"/>
          <w:iCs w:val="0"/>
          <w:color w:val="002B5C" w:themeColor="text2"/>
          <w:sz w:val="52"/>
        </w:rPr>
      </w:pPr>
      <w:bookmarkStart w:id="46" w:name="_Ref113434936"/>
      <w:bookmarkStart w:id="47" w:name="_Ref113436412"/>
      <w:bookmarkStart w:id="48" w:name="_Toc115263680"/>
      <w:r w:rsidRPr="00192F41">
        <w:rPr>
          <w:rStyle w:val="IntenseEmphasis"/>
          <w:rFonts w:cs="Arial"/>
          <w:i w:val="0"/>
          <w:iCs w:val="0"/>
          <w:color w:val="002B5C" w:themeColor="text2"/>
          <w:sz w:val="52"/>
        </w:rPr>
        <w:t>Outcomes</w:t>
      </w:r>
      <w:bookmarkEnd w:id="46"/>
      <w:bookmarkEnd w:id="47"/>
      <w:bookmarkEnd w:id="48"/>
    </w:p>
    <w:tbl>
      <w:tblPr>
        <w:tblStyle w:val="ReportTable-NavyColumns"/>
        <w:tblW w:w="9766" w:type="dxa"/>
        <w:tblBorders>
          <w:insideH w:val="none" w:sz="0" w:space="0" w:color="auto"/>
        </w:tblBorders>
        <w:shd w:val="clear" w:color="auto" w:fill="D9D9D9" w:themeFill="background1" w:themeFillShade="D9"/>
        <w:tblLook w:val="04A0" w:firstRow="1" w:lastRow="0" w:firstColumn="1" w:lastColumn="0" w:noHBand="0" w:noVBand="1"/>
      </w:tblPr>
      <w:tblGrid>
        <w:gridCol w:w="9766"/>
      </w:tblGrid>
      <w:tr w:rsidR="00EA6A77" w:rsidRPr="00192F41" w14:paraId="6D9825EE" w14:textId="77777777" w:rsidTr="00F555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66" w:type="dxa"/>
            <w:shd w:val="clear" w:color="auto" w:fill="F2F2F2" w:themeFill="background1" w:themeFillShade="F2"/>
          </w:tcPr>
          <w:p w14:paraId="369D9C88" w14:textId="7EF4B329" w:rsidR="00EA6A77" w:rsidRPr="00192F41" w:rsidRDefault="00BC7207" w:rsidP="00324E60">
            <w:pPr>
              <w:pStyle w:val="Heading2"/>
              <w:rPr>
                <w:rStyle w:val="IntenseEmphasis"/>
                <w:rFonts w:cs="Arial"/>
                <w:b/>
                <w:bCs/>
                <w:i w:val="0"/>
                <w:iCs w:val="0"/>
                <w:sz w:val="36"/>
              </w:rPr>
            </w:pPr>
            <w:bookmarkStart w:id="49" w:name="_Hlk103787962"/>
            <w:r w:rsidRPr="00192F41">
              <w:rPr>
                <w:rStyle w:val="IntenseEmphasis"/>
                <w:rFonts w:cs="Arial"/>
                <w:b/>
                <w:bCs/>
                <w:i w:val="0"/>
                <w:iCs w:val="0"/>
                <w:sz w:val="36"/>
              </w:rPr>
              <w:t>Key messages</w:t>
            </w:r>
          </w:p>
          <w:p w14:paraId="20AC7494" w14:textId="3F047C27" w:rsidR="001F256E" w:rsidRPr="00192F41" w:rsidRDefault="00CE2DF0" w:rsidP="00DA3A69">
            <w:pPr>
              <w:pStyle w:val="Bulletpointparagraph"/>
              <w:numPr>
                <w:ilvl w:val="0"/>
                <w:numId w:val="0"/>
              </w:numPr>
              <w:ind w:left="360" w:right="540"/>
              <w:rPr>
                <w:rFonts w:cs="Arial"/>
                <w:bCs/>
                <w:color w:val="000000" w:themeColor="text1"/>
              </w:rPr>
            </w:pPr>
            <w:r w:rsidRPr="00192F41">
              <w:rPr>
                <w:rFonts w:cs="Arial"/>
                <w:b w:val="0"/>
                <w:bCs/>
                <w:color w:val="000000" w:themeColor="text1"/>
              </w:rPr>
              <w:t xml:space="preserve">SRW's outcomes are </w:t>
            </w:r>
            <w:r w:rsidR="0056108B" w:rsidRPr="00192F41">
              <w:rPr>
                <w:rFonts w:cs="Arial"/>
                <w:b w:val="0"/>
                <w:bCs/>
                <w:color w:val="000000" w:themeColor="text1"/>
              </w:rPr>
              <w:t xml:space="preserve">designed to ensure that our customer </w:t>
            </w:r>
            <w:r w:rsidR="001F256E" w:rsidRPr="00192F41">
              <w:rPr>
                <w:rFonts w:cs="Arial"/>
                <w:b w:val="0"/>
                <w:bCs/>
                <w:color w:val="000000" w:themeColor="text1"/>
              </w:rPr>
              <w:t>needs</w:t>
            </w:r>
            <w:r w:rsidR="0056108B" w:rsidRPr="00192F41">
              <w:rPr>
                <w:rFonts w:cs="Arial"/>
                <w:b w:val="0"/>
                <w:bCs/>
                <w:color w:val="000000" w:themeColor="text1"/>
              </w:rPr>
              <w:t xml:space="preserve"> continue to be met.</w:t>
            </w:r>
          </w:p>
          <w:p w14:paraId="20E43FCE" w14:textId="77777777" w:rsidR="005B2836" w:rsidRPr="00192F41" w:rsidRDefault="005B2836" w:rsidP="00DA3A69">
            <w:pPr>
              <w:pStyle w:val="Bulletpointparagraph"/>
              <w:numPr>
                <w:ilvl w:val="0"/>
                <w:numId w:val="0"/>
              </w:numPr>
              <w:ind w:left="360" w:right="540"/>
              <w:rPr>
                <w:rFonts w:cs="Arial"/>
                <w:b w:val="0"/>
                <w:bCs/>
                <w:color w:val="000000" w:themeColor="text1"/>
              </w:rPr>
            </w:pPr>
          </w:p>
          <w:p w14:paraId="0831933F" w14:textId="0287A6F6" w:rsidR="00AA0FAA" w:rsidRPr="00192F41" w:rsidRDefault="00AA0FAA" w:rsidP="00DA3A69">
            <w:pPr>
              <w:pStyle w:val="Bulletpointparagraph"/>
              <w:ind w:right="540"/>
              <w:jc w:val="both"/>
              <w:rPr>
                <w:rFonts w:cs="Arial"/>
                <w:b w:val="0"/>
                <w:color w:val="000000" w:themeColor="text1"/>
              </w:rPr>
            </w:pPr>
            <w:r w:rsidRPr="00192F41">
              <w:rPr>
                <w:rFonts w:cs="Arial"/>
                <w:b w:val="0"/>
                <w:bCs/>
                <w:color w:val="000000" w:themeColor="text1"/>
              </w:rPr>
              <w:t xml:space="preserve">The outcomes reflect customer </w:t>
            </w:r>
            <w:r w:rsidRPr="00C10588">
              <w:rPr>
                <w:rFonts w:cs="Arial"/>
                <w:b w:val="0"/>
                <w:bCs/>
                <w:color w:val="000000" w:themeColor="text1"/>
              </w:rPr>
              <w:t>an</w:t>
            </w:r>
            <w:r w:rsidR="005B2836" w:rsidRPr="006C0973">
              <w:rPr>
                <w:rFonts w:cs="Arial"/>
                <w:b w:val="0"/>
                <w:bCs/>
                <w:color w:val="000000" w:themeColor="text1"/>
              </w:rPr>
              <w:t>d</w:t>
            </w:r>
            <w:r w:rsidRPr="00C10588">
              <w:rPr>
                <w:rFonts w:cs="Arial"/>
                <w:b w:val="0"/>
                <w:bCs/>
                <w:color w:val="000000" w:themeColor="text1"/>
              </w:rPr>
              <w:t xml:space="preserve"> stakeholder</w:t>
            </w:r>
            <w:r w:rsidRPr="00192F41">
              <w:rPr>
                <w:rFonts w:cs="Arial"/>
                <w:b w:val="0"/>
                <w:bCs/>
                <w:color w:val="000000" w:themeColor="text1"/>
              </w:rPr>
              <w:t xml:space="preserve"> priorities, namely: a reliable water supply, sustainable water, great service, valued community member and fair prices</w:t>
            </w:r>
            <w:r w:rsidR="005B2836" w:rsidRPr="00192F41">
              <w:rPr>
                <w:rFonts w:cs="Arial"/>
                <w:b w:val="0"/>
                <w:bCs/>
                <w:color w:val="000000" w:themeColor="text1"/>
              </w:rPr>
              <w:t>.</w:t>
            </w:r>
          </w:p>
          <w:p w14:paraId="34C28AC3" w14:textId="57145300" w:rsidR="00AA0FAA" w:rsidRPr="00192F41" w:rsidRDefault="00AA0FAA" w:rsidP="00DA3A69">
            <w:pPr>
              <w:pStyle w:val="Bulletpointparagraph"/>
              <w:ind w:right="540"/>
              <w:jc w:val="both"/>
              <w:rPr>
                <w:rFonts w:cs="Arial"/>
                <w:b w:val="0"/>
                <w:color w:val="000000" w:themeColor="text1"/>
              </w:rPr>
            </w:pPr>
            <w:r w:rsidRPr="00192F41">
              <w:rPr>
                <w:rFonts w:cs="Arial"/>
                <w:b w:val="0"/>
                <w:bCs/>
                <w:color w:val="000000" w:themeColor="text1"/>
              </w:rPr>
              <w:t>Performance measures and targets have been developed in response to customer priorities to provide reliable an</w:t>
            </w:r>
            <w:r w:rsidR="00EC7D6B">
              <w:rPr>
                <w:rFonts w:cs="Arial"/>
                <w:b w:val="0"/>
                <w:bCs/>
                <w:color w:val="000000" w:themeColor="text1"/>
              </w:rPr>
              <w:t>d</w:t>
            </w:r>
            <w:r w:rsidRPr="00192F41">
              <w:rPr>
                <w:rFonts w:cs="Arial"/>
                <w:b w:val="0"/>
                <w:bCs/>
                <w:color w:val="000000" w:themeColor="text1"/>
              </w:rPr>
              <w:t xml:space="preserve"> sustainable water with good serv</w:t>
            </w:r>
            <w:r w:rsidR="005B2836" w:rsidRPr="00192F41">
              <w:rPr>
                <w:rFonts w:cs="Arial"/>
                <w:b w:val="0"/>
                <w:bCs/>
                <w:color w:val="000000" w:themeColor="text1"/>
              </w:rPr>
              <w:t>ice</w:t>
            </w:r>
            <w:r w:rsidRPr="00192F41">
              <w:rPr>
                <w:rFonts w:cs="Arial"/>
                <w:b w:val="0"/>
                <w:bCs/>
                <w:color w:val="000000" w:themeColor="text1"/>
              </w:rPr>
              <w:t xml:space="preserve"> at a fair price.</w:t>
            </w:r>
          </w:p>
          <w:p w14:paraId="0111F2B6" w14:textId="49BDCE2B" w:rsidR="005B2836" w:rsidRPr="00192F41" w:rsidRDefault="005B2836" w:rsidP="00DA3A69">
            <w:pPr>
              <w:pStyle w:val="Bulletpointparagraph"/>
              <w:ind w:right="540"/>
              <w:jc w:val="both"/>
              <w:rPr>
                <w:rFonts w:cs="Arial"/>
                <w:b w:val="0"/>
                <w:color w:val="000000" w:themeColor="text1"/>
              </w:rPr>
            </w:pPr>
            <w:r w:rsidRPr="00192F41">
              <w:rPr>
                <w:rFonts w:cs="Arial"/>
                <w:b w:val="0"/>
                <w:bCs/>
                <w:color w:val="000000" w:themeColor="text1"/>
              </w:rPr>
              <w:t>The performance results will be published at least twice yearly.</w:t>
            </w:r>
          </w:p>
          <w:p w14:paraId="535A9AE0" w14:textId="77777777" w:rsidR="00AA0FAA" w:rsidRPr="00192F41" w:rsidRDefault="00AA0FAA" w:rsidP="00DA3A69">
            <w:pPr>
              <w:pStyle w:val="Bulletpointparagraph"/>
              <w:ind w:right="540"/>
              <w:jc w:val="both"/>
              <w:rPr>
                <w:rFonts w:cs="Arial"/>
                <w:b w:val="0"/>
                <w:color w:val="000000" w:themeColor="text1"/>
              </w:rPr>
            </w:pPr>
            <w:r w:rsidRPr="00192F41">
              <w:rPr>
                <w:rFonts w:cs="Arial"/>
                <w:b w:val="0"/>
                <w:bCs/>
                <w:color w:val="000000" w:themeColor="text1"/>
              </w:rPr>
              <w:t>Our expenditure program is directly tied to the outcome with much of the CAPEX devoted to providing reliable and sustainable water with OPEX designed to support service delivery.</w:t>
            </w:r>
          </w:p>
          <w:p w14:paraId="01726E19" w14:textId="22E84FF6" w:rsidR="001078AB" w:rsidRPr="00192F41" w:rsidRDefault="00FE1600" w:rsidP="00DA3A69">
            <w:pPr>
              <w:pStyle w:val="Bulletpointparagraph"/>
              <w:ind w:right="540"/>
              <w:jc w:val="both"/>
              <w:rPr>
                <w:rFonts w:cs="Arial"/>
                <w:b w:val="0"/>
              </w:rPr>
            </w:pPr>
            <w:r w:rsidRPr="00192F41">
              <w:rPr>
                <w:rFonts w:cs="Arial"/>
                <w:b w:val="0"/>
                <w:bCs/>
                <w:color w:val="000000" w:themeColor="text1"/>
              </w:rPr>
              <w:t>We</w:t>
            </w:r>
            <w:r w:rsidR="005B2836" w:rsidRPr="00192F41">
              <w:rPr>
                <w:rFonts w:cs="Arial"/>
                <w:b w:val="0"/>
                <w:bCs/>
                <w:color w:val="000000" w:themeColor="text1"/>
              </w:rPr>
              <w:t xml:space="preserve"> </w:t>
            </w:r>
            <w:r w:rsidR="00AA0FAA" w:rsidRPr="00192F41">
              <w:rPr>
                <w:rFonts w:cs="Arial"/>
                <w:b w:val="0"/>
                <w:bCs/>
                <w:color w:val="000000" w:themeColor="text1"/>
              </w:rPr>
              <w:t xml:space="preserve">are satisfied that our PREMO rating for outcomes is advanced. </w:t>
            </w:r>
          </w:p>
          <w:p w14:paraId="623A31DF" w14:textId="168BA210" w:rsidR="00C6517F" w:rsidRPr="00192F41" w:rsidRDefault="00C6517F" w:rsidP="00592711">
            <w:pPr>
              <w:pStyle w:val="Bulletpointparagraph"/>
              <w:numPr>
                <w:ilvl w:val="0"/>
                <w:numId w:val="0"/>
              </w:numPr>
              <w:ind w:left="360"/>
              <w:rPr>
                <w:rFonts w:cs="Arial"/>
                <w:b w:val="0"/>
              </w:rPr>
            </w:pPr>
          </w:p>
        </w:tc>
      </w:tr>
    </w:tbl>
    <w:bookmarkEnd w:id="49"/>
    <w:p w14:paraId="7C05335F" w14:textId="6A65EBF8" w:rsidR="001305FC" w:rsidRPr="00192F41" w:rsidRDefault="001305FC" w:rsidP="00BD2303">
      <w:pPr>
        <w:pStyle w:val="Heading2"/>
        <w:rPr>
          <w:rStyle w:val="IntenseEmphasis"/>
          <w:rFonts w:cs="Arial"/>
          <w:i w:val="0"/>
          <w:iCs w:val="0"/>
          <w:sz w:val="36"/>
        </w:rPr>
      </w:pPr>
      <w:r w:rsidRPr="00192F41">
        <w:rPr>
          <w:rStyle w:val="IntenseEmphasis"/>
          <w:rFonts w:cs="Arial"/>
          <w:i w:val="0"/>
          <w:iCs w:val="0"/>
          <w:sz w:val="36"/>
        </w:rPr>
        <w:t>Outcomes</w:t>
      </w:r>
    </w:p>
    <w:p w14:paraId="0C0FAE35" w14:textId="30509AC3" w:rsidR="007D0C08" w:rsidRPr="00192F41" w:rsidRDefault="006915FA" w:rsidP="000B5CEC">
      <w:pPr>
        <w:jc w:val="both"/>
        <w:rPr>
          <w:rFonts w:cs="Arial"/>
          <w:color w:val="000000" w:themeColor="text1"/>
        </w:rPr>
      </w:pPr>
      <w:bookmarkStart w:id="50" w:name="_Hlk104997152"/>
      <w:bookmarkStart w:id="51" w:name="_Hlk104985501"/>
      <w:r w:rsidRPr="00192F41">
        <w:rPr>
          <w:rFonts w:cs="Arial"/>
          <w:color w:val="000000" w:themeColor="text1"/>
        </w:rPr>
        <w:t>T</w:t>
      </w:r>
      <w:r w:rsidR="008A59D3" w:rsidRPr="00192F41">
        <w:rPr>
          <w:rFonts w:cs="Arial"/>
          <w:color w:val="000000" w:themeColor="text1"/>
        </w:rPr>
        <w:t xml:space="preserve">he outcomes proposed directly reflect the views, concerns and priorities of our customers as heard through our ongoing engagement programs and the additional engagement conducted specifically to inform this submission. </w:t>
      </w:r>
    </w:p>
    <w:p w14:paraId="057E29C9" w14:textId="5F5CF1EE" w:rsidR="007D0C08" w:rsidRPr="00192F41" w:rsidRDefault="007D0C08" w:rsidP="000B5CEC">
      <w:pPr>
        <w:jc w:val="both"/>
        <w:rPr>
          <w:rFonts w:cs="Arial"/>
          <w:color w:val="000000" w:themeColor="text1"/>
        </w:rPr>
      </w:pPr>
      <w:r w:rsidRPr="00192F41">
        <w:rPr>
          <w:rFonts w:cs="Arial"/>
          <w:color w:val="000000" w:themeColor="text1"/>
        </w:rPr>
        <w:t xml:space="preserve">Our customers have provided us with valuable feedback on what’s important to them and what they want from SRW. </w:t>
      </w:r>
      <w:r w:rsidR="00023957" w:rsidRPr="00192F41">
        <w:rPr>
          <w:rFonts w:cs="Arial"/>
          <w:color w:val="000000" w:themeColor="text1"/>
        </w:rPr>
        <w:t xml:space="preserve">We have repeatedly heard that reliability, </w:t>
      </w:r>
      <w:r w:rsidR="00465989">
        <w:rPr>
          <w:rFonts w:cs="Arial"/>
          <w:color w:val="000000" w:themeColor="text1"/>
        </w:rPr>
        <w:t>pro</w:t>
      </w:r>
      <w:r w:rsidR="00FC0C39">
        <w:rPr>
          <w:rFonts w:cs="Arial"/>
          <w:color w:val="000000" w:themeColor="text1"/>
        </w:rPr>
        <w:t>fitability,</w:t>
      </w:r>
      <w:r w:rsidR="00023957" w:rsidRPr="00192F41">
        <w:rPr>
          <w:rFonts w:cs="Arial"/>
          <w:color w:val="000000" w:themeColor="text1"/>
        </w:rPr>
        <w:t xml:space="preserve"> sustainability, service and value are of upmost importance to our customers. </w:t>
      </w:r>
      <w:r w:rsidRPr="00192F41">
        <w:rPr>
          <w:rFonts w:cs="Arial"/>
          <w:color w:val="000000" w:themeColor="text1"/>
        </w:rPr>
        <w:t>We have distilled this into five key outcomes:</w:t>
      </w:r>
    </w:p>
    <w:p w14:paraId="481B18F1" w14:textId="16AF1268" w:rsidR="00781344" w:rsidRPr="00192F41" w:rsidRDefault="007D0C08" w:rsidP="000B5CEC">
      <w:pPr>
        <w:pStyle w:val="Bulletpointparagraph"/>
        <w:jc w:val="both"/>
        <w:rPr>
          <w:rFonts w:cs="Arial"/>
        </w:rPr>
      </w:pPr>
      <w:r w:rsidRPr="00DF32AD">
        <w:rPr>
          <w:rFonts w:cs="Arial"/>
          <w:b/>
        </w:rPr>
        <w:t>Reliable water supply</w:t>
      </w:r>
      <w:r w:rsidR="007E49BB">
        <w:rPr>
          <w:rFonts w:cs="Arial"/>
        </w:rPr>
        <w:t>:</w:t>
      </w:r>
      <w:r w:rsidR="00E8367E" w:rsidRPr="00192F41">
        <w:rPr>
          <w:rFonts w:cs="Arial"/>
        </w:rPr>
        <w:t xml:space="preserve"> </w:t>
      </w:r>
      <w:r w:rsidR="00781344" w:rsidRPr="007E49BB">
        <w:rPr>
          <w:rFonts w:cs="Arial"/>
        </w:rPr>
        <w:t>Customers have access to reliable water</w:t>
      </w:r>
      <w:r w:rsidR="00A70D4B" w:rsidRPr="007E49BB">
        <w:rPr>
          <w:rFonts w:cs="Arial"/>
        </w:rPr>
        <w:t xml:space="preserve"> to support their business needs</w:t>
      </w:r>
      <w:r w:rsidR="00781344" w:rsidRPr="007E49BB">
        <w:rPr>
          <w:rFonts w:cs="Arial"/>
        </w:rPr>
        <w:t>.</w:t>
      </w:r>
    </w:p>
    <w:p w14:paraId="071C3CFF" w14:textId="17CAF392" w:rsidR="00781344" w:rsidRPr="007E49BB" w:rsidRDefault="007D0C08" w:rsidP="000B5CEC">
      <w:pPr>
        <w:pStyle w:val="Bulletpointparagraph"/>
        <w:jc w:val="both"/>
        <w:rPr>
          <w:rFonts w:cs="Arial"/>
        </w:rPr>
      </w:pPr>
      <w:r w:rsidRPr="007E49BB">
        <w:rPr>
          <w:rFonts w:cs="Arial"/>
          <w:b/>
        </w:rPr>
        <w:t>Sustainable water</w:t>
      </w:r>
      <w:r w:rsidR="007E49BB">
        <w:rPr>
          <w:rFonts w:cs="Arial"/>
        </w:rPr>
        <w:t>:</w:t>
      </w:r>
      <w:r w:rsidR="00E8367E" w:rsidRPr="00192F41">
        <w:rPr>
          <w:rFonts w:cs="Arial"/>
        </w:rPr>
        <w:t xml:space="preserve"> </w:t>
      </w:r>
      <w:r w:rsidR="00E457C6" w:rsidRPr="007E49BB">
        <w:rPr>
          <w:rFonts w:cs="Arial"/>
        </w:rPr>
        <w:t>Allocations are</w:t>
      </w:r>
      <w:r w:rsidR="005478CB" w:rsidRPr="007E49BB">
        <w:rPr>
          <w:rFonts w:cs="Arial"/>
        </w:rPr>
        <w:t xml:space="preserve"> managed</w:t>
      </w:r>
      <w:r w:rsidR="00781344" w:rsidRPr="007E49BB">
        <w:rPr>
          <w:rFonts w:cs="Arial"/>
        </w:rPr>
        <w:t xml:space="preserve"> in a sustainable way for customers, community</w:t>
      </w:r>
      <w:r w:rsidR="00A55F5D" w:rsidRPr="007E49BB">
        <w:rPr>
          <w:rFonts w:cs="Arial"/>
        </w:rPr>
        <w:t>,</w:t>
      </w:r>
      <w:r w:rsidR="00781344" w:rsidRPr="007E49BB">
        <w:rPr>
          <w:rFonts w:cs="Arial"/>
        </w:rPr>
        <w:t xml:space="preserve"> and the environment</w:t>
      </w:r>
      <w:r w:rsidR="00BC38E3" w:rsidRPr="007E49BB">
        <w:rPr>
          <w:rFonts w:cs="Arial"/>
        </w:rPr>
        <w:t xml:space="preserve"> to ensure</w:t>
      </w:r>
      <w:r w:rsidR="007161D9" w:rsidRPr="007E49BB">
        <w:rPr>
          <w:rFonts w:cs="Arial"/>
        </w:rPr>
        <w:t xml:space="preserve"> a secure future</w:t>
      </w:r>
      <w:r w:rsidR="00781344" w:rsidRPr="007E49BB">
        <w:rPr>
          <w:rFonts w:cs="Arial"/>
        </w:rPr>
        <w:t>.</w:t>
      </w:r>
    </w:p>
    <w:p w14:paraId="0DFE19C2" w14:textId="7D8000F9" w:rsidR="00781344" w:rsidRPr="00192F41" w:rsidRDefault="007D0C08" w:rsidP="000B5CEC">
      <w:pPr>
        <w:pStyle w:val="Bulletpointparagraph"/>
        <w:jc w:val="both"/>
        <w:rPr>
          <w:rFonts w:cs="Arial"/>
        </w:rPr>
      </w:pPr>
      <w:r w:rsidRPr="00DF32AD">
        <w:rPr>
          <w:rFonts w:cs="Arial"/>
          <w:b/>
        </w:rPr>
        <w:t>Great service</w:t>
      </w:r>
      <w:r w:rsidR="007E49BB">
        <w:rPr>
          <w:rFonts w:cs="Arial"/>
        </w:rPr>
        <w:t>:</w:t>
      </w:r>
      <w:r w:rsidR="00E8367E" w:rsidRPr="00192F41">
        <w:rPr>
          <w:rFonts w:cs="Arial"/>
        </w:rPr>
        <w:t xml:space="preserve"> </w:t>
      </w:r>
      <w:r w:rsidR="00781344" w:rsidRPr="007E49BB">
        <w:rPr>
          <w:rFonts w:cs="Arial"/>
        </w:rPr>
        <w:t>Customers have access to great service</w:t>
      </w:r>
      <w:r w:rsidR="00781344" w:rsidRPr="00192F41">
        <w:rPr>
          <w:rFonts w:cs="Arial"/>
        </w:rPr>
        <w:t>.</w:t>
      </w:r>
    </w:p>
    <w:p w14:paraId="27635888" w14:textId="08331176" w:rsidR="007D0C08" w:rsidRPr="00192F41" w:rsidRDefault="007D0C08" w:rsidP="000B5CEC">
      <w:pPr>
        <w:pStyle w:val="Bulletpointparagraph"/>
        <w:jc w:val="both"/>
        <w:rPr>
          <w:rFonts w:cs="Arial"/>
        </w:rPr>
      </w:pPr>
      <w:r w:rsidRPr="00DF32AD">
        <w:rPr>
          <w:rFonts w:cs="Arial"/>
          <w:b/>
        </w:rPr>
        <w:t>Valued community member</w:t>
      </w:r>
      <w:r w:rsidR="007E49BB">
        <w:rPr>
          <w:rFonts w:cs="Arial"/>
        </w:rPr>
        <w:t>:</w:t>
      </w:r>
      <w:r w:rsidR="00E8367E" w:rsidRPr="00192F41">
        <w:rPr>
          <w:rFonts w:cs="Arial"/>
        </w:rPr>
        <w:t xml:space="preserve"> </w:t>
      </w:r>
      <w:r w:rsidR="00380B22" w:rsidRPr="007E49BB">
        <w:rPr>
          <w:rFonts w:cs="Arial"/>
        </w:rPr>
        <w:t xml:space="preserve">We </w:t>
      </w:r>
      <w:r w:rsidR="00A35482" w:rsidRPr="007E49BB">
        <w:rPr>
          <w:rFonts w:cs="Arial"/>
        </w:rPr>
        <w:t xml:space="preserve">deliver value to </w:t>
      </w:r>
      <w:r w:rsidR="00495E61" w:rsidRPr="007E49BB">
        <w:rPr>
          <w:rFonts w:cs="Arial"/>
        </w:rPr>
        <w:t>regional communities</w:t>
      </w:r>
      <w:r w:rsidR="00023A9E" w:rsidRPr="007E49BB">
        <w:rPr>
          <w:rFonts w:cs="Arial"/>
        </w:rPr>
        <w:t xml:space="preserve"> </w:t>
      </w:r>
      <w:r w:rsidR="00C32B51" w:rsidRPr="007E49BB">
        <w:rPr>
          <w:rFonts w:cs="Arial"/>
        </w:rPr>
        <w:t xml:space="preserve">through </w:t>
      </w:r>
      <w:r w:rsidR="00F17DA6" w:rsidRPr="007E49BB">
        <w:rPr>
          <w:rFonts w:cs="Arial"/>
        </w:rPr>
        <w:t>d</w:t>
      </w:r>
      <w:r w:rsidR="007E6253" w:rsidRPr="007E49BB">
        <w:rPr>
          <w:rFonts w:cs="Arial"/>
        </w:rPr>
        <w:t xml:space="preserve">irect </w:t>
      </w:r>
      <w:r w:rsidR="00C32B51" w:rsidRPr="007E49BB">
        <w:rPr>
          <w:rFonts w:cs="Arial"/>
        </w:rPr>
        <w:t>actions and relationships</w:t>
      </w:r>
      <w:r w:rsidR="003212B0" w:rsidRPr="007E49BB">
        <w:rPr>
          <w:rFonts w:cs="Arial"/>
        </w:rPr>
        <w:t xml:space="preserve"> with </w:t>
      </w:r>
      <w:r w:rsidR="006035B8" w:rsidRPr="007E49BB">
        <w:rPr>
          <w:rFonts w:cs="Arial"/>
        </w:rPr>
        <w:t>Traditional Owners</w:t>
      </w:r>
      <w:r w:rsidR="007E6253" w:rsidRPr="007E49BB">
        <w:rPr>
          <w:rFonts w:cs="Arial"/>
        </w:rPr>
        <w:t xml:space="preserve">, stakeholders, </w:t>
      </w:r>
      <w:r w:rsidR="00F17DA6" w:rsidRPr="007E49BB">
        <w:rPr>
          <w:rFonts w:cs="Arial"/>
        </w:rPr>
        <w:t>customers</w:t>
      </w:r>
      <w:r w:rsidR="007E6253" w:rsidRPr="007E49BB">
        <w:rPr>
          <w:rFonts w:cs="Arial"/>
        </w:rPr>
        <w:t xml:space="preserve"> and</w:t>
      </w:r>
      <w:r w:rsidR="00F17DA6" w:rsidRPr="007E49BB">
        <w:rPr>
          <w:rFonts w:cs="Arial"/>
        </w:rPr>
        <w:t xml:space="preserve"> </w:t>
      </w:r>
      <w:r w:rsidR="005D3342" w:rsidRPr="007E49BB">
        <w:rPr>
          <w:rFonts w:cs="Arial"/>
        </w:rPr>
        <w:t>the general community</w:t>
      </w:r>
      <w:r w:rsidR="007E49BB">
        <w:rPr>
          <w:rFonts w:cs="Arial"/>
        </w:rPr>
        <w:t>.</w:t>
      </w:r>
    </w:p>
    <w:p w14:paraId="70F60770" w14:textId="312C367C" w:rsidR="00781344" w:rsidRPr="00192F41" w:rsidRDefault="007D0C08" w:rsidP="000B5CEC">
      <w:pPr>
        <w:pStyle w:val="Bulletpointparagraph"/>
        <w:jc w:val="both"/>
        <w:rPr>
          <w:rFonts w:cs="Arial"/>
        </w:rPr>
      </w:pPr>
      <w:r w:rsidRPr="00DF32AD">
        <w:rPr>
          <w:rFonts w:cs="Arial"/>
          <w:b/>
        </w:rPr>
        <w:t>Fair and reasonable prices</w:t>
      </w:r>
      <w:r w:rsidR="007E49BB">
        <w:rPr>
          <w:rFonts w:cs="Arial"/>
        </w:rPr>
        <w:t>:</w:t>
      </w:r>
      <w:r w:rsidR="00E8367E" w:rsidRPr="007E49BB">
        <w:rPr>
          <w:rFonts w:cs="Arial"/>
          <w:i/>
        </w:rPr>
        <w:t xml:space="preserve"> </w:t>
      </w:r>
      <w:r w:rsidR="00781344" w:rsidRPr="007E49BB">
        <w:rPr>
          <w:rFonts w:cs="Arial"/>
        </w:rPr>
        <w:t>Prices reflect customer value</w:t>
      </w:r>
      <w:r w:rsidR="00781344" w:rsidRPr="00192F41">
        <w:rPr>
          <w:rFonts w:cs="Arial"/>
        </w:rPr>
        <w:t>.</w:t>
      </w:r>
    </w:p>
    <w:p w14:paraId="50D3D67B" w14:textId="67E70C64" w:rsidR="00F279E2" w:rsidRDefault="00F279E2" w:rsidP="000B5CEC">
      <w:pPr>
        <w:jc w:val="both"/>
      </w:pPr>
      <w:r>
        <w:t>Each outcome is supported by measures and targets. Some performance measures have been carried over from Price Submission 2018 with re</w:t>
      </w:r>
      <w:r w:rsidR="00846A0B">
        <w:t xml:space="preserve">vised </w:t>
      </w:r>
      <w:r>
        <w:t>performance targets</w:t>
      </w:r>
      <w:r w:rsidR="00846A0B">
        <w:t>, however</w:t>
      </w:r>
      <w:r>
        <w:t xml:space="preserve"> </w:t>
      </w:r>
      <w:r w:rsidR="00846A0B">
        <w:t>many have been significantly refined or are new</w:t>
      </w:r>
      <w:r w:rsidR="0062674B">
        <w:t>.</w:t>
      </w:r>
      <w:r>
        <w:t xml:space="preserve"> All are informed by discussion</w:t>
      </w:r>
      <w:r w:rsidR="00E76FA4">
        <w:t xml:space="preserve"> and feedback from</w:t>
      </w:r>
      <w:r>
        <w:t xml:space="preserve"> customers via consultative committees, </w:t>
      </w:r>
      <w:r w:rsidR="00274680">
        <w:t xml:space="preserve">surveys and to a greater and deeper extent the </w:t>
      </w:r>
      <w:r w:rsidR="00E76FA4">
        <w:t>C</w:t>
      </w:r>
      <w:r w:rsidR="00274680">
        <w:t xml:space="preserve">ustomer </w:t>
      </w:r>
      <w:r w:rsidR="00E76FA4">
        <w:t>R</w:t>
      </w:r>
      <w:r w:rsidR="00274680">
        <w:t xml:space="preserve">eference </w:t>
      </w:r>
      <w:r w:rsidR="00E76FA4">
        <w:t>G</w:t>
      </w:r>
      <w:r w:rsidR="00274680">
        <w:t>roup.</w:t>
      </w:r>
    </w:p>
    <w:p w14:paraId="2B5435BB" w14:textId="6191EA31" w:rsidR="001E6C13" w:rsidRDefault="004E4753" w:rsidP="000B5CEC">
      <w:pPr>
        <w:jc w:val="both"/>
        <w:rPr>
          <w:rFonts w:cs="Arial"/>
          <w:color w:val="000000" w:themeColor="text1"/>
        </w:rPr>
      </w:pPr>
      <w:r w:rsidRPr="008E519D">
        <w:t xml:space="preserve">We are proposing no real price increases for </w:t>
      </w:r>
      <w:r w:rsidR="009179CD" w:rsidRPr="008E519D">
        <w:t>86% of SRW customers</w:t>
      </w:r>
      <w:r w:rsidRPr="008E519D">
        <w:t xml:space="preserve">. </w:t>
      </w:r>
      <w:r w:rsidR="001E6C13" w:rsidRPr="00907CBA">
        <w:t xml:space="preserve">The cost implications to </w:t>
      </w:r>
      <w:r w:rsidR="00D01F78" w:rsidRPr="00907CBA">
        <w:t>customers</w:t>
      </w:r>
      <w:r w:rsidR="001E6C13" w:rsidRPr="00907CBA">
        <w:t xml:space="preserve"> for achiev</w:t>
      </w:r>
      <w:r w:rsidR="00B90BA3" w:rsidRPr="008E519D">
        <w:t>ing</w:t>
      </w:r>
      <w:r w:rsidR="001E6C13" w:rsidRPr="00907CBA">
        <w:t xml:space="preserve"> these outcomes are minimal</w:t>
      </w:r>
      <w:r w:rsidR="00B90BA3" w:rsidRPr="008E519D">
        <w:t>. For those customers with a proposed price increase, th</w:t>
      </w:r>
      <w:r w:rsidR="00CB5B5F" w:rsidRPr="008E519D">
        <w:t xml:space="preserve">is is </w:t>
      </w:r>
      <w:r w:rsidR="00D01F78" w:rsidRPr="00907CBA">
        <w:t xml:space="preserve">largely based on </w:t>
      </w:r>
      <w:r w:rsidR="00E02B20" w:rsidRPr="00907CBA">
        <w:t xml:space="preserve">the recovery of costs associated with </w:t>
      </w:r>
      <w:r w:rsidR="00D01F78" w:rsidRPr="00907CBA">
        <w:t>historic modernisation investment</w:t>
      </w:r>
      <w:r w:rsidR="00E53B50" w:rsidRPr="00907CBA">
        <w:t xml:space="preserve">. </w:t>
      </w:r>
      <w:r w:rsidR="00295828" w:rsidRPr="00907CBA">
        <w:t>We</w:t>
      </w:r>
      <w:r w:rsidR="00E53B50" w:rsidRPr="00907CBA">
        <w:t xml:space="preserve"> are committed to ongoing productivity efficiencies of 1% per annum,</w:t>
      </w:r>
      <w:r w:rsidR="00295828" w:rsidRPr="00907CBA">
        <w:t xml:space="preserve"> and assume any other </w:t>
      </w:r>
      <w:r w:rsidR="002047CE" w:rsidRPr="00907CBA">
        <w:t>operational</w:t>
      </w:r>
      <w:r w:rsidR="00295828" w:rsidRPr="00907CBA">
        <w:t xml:space="preserve"> savings accrued will be re-directed to cover the </w:t>
      </w:r>
      <w:r w:rsidR="00D86ED6" w:rsidRPr="00907CBA">
        <w:t>costs associated with increasing customer expectations and</w:t>
      </w:r>
      <w:r w:rsidR="00D3130C" w:rsidRPr="00907CBA">
        <w:t xml:space="preserve"> obligations.</w:t>
      </w:r>
    </w:p>
    <w:p w14:paraId="3E75A0F6" w14:textId="7B784AA0" w:rsidR="008A59D3" w:rsidRPr="00192F41" w:rsidRDefault="008A59D3" w:rsidP="000B5CEC">
      <w:pPr>
        <w:jc w:val="both"/>
        <w:rPr>
          <w:rFonts w:cs="Arial"/>
          <w:color w:val="000000" w:themeColor="text1"/>
        </w:rPr>
      </w:pPr>
      <w:r w:rsidRPr="00192F41">
        <w:rPr>
          <w:rFonts w:cs="Arial"/>
          <w:color w:val="000000" w:themeColor="text1"/>
        </w:rPr>
        <w:t xml:space="preserve">Given the very different nature of water security and influences on water quality in our different systems, we have refined the customer outcomes to allow for those differences. Also, given the diverse </w:t>
      </w:r>
      <w:r w:rsidR="00395B6F" w:rsidRPr="00192F41">
        <w:rPr>
          <w:rFonts w:cs="Arial"/>
          <w:color w:val="000000" w:themeColor="text1"/>
        </w:rPr>
        <w:t>nature of our customer enterprises</w:t>
      </w:r>
      <w:r w:rsidRPr="00192F41">
        <w:rPr>
          <w:rFonts w:cs="Arial"/>
          <w:color w:val="000000" w:themeColor="text1"/>
        </w:rPr>
        <w:t>, we are focussed on offering service in the way that best suits individual customer groups while keeping prices as low as possible.</w:t>
      </w:r>
    </w:p>
    <w:p w14:paraId="285E6348" w14:textId="11F8DD63" w:rsidR="009E0970" w:rsidRPr="00E06982" w:rsidRDefault="009E0970" w:rsidP="00E06982">
      <w:pPr>
        <w:jc w:val="both"/>
        <w:rPr>
          <w:rFonts w:cs="Arial"/>
          <w:color w:val="000000" w:themeColor="text1"/>
        </w:rPr>
      </w:pPr>
      <w:bookmarkStart w:id="52" w:name="_Hlk104997310"/>
      <w:bookmarkEnd w:id="50"/>
      <w:bookmarkEnd w:id="51"/>
      <w:r w:rsidRPr="00192F41">
        <w:rPr>
          <w:rFonts w:cs="Arial"/>
          <w:color w:val="000000" w:themeColor="text1"/>
        </w:rPr>
        <w:t>The</w:t>
      </w:r>
      <w:r w:rsidR="00781344" w:rsidRPr="00192F41">
        <w:rPr>
          <w:rFonts w:cs="Arial"/>
          <w:color w:val="000000" w:themeColor="text1"/>
        </w:rPr>
        <w:t xml:space="preserve"> </w:t>
      </w:r>
      <w:r w:rsidRPr="00192F41">
        <w:rPr>
          <w:rFonts w:cs="Arial"/>
          <w:color w:val="000000" w:themeColor="text1"/>
        </w:rPr>
        <w:t>outcomes have been expanded into a series of outcome statements</w:t>
      </w:r>
      <w:r w:rsidR="002D36C9">
        <w:rPr>
          <w:rFonts w:cs="Arial"/>
          <w:color w:val="000000" w:themeColor="text1"/>
        </w:rPr>
        <w:t>, as set out on the following pages.</w:t>
      </w:r>
      <w:bookmarkEnd w:id="52"/>
    </w:p>
    <w:p w14:paraId="48138245" w14:textId="33A0F175" w:rsidR="009E0970" w:rsidRPr="00192F41" w:rsidRDefault="009E0970" w:rsidP="009E0970">
      <w:pPr>
        <w:pStyle w:val="Heading3"/>
        <w:rPr>
          <w:rFonts w:cs="Arial"/>
        </w:rPr>
      </w:pPr>
      <w:r w:rsidRPr="00192F41">
        <w:rPr>
          <w:rFonts w:cs="Arial"/>
        </w:rPr>
        <w:t xml:space="preserve">Reliable </w:t>
      </w:r>
      <w:r w:rsidR="00A02385">
        <w:rPr>
          <w:rFonts w:cs="Arial"/>
        </w:rPr>
        <w:t>w</w:t>
      </w:r>
      <w:r w:rsidRPr="00192F41">
        <w:rPr>
          <w:rFonts w:cs="Arial"/>
        </w:rPr>
        <w:t xml:space="preserve">ater </w:t>
      </w:r>
      <w:r w:rsidR="00A02385">
        <w:rPr>
          <w:rFonts w:cs="Arial"/>
        </w:rPr>
        <w:t>s</w:t>
      </w:r>
      <w:r w:rsidRPr="00192F41">
        <w:rPr>
          <w:rFonts w:cs="Arial"/>
        </w:rPr>
        <w:t>upply</w:t>
      </w:r>
    </w:p>
    <w:tbl>
      <w:tblPr>
        <w:tblStyle w:val="ReportTable-TealRows"/>
        <w:tblW w:w="10065" w:type="dxa"/>
        <w:tblLayout w:type="fixed"/>
        <w:tblLook w:val="04A0" w:firstRow="1" w:lastRow="0" w:firstColumn="1" w:lastColumn="0" w:noHBand="0" w:noVBand="1"/>
      </w:tblPr>
      <w:tblGrid>
        <w:gridCol w:w="2268"/>
        <w:gridCol w:w="7797"/>
      </w:tblGrid>
      <w:tr w:rsidR="00AB388A" w:rsidRPr="00192F41" w14:paraId="037417AC" w14:textId="77777777" w:rsidTr="00DA7C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68" w:type="dxa"/>
            <w:hideMark/>
          </w:tcPr>
          <w:p w14:paraId="2F7964FD" w14:textId="77777777" w:rsidR="009E0970" w:rsidRPr="000B5CEC" w:rsidRDefault="009E0970" w:rsidP="00DA3A69">
            <w:pPr>
              <w:spacing w:before="40" w:after="40"/>
              <w:rPr>
                <w:sz w:val="20"/>
                <w:szCs w:val="20"/>
              </w:rPr>
            </w:pPr>
            <w:r w:rsidRPr="000B5CEC">
              <w:rPr>
                <w:sz w:val="20"/>
                <w:szCs w:val="20"/>
              </w:rPr>
              <w:t>Reliable water supply</w:t>
            </w:r>
          </w:p>
        </w:tc>
        <w:tc>
          <w:tcPr>
            <w:tcW w:w="7797" w:type="dxa"/>
            <w:noWrap/>
            <w:hideMark/>
          </w:tcPr>
          <w:p w14:paraId="5F24022B" w14:textId="77777777" w:rsidR="009E0970" w:rsidRPr="000B5CEC" w:rsidRDefault="009E0970" w:rsidP="00DA3A69">
            <w:pPr>
              <w:spacing w:before="40" w:after="40"/>
              <w:cnfStyle w:val="100000000000" w:firstRow="1" w:lastRow="0" w:firstColumn="0" w:lastColumn="0" w:oddVBand="0" w:evenVBand="0" w:oddHBand="0" w:evenHBand="0" w:firstRowFirstColumn="0" w:firstRowLastColumn="0" w:lastRowFirstColumn="0" w:lastRowLastColumn="0"/>
              <w:rPr>
                <w:sz w:val="20"/>
                <w:szCs w:val="20"/>
              </w:rPr>
            </w:pPr>
            <w:r w:rsidRPr="000B5CEC">
              <w:rPr>
                <w:sz w:val="20"/>
                <w:szCs w:val="20"/>
              </w:rPr>
              <w:t>Response</w:t>
            </w:r>
          </w:p>
        </w:tc>
      </w:tr>
      <w:tr w:rsidR="00E15185" w:rsidRPr="00192F41" w14:paraId="3567A82E"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268" w:type="dxa"/>
          </w:tcPr>
          <w:p w14:paraId="17BCD21E" w14:textId="77777777" w:rsidR="009E0970" w:rsidRPr="000B5CEC" w:rsidRDefault="009E0970" w:rsidP="00DA3A69">
            <w:pPr>
              <w:spacing w:before="40" w:after="40"/>
            </w:pPr>
            <w:r w:rsidRPr="000B5CEC">
              <w:t>What’s the outcome we are seeking?</w:t>
            </w:r>
          </w:p>
        </w:tc>
        <w:tc>
          <w:tcPr>
            <w:tcW w:w="7797" w:type="dxa"/>
            <w:noWrap/>
          </w:tcPr>
          <w:p w14:paraId="41D577F4" w14:textId="675EB0D4" w:rsidR="009E0970" w:rsidRPr="00DA7C9F" w:rsidRDefault="00500953" w:rsidP="00DA3A69">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Customers have access to reliable water supplies</w:t>
            </w:r>
            <w:r w:rsidR="009A7EEB" w:rsidRPr="00DA7C9F">
              <w:t xml:space="preserve"> to support </w:t>
            </w:r>
            <w:r w:rsidR="009E0DF9" w:rsidRPr="00DA7C9F">
              <w:t>their</w:t>
            </w:r>
            <w:r w:rsidR="007375A5" w:rsidRPr="00DA7C9F">
              <w:t xml:space="preserve"> business needs</w:t>
            </w:r>
            <w:r w:rsidR="004E1435">
              <w:t>.</w:t>
            </w:r>
          </w:p>
        </w:tc>
      </w:tr>
      <w:tr w:rsidR="004A3ED7" w:rsidRPr="00192F41" w14:paraId="3065B5E6"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2268" w:type="dxa"/>
          </w:tcPr>
          <w:p w14:paraId="15A531A2" w14:textId="77777777" w:rsidR="004A3ED7" w:rsidRPr="000B5CEC" w:rsidRDefault="004A3ED7" w:rsidP="00DA3A69">
            <w:pPr>
              <w:spacing w:before="40" w:after="40"/>
            </w:pPr>
            <w:r w:rsidRPr="000B5CEC">
              <w:t>What did our customers say?</w:t>
            </w:r>
          </w:p>
        </w:tc>
        <w:tc>
          <w:tcPr>
            <w:tcW w:w="7797" w:type="dxa"/>
            <w:noWrap/>
          </w:tcPr>
          <w:p w14:paraId="7B02AAF7" w14:textId="09073166" w:rsidR="004A3ED7" w:rsidRPr="00DA7C9F" w:rsidRDefault="004A3ED7" w:rsidP="00DA3A69">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Our customers have told us that access to a reliable supply of quality water when it is needed is critical to their business, both now and into the future</w:t>
            </w:r>
            <w:r w:rsidR="004E1435">
              <w:t xml:space="preserve">. </w:t>
            </w:r>
            <w:r w:rsidRPr="00DA7C9F">
              <w:t>Having modern and efficient assets enable us to provide a reliable service</w:t>
            </w:r>
            <w:r w:rsidR="00402ADC">
              <w:t>,</w:t>
            </w:r>
            <w:r w:rsidRPr="00DA7C9F">
              <w:t xml:space="preserve"> while ensuring that we allocate water within sustainable limits will enable us to provide water security into the future.  </w:t>
            </w:r>
          </w:p>
        </w:tc>
      </w:tr>
      <w:tr w:rsidR="00C93367" w:rsidRPr="00192F41" w14:paraId="3145F520"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268" w:type="dxa"/>
          </w:tcPr>
          <w:p w14:paraId="44EE844A" w14:textId="77777777" w:rsidR="00C93367" w:rsidRPr="000B5CEC" w:rsidRDefault="00C93367" w:rsidP="00DA3A69">
            <w:pPr>
              <w:spacing w:before="40" w:after="40"/>
            </w:pPr>
            <w:r w:rsidRPr="000B5CEC">
              <w:t>SRW commitment</w:t>
            </w:r>
          </w:p>
        </w:tc>
        <w:tc>
          <w:tcPr>
            <w:tcW w:w="7797" w:type="dxa"/>
            <w:noWrap/>
          </w:tcPr>
          <w:p w14:paraId="0D55D7D6" w14:textId="2C1753F9" w:rsidR="00C93367" w:rsidRPr="00DA7C9F" w:rsidRDefault="00C93367" w:rsidP="00DA3A69">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 xml:space="preserve">SRW is committed to </w:t>
            </w:r>
            <w:r w:rsidR="00445AE4" w:rsidRPr="00DA7C9F">
              <w:t xml:space="preserve">maintaining </w:t>
            </w:r>
            <w:r w:rsidR="00501CB2" w:rsidRPr="00DA7C9F">
              <w:t xml:space="preserve">efficient </w:t>
            </w:r>
            <w:r w:rsidR="00445AE4" w:rsidRPr="00DA7C9F">
              <w:t xml:space="preserve">infrastructure and </w:t>
            </w:r>
            <w:r w:rsidR="00A13047" w:rsidRPr="00DA7C9F">
              <w:t xml:space="preserve">management </w:t>
            </w:r>
            <w:r w:rsidR="00445AE4" w:rsidRPr="00DA7C9F">
              <w:t xml:space="preserve">systems capable of </w:t>
            </w:r>
            <w:r w:rsidR="00A13047" w:rsidRPr="00DA7C9F">
              <w:t>supplying a reliable source of water.</w:t>
            </w:r>
          </w:p>
        </w:tc>
      </w:tr>
      <w:tr w:rsidR="00E15185" w:rsidRPr="00192F41" w14:paraId="790DC237"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2268" w:type="dxa"/>
          </w:tcPr>
          <w:p w14:paraId="64ABACB3" w14:textId="4FB4AF0F" w:rsidR="009E0970" w:rsidRPr="000B5CEC" w:rsidRDefault="00AB56AB" w:rsidP="00DA3A69">
            <w:pPr>
              <w:spacing w:before="40" w:after="40"/>
            </w:pPr>
            <w:r w:rsidRPr="000B5CEC">
              <w:t>How will we measure this?</w:t>
            </w:r>
          </w:p>
        </w:tc>
        <w:tc>
          <w:tcPr>
            <w:tcW w:w="7797" w:type="dxa"/>
            <w:noWrap/>
          </w:tcPr>
          <w:p w14:paraId="290D2D83" w14:textId="77777777" w:rsidR="009E0970" w:rsidRPr="00DA7C9F" w:rsidRDefault="009E0970" w:rsidP="00DA3A69">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Our proposed performance measures and targets focus on:</w:t>
            </w:r>
          </w:p>
          <w:p w14:paraId="7997D64D" w14:textId="61ACA7CA" w:rsidR="009E0970" w:rsidRPr="00DA7C9F" w:rsidRDefault="009E0970" w:rsidP="00F459A2">
            <w:pPr>
              <w:pStyle w:val="ListParagraph"/>
              <w:numPr>
                <w:ilvl w:val="0"/>
                <w:numId w:val="12"/>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Orders delivered at time agreed – </w:t>
            </w:r>
            <w:r w:rsidR="005F7DC7" w:rsidRPr="00DA7C9F">
              <w:t>MID, BMID &amp; WID</w:t>
            </w:r>
          </w:p>
          <w:p w14:paraId="4ED1E495" w14:textId="6FAC1A4C" w:rsidR="009E0970" w:rsidRPr="00DA7C9F" w:rsidRDefault="009E0970" w:rsidP="00F459A2">
            <w:pPr>
              <w:pStyle w:val="ListParagraph"/>
              <w:numPr>
                <w:ilvl w:val="0"/>
                <w:numId w:val="12"/>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Orders delivered without interruption - </w:t>
            </w:r>
            <w:r w:rsidR="005F7DC7" w:rsidRPr="00DA7C9F">
              <w:t>MID, BMID &amp; WID</w:t>
            </w:r>
          </w:p>
          <w:p w14:paraId="247C709F" w14:textId="77777777" w:rsidR="009E0970" w:rsidRPr="00DA7C9F" w:rsidRDefault="009E0970" w:rsidP="00F459A2">
            <w:pPr>
              <w:pStyle w:val="ListParagraph"/>
              <w:numPr>
                <w:ilvl w:val="0"/>
                <w:numId w:val="12"/>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Quality water supplied - WID.</w:t>
            </w:r>
          </w:p>
          <w:p w14:paraId="11D26316" w14:textId="6C95289F" w:rsidR="00996628" w:rsidRPr="00DA7C9F" w:rsidRDefault="00996628" w:rsidP="00F459A2">
            <w:pPr>
              <w:pStyle w:val="ListParagraph"/>
              <w:numPr>
                <w:ilvl w:val="0"/>
                <w:numId w:val="12"/>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Orders delivered – </w:t>
            </w:r>
            <w:r w:rsidR="004E1435">
              <w:t>bulk entitlement</w:t>
            </w:r>
            <w:r w:rsidRPr="00DA7C9F">
              <w:t xml:space="preserve"> holders</w:t>
            </w:r>
          </w:p>
          <w:p w14:paraId="54F93FB4" w14:textId="0A2E94CE" w:rsidR="009E0970" w:rsidRPr="00DA7C9F" w:rsidRDefault="009E0970" w:rsidP="00F459A2">
            <w:pPr>
              <w:pStyle w:val="ListParagraph"/>
              <w:numPr>
                <w:ilvl w:val="0"/>
                <w:numId w:val="12"/>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Further details on the measures and targets are provided in Appendix </w:t>
            </w:r>
            <w:r w:rsidR="00683E43" w:rsidRPr="00DA7C9F">
              <w:t>C</w:t>
            </w:r>
            <w:r w:rsidRPr="00DA7C9F">
              <w:t>.</w:t>
            </w:r>
          </w:p>
        </w:tc>
      </w:tr>
      <w:tr w:rsidR="00E15185" w:rsidRPr="00192F41" w14:paraId="729D7A05"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268" w:type="dxa"/>
          </w:tcPr>
          <w:p w14:paraId="1E7D6F24" w14:textId="77777777" w:rsidR="009E0970" w:rsidRPr="000B5CEC" w:rsidRDefault="009E0970" w:rsidP="00DA3A69">
            <w:pPr>
              <w:spacing w:before="40" w:after="40"/>
            </w:pPr>
            <w:r w:rsidRPr="000B5CEC">
              <w:t>What will we do to achieve it?</w:t>
            </w:r>
          </w:p>
        </w:tc>
        <w:tc>
          <w:tcPr>
            <w:tcW w:w="7797" w:type="dxa"/>
            <w:noWrap/>
          </w:tcPr>
          <w:p w14:paraId="4D1D6B54" w14:textId="77777777" w:rsidR="009E0970" w:rsidRPr="00DA7C9F" w:rsidRDefault="009E0970" w:rsidP="00DA3A69">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We can do this by:</w:t>
            </w:r>
          </w:p>
          <w:p w14:paraId="7CAB58A4" w14:textId="1A2DC54B"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c</w:t>
            </w:r>
            <w:r w:rsidR="009E0970" w:rsidRPr="004E1435">
              <w:t>ontinuing</w:t>
            </w:r>
            <w:r w:rsidR="009E0970" w:rsidRPr="00DA7C9F">
              <w:t xml:space="preserve"> to modernise our assets and optimis</w:t>
            </w:r>
            <w:r w:rsidR="00566251" w:rsidRPr="00DA7C9F">
              <w:t>e</w:t>
            </w:r>
            <w:r>
              <w:t>;</w:t>
            </w:r>
          </w:p>
          <w:p w14:paraId="547497B1" w14:textId="0D268553"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w</w:t>
            </w:r>
            <w:r w:rsidR="009E0970" w:rsidRPr="004E1435">
              <w:t>orking</w:t>
            </w:r>
            <w:r w:rsidR="009E0970" w:rsidRPr="00DA7C9F">
              <w:t xml:space="preserve"> with recycled water providers to provide a suitable product</w:t>
            </w:r>
            <w:r>
              <w:t>;</w:t>
            </w:r>
          </w:p>
          <w:p w14:paraId="17EC54EB" w14:textId="19D56F03"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m</w:t>
            </w:r>
            <w:r w:rsidR="009E0970" w:rsidRPr="004E1435">
              <w:t>ore</w:t>
            </w:r>
            <w:r w:rsidR="009E0970" w:rsidRPr="00DA7C9F">
              <w:t xml:space="preserve"> effective asset management</w:t>
            </w:r>
            <w:r>
              <w:t>;</w:t>
            </w:r>
          </w:p>
          <w:p w14:paraId="60827943" w14:textId="2C107FDC"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e</w:t>
            </w:r>
            <w:r w:rsidR="009E0970" w:rsidRPr="004E1435">
              <w:t>nhancing</w:t>
            </w:r>
            <w:r w:rsidR="009E0970" w:rsidRPr="00DA7C9F">
              <w:t xml:space="preserve"> ordering and delivery processes to better meet our customers’ needs</w:t>
            </w:r>
            <w:r>
              <w:t>;</w:t>
            </w:r>
          </w:p>
          <w:p w14:paraId="0872DA88" w14:textId="0537F3BD"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m</w:t>
            </w:r>
            <w:r w:rsidR="009E0970" w:rsidRPr="004E1435">
              <w:t>anaging</w:t>
            </w:r>
            <w:r w:rsidR="009E0970" w:rsidRPr="00DA7C9F">
              <w:t xml:space="preserve"> drains and salinity bores, where provided, to promote productivity</w:t>
            </w:r>
            <w:r>
              <w:t>; and</w:t>
            </w:r>
          </w:p>
          <w:p w14:paraId="3936490E" w14:textId="0CE696E8" w:rsidR="009E0970" w:rsidRPr="00DA7C9F" w:rsidRDefault="004E1435" w:rsidP="00F459A2">
            <w:pPr>
              <w:pStyle w:val="ListParagraph"/>
              <w:numPr>
                <w:ilvl w:val="0"/>
                <w:numId w:val="13"/>
              </w:numPr>
              <w:spacing w:before="40" w:after="40"/>
              <w:ind w:right="119"/>
              <w:jc w:val="both"/>
              <w:cnfStyle w:val="000000100000" w:firstRow="0" w:lastRow="0" w:firstColumn="0" w:lastColumn="0" w:oddVBand="0" w:evenVBand="0" w:oddHBand="1" w:evenHBand="0" w:firstRowFirstColumn="0" w:firstRowLastColumn="0" w:lastRowFirstColumn="0" w:lastRowLastColumn="0"/>
            </w:pPr>
            <w:r>
              <w:t>b</w:t>
            </w:r>
            <w:r w:rsidR="009E0970" w:rsidRPr="004E1435">
              <w:t>eing</w:t>
            </w:r>
            <w:r w:rsidR="009E0970" w:rsidRPr="00DA7C9F">
              <w:t xml:space="preserve"> a resilient organisation, capable of effectively responding to </w:t>
            </w:r>
            <w:r w:rsidR="003D1333">
              <w:t>challenges</w:t>
            </w:r>
          </w:p>
        </w:tc>
      </w:tr>
      <w:tr w:rsidR="00E15185" w:rsidRPr="00192F41" w14:paraId="69A740A5"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2268" w:type="dxa"/>
          </w:tcPr>
          <w:p w14:paraId="1E5F0D27" w14:textId="77777777" w:rsidR="009E0970" w:rsidRPr="000B5CEC" w:rsidRDefault="009E0970" w:rsidP="00DA3A69">
            <w:pPr>
              <w:spacing w:before="40" w:after="40"/>
            </w:pPr>
            <w:r w:rsidRPr="000B5CEC">
              <w:t>How does it come together to deliver a result?</w:t>
            </w:r>
          </w:p>
        </w:tc>
        <w:tc>
          <w:tcPr>
            <w:tcW w:w="7797" w:type="dxa"/>
            <w:noWrap/>
          </w:tcPr>
          <w:p w14:paraId="3F88440B" w14:textId="2F7862A9" w:rsidR="009E0970" w:rsidRPr="00DA7C9F" w:rsidRDefault="00B40823" w:rsidP="00DA3A69">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Our capital plan</w:t>
            </w:r>
            <w:r w:rsidR="004F4C88" w:rsidRPr="00DA7C9F">
              <w:t xml:space="preserve"> is designed to improve the reliability of our delivery systems, through the replacement of </w:t>
            </w:r>
            <w:r w:rsidR="00A41D8A" w:rsidRPr="00DA7C9F">
              <w:t>aging</w:t>
            </w:r>
            <w:r w:rsidR="000D005F" w:rsidRPr="00DA7C9F">
              <w:t xml:space="preserve"> infrast</w:t>
            </w:r>
            <w:r w:rsidR="008C3972" w:rsidRPr="00DA7C9F">
              <w:t xml:space="preserve">ructure </w:t>
            </w:r>
            <w:r w:rsidR="000D005F" w:rsidRPr="00DA7C9F">
              <w:t>with a more mo</w:t>
            </w:r>
            <w:r w:rsidR="008C3972" w:rsidRPr="00DA7C9F">
              <w:t>d</w:t>
            </w:r>
            <w:r w:rsidR="000D005F" w:rsidRPr="00DA7C9F">
              <w:t>ern delivery system.</w:t>
            </w:r>
            <w:r w:rsidR="008C3972" w:rsidRPr="00DA7C9F">
              <w:t xml:space="preserve"> </w:t>
            </w:r>
            <w:r w:rsidR="008C6263" w:rsidRPr="00DA7C9F">
              <w:t>Our success in achieving this will be m</w:t>
            </w:r>
            <w:r w:rsidR="003961FF" w:rsidRPr="00DA7C9F">
              <w:t>onitored through a set of measures</w:t>
            </w:r>
            <w:r w:rsidR="0055285E" w:rsidRPr="00DA7C9F">
              <w:t xml:space="preserve"> that have been refined to focus on customer outcomes </w:t>
            </w:r>
            <w:r w:rsidR="004E1435">
              <w:t>(</w:t>
            </w:r>
            <w:r w:rsidR="0055285E" w:rsidRPr="00DA7C9F">
              <w:t>i.e</w:t>
            </w:r>
            <w:r w:rsidR="00B348D3" w:rsidRPr="00DA7C9F">
              <w:t>.,</w:t>
            </w:r>
            <w:r w:rsidR="0055285E" w:rsidRPr="00DA7C9F">
              <w:t xml:space="preserve"> did we </w:t>
            </w:r>
            <w:r w:rsidR="009528E1" w:rsidRPr="00DA7C9F">
              <w:t>d</w:t>
            </w:r>
            <w:r w:rsidR="0055285E" w:rsidRPr="00DA7C9F">
              <w:t xml:space="preserve">eliver </w:t>
            </w:r>
            <w:r w:rsidR="009528E1" w:rsidRPr="00DA7C9F">
              <w:t xml:space="preserve">suitable </w:t>
            </w:r>
            <w:r w:rsidR="0055285E" w:rsidRPr="00DA7C9F">
              <w:t xml:space="preserve">water when we said we would </w:t>
            </w:r>
            <w:r w:rsidR="009528E1" w:rsidRPr="00DA7C9F">
              <w:t>with minimum disruption</w:t>
            </w:r>
            <w:r w:rsidR="004E1435">
              <w:t>)</w:t>
            </w:r>
            <w:r w:rsidR="009528E1" w:rsidRPr="00DA7C9F">
              <w:t>.</w:t>
            </w:r>
          </w:p>
        </w:tc>
      </w:tr>
      <w:tr w:rsidR="00E15185" w:rsidRPr="00192F41" w14:paraId="7C4C0173" w14:textId="77777777" w:rsidTr="00165EE5">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2268" w:type="dxa"/>
          </w:tcPr>
          <w:p w14:paraId="5067F44C" w14:textId="01CFDDD5" w:rsidR="009E0970" w:rsidRPr="000B5CEC" w:rsidRDefault="009E0970" w:rsidP="00DA3A69">
            <w:pPr>
              <w:spacing w:before="40" w:after="40"/>
            </w:pPr>
            <w:r w:rsidRPr="000B5CEC">
              <w:t>How much will it cost/save?</w:t>
            </w:r>
          </w:p>
        </w:tc>
        <w:tc>
          <w:tcPr>
            <w:tcW w:w="7797" w:type="dxa"/>
            <w:noWrap/>
          </w:tcPr>
          <w:p w14:paraId="3F13F933" w14:textId="3CA966B1" w:rsidR="009E0970" w:rsidRPr="00524217" w:rsidRDefault="008E1C0F" w:rsidP="00DA3A69">
            <w:pPr>
              <w:spacing w:before="40" w:after="40"/>
              <w:ind w:right="119"/>
              <w:jc w:val="both"/>
              <w:cnfStyle w:val="000000100000" w:firstRow="0" w:lastRow="0" w:firstColumn="0" w:lastColumn="0" w:oddVBand="0" w:evenVBand="0" w:oddHBand="1" w:evenHBand="0" w:firstRowFirstColumn="0" w:firstRowLastColumn="0" w:lastRowFirstColumn="0" w:lastRowLastColumn="0"/>
              <w:rPr>
                <w:color w:val="000000" w:themeColor="text1"/>
                <w:szCs w:val="20"/>
              </w:rPr>
            </w:pPr>
            <w:r w:rsidRPr="00DA7C9F">
              <w:t>T</w:t>
            </w:r>
            <w:r w:rsidR="00EC5B51" w:rsidRPr="00DA7C9F">
              <w:t>h</w:t>
            </w:r>
            <w:r w:rsidRPr="00DA7C9F">
              <w:t xml:space="preserve">e costs of </w:t>
            </w:r>
            <w:r w:rsidR="003B3498" w:rsidRPr="00DA7C9F">
              <w:t>achieving this outcome are reflected in our capital delivery plan.</w:t>
            </w:r>
            <w:r w:rsidR="00744F0A" w:rsidRPr="00DA7C9F">
              <w:t xml:space="preserve"> The works we are undertaking to modernise our districts is having a direct benefit to </w:t>
            </w:r>
            <w:r w:rsidR="009E68E6" w:rsidRPr="00DA7C9F">
              <w:t xml:space="preserve">our ability to deliver reliable water supply. </w:t>
            </w:r>
            <w:r w:rsidR="000510CA" w:rsidRPr="00DA7C9F">
              <w:t xml:space="preserve">This investment will not only provide </w:t>
            </w:r>
            <w:r w:rsidR="00173F0D" w:rsidRPr="00DA7C9F">
              <w:t xml:space="preserve">more reliable water, </w:t>
            </w:r>
            <w:r w:rsidR="00095F6F" w:rsidRPr="00DA7C9F">
              <w:t>but it will also</w:t>
            </w:r>
            <w:r w:rsidR="00173F0D" w:rsidRPr="00DA7C9F">
              <w:t xml:space="preserve"> enable us to operate our systems more effi</w:t>
            </w:r>
            <w:r w:rsidR="00186162" w:rsidRPr="00DA7C9F">
              <w:t>ci</w:t>
            </w:r>
            <w:r w:rsidR="00173F0D" w:rsidRPr="00DA7C9F">
              <w:t xml:space="preserve">ently leading to productivity savings documented in </w:t>
            </w:r>
            <w:r w:rsidR="00110034">
              <w:t>Table 14.</w:t>
            </w:r>
          </w:p>
        </w:tc>
      </w:tr>
      <w:tr w:rsidR="00E15185" w:rsidRPr="00192F41" w14:paraId="0455124D" w14:textId="77777777" w:rsidTr="00165EE5">
        <w:trPr>
          <w:trHeight w:val="250"/>
        </w:trPr>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uto"/>
            </w:tcBorders>
          </w:tcPr>
          <w:p w14:paraId="0AE09683" w14:textId="381E1F0D" w:rsidR="009E0970" w:rsidRPr="000B5CEC" w:rsidRDefault="009E0970" w:rsidP="00E04FA4">
            <w:pPr>
              <w:spacing w:before="40" w:after="40"/>
              <w:ind w:right="114"/>
            </w:pPr>
            <w:r w:rsidRPr="000B5CEC">
              <w:t xml:space="preserve">How will </w:t>
            </w:r>
            <w:r w:rsidR="00055D07">
              <w:rPr>
                <w:bCs/>
              </w:rPr>
              <w:t xml:space="preserve">it </w:t>
            </w:r>
            <w:r w:rsidRPr="000B5CEC">
              <w:t>impact prices</w:t>
            </w:r>
            <w:r w:rsidR="00E04FA4">
              <w:rPr>
                <w:bCs/>
              </w:rPr>
              <w:t>?</w:t>
            </w:r>
          </w:p>
        </w:tc>
        <w:tc>
          <w:tcPr>
            <w:tcW w:w="7797" w:type="dxa"/>
            <w:tcBorders>
              <w:bottom w:val="single" w:sz="4" w:space="0" w:color="auto"/>
            </w:tcBorders>
            <w:noWrap/>
          </w:tcPr>
          <w:p w14:paraId="64FACB45" w14:textId="6C6E8A2A" w:rsidR="009E0970" w:rsidRPr="00DA7C9F" w:rsidRDefault="00636897" w:rsidP="00DA3A69">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Given the strong capital focus of this outcome</w:t>
            </w:r>
            <w:r w:rsidR="003939F4" w:rsidRPr="00DA7C9F">
              <w:t xml:space="preserve">, there will be </w:t>
            </w:r>
            <w:r w:rsidR="00E57E38" w:rsidRPr="00DA7C9F">
              <w:t xml:space="preserve">real </w:t>
            </w:r>
            <w:r w:rsidR="003939F4" w:rsidRPr="00DA7C9F">
              <w:t>price increases in the MID</w:t>
            </w:r>
            <w:r w:rsidR="00B64AFE" w:rsidRPr="00DA7C9F">
              <w:t xml:space="preserve"> (1.5% pa)</w:t>
            </w:r>
            <w:r w:rsidR="003939F4" w:rsidRPr="00DA7C9F">
              <w:t xml:space="preserve"> an</w:t>
            </w:r>
            <w:r w:rsidR="004152AD" w:rsidRPr="00DA7C9F">
              <w:t>d</w:t>
            </w:r>
            <w:r w:rsidR="003939F4" w:rsidRPr="00DA7C9F">
              <w:t xml:space="preserve"> WID </w:t>
            </w:r>
            <w:r w:rsidR="00B64AFE" w:rsidRPr="00DA7C9F">
              <w:t xml:space="preserve">(1% pa) </w:t>
            </w:r>
            <w:r w:rsidR="003939F4" w:rsidRPr="00DA7C9F">
              <w:t xml:space="preserve">to </w:t>
            </w:r>
            <w:r w:rsidR="00B64AFE" w:rsidRPr="00DA7C9F">
              <w:t>contribute to</w:t>
            </w:r>
            <w:r w:rsidR="003939F4" w:rsidRPr="00DA7C9F">
              <w:t xml:space="preserve"> past and future investments</w:t>
            </w:r>
            <w:r w:rsidR="004E39A9" w:rsidRPr="00DA7C9F">
              <w:t xml:space="preserve"> </w:t>
            </w:r>
            <w:r w:rsidR="0067329D" w:rsidRPr="00DA7C9F">
              <w:t>The</w:t>
            </w:r>
            <w:r w:rsidR="00E80D36" w:rsidRPr="00DA7C9F">
              <w:t xml:space="preserve"> outcome does not impact </w:t>
            </w:r>
            <w:r w:rsidR="004E39A9" w:rsidRPr="00DA7C9F">
              <w:t>prices</w:t>
            </w:r>
            <w:r w:rsidR="003B3498" w:rsidRPr="00DA7C9F">
              <w:t xml:space="preserve"> in the BMID and groundwater an</w:t>
            </w:r>
            <w:r w:rsidR="004E39A9" w:rsidRPr="00DA7C9F">
              <w:t>d</w:t>
            </w:r>
            <w:r w:rsidR="003B3498" w:rsidRPr="00DA7C9F">
              <w:t xml:space="preserve"> rivers operations where limited capital investment is </w:t>
            </w:r>
            <w:r w:rsidR="004E39A9" w:rsidRPr="00DA7C9F">
              <w:t>planned.</w:t>
            </w:r>
          </w:p>
        </w:tc>
      </w:tr>
    </w:tbl>
    <w:p w14:paraId="00196A8A" w14:textId="3D8D2D46" w:rsidR="009E0970" w:rsidRPr="00192F41" w:rsidRDefault="00FE713E" w:rsidP="00402ADC">
      <w:pPr>
        <w:pStyle w:val="Heading3"/>
        <w:rPr>
          <w:rFonts w:cs="Arial"/>
        </w:rPr>
      </w:pPr>
      <w:r w:rsidRPr="00192F41">
        <w:rPr>
          <w:rFonts w:cs="Arial"/>
        </w:rPr>
        <w:br w:type="page"/>
      </w:r>
      <w:r w:rsidR="009E0970" w:rsidRPr="00192F41">
        <w:rPr>
          <w:rFonts w:cs="Arial"/>
        </w:rPr>
        <w:t>Sustainable water</w:t>
      </w:r>
    </w:p>
    <w:tbl>
      <w:tblPr>
        <w:tblStyle w:val="ReportTable-TealRows"/>
        <w:tblW w:w="9781" w:type="dxa"/>
        <w:tblLook w:val="04A0" w:firstRow="1" w:lastRow="0" w:firstColumn="1" w:lastColumn="0" w:noHBand="0" w:noVBand="1"/>
      </w:tblPr>
      <w:tblGrid>
        <w:gridCol w:w="1843"/>
        <w:gridCol w:w="7938"/>
      </w:tblGrid>
      <w:tr w:rsidR="00AB388A" w:rsidRPr="00192F41" w14:paraId="5F24D225" w14:textId="77777777" w:rsidTr="004A618B">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hideMark/>
          </w:tcPr>
          <w:p w14:paraId="6A18D72B" w14:textId="77777777" w:rsidR="009E0970" w:rsidRPr="00192F41" w:rsidRDefault="009E0970" w:rsidP="00324AC1">
            <w:pPr>
              <w:spacing w:before="40" w:after="40"/>
              <w:ind w:left="38"/>
              <w:rPr>
                <w:rFonts w:eastAsia="Times New Roman" w:cs="Arial"/>
                <w:sz w:val="20"/>
                <w:szCs w:val="20"/>
                <w:lang w:eastAsia="en-AU"/>
              </w:rPr>
            </w:pPr>
            <w:r w:rsidRPr="00192F41">
              <w:rPr>
                <w:rFonts w:eastAsia="Times New Roman" w:cs="Arial"/>
                <w:sz w:val="20"/>
                <w:szCs w:val="20"/>
                <w:lang w:eastAsia="en-AU"/>
              </w:rPr>
              <w:t>Sustainable water</w:t>
            </w:r>
          </w:p>
        </w:tc>
        <w:tc>
          <w:tcPr>
            <w:tcW w:w="7938" w:type="dxa"/>
            <w:noWrap/>
            <w:hideMark/>
          </w:tcPr>
          <w:p w14:paraId="56037ED0" w14:textId="77777777" w:rsidR="009E0970" w:rsidRPr="00192F41" w:rsidRDefault="009E0970" w:rsidP="00324AC1">
            <w:pPr>
              <w:spacing w:before="40" w:after="40"/>
              <w:ind w:left="31"/>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192F41">
              <w:rPr>
                <w:rFonts w:eastAsia="Times New Roman" w:cs="Arial"/>
                <w:sz w:val="20"/>
                <w:szCs w:val="20"/>
                <w:lang w:eastAsia="en-AU"/>
              </w:rPr>
              <w:t>Response</w:t>
            </w:r>
          </w:p>
        </w:tc>
      </w:tr>
      <w:tr w:rsidR="004F4B27" w:rsidRPr="00192F41" w14:paraId="1386DEDD" w14:textId="77777777" w:rsidTr="004A618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229EB474" w14:textId="77777777" w:rsidR="009E0970" w:rsidRPr="00055D07" w:rsidRDefault="009E0970" w:rsidP="00324AC1">
            <w:pPr>
              <w:spacing w:before="40" w:after="40"/>
              <w:ind w:left="38"/>
              <w:rPr>
                <w:rFonts w:eastAsia="Calibri"/>
                <w:szCs w:val="20"/>
              </w:rPr>
            </w:pPr>
            <w:r w:rsidRPr="00055D07">
              <w:rPr>
                <w:rFonts w:eastAsia="Calibri"/>
                <w:szCs w:val="20"/>
              </w:rPr>
              <w:t>What’s the outcome we are seeking?</w:t>
            </w:r>
          </w:p>
        </w:tc>
        <w:tc>
          <w:tcPr>
            <w:tcW w:w="7938" w:type="dxa"/>
            <w:noWrap/>
          </w:tcPr>
          <w:p w14:paraId="3D7D85E8" w14:textId="2E43BD96" w:rsidR="009E0970" w:rsidRPr="00192F41" w:rsidRDefault="00E26011" w:rsidP="00055D07">
            <w:pPr>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A02385">
              <w:rPr>
                <w:rFonts w:eastAsia="Calibri" w:cs="Arial"/>
                <w:color w:val="000000" w:themeColor="text1"/>
                <w:szCs w:val="20"/>
              </w:rPr>
              <w:t>Allocations are managed in a sustainable way for customers, community, and the environment to ensure a secure future</w:t>
            </w:r>
          </w:p>
        </w:tc>
      </w:tr>
      <w:tr w:rsidR="004A3ED7" w:rsidRPr="00192F41" w14:paraId="5F833D73" w14:textId="77777777" w:rsidTr="004A618B">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1DC2CF65" w14:textId="77777777" w:rsidR="004A3ED7" w:rsidRPr="00055D07" w:rsidRDefault="004A3ED7" w:rsidP="00324AC1">
            <w:pPr>
              <w:spacing w:before="40" w:after="40"/>
              <w:ind w:left="38"/>
              <w:rPr>
                <w:rFonts w:eastAsia="Calibri"/>
                <w:szCs w:val="20"/>
              </w:rPr>
            </w:pPr>
            <w:r w:rsidRPr="00055D07">
              <w:rPr>
                <w:rFonts w:eastAsia="Calibri"/>
                <w:szCs w:val="20"/>
              </w:rPr>
              <w:t>What did our customers say?</w:t>
            </w:r>
          </w:p>
        </w:tc>
        <w:tc>
          <w:tcPr>
            <w:tcW w:w="7938" w:type="dxa"/>
            <w:noWrap/>
          </w:tcPr>
          <w:p w14:paraId="559B0F76" w14:textId="77777777" w:rsidR="004A3ED7" w:rsidRPr="00192F41" w:rsidRDefault="004A3ED7" w:rsidP="00055D07">
            <w:pPr>
              <w:spacing w:before="40" w:after="120"/>
              <w:ind w:right="115"/>
              <w:jc w:val="both"/>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Cs w:val="20"/>
              </w:rPr>
            </w:pPr>
            <w:r w:rsidRPr="00192F41">
              <w:rPr>
                <w:rFonts w:eastAsia="Calibri" w:cs="Arial"/>
                <w:color w:val="000000" w:themeColor="text1"/>
                <w:szCs w:val="20"/>
              </w:rPr>
              <w:t>Our customers have told us that access to water is their biggest challenge over the next five years with some expressing concerns about the challenges of drought, climate change and the long-term availability of water. There is going to be the need to balance the economic, social, and environmental values of water in an uncertain future.</w:t>
            </w:r>
          </w:p>
          <w:p w14:paraId="38ACFD6E" w14:textId="56B24C43" w:rsidR="004A3ED7" w:rsidRPr="00192F41" w:rsidRDefault="004A3ED7" w:rsidP="00055D07">
            <w:pPr>
              <w:spacing w:before="40" w:after="40"/>
              <w:ind w:right="115"/>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Calibri" w:cs="Arial"/>
                <w:color w:val="000000" w:themeColor="text1"/>
                <w:szCs w:val="20"/>
              </w:rPr>
              <w:t>One of the key</w:t>
            </w:r>
            <w:r w:rsidR="002F7E08">
              <w:rPr>
                <w:rFonts w:eastAsia="Calibri" w:cs="Arial"/>
                <w:color w:val="000000" w:themeColor="text1"/>
                <w:szCs w:val="20"/>
              </w:rPr>
              <w:t xml:space="preserve"> </w:t>
            </w:r>
            <w:r w:rsidRPr="00192F41">
              <w:rPr>
                <w:rFonts w:eastAsia="Calibri" w:cs="Arial"/>
                <w:color w:val="000000" w:themeColor="text1"/>
                <w:szCs w:val="20"/>
              </w:rPr>
              <w:t>ways we can provide greater certainty is to secure untapped resources for our customers and the environment.</w:t>
            </w:r>
          </w:p>
        </w:tc>
      </w:tr>
      <w:tr w:rsidR="00C93367" w:rsidRPr="00192F41" w14:paraId="4D774572" w14:textId="77777777" w:rsidTr="004A618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vAlign w:val="top"/>
          </w:tcPr>
          <w:p w14:paraId="2938140D" w14:textId="77777777" w:rsidR="00C93367" w:rsidRPr="00055D07" w:rsidRDefault="00C93367" w:rsidP="00324AC1">
            <w:pPr>
              <w:spacing w:before="40" w:after="40"/>
              <w:ind w:left="38"/>
              <w:rPr>
                <w:rFonts w:eastAsia="Calibri"/>
                <w:szCs w:val="20"/>
              </w:rPr>
            </w:pPr>
            <w:r w:rsidRPr="00055D07">
              <w:rPr>
                <w:rFonts w:eastAsia="Calibri"/>
                <w:szCs w:val="20"/>
              </w:rPr>
              <w:t>SRW commitment</w:t>
            </w:r>
          </w:p>
        </w:tc>
        <w:tc>
          <w:tcPr>
            <w:tcW w:w="7938" w:type="dxa"/>
            <w:noWrap/>
            <w:vAlign w:val="top"/>
          </w:tcPr>
          <w:p w14:paraId="6765F510" w14:textId="22221BD6" w:rsidR="00C93367" w:rsidRPr="00192F41" w:rsidRDefault="0059083A" w:rsidP="00055D07">
            <w:pPr>
              <w:spacing w:before="40" w:after="40"/>
              <w:ind w:left="29" w:right="115"/>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 xml:space="preserve">SRW is committed to </w:t>
            </w:r>
            <w:r w:rsidR="000A200E" w:rsidRPr="00192F41">
              <w:rPr>
                <w:rFonts w:eastAsia="Times New Roman" w:cs="Arial"/>
                <w:color w:val="000000" w:themeColor="text1"/>
                <w:szCs w:val="20"/>
                <w:lang w:eastAsia="en-AU"/>
              </w:rPr>
              <w:t xml:space="preserve">effective </w:t>
            </w:r>
            <w:r w:rsidRPr="00192F41">
              <w:rPr>
                <w:rFonts w:eastAsia="Times New Roman" w:cs="Arial"/>
                <w:color w:val="000000" w:themeColor="text1"/>
                <w:szCs w:val="20"/>
                <w:lang w:eastAsia="en-AU"/>
              </w:rPr>
              <w:t>resource management that maximises the water available for consumptive use</w:t>
            </w:r>
            <w:r w:rsidR="000A200E" w:rsidRPr="00192F41">
              <w:rPr>
                <w:rFonts w:eastAsia="Times New Roman" w:cs="Arial"/>
                <w:color w:val="000000" w:themeColor="text1"/>
                <w:szCs w:val="20"/>
                <w:lang w:eastAsia="en-AU"/>
              </w:rPr>
              <w:t>, community</w:t>
            </w:r>
            <w:r w:rsidR="00A55F5D" w:rsidRPr="00192F41">
              <w:rPr>
                <w:rFonts w:eastAsia="Times New Roman" w:cs="Arial"/>
                <w:color w:val="000000" w:themeColor="text1"/>
                <w:szCs w:val="20"/>
                <w:lang w:eastAsia="en-AU"/>
              </w:rPr>
              <w:t>,</w:t>
            </w:r>
            <w:r w:rsidR="000A200E" w:rsidRPr="00192F41">
              <w:rPr>
                <w:rFonts w:eastAsia="Times New Roman" w:cs="Arial"/>
                <w:color w:val="000000" w:themeColor="text1"/>
                <w:szCs w:val="20"/>
                <w:lang w:eastAsia="en-AU"/>
              </w:rPr>
              <w:t xml:space="preserve"> and the environment.</w:t>
            </w:r>
          </w:p>
        </w:tc>
      </w:tr>
      <w:tr w:rsidR="004F4B27" w:rsidRPr="00192F41" w14:paraId="6839A5F6" w14:textId="77777777" w:rsidTr="004A618B">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38208600" w14:textId="6764ACCA" w:rsidR="009E0970" w:rsidRPr="00055D07" w:rsidRDefault="00AB56AB" w:rsidP="00324AC1">
            <w:pPr>
              <w:spacing w:before="40" w:after="40"/>
              <w:ind w:left="38"/>
              <w:rPr>
                <w:rFonts w:eastAsia="Calibri"/>
                <w:szCs w:val="20"/>
              </w:rPr>
            </w:pPr>
            <w:r w:rsidRPr="00055D07">
              <w:rPr>
                <w:rFonts w:eastAsia="Calibri"/>
                <w:szCs w:val="20"/>
              </w:rPr>
              <w:t>How will we measure this?</w:t>
            </w:r>
          </w:p>
        </w:tc>
        <w:tc>
          <w:tcPr>
            <w:tcW w:w="7938" w:type="dxa"/>
            <w:noWrap/>
          </w:tcPr>
          <w:p w14:paraId="52C16CF0" w14:textId="77777777" w:rsidR="009E0970" w:rsidRPr="00192F41" w:rsidRDefault="009E0970" w:rsidP="00055D07">
            <w:pPr>
              <w:spacing w:before="40" w:after="40"/>
              <w:ind w:left="29" w:right="115"/>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Our proposed performance measures and targets focus on:</w:t>
            </w:r>
          </w:p>
          <w:p w14:paraId="617D2334" w14:textId="7668BD75" w:rsidR="009E0970" w:rsidRPr="00A02385" w:rsidRDefault="009E0970" w:rsidP="00055D07">
            <w:pPr>
              <w:pStyle w:val="Bulletpointparagraph"/>
              <w:spacing w:before="40" w:after="40"/>
              <w:ind w:right="115"/>
              <w:jc w:val="both"/>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Investigation of unauthorised use - All</w:t>
            </w:r>
          </w:p>
          <w:p w14:paraId="18BC70F0" w14:textId="1C45ABB5" w:rsidR="009E0970" w:rsidRPr="00A02385" w:rsidRDefault="009E0970" w:rsidP="00055D07">
            <w:pPr>
              <w:pStyle w:val="Bulletpointparagraph"/>
              <w:spacing w:before="40" w:after="40"/>
              <w:ind w:right="115"/>
              <w:jc w:val="both"/>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 xml:space="preserve">Release of additional water entitlements </w:t>
            </w:r>
            <w:r w:rsidR="00295C87" w:rsidRPr="00A02385">
              <w:rPr>
                <w:rFonts w:eastAsia="Calibri" w:cs="Arial"/>
                <w:color w:val="000000" w:themeColor="text1"/>
                <w:szCs w:val="20"/>
              </w:rPr>
              <w:t>–</w:t>
            </w:r>
            <w:r w:rsidRPr="00A02385">
              <w:rPr>
                <w:rFonts w:eastAsia="Calibri" w:cs="Arial"/>
                <w:color w:val="000000" w:themeColor="text1"/>
                <w:szCs w:val="20"/>
              </w:rPr>
              <w:t xml:space="preserve"> MID</w:t>
            </w:r>
            <w:r w:rsidR="00295C87" w:rsidRPr="00A02385">
              <w:rPr>
                <w:rFonts w:eastAsia="Calibri" w:cs="Arial"/>
                <w:color w:val="000000" w:themeColor="text1"/>
                <w:szCs w:val="20"/>
              </w:rPr>
              <w:t>, BMI</w:t>
            </w:r>
            <w:r w:rsidR="005F7DC7" w:rsidRPr="00A02385">
              <w:rPr>
                <w:rFonts w:eastAsia="Calibri" w:cs="Arial"/>
                <w:color w:val="000000" w:themeColor="text1"/>
                <w:szCs w:val="20"/>
              </w:rPr>
              <w:t>D</w:t>
            </w:r>
            <w:r w:rsidR="00295C87" w:rsidRPr="00A02385">
              <w:rPr>
                <w:rFonts w:eastAsia="Calibri" w:cs="Arial"/>
                <w:color w:val="000000" w:themeColor="text1"/>
                <w:szCs w:val="20"/>
              </w:rPr>
              <w:t xml:space="preserve"> &amp; WID</w:t>
            </w:r>
          </w:p>
          <w:p w14:paraId="10456202" w14:textId="37D90EEE" w:rsidR="009E0970" w:rsidRPr="00A02385" w:rsidRDefault="009E0970" w:rsidP="00055D07">
            <w:pPr>
              <w:pStyle w:val="Bulletpointparagraph"/>
              <w:spacing w:before="40" w:after="40"/>
              <w:ind w:right="115"/>
              <w:jc w:val="both"/>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 xml:space="preserve">Delivery efficiency </w:t>
            </w:r>
            <w:r w:rsidR="005F7DC7" w:rsidRPr="00A02385">
              <w:rPr>
                <w:rFonts w:eastAsia="Calibri" w:cs="Arial"/>
                <w:color w:val="000000" w:themeColor="text1"/>
                <w:szCs w:val="20"/>
              </w:rPr>
              <w:t>–</w:t>
            </w:r>
            <w:r w:rsidRPr="00A02385">
              <w:rPr>
                <w:rFonts w:eastAsia="Calibri" w:cs="Arial"/>
                <w:color w:val="000000" w:themeColor="text1"/>
                <w:szCs w:val="20"/>
              </w:rPr>
              <w:t xml:space="preserve"> MID</w:t>
            </w:r>
            <w:r w:rsidR="005F7DC7" w:rsidRPr="00A02385">
              <w:rPr>
                <w:rFonts w:eastAsia="Calibri" w:cs="Arial"/>
                <w:color w:val="000000" w:themeColor="text1"/>
                <w:szCs w:val="20"/>
              </w:rPr>
              <w:t>, BMID &amp; WID</w:t>
            </w:r>
          </w:p>
          <w:p w14:paraId="49A83EFC" w14:textId="69C6A43E" w:rsidR="009C0922" w:rsidRPr="00A02385" w:rsidRDefault="009E0970" w:rsidP="00055D07">
            <w:pPr>
              <w:pStyle w:val="Bulletpointparagraph"/>
              <w:spacing w:before="40" w:after="120"/>
              <w:ind w:right="115"/>
              <w:jc w:val="both"/>
              <w:cnfStyle w:val="000000000000" w:firstRow="0" w:lastRow="0" w:firstColumn="0" w:lastColumn="0" w:oddVBand="0" w:evenVBand="0" w:oddHBand="0"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 xml:space="preserve">Environmental flows delivered – </w:t>
            </w:r>
            <w:r w:rsidR="00477217" w:rsidRPr="00A02385">
              <w:rPr>
                <w:rFonts w:eastAsia="Calibri" w:cs="Arial"/>
                <w:color w:val="000000" w:themeColor="text1"/>
                <w:szCs w:val="20"/>
              </w:rPr>
              <w:t>BE</w:t>
            </w:r>
            <w:r w:rsidRPr="00A02385">
              <w:rPr>
                <w:rFonts w:eastAsia="Calibri" w:cs="Arial"/>
                <w:color w:val="000000" w:themeColor="text1"/>
                <w:szCs w:val="20"/>
              </w:rPr>
              <w:t>s</w:t>
            </w:r>
          </w:p>
          <w:p w14:paraId="291365EB" w14:textId="41A83321" w:rsidR="009E0970" w:rsidRPr="00192F41" w:rsidRDefault="009E0970" w:rsidP="00055D07">
            <w:pPr>
              <w:spacing w:before="40" w:after="40"/>
              <w:ind w:left="29" w:right="115"/>
              <w:jc w:val="both"/>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 xml:space="preserve">Further details on the measures and targets are provided in Appendix </w:t>
            </w:r>
            <w:r w:rsidR="00683E43">
              <w:rPr>
                <w:rFonts w:eastAsia="Times New Roman" w:cs="Arial"/>
                <w:color w:val="000000" w:themeColor="text1"/>
                <w:szCs w:val="20"/>
                <w:lang w:eastAsia="en-AU"/>
              </w:rPr>
              <w:t>C</w:t>
            </w:r>
            <w:r w:rsidRPr="00192F41">
              <w:rPr>
                <w:rFonts w:eastAsia="Times New Roman" w:cs="Arial"/>
                <w:color w:val="000000" w:themeColor="text1"/>
                <w:szCs w:val="20"/>
                <w:lang w:eastAsia="en-AU"/>
              </w:rPr>
              <w:t>.</w:t>
            </w:r>
          </w:p>
        </w:tc>
      </w:tr>
      <w:tr w:rsidR="004F4B27" w:rsidRPr="00192F41" w14:paraId="643FB58E" w14:textId="77777777" w:rsidTr="004A618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5D8FE144" w14:textId="77777777" w:rsidR="009E0970" w:rsidRPr="00055D07" w:rsidRDefault="009E0970" w:rsidP="00324AC1">
            <w:pPr>
              <w:spacing w:before="40" w:after="40"/>
              <w:ind w:left="38"/>
              <w:rPr>
                <w:rFonts w:eastAsia="Calibri"/>
                <w:szCs w:val="20"/>
              </w:rPr>
            </w:pPr>
            <w:r w:rsidRPr="00055D07">
              <w:rPr>
                <w:rFonts w:eastAsia="Calibri"/>
                <w:szCs w:val="20"/>
              </w:rPr>
              <w:t>What will we do to achieve it?</w:t>
            </w:r>
          </w:p>
        </w:tc>
        <w:tc>
          <w:tcPr>
            <w:tcW w:w="7938" w:type="dxa"/>
            <w:noWrap/>
          </w:tcPr>
          <w:p w14:paraId="73C1E549" w14:textId="77777777" w:rsidR="009E0970" w:rsidRPr="00192F41" w:rsidRDefault="009E0970" w:rsidP="00055D07">
            <w:pPr>
              <w:shd w:val="clear" w:color="auto" w:fill="FAF9F8"/>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lang w:eastAsia="en-AU"/>
              </w:rPr>
            </w:pPr>
            <w:r w:rsidRPr="00192F41">
              <w:rPr>
                <w:rFonts w:eastAsia="Times New Roman" w:cs="Arial"/>
                <w:color w:val="000000" w:themeColor="text1"/>
                <w:szCs w:val="20"/>
                <w:lang w:eastAsia="en-AU"/>
              </w:rPr>
              <w:t>We can do this by:</w:t>
            </w:r>
          </w:p>
          <w:p w14:paraId="70861DD3"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Optimising water savings from modernisation and offering them to the market</w:t>
            </w:r>
          </w:p>
          <w:p w14:paraId="64330EAD"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Promoting access to available ground and surface water opportunities</w:t>
            </w:r>
          </w:p>
          <w:p w14:paraId="15C6F9C3"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Exploring opportunities to access recycled water</w:t>
            </w:r>
          </w:p>
          <w:p w14:paraId="0D686B6F"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Exploring opportunities to establish new markets/districts</w:t>
            </w:r>
          </w:p>
          <w:p w14:paraId="79EE40A3"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Promoting trade and alternative uses of water</w:t>
            </w:r>
          </w:p>
          <w:p w14:paraId="45F6E82C" w14:textId="77777777" w:rsidR="009E0970" w:rsidRPr="00A02385" w:rsidRDefault="009E0970"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Adapting to the impacts of climate change on future resources</w:t>
            </w:r>
          </w:p>
          <w:p w14:paraId="443299B6" w14:textId="5F10FB67" w:rsidR="009E0970" w:rsidRPr="00A02385" w:rsidRDefault="00F33EBD" w:rsidP="00055D07">
            <w:pPr>
              <w:pStyle w:val="Bulletpointparagraph"/>
              <w:spacing w:before="40" w:after="40"/>
              <w:ind w:right="115"/>
              <w:jc w:val="both"/>
              <w:cnfStyle w:val="000000100000" w:firstRow="0" w:lastRow="0" w:firstColumn="0" w:lastColumn="0" w:oddVBand="0" w:evenVBand="0" w:oddHBand="1" w:evenHBand="0" w:firstRowFirstColumn="0" w:firstRowLastColumn="0" w:lastRowFirstColumn="0" w:lastRowLastColumn="0"/>
              <w:rPr>
                <w:rFonts w:eastAsia="Calibri" w:cs="Arial"/>
                <w:color w:val="000000" w:themeColor="text1"/>
                <w:szCs w:val="20"/>
              </w:rPr>
            </w:pPr>
            <w:r w:rsidRPr="00A02385">
              <w:rPr>
                <w:rFonts w:eastAsia="Calibri" w:cs="Arial"/>
                <w:color w:val="000000" w:themeColor="text1"/>
                <w:szCs w:val="20"/>
              </w:rPr>
              <w:t>Consider holding some of the water savings in a resilience pool.</w:t>
            </w:r>
            <w:r w:rsidR="00527A9E" w:rsidRPr="00A02385">
              <w:rPr>
                <w:rFonts w:eastAsia="Calibri" w:cs="Arial"/>
                <w:color w:val="000000" w:themeColor="text1"/>
                <w:szCs w:val="20"/>
              </w:rPr>
              <w:t xml:space="preserve"> </w:t>
            </w:r>
          </w:p>
        </w:tc>
      </w:tr>
      <w:tr w:rsidR="004F4B27" w:rsidRPr="00192F41" w14:paraId="4D1CAE15" w14:textId="77777777" w:rsidTr="006408E4">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7B24EBA3" w14:textId="77777777" w:rsidR="009E0970" w:rsidRPr="00055D07" w:rsidRDefault="009E0970" w:rsidP="00324AC1">
            <w:pPr>
              <w:spacing w:before="40" w:after="40"/>
            </w:pPr>
            <w:r w:rsidRPr="00055D07">
              <w:t>How does it come together to deliver a result?</w:t>
            </w:r>
          </w:p>
        </w:tc>
        <w:tc>
          <w:tcPr>
            <w:tcW w:w="7938" w:type="dxa"/>
            <w:noWrap/>
            <w:vAlign w:val="top"/>
          </w:tcPr>
          <w:p w14:paraId="5270D15D" w14:textId="30481D41" w:rsidR="009E0970" w:rsidRPr="00A02385" w:rsidRDefault="00BA05C7" w:rsidP="00055D07">
            <w:pPr>
              <w:spacing w:before="40" w:after="40"/>
              <w:ind w:right="115"/>
              <w:jc w:val="both"/>
              <w:cnfStyle w:val="000000000000" w:firstRow="0" w:lastRow="0" w:firstColumn="0" w:lastColumn="0" w:oddVBand="0" w:evenVBand="0" w:oddHBand="0" w:evenHBand="0" w:firstRowFirstColumn="0" w:firstRowLastColumn="0" w:lastRowFirstColumn="0" w:lastRowLastColumn="0"/>
            </w:pPr>
            <w:r>
              <w:t>This outcome is very much about our decision</w:t>
            </w:r>
            <w:r w:rsidR="00073947">
              <w:t>-</w:t>
            </w:r>
            <w:r>
              <w:t>making proc</w:t>
            </w:r>
            <w:r w:rsidR="008C3D83">
              <w:t>esses. It is about being insightful</w:t>
            </w:r>
            <w:r w:rsidR="00573062">
              <w:t xml:space="preserve"> and having the right policies and procedures in place to manage water in a sust</w:t>
            </w:r>
            <w:r w:rsidR="004A083F">
              <w:t>a</w:t>
            </w:r>
            <w:r w:rsidR="00573062">
              <w:t>in</w:t>
            </w:r>
            <w:r w:rsidR="004A083F">
              <w:t>a</w:t>
            </w:r>
            <w:r w:rsidR="00573062">
              <w:t>ble way, be it for economic, envir</w:t>
            </w:r>
            <w:r w:rsidR="004A083F">
              <w:t>onmental</w:t>
            </w:r>
            <w:r w:rsidR="007556D8">
              <w:t>, cultural</w:t>
            </w:r>
            <w:r w:rsidR="00A55F5D">
              <w:t>,</w:t>
            </w:r>
            <w:r w:rsidR="00573062">
              <w:t xml:space="preserve"> or social purposes.</w:t>
            </w:r>
            <w:r w:rsidR="0049442C">
              <w:t xml:space="preserve"> Our performance measure</w:t>
            </w:r>
            <w:r w:rsidR="00B348D3">
              <w:t>s</w:t>
            </w:r>
            <w:r w:rsidR="0049442C">
              <w:t xml:space="preserve"> are designed specifically to gauge our success in deliveri</w:t>
            </w:r>
            <w:r w:rsidR="00967ACD">
              <w:t>n</w:t>
            </w:r>
            <w:r w:rsidR="0049442C">
              <w:t>g on these outcomes</w:t>
            </w:r>
            <w:r w:rsidR="00967ACD">
              <w:t xml:space="preserve">, more precisely </w:t>
            </w:r>
            <w:r w:rsidR="000E25DC">
              <w:t>are</w:t>
            </w:r>
            <w:r w:rsidR="00967ACD">
              <w:t xml:space="preserve"> we on t</w:t>
            </w:r>
            <w:r w:rsidR="00E662FC">
              <w:t xml:space="preserve">op of compliance issues, </w:t>
            </w:r>
            <w:r w:rsidR="000E25DC">
              <w:t>have</w:t>
            </w:r>
            <w:r w:rsidR="00E662FC">
              <w:t xml:space="preserve"> we deli</w:t>
            </w:r>
            <w:r w:rsidR="000E25DC">
              <w:t>v</w:t>
            </w:r>
            <w:r w:rsidR="00E662FC">
              <w:t>er</w:t>
            </w:r>
            <w:r w:rsidR="000E25DC">
              <w:t>ed</w:t>
            </w:r>
            <w:r w:rsidR="00E662FC">
              <w:t xml:space="preserve"> water in accordance with our obligations to the environment</w:t>
            </w:r>
            <w:r w:rsidR="008B6DEC">
              <w:t xml:space="preserve"> and </w:t>
            </w:r>
            <w:r w:rsidR="00E662FC">
              <w:t>were we efficient</w:t>
            </w:r>
            <w:r w:rsidR="00073947">
              <w:t>.</w:t>
            </w:r>
          </w:p>
        </w:tc>
      </w:tr>
      <w:tr w:rsidR="004F4B27" w:rsidRPr="00192F41" w14:paraId="544E159C" w14:textId="77777777" w:rsidTr="006408E4">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604F388A" w14:textId="5DA1685F" w:rsidR="009E0970" w:rsidRPr="00055D07" w:rsidRDefault="009E0970" w:rsidP="00324AC1">
            <w:pPr>
              <w:spacing w:before="40" w:after="40"/>
            </w:pPr>
            <w:r w:rsidRPr="00055D07">
              <w:t>How much will it cost/save?</w:t>
            </w:r>
          </w:p>
        </w:tc>
        <w:tc>
          <w:tcPr>
            <w:tcW w:w="7938" w:type="dxa"/>
            <w:noWrap/>
            <w:vAlign w:val="top"/>
          </w:tcPr>
          <w:p w14:paraId="3235B3E8" w14:textId="49160505" w:rsidR="007C3245" w:rsidRPr="00A02385" w:rsidRDefault="008B6DEC" w:rsidP="00071DD2">
            <w:pPr>
              <w:spacing w:before="40" w:after="120"/>
              <w:ind w:right="115"/>
              <w:jc w:val="both"/>
              <w:cnfStyle w:val="000000100000" w:firstRow="0" w:lastRow="0" w:firstColumn="0" w:lastColumn="0" w:oddVBand="0" w:evenVBand="0" w:oddHBand="1" w:evenHBand="0" w:firstRowFirstColumn="0" w:firstRowLastColumn="0" w:lastRowFirstColumn="0" w:lastRowLastColumn="0"/>
            </w:pPr>
            <w:r w:rsidRPr="00733A6A">
              <w:t xml:space="preserve">The costs of delivering this outcome are primarily reflected in our operational budget where we are committed to drive 1% </w:t>
            </w:r>
            <w:r w:rsidR="00173F0D" w:rsidRPr="00733A6A">
              <w:t xml:space="preserve">productivity savings </w:t>
            </w:r>
            <w:r w:rsidRPr="00733A6A">
              <w:t>while still delivering on this outcome.</w:t>
            </w:r>
            <w:r w:rsidR="00173F0D" w:rsidRPr="00733A6A">
              <w:t xml:space="preserve"> </w:t>
            </w:r>
            <w:r w:rsidR="002320DF" w:rsidRPr="00733A6A">
              <w:t>The modernisation projects in our irrigation districts have already seen considerable increases in water delivery efficiency.</w:t>
            </w:r>
            <w:r w:rsidR="00B64AFE" w:rsidRPr="00733A6A">
              <w:t xml:space="preserve"> </w:t>
            </w:r>
            <w:r w:rsidR="00733A6A" w:rsidRPr="00733A6A">
              <w:t xml:space="preserve">These savings can in turn be audited, validated and offered to customers through our water sales. </w:t>
            </w:r>
          </w:p>
          <w:p w14:paraId="5A38E8F6" w14:textId="77DC250E" w:rsidR="00A318B5" w:rsidRPr="0053485C" w:rsidRDefault="00A318B5" w:rsidP="00E04FA4">
            <w:pPr>
              <w:spacing w:before="40" w:after="40"/>
              <w:ind w:right="115"/>
              <w:jc w:val="both"/>
              <w:cnfStyle w:val="000000100000" w:firstRow="0" w:lastRow="0" w:firstColumn="0" w:lastColumn="0" w:oddVBand="0" w:evenVBand="0" w:oddHBand="1" w:evenHBand="0" w:firstRowFirstColumn="0" w:firstRowLastColumn="0" w:lastRowFirstColumn="0" w:lastRowLastColumn="0"/>
              <w:rPr>
                <w:b/>
                <w:bCs/>
              </w:rPr>
            </w:pPr>
            <w:r w:rsidRPr="00687E53">
              <w:rPr>
                <w:rFonts w:eastAsia="Times New Roman" w:cs="Arial"/>
                <w:szCs w:val="20"/>
                <w:lang w:eastAsia="en-AU"/>
              </w:rPr>
              <w:t xml:space="preserve">The introduction of taggle meters across our groundwater and rivers customer base is enabling a much more rigorous review of </w:t>
            </w:r>
            <w:r w:rsidR="000B1AE1" w:rsidRPr="00687E53">
              <w:rPr>
                <w:rFonts w:eastAsia="Times New Roman" w:cs="Arial"/>
                <w:szCs w:val="20"/>
                <w:lang w:eastAsia="en-AU"/>
              </w:rPr>
              <w:t xml:space="preserve">water usage and subsequent compliance. This is also reducing the number of meter reads </w:t>
            </w:r>
            <w:r w:rsidR="00733A6A" w:rsidRPr="00D11973">
              <w:rPr>
                <w:rFonts w:eastAsia="Times New Roman" w:cs="Arial"/>
                <w:szCs w:val="20"/>
                <w:lang w:eastAsia="en-AU"/>
              </w:rPr>
              <w:t xml:space="preserve">per year leading to </w:t>
            </w:r>
            <w:r w:rsidR="00340E36" w:rsidRPr="00D11973">
              <w:rPr>
                <w:rFonts w:eastAsia="Times New Roman" w:cs="Arial"/>
                <w:szCs w:val="20"/>
                <w:lang w:eastAsia="en-AU"/>
              </w:rPr>
              <w:t xml:space="preserve">productivity savings </w:t>
            </w:r>
            <w:r w:rsidR="000B1AE1" w:rsidRPr="00687E53">
              <w:rPr>
                <w:rFonts w:eastAsia="Times New Roman" w:cs="Arial"/>
                <w:szCs w:val="20"/>
                <w:lang w:eastAsia="en-AU"/>
              </w:rPr>
              <w:t xml:space="preserve">as detailed in </w:t>
            </w:r>
            <w:r w:rsidR="003B4F08">
              <w:rPr>
                <w:rFonts w:eastAsia="Times New Roman" w:cs="Arial"/>
                <w:szCs w:val="20"/>
                <w:lang w:eastAsia="en-AU"/>
              </w:rPr>
              <w:t>Table 14.</w:t>
            </w:r>
          </w:p>
        </w:tc>
      </w:tr>
      <w:tr w:rsidR="004F4B27" w:rsidRPr="00192F41" w14:paraId="19E54C44" w14:textId="77777777" w:rsidTr="006408E4">
        <w:trPr>
          <w:trHeight w:val="250"/>
        </w:trPr>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auto"/>
            </w:tcBorders>
          </w:tcPr>
          <w:p w14:paraId="529FDF42" w14:textId="77777777" w:rsidR="009E0970" w:rsidRPr="00055D07" w:rsidRDefault="009E0970" w:rsidP="00324AC1">
            <w:pPr>
              <w:spacing w:before="40" w:after="40"/>
            </w:pPr>
            <w:r w:rsidRPr="00055D07">
              <w:t>How will impact prices</w:t>
            </w:r>
          </w:p>
        </w:tc>
        <w:tc>
          <w:tcPr>
            <w:tcW w:w="7938" w:type="dxa"/>
            <w:tcBorders>
              <w:bottom w:val="single" w:sz="4" w:space="0" w:color="auto"/>
            </w:tcBorders>
            <w:noWrap/>
            <w:vAlign w:val="top"/>
          </w:tcPr>
          <w:p w14:paraId="5A44BBCB" w14:textId="7F8826C5" w:rsidR="009E0970" w:rsidRPr="00A02385" w:rsidRDefault="00E6186D" w:rsidP="00055D07">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11973">
              <w:t>This outcome does not have a discernible impact on prices</w:t>
            </w:r>
            <w:r w:rsidR="00317021" w:rsidRPr="00D11973">
              <w:t>, although</w:t>
            </w:r>
            <w:r w:rsidR="00AA144A" w:rsidRPr="00D11973">
              <w:t xml:space="preserve"> the selling of additional water shares and entitlements </w:t>
            </w:r>
            <w:r w:rsidR="00340E36" w:rsidRPr="00D11973">
              <w:t xml:space="preserve">is supporting the customer contribution to </w:t>
            </w:r>
            <w:r w:rsidR="00E57E38" w:rsidRPr="00D11973">
              <w:t>fund modernisation and minimising annual real price increase to 1.5% pa in MID</w:t>
            </w:r>
            <w:r w:rsidR="00AA144A" w:rsidRPr="00D11973">
              <w:t>.</w:t>
            </w:r>
          </w:p>
        </w:tc>
      </w:tr>
    </w:tbl>
    <w:p w14:paraId="357A3BB4" w14:textId="77777777" w:rsidR="009E0970" w:rsidRPr="00192F41" w:rsidRDefault="009E0970" w:rsidP="009E0970">
      <w:pPr>
        <w:pStyle w:val="Heading3"/>
        <w:rPr>
          <w:rFonts w:cs="Arial"/>
        </w:rPr>
      </w:pPr>
      <w:r w:rsidRPr="00192F41">
        <w:rPr>
          <w:rFonts w:cs="Arial"/>
        </w:rPr>
        <w:t>Great service</w:t>
      </w:r>
    </w:p>
    <w:tbl>
      <w:tblPr>
        <w:tblStyle w:val="ReportTable-TealRows"/>
        <w:tblW w:w="9781" w:type="dxa"/>
        <w:tblLook w:val="04A0" w:firstRow="1" w:lastRow="0" w:firstColumn="1" w:lastColumn="0" w:noHBand="0" w:noVBand="1"/>
      </w:tblPr>
      <w:tblGrid>
        <w:gridCol w:w="1843"/>
        <w:gridCol w:w="7938"/>
      </w:tblGrid>
      <w:tr w:rsidR="00AB388A" w:rsidRPr="00931D7E" w14:paraId="46847826" w14:textId="77777777" w:rsidTr="5C54383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hideMark/>
          </w:tcPr>
          <w:p w14:paraId="2D513B6A" w14:textId="77777777" w:rsidR="009E0970" w:rsidRPr="00931D7E" w:rsidRDefault="009E0970" w:rsidP="00324AC1">
            <w:pPr>
              <w:spacing w:before="40" w:after="40"/>
              <w:rPr>
                <w:sz w:val="20"/>
                <w:szCs w:val="20"/>
              </w:rPr>
            </w:pPr>
            <w:r w:rsidRPr="00931D7E">
              <w:rPr>
                <w:sz w:val="20"/>
                <w:szCs w:val="20"/>
              </w:rPr>
              <w:t>Great service</w:t>
            </w:r>
          </w:p>
        </w:tc>
        <w:tc>
          <w:tcPr>
            <w:tcW w:w="7938" w:type="dxa"/>
            <w:noWrap/>
            <w:hideMark/>
          </w:tcPr>
          <w:p w14:paraId="20610EE0" w14:textId="77777777" w:rsidR="009E0970" w:rsidRPr="00931D7E" w:rsidRDefault="009E0970" w:rsidP="00324AC1">
            <w:pPr>
              <w:spacing w:before="40" w:after="40"/>
              <w:cnfStyle w:val="100000000000" w:firstRow="1" w:lastRow="0" w:firstColumn="0" w:lastColumn="0" w:oddVBand="0" w:evenVBand="0" w:oddHBand="0" w:evenHBand="0" w:firstRowFirstColumn="0" w:firstRowLastColumn="0" w:lastRowFirstColumn="0" w:lastRowLastColumn="0"/>
              <w:rPr>
                <w:sz w:val="20"/>
                <w:szCs w:val="20"/>
              </w:rPr>
            </w:pPr>
            <w:r w:rsidRPr="00931D7E">
              <w:rPr>
                <w:sz w:val="20"/>
                <w:szCs w:val="20"/>
              </w:rPr>
              <w:t>Response</w:t>
            </w:r>
          </w:p>
        </w:tc>
      </w:tr>
      <w:tr w:rsidR="00232994" w:rsidRPr="00192F41" w14:paraId="40F9D124" w14:textId="77777777" w:rsidTr="5C54383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63021C4D" w14:textId="77777777" w:rsidR="009E0970" w:rsidRPr="00931D7E" w:rsidRDefault="009E0970" w:rsidP="00324AC1">
            <w:pPr>
              <w:spacing w:before="40" w:after="40"/>
            </w:pPr>
            <w:r w:rsidRPr="00931D7E">
              <w:t>What’s the outcome we are seeking?</w:t>
            </w:r>
          </w:p>
        </w:tc>
        <w:tc>
          <w:tcPr>
            <w:tcW w:w="7938" w:type="dxa"/>
            <w:noWrap/>
          </w:tcPr>
          <w:p w14:paraId="63048F49" w14:textId="34A38653" w:rsidR="009E0970" w:rsidRPr="00A02385" w:rsidRDefault="009D2490"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A02385">
              <w:t>Customers have access to great service.</w:t>
            </w:r>
          </w:p>
        </w:tc>
      </w:tr>
      <w:tr w:rsidR="004A3ED7" w:rsidRPr="00192F41" w14:paraId="2BC9D01F" w14:textId="77777777" w:rsidTr="5C54383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2EE0245D" w14:textId="77777777" w:rsidR="004A3ED7" w:rsidRPr="00931D7E" w:rsidRDefault="004A3ED7" w:rsidP="00324AC1">
            <w:pPr>
              <w:spacing w:before="40" w:after="40"/>
            </w:pPr>
            <w:bookmarkStart w:id="53" w:name="_Hlk107498626"/>
            <w:r w:rsidRPr="00931D7E">
              <w:t>What did our customers say?</w:t>
            </w:r>
          </w:p>
        </w:tc>
        <w:tc>
          <w:tcPr>
            <w:tcW w:w="7938" w:type="dxa"/>
            <w:noWrap/>
          </w:tcPr>
          <w:p w14:paraId="67DFD23C" w14:textId="77777777" w:rsidR="004A3ED7" w:rsidRPr="00A02385" w:rsidRDefault="004A3ED7" w:rsidP="00931D7E">
            <w:pPr>
              <w:spacing w:before="40" w:after="120"/>
              <w:ind w:right="115"/>
              <w:jc w:val="both"/>
              <w:cnfStyle w:val="000000000000" w:firstRow="0" w:lastRow="0" w:firstColumn="0" w:lastColumn="0" w:oddVBand="0" w:evenVBand="0" w:oddHBand="0" w:evenHBand="0" w:firstRowFirstColumn="0" w:firstRowLastColumn="0" w:lastRowFirstColumn="0" w:lastRowLastColumn="0"/>
            </w:pPr>
            <w:r w:rsidRPr="00A02385">
              <w:t>Our customers have told us of the desire for SRW to be an efficient and cost-effective organisation. They have asked us to focus on our core purpose and to maintain existing standards of service.</w:t>
            </w:r>
          </w:p>
          <w:p w14:paraId="10912875" w14:textId="77777777" w:rsidR="004A3ED7" w:rsidRPr="00A02385" w:rsidRDefault="004A3ED7"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A02385">
              <w:t xml:space="preserve">To provide great service, it is critical that we aim for optimum efficiency, where our people are supported with the right systems, processes, and technology to deliver great service to our customers. </w:t>
            </w:r>
          </w:p>
        </w:tc>
      </w:tr>
      <w:tr w:rsidR="00D75EC6" w:rsidRPr="00192F41" w14:paraId="120D1A4B" w14:textId="77777777" w:rsidTr="5C54383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44F871EE" w14:textId="0EC03DE6" w:rsidR="00D75EC6" w:rsidRPr="00931D7E" w:rsidRDefault="00C93367" w:rsidP="00324AC1">
            <w:pPr>
              <w:spacing w:before="40" w:after="40"/>
            </w:pPr>
            <w:r w:rsidRPr="00931D7E">
              <w:t>SRW commitment</w:t>
            </w:r>
          </w:p>
        </w:tc>
        <w:tc>
          <w:tcPr>
            <w:tcW w:w="7938" w:type="dxa"/>
            <w:noWrap/>
          </w:tcPr>
          <w:p w14:paraId="0A37999F" w14:textId="0C40BCCB" w:rsidR="00D75EC6" w:rsidRPr="00A02385" w:rsidRDefault="00D75EC6"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A02385">
              <w:t>SRW is committed to providing professional and prompt service to our diverse customers in their preferred manner.</w:t>
            </w:r>
          </w:p>
        </w:tc>
      </w:tr>
      <w:bookmarkEnd w:id="53"/>
      <w:tr w:rsidR="00232994" w:rsidRPr="00192F41" w14:paraId="532705E8" w14:textId="77777777" w:rsidTr="5C54383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4AD921F4" w14:textId="277144ED" w:rsidR="009E0970" w:rsidRPr="00931D7E" w:rsidRDefault="00AB56AB" w:rsidP="00324AC1">
            <w:pPr>
              <w:spacing w:before="40" w:after="40"/>
            </w:pPr>
            <w:r w:rsidRPr="00931D7E">
              <w:t>How will we measure this?</w:t>
            </w:r>
          </w:p>
        </w:tc>
        <w:tc>
          <w:tcPr>
            <w:tcW w:w="7938" w:type="dxa"/>
            <w:noWrap/>
          </w:tcPr>
          <w:p w14:paraId="06F8593F" w14:textId="77777777" w:rsidR="009E0970" w:rsidRPr="00A02385" w:rsidRDefault="009E0970"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A02385">
              <w:t>Our proposed performance measures and targets focus on:</w:t>
            </w:r>
          </w:p>
          <w:p w14:paraId="76C60438" w14:textId="77777777" w:rsidR="009E0970" w:rsidRPr="0099460A"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rPr>
                <w:lang w:eastAsia="en-AU"/>
              </w:rPr>
            </w:pPr>
            <w:r w:rsidRPr="0099460A">
              <w:rPr>
                <w:lang w:eastAsia="en-AU"/>
              </w:rPr>
              <w:t>Customer complaints - All</w:t>
            </w:r>
          </w:p>
          <w:p w14:paraId="0C437A8D" w14:textId="77777777" w:rsidR="009E0970" w:rsidRPr="0099460A"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rPr>
                <w:lang w:eastAsia="en-AU"/>
              </w:rPr>
            </w:pPr>
            <w:r w:rsidRPr="0099460A">
              <w:rPr>
                <w:lang w:eastAsia="en-AU"/>
              </w:rPr>
              <w:t>Complaints managed quickly - All</w:t>
            </w:r>
          </w:p>
          <w:p w14:paraId="72052912" w14:textId="77777777" w:rsidR="009E0970" w:rsidRPr="0099460A"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rPr>
                <w:lang w:eastAsia="en-AU"/>
              </w:rPr>
            </w:pPr>
            <w:r w:rsidRPr="0099460A">
              <w:rPr>
                <w:lang w:eastAsia="en-AU"/>
              </w:rPr>
              <w:t>Applications completed within set timeframes – G&amp;R</w:t>
            </w:r>
          </w:p>
          <w:p w14:paraId="4B058755" w14:textId="7788B159" w:rsidR="009E0970" w:rsidRPr="0099460A"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rPr>
                <w:lang w:eastAsia="en-AU"/>
              </w:rPr>
            </w:pPr>
            <w:r w:rsidRPr="0099460A">
              <w:rPr>
                <w:lang w:eastAsia="en-AU"/>
              </w:rPr>
              <w:t>Drain</w:t>
            </w:r>
            <w:r w:rsidR="003C0D0D" w:rsidRPr="0099460A">
              <w:rPr>
                <w:lang w:eastAsia="en-AU"/>
              </w:rPr>
              <w:t>age management</w:t>
            </w:r>
            <w:r w:rsidRPr="0099460A">
              <w:rPr>
                <w:lang w:eastAsia="en-AU"/>
              </w:rPr>
              <w:t xml:space="preserve"> </w:t>
            </w:r>
            <w:r w:rsidR="003C0D0D" w:rsidRPr="0099460A">
              <w:rPr>
                <w:lang w:eastAsia="en-AU"/>
              </w:rPr>
              <w:t>–</w:t>
            </w:r>
            <w:r w:rsidRPr="0099460A">
              <w:rPr>
                <w:lang w:eastAsia="en-AU"/>
              </w:rPr>
              <w:t xml:space="preserve"> MID</w:t>
            </w:r>
            <w:r w:rsidR="003C0D0D" w:rsidRPr="0099460A">
              <w:rPr>
                <w:lang w:eastAsia="en-AU"/>
              </w:rPr>
              <w:t xml:space="preserve"> &amp; WID</w:t>
            </w:r>
          </w:p>
          <w:p w14:paraId="2E25A205" w14:textId="2D06F817" w:rsidR="009E0970" w:rsidRPr="0099460A"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rPr>
                <w:lang w:eastAsia="en-AU"/>
              </w:rPr>
            </w:pPr>
            <w:r w:rsidRPr="0099460A">
              <w:rPr>
                <w:lang w:eastAsia="en-AU"/>
              </w:rPr>
              <w:t>Drain</w:t>
            </w:r>
            <w:r w:rsidR="003C0D0D" w:rsidRPr="0099460A">
              <w:rPr>
                <w:lang w:eastAsia="en-AU"/>
              </w:rPr>
              <w:t xml:space="preserve"> maintenance</w:t>
            </w:r>
            <w:r w:rsidRPr="0099460A">
              <w:rPr>
                <w:lang w:eastAsia="en-AU"/>
              </w:rPr>
              <w:t xml:space="preserve"> </w:t>
            </w:r>
            <w:r w:rsidR="003C0D0D" w:rsidRPr="0099460A">
              <w:rPr>
                <w:lang w:eastAsia="en-AU"/>
              </w:rPr>
              <w:t>–</w:t>
            </w:r>
            <w:r w:rsidRPr="0099460A">
              <w:rPr>
                <w:lang w:eastAsia="en-AU"/>
              </w:rPr>
              <w:t xml:space="preserve"> </w:t>
            </w:r>
            <w:r w:rsidR="003C0D0D" w:rsidRPr="0099460A">
              <w:rPr>
                <w:lang w:eastAsia="en-AU"/>
              </w:rPr>
              <w:t xml:space="preserve">MID &amp; </w:t>
            </w:r>
            <w:r w:rsidRPr="0099460A">
              <w:rPr>
                <w:lang w:eastAsia="en-AU"/>
              </w:rPr>
              <w:t>WID</w:t>
            </w:r>
          </w:p>
          <w:p w14:paraId="74C560FF" w14:textId="5ADE734F" w:rsidR="009E0970" w:rsidRPr="00A02385" w:rsidRDefault="009E0970" w:rsidP="00F459A2">
            <w:pPr>
              <w:pStyle w:val="ListParagraph"/>
              <w:numPr>
                <w:ilvl w:val="0"/>
                <w:numId w:val="27"/>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A02385">
              <w:t xml:space="preserve">Further details on the measures and targets are provided in Appendix </w:t>
            </w:r>
            <w:r w:rsidR="00683E43" w:rsidRPr="00A02385">
              <w:t>C</w:t>
            </w:r>
            <w:r w:rsidRPr="00A02385">
              <w:t>.</w:t>
            </w:r>
          </w:p>
        </w:tc>
      </w:tr>
      <w:tr w:rsidR="00232994" w:rsidRPr="00192F41" w14:paraId="18297D78" w14:textId="77777777" w:rsidTr="5C54383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46CDC4B6" w14:textId="77777777" w:rsidR="009E0970" w:rsidRPr="00931D7E" w:rsidRDefault="009E0970" w:rsidP="00324AC1">
            <w:pPr>
              <w:spacing w:before="40" w:after="40"/>
            </w:pPr>
            <w:r w:rsidRPr="00931D7E">
              <w:t>What will we do to achieve it?</w:t>
            </w:r>
          </w:p>
        </w:tc>
        <w:tc>
          <w:tcPr>
            <w:tcW w:w="7938" w:type="dxa"/>
            <w:noWrap/>
          </w:tcPr>
          <w:p w14:paraId="5F0052FB" w14:textId="77777777" w:rsidR="009E0970" w:rsidRPr="00A02385" w:rsidRDefault="009E0970"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A02385">
              <w:t>We can do this by:</w:t>
            </w:r>
          </w:p>
          <w:p w14:paraId="2A7C515C"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Developing a deep understanding of our customers</w:t>
            </w:r>
          </w:p>
          <w:p w14:paraId="7E49F8A8"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Embracing technology</w:t>
            </w:r>
          </w:p>
          <w:p w14:paraId="76D534BF"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Excelling in customer communications</w:t>
            </w:r>
          </w:p>
          <w:p w14:paraId="6C557CFE"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Providing timely and accurate response</w:t>
            </w:r>
          </w:p>
          <w:p w14:paraId="26A914FC"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Ensuring we have a skilled and engaged workforce</w:t>
            </w:r>
          </w:p>
          <w:p w14:paraId="3F96D300" w14:textId="77777777" w:rsidR="009E0970" w:rsidRPr="00192F41" w:rsidRDefault="009E0970" w:rsidP="00F459A2">
            <w:pPr>
              <w:pStyle w:val="ListParagraph"/>
              <w:numPr>
                <w:ilvl w:val="0"/>
                <w:numId w:val="28"/>
              </w:numPr>
              <w:spacing w:before="40" w:after="40"/>
              <w:ind w:right="115"/>
              <w:jc w:val="both"/>
              <w:cnfStyle w:val="000000100000" w:firstRow="0" w:lastRow="0" w:firstColumn="0" w:lastColumn="0" w:oddVBand="0" w:evenVBand="0" w:oddHBand="1" w:evenHBand="0" w:firstRowFirstColumn="0" w:firstRowLastColumn="0" w:lastRowFirstColumn="0" w:lastRowLastColumn="0"/>
              <w:rPr>
                <w:lang w:eastAsia="en-AU"/>
              </w:rPr>
            </w:pPr>
            <w:r w:rsidRPr="00192F41">
              <w:rPr>
                <w:lang w:eastAsia="en-AU"/>
              </w:rPr>
              <w:t>Advocating on behalf of our customers.</w:t>
            </w:r>
          </w:p>
        </w:tc>
      </w:tr>
      <w:tr w:rsidR="00232994" w:rsidRPr="00192F41" w14:paraId="6C6F9EAC" w14:textId="77777777" w:rsidTr="5C54383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0ABF2F9A" w14:textId="77777777" w:rsidR="009E0970" w:rsidRPr="00931D7E" w:rsidRDefault="009E0970" w:rsidP="00324AC1">
            <w:pPr>
              <w:spacing w:before="40" w:after="40"/>
            </w:pPr>
            <w:r w:rsidRPr="00931D7E">
              <w:t>How does it come together to deliver a result?</w:t>
            </w:r>
          </w:p>
        </w:tc>
        <w:tc>
          <w:tcPr>
            <w:tcW w:w="7938" w:type="dxa"/>
            <w:noWrap/>
          </w:tcPr>
          <w:p w14:paraId="6391D39A" w14:textId="375000EF" w:rsidR="009E0970" w:rsidRPr="00A02385" w:rsidRDefault="00F0453A"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t xml:space="preserve">This outcome is very much about </w:t>
            </w:r>
            <w:r w:rsidR="00E40BF2">
              <w:t xml:space="preserve">how we deal and respond to our customers. </w:t>
            </w:r>
            <w:r w:rsidR="002351D5">
              <w:t xml:space="preserve">It </w:t>
            </w:r>
            <w:r>
              <w:t xml:space="preserve">is </w:t>
            </w:r>
            <w:r w:rsidR="002351D5">
              <w:t xml:space="preserve">very much about </w:t>
            </w:r>
            <w:r w:rsidR="00D76361">
              <w:t xml:space="preserve">developing our people, </w:t>
            </w:r>
            <w:r w:rsidR="002351D5">
              <w:t>listening, understanding</w:t>
            </w:r>
            <w:r w:rsidR="00D76361">
              <w:t xml:space="preserve">, </w:t>
            </w:r>
            <w:r w:rsidR="002351D5">
              <w:t>actioning</w:t>
            </w:r>
            <w:r w:rsidR="00A55F5D">
              <w:t>,</w:t>
            </w:r>
            <w:r w:rsidR="00D76361">
              <w:t xml:space="preserve"> an</w:t>
            </w:r>
            <w:r w:rsidR="00FC613B">
              <w:t>d</w:t>
            </w:r>
            <w:r w:rsidR="00D76361">
              <w:t xml:space="preserve"> having the right systems in place</w:t>
            </w:r>
            <w:r w:rsidR="00C6027D">
              <w:t xml:space="preserve"> so that we can respond to our customers in a positive way. </w:t>
            </w:r>
            <w:r w:rsidR="00422CD4">
              <w:t>Our</w:t>
            </w:r>
            <w:r>
              <w:t xml:space="preserve"> performance measure</w:t>
            </w:r>
            <w:r w:rsidR="00FC613B">
              <w:t>s</w:t>
            </w:r>
            <w:r>
              <w:t xml:space="preserve"> are designed specifically to </w:t>
            </w:r>
            <w:r w:rsidR="00422CD4">
              <w:t>track these outcomes.</w:t>
            </w:r>
          </w:p>
        </w:tc>
      </w:tr>
      <w:tr w:rsidR="00232994" w:rsidRPr="00192F41" w14:paraId="61A24608" w14:textId="77777777" w:rsidTr="5C54383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112723A0" w14:textId="77777777" w:rsidR="009E0970" w:rsidRPr="00931D7E" w:rsidRDefault="009E0970" w:rsidP="00324AC1">
            <w:pPr>
              <w:spacing w:before="40" w:after="40"/>
            </w:pPr>
            <w:r w:rsidRPr="00931D7E">
              <w:t>How much will it cost/save?</w:t>
            </w:r>
          </w:p>
        </w:tc>
        <w:tc>
          <w:tcPr>
            <w:tcW w:w="7938" w:type="dxa"/>
            <w:noWrap/>
          </w:tcPr>
          <w:p w14:paraId="5BCA1C11" w14:textId="77777777" w:rsidR="008126A8" w:rsidRPr="008126A8" w:rsidRDefault="005C48BD" w:rsidP="008126A8">
            <w:pPr>
              <w:spacing w:before="40" w:after="40"/>
              <w:ind w:right="115"/>
              <w:jc w:val="both"/>
              <w:cnfStyle w:val="000000100000" w:firstRow="0" w:lastRow="0" w:firstColumn="0" w:lastColumn="0" w:oddVBand="0" w:evenVBand="0" w:oddHBand="1" w:evenHBand="0" w:firstRowFirstColumn="0" w:firstRowLastColumn="0" w:lastRowFirstColumn="0" w:lastRowLastColumn="0"/>
              <w:rPr>
                <w:b/>
                <w:bCs/>
              </w:rPr>
            </w:pPr>
            <w:r w:rsidRPr="00D11973">
              <w:t xml:space="preserve">The costs of delivering this outcome are primarily reflected in our operational budget where we are committed to drive 1% </w:t>
            </w:r>
            <w:r w:rsidR="00DD2827" w:rsidRPr="00D11973">
              <w:t>productivity savings across our OPEX</w:t>
            </w:r>
            <w:r w:rsidRPr="00D11973">
              <w:t xml:space="preserve"> while still delivering on this outcome.</w:t>
            </w:r>
            <w:r w:rsidR="00594F49" w:rsidRPr="00D11973">
              <w:t xml:space="preserve"> See </w:t>
            </w:r>
            <w:r w:rsidR="00D11973" w:rsidRPr="00524217">
              <w:rPr>
                <w:b/>
                <w:bCs/>
              </w:rPr>
              <w:fldChar w:fldCharType="begin"/>
            </w:r>
            <w:r w:rsidR="00D11973" w:rsidRPr="00524217">
              <w:rPr>
                <w:b/>
                <w:bCs/>
              </w:rPr>
              <w:instrText xml:space="preserve"> REF _Ref113357259 \h  \* MERGEFORMAT </w:instrText>
            </w:r>
            <w:r w:rsidR="00D11973" w:rsidRPr="00524217">
              <w:rPr>
                <w:b/>
                <w:bCs/>
              </w:rPr>
            </w:r>
            <w:r w:rsidR="00D11973" w:rsidRPr="00524217">
              <w:rPr>
                <w:b/>
                <w:bCs/>
              </w:rPr>
              <w:fldChar w:fldCharType="separate"/>
            </w:r>
            <w:r w:rsidR="008126A8" w:rsidRPr="008126A8">
              <w:rPr>
                <w:b/>
                <w:bCs/>
              </w:rPr>
              <w:br w:type="page"/>
            </w:r>
          </w:p>
          <w:p w14:paraId="258E5D69" w14:textId="66D1C1DA" w:rsidR="00594F49" w:rsidRPr="00524217" w:rsidRDefault="008126A8" w:rsidP="00E04FA4">
            <w:pPr>
              <w:spacing w:before="40" w:after="40"/>
              <w:ind w:right="115"/>
              <w:jc w:val="both"/>
              <w:cnfStyle w:val="000000100000" w:firstRow="0" w:lastRow="0" w:firstColumn="0" w:lastColumn="0" w:oddVBand="0" w:evenVBand="0" w:oddHBand="1" w:evenHBand="0" w:firstRowFirstColumn="0" w:firstRowLastColumn="0" w:lastRowFirstColumn="0" w:lastRowLastColumn="0"/>
              <w:rPr>
                <w:b/>
                <w:bCs/>
              </w:rPr>
            </w:pPr>
            <w:r w:rsidRPr="00D975B3">
              <w:rPr>
                <w:b/>
                <w:bCs/>
                <w:color w:val="00B1B0" w:themeColor="accent1"/>
                <w:szCs w:val="20"/>
              </w:rPr>
              <w:t xml:space="preserve">Table </w:t>
            </w:r>
            <w:r>
              <w:rPr>
                <w:b/>
                <w:bCs/>
                <w:i/>
                <w:iCs/>
                <w:noProof/>
                <w:color w:val="00B1B0" w:themeColor="accent1"/>
                <w:szCs w:val="20"/>
              </w:rPr>
              <w:t>14</w:t>
            </w:r>
            <w:r w:rsidR="00D11973" w:rsidRPr="00524217">
              <w:rPr>
                <w:b/>
                <w:bCs/>
              </w:rPr>
              <w:fldChar w:fldCharType="end"/>
            </w:r>
            <w:r w:rsidR="003B4F08">
              <w:rPr>
                <w:b/>
                <w:bCs/>
              </w:rPr>
              <w:t xml:space="preserve"> 14</w:t>
            </w:r>
            <w:r w:rsidR="00D11973" w:rsidRPr="00D11973">
              <w:t xml:space="preserve"> </w:t>
            </w:r>
            <w:r w:rsidR="00594F49" w:rsidRPr="00D11973">
              <w:t>for more details of the productivity savings.</w:t>
            </w:r>
          </w:p>
        </w:tc>
      </w:tr>
      <w:tr w:rsidR="00232994" w:rsidRPr="00192F41" w14:paraId="67FDA300" w14:textId="77777777" w:rsidTr="5C54383F">
        <w:trPr>
          <w:trHeight w:val="250"/>
        </w:trPr>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auto"/>
            </w:tcBorders>
          </w:tcPr>
          <w:p w14:paraId="29658649" w14:textId="77777777" w:rsidR="009E0970" w:rsidRPr="00931D7E" w:rsidRDefault="009E0970" w:rsidP="00324AC1">
            <w:pPr>
              <w:spacing w:before="40" w:after="40"/>
            </w:pPr>
            <w:r w:rsidRPr="00931D7E">
              <w:t>How will impact prices</w:t>
            </w:r>
          </w:p>
        </w:tc>
        <w:tc>
          <w:tcPr>
            <w:tcW w:w="7938" w:type="dxa"/>
            <w:tcBorders>
              <w:bottom w:val="single" w:sz="4" w:space="0" w:color="auto"/>
            </w:tcBorders>
            <w:noWrap/>
          </w:tcPr>
          <w:p w14:paraId="76923436" w14:textId="4B195CF9" w:rsidR="003B4F08" w:rsidRPr="0053485C" w:rsidRDefault="00E6186D" w:rsidP="003B4F08">
            <w:pPr>
              <w:spacing w:before="40" w:after="40"/>
              <w:ind w:right="115"/>
              <w:jc w:val="both"/>
              <w:cnfStyle w:val="000000000000" w:firstRow="0" w:lastRow="0" w:firstColumn="0" w:lastColumn="0" w:oddVBand="0" w:evenVBand="0" w:oddHBand="0" w:evenHBand="0" w:firstRowFirstColumn="0" w:firstRowLastColumn="0" w:lastRowFirstColumn="0" w:lastRowLastColumn="0"/>
              <w:rPr>
                <w:b/>
                <w:bCs/>
              </w:rPr>
            </w:pPr>
            <w:r w:rsidRPr="00907043">
              <w:t>This outcome does not have a discernible impact on prices.</w:t>
            </w:r>
            <w:r w:rsidR="00985CF8" w:rsidRPr="00907043">
              <w:t xml:space="preserve"> Any operational savings accrued will be re-directed to cover the costs associated with increasing customer expectations and obligations</w:t>
            </w:r>
            <w:r w:rsidR="00810753" w:rsidRPr="00907043">
              <w:t xml:space="preserve"> as detailed in </w:t>
            </w:r>
            <w:r w:rsidR="003B4F08">
              <w:rPr>
                <w:b/>
                <w:bCs/>
              </w:rPr>
              <w:t>Table 14</w:t>
            </w:r>
          </w:p>
          <w:p w14:paraId="36DD6F25" w14:textId="5C6755C8" w:rsidR="009E0970" w:rsidRPr="0053485C" w:rsidRDefault="009E0970" w:rsidP="00E04FA4">
            <w:pPr>
              <w:spacing w:before="40" w:after="40"/>
              <w:ind w:right="115"/>
              <w:jc w:val="both"/>
              <w:cnfStyle w:val="000000000000" w:firstRow="0" w:lastRow="0" w:firstColumn="0" w:lastColumn="0" w:oddVBand="0" w:evenVBand="0" w:oddHBand="0" w:evenHBand="0" w:firstRowFirstColumn="0" w:firstRowLastColumn="0" w:lastRowFirstColumn="0" w:lastRowLastColumn="0"/>
              <w:rPr>
                <w:b/>
                <w:bCs/>
              </w:rPr>
            </w:pPr>
          </w:p>
        </w:tc>
      </w:tr>
    </w:tbl>
    <w:p w14:paraId="0BB75B6A" w14:textId="77777777" w:rsidR="009E0970" w:rsidRPr="00192F41" w:rsidRDefault="009E0970" w:rsidP="009E0970">
      <w:pPr>
        <w:pStyle w:val="Bulletpointparagraph"/>
        <w:numPr>
          <w:ilvl w:val="0"/>
          <w:numId w:val="0"/>
        </w:numPr>
        <w:ind w:left="720" w:hanging="360"/>
        <w:rPr>
          <w:rFonts w:cs="Arial"/>
        </w:rPr>
      </w:pPr>
      <w:r w:rsidRPr="00192F41">
        <w:rPr>
          <w:rFonts w:cs="Arial"/>
        </w:rPr>
        <w:br w:type="page"/>
      </w:r>
    </w:p>
    <w:p w14:paraId="143AAD27" w14:textId="1B86FD6E" w:rsidR="009E0970" w:rsidRPr="00192F41" w:rsidRDefault="009E0970" w:rsidP="009E0970">
      <w:pPr>
        <w:pStyle w:val="Heading3"/>
        <w:rPr>
          <w:rFonts w:cs="Arial"/>
        </w:rPr>
      </w:pPr>
      <w:r w:rsidRPr="00192F41">
        <w:rPr>
          <w:rFonts w:cs="Arial"/>
        </w:rPr>
        <w:t xml:space="preserve">Valued </w:t>
      </w:r>
      <w:r w:rsidR="00D15296">
        <w:rPr>
          <w:rFonts w:cs="Arial"/>
        </w:rPr>
        <w:t>c</w:t>
      </w:r>
      <w:r w:rsidRPr="00192F41">
        <w:rPr>
          <w:rFonts w:cs="Arial"/>
        </w:rPr>
        <w:t xml:space="preserve">ommunity </w:t>
      </w:r>
      <w:r w:rsidR="00D15296">
        <w:rPr>
          <w:rFonts w:cs="Arial"/>
        </w:rPr>
        <w:t>m</w:t>
      </w:r>
      <w:r w:rsidRPr="00192F41">
        <w:rPr>
          <w:rFonts w:cs="Arial"/>
        </w:rPr>
        <w:t>ember</w:t>
      </w:r>
    </w:p>
    <w:tbl>
      <w:tblPr>
        <w:tblStyle w:val="ReportTable-TealRows"/>
        <w:tblW w:w="9781" w:type="dxa"/>
        <w:tblLook w:val="04A0" w:firstRow="1" w:lastRow="0" w:firstColumn="1" w:lastColumn="0" w:noHBand="0" w:noVBand="1"/>
      </w:tblPr>
      <w:tblGrid>
        <w:gridCol w:w="1843"/>
        <w:gridCol w:w="7938"/>
      </w:tblGrid>
      <w:tr w:rsidR="00AB388A" w:rsidRPr="00192F41" w14:paraId="3F697AA0" w14:textId="77777777" w:rsidTr="00DA7C9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hideMark/>
          </w:tcPr>
          <w:p w14:paraId="2A117B20" w14:textId="77777777" w:rsidR="009E0970" w:rsidRPr="00931D7E" w:rsidRDefault="009E0970" w:rsidP="00DA7C9F">
            <w:pPr>
              <w:rPr>
                <w:sz w:val="20"/>
                <w:szCs w:val="20"/>
              </w:rPr>
            </w:pPr>
            <w:r w:rsidRPr="00931D7E">
              <w:rPr>
                <w:sz w:val="20"/>
                <w:szCs w:val="20"/>
              </w:rPr>
              <w:t>Valued community member</w:t>
            </w:r>
          </w:p>
        </w:tc>
        <w:tc>
          <w:tcPr>
            <w:tcW w:w="7938" w:type="dxa"/>
            <w:noWrap/>
            <w:hideMark/>
          </w:tcPr>
          <w:p w14:paraId="7BAD38D0" w14:textId="77777777" w:rsidR="009E0970" w:rsidRPr="00931D7E" w:rsidRDefault="009E0970" w:rsidP="00DA7C9F">
            <w:pPr>
              <w:cnfStyle w:val="100000000000" w:firstRow="1" w:lastRow="0" w:firstColumn="0" w:lastColumn="0" w:oddVBand="0" w:evenVBand="0" w:oddHBand="0" w:evenHBand="0" w:firstRowFirstColumn="0" w:firstRowLastColumn="0" w:lastRowFirstColumn="0" w:lastRowLastColumn="0"/>
              <w:rPr>
                <w:sz w:val="20"/>
                <w:szCs w:val="20"/>
              </w:rPr>
            </w:pPr>
            <w:r w:rsidRPr="00931D7E">
              <w:rPr>
                <w:sz w:val="20"/>
                <w:szCs w:val="20"/>
              </w:rPr>
              <w:t>Response</w:t>
            </w:r>
          </w:p>
        </w:tc>
      </w:tr>
      <w:tr w:rsidR="00232994" w:rsidRPr="00192F41" w14:paraId="28A21F95"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4C9217BA" w14:textId="77777777" w:rsidR="009E0970" w:rsidRPr="00931D7E" w:rsidRDefault="009E0970" w:rsidP="00931D7E">
            <w:pPr>
              <w:spacing w:before="40" w:after="40"/>
            </w:pPr>
            <w:r w:rsidRPr="00931D7E">
              <w:t>What’s the outcome we are seeking?</w:t>
            </w:r>
          </w:p>
        </w:tc>
        <w:tc>
          <w:tcPr>
            <w:tcW w:w="7938" w:type="dxa"/>
            <w:noWrap/>
          </w:tcPr>
          <w:p w14:paraId="1BA51EFA" w14:textId="22E67E41" w:rsidR="009E0970" w:rsidRPr="00DA7C9F" w:rsidRDefault="00E26011"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DA7C9F">
              <w:t>We deliver value to regional communities through direct action and relationships with Traditional Owners, stakeholders, customers and the general community</w:t>
            </w:r>
            <w:r w:rsidR="00D15296">
              <w:t>.</w:t>
            </w:r>
          </w:p>
        </w:tc>
      </w:tr>
      <w:tr w:rsidR="004A3ED7" w:rsidRPr="00192F41" w14:paraId="4A4D2F73"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2EB4F0EE" w14:textId="77777777" w:rsidR="004A3ED7" w:rsidRPr="00931D7E" w:rsidRDefault="004A3ED7" w:rsidP="00931D7E">
            <w:pPr>
              <w:spacing w:before="40" w:after="40"/>
            </w:pPr>
            <w:r w:rsidRPr="00931D7E">
              <w:t>What did our customers say?</w:t>
            </w:r>
          </w:p>
        </w:tc>
        <w:tc>
          <w:tcPr>
            <w:tcW w:w="7938" w:type="dxa"/>
            <w:noWrap/>
          </w:tcPr>
          <w:p w14:paraId="7F6E6CB4" w14:textId="0BEEAE53" w:rsidR="004A3ED7" w:rsidRPr="00DA7C9F" w:rsidRDefault="004A3ED7"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SRW has strong relationships with its customers and stakeholders.</w:t>
            </w:r>
            <w:r w:rsidR="00825A4F" w:rsidRPr="00DA7C9F">
              <w:t xml:space="preserve"> </w:t>
            </w:r>
            <w:r w:rsidRPr="00DA7C9F">
              <w:t>Our customers have told us that they value their relationship with SRW and appreciate our efforts to advocate on their behalf. Stakeholders have also told us that they value our partnerships and the opportunity to work together. While some customers have expressed concern about our involvement in some areas (e.g., climate change, environmental and traditional owners), government and societal expectations are placing greater focus on these areas.</w:t>
            </w:r>
          </w:p>
        </w:tc>
      </w:tr>
      <w:tr w:rsidR="00C93367" w:rsidRPr="00192F41" w14:paraId="3971C762"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3302035E" w14:textId="77777777" w:rsidR="00C93367" w:rsidRPr="00931D7E" w:rsidRDefault="00C93367" w:rsidP="00931D7E">
            <w:pPr>
              <w:spacing w:before="40" w:after="40"/>
            </w:pPr>
            <w:r w:rsidRPr="00931D7E">
              <w:t>SRW commitment</w:t>
            </w:r>
          </w:p>
        </w:tc>
        <w:tc>
          <w:tcPr>
            <w:tcW w:w="7938" w:type="dxa"/>
            <w:noWrap/>
          </w:tcPr>
          <w:p w14:paraId="6F480842" w14:textId="0D61E647" w:rsidR="00C93367" w:rsidRPr="00DA7C9F" w:rsidRDefault="00C93367"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DA7C9F">
              <w:t xml:space="preserve">SRW is committed to </w:t>
            </w:r>
            <w:r w:rsidR="00A10FDA" w:rsidRPr="00DA7C9F">
              <w:t>being a good corporate ci</w:t>
            </w:r>
            <w:r w:rsidR="00141DF7" w:rsidRPr="00DA7C9F">
              <w:t>tizen</w:t>
            </w:r>
            <w:r w:rsidR="007C65E2" w:rsidRPr="00DA7C9F">
              <w:t>, partnering with our customers and the community</w:t>
            </w:r>
            <w:r w:rsidR="0070016B" w:rsidRPr="00DA7C9F">
              <w:t xml:space="preserve"> to facilitate the health of the regions in which we operate.</w:t>
            </w:r>
          </w:p>
        </w:tc>
      </w:tr>
      <w:tr w:rsidR="00232994" w:rsidRPr="00192F41" w14:paraId="7EC8962A"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6EA26AE5" w14:textId="27837575" w:rsidR="009E0970" w:rsidRPr="00931D7E" w:rsidRDefault="00AB56AB" w:rsidP="00931D7E">
            <w:pPr>
              <w:spacing w:before="40" w:after="40"/>
            </w:pPr>
            <w:r w:rsidRPr="00931D7E">
              <w:t>How will we measure this?</w:t>
            </w:r>
          </w:p>
        </w:tc>
        <w:tc>
          <w:tcPr>
            <w:tcW w:w="7938" w:type="dxa"/>
            <w:noWrap/>
          </w:tcPr>
          <w:p w14:paraId="67EBD63D" w14:textId="77777777" w:rsidR="009E0970" w:rsidRPr="00DA7C9F" w:rsidRDefault="009E0970"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Our proposed performance measures and targets focus on:</w:t>
            </w:r>
          </w:p>
          <w:p w14:paraId="5D86D686" w14:textId="793DDB19" w:rsidR="009E0970" w:rsidRPr="00DA7C9F" w:rsidRDefault="009E0970" w:rsidP="00F459A2">
            <w:pPr>
              <w:pStyle w:val="ListParagraph"/>
              <w:numPr>
                <w:ilvl w:val="0"/>
                <w:numId w:val="14"/>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 xml:space="preserve">Emission reductions </w:t>
            </w:r>
            <w:r w:rsidR="00631E11" w:rsidRPr="00DA7C9F">
              <w:t>–</w:t>
            </w:r>
            <w:r w:rsidRPr="00DA7C9F">
              <w:t xml:space="preserve"> All</w:t>
            </w:r>
          </w:p>
          <w:p w14:paraId="4E6739D1" w14:textId="50AE7DD8" w:rsidR="00631E11" w:rsidRPr="00DA7C9F" w:rsidRDefault="00631E11" w:rsidP="00F459A2">
            <w:pPr>
              <w:pStyle w:val="ListParagraph"/>
              <w:numPr>
                <w:ilvl w:val="0"/>
                <w:numId w:val="14"/>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 xml:space="preserve">Environmental flows – </w:t>
            </w:r>
            <w:r w:rsidR="00D15296">
              <w:t>bulk entitlement</w:t>
            </w:r>
            <w:r w:rsidRPr="00DA7C9F">
              <w:t xml:space="preserve"> holders</w:t>
            </w:r>
          </w:p>
          <w:p w14:paraId="70FEC371" w14:textId="461F223C" w:rsidR="00631E11" w:rsidRPr="00DA7C9F" w:rsidRDefault="00631E11" w:rsidP="00F459A2">
            <w:pPr>
              <w:pStyle w:val="ListParagraph"/>
              <w:numPr>
                <w:ilvl w:val="0"/>
                <w:numId w:val="14"/>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 xml:space="preserve">Harvesting – </w:t>
            </w:r>
            <w:r w:rsidR="00D15296">
              <w:t>bulk entitlement</w:t>
            </w:r>
            <w:r w:rsidRPr="00DA7C9F">
              <w:t xml:space="preserve"> holders</w:t>
            </w:r>
          </w:p>
          <w:p w14:paraId="18E0AFE5" w14:textId="0FABE848" w:rsidR="009E0970" w:rsidRPr="00DA7C9F" w:rsidRDefault="009E0970" w:rsidP="00F459A2">
            <w:pPr>
              <w:pStyle w:val="ListParagraph"/>
              <w:numPr>
                <w:ilvl w:val="0"/>
                <w:numId w:val="14"/>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DA7C9F">
              <w:t xml:space="preserve">Further details on the measures and targets are provided in Appendix </w:t>
            </w:r>
            <w:r w:rsidR="00683E43" w:rsidRPr="00DA7C9F">
              <w:t>C</w:t>
            </w:r>
            <w:r w:rsidRPr="00DA7C9F">
              <w:t>.</w:t>
            </w:r>
          </w:p>
        </w:tc>
      </w:tr>
      <w:tr w:rsidR="00232994" w:rsidRPr="00192F41" w14:paraId="0AAC2741"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5A8DC27B" w14:textId="77777777" w:rsidR="009E0970" w:rsidRPr="00931D7E" w:rsidRDefault="009E0970" w:rsidP="00931D7E">
            <w:pPr>
              <w:spacing w:before="40" w:after="40"/>
            </w:pPr>
            <w:r w:rsidRPr="00931D7E">
              <w:t>What will we do to achieve it?</w:t>
            </w:r>
          </w:p>
        </w:tc>
        <w:tc>
          <w:tcPr>
            <w:tcW w:w="7938" w:type="dxa"/>
            <w:noWrap/>
          </w:tcPr>
          <w:p w14:paraId="0B6AC3CD" w14:textId="77777777" w:rsidR="009E0970" w:rsidRPr="00DA7C9F" w:rsidRDefault="009E0970"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DA7C9F">
              <w:t>We can do this by:</w:t>
            </w:r>
          </w:p>
          <w:p w14:paraId="19E65529" w14:textId="5FF97037"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Providing clean water that can be treated by urban water corporation for human consumption</w:t>
            </w:r>
            <w:r w:rsidR="006F054D">
              <w:t>.</w:t>
            </w:r>
          </w:p>
          <w:p w14:paraId="345DB686" w14:textId="7F52D9B9"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Providing recreational facilities at designated storages</w:t>
            </w:r>
            <w:r w:rsidR="006F054D">
              <w:t>.</w:t>
            </w:r>
          </w:p>
          <w:p w14:paraId="0A30081A" w14:textId="453DF143"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 xml:space="preserve">Respecting </w:t>
            </w:r>
            <w:r w:rsidR="006F054D">
              <w:t>T</w:t>
            </w:r>
            <w:r w:rsidRPr="006F054D">
              <w:t xml:space="preserve">raditional </w:t>
            </w:r>
            <w:r w:rsidR="006F054D">
              <w:t>O</w:t>
            </w:r>
            <w:r w:rsidRPr="006F054D">
              <w:t>wner</w:t>
            </w:r>
            <w:r w:rsidRPr="00192F41">
              <w:t xml:space="preserve"> values of the lands and water which we manage</w:t>
            </w:r>
            <w:r w:rsidR="006F054D">
              <w:t>.</w:t>
            </w:r>
          </w:p>
          <w:p w14:paraId="6FB3839E" w14:textId="77777777"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Operating in a manner that is safe for our employees, visitors, and customers.</w:t>
            </w:r>
          </w:p>
          <w:p w14:paraId="54CD2AC0" w14:textId="745D6809"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Minimising our impacts on climate and the environment</w:t>
            </w:r>
            <w:r w:rsidR="006F054D">
              <w:t>.</w:t>
            </w:r>
          </w:p>
          <w:p w14:paraId="5DEDE662" w14:textId="77777777" w:rsidR="009E0970" w:rsidRPr="00DA7C9F" w:rsidRDefault="009E0970" w:rsidP="00F459A2">
            <w:pPr>
              <w:pStyle w:val="ListParagraph"/>
              <w:numPr>
                <w:ilvl w:val="0"/>
                <w:numId w:val="15"/>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192F41">
              <w:t>Working alongside the communities where we operate to promote economic growth and vitality.</w:t>
            </w:r>
            <w:r w:rsidRPr="00DA7C9F">
              <w:t xml:space="preserve"> </w:t>
            </w:r>
          </w:p>
        </w:tc>
      </w:tr>
      <w:tr w:rsidR="00232994" w:rsidRPr="00192F41" w14:paraId="53E31397" w14:textId="77777777" w:rsidTr="00DA7C9F">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096AA070" w14:textId="77777777" w:rsidR="009E0970" w:rsidRPr="00931D7E" w:rsidRDefault="009E0970" w:rsidP="00931D7E">
            <w:pPr>
              <w:spacing w:before="40" w:after="40"/>
            </w:pPr>
            <w:r w:rsidRPr="00931D7E">
              <w:t>How does it come together to deliver a result?</w:t>
            </w:r>
          </w:p>
        </w:tc>
        <w:tc>
          <w:tcPr>
            <w:tcW w:w="7938" w:type="dxa"/>
            <w:noWrap/>
          </w:tcPr>
          <w:p w14:paraId="5A99A886" w14:textId="5974DA49" w:rsidR="009E0970" w:rsidRPr="00DA7C9F" w:rsidRDefault="00FC613B"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94DF8">
              <w:t xml:space="preserve">This outcome is very much about </w:t>
            </w:r>
            <w:r w:rsidR="00825A4F">
              <w:t>the role we play in the broader society</w:t>
            </w:r>
            <w:r w:rsidR="00BF4217">
              <w:t>, how we interact with stakeholders</w:t>
            </w:r>
            <w:r w:rsidR="00230731">
              <w:t xml:space="preserve"> and how we respond to community expectations</w:t>
            </w:r>
            <w:r w:rsidR="002A4734">
              <w:t xml:space="preserve"> </w:t>
            </w:r>
            <w:r w:rsidR="00825A4F" w:rsidRPr="00DA7C9F">
              <w:t xml:space="preserve">(e.g., climate change, environmental and </w:t>
            </w:r>
            <w:r w:rsidR="008C0773">
              <w:t>T</w:t>
            </w:r>
            <w:r w:rsidR="00825A4F" w:rsidRPr="00DA7C9F">
              <w:t xml:space="preserve">raditional </w:t>
            </w:r>
            <w:r w:rsidR="008C0773">
              <w:t>O</w:t>
            </w:r>
            <w:r w:rsidR="00825A4F" w:rsidRPr="00DA7C9F">
              <w:t>wners), government and societal expectations are placing greater focus on these areas.</w:t>
            </w:r>
            <w:r w:rsidR="002A4734" w:rsidRPr="00DA7C9F">
              <w:t xml:space="preserve"> </w:t>
            </w:r>
            <w:r w:rsidRPr="00894DF8">
              <w:t xml:space="preserve">It is very much about </w:t>
            </w:r>
            <w:r w:rsidR="00A91D09">
              <w:t>having the right policie</w:t>
            </w:r>
            <w:r w:rsidR="00D50A0C">
              <w:t xml:space="preserve">s </w:t>
            </w:r>
            <w:r w:rsidR="00A91D09">
              <w:t>in place and responding in a positive way</w:t>
            </w:r>
            <w:r w:rsidR="00D50A0C">
              <w:t xml:space="preserve">. </w:t>
            </w:r>
            <w:r w:rsidRPr="00894DF8">
              <w:t>Our performance measures are designed specifically to track these outcomes</w:t>
            </w:r>
            <w:r w:rsidR="002757B5">
              <w:t>, particularly our emissions and our managing of environmental flows.</w:t>
            </w:r>
          </w:p>
        </w:tc>
      </w:tr>
      <w:tr w:rsidR="00232994" w:rsidRPr="00192F41" w14:paraId="357C82DF" w14:textId="77777777" w:rsidTr="00DA7C9F">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49736BCF" w14:textId="77777777" w:rsidR="009E0970" w:rsidRPr="00931D7E" w:rsidRDefault="009E0970" w:rsidP="00931D7E">
            <w:pPr>
              <w:spacing w:before="40" w:after="40"/>
            </w:pPr>
            <w:r w:rsidRPr="00931D7E">
              <w:t>How much will it cost/save?</w:t>
            </w:r>
          </w:p>
        </w:tc>
        <w:tc>
          <w:tcPr>
            <w:tcW w:w="7938" w:type="dxa"/>
            <w:noWrap/>
          </w:tcPr>
          <w:p w14:paraId="6EF04C41" w14:textId="77777777" w:rsidR="008126A8" w:rsidRDefault="00FC613B" w:rsidP="008126A8">
            <w:pPr>
              <w:spacing w:before="40" w:after="120"/>
              <w:ind w:right="115"/>
              <w:jc w:val="both"/>
              <w:cnfStyle w:val="000000100000" w:firstRow="0" w:lastRow="0" w:firstColumn="0" w:lastColumn="0" w:oddVBand="0" w:evenVBand="0" w:oddHBand="1" w:evenHBand="0" w:firstRowFirstColumn="0" w:firstRowLastColumn="0" w:lastRowFirstColumn="0" w:lastRowLastColumn="0"/>
              <w:rPr>
                <w:b/>
                <w:bCs/>
                <w:color w:val="00B1B0" w:themeColor="accent1"/>
                <w:szCs w:val="20"/>
              </w:rPr>
            </w:pPr>
            <w:r w:rsidRPr="00894DF8">
              <w:t xml:space="preserve">The costs of delivering this outcome are primarily reflected in our operational budget where we are committed to drive 1% </w:t>
            </w:r>
            <w:r w:rsidR="00513DEF">
              <w:t xml:space="preserve">productivity </w:t>
            </w:r>
            <w:r w:rsidRPr="00894DF8">
              <w:t>savings while still delivering on this outcome.</w:t>
            </w:r>
            <w:r w:rsidR="007817DB">
              <w:t xml:space="preserve"> There will also be some small capital costs (e.g</w:t>
            </w:r>
            <w:r w:rsidR="00B348D3">
              <w:t>.,</w:t>
            </w:r>
            <w:r w:rsidR="007817DB">
              <w:t xml:space="preserve"> solar installation) but these will </w:t>
            </w:r>
            <w:r w:rsidR="00256FEA">
              <w:t>be</w:t>
            </w:r>
            <w:r w:rsidR="007817DB">
              <w:t xml:space="preserve"> offset by longer</w:t>
            </w:r>
            <w:r w:rsidR="007A5BD2">
              <w:t>-</w:t>
            </w:r>
            <w:r w:rsidR="007817DB">
              <w:t>term energy savings.</w:t>
            </w:r>
            <w:r w:rsidR="00C522E4">
              <w:t xml:space="preserve"> We are also looking to partner with other water businesses to </w:t>
            </w:r>
            <w:r w:rsidR="00E174EE">
              <w:t xml:space="preserve">meet our emissions reductions. </w:t>
            </w:r>
            <w:r w:rsidR="00E174EE" w:rsidRPr="00E174EE">
              <w:fldChar w:fldCharType="begin"/>
            </w:r>
            <w:r w:rsidR="00E174EE" w:rsidRPr="00E174EE">
              <w:instrText xml:space="preserve"> REF _Ref113357259 \h  \* MERGEFORMAT </w:instrText>
            </w:r>
            <w:r w:rsidR="00E174EE" w:rsidRPr="00E174EE">
              <w:fldChar w:fldCharType="separate"/>
            </w:r>
            <w:r w:rsidR="008126A8" w:rsidRPr="008126A8">
              <w:br w:type="page"/>
            </w:r>
          </w:p>
          <w:p w14:paraId="6BFBC9E0" w14:textId="091F1A6F" w:rsidR="009E0970" w:rsidRPr="00DA7C9F" w:rsidRDefault="008126A8" w:rsidP="00931D7E">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8126A8">
              <w:rPr>
                <w:color w:val="000000" w:themeColor="text1"/>
                <w:szCs w:val="20"/>
              </w:rPr>
              <w:t>Table 14</w:t>
            </w:r>
            <w:r w:rsidR="00E174EE" w:rsidRPr="00E174EE">
              <w:fldChar w:fldCharType="end"/>
            </w:r>
            <w:r w:rsidR="00E174EE" w:rsidRPr="00E174EE">
              <w:t xml:space="preserve"> </w:t>
            </w:r>
            <w:r w:rsidR="00E174EE">
              <w:t>provides an overview of savings to our fleet which will support our emissions targets.</w:t>
            </w:r>
          </w:p>
        </w:tc>
      </w:tr>
      <w:tr w:rsidR="00232994" w:rsidRPr="00192F41" w14:paraId="5FD56729" w14:textId="77777777" w:rsidTr="00931D7E">
        <w:trPr>
          <w:trHeight w:val="579"/>
        </w:trPr>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auto"/>
            </w:tcBorders>
          </w:tcPr>
          <w:p w14:paraId="04B57F74" w14:textId="77777777" w:rsidR="009E0970" w:rsidRPr="00931D7E" w:rsidRDefault="009E0970" w:rsidP="00931D7E">
            <w:pPr>
              <w:spacing w:before="40" w:after="40"/>
            </w:pPr>
            <w:r w:rsidRPr="00931D7E">
              <w:t>How will impact prices</w:t>
            </w:r>
          </w:p>
        </w:tc>
        <w:tc>
          <w:tcPr>
            <w:tcW w:w="7938" w:type="dxa"/>
            <w:tcBorders>
              <w:bottom w:val="single" w:sz="4" w:space="0" w:color="auto"/>
            </w:tcBorders>
            <w:noWrap/>
          </w:tcPr>
          <w:p w14:paraId="41E741D5" w14:textId="3634206C" w:rsidR="009E0970" w:rsidRPr="00DA7C9F" w:rsidRDefault="00FC613B" w:rsidP="00931D7E">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94DF8">
              <w:t xml:space="preserve">This outcome does not have a </w:t>
            </w:r>
            <w:r w:rsidR="00E6186D" w:rsidRPr="00894DF8">
              <w:t>d</w:t>
            </w:r>
            <w:r w:rsidR="00E6186D">
              <w:t xml:space="preserve">iscernible </w:t>
            </w:r>
            <w:r w:rsidRPr="00894DF8">
              <w:t>impact on prices.</w:t>
            </w:r>
            <w:r w:rsidR="005813C0">
              <w:t xml:space="preserve"> </w:t>
            </w:r>
            <w:r w:rsidR="00985CF8">
              <w:t xml:space="preserve">Any </w:t>
            </w:r>
            <w:r w:rsidR="00985CF8" w:rsidRPr="00907CBA">
              <w:t>operational savings accrued will be re-directed to cover the costs associated with increasing customer expectations and obligations.</w:t>
            </w:r>
          </w:p>
        </w:tc>
      </w:tr>
    </w:tbl>
    <w:p w14:paraId="26757DB1" w14:textId="77777777" w:rsidR="009E0970" w:rsidRPr="00192F41" w:rsidRDefault="009E0970" w:rsidP="009E0970">
      <w:pPr>
        <w:pStyle w:val="Bulletpointparagraph"/>
        <w:numPr>
          <w:ilvl w:val="0"/>
          <w:numId w:val="0"/>
        </w:numPr>
        <w:ind w:left="720" w:hanging="360"/>
        <w:rPr>
          <w:rFonts w:cs="Arial"/>
        </w:rPr>
      </w:pPr>
      <w:r w:rsidRPr="00192F41">
        <w:rPr>
          <w:rFonts w:cs="Arial"/>
        </w:rPr>
        <w:br w:type="page"/>
      </w:r>
    </w:p>
    <w:p w14:paraId="0463B969" w14:textId="6A159927" w:rsidR="009E0970" w:rsidRPr="00192F41" w:rsidRDefault="009E0970" w:rsidP="009E0970">
      <w:pPr>
        <w:pStyle w:val="Heading3"/>
        <w:rPr>
          <w:rFonts w:cs="Arial"/>
        </w:rPr>
      </w:pPr>
      <w:r w:rsidRPr="00192F41">
        <w:rPr>
          <w:rFonts w:cs="Arial"/>
        </w:rPr>
        <w:t xml:space="preserve">Fair </w:t>
      </w:r>
      <w:r w:rsidR="0052042D">
        <w:rPr>
          <w:rFonts w:cs="Arial"/>
        </w:rPr>
        <w:t>and reasonable p</w:t>
      </w:r>
      <w:r w:rsidRPr="00192F41">
        <w:rPr>
          <w:rFonts w:cs="Arial"/>
        </w:rPr>
        <w:t>rice</w:t>
      </w:r>
      <w:r w:rsidR="0052042D">
        <w:rPr>
          <w:rFonts w:cs="Arial"/>
        </w:rPr>
        <w:t>s</w:t>
      </w:r>
    </w:p>
    <w:tbl>
      <w:tblPr>
        <w:tblStyle w:val="ReportTable-TealRows"/>
        <w:tblW w:w="9639" w:type="dxa"/>
        <w:tblLook w:val="04A0" w:firstRow="1" w:lastRow="0" w:firstColumn="1" w:lastColumn="0" w:noHBand="0" w:noVBand="1"/>
      </w:tblPr>
      <w:tblGrid>
        <w:gridCol w:w="1843"/>
        <w:gridCol w:w="7796"/>
      </w:tblGrid>
      <w:tr w:rsidR="00AB388A" w:rsidRPr="00931D7E" w14:paraId="25567EBA" w14:textId="77777777" w:rsidTr="0026150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43" w:type="dxa"/>
            <w:hideMark/>
          </w:tcPr>
          <w:p w14:paraId="7898C9D9" w14:textId="77777777" w:rsidR="00F1694C" w:rsidRDefault="009E0970" w:rsidP="00DA7C9F">
            <w:pPr>
              <w:rPr>
                <w:b w:val="0"/>
                <w:szCs w:val="20"/>
              </w:rPr>
            </w:pPr>
            <w:r w:rsidRPr="00931D7E">
              <w:rPr>
                <w:sz w:val="20"/>
                <w:szCs w:val="20"/>
              </w:rPr>
              <w:t xml:space="preserve">Fair </w:t>
            </w:r>
            <w:r w:rsidR="0052042D" w:rsidRPr="00931D7E">
              <w:rPr>
                <w:sz w:val="20"/>
                <w:szCs w:val="20"/>
              </w:rPr>
              <w:t xml:space="preserve">and reasonable </w:t>
            </w:r>
          </w:p>
          <w:p w14:paraId="00CC96EA" w14:textId="5E803C5E" w:rsidR="009E0970" w:rsidRPr="00931D7E" w:rsidRDefault="009E0970" w:rsidP="00DA7C9F">
            <w:pPr>
              <w:rPr>
                <w:sz w:val="20"/>
                <w:szCs w:val="20"/>
              </w:rPr>
            </w:pPr>
            <w:r w:rsidRPr="00931D7E">
              <w:rPr>
                <w:sz w:val="20"/>
                <w:szCs w:val="20"/>
              </w:rPr>
              <w:t>price</w:t>
            </w:r>
            <w:r w:rsidR="0052042D" w:rsidRPr="00931D7E">
              <w:rPr>
                <w:sz w:val="20"/>
                <w:szCs w:val="20"/>
              </w:rPr>
              <w:t>s</w:t>
            </w:r>
          </w:p>
        </w:tc>
        <w:tc>
          <w:tcPr>
            <w:tcW w:w="7796" w:type="dxa"/>
            <w:noWrap/>
            <w:hideMark/>
          </w:tcPr>
          <w:p w14:paraId="43C6311A" w14:textId="77777777" w:rsidR="009E0970" w:rsidRPr="00931D7E" w:rsidRDefault="009E0970" w:rsidP="00DA7C9F">
            <w:pPr>
              <w:cnfStyle w:val="100000000000" w:firstRow="1" w:lastRow="0" w:firstColumn="0" w:lastColumn="0" w:oddVBand="0" w:evenVBand="0" w:oddHBand="0" w:evenHBand="0" w:firstRowFirstColumn="0" w:firstRowLastColumn="0" w:lastRowFirstColumn="0" w:lastRowLastColumn="0"/>
              <w:rPr>
                <w:sz w:val="20"/>
                <w:szCs w:val="20"/>
              </w:rPr>
            </w:pPr>
            <w:r w:rsidRPr="00931D7E">
              <w:rPr>
                <w:sz w:val="20"/>
                <w:szCs w:val="20"/>
              </w:rPr>
              <w:t>Response</w:t>
            </w:r>
          </w:p>
        </w:tc>
      </w:tr>
      <w:tr w:rsidR="00232994" w:rsidRPr="00192F41" w14:paraId="4DC29599" w14:textId="77777777" w:rsidTr="002615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02486111" w14:textId="77777777" w:rsidR="009E0970" w:rsidRPr="00931D7E" w:rsidRDefault="009E0970" w:rsidP="00931D7E">
            <w:pPr>
              <w:spacing w:before="40" w:after="40"/>
            </w:pPr>
            <w:r w:rsidRPr="00931D7E">
              <w:t>What’s the outcome we are seeking?</w:t>
            </w:r>
          </w:p>
        </w:tc>
        <w:tc>
          <w:tcPr>
            <w:tcW w:w="7796" w:type="dxa"/>
            <w:noWrap/>
          </w:tcPr>
          <w:p w14:paraId="2DC08532" w14:textId="219E282E" w:rsidR="009E0970" w:rsidRPr="00DA7C9F" w:rsidRDefault="009D2490" w:rsidP="00931D7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Prices reflect customer value.</w:t>
            </w:r>
          </w:p>
        </w:tc>
      </w:tr>
      <w:tr w:rsidR="004A3ED7" w:rsidRPr="00192F41" w14:paraId="1F7D7B07" w14:textId="77777777" w:rsidTr="00261507">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184A94E2" w14:textId="77777777" w:rsidR="004A3ED7" w:rsidRPr="00931D7E" w:rsidRDefault="004A3ED7" w:rsidP="00931D7E">
            <w:pPr>
              <w:spacing w:before="40" w:after="40"/>
            </w:pPr>
            <w:r w:rsidRPr="00931D7E">
              <w:t>What did our customers say?</w:t>
            </w:r>
          </w:p>
        </w:tc>
        <w:tc>
          <w:tcPr>
            <w:tcW w:w="7796" w:type="dxa"/>
            <w:noWrap/>
          </w:tcPr>
          <w:p w14:paraId="75963BB5" w14:textId="78DA6982" w:rsidR="004A3ED7" w:rsidRPr="00DA7C9F" w:rsidRDefault="004A3ED7" w:rsidP="00931D7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Our customers have told us that prices are a concern to them. In fact, this was the number one priority identified by irrigation customers. SRW has maintained a program of </w:t>
            </w:r>
            <w:r w:rsidR="00FB6A54" w:rsidRPr="00DA7C9F">
              <w:t>limited</w:t>
            </w:r>
            <w:r w:rsidRPr="00DA7C9F">
              <w:t xml:space="preserve"> price increases and in some cases price reductions and freezes. However, we manage an asset portfolio with a replacement cost of approximately $1.8</w:t>
            </w:r>
            <w:r w:rsidR="00B60A2B" w:rsidRPr="00DA7C9F">
              <w:t>5</w:t>
            </w:r>
            <w:r w:rsidR="0086377B">
              <w:t xml:space="preserve"> </w:t>
            </w:r>
            <w:r w:rsidRPr="00DA7C9F">
              <w:t>b</w:t>
            </w:r>
            <w:r w:rsidR="0086377B">
              <w:t>illion</w:t>
            </w:r>
            <w:r w:rsidRPr="00DA7C9F">
              <w:t xml:space="preserve"> where the current revenue steam leads to a gap in the financial sustainability of the business.</w:t>
            </w:r>
          </w:p>
        </w:tc>
      </w:tr>
      <w:tr w:rsidR="00C93367" w:rsidRPr="00192F41" w14:paraId="38D7B721" w14:textId="77777777" w:rsidTr="002615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vAlign w:val="top"/>
          </w:tcPr>
          <w:p w14:paraId="3F626C3D" w14:textId="77777777" w:rsidR="00C93367" w:rsidRPr="00931D7E" w:rsidRDefault="00C93367" w:rsidP="00931D7E">
            <w:pPr>
              <w:spacing w:before="40" w:after="40"/>
            </w:pPr>
            <w:r w:rsidRPr="00931D7E">
              <w:t>SRW commitment</w:t>
            </w:r>
          </w:p>
        </w:tc>
        <w:tc>
          <w:tcPr>
            <w:tcW w:w="7796" w:type="dxa"/>
            <w:noWrap/>
            <w:vAlign w:val="top"/>
          </w:tcPr>
          <w:p w14:paraId="3DDF4145" w14:textId="5FD1F64E" w:rsidR="00C93367" w:rsidRPr="00DA7C9F" w:rsidRDefault="006B3034" w:rsidP="00931D7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SRW is committed to modernising our business with minimal price increases.</w:t>
            </w:r>
          </w:p>
        </w:tc>
      </w:tr>
      <w:tr w:rsidR="00232994" w:rsidRPr="00192F41" w14:paraId="21C9BC72" w14:textId="77777777" w:rsidTr="00261507">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3CF1F589" w14:textId="581A4A08" w:rsidR="009E0970" w:rsidRPr="00931D7E" w:rsidRDefault="00AB56AB" w:rsidP="00931D7E">
            <w:pPr>
              <w:spacing w:before="40" w:after="40"/>
            </w:pPr>
            <w:r w:rsidRPr="00931D7E">
              <w:t>How will we measure this?</w:t>
            </w:r>
          </w:p>
        </w:tc>
        <w:tc>
          <w:tcPr>
            <w:tcW w:w="7796" w:type="dxa"/>
            <w:noWrap/>
          </w:tcPr>
          <w:p w14:paraId="66A9F931" w14:textId="7E0A496C" w:rsidR="009E0970" w:rsidRPr="00DA7C9F" w:rsidRDefault="009E0970" w:rsidP="00931D7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A7C9F">
              <w:t xml:space="preserve">Prices </w:t>
            </w:r>
            <w:r w:rsidR="00F86058" w:rsidRPr="00DA7C9F">
              <w:t>will be</w:t>
            </w:r>
            <w:r w:rsidRPr="00DA7C9F">
              <w:t xml:space="preserve"> consistent with P</w:t>
            </w:r>
            <w:r w:rsidR="0086377B">
              <w:t xml:space="preserve">rice </w:t>
            </w:r>
            <w:r w:rsidRPr="00DA7C9F">
              <w:t>S</w:t>
            </w:r>
            <w:r w:rsidR="0086377B">
              <w:t xml:space="preserve">ubmission </w:t>
            </w:r>
            <w:r w:rsidRPr="00DA7C9F">
              <w:t>2023</w:t>
            </w:r>
            <w:r w:rsidR="001E2B05" w:rsidRPr="00DA7C9F">
              <w:t>.</w:t>
            </w:r>
          </w:p>
        </w:tc>
      </w:tr>
      <w:tr w:rsidR="00232994" w:rsidRPr="00192F41" w14:paraId="66474EF9" w14:textId="77777777" w:rsidTr="002615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6F21B89B" w14:textId="77777777" w:rsidR="009E0970" w:rsidRPr="00931D7E" w:rsidRDefault="009E0970" w:rsidP="00931D7E">
            <w:pPr>
              <w:spacing w:before="40" w:after="40"/>
            </w:pPr>
            <w:r w:rsidRPr="00931D7E">
              <w:t>What will we do to achieve it?</w:t>
            </w:r>
          </w:p>
        </w:tc>
        <w:tc>
          <w:tcPr>
            <w:tcW w:w="7796" w:type="dxa"/>
            <w:noWrap/>
          </w:tcPr>
          <w:p w14:paraId="7BB3FB34" w14:textId="06154A82" w:rsidR="009E0970" w:rsidRPr="00DA7C9F" w:rsidRDefault="009E0970" w:rsidP="00931D7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We can do this by:</w:t>
            </w:r>
          </w:p>
          <w:p w14:paraId="42B9057B" w14:textId="3521B516"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o</w:t>
            </w:r>
            <w:r w:rsidR="00074FDA" w:rsidRPr="0086377B">
              <w:t>ptimising</w:t>
            </w:r>
            <w:r w:rsidR="009E0970" w:rsidRPr="00DA7C9F">
              <w:t xml:space="preserve"> procurement to minimise costs</w:t>
            </w:r>
            <w:r>
              <w:t>;</w:t>
            </w:r>
          </w:p>
          <w:p w14:paraId="4F1428CF" w14:textId="692CD8E5"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i</w:t>
            </w:r>
            <w:r w:rsidR="009E0970" w:rsidRPr="0086377B">
              <w:t>solating</w:t>
            </w:r>
            <w:r w:rsidR="009E0970" w:rsidRPr="00DA7C9F">
              <w:t xml:space="preserve"> costs to avoid cross subsidisation</w:t>
            </w:r>
            <w:r>
              <w:t>;</w:t>
            </w:r>
          </w:p>
          <w:p w14:paraId="536E60F8" w14:textId="7889BA1B"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s</w:t>
            </w:r>
            <w:r w:rsidR="009E0970" w:rsidRPr="0086377B">
              <w:t>eeking</w:t>
            </w:r>
            <w:r w:rsidR="009E0970" w:rsidRPr="00DA7C9F">
              <w:t xml:space="preserve"> cost recovery on complex transactions</w:t>
            </w:r>
            <w:r>
              <w:t>;</w:t>
            </w:r>
          </w:p>
          <w:p w14:paraId="4C8AE6C8" w14:textId="56B593BF"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in</w:t>
            </w:r>
            <w:r w:rsidR="009E0970" w:rsidRPr="0086377B">
              <w:t>troducing</w:t>
            </w:r>
            <w:r w:rsidR="009E0970" w:rsidRPr="00DA7C9F">
              <w:t xml:space="preserve"> ‘user pay’ tariffs (e.g., </w:t>
            </w:r>
            <w:r w:rsidR="007424C3" w:rsidRPr="00DA7C9F">
              <w:t>pre-application</w:t>
            </w:r>
            <w:r w:rsidR="00C35F2B" w:rsidRPr="00DA7C9F">
              <w:t xml:space="preserve"> fee</w:t>
            </w:r>
            <w:r w:rsidR="00DC2D63" w:rsidRPr="00DA7C9F">
              <w:t>, site visit fee</w:t>
            </w:r>
            <w:r w:rsidR="009E0970" w:rsidRPr="0086377B">
              <w:t>)</w:t>
            </w:r>
            <w:r>
              <w:t>;</w:t>
            </w:r>
          </w:p>
          <w:p w14:paraId="07C45496" w14:textId="7B1E3234"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i</w:t>
            </w:r>
            <w:r w:rsidR="009E0970" w:rsidRPr="0086377B">
              <w:t>ntroducing</w:t>
            </w:r>
            <w:r w:rsidR="009E0970" w:rsidRPr="00DA7C9F">
              <w:t xml:space="preserve"> </w:t>
            </w:r>
            <w:r w:rsidR="00C35F2B" w:rsidRPr="00DA7C9F">
              <w:t xml:space="preserve">additional fees </w:t>
            </w:r>
            <w:r w:rsidR="00F75E00" w:rsidRPr="00DA7C9F">
              <w:t>to recoup increasing costs</w:t>
            </w:r>
            <w:r w:rsidR="000F02F0" w:rsidRPr="00DA7C9F">
              <w:t xml:space="preserve"> </w:t>
            </w:r>
            <w:r w:rsidR="009E0970" w:rsidRPr="00DA7C9F">
              <w:t xml:space="preserve">(e.g., </w:t>
            </w:r>
            <w:r w:rsidR="00F75E00" w:rsidRPr="00DA7C9F">
              <w:t>advertising fees</w:t>
            </w:r>
            <w:r w:rsidR="00F75E00" w:rsidRPr="0086377B">
              <w:t>)</w:t>
            </w:r>
            <w:r>
              <w:t>; and</w:t>
            </w:r>
          </w:p>
          <w:p w14:paraId="11EDAE60" w14:textId="02FCBE6B" w:rsidR="009E0970" w:rsidRPr="00DA7C9F" w:rsidRDefault="0086377B" w:rsidP="00F459A2">
            <w:pPr>
              <w:pStyle w:val="ListParagraph"/>
              <w:numPr>
                <w:ilvl w:val="0"/>
                <w:numId w:val="16"/>
              </w:numPr>
              <w:spacing w:before="40" w:after="40"/>
              <w:ind w:right="119"/>
              <w:jc w:val="both"/>
              <w:cnfStyle w:val="000000100000" w:firstRow="0" w:lastRow="0" w:firstColumn="0" w:lastColumn="0" w:oddVBand="0" w:evenVBand="0" w:oddHBand="1" w:evenHBand="0" w:firstRowFirstColumn="0" w:firstRowLastColumn="0" w:lastRowFirstColumn="0" w:lastRowLastColumn="0"/>
            </w:pPr>
            <w:r>
              <w:t>a</w:t>
            </w:r>
            <w:r w:rsidR="009E0970" w:rsidRPr="0086377B">
              <w:t>ligning</w:t>
            </w:r>
            <w:r w:rsidR="009E0970" w:rsidRPr="00DA7C9F">
              <w:t xml:space="preserve"> capital investment with customer risk appetite.</w:t>
            </w:r>
          </w:p>
        </w:tc>
      </w:tr>
      <w:tr w:rsidR="00232994" w:rsidRPr="00192F41" w14:paraId="22D50075" w14:textId="77777777" w:rsidTr="00261507">
        <w:trPr>
          <w:trHeight w:val="250"/>
        </w:trPr>
        <w:tc>
          <w:tcPr>
            <w:cnfStyle w:val="001000000000" w:firstRow="0" w:lastRow="0" w:firstColumn="1" w:lastColumn="0" w:oddVBand="0" w:evenVBand="0" w:oddHBand="0" w:evenHBand="0" w:firstRowFirstColumn="0" w:firstRowLastColumn="0" w:lastRowFirstColumn="0" w:lastRowLastColumn="0"/>
            <w:tcW w:w="1843" w:type="dxa"/>
          </w:tcPr>
          <w:p w14:paraId="58AD85D7" w14:textId="77777777" w:rsidR="009E0970" w:rsidRPr="00931D7E" w:rsidRDefault="009E0970" w:rsidP="00931D7E">
            <w:pPr>
              <w:spacing w:before="40" w:after="40"/>
            </w:pPr>
            <w:r w:rsidRPr="00931D7E">
              <w:t>How does it come together to deliver a result?</w:t>
            </w:r>
          </w:p>
        </w:tc>
        <w:tc>
          <w:tcPr>
            <w:tcW w:w="7796" w:type="dxa"/>
            <w:noWrap/>
          </w:tcPr>
          <w:p w14:paraId="13F46BB7" w14:textId="18C8261C" w:rsidR="009E0970" w:rsidRPr="00DA7C9F" w:rsidRDefault="002369E8" w:rsidP="00931D7E">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94DF8">
              <w:t xml:space="preserve">This outcome is very much </w:t>
            </w:r>
            <w:r>
              <w:t xml:space="preserve">ensuring </w:t>
            </w:r>
            <w:r w:rsidR="005D31FB">
              <w:t xml:space="preserve">we have prices that our expenditure is prudent and efficient so that we </w:t>
            </w:r>
            <w:r w:rsidR="000C3DD5">
              <w:t>can maintain our commitment to the price pathways contained in our submission</w:t>
            </w:r>
            <w:r>
              <w:t xml:space="preserve">. </w:t>
            </w:r>
            <w:r w:rsidRPr="00894DF8">
              <w:t xml:space="preserve">Our performance measures are designed specifically to track </w:t>
            </w:r>
            <w:r w:rsidR="00BA2B3D">
              <w:t>price pathways.</w:t>
            </w:r>
          </w:p>
        </w:tc>
      </w:tr>
      <w:tr w:rsidR="00232994" w:rsidRPr="00192F41" w14:paraId="4D6AE271" w14:textId="77777777" w:rsidTr="00261507">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1843" w:type="dxa"/>
          </w:tcPr>
          <w:p w14:paraId="607F4C16" w14:textId="77777777" w:rsidR="009E0970" w:rsidRPr="00931D7E" w:rsidRDefault="009E0970" w:rsidP="00931D7E">
            <w:pPr>
              <w:spacing w:before="40" w:after="40"/>
            </w:pPr>
            <w:r w:rsidRPr="00931D7E">
              <w:t>How much will it cost/save?</w:t>
            </w:r>
          </w:p>
        </w:tc>
        <w:tc>
          <w:tcPr>
            <w:tcW w:w="7796" w:type="dxa"/>
            <w:noWrap/>
          </w:tcPr>
          <w:p w14:paraId="0E96E20E" w14:textId="5D196497" w:rsidR="009E0970" w:rsidRPr="00DA7C9F" w:rsidRDefault="00652F38" w:rsidP="00931D7E">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A7C9F">
              <w:t xml:space="preserve">This will result in </w:t>
            </w:r>
            <w:r w:rsidR="00D47C38" w:rsidRPr="00DA7C9F">
              <w:t>d</w:t>
            </w:r>
            <w:r w:rsidRPr="00DA7C9F">
              <w:t>ifferent costs and savings across the business</w:t>
            </w:r>
            <w:r w:rsidR="00D47C38" w:rsidRPr="00DA7C9F">
              <w:t xml:space="preserve"> but with the intent of ensuring costs are both prudent and efficient and that our prices provide value to our customers.</w:t>
            </w:r>
          </w:p>
        </w:tc>
      </w:tr>
      <w:tr w:rsidR="00232994" w:rsidRPr="00192F41" w14:paraId="70AF0142" w14:textId="77777777" w:rsidTr="00261507">
        <w:trPr>
          <w:trHeight w:val="250"/>
        </w:trPr>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auto"/>
            </w:tcBorders>
          </w:tcPr>
          <w:p w14:paraId="187DDB1A" w14:textId="77777777" w:rsidR="009E0970" w:rsidRPr="00931D7E" w:rsidRDefault="009E0970" w:rsidP="00931D7E">
            <w:pPr>
              <w:spacing w:before="40" w:after="40"/>
            </w:pPr>
            <w:r w:rsidRPr="00931D7E">
              <w:t>How will impact prices</w:t>
            </w:r>
          </w:p>
        </w:tc>
        <w:tc>
          <w:tcPr>
            <w:tcW w:w="7796" w:type="dxa"/>
            <w:tcBorders>
              <w:bottom w:val="single" w:sz="4" w:space="0" w:color="auto"/>
            </w:tcBorders>
            <w:noWrap/>
          </w:tcPr>
          <w:p w14:paraId="2F4B23F4" w14:textId="59F143DC" w:rsidR="009E0970" w:rsidRPr="00DA7C9F" w:rsidRDefault="00D60413" w:rsidP="00931D7E">
            <w:pPr>
              <w:spacing w:before="40" w:after="40"/>
              <w:ind w:right="119"/>
              <w:jc w:val="both"/>
              <w:cnfStyle w:val="000000000000" w:firstRow="0" w:lastRow="0" w:firstColumn="0" w:lastColumn="0" w:oddVBand="0" w:evenVBand="0" w:oddHBand="0" w:evenHBand="0" w:firstRowFirstColumn="0" w:firstRowLastColumn="0" w:lastRowFirstColumn="0" w:lastRowLastColumn="0"/>
            </w:pPr>
            <w:r>
              <w:t>This ensure</w:t>
            </w:r>
            <w:r w:rsidR="00787684">
              <w:t>s</w:t>
            </w:r>
            <w:r>
              <w:t xml:space="preserve"> prices are capped in the MID </w:t>
            </w:r>
            <w:r w:rsidR="00B810D1">
              <w:t>at</w:t>
            </w:r>
            <w:r>
              <w:t xml:space="preserve"> 1.5% +CPI, WID </w:t>
            </w:r>
            <w:r w:rsidR="00B810D1">
              <w:t>at</w:t>
            </w:r>
            <w:r>
              <w:t xml:space="preserve"> 1%+CPI, BMID and G&amp;R </w:t>
            </w:r>
            <w:r w:rsidR="00A62556">
              <w:t xml:space="preserve">at CPI </w:t>
            </w:r>
            <w:r>
              <w:t>(per annum).</w:t>
            </w:r>
          </w:p>
        </w:tc>
      </w:tr>
    </w:tbl>
    <w:p w14:paraId="242D7AD8" w14:textId="1679C442" w:rsidR="00FE713E" w:rsidRPr="00192F41" w:rsidRDefault="00FE713E" w:rsidP="009E0970">
      <w:pPr>
        <w:rPr>
          <w:rFonts w:cs="Arial"/>
        </w:rPr>
      </w:pPr>
      <w:r w:rsidRPr="00192F41">
        <w:rPr>
          <w:rFonts w:cs="Arial"/>
        </w:rPr>
        <w:br w:type="page"/>
      </w:r>
    </w:p>
    <w:p w14:paraId="7CBDB3EA" w14:textId="6CADCEA0" w:rsidR="0059194C" w:rsidRPr="009F456A" w:rsidRDefault="00BD2303" w:rsidP="00BD2303">
      <w:pPr>
        <w:pStyle w:val="Heading3"/>
        <w:rPr>
          <w:rStyle w:val="IntenseEmphasis"/>
          <w:i w:val="0"/>
          <w:iCs w:val="0"/>
          <w:sz w:val="36"/>
          <w:szCs w:val="26"/>
        </w:rPr>
      </w:pPr>
      <w:r w:rsidRPr="009F456A">
        <w:rPr>
          <w:rStyle w:val="IntenseEmphasis"/>
          <w:i w:val="0"/>
          <w:iCs w:val="0"/>
          <w:sz w:val="36"/>
          <w:szCs w:val="26"/>
        </w:rPr>
        <w:t>Reporting</w:t>
      </w:r>
    </w:p>
    <w:p w14:paraId="769E5AFA" w14:textId="2A33D81E" w:rsidR="00154CA6" w:rsidRDefault="004D76F2" w:rsidP="00F5227E">
      <w:pPr>
        <w:jc w:val="both"/>
        <w:rPr>
          <w:rStyle w:val="IntenseEmphasis"/>
          <w:rFonts w:cs="Arial"/>
          <w:i w:val="0"/>
          <w:iCs w:val="0"/>
          <w:color w:val="auto"/>
        </w:rPr>
      </w:pPr>
      <w:r>
        <w:rPr>
          <w:rStyle w:val="IntenseEmphasis"/>
          <w:rFonts w:cs="Arial"/>
          <w:i w:val="0"/>
          <w:iCs w:val="0"/>
          <w:color w:val="auto"/>
        </w:rPr>
        <w:t>SRW</w:t>
      </w:r>
      <w:r w:rsidR="00DA0B64">
        <w:rPr>
          <w:rStyle w:val="IntenseEmphasis"/>
          <w:rFonts w:cs="Arial"/>
          <w:i w:val="0"/>
          <w:iCs w:val="0"/>
          <w:color w:val="auto"/>
        </w:rPr>
        <w:t xml:space="preserve"> </w:t>
      </w:r>
      <w:r>
        <w:rPr>
          <w:rStyle w:val="IntenseEmphasis"/>
          <w:rFonts w:cs="Arial"/>
          <w:i w:val="0"/>
          <w:iCs w:val="0"/>
          <w:color w:val="auto"/>
        </w:rPr>
        <w:t xml:space="preserve">currently provides an annual </w:t>
      </w:r>
      <w:r w:rsidR="00DA0B64">
        <w:rPr>
          <w:rStyle w:val="IntenseEmphasis"/>
          <w:rFonts w:cs="Arial"/>
          <w:i w:val="0"/>
          <w:iCs w:val="0"/>
          <w:color w:val="auto"/>
        </w:rPr>
        <w:t xml:space="preserve">performance </w:t>
      </w:r>
      <w:r>
        <w:rPr>
          <w:rStyle w:val="IntenseEmphasis"/>
          <w:rFonts w:cs="Arial"/>
          <w:i w:val="0"/>
          <w:iCs w:val="0"/>
          <w:color w:val="auto"/>
        </w:rPr>
        <w:t>report</w:t>
      </w:r>
      <w:r w:rsidR="00DA0B64">
        <w:rPr>
          <w:rStyle w:val="IntenseEmphasis"/>
          <w:rFonts w:cs="Arial"/>
          <w:i w:val="0"/>
          <w:iCs w:val="0"/>
          <w:color w:val="auto"/>
        </w:rPr>
        <w:t xml:space="preserve"> to the ESC</w:t>
      </w:r>
      <w:r w:rsidR="00EF7D51">
        <w:rPr>
          <w:rStyle w:val="IntenseEmphasis"/>
          <w:rFonts w:cs="Arial"/>
          <w:i w:val="0"/>
          <w:iCs w:val="0"/>
          <w:color w:val="auto"/>
        </w:rPr>
        <w:t xml:space="preserve"> and publishes this on our website for customers</w:t>
      </w:r>
      <w:r w:rsidR="00F16A86">
        <w:rPr>
          <w:rStyle w:val="IntenseEmphasis"/>
          <w:rFonts w:cs="Arial"/>
          <w:i w:val="0"/>
          <w:iCs w:val="0"/>
          <w:color w:val="auto"/>
        </w:rPr>
        <w:t>. Our intention is to</w:t>
      </w:r>
      <w:r w:rsidR="00154CA6">
        <w:rPr>
          <w:rStyle w:val="IntenseEmphasis"/>
          <w:rFonts w:cs="Arial"/>
          <w:i w:val="0"/>
          <w:iCs w:val="0"/>
          <w:color w:val="auto"/>
        </w:rPr>
        <w:t>:</w:t>
      </w:r>
    </w:p>
    <w:p w14:paraId="6488D18F" w14:textId="272F5E44" w:rsidR="00154CA6" w:rsidRDefault="00F16A86" w:rsidP="008F3AAF">
      <w:pPr>
        <w:pStyle w:val="Bulletpointparagraph"/>
        <w:rPr>
          <w:rStyle w:val="IntenseEmphasis"/>
          <w:rFonts w:cs="Arial"/>
          <w:i w:val="0"/>
          <w:iCs w:val="0"/>
          <w:color w:val="auto"/>
        </w:rPr>
      </w:pPr>
      <w:r>
        <w:rPr>
          <w:rStyle w:val="IntenseEmphasis"/>
          <w:rFonts w:cs="Arial"/>
          <w:i w:val="0"/>
          <w:iCs w:val="0"/>
          <w:color w:val="auto"/>
        </w:rPr>
        <w:t>pro</w:t>
      </w:r>
      <w:r w:rsidR="00154CA6">
        <w:rPr>
          <w:rStyle w:val="IntenseEmphasis"/>
          <w:rFonts w:cs="Arial"/>
          <w:i w:val="0"/>
          <w:iCs w:val="0"/>
          <w:color w:val="auto"/>
        </w:rPr>
        <w:t>d</w:t>
      </w:r>
      <w:r>
        <w:rPr>
          <w:rStyle w:val="IntenseEmphasis"/>
          <w:rFonts w:cs="Arial"/>
          <w:i w:val="0"/>
          <w:iCs w:val="0"/>
          <w:color w:val="auto"/>
        </w:rPr>
        <w:t>uce this report twice a year</w:t>
      </w:r>
      <w:r w:rsidR="008E6937">
        <w:rPr>
          <w:rStyle w:val="IntenseEmphasis"/>
          <w:rFonts w:cs="Arial"/>
          <w:i w:val="0"/>
          <w:iCs w:val="0"/>
          <w:color w:val="auto"/>
        </w:rPr>
        <w:t>;</w:t>
      </w:r>
    </w:p>
    <w:p w14:paraId="5C054CF5" w14:textId="4CCB0BAC" w:rsidR="00963EC3" w:rsidRDefault="00963EC3" w:rsidP="008F3AAF">
      <w:pPr>
        <w:pStyle w:val="Bulletpointparagraph"/>
        <w:rPr>
          <w:rStyle w:val="IntenseEmphasis"/>
          <w:rFonts w:cs="Arial"/>
          <w:i w:val="0"/>
          <w:iCs w:val="0"/>
          <w:color w:val="auto"/>
        </w:rPr>
      </w:pPr>
      <w:r>
        <w:rPr>
          <w:rStyle w:val="IntenseEmphasis"/>
          <w:rFonts w:cs="Arial"/>
          <w:i w:val="0"/>
          <w:iCs w:val="0"/>
          <w:color w:val="auto"/>
        </w:rPr>
        <w:t>table it for discussion at our customer consultative committees</w:t>
      </w:r>
      <w:r w:rsidR="008E6937">
        <w:rPr>
          <w:rStyle w:val="IntenseEmphasis"/>
          <w:rFonts w:cs="Arial"/>
          <w:i w:val="0"/>
          <w:iCs w:val="0"/>
          <w:color w:val="auto"/>
        </w:rPr>
        <w:t>;</w:t>
      </w:r>
    </w:p>
    <w:p w14:paraId="1E0ECB37" w14:textId="77777777" w:rsidR="00F12BDC" w:rsidRDefault="00963EC3" w:rsidP="008F3AAF">
      <w:pPr>
        <w:pStyle w:val="Bulletpointparagraph"/>
        <w:rPr>
          <w:rStyle w:val="IntenseEmphasis"/>
          <w:rFonts w:cs="Arial"/>
          <w:i w:val="0"/>
          <w:iCs w:val="0"/>
          <w:color w:val="auto"/>
        </w:rPr>
      </w:pPr>
      <w:r>
        <w:rPr>
          <w:rStyle w:val="IntenseEmphasis"/>
          <w:rFonts w:cs="Arial"/>
          <w:i w:val="0"/>
          <w:iCs w:val="0"/>
          <w:color w:val="auto"/>
        </w:rPr>
        <w:t>po</w:t>
      </w:r>
      <w:r w:rsidR="0062587F">
        <w:rPr>
          <w:rStyle w:val="IntenseEmphasis"/>
          <w:rFonts w:cs="Arial"/>
          <w:i w:val="0"/>
          <w:iCs w:val="0"/>
          <w:color w:val="auto"/>
        </w:rPr>
        <w:t xml:space="preserve">st it on our website and seek </w:t>
      </w:r>
      <w:r w:rsidR="008F3AAF">
        <w:rPr>
          <w:rStyle w:val="IntenseEmphasis"/>
          <w:rFonts w:cs="Arial"/>
          <w:i w:val="0"/>
          <w:iCs w:val="0"/>
          <w:color w:val="auto"/>
        </w:rPr>
        <w:t>public comments on the report and the outcomes</w:t>
      </w:r>
      <w:r w:rsidR="00F12BDC">
        <w:rPr>
          <w:rStyle w:val="IntenseEmphasis"/>
          <w:rFonts w:cs="Arial"/>
          <w:i w:val="0"/>
          <w:iCs w:val="0"/>
          <w:color w:val="auto"/>
        </w:rPr>
        <w:t>; and</w:t>
      </w:r>
    </w:p>
    <w:p w14:paraId="469F9B9D" w14:textId="686797C7" w:rsidR="00963EC3" w:rsidRDefault="00F12BDC" w:rsidP="008F3AAF">
      <w:pPr>
        <w:pStyle w:val="Bulletpointparagraph"/>
        <w:rPr>
          <w:rStyle w:val="IntenseEmphasis"/>
          <w:rFonts w:cs="Arial"/>
          <w:i w:val="0"/>
          <w:iCs w:val="0"/>
          <w:color w:val="auto"/>
        </w:rPr>
      </w:pPr>
      <w:r>
        <w:rPr>
          <w:rStyle w:val="IntenseEmphasis"/>
          <w:rFonts w:cs="Arial"/>
          <w:i w:val="0"/>
          <w:iCs w:val="0"/>
          <w:color w:val="auto"/>
        </w:rPr>
        <w:t xml:space="preserve">incorporate comments from the mid-year review </w:t>
      </w:r>
      <w:r w:rsidR="00F60DC8">
        <w:rPr>
          <w:rStyle w:val="IntenseEmphasis"/>
          <w:rFonts w:cs="Arial"/>
          <w:i w:val="0"/>
          <w:iCs w:val="0"/>
          <w:color w:val="auto"/>
        </w:rPr>
        <w:t>and</w:t>
      </w:r>
      <w:r w:rsidR="004746E1">
        <w:rPr>
          <w:rStyle w:val="IntenseEmphasis"/>
          <w:rFonts w:cs="Arial"/>
          <w:i w:val="0"/>
          <w:iCs w:val="0"/>
          <w:color w:val="auto"/>
        </w:rPr>
        <w:t xml:space="preserve"> report any potential changes</w:t>
      </w:r>
      <w:r w:rsidR="00010872">
        <w:rPr>
          <w:rStyle w:val="IntenseEmphasis"/>
          <w:rFonts w:cs="Arial"/>
          <w:i w:val="0"/>
          <w:iCs w:val="0"/>
          <w:color w:val="auto"/>
        </w:rPr>
        <w:t xml:space="preserve"> </w:t>
      </w:r>
      <w:r w:rsidR="004746E1">
        <w:rPr>
          <w:rStyle w:val="IntenseEmphasis"/>
          <w:rFonts w:cs="Arial"/>
          <w:i w:val="0"/>
          <w:iCs w:val="0"/>
          <w:color w:val="auto"/>
        </w:rPr>
        <w:t>(</w:t>
      </w:r>
      <w:r w:rsidR="00041EE3">
        <w:rPr>
          <w:rStyle w:val="IntenseEmphasis"/>
          <w:rFonts w:cs="Arial"/>
          <w:i w:val="0"/>
          <w:iCs w:val="0"/>
          <w:color w:val="auto"/>
        </w:rPr>
        <w:t>as</w:t>
      </w:r>
      <w:r w:rsidR="00010872">
        <w:rPr>
          <w:rStyle w:val="IntenseEmphasis"/>
          <w:rFonts w:cs="Arial"/>
          <w:i w:val="0"/>
          <w:iCs w:val="0"/>
          <w:color w:val="auto"/>
        </w:rPr>
        <w:t xml:space="preserve"> required </w:t>
      </w:r>
      <w:r w:rsidR="00141EF8">
        <w:rPr>
          <w:rStyle w:val="IntenseEmphasis"/>
          <w:rFonts w:cs="Arial"/>
          <w:i w:val="0"/>
          <w:iCs w:val="0"/>
          <w:color w:val="auto"/>
        </w:rPr>
        <w:t xml:space="preserve">through customer feedback </w:t>
      </w:r>
      <w:r w:rsidR="004746E1">
        <w:rPr>
          <w:rStyle w:val="IntenseEmphasis"/>
          <w:rFonts w:cs="Arial"/>
          <w:i w:val="0"/>
          <w:iCs w:val="0"/>
          <w:color w:val="auto"/>
        </w:rPr>
        <w:t xml:space="preserve">and agreed </w:t>
      </w:r>
      <w:r w:rsidR="00BA505B">
        <w:rPr>
          <w:rStyle w:val="IntenseEmphasis"/>
          <w:rFonts w:cs="Arial"/>
          <w:i w:val="0"/>
          <w:iCs w:val="0"/>
          <w:color w:val="auto"/>
        </w:rPr>
        <w:t>through</w:t>
      </w:r>
      <w:r w:rsidR="004746E1">
        <w:rPr>
          <w:rStyle w:val="IntenseEmphasis"/>
          <w:rFonts w:cs="Arial"/>
          <w:i w:val="0"/>
          <w:iCs w:val="0"/>
          <w:color w:val="auto"/>
        </w:rPr>
        <w:t xml:space="preserve"> engagement with our customer committees)</w:t>
      </w:r>
      <w:r w:rsidR="00F60DC8">
        <w:rPr>
          <w:rStyle w:val="IntenseEmphasis"/>
          <w:rFonts w:cs="Arial"/>
          <w:i w:val="0"/>
          <w:iCs w:val="0"/>
          <w:color w:val="auto"/>
        </w:rPr>
        <w:t xml:space="preserve"> </w:t>
      </w:r>
      <w:r>
        <w:rPr>
          <w:rStyle w:val="IntenseEmphasis"/>
          <w:rFonts w:cs="Arial"/>
          <w:i w:val="0"/>
          <w:iCs w:val="0"/>
          <w:color w:val="auto"/>
        </w:rPr>
        <w:t>in the annual report</w:t>
      </w:r>
      <w:r w:rsidR="008F3AAF">
        <w:rPr>
          <w:rStyle w:val="IntenseEmphasis"/>
          <w:rFonts w:cs="Arial"/>
          <w:i w:val="0"/>
          <w:iCs w:val="0"/>
          <w:color w:val="auto"/>
        </w:rPr>
        <w:t>.</w:t>
      </w:r>
    </w:p>
    <w:p w14:paraId="4A42C4E5" w14:textId="63C0C42D" w:rsidR="00B31B88" w:rsidRPr="009F456A" w:rsidRDefault="00B31B88" w:rsidP="00B31B88">
      <w:pPr>
        <w:pStyle w:val="Heading3"/>
        <w:rPr>
          <w:rStyle w:val="IntenseEmphasis"/>
          <w:i w:val="0"/>
          <w:iCs w:val="0"/>
          <w:sz w:val="36"/>
          <w:szCs w:val="26"/>
        </w:rPr>
      </w:pPr>
      <w:r w:rsidRPr="009F456A">
        <w:rPr>
          <w:rStyle w:val="IntenseEmphasis"/>
          <w:i w:val="0"/>
          <w:iCs w:val="0"/>
          <w:sz w:val="36"/>
          <w:szCs w:val="26"/>
        </w:rPr>
        <w:t>Underperformance</w:t>
      </w:r>
    </w:p>
    <w:p w14:paraId="4028ECD6" w14:textId="375F4B26" w:rsidR="00480CE1" w:rsidRPr="00192F41" w:rsidRDefault="0046725F" w:rsidP="00F5227E">
      <w:pPr>
        <w:jc w:val="both"/>
        <w:rPr>
          <w:rStyle w:val="IntenseEmphasis"/>
          <w:rFonts w:cs="Arial"/>
          <w:i w:val="0"/>
          <w:iCs w:val="0"/>
          <w:color w:val="auto"/>
        </w:rPr>
      </w:pPr>
      <w:r>
        <w:rPr>
          <w:rStyle w:val="IntenseEmphasis"/>
          <w:rFonts w:cs="Arial"/>
          <w:i w:val="0"/>
          <w:iCs w:val="0"/>
          <w:color w:val="auto"/>
        </w:rPr>
        <w:t xml:space="preserve">It is recognised that we </w:t>
      </w:r>
      <w:r w:rsidR="001C2F01">
        <w:rPr>
          <w:rStyle w:val="IntenseEmphasis"/>
          <w:rFonts w:cs="Arial"/>
          <w:i w:val="0"/>
          <w:iCs w:val="0"/>
          <w:color w:val="auto"/>
        </w:rPr>
        <w:t>may</w:t>
      </w:r>
      <w:r>
        <w:rPr>
          <w:rStyle w:val="IntenseEmphasis"/>
          <w:rFonts w:cs="Arial"/>
          <w:i w:val="0"/>
          <w:iCs w:val="0"/>
          <w:color w:val="auto"/>
        </w:rPr>
        <w:t xml:space="preserve"> not always meet our targets (e.g</w:t>
      </w:r>
      <w:r w:rsidR="00B348D3">
        <w:rPr>
          <w:rStyle w:val="IntenseEmphasis"/>
          <w:rFonts w:cs="Arial"/>
          <w:i w:val="0"/>
          <w:iCs w:val="0"/>
          <w:color w:val="auto"/>
        </w:rPr>
        <w:t>.,</w:t>
      </w:r>
      <w:r>
        <w:rPr>
          <w:rStyle w:val="IntenseEmphasis"/>
          <w:rFonts w:cs="Arial"/>
          <w:i w:val="0"/>
          <w:iCs w:val="0"/>
          <w:color w:val="auto"/>
        </w:rPr>
        <w:t xml:space="preserve"> water sales in 2022)</w:t>
      </w:r>
      <w:r w:rsidR="007E129A">
        <w:rPr>
          <w:rStyle w:val="IntenseEmphasis"/>
          <w:rFonts w:cs="Arial"/>
          <w:i w:val="0"/>
          <w:iCs w:val="0"/>
          <w:color w:val="auto"/>
        </w:rPr>
        <w:t>.</w:t>
      </w:r>
    </w:p>
    <w:p w14:paraId="5E43753B" w14:textId="56F45AA1" w:rsidR="008D55FF" w:rsidRDefault="008D55FF" w:rsidP="00F5227E">
      <w:pPr>
        <w:jc w:val="both"/>
        <w:rPr>
          <w:rStyle w:val="IntenseEmphasis"/>
          <w:rFonts w:cs="Arial"/>
          <w:i w:val="0"/>
          <w:iCs w:val="0"/>
          <w:color w:val="auto"/>
        </w:rPr>
      </w:pPr>
      <w:r>
        <w:rPr>
          <w:rStyle w:val="IntenseEmphasis"/>
          <w:rFonts w:cs="Arial"/>
          <w:i w:val="0"/>
          <w:iCs w:val="0"/>
          <w:color w:val="auto"/>
        </w:rPr>
        <w:t xml:space="preserve">A key factor in </w:t>
      </w:r>
      <w:r w:rsidR="00F51B59">
        <w:rPr>
          <w:rStyle w:val="IntenseEmphasis"/>
          <w:rFonts w:cs="Arial"/>
          <w:i w:val="0"/>
          <w:iCs w:val="0"/>
          <w:color w:val="auto"/>
        </w:rPr>
        <w:t xml:space="preserve">determining </w:t>
      </w:r>
      <w:r>
        <w:rPr>
          <w:rStyle w:val="IntenseEmphasis"/>
          <w:rFonts w:cs="Arial"/>
          <w:i w:val="0"/>
          <w:iCs w:val="0"/>
          <w:color w:val="auto"/>
        </w:rPr>
        <w:t>under</w:t>
      </w:r>
      <w:r w:rsidR="00944B74">
        <w:rPr>
          <w:rStyle w:val="IntenseEmphasis"/>
          <w:rFonts w:cs="Arial"/>
          <w:i w:val="0"/>
          <w:iCs w:val="0"/>
          <w:color w:val="auto"/>
        </w:rPr>
        <w:t>perform</w:t>
      </w:r>
      <w:r w:rsidR="00F51B59">
        <w:rPr>
          <w:rStyle w:val="IntenseEmphasis"/>
          <w:rFonts w:cs="Arial"/>
          <w:i w:val="0"/>
          <w:iCs w:val="0"/>
          <w:color w:val="auto"/>
        </w:rPr>
        <w:t>ance</w:t>
      </w:r>
      <w:r w:rsidR="00944B74">
        <w:rPr>
          <w:rStyle w:val="IntenseEmphasis"/>
          <w:rFonts w:cs="Arial"/>
          <w:i w:val="0"/>
          <w:iCs w:val="0"/>
          <w:color w:val="auto"/>
        </w:rPr>
        <w:t xml:space="preserve"> will be to consider whether the matter has material cons</w:t>
      </w:r>
      <w:r w:rsidR="002411D6">
        <w:rPr>
          <w:rStyle w:val="IntenseEmphasis"/>
          <w:rFonts w:cs="Arial"/>
          <w:i w:val="0"/>
          <w:iCs w:val="0"/>
          <w:color w:val="auto"/>
        </w:rPr>
        <w:t>equences (i.e</w:t>
      </w:r>
      <w:r w:rsidR="00B348D3">
        <w:rPr>
          <w:rStyle w:val="IntenseEmphasis"/>
          <w:rFonts w:cs="Arial"/>
          <w:i w:val="0"/>
          <w:iCs w:val="0"/>
          <w:color w:val="auto"/>
        </w:rPr>
        <w:t>.,</w:t>
      </w:r>
      <w:r w:rsidR="002411D6">
        <w:rPr>
          <w:rStyle w:val="IntenseEmphasis"/>
          <w:rFonts w:cs="Arial"/>
          <w:i w:val="0"/>
          <w:iCs w:val="0"/>
          <w:color w:val="auto"/>
        </w:rPr>
        <w:t xml:space="preserve"> will it lead to a change in prices, will it result in lower service standards etc).</w:t>
      </w:r>
      <w:r w:rsidR="00EE4DD2">
        <w:rPr>
          <w:rStyle w:val="IntenseEmphasis"/>
          <w:rFonts w:cs="Arial"/>
          <w:i w:val="0"/>
          <w:iCs w:val="0"/>
          <w:color w:val="auto"/>
        </w:rPr>
        <w:t xml:space="preserve"> This will help us to decide whether we need to intervene or take action </w:t>
      </w:r>
      <w:r w:rsidR="00EB5C39">
        <w:rPr>
          <w:rStyle w:val="IntenseEmphasis"/>
          <w:rFonts w:cs="Arial"/>
          <w:i w:val="0"/>
          <w:iCs w:val="0"/>
          <w:color w:val="auto"/>
        </w:rPr>
        <w:t>to ensure we meet out desired targets.</w:t>
      </w:r>
    </w:p>
    <w:p w14:paraId="56CFE59E" w14:textId="77777777" w:rsidR="007B4DC8" w:rsidRDefault="00EB5C39" w:rsidP="00F5227E">
      <w:pPr>
        <w:jc w:val="both"/>
        <w:rPr>
          <w:rStyle w:val="IntenseEmphasis"/>
          <w:rFonts w:cs="Arial"/>
          <w:i w:val="0"/>
          <w:iCs w:val="0"/>
          <w:color w:val="auto"/>
        </w:rPr>
      </w:pPr>
      <w:r>
        <w:rPr>
          <w:rStyle w:val="IntenseEmphasis"/>
          <w:rFonts w:cs="Arial"/>
          <w:i w:val="0"/>
          <w:iCs w:val="0"/>
          <w:color w:val="auto"/>
        </w:rPr>
        <w:t>Reviewing our performance twice a year will</w:t>
      </w:r>
      <w:r w:rsidR="00774D93">
        <w:rPr>
          <w:rStyle w:val="IntenseEmphasis"/>
          <w:rFonts w:cs="Arial"/>
          <w:i w:val="0"/>
          <w:iCs w:val="0"/>
          <w:color w:val="auto"/>
        </w:rPr>
        <w:t xml:space="preserve"> provide </w:t>
      </w:r>
      <w:r w:rsidR="00934591">
        <w:rPr>
          <w:rStyle w:val="IntenseEmphasis"/>
          <w:rFonts w:cs="Arial"/>
          <w:i w:val="0"/>
          <w:iCs w:val="0"/>
          <w:color w:val="auto"/>
        </w:rPr>
        <w:t>greater capacity t</w:t>
      </w:r>
      <w:r>
        <w:rPr>
          <w:rStyle w:val="IntenseEmphasis"/>
          <w:rFonts w:cs="Arial"/>
          <w:i w:val="0"/>
          <w:iCs w:val="0"/>
          <w:color w:val="auto"/>
        </w:rPr>
        <w:t xml:space="preserve">o identify </w:t>
      </w:r>
      <w:r w:rsidR="00934591">
        <w:rPr>
          <w:rStyle w:val="IntenseEmphasis"/>
          <w:rFonts w:cs="Arial"/>
          <w:i w:val="0"/>
          <w:iCs w:val="0"/>
          <w:color w:val="auto"/>
        </w:rPr>
        <w:t>performance levels</w:t>
      </w:r>
      <w:r w:rsidR="007B4DC8">
        <w:rPr>
          <w:rStyle w:val="IntenseEmphasis"/>
          <w:rFonts w:cs="Arial"/>
          <w:i w:val="0"/>
          <w:iCs w:val="0"/>
          <w:color w:val="auto"/>
        </w:rPr>
        <w:t>.</w:t>
      </w:r>
    </w:p>
    <w:p w14:paraId="764F6AB5" w14:textId="49EE0D89" w:rsidR="0083769B" w:rsidRDefault="007B4DC8" w:rsidP="001305FC">
      <w:pPr>
        <w:rPr>
          <w:rStyle w:val="IntenseEmphasis"/>
          <w:rFonts w:cs="Arial"/>
          <w:i w:val="0"/>
          <w:iCs w:val="0"/>
          <w:color w:val="auto"/>
        </w:rPr>
      </w:pPr>
      <w:r>
        <w:rPr>
          <w:rStyle w:val="IntenseEmphasis"/>
          <w:rFonts w:cs="Arial"/>
          <w:i w:val="0"/>
          <w:iCs w:val="0"/>
          <w:color w:val="auto"/>
        </w:rPr>
        <w:t>The mid</w:t>
      </w:r>
      <w:r w:rsidR="00B348D3">
        <w:rPr>
          <w:rStyle w:val="IntenseEmphasis"/>
          <w:rFonts w:cs="Arial"/>
          <w:i w:val="0"/>
          <w:iCs w:val="0"/>
          <w:color w:val="auto"/>
        </w:rPr>
        <w:t>-</w:t>
      </w:r>
      <w:r>
        <w:rPr>
          <w:rStyle w:val="IntenseEmphasis"/>
          <w:rFonts w:cs="Arial"/>
          <w:i w:val="0"/>
          <w:iCs w:val="0"/>
          <w:color w:val="auto"/>
        </w:rPr>
        <w:t>year and end of year re</w:t>
      </w:r>
      <w:r w:rsidR="00565971">
        <w:rPr>
          <w:rStyle w:val="IntenseEmphasis"/>
          <w:rFonts w:cs="Arial"/>
          <w:i w:val="0"/>
          <w:iCs w:val="0"/>
          <w:color w:val="auto"/>
        </w:rPr>
        <w:t>p</w:t>
      </w:r>
      <w:r>
        <w:rPr>
          <w:rStyle w:val="IntenseEmphasis"/>
          <w:rFonts w:cs="Arial"/>
          <w:i w:val="0"/>
          <w:iCs w:val="0"/>
          <w:color w:val="auto"/>
        </w:rPr>
        <w:t>orts will be tabled with our board</w:t>
      </w:r>
      <w:r w:rsidR="0083769B">
        <w:rPr>
          <w:rStyle w:val="IntenseEmphasis"/>
          <w:rFonts w:cs="Arial"/>
          <w:i w:val="0"/>
          <w:iCs w:val="0"/>
          <w:color w:val="auto"/>
        </w:rPr>
        <w:t>.</w:t>
      </w:r>
    </w:p>
    <w:p w14:paraId="6E90C49C" w14:textId="38DF31E7" w:rsidR="001305FC" w:rsidRPr="00192F41" w:rsidRDefault="001305FC" w:rsidP="00BD2303">
      <w:pPr>
        <w:pStyle w:val="Heading2"/>
        <w:rPr>
          <w:rStyle w:val="IntenseEmphasis"/>
          <w:rFonts w:cs="Arial"/>
          <w:i w:val="0"/>
          <w:iCs w:val="0"/>
          <w:sz w:val="36"/>
        </w:rPr>
      </w:pPr>
      <w:r w:rsidRPr="00192F41">
        <w:rPr>
          <w:rStyle w:val="IntenseEmphasis"/>
          <w:rFonts w:cs="Arial"/>
          <w:i w:val="0"/>
          <w:iCs w:val="0"/>
          <w:sz w:val="36"/>
        </w:rPr>
        <w:t>Service standards relating to reliability and faults</w:t>
      </w:r>
    </w:p>
    <w:p w14:paraId="0C3593C7" w14:textId="6936A3C1" w:rsidR="00BD2303" w:rsidRPr="00192F41" w:rsidRDefault="00846750" w:rsidP="00F5227E">
      <w:pPr>
        <w:jc w:val="both"/>
        <w:rPr>
          <w:rStyle w:val="IntenseEmphasis"/>
          <w:rFonts w:cs="Arial"/>
          <w:i w:val="0"/>
          <w:iCs w:val="0"/>
          <w:color w:val="auto"/>
        </w:rPr>
      </w:pPr>
      <w:r w:rsidRPr="00192F41">
        <w:rPr>
          <w:rStyle w:val="IntenseEmphasis"/>
          <w:rFonts w:cs="Arial"/>
          <w:i w:val="0"/>
          <w:iCs w:val="0"/>
          <w:color w:val="auto"/>
        </w:rPr>
        <w:t>SRW is a rural water corpor</w:t>
      </w:r>
      <w:r w:rsidR="004E4689" w:rsidRPr="00192F41">
        <w:rPr>
          <w:rStyle w:val="IntenseEmphasis"/>
          <w:rFonts w:cs="Arial"/>
          <w:i w:val="0"/>
          <w:iCs w:val="0"/>
          <w:color w:val="auto"/>
        </w:rPr>
        <w:t>a</w:t>
      </w:r>
      <w:r w:rsidRPr="00192F41">
        <w:rPr>
          <w:rStyle w:val="IntenseEmphasis"/>
          <w:rFonts w:cs="Arial"/>
          <w:i w:val="0"/>
          <w:iCs w:val="0"/>
          <w:color w:val="auto"/>
        </w:rPr>
        <w:t>tion</w:t>
      </w:r>
      <w:r w:rsidR="004E4689" w:rsidRPr="00192F41">
        <w:rPr>
          <w:rStyle w:val="IntenseEmphasis"/>
          <w:rFonts w:cs="Arial"/>
          <w:i w:val="0"/>
          <w:iCs w:val="0"/>
          <w:color w:val="auto"/>
        </w:rPr>
        <w:t xml:space="preserve"> </w:t>
      </w:r>
      <w:r w:rsidR="00433D31" w:rsidRPr="00192F41">
        <w:rPr>
          <w:rStyle w:val="IntenseEmphasis"/>
          <w:rFonts w:cs="Arial"/>
          <w:i w:val="0"/>
          <w:iCs w:val="0"/>
          <w:color w:val="auto"/>
        </w:rPr>
        <w:t>and while we are committed to attending to faults as soon as r</w:t>
      </w:r>
      <w:r w:rsidR="007A2406" w:rsidRPr="00192F41">
        <w:rPr>
          <w:rStyle w:val="IntenseEmphasis"/>
          <w:rFonts w:cs="Arial"/>
          <w:i w:val="0"/>
          <w:iCs w:val="0"/>
          <w:color w:val="auto"/>
        </w:rPr>
        <w:t>e</w:t>
      </w:r>
      <w:r w:rsidR="00433D31" w:rsidRPr="00192F41">
        <w:rPr>
          <w:rStyle w:val="IntenseEmphasis"/>
          <w:rFonts w:cs="Arial"/>
          <w:i w:val="0"/>
          <w:iCs w:val="0"/>
          <w:color w:val="auto"/>
        </w:rPr>
        <w:t>asonably practicable</w:t>
      </w:r>
      <w:r w:rsidR="007A2406" w:rsidRPr="00192F41">
        <w:rPr>
          <w:rStyle w:val="IntenseEmphasis"/>
          <w:rFonts w:cs="Arial"/>
          <w:i w:val="0"/>
          <w:iCs w:val="0"/>
          <w:color w:val="auto"/>
        </w:rPr>
        <w:t xml:space="preserve"> and will monitor this through our performance outcomes</w:t>
      </w:r>
      <w:r w:rsidR="00DC1B21" w:rsidRPr="00192F41">
        <w:rPr>
          <w:rStyle w:val="IntenseEmphasis"/>
          <w:rFonts w:cs="Arial"/>
          <w:i w:val="0"/>
          <w:iCs w:val="0"/>
          <w:color w:val="auto"/>
        </w:rPr>
        <w:t xml:space="preserve">, </w:t>
      </w:r>
      <w:r w:rsidR="00883B0B" w:rsidRPr="00192F41">
        <w:rPr>
          <w:rStyle w:val="IntenseEmphasis"/>
          <w:rFonts w:cs="Arial"/>
          <w:i w:val="0"/>
          <w:iCs w:val="0"/>
          <w:color w:val="auto"/>
        </w:rPr>
        <w:t>we are not proposing a series of service standards as per the ESC’s u</w:t>
      </w:r>
      <w:r w:rsidRPr="00192F41">
        <w:rPr>
          <w:rStyle w:val="IntenseEmphasis"/>
          <w:rFonts w:cs="Arial"/>
          <w:i w:val="0"/>
          <w:iCs w:val="0"/>
          <w:color w:val="auto"/>
        </w:rPr>
        <w:t>rban water customer service code</w:t>
      </w:r>
      <w:r w:rsidR="00883B0B" w:rsidRPr="00192F41">
        <w:rPr>
          <w:rStyle w:val="IntenseEmphasis"/>
          <w:rFonts w:cs="Arial"/>
          <w:i w:val="0"/>
          <w:iCs w:val="0"/>
          <w:color w:val="auto"/>
        </w:rPr>
        <w:t>.</w:t>
      </w:r>
    </w:p>
    <w:p w14:paraId="582784D1" w14:textId="752D2D71" w:rsidR="002D7797" w:rsidRPr="00192F41" w:rsidRDefault="002D7797" w:rsidP="00F5227E">
      <w:pPr>
        <w:jc w:val="both"/>
        <w:rPr>
          <w:rStyle w:val="IntenseEmphasis"/>
          <w:rFonts w:cs="Arial"/>
          <w:i w:val="0"/>
          <w:iCs w:val="0"/>
          <w:color w:val="auto"/>
        </w:rPr>
      </w:pPr>
      <w:r>
        <w:rPr>
          <w:rStyle w:val="IntenseEmphasis"/>
          <w:rFonts w:cs="Arial"/>
          <w:i w:val="0"/>
          <w:iCs w:val="0"/>
          <w:color w:val="auto"/>
        </w:rPr>
        <w:t>We are, however, proposing</w:t>
      </w:r>
      <w:r w:rsidR="004E23D2">
        <w:rPr>
          <w:rStyle w:val="IntenseEmphasis"/>
          <w:rFonts w:cs="Arial"/>
          <w:i w:val="0"/>
          <w:iCs w:val="0"/>
          <w:color w:val="auto"/>
        </w:rPr>
        <w:t xml:space="preserve"> a set of performance measures and targets</w:t>
      </w:r>
      <w:r w:rsidR="00B871CE">
        <w:rPr>
          <w:rStyle w:val="IntenseEmphasis"/>
          <w:rFonts w:cs="Arial"/>
          <w:i w:val="0"/>
          <w:iCs w:val="0"/>
          <w:color w:val="auto"/>
        </w:rPr>
        <w:t xml:space="preserve"> built around the outcome</w:t>
      </w:r>
      <w:r w:rsidR="003E0130">
        <w:rPr>
          <w:rStyle w:val="IntenseEmphasis"/>
          <w:rFonts w:cs="Arial"/>
          <w:i w:val="0"/>
          <w:iCs w:val="0"/>
          <w:color w:val="auto"/>
        </w:rPr>
        <w:t>s</w:t>
      </w:r>
      <w:r w:rsidR="00B871CE">
        <w:rPr>
          <w:rStyle w:val="IntenseEmphasis"/>
          <w:rFonts w:cs="Arial"/>
          <w:i w:val="0"/>
          <w:iCs w:val="0"/>
          <w:color w:val="auto"/>
        </w:rPr>
        <w:t xml:space="preserve"> of </w:t>
      </w:r>
      <w:r w:rsidR="001E4BB4">
        <w:rPr>
          <w:rStyle w:val="IntenseEmphasis"/>
          <w:rFonts w:cs="Arial"/>
          <w:i w:val="0"/>
          <w:iCs w:val="0"/>
          <w:color w:val="auto"/>
        </w:rPr>
        <w:t>providing ‘Reliable water’ and ‘Great service’.</w:t>
      </w:r>
      <w:r>
        <w:rPr>
          <w:rStyle w:val="IntenseEmphasis"/>
          <w:rFonts w:cs="Arial"/>
          <w:i w:val="0"/>
          <w:iCs w:val="0"/>
          <w:color w:val="auto"/>
        </w:rPr>
        <w:t xml:space="preserve"> </w:t>
      </w:r>
    </w:p>
    <w:p w14:paraId="42D393AD" w14:textId="367B725D" w:rsidR="001305FC" w:rsidRPr="00192F41" w:rsidRDefault="001305FC" w:rsidP="00BD2303">
      <w:pPr>
        <w:pStyle w:val="Heading2"/>
        <w:rPr>
          <w:rStyle w:val="IntenseEmphasis"/>
          <w:rFonts w:cs="Arial"/>
          <w:i w:val="0"/>
          <w:iCs w:val="0"/>
          <w:sz w:val="36"/>
        </w:rPr>
      </w:pPr>
      <w:r w:rsidRPr="00192F41">
        <w:rPr>
          <w:rStyle w:val="IntenseEmphasis"/>
          <w:rFonts w:cs="Arial"/>
          <w:i w:val="0"/>
          <w:iCs w:val="0"/>
          <w:sz w:val="36"/>
        </w:rPr>
        <w:t>Guaranteed service levels</w:t>
      </w:r>
    </w:p>
    <w:p w14:paraId="4668D677" w14:textId="3CD8C2CE" w:rsidR="00057778" w:rsidRPr="00192F41" w:rsidRDefault="001C3B14" w:rsidP="00F5227E">
      <w:pPr>
        <w:jc w:val="both"/>
        <w:rPr>
          <w:rStyle w:val="IntenseEmphasis"/>
          <w:rFonts w:cs="Arial"/>
          <w:i w:val="0"/>
          <w:iCs w:val="0"/>
          <w:color w:val="auto"/>
        </w:rPr>
      </w:pPr>
      <w:r w:rsidRPr="00192F41">
        <w:rPr>
          <w:rStyle w:val="IntenseEmphasis"/>
          <w:rFonts w:cs="Arial"/>
          <w:i w:val="0"/>
          <w:iCs w:val="0"/>
          <w:color w:val="auto"/>
        </w:rPr>
        <w:t>SRW is committed to providing great value to our customers</w:t>
      </w:r>
      <w:r w:rsidR="000D7378">
        <w:rPr>
          <w:rStyle w:val="IntenseEmphasis"/>
          <w:rFonts w:cs="Arial"/>
          <w:i w:val="0"/>
          <w:iCs w:val="0"/>
          <w:color w:val="auto"/>
        </w:rPr>
        <w:t xml:space="preserve">. As </w:t>
      </w:r>
      <w:r w:rsidR="00FF41CC">
        <w:rPr>
          <w:rStyle w:val="IntenseEmphasis"/>
          <w:rFonts w:cs="Arial"/>
          <w:i w:val="0"/>
          <w:iCs w:val="0"/>
          <w:color w:val="auto"/>
        </w:rPr>
        <w:t xml:space="preserve">we are </w:t>
      </w:r>
      <w:r w:rsidR="000D7378" w:rsidRPr="00192F41">
        <w:rPr>
          <w:rStyle w:val="IntenseEmphasis"/>
          <w:rFonts w:cs="Arial"/>
          <w:i w:val="0"/>
          <w:iCs w:val="0"/>
          <w:color w:val="auto"/>
        </w:rPr>
        <w:t>a rural water corporation</w:t>
      </w:r>
      <w:r w:rsidRPr="00192F41">
        <w:rPr>
          <w:rStyle w:val="IntenseEmphasis"/>
          <w:rFonts w:cs="Arial"/>
          <w:i w:val="0"/>
          <w:iCs w:val="0"/>
          <w:color w:val="auto"/>
        </w:rPr>
        <w:t xml:space="preserve">, we are not proposing a series of </w:t>
      </w:r>
      <w:r w:rsidR="00841C05" w:rsidRPr="00192F41">
        <w:rPr>
          <w:rStyle w:val="IntenseEmphasis"/>
          <w:rFonts w:cs="Arial"/>
          <w:i w:val="0"/>
          <w:iCs w:val="0"/>
          <w:color w:val="auto"/>
        </w:rPr>
        <w:t>Guaranteed</w:t>
      </w:r>
      <w:r w:rsidR="00057778" w:rsidRPr="00192F41">
        <w:rPr>
          <w:rStyle w:val="IntenseEmphasis"/>
          <w:rFonts w:cs="Arial"/>
          <w:i w:val="0"/>
          <w:iCs w:val="0"/>
          <w:color w:val="auto"/>
        </w:rPr>
        <w:t xml:space="preserve"> Service Levels (as are required for urban water corporations).</w:t>
      </w:r>
    </w:p>
    <w:p w14:paraId="6A1862BF" w14:textId="65089218" w:rsidR="00B2679C" w:rsidRPr="00192F41" w:rsidRDefault="00B2679C" w:rsidP="001305FC">
      <w:pPr>
        <w:rPr>
          <w:rStyle w:val="IntenseEmphasis"/>
          <w:rFonts w:cs="Arial"/>
          <w:i w:val="0"/>
          <w:iCs w:val="0"/>
          <w:color w:val="auto"/>
        </w:rPr>
      </w:pPr>
      <w:r w:rsidRPr="00192F41">
        <w:rPr>
          <w:rStyle w:val="IntenseEmphasis"/>
          <w:rFonts w:cs="Arial"/>
          <w:i w:val="0"/>
          <w:iCs w:val="0"/>
          <w:color w:val="auto"/>
        </w:rPr>
        <w:br w:type="page"/>
      </w:r>
    </w:p>
    <w:p w14:paraId="7B26D483" w14:textId="0E9AD6CF" w:rsidR="00C83FBC" w:rsidRPr="00192F41" w:rsidRDefault="00C83FBC" w:rsidP="00C83FBC">
      <w:pPr>
        <w:pStyle w:val="Heading2"/>
        <w:rPr>
          <w:rStyle w:val="IntenseEmphasis"/>
          <w:rFonts w:cs="Arial"/>
          <w:i w:val="0"/>
          <w:iCs w:val="0"/>
          <w:sz w:val="36"/>
        </w:rPr>
      </w:pPr>
      <w:r w:rsidRPr="00192F41">
        <w:rPr>
          <w:rStyle w:val="IntenseEmphasis"/>
          <w:rFonts w:cs="Arial"/>
          <w:i w:val="0"/>
          <w:iCs w:val="0"/>
          <w:sz w:val="36"/>
        </w:rPr>
        <w:t>Proposed PREMO rating</w:t>
      </w:r>
      <w:r w:rsidR="00E4373C" w:rsidRPr="00192F41">
        <w:rPr>
          <w:rStyle w:val="IntenseEmphasis"/>
          <w:rFonts w:cs="Arial"/>
          <w:i w:val="0"/>
          <w:iCs w:val="0"/>
          <w:sz w:val="36"/>
        </w:rPr>
        <w:t xml:space="preserve"> for outcomes</w:t>
      </w:r>
    </w:p>
    <w:p w14:paraId="45CD63F4" w14:textId="2F1AF82A" w:rsidR="00B27C07" w:rsidRPr="00AC4840" w:rsidRDefault="00FE22A6" w:rsidP="00F5227E">
      <w:pPr>
        <w:jc w:val="both"/>
      </w:pPr>
      <w:r w:rsidRPr="00AC4840">
        <w:t>We are satisfied that our PREMO rating for outcomes is advanced, based on the following assessment:</w:t>
      </w:r>
    </w:p>
    <w:tbl>
      <w:tblPr>
        <w:tblStyle w:val="ReportTable-TealRows"/>
        <w:tblW w:w="9548" w:type="dxa"/>
        <w:tblLook w:val="04A0" w:firstRow="1" w:lastRow="0" w:firstColumn="1" w:lastColumn="0" w:noHBand="0" w:noVBand="1"/>
      </w:tblPr>
      <w:tblGrid>
        <w:gridCol w:w="8450"/>
        <w:gridCol w:w="1098"/>
      </w:tblGrid>
      <w:tr w:rsidR="00FE713E" w:rsidRPr="00192F41" w14:paraId="1410F26E" w14:textId="77777777" w:rsidTr="0044239B">
        <w:trPr>
          <w:cnfStyle w:val="100000000000" w:firstRow="1" w:lastRow="0" w:firstColumn="0" w:lastColumn="0" w:oddVBand="0" w:evenVBand="0" w:oddHBand="0" w:evenHBand="0" w:firstRowFirstColumn="0" w:firstRowLastColumn="0" w:lastRowFirstColumn="0" w:lastRowLastColumn="0"/>
          <w:cantSplit/>
          <w:trHeight w:val="300"/>
          <w:tblHeader/>
        </w:trPr>
        <w:tc>
          <w:tcPr>
            <w:cnfStyle w:val="001000000000" w:firstRow="0" w:lastRow="0" w:firstColumn="1" w:lastColumn="0" w:oddVBand="0" w:evenVBand="0" w:oddHBand="0" w:evenHBand="0" w:firstRowFirstColumn="0" w:firstRowLastColumn="0" w:lastRowFirstColumn="0" w:lastRowLastColumn="0"/>
            <w:tcW w:w="8450" w:type="dxa"/>
            <w:vAlign w:val="top"/>
            <w:hideMark/>
          </w:tcPr>
          <w:p w14:paraId="74B07DFC" w14:textId="41815C38" w:rsidR="00FE713E" w:rsidRPr="00192F41" w:rsidRDefault="00FE713E" w:rsidP="009A400C">
            <w:pPr>
              <w:rPr>
                <w:rFonts w:eastAsia="Times New Roman" w:cs="Arial"/>
                <w:sz w:val="20"/>
                <w:szCs w:val="20"/>
                <w:lang w:eastAsia="en-AU"/>
              </w:rPr>
            </w:pPr>
            <w:r w:rsidRPr="00192F41">
              <w:rPr>
                <w:rFonts w:eastAsia="Times New Roman" w:cs="Arial"/>
                <w:sz w:val="20"/>
                <w:szCs w:val="20"/>
                <w:lang w:eastAsia="en-AU"/>
              </w:rPr>
              <w:t>Outcomes aspect</w:t>
            </w:r>
          </w:p>
        </w:tc>
        <w:tc>
          <w:tcPr>
            <w:tcW w:w="1098" w:type="dxa"/>
            <w:noWrap/>
            <w:vAlign w:val="top"/>
            <w:hideMark/>
          </w:tcPr>
          <w:p w14:paraId="31DE2542" w14:textId="77777777" w:rsidR="00FE713E" w:rsidRPr="00192F41" w:rsidRDefault="00FE713E" w:rsidP="00F5227E">
            <w:pPr>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192F41">
              <w:rPr>
                <w:rFonts w:eastAsia="Times New Roman" w:cs="Arial"/>
                <w:sz w:val="20"/>
                <w:szCs w:val="20"/>
                <w:lang w:eastAsia="en-AU"/>
              </w:rPr>
              <w:t>Rating</w:t>
            </w:r>
          </w:p>
        </w:tc>
      </w:tr>
      <w:tr w:rsidR="00FE713E" w:rsidRPr="00192F41" w14:paraId="5E7D65BE" w14:textId="77777777" w:rsidTr="0044239B">
        <w:trPr>
          <w:cnfStyle w:val="000000100000" w:firstRow="0" w:lastRow="0" w:firstColumn="0" w:lastColumn="0" w:oddVBand="0" w:evenVBand="0" w:oddHBand="1" w:evenHBand="0" w:firstRowFirstColumn="0" w:firstRowLastColumn="0" w:lastRowFirstColumn="0" w:lastRowLastColumn="0"/>
          <w:trHeight w:val="250"/>
        </w:trPr>
        <w:tc>
          <w:tcPr>
            <w:cnfStyle w:val="001000000000" w:firstRow="0" w:lastRow="0" w:firstColumn="1" w:lastColumn="0" w:oddVBand="0" w:evenVBand="0" w:oddHBand="0" w:evenHBand="0" w:firstRowFirstColumn="0" w:firstRowLastColumn="0" w:lastRowFirstColumn="0" w:lastRowLastColumn="0"/>
            <w:tcW w:w="8450" w:type="dxa"/>
            <w:vAlign w:val="top"/>
          </w:tcPr>
          <w:p w14:paraId="693130F6" w14:textId="146DCB0D" w:rsidR="00FE713E" w:rsidRPr="00F5227E" w:rsidRDefault="00FE713E" w:rsidP="00F5227E">
            <w:pPr>
              <w:spacing w:before="40" w:after="40"/>
              <w:ind w:right="63"/>
              <w:jc w:val="both"/>
              <w:rPr>
                <w:rStyle w:val="IntenseEmphasis"/>
                <w:rFonts w:cs="Arial"/>
                <w:i w:val="0"/>
                <w:color w:val="000000" w:themeColor="text1"/>
                <w:sz w:val="20"/>
                <w:szCs w:val="20"/>
              </w:rPr>
            </w:pPr>
            <w:r w:rsidRPr="00F5227E">
              <w:rPr>
                <w:rStyle w:val="IntenseEmphasis"/>
                <w:rFonts w:cs="Arial"/>
                <w:i w:val="0"/>
                <w:color w:val="000000" w:themeColor="text1"/>
                <w:sz w:val="20"/>
                <w:szCs w:val="20"/>
              </w:rPr>
              <w:t>Has the business provided evidence that the outcomes proposed have considered the views, concerns, and priorities of customers?</w:t>
            </w:r>
          </w:p>
        </w:tc>
        <w:tc>
          <w:tcPr>
            <w:tcW w:w="1098" w:type="dxa"/>
            <w:noWrap/>
            <w:vAlign w:val="top"/>
            <w:hideMark/>
          </w:tcPr>
          <w:p w14:paraId="1F3046C1" w14:textId="1ABBB576" w:rsidR="00FE713E" w:rsidRPr="00192F41" w:rsidRDefault="00FE713E" w:rsidP="00F5227E">
            <w:pPr>
              <w:spacing w:before="4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FE713E" w:rsidRPr="00192F41" w14:paraId="358A409E" w14:textId="77777777" w:rsidTr="0044239B">
        <w:trPr>
          <w:trHeight w:val="250"/>
        </w:trPr>
        <w:tc>
          <w:tcPr>
            <w:cnfStyle w:val="001000000000" w:firstRow="0" w:lastRow="0" w:firstColumn="1" w:lastColumn="0" w:oddVBand="0" w:evenVBand="0" w:oddHBand="0" w:evenHBand="0" w:firstRowFirstColumn="0" w:firstRowLastColumn="0" w:lastRowFirstColumn="0" w:lastRowLastColumn="0"/>
            <w:tcW w:w="8450" w:type="dxa"/>
            <w:vAlign w:val="top"/>
          </w:tcPr>
          <w:p w14:paraId="637E4667" w14:textId="420E47A2"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The proposed outcomes directly reflect the views, concerns, and priorities of our customers. Their genesis lies in our ongoing engagement with our customers (through our customer consultative committee</w:t>
            </w:r>
            <w:r w:rsidR="00BA505B">
              <w:rPr>
                <w:rFonts w:cs="Arial"/>
                <w:color w:val="000000" w:themeColor="text1"/>
                <w:szCs w:val="20"/>
              </w:rPr>
              <w:t xml:space="preserve"> and</w:t>
            </w:r>
            <w:r w:rsidRPr="00192F41">
              <w:rPr>
                <w:rFonts w:cs="Arial"/>
                <w:color w:val="000000" w:themeColor="text1"/>
                <w:szCs w:val="20"/>
              </w:rPr>
              <w:t xml:space="preserve"> </w:t>
            </w:r>
            <w:r w:rsidR="0008090C">
              <w:rPr>
                <w:rFonts w:cs="Arial"/>
                <w:color w:val="000000" w:themeColor="text1"/>
                <w:szCs w:val="20"/>
              </w:rPr>
              <w:t>satisfaction</w:t>
            </w:r>
            <w:r w:rsidR="0008090C" w:rsidRPr="00192F41">
              <w:rPr>
                <w:rFonts w:cs="Arial"/>
                <w:color w:val="000000" w:themeColor="text1"/>
                <w:szCs w:val="20"/>
              </w:rPr>
              <w:t xml:space="preserve"> </w:t>
            </w:r>
            <w:r w:rsidRPr="00192F41">
              <w:rPr>
                <w:rFonts w:cs="Arial"/>
                <w:color w:val="000000" w:themeColor="text1"/>
                <w:szCs w:val="20"/>
              </w:rPr>
              <w:t xml:space="preserve">surveys). </w:t>
            </w:r>
          </w:p>
          <w:p w14:paraId="3D759D91" w14:textId="7777777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We have taken the opportunity to review and re-test the outcomes from our previous price submission with our customers. This has confirmed that many of the outcomes continue to be a priority for our customers.  </w:t>
            </w:r>
          </w:p>
          <w:p w14:paraId="4F5FFFDA" w14:textId="30E0197F"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Through our customer consultative committees, the C</w:t>
            </w:r>
            <w:r w:rsidR="00481A99">
              <w:rPr>
                <w:rFonts w:cs="Arial"/>
                <w:color w:val="000000" w:themeColor="text1"/>
                <w:szCs w:val="20"/>
              </w:rPr>
              <w:t xml:space="preserve">ustomer Reference </w:t>
            </w:r>
            <w:r w:rsidRPr="00192F41">
              <w:rPr>
                <w:rFonts w:cs="Arial"/>
                <w:color w:val="000000" w:themeColor="text1"/>
                <w:szCs w:val="20"/>
              </w:rPr>
              <w:t>G</w:t>
            </w:r>
            <w:r w:rsidR="00481A99">
              <w:rPr>
                <w:rFonts w:cs="Arial"/>
                <w:color w:val="000000" w:themeColor="text1"/>
                <w:szCs w:val="20"/>
              </w:rPr>
              <w:t>roup</w:t>
            </w:r>
            <w:r w:rsidRPr="00192F41">
              <w:rPr>
                <w:rFonts w:cs="Arial"/>
                <w:color w:val="000000" w:themeColor="text1"/>
                <w:szCs w:val="20"/>
              </w:rPr>
              <w:t xml:space="preserve"> and surveys in late 2021 we sought further information from our customers on what they value, consolidating all of this into a series of proposed outcomes which we then tested again through our customer consultative committees, the </w:t>
            </w:r>
            <w:r w:rsidR="00481A99">
              <w:rPr>
                <w:rFonts w:cs="Arial"/>
                <w:color w:val="000000" w:themeColor="text1"/>
                <w:szCs w:val="20"/>
              </w:rPr>
              <w:t>Customer Reference Group</w:t>
            </w:r>
            <w:r w:rsidRPr="00192F41">
              <w:rPr>
                <w:rFonts w:cs="Arial"/>
                <w:color w:val="000000" w:themeColor="text1"/>
                <w:szCs w:val="20"/>
              </w:rPr>
              <w:t xml:space="preserve">, surveys and a series of community meetings in May 2022. </w:t>
            </w:r>
          </w:p>
          <w:p w14:paraId="307EA15B" w14:textId="2ACC0761"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Our customers have consistently told us that having a reliable supply of water, access to more water and fair pricing are important to them. They have also spoke</w:t>
            </w:r>
            <w:r w:rsidR="00004F91">
              <w:rPr>
                <w:rFonts w:cs="Arial"/>
                <w:color w:val="000000" w:themeColor="text1"/>
                <w:szCs w:val="20"/>
              </w:rPr>
              <w:t>n</w:t>
            </w:r>
            <w:r w:rsidRPr="00192F41">
              <w:rPr>
                <w:rFonts w:cs="Arial"/>
                <w:color w:val="000000" w:themeColor="text1"/>
                <w:szCs w:val="20"/>
              </w:rPr>
              <w:t xml:space="preserve"> of the need for good service and to a lesser extent our role in the community through fostering economic growth, resource management and responding to climate change. This feedback has been incorporated directly into our proposed outcomes.  </w:t>
            </w:r>
          </w:p>
          <w:p w14:paraId="23086980" w14:textId="55275C39" w:rsidR="00FE713E" w:rsidRPr="00F5227E" w:rsidRDefault="00FE713E" w:rsidP="00F5227E">
            <w:pPr>
              <w:spacing w:before="40" w:after="40" w:line="259" w:lineRule="auto"/>
              <w:ind w:left="720" w:right="63"/>
              <w:jc w:val="both"/>
              <w:rPr>
                <w:rStyle w:val="IntenseEmphasis"/>
                <w:rFonts w:cs="Arial"/>
                <w:i w:val="0"/>
                <w:color w:val="000000" w:themeColor="text1"/>
                <w:sz w:val="20"/>
                <w:szCs w:val="20"/>
              </w:rPr>
            </w:pPr>
            <w:r w:rsidRPr="00192F41">
              <w:rPr>
                <w:rFonts w:cs="Arial"/>
                <w:color w:val="000000" w:themeColor="text1"/>
                <w:szCs w:val="20"/>
              </w:rPr>
              <w:t>Hence some of the measures and targets established in P</w:t>
            </w:r>
            <w:r w:rsidR="00E87D73">
              <w:rPr>
                <w:rFonts w:cs="Arial"/>
                <w:color w:val="000000" w:themeColor="text1"/>
                <w:szCs w:val="20"/>
              </w:rPr>
              <w:t xml:space="preserve">rice </w:t>
            </w:r>
            <w:r w:rsidRPr="00192F41">
              <w:rPr>
                <w:rFonts w:cs="Arial"/>
                <w:color w:val="000000" w:themeColor="text1"/>
                <w:szCs w:val="20"/>
              </w:rPr>
              <w:t>S</w:t>
            </w:r>
            <w:r w:rsidR="00E87D73">
              <w:rPr>
                <w:rFonts w:cs="Arial"/>
                <w:color w:val="000000" w:themeColor="text1"/>
                <w:szCs w:val="20"/>
              </w:rPr>
              <w:t>ubmission 20</w:t>
            </w:r>
            <w:r w:rsidRPr="00192F41">
              <w:rPr>
                <w:rFonts w:cs="Arial"/>
                <w:color w:val="000000" w:themeColor="text1"/>
                <w:szCs w:val="20"/>
              </w:rPr>
              <w:t>18 remain equally valid where our customers want reliability and certainty. Conversely some new measures and targets are proposed where we seek to drive a change in our performance and better outcomes for our customers.</w:t>
            </w:r>
          </w:p>
        </w:tc>
        <w:tc>
          <w:tcPr>
            <w:tcW w:w="1098" w:type="dxa"/>
            <w:noWrap/>
            <w:vAlign w:val="top"/>
          </w:tcPr>
          <w:p w14:paraId="14C4283F" w14:textId="0D39BBA9" w:rsidR="00FE713E" w:rsidRPr="00192F41" w:rsidRDefault="003D6B01" w:rsidP="00F5227E">
            <w:pPr>
              <w:spacing w:before="40" w:after="12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themeColor="text1"/>
                <w:szCs w:val="20"/>
                <w:lang w:eastAsia="en-AU"/>
              </w:rPr>
            </w:pPr>
            <w:r>
              <w:rPr>
                <w:rFonts w:eastAsia="Times New Roman" w:cs="Arial"/>
                <w:color w:val="000000" w:themeColor="text1"/>
                <w:szCs w:val="20"/>
                <w:lang w:eastAsia="en-AU"/>
              </w:rPr>
              <w:t>Advanced- satisfied</w:t>
            </w:r>
          </w:p>
        </w:tc>
      </w:tr>
      <w:tr w:rsidR="00FE713E" w:rsidRPr="00192F41" w14:paraId="22DEA0EE" w14:textId="77777777" w:rsidTr="0044239B">
        <w:trPr>
          <w:cnfStyle w:val="000000100000" w:firstRow="0" w:lastRow="0" w:firstColumn="0" w:lastColumn="0" w:oddVBand="0" w:evenVBand="0" w:oddHBand="1" w:evenHBand="0" w:firstRowFirstColumn="0" w:firstRowLastColumn="0" w:lastRowFirstColumn="0" w:lastRowLastColumn="0"/>
          <w:trHeight w:val="23"/>
        </w:trPr>
        <w:tc>
          <w:tcPr>
            <w:cnfStyle w:val="001000000000" w:firstRow="0" w:lastRow="0" w:firstColumn="1" w:lastColumn="0" w:oddVBand="0" w:evenVBand="0" w:oddHBand="0" w:evenHBand="0" w:firstRowFirstColumn="0" w:firstRowLastColumn="0" w:lastRowFirstColumn="0" w:lastRowLastColumn="0"/>
            <w:tcW w:w="8450" w:type="dxa"/>
            <w:vAlign w:val="top"/>
          </w:tcPr>
          <w:p w14:paraId="0BB51CD1" w14:textId="77777777" w:rsidR="00FE713E" w:rsidRPr="00F5227E" w:rsidRDefault="00FE713E" w:rsidP="00F5227E">
            <w:pPr>
              <w:spacing w:before="40" w:after="40"/>
              <w:ind w:right="63"/>
              <w:jc w:val="both"/>
              <w:rPr>
                <w:rStyle w:val="IntenseEmphasis"/>
                <w:rFonts w:cs="Arial"/>
                <w:i w:val="0"/>
                <w:color w:val="000000" w:themeColor="text1"/>
                <w:sz w:val="20"/>
                <w:szCs w:val="20"/>
              </w:rPr>
            </w:pPr>
            <w:r w:rsidRPr="00F5227E">
              <w:rPr>
                <w:rStyle w:val="IntenseEmphasis"/>
                <w:rFonts w:cs="Arial"/>
                <w:i w:val="0"/>
                <w:color w:val="000000" w:themeColor="text1"/>
                <w:sz w:val="20"/>
                <w:szCs w:val="20"/>
              </w:rPr>
              <w:t>Has the business provided sufficient explanation of how the outcomes it has proposed align to the forecast expenditure requested?</w:t>
            </w:r>
          </w:p>
        </w:tc>
        <w:tc>
          <w:tcPr>
            <w:tcW w:w="1098" w:type="dxa"/>
            <w:noWrap/>
            <w:vAlign w:val="top"/>
          </w:tcPr>
          <w:p w14:paraId="3E1F3BE4" w14:textId="2E2D3B3F" w:rsidR="00FE713E" w:rsidRPr="00192F41" w:rsidRDefault="00FE713E" w:rsidP="00F5227E">
            <w:pPr>
              <w:spacing w:before="4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FE713E" w:rsidRPr="00192F41" w14:paraId="4A2F389D" w14:textId="77777777" w:rsidTr="0044239B">
        <w:trPr>
          <w:trHeight w:val="23"/>
        </w:trPr>
        <w:tc>
          <w:tcPr>
            <w:cnfStyle w:val="001000000000" w:firstRow="0" w:lastRow="0" w:firstColumn="1" w:lastColumn="0" w:oddVBand="0" w:evenVBand="0" w:oddHBand="0" w:evenHBand="0" w:firstRowFirstColumn="0" w:firstRowLastColumn="0" w:lastRowFirstColumn="0" w:lastRowLastColumn="0"/>
            <w:tcW w:w="8450" w:type="dxa"/>
            <w:vAlign w:val="top"/>
          </w:tcPr>
          <w:p w14:paraId="4420E211" w14:textId="7777777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Through modernisation, SRW has focussed on improving reliability and saving water. We have done this while minimising costs to our customers by pursuing government grants and joint funding opportunities. SRW will continue this journey through this next period, pursuing government contributions to finalise modernisation while seeking to capitalise on the benefits of modernisation: greater reliability, more water, great service, and all at a fair price. </w:t>
            </w:r>
          </w:p>
          <w:p w14:paraId="19BFFEC9" w14:textId="7777777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Likewise, targets around efficiency of process, particularly for customer applications, continues to help drive a responsive, customer focussed approach to delivering statutory requirements. </w:t>
            </w:r>
          </w:p>
          <w:p w14:paraId="4EF03CDB" w14:textId="7155C8E1"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Our forecast expenditure is made up of ‘business as usual’ activities and improvement activities that are clearly aligned to provide reliable and sustainable water supplies and great service to our customers. </w:t>
            </w:r>
            <w:r w:rsidR="00D04C49">
              <w:rPr>
                <w:rFonts w:cs="Arial"/>
                <w:color w:val="000000" w:themeColor="text1"/>
                <w:szCs w:val="20"/>
              </w:rPr>
              <w:t>Efficiency</w:t>
            </w:r>
            <w:r w:rsidRPr="00192F41">
              <w:rPr>
                <w:rFonts w:cs="Arial"/>
                <w:color w:val="000000" w:themeColor="text1"/>
                <w:szCs w:val="20"/>
              </w:rPr>
              <w:t xml:space="preserve"> is supported by not only our pursuant of capital funding partners but our desire to capitalise on the productivity savings in our operations and in the field. </w:t>
            </w:r>
          </w:p>
          <w:p w14:paraId="605EAEED" w14:textId="7777777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The engagement program highlighted the need to review our investment program to deliver better outcomes, especially in the areas of drainage and realising the benefits of modernisation to provide a more reliable service to our customers. </w:t>
            </w:r>
          </w:p>
          <w:p w14:paraId="40E09C77" w14:textId="5FE257EE" w:rsidR="00FE713E" w:rsidRPr="00F5227E" w:rsidRDefault="00FE713E" w:rsidP="00F5227E">
            <w:pPr>
              <w:spacing w:before="40" w:after="40" w:line="259" w:lineRule="auto"/>
              <w:ind w:left="720" w:right="63"/>
              <w:jc w:val="both"/>
              <w:rPr>
                <w:rStyle w:val="IntenseEmphasis"/>
                <w:rFonts w:cs="Arial"/>
                <w:i w:val="0"/>
                <w:color w:val="000000" w:themeColor="text1"/>
                <w:sz w:val="20"/>
                <w:szCs w:val="20"/>
              </w:rPr>
            </w:pPr>
            <w:r w:rsidRPr="00192F41">
              <w:rPr>
                <w:rFonts w:cs="Arial"/>
                <w:color w:val="000000" w:themeColor="text1"/>
                <w:szCs w:val="20"/>
              </w:rPr>
              <w:t xml:space="preserve">Our capital program has been prioritised on the back of a 25-year </w:t>
            </w:r>
            <w:r w:rsidR="002A5F29">
              <w:rPr>
                <w:rFonts w:cs="Arial"/>
                <w:color w:val="000000" w:themeColor="text1"/>
                <w:szCs w:val="20"/>
              </w:rPr>
              <w:t>c</w:t>
            </w:r>
            <w:r w:rsidR="002A5F29">
              <w:rPr>
                <w:color w:val="000000" w:themeColor="text1"/>
                <w:szCs w:val="20"/>
              </w:rPr>
              <w:t>apital</w:t>
            </w:r>
            <w:r w:rsidRPr="00192F41">
              <w:rPr>
                <w:rFonts w:cs="Arial"/>
                <w:color w:val="000000" w:themeColor="text1"/>
                <w:szCs w:val="20"/>
              </w:rPr>
              <w:t xml:space="preserve"> program, designed to support the financial sustainab</w:t>
            </w:r>
            <w:r w:rsidR="002A5F29">
              <w:rPr>
                <w:rFonts w:cs="Arial"/>
                <w:color w:val="000000" w:themeColor="text1"/>
                <w:szCs w:val="20"/>
              </w:rPr>
              <w:t>ility</w:t>
            </w:r>
            <w:r w:rsidRPr="00192F41">
              <w:rPr>
                <w:rFonts w:cs="Arial"/>
                <w:color w:val="000000" w:themeColor="text1"/>
                <w:szCs w:val="20"/>
              </w:rPr>
              <w:t xml:space="preserve"> of the business and ensure that forecast expenditure requests tie directly to customer needs and our compliance obligations.</w:t>
            </w:r>
          </w:p>
        </w:tc>
        <w:tc>
          <w:tcPr>
            <w:tcW w:w="1098" w:type="dxa"/>
            <w:noWrap/>
            <w:vAlign w:val="top"/>
          </w:tcPr>
          <w:p w14:paraId="03DF53CE" w14:textId="1C3C1D3F" w:rsidR="00FE713E" w:rsidRPr="00192F41" w:rsidRDefault="008340E7" w:rsidP="00F5227E">
            <w:pPr>
              <w:spacing w:before="40" w:after="1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Standard-very confident</w:t>
            </w:r>
          </w:p>
        </w:tc>
      </w:tr>
      <w:tr w:rsidR="00FE713E" w:rsidRPr="00192F41" w14:paraId="598FFFF1" w14:textId="77777777" w:rsidTr="0044239B">
        <w:trPr>
          <w:cnfStyle w:val="000000100000" w:firstRow="0" w:lastRow="0" w:firstColumn="0" w:lastColumn="0" w:oddVBand="0" w:evenVBand="0" w:oddHBand="1" w:evenHBand="0" w:firstRowFirstColumn="0" w:firstRowLastColumn="0" w:lastRowFirstColumn="0" w:lastRowLastColumn="0"/>
          <w:trHeight w:val="79"/>
        </w:trPr>
        <w:tc>
          <w:tcPr>
            <w:cnfStyle w:val="001000000000" w:firstRow="0" w:lastRow="0" w:firstColumn="1" w:lastColumn="0" w:oddVBand="0" w:evenVBand="0" w:oddHBand="0" w:evenHBand="0" w:firstRowFirstColumn="0" w:firstRowLastColumn="0" w:lastRowFirstColumn="0" w:lastRowLastColumn="0"/>
            <w:tcW w:w="8450" w:type="dxa"/>
            <w:vAlign w:val="top"/>
          </w:tcPr>
          <w:p w14:paraId="51D09517" w14:textId="53136BF1" w:rsidR="00FE713E" w:rsidRPr="00F5227E" w:rsidRDefault="00FE713E" w:rsidP="00F5227E">
            <w:pPr>
              <w:spacing w:before="40" w:after="40"/>
              <w:ind w:right="63"/>
              <w:jc w:val="both"/>
              <w:rPr>
                <w:rStyle w:val="IntenseEmphasis"/>
                <w:rFonts w:cs="Arial"/>
                <w:i w:val="0"/>
                <w:color w:val="000000" w:themeColor="text1"/>
                <w:sz w:val="20"/>
                <w:szCs w:val="20"/>
              </w:rPr>
            </w:pPr>
            <w:r w:rsidRPr="00F5227E">
              <w:rPr>
                <w:rStyle w:val="IntenseEmphasis"/>
                <w:rFonts w:cs="Arial"/>
                <w:i w:val="0"/>
                <w:color w:val="000000" w:themeColor="text1"/>
                <w:sz w:val="20"/>
                <w:szCs w:val="20"/>
              </w:rPr>
              <w:t>Has the business proposed outputs to support each of its outcomes, which are measurable, robust, and deliverable?</w:t>
            </w:r>
          </w:p>
        </w:tc>
        <w:tc>
          <w:tcPr>
            <w:tcW w:w="1098" w:type="dxa"/>
            <w:noWrap/>
            <w:vAlign w:val="top"/>
          </w:tcPr>
          <w:p w14:paraId="49F469E6" w14:textId="1846AF63" w:rsidR="00FE713E" w:rsidRPr="00192F41" w:rsidRDefault="00FE713E" w:rsidP="00F5227E">
            <w:pPr>
              <w:spacing w:before="4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FE713E" w:rsidRPr="00192F41" w14:paraId="6FDCA371" w14:textId="77777777" w:rsidTr="0044239B">
        <w:trPr>
          <w:trHeight w:val="79"/>
        </w:trPr>
        <w:tc>
          <w:tcPr>
            <w:cnfStyle w:val="001000000000" w:firstRow="0" w:lastRow="0" w:firstColumn="1" w:lastColumn="0" w:oddVBand="0" w:evenVBand="0" w:oddHBand="0" w:evenHBand="0" w:firstRowFirstColumn="0" w:firstRowLastColumn="0" w:lastRowFirstColumn="0" w:lastRowLastColumn="0"/>
            <w:tcW w:w="8450" w:type="dxa"/>
            <w:vAlign w:val="top"/>
          </w:tcPr>
          <w:p w14:paraId="42BACD06" w14:textId="3223D56A" w:rsidR="00FE713E" w:rsidRPr="00F5227E" w:rsidRDefault="00FE713E" w:rsidP="00F5227E">
            <w:pPr>
              <w:spacing w:before="40" w:after="40"/>
              <w:ind w:left="720" w:right="63"/>
              <w:jc w:val="both"/>
              <w:rPr>
                <w:rStyle w:val="IntenseEmphasis"/>
                <w:rFonts w:cs="Arial"/>
                <w:i w:val="0"/>
                <w:color w:val="000000" w:themeColor="text1"/>
                <w:sz w:val="20"/>
                <w:szCs w:val="20"/>
              </w:rPr>
            </w:pPr>
            <w:r w:rsidRPr="00192F41">
              <w:rPr>
                <w:rFonts w:cs="Arial"/>
                <w:color w:val="000000" w:themeColor="text1"/>
                <w:szCs w:val="20"/>
              </w:rPr>
              <w:t>Considering customer feedback, SRW has built upon the outcomes described in the previous price period to develop a set of outcomes which are measurable, robust, and deliverable. The focus is on outcomes that go direct to customer service. In doing so, we have dropped some outcomes which are more operationally focussed in favour of those that go direct to customer experience.</w:t>
            </w:r>
          </w:p>
        </w:tc>
        <w:tc>
          <w:tcPr>
            <w:tcW w:w="1098" w:type="dxa"/>
            <w:noWrap/>
            <w:vAlign w:val="top"/>
          </w:tcPr>
          <w:p w14:paraId="13582564" w14:textId="2D58A7E1" w:rsidR="00FE713E" w:rsidRPr="00192F41" w:rsidRDefault="003D6B01" w:rsidP="00F5227E">
            <w:pPr>
              <w:spacing w:before="40" w:after="1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Advanced- confident</w:t>
            </w:r>
          </w:p>
        </w:tc>
      </w:tr>
      <w:tr w:rsidR="00FE713E" w:rsidRPr="00192F41" w14:paraId="68D34B55" w14:textId="77777777" w:rsidTr="0044239B">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8450" w:type="dxa"/>
            <w:vAlign w:val="top"/>
          </w:tcPr>
          <w:p w14:paraId="045AA4A9" w14:textId="77777777" w:rsidR="00FE713E" w:rsidRPr="00F5227E" w:rsidRDefault="00FE713E" w:rsidP="00F5227E">
            <w:pPr>
              <w:spacing w:before="40" w:after="40"/>
              <w:ind w:right="63"/>
              <w:jc w:val="both"/>
              <w:rPr>
                <w:rStyle w:val="IntenseEmphasis"/>
                <w:rFonts w:cs="Arial"/>
                <w:i w:val="0"/>
                <w:color w:val="000000" w:themeColor="text1"/>
                <w:sz w:val="20"/>
                <w:szCs w:val="20"/>
              </w:rPr>
            </w:pPr>
            <w:r w:rsidRPr="00F5227E">
              <w:rPr>
                <w:rStyle w:val="IntenseEmphasis"/>
                <w:rFonts w:cs="Arial"/>
                <w:i w:val="0"/>
                <w:color w:val="000000" w:themeColor="text1"/>
                <w:sz w:val="20"/>
                <w:szCs w:val="20"/>
              </w:rPr>
              <w:t>Has the business provided evidence that the outputs it has proposed are reasonable measures of performance against stated outcomes?</w:t>
            </w:r>
          </w:p>
        </w:tc>
        <w:tc>
          <w:tcPr>
            <w:tcW w:w="1098" w:type="dxa"/>
            <w:noWrap/>
            <w:vAlign w:val="top"/>
          </w:tcPr>
          <w:p w14:paraId="246B8E49" w14:textId="6AC33816" w:rsidR="00FE713E" w:rsidRPr="00192F41" w:rsidRDefault="00FE713E" w:rsidP="00F5227E">
            <w:pPr>
              <w:spacing w:before="4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FE713E" w:rsidRPr="00192F41" w14:paraId="26552FA4" w14:textId="77777777" w:rsidTr="0044239B">
        <w:trPr>
          <w:trHeight w:val="453"/>
        </w:trPr>
        <w:tc>
          <w:tcPr>
            <w:cnfStyle w:val="001000000000" w:firstRow="0" w:lastRow="0" w:firstColumn="1" w:lastColumn="0" w:oddVBand="0" w:evenVBand="0" w:oddHBand="0" w:evenHBand="0" w:firstRowFirstColumn="0" w:firstRowLastColumn="0" w:lastRowFirstColumn="0" w:lastRowLastColumn="0"/>
            <w:tcW w:w="8450" w:type="dxa"/>
            <w:vAlign w:val="top"/>
          </w:tcPr>
          <w:p w14:paraId="04FB1FAC" w14:textId="6E3D225F" w:rsidR="00FE713E" w:rsidRPr="00F5227E" w:rsidRDefault="00FE713E" w:rsidP="00F5227E">
            <w:pPr>
              <w:spacing w:before="40" w:after="40"/>
              <w:ind w:left="720" w:right="63"/>
              <w:jc w:val="both"/>
              <w:rPr>
                <w:rStyle w:val="IntenseEmphasis"/>
                <w:rFonts w:cs="Arial"/>
                <w:i w:val="0"/>
                <w:color w:val="000000" w:themeColor="text1"/>
                <w:sz w:val="20"/>
                <w:szCs w:val="20"/>
              </w:rPr>
            </w:pPr>
            <w:r w:rsidRPr="00192F41">
              <w:rPr>
                <w:rFonts w:cs="Arial"/>
                <w:color w:val="000000" w:themeColor="text1"/>
                <w:szCs w:val="20"/>
              </w:rPr>
              <w:t>As indicated above, we developed the outcomes through extensive engagement with our customers. We have rounded out this process through discussion with the C</w:t>
            </w:r>
            <w:r w:rsidR="00E87D73">
              <w:rPr>
                <w:rFonts w:cs="Arial"/>
                <w:color w:val="000000" w:themeColor="text1"/>
                <w:szCs w:val="20"/>
              </w:rPr>
              <w:t>ustomer Reference Group</w:t>
            </w:r>
            <w:r w:rsidRPr="00192F41">
              <w:rPr>
                <w:rFonts w:cs="Arial"/>
                <w:color w:val="000000" w:themeColor="text1"/>
                <w:szCs w:val="20"/>
              </w:rPr>
              <w:t xml:space="preserve"> to confirm that the measures and targets are meaningful to our customers and will deliver on the outcomes.</w:t>
            </w:r>
          </w:p>
        </w:tc>
        <w:tc>
          <w:tcPr>
            <w:tcW w:w="1098" w:type="dxa"/>
            <w:noWrap/>
            <w:vAlign w:val="top"/>
          </w:tcPr>
          <w:p w14:paraId="30FAACC7" w14:textId="0A72330C" w:rsidR="00FE713E" w:rsidRPr="00192F41" w:rsidRDefault="003D6B01" w:rsidP="00F5227E">
            <w:pPr>
              <w:spacing w:before="40" w:after="1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Advanced- satisfied</w:t>
            </w:r>
          </w:p>
        </w:tc>
      </w:tr>
      <w:tr w:rsidR="00FE713E" w:rsidRPr="00192F41" w14:paraId="7DB11096" w14:textId="77777777" w:rsidTr="0044239B">
        <w:trPr>
          <w:cnfStyle w:val="000000100000" w:firstRow="0" w:lastRow="0" w:firstColumn="0" w:lastColumn="0" w:oddVBand="0" w:evenVBand="0" w:oddHBand="1" w:evenHBand="0" w:firstRowFirstColumn="0" w:firstRowLastColumn="0" w:lastRowFirstColumn="0" w:lastRowLastColumn="0"/>
          <w:trHeight w:val="400"/>
        </w:trPr>
        <w:tc>
          <w:tcPr>
            <w:cnfStyle w:val="001000000000" w:firstRow="0" w:lastRow="0" w:firstColumn="1" w:lastColumn="0" w:oddVBand="0" w:evenVBand="0" w:oddHBand="0" w:evenHBand="0" w:firstRowFirstColumn="0" w:firstRowLastColumn="0" w:lastRowFirstColumn="0" w:lastRowLastColumn="0"/>
            <w:tcW w:w="8450" w:type="dxa"/>
            <w:vAlign w:val="top"/>
          </w:tcPr>
          <w:p w14:paraId="0CFDD7E5" w14:textId="77777777" w:rsidR="00FE713E" w:rsidRPr="00F5227E" w:rsidRDefault="00FE713E" w:rsidP="00F5227E">
            <w:pPr>
              <w:spacing w:before="40" w:after="40"/>
              <w:ind w:right="63"/>
              <w:jc w:val="both"/>
              <w:rPr>
                <w:rStyle w:val="IntenseEmphasis"/>
                <w:rFonts w:cs="Arial"/>
                <w:i w:val="0"/>
                <w:color w:val="000000" w:themeColor="text1"/>
                <w:sz w:val="20"/>
                <w:szCs w:val="20"/>
              </w:rPr>
            </w:pPr>
            <w:r w:rsidRPr="00F5227E">
              <w:rPr>
                <w:rStyle w:val="IntenseEmphasis"/>
                <w:rFonts w:cs="Arial"/>
                <w:i w:val="0"/>
                <w:color w:val="000000" w:themeColor="text1"/>
                <w:sz w:val="20"/>
                <w:szCs w:val="20"/>
              </w:rPr>
              <w:t>Has the business demonstrated a process to measure performance against each outcome and to inform customers?</w:t>
            </w:r>
          </w:p>
        </w:tc>
        <w:tc>
          <w:tcPr>
            <w:tcW w:w="1098" w:type="dxa"/>
            <w:noWrap/>
            <w:vAlign w:val="top"/>
          </w:tcPr>
          <w:p w14:paraId="015021C5" w14:textId="5E4B9D00" w:rsidR="00FE713E" w:rsidRPr="00192F41" w:rsidRDefault="00FE713E" w:rsidP="00F5227E">
            <w:pPr>
              <w:spacing w:before="40" w:after="120"/>
              <w:jc w:val="center"/>
              <w:cnfStyle w:val="000000100000" w:firstRow="0" w:lastRow="0" w:firstColumn="0" w:lastColumn="0" w:oddVBand="0" w:evenVBand="0" w:oddHBand="1" w:evenHBand="0" w:firstRowFirstColumn="0" w:firstRowLastColumn="0" w:lastRowFirstColumn="0" w:lastRowLastColumn="0"/>
              <w:rPr>
                <w:rFonts w:eastAsia="Times New Roman" w:cs="Arial"/>
                <w:color w:val="000000" w:themeColor="text1"/>
                <w:szCs w:val="20"/>
                <w:highlight w:val="yellow"/>
                <w:lang w:eastAsia="en-AU"/>
              </w:rPr>
            </w:pPr>
          </w:p>
        </w:tc>
      </w:tr>
      <w:tr w:rsidR="00FE713E" w:rsidRPr="00192F41" w14:paraId="4DA9B720" w14:textId="77777777" w:rsidTr="0044239B">
        <w:trPr>
          <w:trHeight w:val="400"/>
        </w:trPr>
        <w:tc>
          <w:tcPr>
            <w:cnfStyle w:val="001000000000" w:firstRow="0" w:lastRow="0" w:firstColumn="1" w:lastColumn="0" w:oddVBand="0" w:evenVBand="0" w:oddHBand="0" w:evenHBand="0" w:firstRowFirstColumn="0" w:firstRowLastColumn="0" w:lastRowFirstColumn="0" w:lastRowLastColumn="0"/>
            <w:tcW w:w="8450" w:type="dxa"/>
            <w:tcBorders>
              <w:bottom w:val="single" w:sz="4" w:space="0" w:color="auto"/>
            </w:tcBorders>
            <w:vAlign w:val="top"/>
          </w:tcPr>
          <w:p w14:paraId="23918199" w14:textId="7777777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 xml:space="preserve">Our customers have told us that they would like to know more about us, what we are doing and how we are performing. We are exploring better ways to communicate with our customers. </w:t>
            </w:r>
          </w:p>
          <w:p w14:paraId="2B01F58C" w14:textId="3193F9B7" w:rsidR="00FE713E" w:rsidRPr="00192F41" w:rsidRDefault="00FE713E" w:rsidP="00F5227E">
            <w:pPr>
              <w:spacing w:before="40" w:after="120" w:line="259" w:lineRule="auto"/>
              <w:ind w:left="720" w:right="63"/>
              <w:jc w:val="both"/>
              <w:rPr>
                <w:rFonts w:cs="Arial"/>
                <w:color w:val="000000" w:themeColor="text1"/>
                <w:szCs w:val="20"/>
              </w:rPr>
            </w:pPr>
            <w:r w:rsidRPr="00192F41">
              <w:rPr>
                <w:rFonts w:cs="Arial"/>
                <w:color w:val="000000" w:themeColor="text1"/>
                <w:szCs w:val="20"/>
              </w:rPr>
              <w:t>Each outcome is supported by deliverable outputs with SMART targets. The objectives are a combination of objective business data and subjective customer sentiment.</w:t>
            </w:r>
          </w:p>
          <w:p w14:paraId="7593FE81" w14:textId="4CDEA818" w:rsidR="00FE713E" w:rsidRPr="00F5227E" w:rsidRDefault="00FE713E" w:rsidP="00F5227E">
            <w:pPr>
              <w:spacing w:before="40" w:after="40" w:line="259" w:lineRule="auto"/>
              <w:ind w:left="720" w:right="63"/>
              <w:jc w:val="both"/>
              <w:rPr>
                <w:rStyle w:val="IntenseEmphasis"/>
                <w:rFonts w:cs="Arial"/>
                <w:i w:val="0"/>
                <w:color w:val="000000" w:themeColor="text1"/>
                <w:sz w:val="20"/>
                <w:szCs w:val="20"/>
              </w:rPr>
            </w:pPr>
            <w:r w:rsidRPr="00192F41">
              <w:rPr>
                <w:rFonts w:cs="Arial"/>
                <w:color w:val="000000" w:themeColor="text1"/>
                <w:szCs w:val="20"/>
              </w:rPr>
              <w:t>We plan to go beyond annual reporting and are committed to providing quarterly operational reports to our customer committees, along with a mid-year and end of year performance report to all our customers. Customers will be invited to provide comments on the report with the feedback being incorporated in our annual performance report to the ESC</w:t>
            </w:r>
            <w:r w:rsidR="00F5227E">
              <w:rPr>
                <w:rFonts w:cs="Arial"/>
                <w:bCs/>
                <w:color w:val="000000" w:themeColor="text1"/>
                <w:szCs w:val="20"/>
              </w:rPr>
              <w:t>.</w:t>
            </w:r>
          </w:p>
        </w:tc>
        <w:tc>
          <w:tcPr>
            <w:tcW w:w="1098" w:type="dxa"/>
            <w:tcBorders>
              <w:bottom w:val="single" w:sz="4" w:space="0" w:color="auto"/>
            </w:tcBorders>
            <w:noWrap/>
            <w:vAlign w:val="top"/>
          </w:tcPr>
          <w:p w14:paraId="499785B6" w14:textId="27FAC1A3" w:rsidR="00FE713E" w:rsidRPr="00192F41" w:rsidRDefault="003D6B01" w:rsidP="00F5227E">
            <w:pPr>
              <w:spacing w:before="40" w:after="12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Pr>
                <w:rFonts w:cs="Arial"/>
                <w:color w:val="000000" w:themeColor="text1"/>
                <w:szCs w:val="20"/>
              </w:rPr>
              <w:t>Advanced- satisfied</w:t>
            </w:r>
          </w:p>
        </w:tc>
      </w:tr>
    </w:tbl>
    <w:p w14:paraId="781AB797" w14:textId="6ECE1388" w:rsidR="00C27F82" w:rsidRPr="00192F41" w:rsidRDefault="00B53D32" w:rsidP="00AE2AD9">
      <w:pPr>
        <w:pStyle w:val="NumberedHeading3"/>
        <w:rPr>
          <w:rStyle w:val="IntenseEmphasis"/>
          <w:rFonts w:cs="Arial"/>
          <w:i w:val="0"/>
          <w:iCs w:val="0"/>
          <w:color w:val="002B5C" w:themeColor="text2"/>
          <w:sz w:val="52"/>
        </w:rPr>
      </w:pPr>
      <w:bookmarkStart w:id="54" w:name="_Toc115263681"/>
      <w:r w:rsidRPr="00192F41">
        <w:rPr>
          <w:rStyle w:val="IntenseEmphasis"/>
          <w:rFonts w:cs="Arial"/>
          <w:i w:val="0"/>
          <w:iCs w:val="0"/>
          <w:color w:val="002B5C" w:themeColor="text2"/>
          <w:sz w:val="52"/>
        </w:rPr>
        <w:t>O</w:t>
      </w:r>
      <w:r w:rsidR="00C27F82" w:rsidRPr="00192F41">
        <w:rPr>
          <w:rStyle w:val="IntenseEmphasis"/>
          <w:rFonts w:cs="Arial"/>
          <w:i w:val="0"/>
          <w:iCs w:val="0"/>
          <w:color w:val="002B5C" w:themeColor="text2"/>
          <w:sz w:val="52"/>
        </w:rPr>
        <w:t>perating expenditure</w:t>
      </w:r>
      <w:bookmarkEnd w:id="54"/>
    </w:p>
    <w:tbl>
      <w:tblPr>
        <w:tblStyle w:val="ReportTable-NavyColumns"/>
        <w:tblW w:w="9634" w:type="dxa"/>
        <w:tblBorders>
          <w:insideH w:val="none" w:sz="0" w:space="0" w:color="auto"/>
        </w:tblBorders>
        <w:shd w:val="clear" w:color="auto" w:fill="D9D9D9" w:themeFill="background1" w:themeFillShade="D9"/>
        <w:tblLook w:val="04A0" w:firstRow="1" w:lastRow="0" w:firstColumn="1" w:lastColumn="0" w:noHBand="0" w:noVBand="1"/>
      </w:tblPr>
      <w:tblGrid>
        <w:gridCol w:w="9634"/>
      </w:tblGrid>
      <w:tr w:rsidR="00B53D32" w:rsidRPr="00192F41" w14:paraId="6D7F267D" w14:textId="77777777" w:rsidTr="00CB0E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shd w:val="clear" w:color="auto" w:fill="F2F2F2" w:themeFill="background1" w:themeFillShade="F2"/>
          </w:tcPr>
          <w:p w14:paraId="521880EB" w14:textId="2B76DC43" w:rsidR="00B53D32" w:rsidRPr="00192F41" w:rsidRDefault="00BC7207" w:rsidP="005F1353">
            <w:pPr>
              <w:pStyle w:val="Heading2"/>
              <w:rPr>
                <w:rStyle w:val="IntenseEmphasis"/>
                <w:rFonts w:cs="Arial"/>
                <w:b/>
                <w:bCs/>
                <w:i w:val="0"/>
                <w:iCs w:val="0"/>
                <w:sz w:val="36"/>
              </w:rPr>
            </w:pPr>
            <w:bookmarkStart w:id="55" w:name="_Hlk106971515"/>
            <w:r w:rsidRPr="00192F41">
              <w:rPr>
                <w:rStyle w:val="IntenseEmphasis"/>
                <w:rFonts w:cs="Arial"/>
                <w:b/>
                <w:bCs/>
                <w:i w:val="0"/>
                <w:iCs w:val="0"/>
                <w:sz w:val="36"/>
              </w:rPr>
              <w:t>Key messages</w:t>
            </w:r>
          </w:p>
          <w:p w14:paraId="7157A075" w14:textId="77777777" w:rsidR="002D4D08" w:rsidRPr="00192F41" w:rsidRDefault="002D4D08" w:rsidP="00064416">
            <w:pPr>
              <w:pStyle w:val="Bulletpointparagraph"/>
              <w:numPr>
                <w:ilvl w:val="0"/>
                <w:numId w:val="0"/>
              </w:numPr>
              <w:ind w:left="360"/>
              <w:rPr>
                <w:rFonts w:cs="Arial"/>
                <w:bCs/>
                <w:color w:val="000000" w:themeColor="text1"/>
              </w:rPr>
            </w:pPr>
            <w:r w:rsidRPr="00192F41">
              <w:rPr>
                <w:rFonts w:cs="Arial"/>
                <w:b w:val="0"/>
                <w:bCs/>
                <w:color w:val="000000" w:themeColor="text1"/>
              </w:rPr>
              <w:t xml:space="preserve">SRW continues a track record of prudent and efficient expenditure. </w:t>
            </w:r>
          </w:p>
          <w:p w14:paraId="5134286C" w14:textId="77777777" w:rsidR="00064416" w:rsidRPr="00192F41" w:rsidRDefault="00064416" w:rsidP="00F5227E">
            <w:pPr>
              <w:pStyle w:val="Bulletpointparagraph"/>
              <w:numPr>
                <w:ilvl w:val="0"/>
                <w:numId w:val="0"/>
              </w:numPr>
              <w:ind w:left="360" w:right="118"/>
              <w:jc w:val="both"/>
              <w:rPr>
                <w:rFonts w:cs="Arial"/>
                <w:b w:val="0"/>
                <w:bCs/>
                <w:color w:val="000000" w:themeColor="text1"/>
              </w:rPr>
            </w:pPr>
          </w:p>
          <w:p w14:paraId="1F8D962F" w14:textId="4CCD7F02" w:rsidR="00064416" w:rsidRPr="004A592F" w:rsidRDefault="00064416" w:rsidP="00CD1B75">
            <w:pPr>
              <w:pStyle w:val="Bulletpointparagraph"/>
              <w:ind w:right="118"/>
              <w:jc w:val="both"/>
              <w:rPr>
                <w:rFonts w:cs="Arial"/>
                <w:b w:val="0"/>
                <w:color w:val="000000" w:themeColor="text1"/>
              </w:rPr>
            </w:pPr>
            <w:r w:rsidRPr="004A592F">
              <w:rPr>
                <w:rFonts w:cs="Arial"/>
                <w:b w:val="0"/>
                <w:color w:val="000000" w:themeColor="text1"/>
              </w:rPr>
              <w:t>We are proposing a total operational budget of $</w:t>
            </w:r>
            <w:r w:rsidR="00340694" w:rsidRPr="004A592F">
              <w:rPr>
                <w:rFonts w:cs="Arial"/>
                <w:b w:val="0"/>
                <w:color w:val="000000" w:themeColor="text1"/>
              </w:rPr>
              <w:t>1</w:t>
            </w:r>
            <w:r w:rsidR="00436559">
              <w:rPr>
                <w:rFonts w:cs="Arial"/>
                <w:b w:val="0"/>
                <w:color w:val="000000" w:themeColor="text1"/>
              </w:rPr>
              <w:t>21</w:t>
            </w:r>
            <w:r w:rsidR="00AA3CE0">
              <w:rPr>
                <w:rFonts w:cs="Arial"/>
                <w:b w:val="0"/>
                <w:color w:val="000000" w:themeColor="text1"/>
              </w:rPr>
              <w:t xml:space="preserve"> </w:t>
            </w:r>
            <w:r w:rsidR="00F91293" w:rsidRPr="004A592F">
              <w:rPr>
                <w:rFonts w:cs="Arial"/>
                <w:b w:val="0"/>
                <w:color w:val="000000" w:themeColor="text1"/>
              </w:rPr>
              <w:t>m</w:t>
            </w:r>
            <w:r w:rsidR="00AA3CE0">
              <w:rPr>
                <w:rFonts w:cs="Arial"/>
                <w:b w:val="0"/>
                <w:color w:val="000000" w:themeColor="text1"/>
              </w:rPr>
              <w:t>illion</w:t>
            </w:r>
            <w:r w:rsidRPr="004A592F">
              <w:rPr>
                <w:rFonts w:cs="Arial"/>
                <w:b w:val="0"/>
                <w:color w:val="000000" w:themeColor="text1"/>
              </w:rPr>
              <w:t xml:space="preserve"> over the regulatory period.</w:t>
            </w:r>
          </w:p>
          <w:p w14:paraId="52BB018C" w14:textId="4741E9FE" w:rsidR="00064416" w:rsidRPr="004A592F" w:rsidRDefault="00064416" w:rsidP="00CD1B75">
            <w:pPr>
              <w:pStyle w:val="Bulletpointparagraph"/>
              <w:ind w:right="118"/>
              <w:jc w:val="both"/>
              <w:rPr>
                <w:rFonts w:cs="Arial"/>
                <w:b w:val="0"/>
                <w:color w:val="000000" w:themeColor="text1"/>
              </w:rPr>
            </w:pPr>
            <w:r w:rsidRPr="004A592F">
              <w:rPr>
                <w:rFonts w:cs="Arial"/>
                <w:b w:val="0"/>
                <w:color w:val="000000" w:themeColor="text1"/>
              </w:rPr>
              <w:t>Operational cost savings will be delivered through our ongoing efficiency program</w:t>
            </w:r>
            <w:r w:rsidR="009C4FC9" w:rsidRPr="004A592F">
              <w:rPr>
                <w:rFonts w:cs="Arial"/>
                <w:b w:val="0"/>
                <w:color w:val="000000" w:themeColor="text1"/>
              </w:rPr>
              <w:t xml:space="preserve"> under-pinning our proposed </w:t>
            </w:r>
            <w:r w:rsidRPr="004A592F">
              <w:rPr>
                <w:rFonts w:cs="Arial"/>
                <w:b w:val="0"/>
                <w:color w:val="000000" w:themeColor="text1"/>
              </w:rPr>
              <w:t xml:space="preserve">1% productivity </w:t>
            </w:r>
            <w:r w:rsidR="009C4FC9" w:rsidRPr="004A592F">
              <w:rPr>
                <w:rFonts w:cs="Arial"/>
                <w:b w:val="0"/>
                <w:color w:val="000000" w:themeColor="text1"/>
              </w:rPr>
              <w:t>cost</w:t>
            </w:r>
            <w:r w:rsidRPr="004A592F">
              <w:rPr>
                <w:rFonts w:cs="Arial"/>
                <w:b w:val="0"/>
                <w:color w:val="000000" w:themeColor="text1"/>
              </w:rPr>
              <w:t xml:space="preserve"> saving.</w:t>
            </w:r>
          </w:p>
          <w:p w14:paraId="4DA21D51" w14:textId="4CDA1803" w:rsidR="00B53D32" w:rsidRPr="004A592F" w:rsidRDefault="00064416" w:rsidP="00CD1B75">
            <w:pPr>
              <w:pStyle w:val="Bulletpointparagraph"/>
              <w:ind w:right="118"/>
              <w:jc w:val="both"/>
              <w:rPr>
                <w:rFonts w:cs="Arial"/>
              </w:rPr>
            </w:pPr>
            <w:r w:rsidRPr="004A592F">
              <w:rPr>
                <w:rFonts w:cs="Arial"/>
                <w:b w:val="0"/>
                <w:color w:val="000000" w:themeColor="text1"/>
              </w:rPr>
              <w:t>Our prudent expenditure results in 8</w:t>
            </w:r>
            <w:r w:rsidR="002172FB" w:rsidRPr="004A592F">
              <w:rPr>
                <w:rFonts w:cs="Arial"/>
                <w:b w:val="0"/>
                <w:color w:val="000000" w:themeColor="text1"/>
              </w:rPr>
              <w:t>6</w:t>
            </w:r>
            <w:r w:rsidRPr="004A592F">
              <w:rPr>
                <w:rFonts w:cs="Arial"/>
                <w:b w:val="0"/>
                <w:color w:val="000000" w:themeColor="text1"/>
              </w:rPr>
              <w:t>% of customer price’s capped at CPI with the remaining experiencing increase of between 1.0 and 1.5% plus CPI</w:t>
            </w:r>
            <w:r w:rsidR="002172FB" w:rsidRPr="004A592F">
              <w:rPr>
                <w:rFonts w:cs="Arial"/>
                <w:b w:val="0"/>
                <w:color w:val="000000" w:themeColor="text1"/>
              </w:rPr>
              <w:t xml:space="preserve"> per annum</w:t>
            </w:r>
            <w:r w:rsidRPr="004A592F">
              <w:rPr>
                <w:rFonts w:cs="Arial"/>
                <w:b w:val="0"/>
                <w:color w:val="000000" w:themeColor="text1"/>
              </w:rPr>
              <w:t>.</w:t>
            </w:r>
          </w:p>
          <w:p w14:paraId="5F4B7973" w14:textId="77777777" w:rsidR="00B53D32" w:rsidRPr="00192F41" w:rsidRDefault="00B53D32" w:rsidP="005F1353">
            <w:pPr>
              <w:pStyle w:val="Bulletpointparagraph"/>
              <w:numPr>
                <w:ilvl w:val="0"/>
                <w:numId w:val="0"/>
              </w:numPr>
              <w:ind w:left="720" w:hanging="360"/>
              <w:rPr>
                <w:rFonts w:cs="Arial"/>
                <w:b w:val="0"/>
              </w:rPr>
            </w:pPr>
          </w:p>
        </w:tc>
      </w:tr>
    </w:tbl>
    <w:bookmarkEnd w:id="55"/>
    <w:p w14:paraId="01BBA700" w14:textId="204A834F" w:rsidR="00FE53FE" w:rsidRPr="00D3164B" w:rsidRDefault="00534AB2" w:rsidP="00BC7207">
      <w:pPr>
        <w:pStyle w:val="Heading2"/>
        <w:rPr>
          <w:rStyle w:val="IntenseEmphasis"/>
          <w:i w:val="0"/>
          <w:iCs w:val="0"/>
          <w:sz w:val="36"/>
        </w:rPr>
      </w:pPr>
      <w:r w:rsidRPr="00D3164B">
        <w:rPr>
          <w:rStyle w:val="IntenseEmphasis"/>
          <w:i w:val="0"/>
          <w:iCs w:val="0"/>
          <w:sz w:val="36"/>
        </w:rPr>
        <w:t>Baseline controllable expenditure</w:t>
      </w:r>
    </w:p>
    <w:p w14:paraId="254B28D6" w14:textId="269F9273" w:rsidR="005A6127" w:rsidRDefault="005A6127" w:rsidP="005A6127">
      <w:r>
        <w:t>2021-22 baseline controllable expenditure is representative of SRW’s efficient cost of operation across all service lines, as illustrated by a consistent expenditure pattern in the current regulatory period</w:t>
      </w:r>
      <w:r w:rsidR="00EF729E">
        <w:t xml:space="preserve"> (see </w:t>
      </w:r>
      <w:r w:rsidR="00DA2B26" w:rsidRPr="00DA2B26">
        <w:fldChar w:fldCharType="begin"/>
      </w:r>
      <w:r w:rsidR="00DA2B26" w:rsidRPr="00DA2B26">
        <w:instrText xml:space="preserve"> REF _Ref113432743 \h  \* MERGEFORMAT </w:instrText>
      </w:r>
      <w:r w:rsidR="00DA2B26" w:rsidRPr="00DA2B26">
        <w:fldChar w:fldCharType="separate"/>
      </w:r>
      <w:r w:rsidR="008126A8" w:rsidRPr="008126A8">
        <w:t>Figure 4</w:t>
      </w:r>
      <w:r w:rsidR="00DA2B26" w:rsidRPr="00DA2B26">
        <w:fldChar w:fldCharType="end"/>
      </w:r>
      <w:r w:rsidR="00DA2B26">
        <w:t>)</w:t>
      </w:r>
      <w:r>
        <w:t>.</w:t>
      </w:r>
    </w:p>
    <w:p w14:paraId="701145AF" w14:textId="4DB8B717" w:rsidR="00F81953" w:rsidRPr="00F81953" w:rsidRDefault="00F81953" w:rsidP="00F81953">
      <w:pPr>
        <w:pStyle w:val="Caption"/>
        <w:rPr>
          <w:b/>
          <w:bCs/>
          <w:i w:val="0"/>
          <w:iCs w:val="0"/>
          <w:color w:val="00B1B0" w:themeColor="accent1"/>
          <w:sz w:val="20"/>
          <w:szCs w:val="20"/>
        </w:rPr>
      </w:pPr>
      <w:r w:rsidRPr="00F81953">
        <w:rPr>
          <w:b/>
          <w:bCs/>
          <w:i w:val="0"/>
          <w:iCs w:val="0"/>
          <w:color w:val="00B1B0" w:themeColor="accent1"/>
          <w:sz w:val="20"/>
          <w:szCs w:val="20"/>
        </w:rPr>
        <w:t xml:space="preserve">Table </w:t>
      </w:r>
      <w:r w:rsidRPr="00F81953">
        <w:rPr>
          <w:b/>
          <w:bCs/>
          <w:i w:val="0"/>
          <w:iCs w:val="0"/>
          <w:color w:val="00B1B0" w:themeColor="accent1"/>
          <w:sz w:val="20"/>
          <w:szCs w:val="20"/>
        </w:rPr>
        <w:fldChar w:fldCharType="begin"/>
      </w:r>
      <w:r w:rsidRPr="00F81953">
        <w:rPr>
          <w:b/>
          <w:bCs/>
          <w:i w:val="0"/>
          <w:iCs w:val="0"/>
          <w:color w:val="00B1B0" w:themeColor="accent1"/>
          <w:sz w:val="20"/>
          <w:szCs w:val="20"/>
        </w:rPr>
        <w:instrText xml:space="preserve"> SEQ Table \* ARABIC </w:instrText>
      </w:r>
      <w:r w:rsidRPr="00F81953">
        <w:rPr>
          <w:b/>
          <w:bCs/>
          <w:i w:val="0"/>
          <w:iCs w:val="0"/>
          <w:color w:val="00B1B0" w:themeColor="accent1"/>
          <w:sz w:val="20"/>
          <w:szCs w:val="20"/>
        </w:rPr>
        <w:fldChar w:fldCharType="separate"/>
      </w:r>
      <w:r w:rsidR="008126A8">
        <w:rPr>
          <w:b/>
          <w:bCs/>
          <w:i w:val="0"/>
          <w:iCs w:val="0"/>
          <w:noProof/>
          <w:color w:val="00B1B0" w:themeColor="accent1"/>
          <w:sz w:val="20"/>
          <w:szCs w:val="20"/>
        </w:rPr>
        <w:t>12</w:t>
      </w:r>
      <w:r w:rsidRPr="00F81953">
        <w:rPr>
          <w:b/>
          <w:bCs/>
          <w:i w:val="0"/>
          <w:iCs w:val="0"/>
          <w:color w:val="00B1B0" w:themeColor="accent1"/>
          <w:sz w:val="20"/>
          <w:szCs w:val="20"/>
        </w:rPr>
        <w:fldChar w:fldCharType="end"/>
      </w:r>
      <w:r w:rsidRPr="00F81953">
        <w:rPr>
          <w:b/>
          <w:bCs/>
          <w:i w:val="0"/>
          <w:iCs w:val="0"/>
          <w:color w:val="00B1B0" w:themeColor="accent1"/>
          <w:sz w:val="20"/>
          <w:szCs w:val="20"/>
        </w:rPr>
        <w:t xml:space="preserve"> – Baseline expenditure</w:t>
      </w:r>
    </w:p>
    <w:tbl>
      <w:tblPr>
        <w:tblStyle w:val="Tealheader-Grayrows1"/>
        <w:tblW w:w="9475" w:type="dxa"/>
        <w:tblLayout w:type="fixed"/>
        <w:tblLook w:val="04A0" w:firstRow="1" w:lastRow="0" w:firstColumn="1" w:lastColumn="0" w:noHBand="0" w:noVBand="1"/>
      </w:tblPr>
      <w:tblGrid>
        <w:gridCol w:w="7230"/>
        <w:gridCol w:w="2232"/>
        <w:gridCol w:w="13"/>
      </w:tblGrid>
      <w:tr w:rsidR="00787684" w:rsidRPr="00470F53" w14:paraId="241EDE8F" w14:textId="0653D5B1" w:rsidTr="6B20A4EE">
        <w:trPr>
          <w:gridAfter w:val="1"/>
          <w:cnfStyle w:val="100000000000" w:firstRow="1" w:lastRow="0" w:firstColumn="0" w:lastColumn="0" w:oddVBand="0" w:evenVBand="0" w:oddHBand="0" w:evenHBand="0" w:firstRowFirstColumn="0" w:firstRowLastColumn="0" w:lastRowFirstColumn="0" w:lastRowLastColumn="0"/>
          <w:wAfter w:w="13" w:type="dxa"/>
          <w:trHeight w:val="294"/>
        </w:trPr>
        <w:tc>
          <w:tcPr>
            <w:tcW w:w="7230" w:type="dxa"/>
            <w:noWrap/>
            <w:hideMark/>
          </w:tcPr>
          <w:p w14:paraId="63FAB5D7" w14:textId="5C2F34F3" w:rsidR="00787684" w:rsidRPr="00470F53" w:rsidRDefault="00787684" w:rsidP="009B0828">
            <w:pPr>
              <w:spacing w:before="40" w:after="40"/>
              <w:rPr>
                <w:rFonts w:eastAsia="Times New Roman" w:cs="Arial"/>
                <w:sz w:val="20"/>
                <w:szCs w:val="20"/>
                <w:lang w:eastAsia="en-AU"/>
              </w:rPr>
            </w:pPr>
            <w:r>
              <w:rPr>
                <w:rFonts w:eastAsia="Times New Roman" w:cs="Arial"/>
                <w:sz w:val="20"/>
                <w:szCs w:val="20"/>
                <w:lang w:eastAsia="en-AU"/>
              </w:rPr>
              <w:t>Expenditure</w:t>
            </w:r>
          </w:p>
        </w:tc>
        <w:tc>
          <w:tcPr>
            <w:tcW w:w="2232" w:type="dxa"/>
          </w:tcPr>
          <w:p w14:paraId="5939AC29" w14:textId="322584CF" w:rsidR="00787684" w:rsidRDefault="00787684" w:rsidP="009B0828">
            <w:pPr>
              <w:spacing w:before="40" w:after="40"/>
              <w:jc w:val="center"/>
              <w:rPr>
                <w:rFonts w:eastAsia="Times New Roman" w:cs="Arial"/>
                <w:sz w:val="20"/>
                <w:szCs w:val="20"/>
                <w:lang w:eastAsia="en-AU"/>
              </w:rPr>
            </w:pPr>
            <w:r>
              <w:rPr>
                <w:rFonts w:eastAsia="Times New Roman" w:cs="Arial"/>
                <w:sz w:val="20"/>
                <w:szCs w:val="20"/>
                <w:lang w:eastAsia="en-AU"/>
              </w:rPr>
              <w:t>$M</w:t>
            </w:r>
          </w:p>
        </w:tc>
      </w:tr>
      <w:tr w:rsidR="00787684" w:rsidRPr="00470F53" w14:paraId="010DDC58" w14:textId="77777777" w:rsidTr="00564E7B">
        <w:trPr>
          <w:cnfStyle w:val="000000100000" w:firstRow="0" w:lastRow="0" w:firstColumn="0" w:lastColumn="0" w:oddVBand="0" w:evenVBand="0" w:oddHBand="1" w:evenHBand="0" w:firstRowFirstColumn="0" w:firstRowLastColumn="0" w:lastRowFirstColumn="0" w:lastRowLastColumn="0"/>
          <w:trHeight w:val="72"/>
        </w:trPr>
        <w:tc>
          <w:tcPr>
            <w:tcW w:w="7230" w:type="dxa"/>
          </w:tcPr>
          <w:p w14:paraId="0BC4E9C6" w14:textId="033A7890"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2021-22 actual expenditure</w:t>
            </w:r>
          </w:p>
        </w:tc>
        <w:tc>
          <w:tcPr>
            <w:tcW w:w="2245" w:type="dxa"/>
            <w:gridSpan w:val="2"/>
            <w:noWrap/>
          </w:tcPr>
          <w:p w14:paraId="338499D2" w14:textId="2E8B4636"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26.</w:t>
            </w:r>
            <w:r w:rsidR="00B90990">
              <w:rPr>
                <w:rFonts w:eastAsia="Times New Roman" w:cs="Arial"/>
                <w:color w:val="000000"/>
                <w:sz w:val="20"/>
                <w:szCs w:val="20"/>
                <w:lang w:eastAsia="en-AU"/>
              </w:rPr>
              <w:t>7</w:t>
            </w:r>
          </w:p>
        </w:tc>
      </w:tr>
      <w:tr w:rsidR="00787684" w:rsidRPr="00470F53" w14:paraId="162D5882" w14:textId="77777777" w:rsidTr="00564E7B">
        <w:trPr>
          <w:trHeight w:val="17"/>
        </w:trPr>
        <w:tc>
          <w:tcPr>
            <w:tcW w:w="7230" w:type="dxa"/>
          </w:tcPr>
          <w:p w14:paraId="258894E1" w14:textId="0B420EF8"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Less non-controllable expenditure</w:t>
            </w:r>
          </w:p>
        </w:tc>
        <w:tc>
          <w:tcPr>
            <w:tcW w:w="2245" w:type="dxa"/>
            <w:gridSpan w:val="2"/>
            <w:tcBorders>
              <w:bottom w:val="single" w:sz="4" w:space="0" w:color="auto"/>
            </w:tcBorders>
            <w:noWrap/>
          </w:tcPr>
          <w:p w14:paraId="27D7A04C" w14:textId="48694D0D"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1.</w:t>
            </w:r>
            <w:r w:rsidR="00B90990">
              <w:rPr>
                <w:rFonts w:eastAsia="Times New Roman" w:cs="Arial"/>
                <w:color w:val="000000"/>
                <w:sz w:val="20"/>
                <w:szCs w:val="20"/>
                <w:lang w:eastAsia="en-AU"/>
              </w:rPr>
              <w:t>9</w:t>
            </w:r>
          </w:p>
        </w:tc>
      </w:tr>
      <w:tr w:rsidR="00787684" w:rsidRPr="00470F53" w14:paraId="75F4BFE9" w14:textId="77777777" w:rsidTr="00564E7B">
        <w:trPr>
          <w:cnfStyle w:val="000000100000" w:firstRow="0" w:lastRow="0" w:firstColumn="0" w:lastColumn="0" w:oddVBand="0" w:evenVBand="0" w:oddHBand="1" w:evenHBand="0" w:firstRowFirstColumn="0" w:firstRowLastColumn="0" w:lastRowFirstColumn="0" w:lastRowLastColumn="0"/>
          <w:trHeight w:val="17"/>
        </w:trPr>
        <w:tc>
          <w:tcPr>
            <w:tcW w:w="7230" w:type="dxa"/>
          </w:tcPr>
          <w:p w14:paraId="414470B5" w14:textId="1A746204"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Baseline controllable expenditure</w:t>
            </w:r>
          </w:p>
        </w:tc>
        <w:tc>
          <w:tcPr>
            <w:tcW w:w="2245" w:type="dxa"/>
            <w:gridSpan w:val="2"/>
            <w:tcBorders>
              <w:top w:val="single" w:sz="4" w:space="0" w:color="auto"/>
            </w:tcBorders>
            <w:noWrap/>
          </w:tcPr>
          <w:p w14:paraId="27940E49" w14:textId="0FAEE88F"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24.</w:t>
            </w:r>
            <w:r w:rsidR="00194BB9">
              <w:rPr>
                <w:rFonts w:eastAsia="Times New Roman" w:cs="Arial"/>
                <w:color w:val="000000"/>
                <w:sz w:val="20"/>
                <w:szCs w:val="20"/>
                <w:lang w:eastAsia="en-AU"/>
              </w:rPr>
              <w:t>8</w:t>
            </w:r>
          </w:p>
        </w:tc>
      </w:tr>
      <w:tr w:rsidR="00787684" w:rsidRPr="00470F53" w14:paraId="5525C028" w14:textId="2EBA61BE" w:rsidTr="00564E7B">
        <w:trPr>
          <w:gridAfter w:val="1"/>
          <w:wAfter w:w="13" w:type="dxa"/>
          <w:trHeight w:val="17"/>
        </w:trPr>
        <w:tc>
          <w:tcPr>
            <w:tcW w:w="7230" w:type="dxa"/>
            <w:noWrap/>
          </w:tcPr>
          <w:p w14:paraId="5F5B85B8" w14:textId="107AA62A"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Less one-offs or non-recurring</w:t>
            </w:r>
          </w:p>
        </w:tc>
        <w:tc>
          <w:tcPr>
            <w:tcW w:w="2232" w:type="dxa"/>
          </w:tcPr>
          <w:p w14:paraId="3F448333" w14:textId="13978EA8"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0.</w:t>
            </w:r>
            <w:r w:rsidR="00194BB9">
              <w:rPr>
                <w:rFonts w:eastAsia="Times New Roman" w:cs="Arial"/>
                <w:color w:val="000000"/>
                <w:sz w:val="20"/>
                <w:szCs w:val="20"/>
                <w:lang w:eastAsia="en-AU"/>
              </w:rPr>
              <w:t>1</w:t>
            </w:r>
          </w:p>
        </w:tc>
      </w:tr>
      <w:tr w:rsidR="00787684" w:rsidRPr="00470F53" w14:paraId="0717083A" w14:textId="64AEC0A6" w:rsidTr="00564E7B">
        <w:trPr>
          <w:gridAfter w:val="1"/>
          <w:cnfStyle w:val="000000100000" w:firstRow="0" w:lastRow="0" w:firstColumn="0" w:lastColumn="0" w:oddVBand="0" w:evenVBand="0" w:oddHBand="1" w:evenHBand="0" w:firstRowFirstColumn="0" w:firstRowLastColumn="0" w:lastRowFirstColumn="0" w:lastRowLastColumn="0"/>
          <w:wAfter w:w="13" w:type="dxa"/>
          <w:trHeight w:val="17"/>
        </w:trPr>
        <w:tc>
          <w:tcPr>
            <w:tcW w:w="7230" w:type="dxa"/>
            <w:noWrap/>
          </w:tcPr>
          <w:p w14:paraId="04388370" w14:textId="08F910C7"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Plus, new obligations</w:t>
            </w:r>
          </w:p>
        </w:tc>
        <w:tc>
          <w:tcPr>
            <w:tcW w:w="2232" w:type="dxa"/>
          </w:tcPr>
          <w:p w14:paraId="1F217FD7" w14:textId="69D33862"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0.4</w:t>
            </w:r>
          </w:p>
        </w:tc>
      </w:tr>
      <w:tr w:rsidR="00787684" w:rsidRPr="00470F53" w14:paraId="0DCE1715" w14:textId="7C6855BB" w:rsidTr="00564E7B">
        <w:trPr>
          <w:gridAfter w:val="1"/>
          <w:wAfter w:w="13" w:type="dxa"/>
          <w:trHeight w:val="17"/>
        </w:trPr>
        <w:tc>
          <w:tcPr>
            <w:tcW w:w="7230" w:type="dxa"/>
            <w:noWrap/>
          </w:tcPr>
          <w:p w14:paraId="57A270CC" w14:textId="72B1B58C" w:rsidR="00787684" w:rsidRPr="00470F53" w:rsidRDefault="00787684"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Less cost savings</w:t>
            </w:r>
            <w:r w:rsidR="00564E7B">
              <w:rPr>
                <w:rFonts w:eastAsia="Times New Roman" w:cs="Arial"/>
                <w:color w:val="000000"/>
                <w:sz w:val="20"/>
                <w:szCs w:val="20"/>
                <w:lang w:eastAsia="en-AU"/>
              </w:rPr>
              <w:t xml:space="preserve"> and efficiency gains</w:t>
            </w:r>
          </w:p>
        </w:tc>
        <w:tc>
          <w:tcPr>
            <w:tcW w:w="2232" w:type="dxa"/>
            <w:tcBorders>
              <w:bottom w:val="single" w:sz="4" w:space="0" w:color="auto"/>
            </w:tcBorders>
          </w:tcPr>
          <w:p w14:paraId="49ADD9F3" w14:textId="26411698" w:rsidR="00787684" w:rsidRPr="00470F53" w:rsidRDefault="00564E7B" w:rsidP="009B0828">
            <w:pPr>
              <w:spacing w:before="40" w:after="40"/>
              <w:jc w:val="center"/>
              <w:rPr>
                <w:rFonts w:eastAsia="Times New Roman" w:cs="Arial"/>
                <w:color w:val="000000"/>
                <w:sz w:val="20"/>
                <w:szCs w:val="20"/>
                <w:lang w:eastAsia="en-AU"/>
              </w:rPr>
            </w:pPr>
            <w:r w:rsidRPr="6B20A4EE">
              <w:rPr>
                <w:rFonts w:eastAsia="Times New Roman" w:cs="Arial"/>
                <w:color w:val="000000" w:themeColor="text1"/>
                <w:sz w:val="20"/>
                <w:szCs w:val="20"/>
                <w:lang w:eastAsia="en-AU"/>
              </w:rPr>
              <w:t>0.</w:t>
            </w:r>
            <w:r w:rsidR="00FC5E26">
              <w:rPr>
                <w:rFonts w:eastAsia="Times New Roman" w:cs="Arial"/>
                <w:color w:val="000000" w:themeColor="text1"/>
                <w:sz w:val="20"/>
                <w:szCs w:val="20"/>
                <w:lang w:eastAsia="en-AU"/>
              </w:rPr>
              <w:t>5</w:t>
            </w:r>
            <w:r w:rsidR="00C9010D">
              <w:rPr>
                <w:rFonts w:eastAsia="Times New Roman" w:cs="Arial"/>
                <w:color w:val="000000" w:themeColor="text1"/>
                <w:sz w:val="20"/>
                <w:szCs w:val="20"/>
                <w:lang w:eastAsia="en-AU"/>
              </w:rPr>
              <w:t xml:space="preserve"> – 1.</w:t>
            </w:r>
            <w:r w:rsidR="00FC5E26">
              <w:rPr>
                <w:rFonts w:eastAsia="Times New Roman" w:cs="Arial"/>
                <w:color w:val="000000" w:themeColor="text1"/>
                <w:sz w:val="20"/>
                <w:szCs w:val="20"/>
                <w:lang w:eastAsia="en-AU"/>
              </w:rPr>
              <w:t>2</w:t>
            </w:r>
          </w:p>
        </w:tc>
      </w:tr>
      <w:tr w:rsidR="00787684" w:rsidRPr="00470F53" w14:paraId="6F49DD8A" w14:textId="72CE5D7C" w:rsidTr="00564E7B">
        <w:trPr>
          <w:gridAfter w:val="1"/>
          <w:cnfStyle w:val="000000100000" w:firstRow="0" w:lastRow="0" w:firstColumn="0" w:lastColumn="0" w:oddVBand="0" w:evenVBand="0" w:oddHBand="1" w:evenHBand="0" w:firstRowFirstColumn="0" w:firstRowLastColumn="0" w:lastRowFirstColumn="0" w:lastRowLastColumn="0"/>
          <w:wAfter w:w="13" w:type="dxa"/>
          <w:trHeight w:val="17"/>
        </w:trPr>
        <w:tc>
          <w:tcPr>
            <w:tcW w:w="7230" w:type="dxa"/>
            <w:tcBorders>
              <w:bottom w:val="single" w:sz="4" w:space="0" w:color="auto"/>
            </w:tcBorders>
            <w:noWrap/>
          </w:tcPr>
          <w:p w14:paraId="52E9D2D3" w14:textId="0DC2371E" w:rsidR="00787684" w:rsidRPr="00470F53" w:rsidRDefault="00564E7B" w:rsidP="009B0828">
            <w:pPr>
              <w:spacing w:before="40" w:after="40"/>
              <w:rPr>
                <w:rFonts w:eastAsia="Times New Roman" w:cs="Arial"/>
                <w:color w:val="000000"/>
                <w:sz w:val="20"/>
                <w:szCs w:val="20"/>
                <w:lang w:eastAsia="en-AU"/>
              </w:rPr>
            </w:pPr>
            <w:r>
              <w:rPr>
                <w:rFonts w:eastAsia="Times New Roman" w:cs="Arial"/>
                <w:color w:val="000000"/>
                <w:sz w:val="20"/>
                <w:szCs w:val="20"/>
                <w:lang w:eastAsia="en-AU"/>
              </w:rPr>
              <w:t>Equals baseline for 2022-23</w:t>
            </w:r>
          </w:p>
        </w:tc>
        <w:tc>
          <w:tcPr>
            <w:tcW w:w="2232" w:type="dxa"/>
            <w:tcBorders>
              <w:top w:val="single" w:sz="4" w:space="0" w:color="auto"/>
              <w:bottom w:val="single" w:sz="4" w:space="0" w:color="auto"/>
            </w:tcBorders>
          </w:tcPr>
          <w:p w14:paraId="71E55687" w14:textId="61A5747D" w:rsidR="00787684" w:rsidRPr="00470F53" w:rsidRDefault="00564E7B" w:rsidP="009B0828">
            <w:pPr>
              <w:spacing w:before="40" w:after="40"/>
              <w:jc w:val="center"/>
              <w:rPr>
                <w:rFonts w:eastAsia="Times New Roman" w:cs="Arial"/>
                <w:color w:val="000000"/>
                <w:sz w:val="20"/>
                <w:szCs w:val="20"/>
                <w:lang w:eastAsia="en-AU"/>
              </w:rPr>
            </w:pPr>
            <w:r>
              <w:rPr>
                <w:rFonts w:eastAsia="Times New Roman" w:cs="Arial"/>
                <w:color w:val="000000"/>
                <w:sz w:val="20"/>
                <w:szCs w:val="20"/>
                <w:lang w:eastAsia="en-AU"/>
              </w:rPr>
              <w:t>2</w:t>
            </w:r>
            <w:r w:rsidR="00194BB9">
              <w:rPr>
                <w:rFonts w:eastAsia="Times New Roman" w:cs="Arial"/>
                <w:color w:val="000000"/>
                <w:sz w:val="20"/>
                <w:szCs w:val="20"/>
                <w:lang w:eastAsia="en-AU"/>
              </w:rPr>
              <w:t>4</w:t>
            </w:r>
            <w:r>
              <w:rPr>
                <w:rFonts w:eastAsia="Times New Roman" w:cs="Arial"/>
                <w:color w:val="000000"/>
                <w:sz w:val="20"/>
                <w:szCs w:val="20"/>
                <w:lang w:eastAsia="en-AU"/>
              </w:rPr>
              <w:t>.</w:t>
            </w:r>
            <w:r w:rsidR="00194BB9">
              <w:rPr>
                <w:rFonts w:eastAsia="Times New Roman" w:cs="Arial"/>
                <w:color w:val="000000"/>
                <w:sz w:val="20"/>
                <w:szCs w:val="20"/>
                <w:lang w:eastAsia="en-AU"/>
              </w:rPr>
              <w:t>2</w:t>
            </w:r>
          </w:p>
        </w:tc>
      </w:tr>
    </w:tbl>
    <w:p w14:paraId="01607686" w14:textId="77777777" w:rsidR="00787684" w:rsidRDefault="00787684" w:rsidP="005A6127"/>
    <w:p w14:paraId="35D215F3" w14:textId="193BA3A0" w:rsidR="00676437" w:rsidRDefault="00B45D42" w:rsidP="004222C6">
      <w:pPr>
        <w:jc w:val="center"/>
      </w:pPr>
      <w:r>
        <w:rPr>
          <w:noProof/>
        </w:rPr>
        <w:drawing>
          <wp:inline distT="0" distB="0" distL="0" distR="0" wp14:anchorId="2000DE9C" wp14:editId="4D7D8A43">
            <wp:extent cx="5440680" cy="3101340"/>
            <wp:effectExtent l="0" t="0" r="7620" b="3810"/>
            <wp:docPr id="12" name="Chart 12">
              <a:extLst xmlns:a="http://schemas.openxmlformats.org/drawingml/2006/main">
                <a:ext uri="{FF2B5EF4-FFF2-40B4-BE49-F238E27FC236}">
                  <a16:creationId xmlns:a16="http://schemas.microsoft.com/office/drawing/2014/main" id="{00000000-0008-0000-18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7CA990FC" w14:textId="2924E073" w:rsidR="00CA0508" w:rsidRPr="00CA0508" w:rsidRDefault="00CA0508" w:rsidP="00CA0508">
      <w:pPr>
        <w:pStyle w:val="Caption"/>
        <w:rPr>
          <w:b/>
          <w:bCs/>
          <w:i w:val="0"/>
          <w:iCs w:val="0"/>
          <w:color w:val="00B1B0" w:themeColor="accent1"/>
          <w:sz w:val="20"/>
          <w:szCs w:val="20"/>
        </w:rPr>
      </w:pPr>
      <w:bookmarkStart w:id="56" w:name="_Ref113432743"/>
      <w:r w:rsidRPr="00CA0508">
        <w:rPr>
          <w:b/>
          <w:bCs/>
          <w:i w:val="0"/>
          <w:iCs w:val="0"/>
          <w:color w:val="00B1B0" w:themeColor="accent1"/>
          <w:sz w:val="20"/>
          <w:szCs w:val="20"/>
        </w:rPr>
        <w:t xml:space="preserve">Figure </w:t>
      </w:r>
      <w:r w:rsidRPr="00CA0508">
        <w:rPr>
          <w:b/>
          <w:bCs/>
          <w:i w:val="0"/>
          <w:iCs w:val="0"/>
          <w:color w:val="00B1B0" w:themeColor="accent1"/>
          <w:sz w:val="20"/>
          <w:szCs w:val="20"/>
        </w:rPr>
        <w:fldChar w:fldCharType="begin"/>
      </w:r>
      <w:r w:rsidRPr="00CA0508">
        <w:rPr>
          <w:b/>
          <w:bCs/>
          <w:i w:val="0"/>
          <w:iCs w:val="0"/>
          <w:color w:val="00B1B0" w:themeColor="accent1"/>
          <w:sz w:val="20"/>
          <w:szCs w:val="20"/>
        </w:rPr>
        <w:instrText xml:space="preserve"> SEQ Figure \* ARABIC </w:instrText>
      </w:r>
      <w:r w:rsidRPr="00CA0508">
        <w:rPr>
          <w:b/>
          <w:bCs/>
          <w:i w:val="0"/>
          <w:iCs w:val="0"/>
          <w:color w:val="00B1B0" w:themeColor="accent1"/>
          <w:sz w:val="20"/>
          <w:szCs w:val="20"/>
        </w:rPr>
        <w:fldChar w:fldCharType="separate"/>
      </w:r>
      <w:r w:rsidR="008126A8">
        <w:rPr>
          <w:b/>
          <w:bCs/>
          <w:i w:val="0"/>
          <w:iCs w:val="0"/>
          <w:noProof/>
          <w:color w:val="00B1B0" w:themeColor="accent1"/>
          <w:sz w:val="20"/>
          <w:szCs w:val="20"/>
        </w:rPr>
        <w:t>4</w:t>
      </w:r>
      <w:r w:rsidRPr="00CA0508">
        <w:rPr>
          <w:b/>
          <w:bCs/>
          <w:i w:val="0"/>
          <w:iCs w:val="0"/>
          <w:color w:val="00B1B0" w:themeColor="accent1"/>
          <w:sz w:val="20"/>
          <w:szCs w:val="20"/>
        </w:rPr>
        <w:fldChar w:fldCharType="end"/>
      </w:r>
      <w:bookmarkEnd w:id="56"/>
      <w:r w:rsidRPr="00CA0508">
        <w:rPr>
          <w:b/>
          <w:bCs/>
          <w:i w:val="0"/>
          <w:iCs w:val="0"/>
          <w:color w:val="00B1B0" w:themeColor="accent1"/>
          <w:sz w:val="20"/>
          <w:szCs w:val="20"/>
        </w:rPr>
        <w:t xml:space="preserve"> – Controllable expenditure</w:t>
      </w:r>
      <w:r w:rsidR="00A8582D">
        <w:rPr>
          <w:b/>
          <w:bCs/>
          <w:i w:val="0"/>
          <w:iCs w:val="0"/>
          <w:color w:val="00B1B0" w:themeColor="accent1"/>
          <w:sz w:val="20"/>
          <w:szCs w:val="20"/>
        </w:rPr>
        <w:t xml:space="preserve"> </w:t>
      </w:r>
    </w:p>
    <w:p w14:paraId="41288B4F" w14:textId="18B577E6" w:rsidR="00072695" w:rsidRPr="00D3164B" w:rsidRDefault="00072695" w:rsidP="00D3164B">
      <w:pPr>
        <w:pStyle w:val="Heading2"/>
        <w:rPr>
          <w:rStyle w:val="IntenseEmphasis"/>
          <w:i w:val="0"/>
          <w:iCs w:val="0"/>
          <w:sz w:val="36"/>
        </w:rPr>
      </w:pPr>
      <w:r w:rsidRPr="00D3164B">
        <w:rPr>
          <w:rStyle w:val="IntenseEmphasis"/>
          <w:i w:val="0"/>
          <w:iCs w:val="0"/>
          <w:sz w:val="36"/>
        </w:rPr>
        <w:t>Non-controllable expenditure</w:t>
      </w:r>
    </w:p>
    <w:p w14:paraId="61CA146C" w14:textId="1989B965" w:rsidR="009B486C" w:rsidRDefault="00D724ED" w:rsidP="00693E0F">
      <w:pPr>
        <w:jc w:val="both"/>
      </w:pPr>
      <w:r>
        <w:t xml:space="preserve">Consistent with past regulatory periods, </w:t>
      </w:r>
      <w:r w:rsidR="005711B6">
        <w:t xml:space="preserve">our assessment of </w:t>
      </w:r>
      <w:r>
        <w:t xml:space="preserve">non-controllable expenditure </w:t>
      </w:r>
      <w:r w:rsidR="005711B6">
        <w:t xml:space="preserve">for the purpose of the baseline operating cost assessment </w:t>
      </w:r>
      <w:r>
        <w:t>is limited to:</w:t>
      </w:r>
    </w:p>
    <w:p w14:paraId="2CF46ED0" w14:textId="0C1C4FE6" w:rsidR="009B486C" w:rsidRDefault="00AA3CE0" w:rsidP="00693E0F">
      <w:pPr>
        <w:pStyle w:val="Bulletpointparagraph"/>
        <w:jc w:val="both"/>
      </w:pPr>
      <w:r>
        <w:t>e</w:t>
      </w:r>
      <w:r w:rsidR="00767338">
        <w:t>nvironmental contribution levies set by the government ($0.5</w:t>
      </w:r>
      <w:r w:rsidR="00E54117">
        <w:t>5</w:t>
      </w:r>
      <w:r w:rsidR="00767338">
        <w:t>m in 2021-22)</w:t>
      </w:r>
      <w:r>
        <w:t>;</w:t>
      </w:r>
    </w:p>
    <w:p w14:paraId="28B749AA" w14:textId="5789AEC6" w:rsidR="0080152D" w:rsidRDefault="00AA3CE0" w:rsidP="00693E0F">
      <w:pPr>
        <w:pStyle w:val="Bulletpointparagraph"/>
        <w:jc w:val="both"/>
      </w:pPr>
      <w:r>
        <w:t>r</w:t>
      </w:r>
      <w:r w:rsidR="0080152D">
        <w:t>egulatory fees charges by the Essential</w:t>
      </w:r>
      <w:r w:rsidR="00FF2EC4">
        <w:t xml:space="preserve"> Services Commission</w:t>
      </w:r>
      <w:r w:rsidR="0080152D">
        <w:t xml:space="preserve"> ($0.0</w:t>
      </w:r>
      <w:r w:rsidR="00E54117">
        <w:t>5</w:t>
      </w:r>
      <w:r w:rsidR="0080152D">
        <w:t>m in 2021-22)</w:t>
      </w:r>
      <w:r>
        <w:t>;</w:t>
      </w:r>
    </w:p>
    <w:p w14:paraId="66D646C5" w14:textId="261831F4" w:rsidR="0080152D" w:rsidRDefault="00AA3CE0" w:rsidP="00693E0F">
      <w:pPr>
        <w:pStyle w:val="Bulletpointparagraph"/>
        <w:jc w:val="both"/>
      </w:pPr>
      <w:r>
        <w:t>t</w:t>
      </w:r>
      <w:r w:rsidR="0080152D">
        <w:t>he expected cost of recycled water purchased from Melbourne Water in order to deliver recycled water volumes order by customers in the Werribee Irrigation District ($1m in 2021-22)</w:t>
      </w:r>
      <w:r>
        <w:t>; and</w:t>
      </w:r>
    </w:p>
    <w:p w14:paraId="4565EF20" w14:textId="64DD9F74" w:rsidR="0080152D" w:rsidRDefault="00AA3CE0" w:rsidP="00693E0F">
      <w:pPr>
        <w:pStyle w:val="Bulletpointparagraph"/>
        <w:spacing w:after="240"/>
        <w:ind w:left="714" w:hanging="357"/>
        <w:jc w:val="both"/>
      </w:pPr>
      <w:r>
        <w:t>t</w:t>
      </w:r>
      <w:r w:rsidR="0080152D">
        <w:t>he expected cost of capital works performed at Yallourn and Narracan weirs which is immediately recoverable from the applicable bulk entitlement holders ($0.3</w:t>
      </w:r>
      <w:r w:rsidR="00E507B8">
        <w:t>4</w:t>
      </w:r>
      <w:r w:rsidR="0080152D">
        <w:t>m in 2021-22)</w:t>
      </w:r>
      <w:r>
        <w:t>.</w:t>
      </w:r>
    </w:p>
    <w:p w14:paraId="5A9C77E6" w14:textId="0154FBC4" w:rsidR="00FA1B6C" w:rsidRPr="00AA3CE0" w:rsidRDefault="00CA0318" w:rsidP="00CA0318">
      <w:pPr>
        <w:pStyle w:val="Heading3"/>
      </w:pPr>
      <w:r w:rsidRPr="00AA3CE0">
        <w:t>N</w:t>
      </w:r>
      <w:r w:rsidR="001D7101" w:rsidRPr="00AA3CE0">
        <w:t>ew obligations</w:t>
      </w:r>
    </w:p>
    <w:p w14:paraId="40C289CA" w14:textId="503DDAF4" w:rsidR="009E6311" w:rsidRDefault="007E07C5" w:rsidP="00693E0F">
      <w:pPr>
        <w:jc w:val="both"/>
        <w:rPr>
          <w:rFonts w:eastAsia="Times New Roman" w:cs="Arial"/>
          <w:i/>
          <w:iCs/>
          <w:color w:val="000000"/>
          <w:sz w:val="20"/>
          <w:szCs w:val="20"/>
          <w:lang w:eastAsia="en-AU"/>
        </w:rPr>
      </w:pPr>
      <w:r>
        <w:rPr>
          <w:rStyle w:val="IntenseEmphasis"/>
          <w:i w:val="0"/>
          <w:color w:val="auto"/>
        </w:rPr>
        <w:t xml:space="preserve">In addition to the non-controllable expenditure, there are </w:t>
      </w:r>
      <w:r w:rsidR="00B36D8E">
        <w:rPr>
          <w:rStyle w:val="IntenseEmphasis"/>
          <w:i w:val="0"/>
          <w:color w:val="auto"/>
        </w:rPr>
        <w:t>some new obligations that are driving an</w:t>
      </w:r>
      <w:r w:rsidR="009E6311">
        <w:rPr>
          <w:rStyle w:val="IntenseEmphasis"/>
          <w:i w:val="0"/>
          <w:color w:val="auto"/>
        </w:rPr>
        <w:t xml:space="preserve"> </w:t>
      </w:r>
      <w:r w:rsidR="009E6311" w:rsidRPr="000B3413">
        <w:rPr>
          <w:rStyle w:val="IntenseEmphasis"/>
          <w:i w:val="0"/>
          <w:color w:val="auto"/>
        </w:rPr>
        <w:t xml:space="preserve">increase to </w:t>
      </w:r>
      <w:r w:rsidR="00B36D8E">
        <w:rPr>
          <w:rStyle w:val="IntenseEmphasis"/>
          <w:i w:val="0"/>
          <w:color w:val="auto"/>
        </w:rPr>
        <w:t xml:space="preserve">our </w:t>
      </w:r>
      <w:r w:rsidR="009E6311" w:rsidRPr="000B3413">
        <w:rPr>
          <w:rStyle w:val="IntenseEmphasis"/>
          <w:i w:val="0"/>
          <w:color w:val="auto"/>
        </w:rPr>
        <w:t>ongoing operating costs</w:t>
      </w:r>
      <w:r w:rsidR="00B36D8E">
        <w:rPr>
          <w:rStyle w:val="IntenseEmphasis"/>
          <w:i w:val="0"/>
          <w:color w:val="auto"/>
        </w:rPr>
        <w:t>. These are</w:t>
      </w:r>
      <w:r w:rsidR="009E6311" w:rsidRPr="000B3413">
        <w:rPr>
          <w:rStyle w:val="IntenseEmphasis"/>
          <w:i w:val="0"/>
          <w:color w:val="auto"/>
        </w:rPr>
        <w:t xml:space="preserve"> associated with cyber security and water resource compliance. Additional expenditure of $0.4</w:t>
      </w:r>
      <w:r w:rsidR="00AA3CE0">
        <w:rPr>
          <w:rStyle w:val="IntenseEmphasis"/>
          <w:i w:val="0"/>
          <w:color w:val="auto"/>
        </w:rPr>
        <w:t xml:space="preserve"> </w:t>
      </w:r>
      <w:r w:rsidR="009E6311" w:rsidRPr="000B3413">
        <w:rPr>
          <w:rStyle w:val="IntenseEmphasis"/>
          <w:i w:val="0"/>
          <w:color w:val="auto"/>
        </w:rPr>
        <w:t>m</w:t>
      </w:r>
      <w:r w:rsidR="00AA3CE0">
        <w:rPr>
          <w:rStyle w:val="IntenseEmphasis"/>
          <w:i w:val="0"/>
          <w:color w:val="auto"/>
        </w:rPr>
        <w:t>illion</w:t>
      </w:r>
      <w:r w:rsidR="009E6311" w:rsidRPr="000B3413">
        <w:rPr>
          <w:rStyle w:val="IntenseEmphasis"/>
          <w:i w:val="0"/>
          <w:color w:val="auto"/>
        </w:rPr>
        <w:t xml:space="preserve"> per annum is incorporated into the 2023-28 operating cost benchmark to deliver these new obligations</w:t>
      </w:r>
      <w:r w:rsidR="0011253A">
        <w:rPr>
          <w:rStyle w:val="IntenseEmphasis"/>
          <w:i w:val="0"/>
          <w:color w:val="auto"/>
        </w:rPr>
        <w:t xml:space="preserve">, which </w:t>
      </w:r>
      <w:r w:rsidR="00A13DD3">
        <w:rPr>
          <w:rStyle w:val="IntenseEmphasis"/>
          <w:i w:val="0"/>
          <w:color w:val="auto"/>
        </w:rPr>
        <w:t xml:space="preserve">ensure compliance with </w:t>
      </w:r>
      <w:r w:rsidR="00B36D8E">
        <w:rPr>
          <w:rStyle w:val="IntenseEmphasis"/>
          <w:i w:val="0"/>
          <w:color w:val="auto"/>
        </w:rPr>
        <w:t xml:space="preserve">government </w:t>
      </w:r>
      <w:r w:rsidR="00A13DD3">
        <w:rPr>
          <w:rStyle w:val="IntenseEmphasis"/>
          <w:i w:val="0"/>
          <w:color w:val="auto"/>
        </w:rPr>
        <w:t>expectations</w:t>
      </w:r>
      <w:r w:rsidR="00B36D8E">
        <w:rPr>
          <w:rStyle w:val="IntenseEmphasis"/>
          <w:i w:val="0"/>
          <w:color w:val="auto"/>
        </w:rPr>
        <w:t xml:space="preserve"> as per below</w:t>
      </w:r>
      <w:r w:rsidR="00A13DD3">
        <w:rPr>
          <w:rStyle w:val="IntenseEmphasis"/>
          <w:i w:val="0"/>
          <w:color w:val="auto"/>
        </w:rPr>
        <w:t>:</w:t>
      </w:r>
    </w:p>
    <w:p w14:paraId="1232D3A4" w14:textId="0EA512C9" w:rsidR="0064082F" w:rsidRDefault="00AA3CE0" w:rsidP="00F459A2">
      <w:pPr>
        <w:pStyle w:val="ListParagraph"/>
        <w:numPr>
          <w:ilvl w:val="0"/>
          <w:numId w:val="9"/>
        </w:numPr>
        <w:jc w:val="both"/>
        <w:rPr>
          <w:rStyle w:val="IntenseEmphasis"/>
          <w:i w:val="0"/>
          <w:iCs w:val="0"/>
          <w:color w:val="auto"/>
        </w:rPr>
      </w:pPr>
      <w:r>
        <w:rPr>
          <w:rStyle w:val="IntenseEmphasis"/>
          <w:b/>
          <w:bCs/>
          <w:i w:val="0"/>
          <w:iCs w:val="0"/>
          <w:color w:val="auto"/>
        </w:rPr>
        <w:t>C</w:t>
      </w:r>
      <w:r w:rsidR="00DA4857" w:rsidRPr="00AA3CE0">
        <w:rPr>
          <w:rStyle w:val="IntenseEmphasis"/>
          <w:b/>
          <w:bCs/>
          <w:i w:val="0"/>
          <w:iCs w:val="0"/>
          <w:color w:val="auto"/>
        </w:rPr>
        <w:t xml:space="preserve">yber </w:t>
      </w:r>
      <w:r w:rsidR="00DA4857" w:rsidRPr="00AA3CE0">
        <w:rPr>
          <w:rStyle w:val="IntenseEmphasis"/>
          <w:b/>
          <w:i w:val="0"/>
          <w:color w:val="auto"/>
        </w:rPr>
        <w:t>security</w:t>
      </w:r>
      <w:r w:rsidRPr="00AA3CE0">
        <w:rPr>
          <w:rStyle w:val="IntenseEmphasis"/>
          <w:b/>
          <w:bCs/>
          <w:i w:val="0"/>
          <w:iCs w:val="0"/>
          <w:color w:val="auto"/>
        </w:rPr>
        <w:t>:</w:t>
      </w:r>
      <w:r w:rsidR="00DA4857" w:rsidRPr="0064082F">
        <w:rPr>
          <w:rStyle w:val="IntenseEmphasis"/>
          <w:i w:val="0"/>
          <w:iCs w:val="0"/>
          <w:color w:val="auto"/>
        </w:rPr>
        <w:t xml:space="preserve"> </w:t>
      </w:r>
      <w:r w:rsidR="00867500" w:rsidRPr="0064082F">
        <w:rPr>
          <w:rStyle w:val="IntenseEmphasis"/>
          <w:i w:val="0"/>
          <w:iCs w:val="0"/>
          <w:color w:val="auto"/>
        </w:rPr>
        <w:t xml:space="preserve">the Office of Victorian Information Commissioner (OVIC) has a requirement to implement the </w:t>
      </w:r>
      <w:r w:rsidR="00485CC9" w:rsidRPr="0064082F">
        <w:rPr>
          <w:rStyle w:val="IntenseEmphasis"/>
          <w:i w:val="0"/>
          <w:iCs w:val="0"/>
          <w:color w:val="auto"/>
        </w:rPr>
        <w:t>Victorian Protection</w:t>
      </w:r>
      <w:r w:rsidR="0074011E" w:rsidRPr="0064082F">
        <w:rPr>
          <w:rStyle w:val="IntenseEmphasis"/>
          <w:i w:val="0"/>
          <w:iCs w:val="0"/>
          <w:color w:val="auto"/>
        </w:rPr>
        <w:t xml:space="preserve"> Data Security Framework (VPDSF)</w:t>
      </w:r>
      <w:r w:rsidR="001F6EE5">
        <w:rPr>
          <w:rStyle w:val="IntenseEmphasis"/>
          <w:i w:val="0"/>
          <w:iCs w:val="0"/>
          <w:color w:val="auto"/>
        </w:rPr>
        <w:t>. In addition to this, we are required to implement the DELWP Water Industry Strategic Cyber plan.</w:t>
      </w:r>
    </w:p>
    <w:p w14:paraId="72783991" w14:textId="2382B0C7" w:rsidR="0064082F" w:rsidRPr="0064082F" w:rsidRDefault="00AA3CE0" w:rsidP="00F459A2">
      <w:pPr>
        <w:pStyle w:val="ListParagraph"/>
        <w:numPr>
          <w:ilvl w:val="0"/>
          <w:numId w:val="9"/>
        </w:numPr>
        <w:jc w:val="both"/>
        <w:rPr>
          <w:rStyle w:val="IntenseEmphasis"/>
          <w:i w:val="0"/>
          <w:iCs w:val="0"/>
          <w:color w:val="auto"/>
        </w:rPr>
      </w:pPr>
      <w:r>
        <w:rPr>
          <w:rStyle w:val="IntenseEmphasis"/>
          <w:b/>
          <w:bCs/>
          <w:i w:val="0"/>
          <w:iCs w:val="0"/>
          <w:color w:val="auto"/>
        </w:rPr>
        <w:t>W</w:t>
      </w:r>
      <w:r w:rsidR="00A13DD3" w:rsidRPr="00AA3CE0">
        <w:rPr>
          <w:rStyle w:val="IntenseEmphasis"/>
          <w:b/>
          <w:bCs/>
          <w:i w:val="0"/>
          <w:iCs w:val="0"/>
          <w:color w:val="auto"/>
        </w:rPr>
        <w:t xml:space="preserve">ater </w:t>
      </w:r>
      <w:r w:rsidR="00A13DD3" w:rsidRPr="00AA3CE0">
        <w:rPr>
          <w:rStyle w:val="IntenseEmphasis"/>
          <w:b/>
          <w:i w:val="0"/>
          <w:color w:val="auto"/>
        </w:rPr>
        <w:t>resource compliance</w:t>
      </w:r>
      <w:r>
        <w:rPr>
          <w:rStyle w:val="IntenseEmphasis"/>
          <w:i w:val="0"/>
          <w:iCs w:val="0"/>
          <w:color w:val="auto"/>
        </w:rPr>
        <w:t>:</w:t>
      </w:r>
      <w:r w:rsidR="00A13DD3">
        <w:rPr>
          <w:rStyle w:val="IntenseEmphasis"/>
          <w:i w:val="0"/>
          <w:iCs w:val="0"/>
          <w:color w:val="auto"/>
        </w:rPr>
        <w:t xml:space="preserve"> </w:t>
      </w:r>
      <w:r w:rsidR="0064082F">
        <w:rPr>
          <w:rStyle w:val="IntenseEmphasis"/>
          <w:i w:val="0"/>
          <w:iCs w:val="0"/>
          <w:color w:val="auto"/>
        </w:rPr>
        <w:t>The Victorian Government ha</w:t>
      </w:r>
      <w:r>
        <w:rPr>
          <w:rStyle w:val="IntenseEmphasis"/>
          <w:i w:val="0"/>
          <w:iCs w:val="0"/>
          <w:color w:val="auto"/>
        </w:rPr>
        <w:t>s</w:t>
      </w:r>
      <w:r w:rsidR="0064082F">
        <w:rPr>
          <w:rStyle w:val="IntenseEmphasis"/>
          <w:i w:val="0"/>
          <w:iCs w:val="0"/>
          <w:color w:val="auto"/>
        </w:rPr>
        <w:t xml:space="preserve"> increased </w:t>
      </w:r>
      <w:r w:rsidR="0011253A">
        <w:rPr>
          <w:rStyle w:val="IntenseEmphasis"/>
          <w:i w:val="0"/>
          <w:iCs w:val="0"/>
          <w:color w:val="auto"/>
        </w:rPr>
        <w:t>rural water corporations</w:t>
      </w:r>
      <w:r w:rsidR="004E2E06">
        <w:rPr>
          <w:rStyle w:val="IntenseEmphasis"/>
          <w:i w:val="0"/>
          <w:iCs w:val="0"/>
          <w:color w:val="auto"/>
        </w:rPr>
        <w:t>’</w:t>
      </w:r>
      <w:r w:rsidR="0011253A">
        <w:rPr>
          <w:rStyle w:val="IntenseEmphasis"/>
          <w:i w:val="0"/>
          <w:iCs w:val="0"/>
          <w:color w:val="auto"/>
        </w:rPr>
        <w:t xml:space="preserve"> responsibilities in water resource compliance. </w:t>
      </w:r>
      <w:r w:rsidR="0064082F" w:rsidRPr="0064082F">
        <w:rPr>
          <w:rStyle w:val="IntenseEmphasis"/>
          <w:i w:val="0"/>
          <w:iCs w:val="0"/>
          <w:color w:val="auto"/>
        </w:rPr>
        <w:t xml:space="preserve">In May 2020 the Minister for Water appointed Mr Des Pearson, Victoria’s former Auditor-General to review the compliance and enforcement frameworks of DELWP and water corporations with non-urban customers, to ensure they are aligned to the </w:t>
      </w:r>
      <w:r>
        <w:rPr>
          <w:rStyle w:val="IntenseEmphasis"/>
          <w:i w:val="0"/>
          <w:iCs w:val="0"/>
          <w:color w:val="auto"/>
        </w:rPr>
        <w:t>g</w:t>
      </w:r>
      <w:r w:rsidR="0064082F" w:rsidRPr="0064082F">
        <w:rPr>
          <w:rStyle w:val="IntenseEmphasis"/>
          <w:i w:val="0"/>
          <w:iCs w:val="0"/>
          <w:color w:val="auto"/>
        </w:rPr>
        <w:t>overnment’s </w:t>
      </w:r>
      <w:hyperlink r:id="rId30" w:tgtFrame="_blank" w:history="1">
        <w:r w:rsidR="0064082F" w:rsidRPr="0064082F">
          <w:rPr>
            <w:rStyle w:val="IntenseEmphasis"/>
            <w:i w:val="0"/>
            <w:iCs w:val="0"/>
            <w:color w:val="auto"/>
          </w:rPr>
          <w:t>zero tolerance approach to unauthorised take</w:t>
        </w:r>
      </w:hyperlink>
      <w:r w:rsidR="0064082F" w:rsidRPr="0064082F">
        <w:rPr>
          <w:rStyle w:val="IntenseEmphasis"/>
          <w:i w:val="0"/>
          <w:iCs w:val="0"/>
          <w:color w:val="auto"/>
        </w:rPr>
        <w:t>.</w:t>
      </w:r>
    </w:p>
    <w:p w14:paraId="4B752306" w14:textId="7005B02F" w:rsidR="00072695" w:rsidRPr="00AA3CE0" w:rsidRDefault="00072695" w:rsidP="00072695">
      <w:pPr>
        <w:pStyle w:val="Heading3"/>
      </w:pPr>
      <w:r w:rsidRPr="00AA3CE0">
        <w:t>One-offs or non</w:t>
      </w:r>
      <w:r w:rsidR="00C17A38" w:rsidRPr="00AA3CE0">
        <w:t>-</w:t>
      </w:r>
      <w:r w:rsidRPr="00AA3CE0">
        <w:t>recurring</w:t>
      </w:r>
    </w:p>
    <w:p w14:paraId="198C76DE" w14:textId="367953C9" w:rsidR="000E0787" w:rsidRDefault="00B163CD" w:rsidP="007E4CDB">
      <w:pPr>
        <w:jc w:val="both"/>
      </w:pPr>
      <w:r w:rsidRPr="00BB320F">
        <w:t xml:space="preserve">During this period we have experienced </w:t>
      </w:r>
      <w:r w:rsidR="00B41580" w:rsidRPr="00BB320F">
        <w:t>l</w:t>
      </w:r>
      <w:r w:rsidR="000E0787" w:rsidRPr="00BB320F">
        <w:t xml:space="preserve">egal and consultancy costs </w:t>
      </w:r>
      <w:r w:rsidR="009E6A09" w:rsidRPr="00BB320F">
        <w:t xml:space="preserve">associated with a </w:t>
      </w:r>
      <w:r w:rsidR="00B41580" w:rsidRPr="00BB320F">
        <w:t xml:space="preserve">significant </w:t>
      </w:r>
      <w:r w:rsidR="009E6A09" w:rsidRPr="00BB320F">
        <w:t xml:space="preserve">groundwater and rivers regulatory issue that </w:t>
      </w:r>
      <w:r w:rsidR="00BB320F" w:rsidRPr="00BB320F">
        <w:t>is</w:t>
      </w:r>
      <w:r w:rsidR="00B41580" w:rsidRPr="00BB320F">
        <w:t xml:space="preserve"> higher</w:t>
      </w:r>
      <w:r w:rsidR="009E6A09" w:rsidRPr="00BB320F">
        <w:t xml:space="preserve"> than our long</w:t>
      </w:r>
      <w:r w:rsidR="003C49F8">
        <w:t>-</w:t>
      </w:r>
      <w:r w:rsidR="009E6A09" w:rsidRPr="00BB320F">
        <w:t xml:space="preserve">term average. </w:t>
      </w:r>
      <w:r w:rsidR="00B41580" w:rsidRPr="00BB320F">
        <w:t>As such,</w:t>
      </w:r>
      <w:r w:rsidR="00BB320F" w:rsidRPr="00BB320F">
        <w:t xml:space="preserve"> a deduction of</w:t>
      </w:r>
      <w:r w:rsidR="009E6A09" w:rsidRPr="00BB320F">
        <w:t xml:space="preserve"> $100 000 </w:t>
      </w:r>
      <w:r w:rsidR="00B41580" w:rsidRPr="00BB320F">
        <w:t xml:space="preserve">has been </w:t>
      </w:r>
      <w:r w:rsidR="00BB320F" w:rsidRPr="00BB320F">
        <w:t>made</w:t>
      </w:r>
      <w:r w:rsidR="00B41580" w:rsidRPr="00BB320F">
        <w:t xml:space="preserve"> </w:t>
      </w:r>
      <w:r w:rsidR="009E6A09" w:rsidRPr="00BB320F">
        <w:t>from the baseline</w:t>
      </w:r>
      <w:r w:rsidR="00632C09" w:rsidRPr="00BB320F">
        <w:t>.</w:t>
      </w:r>
      <w:r w:rsidR="00BB320F" w:rsidRPr="00BB320F">
        <w:t xml:space="preserve"> Our expectation is that this will return to</w:t>
      </w:r>
      <w:r w:rsidR="00C8126E">
        <w:t xml:space="preserve"> costs more consistent with our long</w:t>
      </w:r>
      <w:r w:rsidR="000551E0">
        <w:t>-</w:t>
      </w:r>
      <w:r w:rsidR="00BB320F">
        <w:t>term average.</w:t>
      </w:r>
    </w:p>
    <w:p w14:paraId="67CD8866" w14:textId="2544EA58" w:rsidR="00072695" w:rsidRPr="00AA3CE0" w:rsidRDefault="00072695" w:rsidP="00072695">
      <w:pPr>
        <w:pStyle w:val="Heading3"/>
      </w:pPr>
      <w:r w:rsidRPr="00AA3CE0">
        <w:t>Normally recurring expenses that did not occur</w:t>
      </w:r>
    </w:p>
    <w:p w14:paraId="793E48F4" w14:textId="6A6EE9AB" w:rsidR="0080152D" w:rsidRPr="00AA3CE0" w:rsidRDefault="0080152D" w:rsidP="007E4CDB">
      <w:pPr>
        <w:jc w:val="both"/>
      </w:pPr>
      <w:r w:rsidRPr="00AA3CE0">
        <w:t>No significant one-off or non-recurring items were identified for the 2021-22 baseline year.</w:t>
      </w:r>
    </w:p>
    <w:p w14:paraId="27E5DA25" w14:textId="1DEAB58E" w:rsidR="00072695" w:rsidRPr="00AA3CE0" w:rsidRDefault="00072695" w:rsidP="00072695">
      <w:pPr>
        <w:pStyle w:val="Heading3"/>
      </w:pPr>
      <w:r w:rsidRPr="00AA3CE0">
        <w:t>Cost savings and efficiency gains</w:t>
      </w:r>
    </w:p>
    <w:p w14:paraId="41AFDCEE" w14:textId="0BE8A3A0" w:rsidR="00CE1E25" w:rsidRPr="00AA3CE0" w:rsidRDefault="00CE1E25" w:rsidP="007E4CDB">
      <w:pPr>
        <w:jc w:val="both"/>
      </w:pPr>
      <w:r w:rsidRPr="00AA3CE0">
        <w:t>A 1% per annum</w:t>
      </w:r>
      <w:r w:rsidR="001278CE" w:rsidRPr="00AA3CE0">
        <w:t xml:space="preserve"> productivity saving</w:t>
      </w:r>
      <w:r w:rsidR="00D2539A" w:rsidRPr="00AA3CE0">
        <w:t xml:space="preserve"> </w:t>
      </w:r>
      <w:r w:rsidRPr="00AA3CE0">
        <w:t xml:space="preserve">resulting </w:t>
      </w:r>
      <w:r w:rsidR="00D2539A" w:rsidRPr="00AA3CE0">
        <w:t>in reduced OPEX across the period from a combination of the</w:t>
      </w:r>
      <w:r w:rsidR="00A36868" w:rsidRPr="00AA3CE0">
        <w:t xml:space="preserve"> way</w:t>
      </w:r>
      <w:r w:rsidRPr="00AA3CE0">
        <w:t xml:space="preserve"> we deliver our services and conduct our operations has been included in the benchmark operating cost allowance. Compounding across the regulatory period, this represents a reduction to controllable operating costs of $0.</w:t>
      </w:r>
      <w:r w:rsidR="004C0335">
        <w:t>5</w:t>
      </w:r>
      <w:r w:rsidRPr="00AA3CE0">
        <w:t xml:space="preserve">m </w:t>
      </w:r>
      <w:r w:rsidR="004C0335">
        <w:t xml:space="preserve">– 1.2m </w:t>
      </w:r>
      <w:r w:rsidRPr="00AA3CE0">
        <w:t>per year</w:t>
      </w:r>
      <w:r w:rsidR="004C0335">
        <w:t xml:space="preserve"> over time</w:t>
      </w:r>
      <w:r w:rsidR="00D44888" w:rsidRPr="00AA3CE0">
        <w:t>.</w:t>
      </w:r>
    </w:p>
    <w:p w14:paraId="25AF5293" w14:textId="07439FB9" w:rsidR="00534AB2" w:rsidRPr="00192F41" w:rsidRDefault="00534AB2" w:rsidP="00AA3CE0">
      <w:pPr>
        <w:pStyle w:val="Heading2"/>
        <w:rPr>
          <w:rFonts w:cs="Arial"/>
          <w:b w:val="0"/>
          <w:shd w:val="clear" w:color="auto" w:fill="FAF9F8"/>
        </w:rPr>
      </w:pPr>
      <w:r w:rsidRPr="00AA3CE0">
        <w:t>Forecast expenditure assumptions</w:t>
      </w:r>
    </w:p>
    <w:p w14:paraId="44B96620" w14:textId="62A496A3" w:rsidR="00F875FA" w:rsidRPr="00AA3CE0" w:rsidRDefault="00F875FA" w:rsidP="00BC7207">
      <w:pPr>
        <w:pStyle w:val="Heading3"/>
      </w:pPr>
      <w:r w:rsidRPr="00AA3CE0">
        <w:t>Cost increases</w:t>
      </w:r>
    </w:p>
    <w:p w14:paraId="030286EC" w14:textId="68BB3FC9" w:rsidR="000B52CF" w:rsidRPr="00AA3CE0" w:rsidRDefault="001E0055" w:rsidP="007E4CDB">
      <w:pPr>
        <w:jc w:val="both"/>
      </w:pPr>
      <w:r w:rsidRPr="00AA3CE0">
        <w:t xml:space="preserve">Other than a minor increase in compliance costs for cyber security and water resource compliance, future operating cost expenditure analysis has not identified any significant non-inflationary matters </w:t>
      </w:r>
      <w:r w:rsidR="000B52CF" w:rsidRPr="00AA3CE0">
        <w:t>that will prompt an increase to the efficient cost of our operations. Maintenance of real operating costs for our major service lines is expected across the 2023-28 regu</w:t>
      </w:r>
      <w:r w:rsidR="001E64DD" w:rsidRPr="00AA3CE0">
        <w:t>l</w:t>
      </w:r>
      <w:r w:rsidR="000B52CF" w:rsidRPr="00AA3CE0">
        <w:t>atory period</w:t>
      </w:r>
      <w:r w:rsidR="00B07C61" w:rsidRPr="00AA3CE0">
        <w:t>.</w:t>
      </w:r>
    </w:p>
    <w:p w14:paraId="0DDB7513" w14:textId="386EC6D5" w:rsidR="008C5D9C" w:rsidRDefault="008C5D9C" w:rsidP="00F81247">
      <w:pPr>
        <w:rPr>
          <w:rFonts w:cs="Arial"/>
          <w:shd w:val="clear" w:color="auto" w:fill="FAF9F8"/>
        </w:rPr>
      </w:pPr>
    </w:p>
    <w:p w14:paraId="3A60FA13" w14:textId="24AEB833" w:rsidR="00013571" w:rsidRDefault="00306D6A" w:rsidP="004A683C">
      <w:pPr>
        <w:jc w:val="center"/>
        <w:rPr>
          <w:rFonts w:cs="Arial"/>
          <w:shd w:val="clear" w:color="auto" w:fill="FAF9F8"/>
        </w:rPr>
      </w:pPr>
      <w:r>
        <w:rPr>
          <w:noProof/>
        </w:rPr>
        <w:drawing>
          <wp:inline distT="0" distB="0" distL="0" distR="0" wp14:anchorId="5DDD42F5" wp14:editId="5C1776B8">
            <wp:extent cx="5467349" cy="3059431"/>
            <wp:effectExtent l="0" t="0" r="635" b="7620"/>
            <wp:docPr id="6" name="Chart 6">
              <a:extLst xmlns:a="http://schemas.openxmlformats.org/drawingml/2006/main">
                <a:ext uri="{FF2B5EF4-FFF2-40B4-BE49-F238E27FC236}">
                  <a16:creationId xmlns:a16="http://schemas.microsoft.com/office/drawing/2014/main" id="{00000000-0008-0000-1800-000007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A2D4F79" w14:textId="6B0E408D" w:rsidR="00D20FA9" w:rsidRDefault="00D20FA9" w:rsidP="00D20FA9">
      <w:pPr>
        <w:pStyle w:val="Caption"/>
        <w:rPr>
          <w:b/>
          <w:bCs/>
          <w:i w:val="0"/>
          <w:iCs w:val="0"/>
          <w:color w:val="00B1B0" w:themeColor="accent1"/>
          <w:sz w:val="20"/>
          <w:szCs w:val="20"/>
        </w:rPr>
      </w:pPr>
      <w:r w:rsidRPr="00D20FA9">
        <w:rPr>
          <w:b/>
          <w:bCs/>
          <w:i w:val="0"/>
          <w:iCs w:val="0"/>
          <w:color w:val="00B1B0" w:themeColor="accent1"/>
          <w:sz w:val="20"/>
          <w:szCs w:val="20"/>
        </w:rPr>
        <w:t xml:space="preserve">Figure </w:t>
      </w:r>
      <w:r w:rsidRPr="00D20FA9">
        <w:rPr>
          <w:b/>
          <w:bCs/>
          <w:i w:val="0"/>
          <w:iCs w:val="0"/>
          <w:color w:val="00B1B0" w:themeColor="accent1"/>
          <w:sz w:val="20"/>
          <w:szCs w:val="20"/>
        </w:rPr>
        <w:fldChar w:fldCharType="begin"/>
      </w:r>
      <w:r w:rsidRPr="00D20FA9">
        <w:rPr>
          <w:b/>
          <w:bCs/>
          <w:i w:val="0"/>
          <w:iCs w:val="0"/>
          <w:color w:val="00B1B0" w:themeColor="accent1"/>
          <w:sz w:val="20"/>
          <w:szCs w:val="20"/>
        </w:rPr>
        <w:instrText xml:space="preserve"> SEQ Figure \* ARABIC </w:instrText>
      </w:r>
      <w:r w:rsidRPr="00D20FA9">
        <w:rPr>
          <w:b/>
          <w:bCs/>
          <w:i w:val="0"/>
          <w:iCs w:val="0"/>
          <w:color w:val="00B1B0" w:themeColor="accent1"/>
          <w:sz w:val="20"/>
          <w:szCs w:val="20"/>
        </w:rPr>
        <w:fldChar w:fldCharType="separate"/>
      </w:r>
      <w:r w:rsidR="008126A8">
        <w:rPr>
          <w:b/>
          <w:bCs/>
          <w:i w:val="0"/>
          <w:iCs w:val="0"/>
          <w:noProof/>
          <w:color w:val="00B1B0" w:themeColor="accent1"/>
          <w:sz w:val="20"/>
          <w:szCs w:val="20"/>
        </w:rPr>
        <w:t>5</w:t>
      </w:r>
      <w:r w:rsidRPr="00D20FA9">
        <w:rPr>
          <w:b/>
          <w:bCs/>
          <w:i w:val="0"/>
          <w:iCs w:val="0"/>
          <w:color w:val="00B1B0" w:themeColor="accent1"/>
          <w:sz w:val="20"/>
          <w:szCs w:val="20"/>
        </w:rPr>
        <w:fldChar w:fldCharType="end"/>
      </w:r>
      <w:r w:rsidRPr="00D20FA9">
        <w:rPr>
          <w:b/>
          <w:bCs/>
          <w:i w:val="0"/>
          <w:iCs w:val="0"/>
          <w:color w:val="00B1B0" w:themeColor="accent1"/>
          <w:sz w:val="20"/>
          <w:szCs w:val="20"/>
        </w:rPr>
        <w:t xml:space="preserve"> – Controllable operating expenditure</w:t>
      </w:r>
      <w:r w:rsidR="00A8582D">
        <w:rPr>
          <w:b/>
          <w:bCs/>
          <w:i w:val="0"/>
          <w:iCs w:val="0"/>
          <w:color w:val="00B1B0" w:themeColor="accent1"/>
          <w:sz w:val="20"/>
          <w:szCs w:val="20"/>
        </w:rPr>
        <w:t xml:space="preserve"> </w:t>
      </w:r>
    </w:p>
    <w:p w14:paraId="3069A64D" w14:textId="58B09B99" w:rsidR="004166F9" w:rsidRPr="00AA3CE0" w:rsidRDefault="00AB6E34" w:rsidP="007E4CDB">
      <w:pPr>
        <w:jc w:val="both"/>
      </w:pPr>
      <w:r w:rsidRPr="00AA3CE0">
        <w:t>An analysis of our i</w:t>
      </w:r>
      <w:r w:rsidR="000B52CF" w:rsidRPr="00AA3CE0">
        <w:t xml:space="preserve">ndividual expenditure </w:t>
      </w:r>
      <w:r w:rsidRPr="00AA3CE0">
        <w:t>over the</w:t>
      </w:r>
      <w:r w:rsidR="004166F9" w:rsidRPr="00AA3CE0">
        <w:t xml:space="preserve"> </w:t>
      </w:r>
      <w:r w:rsidR="001E64DD" w:rsidRPr="00AA3CE0">
        <w:t xml:space="preserve">past </w:t>
      </w:r>
      <w:r w:rsidRPr="00AA3CE0">
        <w:t xml:space="preserve">five years </w:t>
      </w:r>
      <w:r w:rsidR="001E64DD" w:rsidRPr="00AA3CE0">
        <w:t xml:space="preserve">and forecast costs for </w:t>
      </w:r>
      <w:r w:rsidR="004166F9" w:rsidRPr="00AA3CE0">
        <w:t>the following items supports the continuation of 2021-22 actual expenditure as an appropriate baseline for future efficient controllable operating costs</w:t>
      </w:r>
      <w:r w:rsidRPr="00AA3CE0">
        <w:t>.</w:t>
      </w:r>
      <w:r w:rsidR="00A06B95" w:rsidRPr="00AA3CE0">
        <w:t xml:space="preserve"> </w:t>
      </w:r>
      <w:r w:rsidR="005B3C0B">
        <w:t xml:space="preserve">Figure 5 shows the projected controllable operating </w:t>
      </w:r>
      <w:r w:rsidR="00420763">
        <w:t>expenditure</w:t>
      </w:r>
      <w:r w:rsidR="005B3C0B">
        <w:t xml:space="preserve"> to</w:t>
      </w:r>
      <w:r w:rsidR="00420763">
        <w:t xml:space="preserve"> 2032-33.</w:t>
      </w:r>
    </w:p>
    <w:p w14:paraId="178FC60D" w14:textId="7F03F053" w:rsidR="00F875FA" w:rsidRPr="00110034" w:rsidRDefault="003C5AB0" w:rsidP="00372097">
      <w:pPr>
        <w:jc w:val="both"/>
      </w:pPr>
      <w:r w:rsidRPr="00AA3CE0">
        <w:t xml:space="preserve">We are forecasting our labour costs to be consistent with the </w:t>
      </w:r>
      <w:r w:rsidR="00736EBF" w:rsidRPr="00AA3CE0">
        <w:t xml:space="preserve">1% </w:t>
      </w:r>
      <w:r w:rsidR="00A1222D" w:rsidRPr="00AA3CE0">
        <w:t xml:space="preserve">productivity </w:t>
      </w:r>
      <w:r w:rsidR="00736EBF" w:rsidRPr="00AA3CE0">
        <w:t>savings</w:t>
      </w:r>
      <w:r w:rsidR="002A165C">
        <w:t xml:space="preserve">, as detailed in </w:t>
      </w:r>
      <w:r w:rsidR="00304565">
        <w:t>Table 14</w:t>
      </w:r>
      <w:r w:rsidR="00110034">
        <w:t xml:space="preserve"> </w:t>
      </w:r>
      <w:r w:rsidR="00736EBF" w:rsidRPr="00AA3CE0">
        <w:t xml:space="preserve">across the period as represented in </w:t>
      </w:r>
      <w:r w:rsidR="00736EBF" w:rsidRPr="00AA3CE0">
        <w:fldChar w:fldCharType="begin"/>
      </w:r>
      <w:r w:rsidR="00736EBF" w:rsidRPr="00AA3CE0">
        <w:instrText xml:space="preserve"> REF _Ref113433559 \h  \* MERGEFORMAT </w:instrText>
      </w:r>
      <w:r w:rsidR="00736EBF" w:rsidRPr="00AA3CE0">
        <w:fldChar w:fldCharType="separate"/>
      </w:r>
      <w:r w:rsidR="008126A8" w:rsidRPr="008126A8">
        <w:t>Figure 6</w:t>
      </w:r>
      <w:r w:rsidR="00736EBF" w:rsidRPr="00AA3CE0">
        <w:fldChar w:fldCharType="end"/>
      </w:r>
      <w:r w:rsidR="00736EBF" w:rsidRPr="00AA3CE0">
        <w:t>.</w:t>
      </w:r>
      <w:r w:rsidR="002A165C">
        <w:t xml:space="preserve"> There will be a repurposing and upskilling of staff to meet </w:t>
      </w:r>
      <w:r w:rsidR="003A1FE2">
        <w:t xml:space="preserve">new obligations. </w:t>
      </w:r>
    </w:p>
    <w:p w14:paraId="6B627E5F" w14:textId="2DED8E8B" w:rsidR="00465E95" w:rsidRDefault="007026DA" w:rsidP="004B452E">
      <w:pPr>
        <w:jc w:val="center"/>
        <w:rPr>
          <w:rFonts w:cs="Arial"/>
          <w:color w:val="FF0000"/>
          <w:shd w:val="clear" w:color="auto" w:fill="FAF9F8"/>
        </w:rPr>
      </w:pPr>
      <w:r>
        <w:rPr>
          <w:noProof/>
        </w:rPr>
        <w:drawing>
          <wp:inline distT="0" distB="0" distL="0" distR="0" wp14:anchorId="0D823641" wp14:editId="34876028">
            <wp:extent cx="5480684" cy="3346768"/>
            <wp:effectExtent l="0" t="0" r="6350" b="6350"/>
            <wp:docPr id="46" name="Chart 46">
              <a:extLst xmlns:a="http://schemas.openxmlformats.org/drawingml/2006/main">
                <a:ext uri="{FF2B5EF4-FFF2-40B4-BE49-F238E27FC236}">
                  <a16:creationId xmlns:a16="http://schemas.microsoft.com/office/drawing/2014/main" id="{676F06AB-DC9E-4A75-B9CA-DFA835B5437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9B64FB7" w14:textId="0F8B6D0F" w:rsidR="00A8582D" w:rsidRDefault="000A30F5" w:rsidP="000A30F5">
      <w:pPr>
        <w:pStyle w:val="Caption"/>
        <w:rPr>
          <w:b/>
          <w:bCs/>
          <w:i w:val="0"/>
          <w:iCs w:val="0"/>
          <w:color w:val="00B1B0" w:themeColor="accent1"/>
          <w:sz w:val="20"/>
          <w:szCs w:val="20"/>
        </w:rPr>
      </w:pPr>
      <w:bookmarkStart w:id="57" w:name="_Ref113433559"/>
      <w:r w:rsidRPr="000A30F5">
        <w:rPr>
          <w:b/>
          <w:bCs/>
          <w:i w:val="0"/>
          <w:iCs w:val="0"/>
          <w:color w:val="00B1B0" w:themeColor="accent1"/>
          <w:sz w:val="20"/>
          <w:szCs w:val="20"/>
        </w:rPr>
        <w:t xml:space="preserve">Figure </w:t>
      </w:r>
      <w:r w:rsidRPr="000A30F5">
        <w:rPr>
          <w:b/>
          <w:bCs/>
          <w:i w:val="0"/>
          <w:iCs w:val="0"/>
          <w:color w:val="00B1B0" w:themeColor="accent1"/>
          <w:sz w:val="20"/>
          <w:szCs w:val="20"/>
        </w:rPr>
        <w:fldChar w:fldCharType="begin"/>
      </w:r>
      <w:r w:rsidRPr="000A30F5">
        <w:rPr>
          <w:b/>
          <w:bCs/>
          <w:i w:val="0"/>
          <w:iCs w:val="0"/>
          <w:color w:val="00B1B0" w:themeColor="accent1"/>
          <w:sz w:val="20"/>
          <w:szCs w:val="20"/>
        </w:rPr>
        <w:instrText xml:space="preserve"> SEQ Figure \* ARABIC </w:instrText>
      </w:r>
      <w:r w:rsidRPr="000A30F5">
        <w:rPr>
          <w:b/>
          <w:bCs/>
          <w:i w:val="0"/>
          <w:iCs w:val="0"/>
          <w:color w:val="00B1B0" w:themeColor="accent1"/>
          <w:sz w:val="20"/>
          <w:szCs w:val="20"/>
        </w:rPr>
        <w:fldChar w:fldCharType="separate"/>
      </w:r>
      <w:r w:rsidR="008126A8">
        <w:rPr>
          <w:b/>
          <w:bCs/>
          <w:i w:val="0"/>
          <w:iCs w:val="0"/>
          <w:noProof/>
          <w:color w:val="00B1B0" w:themeColor="accent1"/>
          <w:sz w:val="20"/>
          <w:szCs w:val="20"/>
        </w:rPr>
        <w:t>6</w:t>
      </w:r>
      <w:r w:rsidRPr="000A30F5">
        <w:rPr>
          <w:b/>
          <w:bCs/>
          <w:i w:val="0"/>
          <w:iCs w:val="0"/>
          <w:color w:val="00B1B0" w:themeColor="accent1"/>
          <w:sz w:val="20"/>
          <w:szCs w:val="20"/>
        </w:rPr>
        <w:fldChar w:fldCharType="end"/>
      </w:r>
      <w:bookmarkEnd w:id="57"/>
      <w:r w:rsidRPr="000A30F5">
        <w:rPr>
          <w:b/>
          <w:bCs/>
          <w:i w:val="0"/>
          <w:iCs w:val="0"/>
          <w:color w:val="00B1B0" w:themeColor="accent1"/>
          <w:sz w:val="20"/>
          <w:szCs w:val="20"/>
        </w:rPr>
        <w:t xml:space="preserve"> </w:t>
      </w:r>
      <w:r w:rsidR="00A1222D">
        <w:rPr>
          <w:b/>
          <w:bCs/>
          <w:i w:val="0"/>
          <w:iCs w:val="0"/>
          <w:color w:val="00B1B0" w:themeColor="accent1"/>
          <w:sz w:val="20"/>
          <w:szCs w:val="20"/>
        </w:rPr>
        <w:t>–</w:t>
      </w:r>
      <w:r w:rsidRPr="000A30F5">
        <w:rPr>
          <w:b/>
          <w:bCs/>
          <w:i w:val="0"/>
          <w:iCs w:val="0"/>
          <w:color w:val="00B1B0" w:themeColor="accent1"/>
          <w:sz w:val="20"/>
          <w:szCs w:val="20"/>
        </w:rPr>
        <w:t xml:space="preserve"> </w:t>
      </w:r>
      <w:r w:rsidR="00A574B9">
        <w:rPr>
          <w:b/>
          <w:bCs/>
          <w:i w:val="0"/>
          <w:iCs w:val="0"/>
          <w:color w:val="00B1B0" w:themeColor="accent1"/>
          <w:sz w:val="20"/>
          <w:szCs w:val="20"/>
        </w:rPr>
        <w:t>Forecast l</w:t>
      </w:r>
      <w:r w:rsidRPr="000A30F5">
        <w:rPr>
          <w:b/>
          <w:bCs/>
          <w:i w:val="0"/>
          <w:iCs w:val="0"/>
          <w:color w:val="00B1B0" w:themeColor="accent1"/>
          <w:sz w:val="20"/>
          <w:szCs w:val="20"/>
        </w:rPr>
        <w:t>abour</w:t>
      </w:r>
      <w:r w:rsidR="006E04BA">
        <w:rPr>
          <w:b/>
          <w:bCs/>
          <w:i w:val="0"/>
          <w:iCs w:val="0"/>
          <w:color w:val="00B1B0" w:themeColor="accent1"/>
          <w:sz w:val="20"/>
          <w:szCs w:val="20"/>
        </w:rPr>
        <w:t xml:space="preserve"> </w:t>
      </w:r>
    </w:p>
    <w:p w14:paraId="1BEB0B1A" w14:textId="0B489261" w:rsidR="00A1222D" w:rsidRPr="00A1222D" w:rsidRDefault="00A1222D" w:rsidP="00372097">
      <w:pPr>
        <w:jc w:val="both"/>
      </w:pPr>
      <w:r>
        <w:t>Other controllable costs such as electricity and chemicals are relatively non-material for SRW are we are forecasting a continuation of current costs for these.</w:t>
      </w:r>
    </w:p>
    <w:p w14:paraId="03415E8F" w14:textId="1E75CA7F" w:rsidR="00F875FA" w:rsidRPr="00372097" w:rsidRDefault="00B31276" w:rsidP="00BC7207">
      <w:pPr>
        <w:pStyle w:val="Heading3"/>
      </w:pPr>
      <w:r w:rsidRPr="00372097">
        <w:t>Non-controllable costs</w:t>
      </w:r>
    </w:p>
    <w:p w14:paraId="5073FFB1" w14:textId="520DC179" w:rsidR="00BA6B77" w:rsidRPr="00A574B9" w:rsidRDefault="00BA6B77" w:rsidP="00372097">
      <w:pPr>
        <w:jc w:val="both"/>
      </w:pPr>
      <w:r w:rsidRPr="00A574B9">
        <w:t>The incidence of non-controllable costs projected for the 2023-28 regulatory period is consistent with those items deducted from 2021-22 baseline operating expenditure</w:t>
      </w:r>
      <w:r w:rsidR="00D975B3" w:rsidRPr="00A574B9">
        <w:t xml:space="preserve"> in table below.</w:t>
      </w:r>
      <w:r w:rsidRPr="00A574B9">
        <w:t xml:space="preserve"> </w:t>
      </w:r>
    </w:p>
    <w:p w14:paraId="7B42582D" w14:textId="007E9EE1" w:rsidR="0050231C" w:rsidRPr="00D975B3" w:rsidRDefault="0050231C" w:rsidP="0050231C">
      <w:pPr>
        <w:pStyle w:val="Caption"/>
        <w:rPr>
          <w:rFonts w:cs="Arial"/>
          <w:b/>
          <w:bCs/>
          <w:i w:val="0"/>
          <w:iCs w:val="0"/>
          <w:color w:val="00B1B0" w:themeColor="accent1"/>
          <w:sz w:val="20"/>
          <w:szCs w:val="20"/>
          <w:shd w:val="clear" w:color="auto" w:fill="FAF9F8"/>
        </w:rPr>
      </w:pPr>
      <w:r w:rsidRPr="00D975B3">
        <w:rPr>
          <w:b/>
          <w:bCs/>
          <w:i w:val="0"/>
          <w:iCs w:val="0"/>
          <w:color w:val="00B1B0" w:themeColor="accent1"/>
          <w:sz w:val="20"/>
          <w:szCs w:val="20"/>
        </w:rPr>
        <w:t xml:space="preserve">Table </w:t>
      </w:r>
      <w:r w:rsidRPr="00D975B3">
        <w:rPr>
          <w:b/>
          <w:bCs/>
          <w:i w:val="0"/>
          <w:iCs w:val="0"/>
          <w:color w:val="00B1B0" w:themeColor="accent1"/>
          <w:sz w:val="20"/>
          <w:szCs w:val="20"/>
        </w:rPr>
        <w:fldChar w:fldCharType="begin"/>
      </w:r>
      <w:r w:rsidRPr="00D975B3">
        <w:rPr>
          <w:b/>
          <w:bCs/>
          <w:i w:val="0"/>
          <w:iCs w:val="0"/>
          <w:color w:val="00B1B0" w:themeColor="accent1"/>
          <w:sz w:val="20"/>
          <w:szCs w:val="20"/>
        </w:rPr>
        <w:instrText xml:space="preserve"> SEQ Table \* ARABIC </w:instrText>
      </w:r>
      <w:r w:rsidRPr="00D975B3">
        <w:rPr>
          <w:b/>
          <w:bCs/>
          <w:i w:val="0"/>
          <w:iCs w:val="0"/>
          <w:color w:val="00B1B0" w:themeColor="accent1"/>
          <w:sz w:val="20"/>
          <w:szCs w:val="20"/>
        </w:rPr>
        <w:fldChar w:fldCharType="separate"/>
      </w:r>
      <w:r w:rsidR="008126A8">
        <w:rPr>
          <w:b/>
          <w:bCs/>
          <w:i w:val="0"/>
          <w:iCs w:val="0"/>
          <w:noProof/>
          <w:color w:val="00B1B0" w:themeColor="accent1"/>
          <w:sz w:val="20"/>
          <w:szCs w:val="20"/>
        </w:rPr>
        <w:t>13</w:t>
      </w:r>
      <w:r w:rsidRPr="00D975B3">
        <w:rPr>
          <w:b/>
          <w:bCs/>
          <w:i w:val="0"/>
          <w:iCs w:val="0"/>
          <w:color w:val="00B1B0" w:themeColor="accent1"/>
          <w:sz w:val="20"/>
          <w:szCs w:val="20"/>
        </w:rPr>
        <w:fldChar w:fldCharType="end"/>
      </w:r>
      <w:r w:rsidRPr="00D975B3">
        <w:rPr>
          <w:b/>
          <w:bCs/>
          <w:i w:val="0"/>
          <w:iCs w:val="0"/>
          <w:color w:val="00B1B0" w:themeColor="accent1"/>
          <w:sz w:val="20"/>
          <w:szCs w:val="20"/>
        </w:rPr>
        <w:t xml:space="preserve"> </w:t>
      </w:r>
      <w:r w:rsidR="00372097">
        <w:rPr>
          <w:b/>
          <w:bCs/>
          <w:i w:val="0"/>
          <w:iCs w:val="0"/>
          <w:color w:val="00B1B0" w:themeColor="accent1"/>
          <w:sz w:val="20"/>
          <w:szCs w:val="20"/>
        </w:rPr>
        <w:t>–</w:t>
      </w:r>
      <w:r w:rsidRPr="00D975B3">
        <w:rPr>
          <w:b/>
          <w:bCs/>
          <w:i w:val="0"/>
          <w:iCs w:val="0"/>
          <w:color w:val="00B1B0" w:themeColor="accent1"/>
          <w:sz w:val="20"/>
          <w:szCs w:val="20"/>
        </w:rPr>
        <w:t xml:space="preserve"> Non-control</w:t>
      </w:r>
      <w:r w:rsidR="00D975B3" w:rsidRPr="00D975B3">
        <w:rPr>
          <w:b/>
          <w:bCs/>
          <w:i w:val="0"/>
          <w:iCs w:val="0"/>
          <w:color w:val="00B1B0" w:themeColor="accent1"/>
          <w:sz w:val="20"/>
          <w:szCs w:val="20"/>
        </w:rPr>
        <w:t>lable costs</w:t>
      </w:r>
      <w:r w:rsidR="00B6016E">
        <w:rPr>
          <w:b/>
          <w:bCs/>
          <w:i w:val="0"/>
          <w:iCs w:val="0"/>
          <w:color w:val="00B1B0" w:themeColor="accent1"/>
          <w:sz w:val="20"/>
          <w:szCs w:val="20"/>
        </w:rPr>
        <w:t xml:space="preserve"> </w:t>
      </w:r>
    </w:p>
    <w:tbl>
      <w:tblPr>
        <w:tblW w:w="9639" w:type="dxa"/>
        <w:tblLook w:val="04A0" w:firstRow="1" w:lastRow="0" w:firstColumn="1" w:lastColumn="0" w:noHBand="0" w:noVBand="1"/>
      </w:tblPr>
      <w:tblGrid>
        <w:gridCol w:w="4536"/>
        <w:gridCol w:w="1134"/>
        <w:gridCol w:w="993"/>
        <w:gridCol w:w="992"/>
        <w:gridCol w:w="992"/>
        <w:gridCol w:w="992"/>
      </w:tblGrid>
      <w:tr w:rsidR="007C3EBA" w:rsidRPr="007C3EBA" w14:paraId="464DCF13" w14:textId="77777777">
        <w:trPr>
          <w:trHeight w:val="255"/>
        </w:trPr>
        <w:tc>
          <w:tcPr>
            <w:tcW w:w="4536" w:type="dxa"/>
            <w:tcBorders>
              <w:top w:val="nil"/>
              <w:left w:val="nil"/>
              <w:bottom w:val="nil"/>
              <w:right w:val="nil"/>
            </w:tcBorders>
            <w:shd w:val="clear" w:color="000000" w:fill="70CBD0"/>
            <w:noWrap/>
            <w:vAlign w:val="center"/>
            <w:hideMark/>
          </w:tcPr>
          <w:p w14:paraId="043782D3" w14:textId="4ECD3AF3" w:rsidR="007C3EBA" w:rsidRPr="007C3EBA" w:rsidRDefault="00372097" w:rsidP="00791772">
            <w:pPr>
              <w:spacing w:line="240" w:lineRule="auto"/>
              <w:rPr>
                <w:rFonts w:eastAsia="Times New Roman" w:cs="Arial"/>
                <w:b/>
                <w:bCs/>
                <w:color w:val="FFFFFF"/>
                <w:sz w:val="20"/>
                <w:szCs w:val="20"/>
                <w:lang w:eastAsia="en-AU"/>
              </w:rPr>
            </w:pPr>
            <w:r w:rsidRPr="007C3EBA">
              <w:rPr>
                <w:rFonts w:eastAsia="Times New Roman" w:cs="Arial"/>
                <w:b/>
                <w:bCs/>
                <w:color w:val="FFFFFF"/>
                <w:sz w:val="20"/>
                <w:szCs w:val="20"/>
                <w:lang w:eastAsia="en-AU"/>
              </w:rPr>
              <w:t> $M</w:t>
            </w:r>
            <w:r w:rsidR="007C3EBA" w:rsidRPr="007C3EBA">
              <w:rPr>
                <w:rFonts w:eastAsia="Times New Roman" w:cs="Arial"/>
                <w:b/>
                <w:bCs/>
                <w:color w:val="FFFFFF"/>
                <w:sz w:val="20"/>
                <w:szCs w:val="20"/>
                <w:lang w:eastAsia="en-AU"/>
              </w:rPr>
              <w:t> </w:t>
            </w:r>
          </w:p>
        </w:tc>
        <w:tc>
          <w:tcPr>
            <w:tcW w:w="1134" w:type="dxa"/>
            <w:tcBorders>
              <w:top w:val="nil"/>
              <w:left w:val="nil"/>
              <w:bottom w:val="nil"/>
              <w:right w:val="nil"/>
            </w:tcBorders>
            <w:shd w:val="clear" w:color="000000" w:fill="70CBD0"/>
            <w:vAlign w:val="center"/>
            <w:hideMark/>
          </w:tcPr>
          <w:p w14:paraId="60A27AE5" w14:textId="77777777" w:rsidR="007C3EBA" w:rsidRPr="007C3EBA" w:rsidRDefault="007C3EBA" w:rsidP="00791772">
            <w:pPr>
              <w:spacing w:line="240" w:lineRule="auto"/>
              <w:jc w:val="center"/>
              <w:rPr>
                <w:rFonts w:eastAsia="Times New Roman" w:cs="Arial"/>
                <w:b/>
                <w:bCs/>
                <w:color w:val="FFFFFF"/>
                <w:sz w:val="20"/>
                <w:szCs w:val="20"/>
                <w:lang w:eastAsia="en-AU"/>
              </w:rPr>
            </w:pPr>
            <w:r w:rsidRPr="007C3EBA">
              <w:rPr>
                <w:rFonts w:eastAsia="Times New Roman" w:cs="Arial"/>
                <w:b/>
                <w:bCs/>
                <w:color w:val="FFFFFF"/>
                <w:sz w:val="20"/>
                <w:szCs w:val="20"/>
                <w:lang w:eastAsia="en-AU"/>
              </w:rPr>
              <w:t>2023-24</w:t>
            </w:r>
          </w:p>
        </w:tc>
        <w:tc>
          <w:tcPr>
            <w:tcW w:w="993" w:type="dxa"/>
            <w:tcBorders>
              <w:top w:val="nil"/>
              <w:left w:val="nil"/>
              <w:bottom w:val="nil"/>
              <w:right w:val="nil"/>
            </w:tcBorders>
            <w:shd w:val="clear" w:color="000000" w:fill="70CBD0"/>
            <w:vAlign w:val="center"/>
            <w:hideMark/>
          </w:tcPr>
          <w:p w14:paraId="54517D67" w14:textId="77777777" w:rsidR="007C3EBA" w:rsidRPr="007C3EBA" w:rsidRDefault="007C3EBA" w:rsidP="00791772">
            <w:pPr>
              <w:spacing w:line="240" w:lineRule="auto"/>
              <w:jc w:val="center"/>
              <w:rPr>
                <w:rFonts w:eastAsia="Times New Roman" w:cs="Arial"/>
                <w:b/>
                <w:bCs/>
                <w:color w:val="FFFFFF"/>
                <w:sz w:val="20"/>
                <w:szCs w:val="20"/>
                <w:lang w:eastAsia="en-AU"/>
              </w:rPr>
            </w:pPr>
            <w:r w:rsidRPr="007C3EBA">
              <w:rPr>
                <w:rFonts w:eastAsia="Times New Roman" w:cs="Arial"/>
                <w:b/>
                <w:bCs/>
                <w:color w:val="FFFFFF"/>
                <w:sz w:val="20"/>
                <w:szCs w:val="20"/>
                <w:lang w:eastAsia="en-AU"/>
              </w:rPr>
              <w:t>2024-25</w:t>
            </w:r>
          </w:p>
        </w:tc>
        <w:tc>
          <w:tcPr>
            <w:tcW w:w="992" w:type="dxa"/>
            <w:tcBorders>
              <w:top w:val="nil"/>
              <w:left w:val="nil"/>
              <w:bottom w:val="nil"/>
              <w:right w:val="nil"/>
            </w:tcBorders>
            <w:shd w:val="clear" w:color="000000" w:fill="70CBD0"/>
            <w:vAlign w:val="center"/>
            <w:hideMark/>
          </w:tcPr>
          <w:p w14:paraId="5544CCEE" w14:textId="77777777" w:rsidR="007C3EBA" w:rsidRPr="007C3EBA" w:rsidRDefault="007C3EBA" w:rsidP="00791772">
            <w:pPr>
              <w:spacing w:line="240" w:lineRule="auto"/>
              <w:jc w:val="center"/>
              <w:rPr>
                <w:rFonts w:eastAsia="Times New Roman" w:cs="Arial"/>
                <w:b/>
                <w:bCs/>
                <w:color w:val="FFFFFF"/>
                <w:sz w:val="20"/>
                <w:szCs w:val="20"/>
                <w:lang w:eastAsia="en-AU"/>
              </w:rPr>
            </w:pPr>
            <w:r w:rsidRPr="007C3EBA">
              <w:rPr>
                <w:rFonts w:eastAsia="Times New Roman" w:cs="Arial"/>
                <w:b/>
                <w:bCs/>
                <w:color w:val="FFFFFF"/>
                <w:sz w:val="20"/>
                <w:szCs w:val="20"/>
                <w:lang w:eastAsia="en-AU"/>
              </w:rPr>
              <w:t>2025-26</w:t>
            </w:r>
          </w:p>
        </w:tc>
        <w:tc>
          <w:tcPr>
            <w:tcW w:w="992" w:type="dxa"/>
            <w:tcBorders>
              <w:top w:val="nil"/>
              <w:left w:val="nil"/>
              <w:bottom w:val="nil"/>
              <w:right w:val="nil"/>
            </w:tcBorders>
            <w:shd w:val="clear" w:color="000000" w:fill="70CBD0"/>
            <w:vAlign w:val="center"/>
            <w:hideMark/>
          </w:tcPr>
          <w:p w14:paraId="4B76B19C" w14:textId="77777777" w:rsidR="007C3EBA" w:rsidRPr="007C3EBA" w:rsidRDefault="007C3EBA" w:rsidP="00791772">
            <w:pPr>
              <w:spacing w:line="240" w:lineRule="auto"/>
              <w:jc w:val="center"/>
              <w:rPr>
                <w:rFonts w:eastAsia="Times New Roman" w:cs="Arial"/>
                <w:b/>
                <w:bCs/>
                <w:color w:val="FFFFFF"/>
                <w:sz w:val="20"/>
                <w:szCs w:val="20"/>
                <w:lang w:eastAsia="en-AU"/>
              </w:rPr>
            </w:pPr>
            <w:r w:rsidRPr="007C3EBA">
              <w:rPr>
                <w:rFonts w:eastAsia="Times New Roman" w:cs="Arial"/>
                <w:b/>
                <w:bCs/>
                <w:color w:val="FFFFFF"/>
                <w:sz w:val="20"/>
                <w:szCs w:val="20"/>
                <w:lang w:eastAsia="en-AU"/>
              </w:rPr>
              <w:t>2026-27</w:t>
            </w:r>
          </w:p>
        </w:tc>
        <w:tc>
          <w:tcPr>
            <w:tcW w:w="992" w:type="dxa"/>
            <w:tcBorders>
              <w:top w:val="nil"/>
              <w:left w:val="nil"/>
              <w:bottom w:val="nil"/>
              <w:right w:val="nil"/>
            </w:tcBorders>
            <w:shd w:val="clear" w:color="000000" w:fill="70CBD0"/>
            <w:vAlign w:val="center"/>
            <w:hideMark/>
          </w:tcPr>
          <w:p w14:paraId="23887DC6" w14:textId="77777777" w:rsidR="007C3EBA" w:rsidRPr="007C3EBA" w:rsidRDefault="007C3EBA" w:rsidP="00791772">
            <w:pPr>
              <w:spacing w:line="240" w:lineRule="auto"/>
              <w:jc w:val="center"/>
              <w:rPr>
                <w:rFonts w:eastAsia="Times New Roman" w:cs="Arial"/>
                <w:b/>
                <w:bCs/>
                <w:color w:val="FFFFFF"/>
                <w:sz w:val="20"/>
                <w:szCs w:val="20"/>
                <w:lang w:eastAsia="en-AU"/>
              </w:rPr>
            </w:pPr>
            <w:r w:rsidRPr="007C3EBA">
              <w:rPr>
                <w:rFonts w:eastAsia="Times New Roman" w:cs="Arial"/>
                <w:b/>
                <w:bCs/>
                <w:color w:val="FFFFFF"/>
                <w:sz w:val="20"/>
                <w:szCs w:val="20"/>
                <w:lang w:eastAsia="en-AU"/>
              </w:rPr>
              <w:t>2027-28</w:t>
            </w:r>
          </w:p>
        </w:tc>
      </w:tr>
      <w:tr w:rsidR="007C3EBA" w:rsidRPr="007C3EBA" w14:paraId="139CD419" w14:textId="77777777" w:rsidTr="007C3EBA">
        <w:trPr>
          <w:trHeight w:val="255"/>
        </w:trPr>
        <w:tc>
          <w:tcPr>
            <w:tcW w:w="4536" w:type="dxa"/>
            <w:tcBorders>
              <w:top w:val="nil"/>
              <w:left w:val="nil"/>
              <w:bottom w:val="nil"/>
              <w:right w:val="nil"/>
            </w:tcBorders>
            <w:shd w:val="clear" w:color="000000" w:fill="F5F5F5"/>
            <w:noWrap/>
            <w:vAlign w:val="center"/>
            <w:hideMark/>
          </w:tcPr>
          <w:p w14:paraId="320DE3F2" w14:textId="77777777" w:rsidR="007C3EBA" w:rsidRPr="007C3EBA" w:rsidRDefault="007C3EBA" w:rsidP="00791772">
            <w:pPr>
              <w:spacing w:before="40" w:after="40" w:line="240" w:lineRule="auto"/>
              <w:rPr>
                <w:rFonts w:eastAsia="Times New Roman" w:cs="Arial"/>
                <w:color w:val="000000"/>
                <w:sz w:val="20"/>
                <w:szCs w:val="20"/>
                <w:lang w:eastAsia="en-AU"/>
              </w:rPr>
            </w:pPr>
            <w:r w:rsidRPr="007C3EBA">
              <w:rPr>
                <w:rFonts w:eastAsia="Times New Roman" w:cs="Arial"/>
                <w:color w:val="000000"/>
                <w:sz w:val="20"/>
                <w:szCs w:val="20"/>
                <w:lang w:eastAsia="en-AU"/>
              </w:rPr>
              <w:t>Environmental contribution levy</w:t>
            </w:r>
          </w:p>
        </w:tc>
        <w:tc>
          <w:tcPr>
            <w:tcW w:w="1134" w:type="dxa"/>
            <w:tcBorders>
              <w:top w:val="nil"/>
              <w:left w:val="nil"/>
              <w:bottom w:val="nil"/>
              <w:right w:val="nil"/>
            </w:tcBorders>
            <w:shd w:val="clear" w:color="000000" w:fill="F5F5F5"/>
            <w:vAlign w:val="center"/>
            <w:hideMark/>
          </w:tcPr>
          <w:p w14:paraId="59EE7ECC"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$0.56m</w:t>
            </w:r>
          </w:p>
        </w:tc>
        <w:tc>
          <w:tcPr>
            <w:tcW w:w="993" w:type="dxa"/>
            <w:tcBorders>
              <w:top w:val="nil"/>
              <w:left w:val="nil"/>
              <w:bottom w:val="nil"/>
              <w:right w:val="nil"/>
            </w:tcBorders>
            <w:shd w:val="clear" w:color="000000" w:fill="F5F5F5"/>
            <w:vAlign w:val="center"/>
            <w:hideMark/>
          </w:tcPr>
          <w:p w14:paraId="2D8347AE"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$0.56m</w:t>
            </w:r>
          </w:p>
        </w:tc>
        <w:tc>
          <w:tcPr>
            <w:tcW w:w="992" w:type="dxa"/>
            <w:tcBorders>
              <w:top w:val="nil"/>
              <w:left w:val="nil"/>
              <w:bottom w:val="nil"/>
              <w:right w:val="nil"/>
            </w:tcBorders>
            <w:shd w:val="clear" w:color="000000" w:fill="F5F5F5"/>
            <w:vAlign w:val="center"/>
            <w:hideMark/>
          </w:tcPr>
          <w:p w14:paraId="2061A372"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$0.56m</w:t>
            </w:r>
          </w:p>
        </w:tc>
        <w:tc>
          <w:tcPr>
            <w:tcW w:w="992" w:type="dxa"/>
            <w:tcBorders>
              <w:top w:val="nil"/>
              <w:left w:val="nil"/>
              <w:bottom w:val="nil"/>
              <w:right w:val="nil"/>
            </w:tcBorders>
            <w:shd w:val="clear" w:color="000000" w:fill="F5F5F5"/>
            <w:vAlign w:val="center"/>
            <w:hideMark/>
          </w:tcPr>
          <w:p w14:paraId="5CC81FF5"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$0.56m</w:t>
            </w:r>
          </w:p>
        </w:tc>
        <w:tc>
          <w:tcPr>
            <w:tcW w:w="992" w:type="dxa"/>
            <w:tcBorders>
              <w:top w:val="nil"/>
              <w:left w:val="nil"/>
              <w:bottom w:val="nil"/>
              <w:right w:val="nil"/>
            </w:tcBorders>
            <w:shd w:val="clear" w:color="000000" w:fill="F5F5F5"/>
            <w:vAlign w:val="center"/>
            <w:hideMark/>
          </w:tcPr>
          <w:p w14:paraId="047EE827"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$0.56m</w:t>
            </w:r>
          </w:p>
        </w:tc>
      </w:tr>
      <w:tr w:rsidR="007C3EBA" w:rsidRPr="007C3EBA" w14:paraId="2AABC044" w14:textId="77777777">
        <w:trPr>
          <w:trHeight w:val="255"/>
        </w:trPr>
        <w:tc>
          <w:tcPr>
            <w:tcW w:w="4536" w:type="dxa"/>
            <w:tcBorders>
              <w:top w:val="nil"/>
              <w:left w:val="nil"/>
              <w:bottom w:val="nil"/>
              <w:right w:val="nil"/>
            </w:tcBorders>
            <w:shd w:val="clear" w:color="auto" w:fill="auto"/>
            <w:noWrap/>
            <w:vAlign w:val="center"/>
            <w:hideMark/>
          </w:tcPr>
          <w:p w14:paraId="3AF905C5" w14:textId="04D35575" w:rsidR="007C3EBA" w:rsidRPr="007C3EBA" w:rsidRDefault="00372097" w:rsidP="00791772">
            <w:pPr>
              <w:spacing w:before="40" w:after="40" w:line="240" w:lineRule="auto"/>
              <w:rPr>
                <w:rFonts w:eastAsia="Times New Roman" w:cs="Arial"/>
                <w:color w:val="000000"/>
                <w:sz w:val="20"/>
                <w:szCs w:val="20"/>
                <w:lang w:eastAsia="en-AU"/>
              </w:rPr>
            </w:pPr>
            <w:r w:rsidRPr="007C3EBA">
              <w:rPr>
                <w:rFonts w:eastAsia="Times New Roman" w:cs="Arial"/>
                <w:color w:val="000000"/>
                <w:sz w:val="20"/>
                <w:szCs w:val="20"/>
                <w:lang w:eastAsia="en-AU"/>
              </w:rPr>
              <w:t>Regulatory fees</w:t>
            </w:r>
          </w:p>
        </w:tc>
        <w:tc>
          <w:tcPr>
            <w:tcW w:w="1134" w:type="dxa"/>
            <w:tcBorders>
              <w:top w:val="nil"/>
              <w:left w:val="nil"/>
              <w:bottom w:val="nil"/>
              <w:right w:val="nil"/>
            </w:tcBorders>
            <w:shd w:val="clear" w:color="auto" w:fill="auto"/>
            <w:vAlign w:val="center"/>
            <w:hideMark/>
          </w:tcPr>
          <w:p w14:paraId="7E5F270A" w14:textId="364FC1AC"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$0.0</w:t>
            </w:r>
            <w:r w:rsidR="00F6523B">
              <w:rPr>
                <w:rFonts w:eastAsia="Times New Roman" w:cs="Arial"/>
                <w:color w:val="000000"/>
                <w:sz w:val="20"/>
                <w:szCs w:val="20"/>
                <w:lang w:eastAsia="en-AU"/>
              </w:rPr>
              <w:t>3</w:t>
            </w:r>
            <w:r w:rsidRPr="007C3EBA">
              <w:rPr>
                <w:rFonts w:eastAsia="Times New Roman" w:cs="Arial"/>
                <w:color w:val="000000"/>
                <w:sz w:val="20"/>
                <w:szCs w:val="20"/>
                <w:lang w:eastAsia="en-AU"/>
              </w:rPr>
              <w:t>m</w:t>
            </w:r>
          </w:p>
        </w:tc>
        <w:tc>
          <w:tcPr>
            <w:tcW w:w="993" w:type="dxa"/>
            <w:tcBorders>
              <w:top w:val="nil"/>
              <w:left w:val="nil"/>
              <w:bottom w:val="nil"/>
              <w:right w:val="nil"/>
            </w:tcBorders>
            <w:shd w:val="clear" w:color="auto" w:fill="auto"/>
            <w:vAlign w:val="center"/>
            <w:hideMark/>
          </w:tcPr>
          <w:p w14:paraId="23699EA0" w14:textId="3B4AA8D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$0.0</w:t>
            </w:r>
            <w:r w:rsidR="005170E5">
              <w:rPr>
                <w:rFonts w:eastAsia="Times New Roman" w:cs="Arial"/>
                <w:color w:val="000000"/>
                <w:sz w:val="20"/>
                <w:szCs w:val="20"/>
                <w:lang w:eastAsia="en-AU"/>
              </w:rPr>
              <w:t>3</w:t>
            </w:r>
            <w:r w:rsidRPr="007C3EBA">
              <w:rPr>
                <w:rFonts w:eastAsia="Times New Roman" w:cs="Arial"/>
                <w:color w:val="000000"/>
                <w:sz w:val="20"/>
                <w:szCs w:val="20"/>
                <w:lang w:eastAsia="en-AU"/>
              </w:rPr>
              <w:t>m</w:t>
            </w:r>
          </w:p>
        </w:tc>
        <w:tc>
          <w:tcPr>
            <w:tcW w:w="992" w:type="dxa"/>
            <w:tcBorders>
              <w:top w:val="nil"/>
              <w:left w:val="nil"/>
              <w:bottom w:val="nil"/>
              <w:right w:val="nil"/>
            </w:tcBorders>
            <w:shd w:val="clear" w:color="auto" w:fill="auto"/>
            <w:vAlign w:val="center"/>
            <w:hideMark/>
          </w:tcPr>
          <w:p w14:paraId="25F71A7F" w14:textId="2EBC2A96"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$0.0</w:t>
            </w:r>
            <w:r w:rsidR="005170E5">
              <w:rPr>
                <w:rFonts w:eastAsia="Times New Roman" w:cs="Arial"/>
                <w:color w:val="000000"/>
                <w:sz w:val="20"/>
                <w:szCs w:val="20"/>
                <w:lang w:eastAsia="en-AU"/>
              </w:rPr>
              <w:t>3</w:t>
            </w:r>
            <w:r w:rsidRPr="007C3EBA">
              <w:rPr>
                <w:rFonts w:eastAsia="Times New Roman" w:cs="Arial"/>
                <w:color w:val="000000"/>
                <w:sz w:val="20"/>
                <w:szCs w:val="20"/>
                <w:lang w:eastAsia="en-AU"/>
              </w:rPr>
              <w:t>m</w:t>
            </w:r>
          </w:p>
        </w:tc>
        <w:tc>
          <w:tcPr>
            <w:tcW w:w="992" w:type="dxa"/>
            <w:tcBorders>
              <w:top w:val="nil"/>
              <w:left w:val="nil"/>
              <w:bottom w:val="nil"/>
              <w:right w:val="nil"/>
            </w:tcBorders>
            <w:shd w:val="clear" w:color="auto" w:fill="auto"/>
            <w:vAlign w:val="center"/>
            <w:hideMark/>
          </w:tcPr>
          <w:p w14:paraId="13C040B9" w14:textId="2814CD54"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$0.0</w:t>
            </w:r>
            <w:r w:rsidR="005170E5">
              <w:rPr>
                <w:rFonts w:eastAsia="Times New Roman" w:cs="Arial"/>
                <w:color w:val="000000"/>
                <w:sz w:val="20"/>
                <w:szCs w:val="20"/>
                <w:lang w:eastAsia="en-AU"/>
              </w:rPr>
              <w:t>3</w:t>
            </w:r>
            <w:r w:rsidRPr="007C3EBA">
              <w:rPr>
                <w:rFonts w:eastAsia="Times New Roman" w:cs="Arial"/>
                <w:color w:val="000000"/>
                <w:sz w:val="20"/>
                <w:szCs w:val="20"/>
                <w:lang w:eastAsia="en-AU"/>
              </w:rPr>
              <w:t>m</w:t>
            </w:r>
          </w:p>
        </w:tc>
        <w:tc>
          <w:tcPr>
            <w:tcW w:w="992" w:type="dxa"/>
            <w:tcBorders>
              <w:top w:val="nil"/>
              <w:left w:val="nil"/>
              <w:bottom w:val="nil"/>
              <w:right w:val="nil"/>
            </w:tcBorders>
            <w:shd w:val="clear" w:color="auto" w:fill="auto"/>
            <w:vAlign w:val="center"/>
            <w:hideMark/>
          </w:tcPr>
          <w:p w14:paraId="517FB0BA" w14:textId="7E89B20A"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$0.0</w:t>
            </w:r>
            <w:r w:rsidR="005170E5">
              <w:rPr>
                <w:rFonts w:eastAsia="Times New Roman" w:cs="Arial"/>
                <w:color w:val="000000"/>
                <w:sz w:val="20"/>
                <w:szCs w:val="20"/>
                <w:lang w:eastAsia="en-AU"/>
              </w:rPr>
              <w:t>3</w:t>
            </w:r>
            <w:r w:rsidRPr="007C3EBA">
              <w:rPr>
                <w:rFonts w:eastAsia="Times New Roman" w:cs="Arial"/>
                <w:color w:val="000000"/>
                <w:sz w:val="20"/>
                <w:szCs w:val="20"/>
                <w:lang w:eastAsia="en-AU"/>
              </w:rPr>
              <w:t>m</w:t>
            </w:r>
          </w:p>
        </w:tc>
      </w:tr>
      <w:tr w:rsidR="007C3EBA" w:rsidRPr="007C3EBA" w14:paraId="46797FB7" w14:textId="77777777" w:rsidTr="007C3EBA">
        <w:trPr>
          <w:trHeight w:val="255"/>
        </w:trPr>
        <w:tc>
          <w:tcPr>
            <w:tcW w:w="4536" w:type="dxa"/>
            <w:tcBorders>
              <w:top w:val="nil"/>
              <w:left w:val="nil"/>
              <w:bottom w:val="nil"/>
              <w:right w:val="nil"/>
            </w:tcBorders>
            <w:shd w:val="clear" w:color="000000" w:fill="F5F5F5"/>
            <w:noWrap/>
            <w:vAlign w:val="center"/>
            <w:hideMark/>
          </w:tcPr>
          <w:p w14:paraId="19FBAB60" w14:textId="77777777" w:rsidR="007C3EBA" w:rsidRPr="007C3EBA" w:rsidRDefault="007C3EBA" w:rsidP="00791772">
            <w:pPr>
              <w:spacing w:before="40" w:after="40" w:line="240" w:lineRule="auto"/>
              <w:rPr>
                <w:rFonts w:eastAsia="Times New Roman" w:cs="Arial"/>
                <w:color w:val="000000"/>
                <w:sz w:val="20"/>
                <w:szCs w:val="20"/>
                <w:lang w:eastAsia="en-AU"/>
              </w:rPr>
            </w:pPr>
            <w:r w:rsidRPr="007C3EBA">
              <w:rPr>
                <w:rFonts w:eastAsia="Times New Roman" w:cs="Arial"/>
                <w:color w:val="000000"/>
                <w:sz w:val="20"/>
                <w:szCs w:val="20"/>
                <w:lang w:eastAsia="en-AU"/>
              </w:rPr>
              <w:t>Recycled water (Werribee Irrigation District)</w:t>
            </w:r>
          </w:p>
        </w:tc>
        <w:tc>
          <w:tcPr>
            <w:tcW w:w="1134" w:type="dxa"/>
            <w:tcBorders>
              <w:top w:val="nil"/>
              <w:left w:val="nil"/>
              <w:bottom w:val="nil"/>
              <w:right w:val="nil"/>
            </w:tcBorders>
            <w:shd w:val="clear" w:color="000000" w:fill="F5F5F5"/>
            <w:vAlign w:val="center"/>
            <w:hideMark/>
          </w:tcPr>
          <w:p w14:paraId="66EA3DF7"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$1.21m</w:t>
            </w:r>
          </w:p>
        </w:tc>
        <w:tc>
          <w:tcPr>
            <w:tcW w:w="993" w:type="dxa"/>
            <w:tcBorders>
              <w:top w:val="nil"/>
              <w:left w:val="nil"/>
              <w:bottom w:val="nil"/>
              <w:right w:val="nil"/>
            </w:tcBorders>
            <w:shd w:val="clear" w:color="000000" w:fill="F5F5F5"/>
            <w:vAlign w:val="center"/>
            <w:hideMark/>
          </w:tcPr>
          <w:p w14:paraId="4358207F"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$1.21m</w:t>
            </w:r>
          </w:p>
        </w:tc>
        <w:tc>
          <w:tcPr>
            <w:tcW w:w="992" w:type="dxa"/>
            <w:tcBorders>
              <w:top w:val="nil"/>
              <w:left w:val="nil"/>
              <w:bottom w:val="nil"/>
              <w:right w:val="nil"/>
            </w:tcBorders>
            <w:shd w:val="clear" w:color="000000" w:fill="F5F5F5"/>
            <w:vAlign w:val="center"/>
            <w:hideMark/>
          </w:tcPr>
          <w:p w14:paraId="26E373F7"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$1.21m</w:t>
            </w:r>
          </w:p>
        </w:tc>
        <w:tc>
          <w:tcPr>
            <w:tcW w:w="992" w:type="dxa"/>
            <w:tcBorders>
              <w:top w:val="nil"/>
              <w:left w:val="nil"/>
              <w:bottom w:val="nil"/>
              <w:right w:val="nil"/>
            </w:tcBorders>
            <w:shd w:val="clear" w:color="000000" w:fill="F5F5F5"/>
            <w:vAlign w:val="center"/>
            <w:hideMark/>
          </w:tcPr>
          <w:p w14:paraId="7EE49DAC"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$1.21m</w:t>
            </w:r>
          </w:p>
        </w:tc>
        <w:tc>
          <w:tcPr>
            <w:tcW w:w="992" w:type="dxa"/>
            <w:tcBorders>
              <w:top w:val="nil"/>
              <w:left w:val="nil"/>
              <w:bottom w:val="nil"/>
              <w:right w:val="nil"/>
            </w:tcBorders>
            <w:shd w:val="clear" w:color="000000" w:fill="F5F5F5"/>
            <w:vAlign w:val="center"/>
            <w:hideMark/>
          </w:tcPr>
          <w:p w14:paraId="2381D29C"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$1.21m</w:t>
            </w:r>
          </w:p>
        </w:tc>
      </w:tr>
      <w:tr w:rsidR="007C3EBA" w:rsidRPr="007C3EBA" w14:paraId="1A66FDD1" w14:textId="77777777" w:rsidTr="00372097">
        <w:trPr>
          <w:trHeight w:val="255"/>
        </w:trPr>
        <w:tc>
          <w:tcPr>
            <w:tcW w:w="4536" w:type="dxa"/>
            <w:tcBorders>
              <w:top w:val="nil"/>
              <w:left w:val="nil"/>
              <w:bottom w:val="single" w:sz="4" w:space="0" w:color="auto"/>
              <w:right w:val="nil"/>
            </w:tcBorders>
            <w:shd w:val="clear" w:color="auto" w:fill="auto"/>
            <w:noWrap/>
            <w:vAlign w:val="center"/>
            <w:hideMark/>
          </w:tcPr>
          <w:p w14:paraId="3E256F8A" w14:textId="77777777" w:rsidR="007C3EBA" w:rsidRPr="007C3EBA" w:rsidRDefault="007C3EBA" w:rsidP="00791772">
            <w:pPr>
              <w:spacing w:before="40" w:after="40" w:line="240" w:lineRule="auto"/>
              <w:rPr>
                <w:rFonts w:eastAsia="Times New Roman" w:cs="Arial"/>
                <w:color w:val="000000"/>
                <w:sz w:val="20"/>
                <w:szCs w:val="20"/>
                <w:lang w:eastAsia="en-AU"/>
              </w:rPr>
            </w:pPr>
            <w:r w:rsidRPr="007C3EBA">
              <w:rPr>
                <w:rFonts w:eastAsia="Times New Roman" w:cs="Arial"/>
                <w:color w:val="000000"/>
                <w:sz w:val="20"/>
                <w:szCs w:val="20"/>
                <w:lang w:eastAsia="en-AU"/>
              </w:rPr>
              <w:t>Narracan and Yallourn capital works</w:t>
            </w:r>
          </w:p>
        </w:tc>
        <w:tc>
          <w:tcPr>
            <w:tcW w:w="1134" w:type="dxa"/>
            <w:tcBorders>
              <w:top w:val="nil"/>
              <w:left w:val="nil"/>
              <w:bottom w:val="single" w:sz="4" w:space="0" w:color="auto"/>
              <w:right w:val="nil"/>
            </w:tcBorders>
            <w:shd w:val="clear" w:color="auto" w:fill="auto"/>
            <w:vAlign w:val="center"/>
            <w:hideMark/>
          </w:tcPr>
          <w:p w14:paraId="3D34D5BA"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$2.70m</w:t>
            </w:r>
          </w:p>
        </w:tc>
        <w:tc>
          <w:tcPr>
            <w:tcW w:w="993" w:type="dxa"/>
            <w:tcBorders>
              <w:top w:val="nil"/>
              <w:left w:val="nil"/>
              <w:bottom w:val="single" w:sz="4" w:space="0" w:color="auto"/>
              <w:right w:val="nil"/>
            </w:tcBorders>
            <w:shd w:val="clear" w:color="auto" w:fill="auto"/>
            <w:vAlign w:val="center"/>
            <w:hideMark/>
          </w:tcPr>
          <w:p w14:paraId="2EF81D2F"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$2.41m</w:t>
            </w:r>
          </w:p>
        </w:tc>
        <w:tc>
          <w:tcPr>
            <w:tcW w:w="992" w:type="dxa"/>
            <w:tcBorders>
              <w:top w:val="nil"/>
              <w:left w:val="nil"/>
              <w:bottom w:val="single" w:sz="4" w:space="0" w:color="auto"/>
              <w:right w:val="nil"/>
            </w:tcBorders>
            <w:shd w:val="clear" w:color="auto" w:fill="auto"/>
            <w:vAlign w:val="center"/>
            <w:hideMark/>
          </w:tcPr>
          <w:p w14:paraId="7F845B07"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$0.73m</w:t>
            </w:r>
          </w:p>
        </w:tc>
        <w:tc>
          <w:tcPr>
            <w:tcW w:w="992" w:type="dxa"/>
            <w:tcBorders>
              <w:top w:val="nil"/>
              <w:left w:val="nil"/>
              <w:bottom w:val="single" w:sz="4" w:space="0" w:color="auto"/>
              <w:right w:val="nil"/>
            </w:tcBorders>
            <w:shd w:val="clear" w:color="auto" w:fill="auto"/>
            <w:vAlign w:val="center"/>
            <w:hideMark/>
          </w:tcPr>
          <w:p w14:paraId="13A51C46"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$1.63m</w:t>
            </w:r>
          </w:p>
        </w:tc>
        <w:tc>
          <w:tcPr>
            <w:tcW w:w="992" w:type="dxa"/>
            <w:tcBorders>
              <w:top w:val="nil"/>
              <w:left w:val="nil"/>
              <w:bottom w:val="single" w:sz="4" w:space="0" w:color="auto"/>
              <w:right w:val="nil"/>
            </w:tcBorders>
            <w:shd w:val="clear" w:color="auto" w:fill="auto"/>
            <w:vAlign w:val="center"/>
            <w:hideMark/>
          </w:tcPr>
          <w:p w14:paraId="403A5F4E" w14:textId="77777777" w:rsidR="007C3EBA" w:rsidRPr="007C3EBA" w:rsidRDefault="007C3EBA" w:rsidP="00791772">
            <w:pPr>
              <w:spacing w:before="40" w:after="40" w:line="240" w:lineRule="auto"/>
              <w:jc w:val="center"/>
              <w:rPr>
                <w:rFonts w:eastAsia="Times New Roman" w:cs="Arial"/>
                <w:color w:val="000000"/>
                <w:sz w:val="20"/>
                <w:szCs w:val="20"/>
                <w:lang w:eastAsia="en-AU"/>
              </w:rPr>
            </w:pPr>
            <w:r w:rsidRPr="007C3EBA">
              <w:rPr>
                <w:rFonts w:eastAsia="Times New Roman" w:cs="Arial"/>
                <w:color w:val="000000"/>
                <w:sz w:val="20"/>
                <w:szCs w:val="20"/>
                <w:lang w:eastAsia="en-AU"/>
              </w:rPr>
              <w:t>$0.81m</w:t>
            </w:r>
          </w:p>
        </w:tc>
      </w:tr>
      <w:tr w:rsidR="007C3EBA" w:rsidRPr="007C3EBA" w14:paraId="02EEBE32" w14:textId="77777777" w:rsidTr="00372097">
        <w:trPr>
          <w:trHeight w:val="255"/>
        </w:trPr>
        <w:tc>
          <w:tcPr>
            <w:tcW w:w="4536" w:type="dxa"/>
            <w:tcBorders>
              <w:top w:val="single" w:sz="4" w:space="0" w:color="auto"/>
              <w:left w:val="nil"/>
              <w:bottom w:val="single" w:sz="4" w:space="0" w:color="auto"/>
              <w:right w:val="nil"/>
            </w:tcBorders>
            <w:shd w:val="clear" w:color="000000" w:fill="F5F5F5"/>
            <w:noWrap/>
            <w:vAlign w:val="center"/>
            <w:hideMark/>
          </w:tcPr>
          <w:p w14:paraId="30766BEA" w14:textId="347A2D3A" w:rsidR="007C3EBA" w:rsidRPr="007C3EBA" w:rsidRDefault="00372097" w:rsidP="00791772">
            <w:pPr>
              <w:spacing w:before="40" w:after="40" w:line="240" w:lineRule="auto"/>
              <w:jc w:val="right"/>
              <w:rPr>
                <w:rFonts w:eastAsia="Times New Roman" w:cs="Arial"/>
                <w:b/>
                <w:bCs/>
                <w:color w:val="000000"/>
                <w:sz w:val="20"/>
                <w:szCs w:val="20"/>
                <w:lang w:eastAsia="en-AU"/>
              </w:rPr>
            </w:pPr>
            <w:r w:rsidRPr="007C3EBA">
              <w:rPr>
                <w:rFonts w:eastAsia="Times New Roman" w:cs="Arial"/>
                <w:color w:val="000000"/>
                <w:sz w:val="20"/>
                <w:szCs w:val="20"/>
                <w:lang w:eastAsia="en-AU"/>
              </w:rPr>
              <w:t> </w:t>
            </w:r>
            <w:r w:rsidR="007C3EBA" w:rsidRPr="007C3EBA">
              <w:rPr>
                <w:rFonts w:eastAsia="Times New Roman" w:cs="Arial"/>
                <w:b/>
                <w:bCs/>
                <w:color w:val="000000"/>
                <w:sz w:val="20"/>
                <w:szCs w:val="20"/>
                <w:lang w:eastAsia="en-AU"/>
              </w:rPr>
              <w:t>Total</w:t>
            </w:r>
          </w:p>
        </w:tc>
        <w:tc>
          <w:tcPr>
            <w:tcW w:w="1134" w:type="dxa"/>
            <w:tcBorders>
              <w:top w:val="single" w:sz="4" w:space="0" w:color="auto"/>
              <w:left w:val="nil"/>
              <w:bottom w:val="single" w:sz="4" w:space="0" w:color="auto"/>
              <w:right w:val="nil"/>
            </w:tcBorders>
            <w:shd w:val="clear" w:color="000000" w:fill="F5F5F5"/>
            <w:vAlign w:val="center"/>
            <w:hideMark/>
          </w:tcPr>
          <w:p w14:paraId="4A16B4CB" w14:textId="5A9404DF" w:rsidR="007C3EBA" w:rsidRPr="007C3EBA" w:rsidRDefault="007C3EBA" w:rsidP="00791772">
            <w:pPr>
              <w:spacing w:before="40" w:after="40" w:line="240" w:lineRule="auto"/>
              <w:jc w:val="center"/>
              <w:rPr>
                <w:rFonts w:eastAsia="Times New Roman" w:cs="Arial"/>
                <w:b/>
                <w:bCs/>
                <w:color w:val="000000"/>
                <w:sz w:val="20"/>
                <w:szCs w:val="20"/>
                <w:lang w:eastAsia="en-AU"/>
              </w:rPr>
            </w:pPr>
            <w:r w:rsidRPr="007C3EBA">
              <w:rPr>
                <w:rFonts w:eastAsia="Times New Roman" w:cs="Arial"/>
                <w:b/>
                <w:bCs/>
                <w:color w:val="000000"/>
                <w:sz w:val="20"/>
                <w:szCs w:val="20"/>
                <w:lang w:eastAsia="en-AU"/>
              </w:rPr>
              <w:t>$4.</w:t>
            </w:r>
            <w:r w:rsidR="005170E5">
              <w:rPr>
                <w:rFonts w:eastAsia="Times New Roman" w:cs="Arial"/>
                <w:b/>
                <w:bCs/>
                <w:color w:val="000000"/>
                <w:sz w:val="20"/>
                <w:szCs w:val="20"/>
                <w:lang w:eastAsia="en-AU"/>
              </w:rPr>
              <w:t>50</w:t>
            </w:r>
            <w:r w:rsidRPr="007C3EBA">
              <w:rPr>
                <w:rFonts w:eastAsia="Times New Roman" w:cs="Arial"/>
                <w:b/>
                <w:bCs/>
                <w:color w:val="000000"/>
                <w:sz w:val="20"/>
                <w:szCs w:val="20"/>
                <w:lang w:eastAsia="en-AU"/>
              </w:rPr>
              <w:t>m</w:t>
            </w:r>
          </w:p>
        </w:tc>
        <w:tc>
          <w:tcPr>
            <w:tcW w:w="993" w:type="dxa"/>
            <w:tcBorders>
              <w:top w:val="single" w:sz="4" w:space="0" w:color="auto"/>
              <w:left w:val="nil"/>
              <w:bottom w:val="single" w:sz="4" w:space="0" w:color="auto"/>
              <w:right w:val="nil"/>
            </w:tcBorders>
            <w:shd w:val="clear" w:color="000000" w:fill="F5F5F5"/>
            <w:vAlign w:val="center"/>
            <w:hideMark/>
          </w:tcPr>
          <w:p w14:paraId="64229FD8" w14:textId="7A4D8C4D" w:rsidR="007C3EBA" w:rsidRPr="007C3EBA" w:rsidRDefault="007C3EBA" w:rsidP="00791772">
            <w:pPr>
              <w:spacing w:before="40" w:after="40" w:line="240" w:lineRule="auto"/>
              <w:jc w:val="center"/>
              <w:rPr>
                <w:rFonts w:eastAsia="Times New Roman" w:cs="Arial"/>
                <w:b/>
                <w:bCs/>
                <w:color w:val="000000"/>
                <w:sz w:val="20"/>
                <w:szCs w:val="20"/>
                <w:lang w:eastAsia="en-AU"/>
              </w:rPr>
            </w:pPr>
            <w:r w:rsidRPr="007C3EBA">
              <w:rPr>
                <w:rFonts w:eastAsia="Times New Roman" w:cs="Arial"/>
                <w:b/>
                <w:bCs/>
                <w:color w:val="000000"/>
                <w:sz w:val="20"/>
                <w:szCs w:val="20"/>
                <w:lang w:eastAsia="en-AU"/>
              </w:rPr>
              <w:t>$4.2</w:t>
            </w:r>
            <w:r w:rsidR="00FE3AAB">
              <w:rPr>
                <w:rFonts w:eastAsia="Times New Roman" w:cs="Arial"/>
                <w:b/>
                <w:bCs/>
                <w:color w:val="000000"/>
                <w:sz w:val="20"/>
                <w:szCs w:val="20"/>
                <w:lang w:eastAsia="en-AU"/>
              </w:rPr>
              <w:t>1</w:t>
            </w:r>
            <w:r w:rsidRPr="007C3EBA">
              <w:rPr>
                <w:rFonts w:eastAsia="Times New Roman" w:cs="Arial"/>
                <w:b/>
                <w:bCs/>
                <w:color w:val="000000"/>
                <w:sz w:val="20"/>
                <w:szCs w:val="20"/>
                <w:lang w:eastAsia="en-AU"/>
              </w:rPr>
              <w:t>m</w:t>
            </w:r>
          </w:p>
        </w:tc>
        <w:tc>
          <w:tcPr>
            <w:tcW w:w="992" w:type="dxa"/>
            <w:tcBorders>
              <w:top w:val="single" w:sz="4" w:space="0" w:color="auto"/>
              <w:left w:val="nil"/>
              <w:bottom w:val="single" w:sz="4" w:space="0" w:color="auto"/>
              <w:right w:val="nil"/>
            </w:tcBorders>
            <w:shd w:val="clear" w:color="000000" w:fill="F5F5F5"/>
            <w:vAlign w:val="center"/>
            <w:hideMark/>
          </w:tcPr>
          <w:p w14:paraId="1F5B01FB" w14:textId="4F5A44E4" w:rsidR="007C3EBA" w:rsidRPr="007C3EBA" w:rsidRDefault="007C3EBA" w:rsidP="00791772">
            <w:pPr>
              <w:spacing w:before="40" w:after="40" w:line="240" w:lineRule="auto"/>
              <w:jc w:val="center"/>
              <w:rPr>
                <w:rFonts w:eastAsia="Times New Roman" w:cs="Arial"/>
                <w:b/>
                <w:bCs/>
                <w:color w:val="000000"/>
                <w:sz w:val="20"/>
                <w:szCs w:val="20"/>
                <w:lang w:eastAsia="en-AU"/>
              </w:rPr>
            </w:pPr>
            <w:r w:rsidRPr="007C3EBA">
              <w:rPr>
                <w:rFonts w:eastAsia="Times New Roman" w:cs="Arial"/>
                <w:b/>
                <w:bCs/>
                <w:color w:val="000000"/>
                <w:sz w:val="20"/>
                <w:szCs w:val="20"/>
                <w:lang w:eastAsia="en-AU"/>
              </w:rPr>
              <w:t>$2.5</w:t>
            </w:r>
            <w:r w:rsidR="00FE3AAB">
              <w:rPr>
                <w:rFonts w:eastAsia="Times New Roman" w:cs="Arial"/>
                <w:b/>
                <w:bCs/>
                <w:color w:val="000000"/>
                <w:sz w:val="20"/>
                <w:szCs w:val="20"/>
                <w:lang w:eastAsia="en-AU"/>
              </w:rPr>
              <w:t>3</w:t>
            </w:r>
            <w:r w:rsidRPr="007C3EBA">
              <w:rPr>
                <w:rFonts w:eastAsia="Times New Roman" w:cs="Arial"/>
                <w:b/>
                <w:bCs/>
                <w:color w:val="000000"/>
                <w:sz w:val="20"/>
                <w:szCs w:val="20"/>
                <w:lang w:eastAsia="en-AU"/>
              </w:rPr>
              <w:t>m</w:t>
            </w:r>
          </w:p>
        </w:tc>
        <w:tc>
          <w:tcPr>
            <w:tcW w:w="992" w:type="dxa"/>
            <w:tcBorders>
              <w:top w:val="single" w:sz="4" w:space="0" w:color="auto"/>
              <w:left w:val="nil"/>
              <w:bottom w:val="single" w:sz="4" w:space="0" w:color="auto"/>
              <w:right w:val="nil"/>
            </w:tcBorders>
            <w:shd w:val="clear" w:color="000000" w:fill="F5F5F5"/>
            <w:vAlign w:val="center"/>
            <w:hideMark/>
          </w:tcPr>
          <w:p w14:paraId="0167ABDD" w14:textId="262DCF8B" w:rsidR="007C3EBA" w:rsidRPr="007C3EBA" w:rsidRDefault="007C3EBA" w:rsidP="00791772">
            <w:pPr>
              <w:spacing w:before="40" w:after="40" w:line="240" w:lineRule="auto"/>
              <w:jc w:val="center"/>
              <w:rPr>
                <w:rFonts w:eastAsia="Times New Roman" w:cs="Arial"/>
                <w:b/>
                <w:bCs/>
                <w:color w:val="000000"/>
                <w:sz w:val="20"/>
                <w:szCs w:val="20"/>
                <w:lang w:eastAsia="en-AU"/>
              </w:rPr>
            </w:pPr>
            <w:r w:rsidRPr="007C3EBA">
              <w:rPr>
                <w:rFonts w:eastAsia="Times New Roman" w:cs="Arial"/>
                <w:b/>
                <w:bCs/>
                <w:color w:val="000000"/>
                <w:sz w:val="20"/>
                <w:szCs w:val="20"/>
                <w:lang w:eastAsia="en-AU"/>
              </w:rPr>
              <w:t>$3.4</w:t>
            </w:r>
            <w:r w:rsidR="00FE3AAB">
              <w:rPr>
                <w:rFonts w:eastAsia="Times New Roman" w:cs="Arial"/>
                <w:b/>
                <w:bCs/>
                <w:color w:val="000000"/>
                <w:sz w:val="20"/>
                <w:szCs w:val="20"/>
                <w:lang w:eastAsia="en-AU"/>
              </w:rPr>
              <w:t>3</w:t>
            </w:r>
            <w:r w:rsidRPr="007C3EBA">
              <w:rPr>
                <w:rFonts w:eastAsia="Times New Roman" w:cs="Arial"/>
                <w:b/>
                <w:bCs/>
                <w:color w:val="000000"/>
                <w:sz w:val="20"/>
                <w:szCs w:val="20"/>
                <w:lang w:eastAsia="en-AU"/>
              </w:rPr>
              <w:t>m</w:t>
            </w:r>
          </w:p>
        </w:tc>
        <w:tc>
          <w:tcPr>
            <w:tcW w:w="992" w:type="dxa"/>
            <w:tcBorders>
              <w:top w:val="single" w:sz="4" w:space="0" w:color="auto"/>
              <w:left w:val="nil"/>
              <w:bottom w:val="single" w:sz="4" w:space="0" w:color="auto"/>
              <w:right w:val="nil"/>
            </w:tcBorders>
            <w:shd w:val="clear" w:color="000000" w:fill="F5F5F5"/>
            <w:vAlign w:val="center"/>
            <w:hideMark/>
          </w:tcPr>
          <w:p w14:paraId="0139012D" w14:textId="2E40081A" w:rsidR="007C3EBA" w:rsidRPr="007C3EBA" w:rsidRDefault="007C3EBA" w:rsidP="00791772">
            <w:pPr>
              <w:spacing w:before="40" w:after="40" w:line="240" w:lineRule="auto"/>
              <w:jc w:val="center"/>
              <w:rPr>
                <w:rFonts w:eastAsia="Times New Roman" w:cs="Arial"/>
                <w:b/>
                <w:bCs/>
                <w:color w:val="000000"/>
                <w:sz w:val="20"/>
                <w:szCs w:val="20"/>
                <w:lang w:eastAsia="en-AU"/>
              </w:rPr>
            </w:pPr>
            <w:r w:rsidRPr="007C3EBA">
              <w:rPr>
                <w:rFonts w:eastAsia="Times New Roman" w:cs="Arial"/>
                <w:b/>
                <w:bCs/>
                <w:color w:val="000000"/>
                <w:sz w:val="20"/>
                <w:szCs w:val="20"/>
                <w:lang w:eastAsia="en-AU"/>
              </w:rPr>
              <w:t>$2.6</w:t>
            </w:r>
            <w:r w:rsidR="00FE3AAB">
              <w:rPr>
                <w:rFonts w:eastAsia="Times New Roman" w:cs="Arial"/>
                <w:b/>
                <w:bCs/>
                <w:color w:val="000000"/>
                <w:sz w:val="20"/>
                <w:szCs w:val="20"/>
                <w:lang w:eastAsia="en-AU"/>
              </w:rPr>
              <w:t>1</w:t>
            </w:r>
            <w:r w:rsidRPr="007C3EBA">
              <w:rPr>
                <w:rFonts w:eastAsia="Times New Roman" w:cs="Arial"/>
                <w:b/>
                <w:bCs/>
                <w:color w:val="000000"/>
                <w:sz w:val="20"/>
                <w:szCs w:val="20"/>
                <w:lang w:eastAsia="en-AU"/>
              </w:rPr>
              <w:t>m</w:t>
            </w:r>
          </w:p>
        </w:tc>
      </w:tr>
    </w:tbl>
    <w:p w14:paraId="7EE4D379" w14:textId="5F33CD5F" w:rsidR="00B31276" w:rsidRPr="00AA3CE0" w:rsidRDefault="00B31276" w:rsidP="00B31276">
      <w:pPr>
        <w:pStyle w:val="Heading3"/>
      </w:pPr>
      <w:r w:rsidRPr="00AA3CE0">
        <w:t>Share costs</w:t>
      </w:r>
    </w:p>
    <w:p w14:paraId="6C076225" w14:textId="7EFC769C" w:rsidR="00B31276" w:rsidRPr="00192F41" w:rsidRDefault="006B3F7A" w:rsidP="00FB3A08">
      <w:pPr>
        <w:jc w:val="both"/>
        <w:rPr>
          <w:rFonts w:cs="Arial"/>
          <w:color w:val="FF0000"/>
          <w:shd w:val="clear" w:color="auto" w:fill="FAF9F8"/>
        </w:rPr>
      </w:pPr>
      <w:r w:rsidRPr="00A574B9">
        <w:t xml:space="preserve">SRW has followed the ESC’s guidance regarding the allocation of shared costs and continues to utilise within our system a series of </w:t>
      </w:r>
      <w:r w:rsidR="00C41169" w:rsidRPr="00A574B9">
        <w:t>r</w:t>
      </w:r>
      <w:r w:rsidRPr="00A574B9">
        <w:t xml:space="preserve">ules that are designed to </w:t>
      </w:r>
      <w:r w:rsidR="00C41169" w:rsidRPr="00A574B9">
        <w:t xml:space="preserve">allocate shared costs </w:t>
      </w:r>
      <w:r>
        <w:t>on a causation basis</w:t>
      </w:r>
      <w:r w:rsidR="00C41169">
        <w:t xml:space="preserve">, and where a </w:t>
      </w:r>
      <w:r>
        <w:t>causal relationship cannot be reasonably established</w:t>
      </w:r>
      <w:r w:rsidR="00C41169">
        <w:t xml:space="preserve">, allocate the cost using metrics that management consider provide </w:t>
      </w:r>
      <w:r>
        <w:t xml:space="preserve">a strong positive correlation </w:t>
      </w:r>
      <w:r w:rsidR="00C41169">
        <w:t>to the</w:t>
      </w:r>
      <w:r>
        <w:t xml:space="preserve"> utilisation </w:t>
      </w:r>
      <w:r w:rsidR="001E64DD">
        <w:t xml:space="preserve">of </w:t>
      </w:r>
      <w:r>
        <w:t>th</w:t>
      </w:r>
      <w:r w:rsidR="00C41169">
        <w:t xml:space="preserve">e shared </w:t>
      </w:r>
      <w:r>
        <w:t>cost</w:t>
      </w:r>
      <w:r w:rsidR="00C41169">
        <w:t xml:space="preserve"> (such as direct expenditure and customer numbers).</w:t>
      </w:r>
    </w:p>
    <w:p w14:paraId="5523203E" w14:textId="192F91F1" w:rsidR="00534AB2" w:rsidRPr="00AA3CE0" w:rsidRDefault="00534AB2" w:rsidP="00AA3CE0">
      <w:pPr>
        <w:pStyle w:val="Heading2"/>
      </w:pPr>
      <w:r w:rsidRPr="00AA3CE0">
        <w:t>Efficiency improvement</w:t>
      </w:r>
      <w:r w:rsidRPr="00192F41">
        <w:rPr>
          <w:rFonts w:cs="Arial"/>
          <w:b w:val="0"/>
          <w:shd w:val="clear" w:color="auto" w:fill="FAF9F8"/>
        </w:rPr>
        <w:t>s</w:t>
      </w:r>
    </w:p>
    <w:p w14:paraId="36A83D94" w14:textId="707795A9" w:rsidR="00C361D9" w:rsidRPr="00C361D9" w:rsidRDefault="007362C3" w:rsidP="00FB3A08">
      <w:pPr>
        <w:jc w:val="both"/>
      </w:pPr>
      <w:r>
        <w:t>SRW has identified</w:t>
      </w:r>
      <w:r w:rsidR="000D2B36">
        <w:t xml:space="preserve"> </w:t>
      </w:r>
      <w:r w:rsidR="00FD46F5">
        <w:t>efficiency improvements of</w:t>
      </w:r>
      <w:r w:rsidR="00C944D9">
        <w:t xml:space="preserve"> </w:t>
      </w:r>
      <w:r w:rsidR="0008782C">
        <w:t>between $0.5</w:t>
      </w:r>
      <w:r w:rsidR="00C944D9">
        <w:t xml:space="preserve"> to </w:t>
      </w:r>
      <w:r w:rsidR="000D2B36">
        <w:t>$1.</w:t>
      </w:r>
      <w:r w:rsidR="0008782C">
        <w:t>2</w:t>
      </w:r>
      <w:r w:rsidR="00AA3CE0">
        <w:t xml:space="preserve"> million</w:t>
      </w:r>
      <w:r w:rsidR="000D2B36">
        <w:t xml:space="preserve"> </w:t>
      </w:r>
      <w:r w:rsidR="00FD46F5">
        <w:t xml:space="preserve">per annum </w:t>
      </w:r>
      <w:r w:rsidR="000D2B36">
        <w:t xml:space="preserve">that could be made during the regulatory period. </w:t>
      </w:r>
      <w:r w:rsidR="000D2B36" w:rsidDel="00012566">
        <w:t>These improvement</w:t>
      </w:r>
      <w:r w:rsidR="007E620E" w:rsidDel="00012566">
        <w:t>s</w:t>
      </w:r>
      <w:r w:rsidR="006522CB">
        <w:t xml:space="preserve"> will be used to deliver the 1% </w:t>
      </w:r>
      <w:r w:rsidR="00E065CA">
        <w:t>productivity</w:t>
      </w:r>
      <w:r w:rsidR="006522CB">
        <w:t xml:space="preserve"> saving</w:t>
      </w:r>
      <w:r w:rsidR="00E065CA">
        <w:t>s</w:t>
      </w:r>
      <w:r w:rsidR="006522CB">
        <w:t xml:space="preserve">, and to manage </w:t>
      </w:r>
      <w:r w:rsidR="00012566">
        <w:t xml:space="preserve">any modest </w:t>
      </w:r>
      <w:r w:rsidR="00890D71">
        <w:t>chang</w:t>
      </w:r>
      <w:r w:rsidR="006522CB">
        <w:t xml:space="preserve">es to </w:t>
      </w:r>
      <w:r w:rsidR="00890D71">
        <w:t xml:space="preserve">obligations </w:t>
      </w:r>
      <w:r w:rsidR="006522CB">
        <w:t>or cost changes in-excess of inflation</w:t>
      </w:r>
      <w:r w:rsidR="00012566">
        <w:t xml:space="preserve"> which may occur during the regulatory period.</w:t>
      </w:r>
      <w:r w:rsidR="00373470">
        <w:t xml:space="preserve"> </w:t>
      </w:r>
    </w:p>
    <w:p w14:paraId="4EEBA210" w14:textId="602793D5" w:rsidR="00AA10A5" w:rsidRPr="00110034" w:rsidRDefault="00373470" w:rsidP="00757C89">
      <w:pPr>
        <w:jc w:val="both"/>
      </w:pPr>
      <w:r>
        <w:t xml:space="preserve">Over the </w:t>
      </w:r>
      <w:r w:rsidR="00AA3CE0">
        <w:t>five-</w:t>
      </w:r>
      <w:r>
        <w:t>year period we will realise $3.6</w:t>
      </w:r>
      <w:r w:rsidR="00AA3CE0">
        <w:t xml:space="preserve"> million</w:t>
      </w:r>
      <w:r>
        <w:t xml:space="preserve"> in productivity savings, t</w:t>
      </w:r>
      <w:r w:rsidR="00EF3765">
        <w:t>he</w:t>
      </w:r>
      <w:r w:rsidR="006522CB">
        <w:t>se</w:t>
      </w:r>
      <w:r w:rsidR="00EF3765">
        <w:t xml:space="preserve"> improvement</w:t>
      </w:r>
      <w:r w:rsidR="006522CB">
        <w:t>s</w:t>
      </w:r>
      <w:r>
        <w:t>, as outlined in</w:t>
      </w:r>
      <w:r w:rsidRPr="00567934">
        <w:rPr>
          <w:b/>
          <w:bCs/>
        </w:rPr>
        <w:t xml:space="preserve"> </w:t>
      </w:r>
      <w:r w:rsidR="00110034">
        <w:t xml:space="preserve">Table 14 </w:t>
      </w:r>
      <w:r w:rsidR="00EF3765">
        <w:t xml:space="preserve">will be progressively realised </w:t>
      </w:r>
      <w:r w:rsidR="00CA0309">
        <w:t>as our investments in technology and modernisation are ro</w:t>
      </w:r>
      <w:r w:rsidR="00B80D09">
        <w:t>l</w:t>
      </w:r>
      <w:r w:rsidR="00CA0309">
        <w:t>led out</w:t>
      </w:r>
      <w:r w:rsidR="000A2D4A">
        <w:t xml:space="preserve"> over the regulatory period</w:t>
      </w:r>
      <w:r w:rsidR="00CA0309">
        <w:t>.</w:t>
      </w:r>
      <w:r w:rsidR="00E065CA">
        <w:t xml:space="preserve"> </w:t>
      </w:r>
    </w:p>
    <w:p w14:paraId="40B00D6C" w14:textId="77777777" w:rsidR="005B0FCA" w:rsidRDefault="005B0FCA">
      <w:pPr>
        <w:rPr>
          <w:b/>
          <w:bCs/>
          <w:color w:val="00B1B0" w:themeColor="accent1"/>
          <w:sz w:val="20"/>
          <w:szCs w:val="20"/>
        </w:rPr>
      </w:pPr>
      <w:bookmarkStart w:id="58" w:name="_Ref113357032"/>
      <w:bookmarkStart w:id="59" w:name="_Ref113357259"/>
      <w:bookmarkStart w:id="60" w:name="_Ref113432941"/>
      <w:r>
        <w:rPr>
          <w:b/>
          <w:bCs/>
          <w:i/>
          <w:iCs/>
          <w:color w:val="00B1B0" w:themeColor="accent1"/>
          <w:sz w:val="20"/>
          <w:szCs w:val="20"/>
        </w:rPr>
        <w:br w:type="page"/>
      </w:r>
    </w:p>
    <w:p w14:paraId="42763597" w14:textId="0A7FC9D2" w:rsidR="004967A3" w:rsidRPr="00D975B3" w:rsidRDefault="00D975B3" w:rsidP="00D975B3">
      <w:pPr>
        <w:pStyle w:val="Caption"/>
        <w:rPr>
          <w:rStyle w:val="IntenseReference"/>
          <w:b w:val="0"/>
          <w:bCs w:val="0"/>
          <w:i w:val="0"/>
          <w:iCs w:val="0"/>
          <w:color w:val="00B1B0" w:themeColor="accent1"/>
          <w:sz w:val="20"/>
          <w:szCs w:val="20"/>
          <w:u w:val="single"/>
        </w:rPr>
      </w:pPr>
      <w:r w:rsidRPr="00D975B3">
        <w:rPr>
          <w:b/>
          <w:bCs/>
          <w:i w:val="0"/>
          <w:iCs w:val="0"/>
          <w:color w:val="00B1B0" w:themeColor="accent1"/>
          <w:sz w:val="20"/>
          <w:szCs w:val="20"/>
        </w:rPr>
        <w:t>Table</w:t>
      </w:r>
      <w:bookmarkEnd w:id="58"/>
      <w:r w:rsidRPr="00D975B3">
        <w:rPr>
          <w:b/>
          <w:bCs/>
          <w:i w:val="0"/>
          <w:iCs w:val="0"/>
          <w:color w:val="00B1B0" w:themeColor="accent1"/>
          <w:sz w:val="20"/>
          <w:szCs w:val="20"/>
        </w:rPr>
        <w:t xml:space="preserve"> </w:t>
      </w:r>
      <w:r w:rsidRPr="00D975B3">
        <w:rPr>
          <w:b/>
          <w:bCs/>
          <w:i w:val="0"/>
          <w:iCs w:val="0"/>
          <w:color w:val="00B1B0" w:themeColor="accent1"/>
          <w:sz w:val="20"/>
          <w:szCs w:val="20"/>
        </w:rPr>
        <w:fldChar w:fldCharType="begin"/>
      </w:r>
      <w:r w:rsidRPr="00D975B3">
        <w:rPr>
          <w:b/>
          <w:bCs/>
          <w:i w:val="0"/>
          <w:iCs w:val="0"/>
          <w:color w:val="00B1B0" w:themeColor="accent1"/>
          <w:sz w:val="20"/>
          <w:szCs w:val="20"/>
        </w:rPr>
        <w:instrText xml:space="preserve"> SEQ Table \* ARABIC </w:instrText>
      </w:r>
      <w:r w:rsidRPr="00D975B3">
        <w:rPr>
          <w:b/>
          <w:bCs/>
          <w:i w:val="0"/>
          <w:iCs w:val="0"/>
          <w:color w:val="00B1B0" w:themeColor="accent1"/>
          <w:sz w:val="20"/>
          <w:szCs w:val="20"/>
        </w:rPr>
        <w:fldChar w:fldCharType="separate"/>
      </w:r>
      <w:r w:rsidR="008126A8">
        <w:rPr>
          <w:b/>
          <w:bCs/>
          <w:i w:val="0"/>
          <w:iCs w:val="0"/>
          <w:noProof/>
          <w:color w:val="00B1B0" w:themeColor="accent1"/>
          <w:sz w:val="20"/>
          <w:szCs w:val="20"/>
        </w:rPr>
        <w:t>14</w:t>
      </w:r>
      <w:r w:rsidRPr="00D975B3">
        <w:rPr>
          <w:b/>
          <w:bCs/>
          <w:i w:val="0"/>
          <w:iCs w:val="0"/>
          <w:color w:val="00B1B0" w:themeColor="accent1"/>
          <w:sz w:val="20"/>
          <w:szCs w:val="20"/>
        </w:rPr>
        <w:fldChar w:fldCharType="end"/>
      </w:r>
      <w:bookmarkEnd w:id="59"/>
      <w:r w:rsidRPr="00D975B3">
        <w:rPr>
          <w:b/>
          <w:bCs/>
          <w:i w:val="0"/>
          <w:iCs w:val="0"/>
          <w:color w:val="00B1B0" w:themeColor="accent1"/>
          <w:sz w:val="20"/>
          <w:szCs w:val="20"/>
        </w:rPr>
        <w:t xml:space="preserve"> </w:t>
      </w:r>
      <w:r w:rsidR="00757C89">
        <w:rPr>
          <w:b/>
          <w:bCs/>
          <w:i w:val="0"/>
          <w:iCs w:val="0"/>
          <w:color w:val="00B1B0" w:themeColor="accent1"/>
          <w:sz w:val="20"/>
          <w:szCs w:val="20"/>
        </w:rPr>
        <w:t>–</w:t>
      </w:r>
      <w:r w:rsidRPr="002E4FBC">
        <w:rPr>
          <w:b/>
          <w:bCs/>
          <w:i w:val="0"/>
          <w:iCs w:val="0"/>
          <w:color w:val="00B1B0" w:themeColor="accent1"/>
          <w:sz w:val="20"/>
          <w:szCs w:val="20"/>
        </w:rPr>
        <w:t xml:space="preserve"> </w:t>
      </w:r>
      <w:r w:rsidR="00DE0AF5" w:rsidRPr="002E4FBC">
        <w:rPr>
          <w:b/>
          <w:bCs/>
          <w:i w:val="0"/>
          <w:iCs w:val="0"/>
          <w:color w:val="00B1B0" w:themeColor="accent1"/>
          <w:sz w:val="20"/>
          <w:szCs w:val="20"/>
        </w:rPr>
        <w:t>Efficiency improvements</w:t>
      </w:r>
      <w:bookmarkEnd w:id="60"/>
    </w:p>
    <w:tbl>
      <w:tblPr>
        <w:tblStyle w:val="Tealheader-Grayrows1"/>
        <w:tblW w:w="9781" w:type="dxa"/>
        <w:tblLayout w:type="fixed"/>
        <w:tblLook w:val="04A0" w:firstRow="1" w:lastRow="0" w:firstColumn="1" w:lastColumn="0" w:noHBand="0" w:noVBand="1"/>
      </w:tblPr>
      <w:tblGrid>
        <w:gridCol w:w="1418"/>
        <w:gridCol w:w="6095"/>
        <w:gridCol w:w="1134"/>
        <w:gridCol w:w="1134"/>
      </w:tblGrid>
      <w:tr w:rsidR="00181F6C" w:rsidRPr="00757C89" w14:paraId="31F44DAA" w14:textId="7980282B" w:rsidTr="001E198F">
        <w:trPr>
          <w:cnfStyle w:val="100000000000" w:firstRow="1" w:lastRow="0" w:firstColumn="0" w:lastColumn="0" w:oddVBand="0" w:evenVBand="0" w:oddHBand="0" w:evenHBand="0" w:firstRowFirstColumn="0" w:firstRowLastColumn="0" w:lastRowFirstColumn="0" w:lastRowLastColumn="0"/>
          <w:tblHeader/>
        </w:trPr>
        <w:tc>
          <w:tcPr>
            <w:tcW w:w="1418" w:type="dxa"/>
          </w:tcPr>
          <w:p w14:paraId="7787A89E" w14:textId="77777777" w:rsidR="00181F6C" w:rsidRPr="00757C89" w:rsidRDefault="00181F6C" w:rsidP="001E1876">
            <w:pPr>
              <w:tabs>
                <w:tab w:val="left" w:pos="1701"/>
              </w:tabs>
              <w:spacing w:before="40" w:after="40"/>
              <w:rPr>
                <w:rFonts w:eastAsia="Times New Roman" w:cs="Arial"/>
                <w:b w:val="0"/>
                <w:sz w:val="20"/>
                <w:szCs w:val="20"/>
              </w:rPr>
            </w:pPr>
            <w:r w:rsidRPr="00757C89">
              <w:rPr>
                <w:rFonts w:eastAsia="Times New Roman" w:cs="Arial"/>
                <w:sz w:val="20"/>
                <w:szCs w:val="20"/>
              </w:rPr>
              <w:t>Item</w:t>
            </w:r>
          </w:p>
        </w:tc>
        <w:tc>
          <w:tcPr>
            <w:tcW w:w="6095" w:type="dxa"/>
          </w:tcPr>
          <w:p w14:paraId="2A5CBA19" w14:textId="77777777" w:rsidR="00181F6C" w:rsidRPr="00757C89" w:rsidRDefault="00181F6C" w:rsidP="001E1876">
            <w:pPr>
              <w:tabs>
                <w:tab w:val="left" w:pos="1701"/>
              </w:tabs>
              <w:spacing w:before="40" w:after="40"/>
              <w:rPr>
                <w:rFonts w:eastAsia="Times New Roman" w:cs="Arial"/>
                <w:b w:val="0"/>
                <w:sz w:val="20"/>
                <w:szCs w:val="20"/>
              </w:rPr>
            </w:pPr>
            <w:r w:rsidRPr="00757C89">
              <w:rPr>
                <w:rFonts w:eastAsia="Times New Roman" w:cs="Arial"/>
                <w:sz w:val="20"/>
                <w:szCs w:val="20"/>
              </w:rPr>
              <w:t>Initiative</w:t>
            </w:r>
          </w:p>
        </w:tc>
        <w:tc>
          <w:tcPr>
            <w:tcW w:w="1134" w:type="dxa"/>
          </w:tcPr>
          <w:p w14:paraId="425C1EEF" w14:textId="77777777" w:rsidR="00181F6C" w:rsidRPr="00757C89" w:rsidRDefault="00181F6C" w:rsidP="001E1876">
            <w:pPr>
              <w:tabs>
                <w:tab w:val="left" w:pos="1701"/>
              </w:tabs>
              <w:spacing w:before="40" w:after="40"/>
              <w:jc w:val="center"/>
              <w:rPr>
                <w:rFonts w:eastAsia="Times New Roman" w:cs="Arial"/>
                <w:b w:val="0"/>
                <w:sz w:val="20"/>
                <w:szCs w:val="20"/>
              </w:rPr>
            </w:pPr>
            <w:r w:rsidRPr="00757C89">
              <w:rPr>
                <w:rFonts w:eastAsia="Times New Roman" w:cs="Arial"/>
                <w:sz w:val="20"/>
                <w:szCs w:val="20"/>
              </w:rPr>
              <w:t>Savings</w:t>
            </w:r>
          </w:p>
          <w:p w14:paraId="631B8619" w14:textId="2B587CC8" w:rsidR="00181F6C" w:rsidRPr="00757C89" w:rsidRDefault="00181F6C" w:rsidP="001E1876">
            <w:pPr>
              <w:tabs>
                <w:tab w:val="left" w:pos="1701"/>
              </w:tabs>
              <w:spacing w:before="40" w:after="40"/>
              <w:jc w:val="center"/>
              <w:rPr>
                <w:rFonts w:eastAsia="Times New Roman" w:cs="Arial"/>
                <w:b w:val="0"/>
                <w:sz w:val="20"/>
                <w:szCs w:val="20"/>
              </w:rPr>
            </w:pPr>
            <w:r w:rsidRPr="00757C89">
              <w:rPr>
                <w:rFonts w:eastAsia="Times New Roman" w:cs="Arial"/>
                <w:sz w:val="20"/>
                <w:szCs w:val="20"/>
              </w:rPr>
              <w:t>(p</w:t>
            </w:r>
            <w:r w:rsidR="008D4308">
              <w:rPr>
                <w:rFonts w:eastAsia="Times New Roman" w:cs="Arial"/>
                <w:sz w:val="20"/>
                <w:szCs w:val="20"/>
              </w:rPr>
              <w:t>/a</w:t>
            </w:r>
            <w:r w:rsidRPr="00757C89">
              <w:rPr>
                <w:rFonts w:eastAsia="Times New Roman" w:cs="Arial"/>
                <w:sz w:val="20"/>
                <w:szCs w:val="20"/>
              </w:rPr>
              <w:t>)</w:t>
            </w:r>
          </w:p>
        </w:tc>
        <w:tc>
          <w:tcPr>
            <w:tcW w:w="1134" w:type="dxa"/>
          </w:tcPr>
          <w:p w14:paraId="2A6A507B" w14:textId="77777777" w:rsidR="005816A6" w:rsidRDefault="00090626" w:rsidP="001E1876">
            <w:pPr>
              <w:tabs>
                <w:tab w:val="left" w:pos="1701"/>
              </w:tabs>
              <w:spacing w:before="40" w:after="40"/>
              <w:jc w:val="center"/>
              <w:rPr>
                <w:rFonts w:eastAsia="Times New Roman" w:cs="Arial"/>
                <w:b w:val="0"/>
                <w:sz w:val="20"/>
                <w:szCs w:val="20"/>
              </w:rPr>
            </w:pPr>
            <w:r w:rsidRPr="00757C89">
              <w:rPr>
                <w:rFonts w:eastAsia="Times New Roman" w:cs="Arial"/>
                <w:sz w:val="20"/>
                <w:szCs w:val="20"/>
              </w:rPr>
              <w:t xml:space="preserve">Expected </w:t>
            </w:r>
          </w:p>
          <w:p w14:paraId="153891E4" w14:textId="07FA051B" w:rsidR="00090626" w:rsidRPr="00757C89" w:rsidRDefault="001E198F" w:rsidP="001E1876">
            <w:pPr>
              <w:tabs>
                <w:tab w:val="left" w:pos="1701"/>
              </w:tabs>
              <w:spacing w:before="40" w:after="40"/>
              <w:jc w:val="center"/>
              <w:rPr>
                <w:rFonts w:eastAsia="Times New Roman" w:cs="Arial"/>
                <w:sz w:val="20"/>
                <w:szCs w:val="20"/>
              </w:rPr>
            </w:pPr>
            <w:r>
              <w:rPr>
                <w:rFonts w:eastAsia="Times New Roman" w:cs="Arial"/>
                <w:sz w:val="20"/>
                <w:szCs w:val="20"/>
              </w:rPr>
              <w:t>timing</w:t>
            </w:r>
          </w:p>
        </w:tc>
      </w:tr>
      <w:tr w:rsidR="00181F6C" w:rsidRPr="000A2D4A" w14:paraId="14F27312" w14:textId="1735D19A" w:rsidTr="001E198F">
        <w:trPr>
          <w:cnfStyle w:val="000000100000" w:firstRow="0" w:lastRow="0" w:firstColumn="0" w:lastColumn="0" w:oddVBand="0" w:evenVBand="0" w:oddHBand="1" w:evenHBand="0" w:firstRowFirstColumn="0" w:firstRowLastColumn="0" w:lastRowFirstColumn="0" w:lastRowLastColumn="0"/>
        </w:trPr>
        <w:tc>
          <w:tcPr>
            <w:tcW w:w="1418" w:type="dxa"/>
            <w:vAlign w:val="top"/>
          </w:tcPr>
          <w:p w14:paraId="045451C5"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Reduce meter reading</w:t>
            </w:r>
          </w:p>
        </w:tc>
        <w:tc>
          <w:tcPr>
            <w:tcW w:w="6095" w:type="dxa"/>
            <w:vAlign w:val="top"/>
          </w:tcPr>
          <w:p w14:paraId="54B33075" w14:textId="052172F9" w:rsidR="00181F6C" w:rsidRPr="000A2D4A" w:rsidRDefault="00181F6C" w:rsidP="00B72C41">
            <w:pPr>
              <w:tabs>
                <w:tab w:val="left" w:pos="1701"/>
              </w:tabs>
              <w:spacing w:before="40" w:after="40"/>
              <w:ind w:right="183"/>
              <w:jc w:val="both"/>
              <w:rPr>
                <w:rFonts w:cs="Arial"/>
                <w:bCs/>
                <w:color w:val="000000" w:themeColor="text1"/>
                <w:sz w:val="20"/>
                <w:szCs w:val="20"/>
              </w:rPr>
            </w:pPr>
            <w:r w:rsidRPr="000A2D4A">
              <w:rPr>
                <w:rFonts w:cs="Arial"/>
                <w:bCs/>
                <w:color w:val="000000" w:themeColor="text1"/>
                <w:sz w:val="20"/>
                <w:szCs w:val="20"/>
              </w:rPr>
              <w:t>The introduction of taggle (remote meter reading) offers an opportunity to reduce the number of meter reads per year from two to one.</w:t>
            </w:r>
            <w:r w:rsidR="00AA3CE0">
              <w:rPr>
                <w:rFonts w:cs="Arial"/>
                <w:bCs/>
                <w:color w:val="000000" w:themeColor="text1"/>
                <w:sz w:val="20"/>
                <w:szCs w:val="20"/>
              </w:rPr>
              <w:t xml:space="preserve"> </w:t>
            </w:r>
            <w:r w:rsidRPr="000A2D4A">
              <w:rPr>
                <w:rFonts w:cs="Arial"/>
                <w:bCs/>
                <w:color w:val="000000" w:themeColor="text1"/>
                <w:sz w:val="20"/>
                <w:szCs w:val="20"/>
              </w:rPr>
              <w:t>Realisation of actual savings will require some work practice restructure to convert a 5-10% individual productivity improvement into staff reduction (via natural attrition) or reallocation to additional compliance activities.</w:t>
            </w:r>
          </w:p>
        </w:tc>
        <w:tc>
          <w:tcPr>
            <w:tcW w:w="1134" w:type="dxa"/>
          </w:tcPr>
          <w:p w14:paraId="7956E093" w14:textId="2AD2373C"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$100</w:t>
            </w:r>
            <w:r w:rsidR="00A43C97" w:rsidRPr="000A2D4A">
              <w:rPr>
                <w:rFonts w:eastAsia="Times New Roman" w:cs="Arial"/>
                <w:bCs/>
                <w:color w:val="000000" w:themeColor="text1"/>
                <w:sz w:val="20"/>
                <w:szCs w:val="20"/>
              </w:rPr>
              <w:t>K</w:t>
            </w:r>
          </w:p>
        </w:tc>
        <w:tc>
          <w:tcPr>
            <w:tcW w:w="1134" w:type="dxa"/>
          </w:tcPr>
          <w:p w14:paraId="407FD726" w14:textId="6D9413CB" w:rsidR="00090626" w:rsidRDefault="00090626"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2024-25</w:t>
            </w:r>
          </w:p>
        </w:tc>
      </w:tr>
      <w:tr w:rsidR="00181F6C" w:rsidRPr="000A2D4A" w14:paraId="00E157E9" w14:textId="1DFE93F1" w:rsidTr="001E198F">
        <w:tc>
          <w:tcPr>
            <w:tcW w:w="1418" w:type="dxa"/>
            <w:vAlign w:val="top"/>
          </w:tcPr>
          <w:p w14:paraId="34354332"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Werribee irrigation O&amp;M efficiencies</w:t>
            </w:r>
          </w:p>
        </w:tc>
        <w:tc>
          <w:tcPr>
            <w:tcW w:w="6095" w:type="dxa"/>
            <w:vAlign w:val="top"/>
          </w:tcPr>
          <w:p w14:paraId="00EAF8C7" w14:textId="58A212A7" w:rsidR="00181F6C" w:rsidRPr="000A2D4A" w:rsidRDefault="00181F6C" w:rsidP="00B72C41">
            <w:pPr>
              <w:tabs>
                <w:tab w:val="left" w:pos="1701"/>
              </w:tabs>
              <w:spacing w:before="40" w:after="40"/>
              <w:ind w:right="183"/>
              <w:jc w:val="both"/>
              <w:rPr>
                <w:rFonts w:cs="Arial"/>
                <w:bCs/>
                <w:color w:val="000000" w:themeColor="text1"/>
                <w:sz w:val="20"/>
                <w:szCs w:val="20"/>
              </w:rPr>
            </w:pPr>
            <w:r w:rsidRPr="000A2D4A">
              <w:rPr>
                <w:rFonts w:cs="Arial"/>
                <w:bCs/>
                <w:color w:val="000000" w:themeColor="text1"/>
                <w:sz w:val="20"/>
                <w:szCs w:val="20"/>
              </w:rPr>
              <w:t>SRW currently employs eight full time staff to perform operations, maintenance and planning for the Werribee and Bacchus Marsh irrigation districts.</w:t>
            </w:r>
            <w:r w:rsidR="00367714">
              <w:rPr>
                <w:rFonts w:cs="Arial"/>
                <w:bCs/>
                <w:color w:val="000000" w:themeColor="text1"/>
                <w:sz w:val="20"/>
                <w:szCs w:val="20"/>
              </w:rPr>
              <w:t xml:space="preserve"> </w:t>
            </w:r>
            <w:r w:rsidRPr="000A2D4A">
              <w:rPr>
                <w:rFonts w:cs="Arial"/>
                <w:bCs/>
                <w:color w:val="000000" w:themeColor="text1"/>
                <w:sz w:val="20"/>
                <w:szCs w:val="20"/>
              </w:rPr>
              <w:t>Piping of the Werribee district directly reduces the scale of field maintenance and time spent manually operating these districts.</w:t>
            </w:r>
            <w:r w:rsidR="00367714">
              <w:rPr>
                <w:rFonts w:cs="Arial"/>
                <w:bCs/>
                <w:color w:val="000000" w:themeColor="text1"/>
                <w:sz w:val="20"/>
                <w:szCs w:val="20"/>
              </w:rPr>
              <w:t xml:space="preserve"> </w:t>
            </w:r>
            <w:r w:rsidRPr="000A2D4A">
              <w:rPr>
                <w:rFonts w:cs="Arial"/>
                <w:bCs/>
                <w:color w:val="000000" w:themeColor="text1"/>
                <w:sz w:val="20"/>
                <w:szCs w:val="20"/>
              </w:rPr>
              <w:t xml:space="preserve">Access to these opportunities is dependent upon project delivery (Werribee modernisation) and </w:t>
            </w:r>
            <w:r w:rsidR="004E4D0D">
              <w:rPr>
                <w:rFonts w:cs="Arial"/>
                <w:bCs/>
                <w:color w:val="000000" w:themeColor="text1"/>
                <w:sz w:val="20"/>
                <w:szCs w:val="20"/>
              </w:rPr>
              <w:t xml:space="preserve">transitioning </w:t>
            </w:r>
            <w:r w:rsidR="00601476">
              <w:rPr>
                <w:rFonts w:cs="Arial"/>
                <w:bCs/>
                <w:color w:val="000000" w:themeColor="text1"/>
                <w:sz w:val="20"/>
                <w:szCs w:val="20"/>
              </w:rPr>
              <w:t>of workforce to</w:t>
            </w:r>
            <w:r w:rsidR="00C3339D">
              <w:rPr>
                <w:rFonts w:cs="Arial"/>
                <w:bCs/>
                <w:color w:val="000000" w:themeColor="text1"/>
                <w:sz w:val="20"/>
                <w:szCs w:val="20"/>
              </w:rPr>
              <w:t xml:space="preserve"> support the changed operational environment</w:t>
            </w:r>
            <w:r w:rsidRPr="000A2D4A">
              <w:rPr>
                <w:rFonts w:cs="Arial"/>
                <w:bCs/>
                <w:color w:val="000000" w:themeColor="text1"/>
                <w:sz w:val="20"/>
                <w:szCs w:val="20"/>
              </w:rPr>
              <w:t>.</w:t>
            </w:r>
          </w:p>
        </w:tc>
        <w:tc>
          <w:tcPr>
            <w:tcW w:w="1134" w:type="dxa"/>
          </w:tcPr>
          <w:p w14:paraId="5156900E" w14:textId="5D9DBBC8"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$200</w:t>
            </w:r>
            <w:r w:rsidR="00A43C97" w:rsidRPr="000A2D4A">
              <w:rPr>
                <w:rFonts w:eastAsia="Times New Roman" w:cs="Arial"/>
                <w:bCs/>
                <w:color w:val="000000" w:themeColor="text1"/>
                <w:sz w:val="20"/>
                <w:szCs w:val="20"/>
              </w:rPr>
              <w:t>K</w:t>
            </w:r>
            <w:r w:rsidRPr="000A2D4A">
              <w:rPr>
                <w:rFonts w:eastAsia="Times New Roman" w:cs="Arial"/>
                <w:bCs/>
                <w:color w:val="000000" w:themeColor="text1"/>
                <w:sz w:val="20"/>
                <w:szCs w:val="20"/>
              </w:rPr>
              <w:t xml:space="preserve"> to $400</w:t>
            </w:r>
            <w:r w:rsidR="00A43C97" w:rsidRPr="000A2D4A">
              <w:rPr>
                <w:rFonts w:eastAsia="Times New Roman" w:cs="Arial"/>
                <w:bCs/>
                <w:color w:val="000000" w:themeColor="text1"/>
                <w:sz w:val="20"/>
                <w:szCs w:val="20"/>
              </w:rPr>
              <w:t>K</w:t>
            </w:r>
          </w:p>
        </w:tc>
        <w:tc>
          <w:tcPr>
            <w:tcW w:w="1134" w:type="dxa"/>
          </w:tcPr>
          <w:p w14:paraId="686271B9" w14:textId="598FC0E2" w:rsidR="00090626" w:rsidRDefault="00090626"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2025-26</w:t>
            </w:r>
          </w:p>
        </w:tc>
      </w:tr>
      <w:tr w:rsidR="00181F6C" w:rsidRPr="000A2D4A" w14:paraId="533224F2" w14:textId="07930CB3" w:rsidTr="001E198F">
        <w:trPr>
          <w:cnfStyle w:val="000000100000" w:firstRow="0" w:lastRow="0" w:firstColumn="0" w:lastColumn="0" w:oddVBand="0" w:evenVBand="0" w:oddHBand="1" w:evenHBand="0" w:firstRowFirstColumn="0" w:firstRowLastColumn="0" w:lastRowFirstColumn="0" w:lastRowLastColumn="0"/>
        </w:trPr>
        <w:tc>
          <w:tcPr>
            <w:tcW w:w="1418" w:type="dxa"/>
            <w:vAlign w:val="top"/>
          </w:tcPr>
          <w:p w14:paraId="5FF63705"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Macalister irrigation O&amp;M efficiencies</w:t>
            </w:r>
          </w:p>
        </w:tc>
        <w:tc>
          <w:tcPr>
            <w:tcW w:w="6095" w:type="dxa"/>
            <w:vAlign w:val="top"/>
          </w:tcPr>
          <w:p w14:paraId="1FC0BFBE" w14:textId="38B1CDB1" w:rsidR="00181F6C" w:rsidRPr="000A2D4A" w:rsidRDefault="00181F6C" w:rsidP="00B72C41">
            <w:pPr>
              <w:spacing w:before="40" w:after="40"/>
              <w:ind w:right="183"/>
              <w:jc w:val="both"/>
              <w:rPr>
                <w:rFonts w:cs="Arial"/>
                <w:bCs/>
                <w:color w:val="000000" w:themeColor="text1"/>
                <w:sz w:val="20"/>
                <w:szCs w:val="20"/>
              </w:rPr>
            </w:pPr>
            <w:r w:rsidRPr="000A2D4A">
              <w:rPr>
                <w:rFonts w:cs="Arial"/>
                <w:bCs/>
                <w:color w:val="000000" w:themeColor="text1"/>
                <w:sz w:val="20"/>
                <w:szCs w:val="20"/>
              </w:rPr>
              <w:t>Completion of Phase 1B (Tinamba delivery system) and part-completion of Phase 2 (Newry delivery system) provides an opportunity for improved system planning and reduced manual operations.</w:t>
            </w:r>
            <w:r w:rsidR="00367714">
              <w:rPr>
                <w:rFonts w:cs="Arial"/>
                <w:bCs/>
                <w:color w:val="000000" w:themeColor="text1"/>
                <w:sz w:val="20"/>
                <w:szCs w:val="20"/>
              </w:rPr>
              <w:t xml:space="preserve"> </w:t>
            </w:r>
            <w:r w:rsidRPr="000A2D4A">
              <w:rPr>
                <w:rFonts w:cs="Arial"/>
                <w:bCs/>
                <w:color w:val="000000" w:themeColor="text1"/>
                <w:sz w:val="20"/>
                <w:szCs w:val="20"/>
              </w:rPr>
              <w:t xml:space="preserve">Access to these opportunities is dependent upon project delivery and </w:t>
            </w:r>
            <w:r w:rsidR="00C3339D">
              <w:rPr>
                <w:rFonts w:cs="Arial"/>
                <w:bCs/>
                <w:color w:val="000000" w:themeColor="text1"/>
                <w:sz w:val="20"/>
                <w:szCs w:val="20"/>
              </w:rPr>
              <w:t>transitioning of workforce to support the changed operational environment</w:t>
            </w:r>
            <w:r w:rsidRPr="000A2D4A">
              <w:rPr>
                <w:rFonts w:cs="Arial"/>
                <w:bCs/>
                <w:color w:val="000000" w:themeColor="text1"/>
                <w:sz w:val="20"/>
                <w:szCs w:val="20"/>
              </w:rPr>
              <w:t>.</w:t>
            </w:r>
          </w:p>
        </w:tc>
        <w:tc>
          <w:tcPr>
            <w:tcW w:w="1134" w:type="dxa"/>
          </w:tcPr>
          <w:p w14:paraId="408897BE" w14:textId="1C36E9F4"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$100</w:t>
            </w:r>
            <w:r w:rsidR="00A43C97" w:rsidRPr="000A2D4A">
              <w:rPr>
                <w:rFonts w:eastAsia="Times New Roman" w:cs="Arial"/>
                <w:bCs/>
                <w:color w:val="000000" w:themeColor="text1"/>
                <w:sz w:val="20"/>
                <w:szCs w:val="20"/>
              </w:rPr>
              <w:t>K</w:t>
            </w:r>
            <w:r w:rsidRPr="000A2D4A">
              <w:rPr>
                <w:rFonts w:eastAsia="Times New Roman" w:cs="Arial"/>
                <w:bCs/>
                <w:color w:val="000000" w:themeColor="text1"/>
                <w:sz w:val="20"/>
                <w:szCs w:val="20"/>
              </w:rPr>
              <w:t xml:space="preserve"> to $200</w:t>
            </w:r>
            <w:r w:rsidR="00A43C97" w:rsidRPr="000A2D4A">
              <w:rPr>
                <w:rFonts w:eastAsia="Times New Roman" w:cs="Arial"/>
                <w:bCs/>
                <w:color w:val="000000" w:themeColor="text1"/>
                <w:sz w:val="20"/>
                <w:szCs w:val="20"/>
              </w:rPr>
              <w:t>K</w:t>
            </w:r>
          </w:p>
        </w:tc>
        <w:tc>
          <w:tcPr>
            <w:tcW w:w="1134" w:type="dxa"/>
          </w:tcPr>
          <w:p w14:paraId="546D8B65" w14:textId="2029CB4C" w:rsidR="00090626" w:rsidRDefault="00090626"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2024-25</w:t>
            </w:r>
          </w:p>
        </w:tc>
      </w:tr>
      <w:tr w:rsidR="00181F6C" w:rsidRPr="000A2D4A" w14:paraId="7F9319D6" w14:textId="56A66B0A" w:rsidTr="001E198F">
        <w:tc>
          <w:tcPr>
            <w:tcW w:w="1418" w:type="dxa"/>
            <w:vAlign w:val="top"/>
          </w:tcPr>
          <w:p w14:paraId="45C03859"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Customer service and applications processing</w:t>
            </w:r>
          </w:p>
        </w:tc>
        <w:tc>
          <w:tcPr>
            <w:tcW w:w="6095" w:type="dxa"/>
            <w:vAlign w:val="top"/>
          </w:tcPr>
          <w:p w14:paraId="386F2A57" w14:textId="39478BAC" w:rsidR="00181F6C" w:rsidRPr="000A2D4A" w:rsidRDefault="00181F6C" w:rsidP="00B72C41">
            <w:pPr>
              <w:spacing w:before="40" w:after="40"/>
              <w:ind w:right="183"/>
              <w:jc w:val="both"/>
              <w:rPr>
                <w:rFonts w:cs="Arial"/>
                <w:bCs/>
                <w:color w:val="000000" w:themeColor="text1"/>
                <w:sz w:val="20"/>
                <w:szCs w:val="20"/>
              </w:rPr>
            </w:pPr>
            <w:r w:rsidRPr="000A2D4A">
              <w:rPr>
                <w:rFonts w:cs="Arial"/>
                <w:bCs/>
                <w:color w:val="000000" w:themeColor="text1"/>
                <w:sz w:val="20"/>
                <w:szCs w:val="20"/>
              </w:rPr>
              <w:t>An increased capacity for customer self-service is emerging from the implementation and ongoing improvements to the MySRW portal. Bill payment is being improved (including immediate payment gateway for applications) and customer account information will be available online. We expect less customer enquiries following the roll-out of these improvements.</w:t>
            </w:r>
          </w:p>
        </w:tc>
        <w:tc>
          <w:tcPr>
            <w:tcW w:w="1134" w:type="dxa"/>
          </w:tcPr>
          <w:p w14:paraId="1BB811E4" w14:textId="3FA442F7"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$50k to $150</w:t>
            </w:r>
            <w:r w:rsidR="00A43C97" w:rsidRPr="000A2D4A">
              <w:rPr>
                <w:rFonts w:eastAsia="Times New Roman" w:cs="Arial"/>
                <w:bCs/>
                <w:color w:val="000000" w:themeColor="text1"/>
                <w:sz w:val="20"/>
                <w:szCs w:val="20"/>
              </w:rPr>
              <w:t>K</w:t>
            </w:r>
          </w:p>
        </w:tc>
        <w:tc>
          <w:tcPr>
            <w:tcW w:w="1134" w:type="dxa"/>
          </w:tcPr>
          <w:p w14:paraId="35570EC6" w14:textId="3B5C0825" w:rsidR="00164180" w:rsidRDefault="00164180"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2025-26</w:t>
            </w:r>
          </w:p>
        </w:tc>
      </w:tr>
      <w:tr w:rsidR="00181F6C" w:rsidRPr="000A2D4A" w14:paraId="4F4D6811" w14:textId="2CCF0811" w:rsidTr="001E198F">
        <w:trPr>
          <w:cnfStyle w:val="000000100000" w:firstRow="0" w:lastRow="0" w:firstColumn="0" w:lastColumn="0" w:oddVBand="0" w:evenVBand="0" w:oddHBand="1" w:evenHBand="0" w:firstRowFirstColumn="0" w:firstRowLastColumn="0" w:lastRowFirstColumn="0" w:lastRowLastColumn="0"/>
        </w:trPr>
        <w:tc>
          <w:tcPr>
            <w:tcW w:w="1418" w:type="dxa"/>
            <w:vAlign w:val="top"/>
          </w:tcPr>
          <w:p w14:paraId="495327EB"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Standby reform</w:t>
            </w:r>
          </w:p>
        </w:tc>
        <w:tc>
          <w:tcPr>
            <w:tcW w:w="6095" w:type="dxa"/>
            <w:vAlign w:val="top"/>
          </w:tcPr>
          <w:p w14:paraId="162F41E8" w14:textId="2BB4E7E9" w:rsidR="00181F6C" w:rsidRPr="000A2D4A" w:rsidRDefault="00181F6C" w:rsidP="00B72C41">
            <w:pPr>
              <w:tabs>
                <w:tab w:val="left" w:pos="1701"/>
              </w:tabs>
              <w:spacing w:before="40" w:after="40"/>
              <w:ind w:right="183"/>
              <w:jc w:val="both"/>
              <w:rPr>
                <w:rFonts w:cs="Arial"/>
                <w:bCs/>
                <w:color w:val="000000" w:themeColor="text1"/>
                <w:sz w:val="20"/>
                <w:szCs w:val="20"/>
              </w:rPr>
            </w:pPr>
            <w:r w:rsidRPr="000A2D4A">
              <w:rPr>
                <w:rFonts w:cs="Arial"/>
                <w:bCs/>
                <w:color w:val="000000" w:themeColor="text1"/>
                <w:sz w:val="20"/>
                <w:szCs w:val="20"/>
              </w:rPr>
              <w:t xml:space="preserve">A re-arrangement of overnight standby has the potential to reduce the number of staff paid at standby rate (for on-call work) from </w:t>
            </w:r>
            <w:r w:rsidR="009A1E69">
              <w:rPr>
                <w:rFonts w:cs="Arial"/>
                <w:bCs/>
                <w:color w:val="000000" w:themeColor="text1"/>
                <w:sz w:val="20"/>
                <w:szCs w:val="20"/>
              </w:rPr>
              <w:t>~10</w:t>
            </w:r>
            <w:r w:rsidRPr="000A2D4A">
              <w:rPr>
                <w:rFonts w:cs="Arial"/>
                <w:bCs/>
                <w:color w:val="000000" w:themeColor="text1"/>
                <w:sz w:val="20"/>
                <w:szCs w:val="20"/>
              </w:rPr>
              <w:t xml:space="preserve"> each night, to four duty staff.</w:t>
            </w:r>
          </w:p>
          <w:p w14:paraId="2E002B76" w14:textId="77777777" w:rsidR="00181F6C" w:rsidRPr="000A2D4A" w:rsidRDefault="00181F6C" w:rsidP="00B72C41">
            <w:pPr>
              <w:tabs>
                <w:tab w:val="left" w:pos="1701"/>
              </w:tabs>
              <w:spacing w:before="40" w:after="40"/>
              <w:ind w:right="183"/>
              <w:jc w:val="both"/>
              <w:rPr>
                <w:rFonts w:eastAsia="Times New Roman" w:cs="Arial"/>
                <w:bCs/>
                <w:color w:val="000000" w:themeColor="text1"/>
                <w:sz w:val="20"/>
                <w:szCs w:val="20"/>
              </w:rPr>
            </w:pPr>
            <w:r w:rsidRPr="000A2D4A">
              <w:rPr>
                <w:rFonts w:cs="Arial"/>
                <w:bCs/>
                <w:color w:val="000000" w:themeColor="text1"/>
                <w:sz w:val="20"/>
                <w:szCs w:val="20"/>
              </w:rPr>
              <w:t>Staff that remain on standby may need to be equipped with a broader skills base in order to effectively triage in-coming calls/alarms/incidents.</w:t>
            </w:r>
          </w:p>
        </w:tc>
        <w:tc>
          <w:tcPr>
            <w:tcW w:w="1134" w:type="dxa"/>
          </w:tcPr>
          <w:p w14:paraId="579020F6" w14:textId="7919886F"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$75 to $200</w:t>
            </w:r>
            <w:r w:rsidR="00A43C97" w:rsidRPr="000A2D4A">
              <w:rPr>
                <w:rFonts w:eastAsia="Times New Roman" w:cs="Arial"/>
                <w:bCs/>
                <w:color w:val="000000" w:themeColor="text1"/>
                <w:sz w:val="20"/>
                <w:szCs w:val="20"/>
              </w:rPr>
              <w:t>K</w:t>
            </w:r>
          </w:p>
        </w:tc>
        <w:tc>
          <w:tcPr>
            <w:tcW w:w="1134" w:type="dxa"/>
          </w:tcPr>
          <w:p w14:paraId="75D44FA5" w14:textId="554291D3" w:rsidR="00164180" w:rsidRDefault="00164180"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w:t>
            </w:r>
            <w:r w:rsidR="00484184">
              <w:rPr>
                <w:rFonts w:eastAsia="Times New Roman" w:cs="Arial"/>
                <w:bCs/>
                <w:color w:val="000000" w:themeColor="text1"/>
                <w:sz w:val="20"/>
                <w:szCs w:val="20"/>
              </w:rPr>
              <w:t>4</w:t>
            </w:r>
            <w:r>
              <w:rPr>
                <w:rFonts w:eastAsia="Times New Roman" w:cs="Arial"/>
                <w:bCs/>
                <w:color w:val="000000" w:themeColor="text1"/>
                <w:sz w:val="20"/>
                <w:szCs w:val="20"/>
              </w:rPr>
              <w:t>-2</w:t>
            </w:r>
            <w:r w:rsidR="00484184">
              <w:rPr>
                <w:rFonts w:eastAsia="Times New Roman" w:cs="Arial"/>
                <w:bCs/>
                <w:color w:val="000000" w:themeColor="text1"/>
                <w:sz w:val="20"/>
                <w:szCs w:val="20"/>
              </w:rPr>
              <w:t>5</w:t>
            </w:r>
          </w:p>
        </w:tc>
      </w:tr>
      <w:tr w:rsidR="00181F6C" w:rsidRPr="000A2D4A" w14:paraId="79017F2C" w14:textId="0E8E32A4" w:rsidTr="001E198F">
        <w:tc>
          <w:tcPr>
            <w:tcW w:w="1418" w:type="dxa"/>
            <w:vAlign w:val="top"/>
          </w:tcPr>
          <w:p w14:paraId="679E20D3" w14:textId="77777777" w:rsidR="00181F6C" w:rsidRPr="00757C89" w:rsidRDefault="00181F6C" w:rsidP="001E1876">
            <w:pPr>
              <w:tabs>
                <w:tab w:val="left" w:pos="1701"/>
              </w:tabs>
              <w:spacing w:before="40" w:after="40"/>
              <w:rPr>
                <w:rFonts w:eastAsia="Times New Roman" w:cs="Arial"/>
                <w:color w:val="000000" w:themeColor="text1"/>
                <w:sz w:val="20"/>
                <w:szCs w:val="20"/>
              </w:rPr>
            </w:pPr>
            <w:r w:rsidRPr="00757C89">
              <w:rPr>
                <w:rFonts w:eastAsia="Times New Roman" w:cs="Arial"/>
                <w:color w:val="000000" w:themeColor="text1"/>
                <w:sz w:val="20"/>
                <w:szCs w:val="20"/>
              </w:rPr>
              <w:t>Travel and vehicle reduction</w:t>
            </w:r>
          </w:p>
        </w:tc>
        <w:tc>
          <w:tcPr>
            <w:tcW w:w="6095" w:type="dxa"/>
            <w:vAlign w:val="top"/>
          </w:tcPr>
          <w:p w14:paraId="385E37E3" w14:textId="77777777" w:rsidR="00181F6C" w:rsidRPr="000A2D4A" w:rsidRDefault="00181F6C" w:rsidP="00B72C41">
            <w:pPr>
              <w:spacing w:before="40" w:after="120"/>
              <w:ind w:right="183"/>
              <w:jc w:val="both"/>
              <w:rPr>
                <w:rFonts w:cs="Arial"/>
                <w:bCs/>
                <w:color w:val="000000" w:themeColor="text1"/>
                <w:sz w:val="20"/>
                <w:szCs w:val="20"/>
              </w:rPr>
            </w:pPr>
            <w:r w:rsidRPr="000A2D4A">
              <w:rPr>
                <w:rFonts w:cs="Arial"/>
                <w:bCs/>
                <w:color w:val="000000" w:themeColor="text1"/>
                <w:sz w:val="20"/>
                <w:szCs w:val="20"/>
              </w:rPr>
              <w:t>We expect that many work practice changes will remain once COVID-19 restrictions are fully removed. While we are likely to see a return of some travel costs, pre-COVID expectations to attend in-person meetings with agencies, customers and at other SRW offices has altered, and we are targeting a smaller vehicle fleet associated with lower business travel conducted by our staff.</w:t>
            </w:r>
          </w:p>
          <w:p w14:paraId="1192D543" w14:textId="434BFC85" w:rsidR="00181F6C" w:rsidRPr="000A2D4A" w:rsidRDefault="00181F6C" w:rsidP="00B72C41">
            <w:pPr>
              <w:spacing w:before="40" w:after="40"/>
              <w:ind w:right="183"/>
              <w:jc w:val="both"/>
              <w:rPr>
                <w:rFonts w:cs="Arial"/>
                <w:bCs/>
                <w:color w:val="000000" w:themeColor="text1"/>
                <w:sz w:val="20"/>
                <w:szCs w:val="20"/>
              </w:rPr>
            </w:pPr>
            <w:r w:rsidRPr="000A2D4A">
              <w:rPr>
                <w:rFonts w:cs="Arial"/>
                <w:bCs/>
                <w:color w:val="000000" w:themeColor="text1"/>
                <w:sz w:val="20"/>
                <w:szCs w:val="20"/>
              </w:rPr>
              <w:t>While vehicle reform is challenging, especially when it involves the removal of directly assigned vehicles (a designated car for a position), the current saving proposal (10%) assumes that less travel occurs, rather than a step down in the number of vehicles held by SRW.</w:t>
            </w:r>
          </w:p>
        </w:tc>
        <w:tc>
          <w:tcPr>
            <w:tcW w:w="1134" w:type="dxa"/>
          </w:tcPr>
          <w:p w14:paraId="70E76B04" w14:textId="59BDACE0" w:rsidR="00181F6C" w:rsidRPr="000A2D4A" w:rsidRDefault="00181F6C"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$150</w:t>
            </w:r>
            <w:r w:rsidR="00A43C97" w:rsidRPr="000A2D4A">
              <w:rPr>
                <w:rFonts w:eastAsia="Times New Roman" w:cs="Arial"/>
                <w:bCs/>
                <w:color w:val="000000" w:themeColor="text1"/>
                <w:sz w:val="20"/>
                <w:szCs w:val="20"/>
              </w:rPr>
              <w:t>K</w:t>
            </w:r>
          </w:p>
        </w:tc>
        <w:tc>
          <w:tcPr>
            <w:tcW w:w="1134" w:type="dxa"/>
          </w:tcPr>
          <w:p w14:paraId="75DC23D4" w14:textId="3A7CCB87" w:rsidR="00164180" w:rsidRDefault="00164180"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2024-25</w:t>
            </w:r>
          </w:p>
        </w:tc>
      </w:tr>
      <w:tr w:rsidR="00A43C97" w:rsidRPr="000A2D4A" w14:paraId="0F4529CA" w14:textId="47FCBAE9" w:rsidTr="001E198F">
        <w:trPr>
          <w:cnfStyle w:val="000000100000" w:firstRow="0" w:lastRow="0" w:firstColumn="0" w:lastColumn="0" w:oddVBand="0" w:evenVBand="0" w:oddHBand="1" w:evenHBand="0" w:firstRowFirstColumn="0" w:firstRowLastColumn="0" w:lastRowFirstColumn="0" w:lastRowLastColumn="0"/>
        </w:trPr>
        <w:tc>
          <w:tcPr>
            <w:tcW w:w="1418" w:type="dxa"/>
            <w:tcBorders>
              <w:bottom w:val="single" w:sz="4" w:space="0" w:color="auto"/>
            </w:tcBorders>
            <w:vAlign w:val="top"/>
          </w:tcPr>
          <w:p w14:paraId="35CBB15B" w14:textId="4092AB8B" w:rsidR="00A43C97" w:rsidRPr="00757C89" w:rsidRDefault="00A43C97" w:rsidP="000A2D4A">
            <w:pPr>
              <w:tabs>
                <w:tab w:val="left" w:pos="1701"/>
              </w:tabs>
              <w:rPr>
                <w:rFonts w:eastAsia="Times New Roman" w:cs="Arial"/>
                <w:color w:val="000000" w:themeColor="text1"/>
                <w:sz w:val="20"/>
                <w:szCs w:val="20"/>
              </w:rPr>
            </w:pPr>
            <w:r w:rsidRPr="00757C89">
              <w:rPr>
                <w:rFonts w:eastAsia="Times New Roman" w:cs="Arial"/>
                <w:color w:val="000000"/>
                <w:sz w:val="20"/>
                <w:szCs w:val="20"/>
                <w:lang w:eastAsia="en-AU"/>
              </w:rPr>
              <w:t>Asset management  </w:t>
            </w:r>
          </w:p>
        </w:tc>
        <w:tc>
          <w:tcPr>
            <w:tcW w:w="6095" w:type="dxa"/>
            <w:tcBorders>
              <w:bottom w:val="single" w:sz="4" w:space="0" w:color="auto"/>
            </w:tcBorders>
            <w:vAlign w:val="top"/>
          </w:tcPr>
          <w:p w14:paraId="625FC4E0" w14:textId="5FF632C9" w:rsidR="00A43C97" w:rsidRPr="000A2D4A" w:rsidRDefault="00A43C97" w:rsidP="00B72C41">
            <w:pPr>
              <w:spacing w:before="40" w:after="40"/>
              <w:ind w:right="183"/>
              <w:jc w:val="both"/>
              <w:rPr>
                <w:rFonts w:cs="Arial"/>
                <w:bCs/>
                <w:color w:val="000000" w:themeColor="text1"/>
                <w:sz w:val="20"/>
                <w:szCs w:val="20"/>
              </w:rPr>
            </w:pPr>
            <w:r w:rsidRPr="00A43C97">
              <w:rPr>
                <w:rFonts w:eastAsia="Times New Roman" w:cs="Arial"/>
                <w:sz w:val="20"/>
                <w:szCs w:val="20"/>
                <w:lang w:eastAsia="en-AU"/>
              </w:rPr>
              <w:t>Contemporary asset management systems allowing better scheduling of works to avoid responsive maintenance. Better asset condition monitoring to support. Possible reduction in one staff member.  </w:t>
            </w:r>
          </w:p>
        </w:tc>
        <w:tc>
          <w:tcPr>
            <w:tcW w:w="1134" w:type="dxa"/>
            <w:tcBorders>
              <w:bottom w:val="single" w:sz="4" w:space="0" w:color="auto"/>
            </w:tcBorders>
          </w:tcPr>
          <w:p w14:paraId="0F10B6E5" w14:textId="3BF32294" w:rsidR="00A43C97" w:rsidRPr="000A2D4A" w:rsidRDefault="00A43C97" w:rsidP="00757C89">
            <w:pPr>
              <w:tabs>
                <w:tab w:val="left" w:pos="1701"/>
              </w:tabs>
              <w:jc w:val="center"/>
              <w:rPr>
                <w:rFonts w:eastAsia="Times New Roman" w:cs="Arial"/>
                <w:bCs/>
                <w:color w:val="000000" w:themeColor="text1"/>
                <w:sz w:val="20"/>
                <w:szCs w:val="20"/>
              </w:rPr>
            </w:pPr>
            <w:r w:rsidRPr="000A2D4A">
              <w:rPr>
                <w:rFonts w:eastAsia="Times New Roman" w:cs="Arial"/>
                <w:bCs/>
                <w:color w:val="000000" w:themeColor="text1"/>
                <w:sz w:val="20"/>
                <w:szCs w:val="20"/>
              </w:rPr>
              <w:t>$100K</w:t>
            </w:r>
          </w:p>
        </w:tc>
        <w:tc>
          <w:tcPr>
            <w:tcW w:w="1134" w:type="dxa"/>
            <w:tcBorders>
              <w:bottom w:val="single" w:sz="4" w:space="0" w:color="auto"/>
            </w:tcBorders>
          </w:tcPr>
          <w:p w14:paraId="33E2EFDF" w14:textId="5D5C2DF6" w:rsidR="001F3376" w:rsidRDefault="001F3376" w:rsidP="00757C89">
            <w:pPr>
              <w:tabs>
                <w:tab w:val="left" w:pos="1701"/>
              </w:tabs>
              <w:jc w:val="center"/>
              <w:rPr>
                <w:rFonts w:eastAsia="Times New Roman" w:cs="Arial"/>
                <w:bCs/>
                <w:color w:val="000000" w:themeColor="text1"/>
                <w:sz w:val="20"/>
                <w:szCs w:val="20"/>
              </w:rPr>
            </w:pPr>
            <w:r>
              <w:rPr>
                <w:rFonts w:eastAsia="Times New Roman" w:cs="Arial"/>
                <w:bCs/>
                <w:color w:val="000000" w:themeColor="text1"/>
                <w:sz w:val="20"/>
                <w:szCs w:val="20"/>
              </w:rPr>
              <w:t>2024-25</w:t>
            </w:r>
          </w:p>
        </w:tc>
      </w:tr>
    </w:tbl>
    <w:p w14:paraId="16E21A6C" w14:textId="718FD9ED" w:rsidR="00534AB2" w:rsidRPr="000D7378" w:rsidRDefault="00534AB2" w:rsidP="00BC7207">
      <w:pPr>
        <w:pStyle w:val="Heading2"/>
      </w:pPr>
      <w:r w:rsidRPr="000D7378">
        <w:t>Improved customer value</w:t>
      </w:r>
    </w:p>
    <w:p w14:paraId="313B58A2" w14:textId="4701DEFF" w:rsidR="00E065CA" w:rsidRDefault="00EC04A0" w:rsidP="001E1876">
      <w:pPr>
        <w:jc w:val="both"/>
      </w:pPr>
      <w:r>
        <w:t xml:space="preserve">We have worked closely with our customers throughout the development of the </w:t>
      </w:r>
      <w:r w:rsidR="00F641D9">
        <w:t xml:space="preserve">price submission to </w:t>
      </w:r>
      <w:r w:rsidR="00F97B74">
        <w:t>understand what they value and what is important to them, which has led to the development of our outcomes and performance measures (see</w:t>
      </w:r>
      <w:r w:rsidR="00D04542">
        <w:t xml:space="preserve"> Section</w:t>
      </w:r>
      <w:r w:rsidR="00F97B74">
        <w:t xml:space="preserve"> </w:t>
      </w:r>
      <w:r w:rsidR="00D04542">
        <w:fldChar w:fldCharType="begin"/>
      </w:r>
      <w:r w:rsidR="00D04542">
        <w:instrText xml:space="preserve"> REF _Ref113434936 \r \h </w:instrText>
      </w:r>
      <w:r w:rsidR="00D04542">
        <w:fldChar w:fldCharType="separate"/>
      </w:r>
      <w:r w:rsidR="008126A8">
        <w:t>6</w:t>
      </w:r>
      <w:r w:rsidR="00D04542">
        <w:fldChar w:fldCharType="end"/>
      </w:r>
      <w:r w:rsidR="00D04542">
        <w:t>).</w:t>
      </w:r>
    </w:p>
    <w:p w14:paraId="246920A8" w14:textId="5706F9DC" w:rsidR="005D2A1A" w:rsidRDefault="006E7CA1" w:rsidP="001E1876">
      <w:pPr>
        <w:jc w:val="both"/>
        <w:rPr>
          <w:rFonts w:cs="Arial"/>
          <w:i/>
          <w:color w:val="FF0000"/>
          <w:shd w:val="clear" w:color="auto" w:fill="FAF9F8"/>
        </w:rPr>
      </w:pPr>
      <w:r>
        <w:t xml:space="preserve">Through this price submission we are proposing ways to </w:t>
      </w:r>
      <w:r w:rsidR="00A273B5">
        <w:t>reduce our costs through</w:t>
      </w:r>
      <w:r w:rsidR="00C721CB">
        <w:t xml:space="preserve"> productivity savings</w:t>
      </w:r>
      <w:r w:rsidR="00F824FF">
        <w:t xml:space="preserve">. These </w:t>
      </w:r>
      <w:r w:rsidR="00A273B5">
        <w:t xml:space="preserve">efficiency savings are largely driven off the back of our </w:t>
      </w:r>
      <w:r w:rsidR="009541E2">
        <w:t>modernisation projects and improvements to our technology, which will enable us to continue to deliver what our customers value.</w:t>
      </w:r>
      <w:r w:rsidR="00A02C40">
        <w:t xml:space="preserve"> Section </w:t>
      </w:r>
      <w:r w:rsidR="00A02C40">
        <w:fldChar w:fldCharType="begin"/>
      </w:r>
      <w:r w:rsidR="00A02C40">
        <w:instrText xml:space="preserve"> REF _Ref113436412 \r \h </w:instrText>
      </w:r>
      <w:r w:rsidR="00A02C40">
        <w:fldChar w:fldCharType="separate"/>
      </w:r>
      <w:r w:rsidR="008126A8">
        <w:t>6</w:t>
      </w:r>
      <w:r w:rsidR="00A02C40">
        <w:fldChar w:fldCharType="end"/>
      </w:r>
      <w:r w:rsidR="00A02C40">
        <w:t xml:space="preserve"> provides further details on our outcomes and how they will be achieved</w:t>
      </w:r>
      <w:r w:rsidR="00FF41CC">
        <w:t>,</w:t>
      </w:r>
      <w:r w:rsidR="00A02C40">
        <w:t xml:space="preserve"> and the costs and savings associated with each.</w:t>
      </w:r>
      <w:r w:rsidR="005D2A1A">
        <w:rPr>
          <w:rFonts w:cs="Arial"/>
          <w:i/>
          <w:color w:val="FF0000"/>
          <w:shd w:val="clear" w:color="auto" w:fill="FAF9F8"/>
        </w:rPr>
        <w:br w:type="page"/>
      </w:r>
    </w:p>
    <w:p w14:paraId="51961098" w14:textId="5C9C6A58" w:rsidR="00C27F82" w:rsidRPr="00192F41" w:rsidRDefault="00B53D32" w:rsidP="00AE2AD9">
      <w:pPr>
        <w:pStyle w:val="NumberedHeading3"/>
        <w:rPr>
          <w:rStyle w:val="IntenseEmphasis"/>
          <w:rFonts w:cs="Arial"/>
          <w:i w:val="0"/>
          <w:iCs w:val="0"/>
          <w:color w:val="002B5C" w:themeColor="text2"/>
          <w:sz w:val="52"/>
        </w:rPr>
      </w:pPr>
      <w:bookmarkStart w:id="61" w:name="_Toc115263682"/>
      <w:r w:rsidRPr="00192F41">
        <w:rPr>
          <w:rStyle w:val="IntenseEmphasis"/>
          <w:rFonts w:cs="Arial"/>
          <w:i w:val="0"/>
          <w:iCs w:val="0"/>
          <w:color w:val="002B5C" w:themeColor="text2"/>
          <w:sz w:val="52"/>
        </w:rPr>
        <w:t>C</w:t>
      </w:r>
      <w:r w:rsidR="00C27F82" w:rsidRPr="00192F41">
        <w:rPr>
          <w:rStyle w:val="IntenseEmphasis"/>
          <w:rFonts w:cs="Arial"/>
          <w:i w:val="0"/>
          <w:iCs w:val="0"/>
          <w:color w:val="002B5C" w:themeColor="text2"/>
          <w:sz w:val="52"/>
        </w:rPr>
        <w:t>apital expenditure</w:t>
      </w:r>
      <w:bookmarkEnd w:id="61"/>
    </w:p>
    <w:tbl>
      <w:tblPr>
        <w:tblStyle w:val="ReportTable-NavyColumns"/>
        <w:tblW w:w="9634" w:type="dxa"/>
        <w:tblBorders>
          <w:insideH w:val="none" w:sz="0" w:space="0" w:color="auto"/>
        </w:tblBorders>
        <w:shd w:val="clear" w:color="auto" w:fill="D9D9D9" w:themeFill="background1" w:themeFillShade="D9"/>
        <w:tblLook w:val="04A0" w:firstRow="1" w:lastRow="0" w:firstColumn="1" w:lastColumn="0" w:noHBand="0" w:noVBand="1"/>
      </w:tblPr>
      <w:tblGrid>
        <w:gridCol w:w="9634"/>
      </w:tblGrid>
      <w:tr w:rsidR="00B53D32" w:rsidRPr="00192F41" w14:paraId="382BD5B9" w14:textId="77777777" w:rsidTr="00CB0E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shd w:val="clear" w:color="auto" w:fill="F2F2F2" w:themeFill="background1" w:themeFillShade="F2"/>
          </w:tcPr>
          <w:p w14:paraId="4578587E" w14:textId="4D16F448" w:rsidR="00B53D32" w:rsidRPr="00192F41" w:rsidRDefault="00BC7207" w:rsidP="005F1353">
            <w:pPr>
              <w:pStyle w:val="Heading2"/>
              <w:rPr>
                <w:rStyle w:val="IntenseEmphasis"/>
                <w:rFonts w:cs="Arial"/>
                <w:b/>
                <w:bCs/>
                <w:i w:val="0"/>
                <w:iCs w:val="0"/>
                <w:sz w:val="36"/>
              </w:rPr>
            </w:pPr>
            <w:r w:rsidRPr="00192F41">
              <w:rPr>
                <w:rStyle w:val="IntenseEmphasis"/>
                <w:rFonts w:cs="Arial"/>
                <w:b/>
                <w:bCs/>
                <w:i w:val="0"/>
                <w:iCs w:val="0"/>
                <w:sz w:val="36"/>
              </w:rPr>
              <w:t>Key messages</w:t>
            </w:r>
          </w:p>
          <w:p w14:paraId="2C4BE076" w14:textId="05C9590D" w:rsidR="00064416" w:rsidRDefault="00064416" w:rsidP="007630BF">
            <w:pPr>
              <w:ind w:left="301"/>
            </w:pPr>
            <w:r w:rsidRPr="001E1876">
              <w:rPr>
                <w:b w:val="0"/>
                <w:color w:val="auto"/>
              </w:rPr>
              <w:t>SRW continues a track record of prudent and efficient expenditure.</w:t>
            </w:r>
          </w:p>
          <w:p w14:paraId="007FD668" w14:textId="77777777" w:rsidR="007630BF" w:rsidRPr="001E1876" w:rsidRDefault="007630BF" w:rsidP="007630BF">
            <w:pPr>
              <w:ind w:left="301"/>
              <w:rPr>
                <w:b w:val="0"/>
                <w:bCs/>
                <w:color w:val="auto"/>
              </w:rPr>
            </w:pPr>
          </w:p>
          <w:p w14:paraId="1D51EEA0" w14:textId="0AAD2723" w:rsidR="007D23E2" w:rsidRPr="00710694" w:rsidRDefault="007D23E2" w:rsidP="001E1876">
            <w:pPr>
              <w:pStyle w:val="Bulletpointparagraph"/>
              <w:ind w:right="402"/>
              <w:jc w:val="both"/>
              <w:rPr>
                <w:rFonts w:cs="Arial"/>
                <w:b w:val="0"/>
                <w:color w:val="000000" w:themeColor="text1"/>
              </w:rPr>
            </w:pPr>
            <w:r w:rsidRPr="00710694">
              <w:rPr>
                <w:rFonts w:cs="Arial"/>
                <w:b w:val="0"/>
                <w:color w:val="000000" w:themeColor="text1"/>
              </w:rPr>
              <w:t>Based on our obligations (</w:t>
            </w:r>
            <w:r w:rsidR="00850077">
              <w:rPr>
                <w:rFonts w:cs="Arial"/>
                <w:b w:val="0"/>
                <w:color w:val="000000" w:themeColor="text1"/>
              </w:rPr>
              <w:t>c</w:t>
            </w:r>
            <w:r w:rsidRPr="00710694">
              <w:rPr>
                <w:rFonts w:cs="Arial"/>
                <w:b w:val="0"/>
                <w:color w:val="000000" w:themeColor="text1"/>
              </w:rPr>
              <w:t>ompliance and committed projects), customer feedback an</w:t>
            </w:r>
            <w:r w:rsidR="00AD74F0" w:rsidRPr="00710694">
              <w:rPr>
                <w:rFonts w:cs="Arial"/>
                <w:b w:val="0"/>
                <w:color w:val="000000" w:themeColor="text1"/>
              </w:rPr>
              <w:t>d</w:t>
            </w:r>
            <w:r w:rsidRPr="00710694">
              <w:rPr>
                <w:rFonts w:cs="Arial"/>
                <w:b w:val="0"/>
                <w:color w:val="000000" w:themeColor="text1"/>
              </w:rPr>
              <w:t xml:space="preserve"> risks we plan to invest $</w:t>
            </w:r>
            <w:r w:rsidR="00BA1DD5" w:rsidRPr="00710694">
              <w:rPr>
                <w:rFonts w:cs="Arial"/>
                <w:b w:val="0"/>
                <w:color w:val="000000" w:themeColor="text1"/>
              </w:rPr>
              <w:t>1</w:t>
            </w:r>
            <w:r w:rsidR="00C5005E" w:rsidRPr="00710694">
              <w:rPr>
                <w:rFonts w:cs="Arial"/>
                <w:b w:val="0"/>
                <w:color w:val="000000" w:themeColor="text1"/>
              </w:rPr>
              <w:t>25</w:t>
            </w:r>
            <w:r w:rsidR="00850077">
              <w:rPr>
                <w:rFonts w:cs="Arial"/>
                <w:b w:val="0"/>
                <w:color w:val="000000" w:themeColor="text1"/>
              </w:rPr>
              <w:t xml:space="preserve"> </w:t>
            </w:r>
            <w:r w:rsidR="00F91293" w:rsidRPr="00710694">
              <w:rPr>
                <w:rFonts w:cs="Arial"/>
                <w:b w:val="0"/>
                <w:color w:val="000000" w:themeColor="text1"/>
              </w:rPr>
              <w:t>m</w:t>
            </w:r>
            <w:r w:rsidR="00850077">
              <w:rPr>
                <w:rFonts w:cs="Arial"/>
                <w:b w:val="0"/>
                <w:color w:val="000000" w:themeColor="text1"/>
              </w:rPr>
              <w:t>illion</w:t>
            </w:r>
            <w:r w:rsidRPr="00710694">
              <w:rPr>
                <w:rFonts w:cs="Arial"/>
                <w:b w:val="0"/>
                <w:color w:val="000000" w:themeColor="text1"/>
              </w:rPr>
              <w:t xml:space="preserve"> in capital </w:t>
            </w:r>
            <w:r w:rsidR="0050756B" w:rsidRPr="00710694">
              <w:rPr>
                <w:rFonts w:cs="Arial"/>
                <w:b w:val="0"/>
                <w:color w:val="000000" w:themeColor="text1"/>
              </w:rPr>
              <w:t xml:space="preserve">projects, </w:t>
            </w:r>
            <w:r w:rsidR="000B22E4" w:rsidRPr="00710694">
              <w:rPr>
                <w:rFonts w:cs="Arial"/>
                <w:b w:val="0"/>
                <w:color w:val="000000" w:themeColor="text1"/>
              </w:rPr>
              <w:t>with</w:t>
            </w:r>
            <w:r w:rsidR="00667E18" w:rsidRPr="00710694">
              <w:rPr>
                <w:rFonts w:cs="Arial"/>
                <w:b w:val="0"/>
                <w:color w:val="000000" w:themeColor="text1"/>
              </w:rPr>
              <w:t xml:space="preserve"> $5</w:t>
            </w:r>
            <w:r w:rsidR="00EA7351" w:rsidRPr="00710694">
              <w:rPr>
                <w:rFonts w:cs="Arial"/>
                <w:b w:val="0"/>
                <w:color w:val="000000" w:themeColor="text1"/>
              </w:rPr>
              <w:t>6</w:t>
            </w:r>
            <w:r w:rsidR="00850077">
              <w:rPr>
                <w:rFonts w:cs="Arial"/>
                <w:b w:val="0"/>
                <w:color w:val="000000" w:themeColor="text1"/>
              </w:rPr>
              <w:t xml:space="preserve"> </w:t>
            </w:r>
            <w:r w:rsidR="00F91293" w:rsidRPr="00710694">
              <w:rPr>
                <w:rFonts w:cs="Arial"/>
                <w:b w:val="0"/>
                <w:color w:val="000000" w:themeColor="text1"/>
              </w:rPr>
              <w:t>m</w:t>
            </w:r>
            <w:r w:rsidR="00850077">
              <w:rPr>
                <w:rFonts w:cs="Arial"/>
                <w:b w:val="0"/>
                <w:color w:val="000000" w:themeColor="text1"/>
              </w:rPr>
              <w:t>illion</w:t>
            </w:r>
            <w:r w:rsidR="00667E18" w:rsidRPr="00710694">
              <w:rPr>
                <w:rFonts w:cs="Arial"/>
                <w:b w:val="0"/>
                <w:color w:val="000000" w:themeColor="text1"/>
              </w:rPr>
              <w:t xml:space="preserve"> (or </w:t>
            </w:r>
            <w:r w:rsidR="002A2FDD" w:rsidRPr="00710694">
              <w:rPr>
                <w:rFonts w:cs="Arial"/>
                <w:b w:val="0"/>
                <w:color w:val="000000" w:themeColor="text1"/>
              </w:rPr>
              <w:t>4</w:t>
            </w:r>
            <w:r w:rsidR="0006117B" w:rsidRPr="00710694">
              <w:rPr>
                <w:rFonts w:cs="Arial"/>
                <w:b w:val="0"/>
                <w:color w:val="000000" w:themeColor="text1"/>
              </w:rPr>
              <w:t>5</w:t>
            </w:r>
            <w:r w:rsidR="00667E18" w:rsidRPr="00710694">
              <w:rPr>
                <w:rFonts w:cs="Arial"/>
                <w:b w:val="0"/>
                <w:color w:val="000000" w:themeColor="text1"/>
              </w:rPr>
              <w:t>%) investe</w:t>
            </w:r>
            <w:r w:rsidR="003C0C12" w:rsidRPr="00710694">
              <w:rPr>
                <w:rFonts w:cs="Arial"/>
                <w:b w:val="0"/>
                <w:color w:val="000000" w:themeColor="text1"/>
              </w:rPr>
              <w:t xml:space="preserve">d </w:t>
            </w:r>
            <w:r w:rsidR="00667E18" w:rsidRPr="00710694">
              <w:rPr>
                <w:rFonts w:cs="Arial"/>
                <w:b w:val="0"/>
                <w:color w:val="000000" w:themeColor="text1"/>
              </w:rPr>
              <w:t>in our top 10 projects</w:t>
            </w:r>
            <w:r w:rsidR="003C0C12" w:rsidRPr="00710694">
              <w:rPr>
                <w:rFonts w:cs="Arial"/>
                <w:b w:val="0"/>
                <w:color w:val="000000" w:themeColor="text1"/>
              </w:rPr>
              <w:t xml:space="preserve"> </w:t>
            </w:r>
            <w:r w:rsidR="007F54A7" w:rsidRPr="00710694">
              <w:rPr>
                <w:rFonts w:cs="Arial"/>
                <w:b w:val="0"/>
                <w:color w:val="000000" w:themeColor="text1"/>
              </w:rPr>
              <w:t>including</w:t>
            </w:r>
            <w:r w:rsidR="003C0C12" w:rsidRPr="00710694">
              <w:rPr>
                <w:rFonts w:cs="Arial"/>
                <w:b w:val="0"/>
                <w:color w:val="000000" w:themeColor="text1"/>
              </w:rPr>
              <w:t xml:space="preserve"> $</w:t>
            </w:r>
            <w:r w:rsidR="001F08F0" w:rsidRPr="00710694">
              <w:rPr>
                <w:rFonts w:cs="Arial"/>
                <w:b w:val="0"/>
                <w:color w:val="000000" w:themeColor="text1"/>
              </w:rPr>
              <w:t>37</w:t>
            </w:r>
            <w:r w:rsidR="00850077">
              <w:rPr>
                <w:rFonts w:cs="Arial"/>
                <w:b w:val="0"/>
                <w:color w:val="000000" w:themeColor="text1"/>
              </w:rPr>
              <w:t xml:space="preserve"> </w:t>
            </w:r>
            <w:r w:rsidR="00F91293" w:rsidRPr="00710694">
              <w:rPr>
                <w:rFonts w:cs="Arial"/>
                <w:b w:val="0"/>
                <w:color w:val="000000" w:themeColor="text1"/>
              </w:rPr>
              <w:t>m</w:t>
            </w:r>
            <w:r w:rsidR="00850077">
              <w:rPr>
                <w:rFonts w:cs="Arial"/>
                <w:b w:val="0"/>
                <w:color w:val="000000" w:themeColor="text1"/>
              </w:rPr>
              <w:t>illion</w:t>
            </w:r>
            <w:r w:rsidR="003C0C12" w:rsidRPr="00710694">
              <w:rPr>
                <w:rFonts w:cs="Arial"/>
                <w:b w:val="0"/>
                <w:color w:val="000000" w:themeColor="text1"/>
              </w:rPr>
              <w:t xml:space="preserve"> to be spent on completing two modernisation projects</w:t>
            </w:r>
            <w:r w:rsidRPr="00710694">
              <w:rPr>
                <w:rFonts w:cs="Arial"/>
                <w:b w:val="0"/>
                <w:color w:val="000000" w:themeColor="text1"/>
              </w:rPr>
              <w:t>.</w:t>
            </w:r>
          </w:p>
          <w:p w14:paraId="60A9C102" w14:textId="36B55D25" w:rsidR="00636420" w:rsidRPr="00710694" w:rsidRDefault="00D62481" w:rsidP="001E1876">
            <w:pPr>
              <w:pStyle w:val="Bulletpointparagraph"/>
              <w:ind w:right="402"/>
              <w:jc w:val="both"/>
              <w:rPr>
                <w:rFonts w:cs="Arial"/>
                <w:color w:val="000000" w:themeColor="text1"/>
              </w:rPr>
            </w:pPr>
            <w:r w:rsidRPr="00710694">
              <w:rPr>
                <w:rFonts w:cs="Arial"/>
                <w:b w:val="0"/>
                <w:color w:val="000000" w:themeColor="text1"/>
              </w:rPr>
              <w:t xml:space="preserve">CAPEX is based on P50 estimates with </w:t>
            </w:r>
            <w:r w:rsidR="00D252E3" w:rsidRPr="00710694">
              <w:rPr>
                <w:rFonts w:cs="Arial"/>
                <w:b w:val="0"/>
                <w:color w:val="000000" w:themeColor="text1"/>
              </w:rPr>
              <w:t>r</w:t>
            </w:r>
            <w:r w:rsidR="007D23E2" w:rsidRPr="00710694">
              <w:rPr>
                <w:rFonts w:cs="Arial"/>
                <w:b w:val="0"/>
                <w:color w:val="000000" w:themeColor="text1"/>
              </w:rPr>
              <w:t xml:space="preserve">isks of project delays and cost overruns </w:t>
            </w:r>
            <w:r w:rsidR="0E5DF020" w:rsidRPr="6B20A4EE">
              <w:rPr>
                <w:rFonts w:cs="Arial"/>
                <w:b w:val="0"/>
                <w:color w:val="000000" w:themeColor="text1"/>
              </w:rPr>
              <w:t>to</w:t>
            </w:r>
            <w:r w:rsidR="007D23E2" w:rsidRPr="00710694">
              <w:rPr>
                <w:rFonts w:cs="Arial"/>
                <w:b w:val="0"/>
                <w:color w:val="000000" w:themeColor="text1"/>
              </w:rPr>
              <w:t xml:space="preserve"> be managed through contractual agreements with service providers.</w:t>
            </w:r>
          </w:p>
          <w:p w14:paraId="529CCDDA" w14:textId="3B8BFDAA" w:rsidR="00555A7C" w:rsidRPr="00710694" w:rsidRDefault="10EF3706" w:rsidP="001E1876">
            <w:pPr>
              <w:pStyle w:val="Bulletpointparagraph"/>
              <w:ind w:right="402"/>
              <w:jc w:val="both"/>
              <w:rPr>
                <w:rFonts w:cs="Arial"/>
                <w:b w:val="0"/>
                <w:color w:val="000000" w:themeColor="text1"/>
              </w:rPr>
            </w:pPr>
            <w:r w:rsidRPr="6B20A4EE">
              <w:rPr>
                <w:rFonts w:cs="Arial"/>
                <w:b w:val="0"/>
                <w:color w:val="000000" w:themeColor="text1"/>
              </w:rPr>
              <w:t xml:space="preserve">Several </w:t>
            </w:r>
            <w:r w:rsidR="7CC943A1" w:rsidRPr="6B20A4EE">
              <w:rPr>
                <w:rFonts w:cs="Arial"/>
                <w:b w:val="0"/>
                <w:color w:val="000000" w:themeColor="text1"/>
              </w:rPr>
              <w:t>f</w:t>
            </w:r>
            <w:r w:rsidR="773F0789" w:rsidRPr="6B20A4EE">
              <w:rPr>
                <w:rFonts w:cs="Arial"/>
                <w:b w:val="0"/>
                <w:color w:val="000000" w:themeColor="text1"/>
              </w:rPr>
              <w:t>orecast</w:t>
            </w:r>
            <w:r w:rsidR="007D23E2" w:rsidRPr="00710694">
              <w:rPr>
                <w:rFonts w:cs="Arial"/>
                <w:b w:val="0"/>
                <w:color w:val="000000" w:themeColor="text1"/>
              </w:rPr>
              <w:t xml:space="preserve"> capital expenditure </w:t>
            </w:r>
            <w:r w:rsidR="15060A3D" w:rsidRPr="6B20A4EE">
              <w:rPr>
                <w:rFonts w:cs="Arial"/>
                <w:b w:val="0"/>
                <w:color w:val="000000" w:themeColor="text1"/>
              </w:rPr>
              <w:t>projects also provide opportunity for operating cost effic</w:t>
            </w:r>
            <w:r w:rsidR="57AFB452" w:rsidRPr="6B20A4EE">
              <w:rPr>
                <w:rFonts w:cs="Arial"/>
                <w:b w:val="0"/>
                <w:color w:val="000000" w:themeColor="text1"/>
              </w:rPr>
              <w:t>iencies and productivity benefits</w:t>
            </w:r>
            <w:r w:rsidR="00555A7C" w:rsidRPr="00710694">
              <w:rPr>
                <w:rFonts w:cs="Arial"/>
                <w:b w:val="0"/>
                <w:color w:val="000000" w:themeColor="text1"/>
              </w:rPr>
              <w:t>.</w:t>
            </w:r>
          </w:p>
          <w:p w14:paraId="5AE3C88D" w14:textId="0DC6FA55" w:rsidR="00B53D32" w:rsidRPr="00710694" w:rsidRDefault="007D23E2" w:rsidP="001E1876">
            <w:pPr>
              <w:pStyle w:val="Bulletpointparagraph"/>
              <w:ind w:right="402"/>
              <w:jc w:val="both"/>
              <w:rPr>
                <w:rFonts w:cs="Arial"/>
                <w:b w:val="0"/>
              </w:rPr>
            </w:pPr>
            <w:r w:rsidRPr="00710694">
              <w:rPr>
                <w:rFonts w:cs="Arial"/>
                <w:b w:val="0"/>
                <w:color w:val="000000" w:themeColor="text1"/>
              </w:rPr>
              <w:t>Our prudent expenditure results in 8</w:t>
            </w:r>
            <w:r w:rsidR="00637565" w:rsidRPr="00710694">
              <w:rPr>
                <w:rFonts w:cs="Arial"/>
                <w:b w:val="0"/>
                <w:color w:val="000000" w:themeColor="text1"/>
              </w:rPr>
              <w:t>6</w:t>
            </w:r>
            <w:r w:rsidR="00FC68E1" w:rsidRPr="00710694">
              <w:rPr>
                <w:rFonts w:cs="Arial"/>
                <w:b w:val="0"/>
                <w:color w:val="000000" w:themeColor="text1"/>
              </w:rPr>
              <w:t>%</w:t>
            </w:r>
            <w:r w:rsidRPr="00710694">
              <w:rPr>
                <w:rFonts w:cs="Arial"/>
                <w:b w:val="0"/>
                <w:color w:val="000000" w:themeColor="text1"/>
              </w:rPr>
              <w:t xml:space="preserve"> of customers price’s capped at CPI with the remaining experiencing increase of between 1</w:t>
            </w:r>
            <w:r w:rsidR="005230A4" w:rsidRPr="00710694">
              <w:rPr>
                <w:rFonts w:cs="Arial"/>
                <w:b w:val="0"/>
                <w:color w:val="000000" w:themeColor="text1"/>
              </w:rPr>
              <w:t>%</w:t>
            </w:r>
            <w:r w:rsidRPr="00710694">
              <w:rPr>
                <w:rFonts w:cs="Arial"/>
                <w:b w:val="0"/>
                <w:color w:val="000000" w:themeColor="text1"/>
              </w:rPr>
              <w:t xml:space="preserve"> and 1.5% plus CPI.</w:t>
            </w:r>
          </w:p>
          <w:p w14:paraId="30AB56C0" w14:textId="635F5243" w:rsidR="00B53D32" w:rsidRPr="00192F41" w:rsidRDefault="00B53D32" w:rsidP="00B31E66">
            <w:pPr>
              <w:rPr>
                <w:rFonts w:cs="Arial"/>
                <w:b w:val="0"/>
              </w:rPr>
            </w:pPr>
          </w:p>
        </w:tc>
      </w:tr>
    </w:tbl>
    <w:p w14:paraId="582A07B4" w14:textId="77777777" w:rsidR="00F51D7E" w:rsidRPr="00192F41" w:rsidRDefault="00F51D7E" w:rsidP="00681840">
      <w:pPr>
        <w:rPr>
          <w:rFonts w:cs="Arial"/>
        </w:rPr>
      </w:pPr>
    </w:p>
    <w:p w14:paraId="3A9FAE23" w14:textId="3F007D12" w:rsidR="00432820" w:rsidRDefault="00432820" w:rsidP="00825A63">
      <w:pPr>
        <w:pStyle w:val="Heading2"/>
        <w:rPr>
          <w:rStyle w:val="IntenseEmphasis"/>
          <w:rFonts w:cs="Arial"/>
          <w:i w:val="0"/>
          <w:iCs w:val="0"/>
          <w:sz w:val="36"/>
        </w:rPr>
      </w:pPr>
      <w:r w:rsidRPr="00432820">
        <w:rPr>
          <w:rStyle w:val="IntenseEmphasis"/>
          <w:rFonts w:cs="Arial"/>
          <w:i w:val="0"/>
          <w:iCs w:val="0"/>
          <w:sz w:val="36"/>
        </w:rPr>
        <w:t xml:space="preserve">Forecast </w:t>
      </w:r>
      <w:r w:rsidR="00A02B67">
        <w:rPr>
          <w:rStyle w:val="IntenseEmphasis"/>
          <w:rFonts w:cs="Arial"/>
          <w:i w:val="0"/>
          <w:iCs w:val="0"/>
          <w:sz w:val="36"/>
        </w:rPr>
        <w:t>s</w:t>
      </w:r>
      <w:r w:rsidRPr="00432820">
        <w:rPr>
          <w:rStyle w:val="IntenseEmphasis"/>
          <w:rFonts w:cs="Arial"/>
          <w:i w:val="0"/>
          <w:iCs w:val="0"/>
          <w:sz w:val="36"/>
        </w:rPr>
        <w:t>ummary</w:t>
      </w:r>
    </w:p>
    <w:p w14:paraId="28BA135A" w14:textId="0C479BE8" w:rsidR="00825075" w:rsidRDefault="006C5635" w:rsidP="00FF41CC">
      <w:pPr>
        <w:jc w:val="both"/>
      </w:pPr>
      <w:r>
        <w:t>We plan to invest $125</w:t>
      </w:r>
      <w:r w:rsidR="00E039F2">
        <w:t xml:space="preserve"> </w:t>
      </w:r>
      <w:r>
        <w:t>m</w:t>
      </w:r>
      <w:r w:rsidR="00E039F2">
        <w:t>illion</w:t>
      </w:r>
      <w:r>
        <w:t xml:space="preserve"> in capital works over the 2023-28 regulatory period. The key drivers of this investment are renewal and compliance. This expenditure includes $19</w:t>
      </w:r>
      <w:r w:rsidR="00E039F2">
        <w:t xml:space="preserve"> </w:t>
      </w:r>
      <w:r>
        <w:t>m</w:t>
      </w:r>
      <w:r w:rsidR="00E039F2">
        <w:t>illion</w:t>
      </w:r>
      <w:r>
        <w:t xml:space="preserve"> of grant funding from government and $13</w:t>
      </w:r>
      <w:r w:rsidR="00E039F2">
        <w:t xml:space="preserve"> million</w:t>
      </w:r>
      <w:r>
        <w:t xml:space="preserve"> of funding provided by the sale of water entitlements to customers.</w:t>
      </w:r>
      <w:r w:rsidR="70B8E7C0">
        <w:t xml:space="preserve"> Therefore, only $93 million is sought to be recovered from customers through the regulatory asset base.</w:t>
      </w:r>
    </w:p>
    <w:p w14:paraId="62A17F2D" w14:textId="0939394D" w:rsidR="006C5635" w:rsidRDefault="00825075" w:rsidP="00FF41CC">
      <w:pPr>
        <w:jc w:val="both"/>
      </w:pPr>
      <w:r>
        <w:t>This proposed capital expenditure represents a minor increase of $11</w:t>
      </w:r>
      <w:r w:rsidR="00E039F2">
        <w:t xml:space="preserve"> </w:t>
      </w:r>
      <w:r>
        <w:t>m</w:t>
      </w:r>
      <w:r w:rsidR="00E039F2">
        <w:t>illion</w:t>
      </w:r>
      <w:r>
        <w:t xml:space="preserve"> on the 2018-23 price submission benchmark allowance, but a forecast 24% reduction on the projected </w:t>
      </w:r>
      <w:r w:rsidR="4E47F79E">
        <w:t>actual</w:t>
      </w:r>
      <w:r w:rsidR="703093A6">
        <w:t xml:space="preserve"> </w:t>
      </w:r>
      <w:r>
        <w:t xml:space="preserve">capital expenditure for the 2018-23 period. The 2018-23 price submission benchmark allowance </w:t>
      </w:r>
      <w:r w:rsidR="002C657F" w:rsidRPr="001D22E6">
        <w:rPr>
          <w:rStyle w:val="IntenseEmphasis"/>
          <w:rFonts w:cs="Arial"/>
          <w:i w:val="0"/>
          <w:iCs w:val="0"/>
          <w:color w:val="auto"/>
        </w:rPr>
        <w:t>included $</w:t>
      </w:r>
      <w:r w:rsidR="65C943DF" w:rsidRPr="6B20A4EE">
        <w:rPr>
          <w:rStyle w:val="IntenseEmphasis"/>
          <w:rFonts w:cs="Arial"/>
          <w:i w:val="0"/>
          <w:iCs w:val="0"/>
          <w:color w:val="auto"/>
        </w:rPr>
        <w:t>1</w:t>
      </w:r>
      <w:r w:rsidR="67A90FBF" w:rsidRPr="6B20A4EE">
        <w:rPr>
          <w:rStyle w:val="IntenseEmphasis"/>
          <w:rFonts w:cs="Arial"/>
          <w:i w:val="0"/>
          <w:iCs w:val="0"/>
          <w:color w:val="auto"/>
        </w:rPr>
        <w:t>0.6</w:t>
      </w:r>
      <w:r w:rsidR="005A7529">
        <w:rPr>
          <w:rStyle w:val="IntenseEmphasis"/>
          <w:rFonts w:cs="Arial"/>
          <w:i w:val="0"/>
          <w:iCs w:val="0"/>
          <w:color w:val="auto"/>
        </w:rPr>
        <w:t xml:space="preserve"> </w:t>
      </w:r>
      <w:r w:rsidR="002C657F" w:rsidRPr="001D22E6">
        <w:rPr>
          <w:rStyle w:val="IntenseEmphasis"/>
          <w:rFonts w:cs="Arial"/>
          <w:i w:val="0"/>
          <w:iCs w:val="0"/>
          <w:color w:val="auto"/>
        </w:rPr>
        <w:t>m</w:t>
      </w:r>
      <w:r w:rsidR="005A7529">
        <w:rPr>
          <w:rStyle w:val="IntenseEmphasis"/>
          <w:rFonts w:cs="Arial"/>
          <w:i w:val="0"/>
          <w:iCs w:val="0"/>
          <w:color w:val="auto"/>
        </w:rPr>
        <w:t>illion</w:t>
      </w:r>
      <w:r w:rsidR="002C657F" w:rsidRPr="001D22E6">
        <w:rPr>
          <w:rStyle w:val="IntenseEmphasis"/>
          <w:rFonts w:cs="Arial"/>
          <w:i w:val="0"/>
          <w:iCs w:val="0"/>
          <w:color w:val="auto"/>
        </w:rPr>
        <w:t xml:space="preserve"> towards the $62</w:t>
      </w:r>
      <w:r w:rsidR="005A7529">
        <w:rPr>
          <w:rStyle w:val="IntenseEmphasis"/>
          <w:rFonts w:cs="Arial"/>
          <w:i w:val="0"/>
          <w:iCs w:val="0"/>
          <w:color w:val="auto"/>
        </w:rPr>
        <w:t xml:space="preserve"> </w:t>
      </w:r>
      <w:r w:rsidR="002C657F" w:rsidRPr="001D22E6">
        <w:rPr>
          <w:rStyle w:val="IntenseEmphasis"/>
          <w:rFonts w:cs="Arial"/>
          <w:i w:val="0"/>
          <w:iCs w:val="0"/>
          <w:color w:val="auto"/>
        </w:rPr>
        <w:t>m</w:t>
      </w:r>
      <w:r w:rsidR="005A7529">
        <w:rPr>
          <w:rStyle w:val="IntenseEmphasis"/>
          <w:rFonts w:cs="Arial"/>
          <w:i w:val="0"/>
          <w:iCs w:val="0"/>
          <w:color w:val="auto"/>
        </w:rPr>
        <w:t>illion</w:t>
      </w:r>
      <w:r w:rsidR="002C657F" w:rsidRPr="001D22E6">
        <w:rPr>
          <w:rStyle w:val="IntenseEmphasis"/>
          <w:rFonts w:cs="Arial"/>
          <w:i w:val="0"/>
          <w:iCs w:val="0"/>
          <w:color w:val="auto"/>
        </w:rPr>
        <w:t xml:space="preserve"> MID2030 Phase 2 project (as agreed with the Macalister Customer Consultative Committee), while project approvals and funding arrangements were sought and finalised. This approach was adopted to provide price stability, by avoiding the likelihood of otherwise reducing prices in 2018-23 regulatory period or having a steeper increase in the future when plans for the final stage of modernisation were finalised. The project commenced upon receipt of $41</w:t>
      </w:r>
      <w:r w:rsidR="008C4301">
        <w:rPr>
          <w:rStyle w:val="IntenseEmphasis"/>
          <w:rFonts w:cs="Arial"/>
          <w:i w:val="0"/>
          <w:iCs w:val="0"/>
          <w:color w:val="auto"/>
        </w:rPr>
        <w:t xml:space="preserve"> </w:t>
      </w:r>
      <w:r w:rsidR="002C657F" w:rsidRPr="001D22E6">
        <w:rPr>
          <w:rStyle w:val="IntenseEmphasis"/>
          <w:rFonts w:cs="Arial"/>
          <w:i w:val="0"/>
          <w:iCs w:val="0"/>
          <w:color w:val="auto"/>
        </w:rPr>
        <w:t>m</w:t>
      </w:r>
      <w:r w:rsidR="008C4301">
        <w:rPr>
          <w:rStyle w:val="IntenseEmphasis"/>
          <w:rFonts w:cs="Arial"/>
          <w:i w:val="0"/>
          <w:iCs w:val="0"/>
          <w:color w:val="auto"/>
        </w:rPr>
        <w:t>illion</w:t>
      </w:r>
      <w:r w:rsidR="002C657F" w:rsidRPr="001D22E6">
        <w:rPr>
          <w:rStyle w:val="IntenseEmphasis"/>
          <w:rFonts w:cs="Arial"/>
          <w:i w:val="0"/>
          <w:iCs w:val="0"/>
          <w:color w:val="auto"/>
        </w:rPr>
        <w:t xml:space="preserve"> of external grant funding from the state and federal governments in FY20 and $39</w:t>
      </w:r>
      <w:r w:rsidR="008C4301">
        <w:rPr>
          <w:rStyle w:val="IntenseEmphasis"/>
          <w:rFonts w:cs="Arial"/>
          <w:i w:val="0"/>
          <w:iCs w:val="0"/>
          <w:color w:val="auto"/>
        </w:rPr>
        <w:t xml:space="preserve"> </w:t>
      </w:r>
      <w:r w:rsidR="002C657F" w:rsidRPr="001D22E6">
        <w:rPr>
          <w:rStyle w:val="IntenseEmphasis"/>
          <w:rFonts w:cs="Arial"/>
          <w:i w:val="0"/>
          <w:iCs w:val="0"/>
          <w:color w:val="auto"/>
        </w:rPr>
        <w:t>m</w:t>
      </w:r>
      <w:r w:rsidR="008C4301">
        <w:rPr>
          <w:rStyle w:val="IntenseEmphasis"/>
          <w:rFonts w:cs="Arial"/>
          <w:i w:val="0"/>
          <w:iCs w:val="0"/>
          <w:color w:val="auto"/>
        </w:rPr>
        <w:t>illion</w:t>
      </w:r>
      <w:r w:rsidR="002C657F" w:rsidRPr="001D22E6">
        <w:rPr>
          <w:rStyle w:val="IntenseEmphasis"/>
          <w:rFonts w:cs="Arial"/>
          <w:i w:val="0"/>
          <w:iCs w:val="0"/>
          <w:color w:val="auto"/>
        </w:rPr>
        <w:t xml:space="preserve"> will be delivered in the 2018-23 regulatory period</w:t>
      </w:r>
      <w:r w:rsidR="3EBF9D94" w:rsidRPr="6B20A4EE">
        <w:rPr>
          <w:rStyle w:val="IntenseEmphasis"/>
          <w:rFonts w:cs="Arial"/>
          <w:i w:val="0"/>
          <w:iCs w:val="0"/>
          <w:color w:val="auto"/>
        </w:rPr>
        <w:t>, of which, $13.0 million will be funded by SRW’s customers (</w:t>
      </w:r>
      <w:r w:rsidR="622A90F6" w:rsidRPr="6B20A4EE">
        <w:rPr>
          <w:rStyle w:val="IntenseEmphasis"/>
          <w:rFonts w:cs="Arial"/>
          <w:i w:val="0"/>
          <w:iCs w:val="0"/>
          <w:color w:val="auto"/>
        </w:rPr>
        <w:t>33% of $39 million)</w:t>
      </w:r>
      <w:r w:rsidR="65C943DF" w:rsidRPr="6B20A4EE">
        <w:rPr>
          <w:rStyle w:val="IntenseEmphasis"/>
          <w:rFonts w:cs="Arial"/>
          <w:i w:val="0"/>
          <w:iCs w:val="0"/>
          <w:color w:val="auto"/>
        </w:rPr>
        <w:t>.</w:t>
      </w:r>
    </w:p>
    <w:p w14:paraId="12D030F7" w14:textId="7E75D354" w:rsidR="00FA24E8" w:rsidRDefault="00FA24E8" w:rsidP="00FF41CC">
      <w:pPr>
        <w:jc w:val="both"/>
      </w:pPr>
      <w:r>
        <w:t>Continuation of a large capital expenditure program of $125</w:t>
      </w:r>
      <w:r w:rsidR="008C4301">
        <w:t xml:space="preserve"> </w:t>
      </w:r>
      <w:r>
        <w:t>m</w:t>
      </w:r>
      <w:r w:rsidR="008C4301">
        <w:t>illion</w:t>
      </w:r>
      <w:r>
        <w:t xml:space="preserve"> reflects the further work that we have undertaken to understand the condition of our assets, the risks and </w:t>
      </w:r>
      <w:r w:rsidR="719FBA41">
        <w:t xml:space="preserve">our </w:t>
      </w:r>
      <w:r>
        <w:t>compliance obligations. This work has revealed that higher capital investment is required to continue to meet the outcomes desired.</w:t>
      </w:r>
    </w:p>
    <w:p w14:paraId="39BE13DF" w14:textId="37DEBCE1" w:rsidR="00C53864" w:rsidRPr="00FA24E8" w:rsidRDefault="0016419A" w:rsidP="00FF41CC">
      <w:pPr>
        <w:jc w:val="both"/>
        <w:rPr>
          <w:rStyle w:val="IntenseReference"/>
          <w:b w:val="0"/>
          <w:smallCaps w:val="0"/>
          <w:color w:val="auto"/>
          <w:spacing w:val="0"/>
        </w:rPr>
      </w:pPr>
      <w:r w:rsidRPr="00FE0942">
        <w:rPr>
          <w:rStyle w:val="IntenseReference"/>
          <w:b w:val="0"/>
          <w:smallCaps w:val="0"/>
          <w:color w:val="auto"/>
          <w:spacing w:val="0"/>
        </w:rPr>
        <w:t xml:space="preserve">The forecast capital expenditure </w:t>
      </w:r>
      <w:r w:rsidR="0065767E" w:rsidRPr="00FE0942">
        <w:rPr>
          <w:rStyle w:val="IntenseReference"/>
          <w:b w:val="0"/>
          <w:smallCaps w:val="0"/>
          <w:color w:val="auto"/>
          <w:spacing w:val="0"/>
        </w:rPr>
        <w:t xml:space="preserve">in </w:t>
      </w:r>
      <w:r w:rsidR="003D3F71" w:rsidRPr="00FE0942">
        <w:rPr>
          <w:rStyle w:val="IntenseReference"/>
          <w:b w:val="0"/>
          <w:smallCaps w:val="0"/>
          <w:color w:val="auto"/>
          <w:spacing w:val="0"/>
        </w:rPr>
        <w:t xml:space="preserve">2023-24 </w:t>
      </w:r>
      <w:r w:rsidR="00AC3F67" w:rsidRPr="00FE0942">
        <w:rPr>
          <w:rStyle w:val="IntenseReference"/>
          <w:b w:val="0"/>
          <w:smallCaps w:val="0"/>
          <w:color w:val="auto"/>
          <w:spacing w:val="0"/>
        </w:rPr>
        <w:t xml:space="preserve">(year </w:t>
      </w:r>
      <w:r w:rsidR="008C4301">
        <w:rPr>
          <w:rStyle w:val="IntenseReference"/>
          <w:b w:val="0"/>
          <w:smallCaps w:val="0"/>
          <w:color w:val="auto"/>
          <w:spacing w:val="0"/>
        </w:rPr>
        <w:t>one</w:t>
      </w:r>
      <w:r w:rsidR="00BE7ECB" w:rsidRPr="00FE0942">
        <w:rPr>
          <w:rStyle w:val="IntenseReference"/>
          <w:b w:val="0"/>
          <w:smallCaps w:val="0"/>
          <w:color w:val="auto"/>
          <w:spacing w:val="0"/>
        </w:rPr>
        <w:t xml:space="preserve"> of the 2023-28 regulatory period</w:t>
      </w:r>
      <w:r w:rsidR="00AC3F67" w:rsidRPr="00FE0942">
        <w:rPr>
          <w:rStyle w:val="IntenseReference"/>
          <w:b w:val="0"/>
          <w:smallCaps w:val="0"/>
          <w:color w:val="auto"/>
          <w:spacing w:val="0"/>
        </w:rPr>
        <w:t xml:space="preserve">) </w:t>
      </w:r>
      <w:r w:rsidR="003D3F71" w:rsidRPr="00FE0942">
        <w:rPr>
          <w:rStyle w:val="IntenseReference"/>
          <w:b w:val="0"/>
          <w:smallCaps w:val="0"/>
          <w:color w:val="auto"/>
          <w:spacing w:val="0"/>
        </w:rPr>
        <w:t xml:space="preserve">is considerably </w:t>
      </w:r>
      <w:r w:rsidR="00AC3F67" w:rsidRPr="00FE0942">
        <w:rPr>
          <w:rStyle w:val="IntenseReference"/>
          <w:b w:val="0"/>
          <w:smallCaps w:val="0"/>
          <w:color w:val="auto"/>
          <w:spacing w:val="0"/>
        </w:rPr>
        <w:t xml:space="preserve">higher </w:t>
      </w:r>
      <w:r w:rsidR="00BE7ECB" w:rsidRPr="00FE0942">
        <w:rPr>
          <w:rStyle w:val="IntenseReference"/>
          <w:b w:val="0"/>
          <w:smallCaps w:val="0"/>
          <w:color w:val="auto"/>
          <w:spacing w:val="0"/>
        </w:rPr>
        <w:t xml:space="preserve">than the following four years. </w:t>
      </w:r>
      <w:r w:rsidR="00FB3E8A" w:rsidRPr="00FE0942">
        <w:rPr>
          <w:rStyle w:val="IntenseReference"/>
          <w:b w:val="0"/>
          <w:smallCaps w:val="0"/>
          <w:color w:val="auto"/>
          <w:spacing w:val="0"/>
        </w:rPr>
        <w:t>T</w:t>
      </w:r>
      <w:r w:rsidRPr="00FE0942">
        <w:rPr>
          <w:rStyle w:val="IntenseReference"/>
          <w:b w:val="0"/>
          <w:smallCaps w:val="0"/>
          <w:color w:val="auto"/>
          <w:spacing w:val="0"/>
        </w:rPr>
        <w:t>his is due largely to the two major modernisation projects which are continuing and together have a value of $</w:t>
      </w:r>
      <w:r w:rsidR="009A7760" w:rsidRPr="00FE0942">
        <w:rPr>
          <w:rStyle w:val="IntenseReference"/>
          <w:b w:val="0"/>
          <w:smallCaps w:val="0"/>
          <w:color w:val="auto"/>
          <w:spacing w:val="0"/>
        </w:rPr>
        <w:t>37</w:t>
      </w:r>
      <w:r w:rsidR="008C4301">
        <w:rPr>
          <w:rStyle w:val="IntenseReference"/>
          <w:b w:val="0"/>
          <w:smallCaps w:val="0"/>
          <w:color w:val="auto"/>
          <w:spacing w:val="0"/>
        </w:rPr>
        <w:t xml:space="preserve"> </w:t>
      </w:r>
      <w:r w:rsidR="009A7760" w:rsidRPr="00FE0942">
        <w:rPr>
          <w:rStyle w:val="IntenseReference"/>
          <w:b w:val="0"/>
          <w:smallCaps w:val="0"/>
          <w:color w:val="auto"/>
          <w:spacing w:val="0"/>
        </w:rPr>
        <w:t>m</w:t>
      </w:r>
      <w:r w:rsidR="008C4301">
        <w:rPr>
          <w:rStyle w:val="IntenseReference"/>
          <w:b w:val="0"/>
          <w:smallCaps w:val="0"/>
          <w:color w:val="auto"/>
          <w:spacing w:val="0"/>
        </w:rPr>
        <w:t>illion</w:t>
      </w:r>
      <w:r w:rsidR="13DDB7BA" w:rsidRPr="6B20A4EE">
        <w:rPr>
          <w:rStyle w:val="IntenseReference"/>
          <w:b w:val="0"/>
          <w:bCs w:val="0"/>
          <w:smallCaps w:val="0"/>
          <w:color w:val="auto"/>
          <w:spacing w:val="0"/>
        </w:rPr>
        <w:t xml:space="preserve"> within the period</w:t>
      </w:r>
      <w:r w:rsidR="009A7760" w:rsidRPr="00FE0942">
        <w:rPr>
          <w:rStyle w:val="IntenseReference"/>
          <w:b w:val="0"/>
          <w:smallCaps w:val="0"/>
          <w:color w:val="auto"/>
          <w:spacing w:val="0"/>
        </w:rPr>
        <w:t>, with $30</w:t>
      </w:r>
      <w:r w:rsidR="008C4301">
        <w:rPr>
          <w:rStyle w:val="IntenseReference"/>
          <w:b w:val="0"/>
          <w:smallCaps w:val="0"/>
          <w:color w:val="auto"/>
          <w:spacing w:val="0"/>
        </w:rPr>
        <w:t xml:space="preserve"> </w:t>
      </w:r>
      <w:r w:rsidR="009A7760" w:rsidRPr="00FE0942">
        <w:rPr>
          <w:rStyle w:val="IntenseReference"/>
          <w:b w:val="0"/>
          <w:smallCaps w:val="0"/>
          <w:color w:val="auto"/>
          <w:spacing w:val="0"/>
        </w:rPr>
        <w:t>m</w:t>
      </w:r>
      <w:r w:rsidR="008C4301">
        <w:rPr>
          <w:rStyle w:val="IntenseReference"/>
          <w:b w:val="0"/>
          <w:smallCaps w:val="0"/>
          <w:color w:val="auto"/>
          <w:spacing w:val="0"/>
        </w:rPr>
        <w:t>illion</w:t>
      </w:r>
      <w:r w:rsidR="009A7760" w:rsidRPr="00FE0942">
        <w:rPr>
          <w:rStyle w:val="IntenseReference"/>
          <w:b w:val="0"/>
          <w:smallCaps w:val="0"/>
          <w:color w:val="auto"/>
          <w:spacing w:val="0"/>
        </w:rPr>
        <w:t xml:space="preserve"> expected to be spent in 2023-24</w:t>
      </w:r>
      <w:r w:rsidR="006233AD">
        <w:rPr>
          <w:rStyle w:val="IntenseReference"/>
          <w:b w:val="0"/>
          <w:smallCaps w:val="0"/>
          <w:color w:val="auto"/>
          <w:spacing w:val="0"/>
        </w:rPr>
        <w:t>.</w:t>
      </w:r>
    </w:p>
    <w:p w14:paraId="14B891B8" w14:textId="06B34474" w:rsidR="00C53864" w:rsidRDefault="003E0763" w:rsidP="00F60B34">
      <w:pPr>
        <w:jc w:val="center"/>
        <w:rPr>
          <w:rStyle w:val="IntenseReference"/>
          <w:u w:val="single"/>
        </w:rPr>
      </w:pPr>
      <w:r>
        <w:rPr>
          <w:noProof/>
        </w:rPr>
        <w:drawing>
          <wp:inline distT="0" distB="0" distL="0" distR="0" wp14:anchorId="2655DAED" wp14:editId="7933197F">
            <wp:extent cx="5480684" cy="2901316"/>
            <wp:effectExtent l="0" t="0" r="6350" b="0"/>
            <wp:docPr id="48" name="Chart 48">
              <a:extLst xmlns:a="http://schemas.openxmlformats.org/drawingml/2006/main">
                <a:ext uri="{FF2B5EF4-FFF2-40B4-BE49-F238E27FC236}">
                  <a16:creationId xmlns:a16="http://schemas.microsoft.com/office/drawing/2014/main" id="{00000000-0008-0000-18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63F315FA" w14:textId="67496126" w:rsidR="00160E53" w:rsidRPr="005847B8" w:rsidRDefault="0064667F" w:rsidP="0064667F">
      <w:pPr>
        <w:pStyle w:val="Caption"/>
        <w:rPr>
          <w:i w:val="0"/>
          <w:iCs w:val="0"/>
          <w:smallCaps/>
          <w:color w:val="00B1B0" w:themeColor="accent1"/>
          <w:sz w:val="20"/>
          <w:szCs w:val="20"/>
        </w:rPr>
      </w:pPr>
      <w:r w:rsidRPr="005847B8">
        <w:rPr>
          <w:b/>
          <w:bCs/>
          <w:i w:val="0"/>
          <w:iCs w:val="0"/>
          <w:color w:val="00B1B0" w:themeColor="accent1"/>
          <w:sz w:val="20"/>
          <w:szCs w:val="20"/>
        </w:rPr>
        <w:t xml:space="preserve">Figure </w:t>
      </w:r>
      <w:r w:rsidRPr="005847B8">
        <w:rPr>
          <w:b/>
          <w:bCs/>
          <w:i w:val="0"/>
          <w:iCs w:val="0"/>
          <w:color w:val="00B1B0" w:themeColor="accent1"/>
          <w:sz w:val="20"/>
          <w:szCs w:val="20"/>
        </w:rPr>
        <w:fldChar w:fldCharType="begin"/>
      </w:r>
      <w:r w:rsidRPr="005847B8">
        <w:rPr>
          <w:b/>
          <w:bCs/>
          <w:i w:val="0"/>
          <w:iCs w:val="0"/>
          <w:color w:val="00B1B0" w:themeColor="accent1"/>
          <w:sz w:val="20"/>
          <w:szCs w:val="20"/>
        </w:rPr>
        <w:instrText xml:space="preserve"> SEQ Figure \* ARABIC </w:instrText>
      </w:r>
      <w:r w:rsidRPr="005847B8">
        <w:rPr>
          <w:b/>
          <w:bCs/>
          <w:i w:val="0"/>
          <w:iCs w:val="0"/>
          <w:color w:val="00B1B0" w:themeColor="accent1"/>
          <w:sz w:val="20"/>
          <w:szCs w:val="20"/>
        </w:rPr>
        <w:fldChar w:fldCharType="separate"/>
      </w:r>
      <w:r w:rsidR="008126A8">
        <w:rPr>
          <w:b/>
          <w:bCs/>
          <w:i w:val="0"/>
          <w:iCs w:val="0"/>
          <w:noProof/>
          <w:color w:val="00B1B0" w:themeColor="accent1"/>
          <w:sz w:val="20"/>
          <w:szCs w:val="20"/>
        </w:rPr>
        <w:t>7</w:t>
      </w:r>
      <w:r w:rsidRPr="005847B8">
        <w:rPr>
          <w:b/>
          <w:bCs/>
          <w:i w:val="0"/>
          <w:iCs w:val="0"/>
          <w:color w:val="00B1B0" w:themeColor="accent1"/>
          <w:sz w:val="20"/>
          <w:szCs w:val="20"/>
        </w:rPr>
        <w:fldChar w:fldCharType="end"/>
      </w:r>
      <w:r w:rsidRPr="005847B8">
        <w:rPr>
          <w:b/>
          <w:bCs/>
          <w:i w:val="0"/>
          <w:iCs w:val="0"/>
          <w:color w:val="00B1B0" w:themeColor="accent1"/>
          <w:sz w:val="20"/>
          <w:szCs w:val="20"/>
        </w:rPr>
        <w:t xml:space="preserve"> – Capital </w:t>
      </w:r>
      <w:r w:rsidR="003631E5" w:rsidRPr="005847B8">
        <w:rPr>
          <w:b/>
          <w:bCs/>
          <w:i w:val="0"/>
          <w:iCs w:val="0"/>
          <w:color w:val="00B1B0" w:themeColor="accent1"/>
          <w:sz w:val="20"/>
          <w:szCs w:val="20"/>
        </w:rPr>
        <w:t>expenditure forecast</w:t>
      </w:r>
      <w:r w:rsidR="005847B8" w:rsidRPr="005847B8">
        <w:rPr>
          <w:b/>
          <w:bCs/>
          <w:i w:val="0"/>
          <w:iCs w:val="0"/>
          <w:color w:val="00B1B0" w:themeColor="accent1"/>
          <w:sz w:val="20"/>
          <w:szCs w:val="20"/>
        </w:rPr>
        <w:t xml:space="preserve"> </w:t>
      </w:r>
    </w:p>
    <w:p w14:paraId="12E86CB2" w14:textId="77777777" w:rsidR="00160E53" w:rsidRDefault="00160E53" w:rsidP="005847B8">
      <w:pPr>
        <w:rPr>
          <w:rStyle w:val="IntenseReference"/>
          <w:u w:val="single"/>
        </w:rPr>
      </w:pPr>
    </w:p>
    <w:p w14:paraId="371BD655" w14:textId="5B1EF904" w:rsidR="00870876" w:rsidRPr="002E4FBC" w:rsidRDefault="002E4FBC" w:rsidP="002E4FBC">
      <w:pPr>
        <w:pStyle w:val="Caption"/>
        <w:rPr>
          <w:rStyle w:val="IntenseReference"/>
          <w:b w:val="0"/>
          <w:bCs w:val="0"/>
          <w:i w:val="0"/>
          <w:iCs w:val="0"/>
          <w:color w:val="00B1B0" w:themeColor="accent1"/>
          <w:sz w:val="20"/>
          <w:szCs w:val="20"/>
          <w:u w:val="single"/>
        </w:rPr>
      </w:pPr>
      <w:r w:rsidRPr="002E4FBC">
        <w:rPr>
          <w:b/>
          <w:bCs/>
          <w:i w:val="0"/>
          <w:iCs w:val="0"/>
          <w:color w:val="00B1B0" w:themeColor="accent1"/>
          <w:sz w:val="20"/>
          <w:szCs w:val="20"/>
        </w:rPr>
        <w:t xml:space="preserve">Table </w:t>
      </w:r>
      <w:r w:rsidRPr="002E4FBC">
        <w:rPr>
          <w:b/>
          <w:bCs/>
          <w:i w:val="0"/>
          <w:iCs w:val="0"/>
          <w:color w:val="00B1B0" w:themeColor="accent1"/>
          <w:sz w:val="20"/>
          <w:szCs w:val="20"/>
        </w:rPr>
        <w:fldChar w:fldCharType="begin"/>
      </w:r>
      <w:r w:rsidRPr="002E4FBC">
        <w:rPr>
          <w:b/>
          <w:bCs/>
          <w:i w:val="0"/>
          <w:iCs w:val="0"/>
          <w:color w:val="00B1B0" w:themeColor="accent1"/>
          <w:sz w:val="20"/>
          <w:szCs w:val="20"/>
        </w:rPr>
        <w:instrText xml:space="preserve"> SEQ Table \* ARABIC </w:instrText>
      </w:r>
      <w:r w:rsidRPr="002E4FBC">
        <w:rPr>
          <w:b/>
          <w:bCs/>
          <w:i w:val="0"/>
          <w:iCs w:val="0"/>
          <w:color w:val="00B1B0" w:themeColor="accent1"/>
          <w:sz w:val="20"/>
          <w:szCs w:val="20"/>
        </w:rPr>
        <w:fldChar w:fldCharType="separate"/>
      </w:r>
      <w:r w:rsidR="008126A8">
        <w:rPr>
          <w:b/>
          <w:bCs/>
          <w:i w:val="0"/>
          <w:iCs w:val="0"/>
          <w:noProof/>
          <w:color w:val="00B1B0" w:themeColor="accent1"/>
          <w:sz w:val="20"/>
          <w:szCs w:val="20"/>
        </w:rPr>
        <w:t>15</w:t>
      </w:r>
      <w:r w:rsidRPr="002E4FBC">
        <w:rPr>
          <w:b/>
          <w:bCs/>
          <w:i w:val="0"/>
          <w:iCs w:val="0"/>
          <w:color w:val="00B1B0" w:themeColor="accent1"/>
          <w:sz w:val="20"/>
          <w:szCs w:val="20"/>
        </w:rPr>
        <w:fldChar w:fldCharType="end"/>
      </w:r>
      <w:r w:rsidRPr="002E4FBC">
        <w:rPr>
          <w:b/>
          <w:bCs/>
          <w:i w:val="0"/>
          <w:iCs w:val="0"/>
          <w:color w:val="00B1B0" w:themeColor="accent1"/>
          <w:sz w:val="20"/>
          <w:szCs w:val="20"/>
        </w:rPr>
        <w:t xml:space="preserve"> </w:t>
      </w:r>
      <w:r w:rsidR="008104F3">
        <w:rPr>
          <w:b/>
          <w:bCs/>
          <w:i w:val="0"/>
          <w:iCs w:val="0"/>
          <w:color w:val="00B1B0" w:themeColor="accent1"/>
          <w:sz w:val="20"/>
          <w:szCs w:val="20"/>
        </w:rPr>
        <w:t>–</w:t>
      </w:r>
      <w:r w:rsidRPr="002E4FBC">
        <w:rPr>
          <w:b/>
          <w:bCs/>
          <w:i w:val="0"/>
          <w:iCs w:val="0"/>
          <w:color w:val="00B1B0" w:themeColor="accent1"/>
          <w:sz w:val="20"/>
          <w:szCs w:val="20"/>
        </w:rPr>
        <w:t xml:space="preserve"> </w:t>
      </w:r>
      <w:r w:rsidR="00870876" w:rsidRPr="002E4FBC">
        <w:rPr>
          <w:b/>
          <w:bCs/>
          <w:i w:val="0"/>
          <w:iCs w:val="0"/>
          <w:color w:val="00B1B0" w:themeColor="accent1"/>
          <w:sz w:val="20"/>
          <w:szCs w:val="20"/>
        </w:rPr>
        <w:t>Forecast CAPEX</w:t>
      </w:r>
    </w:p>
    <w:tbl>
      <w:tblPr>
        <w:tblW w:w="9560" w:type="dxa"/>
        <w:tblCellMar>
          <w:top w:w="15" w:type="dxa"/>
          <w:bottom w:w="15" w:type="dxa"/>
        </w:tblCellMar>
        <w:tblLook w:val="04A0" w:firstRow="1" w:lastRow="0" w:firstColumn="1" w:lastColumn="0" w:noHBand="0" w:noVBand="1"/>
      </w:tblPr>
      <w:tblGrid>
        <w:gridCol w:w="4740"/>
        <w:gridCol w:w="964"/>
        <w:gridCol w:w="964"/>
        <w:gridCol w:w="964"/>
        <w:gridCol w:w="964"/>
        <w:gridCol w:w="964"/>
      </w:tblGrid>
      <w:tr w:rsidR="00071881" w14:paraId="2948AAC5" w14:textId="77777777">
        <w:trPr>
          <w:trHeight w:val="255"/>
        </w:trPr>
        <w:tc>
          <w:tcPr>
            <w:tcW w:w="4740" w:type="dxa"/>
            <w:tcBorders>
              <w:top w:val="nil"/>
              <w:left w:val="nil"/>
              <w:bottom w:val="nil"/>
              <w:right w:val="nil"/>
            </w:tcBorders>
            <w:shd w:val="clear" w:color="auto" w:fill="70CBD0" w:themeFill="accent4"/>
            <w:noWrap/>
            <w:vAlign w:val="center"/>
            <w:hideMark/>
          </w:tcPr>
          <w:p w14:paraId="24B19DDC" w14:textId="473D3112" w:rsidR="00EB7CBA" w:rsidRDefault="008104F3" w:rsidP="007630BF">
            <w:pPr>
              <w:spacing w:before="40" w:after="40"/>
              <w:rPr>
                <w:sz w:val="20"/>
                <w:szCs w:val="20"/>
              </w:rPr>
            </w:pPr>
            <w:r>
              <w:rPr>
                <w:rFonts w:cs="Arial"/>
                <w:b/>
                <w:bCs/>
                <w:color w:val="FFFFFF"/>
                <w:sz w:val="20"/>
                <w:szCs w:val="20"/>
              </w:rPr>
              <w:t> $M</w:t>
            </w:r>
          </w:p>
        </w:tc>
        <w:tc>
          <w:tcPr>
            <w:tcW w:w="964" w:type="dxa"/>
            <w:tcBorders>
              <w:top w:val="nil"/>
              <w:left w:val="nil"/>
              <w:bottom w:val="nil"/>
              <w:right w:val="nil"/>
            </w:tcBorders>
            <w:shd w:val="clear" w:color="auto" w:fill="70CBD0" w:themeFill="accent4"/>
            <w:vAlign w:val="center"/>
            <w:hideMark/>
          </w:tcPr>
          <w:p w14:paraId="4D01BCF0" w14:textId="77777777" w:rsidR="00EB7CBA" w:rsidRDefault="00EB7CBA" w:rsidP="007630BF">
            <w:pPr>
              <w:spacing w:before="40" w:after="40"/>
              <w:jc w:val="right"/>
              <w:rPr>
                <w:rFonts w:cs="Arial"/>
                <w:b/>
                <w:bCs/>
                <w:color w:val="FFFFFF"/>
                <w:sz w:val="20"/>
                <w:szCs w:val="20"/>
              </w:rPr>
            </w:pPr>
            <w:r>
              <w:rPr>
                <w:rFonts w:cs="Arial"/>
                <w:b/>
                <w:bCs/>
                <w:color w:val="FFFFFF"/>
                <w:sz w:val="20"/>
                <w:szCs w:val="20"/>
              </w:rPr>
              <w:t>2023-24</w:t>
            </w:r>
          </w:p>
        </w:tc>
        <w:tc>
          <w:tcPr>
            <w:tcW w:w="964" w:type="dxa"/>
            <w:tcBorders>
              <w:top w:val="nil"/>
              <w:left w:val="nil"/>
              <w:bottom w:val="nil"/>
              <w:right w:val="nil"/>
            </w:tcBorders>
            <w:shd w:val="clear" w:color="auto" w:fill="70CBD0" w:themeFill="accent4"/>
            <w:vAlign w:val="center"/>
            <w:hideMark/>
          </w:tcPr>
          <w:p w14:paraId="56BA2FFB" w14:textId="77777777" w:rsidR="00EB7CBA" w:rsidRDefault="00EB7CBA" w:rsidP="007630BF">
            <w:pPr>
              <w:spacing w:before="40" w:after="40"/>
              <w:jc w:val="right"/>
              <w:rPr>
                <w:rFonts w:cs="Arial"/>
                <w:b/>
                <w:bCs/>
                <w:color w:val="FFFFFF"/>
                <w:sz w:val="20"/>
                <w:szCs w:val="20"/>
              </w:rPr>
            </w:pPr>
            <w:r>
              <w:rPr>
                <w:rFonts w:cs="Arial"/>
                <w:b/>
                <w:bCs/>
                <w:color w:val="FFFFFF"/>
                <w:sz w:val="20"/>
                <w:szCs w:val="20"/>
              </w:rPr>
              <w:t>2024-25</w:t>
            </w:r>
          </w:p>
        </w:tc>
        <w:tc>
          <w:tcPr>
            <w:tcW w:w="964" w:type="dxa"/>
            <w:tcBorders>
              <w:top w:val="nil"/>
              <w:left w:val="nil"/>
              <w:bottom w:val="nil"/>
              <w:right w:val="nil"/>
            </w:tcBorders>
            <w:shd w:val="clear" w:color="auto" w:fill="70CBD0" w:themeFill="accent4"/>
            <w:vAlign w:val="center"/>
            <w:hideMark/>
          </w:tcPr>
          <w:p w14:paraId="3FCFA67F" w14:textId="77777777" w:rsidR="00EB7CBA" w:rsidRDefault="00EB7CBA" w:rsidP="007630BF">
            <w:pPr>
              <w:spacing w:before="40" w:after="40"/>
              <w:jc w:val="right"/>
              <w:rPr>
                <w:rFonts w:cs="Arial"/>
                <w:b/>
                <w:bCs/>
                <w:color w:val="FFFFFF"/>
                <w:sz w:val="20"/>
                <w:szCs w:val="20"/>
              </w:rPr>
            </w:pPr>
            <w:r>
              <w:rPr>
                <w:rFonts w:cs="Arial"/>
                <w:b/>
                <w:bCs/>
                <w:color w:val="FFFFFF"/>
                <w:sz w:val="20"/>
                <w:szCs w:val="20"/>
              </w:rPr>
              <w:t>2025-26</w:t>
            </w:r>
          </w:p>
        </w:tc>
        <w:tc>
          <w:tcPr>
            <w:tcW w:w="964" w:type="dxa"/>
            <w:tcBorders>
              <w:top w:val="nil"/>
              <w:left w:val="nil"/>
              <w:bottom w:val="nil"/>
              <w:right w:val="nil"/>
            </w:tcBorders>
            <w:shd w:val="clear" w:color="auto" w:fill="70CBD0" w:themeFill="accent4"/>
            <w:vAlign w:val="center"/>
            <w:hideMark/>
          </w:tcPr>
          <w:p w14:paraId="1C3328B6" w14:textId="77777777" w:rsidR="00EB7CBA" w:rsidRDefault="00EB7CBA" w:rsidP="007630BF">
            <w:pPr>
              <w:spacing w:before="40" w:after="40"/>
              <w:jc w:val="right"/>
              <w:rPr>
                <w:rFonts w:cs="Arial"/>
                <w:b/>
                <w:bCs/>
                <w:color w:val="FFFFFF"/>
                <w:sz w:val="20"/>
                <w:szCs w:val="20"/>
              </w:rPr>
            </w:pPr>
            <w:r>
              <w:rPr>
                <w:rFonts w:cs="Arial"/>
                <w:b/>
                <w:bCs/>
                <w:color w:val="FFFFFF"/>
                <w:sz w:val="20"/>
                <w:szCs w:val="20"/>
              </w:rPr>
              <w:t>2026-27</w:t>
            </w:r>
          </w:p>
        </w:tc>
        <w:tc>
          <w:tcPr>
            <w:tcW w:w="964" w:type="dxa"/>
            <w:tcBorders>
              <w:top w:val="nil"/>
              <w:left w:val="nil"/>
              <w:bottom w:val="nil"/>
              <w:right w:val="nil"/>
            </w:tcBorders>
            <w:shd w:val="clear" w:color="auto" w:fill="70CBD0" w:themeFill="accent4"/>
            <w:vAlign w:val="center"/>
            <w:hideMark/>
          </w:tcPr>
          <w:p w14:paraId="71AD8809" w14:textId="77777777" w:rsidR="00EB7CBA" w:rsidRDefault="00EB7CBA" w:rsidP="007630BF">
            <w:pPr>
              <w:spacing w:before="40" w:after="40"/>
              <w:jc w:val="right"/>
              <w:rPr>
                <w:rFonts w:cs="Arial"/>
                <w:b/>
                <w:bCs/>
                <w:color w:val="FFFFFF"/>
                <w:sz w:val="20"/>
                <w:szCs w:val="20"/>
              </w:rPr>
            </w:pPr>
            <w:r>
              <w:rPr>
                <w:rFonts w:cs="Arial"/>
                <w:b/>
                <w:bCs/>
                <w:color w:val="FFFFFF"/>
                <w:sz w:val="20"/>
                <w:szCs w:val="20"/>
              </w:rPr>
              <w:t>2027-28</w:t>
            </w:r>
          </w:p>
        </w:tc>
      </w:tr>
      <w:tr w:rsidR="00EB7CBA" w14:paraId="5432279B" w14:textId="77777777" w:rsidTr="00DF097B">
        <w:trPr>
          <w:trHeight w:val="255"/>
        </w:trPr>
        <w:tc>
          <w:tcPr>
            <w:tcW w:w="4740" w:type="dxa"/>
            <w:tcBorders>
              <w:top w:val="nil"/>
              <w:left w:val="nil"/>
              <w:bottom w:val="nil"/>
              <w:right w:val="nil"/>
            </w:tcBorders>
            <w:shd w:val="clear" w:color="auto" w:fill="F5F5F5" w:themeFill="background2"/>
            <w:noWrap/>
            <w:vAlign w:val="center"/>
            <w:hideMark/>
          </w:tcPr>
          <w:p w14:paraId="05D308AE" w14:textId="494D8798" w:rsidR="00EB7CBA" w:rsidRDefault="002B50A3" w:rsidP="008104F3">
            <w:pPr>
              <w:spacing w:before="40" w:after="40"/>
              <w:rPr>
                <w:sz w:val="20"/>
                <w:szCs w:val="20"/>
              </w:rPr>
            </w:pPr>
            <w:r w:rsidRPr="008104F3">
              <w:rPr>
                <w:rFonts w:cs="Arial"/>
                <w:color w:val="000000" w:themeColor="text1"/>
                <w:sz w:val="20"/>
                <w:szCs w:val="20"/>
              </w:rPr>
              <w:t>Improvements / compliance</w:t>
            </w:r>
          </w:p>
        </w:tc>
        <w:tc>
          <w:tcPr>
            <w:tcW w:w="964" w:type="dxa"/>
            <w:tcBorders>
              <w:top w:val="nil"/>
              <w:left w:val="nil"/>
              <w:bottom w:val="nil"/>
              <w:right w:val="nil"/>
            </w:tcBorders>
            <w:shd w:val="clear" w:color="auto" w:fill="F5F5F5" w:themeFill="background2"/>
            <w:vAlign w:val="center"/>
            <w:hideMark/>
          </w:tcPr>
          <w:p w14:paraId="0C00BD60" w14:textId="0AC23E62" w:rsidR="00EB7CBA" w:rsidRDefault="00EB7CBA" w:rsidP="008104F3">
            <w:pPr>
              <w:spacing w:before="40" w:after="40"/>
              <w:jc w:val="right"/>
              <w:rPr>
                <w:rFonts w:cs="Arial"/>
                <w:color w:val="000000"/>
                <w:sz w:val="20"/>
                <w:szCs w:val="20"/>
              </w:rPr>
            </w:pPr>
            <w:r>
              <w:rPr>
                <w:rFonts w:cs="Arial"/>
                <w:color w:val="000000"/>
                <w:sz w:val="20"/>
                <w:szCs w:val="20"/>
              </w:rPr>
              <w:t>$3</w:t>
            </w:r>
            <w:r w:rsidR="00730B30">
              <w:rPr>
                <w:rFonts w:cs="Arial"/>
                <w:color w:val="000000"/>
                <w:sz w:val="20"/>
                <w:szCs w:val="20"/>
              </w:rPr>
              <w:t>5</w:t>
            </w:r>
            <w:r>
              <w:rPr>
                <w:rFonts w:cs="Arial"/>
                <w:color w:val="000000"/>
                <w:sz w:val="20"/>
                <w:szCs w:val="20"/>
              </w:rPr>
              <w:t>.</w:t>
            </w:r>
            <w:r w:rsidR="00314E4C">
              <w:rPr>
                <w:rFonts w:cs="Arial"/>
                <w:color w:val="000000"/>
                <w:sz w:val="20"/>
                <w:szCs w:val="20"/>
              </w:rPr>
              <w:t>0</w:t>
            </w:r>
            <w:r>
              <w:rPr>
                <w:rFonts w:cs="Arial"/>
                <w:color w:val="000000"/>
                <w:sz w:val="20"/>
                <w:szCs w:val="20"/>
              </w:rPr>
              <w:t>m</w:t>
            </w:r>
          </w:p>
        </w:tc>
        <w:tc>
          <w:tcPr>
            <w:tcW w:w="964" w:type="dxa"/>
            <w:tcBorders>
              <w:top w:val="nil"/>
              <w:left w:val="nil"/>
              <w:bottom w:val="nil"/>
              <w:right w:val="nil"/>
            </w:tcBorders>
            <w:shd w:val="clear" w:color="auto" w:fill="F5F5F5" w:themeFill="background2"/>
            <w:vAlign w:val="center"/>
            <w:hideMark/>
          </w:tcPr>
          <w:p w14:paraId="136DCE44" w14:textId="77777777" w:rsidR="00EB7CBA" w:rsidRDefault="00EB7CBA" w:rsidP="008104F3">
            <w:pPr>
              <w:spacing w:before="40" w:after="40"/>
              <w:jc w:val="right"/>
              <w:rPr>
                <w:rFonts w:cs="Arial"/>
                <w:color w:val="000000"/>
                <w:sz w:val="20"/>
                <w:szCs w:val="20"/>
              </w:rPr>
            </w:pPr>
            <w:r>
              <w:rPr>
                <w:rFonts w:cs="Arial"/>
                <w:color w:val="000000"/>
                <w:sz w:val="20"/>
                <w:szCs w:val="20"/>
              </w:rPr>
              <w:t>$11.0m</w:t>
            </w:r>
          </w:p>
        </w:tc>
        <w:tc>
          <w:tcPr>
            <w:tcW w:w="964" w:type="dxa"/>
            <w:tcBorders>
              <w:top w:val="nil"/>
              <w:left w:val="nil"/>
              <w:bottom w:val="nil"/>
              <w:right w:val="nil"/>
            </w:tcBorders>
            <w:shd w:val="clear" w:color="auto" w:fill="F5F5F5" w:themeFill="background2"/>
            <w:vAlign w:val="center"/>
            <w:hideMark/>
          </w:tcPr>
          <w:p w14:paraId="768EB7A1" w14:textId="77777777" w:rsidR="00EB7CBA" w:rsidRDefault="00EB7CBA" w:rsidP="008104F3">
            <w:pPr>
              <w:spacing w:before="40" w:after="40"/>
              <w:jc w:val="right"/>
              <w:rPr>
                <w:rFonts w:cs="Arial"/>
                <w:color w:val="000000"/>
                <w:sz w:val="20"/>
                <w:szCs w:val="20"/>
              </w:rPr>
            </w:pPr>
            <w:r>
              <w:rPr>
                <w:rFonts w:cs="Arial"/>
                <w:color w:val="000000"/>
                <w:sz w:val="20"/>
                <w:szCs w:val="20"/>
              </w:rPr>
              <w:t>$2.6m</w:t>
            </w:r>
          </w:p>
        </w:tc>
        <w:tc>
          <w:tcPr>
            <w:tcW w:w="964" w:type="dxa"/>
            <w:tcBorders>
              <w:top w:val="nil"/>
              <w:left w:val="nil"/>
              <w:bottom w:val="nil"/>
              <w:right w:val="nil"/>
            </w:tcBorders>
            <w:shd w:val="clear" w:color="auto" w:fill="F5F5F5" w:themeFill="background2"/>
            <w:vAlign w:val="center"/>
            <w:hideMark/>
          </w:tcPr>
          <w:p w14:paraId="5C278CC7" w14:textId="77777777" w:rsidR="00EB7CBA" w:rsidRDefault="00EB7CBA" w:rsidP="008104F3">
            <w:pPr>
              <w:spacing w:before="40" w:after="40"/>
              <w:jc w:val="right"/>
              <w:rPr>
                <w:rFonts w:cs="Arial"/>
                <w:color w:val="000000"/>
                <w:sz w:val="20"/>
                <w:szCs w:val="20"/>
              </w:rPr>
            </w:pPr>
            <w:r>
              <w:rPr>
                <w:rFonts w:cs="Arial"/>
                <w:color w:val="000000"/>
                <w:sz w:val="20"/>
                <w:szCs w:val="20"/>
              </w:rPr>
              <w:t>$4.0m</w:t>
            </w:r>
          </w:p>
        </w:tc>
        <w:tc>
          <w:tcPr>
            <w:tcW w:w="964" w:type="dxa"/>
            <w:tcBorders>
              <w:top w:val="nil"/>
              <w:left w:val="nil"/>
              <w:bottom w:val="nil"/>
              <w:right w:val="nil"/>
            </w:tcBorders>
            <w:shd w:val="clear" w:color="auto" w:fill="F5F5F5" w:themeFill="background2"/>
            <w:vAlign w:val="center"/>
            <w:hideMark/>
          </w:tcPr>
          <w:p w14:paraId="7450A0B5" w14:textId="1FF221F8" w:rsidR="00EB7CBA" w:rsidRDefault="00EB7CBA" w:rsidP="008104F3">
            <w:pPr>
              <w:spacing w:before="40" w:after="40"/>
              <w:jc w:val="right"/>
              <w:rPr>
                <w:rFonts w:cs="Arial"/>
                <w:color w:val="000000"/>
                <w:sz w:val="20"/>
                <w:szCs w:val="20"/>
              </w:rPr>
            </w:pPr>
            <w:r>
              <w:rPr>
                <w:rFonts w:cs="Arial"/>
                <w:color w:val="000000"/>
                <w:sz w:val="20"/>
                <w:szCs w:val="20"/>
              </w:rPr>
              <w:t>$1.</w:t>
            </w:r>
            <w:r w:rsidR="00314E4C">
              <w:rPr>
                <w:rFonts w:cs="Arial"/>
                <w:color w:val="000000"/>
                <w:sz w:val="20"/>
                <w:szCs w:val="20"/>
              </w:rPr>
              <w:t>6</w:t>
            </w:r>
            <w:r>
              <w:rPr>
                <w:rFonts w:cs="Arial"/>
                <w:color w:val="000000"/>
                <w:sz w:val="20"/>
                <w:szCs w:val="20"/>
              </w:rPr>
              <w:t>m</w:t>
            </w:r>
          </w:p>
        </w:tc>
      </w:tr>
      <w:tr w:rsidR="00EB7CBA" w14:paraId="263B192C" w14:textId="77777777">
        <w:trPr>
          <w:trHeight w:val="270"/>
        </w:trPr>
        <w:tc>
          <w:tcPr>
            <w:tcW w:w="4740" w:type="dxa"/>
            <w:tcBorders>
              <w:top w:val="nil"/>
              <w:left w:val="nil"/>
              <w:bottom w:val="single" w:sz="8" w:space="0" w:color="auto"/>
              <w:right w:val="nil"/>
            </w:tcBorders>
            <w:noWrap/>
            <w:vAlign w:val="center"/>
            <w:hideMark/>
          </w:tcPr>
          <w:p w14:paraId="229D4E34" w14:textId="07BEC0F1" w:rsidR="00EB7CBA" w:rsidRDefault="008104F3" w:rsidP="008104F3">
            <w:pPr>
              <w:spacing w:before="40" w:after="40"/>
              <w:rPr>
                <w:sz w:val="20"/>
                <w:szCs w:val="20"/>
              </w:rPr>
            </w:pPr>
            <w:r w:rsidRPr="008104F3">
              <w:rPr>
                <w:rFonts w:cs="Arial"/>
                <w:bCs/>
                <w:sz w:val="20"/>
                <w:szCs w:val="20"/>
              </w:rPr>
              <w:t>Renewals</w:t>
            </w:r>
          </w:p>
        </w:tc>
        <w:tc>
          <w:tcPr>
            <w:tcW w:w="964" w:type="dxa"/>
            <w:tcBorders>
              <w:top w:val="nil"/>
              <w:left w:val="nil"/>
              <w:bottom w:val="single" w:sz="8" w:space="0" w:color="auto"/>
              <w:right w:val="nil"/>
            </w:tcBorders>
            <w:shd w:val="clear" w:color="auto" w:fill="auto"/>
            <w:vAlign w:val="center"/>
            <w:hideMark/>
          </w:tcPr>
          <w:p w14:paraId="07CDD4F8" w14:textId="46431E39" w:rsidR="00EB7CBA" w:rsidRDefault="00EB7CBA" w:rsidP="008104F3">
            <w:pPr>
              <w:spacing w:before="40" w:after="40"/>
              <w:jc w:val="right"/>
              <w:rPr>
                <w:rFonts w:cs="Arial"/>
                <w:color w:val="000000"/>
                <w:sz w:val="20"/>
                <w:szCs w:val="20"/>
              </w:rPr>
            </w:pPr>
            <w:r>
              <w:rPr>
                <w:rFonts w:cs="Arial"/>
                <w:color w:val="000000"/>
                <w:sz w:val="20"/>
                <w:szCs w:val="20"/>
              </w:rPr>
              <w:t>$1</w:t>
            </w:r>
            <w:r w:rsidR="00314E4C">
              <w:rPr>
                <w:rFonts w:cs="Arial"/>
                <w:color w:val="000000"/>
                <w:sz w:val="20"/>
                <w:szCs w:val="20"/>
              </w:rPr>
              <w:t>3</w:t>
            </w:r>
            <w:r>
              <w:rPr>
                <w:rFonts w:cs="Arial"/>
                <w:color w:val="000000"/>
                <w:sz w:val="20"/>
                <w:szCs w:val="20"/>
              </w:rPr>
              <w:t>.</w:t>
            </w:r>
            <w:r w:rsidR="00314E4C">
              <w:rPr>
                <w:rFonts w:cs="Arial"/>
                <w:color w:val="000000"/>
                <w:sz w:val="20"/>
                <w:szCs w:val="20"/>
              </w:rPr>
              <w:t>4</w:t>
            </w:r>
            <w:r>
              <w:rPr>
                <w:rFonts w:cs="Arial"/>
                <w:color w:val="000000"/>
                <w:sz w:val="20"/>
                <w:szCs w:val="20"/>
              </w:rPr>
              <w:t>m</w:t>
            </w:r>
          </w:p>
        </w:tc>
        <w:tc>
          <w:tcPr>
            <w:tcW w:w="964" w:type="dxa"/>
            <w:tcBorders>
              <w:top w:val="nil"/>
              <w:left w:val="nil"/>
              <w:bottom w:val="single" w:sz="8" w:space="0" w:color="auto"/>
              <w:right w:val="nil"/>
            </w:tcBorders>
            <w:shd w:val="clear" w:color="auto" w:fill="auto"/>
            <w:vAlign w:val="center"/>
            <w:hideMark/>
          </w:tcPr>
          <w:p w14:paraId="7E6FEAC8" w14:textId="63EB6C2D" w:rsidR="00EB7CBA" w:rsidRDefault="00EB7CBA" w:rsidP="008104F3">
            <w:pPr>
              <w:spacing w:before="40" w:after="40"/>
              <w:jc w:val="right"/>
              <w:rPr>
                <w:rFonts w:cs="Arial"/>
                <w:color w:val="000000"/>
                <w:sz w:val="20"/>
                <w:szCs w:val="20"/>
              </w:rPr>
            </w:pPr>
            <w:r>
              <w:rPr>
                <w:rFonts w:cs="Arial"/>
                <w:color w:val="000000"/>
                <w:sz w:val="20"/>
                <w:szCs w:val="20"/>
              </w:rPr>
              <w:t>$1</w:t>
            </w:r>
            <w:r w:rsidR="005B1247">
              <w:rPr>
                <w:rFonts w:cs="Arial"/>
                <w:color w:val="000000"/>
                <w:sz w:val="20"/>
                <w:szCs w:val="20"/>
              </w:rPr>
              <w:t>4</w:t>
            </w:r>
            <w:r>
              <w:rPr>
                <w:rFonts w:cs="Arial"/>
                <w:color w:val="000000"/>
                <w:sz w:val="20"/>
                <w:szCs w:val="20"/>
              </w:rPr>
              <w:t>.</w:t>
            </w:r>
            <w:r w:rsidR="005B1247">
              <w:rPr>
                <w:rFonts w:cs="Arial"/>
                <w:color w:val="000000"/>
                <w:sz w:val="20"/>
                <w:szCs w:val="20"/>
              </w:rPr>
              <w:t>2</w:t>
            </w:r>
            <w:r>
              <w:rPr>
                <w:rFonts w:cs="Arial"/>
                <w:color w:val="000000"/>
                <w:sz w:val="20"/>
                <w:szCs w:val="20"/>
              </w:rPr>
              <w:t>m</w:t>
            </w:r>
          </w:p>
        </w:tc>
        <w:tc>
          <w:tcPr>
            <w:tcW w:w="964" w:type="dxa"/>
            <w:tcBorders>
              <w:top w:val="nil"/>
              <w:left w:val="nil"/>
              <w:bottom w:val="single" w:sz="8" w:space="0" w:color="auto"/>
              <w:right w:val="nil"/>
            </w:tcBorders>
            <w:shd w:val="clear" w:color="auto" w:fill="auto"/>
            <w:vAlign w:val="center"/>
            <w:hideMark/>
          </w:tcPr>
          <w:p w14:paraId="268EFFCE" w14:textId="1ADBE1D5" w:rsidR="00EB7CBA" w:rsidRDefault="00EB7CBA" w:rsidP="008104F3">
            <w:pPr>
              <w:spacing w:before="40" w:after="40"/>
              <w:jc w:val="right"/>
              <w:rPr>
                <w:rFonts w:cs="Arial"/>
                <w:color w:val="000000"/>
                <w:sz w:val="20"/>
                <w:szCs w:val="20"/>
              </w:rPr>
            </w:pPr>
            <w:r>
              <w:rPr>
                <w:rFonts w:cs="Arial"/>
                <w:color w:val="000000"/>
                <w:sz w:val="20"/>
                <w:szCs w:val="20"/>
              </w:rPr>
              <w:t>$1</w:t>
            </w:r>
            <w:r w:rsidR="005B1247">
              <w:rPr>
                <w:rFonts w:cs="Arial"/>
                <w:color w:val="000000"/>
                <w:sz w:val="20"/>
                <w:szCs w:val="20"/>
              </w:rPr>
              <w:t>4</w:t>
            </w:r>
            <w:r>
              <w:rPr>
                <w:rFonts w:cs="Arial"/>
                <w:color w:val="000000"/>
                <w:sz w:val="20"/>
                <w:szCs w:val="20"/>
              </w:rPr>
              <w:t>.</w:t>
            </w:r>
            <w:r w:rsidR="00F1450E">
              <w:rPr>
                <w:rFonts w:cs="Arial"/>
                <w:color w:val="000000"/>
                <w:sz w:val="20"/>
                <w:szCs w:val="20"/>
              </w:rPr>
              <w:t>2</w:t>
            </w:r>
            <w:r>
              <w:rPr>
                <w:rFonts w:cs="Arial"/>
                <w:color w:val="000000"/>
                <w:sz w:val="20"/>
                <w:szCs w:val="20"/>
              </w:rPr>
              <w:t>m</w:t>
            </w:r>
          </w:p>
        </w:tc>
        <w:tc>
          <w:tcPr>
            <w:tcW w:w="964" w:type="dxa"/>
            <w:tcBorders>
              <w:top w:val="nil"/>
              <w:left w:val="nil"/>
              <w:bottom w:val="single" w:sz="8" w:space="0" w:color="auto"/>
              <w:right w:val="nil"/>
            </w:tcBorders>
            <w:shd w:val="clear" w:color="auto" w:fill="auto"/>
            <w:vAlign w:val="center"/>
            <w:hideMark/>
          </w:tcPr>
          <w:p w14:paraId="56F85322" w14:textId="05EB1A59" w:rsidR="00EB7CBA" w:rsidRDefault="00EB7CBA" w:rsidP="008104F3">
            <w:pPr>
              <w:spacing w:before="40" w:after="40"/>
              <w:jc w:val="right"/>
              <w:rPr>
                <w:rFonts w:cs="Arial"/>
                <w:color w:val="000000"/>
                <w:sz w:val="20"/>
                <w:szCs w:val="20"/>
              </w:rPr>
            </w:pPr>
            <w:r>
              <w:rPr>
                <w:rFonts w:cs="Arial"/>
                <w:color w:val="000000"/>
                <w:sz w:val="20"/>
                <w:szCs w:val="20"/>
              </w:rPr>
              <w:t>$1</w:t>
            </w:r>
            <w:r w:rsidR="005B1247">
              <w:rPr>
                <w:rFonts w:cs="Arial"/>
                <w:color w:val="000000"/>
                <w:sz w:val="20"/>
                <w:szCs w:val="20"/>
              </w:rPr>
              <w:t>5</w:t>
            </w:r>
            <w:r>
              <w:rPr>
                <w:rFonts w:cs="Arial"/>
                <w:color w:val="000000"/>
                <w:sz w:val="20"/>
                <w:szCs w:val="20"/>
              </w:rPr>
              <w:t>.</w:t>
            </w:r>
            <w:r w:rsidR="005B1247">
              <w:rPr>
                <w:rFonts w:cs="Arial"/>
                <w:color w:val="000000"/>
                <w:sz w:val="20"/>
                <w:szCs w:val="20"/>
              </w:rPr>
              <w:t>8</w:t>
            </w:r>
            <w:r>
              <w:rPr>
                <w:rFonts w:cs="Arial"/>
                <w:color w:val="000000"/>
                <w:sz w:val="20"/>
                <w:szCs w:val="20"/>
              </w:rPr>
              <w:t>m</w:t>
            </w:r>
          </w:p>
        </w:tc>
        <w:tc>
          <w:tcPr>
            <w:tcW w:w="964" w:type="dxa"/>
            <w:tcBorders>
              <w:top w:val="nil"/>
              <w:left w:val="nil"/>
              <w:bottom w:val="single" w:sz="8" w:space="0" w:color="auto"/>
              <w:right w:val="nil"/>
            </w:tcBorders>
            <w:shd w:val="clear" w:color="auto" w:fill="auto"/>
            <w:vAlign w:val="center"/>
            <w:hideMark/>
          </w:tcPr>
          <w:p w14:paraId="0F9A1C44" w14:textId="690107D8" w:rsidR="00EB7CBA" w:rsidRDefault="00EB7CBA" w:rsidP="008104F3">
            <w:pPr>
              <w:spacing w:before="40" w:after="40"/>
              <w:jc w:val="right"/>
              <w:rPr>
                <w:rFonts w:cs="Arial"/>
                <w:color w:val="000000"/>
                <w:sz w:val="20"/>
                <w:szCs w:val="20"/>
              </w:rPr>
            </w:pPr>
            <w:r>
              <w:rPr>
                <w:rFonts w:cs="Arial"/>
                <w:color w:val="000000"/>
                <w:sz w:val="20"/>
                <w:szCs w:val="20"/>
              </w:rPr>
              <w:t>$1</w:t>
            </w:r>
            <w:r w:rsidR="005B1247">
              <w:rPr>
                <w:rFonts w:cs="Arial"/>
                <w:color w:val="000000"/>
                <w:sz w:val="20"/>
                <w:szCs w:val="20"/>
              </w:rPr>
              <w:t>3</w:t>
            </w:r>
            <w:r>
              <w:rPr>
                <w:rFonts w:cs="Arial"/>
                <w:color w:val="000000"/>
                <w:sz w:val="20"/>
                <w:szCs w:val="20"/>
              </w:rPr>
              <w:t>.</w:t>
            </w:r>
            <w:r w:rsidR="005B1247">
              <w:rPr>
                <w:rFonts w:cs="Arial"/>
                <w:color w:val="000000"/>
                <w:sz w:val="20"/>
                <w:szCs w:val="20"/>
              </w:rPr>
              <w:t>4</w:t>
            </w:r>
            <w:r>
              <w:rPr>
                <w:rFonts w:cs="Arial"/>
                <w:color w:val="000000"/>
                <w:sz w:val="20"/>
                <w:szCs w:val="20"/>
              </w:rPr>
              <w:t>m</w:t>
            </w:r>
          </w:p>
        </w:tc>
      </w:tr>
    </w:tbl>
    <w:p w14:paraId="22F7774B" w14:textId="7341F9C8" w:rsidR="00A320FA" w:rsidRDefault="00A320FA" w:rsidP="00F60211"/>
    <w:p w14:paraId="4D6E3E47" w14:textId="77342B1F" w:rsidR="00A23981" w:rsidRDefault="00D94DF7" w:rsidP="00D447E0">
      <w:pPr>
        <w:pStyle w:val="Heading2"/>
        <w:rPr>
          <w:rStyle w:val="IntenseEmphasis"/>
          <w:rFonts w:cs="Arial"/>
          <w:i w:val="0"/>
          <w:iCs w:val="0"/>
          <w:sz w:val="36"/>
        </w:rPr>
      </w:pPr>
      <w:r>
        <w:rPr>
          <w:rStyle w:val="IntenseEmphasis"/>
          <w:rFonts w:cs="Arial"/>
          <w:i w:val="0"/>
          <w:iCs w:val="0"/>
          <w:sz w:val="36"/>
        </w:rPr>
        <w:t xml:space="preserve">Capital planning </w:t>
      </w:r>
      <w:r w:rsidR="00237BE2">
        <w:rPr>
          <w:rStyle w:val="IntenseEmphasis"/>
          <w:rFonts w:cs="Arial"/>
          <w:i w:val="0"/>
          <w:iCs w:val="0"/>
          <w:sz w:val="36"/>
        </w:rPr>
        <w:t xml:space="preserve">assumptions </w:t>
      </w:r>
      <w:r>
        <w:rPr>
          <w:rStyle w:val="IntenseEmphasis"/>
          <w:rFonts w:cs="Arial"/>
          <w:i w:val="0"/>
          <w:iCs w:val="0"/>
          <w:sz w:val="36"/>
        </w:rPr>
        <w:t xml:space="preserve">and </w:t>
      </w:r>
      <w:r w:rsidR="00A6582C">
        <w:rPr>
          <w:rStyle w:val="IntenseEmphasis"/>
          <w:rFonts w:cs="Arial"/>
          <w:i w:val="0"/>
          <w:iCs w:val="0"/>
          <w:sz w:val="36"/>
        </w:rPr>
        <w:t>prioritisation</w:t>
      </w:r>
      <w:r>
        <w:rPr>
          <w:rStyle w:val="IntenseEmphasis"/>
          <w:rFonts w:cs="Arial"/>
          <w:i w:val="0"/>
          <w:iCs w:val="0"/>
          <w:sz w:val="36"/>
        </w:rPr>
        <w:t xml:space="preserve"> </w:t>
      </w:r>
      <w:r w:rsidR="00760325">
        <w:rPr>
          <w:rStyle w:val="IntenseEmphasis"/>
          <w:rFonts w:cs="Arial"/>
          <w:i w:val="0"/>
          <w:iCs w:val="0"/>
          <w:sz w:val="36"/>
        </w:rPr>
        <w:t>methodology</w:t>
      </w:r>
    </w:p>
    <w:p w14:paraId="766992DE" w14:textId="1BB0E22E" w:rsidR="00EC583E" w:rsidRDefault="00F83898" w:rsidP="008104F3">
      <w:pPr>
        <w:jc w:val="both"/>
      </w:pPr>
      <w:r>
        <w:t>We</w:t>
      </w:r>
      <w:r w:rsidR="00EC583E">
        <w:t xml:space="preserve"> undertook a detailed review of </w:t>
      </w:r>
      <w:r>
        <w:t>our</w:t>
      </w:r>
      <w:r w:rsidR="00EC583E">
        <w:t xml:space="preserve"> capital investment requirements, which has informed the development of this capital expenditure forecast. This included a review of all assets, a program of asset inspections and condition assessments and rationing investment based on a set of criteria</w:t>
      </w:r>
      <w:r w:rsidR="29EB1C5A">
        <w:t>, including our goal of reducing our current asset backlog</w:t>
      </w:r>
      <w:r w:rsidR="0F57108C">
        <w:t>.</w:t>
      </w:r>
      <w:r w:rsidR="00EC583E">
        <w:t xml:space="preserve"> This data is </w:t>
      </w:r>
      <w:r w:rsidR="29EB1C5A">
        <w:t xml:space="preserve">then </w:t>
      </w:r>
      <w:r w:rsidR="00EC583E">
        <w:t xml:space="preserve">captured in </w:t>
      </w:r>
      <w:r>
        <w:t>our</w:t>
      </w:r>
      <w:r w:rsidR="00EC583E">
        <w:t xml:space="preserve"> 25-year capital plan. Finally, </w:t>
      </w:r>
      <w:r>
        <w:t>our</w:t>
      </w:r>
      <w:r w:rsidR="00EC583E">
        <w:t xml:space="preserve"> Capital Prioritisation Tool has been used to develop and optimise the capital program, which has been reviewed and endorsed by </w:t>
      </w:r>
      <w:r>
        <w:t>our</w:t>
      </w:r>
      <w:r w:rsidR="00EC583E">
        <w:t xml:space="preserve"> Capital Investment Review Team. </w:t>
      </w:r>
    </w:p>
    <w:p w14:paraId="4B344423" w14:textId="4D7451E3" w:rsidR="00EC583E" w:rsidRDefault="00EC583E" w:rsidP="008104F3">
      <w:pPr>
        <w:jc w:val="both"/>
      </w:pPr>
      <w:r>
        <w:t xml:space="preserve">The Capital Prioritisation Tool generates capital plan proposals/scenarios based on risk and a value driver, using the following prioritisation steps before asset management strategies (including deferrals) are considered. Expenditure was </w:t>
      </w:r>
      <w:r w:rsidR="004828CF">
        <w:t>prioritised and</w:t>
      </w:r>
      <w:r>
        <w:t xml:space="preserve"> included in the capital forecast for this regulatory period </w:t>
      </w:r>
      <w:r w:rsidR="00E94D56">
        <w:t>based on</w:t>
      </w:r>
      <w:r>
        <w:t xml:space="preserve"> the following c</w:t>
      </w:r>
      <w:r w:rsidR="00E94D56">
        <w:t>riteria</w:t>
      </w:r>
      <w:r>
        <w:t xml:space="preserve">: </w:t>
      </w:r>
    </w:p>
    <w:p w14:paraId="2F26C55D" w14:textId="57464633" w:rsidR="00EC583E" w:rsidRPr="00E807FF" w:rsidRDefault="00EC583E" w:rsidP="008104F3">
      <w:pPr>
        <w:pStyle w:val="Bulletpointparagraph"/>
        <w:jc w:val="both"/>
        <w:rPr>
          <w:rStyle w:val="IntenseEmphasis"/>
          <w:rFonts w:cs="Arial"/>
          <w:i w:val="0"/>
          <w:iCs w:val="0"/>
          <w:color w:val="auto"/>
        </w:rPr>
      </w:pPr>
      <w:r w:rsidRPr="00E807FF">
        <w:rPr>
          <w:rStyle w:val="IntenseEmphasis"/>
          <w:rFonts w:cs="Arial"/>
          <w:i w:val="0"/>
          <w:iCs w:val="0"/>
          <w:color w:val="auto"/>
        </w:rPr>
        <w:t>An existing project was underway prior to the commencement of the regulatory period, this should be completed</w:t>
      </w:r>
      <w:r w:rsidR="00884A25">
        <w:rPr>
          <w:rStyle w:val="IntenseEmphasis"/>
          <w:rFonts w:cs="Arial"/>
          <w:i w:val="0"/>
          <w:iCs w:val="0"/>
          <w:color w:val="auto"/>
        </w:rPr>
        <w:t>.</w:t>
      </w:r>
    </w:p>
    <w:p w14:paraId="7D6E41AB" w14:textId="3DFFF06A" w:rsidR="00EC583E" w:rsidRPr="00E807FF" w:rsidRDefault="00EC583E" w:rsidP="008104F3">
      <w:pPr>
        <w:pStyle w:val="Bulletpointparagraph"/>
        <w:jc w:val="both"/>
        <w:rPr>
          <w:rStyle w:val="IntenseEmphasis"/>
          <w:rFonts w:cs="Arial"/>
          <w:i w:val="0"/>
          <w:iCs w:val="0"/>
          <w:color w:val="auto"/>
        </w:rPr>
      </w:pPr>
      <w:r w:rsidRPr="00E807FF">
        <w:rPr>
          <w:rStyle w:val="IntenseEmphasis"/>
          <w:rFonts w:cs="Arial"/>
          <w:i w:val="0"/>
          <w:iCs w:val="0"/>
          <w:color w:val="auto"/>
        </w:rPr>
        <w:t>Capital works of a value under $150,000. This setting assists in developing annual minor asset renewals programs</w:t>
      </w:r>
      <w:r w:rsidR="00884A25">
        <w:rPr>
          <w:rStyle w:val="IntenseEmphasis"/>
          <w:rFonts w:cs="Arial"/>
          <w:i w:val="0"/>
          <w:iCs w:val="0"/>
          <w:color w:val="auto"/>
        </w:rPr>
        <w:t>.</w:t>
      </w:r>
    </w:p>
    <w:p w14:paraId="09DA48DE" w14:textId="0054ECFB" w:rsidR="00EC583E" w:rsidRPr="00E807FF" w:rsidRDefault="00EC583E" w:rsidP="008104F3">
      <w:pPr>
        <w:pStyle w:val="Bulletpointparagraph"/>
        <w:jc w:val="both"/>
        <w:rPr>
          <w:rStyle w:val="IntenseEmphasis"/>
          <w:rFonts w:cs="Arial"/>
          <w:i w:val="0"/>
          <w:iCs w:val="0"/>
          <w:color w:val="auto"/>
        </w:rPr>
      </w:pPr>
      <w:r w:rsidRPr="00E807FF">
        <w:rPr>
          <w:rStyle w:val="IntenseEmphasis"/>
          <w:rFonts w:cs="Arial"/>
          <w:i w:val="0"/>
          <w:iCs w:val="0"/>
          <w:color w:val="auto"/>
        </w:rPr>
        <w:t xml:space="preserve">Included based on compliance/safety if the works were to meet a compliance or safety obligation, including legal duties, </w:t>
      </w:r>
      <w:r w:rsidR="00884A25">
        <w:rPr>
          <w:rStyle w:val="IntenseEmphasis"/>
          <w:rFonts w:cs="Arial"/>
          <w:i w:val="0"/>
          <w:iCs w:val="0"/>
          <w:color w:val="auto"/>
        </w:rPr>
        <w:t>s</w:t>
      </w:r>
      <w:r w:rsidRPr="00E807FF">
        <w:rPr>
          <w:rStyle w:val="IntenseEmphasis"/>
          <w:rFonts w:cs="Arial"/>
          <w:i w:val="0"/>
          <w:iCs w:val="0"/>
          <w:color w:val="auto"/>
        </w:rPr>
        <w:t xml:space="preserve">tate </w:t>
      </w:r>
      <w:r w:rsidR="00884A25">
        <w:rPr>
          <w:rStyle w:val="IntenseEmphasis"/>
          <w:rFonts w:cs="Arial"/>
          <w:i w:val="0"/>
          <w:iCs w:val="0"/>
          <w:color w:val="auto"/>
        </w:rPr>
        <w:t>g</w:t>
      </w:r>
      <w:r w:rsidRPr="00E807FF">
        <w:rPr>
          <w:rStyle w:val="IntenseEmphasis"/>
          <w:rFonts w:cs="Arial"/>
          <w:i w:val="0"/>
          <w:iCs w:val="0"/>
          <w:color w:val="auto"/>
        </w:rPr>
        <w:t>overnment requirements (Statement of Obligations, guidelines, and policies), business requirements (such as security and privacy) and relevant industry-based guidelines (such as ANCOLD)</w:t>
      </w:r>
      <w:r w:rsidR="00884A25">
        <w:rPr>
          <w:rStyle w:val="IntenseEmphasis"/>
          <w:rFonts w:cs="Arial"/>
          <w:i w:val="0"/>
          <w:iCs w:val="0"/>
          <w:color w:val="auto"/>
        </w:rPr>
        <w:t>.</w:t>
      </w:r>
    </w:p>
    <w:p w14:paraId="162A16FC" w14:textId="551405C4" w:rsidR="00EC583E" w:rsidRPr="00E807FF" w:rsidRDefault="00EC583E" w:rsidP="008104F3">
      <w:pPr>
        <w:pStyle w:val="Bulletpointparagraph"/>
        <w:jc w:val="both"/>
        <w:rPr>
          <w:rStyle w:val="IntenseEmphasis"/>
          <w:rFonts w:cs="Arial"/>
          <w:i w:val="0"/>
          <w:iCs w:val="0"/>
          <w:color w:val="auto"/>
        </w:rPr>
      </w:pPr>
      <w:r w:rsidRPr="00E807FF">
        <w:rPr>
          <w:rStyle w:val="IntenseEmphasis"/>
          <w:rFonts w:cs="Arial"/>
          <w:i w:val="0"/>
          <w:iCs w:val="0"/>
          <w:color w:val="auto"/>
        </w:rPr>
        <w:t>Included based on risk if the risk rating of the asset/works was high or above</w:t>
      </w:r>
      <w:r w:rsidR="00884A25">
        <w:rPr>
          <w:rStyle w:val="IntenseEmphasis"/>
          <w:rFonts w:cs="Arial"/>
          <w:i w:val="0"/>
          <w:iCs w:val="0"/>
          <w:color w:val="auto"/>
        </w:rPr>
        <w:t>.</w:t>
      </w:r>
    </w:p>
    <w:p w14:paraId="67C08D13" w14:textId="6D2DB6DB" w:rsidR="00EC583E" w:rsidRPr="005E59DE" w:rsidRDefault="00EC583E" w:rsidP="008104F3">
      <w:pPr>
        <w:pStyle w:val="Bulletpointparagraph"/>
        <w:jc w:val="both"/>
        <w:rPr>
          <w:rStyle w:val="IntenseEmphasis"/>
          <w:rFonts w:cs="Arial"/>
          <w:i w:val="0"/>
          <w:iCs w:val="0"/>
          <w:color w:val="auto"/>
        </w:rPr>
      </w:pPr>
      <w:r w:rsidRPr="005E59DE">
        <w:rPr>
          <w:rStyle w:val="IntenseEmphasis"/>
          <w:rFonts w:cs="Arial"/>
          <w:i w:val="0"/>
          <w:iCs w:val="0"/>
          <w:color w:val="auto"/>
        </w:rPr>
        <w:t>Included based on customer benefit if the customer benefit was rated high or above.</w:t>
      </w:r>
    </w:p>
    <w:p w14:paraId="0BD6720F" w14:textId="55CBCABE" w:rsidR="006C0B53" w:rsidRDefault="006C0B53" w:rsidP="008104F3">
      <w:pPr>
        <w:jc w:val="both"/>
      </w:pPr>
      <w:r>
        <w:t xml:space="preserve">The following table demonstrates the share of the capital expenditure forecast attributable to each of these </w:t>
      </w:r>
      <w:r w:rsidR="0011465D">
        <w:t>cases</w:t>
      </w:r>
      <w:r>
        <w:t>.</w:t>
      </w:r>
    </w:p>
    <w:p w14:paraId="55058522" w14:textId="543905A6" w:rsidR="00EE4942" w:rsidRPr="004C0DC4" w:rsidRDefault="0082330A" w:rsidP="008104F3">
      <w:pPr>
        <w:pStyle w:val="Bulletpointparagraph"/>
        <w:numPr>
          <w:ilvl w:val="0"/>
          <w:numId w:val="0"/>
        </w:numPr>
        <w:jc w:val="both"/>
        <w:rPr>
          <w:rStyle w:val="IntenseEmphasis"/>
          <w:rFonts w:eastAsia="Times New Roman" w:cs="Arial"/>
          <w:i w:val="0"/>
          <w:iCs w:val="0"/>
          <w:color w:val="auto"/>
          <w:lang w:eastAsia="en-AU"/>
        </w:rPr>
      </w:pPr>
      <w:r>
        <w:t>The required capital expenditure is based on a P50 estimate, which has been developed for capital project business case estimates in accordance with the Australian Government guidelines on deterministic contingency for projects under $25 millio</w:t>
      </w:r>
      <w:r w:rsidR="00D220B6">
        <w:t>n</w:t>
      </w:r>
      <w:r w:rsidR="00D220B6">
        <w:rPr>
          <w:rStyle w:val="FootnoteReference"/>
        </w:rPr>
        <w:footnoteReference w:id="2"/>
      </w:r>
      <w:r>
        <w:t>. This method models the expected outcomes of project cost risk items to generate 50</w:t>
      </w:r>
      <w:r>
        <w:rPr>
          <w:vertAlign w:val="superscript"/>
        </w:rPr>
        <w:t>th</w:t>
      </w:r>
      <w:r>
        <w:t xml:space="preserve"> percentile (P50) and 90</w:t>
      </w:r>
      <w:r>
        <w:rPr>
          <w:vertAlign w:val="superscript"/>
        </w:rPr>
        <w:t>th</w:t>
      </w:r>
      <w:r>
        <w:t xml:space="preserve"> percentile (P90) project estimates, thereby developing a fit-for-purpose contingency estimate for each capital project business case. This demonstrates SRW’s industry-standard approach to cost risk management.</w:t>
      </w:r>
    </w:p>
    <w:p w14:paraId="7D4F6F5A" w14:textId="499E6ADF" w:rsidR="005D57DB" w:rsidRPr="005835A8" w:rsidRDefault="005835A8" w:rsidP="005835A8">
      <w:pPr>
        <w:pStyle w:val="Caption"/>
        <w:rPr>
          <w:b/>
          <w:bCs/>
          <w:i w:val="0"/>
          <w:iCs w:val="0"/>
          <w:color w:val="00B1B0" w:themeColor="accent1"/>
          <w:sz w:val="20"/>
          <w:szCs w:val="20"/>
        </w:rPr>
      </w:pPr>
      <w:r w:rsidRPr="005835A8">
        <w:rPr>
          <w:b/>
          <w:bCs/>
          <w:i w:val="0"/>
          <w:iCs w:val="0"/>
          <w:color w:val="00B1B0" w:themeColor="accent1"/>
          <w:sz w:val="20"/>
          <w:szCs w:val="20"/>
        </w:rPr>
        <w:t xml:space="preserve">Table </w:t>
      </w:r>
      <w:r w:rsidRPr="005835A8">
        <w:rPr>
          <w:b/>
          <w:bCs/>
          <w:i w:val="0"/>
          <w:iCs w:val="0"/>
          <w:color w:val="00B1B0" w:themeColor="accent1"/>
          <w:sz w:val="20"/>
          <w:szCs w:val="20"/>
        </w:rPr>
        <w:fldChar w:fldCharType="begin"/>
      </w:r>
      <w:r w:rsidRPr="005835A8">
        <w:rPr>
          <w:b/>
          <w:bCs/>
          <w:i w:val="0"/>
          <w:iCs w:val="0"/>
          <w:color w:val="00B1B0" w:themeColor="accent1"/>
          <w:sz w:val="20"/>
          <w:szCs w:val="20"/>
        </w:rPr>
        <w:instrText xml:space="preserve"> SEQ Table \* ARABIC </w:instrText>
      </w:r>
      <w:r w:rsidRPr="005835A8">
        <w:rPr>
          <w:b/>
          <w:bCs/>
          <w:i w:val="0"/>
          <w:iCs w:val="0"/>
          <w:color w:val="00B1B0" w:themeColor="accent1"/>
          <w:sz w:val="20"/>
          <w:szCs w:val="20"/>
        </w:rPr>
        <w:fldChar w:fldCharType="separate"/>
      </w:r>
      <w:r w:rsidR="008126A8">
        <w:rPr>
          <w:b/>
          <w:bCs/>
          <w:i w:val="0"/>
          <w:iCs w:val="0"/>
          <w:noProof/>
          <w:color w:val="00B1B0" w:themeColor="accent1"/>
          <w:sz w:val="20"/>
          <w:szCs w:val="20"/>
        </w:rPr>
        <w:t>16</w:t>
      </w:r>
      <w:r w:rsidRPr="005835A8">
        <w:rPr>
          <w:b/>
          <w:bCs/>
          <w:i w:val="0"/>
          <w:iCs w:val="0"/>
          <w:color w:val="00B1B0" w:themeColor="accent1"/>
          <w:sz w:val="20"/>
          <w:szCs w:val="20"/>
        </w:rPr>
        <w:fldChar w:fldCharType="end"/>
      </w:r>
      <w:r w:rsidRPr="005835A8">
        <w:rPr>
          <w:b/>
          <w:bCs/>
          <w:i w:val="0"/>
          <w:iCs w:val="0"/>
          <w:color w:val="00B1B0" w:themeColor="accent1"/>
          <w:sz w:val="20"/>
          <w:szCs w:val="20"/>
        </w:rPr>
        <w:t xml:space="preserve"> </w:t>
      </w:r>
      <w:r w:rsidR="008104F3">
        <w:rPr>
          <w:b/>
          <w:bCs/>
          <w:i w:val="0"/>
          <w:iCs w:val="0"/>
          <w:color w:val="00B1B0" w:themeColor="accent1"/>
          <w:sz w:val="20"/>
          <w:szCs w:val="20"/>
        </w:rPr>
        <w:t>–</w:t>
      </w:r>
      <w:r w:rsidRPr="005835A8">
        <w:rPr>
          <w:b/>
          <w:bCs/>
          <w:i w:val="0"/>
          <w:iCs w:val="0"/>
          <w:color w:val="00B1B0" w:themeColor="accent1"/>
          <w:sz w:val="20"/>
          <w:szCs w:val="20"/>
        </w:rPr>
        <w:t xml:space="preserve"> </w:t>
      </w:r>
      <w:r w:rsidR="005D57DB" w:rsidRPr="005835A8">
        <w:rPr>
          <w:b/>
          <w:bCs/>
          <w:i w:val="0"/>
          <w:iCs w:val="0"/>
          <w:color w:val="00B1B0" w:themeColor="accent1"/>
          <w:sz w:val="20"/>
          <w:szCs w:val="20"/>
        </w:rPr>
        <w:t>CAPEX</w:t>
      </w:r>
      <w:r w:rsidR="00672892" w:rsidRPr="005835A8">
        <w:rPr>
          <w:b/>
          <w:bCs/>
          <w:i w:val="0"/>
          <w:iCs w:val="0"/>
          <w:color w:val="00B1B0" w:themeColor="accent1"/>
          <w:sz w:val="20"/>
          <w:szCs w:val="20"/>
        </w:rPr>
        <w:t xml:space="preserve"> </w:t>
      </w:r>
      <w:r w:rsidR="00391F78" w:rsidRPr="005835A8">
        <w:rPr>
          <w:b/>
          <w:bCs/>
          <w:i w:val="0"/>
          <w:iCs w:val="0"/>
          <w:color w:val="00B1B0" w:themeColor="accent1"/>
          <w:sz w:val="20"/>
          <w:szCs w:val="20"/>
        </w:rPr>
        <w:t>based on prioritisation criteria</w:t>
      </w:r>
    </w:p>
    <w:tbl>
      <w:tblPr>
        <w:tblStyle w:val="ReportTable-TealRows"/>
        <w:tblW w:w="9639" w:type="dxa"/>
        <w:tblLook w:val="04A0" w:firstRow="1" w:lastRow="0" w:firstColumn="1" w:lastColumn="0" w:noHBand="0" w:noVBand="1"/>
      </w:tblPr>
      <w:tblGrid>
        <w:gridCol w:w="5812"/>
        <w:gridCol w:w="3827"/>
      </w:tblGrid>
      <w:tr w:rsidR="00E807FF" w:rsidRPr="008104F3" w14:paraId="52F4E0A2" w14:textId="77777777" w:rsidTr="006702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vAlign w:val="top"/>
          </w:tcPr>
          <w:p w14:paraId="5D3F4789" w14:textId="2A451F78" w:rsidR="00E807FF" w:rsidRPr="00192F41" w:rsidRDefault="00E94D56" w:rsidP="008104F3">
            <w:pPr>
              <w:spacing w:before="40" w:after="40"/>
              <w:rPr>
                <w:rFonts w:cs="Arial"/>
                <w:sz w:val="20"/>
                <w:szCs w:val="20"/>
                <w:shd w:val="clear" w:color="auto" w:fill="FAF9F8"/>
              </w:rPr>
            </w:pPr>
            <w:r w:rsidRPr="008104F3">
              <w:rPr>
                <w:sz w:val="20"/>
                <w:szCs w:val="20"/>
              </w:rPr>
              <w:t>Prioritisation criteria</w:t>
            </w:r>
          </w:p>
        </w:tc>
        <w:tc>
          <w:tcPr>
            <w:tcW w:w="3827" w:type="dxa"/>
            <w:vAlign w:val="top"/>
          </w:tcPr>
          <w:p w14:paraId="5FA8348D" w14:textId="31D497A5" w:rsidR="00E807FF" w:rsidRPr="00192F41" w:rsidRDefault="00E807FF" w:rsidP="007630BF">
            <w:pPr>
              <w:spacing w:before="40" w:after="40"/>
              <w:jc w:val="center"/>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8104F3">
              <w:rPr>
                <w:sz w:val="20"/>
                <w:szCs w:val="20"/>
              </w:rPr>
              <w:t>Total value over regulatory period</w:t>
            </w:r>
          </w:p>
        </w:tc>
      </w:tr>
      <w:tr w:rsidR="00670249" w:rsidRPr="00192F41" w14:paraId="22ACAB2C" w14:textId="77777777" w:rsidTr="00670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vAlign w:val="top"/>
          </w:tcPr>
          <w:p w14:paraId="175A97C5" w14:textId="04FC67EE" w:rsidR="00670249" w:rsidRPr="006A4F9B" w:rsidRDefault="00670249" w:rsidP="008104F3">
            <w:pPr>
              <w:spacing w:before="40" w:after="40"/>
              <w:jc w:val="both"/>
              <w:rPr>
                <w:rFonts w:cs="Arial"/>
                <w:color w:val="000000" w:themeColor="text1"/>
                <w:szCs w:val="20"/>
                <w:shd w:val="clear" w:color="auto" w:fill="FAF9F8"/>
              </w:rPr>
            </w:pPr>
            <w:r w:rsidRPr="006A4F9B">
              <w:t>Existing projects already commenced and yet to be completed</w:t>
            </w:r>
          </w:p>
        </w:tc>
        <w:tc>
          <w:tcPr>
            <w:tcW w:w="3827" w:type="dxa"/>
            <w:vAlign w:val="top"/>
          </w:tcPr>
          <w:p w14:paraId="097D3025" w14:textId="1E472E01" w:rsidR="00670249" w:rsidRPr="00192F41" w:rsidRDefault="00670249" w:rsidP="008104F3">
            <w:pPr>
              <w:spacing w:before="40" w:after="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7643C1">
              <w:t>$</w:t>
            </w:r>
            <w:r w:rsidR="00256121">
              <w:t>43.3</w:t>
            </w:r>
            <w:r w:rsidR="009765F3">
              <w:t>m</w:t>
            </w:r>
          </w:p>
        </w:tc>
      </w:tr>
      <w:tr w:rsidR="004B449E" w:rsidRPr="00192F41" w14:paraId="121A34EF" w14:textId="77777777" w:rsidTr="00670249">
        <w:tc>
          <w:tcPr>
            <w:cnfStyle w:val="001000000000" w:firstRow="0" w:lastRow="0" w:firstColumn="1" w:lastColumn="0" w:oddVBand="0" w:evenVBand="0" w:oddHBand="0" w:evenHBand="0" w:firstRowFirstColumn="0" w:firstRowLastColumn="0" w:lastRowFirstColumn="0" w:lastRowLastColumn="0"/>
            <w:tcW w:w="5812" w:type="dxa"/>
            <w:vAlign w:val="top"/>
          </w:tcPr>
          <w:p w14:paraId="72EF0F7C" w14:textId="290AE6D2" w:rsidR="004B449E" w:rsidRDefault="004B449E" w:rsidP="008104F3">
            <w:pPr>
              <w:spacing w:before="40" w:after="40"/>
              <w:jc w:val="both"/>
            </w:pPr>
            <w:r>
              <w:t>New projects in 2023-28 regulatory period</w:t>
            </w:r>
          </w:p>
        </w:tc>
        <w:tc>
          <w:tcPr>
            <w:tcW w:w="3827" w:type="dxa"/>
            <w:vAlign w:val="top"/>
          </w:tcPr>
          <w:p w14:paraId="583205ED" w14:textId="77777777" w:rsidR="004B449E" w:rsidRPr="007643C1" w:rsidRDefault="004B449E" w:rsidP="008104F3">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670249" w:rsidRPr="00192F41" w14:paraId="76FD940C" w14:textId="77777777" w:rsidTr="00670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vAlign w:val="top"/>
          </w:tcPr>
          <w:p w14:paraId="552F8582" w14:textId="2FB7D3A8" w:rsidR="00670249" w:rsidRPr="006A4F9B" w:rsidRDefault="00670249" w:rsidP="008104F3">
            <w:pPr>
              <w:spacing w:before="40" w:after="40"/>
              <w:jc w:val="both"/>
              <w:rPr>
                <w:rFonts w:cs="Arial"/>
                <w:color w:val="000000" w:themeColor="text1"/>
                <w:szCs w:val="20"/>
                <w:shd w:val="clear" w:color="auto" w:fill="FAF9F8"/>
              </w:rPr>
            </w:pPr>
            <w:r w:rsidRPr="006A4F9B">
              <w:t>Renewal program works under $150,000</w:t>
            </w:r>
          </w:p>
        </w:tc>
        <w:tc>
          <w:tcPr>
            <w:tcW w:w="3827" w:type="dxa"/>
            <w:vAlign w:val="top"/>
          </w:tcPr>
          <w:p w14:paraId="1B21B3DB" w14:textId="64B2C6E7" w:rsidR="00670249" w:rsidRPr="00192F41" w:rsidRDefault="00670249" w:rsidP="008104F3">
            <w:pPr>
              <w:spacing w:before="40" w:after="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7643C1">
              <w:t>$</w:t>
            </w:r>
            <w:r w:rsidR="006E7302">
              <w:t>22</w:t>
            </w:r>
            <w:r w:rsidR="00256121">
              <w:t>.</w:t>
            </w:r>
            <w:r w:rsidR="006E7302">
              <w:t>3</w:t>
            </w:r>
            <w:r w:rsidR="009765F3">
              <w:t>m</w:t>
            </w:r>
          </w:p>
        </w:tc>
      </w:tr>
      <w:tr w:rsidR="00670249" w:rsidRPr="00192F41" w14:paraId="37902C96" w14:textId="77777777" w:rsidTr="00670249">
        <w:tc>
          <w:tcPr>
            <w:cnfStyle w:val="001000000000" w:firstRow="0" w:lastRow="0" w:firstColumn="1" w:lastColumn="0" w:oddVBand="0" w:evenVBand="0" w:oddHBand="0" w:evenHBand="0" w:firstRowFirstColumn="0" w:firstRowLastColumn="0" w:lastRowFirstColumn="0" w:lastRowLastColumn="0"/>
            <w:tcW w:w="5812" w:type="dxa"/>
            <w:vAlign w:val="top"/>
          </w:tcPr>
          <w:p w14:paraId="6D923B69" w14:textId="33974861" w:rsidR="00670249" w:rsidRPr="006A4F9B" w:rsidRDefault="00670249" w:rsidP="008104F3">
            <w:pPr>
              <w:spacing w:before="40" w:after="40"/>
              <w:jc w:val="both"/>
            </w:pPr>
            <w:r w:rsidRPr="006A4F9B">
              <w:t>Risk</w:t>
            </w:r>
          </w:p>
        </w:tc>
        <w:tc>
          <w:tcPr>
            <w:tcW w:w="3827" w:type="dxa"/>
            <w:vAlign w:val="top"/>
          </w:tcPr>
          <w:p w14:paraId="1DFE159F" w14:textId="004A7567" w:rsidR="00670249" w:rsidRPr="00C72A31" w:rsidRDefault="00670249" w:rsidP="008104F3">
            <w:pPr>
              <w:spacing w:before="40" w:after="40"/>
              <w:jc w:val="center"/>
              <w:cnfStyle w:val="000000000000" w:firstRow="0" w:lastRow="0" w:firstColumn="0" w:lastColumn="0" w:oddVBand="0" w:evenVBand="0" w:oddHBand="0" w:evenHBand="0" w:firstRowFirstColumn="0" w:firstRowLastColumn="0" w:lastRowFirstColumn="0" w:lastRowLastColumn="0"/>
            </w:pPr>
            <w:r w:rsidRPr="007643C1">
              <w:t>$</w:t>
            </w:r>
            <w:r w:rsidR="006E7302">
              <w:t>29</w:t>
            </w:r>
            <w:r w:rsidRPr="007643C1">
              <w:t>.</w:t>
            </w:r>
            <w:r w:rsidR="3F218C3E">
              <w:t>5</w:t>
            </w:r>
            <w:r w:rsidR="73372692">
              <w:t>m</w:t>
            </w:r>
          </w:p>
        </w:tc>
      </w:tr>
      <w:tr w:rsidR="00670249" w:rsidRPr="00192F41" w14:paraId="50FED88D" w14:textId="77777777" w:rsidTr="0067024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12" w:type="dxa"/>
            <w:vAlign w:val="top"/>
          </w:tcPr>
          <w:p w14:paraId="310B3655" w14:textId="6F340978" w:rsidR="00670249" w:rsidRPr="006A4F9B" w:rsidRDefault="00670249" w:rsidP="008104F3">
            <w:pPr>
              <w:spacing w:before="40" w:after="40"/>
              <w:jc w:val="both"/>
            </w:pPr>
            <w:r w:rsidRPr="006A4F9B">
              <w:t>Compliance/Safety</w:t>
            </w:r>
          </w:p>
        </w:tc>
        <w:tc>
          <w:tcPr>
            <w:tcW w:w="3827" w:type="dxa"/>
            <w:vAlign w:val="top"/>
          </w:tcPr>
          <w:p w14:paraId="16302B6E" w14:textId="40BC06C8" w:rsidR="00670249" w:rsidRPr="00C72A31" w:rsidRDefault="00670249" w:rsidP="008104F3">
            <w:pPr>
              <w:spacing w:before="40" w:after="40"/>
              <w:jc w:val="center"/>
              <w:cnfStyle w:val="000000100000" w:firstRow="0" w:lastRow="0" w:firstColumn="0" w:lastColumn="0" w:oddVBand="0" w:evenVBand="0" w:oddHBand="1" w:evenHBand="0" w:firstRowFirstColumn="0" w:firstRowLastColumn="0" w:lastRowFirstColumn="0" w:lastRowLastColumn="0"/>
            </w:pPr>
            <w:r w:rsidRPr="007643C1">
              <w:t>$2</w:t>
            </w:r>
            <w:r w:rsidR="00704476">
              <w:t>5</w:t>
            </w:r>
            <w:r w:rsidRPr="007643C1">
              <w:t>.</w:t>
            </w:r>
            <w:r w:rsidR="00704476">
              <w:t>7</w:t>
            </w:r>
            <w:r w:rsidR="009765F3">
              <w:t>m</w:t>
            </w:r>
          </w:p>
        </w:tc>
      </w:tr>
      <w:tr w:rsidR="00670249" w:rsidRPr="00192F41" w14:paraId="0138A5BD" w14:textId="77777777" w:rsidTr="007630BF">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vAlign w:val="top"/>
          </w:tcPr>
          <w:p w14:paraId="3111C988" w14:textId="7DFB3D33" w:rsidR="00670249" w:rsidRPr="006A4F9B" w:rsidRDefault="00910E8B" w:rsidP="008104F3">
            <w:pPr>
              <w:spacing w:before="40" w:after="40"/>
              <w:jc w:val="both"/>
            </w:pPr>
            <w:r w:rsidRPr="006A4F9B">
              <w:t>Additional c</w:t>
            </w:r>
            <w:r w:rsidR="00670249" w:rsidRPr="006A4F9B">
              <w:t>ustomer benefit</w:t>
            </w:r>
          </w:p>
        </w:tc>
        <w:tc>
          <w:tcPr>
            <w:tcW w:w="0" w:type="dxa"/>
            <w:tcBorders>
              <w:bottom w:val="single" w:sz="4" w:space="0" w:color="auto"/>
            </w:tcBorders>
            <w:vAlign w:val="top"/>
          </w:tcPr>
          <w:p w14:paraId="126D2BDE" w14:textId="31CF3084" w:rsidR="00670249" w:rsidRPr="00C72A31" w:rsidRDefault="00670249" w:rsidP="008104F3">
            <w:pPr>
              <w:spacing w:before="40" w:after="40"/>
              <w:jc w:val="center"/>
              <w:cnfStyle w:val="000000000000" w:firstRow="0" w:lastRow="0" w:firstColumn="0" w:lastColumn="0" w:oddVBand="0" w:evenVBand="0" w:oddHBand="0" w:evenHBand="0" w:firstRowFirstColumn="0" w:firstRowLastColumn="0" w:lastRowFirstColumn="0" w:lastRowLastColumn="0"/>
            </w:pPr>
            <w:r w:rsidRPr="007643C1">
              <w:t>$</w:t>
            </w:r>
            <w:r w:rsidR="00704476">
              <w:t>4</w:t>
            </w:r>
            <w:r w:rsidRPr="007643C1">
              <w:t>.</w:t>
            </w:r>
            <w:r w:rsidR="00704476">
              <w:t>3</w:t>
            </w:r>
            <w:r w:rsidR="009765F3">
              <w:t>m</w:t>
            </w:r>
          </w:p>
        </w:tc>
      </w:tr>
      <w:tr w:rsidR="00670249" w:rsidRPr="00192F41" w14:paraId="24DA524E" w14:textId="77777777" w:rsidTr="007630B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top w:val="single" w:sz="4" w:space="0" w:color="auto"/>
              <w:bottom w:val="single" w:sz="4" w:space="0" w:color="auto"/>
            </w:tcBorders>
            <w:vAlign w:val="top"/>
          </w:tcPr>
          <w:p w14:paraId="753AFF13" w14:textId="525D2DEB" w:rsidR="00670249" w:rsidRPr="00670249" w:rsidRDefault="00670249" w:rsidP="008104F3">
            <w:pPr>
              <w:spacing w:before="40" w:after="40"/>
              <w:rPr>
                <w:b/>
                <w:bCs/>
              </w:rPr>
            </w:pPr>
            <w:r w:rsidRPr="00670249">
              <w:rPr>
                <w:b/>
                <w:bCs/>
              </w:rPr>
              <w:t>Total</w:t>
            </w:r>
          </w:p>
        </w:tc>
        <w:tc>
          <w:tcPr>
            <w:tcW w:w="0" w:type="dxa"/>
            <w:tcBorders>
              <w:top w:val="single" w:sz="4" w:space="0" w:color="auto"/>
              <w:bottom w:val="single" w:sz="4" w:space="0" w:color="auto"/>
            </w:tcBorders>
            <w:vAlign w:val="top"/>
          </w:tcPr>
          <w:p w14:paraId="73587DAD" w14:textId="124E7A79" w:rsidR="00670249" w:rsidRPr="00670249" w:rsidRDefault="00670249" w:rsidP="008104F3">
            <w:pPr>
              <w:spacing w:before="40" w:after="40"/>
              <w:jc w:val="center"/>
              <w:cnfStyle w:val="000000100000" w:firstRow="0" w:lastRow="0" w:firstColumn="0" w:lastColumn="0" w:oddVBand="0" w:evenVBand="0" w:oddHBand="1" w:evenHBand="0" w:firstRowFirstColumn="0" w:firstRowLastColumn="0" w:lastRowFirstColumn="0" w:lastRowLastColumn="0"/>
              <w:rPr>
                <w:b/>
                <w:bCs/>
              </w:rPr>
            </w:pPr>
            <w:r w:rsidRPr="00670249">
              <w:rPr>
                <w:b/>
                <w:bCs/>
              </w:rPr>
              <w:t>$</w:t>
            </w:r>
            <w:r w:rsidR="004D3BD0">
              <w:rPr>
                <w:b/>
                <w:bCs/>
              </w:rPr>
              <w:t>125</w:t>
            </w:r>
            <w:r w:rsidR="00256121">
              <w:rPr>
                <w:b/>
                <w:bCs/>
              </w:rPr>
              <w:t>.</w:t>
            </w:r>
            <w:r w:rsidR="073A0302" w:rsidRPr="7FAEC5DC">
              <w:rPr>
                <w:b/>
                <w:bCs/>
              </w:rPr>
              <w:t>1</w:t>
            </w:r>
            <w:r w:rsidR="73372692" w:rsidRPr="7FAEC5DC">
              <w:rPr>
                <w:b/>
                <w:bCs/>
              </w:rPr>
              <w:t>m</w:t>
            </w:r>
          </w:p>
        </w:tc>
      </w:tr>
    </w:tbl>
    <w:p w14:paraId="17359089" w14:textId="731F81C3" w:rsidR="00670249" w:rsidRPr="009F5956" w:rsidRDefault="006F2608" w:rsidP="00E14E01">
      <w:pPr>
        <w:pStyle w:val="Heading3"/>
      </w:pPr>
      <w:r w:rsidRPr="009F5956">
        <w:t>Existing projects</w:t>
      </w:r>
    </w:p>
    <w:p w14:paraId="1D51887E" w14:textId="66AB5F59" w:rsidR="006C58F7" w:rsidRDefault="006C58F7" w:rsidP="009F68E2">
      <w:pPr>
        <w:jc w:val="both"/>
      </w:pPr>
      <w:r>
        <w:t xml:space="preserve">The largest contributing criteria is the existing projects, this is due largely to the two major modernisation projects which are continuing </w:t>
      </w:r>
      <w:r w:rsidR="60A9EB3F">
        <w:t xml:space="preserve">from the previous regulatory period </w:t>
      </w:r>
      <w:r>
        <w:t>and together have a value of $</w:t>
      </w:r>
      <w:r w:rsidR="1D3A9FCA">
        <w:t>3</w:t>
      </w:r>
      <w:r w:rsidR="1F893D1B">
        <w:t>7</w:t>
      </w:r>
      <w:r w:rsidR="009F5956">
        <w:t xml:space="preserve"> million</w:t>
      </w:r>
      <w:r w:rsidR="7C395AEC">
        <w:t xml:space="preserve"> within the period</w:t>
      </w:r>
      <w:r>
        <w:t>.</w:t>
      </w:r>
    </w:p>
    <w:p w14:paraId="5BEE0DA8" w14:textId="2C20F00D" w:rsidR="006C58F7" w:rsidRDefault="006C58F7" w:rsidP="006C58F7">
      <w:r>
        <w:t xml:space="preserve">Five of the </w:t>
      </w:r>
      <w:r w:rsidR="0093161B">
        <w:t>t</w:t>
      </w:r>
      <w:r>
        <w:t xml:space="preserve">op 10 projects which are discussed further below are existing projects. </w:t>
      </w:r>
    </w:p>
    <w:p w14:paraId="568ED599" w14:textId="77777777" w:rsidR="006C58F7" w:rsidRDefault="006C58F7" w:rsidP="006C58F7">
      <w:r>
        <w:t>Other key existing projects that are continuing into this regulatory period include:</w:t>
      </w:r>
    </w:p>
    <w:p w14:paraId="40A53A2E" w14:textId="30AB0BF1" w:rsidR="006C58F7" w:rsidRPr="00E45C87" w:rsidRDefault="006C58F7" w:rsidP="009F68E2">
      <w:pPr>
        <w:pStyle w:val="Bulletpointparagraph"/>
        <w:jc w:val="both"/>
        <w:rPr>
          <w:rStyle w:val="IntenseEmphasis"/>
          <w:rFonts w:cs="Arial"/>
          <w:i w:val="0"/>
          <w:iCs w:val="0"/>
          <w:color w:val="auto"/>
        </w:rPr>
      </w:pPr>
      <w:r w:rsidRPr="00E45C87">
        <w:rPr>
          <w:rStyle w:val="IntenseEmphasis"/>
          <w:rFonts w:cs="Arial"/>
          <w:i w:val="0"/>
          <w:iCs w:val="0"/>
          <w:color w:val="auto"/>
        </w:rPr>
        <w:t>GW&amp;R modernisation, including automated meter reading and meter surround safety upgrade program</w:t>
      </w:r>
      <w:r w:rsidR="000E37BB">
        <w:rPr>
          <w:rStyle w:val="IntenseEmphasis"/>
          <w:rFonts w:cs="Arial"/>
          <w:i w:val="0"/>
          <w:iCs w:val="0"/>
          <w:color w:val="auto"/>
        </w:rPr>
        <w:t>.</w:t>
      </w:r>
    </w:p>
    <w:p w14:paraId="1DB5CA42" w14:textId="5775DA35" w:rsidR="006C58F7" w:rsidRPr="00E45C87" w:rsidRDefault="1D3A9FCA" w:rsidP="009F68E2">
      <w:pPr>
        <w:pStyle w:val="Bulletpointparagraph"/>
        <w:jc w:val="both"/>
        <w:rPr>
          <w:rStyle w:val="IntenseEmphasis"/>
          <w:rFonts w:eastAsia="Arial" w:cs="Arial"/>
          <w:i w:val="0"/>
          <w:color w:val="auto"/>
        </w:rPr>
      </w:pPr>
      <w:r w:rsidRPr="6B20A4EE">
        <w:rPr>
          <w:rStyle w:val="IntenseEmphasis"/>
          <w:rFonts w:cs="Arial"/>
          <w:i w:val="0"/>
          <w:iCs w:val="0"/>
          <w:color w:val="auto"/>
        </w:rPr>
        <w:t xml:space="preserve">MID – </w:t>
      </w:r>
      <w:r w:rsidR="33B2A6B4" w:rsidRPr="6B20A4EE">
        <w:rPr>
          <w:rStyle w:val="IntenseEmphasis"/>
          <w:rFonts w:cs="Arial"/>
          <w:i w:val="0"/>
          <w:iCs w:val="0"/>
          <w:color w:val="auto"/>
        </w:rPr>
        <w:t xml:space="preserve">Redevelopment of the </w:t>
      </w:r>
      <w:r w:rsidRPr="6B20A4EE">
        <w:rPr>
          <w:rStyle w:val="IntenseEmphasis"/>
          <w:rFonts w:cs="Arial"/>
          <w:i w:val="0"/>
          <w:iCs w:val="0"/>
          <w:color w:val="auto"/>
        </w:rPr>
        <w:t>E</w:t>
      </w:r>
      <w:r w:rsidR="12811B37" w:rsidRPr="6B20A4EE">
        <w:rPr>
          <w:rStyle w:val="IntenseEmphasis"/>
          <w:rFonts w:cs="Arial"/>
          <w:i w:val="0"/>
          <w:iCs w:val="0"/>
          <w:color w:val="auto"/>
        </w:rPr>
        <w:t xml:space="preserve">astern </w:t>
      </w:r>
      <w:r w:rsidRPr="6B20A4EE">
        <w:rPr>
          <w:rStyle w:val="IntenseEmphasis"/>
          <w:rFonts w:cs="Arial"/>
          <w:i w:val="0"/>
          <w:iCs w:val="0"/>
          <w:color w:val="auto"/>
        </w:rPr>
        <w:t>I</w:t>
      </w:r>
      <w:r w:rsidR="0AE51004" w:rsidRPr="6B20A4EE">
        <w:rPr>
          <w:rStyle w:val="IntenseEmphasis"/>
          <w:rFonts w:cs="Arial"/>
          <w:i w:val="0"/>
          <w:iCs w:val="0"/>
          <w:color w:val="auto"/>
        </w:rPr>
        <w:t>rrigation</w:t>
      </w:r>
      <w:r w:rsidRPr="6B20A4EE">
        <w:rPr>
          <w:rStyle w:val="IntenseEmphasis"/>
          <w:rFonts w:cs="Arial"/>
          <w:i w:val="0"/>
          <w:iCs w:val="0"/>
          <w:color w:val="auto"/>
        </w:rPr>
        <w:t xml:space="preserve"> depot back office</w:t>
      </w:r>
      <w:r w:rsidR="5B173DB8" w:rsidRPr="6B20A4EE">
        <w:rPr>
          <w:rStyle w:val="IntenseEmphasis"/>
          <w:rFonts w:cs="Arial"/>
          <w:i w:val="0"/>
          <w:iCs w:val="0"/>
          <w:color w:val="auto"/>
        </w:rPr>
        <w:t xml:space="preserve"> to provide </w:t>
      </w:r>
      <w:r w:rsidR="5FB368ED" w:rsidRPr="6B20A4EE">
        <w:rPr>
          <w:rStyle w:val="IntenseEmphasis"/>
          <w:rFonts w:cs="Arial"/>
          <w:i w:val="0"/>
          <w:iCs w:val="0"/>
          <w:color w:val="auto"/>
        </w:rPr>
        <w:t xml:space="preserve">a </w:t>
      </w:r>
      <w:r w:rsidR="5B173DB8" w:rsidRPr="6B20A4EE">
        <w:rPr>
          <w:rStyle w:val="IntenseEmphasis"/>
          <w:rFonts w:cs="Arial"/>
          <w:i w:val="0"/>
          <w:iCs w:val="0"/>
          <w:color w:val="auto"/>
        </w:rPr>
        <w:t>meeting room and suitable facilities to perform the expanding variety of technical tasks</w:t>
      </w:r>
      <w:r w:rsidR="265C8299" w:rsidRPr="6B20A4EE">
        <w:rPr>
          <w:rStyle w:val="IntenseEmphasis"/>
          <w:rFonts w:cs="Arial"/>
          <w:i w:val="0"/>
          <w:iCs w:val="0"/>
          <w:color w:val="auto"/>
        </w:rPr>
        <w:t>,</w:t>
      </w:r>
      <w:r w:rsidR="5B173DB8" w:rsidRPr="6B20A4EE">
        <w:rPr>
          <w:rStyle w:val="IntenseEmphasis"/>
          <w:rFonts w:cs="Arial"/>
          <w:i w:val="0"/>
          <w:iCs w:val="0"/>
          <w:color w:val="auto"/>
        </w:rPr>
        <w:t xml:space="preserve"> and </w:t>
      </w:r>
      <w:r w:rsidR="6270CEE8" w:rsidRPr="6B20A4EE">
        <w:rPr>
          <w:rStyle w:val="IntenseEmphasis"/>
          <w:rFonts w:cs="Arial"/>
          <w:i w:val="0"/>
          <w:iCs w:val="0"/>
          <w:color w:val="auto"/>
        </w:rPr>
        <w:t xml:space="preserve">to provide safe and efficient </w:t>
      </w:r>
      <w:r w:rsidR="5B173DB8" w:rsidRPr="6B20A4EE">
        <w:rPr>
          <w:rStyle w:val="IntenseEmphasis"/>
          <w:rFonts w:cs="Arial"/>
          <w:i w:val="0"/>
          <w:iCs w:val="0"/>
          <w:color w:val="auto"/>
        </w:rPr>
        <w:t>stor</w:t>
      </w:r>
      <w:r w:rsidR="1531F541" w:rsidRPr="6B20A4EE">
        <w:rPr>
          <w:rStyle w:val="IntenseEmphasis"/>
          <w:rFonts w:cs="Arial"/>
          <w:i w:val="0"/>
          <w:iCs w:val="0"/>
          <w:color w:val="auto"/>
        </w:rPr>
        <w:t>age of</w:t>
      </w:r>
      <w:r w:rsidR="5B173DB8" w:rsidRPr="6B20A4EE">
        <w:rPr>
          <w:rStyle w:val="IntenseEmphasis"/>
          <w:rFonts w:cs="Arial"/>
          <w:i w:val="0"/>
          <w:iCs w:val="0"/>
          <w:color w:val="auto"/>
        </w:rPr>
        <w:t xml:space="preserve"> essential equipment</w:t>
      </w:r>
      <w:r w:rsidR="509B64AE" w:rsidRPr="6B20A4EE">
        <w:rPr>
          <w:rStyle w:val="IntenseEmphasis"/>
          <w:rFonts w:cs="Arial"/>
          <w:i w:val="0"/>
          <w:iCs w:val="0"/>
          <w:color w:val="auto"/>
        </w:rPr>
        <w:t>.</w:t>
      </w:r>
    </w:p>
    <w:p w14:paraId="0FA5A5C5" w14:textId="5AC421CD" w:rsidR="006C58F7" w:rsidRPr="00517DF4" w:rsidRDefault="006C58F7" w:rsidP="009F68E2">
      <w:pPr>
        <w:pStyle w:val="Bulletpointparagraph"/>
        <w:jc w:val="both"/>
        <w:rPr>
          <w:rStyle w:val="IntenseEmphasis"/>
          <w:rFonts w:cs="Arial"/>
          <w:i w:val="0"/>
          <w:color w:val="auto"/>
        </w:rPr>
      </w:pPr>
      <w:r w:rsidRPr="004C6FB8">
        <w:rPr>
          <w:rStyle w:val="IntenseEmphasis"/>
          <w:rFonts w:cs="Arial"/>
          <w:i w:val="0"/>
          <w:color w:val="auto"/>
        </w:rPr>
        <w:t>Renewal Program Works</w:t>
      </w:r>
      <w:r w:rsidR="00517DF4" w:rsidRPr="004C6FB8">
        <w:rPr>
          <w:rStyle w:val="IntenseEmphasis"/>
          <w:rFonts w:cs="Arial"/>
          <w:i w:val="0"/>
          <w:iCs w:val="0"/>
          <w:color w:val="auto"/>
        </w:rPr>
        <w:t xml:space="preserve"> </w:t>
      </w:r>
      <w:r w:rsidR="006733E4">
        <w:rPr>
          <w:rStyle w:val="IntenseEmphasis"/>
          <w:rFonts w:cs="Arial"/>
          <w:i w:val="0"/>
          <w:iCs w:val="0"/>
          <w:color w:val="auto"/>
        </w:rPr>
        <w:t>–</w:t>
      </w:r>
      <w:r w:rsidR="00517DF4" w:rsidRPr="004C6FB8">
        <w:rPr>
          <w:rStyle w:val="IntenseEmphasis"/>
          <w:rFonts w:cs="Arial"/>
          <w:i w:val="0"/>
          <w:iCs w:val="0"/>
          <w:color w:val="auto"/>
        </w:rPr>
        <w:t xml:space="preserve"> </w:t>
      </w:r>
      <w:r w:rsidR="009951A5">
        <w:rPr>
          <w:rStyle w:val="IntenseEmphasis"/>
          <w:rFonts w:cs="Arial"/>
          <w:i w:val="0"/>
          <w:color w:val="auto"/>
        </w:rPr>
        <w:t>Th</w:t>
      </w:r>
      <w:r w:rsidR="006733E4">
        <w:rPr>
          <w:rStyle w:val="IntenseEmphasis"/>
          <w:rFonts w:cs="Arial"/>
          <w:i w:val="0"/>
          <w:color w:val="auto"/>
        </w:rPr>
        <w:t>is includes</w:t>
      </w:r>
      <w:r w:rsidRPr="00517DF4">
        <w:rPr>
          <w:rStyle w:val="IntenseEmphasis"/>
          <w:rFonts w:cs="Arial"/>
          <w:i w:val="0"/>
          <w:color w:val="auto"/>
        </w:rPr>
        <w:t xml:space="preserve"> typical programs of works which are ongoing, small in value (less than $150</w:t>
      </w:r>
      <w:r w:rsidR="009765F3" w:rsidRPr="00517DF4">
        <w:rPr>
          <w:rStyle w:val="IntenseEmphasis"/>
          <w:rFonts w:cs="Arial"/>
          <w:i w:val="0"/>
          <w:color w:val="auto"/>
        </w:rPr>
        <w:t>k</w:t>
      </w:r>
      <w:r w:rsidRPr="00517DF4">
        <w:rPr>
          <w:rStyle w:val="IntenseEmphasis"/>
          <w:rFonts w:cs="Arial"/>
          <w:i w:val="0"/>
          <w:color w:val="auto"/>
        </w:rPr>
        <w:t xml:space="preserve"> per works project) and renewal based.</w:t>
      </w:r>
      <w:r w:rsidR="00821286">
        <w:rPr>
          <w:rStyle w:val="IntenseEmphasis"/>
          <w:rFonts w:cs="Arial"/>
          <w:i w:val="0"/>
          <w:color w:val="auto"/>
        </w:rPr>
        <w:t xml:space="preserve"> </w:t>
      </w:r>
      <w:r w:rsidRPr="00517DF4">
        <w:rPr>
          <w:rStyle w:val="IntenseEmphasis"/>
          <w:rFonts w:cs="Arial"/>
          <w:i w:val="0"/>
          <w:color w:val="auto"/>
        </w:rPr>
        <w:t xml:space="preserve">These types of works include fencing, facilities, security, access tracks, tree removal and condition assessments. </w:t>
      </w:r>
    </w:p>
    <w:p w14:paraId="60D52552" w14:textId="17864FDD" w:rsidR="006C58F7" w:rsidRPr="009F5956" w:rsidRDefault="006C58F7" w:rsidP="006C58F7">
      <w:pPr>
        <w:pStyle w:val="Heading4"/>
      </w:pPr>
      <w:r w:rsidRPr="009F5956">
        <w:t>Risk</w:t>
      </w:r>
    </w:p>
    <w:p w14:paraId="6C05A1D0" w14:textId="77777777" w:rsidR="006C58F7" w:rsidRDefault="006C58F7" w:rsidP="009F68E2">
      <w:pPr>
        <w:jc w:val="both"/>
      </w:pPr>
      <w:r>
        <w:t xml:space="preserve">Risk was a key reason for projects being included, including four of the Top 10 projects which are discussed further below. </w:t>
      </w:r>
    </w:p>
    <w:p w14:paraId="2F1D9F66" w14:textId="10D91338" w:rsidR="006C58F7" w:rsidRDefault="006C58F7" w:rsidP="009F68E2">
      <w:pPr>
        <w:jc w:val="both"/>
      </w:pPr>
      <w:r>
        <w:t xml:space="preserve">Other examples of projects or programs that were included based on risk are channel reconstruction for erosion, regulator replacements, and leak repairs. </w:t>
      </w:r>
    </w:p>
    <w:p w14:paraId="1E78E931" w14:textId="4C76793B" w:rsidR="006C58F7" w:rsidRPr="009F5956" w:rsidRDefault="006C58F7" w:rsidP="006C58F7">
      <w:pPr>
        <w:pStyle w:val="Heading4"/>
      </w:pPr>
      <w:r w:rsidRPr="009F5956">
        <w:t xml:space="preserve">Compliance or </w:t>
      </w:r>
      <w:r w:rsidR="009F5956">
        <w:t>s</w:t>
      </w:r>
      <w:r w:rsidRPr="009F5956">
        <w:t>afety</w:t>
      </w:r>
    </w:p>
    <w:p w14:paraId="1F96CE2D" w14:textId="11B02532" w:rsidR="006C58F7" w:rsidRDefault="006C58F7" w:rsidP="009F68E2">
      <w:pPr>
        <w:jc w:val="both"/>
      </w:pPr>
      <w:r>
        <w:t xml:space="preserve">Capital investment </w:t>
      </w:r>
      <w:r w:rsidR="00342985">
        <w:t>projects</w:t>
      </w:r>
      <w:r>
        <w:t xml:space="preserve"> were included in the program if they were required to meet a compliance or safety objective. This can differ from the cost driver, that is, a project may have been included based on compliance/safety but still have a renewal cost driver. For example, renewing safe access has been included based on safety requirement but remains a renewal project. Other examples of capital works included based on compliance or safety include: ANCOLD requirements, ICT projects, safe access, electrical works and safety systems, inspections</w:t>
      </w:r>
      <w:r w:rsidR="00A55F5D">
        <w:t>,</w:t>
      </w:r>
      <w:r>
        <w:t xml:space="preserve"> and surveys.</w:t>
      </w:r>
    </w:p>
    <w:p w14:paraId="777051DC" w14:textId="2FF740FD" w:rsidR="006C58F7" w:rsidRPr="009F5956" w:rsidRDefault="006233AD" w:rsidP="006C58F7">
      <w:pPr>
        <w:pStyle w:val="Heading4"/>
      </w:pPr>
      <w:r w:rsidRPr="009F5956">
        <w:t>Additional c</w:t>
      </w:r>
      <w:r w:rsidR="006C58F7" w:rsidRPr="009F5956">
        <w:t>ustomer benefit</w:t>
      </w:r>
    </w:p>
    <w:p w14:paraId="2B0169FF" w14:textId="53608307" w:rsidR="006C58F7" w:rsidRDefault="006C58F7" w:rsidP="009F68E2">
      <w:pPr>
        <w:jc w:val="both"/>
      </w:pPr>
      <w:r>
        <w:t>Some items did not meet the criteria for any of the above</w:t>
      </w:r>
      <w:r w:rsidR="00EE575E">
        <w:t>.</w:t>
      </w:r>
      <w:r>
        <w:t xml:space="preserve"> </w:t>
      </w:r>
      <w:r w:rsidR="00EE575E">
        <w:t>H</w:t>
      </w:r>
      <w:r>
        <w:t>owever</w:t>
      </w:r>
      <w:r w:rsidR="00EE575E">
        <w:t>,</w:t>
      </w:r>
      <w:r>
        <w:t xml:space="preserve"> they were expected to provide a high customer benefit and were therefore included. These include projects such as SCADA and ICT</w:t>
      </w:r>
      <w:r w:rsidR="5038F38F">
        <w:t xml:space="preserve"> enhancements</w:t>
      </w:r>
      <w:r w:rsidR="1D3A9FCA">
        <w:t xml:space="preserve">. </w:t>
      </w:r>
    </w:p>
    <w:p w14:paraId="704C25E3" w14:textId="6D7F10F1" w:rsidR="006C58F7" w:rsidRDefault="006C58F7" w:rsidP="009F68E2">
      <w:pPr>
        <w:jc w:val="both"/>
        <w:rPr>
          <w:rFonts w:eastAsia="Arial" w:cs="Arial"/>
        </w:rPr>
      </w:pPr>
      <w:r>
        <w:t>Another example is the Glenmaggie spillway gate bulkhead project (design phase</w:t>
      </w:r>
      <w:r w:rsidR="609FEEAA">
        <w:t xml:space="preserve"> only</w:t>
      </w:r>
      <w:r>
        <w:t>). The project will provide the ability to operate and paint spillway gates with minimal customer disruption. Currently, gate painting requires the storage level to be lowered below the sill level, which can require active lowering of the storage. The bulkhead project will also eliminate the risk of demobilisation during gate painting, which currently occurs if the storage level rises.</w:t>
      </w:r>
      <w:r w:rsidR="14CCB974">
        <w:t xml:space="preserve"> </w:t>
      </w:r>
      <w:r w:rsidR="14CCB974" w:rsidRPr="6B20A4EE">
        <w:rPr>
          <w:rFonts w:eastAsia="Arial" w:cs="Arial"/>
        </w:rPr>
        <w:t>SRW propose to include the capital costs of the design phase only due to current project uncertainty.</w:t>
      </w:r>
    </w:p>
    <w:p w14:paraId="345675E5" w14:textId="7EE6E0C3" w:rsidR="006C58F7" w:rsidRPr="009F5956" w:rsidRDefault="006C58F7" w:rsidP="006C58F7">
      <w:pPr>
        <w:pStyle w:val="Heading4"/>
      </w:pPr>
      <w:r w:rsidRPr="009F5956">
        <w:t xml:space="preserve">Capital </w:t>
      </w:r>
      <w:r w:rsidR="009F5956">
        <w:t>r</w:t>
      </w:r>
      <w:r w:rsidRPr="009F5956">
        <w:t>ationing</w:t>
      </w:r>
    </w:p>
    <w:p w14:paraId="294DDA4F" w14:textId="0662C91F" w:rsidR="006F2608" w:rsidRPr="00D94DF7" w:rsidRDefault="006C58F7" w:rsidP="009F68E2">
      <w:pPr>
        <w:jc w:val="both"/>
      </w:pPr>
      <w:r>
        <w:t xml:space="preserve">In addition to the above, </w:t>
      </w:r>
      <w:r w:rsidR="00EE575E">
        <w:t>we</w:t>
      </w:r>
      <w:r>
        <w:t xml:space="preserve"> also undertook customer consultation which further informed consideration of excluding some projects based on reducing the capital expenditure spend to mitigate price impacts. Options were presented to customers and their feedback provided based on the cost/risk trade-off informed the final selection of the capital expenditure program.</w:t>
      </w:r>
    </w:p>
    <w:p w14:paraId="4585DE2A" w14:textId="7AFA1990" w:rsidR="00C27F82" w:rsidRPr="00A85E63" w:rsidRDefault="00C27F82" w:rsidP="009F5956">
      <w:pPr>
        <w:pStyle w:val="Heading4"/>
      </w:pPr>
      <w:r w:rsidRPr="009F5956">
        <w:t>M</w:t>
      </w:r>
      <w:r w:rsidRPr="00A85E63">
        <w:t xml:space="preserve">ajor </w:t>
      </w:r>
      <w:r w:rsidR="00705714" w:rsidRPr="00A85E63">
        <w:t xml:space="preserve">(Top-10) </w:t>
      </w:r>
      <w:r w:rsidRPr="00A85E63">
        <w:t>capital projects</w:t>
      </w:r>
    </w:p>
    <w:p w14:paraId="00413F28" w14:textId="70F23A80" w:rsidR="00EF4B7D" w:rsidRDefault="003A0C9B" w:rsidP="009F68E2">
      <w:pPr>
        <w:jc w:val="both"/>
        <w:rPr>
          <w:rFonts w:cs="Arial"/>
        </w:rPr>
      </w:pPr>
      <w:r w:rsidRPr="003A0C9B">
        <w:rPr>
          <w:rFonts w:cs="Arial"/>
        </w:rPr>
        <w:t>An overview of each of our top 10 projects by total capital value</w:t>
      </w:r>
      <w:r w:rsidR="00D16E34">
        <w:rPr>
          <w:rFonts w:cs="Arial"/>
        </w:rPr>
        <w:t xml:space="preserve"> (in millions)</w:t>
      </w:r>
      <w:r w:rsidRPr="003A0C9B">
        <w:rPr>
          <w:rFonts w:cs="Arial"/>
        </w:rPr>
        <w:t xml:space="preserve"> is outlined in the </w:t>
      </w:r>
      <w:r w:rsidR="006733E4">
        <w:rPr>
          <w:rFonts w:cs="Arial"/>
        </w:rPr>
        <w:t>tables on the following pages</w:t>
      </w:r>
      <w:r w:rsidR="00E249E3">
        <w:rPr>
          <w:rFonts w:cs="Arial"/>
        </w:rPr>
        <w:t>.</w:t>
      </w:r>
    </w:p>
    <w:p w14:paraId="161E299F" w14:textId="2D155623" w:rsidR="00EF4B7D" w:rsidRDefault="00EF4B7D" w:rsidP="009F68E2">
      <w:pPr>
        <w:jc w:val="both"/>
        <w:rPr>
          <w:rFonts w:cs="Arial"/>
        </w:rPr>
      </w:pPr>
      <w:r>
        <w:rPr>
          <w:rFonts w:cs="Arial"/>
        </w:rPr>
        <w:t>Business cases are available for these projects.</w:t>
      </w:r>
      <w:r w:rsidR="00485EE8">
        <w:rPr>
          <w:rFonts w:cs="Arial"/>
        </w:rPr>
        <w:t xml:space="preserve"> </w:t>
      </w:r>
      <w:r w:rsidR="00D93850">
        <w:rPr>
          <w:rFonts w:cs="Arial"/>
        </w:rPr>
        <w:t>Four of the projects are in delivery (either construction contracts have been awarded or detail design is in progress)</w:t>
      </w:r>
      <w:r w:rsidR="008108C4">
        <w:rPr>
          <w:rFonts w:cs="Arial"/>
        </w:rPr>
        <w:t xml:space="preserve">. </w:t>
      </w:r>
      <w:r w:rsidR="00175AFC">
        <w:rPr>
          <w:rFonts w:cs="Arial"/>
        </w:rPr>
        <w:t>A</w:t>
      </w:r>
      <w:r w:rsidR="0059773D">
        <w:rPr>
          <w:rFonts w:cs="Arial"/>
        </w:rPr>
        <w:t>ll other projects</w:t>
      </w:r>
      <w:r w:rsidR="00175AFC" w:rsidRPr="00175AFC">
        <w:rPr>
          <w:rFonts w:cs="Arial"/>
        </w:rPr>
        <w:t xml:space="preserve"> </w:t>
      </w:r>
      <w:r w:rsidR="00175AFC">
        <w:rPr>
          <w:rFonts w:cs="Arial"/>
        </w:rPr>
        <w:t>are ready for delivery (business case prepared)</w:t>
      </w:r>
      <w:r>
        <w:rPr>
          <w:rFonts w:cs="Arial"/>
        </w:rPr>
        <w:t>.</w:t>
      </w:r>
      <w:r w:rsidR="00CD2D8C">
        <w:rPr>
          <w:rFonts w:cs="Arial"/>
        </w:rPr>
        <w:t xml:space="preserve"> </w:t>
      </w:r>
    </w:p>
    <w:p w14:paraId="3BD6F582" w14:textId="5A93363B" w:rsidR="00E249E3" w:rsidRDefault="003A0C9B" w:rsidP="009F68E2">
      <w:pPr>
        <w:jc w:val="both"/>
        <w:rPr>
          <w:rFonts w:cs="Arial"/>
        </w:rPr>
      </w:pPr>
      <w:r w:rsidRPr="003A0C9B">
        <w:rPr>
          <w:rFonts w:cs="Arial"/>
        </w:rPr>
        <w:t>The total capital expenditure for the top 10 major projects represents around 51% of the planned capital expenditure over the five-year regulatory period.</w:t>
      </w:r>
      <w:r w:rsidR="00444C0C" w:rsidRPr="00444C0C">
        <w:t xml:space="preserve"> </w:t>
      </w:r>
      <w:r w:rsidR="00512D79">
        <w:t xml:space="preserve">All other capital projects are </w:t>
      </w:r>
      <w:r w:rsidR="004E6937">
        <w:t xml:space="preserve">included in the </w:t>
      </w:r>
      <w:r w:rsidR="00444C0C" w:rsidRPr="00444C0C">
        <w:rPr>
          <w:rFonts w:cs="Arial"/>
        </w:rPr>
        <w:t>capital programs</w:t>
      </w:r>
      <w:r w:rsidR="004E6937">
        <w:rPr>
          <w:rFonts w:cs="Arial"/>
        </w:rPr>
        <w:t>, which are described in the subsequent section</w:t>
      </w:r>
      <w:r w:rsidR="00ED6644">
        <w:rPr>
          <w:rFonts w:cs="Arial"/>
        </w:rPr>
        <w:t xml:space="preserve"> of this chapter.</w:t>
      </w:r>
    </w:p>
    <w:p w14:paraId="6B4038B1" w14:textId="3151965B" w:rsidR="006733E4" w:rsidRDefault="006733E4">
      <w:pPr>
        <w:rPr>
          <w:rFonts w:cs="Arial"/>
        </w:rPr>
      </w:pPr>
      <w:r>
        <w:rPr>
          <w:rFonts w:cs="Arial"/>
        </w:rPr>
        <w:br w:type="page"/>
      </w:r>
    </w:p>
    <w:p w14:paraId="1CBFA384" w14:textId="7CB1AC40" w:rsidR="000D789E" w:rsidRPr="005835A8" w:rsidRDefault="005835A8" w:rsidP="009F501D">
      <w:pPr>
        <w:pStyle w:val="Caption"/>
        <w:keepNext/>
        <w:rPr>
          <w:rStyle w:val="IntenseReference"/>
          <w:b w:val="0"/>
          <w:bCs w:val="0"/>
          <w:i w:val="0"/>
          <w:iCs w:val="0"/>
          <w:color w:val="00B1B0" w:themeColor="accent1"/>
          <w:sz w:val="20"/>
          <w:szCs w:val="20"/>
        </w:rPr>
      </w:pPr>
      <w:r w:rsidRPr="005835A8">
        <w:rPr>
          <w:b/>
          <w:bCs/>
          <w:i w:val="0"/>
          <w:iCs w:val="0"/>
          <w:color w:val="00B1B0" w:themeColor="accent1"/>
          <w:sz w:val="20"/>
          <w:szCs w:val="20"/>
        </w:rPr>
        <w:t xml:space="preserve">Table </w:t>
      </w:r>
      <w:r w:rsidRPr="005835A8">
        <w:rPr>
          <w:b/>
          <w:bCs/>
          <w:i w:val="0"/>
          <w:iCs w:val="0"/>
          <w:color w:val="00B1B0" w:themeColor="accent1"/>
          <w:sz w:val="20"/>
          <w:szCs w:val="20"/>
        </w:rPr>
        <w:fldChar w:fldCharType="begin"/>
      </w:r>
      <w:r w:rsidRPr="005835A8">
        <w:rPr>
          <w:b/>
          <w:bCs/>
          <w:i w:val="0"/>
          <w:iCs w:val="0"/>
          <w:color w:val="00B1B0" w:themeColor="accent1"/>
          <w:sz w:val="20"/>
          <w:szCs w:val="20"/>
        </w:rPr>
        <w:instrText xml:space="preserve"> SEQ Table \* ARABIC </w:instrText>
      </w:r>
      <w:r w:rsidRPr="005835A8">
        <w:rPr>
          <w:b/>
          <w:bCs/>
          <w:i w:val="0"/>
          <w:iCs w:val="0"/>
          <w:color w:val="00B1B0" w:themeColor="accent1"/>
          <w:sz w:val="20"/>
          <w:szCs w:val="20"/>
        </w:rPr>
        <w:fldChar w:fldCharType="separate"/>
      </w:r>
      <w:r w:rsidR="008126A8">
        <w:rPr>
          <w:b/>
          <w:bCs/>
          <w:i w:val="0"/>
          <w:iCs w:val="0"/>
          <w:noProof/>
          <w:color w:val="00B1B0" w:themeColor="accent1"/>
          <w:sz w:val="20"/>
          <w:szCs w:val="20"/>
        </w:rPr>
        <w:t>17</w:t>
      </w:r>
      <w:r w:rsidRPr="005835A8">
        <w:rPr>
          <w:b/>
          <w:bCs/>
          <w:i w:val="0"/>
          <w:iCs w:val="0"/>
          <w:color w:val="00B1B0" w:themeColor="accent1"/>
          <w:sz w:val="20"/>
          <w:szCs w:val="20"/>
        </w:rPr>
        <w:fldChar w:fldCharType="end"/>
      </w:r>
      <w:r w:rsidRPr="005835A8">
        <w:rPr>
          <w:b/>
          <w:bCs/>
          <w:i w:val="0"/>
          <w:iCs w:val="0"/>
          <w:color w:val="00B1B0" w:themeColor="accent1"/>
          <w:sz w:val="20"/>
          <w:szCs w:val="20"/>
        </w:rPr>
        <w:t xml:space="preserve"> </w:t>
      </w:r>
      <w:r w:rsidR="009F68E2">
        <w:rPr>
          <w:b/>
          <w:bCs/>
          <w:i w:val="0"/>
          <w:iCs w:val="0"/>
          <w:color w:val="00B1B0" w:themeColor="accent1"/>
          <w:sz w:val="20"/>
          <w:szCs w:val="20"/>
        </w:rPr>
        <w:t>–</w:t>
      </w:r>
      <w:r w:rsidRPr="005835A8">
        <w:rPr>
          <w:b/>
          <w:bCs/>
          <w:i w:val="0"/>
          <w:iCs w:val="0"/>
          <w:color w:val="00B1B0" w:themeColor="accent1"/>
          <w:sz w:val="20"/>
          <w:szCs w:val="20"/>
        </w:rPr>
        <w:t xml:space="preserve"> </w:t>
      </w:r>
      <w:r w:rsidR="000D789E" w:rsidRPr="005835A8">
        <w:rPr>
          <w:b/>
          <w:bCs/>
          <w:i w:val="0"/>
          <w:iCs w:val="0"/>
          <w:color w:val="00B1B0" w:themeColor="accent1"/>
          <w:sz w:val="20"/>
          <w:szCs w:val="20"/>
        </w:rPr>
        <w:t>Top 10 projects</w:t>
      </w:r>
    </w:p>
    <w:tbl>
      <w:tblPr>
        <w:tblW w:w="9923" w:type="dxa"/>
        <w:tblLook w:val="04A0" w:firstRow="1" w:lastRow="0" w:firstColumn="1" w:lastColumn="0" w:noHBand="0" w:noVBand="1"/>
      </w:tblPr>
      <w:tblGrid>
        <w:gridCol w:w="1658"/>
        <w:gridCol w:w="1484"/>
        <w:gridCol w:w="922"/>
        <w:gridCol w:w="930"/>
        <w:gridCol w:w="930"/>
        <w:gridCol w:w="931"/>
        <w:gridCol w:w="930"/>
        <w:gridCol w:w="953"/>
        <w:gridCol w:w="1185"/>
      </w:tblGrid>
      <w:tr w:rsidR="00DE5E6D" w:rsidRPr="009F68E2" w14:paraId="60ED99CF" w14:textId="77777777" w:rsidTr="009F68E2">
        <w:trPr>
          <w:trHeight w:val="732"/>
        </w:trPr>
        <w:tc>
          <w:tcPr>
            <w:tcW w:w="1701" w:type="dxa"/>
            <w:tcBorders>
              <w:top w:val="nil"/>
              <w:left w:val="nil"/>
              <w:right w:val="nil"/>
            </w:tcBorders>
            <w:shd w:val="clear" w:color="auto" w:fill="70CBD0" w:themeFill="accent4"/>
            <w:vAlign w:val="center"/>
            <w:hideMark/>
          </w:tcPr>
          <w:p w14:paraId="467CB789" w14:textId="77777777" w:rsidR="00DE5E6D" w:rsidRPr="009F68E2" w:rsidRDefault="00DE5E6D" w:rsidP="009F68E2">
            <w:pPr>
              <w:spacing w:before="40" w:after="40" w:line="240" w:lineRule="auto"/>
              <w:rPr>
                <w:rFonts w:eastAsia="Times New Roman" w:cs="Arial"/>
                <w:b/>
                <w:color w:val="FFFFFF"/>
                <w:sz w:val="20"/>
                <w:szCs w:val="20"/>
                <w:lang w:eastAsia="en-AU"/>
              </w:rPr>
            </w:pPr>
            <w:r w:rsidRPr="009F68E2">
              <w:rPr>
                <w:rFonts w:eastAsia="Times New Roman" w:cs="Arial"/>
                <w:b/>
                <w:color w:val="FFFFFF"/>
                <w:sz w:val="20"/>
                <w:szCs w:val="20"/>
                <w:lang w:eastAsia="en-AU"/>
              </w:rPr>
              <w:t>Project title</w:t>
            </w:r>
          </w:p>
        </w:tc>
        <w:tc>
          <w:tcPr>
            <w:tcW w:w="1103" w:type="dxa"/>
            <w:tcBorders>
              <w:top w:val="nil"/>
              <w:left w:val="nil"/>
              <w:right w:val="nil"/>
            </w:tcBorders>
            <w:shd w:val="clear" w:color="auto" w:fill="70CBD0" w:themeFill="accent4"/>
            <w:vAlign w:val="center"/>
            <w:hideMark/>
          </w:tcPr>
          <w:p w14:paraId="3999E65A" w14:textId="77777777" w:rsidR="00DE5E6D" w:rsidRPr="009F68E2" w:rsidRDefault="00DE5E6D" w:rsidP="009F68E2">
            <w:pPr>
              <w:spacing w:before="40" w:after="40" w:line="240" w:lineRule="auto"/>
              <w:rPr>
                <w:rFonts w:eastAsia="Times New Roman" w:cs="Arial"/>
                <w:b/>
                <w:color w:val="FFFFFF"/>
                <w:sz w:val="20"/>
                <w:szCs w:val="20"/>
                <w:lang w:eastAsia="en-AU"/>
              </w:rPr>
            </w:pPr>
            <w:r w:rsidRPr="009F68E2">
              <w:rPr>
                <w:rFonts w:eastAsia="Times New Roman" w:cs="Arial"/>
                <w:b/>
                <w:color w:val="FFFFFF"/>
                <w:sz w:val="20"/>
                <w:szCs w:val="20"/>
                <w:lang w:eastAsia="en-AU"/>
              </w:rPr>
              <w:t>Cost driver</w:t>
            </w:r>
          </w:p>
        </w:tc>
        <w:tc>
          <w:tcPr>
            <w:tcW w:w="968" w:type="dxa"/>
            <w:tcBorders>
              <w:top w:val="nil"/>
              <w:left w:val="nil"/>
              <w:right w:val="nil"/>
            </w:tcBorders>
            <w:shd w:val="clear" w:color="auto" w:fill="70CBD0" w:themeFill="accent4"/>
            <w:vAlign w:val="center"/>
            <w:hideMark/>
          </w:tcPr>
          <w:p w14:paraId="6026CD88"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2023-24</w:t>
            </w:r>
          </w:p>
        </w:tc>
        <w:tc>
          <w:tcPr>
            <w:tcW w:w="978" w:type="dxa"/>
            <w:tcBorders>
              <w:top w:val="nil"/>
              <w:left w:val="nil"/>
              <w:right w:val="nil"/>
            </w:tcBorders>
            <w:shd w:val="clear" w:color="auto" w:fill="70CBD0" w:themeFill="accent4"/>
            <w:vAlign w:val="center"/>
            <w:hideMark/>
          </w:tcPr>
          <w:p w14:paraId="4BA7B525"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2024-25</w:t>
            </w:r>
          </w:p>
        </w:tc>
        <w:tc>
          <w:tcPr>
            <w:tcW w:w="978" w:type="dxa"/>
            <w:tcBorders>
              <w:top w:val="nil"/>
              <w:left w:val="nil"/>
              <w:right w:val="nil"/>
            </w:tcBorders>
            <w:shd w:val="clear" w:color="auto" w:fill="70CBD0" w:themeFill="accent4"/>
            <w:vAlign w:val="center"/>
            <w:hideMark/>
          </w:tcPr>
          <w:p w14:paraId="7BDD2501"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2025-26</w:t>
            </w:r>
          </w:p>
        </w:tc>
        <w:tc>
          <w:tcPr>
            <w:tcW w:w="979" w:type="dxa"/>
            <w:tcBorders>
              <w:top w:val="nil"/>
              <w:left w:val="nil"/>
              <w:right w:val="nil"/>
            </w:tcBorders>
            <w:shd w:val="clear" w:color="auto" w:fill="70CBD0" w:themeFill="accent4"/>
            <w:vAlign w:val="center"/>
            <w:hideMark/>
          </w:tcPr>
          <w:p w14:paraId="6DE18C06"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2026-27</w:t>
            </w:r>
          </w:p>
        </w:tc>
        <w:tc>
          <w:tcPr>
            <w:tcW w:w="978" w:type="dxa"/>
            <w:tcBorders>
              <w:top w:val="nil"/>
              <w:left w:val="nil"/>
              <w:right w:val="nil"/>
            </w:tcBorders>
            <w:shd w:val="clear" w:color="auto" w:fill="70CBD0" w:themeFill="accent4"/>
            <w:vAlign w:val="center"/>
            <w:hideMark/>
          </w:tcPr>
          <w:p w14:paraId="00C5BB58"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2027-28</w:t>
            </w:r>
          </w:p>
        </w:tc>
        <w:tc>
          <w:tcPr>
            <w:tcW w:w="982" w:type="dxa"/>
            <w:tcBorders>
              <w:top w:val="nil"/>
              <w:left w:val="nil"/>
              <w:right w:val="nil"/>
            </w:tcBorders>
            <w:shd w:val="clear" w:color="auto" w:fill="70CBD0" w:themeFill="accent4"/>
            <w:vAlign w:val="center"/>
            <w:hideMark/>
          </w:tcPr>
          <w:p w14:paraId="3CB0C781"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Total in period ($m)</w:t>
            </w:r>
          </w:p>
        </w:tc>
        <w:tc>
          <w:tcPr>
            <w:tcW w:w="1256" w:type="dxa"/>
            <w:tcBorders>
              <w:top w:val="nil"/>
              <w:left w:val="nil"/>
              <w:right w:val="nil"/>
            </w:tcBorders>
            <w:shd w:val="clear" w:color="auto" w:fill="70CBD0" w:themeFill="accent4"/>
            <w:vAlign w:val="center"/>
            <w:hideMark/>
          </w:tcPr>
          <w:p w14:paraId="64E283F7" w14:textId="77777777" w:rsidR="00DE5E6D" w:rsidRPr="009F68E2" w:rsidRDefault="00DE5E6D" w:rsidP="009F68E2">
            <w:pPr>
              <w:spacing w:before="40" w:after="40" w:line="240" w:lineRule="auto"/>
              <w:jc w:val="center"/>
              <w:rPr>
                <w:rFonts w:eastAsia="Times New Roman" w:cs="Arial"/>
                <w:b/>
                <w:color w:val="FFFFFF"/>
                <w:sz w:val="20"/>
                <w:szCs w:val="20"/>
                <w:lang w:eastAsia="en-AU"/>
              </w:rPr>
            </w:pPr>
            <w:r w:rsidRPr="009F68E2">
              <w:rPr>
                <w:rFonts w:eastAsia="Times New Roman" w:cs="Arial"/>
                <w:b/>
                <w:color w:val="FFFFFF"/>
                <w:sz w:val="20"/>
                <w:szCs w:val="20"/>
                <w:lang w:eastAsia="en-AU"/>
              </w:rPr>
              <w:t>Total project value ($m)</w:t>
            </w:r>
          </w:p>
        </w:tc>
      </w:tr>
      <w:tr w:rsidR="00DE5E6D" w:rsidRPr="00DE5E6D" w14:paraId="2157C689" w14:textId="77777777" w:rsidTr="009F68E2">
        <w:trPr>
          <w:trHeight w:val="924"/>
        </w:trPr>
        <w:tc>
          <w:tcPr>
            <w:tcW w:w="1701" w:type="dxa"/>
            <w:tcBorders>
              <w:left w:val="nil"/>
              <w:bottom w:val="single" w:sz="8" w:space="0" w:color="D9D9D9" w:themeColor="background1" w:themeShade="D9"/>
              <w:right w:val="nil"/>
            </w:tcBorders>
            <w:shd w:val="clear" w:color="auto" w:fill="auto"/>
            <w:vAlign w:val="center"/>
            <w:hideMark/>
          </w:tcPr>
          <w:p w14:paraId="16327670"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 xml:space="preserve">MID Modernisation Phase 2 </w:t>
            </w:r>
          </w:p>
        </w:tc>
        <w:tc>
          <w:tcPr>
            <w:tcW w:w="1103" w:type="dxa"/>
            <w:tcBorders>
              <w:left w:val="nil"/>
              <w:bottom w:val="single" w:sz="8" w:space="0" w:color="D9D9D9" w:themeColor="background1" w:themeShade="D9"/>
              <w:right w:val="nil"/>
            </w:tcBorders>
            <w:shd w:val="clear" w:color="auto" w:fill="auto"/>
            <w:vAlign w:val="center"/>
            <w:hideMark/>
          </w:tcPr>
          <w:p w14:paraId="28F6712B" w14:textId="77777777" w:rsidR="00DE5E6D" w:rsidRPr="009F68E2" w:rsidRDefault="00DE5E6D" w:rsidP="009F68E2">
            <w:pPr>
              <w:spacing w:before="40" w:after="40" w:line="240" w:lineRule="auto"/>
              <w:rPr>
                <w:rFonts w:eastAsia="Times New Roman" w:cs="Arial"/>
                <w:sz w:val="20"/>
                <w:szCs w:val="20"/>
                <w:lang w:eastAsia="en-AU"/>
              </w:rPr>
            </w:pPr>
            <w:r w:rsidRPr="009F68E2">
              <w:rPr>
                <w:rFonts w:eastAsia="Times New Roman" w:cs="Arial"/>
                <w:sz w:val="20"/>
                <w:szCs w:val="20"/>
                <w:lang w:eastAsia="en-AU"/>
              </w:rPr>
              <w:t>Improvements / Compliance</w:t>
            </w:r>
          </w:p>
        </w:tc>
        <w:tc>
          <w:tcPr>
            <w:tcW w:w="968" w:type="dxa"/>
            <w:tcBorders>
              <w:left w:val="nil"/>
              <w:bottom w:val="single" w:sz="8" w:space="0" w:color="D9D9D9" w:themeColor="background1" w:themeShade="D9"/>
              <w:right w:val="nil"/>
            </w:tcBorders>
            <w:shd w:val="clear" w:color="auto" w:fill="auto"/>
            <w:vAlign w:val="center"/>
            <w:hideMark/>
          </w:tcPr>
          <w:p w14:paraId="1160473B"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$20.3</w:t>
            </w:r>
          </w:p>
        </w:tc>
        <w:tc>
          <w:tcPr>
            <w:tcW w:w="978" w:type="dxa"/>
            <w:tcBorders>
              <w:left w:val="nil"/>
              <w:bottom w:val="single" w:sz="8" w:space="0" w:color="D9D9D9" w:themeColor="background1" w:themeShade="D9"/>
              <w:right w:val="nil"/>
            </w:tcBorders>
            <w:shd w:val="clear" w:color="auto" w:fill="auto"/>
            <w:vAlign w:val="center"/>
            <w:hideMark/>
          </w:tcPr>
          <w:p w14:paraId="35995649"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$3.6</w:t>
            </w:r>
          </w:p>
        </w:tc>
        <w:tc>
          <w:tcPr>
            <w:tcW w:w="978" w:type="dxa"/>
            <w:tcBorders>
              <w:left w:val="nil"/>
              <w:bottom w:val="single" w:sz="8" w:space="0" w:color="D9D9D9" w:themeColor="background1" w:themeShade="D9"/>
              <w:right w:val="nil"/>
            </w:tcBorders>
            <w:shd w:val="clear" w:color="auto" w:fill="auto"/>
            <w:vAlign w:val="center"/>
            <w:hideMark/>
          </w:tcPr>
          <w:p w14:paraId="568FFCAB"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9" w:type="dxa"/>
            <w:tcBorders>
              <w:left w:val="nil"/>
              <w:bottom w:val="single" w:sz="8" w:space="0" w:color="D9D9D9" w:themeColor="background1" w:themeShade="D9"/>
              <w:right w:val="nil"/>
            </w:tcBorders>
            <w:shd w:val="clear" w:color="auto" w:fill="auto"/>
            <w:vAlign w:val="center"/>
            <w:hideMark/>
          </w:tcPr>
          <w:p w14:paraId="6CDD1744"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8" w:type="dxa"/>
            <w:tcBorders>
              <w:left w:val="nil"/>
              <w:bottom w:val="single" w:sz="8" w:space="0" w:color="D9D9D9" w:themeColor="background1" w:themeShade="D9"/>
              <w:right w:val="nil"/>
            </w:tcBorders>
            <w:shd w:val="clear" w:color="auto" w:fill="auto"/>
            <w:vAlign w:val="center"/>
            <w:hideMark/>
          </w:tcPr>
          <w:p w14:paraId="78D28229"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82" w:type="dxa"/>
            <w:tcBorders>
              <w:left w:val="nil"/>
              <w:bottom w:val="single" w:sz="8" w:space="0" w:color="D9D9D9" w:themeColor="background1" w:themeShade="D9"/>
              <w:right w:val="nil"/>
            </w:tcBorders>
            <w:shd w:val="clear" w:color="auto" w:fill="auto"/>
            <w:vAlign w:val="center"/>
            <w:hideMark/>
          </w:tcPr>
          <w:p w14:paraId="3ED865D7"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$23.9</w:t>
            </w:r>
          </w:p>
        </w:tc>
        <w:tc>
          <w:tcPr>
            <w:tcW w:w="1256" w:type="dxa"/>
            <w:tcBorders>
              <w:left w:val="nil"/>
              <w:bottom w:val="single" w:sz="8" w:space="0" w:color="D9D9D9" w:themeColor="background1" w:themeShade="D9"/>
              <w:right w:val="nil"/>
            </w:tcBorders>
            <w:shd w:val="clear" w:color="auto" w:fill="auto"/>
            <w:vAlign w:val="center"/>
            <w:hideMark/>
          </w:tcPr>
          <w:p w14:paraId="0EC7C831"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$62.6</w:t>
            </w:r>
          </w:p>
        </w:tc>
      </w:tr>
      <w:tr w:rsidR="00DE5E6D" w:rsidRPr="00DE5E6D" w14:paraId="39AA3DB0" w14:textId="77777777" w:rsidTr="00756DFC">
        <w:trPr>
          <w:trHeight w:val="924"/>
        </w:trPr>
        <w:tc>
          <w:tcPr>
            <w:tcW w:w="1701" w:type="dxa"/>
            <w:tcBorders>
              <w:top w:val="nil"/>
              <w:left w:val="nil"/>
              <w:bottom w:val="single" w:sz="8" w:space="0" w:color="D9D9D9" w:themeColor="background1" w:themeShade="D9"/>
              <w:right w:val="nil"/>
            </w:tcBorders>
            <w:shd w:val="clear" w:color="auto" w:fill="F5F5F5" w:themeFill="background2"/>
            <w:vAlign w:val="center"/>
            <w:hideMark/>
          </w:tcPr>
          <w:p w14:paraId="3F683B3A"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WID Modernisation Stages 4 &amp; 5</w:t>
            </w:r>
          </w:p>
        </w:tc>
        <w:tc>
          <w:tcPr>
            <w:tcW w:w="1103" w:type="dxa"/>
            <w:tcBorders>
              <w:top w:val="nil"/>
              <w:left w:val="nil"/>
              <w:bottom w:val="single" w:sz="8" w:space="0" w:color="D9D9D9" w:themeColor="background1" w:themeShade="D9"/>
              <w:right w:val="nil"/>
            </w:tcBorders>
            <w:shd w:val="clear" w:color="auto" w:fill="F5F5F5" w:themeFill="background2"/>
            <w:vAlign w:val="center"/>
            <w:hideMark/>
          </w:tcPr>
          <w:p w14:paraId="1CB50886"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Improvements / Compliance</w:t>
            </w:r>
          </w:p>
        </w:tc>
        <w:tc>
          <w:tcPr>
            <w:tcW w:w="968" w:type="dxa"/>
            <w:tcBorders>
              <w:top w:val="nil"/>
              <w:left w:val="nil"/>
              <w:bottom w:val="single" w:sz="8" w:space="0" w:color="D9D9D9" w:themeColor="background1" w:themeShade="D9"/>
              <w:right w:val="nil"/>
            </w:tcBorders>
            <w:shd w:val="clear" w:color="auto" w:fill="F5F5F5" w:themeFill="background2"/>
            <w:vAlign w:val="center"/>
            <w:hideMark/>
          </w:tcPr>
          <w:p w14:paraId="6814B819"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$9.8</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7DE7727E"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$3.4</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33203CB1"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9" w:type="dxa"/>
            <w:tcBorders>
              <w:top w:val="nil"/>
              <w:left w:val="nil"/>
              <w:bottom w:val="single" w:sz="8" w:space="0" w:color="D9D9D9" w:themeColor="background1" w:themeShade="D9"/>
              <w:right w:val="nil"/>
            </w:tcBorders>
            <w:shd w:val="clear" w:color="auto" w:fill="F5F5F5" w:themeFill="background2"/>
            <w:vAlign w:val="center"/>
            <w:hideMark/>
          </w:tcPr>
          <w:p w14:paraId="76C521F2"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03B44458"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82" w:type="dxa"/>
            <w:tcBorders>
              <w:top w:val="nil"/>
              <w:left w:val="nil"/>
              <w:bottom w:val="single" w:sz="8" w:space="0" w:color="D9D9D9" w:themeColor="background1" w:themeShade="D9"/>
              <w:right w:val="nil"/>
            </w:tcBorders>
            <w:shd w:val="clear" w:color="auto" w:fill="F5F5F5" w:themeFill="background2"/>
            <w:vAlign w:val="center"/>
            <w:hideMark/>
          </w:tcPr>
          <w:p w14:paraId="35AE8829"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$13.1</w:t>
            </w:r>
          </w:p>
        </w:tc>
        <w:tc>
          <w:tcPr>
            <w:tcW w:w="1256" w:type="dxa"/>
            <w:tcBorders>
              <w:top w:val="nil"/>
              <w:left w:val="nil"/>
              <w:bottom w:val="single" w:sz="8" w:space="0" w:color="D9D9D9" w:themeColor="background1" w:themeShade="D9"/>
              <w:right w:val="nil"/>
            </w:tcBorders>
            <w:shd w:val="clear" w:color="auto" w:fill="F5F5F5" w:themeFill="background2"/>
            <w:vAlign w:val="center"/>
            <w:hideMark/>
          </w:tcPr>
          <w:p w14:paraId="03AA5C79"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$22.0</w:t>
            </w:r>
          </w:p>
        </w:tc>
      </w:tr>
      <w:tr w:rsidR="00DE5E6D" w:rsidRPr="00DE5E6D" w14:paraId="72DB5EF6" w14:textId="77777777" w:rsidTr="00756DFC">
        <w:trPr>
          <w:trHeight w:val="468"/>
        </w:trPr>
        <w:tc>
          <w:tcPr>
            <w:tcW w:w="1701" w:type="dxa"/>
            <w:tcBorders>
              <w:top w:val="nil"/>
              <w:left w:val="nil"/>
              <w:bottom w:val="single" w:sz="8" w:space="0" w:color="D9D9D9" w:themeColor="background1" w:themeShade="D9"/>
              <w:right w:val="nil"/>
            </w:tcBorders>
            <w:shd w:val="clear" w:color="auto" w:fill="auto"/>
            <w:vAlign w:val="center"/>
            <w:hideMark/>
          </w:tcPr>
          <w:p w14:paraId="530D5776"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GW&amp;R Meter Upgrade</w:t>
            </w:r>
          </w:p>
        </w:tc>
        <w:tc>
          <w:tcPr>
            <w:tcW w:w="1103" w:type="dxa"/>
            <w:tcBorders>
              <w:top w:val="nil"/>
              <w:left w:val="nil"/>
              <w:bottom w:val="single" w:sz="8" w:space="0" w:color="D9D9D9" w:themeColor="background1" w:themeShade="D9"/>
              <w:right w:val="nil"/>
            </w:tcBorders>
            <w:shd w:val="clear" w:color="auto" w:fill="auto"/>
            <w:vAlign w:val="center"/>
            <w:hideMark/>
          </w:tcPr>
          <w:p w14:paraId="41E1317E" w14:textId="77777777" w:rsidR="00DE5E6D" w:rsidRPr="009F68E2" w:rsidRDefault="00DE5E6D" w:rsidP="009F68E2">
            <w:pPr>
              <w:spacing w:before="40" w:after="40" w:line="240" w:lineRule="auto"/>
              <w:rPr>
                <w:rFonts w:eastAsia="Times New Roman" w:cs="Arial"/>
                <w:sz w:val="20"/>
                <w:szCs w:val="20"/>
                <w:lang w:eastAsia="en-AU"/>
              </w:rPr>
            </w:pPr>
            <w:r w:rsidRPr="009F68E2">
              <w:rPr>
                <w:rFonts w:eastAsia="Times New Roman" w:cs="Arial"/>
                <w:sz w:val="20"/>
                <w:szCs w:val="20"/>
                <w:lang w:eastAsia="en-AU"/>
              </w:rPr>
              <w:t>Renewals</w:t>
            </w:r>
          </w:p>
        </w:tc>
        <w:tc>
          <w:tcPr>
            <w:tcW w:w="968" w:type="dxa"/>
            <w:tcBorders>
              <w:top w:val="nil"/>
              <w:left w:val="nil"/>
              <w:bottom w:val="single" w:sz="8" w:space="0" w:color="D9D9D9" w:themeColor="background1" w:themeShade="D9"/>
              <w:right w:val="nil"/>
            </w:tcBorders>
            <w:shd w:val="clear" w:color="auto" w:fill="auto"/>
            <w:vAlign w:val="center"/>
            <w:hideMark/>
          </w:tcPr>
          <w:p w14:paraId="773490A0"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$2.1</w:t>
            </w:r>
          </w:p>
        </w:tc>
        <w:tc>
          <w:tcPr>
            <w:tcW w:w="978" w:type="dxa"/>
            <w:tcBorders>
              <w:top w:val="nil"/>
              <w:left w:val="nil"/>
              <w:bottom w:val="single" w:sz="8" w:space="0" w:color="D9D9D9" w:themeColor="background1" w:themeShade="D9"/>
              <w:right w:val="nil"/>
            </w:tcBorders>
            <w:shd w:val="clear" w:color="auto" w:fill="auto"/>
            <w:vAlign w:val="center"/>
            <w:hideMark/>
          </w:tcPr>
          <w:p w14:paraId="369D52DF"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$2.1</w:t>
            </w:r>
          </w:p>
        </w:tc>
        <w:tc>
          <w:tcPr>
            <w:tcW w:w="978" w:type="dxa"/>
            <w:tcBorders>
              <w:top w:val="nil"/>
              <w:left w:val="nil"/>
              <w:bottom w:val="single" w:sz="8" w:space="0" w:color="D9D9D9" w:themeColor="background1" w:themeShade="D9"/>
              <w:right w:val="nil"/>
            </w:tcBorders>
            <w:shd w:val="clear" w:color="auto" w:fill="auto"/>
            <w:vAlign w:val="center"/>
            <w:hideMark/>
          </w:tcPr>
          <w:p w14:paraId="4C80FB85"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$2.0</w:t>
            </w:r>
          </w:p>
        </w:tc>
        <w:tc>
          <w:tcPr>
            <w:tcW w:w="979" w:type="dxa"/>
            <w:tcBorders>
              <w:top w:val="nil"/>
              <w:left w:val="nil"/>
              <w:bottom w:val="single" w:sz="8" w:space="0" w:color="D9D9D9" w:themeColor="background1" w:themeShade="D9"/>
              <w:right w:val="nil"/>
            </w:tcBorders>
            <w:shd w:val="clear" w:color="auto" w:fill="auto"/>
            <w:vAlign w:val="center"/>
            <w:hideMark/>
          </w:tcPr>
          <w:p w14:paraId="0B3DF43D"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8" w:type="dxa"/>
            <w:tcBorders>
              <w:top w:val="nil"/>
              <w:left w:val="nil"/>
              <w:bottom w:val="single" w:sz="8" w:space="0" w:color="D9D9D9" w:themeColor="background1" w:themeShade="D9"/>
              <w:right w:val="nil"/>
            </w:tcBorders>
            <w:shd w:val="clear" w:color="auto" w:fill="auto"/>
            <w:vAlign w:val="center"/>
            <w:hideMark/>
          </w:tcPr>
          <w:p w14:paraId="62CF703F"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82" w:type="dxa"/>
            <w:tcBorders>
              <w:top w:val="nil"/>
              <w:left w:val="nil"/>
              <w:bottom w:val="single" w:sz="8" w:space="0" w:color="D9D9D9" w:themeColor="background1" w:themeShade="D9"/>
              <w:right w:val="nil"/>
            </w:tcBorders>
            <w:shd w:val="clear" w:color="auto" w:fill="auto"/>
            <w:vAlign w:val="center"/>
            <w:hideMark/>
          </w:tcPr>
          <w:p w14:paraId="4B12018B"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$6.2</w:t>
            </w:r>
          </w:p>
        </w:tc>
        <w:tc>
          <w:tcPr>
            <w:tcW w:w="1256" w:type="dxa"/>
            <w:tcBorders>
              <w:top w:val="nil"/>
              <w:left w:val="nil"/>
              <w:bottom w:val="single" w:sz="8" w:space="0" w:color="D9D9D9" w:themeColor="background1" w:themeShade="D9"/>
              <w:right w:val="nil"/>
            </w:tcBorders>
            <w:shd w:val="clear" w:color="auto" w:fill="auto"/>
            <w:vAlign w:val="center"/>
            <w:hideMark/>
          </w:tcPr>
          <w:p w14:paraId="0CD2177A" w14:textId="37B3E10A"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$6.</w:t>
            </w:r>
            <w:r w:rsidR="048D6529" w:rsidRPr="009F68E2">
              <w:rPr>
                <w:rFonts w:eastAsia="Times New Roman" w:cs="Arial"/>
                <w:sz w:val="20"/>
                <w:szCs w:val="20"/>
                <w:lang w:eastAsia="en-AU"/>
              </w:rPr>
              <w:t>2</w:t>
            </w:r>
          </w:p>
        </w:tc>
      </w:tr>
      <w:tr w:rsidR="00DE5E6D" w:rsidRPr="00DE5E6D" w14:paraId="1ABD96F6" w14:textId="77777777" w:rsidTr="00756DFC">
        <w:trPr>
          <w:trHeight w:val="1152"/>
        </w:trPr>
        <w:tc>
          <w:tcPr>
            <w:tcW w:w="1701" w:type="dxa"/>
            <w:tcBorders>
              <w:top w:val="nil"/>
              <w:left w:val="nil"/>
              <w:bottom w:val="single" w:sz="8" w:space="0" w:color="D9D9D9" w:themeColor="background1" w:themeShade="D9"/>
              <w:right w:val="nil"/>
            </w:tcBorders>
            <w:shd w:val="clear" w:color="auto" w:fill="F5F5F5" w:themeFill="background2"/>
            <w:vAlign w:val="center"/>
            <w:hideMark/>
          </w:tcPr>
          <w:p w14:paraId="64D6F3AF"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Melton Reservoir Spillway Left Training Wall Upgrade</w:t>
            </w:r>
          </w:p>
        </w:tc>
        <w:tc>
          <w:tcPr>
            <w:tcW w:w="1103" w:type="dxa"/>
            <w:tcBorders>
              <w:top w:val="nil"/>
              <w:left w:val="nil"/>
              <w:bottom w:val="single" w:sz="8" w:space="0" w:color="D9D9D9" w:themeColor="background1" w:themeShade="D9"/>
              <w:right w:val="nil"/>
            </w:tcBorders>
            <w:shd w:val="clear" w:color="auto" w:fill="F5F5F5" w:themeFill="background2"/>
            <w:vAlign w:val="center"/>
            <w:hideMark/>
          </w:tcPr>
          <w:p w14:paraId="254F6534"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Improvements / Compliance</w:t>
            </w:r>
          </w:p>
        </w:tc>
        <w:tc>
          <w:tcPr>
            <w:tcW w:w="968" w:type="dxa"/>
            <w:tcBorders>
              <w:top w:val="nil"/>
              <w:left w:val="nil"/>
              <w:bottom w:val="single" w:sz="8" w:space="0" w:color="D9D9D9" w:themeColor="background1" w:themeShade="D9"/>
              <w:right w:val="nil"/>
            </w:tcBorders>
            <w:shd w:val="clear" w:color="auto" w:fill="F5F5F5" w:themeFill="background2"/>
            <w:vAlign w:val="center"/>
            <w:hideMark/>
          </w:tcPr>
          <w:p w14:paraId="71EA538E"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45945C5B" w14:textId="48358395"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themeColor="text1"/>
                <w:sz w:val="20"/>
                <w:szCs w:val="20"/>
                <w:lang w:eastAsia="en-AU"/>
              </w:rPr>
              <w:t>$0.</w:t>
            </w:r>
            <w:r w:rsidR="00F70C9B" w:rsidRPr="009F68E2">
              <w:rPr>
                <w:rFonts w:eastAsia="Times New Roman" w:cs="Arial"/>
                <w:color w:val="000000" w:themeColor="text1"/>
                <w:sz w:val="20"/>
                <w:szCs w:val="20"/>
                <w:lang w:eastAsia="en-AU"/>
              </w:rPr>
              <w:t>3</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67A7ECF1"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$0.7</w:t>
            </w:r>
          </w:p>
        </w:tc>
        <w:tc>
          <w:tcPr>
            <w:tcW w:w="979" w:type="dxa"/>
            <w:tcBorders>
              <w:top w:val="nil"/>
              <w:left w:val="nil"/>
              <w:bottom w:val="single" w:sz="8" w:space="0" w:color="D9D9D9" w:themeColor="background1" w:themeShade="D9"/>
              <w:right w:val="nil"/>
            </w:tcBorders>
            <w:shd w:val="clear" w:color="auto" w:fill="F5F5F5" w:themeFill="background2"/>
            <w:vAlign w:val="center"/>
            <w:hideMark/>
          </w:tcPr>
          <w:p w14:paraId="3039CA3F"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$1.4</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34108D8E"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82" w:type="dxa"/>
            <w:tcBorders>
              <w:top w:val="nil"/>
              <w:left w:val="nil"/>
              <w:bottom w:val="single" w:sz="8" w:space="0" w:color="D9D9D9" w:themeColor="background1" w:themeShade="D9"/>
              <w:right w:val="nil"/>
            </w:tcBorders>
            <w:shd w:val="clear" w:color="auto" w:fill="F5F5F5" w:themeFill="background2"/>
            <w:vAlign w:val="center"/>
            <w:hideMark/>
          </w:tcPr>
          <w:p w14:paraId="7A13630A"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$2.4</w:t>
            </w:r>
          </w:p>
        </w:tc>
        <w:tc>
          <w:tcPr>
            <w:tcW w:w="1256" w:type="dxa"/>
            <w:tcBorders>
              <w:top w:val="nil"/>
              <w:left w:val="nil"/>
              <w:bottom w:val="single" w:sz="8" w:space="0" w:color="D9D9D9" w:themeColor="background1" w:themeShade="D9"/>
              <w:right w:val="nil"/>
            </w:tcBorders>
            <w:shd w:val="clear" w:color="auto" w:fill="F5F5F5" w:themeFill="background2"/>
            <w:vAlign w:val="center"/>
            <w:hideMark/>
          </w:tcPr>
          <w:p w14:paraId="54CB6A65" w14:textId="1FEEA705"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themeColor="text1"/>
                <w:sz w:val="20"/>
                <w:szCs w:val="20"/>
                <w:lang w:eastAsia="en-AU"/>
              </w:rPr>
              <w:t>$2.</w:t>
            </w:r>
            <w:r w:rsidR="3A2C6D3E" w:rsidRPr="009F68E2">
              <w:rPr>
                <w:rFonts w:eastAsia="Times New Roman" w:cs="Arial"/>
                <w:color w:val="000000" w:themeColor="text1"/>
                <w:sz w:val="20"/>
                <w:szCs w:val="20"/>
                <w:lang w:eastAsia="en-AU"/>
              </w:rPr>
              <w:t>4</w:t>
            </w:r>
          </w:p>
        </w:tc>
      </w:tr>
      <w:tr w:rsidR="00DE5E6D" w:rsidRPr="00DE5E6D" w14:paraId="4C97751D" w14:textId="77777777" w:rsidTr="00756DFC">
        <w:trPr>
          <w:trHeight w:val="1152"/>
        </w:trPr>
        <w:tc>
          <w:tcPr>
            <w:tcW w:w="1701" w:type="dxa"/>
            <w:tcBorders>
              <w:top w:val="nil"/>
              <w:left w:val="nil"/>
              <w:bottom w:val="single" w:sz="8" w:space="0" w:color="D9D9D9" w:themeColor="background1" w:themeShade="D9"/>
              <w:right w:val="nil"/>
            </w:tcBorders>
            <w:shd w:val="clear" w:color="auto" w:fill="auto"/>
            <w:vAlign w:val="center"/>
            <w:hideMark/>
          </w:tcPr>
          <w:p w14:paraId="76550EEA"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 xml:space="preserve">Main Southern Carrier Tunnel No. 5 Remediation </w:t>
            </w:r>
          </w:p>
        </w:tc>
        <w:tc>
          <w:tcPr>
            <w:tcW w:w="1103" w:type="dxa"/>
            <w:tcBorders>
              <w:top w:val="nil"/>
              <w:left w:val="nil"/>
              <w:bottom w:val="single" w:sz="8" w:space="0" w:color="D9D9D9" w:themeColor="background1" w:themeShade="D9"/>
              <w:right w:val="nil"/>
            </w:tcBorders>
            <w:shd w:val="clear" w:color="auto" w:fill="auto"/>
            <w:vAlign w:val="center"/>
            <w:hideMark/>
          </w:tcPr>
          <w:p w14:paraId="382A2603" w14:textId="77777777" w:rsidR="00DE5E6D" w:rsidRPr="009F68E2" w:rsidRDefault="00DE5E6D" w:rsidP="009F68E2">
            <w:pPr>
              <w:spacing w:before="40" w:after="40" w:line="240" w:lineRule="auto"/>
              <w:rPr>
                <w:rFonts w:eastAsia="Times New Roman" w:cs="Arial"/>
                <w:sz w:val="20"/>
                <w:szCs w:val="20"/>
                <w:lang w:eastAsia="en-AU"/>
              </w:rPr>
            </w:pPr>
            <w:r w:rsidRPr="009F68E2">
              <w:rPr>
                <w:rFonts w:eastAsia="Times New Roman" w:cs="Arial"/>
                <w:sz w:val="20"/>
                <w:szCs w:val="20"/>
                <w:lang w:eastAsia="en-AU"/>
              </w:rPr>
              <w:t>Renewals</w:t>
            </w:r>
          </w:p>
        </w:tc>
        <w:tc>
          <w:tcPr>
            <w:tcW w:w="968" w:type="dxa"/>
            <w:tcBorders>
              <w:top w:val="nil"/>
              <w:left w:val="nil"/>
              <w:bottom w:val="single" w:sz="8" w:space="0" w:color="D9D9D9" w:themeColor="background1" w:themeShade="D9"/>
              <w:right w:val="nil"/>
            </w:tcBorders>
            <w:shd w:val="clear" w:color="auto" w:fill="auto"/>
            <w:vAlign w:val="center"/>
            <w:hideMark/>
          </w:tcPr>
          <w:p w14:paraId="4401166F"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$0.2</w:t>
            </w:r>
          </w:p>
        </w:tc>
        <w:tc>
          <w:tcPr>
            <w:tcW w:w="978" w:type="dxa"/>
            <w:tcBorders>
              <w:top w:val="nil"/>
              <w:left w:val="nil"/>
              <w:bottom w:val="single" w:sz="8" w:space="0" w:color="D9D9D9" w:themeColor="background1" w:themeShade="D9"/>
              <w:right w:val="nil"/>
            </w:tcBorders>
            <w:shd w:val="clear" w:color="auto" w:fill="auto"/>
            <w:vAlign w:val="center"/>
            <w:hideMark/>
          </w:tcPr>
          <w:p w14:paraId="78C675E4"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$0.6</w:t>
            </w:r>
          </w:p>
        </w:tc>
        <w:tc>
          <w:tcPr>
            <w:tcW w:w="978" w:type="dxa"/>
            <w:tcBorders>
              <w:top w:val="nil"/>
              <w:left w:val="nil"/>
              <w:bottom w:val="single" w:sz="8" w:space="0" w:color="D9D9D9" w:themeColor="background1" w:themeShade="D9"/>
              <w:right w:val="nil"/>
            </w:tcBorders>
            <w:shd w:val="clear" w:color="auto" w:fill="auto"/>
            <w:vAlign w:val="center"/>
            <w:hideMark/>
          </w:tcPr>
          <w:p w14:paraId="70A5964C"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$0.8</w:t>
            </w:r>
          </w:p>
        </w:tc>
        <w:tc>
          <w:tcPr>
            <w:tcW w:w="979" w:type="dxa"/>
            <w:tcBorders>
              <w:top w:val="nil"/>
              <w:left w:val="nil"/>
              <w:bottom w:val="single" w:sz="8" w:space="0" w:color="D9D9D9" w:themeColor="background1" w:themeShade="D9"/>
              <w:right w:val="nil"/>
            </w:tcBorders>
            <w:shd w:val="clear" w:color="auto" w:fill="auto"/>
            <w:vAlign w:val="center"/>
            <w:hideMark/>
          </w:tcPr>
          <w:p w14:paraId="1B83E629"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$1.7</w:t>
            </w:r>
          </w:p>
        </w:tc>
        <w:tc>
          <w:tcPr>
            <w:tcW w:w="978" w:type="dxa"/>
            <w:tcBorders>
              <w:top w:val="nil"/>
              <w:left w:val="nil"/>
              <w:bottom w:val="single" w:sz="8" w:space="0" w:color="D9D9D9" w:themeColor="background1" w:themeShade="D9"/>
              <w:right w:val="nil"/>
            </w:tcBorders>
            <w:shd w:val="clear" w:color="auto" w:fill="auto"/>
            <w:vAlign w:val="center"/>
            <w:hideMark/>
          </w:tcPr>
          <w:p w14:paraId="2E2172CF"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82" w:type="dxa"/>
            <w:tcBorders>
              <w:top w:val="nil"/>
              <w:left w:val="nil"/>
              <w:bottom w:val="single" w:sz="8" w:space="0" w:color="D9D9D9" w:themeColor="background1" w:themeShade="D9"/>
              <w:right w:val="nil"/>
            </w:tcBorders>
            <w:shd w:val="clear" w:color="auto" w:fill="auto"/>
            <w:vAlign w:val="center"/>
            <w:hideMark/>
          </w:tcPr>
          <w:p w14:paraId="543E46B7"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$3.3</w:t>
            </w:r>
          </w:p>
        </w:tc>
        <w:tc>
          <w:tcPr>
            <w:tcW w:w="1256" w:type="dxa"/>
            <w:tcBorders>
              <w:top w:val="nil"/>
              <w:left w:val="nil"/>
              <w:bottom w:val="single" w:sz="8" w:space="0" w:color="D9D9D9" w:themeColor="background1" w:themeShade="D9"/>
              <w:right w:val="nil"/>
            </w:tcBorders>
            <w:shd w:val="clear" w:color="auto" w:fill="auto"/>
            <w:vAlign w:val="center"/>
            <w:hideMark/>
          </w:tcPr>
          <w:p w14:paraId="742BBA50" w14:textId="0DFE405A"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r w:rsidR="588855B7" w:rsidRPr="009F68E2">
              <w:rPr>
                <w:rFonts w:eastAsia="Times New Roman" w:cs="Arial"/>
                <w:sz w:val="20"/>
                <w:szCs w:val="20"/>
                <w:lang w:eastAsia="en-AU"/>
              </w:rPr>
              <w:t>3.3</w:t>
            </w:r>
          </w:p>
        </w:tc>
      </w:tr>
      <w:tr w:rsidR="00DE5E6D" w:rsidRPr="00DE5E6D" w14:paraId="26E1DB89" w14:textId="77777777" w:rsidTr="00756DFC">
        <w:trPr>
          <w:trHeight w:val="696"/>
        </w:trPr>
        <w:tc>
          <w:tcPr>
            <w:tcW w:w="1701" w:type="dxa"/>
            <w:tcBorders>
              <w:top w:val="nil"/>
              <w:left w:val="nil"/>
              <w:bottom w:val="single" w:sz="8" w:space="0" w:color="D9D9D9" w:themeColor="background1" w:themeShade="D9"/>
              <w:right w:val="nil"/>
            </w:tcBorders>
            <w:shd w:val="clear" w:color="auto" w:fill="F5F5F5" w:themeFill="background2"/>
            <w:vAlign w:val="center"/>
            <w:hideMark/>
          </w:tcPr>
          <w:p w14:paraId="6974C2A8"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Glenmaggie Spillway Gate Repainting</w:t>
            </w:r>
          </w:p>
        </w:tc>
        <w:tc>
          <w:tcPr>
            <w:tcW w:w="1103" w:type="dxa"/>
            <w:tcBorders>
              <w:top w:val="nil"/>
              <w:left w:val="nil"/>
              <w:bottom w:val="single" w:sz="8" w:space="0" w:color="D9D9D9" w:themeColor="background1" w:themeShade="D9"/>
              <w:right w:val="nil"/>
            </w:tcBorders>
            <w:shd w:val="clear" w:color="auto" w:fill="F5F5F5" w:themeFill="background2"/>
            <w:vAlign w:val="center"/>
            <w:hideMark/>
          </w:tcPr>
          <w:p w14:paraId="3F5CA12A"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Renewals</w:t>
            </w:r>
          </w:p>
        </w:tc>
        <w:tc>
          <w:tcPr>
            <w:tcW w:w="968" w:type="dxa"/>
            <w:tcBorders>
              <w:top w:val="nil"/>
              <w:left w:val="nil"/>
              <w:bottom w:val="single" w:sz="8" w:space="0" w:color="D9D9D9" w:themeColor="background1" w:themeShade="D9"/>
              <w:right w:val="nil"/>
            </w:tcBorders>
            <w:shd w:val="clear" w:color="auto" w:fill="F5F5F5" w:themeFill="background2"/>
            <w:vAlign w:val="center"/>
            <w:hideMark/>
          </w:tcPr>
          <w:p w14:paraId="5F9FA4F1"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0A87A5D8"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$0.5</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10F1FF5A"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$0.7</w:t>
            </w:r>
          </w:p>
        </w:tc>
        <w:tc>
          <w:tcPr>
            <w:tcW w:w="979" w:type="dxa"/>
            <w:tcBorders>
              <w:top w:val="nil"/>
              <w:left w:val="nil"/>
              <w:bottom w:val="single" w:sz="8" w:space="0" w:color="D9D9D9" w:themeColor="background1" w:themeShade="D9"/>
              <w:right w:val="nil"/>
            </w:tcBorders>
            <w:shd w:val="clear" w:color="auto" w:fill="F5F5F5" w:themeFill="background2"/>
            <w:vAlign w:val="center"/>
            <w:hideMark/>
          </w:tcPr>
          <w:p w14:paraId="2EDDD5CB"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$0.2</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0F5FAC22"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$0.9</w:t>
            </w:r>
          </w:p>
        </w:tc>
        <w:tc>
          <w:tcPr>
            <w:tcW w:w="982" w:type="dxa"/>
            <w:tcBorders>
              <w:top w:val="nil"/>
              <w:left w:val="nil"/>
              <w:bottom w:val="single" w:sz="8" w:space="0" w:color="D9D9D9" w:themeColor="background1" w:themeShade="D9"/>
              <w:right w:val="nil"/>
            </w:tcBorders>
            <w:shd w:val="clear" w:color="auto" w:fill="F5F5F5" w:themeFill="background2"/>
            <w:vAlign w:val="center"/>
            <w:hideMark/>
          </w:tcPr>
          <w:p w14:paraId="645B5098"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$2.3</w:t>
            </w:r>
          </w:p>
        </w:tc>
        <w:tc>
          <w:tcPr>
            <w:tcW w:w="1256" w:type="dxa"/>
            <w:tcBorders>
              <w:top w:val="nil"/>
              <w:left w:val="nil"/>
              <w:bottom w:val="single" w:sz="8" w:space="0" w:color="D9D9D9" w:themeColor="background1" w:themeShade="D9"/>
              <w:right w:val="nil"/>
            </w:tcBorders>
            <w:shd w:val="clear" w:color="auto" w:fill="F5F5F5" w:themeFill="background2"/>
            <w:vAlign w:val="center"/>
            <w:hideMark/>
          </w:tcPr>
          <w:p w14:paraId="1E2FB28F"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$2.3</w:t>
            </w:r>
          </w:p>
        </w:tc>
      </w:tr>
      <w:tr w:rsidR="00DE5E6D" w:rsidRPr="00DE5E6D" w14:paraId="4335B19B" w14:textId="77777777" w:rsidTr="00756DFC">
        <w:trPr>
          <w:trHeight w:val="1152"/>
        </w:trPr>
        <w:tc>
          <w:tcPr>
            <w:tcW w:w="1701" w:type="dxa"/>
            <w:tcBorders>
              <w:top w:val="nil"/>
              <w:left w:val="nil"/>
              <w:bottom w:val="single" w:sz="8" w:space="0" w:color="D9D9D9" w:themeColor="background1" w:themeShade="D9"/>
              <w:right w:val="nil"/>
            </w:tcBorders>
            <w:shd w:val="clear" w:color="auto" w:fill="auto"/>
            <w:vAlign w:val="center"/>
            <w:hideMark/>
          </w:tcPr>
          <w:p w14:paraId="41AFEA77"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 xml:space="preserve">Southern Main Carrier Concrete Flume Joint Repair </w:t>
            </w:r>
          </w:p>
        </w:tc>
        <w:tc>
          <w:tcPr>
            <w:tcW w:w="1103" w:type="dxa"/>
            <w:tcBorders>
              <w:top w:val="nil"/>
              <w:left w:val="nil"/>
              <w:bottom w:val="single" w:sz="8" w:space="0" w:color="D9D9D9" w:themeColor="background1" w:themeShade="D9"/>
              <w:right w:val="nil"/>
            </w:tcBorders>
            <w:shd w:val="clear" w:color="auto" w:fill="auto"/>
            <w:vAlign w:val="center"/>
            <w:hideMark/>
          </w:tcPr>
          <w:p w14:paraId="14C2ACF4" w14:textId="77777777" w:rsidR="00DE5E6D" w:rsidRPr="009F68E2" w:rsidRDefault="00DE5E6D" w:rsidP="009F68E2">
            <w:pPr>
              <w:spacing w:before="40" w:after="40" w:line="240" w:lineRule="auto"/>
              <w:rPr>
                <w:rFonts w:eastAsia="Times New Roman" w:cs="Arial"/>
                <w:sz w:val="20"/>
                <w:szCs w:val="20"/>
                <w:lang w:eastAsia="en-AU"/>
              </w:rPr>
            </w:pPr>
            <w:r w:rsidRPr="009F68E2">
              <w:rPr>
                <w:rFonts w:eastAsia="Times New Roman" w:cs="Arial"/>
                <w:sz w:val="20"/>
                <w:szCs w:val="20"/>
                <w:lang w:eastAsia="en-AU"/>
              </w:rPr>
              <w:t>Renewals</w:t>
            </w:r>
          </w:p>
        </w:tc>
        <w:tc>
          <w:tcPr>
            <w:tcW w:w="968" w:type="dxa"/>
            <w:tcBorders>
              <w:top w:val="nil"/>
              <w:left w:val="nil"/>
              <w:bottom w:val="single" w:sz="8" w:space="0" w:color="D9D9D9" w:themeColor="background1" w:themeShade="D9"/>
              <w:right w:val="nil"/>
            </w:tcBorders>
            <w:shd w:val="clear" w:color="auto" w:fill="auto"/>
            <w:vAlign w:val="center"/>
            <w:hideMark/>
          </w:tcPr>
          <w:p w14:paraId="0B71B854"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$0.1</w:t>
            </w:r>
          </w:p>
        </w:tc>
        <w:tc>
          <w:tcPr>
            <w:tcW w:w="978" w:type="dxa"/>
            <w:tcBorders>
              <w:top w:val="nil"/>
              <w:left w:val="nil"/>
              <w:bottom w:val="single" w:sz="8" w:space="0" w:color="D9D9D9" w:themeColor="background1" w:themeShade="D9"/>
              <w:right w:val="nil"/>
            </w:tcBorders>
            <w:shd w:val="clear" w:color="auto" w:fill="auto"/>
            <w:vAlign w:val="center"/>
            <w:hideMark/>
          </w:tcPr>
          <w:p w14:paraId="24B91E06"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$0.3</w:t>
            </w:r>
          </w:p>
        </w:tc>
        <w:tc>
          <w:tcPr>
            <w:tcW w:w="978" w:type="dxa"/>
            <w:tcBorders>
              <w:top w:val="nil"/>
              <w:left w:val="nil"/>
              <w:bottom w:val="single" w:sz="8" w:space="0" w:color="D9D9D9" w:themeColor="background1" w:themeShade="D9"/>
              <w:right w:val="nil"/>
            </w:tcBorders>
            <w:shd w:val="clear" w:color="auto" w:fill="auto"/>
            <w:vAlign w:val="center"/>
            <w:hideMark/>
          </w:tcPr>
          <w:p w14:paraId="6CC185CC"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$0.3</w:t>
            </w:r>
          </w:p>
        </w:tc>
        <w:tc>
          <w:tcPr>
            <w:tcW w:w="979" w:type="dxa"/>
            <w:tcBorders>
              <w:top w:val="nil"/>
              <w:left w:val="nil"/>
              <w:bottom w:val="single" w:sz="8" w:space="0" w:color="D9D9D9" w:themeColor="background1" w:themeShade="D9"/>
              <w:right w:val="nil"/>
            </w:tcBorders>
            <w:shd w:val="clear" w:color="auto" w:fill="auto"/>
            <w:vAlign w:val="center"/>
            <w:hideMark/>
          </w:tcPr>
          <w:p w14:paraId="5736D719"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$0.3</w:t>
            </w:r>
          </w:p>
        </w:tc>
        <w:tc>
          <w:tcPr>
            <w:tcW w:w="978" w:type="dxa"/>
            <w:tcBorders>
              <w:top w:val="nil"/>
              <w:left w:val="nil"/>
              <w:bottom w:val="single" w:sz="8" w:space="0" w:color="D9D9D9" w:themeColor="background1" w:themeShade="D9"/>
              <w:right w:val="nil"/>
            </w:tcBorders>
            <w:shd w:val="clear" w:color="auto" w:fill="auto"/>
            <w:vAlign w:val="center"/>
            <w:hideMark/>
          </w:tcPr>
          <w:p w14:paraId="6DE6BAD0"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$0.3</w:t>
            </w:r>
          </w:p>
        </w:tc>
        <w:tc>
          <w:tcPr>
            <w:tcW w:w="982" w:type="dxa"/>
            <w:tcBorders>
              <w:top w:val="nil"/>
              <w:left w:val="nil"/>
              <w:bottom w:val="single" w:sz="8" w:space="0" w:color="D9D9D9" w:themeColor="background1" w:themeShade="D9"/>
              <w:right w:val="nil"/>
            </w:tcBorders>
            <w:shd w:val="clear" w:color="auto" w:fill="auto"/>
            <w:vAlign w:val="center"/>
            <w:hideMark/>
          </w:tcPr>
          <w:p w14:paraId="4799AA82"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$1.4</w:t>
            </w:r>
          </w:p>
        </w:tc>
        <w:tc>
          <w:tcPr>
            <w:tcW w:w="1256" w:type="dxa"/>
            <w:tcBorders>
              <w:top w:val="nil"/>
              <w:left w:val="nil"/>
              <w:bottom w:val="single" w:sz="8" w:space="0" w:color="D9D9D9" w:themeColor="background1" w:themeShade="D9"/>
              <w:right w:val="nil"/>
            </w:tcBorders>
            <w:shd w:val="clear" w:color="auto" w:fill="auto"/>
            <w:vAlign w:val="center"/>
            <w:hideMark/>
          </w:tcPr>
          <w:p w14:paraId="6D2F1B42"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$1.4</w:t>
            </w:r>
          </w:p>
        </w:tc>
      </w:tr>
      <w:tr w:rsidR="00DE5E6D" w:rsidRPr="00DE5E6D" w14:paraId="52AF185F" w14:textId="77777777" w:rsidTr="00756DFC">
        <w:trPr>
          <w:trHeight w:val="1152"/>
        </w:trPr>
        <w:tc>
          <w:tcPr>
            <w:tcW w:w="1701" w:type="dxa"/>
            <w:tcBorders>
              <w:top w:val="nil"/>
              <w:left w:val="nil"/>
              <w:bottom w:val="single" w:sz="8" w:space="0" w:color="D9D9D9" w:themeColor="background1" w:themeShade="D9"/>
              <w:right w:val="nil"/>
            </w:tcBorders>
            <w:shd w:val="clear" w:color="auto" w:fill="F5F5F5" w:themeFill="background2"/>
            <w:vAlign w:val="center"/>
            <w:hideMark/>
          </w:tcPr>
          <w:p w14:paraId="7DEB603F"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Blue Rock Isolating Butterfly Valve Replacement</w:t>
            </w:r>
          </w:p>
        </w:tc>
        <w:tc>
          <w:tcPr>
            <w:tcW w:w="1103" w:type="dxa"/>
            <w:tcBorders>
              <w:top w:val="nil"/>
              <w:left w:val="nil"/>
              <w:bottom w:val="single" w:sz="8" w:space="0" w:color="D9D9D9" w:themeColor="background1" w:themeShade="D9"/>
              <w:right w:val="nil"/>
            </w:tcBorders>
            <w:shd w:val="clear" w:color="auto" w:fill="F5F5F5" w:themeFill="background2"/>
            <w:vAlign w:val="center"/>
            <w:hideMark/>
          </w:tcPr>
          <w:p w14:paraId="49D84207"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Improvements / Compliance</w:t>
            </w:r>
          </w:p>
        </w:tc>
        <w:tc>
          <w:tcPr>
            <w:tcW w:w="968" w:type="dxa"/>
            <w:tcBorders>
              <w:top w:val="nil"/>
              <w:left w:val="nil"/>
              <w:bottom w:val="single" w:sz="8" w:space="0" w:color="D9D9D9" w:themeColor="background1" w:themeShade="D9"/>
              <w:right w:val="nil"/>
            </w:tcBorders>
            <w:shd w:val="clear" w:color="auto" w:fill="F5F5F5" w:themeFill="background2"/>
            <w:vAlign w:val="center"/>
            <w:hideMark/>
          </w:tcPr>
          <w:p w14:paraId="0869EB2D"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$1.0</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626FCEA6"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7657A412"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9" w:type="dxa"/>
            <w:tcBorders>
              <w:top w:val="nil"/>
              <w:left w:val="nil"/>
              <w:bottom w:val="single" w:sz="8" w:space="0" w:color="D9D9D9" w:themeColor="background1" w:themeShade="D9"/>
              <w:right w:val="nil"/>
            </w:tcBorders>
            <w:shd w:val="clear" w:color="auto" w:fill="F5F5F5" w:themeFill="background2"/>
            <w:vAlign w:val="center"/>
            <w:hideMark/>
          </w:tcPr>
          <w:p w14:paraId="1B3E4AB7"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D9D9D9" w:themeColor="background1" w:themeShade="D9"/>
              <w:right w:val="nil"/>
            </w:tcBorders>
            <w:shd w:val="clear" w:color="auto" w:fill="F5F5F5" w:themeFill="background2"/>
            <w:vAlign w:val="center"/>
            <w:hideMark/>
          </w:tcPr>
          <w:p w14:paraId="3FC511D7"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82" w:type="dxa"/>
            <w:tcBorders>
              <w:top w:val="nil"/>
              <w:left w:val="nil"/>
              <w:bottom w:val="single" w:sz="8" w:space="0" w:color="D9D9D9" w:themeColor="background1" w:themeShade="D9"/>
              <w:right w:val="nil"/>
            </w:tcBorders>
            <w:shd w:val="clear" w:color="auto" w:fill="F5F5F5" w:themeFill="background2"/>
            <w:vAlign w:val="center"/>
            <w:hideMark/>
          </w:tcPr>
          <w:p w14:paraId="064A4A43"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$1.0</w:t>
            </w:r>
          </w:p>
        </w:tc>
        <w:tc>
          <w:tcPr>
            <w:tcW w:w="1256" w:type="dxa"/>
            <w:tcBorders>
              <w:top w:val="nil"/>
              <w:left w:val="nil"/>
              <w:bottom w:val="single" w:sz="8" w:space="0" w:color="D9D9D9" w:themeColor="background1" w:themeShade="D9"/>
              <w:right w:val="nil"/>
            </w:tcBorders>
            <w:shd w:val="clear" w:color="auto" w:fill="F5F5F5" w:themeFill="background2"/>
            <w:vAlign w:val="center"/>
            <w:hideMark/>
          </w:tcPr>
          <w:p w14:paraId="6B0FA80E"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$1.1</w:t>
            </w:r>
          </w:p>
        </w:tc>
      </w:tr>
      <w:tr w:rsidR="00DE5E6D" w:rsidRPr="00DE5E6D" w14:paraId="7422D074" w14:textId="77777777" w:rsidTr="00756DFC">
        <w:trPr>
          <w:trHeight w:val="696"/>
        </w:trPr>
        <w:tc>
          <w:tcPr>
            <w:tcW w:w="1701" w:type="dxa"/>
            <w:tcBorders>
              <w:top w:val="nil"/>
              <w:left w:val="nil"/>
              <w:bottom w:val="single" w:sz="8" w:space="0" w:color="D9D9D9" w:themeColor="background1" w:themeShade="D9"/>
              <w:right w:val="nil"/>
            </w:tcBorders>
            <w:shd w:val="clear" w:color="auto" w:fill="auto"/>
            <w:vAlign w:val="center"/>
            <w:hideMark/>
          </w:tcPr>
          <w:p w14:paraId="2246D4F2"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Main Northern Channel Siphon No. 2</w:t>
            </w:r>
          </w:p>
        </w:tc>
        <w:tc>
          <w:tcPr>
            <w:tcW w:w="1103" w:type="dxa"/>
            <w:tcBorders>
              <w:top w:val="nil"/>
              <w:left w:val="nil"/>
              <w:bottom w:val="single" w:sz="8" w:space="0" w:color="D9D9D9" w:themeColor="background1" w:themeShade="D9"/>
              <w:right w:val="nil"/>
            </w:tcBorders>
            <w:shd w:val="clear" w:color="auto" w:fill="auto"/>
            <w:vAlign w:val="center"/>
            <w:hideMark/>
          </w:tcPr>
          <w:p w14:paraId="126418FD" w14:textId="77777777" w:rsidR="00DE5E6D" w:rsidRPr="009F68E2" w:rsidRDefault="00DE5E6D" w:rsidP="009F68E2">
            <w:pPr>
              <w:spacing w:before="40" w:after="40" w:line="240" w:lineRule="auto"/>
              <w:rPr>
                <w:rFonts w:eastAsia="Times New Roman" w:cs="Arial"/>
                <w:sz w:val="20"/>
                <w:szCs w:val="20"/>
                <w:lang w:eastAsia="en-AU"/>
              </w:rPr>
            </w:pPr>
            <w:r w:rsidRPr="009F68E2">
              <w:rPr>
                <w:rFonts w:eastAsia="Times New Roman" w:cs="Arial"/>
                <w:sz w:val="20"/>
                <w:szCs w:val="20"/>
                <w:lang w:eastAsia="en-AU"/>
              </w:rPr>
              <w:t>Renewals</w:t>
            </w:r>
          </w:p>
        </w:tc>
        <w:tc>
          <w:tcPr>
            <w:tcW w:w="968" w:type="dxa"/>
            <w:tcBorders>
              <w:top w:val="nil"/>
              <w:left w:val="nil"/>
              <w:bottom w:val="single" w:sz="8" w:space="0" w:color="D9D9D9" w:themeColor="background1" w:themeShade="D9"/>
              <w:right w:val="nil"/>
            </w:tcBorders>
            <w:shd w:val="clear" w:color="auto" w:fill="auto"/>
            <w:vAlign w:val="center"/>
            <w:hideMark/>
          </w:tcPr>
          <w:p w14:paraId="251F69EB"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$1.6</w:t>
            </w:r>
          </w:p>
        </w:tc>
        <w:tc>
          <w:tcPr>
            <w:tcW w:w="978" w:type="dxa"/>
            <w:tcBorders>
              <w:top w:val="nil"/>
              <w:left w:val="nil"/>
              <w:bottom w:val="single" w:sz="8" w:space="0" w:color="D9D9D9" w:themeColor="background1" w:themeShade="D9"/>
              <w:right w:val="nil"/>
            </w:tcBorders>
            <w:shd w:val="clear" w:color="auto" w:fill="auto"/>
            <w:vAlign w:val="center"/>
            <w:hideMark/>
          </w:tcPr>
          <w:p w14:paraId="412F2534"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8" w:type="dxa"/>
            <w:tcBorders>
              <w:top w:val="nil"/>
              <w:left w:val="nil"/>
              <w:bottom w:val="single" w:sz="8" w:space="0" w:color="D9D9D9" w:themeColor="background1" w:themeShade="D9"/>
              <w:right w:val="nil"/>
            </w:tcBorders>
            <w:shd w:val="clear" w:color="auto" w:fill="auto"/>
            <w:vAlign w:val="center"/>
            <w:hideMark/>
          </w:tcPr>
          <w:p w14:paraId="48B304A5"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9" w:type="dxa"/>
            <w:tcBorders>
              <w:top w:val="nil"/>
              <w:left w:val="nil"/>
              <w:bottom w:val="single" w:sz="8" w:space="0" w:color="D9D9D9" w:themeColor="background1" w:themeShade="D9"/>
              <w:right w:val="nil"/>
            </w:tcBorders>
            <w:shd w:val="clear" w:color="auto" w:fill="auto"/>
            <w:vAlign w:val="center"/>
            <w:hideMark/>
          </w:tcPr>
          <w:p w14:paraId="16C61618"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78" w:type="dxa"/>
            <w:tcBorders>
              <w:top w:val="nil"/>
              <w:left w:val="nil"/>
              <w:bottom w:val="single" w:sz="8" w:space="0" w:color="D9D9D9" w:themeColor="background1" w:themeShade="D9"/>
              <w:right w:val="nil"/>
            </w:tcBorders>
            <w:shd w:val="clear" w:color="auto" w:fill="auto"/>
            <w:vAlign w:val="center"/>
            <w:hideMark/>
          </w:tcPr>
          <w:p w14:paraId="484A5CA0"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w:t>
            </w:r>
          </w:p>
        </w:tc>
        <w:tc>
          <w:tcPr>
            <w:tcW w:w="982" w:type="dxa"/>
            <w:tcBorders>
              <w:top w:val="nil"/>
              <w:left w:val="nil"/>
              <w:bottom w:val="single" w:sz="8" w:space="0" w:color="D9D9D9" w:themeColor="background1" w:themeShade="D9"/>
              <w:right w:val="nil"/>
            </w:tcBorders>
            <w:shd w:val="clear" w:color="auto" w:fill="auto"/>
            <w:vAlign w:val="center"/>
            <w:hideMark/>
          </w:tcPr>
          <w:p w14:paraId="67D05205"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$1.6</w:t>
            </w:r>
          </w:p>
        </w:tc>
        <w:tc>
          <w:tcPr>
            <w:tcW w:w="1256" w:type="dxa"/>
            <w:tcBorders>
              <w:top w:val="nil"/>
              <w:left w:val="nil"/>
              <w:bottom w:val="single" w:sz="8" w:space="0" w:color="D9D9D9" w:themeColor="background1" w:themeShade="D9"/>
              <w:right w:val="nil"/>
            </w:tcBorders>
            <w:shd w:val="clear" w:color="auto" w:fill="auto"/>
            <w:vAlign w:val="center"/>
            <w:hideMark/>
          </w:tcPr>
          <w:p w14:paraId="3DE7793C" w14:textId="77777777" w:rsidR="00DE5E6D" w:rsidRPr="009F68E2" w:rsidRDefault="00DE5E6D" w:rsidP="009F68E2">
            <w:pPr>
              <w:spacing w:before="40" w:after="40" w:line="240" w:lineRule="auto"/>
              <w:jc w:val="center"/>
              <w:rPr>
                <w:rFonts w:eastAsia="Times New Roman" w:cs="Arial"/>
                <w:sz w:val="20"/>
                <w:szCs w:val="20"/>
                <w:lang w:eastAsia="en-AU"/>
              </w:rPr>
            </w:pPr>
            <w:r w:rsidRPr="009F68E2">
              <w:rPr>
                <w:rFonts w:eastAsia="Times New Roman" w:cs="Arial"/>
                <w:sz w:val="20"/>
                <w:szCs w:val="20"/>
                <w:lang w:eastAsia="en-AU"/>
              </w:rPr>
              <w:t>$3.4</w:t>
            </w:r>
          </w:p>
        </w:tc>
      </w:tr>
      <w:tr w:rsidR="00DE5E6D" w:rsidRPr="00DE5E6D" w14:paraId="3F9740BA" w14:textId="77777777" w:rsidTr="00756DFC">
        <w:trPr>
          <w:trHeight w:val="924"/>
        </w:trPr>
        <w:tc>
          <w:tcPr>
            <w:tcW w:w="1701" w:type="dxa"/>
            <w:tcBorders>
              <w:top w:val="nil"/>
              <w:left w:val="nil"/>
              <w:bottom w:val="single" w:sz="8" w:space="0" w:color="auto"/>
              <w:right w:val="nil"/>
            </w:tcBorders>
            <w:shd w:val="clear" w:color="auto" w:fill="F5F5F5" w:themeFill="background2"/>
            <w:vAlign w:val="center"/>
            <w:hideMark/>
          </w:tcPr>
          <w:p w14:paraId="76A3F44A"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Main Southern Channel Siphon No. 2</w:t>
            </w:r>
          </w:p>
        </w:tc>
        <w:tc>
          <w:tcPr>
            <w:tcW w:w="1103" w:type="dxa"/>
            <w:tcBorders>
              <w:top w:val="nil"/>
              <w:left w:val="nil"/>
              <w:bottom w:val="single" w:sz="8" w:space="0" w:color="auto"/>
              <w:right w:val="nil"/>
            </w:tcBorders>
            <w:shd w:val="clear" w:color="auto" w:fill="F5F5F5" w:themeFill="background2"/>
            <w:vAlign w:val="center"/>
            <w:hideMark/>
          </w:tcPr>
          <w:p w14:paraId="0ADFA85B" w14:textId="77777777" w:rsidR="00DE5E6D" w:rsidRPr="009F68E2" w:rsidRDefault="00DE5E6D" w:rsidP="009F68E2">
            <w:pPr>
              <w:spacing w:before="40" w:after="40" w:line="240" w:lineRule="auto"/>
              <w:rPr>
                <w:rFonts w:eastAsia="Times New Roman" w:cs="Arial"/>
                <w:color w:val="000000"/>
                <w:sz w:val="20"/>
                <w:szCs w:val="20"/>
                <w:lang w:eastAsia="en-AU"/>
              </w:rPr>
            </w:pPr>
            <w:r w:rsidRPr="009F68E2">
              <w:rPr>
                <w:rFonts w:eastAsia="Times New Roman" w:cs="Arial"/>
                <w:color w:val="000000"/>
                <w:sz w:val="20"/>
                <w:szCs w:val="20"/>
                <w:lang w:eastAsia="en-AU"/>
              </w:rPr>
              <w:t>Renewals</w:t>
            </w:r>
          </w:p>
        </w:tc>
        <w:tc>
          <w:tcPr>
            <w:tcW w:w="968" w:type="dxa"/>
            <w:tcBorders>
              <w:top w:val="nil"/>
              <w:left w:val="nil"/>
              <w:bottom w:val="single" w:sz="8" w:space="0" w:color="auto"/>
              <w:right w:val="nil"/>
            </w:tcBorders>
            <w:shd w:val="clear" w:color="auto" w:fill="F5F5F5" w:themeFill="background2"/>
            <w:vAlign w:val="center"/>
            <w:hideMark/>
          </w:tcPr>
          <w:p w14:paraId="414A6D12"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$0.7</w:t>
            </w:r>
          </w:p>
        </w:tc>
        <w:tc>
          <w:tcPr>
            <w:tcW w:w="978" w:type="dxa"/>
            <w:tcBorders>
              <w:top w:val="nil"/>
              <w:left w:val="nil"/>
              <w:bottom w:val="single" w:sz="8" w:space="0" w:color="auto"/>
              <w:right w:val="nil"/>
            </w:tcBorders>
            <w:shd w:val="clear" w:color="auto" w:fill="F5F5F5" w:themeFill="background2"/>
            <w:vAlign w:val="center"/>
            <w:hideMark/>
          </w:tcPr>
          <w:p w14:paraId="5F47265A"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auto"/>
              <w:right w:val="nil"/>
            </w:tcBorders>
            <w:shd w:val="clear" w:color="auto" w:fill="F5F5F5" w:themeFill="background2"/>
            <w:vAlign w:val="center"/>
            <w:hideMark/>
          </w:tcPr>
          <w:p w14:paraId="47972A3B"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9" w:type="dxa"/>
            <w:tcBorders>
              <w:top w:val="nil"/>
              <w:left w:val="nil"/>
              <w:bottom w:val="single" w:sz="8" w:space="0" w:color="auto"/>
              <w:right w:val="nil"/>
            </w:tcBorders>
            <w:shd w:val="clear" w:color="auto" w:fill="F5F5F5" w:themeFill="background2"/>
            <w:vAlign w:val="center"/>
            <w:hideMark/>
          </w:tcPr>
          <w:p w14:paraId="0D3BE39E"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78" w:type="dxa"/>
            <w:tcBorders>
              <w:top w:val="nil"/>
              <w:left w:val="nil"/>
              <w:bottom w:val="single" w:sz="8" w:space="0" w:color="auto"/>
              <w:right w:val="nil"/>
            </w:tcBorders>
            <w:shd w:val="clear" w:color="auto" w:fill="F5F5F5" w:themeFill="background2"/>
            <w:vAlign w:val="center"/>
            <w:hideMark/>
          </w:tcPr>
          <w:p w14:paraId="4D97D121"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w:t>
            </w:r>
          </w:p>
        </w:tc>
        <w:tc>
          <w:tcPr>
            <w:tcW w:w="982" w:type="dxa"/>
            <w:tcBorders>
              <w:top w:val="nil"/>
              <w:left w:val="nil"/>
              <w:bottom w:val="single" w:sz="8" w:space="0" w:color="auto"/>
              <w:right w:val="nil"/>
            </w:tcBorders>
            <w:shd w:val="clear" w:color="auto" w:fill="F5F5F5" w:themeFill="background2"/>
            <w:vAlign w:val="center"/>
            <w:hideMark/>
          </w:tcPr>
          <w:p w14:paraId="543EC9AF"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$0.7</w:t>
            </w:r>
          </w:p>
        </w:tc>
        <w:tc>
          <w:tcPr>
            <w:tcW w:w="1256" w:type="dxa"/>
            <w:tcBorders>
              <w:top w:val="nil"/>
              <w:left w:val="nil"/>
              <w:bottom w:val="single" w:sz="8" w:space="0" w:color="auto"/>
              <w:right w:val="nil"/>
            </w:tcBorders>
            <w:shd w:val="clear" w:color="auto" w:fill="F5F5F5" w:themeFill="background2"/>
            <w:vAlign w:val="center"/>
            <w:hideMark/>
          </w:tcPr>
          <w:p w14:paraId="07CC3198" w14:textId="77777777" w:rsidR="00DE5E6D" w:rsidRPr="009F68E2" w:rsidRDefault="00DE5E6D" w:rsidP="009F68E2">
            <w:pPr>
              <w:spacing w:before="40" w:after="40" w:line="240" w:lineRule="auto"/>
              <w:jc w:val="center"/>
              <w:rPr>
                <w:rFonts w:eastAsia="Times New Roman" w:cs="Arial"/>
                <w:color w:val="000000"/>
                <w:sz w:val="20"/>
                <w:szCs w:val="20"/>
                <w:lang w:eastAsia="en-AU"/>
              </w:rPr>
            </w:pPr>
            <w:r w:rsidRPr="009F68E2">
              <w:rPr>
                <w:rFonts w:eastAsia="Times New Roman" w:cs="Arial"/>
                <w:color w:val="000000"/>
                <w:sz w:val="20"/>
                <w:szCs w:val="20"/>
                <w:lang w:eastAsia="en-AU"/>
              </w:rPr>
              <w:t>$1.5</w:t>
            </w:r>
          </w:p>
        </w:tc>
      </w:tr>
    </w:tbl>
    <w:p w14:paraId="4AE545E2" w14:textId="0716F1BD" w:rsidR="00864552" w:rsidRPr="00864552" w:rsidRDefault="00911AB8" w:rsidP="00864552">
      <w:r>
        <w:rPr>
          <w:rFonts w:cs="Arial"/>
        </w:rPr>
        <w:br w:type="page"/>
      </w:r>
    </w:p>
    <w:tbl>
      <w:tblPr>
        <w:tblStyle w:val="ReportTable-TealRows"/>
        <w:tblW w:w="9639" w:type="dxa"/>
        <w:tblLook w:val="04A0" w:firstRow="1" w:lastRow="0" w:firstColumn="1" w:lastColumn="0" w:noHBand="0" w:noVBand="1"/>
      </w:tblPr>
      <w:tblGrid>
        <w:gridCol w:w="3306"/>
        <w:gridCol w:w="6333"/>
      </w:tblGrid>
      <w:tr w:rsidR="009C2B50" w:rsidRPr="00A85E63" w14:paraId="234349E3" w14:textId="77777777" w:rsidTr="009C2B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4665254E" w14:textId="315C6AE8" w:rsidR="009C2B50" w:rsidRPr="00192F41" w:rsidRDefault="009C2B50" w:rsidP="007630BF">
            <w:pPr>
              <w:spacing w:before="40" w:after="40"/>
              <w:rPr>
                <w:rFonts w:cs="Arial"/>
                <w:sz w:val="20"/>
                <w:szCs w:val="20"/>
                <w:shd w:val="clear" w:color="auto" w:fill="FAF9F8"/>
              </w:rPr>
            </w:pPr>
            <w:r w:rsidRPr="00A85E63">
              <w:rPr>
                <w:sz w:val="20"/>
                <w:szCs w:val="20"/>
              </w:rPr>
              <w:t>Project Name</w:t>
            </w:r>
          </w:p>
        </w:tc>
        <w:tc>
          <w:tcPr>
            <w:tcW w:w="6237" w:type="dxa"/>
            <w:vAlign w:val="top"/>
          </w:tcPr>
          <w:p w14:paraId="3154F4E2" w14:textId="1AF4415B" w:rsidR="009C2B50" w:rsidRPr="00192F41" w:rsidRDefault="009C2B50" w:rsidP="007630BF">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MID Modernisation Phase 2</w:t>
            </w:r>
          </w:p>
        </w:tc>
      </w:tr>
      <w:tr w:rsidR="009C2B50" w:rsidRPr="00192F41" w14:paraId="1F1DCE71" w14:textId="77777777" w:rsidTr="009C2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7763D63" w14:textId="5099C60B" w:rsidR="009C2B50" w:rsidRPr="00192F41" w:rsidRDefault="009C2B50" w:rsidP="00A85E63">
            <w:pPr>
              <w:spacing w:before="40" w:after="40"/>
              <w:rPr>
                <w:rFonts w:cs="Arial"/>
                <w:b/>
                <w:color w:val="000000" w:themeColor="text1"/>
                <w:szCs w:val="20"/>
                <w:shd w:val="clear" w:color="auto" w:fill="FAF9F8"/>
              </w:rPr>
            </w:pPr>
            <w:r w:rsidRPr="00C019F2">
              <w:t xml:space="preserve">Total </w:t>
            </w:r>
            <w:r w:rsidR="0093161B">
              <w:t>p</w:t>
            </w:r>
            <w:r w:rsidRPr="00C019F2">
              <w:t xml:space="preserve">roject </w:t>
            </w:r>
            <w:r w:rsidR="0093161B">
              <w:t>v</w:t>
            </w:r>
            <w:r w:rsidRPr="00C019F2">
              <w:t>alue</w:t>
            </w:r>
          </w:p>
        </w:tc>
        <w:tc>
          <w:tcPr>
            <w:tcW w:w="6237" w:type="dxa"/>
            <w:vAlign w:val="top"/>
          </w:tcPr>
          <w:p w14:paraId="3E1DFA72" w14:textId="4C57395A" w:rsidR="009C2B50" w:rsidRPr="00192F41" w:rsidRDefault="009C2B50"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C019F2">
              <w:t>$62.6</w:t>
            </w:r>
            <w:r w:rsidR="009765F3">
              <w:t>m</w:t>
            </w:r>
            <w:r w:rsidRPr="00C019F2">
              <w:t xml:space="preserve"> ($2</w:t>
            </w:r>
            <w:r w:rsidR="00A85D6D">
              <w:t>3.9</w:t>
            </w:r>
            <w:r w:rsidR="009765F3">
              <w:t>m</w:t>
            </w:r>
            <w:r w:rsidRPr="00C019F2">
              <w:t xml:space="preserve"> within period) – 66% grant funded</w:t>
            </w:r>
          </w:p>
        </w:tc>
      </w:tr>
      <w:tr w:rsidR="009C2B50" w:rsidRPr="00192F41" w14:paraId="49C6ED8E" w14:textId="77777777" w:rsidTr="009C2B50">
        <w:tc>
          <w:tcPr>
            <w:cnfStyle w:val="001000000000" w:firstRow="0" w:lastRow="0" w:firstColumn="1" w:lastColumn="0" w:oddVBand="0" w:evenVBand="0" w:oddHBand="0" w:evenHBand="0" w:firstRowFirstColumn="0" w:firstRowLastColumn="0" w:lastRowFirstColumn="0" w:lastRowLastColumn="0"/>
            <w:tcW w:w="3402" w:type="dxa"/>
            <w:vAlign w:val="top"/>
          </w:tcPr>
          <w:p w14:paraId="55859586" w14:textId="1E69911C" w:rsidR="009C2B50" w:rsidRPr="00192F41" w:rsidRDefault="009C2B50" w:rsidP="00A85E63">
            <w:pPr>
              <w:spacing w:before="40" w:after="40"/>
              <w:rPr>
                <w:rFonts w:cs="Arial"/>
                <w:b/>
                <w:color w:val="000000" w:themeColor="text1"/>
                <w:szCs w:val="20"/>
                <w:shd w:val="clear" w:color="auto" w:fill="FAF9F8"/>
              </w:rPr>
            </w:pPr>
            <w:r w:rsidRPr="00C019F2">
              <w:t>Timing</w:t>
            </w:r>
            <w:r w:rsidR="002B1156">
              <w:t xml:space="preserve"> </w:t>
            </w:r>
            <w:r w:rsidR="00641798">
              <w:t>/</w:t>
            </w:r>
            <w:r w:rsidR="002B1156">
              <w:t xml:space="preserve"> </w:t>
            </w:r>
            <w:r w:rsidR="0093161B">
              <w:t>s</w:t>
            </w:r>
            <w:r w:rsidR="00641798">
              <w:t>tatus</w:t>
            </w:r>
          </w:p>
        </w:tc>
        <w:tc>
          <w:tcPr>
            <w:tcW w:w="6237" w:type="dxa"/>
            <w:vAlign w:val="top"/>
          </w:tcPr>
          <w:p w14:paraId="00C612AB" w14:textId="736EF361" w:rsidR="009C2B50" w:rsidRPr="00192F41" w:rsidRDefault="009C2B50"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C019F2">
              <w:t>Commenced FY20, to be completed FY25</w:t>
            </w:r>
            <w:r w:rsidR="00321110">
              <w:t>. Construction contracts awarded</w:t>
            </w:r>
            <w:r w:rsidR="002560FF">
              <w:t xml:space="preserve"> (Gate 4)</w:t>
            </w:r>
          </w:p>
        </w:tc>
      </w:tr>
      <w:tr w:rsidR="009C2B50" w:rsidRPr="00C72A31" w14:paraId="35809F11" w14:textId="77777777" w:rsidTr="009C2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F944CB5" w14:textId="73397056" w:rsidR="009C2B50" w:rsidRPr="00C72A31" w:rsidRDefault="009C2B50" w:rsidP="00A85E63">
            <w:pPr>
              <w:spacing w:before="40" w:after="40"/>
            </w:pPr>
            <w:r w:rsidRPr="00C019F2">
              <w:t xml:space="preserve">Service </w:t>
            </w:r>
            <w:r w:rsidR="0093161B">
              <w:t>c</w:t>
            </w:r>
            <w:r w:rsidRPr="00C019F2">
              <w:t>ategory</w:t>
            </w:r>
          </w:p>
        </w:tc>
        <w:tc>
          <w:tcPr>
            <w:tcW w:w="6237" w:type="dxa"/>
            <w:vAlign w:val="top"/>
          </w:tcPr>
          <w:p w14:paraId="274FA52E" w14:textId="515CE257" w:rsidR="009C2B50" w:rsidRPr="00C72A31" w:rsidRDefault="009C2B50"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C019F2">
              <w:t>Pipelines</w:t>
            </w:r>
          </w:p>
        </w:tc>
      </w:tr>
      <w:tr w:rsidR="009C2B50" w:rsidRPr="00C72A31" w14:paraId="6278E4BE" w14:textId="77777777" w:rsidTr="009C2B50">
        <w:tc>
          <w:tcPr>
            <w:cnfStyle w:val="001000000000" w:firstRow="0" w:lastRow="0" w:firstColumn="1" w:lastColumn="0" w:oddVBand="0" w:evenVBand="0" w:oddHBand="0" w:evenHBand="0" w:firstRowFirstColumn="0" w:firstRowLastColumn="0" w:lastRowFirstColumn="0" w:lastRowLastColumn="0"/>
            <w:tcW w:w="3402" w:type="dxa"/>
            <w:vAlign w:val="top"/>
          </w:tcPr>
          <w:p w14:paraId="22632259" w14:textId="3717FB2B" w:rsidR="009C2B50" w:rsidRPr="00C72A31" w:rsidRDefault="009C2B50" w:rsidP="00A85E63">
            <w:pPr>
              <w:spacing w:before="40" w:after="40"/>
            </w:pPr>
            <w:r w:rsidRPr="00C019F2">
              <w:t xml:space="preserve">Asset </w:t>
            </w:r>
            <w:r w:rsidR="0093161B">
              <w:t>c</w:t>
            </w:r>
            <w:r w:rsidRPr="00C019F2">
              <w:t>ategory</w:t>
            </w:r>
          </w:p>
        </w:tc>
        <w:tc>
          <w:tcPr>
            <w:tcW w:w="6237" w:type="dxa"/>
            <w:vAlign w:val="top"/>
          </w:tcPr>
          <w:p w14:paraId="50297BA2" w14:textId="7B31BEDC" w:rsidR="009C2B50" w:rsidRPr="00C72A31" w:rsidRDefault="009C2B50"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C019F2">
              <w:t>Pipelines</w:t>
            </w:r>
          </w:p>
        </w:tc>
      </w:tr>
      <w:tr w:rsidR="009C2B50" w:rsidRPr="00C72A31" w14:paraId="3D190205" w14:textId="77777777" w:rsidTr="009C2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2261CEF5" w14:textId="3B5D61AD" w:rsidR="009C2B50" w:rsidRPr="007643C1" w:rsidRDefault="009C2B50" w:rsidP="00A85E63">
            <w:pPr>
              <w:spacing w:before="40" w:after="40"/>
            </w:pPr>
            <w:r w:rsidRPr="00C019F2">
              <w:t xml:space="preserve">System / </w:t>
            </w:r>
            <w:r w:rsidR="0093161B">
              <w:t>c</w:t>
            </w:r>
            <w:r w:rsidRPr="00C019F2">
              <w:t xml:space="preserve">ustomer </w:t>
            </w:r>
            <w:r w:rsidR="0093161B">
              <w:t>g</w:t>
            </w:r>
            <w:r w:rsidRPr="00C019F2">
              <w:t>roup</w:t>
            </w:r>
          </w:p>
        </w:tc>
        <w:tc>
          <w:tcPr>
            <w:tcW w:w="6237" w:type="dxa"/>
            <w:vAlign w:val="top"/>
          </w:tcPr>
          <w:p w14:paraId="1D4D6499" w14:textId="03A69AD7" w:rsidR="009C2B50" w:rsidRPr="007643C1" w:rsidRDefault="009C2B50"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C019F2">
              <w:t>Macalister Irrigation District</w:t>
            </w:r>
          </w:p>
        </w:tc>
      </w:tr>
      <w:tr w:rsidR="009C2B50" w:rsidRPr="00C72A31" w14:paraId="710CEFF8" w14:textId="77777777" w:rsidTr="009C2B50">
        <w:tc>
          <w:tcPr>
            <w:cnfStyle w:val="001000000000" w:firstRow="0" w:lastRow="0" w:firstColumn="1" w:lastColumn="0" w:oddVBand="0" w:evenVBand="0" w:oddHBand="0" w:evenHBand="0" w:firstRowFirstColumn="0" w:firstRowLastColumn="0" w:lastRowFirstColumn="0" w:lastRowLastColumn="0"/>
            <w:tcW w:w="3402" w:type="dxa"/>
            <w:vAlign w:val="top"/>
          </w:tcPr>
          <w:p w14:paraId="036F5BC0" w14:textId="230B6595" w:rsidR="009C2B50" w:rsidRPr="007643C1" w:rsidRDefault="009C2B50" w:rsidP="00A85E63">
            <w:pPr>
              <w:spacing w:before="40" w:after="40"/>
            </w:pPr>
            <w:r w:rsidRPr="00C019F2">
              <w:t xml:space="preserve">Cost </w:t>
            </w:r>
            <w:r w:rsidR="0093161B">
              <w:t>d</w:t>
            </w:r>
            <w:r w:rsidRPr="00C019F2">
              <w:t xml:space="preserve">river </w:t>
            </w:r>
          </w:p>
        </w:tc>
        <w:tc>
          <w:tcPr>
            <w:tcW w:w="6237" w:type="dxa"/>
            <w:vAlign w:val="top"/>
          </w:tcPr>
          <w:p w14:paraId="621F97BC" w14:textId="694D497F" w:rsidR="009C2B50" w:rsidRPr="007643C1" w:rsidRDefault="009C2B50"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C019F2">
              <w:t>Improvement/compliance</w:t>
            </w:r>
          </w:p>
        </w:tc>
      </w:tr>
      <w:tr w:rsidR="009C2B50" w:rsidRPr="00C72A31" w14:paraId="3E729B09" w14:textId="77777777" w:rsidTr="009C2B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2EC46A2" w14:textId="681BCFD2" w:rsidR="009C2B50" w:rsidRPr="00C72A31" w:rsidRDefault="009C2B50" w:rsidP="00A85E63">
            <w:pPr>
              <w:spacing w:before="40" w:after="40"/>
            </w:pPr>
            <w:r w:rsidRPr="00C019F2">
              <w:t>Outcome</w:t>
            </w:r>
          </w:p>
        </w:tc>
        <w:tc>
          <w:tcPr>
            <w:tcW w:w="6237" w:type="dxa"/>
            <w:vAlign w:val="top"/>
          </w:tcPr>
          <w:p w14:paraId="4D5E871F" w14:textId="49FF3B1C" w:rsidR="009C2B50" w:rsidRPr="00C72A31" w:rsidRDefault="009C2B50"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C019F2">
              <w:t>Reliable water supply, sustainable water</w:t>
            </w:r>
          </w:p>
        </w:tc>
      </w:tr>
      <w:tr w:rsidR="00CB7284" w:rsidRPr="00C72A31" w14:paraId="5F7987E8" w14:textId="77777777" w:rsidTr="28249D17">
        <w:tc>
          <w:tcPr>
            <w:cnfStyle w:val="001000000000" w:firstRow="0" w:lastRow="0" w:firstColumn="1" w:lastColumn="0" w:oddVBand="0" w:evenVBand="0" w:oddHBand="0" w:evenHBand="0" w:firstRowFirstColumn="0" w:firstRowLastColumn="0" w:lastRowFirstColumn="0" w:lastRowLastColumn="0"/>
            <w:tcW w:w="3402" w:type="dxa"/>
            <w:vAlign w:val="top"/>
          </w:tcPr>
          <w:p w14:paraId="175F7461" w14:textId="6C3F13F9" w:rsidR="00CB7284" w:rsidRPr="00C019F2" w:rsidRDefault="00CB7284" w:rsidP="00A85E63">
            <w:pPr>
              <w:spacing w:before="40" w:after="40"/>
            </w:pPr>
            <w:r w:rsidRPr="00C019F2">
              <w:t xml:space="preserve">Risk / </w:t>
            </w:r>
            <w:r w:rsidR="0093161B">
              <w:t>c</w:t>
            </w:r>
            <w:r w:rsidRPr="00C019F2">
              <w:t xml:space="preserve">ompliance / </w:t>
            </w:r>
            <w:r w:rsidR="0093161B">
              <w:t>c</w:t>
            </w:r>
            <w:r w:rsidRPr="00C019F2">
              <w:t>ustomer rating</w:t>
            </w:r>
          </w:p>
        </w:tc>
        <w:tc>
          <w:tcPr>
            <w:tcW w:w="6237" w:type="dxa"/>
            <w:vAlign w:val="top"/>
          </w:tcPr>
          <w:p w14:paraId="44006D9A" w14:textId="6B1D0443" w:rsidR="00CB7284" w:rsidRPr="00C019F2" w:rsidRDefault="00CB728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C019F2">
              <w:t>N/A – already commenced prior to regulatory period</w:t>
            </w:r>
          </w:p>
        </w:tc>
      </w:tr>
      <w:tr w:rsidR="007A7904" w:rsidRPr="00670249" w14:paraId="7F1B0BEE" w14:textId="77777777" w:rsidTr="28249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4DB27BE4" w14:textId="61FA8308" w:rsidR="007A7904" w:rsidRPr="00670249" w:rsidRDefault="007A7904" w:rsidP="00A85E63">
            <w:pPr>
              <w:spacing w:before="40" w:after="40"/>
              <w:rPr>
                <w:b/>
                <w:bCs/>
              </w:rPr>
            </w:pPr>
            <w:r w:rsidRPr="00003432">
              <w:t>Description</w:t>
            </w:r>
          </w:p>
        </w:tc>
        <w:tc>
          <w:tcPr>
            <w:tcW w:w="6237" w:type="dxa"/>
            <w:vAlign w:val="top"/>
          </w:tcPr>
          <w:p w14:paraId="5347A894" w14:textId="55F71357" w:rsidR="007A7904" w:rsidRPr="00670249" w:rsidRDefault="007A7904"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003432">
              <w:t>Pipeline replacing open channel and high-use meter outlet replacements throughout the Macalister Irrigation District</w:t>
            </w:r>
          </w:p>
        </w:tc>
      </w:tr>
      <w:tr w:rsidR="009552F0" w:rsidRPr="00670249" w14:paraId="3AFB8C6E" w14:textId="77777777" w:rsidTr="28249D1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0848F243" w14:textId="77777777" w:rsidR="008349B0" w:rsidRDefault="008349B0" w:rsidP="008349B0"/>
          <w:p w14:paraId="2CCECFD8" w14:textId="77777777" w:rsidR="008349B0" w:rsidRDefault="008349B0" w:rsidP="007022AC">
            <w:pPr>
              <w:jc w:val="center"/>
            </w:pPr>
          </w:p>
          <w:p w14:paraId="7CADE287" w14:textId="77777777" w:rsidR="008349B0" w:rsidRDefault="008349B0" w:rsidP="007022AC">
            <w:pPr>
              <w:jc w:val="center"/>
            </w:pPr>
          </w:p>
          <w:p w14:paraId="199D1A02" w14:textId="15085B93" w:rsidR="009552F0" w:rsidRPr="00003432" w:rsidRDefault="51490F54" w:rsidP="007022AC">
            <w:pPr>
              <w:jc w:val="center"/>
            </w:pPr>
            <w:r>
              <w:rPr>
                <w:noProof/>
              </w:rPr>
              <w:drawing>
                <wp:inline distT="0" distB="0" distL="0" distR="0" wp14:anchorId="5CF486E9" wp14:editId="3B7B7BF8">
                  <wp:extent cx="6210300" cy="3043176"/>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pic:nvPicPr>
                        <pic:blipFill>
                          <a:blip r:embed="rId34">
                            <a:extLst>
                              <a:ext uri="{28A0092B-C50C-407E-A947-70E740481C1C}">
                                <a14:useLocalDpi xmlns:a14="http://schemas.microsoft.com/office/drawing/2010/main" val="0"/>
                              </a:ext>
                            </a:extLst>
                          </a:blip>
                          <a:stretch>
                            <a:fillRect/>
                          </a:stretch>
                        </pic:blipFill>
                        <pic:spPr>
                          <a:xfrm>
                            <a:off x="0" y="0"/>
                            <a:ext cx="6231434" cy="3053532"/>
                          </a:xfrm>
                          <a:prstGeom prst="rect">
                            <a:avLst/>
                          </a:prstGeom>
                        </pic:spPr>
                      </pic:pic>
                    </a:graphicData>
                  </a:graphic>
                </wp:inline>
              </w:drawing>
            </w:r>
          </w:p>
        </w:tc>
      </w:tr>
    </w:tbl>
    <w:p w14:paraId="22F7C218" w14:textId="4A71AF38" w:rsidR="0098190C" w:rsidRDefault="0098190C" w:rsidP="00A86111">
      <w:pPr>
        <w:rPr>
          <w:rFonts w:cs="Arial"/>
        </w:rPr>
      </w:pPr>
    </w:p>
    <w:p w14:paraId="065BD17D" w14:textId="77777777" w:rsidR="0098190C" w:rsidRDefault="0098190C">
      <w:pPr>
        <w:rPr>
          <w:rFonts w:cs="Arial"/>
        </w:rPr>
      </w:pPr>
      <w:r>
        <w:rPr>
          <w:rFonts w:cs="Arial"/>
        </w:rPr>
        <w:br w:type="page"/>
      </w:r>
    </w:p>
    <w:tbl>
      <w:tblPr>
        <w:tblStyle w:val="ReportTable-TealRows"/>
        <w:tblW w:w="9639" w:type="dxa"/>
        <w:tblLook w:val="04A0" w:firstRow="1" w:lastRow="0" w:firstColumn="1" w:lastColumn="0" w:noHBand="0" w:noVBand="1"/>
      </w:tblPr>
      <w:tblGrid>
        <w:gridCol w:w="3402"/>
        <w:gridCol w:w="6237"/>
      </w:tblGrid>
      <w:tr w:rsidR="007A19C9" w:rsidRPr="00A85E63" w14:paraId="540C5ACB"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975AA8D" w14:textId="579982C8" w:rsidR="007A19C9" w:rsidRPr="00192F41" w:rsidRDefault="007A19C9" w:rsidP="00A85E63">
            <w:pPr>
              <w:spacing w:before="40" w:after="40"/>
              <w:rPr>
                <w:rFonts w:cs="Arial"/>
                <w:sz w:val="20"/>
                <w:szCs w:val="20"/>
                <w:shd w:val="clear" w:color="auto" w:fill="FAF9F8"/>
              </w:rPr>
            </w:pPr>
            <w:r w:rsidRPr="00A85E63">
              <w:rPr>
                <w:sz w:val="20"/>
                <w:szCs w:val="20"/>
              </w:rPr>
              <w:t xml:space="preserve">Project </w:t>
            </w:r>
            <w:r w:rsidR="007C7CE8" w:rsidRPr="00A85E63">
              <w:rPr>
                <w:sz w:val="20"/>
                <w:szCs w:val="20"/>
              </w:rPr>
              <w:t>n</w:t>
            </w:r>
            <w:r w:rsidRPr="00A85E63">
              <w:rPr>
                <w:sz w:val="20"/>
                <w:szCs w:val="20"/>
              </w:rPr>
              <w:t>ame</w:t>
            </w:r>
          </w:p>
        </w:tc>
        <w:tc>
          <w:tcPr>
            <w:tcW w:w="6237" w:type="dxa"/>
            <w:vAlign w:val="top"/>
          </w:tcPr>
          <w:p w14:paraId="721CC05B" w14:textId="74E7B267" w:rsidR="007A19C9" w:rsidRPr="00192F41" w:rsidRDefault="007A19C9"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WID Modernisation Stages 4 &amp; 5</w:t>
            </w:r>
          </w:p>
        </w:tc>
      </w:tr>
      <w:tr w:rsidR="007A19C9" w:rsidRPr="00192F41" w14:paraId="040DF0EE"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90401C6" w14:textId="0CB6EE86" w:rsidR="007A19C9" w:rsidRPr="00192F41" w:rsidRDefault="007A19C9" w:rsidP="00A85E63">
            <w:pPr>
              <w:spacing w:before="40" w:after="40"/>
              <w:rPr>
                <w:rFonts w:cs="Arial"/>
                <w:b/>
                <w:color w:val="000000" w:themeColor="text1"/>
                <w:szCs w:val="20"/>
                <w:shd w:val="clear" w:color="auto" w:fill="FAF9F8"/>
              </w:rPr>
            </w:pPr>
            <w:r w:rsidRPr="00D52B42">
              <w:t xml:space="preserve">Total </w:t>
            </w:r>
            <w:r w:rsidR="007C7CE8">
              <w:t>p</w:t>
            </w:r>
            <w:r w:rsidRPr="00D52B42">
              <w:t xml:space="preserve">roject </w:t>
            </w:r>
            <w:r w:rsidR="007C7CE8">
              <w:t>v</w:t>
            </w:r>
            <w:r w:rsidRPr="00D52B42">
              <w:t>alue</w:t>
            </w:r>
          </w:p>
        </w:tc>
        <w:tc>
          <w:tcPr>
            <w:tcW w:w="6237" w:type="dxa"/>
            <w:vAlign w:val="top"/>
          </w:tcPr>
          <w:p w14:paraId="29C4F594" w14:textId="7D2144E7" w:rsidR="007A19C9" w:rsidRPr="00192F41" w:rsidRDefault="007A19C9"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D52B42">
              <w:t>$22</w:t>
            </w:r>
            <w:r w:rsidR="007C7CE8">
              <w:t xml:space="preserve"> </w:t>
            </w:r>
            <w:r w:rsidR="009765F3">
              <w:t>m</w:t>
            </w:r>
            <w:r w:rsidR="007C7CE8">
              <w:t>illion</w:t>
            </w:r>
            <w:r w:rsidRPr="00D52B42">
              <w:t xml:space="preserve"> ($1</w:t>
            </w:r>
            <w:r w:rsidR="00081CBA">
              <w:t>3</w:t>
            </w:r>
            <w:r w:rsidRPr="00D52B42">
              <w:t>.</w:t>
            </w:r>
            <w:r w:rsidR="00E5320C">
              <w:t>1</w:t>
            </w:r>
            <w:r w:rsidR="007C7CE8">
              <w:t xml:space="preserve"> </w:t>
            </w:r>
            <w:r w:rsidR="009765F3">
              <w:t>m</w:t>
            </w:r>
            <w:r w:rsidR="007C7CE8">
              <w:t>illion</w:t>
            </w:r>
            <w:r w:rsidRPr="00D52B42">
              <w:t xml:space="preserve"> within period) – 50% grant funded</w:t>
            </w:r>
          </w:p>
        </w:tc>
      </w:tr>
      <w:tr w:rsidR="00D468A9" w:rsidRPr="00192F41" w14:paraId="2ABA7E8E"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25E09CD9" w14:textId="1EC0438C" w:rsidR="00D468A9" w:rsidRPr="00192F41" w:rsidRDefault="00D468A9" w:rsidP="00A85E63">
            <w:pPr>
              <w:spacing w:before="40" w:after="40"/>
              <w:rPr>
                <w:rFonts w:cs="Arial"/>
                <w:b/>
                <w:color w:val="000000" w:themeColor="text1"/>
                <w:szCs w:val="20"/>
                <w:shd w:val="clear" w:color="auto" w:fill="FAF9F8"/>
              </w:rPr>
            </w:pPr>
            <w:r w:rsidRPr="00C019F2">
              <w:t>Timing</w:t>
            </w:r>
            <w:r w:rsidR="002B1156">
              <w:t xml:space="preserve"> </w:t>
            </w:r>
            <w:r>
              <w:t>/</w:t>
            </w:r>
            <w:r w:rsidR="002B1156">
              <w:t xml:space="preserve"> </w:t>
            </w:r>
            <w:r w:rsidR="007C7CE8">
              <w:t>s</w:t>
            </w:r>
            <w:r>
              <w:t>tatus</w:t>
            </w:r>
          </w:p>
        </w:tc>
        <w:tc>
          <w:tcPr>
            <w:tcW w:w="6237" w:type="dxa"/>
            <w:vAlign w:val="top"/>
          </w:tcPr>
          <w:p w14:paraId="34EE0820" w14:textId="3F917975" w:rsidR="00D468A9" w:rsidRPr="00192F41" w:rsidRDefault="00D468A9"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D52B42">
              <w:t>Commenced FY21, to be completed FY25</w:t>
            </w:r>
            <w:r>
              <w:t>. Material supply and construction contracts awarded</w:t>
            </w:r>
            <w:r w:rsidR="002560FF">
              <w:t xml:space="preserve"> (Gate 4)</w:t>
            </w:r>
          </w:p>
        </w:tc>
      </w:tr>
      <w:tr w:rsidR="00D468A9" w:rsidRPr="00C72A31" w14:paraId="07199E94"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4F95D9A3" w14:textId="0CAEE239" w:rsidR="00D468A9" w:rsidRPr="00C72A31" w:rsidRDefault="00D468A9" w:rsidP="00A85E63">
            <w:pPr>
              <w:spacing w:before="40" w:after="40"/>
            </w:pPr>
            <w:r w:rsidRPr="00D52B42">
              <w:t xml:space="preserve">Service </w:t>
            </w:r>
            <w:r w:rsidR="007C7CE8">
              <w:t>c</w:t>
            </w:r>
            <w:r w:rsidRPr="00D52B42">
              <w:t>ategory</w:t>
            </w:r>
          </w:p>
        </w:tc>
        <w:tc>
          <w:tcPr>
            <w:tcW w:w="6237" w:type="dxa"/>
            <w:vAlign w:val="top"/>
          </w:tcPr>
          <w:p w14:paraId="42CB2A11" w14:textId="5595327D" w:rsidR="00D468A9" w:rsidRPr="00C72A31" w:rsidRDefault="00D468A9"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52B42">
              <w:t>Pipelines</w:t>
            </w:r>
          </w:p>
        </w:tc>
      </w:tr>
      <w:tr w:rsidR="00D468A9" w:rsidRPr="00C72A31" w14:paraId="10AD2A35"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CE5436B" w14:textId="4B1CFE3E" w:rsidR="00D468A9" w:rsidRPr="00C72A31" w:rsidRDefault="00D468A9" w:rsidP="00A85E63">
            <w:pPr>
              <w:spacing w:before="40" w:after="40"/>
            </w:pPr>
            <w:r w:rsidRPr="00D52B42">
              <w:t xml:space="preserve">Asset </w:t>
            </w:r>
            <w:r w:rsidR="007C7CE8">
              <w:t>c</w:t>
            </w:r>
            <w:r w:rsidRPr="00D52B42">
              <w:t>ategory</w:t>
            </w:r>
          </w:p>
        </w:tc>
        <w:tc>
          <w:tcPr>
            <w:tcW w:w="6237" w:type="dxa"/>
            <w:vAlign w:val="top"/>
          </w:tcPr>
          <w:p w14:paraId="02584DCC" w14:textId="24086615" w:rsidR="00D468A9" w:rsidRPr="00C72A31" w:rsidRDefault="00D468A9"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52B42">
              <w:t>Pipelines</w:t>
            </w:r>
          </w:p>
        </w:tc>
      </w:tr>
      <w:tr w:rsidR="00D468A9" w:rsidRPr="00C72A31" w14:paraId="2273E5AD"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E38F557" w14:textId="6D7E2B78" w:rsidR="00D468A9" w:rsidRPr="007643C1" w:rsidRDefault="00D468A9" w:rsidP="00A85E63">
            <w:pPr>
              <w:spacing w:before="40" w:after="40"/>
            </w:pPr>
            <w:r w:rsidRPr="00D52B42">
              <w:t xml:space="preserve">System / </w:t>
            </w:r>
            <w:r w:rsidR="007C7CE8">
              <w:t>c</w:t>
            </w:r>
            <w:r w:rsidRPr="00D52B42">
              <w:t xml:space="preserve">ustomer </w:t>
            </w:r>
            <w:r w:rsidR="007C7CE8">
              <w:t>g</w:t>
            </w:r>
            <w:r w:rsidRPr="00D52B42">
              <w:t>roup</w:t>
            </w:r>
          </w:p>
        </w:tc>
        <w:tc>
          <w:tcPr>
            <w:tcW w:w="6237" w:type="dxa"/>
            <w:vAlign w:val="top"/>
          </w:tcPr>
          <w:p w14:paraId="4A290364" w14:textId="23965FDE" w:rsidR="00D468A9" w:rsidRPr="007643C1" w:rsidRDefault="00D468A9"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52B42">
              <w:t>Werribee Irrigation District</w:t>
            </w:r>
          </w:p>
        </w:tc>
      </w:tr>
      <w:tr w:rsidR="00D468A9" w:rsidRPr="00C72A31" w14:paraId="485C212A"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533EE93A" w14:textId="43CA0EA5" w:rsidR="00D468A9" w:rsidRPr="007643C1" w:rsidRDefault="00D468A9" w:rsidP="00A85E63">
            <w:pPr>
              <w:spacing w:before="40" w:after="40"/>
            </w:pPr>
            <w:r w:rsidRPr="00D52B42">
              <w:t xml:space="preserve">Cost </w:t>
            </w:r>
            <w:r w:rsidR="007C7CE8">
              <w:t>d</w:t>
            </w:r>
            <w:r w:rsidRPr="00D52B42">
              <w:t xml:space="preserve">river </w:t>
            </w:r>
          </w:p>
        </w:tc>
        <w:tc>
          <w:tcPr>
            <w:tcW w:w="6237" w:type="dxa"/>
            <w:vAlign w:val="top"/>
          </w:tcPr>
          <w:p w14:paraId="2F862592" w14:textId="2AEC29C1" w:rsidR="00D468A9" w:rsidRPr="007643C1" w:rsidRDefault="00D468A9"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52B42">
              <w:t>Improvement/compliance</w:t>
            </w:r>
          </w:p>
        </w:tc>
      </w:tr>
      <w:tr w:rsidR="00D468A9" w:rsidRPr="00C72A31" w14:paraId="21141200"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1711AE8" w14:textId="4CA719DA" w:rsidR="00D468A9" w:rsidRPr="00C72A31" w:rsidRDefault="00D468A9" w:rsidP="00A85E63">
            <w:pPr>
              <w:spacing w:before="40" w:after="40"/>
            </w:pPr>
            <w:r w:rsidRPr="00D52B42">
              <w:t>Outcome</w:t>
            </w:r>
          </w:p>
        </w:tc>
        <w:tc>
          <w:tcPr>
            <w:tcW w:w="6237" w:type="dxa"/>
            <w:vAlign w:val="top"/>
          </w:tcPr>
          <w:p w14:paraId="3B21F72B" w14:textId="72A37E6B" w:rsidR="00D468A9" w:rsidRPr="00C72A31" w:rsidRDefault="00D468A9"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D52B42">
              <w:t>Reliable water supply, sustainable water</w:t>
            </w:r>
          </w:p>
        </w:tc>
      </w:tr>
      <w:tr w:rsidR="00D468A9" w:rsidRPr="00C72A31" w14:paraId="77C7CB21" w14:textId="77777777" w:rsidTr="00D468A9">
        <w:tc>
          <w:tcPr>
            <w:cnfStyle w:val="001000000000" w:firstRow="0" w:lastRow="0" w:firstColumn="1" w:lastColumn="0" w:oddVBand="0" w:evenVBand="0" w:oddHBand="0" w:evenHBand="0" w:firstRowFirstColumn="0" w:firstRowLastColumn="0" w:lastRowFirstColumn="0" w:lastRowLastColumn="0"/>
            <w:tcW w:w="3402" w:type="dxa"/>
            <w:vAlign w:val="top"/>
          </w:tcPr>
          <w:p w14:paraId="1A035AA0" w14:textId="5934A4A9" w:rsidR="00D468A9" w:rsidRPr="00C019F2" w:rsidRDefault="00D468A9" w:rsidP="00A85E63">
            <w:pPr>
              <w:spacing w:before="40" w:after="40"/>
            </w:pPr>
            <w:r w:rsidRPr="00D52B42">
              <w:t xml:space="preserve">Risk / </w:t>
            </w:r>
            <w:r w:rsidR="007C7CE8">
              <w:t>c</w:t>
            </w:r>
            <w:r w:rsidRPr="00D52B42">
              <w:t xml:space="preserve">ompliance / </w:t>
            </w:r>
            <w:r w:rsidR="007C7CE8">
              <w:t>c</w:t>
            </w:r>
            <w:r w:rsidRPr="00D52B42">
              <w:t>ustomer rating</w:t>
            </w:r>
          </w:p>
        </w:tc>
        <w:tc>
          <w:tcPr>
            <w:tcW w:w="6237" w:type="dxa"/>
            <w:vAlign w:val="top"/>
          </w:tcPr>
          <w:p w14:paraId="0DB870B0" w14:textId="137E4326" w:rsidR="00D468A9" w:rsidRPr="00C019F2" w:rsidRDefault="00D468A9"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D52B42">
              <w:t>N/A – already commenced prior to regulatory period</w:t>
            </w:r>
          </w:p>
        </w:tc>
      </w:tr>
      <w:tr w:rsidR="00D468A9" w:rsidRPr="00670249" w14:paraId="19D4016E" w14:textId="77777777" w:rsidTr="28249D1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46C89DDC" w14:textId="327CD85E" w:rsidR="00D468A9" w:rsidRPr="00670249" w:rsidRDefault="00D468A9" w:rsidP="00A85E63">
            <w:pPr>
              <w:spacing w:before="40" w:after="40"/>
              <w:rPr>
                <w:b/>
                <w:bCs/>
              </w:rPr>
            </w:pPr>
            <w:r w:rsidRPr="00D52B42">
              <w:t>Description</w:t>
            </w:r>
          </w:p>
        </w:tc>
        <w:tc>
          <w:tcPr>
            <w:tcW w:w="6237" w:type="dxa"/>
            <w:vAlign w:val="top"/>
          </w:tcPr>
          <w:p w14:paraId="195CD7EB" w14:textId="5F43DA0D" w:rsidR="00D468A9" w:rsidRPr="00670249" w:rsidRDefault="00D468A9"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D52B42">
              <w:t xml:space="preserve">Replacement of open channels with pipelines in the yet to be modernised stages 4 and 5 of the Werribee Irrigation District </w:t>
            </w:r>
          </w:p>
        </w:tc>
      </w:tr>
      <w:tr w:rsidR="003924DF" w:rsidRPr="00670249" w14:paraId="2F188462" w14:textId="77777777" w:rsidTr="28249D1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7B881848" w14:textId="7D6CA127" w:rsidR="003924DF" w:rsidRPr="00D52B42" w:rsidRDefault="00220BBA" w:rsidP="28249D17">
            <w:pPr>
              <w:jc w:val="center"/>
            </w:pPr>
            <w:r w:rsidRPr="00220BBA">
              <w:rPr>
                <w:noProof/>
              </w:rPr>
              <w:drawing>
                <wp:inline distT="0" distB="0" distL="0" distR="0" wp14:anchorId="4B6F4FD3" wp14:editId="4E561369">
                  <wp:extent cx="3274540" cy="2400460"/>
                  <wp:effectExtent l="0" t="0" r="254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295019" cy="2415472"/>
                          </a:xfrm>
                          <a:prstGeom prst="rect">
                            <a:avLst/>
                          </a:prstGeom>
                        </pic:spPr>
                      </pic:pic>
                    </a:graphicData>
                  </a:graphic>
                </wp:inline>
              </w:drawing>
            </w:r>
          </w:p>
        </w:tc>
      </w:tr>
    </w:tbl>
    <w:p w14:paraId="3D1D3EA5" w14:textId="77777777" w:rsidR="009C2B50" w:rsidRDefault="009C2B50" w:rsidP="00A86111">
      <w:pPr>
        <w:rPr>
          <w:rFonts w:cs="Arial"/>
        </w:rPr>
      </w:pPr>
    </w:p>
    <w:tbl>
      <w:tblPr>
        <w:tblStyle w:val="ReportTable-TealRows"/>
        <w:tblW w:w="9639" w:type="dxa"/>
        <w:tblLook w:val="04A0" w:firstRow="1" w:lastRow="0" w:firstColumn="1" w:lastColumn="0" w:noHBand="0" w:noVBand="1"/>
      </w:tblPr>
      <w:tblGrid>
        <w:gridCol w:w="3402"/>
        <w:gridCol w:w="6237"/>
      </w:tblGrid>
      <w:tr w:rsidR="00F61A65" w:rsidRPr="00A85E63" w14:paraId="0AF90C92"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A29FE3E" w14:textId="3074F8C6" w:rsidR="00F61A65" w:rsidRPr="00192F41" w:rsidRDefault="00F61A65" w:rsidP="00A85E63">
            <w:pPr>
              <w:spacing w:before="40" w:after="40"/>
              <w:rPr>
                <w:rFonts w:cs="Arial"/>
                <w:sz w:val="20"/>
                <w:szCs w:val="20"/>
                <w:shd w:val="clear" w:color="auto" w:fill="FAF9F8"/>
              </w:rPr>
            </w:pPr>
            <w:r w:rsidRPr="00A85E63">
              <w:rPr>
                <w:sz w:val="20"/>
                <w:szCs w:val="20"/>
              </w:rPr>
              <w:t xml:space="preserve">Project </w:t>
            </w:r>
            <w:r w:rsidR="007C7CE8" w:rsidRPr="00A85E63">
              <w:rPr>
                <w:sz w:val="20"/>
                <w:szCs w:val="20"/>
              </w:rPr>
              <w:t>n</w:t>
            </w:r>
            <w:r w:rsidRPr="00A85E63">
              <w:rPr>
                <w:sz w:val="20"/>
                <w:szCs w:val="20"/>
              </w:rPr>
              <w:t>ame</w:t>
            </w:r>
          </w:p>
        </w:tc>
        <w:tc>
          <w:tcPr>
            <w:tcW w:w="6237" w:type="dxa"/>
            <w:vAlign w:val="top"/>
          </w:tcPr>
          <w:p w14:paraId="180B77A1" w14:textId="5151F638" w:rsidR="00F61A65" w:rsidRPr="00192F41" w:rsidRDefault="00F61A65"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G</w:t>
            </w:r>
            <w:r w:rsidR="007C7CE8" w:rsidRPr="00A85E63">
              <w:rPr>
                <w:sz w:val="20"/>
                <w:szCs w:val="20"/>
              </w:rPr>
              <w:t>roundwater and River</w:t>
            </w:r>
            <w:r w:rsidRPr="00A85E63">
              <w:rPr>
                <w:sz w:val="20"/>
                <w:szCs w:val="20"/>
              </w:rPr>
              <w:t xml:space="preserve"> Meter Upgrade</w:t>
            </w:r>
          </w:p>
        </w:tc>
      </w:tr>
      <w:tr w:rsidR="00F61A65" w:rsidRPr="00192F41" w14:paraId="20C677F0"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0F63EF8B" w14:textId="1118DF45" w:rsidR="00F61A65" w:rsidRPr="00192F41" w:rsidRDefault="00F61A65" w:rsidP="00A85E63">
            <w:pPr>
              <w:spacing w:before="40" w:after="40"/>
              <w:rPr>
                <w:rFonts w:cs="Arial"/>
                <w:b/>
                <w:color w:val="000000" w:themeColor="text1"/>
                <w:szCs w:val="20"/>
                <w:shd w:val="clear" w:color="auto" w:fill="FAF9F8"/>
              </w:rPr>
            </w:pPr>
            <w:r w:rsidRPr="00C041D5">
              <w:t xml:space="preserve">Total </w:t>
            </w:r>
            <w:r w:rsidR="007C7CE8">
              <w:t>p</w:t>
            </w:r>
            <w:r w:rsidRPr="00C041D5">
              <w:t xml:space="preserve">roject </w:t>
            </w:r>
            <w:r w:rsidR="007C7CE8">
              <w:t>v</w:t>
            </w:r>
            <w:r w:rsidRPr="00C041D5">
              <w:t>alue</w:t>
            </w:r>
          </w:p>
        </w:tc>
        <w:tc>
          <w:tcPr>
            <w:tcW w:w="6237" w:type="dxa"/>
            <w:vAlign w:val="top"/>
          </w:tcPr>
          <w:p w14:paraId="07E96B4F" w14:textId="5981C4B7" w:rsidR="00F61A65" w:rsidRPr="00192F41" w:rsidRDefault="00F61A65"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C041D5">
              <w:t>$6</w:t>
            </w:r>
            <w:r w:rsidR="005003EE">
              <w:t>.2</w:t>
            </w:r>
            <w:r w:rsidR="007C7CE8">
              <w:t xml:space="preserve"> </w:t>
            </w:r>
            <w:r w:rsidR="009765F3">
              <w:t>m</w:t>
            </w:r>
            <w:r w:rsidR="007C7CE8">
              <w:t>illion</w:t>
            </w:r>
          </w:p>
        </w:tc>
      </w:tr>
      <w:tr w:rsidR="00F61A65" w:rsidRPr="00192F41" w14:paraId="52092993"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8F3FB8A" w14:textId="0B28BC83" w:rsidR="00F61A65" w:rsidRPr="00192F41" w:rsidRDefault="00F61A65" w:rsidP="00A85E63">
            <w:pPr>
              <w:spacing w:before="40" w:after="40"/>
              <w:rPr>
                <w:rFonts w:cs="Arial"/>
                <w:b/>
                <w:color w:val="000000" w:themeColor="text1"/>
                <w:szCs w:val="20"/>
                <w:shd w:val="clear" w:color="auto" w:fill="FAF9F8"/>
              </w:rPr>
            </w:pPr>
            <w:r w:rsidRPr="00C041D5">
              <w:t>Timing</w:t>
            </w:r>
            <w:r w:rsidR="002B1156">
              <w:t xml:space="preserve"> / </w:t>
            </w:r>
            <w:r w:rsidR="007C7CE8">
              <w:t>s</w:t>
            </w:r>
            <w:r w:rsidR="002B1156">
              <w:t>tatus</w:t>
            </w:r>
          </w:p>
        </w:tc>
        <w:tc>
          <w:tcPr>
            <w:tcW w:w="6237" w:type="dxa"/>
            <w:vAlign w:val="top"/>
          </w:tcPr>
          <w:p w14:paraId="4305D6AB" w14:textId="5F16382E" w:rsidR="00F61A65" w:rsidRPr="00192F41" w:rsidRDefault="00F61A65" w:rsidP="00A85E63">
            <w:pPr>
              <w:spacing w:before="40" w:after="40"/>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C041D5">
              <w:t>FY24 to FY28</w:t>
            </w:r>
            <w:r w:rsidR="0038320A">
              <w:t xml:space="preserve">. </w:t>
            </w:r>
            <w:r w:rsidR="00D5501C">
              <w:t>B</w:t>
            </w:r>
            <w:r w:rsidR="008A23FF">
              <w:t>usiness case prepared</w:t>
            </w:r>
            <w:r w:rsidR="002560FF">
              <w:t xml:space="preserve"> (Gate 2)</w:t>
            </w:r>
          </w:p>
        </w:tc>
      </w:tr>
      <w:tr w:rsidR="00F61A65" w:rsidRPr="00C72A31" w14:paraId="52995C79"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448CC2DF" w14:textId="5D5924A6" w:rsidR="00F61A65" w:rsidRPr="00C72A31" w:rsidRDefault="00F61A65" w:rsidP="00A85E63">
            <w:pPr>
              <w:spacing w:before="40" w:after="40"/>
            </w:pPr>
            <w:r w:rsidRPr="00C041D5">
              <w:t xml:space="preserve">Service </w:t>
            </w:r>
            <w:r w:rsidR="007C7CE8">
              <w:t>c</w:t>
            </w:r>
            <w:r w:rsidRPr="00C041D5">
              <w:t>ategory</w:t>
            </w:r>
          </w:p>
        </w:tc>
        <w:tc>
          <w:tcPr>
            <w:tcW w:w="6237" w:type="dxa"/>
            <w:vAlign w:val="top"/>
          </w:tcPr>
          <w:p w14:paraId="671CB003" w14:textId="6BF58B39" w:rsidR="00F61A65" w:rsidRPr="00C72A31" w:rsidRDefault="00F61A65" w:rsidP="00A85E63">
            <w:pPr>
              <w:spacing w:before="40" w:after="40"/>
              <w:cnfStyle w:val="000000100000" w:firstRow="0" w:lastRow="0" w:firstColumn="0" w:lastColumn="0" w:oddVBand="0" w:evenVBand="0" w:oddHBand="1" w:evenHBand="0" w:firstRowFirstColumn="0" w:firstRowLastColumn="0" w:lastRowFirstColumn="0" w:lastRowLastColumn="0"/>
            </w:pPr>
            <w:r w:rsidRPr="00C041D5">
              <w:t>Groundwater</w:t>
            </w:r>
          </w:p>
        </w:tc>
      </w:tr>
      <w:tr w:rsidR="00F61A65" w:rsidRPr="00C72A31" w14:paraId="776F419C"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607D71AF" w14:textId="0A3D28D6" w:rsidR="00F61A65" w:rsidRPr="00C72A31" w:rsidRDefault="00F61A65" w:rsidP="00A85E63">
            <w:pPr>
              <w:spacing w:before="40" w:after="40"/>
            </w:pPr>
            <w:r w:rsidRPr="00C041D5">
              <w:t xml:space="preserve">Asset </w:t>
            </w:r>
            <w:r w:rsidR="007C7CE8">
              <w:t>c</w:t>
            </w:r>
            <w:r w:rsidRPr="00C041D5">
              <w:t>ategory</w:t>
            </w:r>
          </w:p>
        </w:tc>
        <w:tc>
          <w:tcPr>
            <w:tcW w:w="6237" w:type="dxa"/>
            <w:vAlign w:val="top"/>
          </w:tcPr>
          <w:p w14:paraId="477F3DB6" w14:textId="4FEA0263" w:rsidR="00F61A65" w:rsidRPr="00C72A31" w:rsidRDefault="00F61A65" w:rsidP="00A85E63">
            <w:pPr>
              <w:spacing w:before="40" w:after="40"/>
              <w:cnfStyle w:val="000000000000" w:firstRow="0" w:lastRow="0" w:firstColumn="0" w:lastColumn="0" w:oddVBand="0" w:evenVBand="0" w:oddHBand="0" w:evenHBand="0" w:firstRowFirstColumn="0" w:firstRowLastColumn="0" w:lastRowFirstColumn="0" w:lastRowLastColumn="0"/>
            </w:pPr>
            <w:r w:rsidRPr="00C041D5">
              <w:t>Customer outlets</w:t>
            </w:r>
          </w:p>
        </w:tc>
      </w:tr>
      <w:tr w:rsidR="00F61A65" w:rsidRPr="00C72A31" w14:paraId="77115C83"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0234FD5B" w14:textId="6DB19467" w:rsidR="00F61A65" w:rsidRPr="007643C1" w:rsidRDefault="00F61A65" w:rsidP="00A85E63">
            <w:pPr>
              <w:spacing w:before="40" w:after="40"/>
            </w:pPr>
            <w:r w:rsidRPr="00C041D5">
              <w:t xml:space="preserve">System / </w:t>
            </w:r>
            <w:r w:rsidR="007C7CE8">
              <w:t>c</w:t>
            </w:r>
            <w:r w:rsidRPr="00C041D5">
              <w:t xml:space="preserve">ustomer </w:t>
            </w:r>
            <w:r w:rsidR="007C7CE8">
              <w:t>g</w:t>
            </w:r>
            <w:r w:rsidRPr="00C041D5">
              <w:t>roup</w:t>
            </w:r>
          </w:p>
        </w:tc>
        <w:tc>
          <w:tcPr>
            <w:tcW w:w="6237" w:type="dxa"/>
            <w:vAlign w:val="top"/>
          </w:tcPr>
          <w:p w14:paraId="45E82CF4" w14:textId="7A77B083" w:rsidR="00F61A65" w:rsidRPr="007643C1" w:rsidRDefault="00F61A65" w:rsidP="00A85E63">
            <w:pPr>
              <w:spacing w:before="40" w:after="40"/>
              <w:cnfStyle w:val="000000100000" w:firstRow="0" w:lastRow="0" w:firstColumn="0" w:lastColumn="0" w:oddVBand="0" w:evenVBand="0" w:oddHBand="1" w:evenHBand="0" w:firstRowFirstColumn="0" w:firstRowLastColumn="0" w:lastRowFirstColumn="0" w:lastRowLastColumn="0"/>
            </w:pPr>
            <w:r w:rsidRPr="00C041D5">
              <w:t>Groundwater and Rivers</w:t>
            </w:r>
          </w:p>
        </w:tc>
      </w:tr>
      <w:tr w:rsidR="00F61A65" w:rsidRPr="00C72A31" w14:paraId="04C0A58C"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017168E" w14:textId="4FE9D772" w:rsidR="00F61A65" w:rsidRPr="007643C1" w:rsidRDefault="00F61A65" w:rsidP="00A85E63">
            <w:pPr>
              <w:spacing w:before="40" w:after="40"/>
            </w:pPr>
            <w:r w:rsidRPr="00C041D5">
              <w:t xml:space="preserve">Cost </w:t>
            </w:r>
            <w:r w:rsidR="007C7CE8">
              <w:t>d</w:t>
            </w:r>
            <w:r w:rsidRPr="00C041D5">
              <w:t xml:space="preserve">river </w:t>
            </w:r>
          </w:p>
        </w:tc>
        <w:tc>
          <w:tcPr>
            <w:tcW w:w="6237" w:type="dxa"/>
            <w:vAlign w:val="top"/>
          </w:tcPr>
          <w:p w14:paraId="40C94749" w14:textId="18A03EB1" w:rsidR="00F61A65" w:rsidRPr="007643C1" w:rsidRDefault="006F44F6" w:rsidP="00A85E63">
            <w:pPr>
              <w:spacing w:before="40" w:after="40"/>
              <w:cnfStyle w:val="000000000000" w:firstRow="0" w:lastRow="0" w:firstColumn="0" w:lastColumn="0" w:oddVBand="0" w:evenVBand="0" w:oddHBand="0" w:evenHBand="0" w:firstRowFirstColumn="0" w:firstRowLastColumn="0" w:lastRowFirstColumn="0" w:lastRowLastColumn="0"/>
            </w:pPr>
            <w:r>
              <w:t>I</w:t>
            </w:r>
            <w:r w:rsidR="00F61A65" w:rsidRPr="00C041D5">
              <w:t>mprovement/</w:t>
            </w:r>
            <w:r>
              <w:t>c</w:t>
            </w:r>
            <w:r w:rsidR="00F61A65" w:rsidRPr="00C041D5">
              <w:t>ompliance</w:t>
            </w:r>
          </w:p>
        </w:tc>
      </w:tr>
      <w:tr w:rsidR="00F61A65" w:rsidRPr="00C72A31" w14:paraId="15D7B246"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D9BA028" w14:textId="0338AE6A" w:rsidR="00F61A65" w:rsidRPr="00C72A31" w:rsidRDefault="00F61A65" w:rsidP="00A85E63">
            <w:pPr>
              <w:spacing w:before="40" w:after="40"/>
            </w:pPr>
            <w:r w:rsidRPr="00C041D5">
              <w:t>Outcome</w:t>
            </w:r>
          </w:p>
        </w:tc>
        <w:tc>
          <w:tcPr>
            <w:tcW w:w="6237" w:type="dxa"/>
            <w:vAlign w:val="top"/>
          </w:tcPr>
          <w:p w14:paraId="065C167F" w14:textId="63870148" w:rsidR="00F61A65" w:rsidRPr="00C72A31" w:rsidRDefault="00F61A65" w:rsidP="00A85E63">
            <w:pPr>
              <w:spacing w:before="40" w:after="40"/>
              <w:cnfStyle w:val="000000100000" w:firstRow="0" w:lastRow="0" w:firstColumn="0" w:lastColumn="0" w:oddVBand="0" w:evenVBand="0" w:oddHBand="1" w:evenHBand="0" w:firstRowFirstColumn="0" w:firstRowLastColumn="0" w:lastRowFirstColumn="0" w:lastRowLastColumn="0"/>
            </w:pPr>
            <w:r w:rsidRPr="00C041D5">
              <w:t>Sustainable water, great service</w:t>
            </w:r>
          </w:p>
        </w:tc>
      </w:tr>
      <w:tr w:rsidR="00F61A65" w:rsidRPr="00C72A31" w14:paraId="6196CFCB" w14:textId="77777777" w:rsidTr="0085311F">
        <w:tc>
          <w:tcPr>
            <w:cnfStyle w:val="001000000000" w:firstRow="0" w:lastRow="0" w:firstColumn="1" w:lastColumn="0" w:oddVBand="0" w:evenVBand="0" w:oddHBand="0" w:evenHBand="0" w:firstRowFirstColumn="0" w:firstRowLastColumn="0" w:lastRowFirstColumn="0" w:lastRowLastColumn="0"/>
            <w:tcW w:w="0" w:type="dxa"/>
            <w:vAlign w:val="top"/>
          </w:tcPr>
          <w:p w14:paraId="0EDEDA62" w14:textId="1A5395A3" w:rsidR="00F61A65" w:rsidRPr="00C019F2" w:rsidRDefault="00F61A65" w:rsidP="00A85E63">
            <w:pPr>
              <w:spacing w:before="40" w:after="40"/>
            </w:pPr>
            <w:r w:rsidRPr="00C041D5">
              <w:t xml:space="preserve">Risk / </w:t>
            </w:r>
            <w:r w:rsidR="007C7CE8">
              <w:t>c</w:t>
            </w:r>
            <w:r w:rsidRPr="00C041D5">
              <w:t xml:space="preserve">ompliance / </w:t>
            </w:r>
            <w:r w:rsidR="007C7CE8">
              <w:t>c</w:t>
            </w:r>
            <w:r w:rsidRPr="00C041D5">
              <w:t>ustomer rating</w:t>
            </w:r>
          </w:p>
        </w:tc>
        <w:tc>
          <w:tcPr>
            <w:tcW w:w="0" w:type="dxa"/>
            <w:vAlign w:val="top"/>
          </w:tcPr>
          <w:p w14:paraId="166CA8DC" w14:textId="0A54A601" w:rsidR="00F61A65" w:rsidRPr="00C019F2" w:rsidRDefault="00F61A65" w:rsidP="00A85E63">
            <w:pPr>
              <w:spacing w:before="40" w:after="40"/>
              <w:cnfStyle w:val="000000000000" w:firstRow="0" w:lastRow="0" w:firstColumn="0" w:lastColumn="0" w:oddVBand="0" w:evenVBand="0" w:oddHBand="0" w:evenHBand="0" w:firstRowFirstColumn="0" w:firstRowLastColumn="0" w:lastRowFirstColumn="0" w:lastRowLastColumn="0"/>
            </w:pPr>
            <w:r w:rsidRPr="00C041D5">
              <w:t>Included based on compliance</w:t>
            </w:r>
          </w:p>
        </w:tc>
      </w:tr>
      <w:tr w:rsidR="00F61A65" w:rsidRPr="00670249" w14:paraId="01532972" w14:textId="77777777" w:rsidTr="008531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auto"/>
            </w:tcBorders>
            <w:vAlign w:val="top"/>
          </w:tcPr>
          <w:p w14:paraId="71AE90B6" w14:textId="4C79B01F" w:rsidR="00F61A65" w:rsidRPr="00670249" w:rsidRDefault="00F61A65" w:rsidP="00A85E63">
            <w:pPr>
              <w:spacing w:before="40" w:after="40"/>
              <w:rPr>
                <w:b/>
                <w:bCs/>
              </w:rPr>
            </w:pPr>
            <w:r w:rsidRPr="00C041D5">
              <w:t>Description</w:t>
            </w:r>
          </w:p>
        </w:tc>
        <w:tc>
          <w:tcPr>
            <w:tcW w:w="0" w:type="dxa"/>
            <w:tcBorders>
              <w:bottom w:val="single" w:sz="4" w:space="0" w:color="auto"/>
            </w:tcBorders>
            <w:vAlign w:val="top"/>
          </w:tcPr>
          <w:p w14:paraId="50F27A85" w14:textId="3C5031AF" w:rsidR="00F61A65" w:rsidRPr="00670249" w:rsidRDefault="00F61A65"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C041D5">
              <w:t xml:space="preserve">Replacement of groundwater and river meters with </w:t>
            </w:r>
            <w:r w:rsidR="009F501D">
              <w:t>patent</w:t>
            </w:r>
            <w:r w:rsidRPr="00C041D5">
              <w:t xml:space="preserve"> approved meters</w:t>
            </w:r>
          </w:p>
        </w:tc>
      </w:tr>
    </w:tbl>
    <w:p w14:paraId="6637A4AB" w14:textId="15ED6774" w:rsidR="007A19C9" w:rsidRDefault="00911AB8" w:rsidP="00A86111">
      <w:pPr>
        <w:rPr>
          <w:rFonts w:cs="Arial"/>
        </w:rPr>
      </w:pPr>
      <w:r>
        <w:rPr>
          <w:rFonts w:cs="Arial"/>
        </w:rPr>
        <w:br w:type="page"/>
      </w:r>
    </w:p>
    <w:tbl>
      <w:tblPr>
        <w:tblStyle w:val="ReportTable-TealRows"/>
        <w:tblW w:w="9639" w:type="dxa"/>
        <w:tblLook w:val="04A0" w:firstRow="1" w:lastRow="0" w:firstColumn="1" w:lastColumn="0" w:noHBand="0" w:noVBand="1"/>
      </w:tblPr>
      <w:tblGrid>
        <w:gridCol w:w="3402"/>
        <w:gridCol w:w="6237"/>
      </w:tblGrid>
      <w:tr w:rsidR="00FA7A44" w:rsidRPr="00A85E63" w14:paraId="3E4EEB38"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22A2DE68" w14:textId="229C2D69" w:rsidR="00FA7A44" w:rsidRPr="00192F41" w:rsidRDefault="00FA7A44" w:rsidP="00A85E63">
            <w:pPr>
              <w:spacing w:before="40" w:after="40"/>
              <w:rPr>
                <w:rFonts w:cs="Arial"/>
                <w:sz w:val="20"/>
                <w:szCs w:val="20"/>
                <w:shd w:val="clear" w:color="auto" w:fill="FAF9F8"/>
              </w:rPr>
            </w:pPr>
            <w:r w:rsidRPr="00A85E63">
              <w:rPr>
                <w:sz w:val="20"/>
                <w:szCs w:val="20"/>
              </w:rPr>
              <w:t xml:space="preserve">Project </w:t>
            </w:r>
            <w:r w:rsidR="0099714F" w:rsidRPr="00A85E63">
              <w:rPr>
                <w:sz w:val="20"/>
                <w:szCs w:val="20"/>
              </w:rPr>
              <w:t>n</w:t>
            </w:r>
            <w:r w:rsidRPr="00A85E63">
              <w:rPr>
                <w:sz w:val="20"/>
                <w:szCs w:val="20"/>
              </w:rPr>
              <w:t>ame</w:t>
            </w:r>
          </w:p>
        </w:tc>
        <w:tc>
          <w:tcPr>
            <w:tcW w:w="6237" w:type="dxa"/>
            <w:vAlign w:val="top"/>
          </w:tcPr>
          <w:p w14:paraId="5D3B12D9" w14:textId="5A423C50" w:rsidR="00FA7A44" w:rsidRPr="00192F41" w:rsidRDefault="00FA7A44"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Melton Reservoir Spillway Left Training Wall Upgrade</w:t>
            </w:r>
          </w:p>
        </w:tc>
      </w:tr>
      <w:tr w:rsidR="00FA7A44" w:rsidRPr="00192F41" w14:paraId="7964CDED"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4A29BC2" w14:textId="1CF12463" w:rsidR="00FA7A44" w:rsidRPr="00192F41" w:rsidRDefault="00FA7A44" w:rsidP="00A85E63">
            <w:pPr>
              <w:spacing w:before="40" w:after="40"/>
              <w:rPr>
                <w:rFonts w:cs="Arial"/>
                <w:b/>
                <w:color w:val="000000" w:themeColor="text1"/>
                <w:szCs w:val="20"/>
                <w:shd w:val="clear" w:color="auto" w:fill="FAF9F8"/>
              </w:rPr>
            </w:pPr>
            <w:r w:rsidRPr="003C4A6A">
              <w:t xml:space="preserve">Total </w:t>
            </w:r>
            <w:r w:rsidR="0099714F">
              <w:t>p</w:t>
            </w:r>
            <w:r w:rsidRPr="003C4A6A">
              <w:t xml:space="preserve">roject </w:t>
            </w:r>
            <w:r w:rsidR="0099714F">
              <w:t>v</w:t>
            </w:r>
            <w:r w:rsidRPr="003C4A6A">
              <w:t>alue</w:t>
            </w:r>
          </w:p>
        </w:tc>
        <w:tc>
          <w:tcPr>
            <w:tcW w:w="6237" w:type="dxa"/>
            <w:vAlign w:val="top"/>
          </w:tcPr>
          <w:p w14:paraId="1D3E4835" w14:textId="313F50AB" w:rsidR="00FA7A44" w:rsidRPr="00192F41" w:rsidRDefault="00FA7A44"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3C4A6A">
              <w:t>$2.</w:t>
            </w:r>
            <w:r w:rsidR="003A2524">
              <w:t>4</w:t>
            </w:r>
            <w:r w:rsidR="0099714F">
              <w:t xml:space="preserve"> </w:t>
            </w:r>
            <w:r w:rsidR="009765F3">
              <w:t>m</w:t>
            </w:r>
            <w:r w:rsidR="0099714F">
              <w:t>illion</w:t>
            </w:r>
          </w:p>
        </w:tc>
      </w:tr>
      <w:tr w:rsidR="00FA7A44" w:rsidRPr="00192F41" w14:paraId="2C03163D"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2B3CF18A" w14:textId="27B9C596" w:rsidR="00FA7A44" w:rsidRPr="00192F41" w:rsidRDefault="00FA7A44" w:rsidP="00A85E63">
            <w:pPr>
              <w:spacing w:before="40" w:after="40"/>
              <w:rPr>
                <w:rFonts w:cs="Arial"/>
                <w:b/>
                <w:color w:val="000000" w:themeColor="text1"/>
                <w:szCs w:val="20"/>
                <w:shd w:val="clear" w:color="auto" w:fill="FAF9F8"/>
              </w:rPr>
            </w:pPr>
            <w:r w:rsidRPr="003C4A6A">
              <w:t>Timing</w:t>
            </w:r>
            <w:r w:rsidR="002B1156">
              <w:t xml:space="preserve"> / </w:t>
            </w:r>
            <w:r w:rsidR="0099714F">
              <w:t>s</w:t>
            </w:r>
            <w:r w:rsidR="002B1156">
              <w:t>tatus</w:t>
            </w:r>
          </w:p>
        </w:tc>
        <w:tc>
          <w:tcPr>
            <w:tcW w:w="6237" w:type="dxa"/>
            <w:vAlign w:val="top"/>
          </w:tcPr>
          <w:p w14:paraId="5C0AF919" w14:textId="2002EC7A" w:rsidR="00FA7A44" w:rsidRPr="00192F41" w:rsidRDefault="00FA7A4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3C4A6A">
              <w:t>FY25 to FY27</w:t>
            </w:r>
            <w:r w:rsidR="002B1156">
              <w:t xml:space="preserve">. </w:t>
            </w:r>
            <w:r w:rsidR="00C05D80">
              <w:t xml:space="preserve">Concept design and options analysis complete. </w:t>
            </w:r>
            <w:r w:rsidR="00B8170E">
              <w:t>Business case prepared</w:t>
            </w:r>
            <w:r w:rsidR="00D5501C">
              <w:t xml:space="preserve"> (Gate 2)</w:t>
            </w:r>
          </w:p>
        </w:tc>
      </w:tr>
      <w:tr w:rsidR="00FA7A44" w:rsidRPr="00C72A31" w14:paraId="0CB7A7B8"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0D78FA0E" w14:textId="051E9D4D" w:rsidR="00FA7A44" w:rsidRPr="00C72A31" w:rsidRDefault="00FA7A44" w:rsidP="00A85E63">
            <w:pPr>
              <w:spacing w:before="40" w:after="40"/>
            </w:pPr>
            <w:r w:rsidRPr="003C4A6A">
              <w:t xml:space="preserve">Service </w:t>
            </w:r>
            <w:r w:rsidR="0099714F">
              <w:t>c</w:t>
            </w:r>
            <w:r w:rsidRPr="003C4A6A">
              <w:t>ategory</w:t>
            </w:r>
          </w:p>
        </w:tc>
        <w:tc>
          <w:tcPr>
            <w:tcW w:w="6237" w:type="dxa"/>
            <w:vAlign w:val="top"/>
          </w:tcPr>
          <w:p w14:paraId="751DA108" w14:textId="7E0C55FE" w:rsidR="00FA7A44" w:rsidRPr="00C72A31" w:rsidRDefault="00FA7A44"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3C4A6A">
              <w:t>Headworks</w:t>
            </w:r>
          </w:p>
        </w:tc>
      </w:tr>
      <w:tr w:rsidR="00FA7A44" w:rsidRPr="00C72A31" w14:paraId="0B50DF7B"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CAA0266" w14:textId="4C2C0FA0" w:rsidR="00FA7A44" w:rsidRPr="00C72A31" w:rsidRDefault="00FA7A44" w:rsidP="00A85E63">
            <w:pPr>
              <w:spacing w:before="40" w:after="40"/>
            </w:pPr>
            <w:r w:rsidRPr="003C4A6A">
              <w:t xml:space="preserve">Asset </w:t>
            </w:r>
            <w:r w:rsidR="0099714F">
              <w:t>c</w:t>
            </w:r>
            <w:r w:rsidRPr="003C4A6A">
              <w:t>ategory</w:t>
            </w:r>
          </w:p>
        </w:tc>
        <w:tc>
          <w:tcPr>
            <w:tcW w:w="6237" w:type="dxa"/>
            <w:vAlign w:val="top"/>
          </w:tcPr>
          <w:p w14:paraId="212B0AFA" w14:textId="4543C6EC" w:rsidR="00FA7A44" w:rsidRPr="00C72A31" w:rsidRDefault="00FA7A4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3C4A6A">
              <w:t xml:space="preserve">Headworks </w:t>
            </w:r>
            <w:r w:rsidR="0099714F">
              <w:t>s</w:t>
            </w:r>
            <w:r w:rsidRPr="003C4A6A">
              <w:t>pillway</w:t>
            </w:r>
          </w:p>
        </w:tc>
      </w:tr>
      <w:tr w:rsidR="00FA7A44" w:rsidRPr="00C72A31" w14:paraId="6D50CCFE"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89A302D" w14:textId="47C4D8A6" w:rsidR="00FA7A44" w:rsidRPr="007643C1" w:rsidRDefault="00FA7A44" w:rsidP="00A85E63">
            <w:pPr>
              <w:spacing w:before="40" w:after="40"/>
            </w:pPr>
            <w:r w:rsidRPr="003C4A6A">
              <w:t xml:space="preserve">System / </w:t>
            </w:r>
            <w:r w:rsidR="0099714F">
              <w:t>c</w:t>
            </w:r>
            <w:r w:rsidRPr="003C4A6A">
              <w:t xml:space="preserve">ustomer </w:t>
            </w:r>
            <w:r w:rsidR="0099714F">
              <w:t>g</w:t>
            </w:r>
            <w:r w:rsidRPr="003C4A6A">
              <w:t>roup</w:t>
            </w:r>
          </w:p>
        </w:tc>
        <w:tc>
          <w:tcPr>
            <w:tcW w:w="6237" w:type="dxa"/>
            <w:vAlign w:val="top"/>
          </w:tcPr>
          <w:p w14:paraId="0E36F48F" w14:textId="47525FCD" w:rsidR="00FA7A44" w:rsidRPr="007643C1" w:rsidRDefault="00FA7A44"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3C4A6A">
              <w:t xml:space="preserve">Werribee </w:t>
            </w:r>
            <w:r w:rsidR="0099714F">
              <w:t>s</w:t>
            </w:r>
            <w:r w:rsidRPr="003C4A6A">
              <w:t>ystem</w:t>
            </w:r>
          </w:p>
        </w:tc>
      </w:tr>
      <w:tr w:rsidR="00FA7A44" w:rsidRPr="00C72A31" w14:paraId="34F3C315"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4FD50B35" w14:textId="65FE2BE5" w:rsidR="00FA7A44" w:rsidRPr="007643C1" w:rsidRDefault="00FA7A44" w:rsidP="00A85E63">
            <w:pPr>
              <w:spacing w:before="40" w:after="40"/>
            </w:pPr>
            <w:r w:rsidRPr="003C4A6A">
              <w:t xml:space="preserve">Cost </w:t>
            </w:r>
            <w:r w:rsidR="0099714F">
              <w:t>d</w:t>
            </w:r>
            <w:r w:rsidRPr="003C4A6A">
              <w:t xml:space="preserve">river </w:t>
            </w:r>
          </w:p>
        </w:tc>
        <w:tc>
          <w:tcPr>
            <w:tcW w:w="6237" w:type="dxa"/>
            <w:vAlign w:val="top"/>
          </w:tcPr>
          <w:p w14:paraId="3B1BCF7D" w14:textId="25DA4A79" w:rsidR="00FA7A44" w:rsidRPr="007643C1" w:rsidRDefault="00FA7A4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3C4A6A">
              <w:t>Renewal</w:t>
            </w:r>
          </w:p>
        </w:tc>
      </w:tr>
      <w:tr w:rsidR="00FA7A44" w:rsidRPr="00C72A31" w14:paraId="7C9086DB"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068FB9D9" w14:textId="250274CD" w:rsidR="00FA7A44" w:rsidRPr="00C72A31" w:rsidRDefault="00FA7A44" w:rsidP="00A85E63">
            <w:pPr>
              <w:spacing w:before="40" w:after="40"/>
            </w:pPr>
            <w:r w:rsidRPr="003C4A6A">
              <w:t>Outcome</w:t>
            </w:r>
          </w:p>
        </w:tc>
        <w:tc>
          <w:tcPr>
            <w:tcW w:w="6237" w:type="dxa"/>
            <w:vAlign w:val="top"/>
          </w:tcPr>
          <w:p w14:paraId="52D97CAB" w14:textId="5A248403" w:rsidR="00FA7A44" w:rsidRPr="00C72A31" w:rsidRDefault="00FA7A44"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3C4A6A">
              <w:t>Reliable water supply, sustainable water</w:t>
            </w:r>
          </w:p>
        </w:tc>
      </w:tr>
      <w:tr w:rsidR="00FA7A44" w:rsidRPr="00C72A31" w14:paraId="47038B94" w14:textId="77777777" w:rsidTr="00E538C9">
        <w:tc>
          <w:tcPr>
            <w:cnfStyle w:val="001000000000" w:firstRow="0" w:lastRow="0" w:firstColumn="1" w:lastColumn="0" w:oddVBand="0" w:evenVBand="0" w:oddHBand="0" w:evenHBand="0" w:firstRowFirstColumn="0" w:firstRowLastColumn="0" w:lastRowFirstColumn="0" w:lastRowLastColumn="0"/>
            <w:tcW w:w="3402" w:type="dxa"/>
            <w:vAlign w:val="top"/>
          </w:tcPr>
          <w:p w14:paraId="4F927E7D" w14:textId="5113E1B8" w:rsidR="00FA7A44" w:rsidRPr="00C019F2" w:rsidRDefault="00FA7A44" w:rsidP="00A85E63">
            <w:pPr>
              <w:spacing w:before="40" w:after="40"/>
            </w:pPr>
            <w:r w:rsidRPr="003C4A6A">
              <w:t xml:space="preserve">Risk / </w:t>
            </w:r>
            <w:r w:rsidR="0099714F">
              <w:t>c</w:t>
            </w:r>
            <w:r w:rsidRPr="003C4A6A">
              <w:t xml:space="preserve">ompliance / </w:t>
            </w:r>
            <w:r w:rsidR="0099714F">
              <w:t>c</w:t>
            </w:r>
            <w:r w:rsidRPr="003C4A6A">
              <w:t>ustomer rating</w:t>
            </w:r>
          </w:p>
        </w:tc>
        <w:tc>
          <w:tcPr>
            <w:tcW w:w="6237" w:type="dxa"/>
            <w:vAlign w:val="top"/>
          </w:tcPr>
          <w:p w14:paraId="420B4FDC" w14:textId="3E1B71E9" w:rsidR="00FA7A44" w:rsidRPr="00C019F2" w:rsidRDefault="00FA7A4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3C4A6A">
              <w:t>Included based on Risk – rated High</w:t>
            </w:r>
          </w:p>
        </w:tc>
      </w:tr>
      <w:tr w:rsidR="00FA7A44" w:rsidRPr="00670249" w14:paraId="35D0ADDD" w14:textId="77777777" w:rsidTr="00E538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E0E92BE" w14:textId="640F3BCF" w:rsidR="00FA7A44" w:rsidRPr="00670249" w:rsidRDefault="00FA7A44" w:rsidP="00A85E63">
            <w:pPr>
              <w:spacing w:before="40" w:after="40"/>
              <w:rPr>
                <w:b/>
                <w:bCs/>
              </w:rPr>
            </w:pPr>
            <w:r w:rsidRPr="003C4A6A">
              <w:t>Description</w:t>
            </w:r>
          </w:p>
        </w:tc>
        <w:tc>
          <w:tcPr>
            <w:tcW w:w="6237" w:type="dxa"/>
            <w:vAlign w:val="top"/>
          </w:tcPr>
          <w:p w14:paraId="40206508" w14:textId="5246142A" w:rsidR="00FA7A44" w:rsidRPr="00670249" w:rsidRDefault="00FA7A44"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3C4A6A">
              <w:t>Upgrade to address the risk of collapse of the spillway training wall</w:t>
            </w:r>
          </w:p>
        </w:tc>
      </w:tr>
      <w:tr w:rsidR="00E538C9" w:rsidRPr="00670249" w14:paraId="3ED9C694" w14:textId="77777777" w:rsidTr="006C037F">
        <w:tc>
          <w:tcPr>
            <w:cnfStyle w:val="001000000000" w:firstRow="0" w:lastRow="0" w:firstColumn="1" w:lastColumn="0" w:oddVBand="0" w:evenVBand="0" w:oddHBand="0" w:evenHBand="0" w:firstRowFirstColumn="0" w:firstRowLastColumn="0" w:lastRowFirstColumn="0" w:lastRowLastColumn="0"/>
            <w:tcW w:w="9639" w:type="dxa"/>
            <w:gridSpan w:val="2"/>
            <w:vAlign w:val="top"/>
          </w:tcPr>
          <w:p w14:paraId="0B7912FA" w14:textId="72A30561" w:rsidR="00E538C9" w:rsidRPr="003C4A6A" w:rsidRDefault="00E538C9" w:rsidP="006C037F">
            <w:pPr>
              <w:jc w:val="both"/>
            </w:pPr>
            <w:r>
              <w:rPr>
                <w:noProof/>
              </w:rPr>
              <w:drawing>
                <wp:inline distT="0" distB="0" distL="0" distR="0" wp14:anchorId="457346B2" wp14:editId="72A0FAC3">
                  <wp:extent cx="4411363" cy="2625882"/>
                  <wp:effectExtent l="0" t="0" r="825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6">
                            <a:extLst>
                              <a:ext uri="{28A0092B-C50C-407E-A947-70E740481C1C}">
                                <a14:useLocalDpi xmlns:a14="http://schemas.microsoft.com/office/drawing/2010/main" val="0"/>
                              </a:ext>
                            </a:extLst>
                          </a:blip>
                          <a:srcRect l="200" t="667" r="49329" b="-667"/>
                          <a:stretch/>
                        </pic:blipFill>
                        <pic:spPr bwMode="auto">
                          <a:xfrm>
                            <a:off x="0" y="0"/>
                            <a:ext cx="4457978" cy="26536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C037F" w:rsidRPr="00670249" w14:paraId="71E00CA3" w14:textId="77777777" w:rsidTr="006C037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shd w:val="clear" w:color="auto" w:fill="auto"/>
            <w:vAlign w:val="top"/>
          </w:tcPr>
          <w:p w14:paraId="4FD678AB" w14:textId="11B2183F" w:rsidR="006C037F" w:rsidRDefault="006C037F" w:rsidP="006C037F">
            <w:pPr>
              <w:jc w:val="right"/>
              <w:rPr>
                <w:noProof/>
              </w:rPr>
            </w:pPr>
            <w:r>
              <w:rPr>
                <w:noProof/>
              </w:rPr>
              <w:drawing>
                <wp:inline distT="0" distB="0" distL="0" distR="0" wp14:anchorId="38019AA8" wp14:editId="0DFD272E">
                  <wp:extent cx="4531929" cy="2817340"/>
                  <wp:effectExtent l="0" t="0" r="2540" b="254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6">
                            <a:extLst>
                              <a:ext uri="{28A0092B-C50C-407E-A947-70E740481C1C}">
                                <a14:useLocalDpi xmlns:a14="http://schemas.microsoft.com/office/drawing/2010/main" val="0"/>
                              </a:ext>
                            </a:extLst>
                          </a:blip>
                          <a:srcRect l="51673"/>
                          <a:stretch/>
                        </pic:blipFill>
                        <pic:spPr bwMode="auto">
                          <a:xfrm>
                            <a:off x="0" y="0"/>
                            <a:ext cx="4546494" cy="2826395"/>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367FE3B" w14:textId="5733903D" w:rsidR="008349B0" w:rsidRDefault="008349B0">
      <w:pPr>
        <w:rPr>
          <w:rFonts w:cs="Arial"/>
        </w:rPr>
      </w:pPr>
    </w:p>
    <w:tbl>
      <w:tblPr>
        <w:tblStyle w:val="ReportTable-TealRows"/>
        <w:tblW w:w="9639" w:type="dxa"/>
        <w:tblLook w:val="04A0" w:firstRow="1" w:lastRow="0" w:firstColumn="1" w:lastColumn="0" w:noHBand="0" w:noVBand="1"/>
      </w:tblPr>
      <w:tblGrid>
        <w:gridCol w:w="3619"/>
        <w:gridCol w:w="6020"/>
      </w:tblGrid>
      <w:tr w:rsidR="000C1ACC" w:rsidRPr="00A85E63" w14:paraId="5165729E"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ABDEC03" w14:textId="2FC1B74A" w:rsidR="000C1ACC" w:rsidRPr="00192F41" w:rsidRDefault="000C1ACC" w:rsidP="00A85E63">
            <w:pPr>
              <w:spacing w:before="40" w:after="40"/>
              <w:rPr>
                <w:rFonts w:cs="Arial"/>
                <w:sz w:val="20"/>
                <w:szCs w:val="20"/>
                <w:shd w:val="clear" w:color="auto" w:fill="FAF9F8"/>
              </w:rPr>
            </w:pPr>
            <w:r w:rsidRPr="00A85E63">
              <w:rPr>
                <w:sz w:val="20"/>
                <w:szCs w:val="20"/>
              </w:rPr>
              <w:t xml:space="preserve">Project </w:t>
            </w:r>
            <w:r w:rsidR="0099714F" w:rsidRPr="00A85E63">
              <w:rPr>
                <w:sz w:val="20"/>
                <w:szCs w:val="20"/>
              </w:rPr>
              <w:t>n</w:t>
            </w:r>
            <w:r w:rsidRPr="00A85E63">
              <w:rPr>
                <w:sz w:val="20"/>
                <w:szCs w:val="20"/>
              </w:rPr>
              <w:t>ame</w:t>
            </w:r>
          </w:p>
        </w:tc>
        <w:tc>
          <w:tcPr>
            <w:tcW w:w="6237" w:type="dxa"/>
            <w:vAlign w:val="top"/>
          </w:tcPr>
          <w:p w14:paraId="2314008A" w14:textId="22C16BA4" w:rsidR="000C1ACC" w:rsidRPr="00192F41" w:rsidRDefault="000C1ACC"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Main Southern Carrier Tunnel No. 5 Remediation</w:t>
            </w:r>
          </w:p>
        </w:tc>
      </w:tr>
      <w:tr w:rsidR="000C1ACC" w:rsidRPr="00192F41" w14:paraId="51A921AD"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BEAF1FD" w14:textId="49D57D65" w:rsidR="000C1ACC" w:rsidRPr="00192F41" w:rsidRDefault="000C1ACC" w:rsidP="00A85E63">
            <w:pPr>
              <w:spacing w:before="40" w:after="40"/>
              <w:rPr>
                <w:rFonts w:cs="Arial"/>
                <w:b/>
                <w:color w:val="000000" w:themeColor="text1"/>
                <w:szCs w:val="20"/>
                <w:shd w:val="clear" w:color="auto" w:fill="FAF9F8"/>
              </w:rPr>
            </w:pPr>
            <w:r w:rsidRPr="00146BE6">
              <w:t xml:space="preserve">Total </w:t>
            </w:r>
            <w:r w:rsidR="0099714F">
              <w:t>p</w:t>
            </w:r>
            <w:r w:rsidRPr="00146BE6">
              <w:t xml:space="preserve">roject </w:t>
            </w:r>
            <w:r w:rsidR="0099714F">
              <w:t>v</w:t>
            </w:r>
            <w:r w:rsidRPr="00146BE6">
              <w:t>alue</w:t>
            </w:r>
          </w:p>
        </w:tc>
        <w:tc>
          <w:tcPr>
            <w:tcW w:w="6237" w:type="dxa"/>
            <w:vAlign w:val="top"/>
          </w:tcPr>
          <w:p w14:paraId="3F52418A" w14:textId="03DC7248" w:rsidR="000C1ACC" w:rsidRPr="00192F41" w:rsidRDefault="000C1ACC"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46BE6">
              <w:t>$</w:t>
            </w:r>
            <w:r w:rsidR="00AF4201">
              <w:t>3.3</w:t>
            </w:r>
            <w:r w:rsidR="0099714F">
              <w:t xml:space="preserve"> million</w:t>
            </w:r>
          </w:p>
        </w:tc>
      </w:tr>
      <w:tr w:rsidR="000C1ACC" w:rsidRPr="00192F41" w14:paraId="277AB38B"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607DBBD1" w14:textId="725CFDF1" w:rsidR="000C1ACC" w:rsidRPr="00192F41" w:rsidRDefault="000C1ACC" w:rsidP="00A85E63">
            <w:pPr>
              <w:spacing w:before="40" w:after="40"/>
              <w:rPr>
                <w:rFonts w:cs="Arial"/>
                <w:b/>
                <w:color w:val="000000" w:themeColor="text1"/>
                <w:szCs w:val="20"/>
                <w:shd w:val="clear" w:color="auto" w:fill="FAF9F8"/>
              </w:rPr>
            </w:pPr>
            <w:r w:rsidRPr="00146BE6">
              <w:t>Timing</w:t>
            </w:r>
            <w:r w:rsidR="00B8170E">
              <w:t xml:space="preserve"> / </w:t>
            </w:r>
            <w:r w:rsidR="0099714F">
              <w:t>s</w:t>
            </w:r>
            <w:r w:rsidR="00B8170E">
              <w:t>tatus</w:t>
            </w:r>
          </w:p>
        </w:tc>
        <w:tc>
          <w:tcPr>
            <w:tcW w:w="6237" w:type="dxa"/>
            <w:vAlign w:val="top"/>
          </w:tcPr>
          <w:p w14:paraId="529B3630" w14:textId="46207405" w:rsidR="000C1ACC" w:rsidRPr="00192F41" w:rsidRDefault="000C1ACC"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46BE6">
              <w:t>FY24 to FY26</w:t>
            </w:r>
            <w:r w:rsidR="00B8170E">
              <w:t xml:space="preserve">. </w:t>
            </w:r>
            <w:r w:rsidR="00F21EB2">
              <w:t>Options analysis complete. Business case prepared</w:t>
            </w:r>
            <w:r w:rsidR="00D5501C">
              <w:t xml:space="preserve"> (Gate 2)</w:t>
            </w:r>
          </w:p>
        </w:tc>
      </w:tr>
      <w:tr w:rsidR="000C1ACC" w:rsidRPr="00C72A31" w14:paraId="0D2DEDC5"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2946A8C0" w14:textId="7812CEC6" w:rsidR="000C1ACC" w:rsidRPr="00C72A31" w:rsidRDefault="000C1ACC" w:rsidP="00A85E63">
            <w:pPr>
              <w:spacing w:before="40" w:after="40"/>
            </w:pPr>
            <w:r w:rsidRPr="00146BE6">
              <w:t xml:space="preserve">Service </w:t>
            </w:r>
            <w:r w:rsidR="0099714F">
              <w:t>c</w:t>
            </w:r>
            <w:r w:rsidRPr="00146BE6">
              <w:t>ategory</w:t>
            </w:r>
          </w:p>
        </w:tc>
        <w:tc>
          <w:tcPr>
            <w:tcW w:w="6237" w:type="dxa"/>
            <w:vAlign w:val="top"/>
          </w:tcPr>
          <w:p w14:paraId="16C48BA5" w14:textId="1DBBFCDD" w:rsidR="000C1ACC" w:rsidRPr="00C72A31" w:rsidRDefault="000C1ACC"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146BE6">
              <w:t>Channels</w:t>
            </w:r>
          </w:p>
        </w:tc>
      </w:tr>
      <w:tr w:rsidR="000C1ACC" w:rsidRPr="00C72A31" w14:paraId="14551558"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36075437" w14:textId="2AF6D876" w:rsidR="000C1ACC" w:rsidRPr="00C72A31" w:rsidRDefault="000C1ACC" w:rsidP="00A85E63">
            <w:pPr>
              <w:spacing w:before="40" w:after="40"/>
            </w:pPr>
            <w:r w:rsidRPr="00146BE6">
              <w:t xml:space="preserve">Asset </w:t>
            </w:r>
            <w:r w:rsidR="0099714F">
              <w:t>c</w:t>
            </w:r>
            <w:r w:rsidRPr="00146BE6">
              <w:t>ategory</w:t>
            </w:r>
          </w:p>
        </w:tc>
        <w:tc>
          <w:tcPr>
            <w:tcW w:w="6237" w:type="dxa"/>
            <w:vAlign w:val="top"/>
          </w:tcPr>
          <w:p w14:paraId="52369DEB" w14:textId="79F48704" w:rsidR="000C1ACC" w:rsidRPr="00C72A31" w:rsidRDefault="000C1ACC"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146BE6">
              <w:t>Siphons</w:t>
            </w:r>
          </w:p>
        </w:tc>
      </w:tr>
      <w:tr w:rsidR="000C1ACC" w:rsidRPr="00C72A31" w14:paraId="0472917B"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F2083B3" w14:textId="7D2CC36D" w:rsidR="000C1ACC" w:rsidRPr="007643C1" w:rsidRDefault="000C1ACC" w:rsidP="00A85E63">
            <w:pPr>
              <w:spacing w:before="40" w:after="40"/>
            </w:pPr>
            <w:r w:rsidRPr="00146BE6">
              <w:t xml:space="preserve">System / </w:t>
            </w:r>
            <w:r w:rsidR="0099714F">
              <w:t>c</w:t>
            </w:r>
            <w:r w:rsidRPr="00146BE6">
              <w:t xml:space="preserve">ustomer </w:t>
            </w:r>
            <w:r w:rsidR="0099714F">
              <w:t>g</w:t>
            </w:r>
            <w:r w:rsidRPr="00146BE6">
              <w:t>roup</w:t>
            </w:r>
          </w:p>
        </w:tc>
        <w:tc>
          <w:tcPr>
            <w:tcW w:w="6237" w:type="dxa"/>
            <w:vAlign w:val="top"/>
          </w:tcPr>
          <w:p w14:paraId="3D691C61" w14:textId="3314BEB9" w:rsidR="000C1ACC" w:rsidRPr="007643C1" w:rsidRDefault="000C1ACC"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146BE6">
              <w:t>Macalister Irrigation District</w:t>
            </w:r>
          </w:p>
        </w:tc>
      </w:tr>
      <w:tr w:rsidR="000C1ACC" w:rsidRPr="00C72A31" w14:paraId="3337AD7B"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3A43BFCD" w14:textId="20C9E36E" w:rsidR="000C1ACC" w:rsidRPr="007643C1" w:rsidRDefault="000C1ACC" w:rsidP="00A85E63">
            <w:pPr>
              <w:spacing w:before="40" w:after="40"/>
            </w:pPr>
            <w:r w:rsidRPr="00146BE6">
              <w:t xml:space="preserve">Cost </w:t>
            </w:r>
            <w:r w:rsidR="0099714F">
              <w:t>d</w:t>
            </w:r>
            <w:r w:rsidRPr="00146BE6">
              <w:t xml:space="preserve">river </w:t>
            </w:r>
          </w:p>
        </w:tc>
        <w:tc>
          <w:tcPr>
            <w:tcW w:w="6237" w:type="dxa"/>
            <w:vAlign w:val="top"/>
          </w:tcPr>
          <w:p w14:paraId="5421E414" w14:textId="66F80E3C" w:rsidR="000C1ACC" w:rsidRPr="007643C1" w:rsidRDefault="000C1ACC"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146BE6">
              <w:t>Renewal</w:t>
            </w:r>
          </w:p>
        </w:tc>
      </w:tr>
      <w:tr w:rsidR="000C1ACC" w:rsidRPr="00C72A31" w14:paraId="573F464A"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A0715D5" w14:textId="1E05ED28" w:rsidR="000C1ACC" w:rsidRPr="00C72A31" w:rsidRDefault="000C1ACC" w:rsidP="00A85E63">
            <w:pPr>
              <w:spacing w:before="40" w:after="40"/>
            </w:pPr>
            <w:r w:rsidRPr="00146BE6">
              <w:t>Outcome</w:t>
            </w:r>
          </w:p>
        </w:tc>
        <w:tc>
          <w:tcPr>
            <w:tcW w:w="6237" w:type="dxa"/>
            <w:vAlign w:val="top"/>
          </w:tcPr>
          <w:p w14:paraId="7CDD7786" w14:textId="7D4E389C" w:rsidR="000C1ACC" w:rsidRPr="00C72A31" w:rsidRDefault="000C1ACC"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146BE6">
              <w:t>Reliable water supply, sustainable water</w:t>
            </w:r>
          </w:p>
        </w:tc>
      </w:tr>
      <w:tr w:rsidR="000C1ACC" w:rsidRPr="00C72A31" w14:paraId="3836AAF4" w14:textId="77777777" w:rsidTr="00E538C9">
        <w:tc>
          <w:tcPr>
            <w:cnfStyle w:val="001000000000" w:firstRow="0" w:lastRow="0" w:firstColumn="1" w:lastColumn="0" w:oddVBand="0" w:evenVBand="0" w:oddHBand="0" w:evenHBand="0" w:firstRowFirstColumn="0" w:firstRowLastColumn="0" w:lastRowFirstColumn="0" w:lastRowLastColumn="0"/>
            <w:tcW w:w="3402" w:type="dxa"/>
            <w:vAlign w:val="top"/>
          </w:tcPr>
          <w:p w14:paraId="31787367" w14:textId="381257C5" w:rsidR="000C1ACC" w:rsidRPr="00C019F2" w:rsidRDefault="000C1ACC" w:rsidP="00A85E63">
            <w:pPr>
              <w:spacing w:before="40" w:after="40"/>
            </w:pPr>
            <w:r w:rsidRPr="00146BE6">
              <w:t xml:space="preserve">Risk / </w:t>
            </w:r>
            <w:r w:rsidR="0099714F">
              <w:t>c</w:t>
            </w:r>
            <w:r w:rsidRPr="00146BE6">
              <w:t xml:space="preserve">ompliance / </w:t>
            </w:r>
            <w:r w:rsidR="0099714F">
              <w:t>c</w:t>
            </w:r>
            <w:r w:rsidRPr="00146BE6">
              <w:t>ustomer rating</w:t>
            </w:r>
          </w:p>
        </w:tc>
        <w:tc>
          <w:tcPr>
            <w:tcW w:w="6237" w:type="dxa"/>
            <w:vAlign w:val="top"/>
          </w:tcPr>
          <w:p w14:paraId="74F00D2F" w14:textId="5B38DD2D" w:rsidR="000C1ACC" w:rsidRPr="00C019F2" w:rsidRDefault="000C1ACC"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146BE6">
              <w:t>Included based on Risk – rated High</w:t>
            </w:r>
          </w:p>
        </w:tc>
      </w:tr>
      <w:tr w:rsidR="000C1ACC" w:rsidRPr="00670249" w14:paraId="66A00E57" w14:textId="77777777" w:rsidTr="00E538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24491541" w14:textId="579F1F76" w:rsidR="000C1ACC" w:rsidRPr="00670249" w:rsidRDefault="000C1ACC" w:rsidP="00A85E63">
            <w:pPr>
              <w:spacing w:before="40" w:after="40"/>
              <w:rPr>
                <w:b/>
                <w:bCs/>
              </w:rPr>
            </w:pPr>
            <w:r w:rsidRPr="00146BE6">
              <w:t>Description</w:t>
            </w:r>
          </w:p>
        </w:tc>
        <w:tc>
          <w:tcPr>
            <w:tcW w:w="6237" w:type="dxa"/>
            <w:vAlign w:val="top"/>
          </w:tcPr>
          <w:p w14:paraId="22C12473" w14:textId="5F68975C" w:rsidR="000C1ACC" w:rsidRPr="00670249" w:rsidRDefault="000C1ACC"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rPr>
                <w:b/>
                <w:bCs/>
              </w:rPr>
            </w:pPr>
            <w:r w:rsidRPr="00146BE6">
              <w:t xml:space="preserve">Tunnel </w:t>
            </w:r>
            <w:r>
              <w:t>remediation to address</w:t>
            </w:r>
            <w:r w:rsidRPr="00146BE6">
              <w:t xml:space="preserve"> high water loss from the Main Southern Carrier in main distribution link within the MID</w:t>
            </w:r>
          </w:p>
        </w:tc>
      </w:tr>
      <w:tr w:rsidR="00E538C9" w:rsidRPr="00670249" w14:paraId="3369A240" w14:textId="7777777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5DC0B053" w14:textId="77777777" w:rsidR="008349B0" w:rsidRDefault="008349B0" w:rsidP="000C1ACC">
            <w:pPr>
              <w:rPr>
                <w:noProof/>
              </w:rPr>
            </w:pPr>
          </w:p>
          <w:p w14:paraId="67607E2B" w14:textId="77777777" w:rsidR="008349B0" w:rsidRDefault="008349B0" w:rsidP="000C1ACC">
            <w:pPr>
              <w:rPr>
                <w:noProof/>
              </w:rPr>
            </w:pPr>
          </w:p>
          <w:p w14:paraId="3CD15693" w14:textId="77777777" w:rsidR="00E538C9" w:rsidRDefault="002F773C" w:rsidP="000C1ACC">
            <w:r>
              <w:rPr>
                <w:noProof/>
              </w:rPr>
              <w:drawing>
                <wp:inline distT="0" distB="0" distL="0" distR="0" wp14:anchorId="24DA14C8" wp14:editId="4BC3A81A">
                  <wp:extent cx="6209787" cy="3019425"/>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3888" cy="3021419"/>
                          </a:xfrm>
                          <a:prstGeom prst="rect">
                            <a:avLst/>
                          </a:prstGeom>
                          <a:noFill/>
                        </pic:spPr>
                      </pic:pic>
                    </a:graphicData>
                  </a:graphic>
                </wp:inline>
              </w:drawing>
            </w:r>
          </w:p>
          <w:p w14:paraId="778E9150" w14:textId="7BD5314D" w:rsidR="008349B0" w:rsidRPr="00146BE6" w:rsidRDefault="008349B0" w:rsidP="000C1ACC"/>
        </w:tc>
      </w:tr>
    </w:tbl>
    <w:p w14:paraId="60D1FD10" w14:textId="6085BB70" w:rsidR="008349B0" w:rsidRDefault="008349B0" w:rsidP="00A86111">
      <w:pPr>
        <w:rPr>
          <w:rFonts w:cs="Arial"/>
        </w:rPr>
      </w:pPr>
    </w:p>
    <w:p w14:paraId="0574A04B" w14:textId="77777777" w:rsidR="008349B0" w:rsidRDefault="008349B0">
      <w:pPr>
        <w:rPr>
          <w:rFonts w:cs="Arial"/>
        </w:rPr>
      </w:pPr>
      <w:r>
        <w:rPr>
          <w:rFonts w:cs="Arial"/>
        </w:rPr>
        <w:br w:type="page"/>
      </w:r>
    </w:p>
    <w:tbl>
      <w:tblPr>
        <w:tblStyle w:val="ReportTable-TealRows"/>
        <w:tblW w:w="9639" w:type="dxa"/>
        <w:tblLook w:val="04A0" w:firstRow="1" w:lastRow="0" w:firstColumn="1" w:lastColumn="0" w:noHBand="0" w:noVBand="1"/>
      </w:tblPr>
      <w:tblGrid>
        <w:gridCol w:w="3636"/>
        <w:gridCol w:w="6003"/>
      </w:tblGrid>
      <w:tr w:rsidR="009E5E33" w:rsidRPr="00A85E63" w14:paraId="436772A3"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5E0BE6D" w14:textId="565A6CA6" w:rsidR="009E5E33" w:rsidRPr="00192F41" w:rsidRDefault="009E5E33" w:rsidP="00A85E63">
            <w:pPr>
              <w:spacing w:before="40" w:after="40"/>
              <w:rPr>
                <w:rFonts w:cs="Arial"/>
                <w:sz w:val="20"/>
                <w:szCs w:val="20"/>
                <w:shd w:val="clear" w:color="auto" w:fill="FAF9F8"/>
              </w:rPr>
            </w:pPr>
            <w:r w:rsidRPr="00A85E63">
              <w:rPr>
                <w:sz w:val="20"/>
                <w:szCs w:val="20"/>
              </w:rPr>
              <w:t xml:space="preserve">Project </w:t>
            </w:r>
            <w:r w:rsidR="001D261D" w:rsidRPr="00A85E63">
              <w:rPr>
                <w:sz w:val="20"/>
                <w:szCs w:val="20"/>
              </w:rPr>
              <w:t>n</w:t>
            </w:r>
            <w:r w:rsidRPr="00A85E63">
              <w:rPr>
                <w:sz w:val="20"/>
                <w:szCs w:val="20"/>
              </w:rPr>
              <w:t>ame</w:t>
            </w:r>
          </w:p>
        </w:tc>
        <w:tc>
          <w:tcPr>
            <w:tcW w:w="6237" w:type="dxa"/>
            <w:vAlign w:val="top"/>
          </w:tcPr>
          <w:p w14:paraId="09F627F4" w14:textId="52A9D959" w:rsidR="009E5E33" w:rsidRPr="00192F41" w:rsidRDefault="009E5E33"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Glenmaggie Spillway Gate Repainting</w:t>
            </w:r>
          </w:p>
        </w:tc>
      </w:tr>
      <w:tr w:rsidR="009E5E33" w:rsidRPr="00192F41" w14:paraId="0EBE90B8"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2A5BD7D" w14:textId="6EC23260" w:rsidR="009E5E33" w:rsidRPr="00192F41" w:rsidRDefault="009E5E33" w:rsidP="00A85E63">
            <w:pPr>
              <w:spacing w:before="40" w:after="40"/>
              <w:rPr>
                <w:rFonts w:cs="Arial"/>
                <w:b/>
                <w:color w:val="000000" w:themeColor="text1"/>
                <w:szCs w:val="20"/>
                <w:shd w:val="clear" w:color="auto" w:fill="FAF9F8"/>
              </w:rPr>
            </w:pPr>
            <w:r w:rsidRPr="00D45DDC">
              <w:t xml:space="preserve">Total </w:t>
            </w:r>
            <w:r w:rsidR="001D261D">
              <w:t>p</w:t>
            </w:r>
            <w:r w:rsidRPr="00D45DDC">
              <w:t xml:space="preserve">roject </w:t>
            </w:r>
            <w:r w:rsidR="001D261D">
              <w:t>v</w:t>
            </w:r>
            <w:r w:rsidRPr="00D45DDC">
              <w:t>alue</w:t>
            </w:r>
          </w:p>
        </w:tc>
        <w:tc>
          <w:tcPr>
            <w:tcW w:w="6237" w:type="dxa"/>
            <w:vAlign w:val="top"/>
          </w:tcPr>
          <w:p w14:paraId="5B63624A" w14:textId="2BEB3B17" w:rsidR="009E5E33" w:rsidRPr="00192F41" w:rsidRDefault="009E5E33"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D45DDC">
              <w:t>$2.3</w:t>
            </w:r>
            <w:r w:rsidR="001D261D">
              <w:t xml:space="preserve"> million</w:t>
            </w:r>
          </w:p>
        </w:tc>
      </w:tr>
      <w:tr w:rsidR="009E5E33" w:rsidRPr="00192F41" w14:paraId="069A8970"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3FC2A288" w14:textId="2762F216" w:rsidR="009E5E33" w:rsidRPr="00192F41" w:rsidRDefault="009E5E33" w:rsidP="00A85E63">
            <w:pPr>
              <w:spacing w:before="40" w:after="40"/>
              <w:rPr>
                <w:rFonts w:cs="Arial"/>
                <w:b/>
                <w:color w:val="000000" w:themeColor="text1"/>
                <w:szCs w:val="20"/>
                <w:shd w:val="clear" w:color="auto" w:fill="FAF9F8"/>
              </w:rPr>
            </w:pPr>
            <w:r w:rsidRPr="00D45DDC">
              <w:t>Timing</w:t>
            </w:r>
            <w:r w:rsidR="00173B28">
              <w:t xml:space="preserve"> / </w:t>
            </w:r>
            <w:r w:rsidR="001D261D">
              <w:t>s</w:t>
            </w:r>
            <w:r w:rsidR="00173B28">
              <w:t>tatus</w:t>
            </w:r>
          </w:p>
        </w:tc>
        <w:tc>
          <w:tcPr>
            <w:tcW w:w="6237" w:type="dxa"/>
            <w:vAlign w:val="top"/>
          </w:tcPr>
          <w:p w14:paraId="28E22462" w14:textId="54089637" w:rsidR="009E5E33" w:rsidRPr="00192F41" w:rsidRDefault="009E5E33" w:rsidP="00A85E63">
            <w:pPr>
              <w:spacing w:before="40" w:after="40"/>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D45DDC">
              <w:t>FY25 to FY28</w:t>
            </w:r>
            <w:r w:rsidR="00173B28">
              <w:t>. Business case prepared</w:t>
            </w:r>
            <w:r w:rsidR="00D5501C">
              <w:t xml:space="preserve"> (Gate 2)</w:t>
            </w:r>
          </w:p>
        </w:tc>
      </w:tr>
      <w:tr w:rsidR="009E5E33" w:rsidRPr="00C72A31" w14:paraId="61BDF0D1"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1974C40" w14:textId="5B7AE037" w:rsidR="009E5E33" w:rsidRPr="00C72A31" w:rsidRDefault="009E5E33" w:rsidP="00A85E63">
            <w:pPr>
              <w:spacing w:before="40" w:after="40"/>
            </w:pPr>
            <w:r w:rsidRPr="00D45DDC">
              <w:t xml:space="preserve">Service </w:t>
            </w:r>
            <w:r w:rsidR="001D261D">
              <w:t>c</w:t>
            </w:r>
            <w:r w:rsidRPr="00D45DDC">
              <w:t>ategory</w:t>
            </w:r>
          </w:p>
        </w:tc>
        <w:tc>
          <w:tcPr>
            <w:tcW w:w="6237" w:type="dxa"/>
            <w:vAlign w:val="top"/>
          </w:tcPr>
          <w:p w14:paraId="545526CA" w14:textId="1D2057BF" w:rsidR="009E5E33" w:rsidRPr="00C72A31" w:rsidRDefault="009E5E33" w:rsidP="00A85E63">
            <w:pPr>
              <w:spacing w:before="40" w:after="40"/>
              <w:cnfStyle w:val="000000100000" w:firstRow="0" w:lastRow="0" w:firstColumn="0" w:lastColumn="0" w:oddVBand="0" w:evenVBand="0" w:oddHBand="1" w:evenHBand="0" w:firstRowFirstColumn="0" w:firstRowLastColumn="0" w:lastRowFirstColumn="0" w:lastRowLastColumn="0"/>
            </w:pPr>
            <w:r w:rsidRPr="00D45DDC">
              <w:t>Headworks</w:t>
            </w:r>
          </w:p>
        </w:tc>
      </w:tr>
      <w:tr w:rsidR="009E5E33" w:rsidRPr="00C72A31" w14:paraId="70816F72"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4ECC6F2C" w14:textId="407DC96A" w:rsidR="009E5E33" w:rsidRPr="00C72A31" w:rsidRDefault="009E5E33" w:rsidP="00A85E63">
            <w:pPr>
              <w:spacing w:before="40" w:after="40"/>
            </w:pPr>
            <w:r w:rsidRPr="00D45DDC">
              <w:t xml:space="preserve">Asset </w:t>
            </w:r>
            <w:r w:rsidR="001D261D">
              <w:t>c</w:t>
            </w:r>
            <w:r w:rsidRPr="00D45DDC">
              <w:t>ategory</w:t>
            </w:r>
          </w:p>
        </w:tc>
        <w:tc>
          <w:tcPr>
            <w:tcW w:w="6237" w:type="dxa"/>
            <w:vAlign w:val="top"/>
          </w:tcPr>
          <w:p w14:paraId="13D1BE62" w14:textId="0717F860" w:rsidR="009E5E33" w:rsidRPr="00C72A31" w:rsidRDefault="009E5E33" w:rsidP="00A85E63">
            <w:pPr>
              <w:spacing w:before="40" w:after="40"/>
              <w:cnfStyle w:val="000000000000" w:firstRow="0" w:lastRow="0" w:firstColumn="0" w:lastColumn="0" w:oddVBand="0" w:evenVBand="0" w:oddHBand="0" w:evenHBand="0" w:firstRowFirstColumn="0" w:firstRowLastColumn="0" w:lastRowFirstColumn="0" w:lastRowLastColumn="0"/>
            </w:pPr>
            <w:r w:rsidRPr="00D45DDC">
              <w:t xml:space="preserve">Headworks </w:t>
            </w:r>
            <w:r w:rsidR="001D261D">
              <w:t>s</w:t>
            </w:r>
            <w:r w:rsidRPr="00D45DDC">
              <w:t>pillway</w:t>
            </w:r>
          </w:p>
        </w:tc>
      </w:tr>
      <w:tr w:rsidR="009E5E33" w:rsidRPr="00C72A31" w14:paraId="46A16A19"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09D4AF2" w14:textId="5232C57D" w:rsidR="009E5E33" w:rsidRPr="007643C1" w:rsidRDefault="009E5E33" w:rsidP="00A85E63">
            <w:pPr>
              <w:spacing w:before="40" w:after="40"/>
            </w:pPr>
            <w:r w:rsidRPr="00D45DDC">
              <w:t xml:space="preserve">System / </w:t>
            </w:r>
            <w:r w:rsidR="001D261D">
              <w:t>c</w:t>
            </w:r>
            <w:r w:rsidRPr="00D45DDC">
              <w:t xml:space="preserve">ustomer </w:t>
            </w:r>
            <w:r w:rsidR="001D261D">
              <w:t>g</w:t>
            </w:r>
            <w:r w:rsidRPr="00D45DDC">
              <w:t>roup</w:t>
            </w:r>
          </w:p>
        </w:tc>
        <w:tc>
          <w:tcPr>
            <w:tcW w:w="6237" w:type="dxa"/>
            <w:vAlign w:val="top"/>
          </w:tcPr>
          <w:p w14:paraId="1D50FA5C" w14:textId="3532635E" w:rsidR="009E5E33" w:rsidRPr="007643C1" w:rsidRDefault="009E5E33" w:rsidP="00A85E63">
            <w:pPr>
              <w:spacing w:before="40" w:after="40"/>
              <w:cnfStyle w:val="000000100000" w:firstRow="0" w:lastRow="0" w:firstColumn="0" w:lastColumn="0" w:oddVBand="0" w:evenVBand="0" w:oddHBand="1" w:evenHBand="0" w:firstRowFirstColumn="0" w:firstRowLastColumn="0" w:lastRowFirstColumn="0" w:lastRowLastColumn="0"/>
            </w:pPr>
            <w:r w:rsidRPr="00D45DDC">
              <w:t>Macalister System</w:t>
            </w:r>
          </w:p>
        </w:tc>
      </w:tr>
      <w:tr w:rsidR="009E5E33" w:rsidRPr="00C72A31" w14:paraId="39BF2FB2"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39701048" w14:textId="29599020" w:rsidR="009E5E33" w:rsidRPr="007643C1" w:rsidRDefault="009E5E33" w:rsidP="00A85E63">
            <w:pPr>
              <w:spacing w:before="40" w:after="40"/>
            </w:pPr>
            <w:r w:rsidRPr="00D45DDC">
              <w:t xml:space="preserve">Cost </w:t>
            </w:r>
            <w:r w:rsidR="001D261D">
              <w:t>d</w:t>
            </w:r>
            <w:r w:rsidRPr="00D45DDC">
              <w:t xml:space="preserve">river </w:t>
            </w:r>
          </w:p>
        </w:tc>
        <w:tc>
          <w:tcPr>
            <w:tcW w:w="6237" w:type="dxa"/>
            <w:vAlign w:val="top"/>
          </w:tcPr>
          <w:p w14:paraId="1B2D73C6" w14:textId="63A4EB55" w:rsidR="009E5E33" w:rsidRPr="007643C1" w:rsidRDefault="009E5E33" w:rsidP="00A85E63">
            <w:pPr>
              <w:spacing w:before="40" w:after="40"/>
              <w:cnfStyle w:val="000000000000" w:firstRow="0" w:lastRow="0" w:firstColumn="0" w:lastColumn="0" w:oddVBand="0" w:evenVBand="0" w:oddHBand="0" w:evenHBand="0" w:firstRowFirstColumn="0" w:firstRowLastColumn="0" w:lastRowFirstColumn="0" w:lastRowLastColumn="0"/>
            </w:pPr>
            <w:r w:rsidRPr="00D45DDC">
              <w:t>Renewal</w:t>
            </w:r>
          </w:p>
        </w:tc>
      </w:tr>
      <w:tr w:rsidR="009E5E33" w:rsidRPr="00C72A31" w14:paraId="6D9914D9"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695A56A" w14:textId="1537488D" w:rsidR="009E5E33" w:rsidRPr="00C72A31" w:rsidRDefault="009E5E33" w:rsidP="00A85E63">
            <w:pPr>
              <w:spacing w:before="40" w:after="40"/>
            </w:pPr>
            <w:r w:rsidRPr="00D45DDC">
              <w:t>Outcome</w:t>
            </w:r>
          </w:p>
        </w:tc>
        <w:tc>
          <w:tcPr>
            <w:tcW w:w="6237" w:type="dxa"/>
            <w:vAlign w:val="top"/>
          </w:tcPr>
          <w:p w14:paraId="65F7C6F8" w14:textId="2C0BF59D" w:rsidR="009E5E33" w:rsidRPr="00C72A31" w:rsidRDefault="009E5E33" w:rsidP="00A85E63">
            <w:pPr>
              <w:spacing w:before="40" w:after="40"/>
              <w:cnfStyle w:val="000000100000" w:firstRow="0" w:lastRow="0" w:firstColumn="0" w:lastColumn="0" w:oddVBand="0" w:evenVBand="0" w:oddHBand="1" w:evenHBand="0" w:firstRowFirstColumn="0" w:firstRowLastColumn="0" w:lastRowFirstColumn="0" w:lastRowLastColumn="0"/>
            </w:pPr>
            <w:r w:rsidRPr="00D45DDC">
              <w:t>Reliable water supply, sustainable water</w:t>
            </w:r>
          </w:p>
        </w:tc>
      </w:tr>
      <w:tr w:rsidR="009E5E33" w:rsidRPr="00C72A31" w14:paraId="1413ABC3" w14:textId="77777777" w:rsidTr="002F773C">
        <w:tc>
          <w:tcPr>
            <w:cnfStyle w:val="001000000000" w:firstRow="0" w:lastRow="0" w:firstColumn="1" w:lastColumn="0" w:oddVBand="0" w:evenVBand="0" w:oddHBand="0" w:evenHBand="0" w:firstRowFirstColumn="0" w:firstRowLastColumn="0" w:lastRowFirstColumn="0" w:lastRowLastColumn="0"/>
            <w:tcW w:w="3402" w:type="dxa"/>
            <w:vAlign w:val="top"/>
          </w:tcPr>
          <w:p w14:paraId="24C1B33B" w14:textId="73C9B456" w:rsidR="009E5E33" w:rsidRPr="00C019F2" w:rsidRDefault="009E5E33" w:rsidP="00A85E63">
            <w:pPr>
              <w:spacing w:before="40" w:after="40"/>
            </w:pPr>
            <w:r w:rsidRPr="00D45DDC">
              <w:t xml:space="preserve">Risk / </w:t>
            </w:r>
            <w:r w:rsidR="001D261D">
              <w:t>c</w:t>
            </w:r>
            <w:r w:rsidRPr="00D45DDC">
              <w:t xml:space="preserve">ompliance / </w:t>
            </w:r>
            <w:r w:rsidR="001D261D">
              <w:t>c</w:t>
            </w:r>
            <w:r w:rsidRPr="00D45DDC">
              <w:t>ustomer rating</w:t>
            </w:r>
          </w:p>
        </w:tc>
        <w:tc>
          <w:tcPr>
            <w:tcW w:w="6237" w:type="dxa"/>
            <w:vAlign w:val="top"/>
          </w:tcPr>
          <w:p w14:paraId="3605B593" w14:textId="7E436C45" w:rsidR="009E5E33" w:rsidRPr="00C019F2" w:rsidRDefault="009E5E33" w:rsidP="00A85E63">
            <w:pPr>
              <w:spacing w:before="40" w:after="40"/>
              <w:cnfStyle w:val="000000000000" w:firstRow="0" w:lastRow="0" w:firstColumn="0" w:lastColumn="0" w:oddVBand="0" w:evenVBand="0" w:oddHBand="0" w:evenHBand="0" w:firstRowFirstColumn="0" w:firstRowLastColumn="0" w:lastRowFirstColumn="0" w:lastRowLastColumn="0"/>
            </w:pPr>
            <w:r w:rsidRPr="00D45DDC">
              <w:t>Included based on Risk – rated High</w:t>
            </w:r>
          </w:p>
        </w:tc>
      </w:tr>
      <w:tr w:rsidR="009E5E33" w:rsidRPr="00670249" w14:paraId="5545A090" w14:textId="77777777" w:rsidTr="00C73A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1B105C5" w14:textId="690A7A16" w:rsidR="009E5E33" w:rsidRPr="00670249" w:rsidRDefault="009E5E33" w:rsidP="00A85E63">
            <w:pPr>
              <w:spacing w:before="40" w:after="40"/>
              <w:rPr>
                <w:b/>
                <w:bCs/>
              </w:rPr>
            </w:pPr>
            <w:r w:rsidRPr="00D45DDC">
              <w:t>Description</w:t>
            </w:r>
          </w:p>
        </w:tc>
        <w:tc>
          <w:tcPr>
            <w:tcW w:w="6237" w:type="dxa"/>
            <w:vAlign w:val="top"/>
          </w:tcPr>
          <w:p w14:paraId="0F373DAC" w14:textId="118BEFC7" w:rsidR="009E5E33" w:rsidRPr="00670249" w:rsidRDefault="009E5E33" w:rsidP="00A85E63">
            <w:pPr>
              <w:spacing w:before="40" w:after="40"/>
              <w:cnfStyle w:val="000000100000" w:firstRow="0" w:lastRow="0" w:firstColumn="0" w:lastColumn="0" w:oddVBand="0" w:evenVBand="0" w:oddHBand="1" w:evenHBand="0" w:firstRowFirstColumn="0" w:firstRowLastColumn="0" w:lastRowFirstColumn="0" w:lastRowLastColumn="0"/>
              <w:rPr>
                <w:b/>
                <w:bCs/>
              </w:rPr>
            </w:pPr>
            <w:r w:rsidRPr="00D45DDC">
              <w:t>Repainting gates 1-3 and 6-8 (required every 15-20 years)</w:t>
            </w:r>
          </w:p>
        </w:tc>
      </w:tr>
      <w:tr w:rsidR="002F773C" w:rsidRPr="00670249" w14:paraId="1394A556" w14:textId="77777777" w:rsidTr="00C73A23">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6F5CE6E3" w14:textId="77777777" w:rsidR="008349B0" w:rsidRDefault="008349B0" w:rsidP="009E5E33">
            <w:pPr>
              <w:rPr>
                <w:noProof/>
              </w:rPr>
            </w:pPr>
          </w:p>
          <w:p w14:paraId="6C825536" w14:textId="77777777" w:rsidR="008349B0" w:rsidRDefault="008349B0" w:rsidP="009E5E33">
            <w:pPr>
              <w:rPr>
                <w:noProof/>
              </w:rPr>
            </w:pPr>
          </w:p>
          <w:p w14:paraId="73AB742C" w14:textId="788207B8" w:rsidR="002F773C" w:rsidRPr="00D45DDC" w:rsidRDefault="005C242B" w:rsidP="009E5E33">
            <w:r w:rsidRPr="005C242B">
              <w:rPr>
                <w:noProof/>
              </w:rPr>
              <w:drawing>
                <wp:inline distT="0" distB="0" distL="0" distR="0" wp14:anchorId="73F3A441" wp14:editId="12CAC104">
                  <wp:extent cx="6178379" cy="4628494"/>
                  <wp:effectExtent l="0" t="0" r="0" b="127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206917" cy="4649873"/>
                          </a:xfrm>
                          <a:prstGeom prst="rect">
                            <a:avLst/>
                          </a:prstGeom>
                          <a:noFill/>
                          <a:ln>
                            <a:noFill/>
                          </a:ln>
                        </pic:spPr>
                      </pic:pic>
                    </a:graphicData>
                  </a:graphic>
                </wp:inline>
              </w:drawing>
            </w:r>
          </w:p>
        </w:tc>
      </w:tr>
    </w:tbl>
    <w:p w14:paraId="19B7F8F8" w14:textId="7D77E9E9" w:rsidR="007A19C9" w:rsidRDefault="00911AB8" w:rsidP="00A86111">
      <w:pPr>
        <w:rPr>
          <w:rFonts w:cs="Arial"/>
        </w:rPr>
      </w:pPr>
      <w:r>
        <w:rPr>
          <w:rFonts w:cs="Arial"/>
        </w:rPr>
        <w:br w:type="page"/>
      </w:r>
    </w:p>
    <w:tbl>
      <w:tblPr>
        <w:tblStyle w:val="ReportTable-TealRows"/>
        <w:tblW w:w="9639" w:type="dxa"/>
        <w:tblLook w:val="04A0" w:firstRow="1" w:lastRow="0" w:firstColumn="1" w:lastColumn="0" w:noHBand="0" w:noVBand="1"/>
      </w:tblPr>
      <w:tblGrid>
        <w:gridCol w:w="3899"/>
        <w:gridCol w:w="5740"/>
      </w:tblGrid>
      <w:tr w:rsidR="000D5FBC" w:rsidRPr="00A85E63" w14:paraId="1225A5FF" w14:textId="77777777" w:rsidTr="008349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20664A9F" w14:textId="42EB9DB7" w:rsidR="000D5FBC" w:rsidRPr="00192F41" w:rsidRDefault="000D5FBC" w:rsidP="00A85E63">
            <w:pPr>
              <w:spacing w:before="40" w:after="40"/>
              <w:rPr>
                <w:rFonts w:cs="Arial"/>
                <w:sz w:val="20"/>
                <w:szCs w:val="20"/>
                <w:shd w:val="clear" w:color="auto" w:fill="FAF9F8"/>
              </w:rPr>
            </w:pPr>
            <w:r w:rsidRPr="00A85E63">
              <w:rPr>
                <w:sz w:val="20"/>
                <w:szCs w:val="20"/>
              </w:rPr>
              <w:t xml:space="preserve">Project </w:t>
            </w:r>
            <w:r w:rsidR="001D261D" w:rsidRPr="00A85E63">
              <w:rPr>
                <w:sz w:val="20"/>
                <w:szCs w:val="20"/>
              </w:rPr>
              <w:t>n</w:t>
            </w:r>
            <w:r w:rsidRPr="00A85E63">
              <w:rPr>
                <w:sz w:val="20"/>
                <w:szCs w:val="20"/>
              </w:rPr>
              <w:t>ame</w:t>
            </w:r>
          </w:p>
        </w:tc>
        <w:tc>
          <w:tcPr>
            <w:tcW w:w="5962" w:type="dxa"/>
            <w:vAlign w:val="top"/>
          </w:tcPr>
          <w:p w14:paraId="0F4982A5" w14:textId="241B2CF6" w:rsidR="000D5FBC" w:rsidRPr="00192F41" w:rsidRDefault="000D5FBC"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Southern Main Carrier Concrete Flume Joint Repair</w:t>
            </w:r>
          </w:p>
        </w:tc>
      </w:tr>
      <w:tr w:rsidR="000D5FBC" w:rsidRPr="00192F41" w14:paraId="5E3C24D6" w14:textId="77777777" w:rsidTr="008349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495DE800" w14:textId="7991BCA9" w:rsidR="000D5FBC" w:rsidRPr="00192F41" w:rsidRDefault="000D5FBC" w:rsidP="00A85E63">
            <w:pPr>
              <w:spacing w:before="40" w:after="40"/>
              <w:rPr>
                <w:rFonts w:cs="Arial"/>
                <w:b/>
                <w:color w:val="000000" w:themeColor="text1"/>
                <w:szCs w:val="20"/>
                <w:shd w:val="clear" w:color="auto" w:fill="FAF9F8"/>
              </w:rPr>
            </w:pPr>
            <w:r w:rsidRPr="00676A85">
              <w:t xml:space="preserve">Total </w:t>
            </w:r>
            <w:r w:rsidR="001D261D">
              <w:t>p</w:t>
            </w:r>
            <w:r w:rsidRPr="00676A85">
              <w:t xml:space="preserve">roject </w:t>
            </w:r>
            <w:r w:rsidR="001D261D">
              <w:t>v</w:t>
            </w:r>
            <w:r w:rsidRPr="00676A85">
              <w:t>alue</w:t>
            </w:r>
          </w:p>
        </w:tc>
        <w:tc>
          <w:tcPr>
            <w:tcW w:w="5962" w:type="dxa"/>
            <w:vAlign w:val="top"/>
          </w:tcPr>
          <w:p w14:paraId="329A22F7" w14:textId="7D981E48" w:rsidR="000D5FBC" w:rsidRPr="00192F41" w:rsidRDefault="000D5FBC" w:rsidP="00A85E63">
            <w:pPr>
              <w:spacing w:before="40" w:after="40"/>
              <w:jc w:val="both"/>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676A85">
              <w:t>$1.4</w:t>
            </w:r>
            <w:r w:rsidR="001D261D">
              <w:t xml:space="preserve"> </w:t>
            </w:r>
            <w:r w:rsidR="009765F3">
              <w:t>m</w:t>
            </w:r>
            <w:r w:rsidR="001D261D">
              <w:t>illion</w:t>
            </w:r>
          </w:p>
        </w:tc>
      </w:tr>
      <w:tr w:rsidR="000D5FBC" w:rsidRPr="00192F41" w14:paraId="25940EC3" w14:textId="77777777" w:rsidTr="008349B0">
        <w:tc>
          <w:tcPr>
            <w:cnfStyle w:val="001000000000" w:firstRow="0" w:lastRow="0" w:firstColumn="1" w:lastColumn="0" w:oddVBand="0" w:evenVBand="0" w:oddHBand="0" w:evenHBand="0" w:firstRowFirstColumn="0" w:firstRowLastColumn="0" w:lastRowFirstColumn="0" w:lastRowLastColumn="0"/>
            <w:tcW w:w="3677" w:type="dxa"/>
            <w:vAlign w:val="top"/>
          </w:tcPr>
          <w:p w14:paraId="445E0E0B" w14:textId="75615BEF" w:rsidR="000D5FBC" w:rsidRPr="00192F41" w:rsidRDefault="000D5FBC" w:rsidP="00A85E63">
            <w:pPr>
              <w:spacing w:before="40" w:after="40"/>
              <w:rPr>
                <w:rFonts w:cs="Arial"/>
                <w:b/>
                <w:color w:val="000000" w:themeColor="text1"/>
                <w:szCs w:val="20"/>
                <w:shd w:val="clear" w:color="auto" w:fill="FAF9F8"/>
              </w:rPr>
            </w:pPr>
            <w:r w:rsidRPr="00676A85">
              <w:t>Timing</w:t>
            </w:r>
            <w:r w:rsidR="00D5501C">
              <w:t xml:space="preserve"> / </w:t>
            </w:r>
            <w:r w:rsidR="001D261D">
              <w:t>s</w:t>
            </w:r>
            <w:r w:rsidR="00D5501C">
              <w:t>tatus</w:t>
            </w:r>
          </w:p>
        </w:tc>
        <w:tc>
          <w:tcPr>
            <w:tcW w:w="5962" w:type="dxa"/>
            <w:vAlign w:val="top"/>
          </w:tcPr>
          <w:p w14:paraId="674D8FD7" w14:textId="26175498" w:rsidR="000D5FBC" w:rsidRPr="00192F41" w:rsidRDefault="000D5FBC" w:rsidP="00A85E63">
            <w:pPr>
              <w:spacing w:before="40" w:after="40"/>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676A85">
              <w:t>FY24 to FY28</w:t>
            </w:r>
            <w:r w:rsidR="00D7075A">
              <w:t>. Business case prepared (Gate 2)</w:t>
            </w:r>
          </w:p>
        </w:tc>
      </w:tr>
      <w:tr w:rsidR="000D5FBC" w:rsidRPr="00C72A31" w14:paraId="51716EE3" w14:textId="77777777" w:rsidTr="008349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3C0718A5" w14:textId="26364355" w:rsidR="000D5FBC" w:rsidRPr="00C72A31" w:rsidRDefault="000D5FBC" w:rsidP="00A85E63">
            <w:pPr>
              <w:spacing w:before="40" w:after="40"/>
            </w:pPr>
            <w:r w:rsidRPr="00676A85">
              <w:t xml:space="preserve">Service </w:t>
            </w:r>
            <w:r w:rsidR="001D261D">
              <w:t>c</w:t>
            </w:r>
            <w:r w:rsidRPr="00676A85">
              <w:t>ategory</w:t>
            </w:r>
          </w:p>
        </w:tc>
        <w:tc>
          <w:tcPr>
            <w:tcW w:w="5962" w:type="dxa"/>
            <w:vAlign w:val="top"/>
          </w:tcPr>
          <w:p w14:paraId="7749488E" w14:textId="59624410" w:rsidR="000D5FBC" w:rsidRPr="00C72A31" w:rsidRDefault="000D5FBC" w:rsidP="00A85E63">
            <w:pPr>
              <w:spacing w:before="40" w:after="40"/>
              <w:jc w:val="both"/>
              <w:cnfStyle w:val="000000100000" w:firstRow="0" w:lastRow="0" w:firstColumn="0" w:lastColumn="0" w:oddVBand="0" w:evenVBand="0" w:oddHBand="1" w:evenHBand="0" w:firstRowFirstColumn="0" w:firstRowLastColumn="0" w:lastRowFirstColumn="0" w:lastRowLastColumn="0"/>
            </w:pPr>
            <w:r w:rsidRPr="00676A85">
              <w:t>Channels</w:t>
            </w:r>
          </w:p>
        </w:tc>
      </w:tr>
      <w:tr w:rsidR="000D5FBC" w:rsidRPr="00C72A31" w14:paraId="6EEAE200" w14:textId="77777777" w:rsidTr="008349B0">
        <w:tc>
          <w:tcPr>
            <w:cnfStyle w:val="001000000000" w:firstRow="0" w:lastRow="0" w:firstColumn="1" w:lastColumn="0" w:oddVBand="0" w:evenVBand="0" w:oddHBand="0" w:evenHBand="0" w:firstRowFirstColumn="0" w:firstRowLastColumn="0" w:lastRowFirstColumn="0" w:lastRowLastColumn="0"/>
            <w:tcW w:w="3677" w:type="dxa"/>
            <w:vAlign w:val="top"/>
          </w:tcPr>
          <w:p w14:paraId="07B7EBAF" w14:textId="4BBE298B" w:rsidR="000D5FBC" w:rsidRPr="00C72A31" w:rsidRDefault="000D5FBC" w:rsidP="00A85E63">
            <w:pPr>
              <w:spacing w:before="40" w:after="40"/>
            </w:pPr>
            <w:r w:rsidRPr="00676A85">
              <w:t xml:space="preserve">Asset </w:t>
            </w:r>
            <w:r w:rsidR="001D261D">
              <w:t>c</w:t>
            </w:r>
            <w:r w:rsidRPr="00676A85">
              <w:t>ategory</w:t>
            </w:r>
          </w:p>
        </w:tc>
        <w:tc>
          <w:tcPr>
            <w:tcW w:w="5962" w:type="dxa"/>
            <w:vAlign w:val="top"/>
          </w:tcPr>
          <w:p w14:paraId="35D95DA9" w14:textId="6B6F0AF2" w:rsidR="000D5FBC" w:rsidRPr="00C72A31" w:rsidRDefault="000D5FBC" w:rsidP="00A85E63">
            <w:pPr>
              <w:spacing w:before="40" w:after="40"/>
              <w:jc w:val="both"/>
              <w:cnfStyle w:val="000000000000" w:firstRow="0" w:lastRow="0" w:firstColumn="0" w:lastColumn="0" w:oddVBand="0" w:evenVBand="0" w:oddHBand="0" w:evenHBand="0" w:firstRowFirstColumn="0" w:firstRowLastColumn="0" w:lastRowFirstColumn="0" w:lastRowLastColumn="0"/>
            </w:pPr>
            <w:r w:rsidRPr="00676A85">
              <w:t>Flumes</w:t>
            </w:r>
          </w:p>
        </w:tc>
      </w:tr>
      <w:tr w:rsidR="000D5FBC" w:rsidRPr="00C72A31" w14:paraId="5A1A5406" w14:textId="77777777" w:rsidTr="008349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43ED1063" w14:textId="3B61DA0D" w:rsidR="000D5FBC" w:rsidRPr="007643C1" w:rsidRDefault="000D5FBC" w:rsidP="00A85E63">
            <w:pPr>
              <w:spacing w:before="40" w:after="40"/>
            </w:pPr>
            <w:r w:rsidRPr="00676A85">
              <w:t xml:space="preserve">System / </w:t>
            </w:r>
            <w:r w:rsidR="001D261D">
              <w:t>c</w:t>
            </w:r>
            <w:r w:rsidRPr="00676A85">
              <w:t xml:space="preserve">ustomer </w:t>
            </w:r>
            <w:r w:rsidR="001D261D">
              <w:t>g</w:t>
            </w:r>
            <w:r w:rsidRPr="00676A85">
              <w:t>roup</w:t>
            </w:r>
          </w:p>
        </w:tc>
        <w:tc>
          <w:tcPr>
            <w:tcW w:w="5962" w:type="dxa"/>
            <w:vAlign w:val="top"/>
          </w:tcPr>
          <w:p w14:paraId="789A7F80" w14:textId="0A265D01" w:rsidR="000D5FBC" w:rsidRPr="007643C1" w:rsidRDefault="000D5FBC" w:rsidP="00A85E63">
            <w:pPr>
              <w:spacing w:before="40" w:after="40"/>
              <w:jc w:val="both"/>
              <w:cnfStyle w:val="000000100000" w:firstRow="0" w:lastRow="0" w:firstColumn="0" w:lastColumn="0" w:oddVBand="0" w:evenVBand="0" w:oddHBand="1" w:evenHBand="0" w:firstRowFirstColumn="0" w:firstRowLastColumn="0" w:lastRowFirstColumn="0" w:lastRowLastColumn="0"/>
            </w:pPr>
            <w:r w:rsidRPr="00676A85">
              <w:t>Macalister Irrigation District</w:t>
            </w:r>
          </w:p>
        </w:tc>
      </w:tr>
      <w:tr w:rsidR="000D5FBC" w:rsidRPr="00C72A31" w14:paraId="32ABFE2F" w14:textId="77777777" w:rsidTr="008349B0">
        <w:tc>
          <w:tcPr>
            <w:cnfStyle w:val="001000000000" w:firstRow="0" w:lastRow="0" w:firstColumn="1" w:lastColumn="0" w:oddVBand="0" w:evenVBand="0" w:oddHBand="0" w:evenHBand="0" w:firstRowFirstColumn="0" w:firstRowLastColumn="0" w:lastRowFirstColumn="0" w:lastRowLastColumn="0"/>
            <w:tcW w:w="3677" w:type="dxa"/>
            <w:vAlign w:val="top"/>
          </w:tcPr>
          <w:p w14:paraId="3F165434" w14:textId="2382A3A7" w:rsidR="000D5FBC" w:rsidRPr="007643C1" w:rsidRDefault="000D5FBC" w:rsidP="00A85E63">
            <w:pPr>
              <w:spacing w:before="40" w:after="40"/>
            </w:pPr>
            <w:r w:rsidRPr="00676A85">
              <w:t xml:space="preserve">Cost </w:t>
            </w:r>
            <w:r w:rsidR="001D261D">
              <w:t>d</w:t>
            </w:r>
            <w:r w:rsidRPr="00676A85">
              <w:t xml:space="preserve">river </w:t>
            </w:r>
          </w:p>
        </w:tc>
        <w:tc>
          <w:tcPr>
            <w:tcW w:w="5962" w:type="dxa"/>
            <w:vAlign w:val="top"/>
          </w:tcPr>
          <w:p w14:paraId="56A9298E" w14:textId="73B8A3A0" w:rsidR="000D5FBC" w:rsidRPr="007643C1" w:rsidRDefault="000D5FBC" w:rsidP="00A85E63">
            <w:pPr>
              <w:spacing w:before="40" w:after="40"/>
              <w:jc w:val="both"/>
              <w:cnfStyle w:val="000000000000" w:firstRow="0" w:lastRow="0" w:firstColumn="0" w:lastColumn="0" w:oddVBand="0" w:evenVBand="0" w:oddHBand="0" w:evenHBand="0" w:firstRowFirstColumn="0" w:firstRowLastColumn="0" w:lastRowFirstColumn="0" w:lastRowLastColumn="0"/>
            </w:pPr>
            <w:r w:rsidRPr="00676A85">
              <w:t>Renewal</w:t>
            </w:r>
          </w:p>
        </w:tc>
      </w:tr>
      <w:tr w:rsidR="000D5FBC" w:rsidRPr="00C72A31" w14:paraId="359B0D6D" w14:textId="77777777" w:rsidTr="008349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0B432380" w14:textId="3B723207" w:rsidR="000D5FBC" w:rsidRPr="00C72A31" w:rsidRDefault="000D5FBC" w:rsidP="00A85E63">
            <w:pPr>
              <w:spacing w:before="40" w:after="40"/>
            </w:pPr>
            <w:r w:rsidRPr="00676A85">
              <w:t>Outcome</w:t>
            </w:r>
          </w:p>
        </w:tc>
        <w:tc>
          <w:tcPr>
            <w:tcW w:w="5962" w:type="dxa"/>
            <w:vAlign w:val="top"/>
          </w:tcPr>
          <w:p w14:paraId="29B5917C" w14:textId="488BF506" w:rsidR="000D5FBC" w:rsidRPr="00C72A31" w:rsidRDefault="000D5FBC" w:rsidP="00A85E63">
            <w:pPr>
              <w:spacing w:before="40" w:after="40"/>
              <w:jc w:val="both"/>
              <w:cnfStyle w:val="000000100000" w:firstRow="0" w:lastRow="0" w:firstColumn="0" w:lastColumn="0" w:oddVBand="0" w:evenVBand="0" w:oddHBand="1" w:evenHBand="0" w:firstRowFirstColumn="0" w:firstRowLastColumn="0" w:lastRowFirstColumn="0" w:lastRowLastColumn="0"/>
            </w:pPr>
            <w:r w:rsidRPr="00676A85">
              <w:t>Reliable water supply, sustainable water</w:t>
            </w:r>
          </w:p>
        </w:tc>
      </w:tr>
      <w:tr w:rsidR="000D5FBC" w:rsidRPr="00C72A31" w14:paraId="338EA7E7" w14:textId="77777777" w:rsidTr="008349B0">
        <w:tc>
          <w:tcPr>
            <w:cnfStyle w:val="001000000000" w:firstRow="0" w:lastRow="0" w:firstColumn="1" w:lastColumn="0" w:oddVBand="0" w:evenVBand="0" w:oddHBand="0" w:evenHBand="0" w:firstRowFirstColumn="0" w:firstRowLastColumn="0" w:lastRowFirstColumn="0" w:lastRowLastColumn="0"/>
            <w:tcW w:w="3677" w:type="dxa"/>
            <w:vAlign w:val="top"/>
          </w:tcPr>
          <w:p w14:paraId="185EDE19" w14:textId="30BD8C71" w:rsidR="000D5FBC" w:rsidRPr="00C019F2" w:rsidRDefault="000D5FBC" w:rsidP="00A85E63">
            <w:pPr>
              <w:spacing w:before="40" w:after="40"/>
            </w:pPr>
            <w:r w:rsidRPr="00676A85">
              <w:t xml:space="preserve">Risk / </w:t>
            </w:r>
            <w:r w:rsidR="001D261D">
              <w:t>c</w:t>
            </w:r>
            <w:r w:rsidRPr="00676A85">
              <w:t xml:space="preserve">ompliance / </w:t>
            </w:r>
            <w:r w:rsidR="001D261D">
              <w:t>c</w:t>
            </w:r>
            <w:r w:rsidRPr="00676A85">
              <w:t>ustomer rating</w:t>
            </w:r>
          </w:p>
        </w:tc>
        <w:tc>
          <w:tcPr>
            <w:tcW w:w="5962" w:type="dxa"/>
            <w:vAlign w:val="top"/>
          </w:tcPr>
          <w:p w14:paraId="0A7B3436" w14:textId="74378371" w:rsidR="000D5FBC" w:rsidRPr="00C019F2" w:rsidRDefault="000D5FBC" w:rsidP="00A85E63">
            <w:pPr>
              <w:spacing w:before="40" w:after="40"/>
              <w:jc w:val="both"/>
              <w:cnfStyle w:val="000000000000" w:firstRow="0" w:lastRow="0" w:firstColumn="0" w:lastColumn="0" w:oddVBand="0" w:evenVBand="0" w:oddHBand="0" w:evenHBand="0" w:firstRowFirstColumn="0" w:firstRowLastColumn="0" w:lastRowFirstColumn="0" w:lastRowLastColumn="0"/>
            </w:pPr>
            <w:r w:rsidRPr="00676A85">
              <w:t>Included based on Risk – rated High</w:t>
            </w:r>
          </w:p>
        </w:tc>
      </w:tr>
      <w:tr w:rsidR="000D5FBC" w:rsidRPr="00670249" w14:paraId="04EB539C" w14:textId="77777777" w:rsidTr="008349B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77" w:type="dxa"/>
            <w:vAlign w:val="top"/>
          </w:tcPr>
          <w:p w14:paraId="02CC09CF" w14:textId="5D672CAC" w:rsidR="000D5FBC" w:rsidRPr="00670249" w:rsidRDefault="000D5FBC" w:rsidP="00A85E63">
            <w:pPr>
              <w:spacing w:before="40" w:after="40"/>
              <w:rPr>
                <w:b/>
                <w:bCs/>
              </w:rPr>
            </w:pPr>
            <w:r w:rsidRPr="00676A85">
              <w:t>Description</w:t>
            </w:r>
          </w:p>
        </w:tc>
        <w:tc>
          <w:tcPr>
            <w:tcW w:w="5962" w:type="dxa"/>
            <w:vAlign w:val="top"/>
          </w:tcPr>
          <w:p w14:paraId="68A10936" w14:textId="01E6545B" w:rsidR="000D5FBC" w:rsidRPr="006E2F46" w:rsidRDefault="000D5FBC" w:rsidP="00A85E63">
            <w:pPr>
              <w:spacing w:before="40" w:after="40"/>
              <w:jc w:val="both"/>
              <w:cnfStyle w:val="000000100000" w:firstRow="0" w:lastRow="0" w:firstColumn="0" w:lastColumn="0" w:oddVBand="0" w:evenVBand="0" w:oddHBand="1" w:evenHBand="0" w:firstRowFirstColumn="0" w:firstRowLastColumn="0" w:lastRowFirstColumn="0" w:lastRowLastColumn="0"/>
            </w:pPr>
            <w:r w:rsidRPr="00676A85">
              <w:t>Works to address high-risk failing concrete flume joints</w:t>
            </w:r>
          </w:p>
        </w:tc>
      </w:tr>
      <w:tr w:rsidR="006E2F46" w:rsidRPr="00670249" w14:paraId="1449C7BB" w14:textId="77777777" w:rsidTr="008349B0">
        <w:tc>
          <w:tcPr>
            <w:cnfStyle w:val="001000000000" w:firstRow="0" w:lastRow="0" w:firstColumn="1" w:lastColumn="0" w:oddVBand="0" w:evenVBand="0" w:oddHBand="0" w:evenHBand="0" w:firstRowFirstColumn="0" w:firstRowLastColumn="0" w:lastRowFirstColumn="0" w:lastRowLastColumn="0"/>
            <w:tcW w:w="9639" w:type="dxa"/>
            <w:gridSpan w:val="2"/>
            <w:vAlign w:val="top"/>
          </w:tcPr>
          <w:p w14:paraId="177272F6" w14:textId="77777777" w:rsidR="008349B0" w:rsidRDefault="008349B0" w:rsidP="000329AC">
            <w:pPr>
              <w:jc w:val="center"/>
              <w:rPr>
                <w:rFonts w:cs="Arial"/>
                <w:noProof/>
              </w:rPr>
            </w:pPr>
          </w:p>
          <w:p w14:paraId="4DD033EA" w14:textId="77777777" w:rsidR="008349B0" w:rsidRDefault="008349B0" w:rsidP="000329AC">
            <w:pPr>
              <w:jc w:val="center"/>
              <w:rPr>
                <w:rFonts w:cs="Arial"/>
                <w:noProof/>
              </w:rPr>
            </w:pPr>
          </w:p>
          <w:p w14:paraId="0A345266" w14:textId="1CB10316" w:rsidR="006E2F46" w:rsidRPr="00676A85" w:rsidRDefault="006E2F46" w:rsidP="000329AC">
            <w:pPr>
              <w:jc w:val="center"/>
            </w:pPr>
            <w:r>
              <w:rPr>
                <w:rFonts w:cs="Arial"/>
                <w:noProof/>
              </w:rPr>
              <w:drawing>
                <wp:inline distT="0" distB="0" distL="0" distR="0" wp14:anchorId="7D5AF912" wp14:editId="3E8B6450">
                  <wp:extent cx="6432292" cy="2895600"/>
                  <wp:effectExtent l="0" t="0" r="698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436728" cy="2897597"/>
                          </a:xfrm>
                          <a:prstGeom prst="rect">
                            <a:avLst/>
                          </a:prstGeom>
                          <a:noFill/>
                          <a:ln>
                            <a:noFill/>
                          </a:ln>
                        </pic:spPr>
                      </pic:pic>
                    </a:graphicData>
                  </a:graphic>
                </wp:inline>
              </w:drawing>
            </w:r>
          </w:p>
        </w:tc>
      </w:tr>
    </w:tbl>
    <w:p w14:paraId="732DDE6B" w14:textId="78F2567A" w:rsidR="008349B0" w:rsidRDefault="008349B0" w:rsidP="00C73A23">
      <w:pPr>
        <w:pBdr>
          <w:bottom w:val="single" w:sz="4" w:space="1" w:color="auto"/>
        </w:pBdr>
        <w:rPr>
          <w:rFonts w:cs="Arial"/>
        </w:rPr>
      </w:pPr>
    </w:p>
    <w:p w14:paraId="03EC8B52" w14:textId="77777777" w:rsidR="008349B0" w:rsidRDefault="008349B0">
      <w:pPr>
        <w:rPr>
          <w:rFonts w:cs="Arial"/>
        </w:rPr>
      </w:pPr>
      <w:r>
        <w:rPr>
          <w:rFonts w:cs="Arial"/>
        </w:rPr>
        <w:br w:type="page"/>
      </w:r>
    </w:p>
    <w:tbl>
      <w:tblPr>
        <w:tblStyle w:val="ReportTable-TealRows"/>
        <w:tblW w:w="9639" w:type="dxa"/>
        <w:tblLook w:val="04A0" w:firstRow="1" w:lastRow="0" w:firstColumn="1" w:lastColumn="0" w:noHBand="0" w:noVBand="1"/>
      </w:tblPr>
      <w:tblGrid>
        <w:gridCol w:w="3402"/>
        <w:gridCol w:w="6237"/>
      </w:tblGrid>
      <w:tr w:rsidR="005142EA" w:rsidRPr="00A85E63" w14:paraId="68752D9B"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5153CF9" w14:textId="46E35015" w:rsidR="005142EA" w:rsidRPr="00192F41" w:rsidRDefault="005142EA" w:rsidP="00A85E63">
            <w:pPr>
              <w:spacing w:before="40" w:after="40"/>
              <w:rPr>
                <w:rFonts w:cs="Arial"/>
                <w:sz w:val="20"/>
                <w:szCs w:val="20"/>
                <w:shd w:val="clear" w:color="auto" w:fill="FAF9F8"/>
              </w:rPr>
            </w:pPr>
            <w:r w:rsidRPr="00A85E63">
              <w:rPr>
                <w:sz w:val="20"/>
                <w:szCs w:val="20"/>
              </w:rPr>
              <w:t xml:space="preserve">Project </w:t>
            </w:r>
            <w:r w:rsidR="001D261D" w:rsidRPr="00A85E63">
              <w:rPr>
                <w:sz w:val="20"/>
                <w:szCs w:val="20"/>
              </w:rPr>
              <w:t>n</w:t>
            </w:r>
            <w:r w:rsidRPr="00A85E63">
              <w:rPr>
                <w:sz w:val="20"/>
                <w:szCs w:val="20"/>
              </w:rPr>
              <w:t>ame</w:t>
            </w:r>
          </w:p>
        </w:tc>
        <w:tc>
          <w:tcPr>
            <w:tcW w:w="6237" w:type="dxa"/>
            <w:vAlign w:val="top"/>
          </w:tcPr>
          <w:p w14:paraId="6AD0D480" w14:textId="130A3821" w:rsidR="005142EA" w:rsidRPr="00192F41" w:rsidRDefault="005142EA"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Blue Rock Isolating Butterfly Valve Replacement</w:t>
            </w:r>
          </w:p>
        </w:tc>
      </w:tr>
      <w:tr w:rsidR="005142EA" w:rsidRPr="00192F41" w14:paraId="3870F55E"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2637DEE" w14:textId="0B33B341" w:rsidR="005142EA" w:rsidRPr="00192F41" w:rsidRDefault="005142EA" w:rsidP="00A85E63">
            <w:pPr>
              <w:spacing w:before="40" w:after="40"/>
              <w:rPr>
                <w:rFonts w:cs="Arial"/>
                <w:b/>
                <w:color w:val="000000" w:themeColor="text1"/>
                <w:szCs w:val="20"/>
                <w:shd w:val="clear" w:color="auto" w:fill="FAF9F8"/>
              </w:rPr>
            </w:pPr>
            <w:r w:rsidRPr="00224914">
              <w:t xml:space="preserve">Total </w:t>
            </w:r>
            <w:r w:rsidR="001D261D">
              <w:t>p</w:t>
            </w:r>
            <w:r w:rsidRPr="00224914">
              <w:t xml:space="preserve">roject </w:t>
            </w:r>
            <w:r w:rsidR="001D261D">
              <w:t>v</w:t>
            </w:r>
            <w:r w:rsidRPr="00224914">
              <w:t>alue</w:t>
            </w:r>
          </w:p>
        </w:tc>
        <w:tc>
          <w:tcPr>
            <w:tcW w:w="6237" w:type="dxa"/>
            <w:vAlign w:val="top"/>
          </w:tcPr>
          <w:p w14:paraId="6DE2FF81" w14:textId="031D097B" w:rsidR="005142EA" w:rsidRPr="00192F41" w:rsidRDefault="005142EA"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224914">
              <w:t>$1.1</w:t>
            </w:r>
            <w:r w:rsidR="001D261D">
              <w:t xml:space="preserve"> </w:t>
            </w:r>
            <w:r w:rsidR="009765F3">
              <w:t>m</w:t>
            </w:r>
            <w:r w:rsidR="001D261D">
              <w:t>illion</w:t>
            </w:r>
            <w:r w:rsidRPr="00224914">
              <w:t xml:space="preserve"> ($1.0</w:t>
            </w:r>
            <w:r w:rsidR="001D261D">
              <w:t xml:space="preserve"> </w:t>
            </w:r>
            <w:r w:rsidR="009765F3">
              <w:t>m</w:t>
            </w:r>
            <w:r w:rsidR="001D261D">
              <w:t>illion</w:t>
            </w:r>
            <w:r w:rsidRPr="00224914">
              <w:t xml:space="preserve"> within period)</w:t>
            </w:r>
          </w:p>
        </w:tc>
      </w:tr>
      <w:tr w:rsidR="005142EA" w:rsidRPr="00192F41" w14:paraId="6BBD7E85"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6081FA94" w14:textId="4B9EF1CF" w:rsidR="005142EA" w:rsidRPr="00192F41" w:rsidRDefault="005142EA" w:rsidP="00A85E63">
            <w:pPr>
              <w:spacing w:before="40" w:after="40"/>
              <w:rPr>
                <w:rFonts w:cs="Arial"/>
                <w:b/>
                <w:color w:val="000000" w:themeColor="text1"/>
                <w:szCs w:val="20"/>
                <w:shd w:val="clear" w:color="auto" w:fill="FAF9F8"/>
              </w:rPr>
            </w:pPr>
            <w:r w:rsidRPr="00224914">
              <w:t>Timing</w:t>
            </w:r>
            <w:r w:rsidR="00F06D58">
              <w:t xml:space="preserve"> / </w:t>
            </w:r>
            <w:r w:rsidR="001D261D">
              <w:t>s</w:t>
            </w:r>
            <w:r w:rsidR="00F06D58">
              <w:t>tatus</w:t>
            </w:r>
          </w:p>
        </w:tc>
        <w:tc>
          <w:tcPr>
            <w:tcW w:w="6237" w:type="dxa"/>
            <w:vAlign w:val="top"/>
          </w:tcPr>
          <w:p w14:paraId="7576DB06" w14:textId="75E3D7AC" w:rsidR="005142EA" w:rsidRPr="00192F41" w:rsidRDefault="005142EA" w:rsidP="00A85E63">
            <w:pPr>
              <w:spacing w:before="40" w:after="40"/>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224914">
              <w:t>FY22 to FY24</w:t>
            </w:r>
            <w:r w:rsidR="00D7075A">
              <w:t>. Options assessment</w:t>
            </w:r>
            <w:r w:rsidR="00F62C80">
              <w:t xml:space="preserve"> complete. Business case prepared (Gate 2)</w:t>
            </w:r>
          </w:p>
        </w:tc>
      </w:tr>
      <w:tr w:rsidR="005142EA" w:rsidRPr="00C72A31" w14:paraId="4D029903"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FABB292" w14:textId="06B34C12" w:rsidR="005142EA" w:rsidRPr="00C72A31" w:rsidRDefault="005142EA" w:rsidP="00A85E63">
            <w:pPr>
              <w:spacing w:before="40" w:after="40"/>
            </w:pPr>
            <w:r w:rsidRPr="00224914">
              <w:t xml:space="preserve">Service </w:t>
            </w:r>
            <w:r w:rsidR="001D261D">
              <w:t>c</w:t>
            </w:r>
            <w:r w:rsidRPr="00224914">
              <w:t>ategory</w:t>
            </w:r>
          </w:p>
        </w:tc>
        <w:tc>
          <w:tcPr>
            <w:tcW w:w="6237" w:type="dxa"/>
            <w:vAlign w:val="top"/>
          </w:tcPr>
          <w:p w14:paraId="58EE676D" w14:textId="584622E0" w:rsidR="005142EA" w:rsidRPr="00C72A31" w:rsidRDefault="005142EA" w:rsidP="00A85E63">
            <w:pPr>
              <w:spacing w:before="40" w:after="40"/>
              <w:cnfStyle w:val="000000100000" w:firstRow="0" w:lastRow="0" w:firstColumn="0" w:lastColumn="0" w:oddVBand="0" w:evenVBand="0" w:oddHBand="1" w:evenHBand="0" w:firstRowFirstColumn="0" w:firstRowLastColumn="0" w:lastRowFirstColumn="0" w:lastRowLastColumn="0"/>
            </w:pPr>
            <w:r w:rsidRPr="00224914">
              <w:t>Headworks</w:t>
            </w:r>
          </w:p>
        </w:tc>
      </w:tr>
      <w:tr w:rsidR="005142EA" w:rsidRPr="00C72A31" w14:paraId="2B87CC16"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7B4EED0" w14:textId="10DCABE9" w:rsidR="005142EA" w:rsidRPr="00C72A31" w:rsidRDefault="005142EA" w:rsidP="00A85E63">
            <w:pPr>
              <w:spacing w:before="40" w:after="40"/>
            </w:pPr>
            <w:r w:rsidRPr="00224914">
              <w:t xml:space="preserve">Asset </w:t>
            </w:r>
            <w:r w:rsidR="001D261D">
              <w:t>c</w:t>
            </w:r>
            <w:r w:rsidRPr="00224914">
              <w:t>ategory</w:t>
            </w:r>
          </w:p>
        </w:tc>
        <w:tc>
          <w:tcPr>
            <w:tcW w:w="6237" w:type="dxa"/>
            <w:vAlign w:val="top"/>
          </w:tcPr>
          <w:p w14:paraId="733AA2E3" w14:textId="2BDCAD36" w:rsidR="005142EA" w:rsidRPr="00C72A31" w:rsidRDefault="005142EA" w:rsidP="00A85E63">
            <w:pPr>
              <w:spacing w:before="40" w:after="40"/>
              <w:cnfStyle w:val="000000000000" w:firstRow="0" w:lastRow="0" w:firstColumn="0" w:lastColumn="0" w:oddVBand="0" w:evenVBand="0" w:oddHBand="0" w:evenHBand="0" w:firstRowFirstColumn="0" w:firstRowLastColumn="0" w:lastRowFirstColumn="0" w:lastRowLastColumn="0"/>
            </w:pPr>
            <w:r w:rsidRPr="00224914">
              <w:t xml:space="preserve">Headworks </w:t>
            </w:r>
            <w:r w:rsidR="001D261D">
              <w:t>e</w:t>
            </w:r>
            <w:r w:rsidRPr="00224914">
              <w:t>mbankment</w:t>
            </w:r>
          </w:p>
        </w:tc>
      </w:tr>
      <w:tr w:rsidR="005142EA" w:rsidRPr="00C72A31" w14:paraId="1D13E48C"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3AD37F2" w14:textId="0B6A9957" w:rsidR="005142EA" w:rsidRPr="007643C1" w:rsidRDefault="005142EA" w:rsidP="00A85E63">
            <w:pPr>
              <w:spacing w:before="40" w:after="40"/>
            </w:pPr>
            <w:r w:rsidRPr="00224914">
              <w:t xml:space="preserve">System / </w:t>
            </w:r>
            <w:r w:rsidR="001D261D">
              <w:t>c</w:t>
            </w:r>
            <w:r w:rsidRPr="00224914">
              <w:t xml:space="preserve">ustomer </w:t>
            </w:r>
            <w:r w:rsidR="001D261D">
              <w:t>g</w:t>
            </w:r>
            <w:r w:rsidRPr="00224914">
              <w:t>roup</w:t>
            </w:r>
          </w:p>
        </w:tc>
        <w:tc>
          <w:tcPr>
            <w:tcW w:w="6237" w:type="dxa"/>
            <w:vAlign w:val="top"/>
          </w:tcPr>
          <w:p w14:paraId="7747EB1E" w14:textId="729317E8" w:rsidR="005142EA" w:rsidRPr="007643C1" w:rsidRDefault="005142EA" w:rsidP="00A85E63">
            <w:pPr>
              <w:spacing w:before="40" w:after="40"/>
              <w:cnfStyle w:val="000000100000" w:firstRow="0" w:lastRow="0" w:firstColumn="0" w:lastColumn="0" w:oddVBand="0" w:evenVBand="0" w:oddHBand="1" w:evenHBand="0" w:firstRowFirstColumn="0" w:firstRowLastColumn="0" w:lastRowFirstColumn="0" w:lastRowLastColumn="0"/>
            </w:pPr>
            <w:r w:rsidRPr="00224914">
              <w:t>Latrobe System</w:t>
            </w:r>
          </w:p>
        </w:tc>
      </w:tr>
      <w:tr w:rsidR="005142EA" w:rsidRPr="00C72A31" w14:paraId="3E6C3D70"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1F339213" w14:textId="13CE9BF2" w:rsidR="005142EA" w:rsidRPr="007643C1" w:rsidRDefault="005142EA" w:rsidP="00A85E63">
            <w:pPr>
              <w:spacing w:before="40" w:after="40"/>
            </w:pPr>
            <w:r w:rsidRPr="00224914">
              <w:t xml:space="preserve">Cost </w:t>
            </w:r>
            <w:r w:rsidR="001D261D">
              <w:t>d</w:t>
            </w:r>
            <w:r w:rsidRPr="00224914">
              <w:t xml:space="preserve">river </w:t>
            </w:r>
          </w:p>
        </w:tc>
        <w:tc>
          <w:tcPr>
            <w:tcW w:w="6237" w:type="dxa"/>
            <w:vAlign w:val="top"/>
          </w:tcPr>
          <w:p w14:paraId="187793C2" w14:textId="5F4C111B" w:rsidR="005142EA" w:rsidRPr="007643C1" w:rsidRDefault="005142EA" w:rsidP="00A85E63">
            <w:pPr>
              <w:spacing w:before="40" w:after="40"/>
              <w:cnfStyle w:val="000000000000" w:firstRow="0" w:lastRow="0" w:firstColumn="0" w:lastColumn="0" w:oddVBand="0" w:evenVBand="0" w:oddHBand="0" w:evenHBand="0" w:firstRowFirstColumn="0" w:firstRowLastColumn="0" w:lastRowFirstColumn="0" w:lastRowLastColumn="0"/>
            </w:pPr>
            <w:r w:rsidRPr="00224914">
              <w:t>Renewal</w:t>
            </w:r>
          </w:p>
        </w:tc>
      </w:tr>
      <w:tr w:rsidR="005142EA" w:rsidRPr="00C72A31" w14:paraId="6419A8F9"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97DC1DC" w14:textId="1DCC4DA0" w:rsidR="005142EA" w:rsidRPr="00C72A31" w:rsidRDefault="005142EA" w:rsidP="00A85E63">
            <w:pPr>
              <w:spacing w:before="40" w:after="40"/>
            </w:pPr>
            <w:r w:rsidRPr="00224914">
              <w:t>Outcome</w:t>
            </w:r>
          </w:p>
        </w:tc>
        <w:tc>
          <w:tcPr>
            <w:tcW w:w="6237" w:type="dxa"/>
            <w:vAlign w:val="top"/>
          </w:tcPr>
          <w:p w14:paraId="4882FC66" w14:textId="16C50F5A" w:rsidR="005142EA" w:rsidRPr="00C72A31" w:rsidRDefault="005142EA" w:rsidP="00A85E63">
            <w:pPr>
              <w:spacing w:before="40" w:after="40"/>
              <w:cnfStyle w:val="000000100000" w:firstRow="0" w:lastRow="0" w:firstColumn="0" w:lastColumn="0" w:oddVBand="0" w:evenVBand="0" w:oddHBand="1" w:evenHBand="0" w:firstRowFirstColumn="0" w:firstRowLastColumn="0" w:lastRowFirstColumn="0" w:lastRowLastColumn="0"/>
            </w:pPr>
            <w:r w:rsidRPr="00224914">
              <w:t>Reliable water supply, sustainable water</w:t>
            </w:r>
          </w:p>
        </w:tc>
      </w:tr>
      <w:tr w:rsidR="005142EA" w:rsidRPr="00C72A31" w14:paraId="3982CE0E" w14:textId="77777777" w:rsidTr="00E67828">
        <w:tc>
          <w:tcPr>
            <w:cnfStyle w:val="001000000000" w:firstRow="0" w:lastRow="0" w:firstColumn="1" w:lastColumn="0" w:oddVBand="0" w:evenVBand="0" w:oddHBand="0" w:evenHBand="0" w:firstRowFirstColumn="0" w:firstRowLastColumn="0" w:lastRowFirstColumn="0" w:lastRowLastColumn="0"/>
            <w:tcW w:w="3402" w:type="dxa"/>
            <w:vAlign w:val="top"/>
          </w:tcPr>
          <w:p w14:paraId="47744314" w14:textId="28C6478A" w:rsidR="005142EA" w:rsidRPr="00C019F2" w:rsidRDefault="005142EA" w:rsidP="00A85E63">
            <w:pPr>
              <w:spacing w:before="40" w:after="40"/>
            </w:pPr>
            <w:r w:rsidRPr="00224914">
              <w:t xml:space="preserve">Risk / </w:t>
            </w:r>
            <w:r w:rsidR="001D261D">
              <w:t>c</w:t>
            </w:r>
            <w:r w:rsidRPr="00224914">
              <w:t xml:space="preserve">ompliance / </w:t>
            </w:r>
            <w:r w:rsidR="001D261D">
              <w:t>c</w:t>
            </w:r>
            <w:r w:rsidRPr="00224914">
              <w:t>ustomer rating</w:t>
            </w:r>
          </w:p>
        </w:tc>
        <w:tc>
          <w:tcPr>
            <w:tcW w:w="6237" w:type="dxa"/>
            <w:vAlign w:val="top"/>
          </w:tcPr>
          <w:p w14:paraId="523E4250" w14:textId="442BE97D" w:rsidR="005142EA" w:rsidRPr="00C019F2" w:rsidRDefault="005142EA" w:rsidP="00A85E63">
            <w:pPr>
              <w:spacing w:before="40" w:after="40"/>
              <w:cnfStyle w:val="000000000000" w:firstRow="0" w:lastRow="0" w:firstColumn="0" w:lastColumn="0" w:oddVBand="0" w:evenVBand="0" w:oddHBand="0" w:evenHBand="0" w:firstRowFirstColumn="0" w:firstRowLastColumn="0" w:lastRowFirstColumn="0" w:lastRowLastColumn="0"/>
            </w:pPr>
            <w:r w:rsidRPr="00224914">
              <w:t>N/A – already commenced prior to regulatory period (high-risk)</w:t>
            </w:r>
          </w:p>
        </w:tc>
      </w:tr>
      <w:tr w:rsidR="005142EA" w:rsidRPr="00670249" w14:paraId="2E00E068" w14:textId="77777777" w:rsidTr="00E678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A27C480" w14:textId="6CFEA880" w:rsidR="005142EA" w:rsidRPr="00670249" w:rsidRDefault="005142EA" w:rsidP="00A85E63">
            <w:pPr>
              <w:spacing w:before="40" w:after="40"/>
              <w:rPr>
                <w:b/>
                <w:bCs/>
              </w:rPr>
            </w:pPr>
            <w:r w:rsidRPr="00224914">
              <w:t>Description</w:t>
            </w:r>
          </w:p>
        </w:tc>
        <w:tc>
          <w:tcPr>
            <w:tcW w:w="6237" w:type="dxa"/>
            <w:vAlign w:val="top"/>
          </w:tcPr>
          <w:p w14:paraId="12AA6567" w14:textId="55F78895" w:rsidR="005142EA" w:rsidRPr="0093335F" w:rsidRDefault="005142EA" w:rsidP="00A85E63">
            <w:pPr>
              <w:spacing w:before="40" w:after="40"/>
              <w:ind w:right="119"/>
              <w:jc w:val="both"/>
              <w:cnfStyle w:val="000000100000" w:firstRow="0" w:lastRow="0" w:firstColumn="0" w:lastColumn="0" w:oddVBand="0" w:evenVBand="0" w:oddHBand="1" w:evenHBand="0" w:firstRowFirstColumn="0" w:firstRowLastColumn="0" w:lastRowFirstColumn="0" w:lastRowLastColumn="0"/>
            </w:pPr>
            <w:r w:rsidRPr="00224914">
              <w:t xml:space="preserve">Replacement of </w:t>
            </w:r>
            <w:r w:rsidR="00044306">
              <w:t xml:space="preserve">a </w:t>
            </w:r>
            <w:r w:rsidR="79C2F677">
              <w:t>lea</w:t>
            </w:r>
            <w:r w:rsidR="6F7AFE23">
              <w:t>k</w:t>
            </w:r>
            <w:r w:rsidR="79C2F677">
              <w:t>ing</w:t>
            </w:r>
            <w:r w:rsidR="2FDEB083">
              <w:t xml:space="preserve"> </w:t>
            </w:r>
            <w:r w:rsidR="604F079F">
              <w:t>critical supply</w:t>
            </w:r>
            <w:r w:rsidRPr="00224914">
              <w:t xml:space="preserve"> valve, to facilitate isolation of outlet conduit for safe and effective operation and maintenance activities</w:t>
            </w:r>
            <w:r w:rsidR="5DB8B1D9">
              <w:t xml:space="preserve"> and reduce risk of failure</w:t>
            </w:r>
          </w:p>
        </w:tc>
      </w:tr>
      <w:tr w:rsidR="00E67828" w:rsidRPr="00670249" w14:paraId="051EF70A" w14:textId="7777777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73AC3EB7" w14:textId="77777777" w:rsidR="0071488C" w:rsidRDefault="0071488C" w:rsidP="005142EA">
            <w:pPr>
              <w:rPr>
                <w:noProof/>
              </w:rPr>
            </w:pPr>
          </w:p>
          <w:p w14:paraId="354BA7A2" w14:textId="19939C20" w:rsidR="0071488C" w:rsidRDefault="0071488C" w:rsidP="005142EA"/>
          <w:p w14:paraId="5F84CFA6" w14:textId="4ED931FE" w:rsidR="00E67828" w:rsidRPr="00224914" w:rsidRDefault="00612AEA" w:rsidP="005142EA">
            <w:r>
              <w:rPr>
                <w:noProof/>
              </w:rPr>
              <w:drawing>
                <wp:anchor distT="0" distB="0" distL="114300" distR="114300" simplePos="0" relativeHeight="251658242" behindDoc="0" locked="0" layoutInCell="1" allowOverlap="1" wp14:anchorId="2015B457" wp14:editId="072FD42C">
                  <wp:simplePos x="0" y="0"/>
                  <wp:positionH relativeFrom="column">
                    <wp:posOffset>646430</wp:posOffset>
                  </wp:positionH>
                  <wp:positionV relativeFrom="paragraph">
                    <wp:posOffset>67310</wp:posOffset>
                  </wp:positionV>
                  <wp:extent cx="4676775" cy="4743450"/>
                  <wp:effectExtent l="0" t="0" r="9525" b="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676775" cy="47434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7FFF0873" w14:textId="4CBDB678" w:rsidR="008349B0" w:rsidRDefault="008349B0" w:rsidP="00A86111">
      <w:pPr>
        <w:rPr>
          <w:rFonts w:cs="Arial"/>
        </w:rPr>
      </w:pPr>
    </w:p>
    <w:p w14:paraId="250E0A37" w14:textId="77777777" w:rsidR="008349B0" w:rsidRDefault="008349B0">
      <w:pPr>
        <w:rPr>
          <w:rFonts w:cs="Arial"/>
        </w:rPr>
      </w:pPr>
      <w:r>
        <w:rPr>
          <w:rFonts w:cs="Arial"/>
        </w:rPr>
        <w:br w:type="page"/>
      </w:r>
    </w:p>
    <w:tbl>
      <w:tblPr>
        <w:tblStyle w:val="ReportTable-TealRows"/>
        <w:tblW w:w="9639" w:type="dxa"/>
        <w:tblLook w:val="04A0" w:firstRow="1" w:lastRow="0" w:firstColumn="1" w:lastColumn="0" w:noHBand="0" w:noVBand="1"/>
      </w:tblPr>
      <w:tblGrid>
        <w:gridCol w:w="3402"/>
        <w:gridCol w:w="6237"/>
      </w:tblGrid>
      <w:tr w:rsidR="00282624" w:rsidRPr="00A85E63" w14:paraId="3794C110"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D483F1D" w14:textId="78353179" w:rsidR="00282624" w:rsidRPr="00192F41" w:rsidRDefault="00282624" w:rsidP="00A85E63">
            <w:pPr>
              <w:spacing w:before="40" w:after="40"/>
              <w:rPr>
                <w:rFonts w:cs="Arial"/>
                <w:sz w:val="20"/>
                <w:szCs w:val="20"/>
                <w:shd w:val="clear" w:color="auto" w:fill="FAF9F8"/>
              </w:rPr>
            </w:pPr>
            <w:r w:rsidRPr="00A85E63">
              <w:rPr>
                <w:sz w:val="20"/>
                <w:szCs w:val="20"/>
              </w:rPr>
              <w:t xml:space="preserve">Project </w:t>
            </w:r>
            <w:r w:rsidR="001D261D" w:rsidRPr="00A85E63">
              <w:rPr>
                <w:sz w:val="20"/>
                <w:szCs w:val="20"/>
              </w:rPr>
              <w:t>n</w:t>
            </w:r>
            <w:r w:rsidRPr="00A85E63">
              <w:rPr>
                <w:sz w:val="20"/>
                <w:szCs w:val="20"/>
              </w:rPr>
              <w:t>ame</w:t>
            </w:r>
          </w:p>
        </w:tc>
        <w:tc>
          <w:tcPr>
            <w:tcW w:w="6237" w:type="dxa"/>
            <w:vAlign w:val="top"/>
          </w:tcPr>
          <w:p w14:paraId="57AA33DE" w14:textId="1C19C78C" w:rsidR="00282624" w:rsidRPr="00192F41" w:rsidRDefault="00282624"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Main Northern Channel Siphon No. 2</w:t>
            </w:r>
          </w:p>
        </w:tc>
      </w:tr>
      <w:tr w:rsidR="00282624" w:rsidRPr="00192F41" w14:paraId="0D1869AA"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0BF4E7D" w14:textId="2C30BA35" w:rsidR="00282624" w:rsidRPr="00192F41" w:rsidRDefault="00282624" w:rsidP="00A85E63">
            <w:pPr>
              <w:spacing w:before="40" w:after="40"/>
              <w:rPr>
                <w:rFonts w:cs="Arial"/>
                <w:b/>
                <w:color w:val="000000" w:themeColor="text1"/>
                <w:szCs w:val="20"/>
                <w:shd w:val="clear" w:color="auto" w:fill="FAF9F8"/>
              </w:rPr>
            </w:pPr>
            <w:r w:rsidRPr="00654552">
              <w:t xml:space="preserve">Total </w:t>
            </w:r>
            <w:r w:rsidR="001D261D">
              <w:t>p</w:t>
            </w:r>
            <w:r w:rsidRPr="00654552">
              <w:t xml:space="preserve">roject </w:t>
            </w:r>
            <w:r w:rsidR="001D261D">
              <w:t>v</w:t>
            </w:r>
            <w:r w:rsidRPr="00654552">
              <w:t>alue</w:t>
            </w:r>
          </w:p>
        </w:tc>
        <w:tc>
          <w:tcPr>
            <w:tcW w:w="6237" w:type="dxa"/>
            <w:vAlign w:val="top"/>
          </w:tcPr>
          <w:p w14:paraId="2632FCC9" w14:textId="44D51FE9" w:rsidR="00282624" w:rsidRPr="00192F41" w:rsidRDefault="00282624"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654552">
              <w:t>$3.4</w:t>
            </w:r>
            <w:r w:rsidR="001D261D">
              <w:t xml:space="preserve"> </w:t>
            </w:r>
            <w:r w:rsidR="009765F3">
              <w:t>m</w:t>
            </w:r>
            <w:r w:rsidR="001D261D">
              <w:t>illion</w:t>
            </w:r>
            <w:r w:rsidRPr="00654552">
              <w:t xml:space="preserve"> ($</w:t>
            </w:r>
            <w:r w:rsidR="009B3631">
              <w:t>1.6</w:t>
            </w:r>
            <w:r w:rsidR="001D261D">
              <w:t xml:space="preserve"> </w:t>
            </w:r>
            <w:r w:rsidR="009765F3">
              <w:t>m</w:t>
            </w:r>
            <w:r w:rsidR="001D261D">
              <w:t>illion</w:t>
            </w:r>
            <w:r w:rsidRPr="00654552">
              <w:t xml:space="preserve"> within period) – 50% grant funded</w:t>
            </w:r>
          </w:p>
        </w:tc>
      </w:tr>
      <w:tr w:rsidR="00282624" w:rsidRPr="00192F41" w14:paraId="6391FA71"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7C9A4C89" w14:textId="7626B7FD" w:rsidR="00282624" w:rsidRPr="00192F41" w:rsidRDefault="00282624" w:rsidP="00A85E63">
            <w:pPr>
              <w:spacing w:before="40" w:after="40"/>
              <w:rPr>
                <w:rFonts w:cs="Arial"/>
                <w:b/>
                <w:color w:val="000000" w:themeColor="text1"/>
                <w:szCs w:val="20"/>
                <w:shd w:val="clear" w:color="auto" w:fill="FAF9F8"/>
              </w:rPr>
            </w:pPr>
            <w:r w:rsidRPr="00654552">
              <w:t>Timing</w:t>
            </w:r>
            <w:r w:rsidR="00F06D58">
              <w:t xml:space="preserve"> / </w:t>
            </w:r>
            <w:r w:rsidR="001D261D">
              <w:t>s</w:t>
            </w:r>
            <w:r w:rsidR="00F06D58">
              <w:t>tatus</w:t>
            </w:r>
          </w:p>
        </w:tc>
        <w:tc>
          <w:tcPr>
            <w:tcW w:w="6237" w:type="dxa"/>
            <w:vAlign w:val="top"/>
          </w:tcPr>
          <w:p w14:paraId="4677234C" w14:textId="70E331A1" w:rsidR="00282624" w:rsidRPr="00192F41" w:rsidRDefault="0028262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654552">
              <w:t>Commenced FY21 to be completed FY24</w:t>
            </w:r>
            <w:r w:rsidR="00642186">
              <w:t xml:space="preserve">. </w:t>
            </w:r>
            <w:r w:rsidR="00F06D58">
              <w:t xml:space="preserve">Business case approved (Gate 2). </w:t>
            </w:r>
            <w:r w:rsidR="00642186">
              <w:t>Detail design in progress</w:t>
            </w:r>
            <w:r w:rsidR="00F06D58">
              <w:t>.</w:t>
            </w:r>
          </w:p>
        </w:tc>
      </w:tr>
      <w:tr w:rsidR="00282624" w:rsidRPr="00C72A31" w14:paraId="35A2EA25"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7241A71A" w14:textId="3474A17C" w:rsidR="00282624" w:rsidRPr="00C72A31" w:rsidRDefault="00282624" w:rsidP="00A85E63">
            <w:pPr>
              <w:spacing w:before="40" w:after="40"/>
            </w:pPr>
            <w:r w:rsidRPr="00654552">
              <w:t xml:space="preserve">Service </w:t>
            </w:r>
            <w:r w:rsidR="001D261D">
              <w:t>c</w:t>
            </w:r>
            <w:r w:rsidRPr="00654552">
              <w:t>ategory</w:t>
            </w:r>
          </w:p>
        </w:tc>
        <w:tc>
          <w:tcPr>
            <w:tcW w:w="6237" w:type="dxa"/>
            <w:vAlign w:val="top"/>
          </w:tcPr>
          <w:p w14:paraId="5BB4796B" w14:textId="7416D330" w:rsidR="00282624" w:rsidRPr="00C72A31" w:rsidRDefault="00282624" w:rsidP="00A85E63">
            <w:pPr>
              <w:spacing w:before="40" w:after="40"/>
              <w:cnfStyle w:val="000000100000" w:firstRow="0" w:lastRow="0" w:firstColumn="0" w:lastColumn="0" w:oddVBand="0" w:evenVBand="0" w:oddHBand="1" w:evenHBand="0" w:firstRowFirstColumn="0" w:firstRowLastColumn="0" w:lastRowFirstColumn="0" w:lastRowLastColumn="0"/>
            </w:pPr>
            <w:r w:rsidRPr="00654552">
              <w:t>Channels</w:t>
            </w:r>
          </w:p>
        </w:tc>
      </w:tr>
      <w:tr w:rsidR="00282624" w:rsidRPr="00C72A31" w14:paraId="1938B40A"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45FD52FA" w14:textId="05D3BDE1" w:rsidR="00282624" w:rsidRPr="00C72A31" w:rsidRDefault="00282624" w:rsidP="00A85E63">
            <w:pPr>
              <w:spacing w:before="40" w:after="40"/>
            </w:pPr>
            <w:r w:rsidRPr="00654552">
              <w:t xml:space="preserve">Asset </w:t>
            </w:r>
            <w:r w:rsidR="001D261D">
              <w:t>c</w:t>
            </w:r>
            <w:r w:rsidRPr="00654552">
              <w:t>ategory</w:t>
            </w:r>
          </w:p>
        </w:tc>
        <w:tc>
          <w:tcPr>
            <w:tcW w:w="6237" w:type="dxa"/>
            <w:vAlign w:val="top"/>
          </w:tcPr>
          <w:p w14:paraId="226509E1" w14:textId="013EC98C" w:rsidR="00282624" w:rsidRPr="00C72A31" w:rsidRDefault="00282624" w:rsidP="00A85E63">
            <w:pPr>
              <w:spacing w:before="40" w:after="40"/>
              <w:cnfStyle w:val="000000000000" w:firstRow="0" w:lastRow="0" w:firstColumn="0" w:lastColumn="0" w:oddVBand="0" w:evenVBand="0" w:oddHBand="0" w:evenHBand="0" w:firstRowFirstColumn="0" w:firstRowLastColumn="0" w:lastRowFirstColumn="0" w:lastRowLastColumn="0"/>
            </w:pPr>
            <w:r w:rsidRPr="00654552">
              <w:t>Channels</w:t>
            </w:r>
          </w:p>
        </w:tc>
      </w:tr>
      <w:tr w:rsidR="00282624" w:rsidRPr="00C72A31" w14:paraId="177C9F05"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2F5F990F" w14:textId="04DA06D6" w:rsidR="00282624" w:rsidRPr="007643C1" w:rsidRDefault="00282624" w:rsidP="00A85E63">
            <w:pPr>
              <w:spacing w:before="40" w:after="40"/>
            </w:pPr>
            <w:r w:rsidRPr="00654552">
              <w:t xml:space="preserve">System / </w:t>
            </w:r>
            <w:r w:rsidR="001D261D">
              <w:t>c</w:t>
            </w:r>
            <w:r w:rsidRPr="00654552">
              <w:t xml:space="preserve">ustomer </w:t>
            </w:r>
            <w:r w:rsidR="001D261D">
              <w:t>g</w:t>
            </w:r>
            <w:r w:rsidRPr="00654552">
              <w:t>roup</w:t>
            </w:r>
          </w:p>
        </w:tc>
        <w:tc>
          <w:tcPr>
            <w:tcW w:w="6237" w:type="dxa"/>
            <w:vAlign w:val="top"/>
          </w:tcPr>
          <w:p w14:paraId="017F9B7C" w14:textId="3F716025" w:rsidR="00282624" w:rsidRPr="007643C1" w:rsidRDefault="00282624" w:rsidP="00A85E63">
            <w:pPr>
              <w:spacing w:before="40" w:after="40"/>
              <w:cnfStyle w:val="000000100000" w:firstRow="0" w:lastRow="0" w:firstColumn="0" w:lastColumn="0" w:oddVBand="0" w:evenVBand="0" w:oddHBand="1" w:evenHBand="0" w:firstRowFirstColumn="0" w:firstRowLastColumn="0" w:lastRowFirstColumn="0" w:lastRowLastColumn="0"/>
            </w:pPr>
            <w:r w:rsidRPr="00654552">
              <w:t>Macalister Irrigation District</w:t>
            </w:r>
          </w:p>
        </w:tc>
      </w:tr>
      <w:tr w:rsidR="00282624" w:rsidRPr="00C72A31" w14:paraId="18F771A5"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22ED346C" w14:textId="5D8A1028" w:rsidR="00282624" w:rsidRPr="007643C1" w:rsidRDefault="00282624" w:rsidP="00A85E63">
            <w:pPr>
              <w:spacing w:before="40" w:after="40"/>
            </w:pPr>
            <w:r w:rsidRPr="00654552">
              <w:t xml:space="preserve">Cost </w:t>
            </w:r>
            <w:r w:rsidR="001D261D">
              <w:t>d</w:t>
            </w:r>
            <w:r w:rsidRPr="00654552">
              <w:t xml:space="preserve">river </w:t>
            </w:r>
          </w:p>
        </w:tc>
        <w:tc>
          <w:tcPr>
            <w:tcW w:w="6237" w:type="dxa"/>
            <w:vAlign w:val="top"/>
          </w:tcPr>
          <w:p w14:paraId="0100DBA8" w14:textId="7882FE72" w:rsidR="00282624" w:rsidRPr="007643C1" w:rsidRDefault="00282624" w:rsidP="00A85E63">
            <w:pPr>
              <w:spacing w:before="40" w:after="40"/>
              <w:cnfStyle w:val="000000000000" w:firstRow="0" w:lastRow="0" w:firstColumn="0" w:lastColumn="0" w:oddVBand="0" w:evenVBand="0" w:oddHBand="0" w:evenHBand="0" w:firstRowFirstColumn="0" w:firstRowLastColumn="0" w:lastRowFirstColumn="0" w:lastRowLastColumn="0"/>
            </w:pPr>
            <w:r w:rsidRPr="00654552">
              <w:t>Renewal</w:t>
            </w:r>
          </w:p>
        </w:tc>
      </w:tr>
      <w:tr w:rsidR="00282624" w:rsidRPr="00C72A31" w14:paraId="41FE2311"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7CF8C36" w14:textId="41535C5F" w:rsidR="00282624" w:rsidRPr="00C72A31" w:rsidRDefault="00282624" w:rsidP="00A85E63">
            <w:pPr>
              <w:spacing w:before="40" w:after="40"/>
            </w:pPr>
            <w:r w:rsidRPr="00654552">
              <w:t>Outcome</w:t>
            </w:r>
          </w:p>
        </w:tc>
        <w:tc>
          <w:tcPr>
            <w:tcW w:w="6237" w:type="dxa"/>
            <w:vAlign w:val="top"/>
          </w:tcPr>
          <w:p w14:paraId="2042E955" w14:textId="72806945" w:rsidR="00282624" w:rsidRPr="00C72A31" w:rsidRDefault="00282624" w:rsidP="00A85E63">
            <w:pPr>
              <w:spacing w:before="40" w:after="40"/>
              <w:cnfStyle w:val="000000100000" w:firstRow="0" w:lastRow="0" w:firstColumn="0" w:lastColumn="0" w:oddVBand="0" w:evenVBand="0" w:oddHBand="1" w:evenHBand="0" w:firstRowFirstColumn="0" w:firstRowLastColumn="0" w:lastRowFirstColumn="0" w:lastRowLastColumn="0"/>
            </w:pPr>
            <w:r w:rsidRPr="00654552">
              <w:t>Reliable water supply, sustainable water</w:t>
            </w:r>
          </w:p>
        </w:tc>
      </w:tr>
      <w:tr w:rsidR="00282624" w:rsidRPr="00C72A31" w14:paraId="5A61137C" w14:textId="77777777" w:rsidTr="00CA65C8">
        <w:tc>
          <w:tcPr>
            <w:cnfStyle w:val="001000000000" w:firstRow="0" w:lastRow="0" w:firstColumn="1" w:lastColumn="0" w:oddVBand="0" w:evenVBand="0" w:oddHBand="0" w:evenHBand="0" w:firstRowFirstColumn="0" w:firstRowLastColumn="0" w:lastRowFirstColumn="0" w:lastRowLastColumn="0"/>
            <w:tcW w:w="3402" w:type="dxa"/>
            <w:vAlign w:val="top"/>
          </w:tcPr>
          <w:p w14:paraId="4D941E10" w14:textId="0BBF91B3" w:rsidR="00282624" w:rsidRPr="00C019F2" w:rsidRDefault="00282624" w:rsidP="00A85E63">
            <w:pPr>
              <w:spacing w:before="40" w:after="40"/>
            </w:pPr>
            <w:r w:rsidRPr="00654552">
              <w:t xml:space="preserve">Risk / </w:t>
            </w:r>
            <w:r w:rsidR="001D261D">
              <w:t>c</w:t>
            </w:r>
            <w:r w:rsidRPr="00654552">
              <w:t xml:space="preserve">ompliance / </w:t>
            </w:r>
            <w:r w:rsidR="001D261D">
              <w:t>c</w:t>
            </w:r>
            <w:r w:rsidRPr="00654552">
              <w:t>ustomer rating</w:t>
            </w:r>
          </w:p>
        </w:tc>
        <w:tc>
          <w:tcPr>
            <w:tcW w:w="6237" w:type="dxa"/>
            <w:vAlign w:val="top"/>
          </w:tcPr>
          <w:p w14:paraId="46523250" w14:textId="2EAAB9EA" w:rsidR="00282624" w:rsidRPr="00C019F2" w:rsidRDefault="00282624" w:rsidP="00A85E63">
            <w:pPr>
              <w:spacing w:before="40" w:after="40"/>
              <w:cnfStyle w:val="000000000000" w:firstRow="0" w:lastRow="0" w:firstColumn="0" w:lastColumn="0" w:oddVBand="0" w:evenVBand="0" w:oddHBand="0" w:evenHBand="0" w:firstRowFirstColumn="0" w:firstRowLastColumn="0" w:lastRowFirstColumn="0" w:lastRowLastColumn="0"/>
            </w:pPr>
            <w:r w:rsidRPr="00654552">
              <w:t>N/A – already commenced prior to regulatory period (high-risk)</w:t>
            </w:r>
          </w:p>
        </w:tc>
      </w:tr>
      <w:tr w:rsidR="00282624" w:rsidRPr="00670249" w14:paraId="27196A66" w14:textId="77777777" w:rsidTr="00CA65C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59354F84" w14:textId="497C6CD9" w:rsidR="00282624" w:rsidRPr="00670249" w:rsidRDefault="00282624" w:rsidP="00A85E63">
            <w:pPr>
              <w:spacing w:before="40" w:after="40"/>
              <w:rPr>
                <w:b/>
                <w:bCs/>
              </w:rPr>
            </w:pPr>
            <w:r w:rsidRPr="00654552">
              <w:t>Description</w:t>
            </w:r>
          </w:p>
        </w:tc>
        <w:tc>
          <w:tcPr>
            <w:tcW w:w="6237" w:type="dxa"/>
            <w:vAlign w:val="top"/>
          </w:tcPr>
          <w:p w14:paraId="6D386220" w14:textId="56E90257" w:rsidR="00282624" w:rsidRPr="00670249" w:rsidRDefault="00282624" w:rsidP="00A85E63">
            <w:pPr>
              <w:spacing w:before="40" w:after="40"/>
              <w:cnfStyle w:val="000000100000" w:firstRow="0" w:lastRow="0" w:firstColumn="0" w:lastColumn="0" w:oddVBand="0" w:evenVBand="0" w:oddHBand="1" w:evenHBand="0" w:firstRowFirstColumn="0" w:firstRowLastColumn="0" w:lastRowFirstColumn="0" w:lastRowLastColumn="0"/>
              <w:rPr>
                <w:b/>
                <w:bCs/>
              </w:rPr>
            </w:pPr>
            <w:r w:rsidRPr="00654552">
              <w:t>Replace high risk siphon on the Main Northern Channel</w:t>
            </w:r>
          </w:p>
        </w:tc>
      </w:tr>
      <w:tr w:rsidR="00CA65C8" w:rsidRPr="00670249" w14:paraId="7B5580FC" w14:textId="7777777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19A199D2" w14:textId="77777777" w:rsidR="0071488C" w:rsidRDefault="0071488C" w:rsidP="00517F7B">
            <w:pPr>
              <w:jc w:val="center"/>
              <w:rPr>
                <w:noProof/>
              </w:rPr>
            </w:pPr>
          </w:p>
          <w:p w14:paraId="203C908C" w14:textId="77777777" w:rsidR="0071488C" w:rsidRDefault="0071488C" w:rsidP="00517F7B">
            <w:pPr>
              <w:jc w:val="center"/>
            </w:pPr>
          </w:p>
          <w:p w14:paraId="656C0054" w14:textId="6796D37F" w:rsidR="00CA65C8" w:rsidRPr="00654552" w:rsidRDefault="00517F7B" w:rsidP="00517F7B">
            <w:pPr>
              <w:jc w:val="center"/>
            </w:pPr>
            <w:r>
              <w:rPr>
                <w:noProof/>
              </w:rPr>
              <w:drawing>
                <wp:inline distT="0" distB="0" distL="0" distR="0" wp14:anchorId="2A66728E" wp14:editId="50D215F6">
                  <wp:extent cx="5397315" cy="3619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19304" cy="3634246"/>
                          </a:xfrm>
                          <a:prstGeom prst="rect">
                            <a:avLst/>
                          </a:prstGeom>
                        </pic:spPr>
                      </pic:pic>
                    </a:graphicData>
                  </a:graphic>
                </wp:inline>
              </w:drawing>
            </w:r>
          </w:p>
        </w:tc>
      </w:tr>
    </w:tbl>
    <w:p w14:paraId="0C1F83AD" w14:textId="69FCEE45" w:rsidR="00507800" w:rsidRDefault="00507800" w:rsidP="00A86111">
      <w:pPr>
        <w:rPr>
          <w:rFonts w:cs="Arial"/>
        </w:rPr>
      </w:pPr>
    </w:p>
    <w:p w14:paraId="274DC87A" w14:textId="77777777" w:rsidR="00507800" w:rsidRDefault="00507800">
      <w:pPr>
        <w:rPr>
          <w:rFonts w:cs="Arial"/>
        </w:rPr>
      </w:pPr>
      <w:r>
        <w:rPr>
          <w:rFonts w:cs="Arial"/>
        </w:rPr>
        <w:br w:type="page"/>
      </w:r>
    </w:p>
    <w:tbl>
      <w:tblPr>
        <w:tblStyle w:val="ReportTable-TealRows"/>
        <w:tblW w:w="9639" w:type="dxa"/>
        <w:tblLook w:val="04A0" w:firstRow="1" w:lastRow="0" w:firstColumn="1" w:lastColumn="0" w:noHBand="0" w:noVBand="1"/>
      </w:tblPr>
      <w:tblGrid>
        <w:gridCol w:w="3603"/>
        <w:gridCol w:w="6036"/>
      </w:tblGrid>
      <w:tr w:rsidR="00983B64" w:rsidRPr="00A85E63" w14:paraId="45E8F16A" w14:textId="77777777" w:rsidTr="002D01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322B478B" w14:textId="5E649E0E" w:rsidR="00983B64" w:rsidRPr="00192F41" w:rsidRDefault="00983B64" w:rsidP="00A85E63">
            <w:pPr>
              <w:spacing w:before="40" w:after="40"/>
              <w:rPr>
                <w:rFonts w:cs="Arial"/>
                <w:sz w:val="20"/>
                <w:szCs w:val="20"/>
                <w:shd w:val="clear" w:color="auto" w:fill="FAF9F8"/>
              </w:rPr>
            </w:pPr>
            <w:r w:rsidRPr="00A85E63">
              <w:rPr>
                <w:sz w:val="20"/>
                <w:szCs w:val="20"/>
              </w:rPr>
              <w:t xml:space="preserve">Project </w:t>
            </w:r>
            <w:r w:rsidR="00E973C3" w:rsidRPr="00A85E63">
              <w:rPr>
                <w:sz w:val="20"/>
                <w:szCs w:val="20"/>
              </w:rPr>
              <w:t>n</w:t>
            </w:r>
            <w:r w:rsidRPr="00A85E63">
              <w:rPr>
                <w:sz w:val="20"/>
                <w:szCs w:val="20"/>
              </w:rPr>
              <w:t>ame</w:t>
            </w:r>
          </w:p>
        </w:tc>
        <w:tc>
          <w:tcPr>
            <w:tcW w:w="6237" w:type="dxa"/>
            <w:vAlign w:val="top"/>
          </w:tcPr>
          <w:p w14:paraId="416474FD" w14:textId="457BC04F" w:rsidR="00983B64" w:rsidRPr="00192F41" w:rsidRDefault="00983B64" w:rsidP="00A85E63">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shd w:val="clear" w:color="auto" w:fill="FAF9F8"/>
              </w:rPr>
            </w:pPr>
            <w:r w:rsidRPr="00A85E63">
              <w:rPr>
                <w:sz w:val="20"/>
                <w:szCs w:val="20"/>
              </w:rPr>
              <w:t>Main Southern Channel Siphon No. 2</w:t>
            </w:r>
          </w:p>
        </w:tc>
      </w:tr>
      <w:tr w:rsidR="00983B64" w:rsidRPr="00192F41" w14:paraId="557C2C82"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48251BE" w14:textId="45EE4AF0" w:rsidR="00983B64" w:rsidRPr="00192F41" w:rsidRDefault="00983B64" w:rsidP="00A85E63">
            <w:pPr>
              <w:spacing w:before="40" w:after="40"/>
              <w:rPr>
                <w:rFonts w:cs="Arial"/>
                <w:b/>
                <w:color w:val="000000" w:themeColor="text1"/>
                <w:szCs w:val="20"/>
                <w:shd w:val="clear" w:color="auto" w:fill="FAF9F8"/>
              </w:rPr>
            </w:pPr>
            <w:r w:rsidRPr="00DC0804">
              <w:t xml:space="preserve">Total </w:t>
            </w:r>
            <w:r w:rsidR="00E973C3">
              <w:t>p</w:t>
            </w:r>
            <w:r w:rsidRPr="00DC0804">
              <w:t xml:space="preserve">roject </w:t>
            </w:r>
            <w:r w:rsidR="00E973C3">
              <w:t>v</w:t>
            </w:r>
            <w:r w:rsidRPr="00DC0804">
              <w:t>alue</w:t>
            </w:r>
          </w:p>
        </w:tc>
        <w:tc>
          <w:tcPr>
            <w:tcW w:w="6237" w:type="dxa"/>
            <w:vAlign w:val="top"/>
          </w:tcPr>
          <w:p w14:paraId="66869E84" w14:textId="0440925B" w:rsidR="00983B64" w:rsidRPr="00192F41" w:rsidRDefault="00983B64" w:rsidP="00A85E63">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DC0804">
              <w:t>$1.5</w:t>
            </w:r>
            <w:r w:rsidR="00E973C3">
              <w:t xml:space="preserve"> </w:t>
            </w:r>
            <w:r w:rsidR="009765F3">
              <w:t>m</w:t>
            </w:r>
            <w:r w:rsidR="00E973C3">
              <w:t>illion</w:t>
            </w:r>
            <w:r w:rsidRPr="00DC0804">
              <w:t xml:space="preserve"> ($0.</w:t>
            </w:r>
            <w:r w:rsidR="00526378">
              <w:t>7</w:t>
            </w:r>
            <w:r w:rsidR="00E973C3">
              <w:t xml:space="preserve"> </w:t>
            </w:r>
            <w:r w:rsidR="009765F3">
              <w:t>m</w:t>
            </w:r>
            <w:r w:rsidR="00E973C3">
              <w:t>illion</w:t>
            </w:r>
            <w:r w:rsidRPr="00DC0804">
              <w:t xml:space="preserve"> within period) – 50% grant funded</w:t>
            </w:r>
          </w:p>
        </w:tc>
      </w:tr>
      <w:tr w:rsidR="00983B64" w:rsidRPr="00192F41" w14:paraId="28127DEC"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17C4490D" w14:textId="458CC516" w:rsidR="00983B64" w:rsidRPr="00192F41" w:rsidRDefault="00983B64" w:rsidP="00A85E63">
            <w:pPr>
              <w:spacing w:before="40" w:after="40"/>
              <w:rPr>
                <w:rFonts w:cs="Arial"/>
                <w:b/>
                <w:color w:val="000000" w:themeColor="text1"/>
                <w:szCs w:val="20"/>
                <w:shd w:val="clear" w:color="auto" w:fill="FAF9F8"/>
              </w:rPr>
            </w:pPr>
            <w:r w:rsidRPr="00DC0804">
              <w:t>Timing</w:t>
            </w:r>
            <w:r w:rsidR="00F06D58">
              <w:t xml:space="preserve"> / </w:t>
            </w:r>
            <w:r w:rsidR="00E973C3">
              <w:t>s</w:t>
            </w:r>
            <w:r w:rsidR="00F06D58">
              <w:t>tatus</w:t>
            </w:r>
          </w:p>
        </w:tc>
        <w:tc>
          <w:tcPr>
            <w:tcW w:w="6237" w:type="dxa"/>
            <w:vAlign w:val="top"/>
          </w:tcPr>
          <w:p w14:paraId="603338AF" w14:textId="60335C74" w:rsidR="00983B64" w:rsidRPr="00192F41" w:rsidRDefault="00983B64" w:rsidP="00A85E63">
            <w:pPr>
              <w:spacing w:before="40" w:after="40"/>
              <w:ind w:right="119"/>
              <w:jc w:val="both"/>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DC0804">
              <w:t>Commenced FY21 to be completed FY24</w:t>
            </w:r>
            <w:r w:rsidR="00F06D58">
              <w:t>. Business case approved (Gate 2). Detail design in progress.</w:t>
            </w:r>
          </w:p>
        </w:tc>
      </w:tr>
      <w:tr w:rsidR="00983B64" w:rsidRPr="00C72A31" w14:paraId="317386C1"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6875933C" w14:textId="58D082F0" w:rsidR="00983B64" w:rsidRPr="00C72A31" w:rsidRDefault="00983B64" w:rsidP="00A85E63">
            <w:pPr>
              <w:spacing w:before="40" w:after="40"/>
            </w:pPr>
            <w:r w:rsidRPr="00DC0804">
              <w:t xml:space="preserve">Service </w:t>
            </w:r>
            <w:r w:rsidR="00E973C3">
              <w:t>c</w:t>
            </w:r>
            <w:r w:rsidRPr="00DC0804">
              <w:t>ategory</w:t>
            </w:r>
          </w:p>
        </w:tc>
        <w:tc>
          <w:tcPr>
            <w:tcW w:w="6237" w:type="dxa"/>
            <w:vAlign w:val="top"/>
          </w:tcPr>
          <w:p w14:paraId="019E5019" w14:textId="6FCDDC58" w:rsidR="00983B64" w:rsidRPr="00C72A31" w:rsidRDefault="00983B64" w:rsidP="00A85E63">
            <w:pPr>
              <w:spacing w:before="40" w:after="40"/>
              <w:cnfStyle w:val="000000100000" w:firstRow="0" w:lastRow="0" w:firstColumn="0" w:lastColumn="0" w:oddVBand="0" w:evenVBand="0" w:oddHBand="1" w:evenHBand="0" w:firstRowFirstColumn="0" w:firstRowLastColumn="0" w:lastRowFirstColumn="0" w:lastRowLastColumn="0"/>
            </w:pPr>
            <w:r w:rsidRPr="00DC0804">
              <w:t>Channels</w:t>
            </w:r>
          </w:p>
        </w:tc>
      </w:tr>
      <w:tr w:rsidR="00983B64" w:rsidRPr="00C72A31" w14:paraId="15B647F0"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38057261" w14:textId="679C1964" w:rsidR="00983B64" w:rsidRPr="00C72A31" w:rsidRDefault="00983B64" w:rsidP="00A85E63">
            <w:pPr>
              <w:spacing w:before="40" w:after="40"/>
            </w:pPr>
            <w:r w:rsidRPr="00DC0804">
              <w:t xml:space="preserve">Asset </w:t>
            </w:r>
            <w:r w:rsidR="00E973C3">
              <w:t>c</w:t>
            </w:r>
            <w:r w:rsidRPr="00DC0804">
              <w:t>ategory</w:t>
            </w:r>
          </w:p>
        </w:tc>
        <w:tc>
          <w:tcPr>
            <w:tcW w:w="6237" w:type="dxa"/>
            <w:vAlign w:val="top"/>
          </w:tcPr>
          <w:p w14:paraId="4401D788" w14:textId="7FEA9484" w:rsidR="00983B64" w:rsidRPr="00C72A31" w:rsidRDefault="00983B64" w:rsidP="00A85E63">
            <w:pPr>
              <w:spacing w:before="40" w:after="40"/>
              <w:cnfStyle w:val="000000000000" w:firstRow="0" w:lastRow="0" w:firstColumn="0" w:lastColumn="0" w:oddVBand="0" w:evenVBand="0" w:oddHBand="0" w:evenHBand="0" w:firstRowFirstColumn="0" w:firstRowLastColumn="0" w:lastRowFirstColumn="0" w:lastRowLastColumn="0"/>
            </w:pPr>
            <w:r w:rsidRPr="00DC0804">
              <w:t>Channels</w:t>
            </w:r>
          </w:p>
        </w:tc>
      </w:tr>
      <w:tr w:rsidR="00983B64" w:rsidRPr="00C72A31" w14:paraId="4A1B4C1A"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0CF27943" w14:textId="3373B392" w:rsidR="00983B64" w:rsidRPr="007643C1" w:rsidRDefault="00983B64" w:rsidP="00A85E63">
            <w:pPr>
              <w:spacing w:before="40" w:after="40"/>
            </w:pPr>
            <w:r w:rsidRPr="00DC0804">
              <w:t xml:space="preserve">System / </w:t>
            </w:r>
            <w:r w:rsidR="00E973C3">
              <w:t>c</w:t>
            </w:r>
            <w:r w:rsidRPr="00DC0804">
              <w:t xml:space="preserve">ustomer </w:t>
            </w:r>
            <w:r w:rsidR="00E973C3">
              <w:t>g</w:t>
            </w:r>
            <w:r w:rsidRPr="00DC0804">
              <w:t>roup</w:t>
            </w:r>
          </w:p>
        </w:tc>
        <w:tc>
          <w:tcPr>
            <w:tcW w:w="6237" w:type="dxa"/>
            <w:vAlign w:val="top"/>
          </w:tcPr>
          <w:p w14:paraId="4D22C639" w14:textId="5F397EA8" w:rsidR="00983B64" w:rsidRPr="007643C1" w:rsidRDefault="00983B64" w:rsidP="00A85E63">
            <w:pPr>
              <w:spacing w:before="40" w:after="40"/>
              <w:cnfStyle w:val="000000100000" w:firstRow="0" w:lastRow="0" w:firstColumn="0" w:lastColumn="0" w:oddVBand="0" w:evenVBand="0" w:oddHBand="1" w:evenHBand="0" w:firstRowFirstColumn="0" w:firstRowLastColumn="0" w:lastRowFirstColumn="0" w:lastRowLastColumn="0"/>
            </w:pPr>
            <w:r w:rsidRPr="00DC0804">
              <w:t>Macalister Irrigation District</w:t>
            </w:r>
          </w:p>
        </w:tc>
      </w:tr>
      <w:tr w:rsidR="00983B64" w:rsidRPr="00C72A31" w14:paraId="1EF446E6" w14:textId="77777777" w:rsidTr="002D0113">
        <w:tc>
          <w:tcPr>
            <w:cnfStyle w:val="001000000000" w:firstRow="0" w:lastRow="0" w:firstColumn="1" w:lastColumn="0" w:oddVBand="0" w:evenVBand="0" w:oddHBand="0" w:evenHBand="0" w:firstRowFirstColumn="0" w:firstRowLastColumn="0" w:lastRowFirstColumn="0" w:lastRowLastColumn="0"/>
            <w:tcW w:w="3402" w:type="dxa"/>
            <w:vAlign w:val="top"/>
          </w:tcPr>
          <w:p w14:paraId="144361A8" w14:textId="7ABA59AD" w:rsidR="00983B64" w:rsidRPr="007643C1" w:rsidRDefault="00983B64" w:rsidP="00A85E63">
            <w:pPr>
              <w:spacing w:before="40" w:after="40"/>
            </w:pPr>
            <w:r w:rsidRPr="00DC0804">
              <w:t xml:space="preserve">Cost </w:t>
            </w:r>
            <w:r w:rsidR="00E973C3">
              <w:t>d</w:t>
            </w:r>
            <w:r w:rsidRPr="00DC0804">
              <w:t xml:space="preserve">river </w:t>
            </w:r>
          </w:p>
        </w:tc>
        <w:tc>
          <w:tcPr>
            <w:tcW w:w="6237" w:type="dxa"/>
            <w:vAlign w:val="top"/>
          </w:tcPr>
          <w:p w14:paraId="78062632" w14:textId="46E45282" w:rsidR="00983B64" w:rsidRPr="007643C1" w:rsidRDefault="00983B64" w:rsidP="00A85E63">
            <w:pPr>
              <w:spacing w:before="40" w:after="40"/>
              <w:cnfStyle w:val="000000000000" w:firstRow="0" w:lastRow="0" w:firstColumn="0" w:lastColumn="0" w:oddVBand="0" w:evenVBand="0" w:oddHBand="0" w:evenHBand="0" w:firstRowFirstColumn="0" w:firstRowLastColumn="0" w:lastRowFirstColumn="0" w:lastRowLastColumn="0"/>
            </w:pPr>
            <w:r w:rsidRPr="00DC0804">
              <w:t>Renewal</w:t>
            </w:r>
          </w:p>
        </w:tc>
      </w:tr>
      <w:tr w:rsidR="00983B64" w:rsidRPr="00C72A31" w14:paraId="11E01E6B" w14:textId="77777777" w:rsidTr="002D01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C50AD6A" w14:textId="2CD582D8" w:rsidR="00983B64" w:rsidRPr="00C72A31" w:rsidRDefault="00983B64" w:rsidP="00A85E63">
            <w:pPr>
              <w:spacing w:before="40" w:after="40"/>
            </w:pPr>
            <w:r w:rsidRPr="00DC0804">
              <w:t>Outcome</w:t>
            </w:r>
          </w:p>
        </w:tc>
        <w:tc>
          <w:tcPr>
            <w:tcW w:w="6237" w:type="dxa"/>
            <w:vAlign w:val="top"/>
          </w:tcPr>
          <w:p w14:paraId="5E197666" w14:textId="03D4CDFA" w:rsidR="00983B64" w:rsidRPr="00C72A31" w:rsidRDefault="00983B64" w:rsidP="00A85E63">
            <w:pPr>
              <w:spacing w:before="40" w:after="40"/>
              <w:cnfStyle w:val="000000100000" w:firstRow="0" w:lastRow="0" w:firstColumn="0" w:lastColumn="0" w:oddVBand="0" w:evenVBand="0" w:oddHBand="1" w:evenHBand="0" w:firstRowFirstColumn="0" w:firstRowLastColumn="0" w:lastRowFirstColumn="0" w:lastRowLastColumn="0"/>
            </w:pPr>
            <w:r w:rsidRPr="00DC0804">
              <w:t>Reliable water supply, sustainable water</w:t>
            </w:r>
          </w:p>
        </w:tc>
      </w:tr>
      <w:tr w:rsidR="00983B64" w:rsidRPr="00C72A31" w14:paraId="3C7297F7" w14:textId="77777777" w:rsidTr="00517F7B">
        <w:tc>
          <w:tcPr>
            <w:cnfStyle w:val="001000000000" w:firstRow="0" w:lastRow="0" w:firstColumn="1" w:lastColumn="0" w:oddVBand="0" w:evenVBand="0" w:oddHBand="0" w:evenHBand="0" w:firstRowFirstColumn="0" w:firstRowLastColumn="0" w:lastRowFirstColumn="0" w:lastRowLastColumn="0"/>
            <w:tcW w:w="3402" w:type="dxa"/>
            <w:vAlign w:val="top"/>
          </w:tcPr>
          <w:p w14:paraId="5DFBAFE8" w14:textId="78787756" w:rsidR="00983B64" w:rsidRPr="00C019F2" w:rsidRDefault="00983B64" w:rsidP="00A85E63">
            <w:pPr>
              <w:spacing w:before="40" w:after="40"/>
            </w:pPr>
            <w:r w:rsidRPr="00DC0804">
              <w:t xml:space="preserve">Risk / </w:t>
            </w:r>
            <w:r w:rsidR="00E973C3">
              <w:t>c</w:t>
            </w:r>
            <w:r w:rsidRPr="00DC0804">
              <w:t xml:space="preserve">ompliance / </w:t>
            </w:r>
            <w:r w:rsidR="00E973C3">
              <w:t>c</w:t>
            </w:r>
            <w:r w:rsidRPr="00DC0804">
              <w:t>ustomer rating</w:t>
            </w:r>
          </w:p>
        </w:tc>
        <w:tc>
          <w:tcPr>
            <w:tcW w:w="6237" w:type="dxa"/>
            <w:vAlign w:val="top"/>
          </w:tcPr>
          <w:p w14:paraId="1B984A99" w14:textId="1253AEF7" w:rsidR="00983B64" w:rsidRPr="00C019F2" w:rsidRDefault="00983B64" w:rsidP="00A85E63">
            <w:pPr>
              <w:spacing w:before="40" w:after="40"/>
              <w:cnfStyle w:val="000000000000" w:firstRow="0" w:lastRow="0" w:firstColumn="0" w:lastColumn="0" w:oddVBand="0" w:evenVBand="0" w:oddHBand="0" w:evenHBand="0" w:firstRowFirstColumn="0" w:firstRowLastColumn="0" w:lastRowFirstColumn="0" w:lastRowLastColumn="0"/>
            </w:pPr>
            <w:r w:rsidRPr="00DC0804">
              <w:t>N/A – already commenced prior to regulatory period (high-risk)</w:t>
            </w:r>
          </w:p>
        </w:tc>
      </w:tr>
      <w:tr w:rsidR="00983B64" w:rsidRPr="00670249" w14:paraId="4C55EB77" w14:textId="77777777" w:rsidTr="00517F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vAlign w:val="top"/>
          </w:tcPr>
          <w:p w14:paraId="133CA40B" w14:textId="5B4B226B" w:rsidR="00983B64" w:rsidRPr="00670249" w:rsidRDefault="00983B64" w:rsidP="00A85E63">
            <w:pPr>
              <w:spacing w:before="40" w:after="40"/>
              <w:rPr>
                <w:b/>
                <w:bCs/>
              </w:rPr>
            </w:pPr>
            <w:r w:rsidRPr="00DC0804">
              <w:t>Description</w:t>
            </w:r>
          </w:p>
        </w:tc>
        <w:tc>
          <w:tcPr>
            <w:tcW w:w="6237" w:type="dxa"/>
            <w:vAlign w:val="top"/>
          </w:tcPr>
          <w:p w14:paraId="186DEE26" w14:textId="45B24C93" w:rsidR="00983B64" w:rsidRPr="00670249" w:rsidRDefault="00983B64" w:rsidP="00A85E63">
            <w:pPr>
              <w:spacing w:before="40" w:after="40"/>
              <w:cnfStyle w:val="000000100000" w:firstRow="0" w:lastRow="0" w:firstColumn="0" w:lastColumn="0" w:oddVBand="0" w:evenVBand="0" w:oddHBand="1" w:evenHBand="0" w:firstRowFirstColumn="0" w:firstRowLastColumn="0" w:lastRowFirstColumn="0" w:lastRowLastColumn="0"/>
              <w:rPr>
                <w:b/>
                <w:bCs/>
              </w:rPr>
            </w:pPr>
            <w:r w:rsidRPr="00DC0804">
              <w:t>Replace high risk siphon on the Main Southern Channel</w:t>
            </w:r>
          </w:p>
        </w:tc>
      </w:tr>
      <w:tr w:rsidR="00517F7B" w:rsidRPr="00670249" w14:paraId="37CA532F" w14:textId="77777777">
        <w:tc>
          <w:tcPr>
            <w:cnfStyle w:val="001000000000" w:firstRow="0" w:lastRow="0" w:firstColumn="1" w:lastColumn="0" w:oddVBand="0" w:evenVBand="0" w:oddHBand="0" w:evenHBand="0" w:firstRowFirstColumn="0" w:firstRowLastColumn="0" w:lastRowFirstColumn="0" w:lastRowLastColumn="0"/>
            <w:tcW w:w="9639" w:type="dxa"/>
            <w:gridSpan w:val="2"/>
            <w:tcBorders>
              <w:bottom w:val="single" w:sz="4" w:space="0" w:color="auto"/>
            </w:tcBorders>
            <w:vAlign w:val="top"/>
          </w:tcPr>
          <w:p w14:paraId="6CCA721E" w14:textId="77777777" w:rsidR="0071488C" w:rsidRDefault="0071488C" w:rsidP="00504F16">
            <w:pPr>
              <w:jc w:val="center"/>
              <w:rPr>
                <w:noProof/>
              </w:rPr>
            </w:pPr>
          </w:p>
          <w:p w14:paraId="7691B124" w14:textId="77777777" w:rsidR="0071488C" w:rsidRDefault="0071488C" w:rsidP="00504F16">
            <w:pPr>
              <w:jc w:val="center"/>
            </w:pPr>
          </w:p>
          <w:p w14:paraId="39060A6A" w14:textId="2D88DCF7" w:rsidR="00517F7B" w:rsidRPr="00DC0804" w:rsidRDefault="00504F16" w:rsidP="00504F16">
            <w:pPr>
              <w:jc w:val="center"/>
            </w:pPr>
            <w:r>
              <w:rPr>
                <w:noProof/>
              </w:rPr>
              <w:drawing>
                <wp:inline distT="0" distB="0" distL="0" distR="0" wp14:anchorId="1DF5C938" wp14:editId="12AE850F">
                  <wp:extent cx="6118485" cy="34099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157515" cy="3431702"/>
                          </a:xfrm>
                          <a:prstGeom prst="rect">
                            <a:avLst/>
                          </a:prstGeom>
                        </pic:spPr>
                      </pic:pic>
                    </a:graphicData>
                  </a:graphic>
                </wp:inline>
              </w:drawing>
            </w:r>
          </w:p>
        </w:tc>
      </w:tr>
    </w:tbl>
    <w:p w14:paraId="5127965E" w14:textId="53FAD207" w:rsidR="007A19C9" w:rsidRDefault="00D23CF4" w:rsidP="00A86111">
      <w:pPr>
        <w:rPr>
          <w:rFonts w:cs="Arial"/>
        </w:rPr>
      </w:pPr>
      <w:r>
        <w:rPr>
          <w:rFonts w:cs="Arial"/>
        </w:rPr>
        <w:br w:type="page"/>
      </w:r>
    </w:p>
    <w:p w14:paraId="7D352C64" w14:textId="2AD6FD6A" w:rsidR="00C27F82" w:rsidRPr="00192F41" w:rsidRDefault="00C27F82" w:rsidP="00825A63">
      <w:pPr>
        <w:pStyle w:val="Heading2"/>
        <w:rPr>
          <w:rFonts w:cs="Arial"/>
        </w:rPr>
      </w:pPr>
      <w:r w:rsidRPr="00192F41">
        <w:rPr>
          <w:rFonts w:cs="Arial"/>
        </w:rPr>
        <w:t>Capital programs</w:t>
      </w:r>
    </w:p>
    <w:p w14:paraId="5680766D" w14:textId="7EF33C27" w:rsidR="00145BAA" w:rsidRDefault="00FB6FEA" w:rsidP="00A85E63">
      <w:pPr>
        <w:jc w:val="both"/>
        <w:rPr>
          <w:rFonts w:cs="Arial"/>
        </w:rPr>
      </w:pPr>
      <w:r>
        <w:rPr>
          <w:rFonts w:cs="Arial"/>
        </w:rPr>
        <w:t xml:space="preserve">In addition to our top 10 projects, we have a number of programs that will ensure ongoing delivery </w:t>
      </w:r>
      <w:r w:rsidR="00903643">
        <w:rPr>
          <w:rFonts w:cs="Arial"/>
        </w:rPr>
        <w:t>of service to ensure we meet our</w:t>
      </w:r>
      <w:r>
        <w:rPr>
          <w:rFonts w:cs="Arial"/>
        </w:rPr>
        <w:t xml:space="preserve"> customer outcomes. The</w:t>
      </w:r>
      <w:r w:rsidR="00C27F82" w:rsidRPr="00192F41">
        <w:rPr>
          <w:rFonts w:cs="Arial"/>
        </w:rPr>
        <w:t xml:space="preserve"> major capital programs </w:t>
      </w:r>
      <w:r w:rsidR="00145BAA">
        <w:rPr>
          <w:rFonts w:cs="Arial"/>
        </w:rPr>
        <w:t>are summarise</w:t>
      </w:r>
      <w:r w:rsidR="00B327E3">
        <w:rPr>
          <w:rFonts w:cs="Arial"/>
        </w:rPr>
        <w:t xml:space="preserve">d </w:t>
      </w:r>
      <w:r w:rsidR="00145BAA">
        <w:rPr>
          <w:rFonts w:cs="Arial"/>
        </w:rPr>
        <w:t>in the following table</w:t>
      </w:r>
      <w:r w:rsidR="00903643">
        <w:rPr>
          <w:rFonts w:cs="Arial"/>
        </w:rPr>
        <w:t xml:space="preserve"> with a connection to how they deliver on our customer outcomes</w:t>
      </w:r>
      <w:r w:rsidR="00145BAA">
        <w:rPr>
          <w:rFonts w:cs="Arial"/>
        </w:rPr>
        <w:t>:</w:t>
      </w:r>
    </w:p>
    <w:p w14:paraId="7BF4E7D1" w14:textId="30F18C9D" w:rsidR="00C27F82" w:rsidRDefault="00064866" w:rsidP="00064866">
      <w:pPr>
        <w:pStyle w:val="Caption"/>
        <w:rPr>
          <w:b/>
          <w:i w:val="0"/>
          <w:color w:val="00B1B0" w:themeColor="accent1"/>
          <w:sz w:val="20"/>
          <w:szCs w:val="20"/>
        </w:rPr>
      </w:pPr>
      <w:r w:rsidRPr="00064866">
        <w:rPr>
          <w:b/>
          <w:bCs/>
          <w:i w:val="0"/>
          <w:iCs w:val="0"/>
          <w:color w:val="00B1B0" w:themeColor="accent1"/>
          <w:sz w:val="20"/>
          <w:szCs w:val="20"/>
        </w:rPr>
        <w:t xml:space="preserve">Table </w:t>
      </w:r>
      <w:r w:rsidRPr="00064866">
        <w:rPr>
          <w:b/>
          <w:bCs/>
          <w:i w:val="0"/>
          <w:iCs w:val="0"/>
          <w:color w:val="00B1B0" w:themeColor="accent1"/>
          <w:sz w:val="20"/>
          <w:szCs w:val="20"/>
        </w:rPr>
        <w:fldChar w:fldCharType="begin"/>
      </w:r>
      <w:r w:rsidRPr="00064866">
        <w:rPr>
          <w:b/>
          <w:bCs/>
          <w:i w:val="0"/>
          <w:iCs w:val="0"/>
          <w:color w:val="00B1B0" w:themeColor="accent1"/>
          <w:sz w:val="20"/>
          <w:szCs w:val="20"/>
        </w:rPr>
        <w:instrText xml:space="preserve"> SEQ Table \* ARABIC </w:instrText>
      </w:r>
      <w:r w:rsidRPr="00064866">
        <w:rPr>
          <w:b/>
          <w:bCs/>
          <w:i w:val="0"/>
          <w:iCs w:val="0"/>
          <w:color w:val="00B1B0" w:themeColor="accent1"/>
          <w:sz w:val="20"/>
          <w:szCs w:val="20"/>
        </w:rPr>
        <w:fldChar w:fldCharType="separate"/>
      </w:r>
      <w:r w:rsidR="008126A8">
        <w:rPr>
          <w:b/>
          <w:bCs/>
          <w:i w:val="0"/>
          <w:iCs w:val="0"/>
          <w:noProof/>
          <w:color w:val="00B1B0" w:themeColor="accent1"/>
          <w:sz w:val="20"/>
          <w:szCs w:val="20"/>
        </w:rPr>
        <w:t>18</w:t>
      </w:r>
      <w:r w:rsidRPr="00064866">
        <w:rPr>
          <w:b/>
          <w:bCs/>
          <w:i w:val="0"/>
          <w:iCs w:val="0"/>
          <w:color w:val="00B1B0" w:themeColor="accent1"/>
          <w:sz w:val="20"/>
          <w:szCs w:val="20"/>
        </w:rPr>
        <w:fldChar w:fldCharType="end"/>
      </w:r>
      <w:r w:rsidRPr="00064866">
        <w:rPr>
          <w:b/>
          <w:bCs/>
          <w:i w:val="0"/>
          <w:iCs w:val="0"/>
          <w:color w:val="00B1B0" w:themeColor="accent1"/>
          <w:sz w:val="20"/>
          <w:szCs w:val="20"/>
        </w:rPr>
        <w:t xml:space="preserve"> </w:t>
      </w:r>
      <w:r w:rsidR="00A85E63">
        <w:rPr>
          <w:b/>
          <w:bCs/>
          <w:i w:val="0"/>
          <w:iCs w:val="0"/>
          <w:color w:val="00B1B0" w:themeColor="accent1"/>
          <w:sz w:val="20"/>
          <w:szCs w:val="20"/>
        </w:rPr>
        <w:t>–</w:t>
      </w:r>
      <w:r w:rsidRPr="00064866">
        <w:rPr>
          <w:b/>
          <w:bCs/>
          <w:i w:val="0"/>
          <w:iCs w:val="0"/>
          <w:color w:val="00B1B0" w:themeColor="accent1"/>
          <w:sz w:val="20"/>
          <w:szCs w:val="20"/>
        </w:rPr>
        <w:t xml:space="preserve"> </w:t>
      </w:r>
      <w:r w:rsidR="00D5690C" w:rsidRPr="00064866">
        <w:rPr>
          <w:b/>
          <w:bCs/>
          <w:i w:val="0"/>
          <w:iCs w:val="0"/>
          <w:color w:val="00B1B0" w:themeColor="accent1"/>
          <w:sz w:val="20"/>
          <w:szCs w:val="20"/>
        </w:rPr>
        <w:t>Major capital programs</w:t>
      </w:r>
    </w:p>
    <w:tbl>
      <w:tblPr>
        <w:tblStyle w:val="ReportTable-TealColumns"/>
        <w:tblW w:w="9639" w:type="dxa"/>
        <w:tblLayout w:type="fixed"/>
        <w:tblLook w:val="04A0" w:firstRow="1" w:lastRow="0" w:firstColumn="1" w:lastColumn="0" w:noHBand="0" w:noVBand="1"/>
      </w:tblPr>
      <w:tblGrid>
        <w:gridCol w:w="1843"/>
        <w:gridCol w:w="3402"/>
        <w:gridCol w:w="2552"/>
        <w:gridCol w:w="1842"/>
      </w:tblGrid>
      <w:tr w:rsidR="00207D7B" w:rsidRPr="00A85E63" w14:paraId="4BE2B74D" w14:textId="77777777" w:rsidTr="008D59B8">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1843" w:type="dxa"/>
            <w:tcBorders>
              <w:top w:val="nil"/>
              <w:bottom w:val="nil"/>
            </w:tcBorders>
            <w:shd w:val="clear" w:color="auto" w:fill="00B1B0" w:themeFill="accent1"/>
            <w:vAlign w:val="top"/>
            <w:hideMark/>
          </w:tcPr>
          <w:p w14:paraId="5C8FF867" w14:textId="5457AABD" w:rsidR="00207D7B" w:rsidRPr="00A85E63" w:rsidRDefault="00207D7B">
            <w:pPr>
              <w:spacing w:before="40" w:after="40"/>
              <w:jc w:val="center"/>
              <w:rPr>
                <w:sz w:val="20"/>
                <w:szCs w:val="20"/>
              </w:rPr>
            </w:pPr>
            <w:r w:rsidRPr="00A85E63">
              <w:rPr>
                <w:sz w:val="20"/>
                <w:szCs w:val="20"/>
              </w:rPr>
              <w:t>Supporting Customer Outcome</w:t>
            </w:r>
            <w:r w:rsidR="00FA5872">
              <w:rPr>
                <w:sz w:val="20"/>
                <w:szCs w:val="20"/>
              </w:rPr>
              <w:t>s</w:t>
            </w:r>
          </w:p>
        </w:tc>
        <w:tc>
          <w:tcPr>
            <w:tcW w:w="3402" w:type="dxa"/>
            <w:tcBorders>
              <w:top w:val="nil"/>
              <w:bottom w:val="nil"/>
            </w:tcBorders>
            <w:shd w:val="clear" w:color="auto" w:fill="00B1B0" w:themeFill="accent1"/>
            <w:hideMark/>
          </w:tcPr>
          <w:p w14:paraId="1A397651" w14:textId="77777777" w:rsidR="00207D7B" w:rsidRPr="00A85E63" w:rsidRDefault="00207D7B">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A85E63">
              <w:rPr>
                <w:sz w:val="20"/>
                <w:szCs w:val="20"/>
              </w:rPr>
              <w:t>Objectives</w:t>
            </w:r>
          </w:p>
        </w:tc>
        <w:tc>
          <w:tcPr>
            <w:tcW w:w="2552" w:type="dxa"/>
            <w:tcBorders>
              <w:top w:val="nil"/>
              <w:bottom w:val="nil"/>
            </w:tcBorders>
            <w:shd w:val="clear" w:color="auto" w:fill="00B1B0" w:themeFill="accent1"/>
          </w:tcPr>
          <w:p w14:paraId="297CC550" w14:textId="77777777" w:rsidR="00207D7B" w:rsidRPr="00A85E63" w:rsidRDefault="00207D7B">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A85E63">
              <w:rPr>
                <w:sz w:val="20"/>
                <w:szCs w:val="20"/>
              </w:rPr>
              <w:t>Program and cost driver</w:t>
            </w:r>
          </w:p>
        </w:tc>
        <w:tc>
          <w:tcPr>
            <w:tcW w:w="1842" w:type="dxa"/>
            <w:tcBorders>
              <w:top w:val="nil"/>
              <w:bottom w:val="nil"/>
            </w:tcBorders>
            <w:shd w:val="clear" w:color="auto" w:fill="00B1B0" w:themeFill="accent1"/>
            <w:hideMark/>
          </w:tcPr>
          <w:p w14:paraId="32AA5745" w14:textId="77777777" w:rsidR="00207D7B" w:rsidRPr="00A85E63" w:rsidRDefault="00207D7B">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A85E63">
              <w:rPr>
                <w:sz w:val="20"/>
                <w:szCs w:val="20"/>
              </w:rPr>
              <w:t>Five-year total $m</w:t>
            </w:r>
          </w:p>
        </w:tc>
      </w:tr>
      <w:tr w:rsidR="00207D7B" w:rsidRPr="00E973C3" w14:paraId="72E3076C" w14:textId="77777777" w:rsidTr="008D59B8">
        <w:trPr>
          <w:trHeight w:val="538"/>
        </w:trPr>
        <w:tc>
          <w:tcPr>
            <w:cnfStyle w:val="001000000000" w:firstRow="0" w:lastRow="0" w:firstColumn="1" w:lastColumn="0" w:oddVBand="0" w:evenVBand="0" w:oddHBand="0" w:evenHBand="0" w:firstRowFirstColumn="0" w:firstRowLastColumn="0" w:lastRowFirstColumn="0" w:lastRowLastColumn="0"/>
            <w:tcW w:w="1843" w:type="dxa"/>
            <w:tcBorders>
              <w:top w:val="nil"/>
            </w:tcBorders>
            <w:hideMark/>
          </w:tcPr>
          <w:p w14:paraId="539ED884" w14:textId="77777777" w:rsidR="00207D7B" w:rsidRPr="006175F1" w:rsidRDefault="00207D7B" w:rsidP="00F459A2">
            <w:pPr>
              <w:pStyle w:val="ListParagraph"/>
              <w:numPr>
                <w:ilvl w:val="0"/>
                <w:numId w:val="29"/>
              </w:numPr>
              <w:ind w:left="389" w:hanging="218"/>
            </w:pPr>
            <w:r w:rsidRPr="006175F1">
              <w:t>Reliable water supply</w:t>
            </w:r>
          </w:p>
          <w:p w14:paraId="0FE52E1A" w14:textId="77777777" w:rsidR="00207D7B" w:rsidRPr="006175F1" w:rsidRDefault="00207D7B" w:rsidP="00F459A2">
            <w:pPr>
              <w:pStyle w:val="ListParagraph"/>
              <w:numPr>
                <w:ilvl w:val="0"/>
                <w:numId w:val="29"/>
              </w:numPr>
              <w:ind w:left="389" w:hanging="218"/>
            </w:pPr>
            <w:r w:rsidRPr="006175F1">
              <w:t>Sustainable water</w:t>
            </w:r>
          </w:p>
        </w:tc>
        <w:tc>
          <w:tcPr>
            <w:tcW w:w="3402" w:type="dxa"/>
            <w:tcBorders>
              <w:top w:val="nil"/>
            </w:tcBorders>
            <w:hideMark/>
          </w:tcPr>
          <w:p w14:paraId="66264F5E"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 xml:space="preserve">To maintain asset base in working order to provide a reliable and sustainable water supply. </w:t>
            </w:r>
          </w:p>
        </w:tc>
        <w:tc>
          <w:tcPr>
            <w:tcW w:w="2552" w:type="dxa"/>
            <w:tcBorders>
              <w:top w:val="nil"/>
            </w:tcBorders>
          </w:tcPr>
          <w:p w14:paraId="66BFC4A1"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Irrigation distribution (Renewals)</w:t>
            </w:r>
          </w:p>
        </w:tc>
        <w:tc>
          <w:tcPr>
            <w:tcW w:w="1842" w:type="dxa"/>
            <w:tcBorders>
              <w:top w:val="nil"/>
            </w:tcBorders>
            <w:hideMark/>
          </w:tcPr>
          <w:p w14:paraId="65E73B83"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$20.0</w:t>
            </w:r>
          </w:p>
        </w:tc>
      </w:tr>
      <w:tr w:rsidR="00207D7B" w:rsidRPr="00E973C3" w14:paraId="4C9AA022" w14:textId="77777777" w:rsidTr="008D59B8">
        <w:trPr>
          <w:trHeight w:val="579"/>
        </w:trPr>
        <w:tc>
          <w:tcPr>
            <w:cnfStyle w:val="001000000000" w:firstRow="0" w:lastRow="0" w:firstColumn="1" w:lastColumn="0" w:oddVBand="0" w:evenVBand="0" w:oddHBand="0" w:evenHBand="0" w:firstRowFirstColumn="0" w:firstRowLastColumn="0" w:lastRowFirstColumn="0" w:lastRowLastColumn="0"/>
            <w:tcW w:w="1843" w:type="dxa"/>
            <w:vMerge w:val="restart"/>
            <w:shd w:val="clear" w:color="auto" w:fill="F2F2F2" w:themeFill="background1" w:themeFillShade="F2"/>
            <w:hideMark/>
          </w:tcPr>
          <w:p w14:paraId="0AA0BD96" w14:textId="77777777" w:rsidR="00207D7B" w:rsidRDefault="00207D7B" w:rsidP="00F459A2">
            <w:pPr>
              <w:pStyle w:val="ListParagraph"/>
              <w:numPr>
                <w:ilvl w:val="0"/>
                <w:numId w:val="29"/>
              </w:numPr>
              <w:ind w:left="389" w:hanging="218"/>
            </w:pPr>
            <w:r w:rsidRPr="006175F1">
              <w:t>Reliable water supply</w:t>
            </w:r>
          </w:p>
          <w:p w14:paraId="5395E700" w14:textId="77777777" w:rsidR="00207D7B" w:rsidRPr="00F175AF" w:rsidRDefault="00207D7B" w:rsidP="00F459A2">
            <w:pPr>
              <w:pStyle w:val="ListParagraph"/>
              <w:numPr>
                <w:ilvl w:val="0"/>
                <w:numId w:val="29"/>
              </w:numPr>
              <w:ind w:left="389" w:hanging="218"/>
            </w:pPr>
            <w:r w:rsidRPr="001F4137">
              <w:t>Sustainable water</w:t>
            </w:r>
          </w:p>
        </w:tc>
        <w:tc>
          <w:tcPr>
            <w:tcW w:w="3402" w:type="dxa"/>
            <w:vMerge w:val="restart"/>
            <w:shd w:val="clear" w:color="auto" w:fill="F2F2F2" w:themeFill="background1" w:themeFillShade="F2"/>
            <w:hideMark/>
          </w:tcPr>
          <w:p w14:paraId="38CBDE17"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ensure an appropriate balance between maximising asset lifespan and managing the risk of asset failure.</w:t>
            </w:r>
          </w:p>
        </w:tc>
        <w:tc>
          <w:tcPr>
            <w:tcW w:w="2552" w:type="dxa"/>
            <w:shd w:val="clear" w:color="auto" w:fill="F2F2F2" w:themeFill="background1" w:themeFillShade="F2"/>
          </w:tcPr>
          <w:p w14:paraId="0013F233"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Dams and Storages (Renewals)</w:t>
            </w:r>
          </w:p>
        </w:tc>
        <w:tc>
          <w:tcPr>
            <w:tcW w:w="1842" w:type="dxa"/>
            <w:shd w:val="clear" w:color="auto" w:fill="F2F2F2" w:themeFill="background1" w:themeFillShade="F2"/>
            <w:hideMark/>
          </w:tcPr>
          <w:p w14:paraId="183F39D7"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$18.9</w:t>
            </w:r>
          </w:p>
        </w:tc>
      </w:tr>
      <w:tr w:rsidR="00207D7B" w:rsidRPr="00E973C3" w14:paraId="757EB874" w14:textId="77777777" w:rsidTr="008D59B8">
        <w:trPr>
          <w:trHeight w:val="589"/>
        </w:trPr>
        <w:tc>
          <w:tcPr>
            <w:cnfStyle w:val="001000000000" w:firstRow="0" w:lastRow="0" w:firstColumn="1" w:lastColumn="0" w:oddVBand="0" w:evenVBand="0" w:oddHBand="0" w:evenHBand="0" w:firstRowFirstColumn="0" w:firstRowLastColumn="0" w:lastRowFirstColumn="0" w:lastRowLastColumn="0"/>
            <w:tcW w:w="1843" w:type="dxa"/>
            <w:vMerge/>
            <w:shd w:val="clear" w:color="auto" w:fill="F2F2F2" w:themeFill="background1" w:themeFillShade="F2"/>
            <w:hideMark/>
          </w:tcPr>
          <w:p w14:paraId="62FE143B" w14:textId="77777777" w:rsidR="00207D7B" w:rsidRPr="00F175AF" w:rsidRDefault="00207D7B">
            <w:pPr>
              <w:ind w:left="360" w:hanging="360"/>
            </w:pPr>
          </w:p>
        </w:tc>
        <w:tc>
          <w:tcPr>
            <w:tcW w:w="3402" w:type="dxa"/>
            <w:vMerge/>
            <w:shd w:val="clear" w:color="auto" w:fill="F2F2F2" w:themeFill="background1" w:themeFillShade="F2"/>
            <w:hideMark/>
          </w:tcPr>
          <w:p w14:paraId="485B07EE"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p>
        </w:tc>
        <w:tc>
          <w:tcPr>
            <w:tcW w:w="2552" w:type="dxa"/>
            <w:shd w:val="clear" w:color="auto" w:fill="F2F2F2" w:themeFill="background1" w:themeFillShade="F2"/>
          </w:tcPr>
          <w:p w14:paraId="674C0FE6"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Groundwater and Rivers (Renewals)</w:t>
            </w:r>
          </w:p>
        </w:tc>
        <w:tc>
          <w:tcPr>
            <w:tcW w:w="1842" w:type="dxa"/>
            <w:shd w:val="clear" w:color="auto" w:fill="F2F2F2" w:themeFill="background1" w:themeFillShade="F2"/>
            <w:hideMark/>
          </w:tcPr>
          <w:p w14:paraId="6C0ACD9C"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$0.4</w:t>
            </w:r>
          </w:p>
        </w:tc>
      </w:tr>
      <w:tr w:rsidR="00207D7B" w:rsidRPr="00E973C3" w14:paraId="487F8461" w14:textId="77777777" w:rsidTr="008D59B8">
        <w:trPr>
          <w:trHeight w:val="570"/>
        </w:trPr>
        <w:tc>
          <w:tcPr>
            <w:cnfStyle w:val="001000000000" w:firstRow="0" w:lastRow="0" w:firstColumn="1" w:lastColumn="0" w:oddVBand="0" w:evenVBand="0" w:oddHBand="0" w:evenHBand="0" w:firstRowFirstColumn="0" w:firstRowLastColumn="0" w:lastRowFirstColumn="0" w:lastRowLastColumn="0"/>
            <w:tcW w:w="1843" w:type="dxa"/>
            <w:vMerge w:val="restart"/>
            <w:hideMark/>
          </w:tcPr>
          <w:p w14:paraId="197731CE" w14:textId="77777777" w:rsidR="00207D7B" w:rsidRDefault="00207D7B" w:rsidP="00F459A2">
            <w:pPr>
              <w:pStyle w:val="ListParagraph"/>
              <w:numPr>
                <w:ilvl w:val="0"/>
                <w:numId w:val="29"/>
              </w:numPr>
              <w:ind w:left="389" w:hanging="218"/>
            </w:pPr>
            <w:r w:rsidRPr="00E973C3">
              <w:t>Reliable water supply</w:t>
            </w:r>
          </w:p>
          <w:p w14:paraId="0CBE6276" w14:textId="77777777" w:rsidR="00207D7B" w:rsidRPr="00E973C3" w:rsidRDefault="00207D7B" w:rsidP="00F459A2">
            <w:pPr>
              <w:pStyle w:val="ListParagraph"/>
              <w:numPr>
                <w:ilvl w:val="0"/>
                <w:numId w:val="29"/>
              </w:numPr>
              <w:ind w:left="389" w:hanging="218"/>
            </w:pPr>
            <w:r>
              <w:t>S</w:t>
            </w:r>
            <w:r w:rsidRPr="00E973C3">
              <w:t>ustainable water</w:t>
            </w:r>
          </w:p>
        </w:tc>
        <w:tc>
          <w:tcPr>
            <w:tcW w:w="3402" w:type="dxa"/>
            <w:vMerge w:val="restart"/>
            <w:hideMark/>
          </w:tcPr>
          <w:p w14:paraId="7ED40C4D"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invest in upgrades to improve compliance (various including ANCOLD, regulatory standards, safety, etc), operational efficiency and SRW’s ability to meet current levels of service into the future.</w:t>
            </w:r>
          </w:p>
        </w:tc>
        <w:tc>
          <w:tcPr>
            <w:tcW w:w="2552" w:type="dxa"/>
          </w:tcPr>
          <w:p w14:paraId="27E8D219"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Dams and Storages (Improvement/Compliance)</w:t>
            </w:r>
          </w:p>
        </w:tc>
        <w:tc>
          <w:tcPr>
            <w:tcW w:w="1842" w:type="dxa"/>
            <w:hideMark/>
          </w:tcPr>
          <w:p w14:paraId="29D0C0C1"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$4.0</w:t>
            </w:r>
          </w:p>
        </w:tc>
      </w:tr>
      <w:tr w:rsidR="00207D7B" w:rsidRPr="00E973C3" w14:paraId="313EAB03" w14:textId="77777777" w:rsidTr="008D59B8">
        <w:trPr>
          <w:trHeight w:val="737"/>
        </w:trPr>
        <w:tc>
          <w:tcPr>
            <w:cnfStyle w:val="001000000000" w:firstRow="0" w:lastRow="0" w:firstColumn="1" w:lastColumn="0" w:oddVBand="0" w:evenVBand="0" w:oddHBand="0" w:evenHBand="0" w:firstRowFirstColumn="0" w:firstRowLastColumn="0" w:lastRowFirstColumn="0" w:lastRowLastColumn="0"/>
            <w:tcW w:w="1843" w:type="dxa"/>
            <w:vMerge/>
            <w:hideMark/>
          </w:tcPr>
          <w:p w14:paraId="5F065607" w14:textId="77777777" w:rsidR="00207D7B" w:rsidRPr="00F175AF" w:rsidRDefault="00207D7B" w:rsidP="00F459A2">
            <w:pPr>
              <w:pStyle w:val="ListParagraph"/>
              <w:numPr>
                <w:ilvl w:val="0"/>
                <w:numId w:val="29"/>
              </w:numPr>
              <w:ind w:left="389" w:hanging="218"/>
            </w:pPr>
          </w:p>
        </w:tc>
        <w:tc>
          <w:tcPr>
            <w:tcW w:w="3402" w:type="dxa"/>
            <w:vMerge/>
            <w:hideMark/>
          </w:tcPr>
          <w:p w14:paraId="111F2DC0"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p>
        </w:tc>
        <w:tc>
          <w:tcPr>
            <w:tcW w:w="2552" w:type="dxa"/>
          </w:tcPr>
          <w:p w14:paraId="742AE51B"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Irrigation distribution (Improvement/Compliance)</w:t>
            </w:r>
          </w:p>
        </w:tc>
        <w:tc>
          <w:tcPr>
            <w:tcW w:w="1842" w:type="dxa"/>
            <w:hideMark/>
          </w:tcPr>
          <w:p w14:paraId="2CA42C27"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w:t>
            </w:r>
            <w:r>
              <w:t>1</w:t>
            </w:r>
            <w:r w:rsidRPr="00E973C3">
              <w:t>.</w:t>
            </w:r>
            <w:r>
              <w:t>3</w:t>
            </w:r>
          </w:p>
        </w:tc>
      </w:tr>
      <w:tr w:rsidR="00207D7B" w:rsidRPr="00E973C3" w14:paraId="738E1099" w14:textId="77777777" w:rsidTr="008D59B8">
        <w:trPr>
          <w:trHeight w:val="734"/>
        </w:trPr>
        <w:tc>
          <w:tcPr>
            <w:cnfStyle w:val="001000000000" w:firstRow="0" w:lastRow="0" w:firstColumn="1" w:lastColumn="0" w:oddVBand="0" w:evenVBand="0" w:oddHBand="0" w:evenHBand="0" w:firstRowFirstColumn="0" w:firstRowLastColumn="0" w:lastRowFirstColumn="0" w:lastRowLastColumn="0"/>
            <w:tcW w:w="1843" w:type="dxa"/>
            <w:vMerge/>
            <w:hideMark/>
          </w:tcPr>
          <w:p w14:paraId="4C335992" w14:textId="77777777" w:rsidR="00207D7B" w:rsidRPr="00F175AF" w:rsidRDefault="00207D7B" w:rsidP="00F459A2">
            <w:pPr>
              <w:pStyle w:val="ListParagraph"/>
              <w:numPr>
                <w:ilvl w:val="0"/>
                <w:numId w:val="29"/>
              </w:numPr>
              <w:ind w:left="389" w:hanging="218"/>
            </w:pPr>
          </w:p>
        </w:tc>
        <w:tc>
          <w:tcPr>
            <w:tcW w:w="3402" w:type="dxa"/>
            <w:vMerge/>
            <w:hideMark/>
          </w:tcPr>
          <w:p w14:paraId="69001AD1"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p>
        </w:tc>
        <w:tc>
          <w:tcPr>
            <w:tcW w:w="2552" w:type="dxa"/>
          </w:tcPr>
          <w:p w14:paraId="4411A987"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Groundwater and Rivers (Improvement/Compliance)</w:t>
            </w:r>
          </w:p>
        </w:tc>
        <w:tc>
          <w:tcPr>
            <w:tcW w:w="1842" w:type="dxa"/>
            <w:hideMark/>
          </w:tcPr>
          <w:p w14:paraId="74A18591"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$0.4</w:t>
            </w:r>
          </w:p>
        </w:tc>
      </w:tr>
      <w:tr w:rsidR="00207D7B" w:rsidRPr="00E973C3" w14:paraId="5B2CE73B" w14:textId="77777777" w:rsidTr="008D59B8">
        <w:trPr>
          <w:trHeight w:val="577"/>
        </w:trPr>
        <w:tc>
          <w:tcPr>
            <w:cnfStyle w:val="001000000000" w:firstRow="0" w:lastRow="0" w:firstColumn="1" w:lastColumn="0" w:oddVBand="0" w:evenVBand="0" w:oddHBand="0" w:evenHBand="0" w:firstRowFirstColumn="0" w:firstRowLastColumn="0" w:lastRowFirstColumn="0" w:lastRowLastColumn="0"/>
            <w:tcW w:w="1843" w:type="dxa"/>
            <w:shd w:val="clear" w:color="auto" w:fill="F2F2F2" w:themeFill="background1" w:themeFillShade="F2"/>
            <w:hideMark/>
          </w:tcPr>
          <w:p w14:paraId="2C1FA06A" w14:textId="77777777" w:rsidR="00207D7B" w:rsidRDefault="00207D7B" w:rsidP="00F459A2">
            <w:pPr>
              <w:pStyle w:val="ListParagraph"/>
              <w:numPr>
                <w:ilvl w:val="0"/>
                <w:numId w:val="29"/>
              </w:numPr>
              <w:ind w:left="389" w:hanging="218"/>
            </w:pPr>
            <w:r w:rsidRPr="00E973C3">
              <w:t>Great service</w:t>
            </w:r>
          </w:p>
          <w:p w14:paraId="5459CC76" w14:textId="77777777" w:rsidR="00207D7B" w:rsidRDefault="00207D7B" w:rsidP="00F459A2">
            <w:pPr>
              <w:pStyle w:val="ListParagraph"/>
              <w:numPr>
                <w:ilvl w:val="0"/>
                <w:numId w:val="29"/>
              </w:numPr>
              <w:ind w:left="389" w:hanging="218"/>
            </w:pPr>
            <w:r>
              <w:t>R</w:t>
            </w:r>
            <w:r w:rsidRPr="00E973C3">
              <w:t>eliable water supply</w:t>
            </w:r>
          </w:p>
          <w:p w14:paraId="1405AF6D" w14:textId="77777777" w:rsidR="00207D7B" w:rsidRPr="00E973C3" w:rsidRDefault="00207D7B" w:rsidP="00F459A2">
            <w:pPr>
              <w:pStyle w:val="ListParagraph"/>
              <w:numPr>
                <w:ilvl w:val="0"/>
                <w:numId w:val="29"/>
              </w:numPr>
              <w:ind w:left="389" w:hanging="218"/>
            </w:pPr>
            <w:r>
              <w:t>S</w:t>
            </w:r>
            <w:r w:rsidRPr="00E973C3">
              <w:t>ustainable water</w:t>
            </w:r>
          </w:p>
        </w:tc>
        <w:tc>
          <w:tcPr>
            <w:tcW w:w="3402" w:type="dxa"/>
            <w:shd w:val="clear" w:color="auto" w:fill="F2F2F2" w:themeFill="background1" w:themeFillShade="F2"/>
            <w:hideMark/>
          </w:tcPr>
          <w:p w14:paraId="392792EF"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ensure plant and equipment is sufficient to provide efficient field based and office activities</w:t>
            </w:r>
          </w:p>
        </w:tc>
        <w:tc>
          <w:tcPr>
            <w:tcW w:w="2552" w:type="dxa"/>
            <w:shd w:val="clear" w:color="auto" w:fill="F2F2F2" w:themeFill="background1" w:themeFillShade="F2"/>
          </w:tcPr>
          <w:p w14:paraId="3E3CA65A"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Shared Services (Renewals)</w:t>
            </w:r>
          </w:p>
        </w:tc>
        <w:tc>
          <w:tcPr>
            <w:tcW w:w="1842" w:type="dxa"/>
            <w:shd w:val="clear" w:color="auto" w:fill="F2F2F2" w:themeFill="background1" w:themeFillShade="F2"/>
            <w:hideMark/>
          </w:tcPr>
          <w:p w14:paraId="37C6A822"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$8.1</w:t>
            </w:r>
          </w:p>
        </w:tc>
      </w:tr>
      <w:tr w:rsidR="00207D7B" w:rsidRPr="00E973C3" w14:paraId="7A9128FD" w14:textId="77777777" w:rsidTr="008D59B8">
        <w:trPr>
          <w:trHeight w:val="521"/>
        </w:trPr>
        <w:tc>
          <w:tcPr>
            <w:cnfStyle w:val="001000000000" w:firstRow="0" w:lastRow="0" w:firstColumn="1" w:lastColumn="0" w:oddVBand="0" w:evenVBand="0" w:oddHBand="0" w:evenHBand="0" w:firstRowFirstColumn="0" w:firstRowLastColumn="0" w:lastRowFirstColumn="0" w:lastRowLastColumn="0"/>
            <w:tcW w:w="1843" w:type="dxa"/>
            <w:vMerge w:val="restart"/>
            <w:hideMark/>
          </w:tcPr>
          <w:p w14:paraId="64AFBC31" w14:textId="77777777" w:rsidR="00207D7B" w:rsidRDefault="00207D7B" w:rsidP="00F459A2">
            <w:pPr>
              <w:pStyle w:val="ListParagraph"/>
              <w:numPr>
                <w:ilvl w:val="0"/>
                <w:numId w:val="29"/>
              </w:numPr>
              <w:ind w:left="389" w:hanging="218"/>
            </w:pPr>
            <w:r w:rsidRPr="00E973C3">
              <w:t>Great service</w:t>
            </w:r>
          </w:p>
          <w:p w14:paraId="44D38402" w14:textId="77777777" w:rsidR="00207D7B" w:rsidRPr="006175F1" w:rsidRDefault="00207D7B" w:rsidP="00F459A2">
            <w:pPr>
              <w:pStyle w:val="ListParagraph"/>
              <w:numPr>
                <w:ilvl w:val="0"/>
                <w:numId w:val="29"/>
              </w:numPr>
              <w:ind w:left="389" w:hanging="218"/>
            </w:pPr>
            <w:r>
              <w:t>R</w:t>
            </w:r>
            <w:r w:rsidRPr="00E973C3">
              <w:t>eliable water supp</w:t>
            </w:r>
            <w:r>
              <w:t>ly</w:t>
            </w:r>
          </w:p>
          <w:p w14:paraId="017C2343" w14:textId="77777777" w:rsidR="00207D7B" w:rsidRPr="006175F1" w:rsidRDefault="00207D7B" w:rsidP="00F459A2">
            <w:pPr>
              <w:pStyle w:val="ListParagraph"/>
              <w:numPr>
                <w:ilvl w:val="0"/>
                <w:numId w:val="29"/>
              </w:numPr>
              <w:ind w:left="389" w:hanging="218"/>
            </w:pPr>
            <w:r w:rsidRPr="006175F1">
              <w:t>Sustainable water</w:t>
            </w:r>
          </w:p>
        </w:tc>
        <w:tc>
          <w:tcPr>
            <w:tcW w:w="3402" w:type="dxa"/>
            <w:vMerge w:val="restart"/>
            <w:hideMark/>
          </w:tcPr>
          <w:p w14:paraId="12616F59"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ensure IT infrastructure supports efficient planning and operational activities. Replace legacy systems no longer supported and replace obsolete hardware.</w:t>
            </w:r>
          </w:p>
        </w:tc>
        <w:tc>
          <w:tcPr>
            <w:tcW w:w="2552" w:type="dxa"/>
          </w:tcPr>
          <w:p w14:paraId="3EF9710A"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ICT (Renewals)</w:t>
            </w:r>
          </w:p>
        </w:tc>
        <w:tc>
          <w:tcPr>
            <w:tcW w:w="1842" w:type="dxa"/>
            <w:hideMark/>
          </w:tcPr>
          <w:p w14:paraId="02726B75"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$1.3</w:t>
            </w:r>
          </w:p>
        </w:tc>
      </w:tr>
      <w:tr w:rsidR="00207D7B" w:rsidRPr="00E973C3" w14:paraId="4E535121" w14:textId="77777777" w:rsidTr="008D59B8">
        <w:trPr>
          <w:trHeight w:val="459"/>
        </w:trPr>
        <w:tc>
          <w:tcPr>
            <w:cnfStyle w:val="001000000000" w:firstRow="0" w:lastRow="0" w:firstColumn="1" w:lastColumn="0" w:oddVBand="0" w:evenVBand="0" w:oddHBand="0" w:evenHBand="0" w:firstRowFirstColumn="0" w:firstRowLastColumn="0" w:lastRowFirstColumn="0" w:lastRowLastColumn="0"/>
            <w:tcW w:w="1843" w:type="dxa"/>
            <w:vMerge/>
            <w:hideMark/>
          </w:tcPr>
          <w:p w14:paraId="2DDE68AD" w14:textId="77777777" w:rsidR="00207D7B" w:rsidRPr="00F175AF" w:rsidRDefault="00207D7B" w:rsidP="00F459A2">
            <w:pPr>
              <w:pStyle w:val="ListParagraph"/>
              <w:numPr>
                <w:ilvl w:val="0"/>
                <w:numId w:val="29"/>
              </w:numPr>
              <w:ind w:left="389" w:hanging="218"/>
            </w:pPr>
          </w:p>
        </w:tc>
        <w:tc>
          <w:tcPr>
            <w:tcW w:w="3402" w:type="dxa"/>
            <w:vMerge/>
            <w:hideMark/>
          </w:tcPr>
          <w:p w14:paraId="48627B81"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p>
        </w:tc>
        <w:tc>
          <w:tcPr>
            <w:tcW w:w="2552" w:type="dxa"/>
          </w:tcPr>
          <w:p w14:paraId="0528E8B8"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ICT (Improvement/Compliance)</w:t>
            </w:r>
          </w:p>
        </w:tc>
        <w:tc>
          <w:tcPr>
            <w:tcW w:w="1842" w:type="dxa"/>
            <w:hideMark/>
          </w:tcPr>
          <w:p w14:paraId="0D74A10E"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$7.9</w:t>
            </w:r>
          </w:p>
        </w:tc>
      </w:tr>
      <w:tr w:rsidR="00207D7B" w:rsidRPr="00E973C3" w14:paraId="0B52A751" w14:textId="77777777" w:rsidTr="008D59B8">
        <w:trPr>
          <w:trHeight w:val="850"/>
        </w:trPr>
        <w:tc>
          <w:tcPr>
            <w:cnfStyle w:val="001000000000" w:firstRow="0" w:lastRow="0" w:firstColumn="1" w:lastColumn="0" w:oddVBand="0" w:evenVBand="0" w:oddHBand="0" w:evenHBand="0" w:firstRowFirstColumn="0" w:firstRowLastColumn="0" w:lastRowFirstColumn="0" w:lastRowLastColumn="0"/>
            <w:tcW w:w="1843" w:type="dxa"/>
            <w:tcBorders>
              <w:bottom w:val="single" w:sz="4" w:space="0" w:color="D9D9D9" w:themeColor="background1" w:themeShade="D9"/>
            </w:tcBorders>
            <w:shd w:val="clear" w:color="auto" w:fill="F2F2F2" w:themeFill="background1" w:themeFillShade="F2"/>
            <w:hideMark/>
          </w:tcPr>
          <w:p w14:paraId="6D5C3DEC" w14:textId="77777777" w:rsidR="00207D7B" w:rsidRPr="00940CCE" w:rsidRDefault="00207D7B" w:rsidP="00F459A2">
            <w:pPr>
              <w:pStyle w:val="ListParagraph"/>
              <w:numPr>
                <w:ilvl w:val="0"/>
                <w:numId w:val="29"/>
              </w:numPr>
              <w:ind w:left="389" w:hanging="218"/>
            </w:pPr>
            <w:r w:rsidRPr="00E973C3">
              <w:t>Reliable water supply</w:t>
            </w:r>
          </w:p>
          <w:p w14:paraId="06C065E6" w14:textId="77777777" w:rsidR="00207D7B" w:rsidRPr="006175F1" w:rsidRDefault="00207D7B" w:rsidP="00F459A2">
            <w:pPr>
              <w:pStyle w:val="ListParagraph"/>
              <w:numPr>
                <w:ilvl w:val="0"/>
                <w:numId w:val="29"/>
              </w:numPr>
              <w:ind w:left="389" w:hanging="218"/>
            </w:pPr>
            <w:r w:rsidRPr="006175F1">
              <w:t>Sustainable water</w:t>
            </w:r>
          </w:p>
        </w:tc>
        <w:tc>
          <w:tcPr>
            <w:tcW w:w="3402" w:type="dxa"/>
            <w:tcBorders>
              <w:bottom w:val="single" w:sz="4" w:space="0" w:color="D9D9D9" w:themeColor="background1" w:themeShade="D9"/>
            </w:tcBorders>
            <w:shd w:val="clear" w:color="auto" w:fill="F2F2F2" w:themeFill="background1" w:themeFillShade="F2"/>
            <w:hideMark/>
          </w:tcPr>
          <w:p w14:paraId="1E11D00B"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address those channel sections which, as they deteriorate, present a risk to the reliability and efficiency of SRW’s service.</w:t>
            </w:r>
          </w:p>
        </w:tc>
        <w:tc>
          <w:tcPr>
            <w:tcW w:w="2552" w:type="dxa"/>
            <w:tcBorders>
              <w:bottom w:val="single" w:sz="4" w:space="0" w:color="D9D9D9" w:themeColor="background1" w:themeShade="D9"/>
            </w:tcBorders>
            <w:shd w:val="clear" w:color="auto" w:fill="F2F2F2" w:themeFill="background1" w:themeFillShade="F2"/>
          </w:tcPr>
          <w:p w14:paraId="2C670546"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MID Channel Reconstruction (Renewals)</w:t>
            </w:r>
          </w:p>
        </w:tc>
        <w:tc>
          <w:tcPr>
            <w:tcW w:w="1842" w:type="dxa"/>
            <w:tcBorders>
              <w:bottom w:val="single" w:sz="4" w:space="0" w:color="D9D9D9" w:themeColor="background1" w:themeShade="D9"/>
            </w:tcBorders>
            <w:shd w:val="clear" w:color="auto" w:fill="F2F2F2" w:themeFill="background1" w:themeFillShade="F2"/>
            <w:hideMark/>
          </w:tcPr>
          <w:p w14:paraId="074208A7"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$5.8</w:t>
            </w:r>
          </w:p>
        </w:tc>
      </w:tr>
      <w:tr w:rsidR="00207D7B" w:rsidRPr="00E973C3" w14:paraId="570C58EC" w14:textId="77777777" w:rsidTr="002E238D">
        <w:trPr>
          <w:trHeight w:val="1202"/>
        </w:trPr>
        <w:tc>
          <w:tcPr>
            <w:cnfStyle w:val="001000000000" w:firstRow="0" w:lastRow="0" w:firstColumn="1" w:lastColumn="0" w:oddVBand="0" w:evenVBand="0" w:oddHBand="0" w:evenHBand="0" w:firstRowFirstColumn="0" w:firstRowLastColumn="0" w:lastRowFirstColumn="0" w:lastRowLastColumn="0"/>
            <w:tcW w:w="1843" w:type="dxa"/>
            <w:tcBorders>
              <w:top w:val="single" w:sz="4" w:space="0" w:color="D9D9D9" w:themeColor="background1" w:themeShade="D9"/>
              <w:bottom w:val="single" w:sz="4" w:space="0" w:color="auto"/>
            </w:tcBorders>
            <w:hideMark/>
          </w:tcPr>
          <w:p w14:paraId="7CE98E30" w14:textId="77777777" w:rsidR="00207D7B" w:rsidRPr="00940CCE" w:rsidRDefault="00207D7B" w:rsidP="00F459A2">
            <w:pPr>
              <w:pStyle w:val="ListParagraph"/>
              <w:numPr>
                <w:ilvl w:val="0"/>
                <w:numId w:val="29"/>
              </w:numPr>
              <w:ind w:left="389" w:hanging="218"/>
            </w:pPr>
            <w:r w:rsidRPr="00E973C3">
              <w:t>Reliable water supply</w:t>
            </w:r>
          </w:p>
          <w:p w14:paraId="2700B762" w14:textId="77777777" w:rsidR="00207D7B" w:rsidRPr="006175F1" w:rsidRDefault="00207D7B" w:rsidP="00F459A2">
            <w:pPr>
              <w:pStyle w:val="ListParagraph"/>
              <w:numPr>
                <w:ilvl w:val="0"/>
                <w:numId w:val="29"/>
              </w:numPr>
              <w:ind w:left="389" w:hanging="218"/>
            </w:pPr>
            <w:r w:rsidRPr="006175F1">
              <w:t>Sustainable water</w:t>
            </w:r>
          </w:p>
        </w:tc>
        <w:tc>
          <w:tcPr>
            <w:tcW w:w="3402" w:type="dxa"/>
            <w:tcBorders>
              <w:top w:val="single" w:sz="4" w:space="0" w:color="D9D9D9" w:themeColor="background1" w:themeShade="D9"/>
              <w:bottom w:val="single" w:sz="4" w:space="0" w:color="auto"/>
            </w:tcBorders>
            <w:hideMark/>
          </w:tcPr>
          <w:p w14:paraId="6187EC76" w14:textId="77777777" w:rsidR="00207D7B" w:rsidRPr="00E973C3" w:rsidRDefault="00207D7B">
            <w:pPr>
              <w:ind w:right="93"/>
              <w:jc w:val="both"/>
              <w:cnfStyle w:val="000000000000" w:firstRow="0" w:lastRow="0" w:firstColumn="0" w:lastColumn="0" w:oddVBand="0" w:evenVBand="0" w:oddHBand="0" w:evenHBand="0" w:firstRowFirstColumn="0" w:firstRowLastColumn="0" w:lastRowFirstColumn="0" w:lastRowLastColumn="0"/>
            </w:pPr>
            <w:r w:rsidRPr="00E973C3">
              <w:t>To address the regulator fleet (which is approaching end of life) in an efficient manner that maximizes asset lifespan and manages the risk of asset failure.</w:t>
            </w:r>
          </w:p>
        </w:tc>
        <w:tc>
          <w:tcPr>
            <w:tcW w:w="2552" w:type="dxa"/>
            <w:tcBorders>
              <w:top w:val="single" w:sz="4" w:space="0" w:color="D9D9D9" w:themeColor="background1" w:themeShade="D9"/>
              <w:bottom w:val="single" w:sz="4" w:space="0" w:color="auto"/>
            </w:tcBorders>
          </w:tcPr>
          <w:p w14:paraId="36875E1C"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MID Regulator Replacement (Renewals)</w:t>
            </w:r>
          </w:p>
        </w:tc>
        <w:tc>
          <w:tcPr>
            <w:tcW w:w="1842" w:type="dxa"/>
            <w:tcBorders>
              <w:top w:val="single" w:sz="4" w:space="0" w:color="D9D9D9" w:themeColor="background1" w:themeShade="D9"/>
              <w:bottom w:val="single" w:sz="4" w:space="0" w:color="auto"/>
            </w:tcBorders>
            <w:hideMark/>
          </w:tcPr>
          <w:p w14:paraId="02321997" w14:textId="77777777" w:rsidR="00207D7B" w:rsidRPr="00E973C3" w:rsidRDefault="00207D7B">
            <w:pPr>
              <w:jc w:val="center"/>
              <w:cnfStyle w:val="000000000000" w:firstRow="0" w:lastRow="0" w:firstColumn="0" w:lastColumn="0" w:oddVBand="0" w:evenVBand="0" w:oddHBand="0" w:evenHBand="0" w:firstRowFirstColumn="0" w:firstRowLastColumn="0" w:lastRowFirstColumn="0" w:lastRowLastColumn="0"/>
            </w:pPr>
            <w:r w:rsidRPr="00E973C3">
              <w:t>$1.2</w:t>
            </w:r>
          </w:p>
        </w:tc>
      </w:tr>
    </w:tbl>
    <w:p w14:paraId="6869653A" w14:textId="77777777" w:rsidR="000F717C" w:rsidRPr="000F717C" w:rsidRDefault="000F717C" w:rsidP="000F717C"/>
    <w:p w14:paraId="7F8897C6" w14:textId="5FC75614" w:rsidR="00A72ACB" w:rsidRDefault="00EB7F52" w:rsidP="00EB7F52">
      <w:pPr>
        <w:pStyle w:val="Heading3"/>
      </w:pPr>
      <w:r>
        <w:t>ICT capital program</w:t>
      </w:r>
    </w:p>
    <w:p w14:paraId="144F649B" w14:textId="7AF14AB0" w:rsidR="4BE73595" w:rsidRPr="008E6FD7" w:rsidRDefault="00D11D6E" w:rsidP="00E207F2">
      <w:pPr>
        <w:pStyle w:val="Bulletpointparagraph"/>
        <w:numPr>
          <w:ilvl w:val="0"/>
          <w:numId w:val="0"/>
        </w:numPr>
        <w:jc w:val="both"/>
        <w:rPr>
          <w:rFonts w:cs="Arial"/>
        </w:rPr>
      </w:pPr>
      <w:r>
        <w:rPr>
          <w:rFonts w:cs="Arial"/>
        </w:rPr>
        <w:t>SRW is undergoing a significant re</w:t>
      </w:r>
      <w:r w:rsidR="00BA505B">
        <w:rPr>
          <w:rFonts w:cs="Arial"/>
        </w:rPr>
        <w:t>-</w:t>
      </w:r>
      <w:r>
        <w:rPr>
          <w:rFonts w:cs="Arial"/>
        </w:rPr>
        <w:t xml:space="preserve">positioning of its ICT services to meet customer expectations and align to our risk management framework, in particular cyber security. </w:t>
      </w:r>
      <w:r w:rsidR="00957270">
        <w:rPr>
          <w:rFonts w:cs="Arial"/>
        </w:rPr>
        <w:t>Our customers are expecting a more modern level of service with respect to how they interact with us and the quality and timeliness of information they receive. This has culminated in our</w:t>
      </w:r>
      <w:r w:rsidR="00AA2C1C">
        <w:rPr>
          <w:rFonts w:cs="Arial"/>
        </w:rPr>
        <w:t xml:space="preserve"> </w:t>
      </w:r>
      <w:r w:rsidR="70083069" w:rsidRPr="008E6FD7">
        <w:rPr>
          <w:rFonts w:cs="Arial"/>
        </w:rPr>
        <w:t>ICT rene</w:t>
      </w:r>
      <w:r w:rsidR="0A97EF1D" w:rsidRPr="008E6FD7">
        <w:rPr>
          <w:rFonts w:cs="Arial"/>
        </w:rPr>
        <w:t xml:space="preserve">wals and improvement/compliance programs </w:t>
      </w:r>
      <w:r w:rsidR="00AA2C1C">
        <w:rPr>
          <w:rFonts w:cs="Arial"/>
        </w:rPr>
        <w:t xml:space="preserve">which to support customer expectations and government requirements </w:t>
      </w:r>
      <w:r w:rsidR="0A97EF1D" w:rsidRPr="008E6FD7">
        <w:rPr>
          <w:rFonts w:cs="Arial"/>
        </w:rPr>
        <w:t>will address four overarching areas. They are:</w:t>
      </w:r>
    </w:p>
    <w:p w14:paraId="2052E527" w14:textId="57B0A1BC" w:rsidR="003D1AB2" w:rsidRPr="008E6FD7" w:rsidRDefault="000830C6" w:rsidP="001B6FA1">
      <w:pPr>
        <w:pStyle w:val="Bulletpointparagraph"/>
        <w:rPr>
          <w:rFonts w:eastAsia="Arial" w:cs="Arial"/>
        </w:rPr>
      </w:pPr>
      <w:r>
        <w:rPr>
          <w:rFonts w:cs="Arial"/>
        </w:rPr>
        <w:t>i</w:t>
      </w:r>
      <w:r w:rsidR="001F5515" w:rsidRPr="008E6FD7">
        <w:rPr>
          <w:rFonts w:cs="Arial"/>
        </w:rPr>
        <w:t>mproved customer service</w:t>
      </w:r>
      <w:r w:rsidR="000A263C" w:rsidRPr="008E6FD7">
        <w:rPr>
          <w:rFonts w:cs="Arial"/>
        </w:rPr>
        <w:t>, representing</w:t>
      </w:r>
      <w:r w:rsidR="001F5515" w:rsidRPr="008E6FD7">
        <w:rPr>
          <w:rFonts w:cs="Arial"/>
        </w:rPr>
        <w:t xml:space="preserve"> </w:t>
      </w:r>
      <w:r w:rsidR="0A97EF1D" w:rsidRPr="008E6FD7">
        <w:rPr>
          <w:rFonts w:cs="Arial"/>
        </w:rPr>
        <w:t>2</w:t>
      </w:r>
      <w:r w:rsidR="00583FD3">
        <w:rPr>
          <w:rFonts w:cs="Arial"/>
        </w:rPr>
        <w:t>4</w:t>
      </w:r>
      <w:r w:rsidR="0A97EF1D" w:rsidRPr="008E6FD7">
        <w:rPr>
          <w:rFonts w:cs="Arial"/>
        </w:rPr>
        <w:t>% of the overall ICT capital program</w:t>
      </w:r>
      <w:r>
        <w:rPr>
          <w:rFonts w:cs="Arial"/>
        </w:rPr>
        <w:t>;</w:t>
      </w:r>
    </w:p>
    <w:p w14:paraId="4518C58B" w14:textId="6EB2A365" w:rsidR="003D1AB2" w:rsidRPr="008E6FD7" w:rsidRDefault="000830C6" w:rsidP="0A97EF1D">
      <w:pPr>
        <w:pStyle w:val="Bulletpointparagraph"/>
        <w:rPr>
          <w:rFonts w:eastAsia="Arial" w:cs="Arial"/>
        </w:rPr>
      </w:pPr>
      <w:r>
        <w:rPr>
          <w:rFonts w:cs="Arial"/>
        </w:rPr>
        <w:t>o</w:t>
      </w:r>
      <w:r w:rsidR="0A97EF1D" w:rsidRPr="008E6FD7">
        <w:rPr>
          <w:rFonts w:cs="Arial"/>
        </w:rPr>
        <w:t>perating efficiencies</w:t>
      </w:r>
      <w:r w:rsidR="000A263C" w:rsidRPr="008E6FD7">
        <w:rPr>
          <w:rFonts w:cs="Arial"/>
        </w:rPr>
        <w:t xml:space="preserve">, </w:t>
      </w:r>
      <w:r w:rsidR="0A97EF1D" w:rsidRPr="008E6FD7">
        <w:rPr>
          <w:rFonts w:cs="Arial"/>
        </w:rPr>
        <w:t>represent</w:t>
      </w:r>
      <w:r w:rsidR="000A263C" w:rsidRPr="008E6FD7">
        <w:rPr>
          <w:rFonts w:cs="Arial"/>
        </w:rPr>
        <w:t>ing</w:t>
      </w:r>
      <w:r w:rsidR="0A97EF1D" w:rsidRPr="008E6FD7">
        <w:rPr>
          <w:rFonts w:cs="Arial"/>
        </w:rPr>
        <w:t xml:space="preserve"> </w:t>
      </w:r>
      <w:r w:rsidR="00583FD3">
        <w:rPr>
          <w:rFonts w:cs="Arial"/>
        </w:rPr>
        <w:t>34</w:t>
      </w:r>
      <w:r w:rsidR="0A97EF1D" w:rsidRPr="008E6FD7">
        <w:rPr>
          <w:rFonts w:cs="Arial"/>
        </w:rPr>
        <w:t>% of the overall ICT capital program</w:t>
      </w:r>
      <w:r>
        <w:rPr>
          <w:rFonts w:cs="Arial"/>
        </w:rPr>
        <w:t>;</w:t>
      </w:r>
    </w:p>
    <w:p w14:paraId="155537F4" w14:textId="59F046A5" w:rsidR="003D1AB2" w:rsidRPr="008E6FD7" w:rsidRDefault="000830C6" w:rsidP="0A97EF1D">
      <w:pPr>
        <w:pStyle w:val="Bulletpointparagraph"/>
        <w:rPr>
          <w:rFonts w:eastAsia="Arial" w:cs="Arial"/>
        </w:rPr>
      </w:pPr>
      <w:r>
        <w:rPr>
          <w:rFonts w:cs="Arial"/>
        </w:rPr>
        <w:t>g</w:t>
      </w:r>
      <w:r w:rsidR="0A97EF1D" w:rsidRPr="008E6FD7">
        <w:rPr>
          <w:rFonts w:cs="Arial"/>
        </w:rPr>
        <w:t>overnment (security) requirements</w:t>
      </w:r>
      <w:r w:rsidR="000A263C" w:rsidRPr="008E6FD7">
        <w:rPr>
          <w:rFonts w:cs="Arial"/>
        </w:rPr>
        <w:t xml:space="preserve">, </w:t>
      </w:r>
      <w:r w:rsidR="0A97EF1D" w:rsidRPr="008E6FD7">
        <w:rPr>
          <w:rFonts w:cs="Arial"/>
        </w:rPr>
        <w:t>represent</w:t>
      </w:r>
      <w:r w:rsidR="000A263C" w:rsidRPr="008E6FD7">
        <w:rPr>
          <w:rFonts w:cs="Arial"/>
        </w:rPr>
        <w:t>ing</w:t>
      </w:r>
      <w:r w:rsidR="0A97EF1D" w:rsidRPr="008E6FD7">
        <w:rPr>
          <w:rFonts w:cs="Arial"/>
        </w:rPr>
        <w:t xml:space="preserve"> </w:t>
      </w:r>
      <w:r w:rsidR="0047350E">
        <w:rPr>
          <w:rFonts w:cs="Arial"/>
        </w:rPr>
        <w:t>14</w:t>
      </w:r>
      <w:r w:rsidR="0A97EF1D" w:rsidRPr="008E6FD7">
        <w:rPr>
          <w:rFonts w:cs="Arial"/>
        </w:rPr>
        <w:t>% of the total overall capital program</w:t>
      </w:r>
      <w:r>
        <w:rPr>
          <w:rFonts w:cs="Arial"/>
        </w:rPr>
        <w:t>; and</w:t>
      </w:r>
    </w:p>
    <w:p w14:paraId="3C15FDE6" w14:textId="46CD0945" w:rsidR="003D1AB2" w:rsidRPr="008E6FD7" w:rsidRDefault="000830C6" w:rsidP="0A97EF1D">
      <w:pPr>
        <w:pStyle w:val="Bulletpointparagraph"/>
        <w:rPr>
          <w:rFonts w:eastAsia="Arial" w:cs="Arial"/>
        </w:rPr>
      </w:pPr>
      <w:r>
        <w:rPr>
          <w:rFonts w:cs="Arial"/>
        </w:rPr>
        <w:t>s</w:t>
      </w:r>
      <w:r w:rsidR="0A97EF1D" w:rsidRPr="008E6FD7">
        <w:rPr>
          <w:rFonts w:cs="Arial"/>
        </w:rPr>
        <w:t>oftware and hardware redundancy</w:t>
      </w:r>
      <w:r w:rsidR="00323F87" w:rsidRPr="008E6FD7">
        <w:rPr>
          <w:rFonts w:cs="Arial"/>
        </w:rPr>
        <w:t xml:space="preserve">, </w:t>
      </w:r>
      <w:r w:rsidR="0A97EF1D" w:rsidRPr="008E6FD7">
        <w:rPr>
          <w:rFonts w:cs="Arial"/>
        </w:rPr>
        <w:t>represent</w:t>
      </w:r>
      <w:r w:rsidR="00323F87" w:rsidRPr="008E6FD7">
        <w:rPr>
          <w:rFonts w:cs="Arial"/>
        </w:rPr>
        <w:t>ing</w:t>
      </w:r>
      <w:r w:rsidR="0A97EF1D" w:rsidRPr="008E6FD7">
        <w:rPr>
          <w:rFonts w:cs="Arial"/>
        </w:rPr>
        <w:t xml:space="preserve"> </w:t>
      </w:r>
      <w:r w:rsidR="0047350E">
        <w:rPr>
          <w:rFonts w:cs="Arial"/>
        </w:rPr>
        <w:t>28</w:t>
      </w:r>
      <w:r w:rsidR="0A97EF1D" w:rsidRPr="008E6FD7">
        <w:rPr>
          <w:rFonts w:cs="Arial"/>
        </w:rPr>
        <w:t>% of the overall ICT capital program.</w:t>
      </w:r>
    </w:p>
    <w:p w14:paraId="4D286B27" w14:textId="46064589" w:rsidR="00192925" w:rsidRPr="00C73A23" w:rsidRDefault="00192925" w:rsidP="004C2F90">
      <w:pPr>
        <w:pStyle w:val="Bulletpointparagraph"/>
        <w:numPr>
          <w:ilvl w:val="0"/>
          <w:numId w:val="0"/>
        </w:numPr>
        <w:rPr>
          <w:rFonts w:cs="Arial"/>
        </w:rPr>
      </w:pPr>
    </w:p>
    <w:p w14:paraId="14285EC5" w14:textId="4FE0E7C3" w:rsidR="00B35010" w:rsidRPr="00B35010" w:rsidRDefault="00B35010" w:rsidP="004C2F90">
      <w:pPr>
        <w:pStyle w:val="Bulletpointparagraph"/>
        <w:numPr>
          <w:ilvl w:val="0"/>
          <w:numId w:val="0"/>
        </w:numPr>
        <w:rPr>
          <w:rFonts w:cs="Arial"/>
        </w:rPr>
      </w:pPr>
      <w:r>
        <w:rPr>
          <w:rFonts w:cs="Arial"/>
        </w:rPr>
        <w:t>Further details regarding these sub</w:t>
      </w:r>
      <w:r w:rsidR="008E6FD7">
        <w:rPr>
          <w:rFonts w:cs="Arial"/>
        </w:rPr>
        <w:t>-programs are presented in the following tables.</w:t>
      </w:r>
    </w:p>
    <w:tbl>
      <w:tblPr>
        <w:tblStyle w:val="ReportTable-TealRows"/>
        <w:tblW w:w="9639" w:type="dxa"/>
        <w:tblLook w:val="04A0" w:firstRow="1" w:lastRow="0" w:firstColumn="1" w:lastColumn="0" w:noHBand="0" w:noVBand="1"/>
      </w:tblPr>
      <w:tblGrid>
        <w:gridCol w:w="1985"/>
        <w:gridCol w:w="7654"/>
      </w:tblGrid>
      <w:tr w:rsidR="001076E5" w:rsidRPr="00110DD1" w14:paraId="1A5FB856" w14:textId="77777777" w:rsidTr="000830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3737EDEC" w14:textId="4A265B65" w:rsidR="001076E5" w:rsidRPr="00110DD1" w:rsidRDefault="001076E5" w:rsidP="00110DD1">
            <w:pPr>
              <w:spacing w:before="40" w:after="40"/>
              <w:rPr>
                <w:sz w:val="20"/>
                <w:szCs w:val="20"/>
              </w:rPr>
            </w:pPr>
            <w:r w:rsidRPr="00110DD1">
              <w:rPr>
                <w:sz w:val="20"/>
                <w:szCs w:val="20"/>
              </w:rPr>
              <w:t>Pro</w:t>
            </w:r>
            <w:r w:rsidR="00442405" w:rsidRPr="00110DD1">
              <w:rPr>
                <w:sz w:val="20"/>
                <w:szCs w:val="20"/>
              </w:rPr>
              <w:t>gram</w:t>
            </w:r>
            <w:r w:rsidRPr="00110DD1">
              <w:rPr>
                <w:sz w:val="20"/>
                <w:szCs w:val="20"/>
              </w:rPr>
              <w:t xml:space="preserve"> </w:t>
            </w:r>
            <w:r w:rsidR="000830C6" w:rsidRPr="00110DD1">
              <w:rPr>
                <w:sz w:val="20"/>
                <w:szCs w:val="20"/>
              </w:rPr>
              <w:t>n</w:t>
            </w:r>
            <w:r w:rsidRPr="00110DD1">
              <w:rPr>
                <w:sz w:val="20"/>
                <w:szCs w:val="20"/>
              </w:rPr>
              <w:t>ame</w:t>
            </w:r>
          </w:p>
        </w:tc>
        <w:tc>
          <w:tcPr>
            <w:tcW w:w="7654" w:type="dxa"/>
          </w:tcPr>
          <w:p w14:paraId="77AF47BB" w14:textId="2F341DD4" w:rsidR="001076E5" w:rsidRPr="00110DD1" w:rsidRDefault="00EE24CA" w:rsidP="00110DD1">
            <w:pPr>
              <w:spacing w:before="40" w:after="40"/>
              <w:cnfStyle w:val="100000000000" w:firstRow="1" w:lastRow="0" w:firstColumn="0" w:lastColumn="0" w:oddVBand="0" w:evenVBand="0" w:oddHBand="0" w:evenHBand="0" w:firstRowFirstColumn="0" w:firstRowLastColumn="0" w:lastRowFirstColumn="0" w:lastRowLastColumn="0"/>
              <w:rPr>
                <w:sz w:val="20"/>
                <w:szCs w:val="20"/>
              </w:rPr>
            </w:pPr>
            <w:r w:rsidRPr="00110DD1">
              <w:rPr>
                <w:sz w:val="20"/>
                <w:szCs w:val="20"/>
              </w:rPr>
              <w:t xml:space="preserve">Improved </w:t>
            </w:r>
            <w:r w:rsidR="000830C6" w:rsidRPr="00110DD1">
              <w:rPr>
                <w:sz w:val="20"/>
                <w:szCs w:val="20"/>
              </w:rPr>
              <w:t>c</w:t>
            </w:r>
            <w:r w:rsidR="565E4764" w:rsidRPr="00110DD1">
              <w:rPr>
                <w:sz w:val="20"/>
                <w:szCs w:val="20"/>
              </w:rPr>
              <w:t xml:space="preserve">ustomer </w:t>
            </w:r>
            <w:r w:rsidR="000830C6" w:rsidRPr="00110DD1">
              <w:rPr>
                <w:sz w:val="20"/>
                <w:szCs w:val="20"/>
              </w:rPr>
              <w:t>s</w:t>
            </w:r>
            <w:r w:rsidRPr="00110DD1">
              <w:rPr>
                <w:sz w:val="20"/>
                <w:szCs w:val="20"/>
              </w:rPr>
              <w:t>ervice</w:t>
            </w:r>
          </w:p>
        </w:tc>
      </w:tr>
      <w:tr w:rsidR="001076E5" w:rsidRPr="00192F41" w14:paraId="759CF62A" w14:textId="77777777" w:rsidTr="000830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652F8831" w14:textId="5BC37C54" w:rsidR="001076E5" w:rsidRPr="000830C6" w:rsidRDefault="001076E5" w:rsidP="00110DD1">
            <w:pPr>
              <w:spacing w:before="40" w:after="40"/>
            </w:pPr>
            <w:r w:rsidRPr="000830C6">
              <w:t xml:space="preserve">Total </w:t>
            </w:r>
            <w:r w:rsidR="000830C6">
              <w:t>p</w:t>
            </w:r>
            <w:r w:rsidRPr="000830C6">
              <w:t xml:space="preserve">roject </w:t>
            </w:r>
            <w:r w:rsidR="000830C6">
              <w:t>v</w:t>
            </w:r>
            <w:r w:rsidRPr="000830C6">
              <w:t>alue</w:t>
            </w:r>
          </w:p>
        </w:tc>
        <w:tc>
          <w:tcPr>
            <w:tcW w:w="7654" w:type="dxa"/>
          </w:tcPr>
          <w:p w14:paraId="6B88AE8B" w14:textId="667B8D39" w:rsidR="001076E5" w:rsidRPr="000830C6" w:rsidRDefault="20642419" w:rsidP="00110DD1">
            <w:pPr>
              <w:spacing w:before="40" w:after="40"/>
              <w:cnfStyle w:val="000000100000" w:firstRow="0" w:lastRow="0" w:firstColumn="0" w:lastColumn="0" w:oddVBand="0" w:evenVBand="0" w:oddHBand="1" w:evenHBand="0" w:firstRowFirstColumn="0" w:firstRowLastColumn="0" w:lastRowFirstColumn="0" w:lastRowLastColumn="0"/>
            </w:pPr>
            <w:r w:rsidRPr="000830C6">
              <w:t>$</w:t>
            </w:r>
            <w:r w:rsidR="6C1C82AB" w:rsidRPr="000830C6">
              <w:t>2</w:t>
            </w:r>
            <w:r w:rsidRPr="000830C6">
              <w:t>.</w:t>
            </w:r>
            <w:r w:rsidR="0DD4B143" w:rsidRPr="000830C6">
              <w:t>2</w:t>
            </w:r>
            <w:r w:rsidR="000830C6">
              <w:t xml:space="preserve"> </w:t>
            </w:r>
            <w:r w:rsidRPr="000830C6">
              <w:t>m</w:t>
            </w:r>
            <w:r w:rsidR="000830C6">
              <w:t>illion</w:t>
            </w:r>
          </w:p>
        </w:tc>
      </w:tr>
      <w:tr w:rsidR="00FC72A3" w:rsidRPr="00192F41" w14:paraId="104A01D4" w14:textId="77777777" w:rsidTr="000830C6">
        <w:tc>
          <w:tcPr>
            <w:cnfStyle w:val="001000000000" w:firstRow="0" w:lastRow="0" w:firstColumn="1" w:lastColumn="0" w:oddVBand="0" w:evenVBand="0" w:oddHBand="0" w:evenHBand="0" w:firstRowFirstColumn="0" w:firstRowLastColumn="0" w:lastRowFirstColumn="0" w:lastRowLastColumn="0"/>
            <w:tcW w:w="1985" w:type="dxa"/>
          </w:tcPr>
          <w:p w14:paraId="66D742A9" w14:textId="677D1C84" w:rsidR="00FC72A3" w:rsidRPr="00654552" w:rsidRDefault="00B81D47" w:rsidP="00110DD1">
            <w:pPr>
              <w:spacing w:before="40" w:after="40"/>
            </w:pPr>
            <w:r w:rsidRPr="000830C6">
              <w:t xml:space="preserve">Major </w:t>
            </w:r>
            <w:r w:rsidR="000830C6">
              <w:t>p</w:t>
            </w:r>
            <w:r w:rsidR="00FC72A3" w:rsidRPr="000830C6">
              <w:t>roject</w:t>
            </w:r>
            <w:r w:rsidRPr="000830C6">
              <w:t>s</w:t>
            </w:r>
            <w:r w:rsidR="002E759E" w:rsidRPr="000830C6">
              <w:t xml:space="preserve">, </w:t>
            </w:r>
            <w:r w:rsidR="000830C6">
              <w:t>t</w:t>
            </w:r>
            <w:r w:rsidR="002E759E" w:rsidRPr="000830C6">
              <w:t xml:space="preserve">iming and </w:t>
            </w:r>
            <w:r w:rsidR="000830C6">
              <w:t>s</w:t>
            </w:r>
            <w:r w:rsidR="002E759E" w:rsidRPr="000830C6">
              <w:t>tatus</w:t>
            </w:r>
          </w:p>
        </w:tc>
        <w:tc>
          <w:tcPr>
            <w:tcW w:w="7654" w:type="dxa"/>
          </w:tcPr>
          <w:p w14:paraId="12862E59" w14:textId="2D3328AB" w:rsidR="00BB7815" w:rsidRDefault="00AD7985"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BB7815">
              <w:t>SRW Website Upgrade</w:t>
            </w:r>
            <w:r w:rsidR="002E759E" w:rsidRPr="00BB7815">
              <w:t xml:space="preserve"> (FY22 </w:t>
            </w:r>
            <w:r w:rsidR="00FD0019" w:rsidRPr="00BB7815">
              <w:t>t</w:t>
            </w:r>
            <w:r w:rsidR="002E759E" w:rsidRPr="00BB7815">
              <w:t>o FY28</w:t>
            </w:r>
            <w:r w:rsidR="006F3778" w:rsidRPr="00BB7815">
              <w:t>, Gate 5</w:t>
            </w:r>
            <w:r w:rsidR="007411DB">
              <w:t xml:space="preserve"> in progress</w:t>
            </w:r>
            <w:r w:rsidR="006F3778" w:rsidRPr="00BB7815">
              <w:t xml:space="preserve"> </w:t>
            </w:r>
            <w:r w:rsidR="007411DB">
              <w:t>(</w:t>
            </w:r>
            <w:r w:rsidR="006F3778" w:rsidRPr="00BB7815">
              <w:t>enhancements ongoing</w:t>
            </w:r>
            <w:r w:rsidR="002E759E" w:rsidRPr="00BB7815">
              <w:t>)</w:t>
            </w:r>
            <w:r w:rsidR="007411DB">
              <w:t>)</w:t>
            </w:r>
          </w:p>
          <w:p w14:paraId="6CD421F6" w14:textId="56A95688" w:rsidR="00BB7815" w:rsidRDefault="00AD7985" w:rsidP="00110DD1">
            <w:pPr>
              <w:spacing w:before="40" w:after="120"/>
              <w:ind w:right="119"/>
              <w:jc w:val="both"/>
              <w:cnfStyle w:val="000000000000" w:firstRow="0" w:lastRow="0" w:firstColumn="0" w:lastColumn="0" w:oddVBand="0" w:evenVBand="0" w:oddHBand="0" w:evenHBand="0" w:firstRowFirstColumn="0" w:firstRowLastColumn="0" w:lastRowFirstColumn="0" w:lastRowLastColumn="0"/>
            </w:pPr>
            <w:r w:rsidRPr="00BB7815">
              <w:t>Information Management</w:t>
            </w:r>
            <w:r w:rsidR="002E759E" w:rsidRPr="00BB7815">
              <w:t xml:space="preserve"> (FY24</w:t>
            </w:r>
            <w:r w:rsidR="00FD0019" w:rsidRPr="00BB7815">
              <w:t xml:space="preserve"> to FY28</w:t>
            </w:r>
            <w:r w:rsidR="006F3778" w:rsidRPr="00BB7815">
              <w:t>, Gate 2 business case</w:t>
            </w:r>
            <w:r w:rsidR="007411DB">
              <w:t xml:space="preserve"> prepared</w:t>
            </w:r>
            <w:r w:rsidR="00FD0019" w:rsidRPr="00BB7815">
              <w:t>)</w:t>
            </w:r>
          </w:p>
          <w:p w14:paraId="1C92005E" w14:textId="5F28BF47" w:rsidR="00292E93" w:rsidRDefault="00AD7985" w:rsidP="00110DD1">
            <w:pPr>
              <w:spacing w:before="40" w:after="120"/>
              <w:ind w:right="119"/>
              <w:jc w:val="both"/>
              <w:cnfStyle w:val="000000000000" w:firstRow="0" w:lastRow="0" w:firstColumn="0" w:lastColumn="0" w:oddVBand="0" w:evenVBand="0" w:oddHBand="0" w:evenHBand="0" w:firstRowFirstColumn="0" w:firstRowLastColumn="0" w:lastRowFirstColumn="0" w:lastRowLastColumn="0"/>
            </w:pPr>
            <w:r w:rsidRPr="00BB7815">
              <w:t>Data Management Upgrade</w:t>
            </w:r>
            <w:r w:rsidR="00FD0019" w:rsidRPr="00BB7815">
              <w:t xml:space="preserve"> (FY23 to FY28</w:t>
            </w:r>
            <w:r w:rsidR="00C37B56" w:rsidRPr="00BB7815">
              <w:t>, Gate 2 business case</w:t>
            </w:r>
            <w:r w:rsidR="002125D7">
              <w:t xml:space="preserve"> prepared</w:t>
            </w:r>
            <w:r w:rsidR="00FD0019" w:rsidRPr="00BB7815">
              <w:t>)</w:t>
            </w:r>
          </w:p>
          <w:p w14:paraId="194AC5FA" w14:textId="77777777" w:rsidR="00292E93" w:rsidRDefault="00AD7985" w:rsidP="00110DD1">
            <w:pPr>
              <w:spacing w:before="40" w:after="120"/>
              <w:ind w:right="119"/>
              <w:jc w:val="both"/>
              <w:cnfStyle w:val="000000000000" w:firstRow="0" w:lastRow="0" w:firstColumn="0" w:lastColumn="0" w:oddVBand="0" w:evenVBand="0" w:oddHBand="0" w:evenHBand="0" w:firstRowFirstColumn="0" w:firstRowLastColumn="0" w:lastRowFirstColumn="0" w:lastRowLastColumn="0"/>
            </w:pPr>
            <w:r w:rsidRPr="00292E93">
              <w:t>Application Programming Interface (API) Platform</w:t>
            </w:r>
            <w:r w:rsidR="00FD0019" w:rsidRPr="00292E93">
              <w:t xml:space="preserve"> (FY25 to FY26</w:t>
            </w:r>
            <w:r w:rsidR="00C37B56" w:rsidRPr="00292E93">
              <w:t>, Gate 1, options assessment pending</w:t>
            </w:r>
            <w:r w:rsidR="00FD0019" w:rsidRPr="00292E93">
              <w:t>)</w:t>
            </w:r>
          </w:p>
          <w:p w14:paraId="02147B97" w14:textId="1AF81027" w:rsidR="00292E93" w:rsidRDefault="00AD7985"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292E93">
              <w:t>Digital SRW</w:t>
            </w:r>
            <w:r w:rsidR="00FD0019" w:rsidRPr="00292E93">
              <w:t xml:space="preserve"> (FY22 to FY28</w:t>
            </w:r>
            <w:r w:rsidR="00C37B56" w:rsidRPr="00292E93">
              <w:t>, Gate 5</w:t>
            </w:r>
            <w:r w:rsidR="002125D7">
              <w:t xml:space="preserve"> in progress</w:t>
            </w:r>
            <w:r w:rsidR="00C37B56" w:rsidRPr="00292E93">
              <w:t>, enhancements ongoing</w:t>
            </w:r>
            <w:r w:rsidR="00FD0019" w:rsidRPr="00292E93">
              <w:t>)</w:t>
            </w:r>
          </w:p>
          <w:p w14:paraId="6B25480D" w14:textId="505D4BAB" w:rsidR="00FC72A3" w:rsidRPr="00292E93" w:rsidRDefault="00AD7985"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292E93">
              <w:t>Off Premise Global Storage - Phase 2</w:t>
            </w:r>
            <w:r w:rsidR="00FD0019" w:rsidRPr="00292E93">
              <w:t xml:space="preserve"> (FY24 to FY28</w:t>
            </w:r>
            <w:r w:rsidR="00C37B56" w:rsidRPr="00292E93">
              <w:t xml:space="preserve">, Gate </w:t>
            </w:r>
            <w:r w:rsidR="00C37B56" w:rsidRPr="00B727B5">
              <w:t>2</w:t>
            </w:r>
            <w:r w:rsidR="00C37B56" w:rsidRPr="00292E93">
              <w:t xml:space="preserve"> business case</w:t>
            </w:r>
            <w:r w:rsidR="002125D7">
              <w:t xml:space="preserve"> prepared</w:t>
            </w:r>
            <w:r w:rsidR="00FD0019" w:rsidRPr="00292E93">
              <w:t>)</w:t>
            </w:r>
          </w:p>
        </w:tc>
      </w:tr>
      <w:tr w:rsidR="001076E5" w:rsidRPr="007643C1" w14:paraId="1F84DECE" w14:textId="77777777" w:rsidTr="000830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0A2648C2" w14:textId="2EBFC1EE" w:rsidR="001076E5" w:rsidRPr="007643C1" w:rsidRDefault="001076E5" w:rsidP="00110DD1">
            <w:pPr>
              <w:spacing w:before="40" w:after="40"/>
            </w:pPr>
            <w:r w:rsidRPr="00654552">
              <w:t xml:space="preserve">System / </w:t>
            </w:r>
            <w:r w:rsidR="000830C6">
              <w:t>c</w:t>
            </w:r>
            <w:r w:rsidRPr="000830C6">
              <w:t xml:space="preserve">ustomer </w:t>
            </w:r>
            <w:r w:rsidR="000830C6">
              <w:t>g</w:t>
            </w:r>
            <w:r w:rsidRPr="000830C6">
              <w:t>roup</w:t>
            </w:r>
          </w:p>
        </w:tc>
        <w:tc>
          <w:tcPr>
            <w:tcW w:w="7654" w:type="dxa"/>
          </w:tcPr>
          <w:p w14:paraId="79C1EBED" w14:textId="4045A17D" w:rsidR="001076E5" w:rsidRPr="007643C1" w:rsidRDefault="00C37B56"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Shared</w:t>
            </w:r>
          </w:p>
        </w:tc>
      </w:tr>
      <w:tr w:rsidR="001076E5" w:rsidRPr="007643C1" w14:paraId="623471D4" w14:textId="77777777" w:rsidTr="000830C6">
        <w:tc>
          <w:tcPr>
            <w:cnfStyle w:val="001000000000" w:firstRow="0" w:lastRow="0" w:firstColumn="1" w:lastColumn="0" w:oddVBand="0" w:evenVBand="0" w:oddHBand="0" w:evenHBand="0" w:firstRowFirstColumn="0" w:firstRowLastColumn="0" w:lastRowFirstColumn="0" w:lastRowLastColumn="0"/>
            <w:tcW w:w="1985" w:type="dxa"/>
          </w:tcPr>
          <w:p w14:paraId="47645A7B" w14:textId="73D1DED9" w:rsidR="001076E5" w:rsidRPr="007643C1" w:rsidRDefault="001076E5" w:rsidP="00110DD1">
            <w:pPr>
              <w:spacing w:before="40" w:after="40"/>
            </w:pPr>
            <w:r w:rsidRPr="00654552">
              <w:t xml:space="preserve">Cost </w:t>
            </w:r>
            <w:r w:rsidR="000830C6">
              <w:t>d</w:t>
            </w:r>
            <w:r w:rsidRPr="000830C6">
              <w:t>river</w:t>
            </w:r>
            <w:r w:rsidRPr="00654552">
              <w:t xml:space="preserve"> </w:t>
            </w:r>
          </w:p>
        </w:tc>
        <w:tc>
          <w:tcPr>
            <w:tcW w:w="7654" w:type="dxa"/>
          </w:tcPr>
          <w:p w14:paraId="6FEFEBC2" w14:textId="0531D536" w:rsidR="001076E5" w:rsidRPr="007643C1" w:rsidRDefault="005C652E"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Improvement/c</w:t>
            </w:r>
            <w:r w:rsidR="001061D3">
              <w:t>ompliance</w:t>
            </w:r>
            <w:r w:rsidR="007A4C51">
              <w:t xml:space="preserve"> and</w:t>
            </w:r>
            <w:r w:rsidR="001061D3">
              <w:t xml:space="preserve"> renewals</w:t>
            </w:r>
          </w:p>
        </w:tc>
      </w:tr>
      <w:tr w:rsidR="001076E5" w:rsidRPr="00C72A31" w14:paraId="094C6E4C" w14:textId="77777777" w:rsidTr="000830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Pr>
          <w:p w14:paraId="10FFB1B4" w14:textId="77777777" w:rsidR="001076E5" w:rsidRPr="00C72A31" w:rsidRDefault="001076E5" w:rsidP="00110DD1">
            <w:pPr>
              <w:spacing w:before="40" w:after="40"/>
            </w:pPr>
            <w:r w:rsidRPr="00654552">
              <w:t>Outcome</w:t>
            </w:r>
          </w:p>
        </w:tc>
        <w:tc>
          <w:tcPr>
            <w:tcW w:w="7654" w:type="dxa"/>
          </w:tcPr>
          <w:p w14:paraId="3C50F825" w14:textId="77DAC30E" w:rsidR="001076E5" w:rsidRPr="00C72A31" w:rsidRDefault="001061D3"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Great customer service, valued community member</w:t>
            </w:r>
          </w:p>
        </w:tc>
      </w:tr>
      <w:tr w:rsidR="001076E5" w:rsidRPr="00C019F2" w14:paraId="55454574" w14:textId="77777777" w:rsidTr="00C73A23">
        <w:tc>
          <w:tcPr>
            <w:cnfStyle w:val="001000000000" w:firstRow="0" w:lastRow="0" w:firstColumn="1" w:lastColumn="0" w:oddVBand="0" w:evenVBand="0" w:oddHBand="0" w:evenHBand="0" w:firstRowFirstColumn="0" w:firstRowLastColumn="0" w:lastRowFirstColumn="0" w:lastRowLastColumn="0"/>
            <w:tcW w:w="1985" w:type="dxa"/>
          </w:tcPr>
          <w:p w14:paraId="54301EB1" w14:textId="2168B3AC" w:rsidR="001076E5" w:rsidRPr="00C019F2" w:rsidRDefault="001076E5" w:rsidP="00110DD1">
            <w:pPr>
              <w:spacing w:before="40" w:after="40"/>
            </w:pPr>
            <w:r w:rsidRPr="00654552">
              <w:t xml:space="preserve">Risk / </w:t>
            </w:r>
            <w:r w:rsidR="000830C6">
              <w:t>c</w:t>
            </w:r>
            <w:r w:rsidRPr="000830C6">
              <w:t xml:space="preserve">ompliance / </w:t>
            </w:r>
            <w:r w:rsidR="000830C6">
              <w:t>c</w:t>
            </w:r>
            <w:r w:rsidRPr="000830C6">
              <w:t>ustomer</w:t>
            </w:r>
            <w:r w:rsidRPr="00654552">
              <w:t xml:space="preserve"> rating</w:t>
            </w:r>
          </w:p>
        </w:tc>
        <w:tc>
          <w:tcPr>
            <w:tcW w:w="7654" w:type="dxa"/>
          </w:tcPr>
          <w:p w14:paraId="55165846" w14:textId="095011A9" w:rsidR="001076E5" w:rsidRPr="00C019F2" w:rsidRDefault="00255877"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Compliance</w:t>
            </w:r>
            <w:r w:rsidR="004E36E0">
              <w:t>, customer enhancement</w:t>
            </w:r>
          </w:p>
        </w:tc>
      </w:tr>
      <w:tr w:rsidR="001076E5" w:rsidRPr="00670249" w14:paraId="0847A564" w14:textId="77777777" w:rsidTr="00C73A2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tcPr>
          <w:p w14:paraId="5D864CAE" w14:textId="77777777" w:rsidR="001076E5" w:rsidRPr="000830C6" w:rsidRDefault="001076E5" w:rsidP="00110DD1">
            <w:pPr>
              <w:spacing w:before="40" w:after="40"/>
            </w:pPr>
            <w:r w:rsidRPr="00654552">
              <w:t>Description</w:t>
            </w:r>
          </w:p>
        </w:tc>
        <w:tc>
          <w:tcPr>
            <w:tcW w:w="7654" w:type="dxa"/>
            <w:tcBorders>
              <w:bottom w:val="single" w:sz="4" w:space="0" w:color="auto"/>
            </w:tcBorders>
          </w:tcPr>
          <w:p w14:paraId="04388B60" w14:textId="071EBA6D" w:rsidR="001076E5" w:rsidRPr="000830C6" w:rsidRDefault="00EE24CA"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O</w:t>
            </w:r>
            <w:r w:rsidRPr="00EE24CA">
              <w:t xml:space="preserve">ur customers advised (through the price submission engagement process) that improvements are required to enable efficient management of their accounts and the services that we provide. It is imperative that we increase our digital footprint and provide our customers with the ability to access data and self-serve functions. </w:t>
            </w:r>
          </w:p>
        </w:tc>
      </w:tr>
    </w:tbl>
    <w:p w14:paraId="12AFC29A" w14:textId="3AE3B963" w:rsidR="002C679D" w:rsidRPr="002C679D" w:rsidRDefault="002C679D" w:rsidP="004C2F90">
      <w:pPr>
        <w:pStyle w:val="Bulletpointparagraph"/>
        <w:numPr>
          <w:ilvl w:val="0"/>
          <w:numId w:val="0"/>
        </w:numPr>
        <w:rPr>
          <w:rFonts w:cs="Arial"/>
        </w:rPr>
      </w:pPr>
    </w:p>
    <w:p w14:paraId="4D4BD358" w14:textId="77777777" w:rsidR="002C679D" w:rsidRPr="002C679D" w:rsidRDefault="002C679D">
      <w:pPr>
        <w:rPr>
          <w:rFonts w:cs="Arial"/>
        </w:rPr>
      </w:pPr>
      <w:r w:rsidRPr="002C679D">
        <w:rPr>
          <w:rFonts w:cs="Arial"/>
        </w:rPr>
        <w:br w:type="page"/>
      </w:r>
    </w:p>
    <w:tbl>
      <w:tblPr>
        <w:tblStyle w:val="ReportTable-TealRows"/>
        <w:tblW w:w="0" w:type="auto"/>
        <w:tblLook w:val="04A0" w:firstRow="1" w:lastRow="0" w:firstColumn="1" w:lastColumn="0" w:noHBand="0" w:noVBand="1"/>
      </w:tblPr>
      <w:tblGrid>
        <w:gridCol w:w="1985"/>
        <w:gridCol w:w="7654"/>
      </w:tblGrid>
      <w:tr w:rsidR="492B70E0" w:rsidRPr="00110DD1" w14:paraId="1D1B22D0" w14:textId="77777777" w:rsidTr="007411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21568283" w14:textId="4E3F870C" w:rsidR="492B70E0" w:rsidRPr="00110DD1" w:rsidRDefault="492B70E0" w:rsidP="00110DD1">
            <w:pPr>
              <w:spacing w:before="40" w:after="40"/>
              <w:rPr>
                <w:rFonts w:cs="Arial"/>
                <w:sz w:val="20"/>
                <w:szCs w:val="20"/>
              </w:rPr>
            </w:pPr>
            <w:r w:rsidRPr="00110DD1">
              <w:rPr>
                <w:sz w:val="20"/>
                <w:szCs w:val="20"/>
              </w:rPr>
              <w:t>Pro</w:t>
            </w:r>
            <w:r w:rsidR="008E6FD7" w:rsidRPr="00110DD1">
              <w:rPr>
                <w:sz w:val="20"/>
                <w:szCs w:val="20"/>
              </w:rPr>
              <w:t>gram</w:t>
            </w:r>
            <w:r w:rsidRPr="00110DD1">
              <w:rPr>
                <w:sz w:val="20"/>
                <w:szCs w:val="20"/>
              </w:rPr>
              <w:t xml:space="preserve"> </w:t>
            </w:r>
            <w:r w:rsidR="000830C6" w:rsidRPr="00110DD1">
              <w:rPr>
                <w:sz w:val="20"/>
                <w:szCs w:val="20"/>
              </w:rPr>
              <w:t>n</w:t>
            </w:r>
            <w:r w:rsidRPr="00110DD1">
              <w:rPr>
                <w:sz w:val="20"/>
                <w:szCs w:val="20"/>
              </w:rPr>
              <w:t>ame</w:t>
            </w:r>
          </w:p>
        </w:tc>
        <w:tc>
          <w:tcPr>
            <w:tcW w:w="7654" w:type="dxa"/>
            <w:vAlign w:val="top"/>
          </w:tcPr>
          <w:p w14:paraId="2ACB5B26" w14:textId="2B910376" w:rsidR="492B70E0" w:rsidRPr="00110DD1" w:rsidRDefault="01F0970B" w:rsidP="00110DD1">
            <w:pPr>
              <w:spacing w:before="40" w:after="40"/>
              <w:cnfStyle w:val="100000000000" w:firstRow="1" w:lastRow="0" w:firstColumn="0" w:lastColumn="0" w:oddVBand="0" w:evenVBand="0" w:oddHBand="0" w:evenHBand="0" w:firstRowFirstColumn="0" w:firstRowLastColumn="0" w:lastRowFirstColumn="0" w:lastRowLastColumn="0"/>
              <w:rPr>
                <w:rFonts w:eastAsia="Arial" w:cs="Arial"/>
                <w:sz w:val="20"/>
                <w:szCs w:val="20"/>
              </w:rPr>
            </w:pPr>
            <w:r w:rsidRPr="00110DD1">
              <w:rPr>
                <w:sz w:val="20"/>
                <w:szCs w:val="20"/>
              </w:rPr>
              <w:t xml:space="preserve">Operating </w:t>
            </w:r>
            <w:r w:rsidR="000830C6" w:rsidRPr="00110DD1">
              <w:rPr>
                <w:sz w:val="20"/>
                <w:szCs w:val="20"/>
              </w:rPr>
              <w:t>e</w:t>
            </w:r>
            <w:r w:rsidRPr="00110DD1">
              <w:rPr>
                <w:sz w:val="20"/>
                <w:szCs w:val="20"/>
              </w:rPr>
              <w:t>fficiencies</w:t>
            </w:r>
          </w:p>
        </w:tc>
      </w:tr>
      <w:tr w:rsidR="492B70E0" w14:paraId="4D54E0F6"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1D9FB663" w14:textId="1D573917" w:rsidR="492B70E0" w:rsidRDefault="492B70E0" w:rsidP="00110DD1">
            <w:pPr>
              <w:spacing w:before="40" w:after="40"/>
              <w:rPr>
                <w:rFonts w:cs="Arial"/>
                <w:b/>
                <w:bCs/>
                <w:color w:val="000000" w:themeColor="text1"/>
              </w:rPr>
            </w:pPr>
            <w:r>
              <w:t xml:space="preserve">Total </w:t>
            </w:r>
            <w:r w:rsidR="000830C6">
              <w:t>p</w:t>
            </w:r>
            <w:r>
              <w:t xml:space="preserve">roject </w:t>
            </w:r>
            <w:r w:rsidR="000830C6">
              <w:t>v</w:t>
            </w:r>
            <w:r>
              <w:t>alue</w:t>
            </w:r>
          </w:p>
        </w:tc>
        <w:tc>
          <w:tcPr>
            <w:tcW w:w="7654" w:type="dxa"/>
            <w:vAlign w:val="top"/>
          </w:tcPr>
          <w:p w14:paraId="27CD1F3A" w14:textId="1D3870D9" w:rsidR="492B70E0" w:rsidRPr="009325A1" w:rsidRDefault="6EE355F0" w:rsidP="00110DD1">
            <w:pPr>
              <w:spacing w:before="40" w:after="40"/>
              <w:cnfStyle w:val="000000100000" w:firstRow="0" w:lastRow="0" w:firstColumn="0" w:lastColumn="0" w:oddVBand="0" w:evenVBand="0" w:oddHBand="1" w:evenHBand="0" w:firstRowFirstColumn="0" w:firstRowLastColumn="0" w:lastRowFirstColumn="0" w:lastRowLastColumn="0"/>
            </w:pPr>
            <w:r w:rsidRPr="009325A1">
              <w:t>$</w:t>
            </w:r>
            <w:r w:rsidR="28ED2A25" w:rsidRPr="009325A1">
              <w:t>3.1</w:t>
            </w:r>
            <w:r w:rsidR="000830C6">
              <w:t xml:space="preserve"> </w:t>
            </w:r>
            <w:r w:rsidRPr="009325A1">
              <w:t>m</w:t>
            </w:r>
            <w:r w:rsidR="000830C6">
              <w:t>illion</w:t>
            </w:r>
          </w:p>
        </w:tc>
      </w:tr>
      <w:tr w:rsidR="00B81D47" w14:paraId="4D242F04"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460F7E3D" w14:textId="4B90B1BE" w:rsidR="00B81D47" w:rsidRDefault="00B81D47" w:rsidP="00110DD1">
            <w:pPr>
              <w:spacing w:before="40" w:after="40"/>
            </w:pPr>
            <w:r>
              <w:t xml:space="preserve">Major </w:t>
            </w:r>
            <w:r w:rsidR="000830C6">
              <w:t>p</w:t>
            </w:r>
            <w:r>
              <w:t xml:space="preserve">rojects, </w:t>
            </w:r>
            <w:r w:rsidR="000830C6">
              <w:t>t</w:t>
            </w:r>
            <w:r>
              <w:t xml:space="preserve">iming and </w:t>
            </w:r>
            <w:r w:rsidR="000830C6">
              <w:t>s</w:t>
            </w:r>
            <w:r>
              <w:t>tatus</w:t>
            </w:r>
          </w:p>
        </w:tc>
        <w:tc>
          <w:tcPr>
            <w:tcW w:w="7654" w:type="dxa"/>
            <w:vAlign w:val="top"/>
          </w:tcPr>
          <w:p w14:paraId="1A0D1916" w14:textId="55C2B4E9" w:rsidR="00B81D47" w:rsidRPr="00835818"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LBEMS/WAMBEMS</w:t>
            </w:r>
            <w:r w:rsidR="00DD44E5">
              <w:t xml:space="preserve"> </w:t>
            </w:r>
            <w:r w:rsidR="00DE159F">
              <w:t xml:space="preserve">bulk entitlement management system </w:t>
            </w:r>
            <w:r w:rsidR="00DD44E5">
              <w:t>replacement</w:t>
            </w:r>
            <w:r w:rsidRPr="00835818">
              <w:t xml:space="preserve"> (FY22 to FY25, Gate 2</w:t>
            </w:r>
            <w:r w:rsidR="00DD44E5">
              <w:t xml:space="preserve"> </w:t>
            </w:r>
            <w:r w:rsidR="00A806B4">
              <w:t>business case prepared</w:t>
            </w:r>
            <w:r w:rsidRPr="00835818">
              <w:t>)</w:t>
            </w:r>
          </w:p>
          <w:p w14:paraId="4B7D8383" w14:textId="16B34DC3" w:rsidR="00B81D47" w:rsidRPr="00835818"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 xml:space="preserve">AI Business Automation (FY25 to FY28, </w:t>
            </w:r>
            <w:r w:rsidR="00A806B4" w:rsidRPr="00835818">
              <w:t>Gate 2</w:t>
            </w:r>
            <w:r w:rsidR="00A806B4">
              <w:t xml:space="preserve"> business case prepared</w:t>
            </w:r>
            <w:r w:rsidRPr="00835818">
              <w:t>)</w:t>
            </w:r>
          </w:p>
          <w:p w14:paraId="35C17CC6" w14:textId="2EA4A646" w:rsidR="00B81D47" w:rsidRPr="00835818" w:rsidRDefault="2CA0DCDD"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 xml:space="preserve">TechOne </w:t>
            </w:r>
            <w:r w:rsidR="06237C7C">
              <w:t>P</w:t>
            </w:r>
            <w:r w:rsidR="33AB48B0">
              <w:t xml:space="preserve">roperty </w:t>
            </w:r>
            <w:r w:rsidR="06237C7C">
              <w:t>&amp;</w:t>
            </w:r>
            <w:r w:rsidR="3A440C94">
              <w:t xml:space="preserve"> </w:t>
            </w:r>
            <w:r w:rsidR="06237C7C">
              <w:t>R</w:t>
            </w:r>
            <w:r w:rsidR="15E167E4">
              <w:t>ating</w:t>
            </w:r>
            <w:r w:rsidR="00B81D47" w:rsidRPr="00835818">
              <w:t xml:space="preserve"> Optimisation (FY24 to FY25, Gate 2, System Enhancement)</w:t>
            </w:r>
          </w:p>
          <w:p w14:paraId="7996015A" w14:textId="04D1C2DF" w:rsidR="00B81D47" w:rsidRPr="00835818"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TechOne Cloud Uplift</w:t>
            </w:r>
            <w:r w:rsidR="0007373A">
              <w:t xml:space="preserve"> (Core System Upgrade)</w:t>
            </w:r>
            <w:r w:rsidRPr="00835818">
              <w:t xml:space="preserve"> (FY24 to FY25, </w:t>
            </w:r>
            <w:r w:rsidR="0007373A" w:rsidRPr="00835818">
              <w:t>Gate 2</w:t>
            </w:r>
            <w:r w:rsidR="0007373A">
              <w:t xml:space="preserve"> business case prepared)</w:t>
            </w:r>
          </w:p>
          <w:p w14:paraId="117FD5E7" w14:textId="30E215BC" w:rsidR="00B81D47" w:rsidRPr="00835818"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TechOne Enhancements (FY24 to FY28, Gate 2</w:t>
            </w:r>
            <w:r w:rsidR="0007373A">
              <w:t xml:space="preserve"> business case prepared</w:t>
            </w:r>
            <w:r w:rsidRPr="00835818">
              <w:t>)</w:t>
            </w:r>
          </w:p>
          <w:p w14:paraId="12CE65AC" w14:textId="6F940E0F" w:rsidR="00B81D47" w:rsidRPr="00835818"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 xml:space="preserve">Asset Management System </w:t>
            </w:r>
            <w:r w:rsidR="0007373A">
              <w:t xml:space="preserve">replacement </w:t>
            </w:r>
            <w:r w:rsidRPr="00835818">
              <w:t>(FY24 to FY25, Gate 2</w:t>
            </w:r>
            <w:r w:rsidR="0007373A">
              <w:t xml:space="preserve"> business cas</w:t>
            </w:r>
            <w:r w:rsidR="006A7BC9">
              <w:t>e and options analysis pending</w:t>
            </w:r>
            <w:r w:rsidRPr="00835818">
              <w:t>)</w:t>
            </w:r>
          </w:p>
          <w:p w14:paraId="5F7AEB55" w14:textId="70EE93A0"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835818">
              <w:t>Operating System &amp; Environment Upgrades (FY22 to FY28, Gate 2, Business Case &amp; Options Analysis Pending)</w:t>
            </w:r>
          </w:p>
        </w:tc>
      </w:tr>
      <w:tr w:rsidR="492B70E0" w14:paraId="734F9AF6"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39EA6FD8" w14:textId="33148F04" w:rsidR="492B70E0" w:rsidRDefault="492B70E0" w:rsidP="00110DD1">
            <w:pPr>
              <w:spacing w:before="40" w:after="40"/>
            </w:pPr>
            <w:r>
              <w:t xml:space="preserve">System / </w:t>
            </w:r>
            <w:r w:rsidR="000830C6">
              <w:t>c</w:t>
            </w:r>
            <w:r>
              <w:t>ustomer</w:t>
            </w:r>
            <w:r w:rsidR="000830C6">
              <w:t xml:space="preserve"> g</w:t>
            </w:r>
            <w:r>
              <w:t>roup</w:t>
            </w:r>
          </w:p>
        </w:tc>
        <w:tc>
          <w:tcPr>
            <w:tcW w:w="7654" w:type="dxa"/>
            <w:vAlign w:val="top"/>
          </w:tcPr>
          <w:p w14:paraId="78D18494" w14:textId="4045A17D" w:rsidR="492B70E0" w:rsidRDefault="492B70E0"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Shared</w:t>
            </w:r>
          </w:p>
        </w:tc>
      </w:tr>
      <w:tr w:rsidR="000E442F" w14:paraId="7B1FBBA0"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11AE2BFB" w14:textId="65237B2E" w:rsidR="000E442F" w:rsidRDefault="000E442F" w:rsidP="00110DD1">
            <w:pPr>
              <w:spacing w:before="40" w:after="40"/>
            </w:pPr>
            <w:r>
              <w:t xml:space="preserve">Cost </w:t>
            </w:r>
            <w:r w:rsidR="000830C6">
              <w:t>d</w:t>
            </w:r>
            <w:r>
              <w:t xml:space="preserve">river </w:t>
            </w:r>
          </w:p>
        </w:tc>
        <w:tc>
          <w:tcPr>
            <w:tcW w:w="7654" w:type="dxa"/>
            <w:vAlign w:val="top"/>
          </w:tcPr>
          <w:p w14:paraId="208E834B" w14:textId="62FE8A47" w:rsidR="000E442F" w:rsidRDefault="000E442F"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Improvement/compliance and renewals</w:t>
            </w:r>
          </w:p>
        </w:tc>
      </w:tr>
      <w:tr w:rsidR="492B70E0" w14:paraId="6EFAC035"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6F9D55DC" w14:textId="77777777" w:rsidR="492B70E0" w:rsidRDefault="492B70E0" w:rsidP="00110DD1">
            <w:pPr>
              <w:spacing w:before="40" w:after="40"/>
            </w:pPr>
            <w:r>
              <w:t>Outcome</w:t>
            </w:r>
          </w:p>
        </w:tc>
        <w:tc>
          <w:tcPr>
            <w:tcW w:w="7654" w:type="dxa"/>
            <w:vAlign w:val="top"/>
          </w:tcPr>
          <w:p w14:paraId="551A064D" w14:textId="77DAC30E" w:rsidR="492B70E0" w:rsidRDefault="492B70E0"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Great customer service, valued community member</w:t>
            </w:r>
          </w:p>
        </w:tc>
      </w:tr>
      <w:tr w:rsidR="492B70E0" w14:paraId="0EAD19CA"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215BCC04" w14:textId="002D9456" w:rsidR="492B70E0" w:rsidRDefault="492B70E0" w:rsidP="00110DD1">
            <w:pPr>
              <w:spacing w:before="40" w:after="40"/>
            </w:pPr>
            <w:r>
              <w:t xml:space="preserve">Risk / </w:t>
            </w:r>
            <w:r w:rsidR="000830C6">
              <w:t>c</w:t>
            </w:r>
            <w:r>
              <w:t xml:space="preserve">ompliance / </w:t>
            </w:r>
            <w:r w:rsidR="000830C6">
              <w:t>c</w:t>
            </w:r>
            <w:r>
              <w:t>ustomer rating</w:t>
            </w:r>
          </w:p>
        </w:tc>
        <w:tc>
          <w:tcPr>
            <w:tcW w:w="7654" w:type="dxa"/>
            <w:vAlign w:val="top"/>
          </w:tcPr>
          <w:p w14:paraId="77407B84" w14:textId="58238F6A" w:rsidR="492B70E0" w:rsidRDefault="492B70E0"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Compliance, high-risk</w:t>
            </w:r>
          </w:p>
        </w:tc>
      </w:tr>
      <w:tr w:rsidR="492B70E0" w14:paraId="6879FC15"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vAlign w:val="top"/>
          </w:tcPr>
          <w:p w14:paraId="27221EDC" w14:textId="77777777" w:rsidR="492B70E0" w:rsidRDefault="492B70E0" w:rsidP="00110DD1">
            <w:pPr>
              <w:spacing w:before="40" w:after="40"/>
              <w:rPr>
                <w:b/>
                <w:bCs/>
              </w:rPr>
            </w:pPr>
            <w:r>
              <w:t>Description</w:t>
            </w:r>
          </w:p>
        </w:tc>
        <w:tc>
          <w:tcPr>
            <w:tcW w:w="7654" w:type="dxa"/>
            <w:tcBorders>
              <w:bottom w:val="single" w:sz="4" w:space="0" w:color="auto"/>
            </w:tcBorders>
            <w:vAlign w:val="top"/>
          </w:tcPr>
          <w:p w14:paraId="222B1471" w14:textId="3AD940D7" w:rsidR="492B70E0" w:rsidRDefault="4F3A5EAF"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eastAsia="Arial" w:cs="Arial"/>
              </w:rPr>
            </w:pPr>
            <w:r w:rsidRPr="1D1F0CB6">
              <w:rPr>
                <w:rFonts w:cs="Arial"/>
              </w:rPr>
              <w:t>S</w:t>
            </w:r>
            <w:r w:rsidR="27648A10" w:rsidRPr="1D1F0CB6">
              <w:rPr>
                <w:rFonts w:cs="Arial"/>
              </w:rPr>
              <w:t>everal</w:t>
            </w:r>
            <w:r w:rsidR="53CACC8E" w:rsidRPr="1D1F0CB6">
              <w:rPr>
                <w:rFonts w:cs="Arial"/>
              </w:rPr>
              <w:t xml:space="preserve"> of our core ICT systems are increasingly becoming unsupported and reliant on manual interventions to keep them operational. By upgrading systems, deploying new and modern solutions, and aligning processes to smarter operations, we will realise workforce efficiencies across several areas of its business.</w:t>
            </w:r>
          </w:p>
        </w:tc>
      </w:tr>
    </w:tbl>
    <w:p w14:paraId="2693ED4C" w14:textId="7623758B" w:rsidR="0C32B9A4" w:rsidRPr="000830C6" w:rsidRDefault="0C32B9A4" w:rsidP="0C32B9A4">
      <w:pPr>
        <w:pStyle w:val="Bulletpointparagraph"/>
        <w:numPr>
          <w:ilvl w:val="0"/>
          <w:numId w:val="0"/>
        </w:numPr>
        <w:rPr>
          <w:rFonts w:cs="Arial"/>
          <w:color w:val="FF0000"/>
          <w:sz w:val="6"/>
          <w:szCs w:val="6"/>
        </w:rPr>
      </w:pPr>
    </w:p>
    <w:tbl>
      <w:tblPr>
        <w:tblStyle w:val="ReportTable-TealRows"/>
        <w:tblW w:w="0" w:type="auto"/>
        <w:tblLook w:val="04A0" w:firstRow="1" w:lastRow="0" w:firstColumn="1" w:lastColumn="0" w:noHBand="0" w:noVBand="1"/>
      </w:tblPr>
      <w:tblGrid>
        <w:gridCol w:w="1985"/>
        <w:gridCol w:w="7654"/>
      </w:tblGrid>
      <w:tr w:rsidR="492B70E0" w:rsidRPr="00110DD1" w14:paraId="286ADD95" w14:textId="77777777" w:rsidTr="007411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723E7AC0" w14:textId="102941E2" w:rsidR="492B70E0" w:rsidRPr="00110DD1" w:rsidRDefault="492B70E0" w:rsidP="00110DD1">
            <w:pPr>
              <w:spacing w:before="40" w:after="40"/>
              <w:rPr>
                <w:rFonts w:cs="Arial"/>
                <w:sz w:val="20"/>
                <w:szCs w:val="20"/>
              </w:rPr>
            </w:pPr>
            <w:r w:rsidRPr="00110DD1">
              <w:rPr>
                <w:sz w:val="20"/>
                <w:szCs w:val="20"/>
              </w:rPr>
              <w:t>Pro</w:t>
            </w:r>
            <w:r w:rsidR="008E6FD7" w:rsidRPr="00110DD1">
              <w:rPr>
                <w:sz w:val="20"/>
                <w:szCs w:val="20"/>
              </w:rPr>
              <w:t>gram</w:t>
            </w:r>
            <w:r w:rsidRPr="00110DD1">
              <w:rPr>
                <w:sz w:val="20"/>
                <w:szCs w:val="20"/>
              </w:rPr>
              <w:t xml:space="preserve"> Name</w:t>
            </w:r>
          </w:p>
        </w:tc>
        <w:tc>
          <w:tcPr>
            <w:tcW w:w="7654" w:type="dxa"/>
            <w:vAlign w:val="top"/>
          </w:tcPr>
          <w:p w14:paraId="4A2DE66E" w14:textId="7BAA281C" w:rsidR="492B70E0" w:rsidRPr="00110DD1" w:rsidRDefault="22123D66" w:rsidP="00110DD1">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rPr>
            </w:pPr>
            <w:r w:rsidRPr="00110DD1">
              <w:rPr>
                <w:sz w:val="20"/>
                <w:szCs w:val="20"/>
              </w:rPr>
              <w:t>Government (</w:t>
            </w:r>
            <w:r w:rsidR="000830C6" w:rsidRPr="00110DD1">
              <w:rPr>
                <w:sz w:val="20"/>
                <w:szCs w:val="20"/>
              </w:rPr>
              <w:t>s</w:t>
            </w:r>
            <w:r w:rsidR="06A4E91A" w:rsidRPr="00110DD1">
              <w:rPr>
                <w:sz w:val="20"/>
                <w:szCs w:val="20"/>
              </w:rPr>
              <w:t>ecurity</w:t>
            </w:r>
            <w:r w:rsidRPr="00110DD1">
              <w:rPr>
                <w:sz w:val="20"/>
                <w:szCs w:val="20"/>
              </w:rPr>
              <w:t xml:space="preserve">) </w:t>
            </w:r>
            <w:r w:rsidR="000830C6" w:rsidRPr="00110DD1">
              <w:rPr>
                <w:sz w:val="20"/>
                <w:szCs w:val="20"/>
              </w:rPr>
              <w:t>r</w:t>
            </w:r>
            <w:r w:rsidRPr="00110DD1">
              <w:rPr>
                <w:sz w:val="20"/>
                <w:szCs w:val="20"/>
              </w:rPr>
              <w:t>equirements</w:t>
            </w:r>
          </w:p>
        </w:tc>
      </w:tr>
      <w:tr w:rsidR="492B70E0" w14:paraId="4685E3FA"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110C187C" w14:textId="4666040B" w:rsidR="492B70E0" w:rsidRDefault="492B70E0" w:rsidP="00110DD1">
            <w:pPr>
              <w:spacing w:before="40" w:after="40"/>
              <w:rPr>
                <w:rFonts w:cs="Arial"/>
                <w:b/>
                <w:bCs/>
                <w:color w:val="000000" w:themeColor="text1"/>
              </w:rPr>
            </w:pPr>
            <w:r>
              <w:t xml:space="preserve">Total </w:t>
            </w:r>
            <w:r w:rsidR="00A63603">
              <w:t>p</w:t>
            </w:r>
            <w:r>
              <w:t xml:space="preserve">roject </w:t>
            </w:r>
            <w:r w:rsidR="00A63603">
              <w:t>v</w:t>
            </w:r>
            <w:r>
              <w:t>alue</w:t>
            </w:r>
          </w:p>
        </w:tc>
        <w:tc>
          <w:tcPr>
            <w:tcW w:w="7654" w:type="dxa"/>
            <w:vAlign w:val="top"/>
          </w:tcPr>
          <w:p w14:paraId="5E7F99F3" w14:textId="0FB9ECD2" w:rsidR="492B70E0" w:rsidRPr="002125D7" w:rsidRDefault="6EE355F0" w:rsidP="00110DD1">
            <w:pPr>
              <w:spacing w:before="40" w:after="40"/>
              <w:cnfStyle w:val="000000100000" w:firstRow="0" w:lastRow="0" w:firstColumn="0" w:lastColumn="0" w:oddVBand="0" w:evenVBand="0" w:oddHBand="1" w:evenHBand="0" w:firstRowFirstColumn="0" w:firstRowLastColumn="0" w:lastRowFirstColumn="0" w:lastRowLastColumn="0"/>
            </w:pPr>
            <w:r>
              <w:t>$</w:t>
            </w:r>
            <w:r w:rsidR="6B3E633B">
              <w:t>1</w:t>
            </w:r>
            <w:r>
              <w:t>.</w:t>
            </w:r>
            <w:r w:rsidR="5B573C1B">
              <w:t>3</w:t>
            </w:r>
            <w:r w:rsidR="000830C6">
              <w:t xml:space="preserve"> </w:t>
            </w:r>
            <w:r>
              <w:t>m</w:t>
            </w:r>
            <w:r w:rsidR="000830C6">
              <w:t>illion</w:t>
            </w:r>
          </w:p>
        </w:tc>
      </w:tr>
      <w:tr w:rsidR="00B81D47" w14:paraId="4B41FA33"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57F59BC8" w14:textId="776E5F77" w:rsidR="00B81D47" w:rsidRDefault="00B81D47" w:rsidP="00110DD1">
            <w:pPr>
              <w:spacing w:before="40" w:after="40"/>
            </w:pPr>
            <w:r>
              <w:t xml:space="preserve">Major </w:t>
            </w:r>
            <w:r w:rsidR="00A63603">
              <w:t>p</w:t>
            </w:r>
            <w:r>
              <w:t xml:space="preserve">rojects, </w:t>
            </w:r>
            <w:r w:rsidR="00A63603">
              <w:t>t</w:t>
            </w:r>
            <w:r>
              <w:t xml:space="preserve">iming and </w:t>
            </w:r>
            <w:r w:rsidR="00A63603">
              <w:t>s</w:t>
            </w:r>
            <w:r>
              <w:t>tatus</w:t>
            </w:r>
          </w:p>
        </w:tc>
        <w:tc>
          <w:tcPr>
            <w:tcW w:w="7654" w:type="dxa"/>
            <w:vAlign w:val="top"/>
          </w:tcPr>
          <w:p w14:paraId="0524D8C7" w14:textId="15F0D8F3" w:rsidR="00B81D47" w:rsidRDefault="00B81D47" w:rsidP="00F459A2">
            <w:pPr>
              <w:pStyle w:val="ListParagraph"/>
              <w:numPr>
                <w:ilvl w:val="0"/>
                <w:numId w:val="8"/>
              </w:numPr>
              <w:spacing w:before="40" w:after="40"/>
              <w:cnfStyle w:val="000000000000" w:firstRow="0" w:lastRow="0" w:firstColumn="0" w:lastColumn="0" w:oddVBand="0" w:evenVBand="0" w:oddHBand="0" w:evenHBand="0" w:firstRowFirstColumn="0" w:firstRowLastColumn="0" w:lastRowFirstColumn="0" w:lastRowLastColumn="0"/>
            </w:pPr>
            <w:r>
              <w:t xml:space="preserve">Security/Compliance Uplift </w:t>
            </w:r>
            <w:r w:rsidR="000233E1">
              <w:t xml:space="preserve">(Critical Security Program) </w:t>
            </w:r>
            <w:r>
              <w:t>(FY22 to FY28, Gate 2</w:t>
            </w:r>
            <w:r w:rsidR="000233E1">
              <w:t xml:space="preserve"> business case prepared</w:t>
            </w:r>
            <w:r>
              <w:t>)</w:t>
            </w:r>
          </w:p>
          <w:p w14:paraId="51119ADF" w14:textId="7517C2E6" w:rsidR="00B81D47" w:rsidRDefault="00B81D47" w:rsidP="00F459A2">
            <w:pPr>
              <w:pStyle w:val="ListParagraph"/>
              <w:numPr>
                <w:ilvl w:val="0"/>
                <w:numId w:val="8"/>
              </w:numPr>
              <w:spacing w:before="40" w:after="40"/>
              <w:cnfStyle w:val="000000000000" w:firstRow="0" w:lastRow="0" w:firstColumn="0" w:lastColumn="0" w:oddVBand="0" w:evenVBand="0" w:oddHBand="0" w:evenHBand="0" w:firstRowFirstColumn="0" w:firstRowLastColumn="0" w:lastRowFirstColumn="0" w:lastRowLastColumn="0"/>
            </w:pPr>
            <w:r>
              <w:t>Move to Cloud (FY22 to FY28, Gate 2, Business Case</w:t>
            </w:r>
            <w:r w:rsidR="000233E1">
              <w:t xml:space="preserve"> prepared</w:t>
            </w:r>
            <w:r>
              <w:t>)</w:t>
            </w:r>
          </w:p>
          <w:p w14:paraId="11982BF0" w14:textId="269D7E76" w:rsidR="00B81D47" w:rsidRDefault="00B81D47" w:rsidP="00F459A2">
            <w:pPr>
              <w:pStyle w:val="ListParagraph"/>
              <w:numPr>
                <w:ilvl w:val="0"/>
                <w:numId w:val="8"/>
              </w:numPr>
              <w:spacing w:before="40" w:after="40"/>
              <w:cnfStyle w:val="000000000000" w:firstRow="0" w:lastRow="0" w:firstColumn="0" w:lastColumn="0" w:oddVBand="0" w:evenVBand="0" w:oddHBand="0" w:evenHBand="0" w:firstRowFirstColumn="0" w:firstRowLastColumn="0" w:lastRowFirstColumn="0" w:lastRowLastColumn="0"/>
            </w:pPr>
            <w:r>
              <w:t xml:space="preserve">VPDSF </w:t>
            </w:r>
            <w:r w:rsidR="000233E1">
              <w:t xml:space="preserve">Critical Security Program </w:t>
            </w:r>
            <w:r>
              <w:t>(FY22 to FY27, Gate 2</w:t>
            </w:r>
            <w:r w:rsidR="000233E1">
              <w:t xml:space="preserve"> business case prepared</w:t>
            </w:r>
            <w:r>
              <w:t>)</w:t>
            </w:r>
          </w:p>
        </w:tc>
      </w:tr>
      <w:tr w:rsidR="492B70E0" w14:paraId="044D941F"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34B24C8D" w14:textId="778A0AAE" w:rsidR="492B70E0" w:rsidRDefault="492B70E0" w:rsidP="00110DD1">
            <w:pPr>
              <w:spacing w:before="40" w:after="40"/>
            </w:pPr>
            <w:r>
              <w:t xml:space="preserve">System / </w:t>
            </w:r>
            <w:r w:rsidR="00A63603">
              <w:t>c</w:t>
            </w:r>
            <w:r>
              <w:t xml:space="preserve">ustomer </w:t>
            </w:r>
            <w:r w:rsidR="00A63603">
              <w:t>g</w:t>
            </w:r>
            <w:r>
              <w:t>roup</w:t>
            </w:r>
          </w:p>
        </w:tc>
        <w:tc>
          <w:tcPr>
            <w:tcW w:w="7654" w:type="dxa"/>
            <w:vAlign w:val="top"/>
          </w:tcPr>
          <w:p w14:paraId="753CB012" w14:textId="4045A17D" w:rsidR="492B70E0" w:rsidRDefault="492B70E0" w:rsidP="00110DD1">
            <w:pPr>
              <w:spacing w:before="40" w:after="40"/>
              <w:cnfStyle w:val="000000100000" w:firstRow="0" w:lastRow="0" w:firstColumn="0" w:lastColumn="0" w:oddVBand="0" w:evenVBand="0" w:oddHBand="1" w:evenHBand="0" w:firstRowFirstColumn="0" w:firstRowLastColumn="0" w:lastRowFirstColumn="0" w:lastRowLastColumn="0"/>
            </w:pPr>
            <w:r>
              <w:t>Shared</w:t>
            </w:r>
          </w:p>
        </w:tc>
      </w:tr>
      <w:tr w:rsidR="000E442F" w14:paraId="6D245CD1"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64415A42" w14:textId="7D1E751F" w:rsidR="000E442F" w:rsidRDefault="000E442F" w:rsidP="00110DD1">
            <w:pPr>
              <w:spacing w:before="40" w:after="40"/>
            </w:pPr>
            <w:r>
              <w:t xml:space="preserve">Cost </w:t>
            </w:r>
            <w:r w:rsidR="00A63603">
              <w:t>d</w:t>
            </w:r>
            <w:r>
              <w:t xml:space="preserve">river </w:t>
            </w:r>
          </w:p>
        </w:tc>
        <w:tc>
          <w:tcPr>
            <w:tcW w:w="7654" w:type="dxa"/>
            <w:vAlign w:val="top"/>
          </w:tcPr>
          <w:p w14:paraId="03C037DA" w14:textId="79CB6DC9" w:rsidR="000E442F" w:rsidRDefault="000E442F" w:rsidP="00110DD1">
            <w:pPr>
              <w:spacing w:before="40" w:after="40"/>
              <w:cnfStyle w:val="000000000000" w:firstRow="0" w:lastRow="0" w:firstColumn="0" w:lastColumn="0" w:oddVBand="0" w:evenVBand="0" w:oddHBand="0" w:evenHBand="0" w:firstRowFirstColumn="0" w:firstRowLastColumn="0" w:lastRowFirstColumn="0" w:lastRowLastColumn="0"/>
            </w:pPr>
            <w:r>
              <w:t>Improvement/compliance</w:t>
            </w:r>
          </w:p>
        </w:tc>
      </w:tr>
      <w:tr w:rsidR="492B70E0" w14:paraId="35567158"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68FC9198" w14:textId="77777777" w:rsidR="492B70E0" w:rsidRDefault="492B70E0" w:rsidP="00110DD1">
            <w:pPr>
              <w:spacing w:before="40" w:after="40"/>
            </w:pPr>
            <w:r>
              <w:t>Outcome</w:t>
            </w:r>
          </w:p>
        </w:tc>
        <w:tc>
          <w:tcPr>
            <w:tcW w:w="7654" w:type="dxa"/>
            <w:vAlign w:val="top"/>
          </w:tcPr>
          <w:p w14:paraId="76D3C742" w14:textId="77DAC30E" w:rsidR="492B70E0" w:rsidRDefault="492B70E0" w:rsidP="00110DD1">
            <w:pPr>
              <w:spacing w:before="40" w:after="40"/>
              <w:cnfStyle w:val="000000100000" w:firstRow="0" w:lastRow="0" w:firstColumn="0" w:lastColumn="0" w:oddVBand="0" w:evenVBand="0" w:oddHBand="1" w:evenHBand="0" w:firstRowFirstColumn="0" w:firstRowLastColumn="0" w:lastRowFirstColumn="0" w:lastRowLastColumn="0"/>
            </w:pPr>
            <w:r>
              <w:t>Great customer service, valued community member</w:t>
            </w:r>
          </w:p>
        </w:tc>
      </w:tr>
      <w:tr w:rsidR="492B70E0" w14:paraId="5E8C65C4"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3C9AAA8E" w14:textId="57540607" w:rsidR="492B70E0" w:rsidRDefault="492B70E0" w:rsidP="00110DD1">
            <w:pPr>
              <w:spacing w:before="40" w:after="40"/>
            </w:pPr>
            <w:r>
              <w:t xml:space="preserve">Risk / </w:t>
            </w:r>
            <w:r w:rsidR="00A63603">
              <w:t>c</w:t>
            </w:r>
            <w:r>
              <w:t xml:space="preserve">ompliance / </w:t>
            </w:r>
            <w:r w:rsidR="00A63603">
              <w:t>c</w:t>
            </w:r>
            <w:r>
              <w:t>ustomer rating</w:t>
            </w:r>
          </w:p>
        </w:tc>
        <w:tc>
          <w:tcPr>
            <w:tcW w:w="7654" w:type="dxa"/>
            <w:vAlign w:val="top"/>
          </w:tcPr>
          <w:p w14:paraId="30F3671E" w14:textId="3155DCA9" w:rsidR="492B70E0" w:rsidRDefault="492B70E0" w:rsidP="00110DD1">
            <w:pPr>
              <w:spacing w:before="40" w:after="40"/>
              <w:cnfStyle w:val="000000000000" w:firstRow="0" w:lastRow="0" w:firstColumn="0" w:lastColumn="0" w:oddVBand="0" w:evenVBand="0" w:oddHBand="0" w:evenHBand="0" w:firstRowFirstColumn="0" w:firstRowLastColumn="0" w:lastRowFirstColumn="0" w:lastRowLastColumn="0"/>
            </w:pPr>
            <w:r>
              <w:t>Compliance</w:t>
            </w:r>
          </w:p>
        </w:tc>
      </w:tr>
      <w:tr w:rsidR="492B70E0" w14:paraId="739F1D94"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vAlign w:val="top"/>
          </w:tcPr>
          <w:p w14:paraId="556C7814" w14:textId="77777777" w:rsidR="492B70E0" w:rsidRDefault="492B70E0" w:rsidP="00110DD1">
            <w:pPr>
              <w:spacing w:before="40" w:after="40"/>
              <w:rPr>
                <w:b/>
                <w:bCs/>
              </w:rPr>
            </w:pPr>
            <w:r>
              <w:t>Description</w:t>
            </w:r>
          </w:p>
        </w:tc>
        <w:tc>
          <w:tcPr>
            <w:tcW w:w="7654" w:type="dxa"/>
            <w:tcBorders>
              <w:bottom w:val="single" w:sz="4" w:space="0" w:color="auto"/>
            </w:tcBorders>
            <w:vAlign w:val="top"/>
          </w:tcPr>
          <w:p w14:paraId="2283AAE3" w14:textId="192B1A5F" w:rsidR="492B70E0" w:rsidRPr="00B737A7" w:rsidRDefault="3DDD0593"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eastAsia="Arial" w:cs="Arial"/>
              </w:rPr>
            </w:pPr>
            <w:r w:rsidRPr="35E3950E">
              <w:rPr>
                <w:rFonts w:cs="Arial"/>
              </w:rPr>
              <w:t>W</w:t>
            </w:r>
            <w:r w:rsidRPr="1D1F0CB6">
              <w:rPr>
                <w:rFonts w:cs="Arial"/>
              </w:rPr>
              <w:t xml:space="preserve">e complete annual security penetration tests that have consistently raised, on average, 100 concerns per annum over the </w:t>
            </w:r>
            <w:r w:rsidR="00A63603">
              <w:rPr>
                <w:rFonts w:cs="Arial"/>
              </w:rPr>
              <w:t>p</w:t>
            </w:r>
            <w:r w:rsidRPr="1D1F0CB6">
              <w:rPr>
                <w:rFonts w:cs="Arial"/>
              </w:rPr>
              <w:t xml:space="preserve">ast three years. We have remediated the highest risks concerns. The </w:t>
            </w:r>
            <w:r w:rsidR="00A63603">
              <w:rPr>
                <w:rFonts w:cs="Arial"/>
              </w:rPr>
              <w:t>Commonwealth</w:t>
            </w:r>
            <w:r w:rsidRPr="1D1F0CB6">
              <w:rPr>
                <w:rFonts w:cs="Arial"/>
              </w:rPr>
              <w:t xml:space="preserve"> and Victorian </w:t>
            </w:r>
            <w:r w:rsidR="00A63603">
              <w:rPr>
                <w:rFonts w:cs="Arial"/>
              </w:rPr>
              <w:t>g</w:t>
            </w:r>
            <w:r w:rsidRPr="1D1F0CB6">
              <w:rPr>
                <w:rFonts w:cs="Arial"/>
              </w:rPr>
              <w:t>overnments now define cyber security standards that government organisations must meet to remain compliant. We must invest in our systems to secure our data, and to improve and standardise our business practices, to ensure we are compliant.</w:t>
            </w:r>
          </w:p>
        </w:tc>
      </w:tr>
    </w:tbl>
    <w:p w14:paraId="337789E2" w14:textId="72A9F40E" w:rsidR="492B70E0" w:rsidRDefault="492B70E0" w:rsidP="492B70E0">
      <w:pPr>
        <w:pStyle w:val="Bulletpointparagraph"/>
        <w:numPr>
          <w:ilvl w:val="0"/>
          <w:numId w:val="0"/>
        </w:numPr>
        <w:rPr>
          <w:rFonts w:cs="Arial"/>
          <w:color w:val="FF0000"/>
        </w:rPr>
      </w:pPr>
    </w:p>
    <w:tbl>
      <w:tblPr>
        <w:tblStyle w:val="ReportTable-TealRows"/>
        <w:tblW w:w="0" w:type="auto"/>
        <w:tblLook w:val="04A0" w:firstRow="1" w:lastRow="0" w:firstColumn="1" w:lastColumn="0" w:noHBand="0" w:noVBand="1"/>
      </w:tblPr>
      <w:tblGrid>
        <w:gridCol w:w="1985"/>
        <w:gridCol w:w="7654"/>
      </w:tblGrid>
      <w:tr w:rsidR="492B70E0" w:rsidRPr="00110DD1" w14:paraId="70475950" w14:textId="77777777" w:rsidTr="007411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2C0FF3C1" w14:textId="70A12002" w:rsidR="492B70E0" w:rsidRPr="00110DD1" w:rsidRDefault="492B70E0" w:rsidP="00110DD1">
            <w:pPr>
              <w:spacing w:before="40" w:after="40"/>
              <w:rPr>
                <w:rFonts w:cs="Arial"/>
                <w:sz w:val="20"/>
                <w:szCs w:val="20"/>
              </w:rPr>
            </w:pPr>
            <w:r w:rsidRPr="00110DD1">
              <w:rPr>
                <w:sz w:val="20"/>
                <w:szCs w:val="20"/>
              </w:rPr>
              <w:t>Pro</w:t>
            </w:r>
            <w:r w:rsidR="008E6FD7" w:rsidRPr="00110DD1">
              <w:rPr>
                <w:sz w:val="20"/>
                <w:szCs w:val="20"/>
              </w:rPr>
              <w:t>gram</w:t>
            </w:r>
            <w:r w:rsidRPr="00110DD1">
              <w:rPr>
                <w:sz w:val="20"/>
                <w:szCs w:val="20"/>
              </w:rPr>
              <w:t xml:space="preserve"> </w:t>
            </w:r>
            <w:r w:rsidR="00A63603" w:rsidRPr="00110DD1">
              <w:rPr>
                <w:sz w:val="20"/>
                <w:szCs w:val="20"/>
              </w:rPr>
              <w:t>n</w:t>
            </w:r>
            <w:r w:rsidRPr="00110DD1">
              <w:rPr>
                <w:sz w:val="20"/>
                <w:szCs w:val="20"/>
              </w:rPr>
              <w:t>ame</w:t>
            </w:r>
          </w:p>
        </w:tc>
        <w:tc>
          <w:tcPr>
            <w:tcW w:w="7654" w:type="dxa"/>
            <w:vAlign w:val="top"/>
          </w:tcPr>
          <w:p w14:paraId="18878B76" w14:textId="3F046A36" w:rsidR="492B70E0" w:rsidRPr="00110DD1" w:rsidRDefault="0BDBB22E" w:rsidP="00110DD1">
            <w:pPr>
              <w:spacing w:before="40" w:after="40"/>
              <w:cnfStyle w:val="100000000000" w:firstRow="1" w:lastRow="0" w:firstColumn="0" w:lastColumn="0" w:oddVBand="0" w:evenVBand="0" w:oddHBand="0" w:evenHBand="0" w:firstRowFirstColumn="0" w:firstRowLastColumn="0" w:lastRowFirstColumn="0" w:lastRowLastColumn="0"/>
              <w:rPr>
                <w:rFonts w:cs="Arial"/>
                <w:sz w:val="20"/>
                <w:szCs w:val="20"/>
              </w:rPr>
            </w:pPr>
            <w:r w:rsidRPr="00110DD1">
              <w:rPr>
                <w:sz w:val="20"/>
                <w:szCs w:val="20"/>
              </w:rPr>
              <w:t xml:space="preserve">Software and </w:t>
            </w:r>
            <w:r w:rsidR="00A63603" w:rsidRPr="00110DD1">
              <w:rPr>
                <w:sz w:val="20"/>
                <w:szCs w:val="20"/>
              </w:rPr>
              <w:t>h</w:t>
            </w:r>
            <w:r w:rsidRPr="00110DD1">
              <w:rPr>
                <w:sz w:val="20"/>
                <w:szCs w:val="20"/>
              </w:rPr>
              <w:t xml:space="preserve">ardware </w:t>
            </w:r>
            <w:r w:rsidR="00A63603" w:rsidRPr="00110DD1">
              <w:rPr>
                <w:sz w:val="20"/>
                <w:szCs w:val="20"/>
              </w:rPr>
              <w:t>r</w:t>
            </w:r>
            <w:r w:rsidRPr="00110DD1">
              <w:rPr>
                <w:sz w:val="20"/>
                <w:szCs w:val="20"/>
              </w:rPr>
              <w:t>edundancy</w:t>
            </w:r>
          </w:p>
        </w:tc>
      </w:tr>
      <w:tr w:rsidR="492B70E0" w14:paraId="1A0791C1"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4D4338A8" w14:textId="185B2A9A" w:rsidR="492B70E0" w:rsidRDefault="492B70E0" w:rsidP="00110DD1">
            <w:pPr>
              <w:spacing w:before="40" w:after="40"/>
              <w:rPr>
                <w:rFonts w:cs="Arial"/>
                <w:b/>
                <w:bCs/>
                <w:color w:val="000000" w:themeColor="text1"/>
              </w:rPr>
            </w:pPr>
            <w:r>
              <w:t xml:space="preserve">Total </w:t>
            </w:r>
            <w:r w:rsidR="00A63603">
              <w:t>p</w:t>
            </w:r>
            <w:r>
              <w:t xml:space="preserve">roject </w:t>
            </w:r>
            <w:r w:rsidR="00A63603">
              <w:t>v</w:t>
            </w:r>
            <w:r>
              <w:t>alue</w:t>
            </w:r>
          </w:p>
        </w:tc>
        <w:tc>
          <w:tcPr>
            <w:tcW w:w="7654" w:type="dxa"/>
            <w:vAlign w:val="top"/>
          </w:tcPr>
          <w:p w14:paraId="4D5C975D" w14:textId="61A29E5E" w:rsidR="492B70E0" w:rsidRPr="00642451" w:rsidRDefault="1B86D3B6" w:rsidP="00110DD1">
            <w:pPr>
              <w:spacing w:before="40" w:after="40"/>
              <w:cnfStyle w:val="000000100000" w:firstRow="0" w:lastRow="0" w:firstColumn="0" w:lastColumn="0" w:oddVBand="0" w:evenVBand="0" w:oddHBand="1" w:evenHBand="0" w:firstRowFirstColumn="0" w:firstRowLastColumn="0" w:lastRowFirstColumn="0" w:lastRowLastColumn="0"/>
              <w:rPr>
                <w:rFonts w:cs="Arial"/>
                <w:color w:val="000000" w:themeColor="text1"/>
              </w:rPr>
            </w:pPr>
            <w:r w:rsidRPr="009325A1">
              <w:t>$</w:t>
            </w:r>
            <w:r w:rsidR="3BFF610A" w:rsidRPr="009325A1">
              <w:t>2</w:t>
            </w:r>
            <w:r w:rsidRPr="009325A1">
              <w:t>.</w:t>
            </w:r>
            <w:r w:rsidR="3BD8987B" w:rsidRPr="009325A1">
              <w:t>5</w:t>
            </w:r>
            <w:r w:rsidR="00A63603">
              <w:t xml:space="preserve"> </w:t>
            </w:r>
            <w:r w:rsidRPr="009325A1">
              <w:t>m</w:t>
            </w:r>
            <w:r w:rsidR="00A63603">
              <w:t>illion</w:t>
            </w:r>
          </w:p>
        </w:tc>
      </w:tr>
      <w:tr w:rsidR="00B81D47" w14:paraId="04B81CF5"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6BBB0160" w14:textId="62A27CF8" w:rsidR="00B81D47" w:rsidRDefault="00B81D47" w:rsidP="00110DD1">
            <w:pPr>
              <w:spacing w:before="40" w:after="40"/>
            </w:pPr>
            <w:r>
              <w:t xml:space="preserve">Major </w:t>
            </w:r>
            <w:r w:rsidR="00A63603">
              <w:t>p</w:t>
            </w:r>
            <w:r>
              <w:t xml:space="preserve">rojects, </w:t>
            </w:r>
            <w:r w:rsidR="00A63603">
              <w:t>t</w:t>
            </w:r>
            <w:r>
              <w:t xml:space="preserve">iming and </w:t>
            </w:r>
            <w:r w:rsidR="00A63603">
              <w:t>s</w:t>
            </w:r>
            <w:r>
              <w:t>tatus</w:t>
            </w:r>
          </w:p>
        </w:tc>
        <w:tc>
          <w:tcPr>
            <w:tcW w:w="7654" w:type="dxa"/>
            <w:vAlign w:val="top"/>
          </w:tcPr>
          <w:p w14:paraId="04333118" w14:textId="6DE3ECCD" w:rsidR="00B81D47" w:rsidRPr="00E91FD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rsidRPr="00E91FD7">
              <w:t>Software (FY22 to FY28, Gate 2 Business Case &amp; Options Analysis Pending)</w:t>
            </w:r>
          </w:p>
          <w:p w14:paraId="77DEA078" w14:textId="5E2C344E"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Network Other</w:t>
            </w:r>
            <w:r w:rsidRPr="00E91FD7">
              <w:t xml:space="preserve"> (FY25 to FY28, Gate 2, Business Case &amp; Options Analysis Pending)</w:t>
            </w:r>
          </w:p>
          <w:p w14:paraId="006CBC83" w14:textId="05CE6D2E"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CCTV integration</w:t>
            </w:r>
            <w:r w:rsidRPr="00E91FD7">
              <w:t xml:space="preserve"> (FY24 to FY27, Gate 2, Business Case &amp; Options Analysis Pending)</w:t>
            </w:r>
          </w:p>
          <w:p w14:paraId="2DAFE7B4" w14:textId="6666DE88"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Network Segmentation</w:t>
            </w:r>
            <w:r w:rsidRPr="00E91FD7">
              <w:t xml:space="preserve"> (FY22 to FY25, Gate 2</w:t>
            </w:r>
            <w:r w:rsidR="0033459E">
              <w:t xml:space="preserve"> business case prepared, delivery in progress</w:t>
            </w:r>
            <w:r w:rsidRPr="00E91FD7">
              <w:t>)</w:t>
            </w:r>
          </w:p>
          <w:p w14:paraId="3DE096AB" w14:textId="0EEAB63A"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Hardware</w:t>
            </w:r>
            <w:r w:rsidRPr="00E91FD7">
              <w:t xml:space="preserve"> (FY22 to FY28, Gate 2, Business Case &amp; Options Analysis Pending)</w:t>
            </w:r>
          </w:p>
          <w:p w14:paraId="7A36A8F8" w14:textId="05F67AFB" w:rsidR="00B81D47" w:rsidRDefault="00B81D47" w:rsidP="00F459A2">
            <w:pPr>
              <w:pStyle w:val="ListParagraph"/>
              <w:numPr>
                <w:ilvl w:val="0"/>
                <w:numId w:val="8"/>
              </w:numPr>
              <w:spacing w:before="40" w:after="40"/>
              <w:ind w:right="119"/>
              <w:jc w:val="both"/>
              <w:cnfStyle w:val="000000000000" w:firstRow="0" w:lastRow="0" w:firstColumn="0" w:lastColumn="0" w:oddVBand="0" w:evenVBand="0" w:oddHBand="0" w:evenHBand="0" w:firstRowFirstColumn="0" w:firstRowLastColumn="0" w:lastRowFirstColumn="0" w:lastRowLastColumn="0"/>
            </w:pPr>
            <w:r>
              <w:t>Mobile Phone Emergency Replacement</w:t>
            </w:r>
            <w:r w:rsidRPr="00E91FD7">
              <w:t xml:space="preserve"> (FY24 to FY28, Gate 2, Business Case</w:t>
            </w:r>
            <w:r w:rsidR="000233E1">
              <w:t xml:space="preserve"> prepared</w:t>
            </w:r>
            <w:r w:rsidRPr="00E91FD7">
              <w:t>)</w:t>
            </w:r>
          </w:p>
        </w:tc>
      </w:tr>
      <w:tr w:rsidR="492B70E0" w14:paraId="40AE4E39"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76DE2244" w14:textId="628E269E" w:rsidR="492B70E0" w:rsidRDefault="492B70E0" w:rsidP="00110DD1">
            <w:pPr>
              <w:spacing w:before="40" w:after="40"/>
            </w:pPr>
            <w:r>
              <w:t xml:space="preserve">System / </w:t>
            </w:r>
            <w:r w:rsidR="00A63603">
              <w:t>c</w:t>
            </w:r>
            <w:r>
              <w:t>ustomer</w:t>
            </w:r>
            <w:r w:rsidR="00A63603">
              <w:t xml:space="preserve"> g</w:t>
            </w:r>
            <w:r>
              <w:t>roup</w:t>
            </w:r>
          </w:p>
        </w:tc>
        <w:tc>
          <w:tcPr>
            <w:tcW w:w="7654" w:type="dxa"/>
            <w:vAlign w:val="top"/>
          </w:tcPr>
          <w:p w14:paraId="16FD0C0B" w14:textId="4045A17D" w:rsidR="492B70E0" w:rsidRDefault="492B70E0"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Shared</w:t>
            </w:r>
          </w:p>
        </w:tc>
      </w:tr>
      <w:tr w:rsidR="000E442F" w14:paraId="18247E2F"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19B46788" w14:textId="151C8826" w:rsidR="000E442F" w:rsidRDefault="000E442F" w:rsidP="00110DD1">
            <w:pPr>
              <w:spacing w:before="40" w:after="40"/>
            </w:pPr>
            <w:r>
              <w:t xml:space="preserve">Cost </w:t>
            </w:r>
            <w:r w:rsidR="00A63603">
              <w:t>d</w:t>
            </w:r>
            <w:r>
              <w:t xml:space="preserve">river </w:t>
            </w:r>
          </w:p>
        </w:tc>
        <w:tc>
          <w:tcPr>
            <w:tcW w:w="7654" w:type="dxa"/>
            <w:vAlign w:val="top"/>
          </w:tcPr>
          <w:p w14:paraId="61DF39EF" w14:textId="5E92E485" w:rsidR="000E442F" w:rsidRDefault="000E442F"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Improvement/compliance and renewals</w:t>
            </w:r>
          </w:p>
        </w:tc>
      </w:tr>
      <w:tr w:rsidR="492B70E0" w14:paraId="755B5674"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vAlign w:val="top"/>
          </w:tcPr>
          <w:p w14:paraId="66DE4525" w14:textId="77777777" w:rsidR="492B70E0" w:rsidRDefault="492B70E0" w:rsidP="00110DD1">
            <w:pPr>
              <w:spacing w:before="40" w:after="40"/>
            </w:pPr>
            <w:r>
              <w:t>Outcome</w:t>
            </w:r>
          </w:p>
        </w:tc>
        <w:tc>
          <w:tcPr>
            <w:tcW w:w="7654" w:type="dxa"/>
            <w:vAlign w:val="top"/>
          </w:tcPr>
          <w:p w14:paraId="665BAF28" w14:textId="77DAC30E" w:rsidR="492B70E0" w:rsidRDefault="492B70E0"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pPr>
            <w:r>
              <w:t>Great customer service, valued community member</w:t>
            </w:r>
          </w:p>
        </w:tc>
      </w:tr>
      <w:tr w:rsidR="492B70E0" w14:paraId="5BD8A1A8" w14:textId="77777777" w:rsidTr="007411DB">
        <w:tc>
          <w:tcPr>
            <w:cnfStyle w:val="001000000000" w:firstRow="0" w:lastRow="0" w:firstColumn="1" w:lastColumn="0" w:oddVBand="0" w:evenVBand="0" w:oddHBand="0" w:evenHBand="0" w:firstRowFirstColumn="0" w:firstRowLastColumn="0" w:lastRowFirstColumn="0" w:lastRowLastColumn="0"/>
            <w:tcW w:w="1985" w:type="dxa"/>
            <w:vAlign w:val="top"/>
          </w:tcPr>
          <w:p w14:paraId="4182B038" w14:textId="6D5B1723" w:rsidR="492B70E0" w:rsidRDefault="492B70E0" w:rsidP="00110DD1">
            <w:pPr>
              <w:spacing w:before="40" w:after="40"/>
            </w:pPr>
            <w:r>
              <w:t xml:space="preserve">Risk / </w:t>
            </w:r>
            <w:r w:rsidR="00A63603">
              <w:t>c</w:t>
            </w:r>
            <w:r>
              <w:t xml:space="preserve">ompliance / </w:t>
            </w:r>
            <w:r w:rsidR="00A63603">
              <w:t>c</w:t>
            </w:r>
            <w:r>
              <w:t>ustomer rating</w:t>
            </w:r>
          </w:p>
        </w:tc>
        <w:tc>
          <w:tcPr>
            <w:tcW w:w="7654" w:type="dxa"/>
            <w:vAlign w:val="top"/>
          </w:tcPr>
          <w:p w14:paraId="20AE9C16" w14:textId="56461868" w:rsidR="492B70E0" w:rsidRDefault="492B70E0" w:rsidP="00110DD1">
            <w:pPr>
              <w:spacing w:before="40" w:after="40"/>
              <w:ind w:right="119"/>
              <w:jc w:val="both"/>
              <w:cnfStyle w:val="000000000000" w:firstRow="0" w:lastRow="0" w:firstColumn="0" w:lastColumn="0" w:oddVBand="0" w:evenVBand="0" w:oddHBand="0" w:evenHBand="0" w:firstRowFirstColumn="0" w:firstRowLastColumn="0" w:lastRowFirstColumn="0" w:lastRowLastColumn="0"/>
            </w:pPr>
            <w:r>
              <w:t>Compliance, high-risk</w:t>
            </w:r>
          </w:p>
        </w:tc>
      </w:tr>
      <w:tr w:rsidR="492B70E0" w14:paraId="1C1412D8" w14:textId="77777777" w:rsidTr="007411D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single" w:sz="4" w:space="0" w:color="auto"/>
            </w:tcBorders>
            <w:vAlign w:val="top"/>
          </w:tcPr>
          <w:p w14:paraId="04EDB777" w14:textId="77777777" w:rsidR="492B70E0" w:rsidRDefault="492B70E0" w:rsidP="00110DD1">
            <w:pPr>
              <w:spacing w:before="40" w:after="40"/>
              <w:rPr>
                <w:b/>
                <w:bCs/>
              </w:rPr>
            </w:pPr>
            <w:r>
              <w:t>Description</w:t>
            </w:r>
          </w:p>
        </w:tc>
        <w:tc>
          <w:tcPr>
            <w:tcW w:w="7654" w:type="dxa"/>
            <w:tcBorders>
              <w:bottom w:val="single" w:sz="4" w:space="0" w:color="auto"/>
            </w:tcBorders>
            <w:vAlign w:val="top"/>
          </w:tcPr>
          <w:p w14:paraId="42601DB9" w14:textId="234BEE6A" w:rsidR="492B70E0" w:rsidRPr="007411DB" w:rsidRDefault="2AA2D67C" w:rsidP="00110DD1">
            <w:pPr>
              <w:spacing w:before="40" w:after="40"/>
              <w:ind w:right="119"/>
              <w:jc w:val="both"/>
              <w:cnfStyle w:val="000000100000" w:firstRow="0" w:lastRow="0" w:firstColumn="0" w:lastColumn="0" w:oddVBand="0" w:evenVBand="0" w:oddHBand="1" w:evenHBand="0" w:firstRowFirstColumn="0" w:firstRowLastColumn="0" w:lastRowFirstColumn="0" w:lastRowLastColumn="0"/>
              <w:rPr>
                <w:rFonts w:eastAsia="Arial" w:cs="Arial"/>
                <w:szCs w:val="20"/>
              </w:rPr>
            </w:pPr>
            <w:r w:rsidRPr="00B737A7">
              <w:rPr>
                <w:rFonts w:cs="Arial"/>
              </w:rPr>
              <w:t>We have identified that our IT network infrastructure is antiquated</w:t>
            </w:r>
            <w:r w:rsidR="00B737A7">
              <w:rPr>
                <w:rFonts w:cs="Arial"/>
              </w:rPr>
              <w:t xml:space="preserve"> </w:t>
            </w:r>
            <w:r w:rsidRPr="00B737A7">
              <w:rPr>
                <w:rFonts w:cs="Arial"/>
              </w:rPr>
              <w:t>and susceptible to failure due to age. Without investment, we anticipate major impacts on our ability to operate and deliver service to our customers. This includes core software that we use to manage customer data. Hardware and software must be resilient and utilise a sustainable network environment to deliver the level of service expected by our customers.</w:t>
            </w:r>
          </w:p>
        </w:tc>
      </w:tr>
    </w:tbl>
    <w:p w14:paraId="6D572418" w14:textId="6EBA8565" w:rsidR="00DE2B02" w:rsidRPr="00192F41" w:rsidRDefault="00DE2B02" w:rsidP="002C679D">
      <w:pPr>
        <w:pStyle w:val="Heading2"/>
        <w:tabs>
          <w:tab w:val="right" w:pos="9639"/>
        </w:tabs>
        <w:rPr>
          <w:rFonts w:cs="Arial"/>
        </w:rPr>
      </w:pPr>
      <w:r>
        <w:rPr>
          <w:rFonts w:cs="Arial"/>
        </w:rPr>
        <w:t>Cost efficiencies</w:t>
      </w:r>
      <w:r w:rsidR="002109CD">
        <w:rPr>
          <w:rFonts w:cs="Arial"/>
        </w:rPr>
        <w:t xml:space="preserve"> and productivity benefits</w:t>
      </w:r>
      <w:r w:rsidR="002C679D">
        <w:rPr>
          <w:rFonts w:cs="Arial"/>
        </w:rPr>
        <w:tab/>
      </w:r>
    </w:p>
    <w:p w14:paraId="124F5B9B" w14:textId="0C688D36" w:rsidR="001F5515" w:rsidRPr="001F5515" w:rsidRDefault="001F5515" w:rsidP="00110DD1">
      <w:pPr>
        <w:jc w:val="both"/>
        <w:rPr>
          <w:rFonts w:cs="Arial"/>
        </w:rPr>
      </w:pPr>
      <w:r w:rsidRPr="001F5515">
        <w:rPr>
          <w:rFonts w:cs="Arial"/>
        </w:rPr>
        <w:t xml:space="preserve">The infrastructure investment budget proposed in this price submission </w:t>
      </w:r>
      <w:r w:rsidR="00B969B9">
        <w:rPr>
          <w:rFonts w:cs="Arial"/>
        </w:rPr>
        <w:t>will generate</w:t>
      </w:r>
      <w:r w:rsidRPr="001F5515">
        <w:rPr>
          <w:rFonts w:cs="Arial"/>
        </w:rPr>
        <w:t xml:space="preserve"> </w:t>
      </w:r>
      <w:r w:rsidR="2A233A45" w:rsidRPr="001F5515">
        <w:rPr>
          <w:rFonts w:cs="Arial"/>
        </w:rPr>
        <w:t xml:space="preserve">operating </w:t>
      </w:r>
      <w:r w:rsidRPr="001F5515">
        <w:rPr>
          <w:rFonts w:cs="Arial"/>
        </w:rPr>
        <w:t xml:space="preserve">cost efficiencies </w:t>
      </w:r>
      <w:r w:rsidR="00B969B9">
        <w:rPr>
          <w:rFonts w:cs="Arial"/>
        </w:rPr>
        <w:t>and productivity benefits</w:t>
      </w:r>
      <w:r w:rsidR="008A255A">
        <w:rPr>
          <w:rFonts w:cs="Arial"/>
        </w:rPr>
        <w:t xml:space="preserve"> (</w:t>
      </w:r>
      <w:r w:rsidR="008A255A" w:rsidRPr="00426C01">
        <w:rPr>
          <w:rFonts w:cs="Arial"/>
        </w:rPr>
        <w:t xml:space="preserve">refer to the </w:t>
      </w:r>
      <w:r w:rsidR="5DC8335C" w:rsidRPr="00426C01">
        <w:rPr>
          <w:rFonts w:cs="Arial"/>
        </w:rPr>
        <w:t xml:space="preserve">OPEX </w:t>
      </w:r>
      <w:r w:rsidR="008A255A" w:rsidRPr="00426C01">
        <w:rPr>
          <w:rFonts w:cs="Arial"/>
        </w:rPr>
        <w:t>efficiency improvement</w:t>
      </w:r>
      <w:r w:rsidR="008E4B8F" w:rsidRPr="00426C01">
        <w:rPr>
          <w:rFonts w:cs="Arial"/>
        </w:rPr>
        <w:t>s outlined</w:t>
      </w:r>
      <w:r w:rsidR="00426C01">
        <w:rPr>
          <w:rFonts w:cs="Arial"/>
        </w:rPr>
        <w:t xml:space="preserve"> in</w:t>
      </w:r>
      <w:r w:rsidR="008A255A" w:rsidRPr="00426C01">
        <w:rPr>
          <w:rFonts w:cs="Arial"/>
        </w:rPr>
        <w:t xml:space="preserve"> </w:t>
      </w:r>
      <w:r w:rsidR="00BA0797" w:rsidRPr="00F7769C">
        <w:rPr>
          <w:color w:val="000000" w:themeColor="text1"/>
        </w:rPr>
        <w:t>Table 14</w:t>
      </w:r>
      <w:r w:rsidR="006C47E3">
        <w:rPr>
          <w:rFonts w:cs="Arial"/>
        </w:rPr>
        <w:t xml:space="preserve">. We also </w:t>
      </w:r>
      <w:r w:rsidR="005D52DD">
        <w:rPr>
          <w:rFonts w:cs="Arial"/>
        </w:rPr>
        <w:t xml:space="preserve">expect to realise efficiencies </w:t>
      </w:r>
      <w:r w:rsidRPr="001F5515">
        <w:rPr>
          <w:rFonts w:cs="Arial"/>
        </w:rPr>
        <w:t xml:space="preserve">through </w:t>
      </w:r>
      <w:r w:rsidR="00F22BE9">
        <w:rPr>
          <w:rFonts w:cs="Arial"/>
        </w:rPr>
        <w:t xml:space="preserve">the </w:t>
      </w:r>
      <w:r w:rsidRPr="001F5515">
        <w:rPr>
          <w:rFonts w:cs="Arial"/>
        </w:rPr>
        <w:t>delivery of infrastructure programs in previous regulatory periods. Some examples include:</w:t>
      </w:r>
    </w:p>
    <w:p w14:paraId="459F3266" w14:textId="15115EC7" w:rsidR="00653642" w:rsidRPr="00653642" w:rsidRDefault="001F5515" w:rsidP="00BA0797">
      <w:pPr>
        <w:pStyle w:val="Bulletpointparagraph"/>
        <w:jc w:val="both"/>
        <w:rPr>
          <w:rStyle w:val="IntenseEmphasis"/>
          <w:i w:val="0"/>
          <w:iCs w:val="0"/>
          <w:color w:val="auto"/>
        </w:rPr>
      </w:pPr>
      <w:r w:rsidRPr="001F5515">
        <w:rPr>
          <w:rStyle w:val="IntenseEmphasis"/>
          <w:i w:val="0"/>
          <w:iCs w:val="0"/>
          <w:color w:val="auto"/>
        </w:rPr>
        <w:t xml:space="preserve">Modernisation of the Macalister Irrigation District and Werribee Irrigation District will generate significant water savings efficiencies through piped and automated distribution and delivery systems. The projects will also </w:t>
      </w:r>
      <w:r w:rsidR="00E7451D">
        <w:rPr>
          <w:rStyle w:val="IntenseEmphasis"/>
          <w:i w:val="0"/>
          <w:iCs w:val="0"/>
          <w:color w:val="auto"/>
        </w:rPr>
        <w:t xml:space="preserve">provide </w:t>
      </w:r>
      <w:r w:rsidR="00901727">
        <w:rPr>
          <w:rStyle w:val="IntenseEmphasis"/>
          <w:i w:val="0"/>
          <w:iCs w:val="0"/>
          <w:color w:val="auto"/>
        </w:rPr>
        <w:t xml:space="preserve">workforce </w:t>
      </w:r>
      <w:r w:rsidR="00E7451D">
        <w:rPr>
          <w:rStyle w:val="IntenseEmphasis"/>
          <w:i w:val="0"/>
          <w:iCs w:val="0"/>
          <w:color w:val="auto"/>
        </w:rPr>
        <w:t>productivity benefits</w:t>
      </w:r>
      <w:r w:rsidR="0039254E">
        <w:rPr>
          <w:rStyle w:val="IntenseEmphasis"/>
          <w:i w:val="0"/>
          <w:iCs w:val="0"/>
          <w:color w:val="auto"/>
        </w:rPr>
        <w:t xml:space="preserve"> and efficiencies</w:t>
      </w:r>
      <w:r w:rsidR="00E7451D">
        <w:rPr>
          <w:rStyle w:val="IntenseEmphasis"/>
          <w:i w:val="0"/>
          <w:iCs w:val="0"/>
          <w:color w:val="auto"/>
        </w:rPr>
        <w:t xml:space="preserve"> </w:t>
      </w:r>
      <w:r w:rsidR="00623AC6">
        <w:rPr>
          <w:rStyle w:val="IntenseEmphasis"/>
          <w:i w:val="0"/>
          <w:iCs w:val="0"/>
          <w:color w:val="auto"/>
        </w:rPr>
        <w:t xml:space="preserve">with </w:t>
      </w:r>
      <w:r w:rsidR="00FC724C" w:rsidRPr="00FC724C">
        <w:rPr>
          <w:rStyle w:val="IntenseEmphasis"/>
          <w:i w:val="0"/>
          <w:iCs w:val="0"/>
          <w:color w:val="auto"/>
        </w:rPr>
        <w:t>opportunit</w:t>
      </w:r>
      <w:r w:rsidR="00623AC6">
        <w:rPr>
          <w:rStyle w:val="IntenseEmphasis"/>
          <w:i w:val="0"/>
          <w:iCs w:val="0"/>
          <w:color w:val="auto"/>
        </w:rPr>
        <w:t>ies</w:t>
      </w:r>
      <w:r w:rsidR="00FC724C" w:rsidRPr="00FC724C">
        <w:rPr>
          <w:rStyle w:val="IntenseEmphasis"/>
          <w:i w:val="0"/>
          <w:iCs w:val="0"/>
          <w:color w:val="auto"/>
        </w:rPr>
        <w:t xml:space="preserve"> for improved system planning</w:t>
      </w:r>
      <w:r w:rsidR="00DB6EAC">
        <w:rPr>
          <w:rStyle w:val="IntenseEmphasis"/>
          <w:i w:val="0"/>
          <w:iCs w:val="0"/>
          <w:color w:val="auto"/>
        </w:rPr>
        <w:t xml:space="preserve"> and a reduction to the scale of</w:t>
      </w:r>
      <w:r w:rsidR="00FC724C" w:rsidRPr="00FC724C">
        <w:rPr>
          <w:rStyle w:val="IntenseEmphasis"/>
          <w:i w:val="0"/>
          <w:iCs w:val="0"/>
          <w:color w:val="auto"/>
        </w:rPr>
        <w:t xml:space="preserve"> manual operations</w:t>
      </w:r>
      <w:r w:rsidR="00FC724C">
        <w:rPr>
          <w:rStyle w:val="IntenseEmphasis"/>
          <w:i w:val="0"/>
          <w:iCs w:val="0"/>
          <w:color w:val="auto"/>
        </w:rPr>
        <w:t xml:space="preserve"> </w:t>
      </w:r>
      <w:r w:rsidR="00EF2E38">
        <w:rPr>
          <w:rStyle w:val="IntenseEmphasis"/>
          <w:i w:val="0"/>
          <w:iCs w:val="0"/>
          <w:color w:val="auto"/>
        </w:rPr>
        <w:t>and</w:t>
      </w:r>
      <w:r w:rsidR="00AD6950">
        <w:rPr>
          <w:rStyle w:val="IntenseEmphasis"/>
          <w:i w:val="0"/>
          <w:iCs w:val="0"/>
          <w:color w:val="auto"/>
        </w:rPr>
        <w:t xml:space="preserve"> </w:t>
      </w:r>
      <w:r w:rsidR="00653642" w:rsidRPr="00653642">
        <w:rPr>
          <w:rStyle w:val="IntenseEmphasis"/>
          <w:i w:val="0"/>
          <w:iCs w:val="0"/>
          <w:color w:val="auto"/>
        </w:rPr>
        <w:t>field maintenance.</w:t>
      </w:r>
      <w:r w:rsidR="00FC724C" w:rsidRPr="00FC724C">
        <w:t xml:space="preserve"> </w:t>
      </w:r>
    </w:p>
    <w:p w14:paraId="2BDFEEC8" w14:textId="3B2D90AC" w:rsidR="001F5515" w:rsidRPr="001F5515" w:rsidRDefault="001F5515" w:rsidP="00BA0797">
      <w:pPr>
        <w:pStyle w:val="Bulletpointparagraph"/>
        <w:jc w:val="both"/>
        <w:rPr>
          <w:rStyle w:val="IntenseEmphasis"/>
          <w:i w:val="0"/>
          <w:iCs w:val="0"/>
          <w:color w:val="auto"/>
        </w:rPr>
      </w:pPr>
      <w:r w:rsidRPr="001F5515">
        <w:rPr>
          <w:rStyle w:val="IntenseEmphasis"/>
          <w:i w:val="0"/>
          <w:iCs w:val="0"/>
          <w:color w:val="auto"/>
        </w:rPr>
        <w:t xml:space="preserve">Delivery of renewal projects as a series of rolling, multi-year </w:t>
      </w:r>
      <w:r w:rsidR="006C6CCB">
        <w:rPr>
          <w:rStyle w:val="IntenseEmphasis"/>
          <w:i w:val="0"/>
          <w:iCs w:val="0"/>
          <w:color w:val="auto"/>
        </w:rPr>
        <w:t xml:space="preserve">renewals </w:t>
      </w:r>
      <w:r w:rsidRPr="001F5515">
        <w:rPr>
          <w:rStyle w:val="IntenseEmphasis"/>
          <w:i w:val="0"/>
          <w:iCs w:val="0"/>
          <w:color w:val="auto"/>
        </w:rPr>
        <w:t>programs (MID Channel Reconstruction, MID Regulator Replacement</w:t>
      </w:r>
      <w:r w:rsidRPr="001F5515" w:rsidDel="006C6CCB">
        <w:rPr>
          <w:rStyle w:val="IntenseEmphasis"/>
          <w:i w:val="0"/>
          <w:iCs w:val="0"/>
          <w:color w:val="auto"/>
        </w:rPr>
        <w:t xml:space="preserve">, </w:t>
      </w:r>
      <w:r w:rsidRPr="001F5515">
        <w:rPr>
          <w:rStyle w:val="IntenseEmphasis"/>
          <w:i w:val="0"/>
          <w:iCs w:val="0"/>
          <w:color w:val="auto"/>
        </w:rPr>
        <w:t>etc.</w:t>
      </w:r>
      <w:r w:rsidR="006C6CCB">
        <w:rPr>
          <w:rStyle w:val="IntenseEmphasis"/>
          <w:i w:val="0"/>
          <w:iCs w:val="0"/>
          <w:color w:val="auto"/>
        </w:rPr>
        <w:t>)</w:t>
      </w:r>
      <w:r w:rsidR="0002111B">
        <w:rPr>
          <w:rStyle w:val="IntenseEmphasis"/>
          <w:i w:val="0"/>
          <w:iCs w:val="0"/>
          <w:color w:val="auto"/>
        </w:rPr>
        <w:t>:</w:t>
      </w:r>
    </w:p>
    <w:p w14:paraId="48D842E0" w14:textId="5E13EBE7" w:rsidR="001F5515" w:rsidRPr="001F5515" w:rsidRDefault="003F4458" w:rsidP="00BA0797">
      <w:pPr>
        <w:pStyle w:val="Bulletpointparagraph"/>
        <w:numPr>
          <w:ilvl w:val="1"/>
          <w:numId w:val="2"/>
        </w:numPr>
        <w:jc w:val="both"/>
        <w:rPr>
          <w:rStyle w:val="IntenseEmphasis"/>
          <w:i w:val="0"/>
          <w:iCs w:val="0"/>
          <w:color w:val="auto"/>
        </w:rPr>
      </w:pPr>
      <w:r>
        <w:rPr>
          <w:rStyle w:val="IntenseEmphasis"/>
          <w:i w:val="0"/>
          <w:iCs w:val="0"/>
          <w:color w:val="auto"/>
        </w:rPr>
        <w:t xml:space="preserve">The programs will be targeted and </w:t>
      </w:r>
      <w:r w:rsidR="00DF22E7">
        <w:rPr>
          <w:rStyle w:val="IntenseEmphasis"/>
          <w:i w:val="0"/>
          <w:iCs w:val="0"/>
          <w:color w:val="auto"/>
        </w:rPr>
        <w:t xml:space="preserve">based on </w:t>
      </w:r>
      <w:r w:rsidR="001F5515" w:rsidRPr="001F5515">
        <w:rPr>
          <w:rStyle w:val="IntenseEmphasis"/>
          <w:i w:val="0"/>
          <w:iCs w:val="0"/>
          <w:color w:val="auto"/>
        </w:rPr>
        <w:t>comprehensive condition assessment to ensure assets are treated due to condition rather than theoretical age.</w:t>
      </w:r>
    </w:p>
    <w:p w14:paraId="22835811" w14:textId="6E9C1D7D" w:rsidR="000728DA" w:rsidRDefault="00681C43" w:rsidP="00BA0797">
      <w:pPr>
        <w:pStyle w:val="Bulletpointparagraph"/>
        <w:numPr>
          <w:ilvl w:val="1"/>
          <w:numId w:val="2"/>
        </w:numPr>
        <w:jc w:val="both"/>
        <w:rPr>
          <w:rStyle w:val="IntenseEmphasis"/>
          <w:i w:val="0"/>
          <w:iCs w:val="0"/>
          <w:color w:val="auto"/>
        </w:rPr>
      </w:pPr>
      <w:r>
        <w:rPr>
          <w:rStyle w:val="IntenseEmphasis"/>
          <w:i w:val="0"/>
          <w:iCs w:val="0"/>
          <w:color w:val="auto"/>
        </w:rPr>
        <w:t xml:space="preserve">The experience and learnings from </w:t>
      </w:r>
      <w:r w:rsidR="008243FF">
        <w:rPr>
          <w:rStyle w:val="IntenseEmphasis"/>
          <w:i w:val="0"/>
          <w:iCs w:val="0"/>
          <w:color w:val="auto"/>
        </w:rPr>
        <w:t>renewal works in previous regulatory periods will be leveraged</w:t>
      </w:r>
      <w:r w:rsidR="009678E4">
        <w:rPr>
          <w:rStyle w:val="IntenseEmphasis"/>
          <w:i w:val="0"/>
          <w:iCs w:val="0"/>
          <w:color w:val="auto"/>
        </w:rPr>
        <w:t xml:space="preserve"> to inform</w:t>
      </w:r>
      <w:r w:rsidR="001F5515" w:rsidRPr="001F5515">
        <w:rPr>
          <w:rStyle w:val="IntenseEmphasis"/>
          <w:i w:val="0"/>
          <w:iCs w:val="0"/>
          <w:color w:val="auto"/>
        </w:rPr>
        <w:t xml:space="preserve"> </w:t>
      </w:r>
      <w:r w:rsidR="009678E4">
        <w:rPr>
          <w:rStyle w:val="IntenseEmphasis"/>
          <w:i w:val="0"/>
          <w:iCs w:val="0"/>
          <w:color w:val="auto"/>
        </w:rPr>
        <w:t xml:space="preserve">the </w:t>
      </w:r>
      <w:r w:rsidR="001F5515" w:rsidRPr="001F5515">
        <w:rPr>
          <w:rStyle w:val="IntenseEmphasis"/>
          <w:i w:val="0"/>
          <w:iCs w:val="0"/>
          <w:color w:val="auto"/>
        </w:rPr>
        <w:t xml:space="preserve">methodology and scope to ensure the most </w:t>
      </w:r>
      <w:r w:rsidR="00DB7330">
        <w:rPr>
          <w:rStyle w:val="IntenseEmphasis"/>
          <w:i w:val="0"/>
          <w:iCs w:val="0"/>
          <w:color w:val="auto"/>
        </w:rPr>
        <w:t>cost</w:t>
      </w:r>
      <w:r w:rsidR="001F6980">
        <w:rPr>
          <w:rStyle w:val="IntenseEmphasis"/>
          <w:i w:val="0"/>
          <w:iCs w:val="0"/>
          <w:color w:val="auto"/>
        </w:rPr>
        <w:t>-</w:t>
      </w:r>
      <w:r w:rsidR="001F5515" w:rsidRPr="001F5515">
        <w:rPr>
          <w:rStyle w:val="IntenseEmphasis"/>
          <w:i w:val="0"/>
          <w:iCs w:val="0"/>
          <w:color w:val="auto"/>
        </w:rPr>
        <w:t>efficient solution/s</w:t>
      </w:r>
      <w:r w:rsidR="00DB7330">
        <w:rPr>
          <w:rStyle w:val="IntenseEmphasis"/>
          <w:i w:val="0"/>
          <w:iCs w:val="0"/>
          <w:color w:val="auto"/>
        </w:rPr>
        <w:t xml:space="preserve"> are implemented</w:t>
      </w:r>
      <w:r w:rsidR="0002111B">
        <w:rPr>
          <w:rStyle w:val="IntenseEmphasis"/>
          <w:i w:val="0"/>
          <w:iCs w:val="0"/>
          <w:color w:val="auto"/>
        </w:rPr>
        <w:t>.</w:t>
      </w:r>
      <w:r w:rsidR="00DB7330">
        <w:rPr>
          <w:rStyle w:val="IntenseEmphasis"/>
          <w:i w:val="0"/>
          <w:iCs w:val="0"/>
          <w:color w:val="auto"/>
        </w:rPr>
        <w:t xml:space="preserve"> </w:t>
      </w:r>
    </w:p>
    <w:p w14:paraId="784B35C9" w14:textId="1EA8F100" w:rsidR="001F5515" w:rsidRPr="00F46546" w:rsidRDefault="001F6980" w:rsidP="00BA0797">
      <w:pPr>
        <w:pStyle w:val="Bulletpointparagraph"/>
        <w:numPr>
          <w:ilvl w:val="1"/>
          <w:numId w:val="2"/>
        </w:numPr>
        <w:jc w:val="both"/>
        <w:rPr>
          <w:rStyle w:val="IntenseEmphasis"/>
          <w:i w:val="0"/>
          <w:iCs w:val="0"/>
          <w:color w:val="auto"/>
        </w:rPr>
      </w:pPr>
      <w:r w:rsidRPr="00F46546">
        <w:rPr>
          <w:rStyle w:val="IntenseEmphasis"/>
          <w:i w:val="0"/>
          <w:iCs w:val="0"/>
          <w:color w:val="auto"/>
        </w:rPr>
        <w:t xml:space="preserve">The longevity of these programs will enable </w:t>
      </w:r>
      <w:r w:rsidR="00B22677" w:rsidRPr="00F46546">
        <w:rPr>
          <w:rStyle w:val="IntenseEmphasis"/>
          <w:i w:val="0"/>
          <w:iCs w:val="0"/>
          <w:color w:val="auto"/>
        </w:rPr>
        <w:t>ongoing learnings to be realised and</w:t>
      </w:r>
      <w:r w:rsidR="00F46546">
        <w:rPr>
          <w:rStyle w:val="IntenseEmphasis"/>
          <w:i w:val="0"/>
          <w:iCs w:val="0"/>
          <w:color w:val="auto"/>
        </w:rPr>
        <w:t xml:space="preserve"> </w:t>
      </w:r>
      <w:r w:rsidR="001F5515" w:rsidRPr="00F46546">
        <w:rPr>
          <w:rStyle w:val="IntenseEmphasis"/>
          <w:i w:val="0"/>
          <w:iCs w:val="0"/>
          <w:color w:val="auto"/>
        </w:rPr>
        <w:t>applied through the life of the program</w:t>
      </w:r>
      <w:r w:rsidR="0002111B" w:rsidRPr="00F46546">
        <w:rPr>
          <w:rStyle w:val="IntenseEmphasis"/>
          <w:i w:val="0"/>
          <w:iCs w:val="0"/>
          <w:color w:val="auto"/>
        </w:rPr>
        <w:t>.</w:t>
      </w:r>
    </w:p>
    <w:p w14:paraId="3325E15C" w14:textId="77777777" w:rsidR="00505E23" w:rsidRDefault="001F5515" w:rsidP="00BA0797">
      <w:pPr>
        <w:pStyle w:val="Bulletpointparagraph"/>
        <w:numPr>
          <w:ilvl w:val="1"/>
          <w:numId w:val="2"/>
        </w:numPr>
        <w:jc w:val="both"/>
        <w:rPr>
          <w:rStyle w:val="IntenseEmphasis"/>
          <w:i w:val="0"/>
          <w:iCs w:val="0"/>
          <w:color w:val="auto"/>
        </w:rPr>
      </w:pPr>
      <w:r w:rsidRPr="001F5515">
        <w:rPr>
          <w:rStyle w:val="IntenseEmphasis"/>
          <w:i w:val="0"/>
          <w:iCs w:val="0"/>
          <w:color w:val="auto"/>
        </w:rPr>
        <w:t>Reduces the risk of climatic interruptions.</w:t>
      </w:r>
    </w:p>
    <w:p w14:paraId="785B5EDF" w14:textId="24AF8430" w:rsidR="001F5515" w:rsidRPr="001F5515" w:rsidRDefault="00901727" w:rsidP="00BA0797">
      <w:pPr>
        <w:pStyle w:val="Bulletpointparagraph"/>
        <w:numPr>
          <w:ilvl w:val="1"/>
          <w:numId w:val="2"/>
        </w:numPr>
        <w:jc w:val="both"/>
        <w:rPr>
          <w:rStyle w:val="IntenseEmphasis"/>
          <w:i w:val="0"/>
          <w:iCs w:val="0"/>
          <w:color w:val="auto"/>
        </w:rPr>
      </w:pPr>
      <w:r>
        <w:rPr>
          <w:rStyle w:val="IntenseEmphasis"/>
          <w:i w:val="0"/>
          <w:iCs w:val="0"/>
          <w:color w:val="auto"/>
        </w:rPr>
        <w:t xml:space="preserve">Workforce efficiencies </w:t>
      </w:r>
      <w:r w:rsidR="00312164">
        <w:rPr>
          <w:rStyle w:val="IntenseEmphasis"/>
          <w:i w:val="0"/>
          <w:iCs w:val="0"/>
          <w:color w:val="auto"/>
        </w:rPr>
        <w:t xml:space="preserve">will be realised </w:t>
      </w:r>
      <w:r w:rsidR="007677B4">
        <w:rPr>
          <w:rStyle w:val="IntenseEmphasis"/>
          <w:i w:val="0"/>
          <w:iCs w:val="0"/>
          <w:color w:val="auto"/>
        </w:rPr>
        <w:t>as multi-year programs will</w:t>
      </w:r>
      <w:r w:rsidR="00D3212D">
        <w:rPr>
          <w:rStyle w:val="IntenseEmphasis"/>
          <w:i w:val="0"/>
          <w:iCs w:val="0"/>
          <w:color w:val="auto"/>
        </w:rPr>
        <w:t xml:space="preserve"> reduce </w:t>
      </w:r>
      <w:r w:rsidR="009756EA">
        <w:rPr>
          <w:rStyle w:val="IntenseEmphasis"/>
          <w:i w:val="0"/>
          <w:iCs w:val="0"/>
          <w:color w:val="auto"/>
        </w:rPr>
        <w:t xml:space="preserve">procurement </w:t>
      </w:r>
      <w:r w:rsidR="001D704B">
        <w:rPr>
          <w:rStyle w:val="IntenseEmphasis"/>
          <w:i w:val="0"/>
          <w:iCs w:val="0"/>
          <w:color w:val="auto"/>
        </w:rPr>
        <w:t>administration and management</w:t>
      </w:r>
      <w:r w:rsidR="002476D2">
        <w:rPr>
          <w:rStyle w:val="IntenseEmphasis"/>
          <w:i w:val="0"/>
          <w:iCs w:val="0"/>
          <w:color w:val="auto"/>
        </w:rPr>
        <w:t>, and</w:t>
      </w:r>
      <w:r w:rsidR="009756EA">
        <w:rPr>
          <w:rStyle w:val="IntenseEmphasis"/>
          <w:i w:val="0"/>
          <w:iCs w:val="0"/>
          <w:color w:val="auto"/>
        </w:rPr>
        <w:t xml:space="preserve"> </w:t>
      </w:r>
      <w:r w:rsidR="002476D2">
        <w:rPr>
          <w:rStyle w:val="IntenseEmphasis"/>
          <w:i w:val="0"/>
          <w:iCs w:val="0"/>
          <w:color w:val="auto"/>
        </w:rPr>
        <w:t xml:space="preserve">program </w:t>
      </w:r>
      <w:r w:rsidR="009756EA">
        <w:rPr>
          <w:rStyle w:val="IntenseEmphasis"/>
          <w:i w:val="0"/>
          <w:iCs w:val="0"/>
          <w:color w:val="auto"/>
        </w:rPr>
        <w:t>management</w:t>
      </w:r>
      <w:r w:rsidR="001F5515" w:rsidRPr="001F5515">
        <w:rPr>
          <w:rStyle w:val="IntenseEmphasis"/>
          <w:i w:val="0"/>
          <w:iCs w:val="0"/>
          <w:color w:val="auto"/>
        </w:rPr>
        <w:t xml:space="preserve"> </w:t>
      </w:r>
      <w:r w:rsidR="00C308F0">
        <w:rPr>
          <w:rStyle w:val="IntenseEmphasis"/>
          <w:i w:val="0"/>
          <w:iCs w:val="0"/>
          <w:color w:val="auto"/>
        </w:rPr>
        <w:t>efficiencies will be realised and applied</w:t>
      </w:r>
      <w:r w:rsidR="008D121B">
        <w:rPr>
          <w:rStyle w:val="IntenseEmphasis"/>
          <w:i w:val="0"/>
          <w:iCs w:val="0"/>
          <w:color w:val="auto"/>
        </w:rPr>
        <w:t xml:space="preserve"> through the life of the program.</w:t>
      </w:r>
    </w:p>
    <w:p w14:paraId="64537EC8" w14:textId="792EEC36" w:rsidR="001F5515" w:rsidRPr="001F5515" w:rsidRDefault="001F5515" w:rsidP="00BA0797">
      <w:pPr>
        <w:pStyle w:val="Bulletpointparagraph"/>
        <w:jc w:val="both"/>
        <w:rPr>
          <w:rStyle w:val="IntenseEmphasis"/>
          <w:i w:val="0"/>
          <w:iCs w:val="0"/>
          <w:color w:val="auto"/>
        </w:rPr>
      </w:pPr>
      <w:r w:rsidRPr="001F5515">
        <w:rPr>
          <w:rStyle w:val="IntenseEmphasis"/>
          <w:i w:val="0"/>
          <w:iCs w:val="0"/>
          <w:color w:val="auto"/>
        </w:rPr>
        <w:t xml:space="preserve">Water savings efficiencies through reduction of leaks in critical distribution assets, including Southern Main Carrier Concrete Flume Joint Repair project, and the Tunnel No. 5 renewal project. </w:t>
      </w:r>
      <w:r w:rsidR="005A0CC2">
        <w:rPr>
          <w:rStyle w:val="IntenseEmphasis"/>
          <w:i w:val="0"/>
          <w:iCs w:val="0"/>
          <w:color w:val="auto"/>
        </w:rPr>
        <w:t>T</w:t>
      </w:r>
      <w:r w:rsidRPr="001F5515">
        <w:rPr>
          <w:rStyle w:val="IntenseEmphasis"/>
          <w:i w:val="0"/>
          <w:iCs w:val="0"/>
          <w:color w:val="auto"/>
        </w:rPr>
        <w:t>hese projects are expected to deliver water savings in the order of 4000</w:t>
      </w:r>
      <w:r w:rsidR="0002111B">
        <w:rPr>
          <w:rStyle w:val="IntenseEmphasis"/>
          <w:i w:val="0"/>
          <w:iCs w:val="0"/>
          <w:color w:val="auto"/>
        </w:rPr>
        <w:t xml:space="preserve"> </w:t>
      </w:r>
      <w:r w:rsidRPr="001F5515">
        <w:rPr>
          <w:rStyle w:val="IntenseEmphasis"/>
          <w:i w:val="0"/>
          <w:iCs w:val="0"/>
          <w:color w:val="auto"/>
        </w:rPr>
        <w:t>M</w:t>
      </w:r>
      <w:r w:rsidR="0002111B">
        <w:rPr>
          <w:rStyle w:val="IntenseEmphasis"/>
          <w:i w:val="0"/>
          <w:iCs w:val="0"/>
          <w:color w:val="auto"/>
        </w:rPr>
        <w:t>L</w:t>
      </w:r>
      <w:r w:rsidRPr="001F5515">
        <w:rPr>
          <w:rStyle w:val="IntenseEmphasis"/>
          <w:i w:val="0"/>
          <w:iCs w:val="0"/>
          <w:color w:val="auto"/>
        </w:rPr>
        <w:t xml:space="preserve"> per annum.</w:t>
      </w:r>
    </w:p>
    <w:p w14:paraId="72339C8A" w14:textId="336526C3" w:rsidR="001F5515" w:rsidRPr="001F5515" w:rsidRDefault="001F5515" w:rsidP="00BA0797">
      <w:pPr>
        <w:pStyle w:val="Bulletpointparagraph"/>
        <w:jc w:val="both"/>
        <w:rPr>
          <w:rStyle w:val="IntenseEmphasis"/>
          <w:i w:val="0"/>
          <w:iCs w:val="0"/>
          <w:color w:val="auto"/>
        </w:rPr>
      </w:pPr>
      <w:r w:rsidRPr="001F5515">
        <w:rPr>
          <w:rStyle w:val="IntenseEmphasis"/>
          <w:i w:val="0"/>
          <w:iCs w:val="0"/>
          <w:color w:val="auto"/>
        </w:rPr>
        <w:t xml:space="preserve">MID </w:t>
      </w:r>
      <w:r w:rsidR="00A97A55">
        <w:rPr>
          <w:rStyle w:val="IntenseEmphasis"/>
          <w:i w:val="0"/>
          <w:iCs w:val="0"/>
          <w:color w:val="auto"/>
        </w:rPr>
        <w:t>r</w:t>
      </w:r>
      <w:r w:rsidRPr="001F5515">
        <w:rPr>
          <w:rStyle w:val="IntenseEmphasis"/>
          <w:i w:val="0"/>
          <w:iCs w:val="0"/>
          <w:color w:val="auto"/>
        </w:rPr>
        <w:t xml:space="preserve">egulator </w:t>
      </w:r>
      <w:r w:rsidR="00A97A55">
        <w:rPr>
          <w:rStyle w:val="IntenseEmphasis"/>
          <w:i w:val="0"/>
          <w:iCs w:val="0"/>
          <w:color w:val="auto"/>
        </w:rPr>
        <w:t>r</w:t>
      </w:r>
      <w:r w:rsidRPr="001F5515">
        <w:rPr>
          <w:rStyle w:val="IntenseEmphasis"/>
          <w:i w:val="0"/>
          <w:iCs w:val="0"/>
          <w:color w:val="auto"/>
        </w:rPr>
        <w:t xml:space="preserve">eplacement program is expected to </w:t>
      </w:r>
      <w:r w:rsidR="00B242AE">
        <w:rPr>
          <w:rStyle w:val="IntenseEmphasis"/>
          <w:i w:val="0"/>
          <w:iCs w:val="0"/>
          <w:color w:val="auto"/>
        </w:rPr>
        <w:t xml:space="preserve">provide </w:t>
      </w:r>
      <w:r w:rsidR="00DF73EE">
        <w:rPr>
          <w:rStyle w:val="IntenseEmphasis"/>
          <w:i w:val="0"/>
          <w:iCs w:val="0"/>
          <w:color w:val="auto"/>
        </w:rPr>
        <w:t xml:space="preserve">workforce </w:t>
      </w:r>
      <w:r w:rsidR="00B242AE">
        <w:rPr>
          <w:rStyle w:val="IntenseEmphasis"/>
          <w:i w:val="0"/>
          <w:iCs w:val="0"/>
          <w:color w:val="auto"/>
        </w:rPr>
        <w:t>productivity benefits and</w:t>
      </w:r>
      <w:r w:rsidR="00DF73EE">
        <w:rPr>
          <w:rStyle w:val="IntenseEmphasis"/>
          <w:i w:val="0"/>
          <w:iCs w:val="0"/>
          <w:color w:val="auto"/>
        </w:rPr>
        <w:t xml:space="preserve"> cost savings</w:t>
      </w:r>
      <w:r w:rsidRPr="001F5515">
        <w:rPr>
          <w:rStyle w:val="IntenseEmphasis"/>
          <w:i w:val="0"/>
          <w:iCs w:val="0"/>
          <w:color w:val="auto"/>
        </w:rPr>
        <w:t>.</w:t>
      </w:r>
      <w:r w:rsidR="00FF6B72" w:rsidRPr="00FF6B72">
        <w:t xml:space="preserve"> </w:t>
      </w:r>
      <w:r w:rsidR="00BF4685">
        <w:t>This c</w:t>
      </w:r>
      <w:r w:rsidR="00FF6B72" w:rsidRPr="00FF6B72">
        <w:rPr>
          <w:rStyle w:val="IntenseEmphasis"/>
          <w:i w:val="0"/>
          <w:iCs w:val="0"/>
          <w:color w:val="auto"/>
        </w:rPr>
        <w:t xml:space="preserve">ontemporary asset management </w:t>
      </w:r>
      <w:r w:rsidR="00BF4685">
        <w:rPr>
          <w:rStyle w:val="IntenseEmphasis"/>
          <w:i w:val="0"/>
          <w:iCs w:val="0"/>
          <w:color w:val="auto"/>
        </w:rPr>
        <w:t>approach</w:t>
      </w:r>
      <w:r w:rsidR="00FF6B72" w:rsidRPr="00FF6B72">
        <w:rPr>
          <w:rStyle w:val="IntenseEmphasis"/>
          <w:i w:val="0"/>
          <w:iCs w:val="0"/>
          <w:color w:val="auto"/>
        </w:rPr>
        <w:t xml:space="preserve"> </w:t>
      </w:r>
      <w:r w:rsidR="001920BB">
        <w:rPr>
          <w:rStyle w:val="IntenseEmphasis"/>
          <w:i w:val="0"/>
          <w:iCs w:val="0"/>
          <w:color w:val="auto"/>
        </w:rPr>
        <w:t xml:space="preserve">will </w:t>
      </w:r>
      <w:r w:rsidR="00FF6B72" w:rsidRPr="00FF6B72">
        <w:rPr>
          <w:rStyle w:val="IntenseEmphasis"/>
          <w:i w:val="0"/>
          <w:iCs w:val="0"/>
          <w:color w:val="auto"/>
        </w:rPr>
        <w:t>allow better scheduling of works to avoid responsive maintenance</w:t>
      </w:r>
      <w:r w:rsidR="0018607F">
        <w:rPr>
          <w:rStyle w:val="IntenseEmphasis"/>
          <w:i w:val="0"/>
          <w:iCs w:val="0"/>
          <w:color w:val="auto"/>
        </w:rPr>
        <w:t>. This will reduce</w:t>
      </w:r>
      <w:r w:rsidR="002D4905" w:rsidRPr="001F5515">
        <w:rPr>
          <w:rStyle w:val="IntenseEmphasis"/>
          <w:i w:val="0"/>
          <w:iCs w:val="0"/>
          <w:color w:val="auto"/>
        </w:rPr>
        <w:t xml:space="preserve"> operator travel and out of hours call outs due to failed infrastructure</w:t>
      </w:r>
      <w:r w:rsidR="009A7209">
        <w:rPr>
          <w:rStyle w:val="IntenseEmphasis"/>
          <w:i w:val="0"/>
          <w:iCs w:val="0"/>
          <w:color w:val="auto"/>
        </w:rPr>
        <w:t>.</w:t>
      </w:r>
    </w:p>
    <w:p w14:paraId="415128B6" w14:textId="0AB48EAC" w:rsidR="00DE2B02" w:rsidRDefault="229ADE9F" w:rsidP="00BA0797">
      <w:pPr>
        <w:pStyle w:val="Bulletpointparagraph"/>
        <w:jc w:val="both"/>
        <w:rPr>
          <w:rStyle w:val="IntenseEmphasis"/>
          <w:i w:val="0"/>
          <w:iCs w:val="0"/>
          <w:color w:val="auto"/>
        </w:rPr>
      </w:pPr>
      <w:r w:rsidRPr="6B20A4EE">
        <w:rPr>
          <w:rStyle w:val="IntenseEmphasis"/>
          <w:i w:val="0"/>
          <w:iCs w:val="0"/>
          <w:color w:val="auto"/>
        </w:rPr>
        <w:t>A</w:t>
      </w:r>
      <w:r w:rsidR="5BEE98B8" w:rsidRPr="6B20A4EE">
        <w:rPr>
          <w:rStyle w:val="IntenseEmphasis"/>
          <w:i w:val="0"/>
          <w:iCs w:val="0"/>
          <w:color w:val="auto"/>
        </w:rPr>
        <w:t>utomation</w:t>
      </w:r>
      <w:r w:rsidR="001F5515" w:rsidRPr="001F5515">
        <w:rPr>
          <w:rStyle w:val="IntenseEmphasis"/>
          <w:i w:val="0"/>
          <w:iCs w:val="0"/>
          <w:color w:val="auto"/>
        </w:rPr>
        <w:t xml:space="preserve"> of our asset base </w:t>
      </w:r>
      <w:r w:rsidR="5EDFBA88" w:rsidRPr="6B20A4EE">
        <w:rPr>
          <w:rStyle w:val="IntenseEmphasis"/>
          <w:i w:val="0"/>
          <w:iCs w:val="0"/>
          <w:color w:val="auto"/>
        </w:rPr>
        <w:t>to</w:t>
      </w:r>
      <w:r w:rsidR="001F5515" w:rsidRPr="001F5515">
        <w:rPr>
          <w:rStyle w:val="IntenseEmphasis"/>
          <w:i w:val="0"/>
          <w:iCs w:val="0"/>
          <w:color w:val="auto"/>
        </w:rPr>
        <w:t xml:space="preserve"> enable </w:t>
      </w:r>
      <w:r w:rsidR="000D2581">
        <w:rPr>
          <w:rStyle w:val="IntenseEmphasis"/>
          <w:i w:val="0"/>
          <w:iCs w:val="0"/>
          <w:color w:val="auto"/>
        </w:rPr>
        <w:t xml:space="preserve">workforce </w:t>
      </w:r>
      <w:r w:rsidR="001F5515" w:rsidRPr="001F5515">
        <w:rPr>
          <w:rStyle w:val="IntenseEmphasis"/>
          <w:i w:val="0"/>
          <w:iCs w:val="0"/>
          <w:color w:val="auto"/>
        </w:rPr>
        <w:t>operational efficiencies to be realised</w:t>
      </w:r>
      <w:r w:rsidR="002E3E66">
        <w:rPr>
          <w:rStyle w:val="IntenseEmphasis"/>
          <w:i w:val="0"/>
          <w:iCs w:val="0"/>
          <w:color w:val="auto"/>
        </w:rPr>
        <w:t>, such as a reduction in the number of manual meter reads</w:t>
      </w:r>
      <w:r w:rsidR="001F5515" w:rsidRPr="001F5515">
        <w:rPr>
          <w:rStyle w:val="IntenseEmphasis"/>
          <w:i w:val="0"/>
          <w:iCs w:val="0"/>
          <w:color w:val="auto"/>
        </w:rPr>
        <w:t>.</w:t>
      </w:r>
    </w:p>
    <w:p w14:paraId="77CBF61F" w14:textId="2F2EA99C" w:rsidR="0002111B" w:rsidRPr="00192F41" w:rsidRDefault="0002111B" w:rsidP="0002111B">
      <w:pPr>
        <w:pStyle w:val="Heading2"/>
        <w:rPr>
          <w:rFonts w:cs="Arial"/>
        </w:rPr>
      </w:pPr>
      <w:r>
        <w:rPr>
          <w:rFonts w:cs="Arial"/>
        </w:rPr>
        <w:t>C</w:t>
      </w:r>
      <w:r w:rsidR="00AE364E">
        <w:rPr>
          <w:rFonts w:cs="Arial"/>
        </w:rPr>
        <w:t>apacity to deliver</w:t>
      </w:r>
    </w:p>
    <w:p w14:paraId="4874341B" w14:textId="42137668" w:rsidR="006B39F4" w:rsidRDefault="050BEC5C" w:rsidP="00BA0797">
      <w:pPr>
        <w:jc w:val="both"/>
        <w:rPr>
          <w:rFonts w:cs="Arial"/>
        </w:rPr>
      </w:pPr>
      <w:r w:rsidRPr="6B20A4EE">
        <w:rPr>
          <w:rFonts w:eastAsia="Arial" w:cs="Arial"/>
        </w:rPr>
        <w:t xml:space="preserve">Based on our previous experience we have strong evidence to support that we have the capacity to deliver our proposed capital expenditure program over this regulatory period. </w:t>
      </w:r>
      <w:r w:rsidR="006B39F4" w:rsidRPr="006B39F4">
        <w:rPr>
          <w:rFonts w:cs="Arial"/>
        </w:rPr>
        <w:t xml:space="preserve">While the proposed capital expenditure represents a </w:t>
      </w:r>
      <w:r w:rsidR="008B4229">
        <w:rPr>
          <w:rFonts w:cs="Arial"/>
        </w:rPr>
        <w:t>24</w:t>
      </w:r>
      <w:r w:rsidR="006B39F4" w:rsidRPr="006B39F4">
        <w:rPr>
          <w:rFonts w:cs="Arial"/>
        </w:rPr>
        <w:t xml:space="preserve">% reduction on the projected </w:t>
      </w:r>
      <w:r w:rsidR="7DB70299" w:rsidRPr="6B20A4EE">
        <w:rPr>
          <w:rFonts w:cs="Arial"/>
        </w:rPr>
        <w:t xml:space="preserve">actual </w:t>
      </w:r>
      <w:r w:rsidR="006B39F4" w:rsidRPr="006B39F4">
        <w:rPr>
          <w:rFonts w:cs="Arial"/>
        </w:rPr>
        <w:t xml:space="preserve">capital expenditure of the previous period, we will continue to pursue opportunities to support the successful delivery of the proposed program. We will leverage strategic procurement opportunities, including the development of rolling multi-year programs for the delivery of renewal projects. This will generate significant procurement and project management efficiencies. </w:t>
      </w:r>
      <w:r w:rsidR="006B39F4">
        <w:tab/>
      </w:r>
      <w:r w:rsidR="006B39F4">
        <w:tab/>
      </w:r>
    </w:p>
    <w:p w14:paraId="5C2AFA2A" w14:textId="023DBCD0" w:rsidR="0002111B" w:rsidRPr="00BD4897" w:rsidRDefault="00BD4897" w:rsidP="00BA0797">
      <w:pPr>
        <w:jc w:val="both"/>
        <w:rPr>
          <w:rFonts w:cs="Arial"/>
        </w:rPr>
      </w:pPr>
      <w:r w:rsidRPr="00BD4897">
        <w:rPr>
          <w:rFonts w:cs="Arial"/>
        </w:rPr>
        <w:t>Furthermore, approximately $</w:t>
      </w:r>
      <w:r w:rsidR="006B222E">
        <w:rPr>
          <w:rFonts w:cs="Arial"/>
        </w:rPr>
        <w:t>39.8</w:t>
      </w:r>
      <w:r w:rsidR="00F07815">
        <w:rPr>
          <w:rFonts w:cs="Arial"/>
        </w:rPr>
        <w:t xml:space="preserve"> </w:t>
      </w:r>
      <w:r w:rsidR="70BAC073" w:rsidRPr="4B87EE99">
        <w:rPr>
          <w:rFonts w:cs="Arial"/>
        </w:rPr>
        <w:t>m</w:t>
      </w:r>
      <w:r w:rsidR="00F07815">
        <w:rPr>
          <w:rFonts w:cs="Arial"/>
        </w:rPr>
        <w:t>illion</w:t>
      </w:r>
      <w:r w:rsidR="70BAC073" w:rsidRPr="4B87EE99">
        <w:rPr>
          <w:rFonts w:cs="Arial"/>
        </w:rPr>
        <w:t xml:space="preserve"> (3</w:t>
      </w:r>
      <w:r w:rsidR="006B222E">
        <w:rPr>
          <w:rFonts w:cs="Arial"/>
        </w:rPr>
        <w:t>8</w:t>
      </w:r>
      <w:r w:rsidRPr="00BD4897">
        <w:rPr>
          <w:rFonts w:cs="Arial"/>
        </w:rPr>
        <w:t xml:space="preserve">% of the capital expenditure program) is associated with existing projects that are well progressed. </w:t>
      </w:r>
      <w:r w:rsidRPr="4F97E9CC">
        <w:rPr>
          <w:rFonts w:cs="Arial"/>
        </w:rPr>
        <w:t>$3</w:t>
      </w:r>
      <w:r w:rsidR="00EE7C67">
        <w:rPr>
          <w:rFonts w:cs="Arial"/>
        </w:rPr>
        <w:t>5.5</w:t>
      </w:r>
      <w:r w:rsidR="00F07815">
        <w:rPr>
          <w:rFonts w:cs="Arial"/>
        </w:rPr>
        <w:t xml:space="preserve"> </w:t>
      </w:r>
      <w:r w:rsidRPr="4F97E9CC">
        <w:rPr>
          <w:rFonts w:cs="Arial"/>
        </w:rPr>
        <w:t>m</w:t>
      </w:r>
      <w:r w:rsidR="00F07815">
        <w:rPr>
          <w:rFonts w:cs="Arial"/>
        </w:rPr>
        <w:t>illion</w:t>
      </w:r>
      <w:r w:rsidRPr="00BD4897">
        <w:rPr>
          <w:rFonts w:cs="Arial"/>
        </w:rPr>
        <w:t xml:space="preserve"> is associated with the MID and WID Modernisation projects, which have </w:t>
      </w:r>
      <w:r w:rsidR="00A44005">
        <w:rPr>
          <w:rFonts w:cs="Arial"/>
        </w:rPr>
        <w:t xml:space="preserve">already </w:t>
      </w:r>
      <w:r w:rsidRPr="00BD4897">
        <w:rPr>
          <w:rFonts w:cs="Arial"/>
        </w:rPr>
        <w:t>been designed and tendered.</w:t>
      </w:r>
    </w:p>
    <w:p w14:paraId="192BCDDD" w14:textId="159A0A63" w:rsidR="002C679D" w:rsidRDefault="1E969A00" w:rsidP="00BA0797">
      <w:pPr>
        <w:jc w:val="both"/>
        <w:rPr>
          <w:rFonts w:cs="Arial"/>
        </w:rPr>
      </w:pPr>
      <w:r w:rsidRPr="3737D7C9">
        <w:rPr>
          <w:rFonts w:cs="Arial"/>
        </w:rPr>
        <w:t>Capability to deliver capital expenditure is bolstere</w:t>
      </w:r>
      <w:r w:rsidR="53867FEC" w:rsidRPr="3737D7C9">
        <w:rPr>
          <w:rFonts w:cs="Arial"/>
        </w:rPr>
        <w:t xml:space="preserve">d by having a large portion of </w:t>
      </w:r>
      <w:r w:rsidR="00A44005">
        <w:rPr>
          <w:rFonts w:cs="Arial"/>
        </w:rPr>
        <w:t xml:space="preserve">the </w:t>
      </w:r>
      <w:r w:rsidR="53867FEC" w:rsidRPr="3737D7C9">
        <w:rPr>
          <w:rFonts w:cs="Arial"/>
        </w:rPr>
        <w:t>spend forecast within well-developed projects (tendered and ready for delivery) in</w:t>
      </w:r>
      <w:r w:rsidR="4F7073C2" w:rsidRPr="3737D7C9">
        <w:rPr>
          <w:rFonts w:cs="Arial"/>
        </w:rPr>
        <w:t xml:space="preserve"> the first two years of the pric</w:t>
      </w:r>
      <w:r w:rsidR="00BA1F49">
        <w:rPr>
          <w:rFonts w:cs="Arial"/>
        </w:rPr>
        <w:t>e</w:t>
      </w:r>
      <w:r w:rsidR="4F7073C2" w:rsidRPr="3737D7C9">
        <w:rPr>
          <w:rFonts w:cs="Arial"/>
        </w:rPr>
        <w:t xml:space="preserve"> submission. The capex program forecasts an even spend profile following the initial high activity due to the carry-over of the established modernisation projects.</w:t>
      </w:r>
    </w:p>
    <w:p w14:paraId="518D4644" w14:textId="77777777" w:rsidR="002C679D" w:rsidRDefault="002C679D">
      <w:pPr>
        <w:rPr>
          <w:rFonts w:cs="Arial"/>
        </w:rPr>
      </w:pPr>
      <w:r>
        <w:rPr>
          <w:rFonts w:cs="Arial"/>
        </w:rPr>
        <w:br w:type="page"/>
      </w:r>
    </w:p>
    <w:p w14:paraId="15835C90" w14:textId="3F132CAE" w:rsidR="00C27F82" w:rsidRPr="00192F41" w:rsidDel="00BD4897" w:rsidRDefault="00C27F82" w:rsidP="00825A63">
      <w:pPr>
        <w:pStyle w:val="Heading2"/>
        <w:rPr>
          <w:rFonts w:cs="Arial"/>
        </w:rPr>
      </w:pPr>
      <w:r w:rsidRPr="00192F41" w:rsidDel="00BD4897">
        <w:rPr>
          <w:rFonts w:cs="Arial"/>
        </w:rPr>
        <w:t>Capital forecast</w:t>
      </w:r>
    </w:p>
    <w:p w14:paraId="6B82AB9E" w14:textId="7F2C0479" w:rsidR="00C27F82" w:rsidRPr="00EC7AAA" w:rsidDel="00BD4897" w:rsidRDefault="00C27F82" w:rsidP="00BA0797">
      <w:pPr>
        <w:jc w:val="both"/>
      </w:pPr>
      <w:r w:rsidRPr="00EC7AAA" w:rsidDel="00BD4897">
        <w:t xml:space="preserve">SRW’s proposed capital forecast for the next two regulatory periods is </w:t>
      </w:r>
      <w:r w:rsidR="00022414" w:rsidRPr="00EC7AAA">
        <w:t>summarise</w:t>
      </w:r>
      <w:r w:rsidR="009B2D6B" w:rsidRPr="00EC7AAA">
        <w:t xml:space="preserve">d </w:t>
      </w:r>
      <w:r w:rsidR="00022414" w:rsidRPr="00EC7AAA">
        <w:t>in the following table.</w:t>
      </w:r>
    </w:p>
    <w:p w14:paraId="1BE0B0D9" w14:textId="40773CE6" w:rsidR="00C27F82" w:rsidRDefault="003413C3" w:rsidP="003413C3">
      <w:pPr>
        <w:pStyle w:val="Caption"/>
        <w:rPr>
          <w:rStyle w:val="IntenseReference"/>
          <w:b w:val="0"/>
          <w:bCs w:val="0"/>
          <w:i w:val="0"/>
          <w:iCs w:val="0"/>
          <w:color w:val="00B1B0" w:themeColor="accent1"/>
          <w:sz w:val="20"/>
          <w:szCs w:val="20"/>
          <w:u w:val="single"/>
        </w:rPr>
      </w:pPr>
      <w:r w:rsidRPr="003413C3">
        <w:rPr>
          <w:b/>
          <w:bCs/>
          <w:i w:val="0"/>
          <w:iCs w:val="0"/>
          <w:color w:val="00B1B0" w:themeColor="accent1"/>
          <w:sz w:val="20"/>
          <w:szCs w:val="20"/>
        </w:rPr>
        <w:t xml:space="preserve">Table </w:t>
      </w:r>
      <w:r w:rsidRPr="003413C3">
        <w:rPr>
          <w:b/>
          <w:bCs/>
          <w:i w:val="0"/>
          <w:iCs w:val="0"/>
          <w:color w:val="00B1B0" w:themeColor="accent1"/>
          <w:sz w:val="20"/>
          <w:szCs w:val="20"/>
        </w:rPr>
        <w:fldChar w:fldCharType="begin"/>
      </w:r>
      <w:r w:rsidRPr="003413C3">
        <w:rPr>
          <w:b/>
          <w:bCs/>
          <w:i w:val="0"/>
          <w:iCs w:val="0"/>
          <w:color w:val="00B1B0" w:themeColor="accent1"/>
          <w:sz w:val="20"/>
          <w:szCs w:val="20"/>
        </w:rPr>
        <w:instrText xml:space="preserve"> SEQ Table \* ARABIC </w:instrText>
      </w:r>
      <w:r w:rsidRPr="003413C3">
        <w:rPr>
          <w:b/>
          <w:bCs/>
          <w:i w:val="0"/>
          <w:iCs w:val="0"/>
          <w:color w:val="00B1B0" w:themeColor="accent1"/>
          <w:sz w:val="20"/>
          <w:szCs w:val="20"/>
        </w:rPr>
        <w:fldChar w:fldCharType="separate"/>
      </w:r>
      <w:r w:rsidR="008126A8">
        <w:rPr>
          <w:b/>
          <w:bCs/>
          <w:i w:val="0"/>
          <w:iCs w:val="0"/>
          <w:noProof/>
          <w:color w:val="00B1B0" w:themeColor="accent1"/>
          <w:sz w:val="20"/>
          <w:szCs w:val="20"/>
        </w:rPr>
        <w:t>19</w:t>
      </w:r>
      <w:r w:rsidRPr="003413C3">
        <w:rPr>
          <w:b/>
          <w:bCs/>
          <w:i w:val="0"/>
          <w:iCs w:val="0"/>
          <w:color w:val="00B1B0" w:themeColor="accent1"/>
          <w:sz w:val="20"/>
          <w:szCs w:val="20"/>
        </w:rPr>
        <w:fldChar w:fldCharType="end"/>
      </w:r>
      <w:r w:rsidRPr="003413C3">
        <w:rPr>
          <w:b/>
          <w:bCs/>
          <w:i w:val="0"/>
          <w:iCs w:val="0"/>
          <w:color w:val="00B1B0" w:themeColor="accent1"/>
          <w:sz w:val="20"/>
          <w:szCs w:val="20"/>
        </w:rPr>
        <w:t xml:space="preserve"> </w:t>
      </w:r>
      <w:r w:rsidR="00BA0797">
        <w:rPr>
          <w:b/>
          <w:bCs/>
          <w:i w:val="0"/>
          <w:iCs w:val="0"/>
          <w:color w:val="00B1B0" w:themeColor="accent1"/>
          <w:sz w:val="20"/>
          <w:szCs w:val="20"/>
        </w:rPr>
        <w:t>–</w:t>
      </w:r>
      <w:r w:rsidRPr="003413C3">
        <w:rPr>
          <w:b/>
          <w:bCs/>
          <w:i w:val="0"/>
          <w:iCs w:val="0"/>
          <w:color w:val="00B1B0" w:themeColor="accent1"/>
          <w:sz w:val="20"/>
          <w:szCs w:val="20"/>
        </w:rPr>
        <w:t xml:space="preserve"> </w:t>
      </w:r>
      <w:r w:rsidR="00E84193" w:rsidRPr="003413C3">
        <w:rPr>
          <w:b/>
          <w:bCs/>
          <w:i w:val="0"/>
          <w:iCs w:val="0"/>
          <w:color w:val="00B1B0" w:themeColor="accent1"/>
          <w:sz w:val="20"/>
          <w:szCs w:val="20"/>
        </w:rPr>
        <w:t>10</w:t>
      </w:r>
      <w:r w:rsidR="00BA0797" w:rsidRPr="003413C3">
        <w:rPr>
          <w:b/>
          <w:bCs/>
          <w:i w:val="0"/>
          <w:iCs w:val="0"/>
          <w:color w:val="00B1B0" w:themeColor="accent1"/>
          <w:sz w:val="20"/>
          <w:szCs w:val="20"/>
        </w:rPr>
        <w:t>-</w:t>
      </w:r>
      <w:r w:rsidR="00E84193" w:rsidRPr="003413C3">
        <w:rPr>
          <w:b/>
          <w:bCs/>
          <w:i w:val="0"/>
          <w:iCs w:val="0"/>
          <w:color w:val="00B1B0" w:themeColor="accent1"/>
          <w:sz w:val="20"/>
          <w:szCs w:val="20"/>
        </w:rPr>
        <w:t>year capital forecast</w:t>
      </w:r>
      <w:r w:rsidR="008A5E0F" w:rsidRPr="003413C3">
        <w:rPr>
          <w:rStyle w:val="IntenseReference"/>
          <w:b w:val="0"/>
          <w:bCs w:val="0"/>
          <w:i w:val="0"/>
          <w:iCs w:val="0"/>
          <w:color w:val="00B1B0" w:themeColor="accent1"/>
          <w:sz w:val="20"/>
          <w:szCs w:val="20"/>
          <w:u w:val="single"/>
        </w:rPr>
        <w:t xml:space="preserve"> </w:t>
      </w:r>
    </w:p>
    <w:tbl>
      <w:tblPr>
        <w:tblpPr w:leftFromText="180" w:rightFromText="180" w:vertAnchor="text" w:tblpY="1"/>
        <w:tblOverlap w:val="never"/>
        <w:tblW w:w="9252" w:type="dxa"/>
        <w:tblLook w:val="04A0" w:firstRow="1" w:lastRow="0" w:firstColumn="1" w:lastColumn="0" w:noHBand="0" w:noVBand="1"/>
      </w:tblPr>
      <w:tblGrid>
        <w:gridCol w:w="1072"/>
        <w:gridCol w:w="1350"/>
        <w:gridCol w:w="1071"/>
        <w:gridCol w:w="1207"/>
        <w:gridCol w:w="1203"/>
        <w:gridCol w:w="1206"/>
        <w:gridCol w:w="1206"/>
        <w:gridCol w:w="937"/>
      </w:tblGrid>
      <w:tr w:rsidR="00F26A03" w:rsidRPr="00195E57" w14:paraId="33E701B8" w14:textId="77777777" w:rsidTr="00686193">
        <w:trPr>
          <w:trHeight w:val="1240"/>
        </w:trPr>
        <w:tc>
          <w:tcPr>
            <w:tcW w:w="1072" w:type="dxa"/>
            <w:tcBorders>
              <w:top w:val="nil"/>
              <w:left w:val="nil"/>
              <w:bottom w:val="nil"/>
              <w:right w:val="nil"/>
            </w:tcBorders>
            <w:shd w:val="clear" w:color="000000" w:fill="70CBD0"/>
            <w:vAlign w:val="center"/>
            <w:hideMark/>
          </w:tcPr>
          <w:p w14:paraId="43F6D072"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Period</w:t>
            </w:r>
          </w:p>
        </w:tc>
        <w:tc>
          <w:tcPr>
            <w:tcW w:w="1350" w:type="dxa"/>
            <w:tcBorders>
              <w:top w:val="nil"/>
              <w:left w:val="nil"/>
              <w:bottom w:val="nil"/>
              <w:right w:val="nil"/>
            </w:tcBorders>
            <w:shd w:val="clear" w:color="000000" w:fill="70CBD0"/>
            <w:vAlign w:val="center"/>
            <w:hideMark/>
          </w:tcPr>
          <w:p w14:paraId="6EA76CF8"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Total capital expenditure</w:t>
            </w:r>
          </w:p>
        </w:tc>
        <w:tc>
          <w:tcPr>
            <w:tcW w:w="1071" w:type="dxa"/>
            <w:tcBorders>
              <w:top w:val="nil"/>
              <w:left w:val="nil"/>
              <w:bottom w:val="nil"/>
              <w:right w:val="nil"/>
            </w:tcBorders>
            <w:shd w:val="clear" w:color="000000" w:fill="70CBD0"/>
            <w:vAlign w:val="center"/>
            <w:hideMark/>
          </w:tcPr>
          <w:p w14:paraId="280C51D8"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Gov’t funded</w:t>
            </w:r>
          </w:p>
        </w:tc>
        <w:tc>
          <w:tcPr>
            <w:tcW w:w="1207" w:type="dxa"/>
            <w:tcBorders>
              <w:top w:val="nil"/>
              <w:left w:val="nil"/>
              <w:bottom w:val="nil"/>
              <w:right w:val="nil"/>
            </w:tcBorders>
            <w:shd w:val="clear" w:color="000000" w:fill="70CBD0"/>
            <w:vAlign w:val="center"/>
            <w:hideMark/>
          </w:tcPr>
          <w:p w14:paraId="7BAC86BC"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Customer /SRW funded</w:t>
            </w:r>
          </w:p>
        </w:tc>
        <w:tc>
          <w:tcPr>
            <w:tcW w:w="1203" w:type="dxa"/>
            <w:tcBorders>
              <w:top w:val="nil"/>
              <w:left w:val="nil"/>
              <w:bottom w:val="nil"/>
              <w:right w:val="nil"/>
            </w:tcBorders>
            <w:shd w:val="clear" w:color="000000" w:fill="70CBD0"/>
            <w:vAlign w:val="center"/>
            <w:hideMark/>
          </w:tcPr>
          <w:p w14:paraId="24B9CE23"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Gifted assets</w:t>
            </w:r>
          </w:p>
        </w:tc>
        <w:tc>
          <w:tcPr>
            <w:tcW w:w="1206" w:type="dxa"/>
            <w:tcBorders>
              <w:top w:val="nil"/>
              <w:left w:val="nil"/>
              <w:bottom w:val="nil"/>
              <w:right w:val="nil"/>
            </w:tcBorders>
            <w:shd w:val="clear" w:color="000000" w:fill="70CBD0"/>
            <w:vAlign w:val="center"/>
            <w:hideMark/>
          </w:tcPr>
          <w:p w14:paraId="0725E7AA"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Proceeds from asset sales</w:t>
            </w:r>
          </w:p>
        </w:tc>
        <w:tc>
          <w:tcPr>
            <w:tcW w:w="1206" w:type="dxa"/>
            <w:tcBorders>
              <w:top w:val="nil"/>
              <w:left w:val="nil"/>
              <w:bottom w:val="nil"/>
              <w:right w:val="nil"/>
            </w:tcBorders>
            <w:shd w:val="clear" w:color="000000" w:fill="70CBD0"/>
            <w:vAlign w:val="center"/>
            <w:hideMark/>
          </w:tcPr>
          <w:p w14:paraId="54351B28"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Written down value of assets disposed</w:t>
            </w:r>
          </w:p>
        </w:tc>
        <w:tc>
          <w:tcPr>
            <w:tcW w:w="937" w:type="dxa"/>
            <w:tcBorders>
              <w:top w:val="nil"/>
              <w:left w:val="nil"/>
              <w:bottom w:val="nil"/>
              <w:right w:val="nil"/>
            </w:tcBorders>
            <w:shd w:val="clear" w:color="000000" w:fill="70CBD0"/>
            <w:vAlign w:val="center"/>
            <w:hideMark/>
          </w:tcPr>
          <w:p w14:paraId="145FA26E" w14:textId="77777777" w:rsidR="00F26A03" w:rsidRPr="00195E57" w:rsidRDefault="00F26A03">
            <w:pPr>
              <w:spacing w:before="40" w:after="40" w:line="240" w:lineRule="auto"/>
              <w:rPr>
                <w:rFonts w:eastAsia="Times New Roman" w:cs="Arial"/>
                <w:b/>
                <w:bCs/>
                <w:color w:val="FFFFFF"/>
                <w:sz w:val="20"/>
                <w:szCs w:val="20"/>
                <w:lang w:eastAsia="en-AU"/>
              </w:rPr>
            </w:pPr>
            <w:r w:rsidRPr="00195E57">
              <w:rPr>
                <w:rFonts w:eastAsia="Times New Roman" w:cs="Arial"/>
                <w:b/>
                <w:bCs/>
                <w:color w:val="FFFFFF"/>
                <w:sz w:val="20"/>
                <w:szCs w:val="20"/>
                <w:lang w:eastAsia="en-AU"/>
              </w:rPr>
              <w:t>Net capital spend</w:t>
            </w:r>
          </w:p>
        </w:tc>
      </w:tr>
      <w:tr w:rsidR="00F26A03" w:rsidRPr="00195E57" w14:paraId="31E92B66" w14:textId="77777777" w:rsidTr="00686193">
        <w:trPr>
          <w:trHeight w:val="248"/>
        </w:trPr>
        <w:tc>
          <w:tcPr>
            <w:tcW w:w="1072" w:type="dxa"/>
            <w:tcBorders>
              <w:top w:val="nil"/>
              <w:left w:val="nil"/>
              <w:bottom w:val="nil"/>
              <w:right w:val="nil"/>
            </w:tcBorders>
            <w:shd w:val="clear" w:color="000000" w:fill="F5F5F5"/>
            <w:vAlign w:val="center"/>
            <w:hideMark/>
          </w:tcPr>
          <w:p w14:paraId="4039CCAE"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2022-23</w:t>
            </w:r>
          </w:p>
        </w:tc>
        <w:tc>
          <w:tcPr>
            <w:tcW w:w="1350" w:type="dxa"/>
            <w:tcBorders>
              <w:top w:val="nil"/>
              <w:left w:val="nil"/>
              <w:bottom w:val="nil"/>
              <w:right w:val="nil"/>
            </w:tcBorders>
            <w:shd w:val="clear" w:color="000000" w:fill="F5F5F5"/>
            <w:vAlign w:val="center"/>
            <w:hideMark/>
          </w:tcPr>
          <w:p w14:paraId="046E0B14"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52.9</w:t>
            </w:r>
          </w:p>
        </w:tc>
        <w:tc>
          <w:tcPr>
            <w:tcW w:w="1071" w:type="dxa"/>
            <w:tcBorders>
              <w:top w:val="nil"/>
              <w:left w:val="nil"/>
              <w:bottom w:val="nil"/>
              <w:right w:val="nil"/>
            </w:tcBorders>
            <w:shd w:val="clear" w:color="000000" w:fill="F5F5F5"/>
            <w:vAlign w:val="center"/>
            <w:hideMark/>
          </w:tcPr>
          <w:p w14:paraId="0CABA5E8"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12.1</w:t>
            </w:r>
          </w:p>
        </w:tc>
        <w:tc>
          <w:tcPr>
            <w:tcW w:w="1207" w:type="dxa"/>
            <w:tcBorders>
              <w:top w:val="nil"/>
              <w:left w:val="nil"/>
              <w:bottom w:val="nil"/>
              <w:right w:val="nil"/>
            </w:tcBorders>
            <w:shd w:val="clear" w:color="000000" w:fill="F5F5F5"/>
            <w:vAlign w:val="center"/>
            <w:hideMark/>
          </w:tcPr>
          <w:p w14:paraId="30086C21"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2.7</w:t>
            </w:r>
          </w:p>
        </w:tc>
        <w:tc>
          <w:tcPr>
            <w:tcW w:w="1203" w:type="dxa"/>
            <w:tcBorders>
              <w:top w:val="nil"/>
              <w:left w:val="nil"/>
              <w:bottom w:val="nil"/>
              <w:right w:val="nil"/>
            </w:tcBorders>
            <w:shd w:val="clear" w:color="000000" w:fill="F5F5F5"/>
            <w:vAlign w:val="center"/>
            <w:hideMark/>
          </w:tcPr>
          <w:p w14:paraId="4E290654"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000000" w:fill="F5F5F5"/>
            <w:vAlign w:val="center"/>
            <w:hideMark/>
          </w:tcPr>
          <w:p w14:paraId="16E4A447"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000000" w:fill="F5F5F5"/>
            <w:vAlign w:val="center"/>
            <w:hideMark/>
          </w:tcPr>
          <w:p w14:paraId="5C7EF08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000000" w:fill="F5F5F5"/>
            <w:vAlign w:val="center"/>
            <w:hideMark/>
          </w:tcPr>
          <w:p w14:paraId="0CDDBEB0"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37.2</w:t>
            </w:r>
          </w:p>
        </w:tc>
      </w:tr>
      <w:tr w:rsidR="00F26A03" w:rsidRPr="00195E57" w14:paraId="59C816C5" w14:textId="77777777" w:rsidTr="00686193">
        <w:trPr>
          <w:trHeight w:val="248"/>
        </w:trPr>
        <w:tc>
          <w:tcPr>
            <w:tcW w:w="1072" w:type="dxa"/>
            <w:tcBorders>
              <w:top w:val="nil"/>
              <w:left w:val="nil"/>
              <w:bottom w:val="nil"/>
              <w:right w:val="nil"/>
            </w:tcBorders>
            <w:shd w:val="clear" w:color="auto" w:fill="auto"/>
            <w:vAlign w:val="center"/>
            <w:hideMark/>
          </w:tcPr>
          <w:p w14:paraId="5932AA24"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2023-4</w:t>
            </w:r>
          </w:p>
        </w:tc>
        <w:tc>
          <w:tcPr>
            <w:tcW w:w="1350" w:type="dxa"/>
            <w:tcBorders>
              <w:top w:val="nil"/>
              <w:left w:val="nil"/>
              <w:bottom w:val="nil"/>
              <w:right w:val="nil"/>
            </w:tcBorders>
            <w:shd w:val="clear" w:color="auto" w:fill="auto"/>
            <w:vAlign w:val="center"/>
            <w:hideMark/>
          </w:tcPr>
          <w:p w14:paraId="07B608DD"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48.4</w:t>
            </w:r>
          </w:p>
        </w:tc>
        <w:tc>
          <w:tcPr>
            <w:tcW w:w="1071" w:type="dxa"/>
            <w:tcBorders>
              <w:top w:val="nil"/>
              <w:left w:val="nil"/>
              <w:bottom w:val="nil"/>
              <w:right w:val="nil"/>
            </w:tcBorders>
            <w:shd w:val="clear" w:color="auto" w:fill="auto"/>
            <w:vAlign w:val="center"/>
            <w:hideMark/>
          </w:tcPr>
          <w:p w14:paraId="6D7EBB55"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13.8</w:t>
            </w:r>
          </w:p>
        </w:tc>
        <w:tc>
          <w:tcPr>
            <w:tcW w:w="1207" w:type="dxa"/>
            <w:tcBorders>
              <w:top w:val="nil"/>
              <w:left w:val="nil"/>
              <w:bottom w:val="nil"/>
              <w:right w:val="nil"/>
            </w:tcBorders>
            <w:shd w:val="clear" w:color="auto" w:fill="auto"/>
            <w:vAlign w:val="center"/>
            <w:hideMark/>
          </w:tcPr>
          <w:p w14:paraId="31E59CCC"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w:t>
            </w:r>
          </w:p>
        </w:tc>
        <w:tc>
          <w:tcPr>
            <w:tcW w:w="1203" w:type="dxa"/>
            <w:tcBorders>
              <w:top w:val="nil"/>
              <w:left w:val="nil"/>
              <w:bottom w:val="nil"/>
              <w:right w:val="nil"/>
            </w:tcBorders>
            <w:shd w:val="clear" w:color="auto" w:fill="auto"/>
            <w:vAlign w:val="center"/>
            <w:hideMark/>
          </w:tcPr>
          <w:p w14:paraId="50BD0DC2"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auto" w:fill="auto"/>
            <w:vAlign w:val="center"/>
            <w:hideMark/>
          </w:tcPr>
          <w:p w14:paraId="7FC5A889"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auto" w:fill="auto"/>
            <w:vAlign w:val="center"/>
            <w:hideMark/>
          </w:tcPr>
          <w:p w14:paraId="5CDF8089"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auto" w:fill="auto"/>
            <w:vAlign w:val="center"/>
            <w:hideMark/>
          </w:tcPr>
          <w:p w14:paraId="0552EFD9"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31.3</w:t>
            </w:r>
          </w:p>
        </w:tc>
      </w:tr>
      <w:tr w:rsidR="00F26A03" w:rsidRPr="00195E57" w14:paraId="3EAE774C" w14:textId="77777777" w:rsidTr="00686193">
        <w:trPr>
          <w:trHeight w:val="248"/>
        </w:trPr>
        <w:tc>
          <w:tcPr>
            <w:tcW w:w="1072" w:type="dxa"/>
            <w:tcBorders>
              <w:top w:val="nil"/>
              <w:left w:val="nil"/>
              <w:bottom w:val="nil"/>
              <w:right w:val="nil"/>
            </w:tcBorders>
            <w:shd w:val="clear" w:color="000000" w:fill="F5F5F5"/>
            <w:vAlign w:val="center"/>
            <w:hideMark/>
          </w:tcPr>
          <w:p w14:paraId="6C1E7395"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2024-5</w:t>
            </w:r>
          </w:p>
        </w:tc>
        <w:tc>
          <w:tcPr>
            <w:tcW w:w="1350" w:type="dxa"/>
            <w:tcBorders>
              <w:top w:val="nil"/>
              <w:left w:val="nil"/>
              <w:bottom w:val="nil"/>
              <w:right w:val="nil"/>
            </w:tcBorders>
            <w:shd w:val="clear" w:color="000000" w:fill="F5F5F5"/>
            <w:vAlign w:val="center"/>
            <w:hideMark/>
          </w:tcPr>
          <w:p w14:paraId="67450A2C"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25.3</w:t>
            </w:r>
          </w:p>
        </w:tc>
        <w:tc>
          <w:tcPr>
            <w:tcW w:w="1071" w:type="dxa"/>
            <w:tcBorders>
              <w:top w:val="nil"/>
              <w:left w:val="nil"/>
              <w:bottom w:val="nil"/>
              <w:right w:val="nil"/>
            </w:tcBorders>
            <w:shd w:val="clear" w:color="000000" w:fill="F5F5F5"/>
            <w:vAlign w:val="center"/>
            <w:hideMark/>
          </w:tcPr>
          <w:p w14:paraId="5EA41B51"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4.4</w:t>
            </w:r>
          </w:p>
        </w:tc>
        <w:tc>
          <w:tcPr>
            <w:tcW w:w="1207" w:type="dxa"/>
            <w:tcBorders>
              <w:top w:val="nil"/>
              <w:left w:val="nil"/>
              <w:bottom w:val="nil"/>
              <w:right w:val="nil"/>
            </w:tcBorders>
            <w:shd w:val="clear" w:color="000000" w:fill="F5F5F5"/>
            <w:vAlign w:val="center"/>
            <w:hideMark/>
          </w:tcPr>
          <w:p w14:paraId="58B8CA64"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w:t>
            </w:r>
          </w:p>
        </w:tc>
        <w:tc>
          <w:tcPr>
            <w:tcW w:w="1203" w:type="dxa"/>
            <w:tcBorders>
              <w:top w:val="nil"/>
              <w:left w:val="nil"/>
              <w:bottom w:val="nil"/>
              <w:right w:val="nil"/>
            </w:tcBorders>
            <w:shd w:val="clear" w:color="000000" w:fill="F5F5F5"/>
            <w:vAlign w:val="center"/>
            <w:hideMark/>
          </w:tcPr>
          <w:p w14:paraId="4439419C"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000000" w:fill="F5F5F5"/>
            <w:vAlign w:val="center"/>
            <w:hideMark/>
          </w:tcPr>
          <w:p w14:paraId="6396CAFF"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000000" w:fill="F5F5F5"/>
            <w:vAlign w:val="center"/>
            <w:hideMark/>
          </w:tcPr>
          <w:p w14:paraId="2AF683DC"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000000" w:fill="F5F5F5"/>
            <w:vAlign w:val="center"/>
            <w:hideMark/>
          </w:tcPr>
          <w:p w14:paraId="4E2D65FD"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17.6</w:t>
            </w:r>
          </w:p>
        </w:tc>
      </w:tr>
      <w:tr w:rsidR="00F26A03" w:rsidRPr="00195E57" w14:paraId="76107EA9" w14:textId="77777777" w:rsidTr="00686193">
        <w:trPr>
          <w:trHeight w:val="248"/>
        </w:trPr>
        <w:tc>
          <w:tcPr>
            <w:tcW w:w="1072" w:type="dxa"/>
            <w:tcBorders>
              <w:top w:val="nil"/>
              <w:left w:val="nil"/>
              <w:bottom w:val="nil"/>
              <w:right w:val="nil"/>
            </w:tcBorders>
            <w:shd w:val="clear" w:color="auto" w:fill="auto"/>
            <w:vAlign w:val="center"/>
            <w:hideMark/>
          </w:tcPr>
          <w:p w14:paraId="46237706"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2025-6</w:t>
            </w:r>
          </w:p>
        </w:tc>
        <w:tc>
          <w:tcPr>
            <w:tcW w:w="1350" w:type="dxa"/>
            <w:tcBorders>
              <w:top w:val="nil"/>
              <w:left w:val="nil"/>
              <w:bottom w:val="nil"/>
              <w:right w:val="nil"/>
            </w:tcBorders>
            <w:shd w:val="clear" w:color="auto" w:fill="auto"/>
            <w:vAlign w:val="center"/>
            <w:hideMark/>
          </w:tcPr>
          <w:p w14:paraId="599A07E8"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16.8</w:t>
            </w:r>
          </w:p>
        </w:tc>
        <w:tc>
          <w:tcPr>
            <w:tcW w:w="1071" w:type="dxa"/>
            <w:tcBorders>
              <w:top w:val="nil"/>
              <w:left w:val="nil"/>
              <w:bottom w:val="nil"/>
              <w:right w:val="nil"/>
            </w:tcBorders>
            <w:shd w:val="clear" w:color="auto" w:fill="auto"/>
            <w:vAlign w:val="center"/>
            <w:hideMark/>
          </w:tcPr>
          <w:p w14:paraId="052E2A40"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0.4</w:t>
            </w:r>
          </w:p>
        </w:tc>
        <w:tc>
          <w:tcPr>
            <w:tcW w:w="1207" w:type="dxa"/>
            <w:tcBorders>
              <w:top w:val="nil"/>
              <w:left w:val="nil"/>
              <w:bottom w:val="nil"/>
              <w:right w:val="nil"/>
            </w:tcBorders>
            <w:shd w:val="clear" w:color="auto" w:fill="auto"/>
            <w:vAlign w:val="center"/>
            <w:hideMark/>
          </w:tcPr>
          <w:p w14:paraId="571779FE"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w:t>
            </w:r>
          </w:p>
        </w:tc>
        <w:tc>
          <w:tcPr>
            <w:tcW w:w="1203" w:type="dxa"/>
            <w:tcBorders>
              <w:top w:val="nil"/>
              <w:left w:val="nil"/>
              <w:bottom w:val="nil"/>
              <w:right w:val="nil"/>
            </w:tcBorders>
            <w:shd w:val="clear" w:color="auto" w:fill="auto"/>
            <w:vAlign w:val="center"/>
            <w:hideMark/>
          </w:tcPr>
          <w:p w14:paraId="3AAFED9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auto" w:fill="auto"/>
            <w:vAlign w:val="center"/>
            <w:hideMark/>
          </w:tcPr>
          <w:p w14:paraId="0A39F440"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auto" w:fill="auto"/>
            <w:vAlign w:val="center"/>
            <w:hideMark/>
          </w:tcPr>
          <w:p w14:paraId="6C5BF88A"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auto" w:fill="auto"/>
            <w:vAlign w:val="center"/>
            <w:hideMark/>
          </w:tcPr>
          <w:p w14:paraId="1F5AB64E"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13.0</w:t>
            </w:r>
          </w:p>
        </w:tc>
      </w:tr>
      <w:tr w:rsidR="00F26A03" w:rsidRPr="00195E57" w14:paraId="7A366B6C" w14:textId="77777777" w:rsidTr="00686193">
        <w:trPr>
          <w:trHeight w:val="248"/>
        </w:trPr>
        <w:tc>
          <w:tcPr>
            <w:tcW w:w="1072" w:type="dxa"/>
            <w:tcBorders>
              <w:top w:val="nil"/>
              <w:left w:val="nil"/>
              <w:bottom w:val="nil"/>
              <w:right w:val="nil"/>
            </w:tcBorders>
            <w:shd w:val="clear" w:color="000000" w:fill="F5F5F5"/>
            <w:vAlign w:val="center"/>
            <w:hideMark/>
          </w:tcPr>
          <w:p w14:paraId="71D81FAA"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2026-7</w:t>
            </w:r>
          </w:p>
        </w:tc>
        <w:tc>
          <w:tcPr>
            <w:tcW w:w="1350" w:type="dxa"/>
            <w:tcBorders>
              <w:top w:val="nil"/>
              <w:left w:val="nil"/>
              <w:bottom w:val="nil"/>
              <w:right w:val="nil"/>
            </w:tcBorders>
            <w:shd w:val="clear" w:color="000000" w:fill="F5F5F5"/>
            <w:vAlign w:val="center"/>
            <w:hideMark/>
          </w:tcPr>
          <w:p w14:paraId="0B43A9C8"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19.6</w:t>
            </w:r>
          </w:p>
        </w:tc>
        <w:tc>
          <w:tcPr>
            <w:tcW w:w="1071" w:type="dxa"/>
            <w:tcBorders>
              <w:top w:val="nil"/>
              <w:left w:val="nil"/>
              <w:bottom w:val="nil"/>
              <w:right w:val="nil"/>
            </w:tcBorders>
            <w:shd w:val="clear" w:color="000000" w:fill="F5F5F5"/>
            <w:vAlign w:val="center"/>
            <w:hideMark/>
          </w:tcPr>
          <w:p w14:paraId="3DD51C39"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7" w:type="dxa"/>
            <w:tcBorders>
              <w:top w:val="nil"/>
              <w:left w:val="nil"/>
              <w:bottom w:val="nil"/>
              <w:right w:val="nil"/>
            </w:tcBorders>
            <w:shd w:val="clear" w:color="000000" w:fill="F5F5F5"/>
            <w:vAlign w:val="center"/>
            <w:hideMark/>
          </w:tcPr>
          <w:p w14:paraId="33A883E2"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w:t>
            </w:r>
          </w:p>
        </w:tc>
        <w:tc>
          <w:tcPr>
            <w:tcW w:w="1203" w:type="dxa"/>
            <w:tcBorders>
              <w:top w:val="nil"/>
              <w:left w:val="nil"/>
              <w:bottom w:val="nil"/>
              <w:right w:val="nil"/>
            </w:tcBorders>
            <w:shd w:val="clear" w:color="000000" w:fill="F5F5F5"/>
            <w:vAlign w:val="center"/>
            <w:hideMark/>
          </w:tcPr>
          <w:p w14:paraId="62D8526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000000" w:fill="F5F5F5"/>
            <w:vAlign w:val="center"/>
            <w:hideMark/>
          </w:tcPr>
          <w:p w14:paraId="1FDD7F47"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000000" w:fill="F5F5F5"/>
            <w:vAlign w:val="center"/>
            <w:hideMark/>
          </w:tcPr>
          <w:p w14:paraId="0F687C12"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000000" w:fill="F5F5F5"/>
            <w:vAlign w:val="center"/>
            <w:hideMark/>
          </w:tcPr>
          <w:p w14:paraId="366C77A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16.3</w:t>
            </w:r>
          </w:p>
        </w:tc>
      </w:tr>
      <w:tr w:rsidR="00F26A03" w:rsidRPr="00195E57" w14:paraId="29C8ADC1" w14:textId="77777777" w:rsidTr="00686193">
        <w:trPr>
          <w:trHeight w:val="248"/>
        </w:trPr>
        <w:tc>
          <w:tcPr>
            <w:tcW w:w="1072" w:type="dxa"/>
            <w:tcBorders>
              <w:top w:val="nil"/>
              <w:left w:val="nil"/>
              <w:bottom w:val="nil"/>
              <w:right w:val="nil"/>
            </w:tcBorders>
            <w:shd w:val="clear" w:color="auto" w:fill="auto"/>
            <w:vAlign w:val="center"/>
            <w:hideMark/>
          </w:tcPr>
          <w:p w14:paraId="14C40BD1" w14:textId="77777777" w:rsidR="00F26A03" w:rsidRPr="00BA0797" w:rsidRDefault="00F26A03">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2027-8</w:t>
            </w:r>
          </w:p>
        </w:tc>
        <w:tc>
          <w:tcPr>
            <w:tcW w:w="1350" w:type="dxa"/>
            <w:tcBorders>
              <w:top w:val="nil"/>
              <w:left w:val="nil"/>
              <w:bottom w:val="nil"/>
              <w:right w:val="nil"/>
            </w:tcBorders>
            <w:shd w:val="clear" w:color="auto" w:fill="auto"/>
            <w:vAlign w:val="center"/>
            <w:hideMark/>
          </w:tcPr>
          <w:p w14:paraId="400614E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15.1</w:t>
            </w:r>
          </w:p>
        </w:tc>
        <w:tc>
          <w:tcPr>
            <w:tcW w:w="1071" w:type="dxa"/>
            <w:tcBorders>
              <w:top w:val="nil"/>
              <w:left w:val="nil"/>
              <w:bottom w:val="nil"/>
              <w:right w:val="nil"/>
            </w:tcBorders>
            <w:shd w:val="clear" w:color="auto" w:fill="auto"/>
            <w:vAlign w:val="center"/>
            <w:hideMark/>
          </w:tcPr>
          <w:p w14:paraId="445C18A3"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7" w:type="dxa"/>
            <w:tcBorders>
              <w:top w:val="nil"/>
              <w:left w:val="nil"/>
              <w:bottom w:val="nil"/>
              <w:right w:val="nil"/>
            </w:tcBorders>
            <w:shd w:val="clear" w:color="auto" w:fill="auto"/>
            <w:vAlign w:val="center"/>
            <w:hideMark/>
          </w:tcPr>
          <w:p w14:paraId="1C2A0CB1"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2.5</w:t>
            </w:r>
          </w:p>
        </w:tc>
        <w:tc>
          <w:tcPr>
            <w:tcW w:w="1203" w:type="dxa"/>
            <w:tcBorders>
              <w:top w:val="nil"/>
              <w:left w:val="nil"/>
              <w:bottom w:val="nil"/>
              <w:right w:val="nil"/>
            </w:tcBorders>
            <w:shd w:val="clear" w:color="auto" w:fill="auto"/>
            <w:vAlign w:val="center"/>
            <w:hideMark/>
          </w:tcPr>
          <w:p w14:paraId="1435B639"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1206" w:type="dxa"/>
            <w:tcBorders>
              <w:top w:val="nil"/>
              <w:left w:val="nil"/>
              <w:bottom w:val="nil"/>
              <w:right w:val="nil"/>
            </w:tcBorders>
            <w:shd w:val="clear" w:color="auto" w:fill="auto"/>
            <w:vAlign w:val="center"/>
            <w:hideMark/>
          </w:tcPr>
          <w:p w14:paraId="6B9C6CF7"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0.8</w:t>
            </w:r>
          </w:p>
        </w:tc>
        <w:tc>
          <w:tcPr>
            <w:tcW w:w="1206" w:type="dxa"/>
            <w:tcBorders>
              <w:top w:val="nil"/>
              <w:left w:val="nil"/>
              <w:bottom w:val="nil"/>
              <w:right w:val="nil"/>
            </w:tcBorders>
            <w:shd w:val="clear" w:color="auto" w:fill="auto"/>
            <w:vAlign w:val="center"/>
            <w:hideMark/>
          </w:tcPr>
          <w:p w14:paraId="6B0D2BC6"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0.0</w:t>
            </w:r>
          </w:p>
        </w:tc>
        <w:tc>
          <w:tcPr>
            <w:tcW w:w="937" w:type="dxa"/>
            <w:tcBorders>
              <w:top w:val="nil"/>
              <w:left w:val="nil"/>
              <w:bottom w:val="nil"/>
              <w:right w:val="nil"/>
            </w:tcBorders>
            <w:shd w:val="clear" w:color="auto" w:fill="auto"/>
            <w:vAlign w:val="center"/>
            <w:hideMark/>
          </w:tcPr>
          <w:p w14:paraId="7355486F" w14:textId="77777777" w:rsidR="00F26A03" w:rsidRPr="00195E57" w:rsidRDefault="00F26A03">
            <w:pPr>
              <w:spacing w:before="40" w:after="40" w:line="240" w:lineRule="auto"/>
              <w:jc w:val="center"/>
              <w:rPr>
                <w:rFonts w:eastAsia="Times New Roman" w:cs="Arial"/>
                <w:color w:val="000000"/>
                <w:sz w:val="20"/>
                <w:szCs w:val="20"/>
                <w:lang w:eastAsia="en-AU"/>
              </w:rPr>
            </w:pPr>
            <w:r w:rsidRPr="00195E57">
              <w:rPr>
                <w:rFonts w:eastAsia="Times New Roman" w:cs="Arial"/>
                <w:color w:val="000000"/>
                <w:sz w:val="20"/>
                <w:szCs w:val="20"/>
                <w:lang w:eastAsia="en-AU"/>
              </w:rPr>
              <w:t>11.7</w:t>
            </w:r>
          </w:p>
        </w:tc>
      </w:tr>
      <w:tr w:rsidR="00FE2ED8" w:rsidRPr="00195E57" w14:paraId="44208FD6" w14:textId="77777777" w:rsidTr="00686193">
        <w:trPr>
          <w:trHeight w:val="248"/>
        </w:trPr>
        <w:tc>
          <w:tcPr>
            <w:tcW w:w="1072" w:type="dxa"/>
            <w:tcBorders>
              <w:top w:val="nil"/>
              <w:left w:val="nil"/>
              <w:bottom w:val="nil"/>
              <w:right w:val="nil"/>
            </w:tcBorders>
            <w:shd w:val="clear" w:color="000000" w:fill="F5F5F5"/>
            <w:vAlign w:val="center"/>
            <w:hideMark/>
          </w:tcPr>
          <w:p w14:paraId="12BEA074" w14:textId="77777777" w:rsidR="00FE2ED8" w:rsidRPr="00BA0797" w:rsidRDefault="00FE2ED8" w:rsidP="00FE2ED8">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2028-9</w:t>
            </w:r>
          </w:p>
        </w:tc>
        <w:tc>
          <w:tcPr>
            <w:tcW w:w="1350" w:type="dxa"/>
            <w:tcBorders>
              <w:top w:val="nil"/>
              <w:left w:val="nil"/>
              <w:bottom w:val="nil"/>
              <w:right w:val="nil"/>
            </w:tcBorders>
            <w:shd w:val="clear" w:color="000000" w:fill="F5F5F5"/>
            <w:vAlign w:val="center"/>
            <w:hideMark/>
          </w:tcPr>
          <w:p w14:paraId="361E45BA" w14:textId="1E6FFD5B"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14.5</w:t>
            </w:r>
          </w:p>
        </w:tc>
        <w:tc>
          <w:tcPr>
            <w:tcW w:w="1071" w:type="dxa"/>
            <w:tcBorders>
              <w:top w:val="nil"/>
              <w:left w:val="nil"/>
              <w:bottom w:val="nil"/>
              <w:right w:val="nil"/>
            </w:tcBorders>
            <w:shd w:val="clear" w:color="000000" w:fill="F5F5F5"/>
            <w:vAlign w:val="center"/>
            <w:hideMark/>
          </w:tcPr>
          <w:p w14:paraId="4265C444"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7" w:type="dxa"/>
            <w:tcBorders>
              <w:top w:val="nil"/>
              <w:left w:val="nil"/>
              <w:bottom w:val="nil"/>
              <w:right w:val="nil"/>
            </w:tcBorders>
            <w:shd w:val="clear" w:color="000000" w:fill="F5F5F5"/>
            <w:vAlign w:val="center"/>
            <w:hideMark/>
          </w:tcPr>
          <w:p w14:paraId="55273A6C"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2.5</w:t>
            </w:r>
          </w:p>
        </w:tc>
        <w:tc>
          <w:tcPr>
            <w:tcW w:w="1203" w:type="dxa"/>
            <w:tcBorders>
              <w:top w:val="nil"/>
              <w:left w:val="nil"/>
              <w:bottom w:val="nil"/>
              <w:right w:val="nil"/>
            </w:tcBorders>
            <w:shd w:val="clear" w:color="000000" w:fill="F5F5F5"/>
            <w:vAlign w:val="center"/>
            <w:hideMark/>
          </w:tcPr>
          <w:p w14:paraId="5CF91348"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6" w:type="dxa"/>
            <w:tcBorders>
              <w:top w:val="nil"/>
              <w:left w:val="nil"/>
              <w:bottom w:val="nil"/>
              <w:right w:val="nil"/>
            </w:tcBorders>
            <w:shd w:val="clear" w:color="000000" w:fill="F5F5F5"/>
            <w:vAlign w:val="center"/>
            <w:hideMark/>
          </w:tcPr>
          <w:p w14:paraId="5A65870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0.8</w:t>
            </w:r>
          </w:p>
        </w:tc>
        <w:tc>
          <w:tcPr>
            <w:tcW w:w="1206" w:type="dxa"/>
            <w:tcBorders>
              <w:top w:val="nil"/>
              <w:left w:val="nil"/>
              <w:bottom w:val="nil"/>
              <w:right w:val="nil"/>
            </w:tcBorders>
            <w:shd w:val="clear" w:color="000000" w:fill="F5F5F5"/>
            <w:vAlign w:val="center"/>
            <w:hideMark/>
          </w:tcPr>
          <w:p w14:paraId="03F9D12B"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937" w:type="dxa"/>
            <w:tcBorders>
              <w:top w:val="nil"/>
              <w:left w:val="nil"/>
              <w:bottom w:val="nil"/>
              <w:right w:val="nil"/>
            </w:tcBorders>
            <w:shd w:val="clear" w:color="000000" w:fill="F5F5F5"/>
            <w:vAlign w:val="center"/>
            <w:hideMark/>
          </w:tcPr>
          <w:p w14:paraId="21DA05E3" w14:textId="49576021"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11.2</w:t>
            </w:r>
          </w:p>
        </w:tc>
      </w:tr>
      <w:tr w:rsidR="00FE2ED8" w:rsidRPr="00195E57" w14:paraId="6D099D75" w14:textId="77777777" w:rsidTr="00686193">
        <w:trPr>
          <w:trHeight w:val="248"/>
        </w:trPr>
        <w:tc>
          <w:tcPr>
            <w:tcW w:w="1072" w:type="dxa"/>
            <w:tcBorders>
              <w:top w:val="nil"/>
              <w:left w:val="nil"/>
              <w:bottom w:val="nil"/>
              <w:right w:val="nil"/>
            </w:tcBorders>
            <w:shd w:val="clear" w:color="auto" w:fill="auto"/>
            <w:vAlign w:val="center"/>
            <w:hideMark/>
          </w:tcPr>
          <w:p w14:paraId="303ACB53" w14:textId="77777777" w:rsidR="00FE2ED8" w:rsidRPr="00BA0797" w:rsidRDefault="00FE2ED8" w:rsidP="00FE2ED8">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2029-30</w:t>
            </w:r>
          </w:p>
        </w:tc>
        <w:tc>
          <w:tcPr>
            <w:tcW w:w="1350" w:type="dxa"/>
            <w:tcBorders>
              <w:top w:val="nil"/>
              <w:left w:val="nil"/>
              <w:bottom w:val="nil"/>
              <w:right w:val="nil"/>
            </w:tcBorders>
            <w:shd w:val="clear" w:color="auto" w:fill="auto"/>
            <w:vAlign w:val="center"/>
            <w:hideMark/>
          </w:tcPr>
          <w:p w14:paraId="5A970D09" w14:textId="380FA42F"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14.5</w:t>
            </w:r>
          </w:p>
        </w:tc>
        <w:tc>
          <w:tcPr>
            <w:tcW w:w="1071" w:type="dxa"/>
            <w:tcBorders>
              <w:top w:val="nil"/>
              <w:left w:val="nil"/>
              <w:bottom w:val="nil"/>
              <w:right w:val="nil"/>
            </w:tcBorders>
            <w:shd w:val="clear" w:color="auto" w:fill="auto"/>
            <w:vAlign w:val="center"/>
            <w:hideMark/>
          </w:tcPr>
          <w:p w14:paraId="6FDC02F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7" w:type="dxa"/>
            <w:tcBorders>
              <w:top w:val="nil"/>
              <w:left w:val="nil"/>
              <w:bottom w:val="nil"/>
              <w:right w:val="nil"/>
            </w:tcBorders>
            <w:shd w:val="clear" w:color="auto" w:fill="auto"/>
            <w:vAlign w:val="center"/>
            <w:hideMark/>
          </w:tcPr>
          <w:p w14:paraId="666A786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2.5</w:t>
            </w:r>
          </w:p>
        </w:tc>
        <w:tc>
          <w:tcPr>
            <w:tcW w:w="1203" w:type="dxa"/>
            <w:tcBorders>
              <w:top w:val="nil"/>
              <w:left w:val="nil"/>
              <w:bottom w:val="nil"/>
              <w:right w:val="nil"/>
            </w:tcBorders>
            <w:shd w:val="clear" w:color="auto" w:fill="auto"/>
            <w:vAlign w:val="center"/>
            <w:hideMark/>
          </w:tcPr>
          <w:p w14:paraId="1D99C39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6" w:type="dxa"/>
            <w:tcBorders>
              <w:top w:val="nil"/>
              <w:left w:val="nil"/>
              <w:bottom w:val="nil"/>
              <w:right w:val="nil"/>
            </w:tcBorders>
            <w:shd w:val="clear" w:color="auto" w:fill="auto"/>
            <w:vAlign w:val="center"/>
            <w:hideMark/>
          </w:tcPr>
          <w:p w14:paraId="2EF125DD"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0.8</w:t>
            </w:r>
          </w:p>
        </w:tc>
        <w:tc>
          <w:tcPr>
            <w:tcW w:w="1206" w:type="dxa"/>
            <w:tcBorders>
              <w:top w:val="nil"/>
              <w:left w:val="nil"/>
              <w:bottom w:val="nil"/>
              <w:right w:val="nil"/>
            </w:tcBorders>
            <w:shd w:val="clear" w:color="auto" w:fill="auto"/>
            <w:vAlign w:val="center"/>
            <w:hideMark/>
          </w:tcPr>
          <w:p w14:paraId="744656FD"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937" w:type="dxa"/>
            <w:tcBorders>
              <w:top w:val="nil"/>
              <w:left w:val="nil"/>
              <w:bottom w:val="nil"/>
              <w:right w:val="nil"/>
            </w:tcBorders>
            <w:shd w:val="clear" w:color="auto" w:fill="auto"/>
            <w:vAlign w:val="center"/>
            <w:hideMark/>
          </w:tcPr>
          <w:p w14:paraId="49842198" w14:textId="4B1A82E1"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11.2</w:t>
            </w:r>
          </w:p>
        </w:tc>
      </w:tr>
      <w:tr w:rsidR="00FE2ED8" w:rsidRPr="00195E57" w14:paraId="45CF600B" w14:textId="77777777" w:rsidTr="00686193">
        <w:trPr>
          <w:trHeight w:val="248"/>
        </w:trPr>
        <w:tc>
          <w:tcPr>
            <w:tcW w:w="1072" w:type="dxa"/>
            <w:tcBorders>
              <w:top w:val="nil"/>
              <w:left w:val="nil"/>
              <w:bottom w:val="nil"/>
              <w:right w:val="nil"/>
            </w:tcBorders>
            <w:shd w:val="clear" w:color="000000" w:fill="F5F5F5"/>
            <w:vAlign w:val="center"/>
            <w:hideMark/>
          </w:tcPr>
          <w:p w14:paraId="24EA7828" w14:textId="77777777" w:rsidR="00FE2ED8" w:rsidRPr="00BA0797" w:rsidRDefault="00FE2ED8" w:rsidP="00FE2ED8">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2030-1</w:t>
            </w:r>
          </w:p>
        </w:tc>
        <w:tc>
          <w:tcPr>
            <w:tcW w:w="1350" w:type="dxa"/>
            <w:tcBorders>
              <w:top w:val="nil"/>
              <w:left w:val="nil"/>
              <w:bottom w:val="nil"/>
              <w:right w:val="nil"/>
            </w:tcBorders>
            <w:shd w:val="clear" w:color="000000" w:fill="F5F5F5"/>
            <w:vAlign w:val="center"/>
            <w:hideMark/>
          </w:tcPr>
          <w:p w14:paraId="52106AAD" w14:textId="531BC97A"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15.2</w:t>
            </w:r>
          </w:p>
        </w:tc>
        <w:tc>
          <w:tcPr>
            <w:tcW w:w="1071" w:type="dxa"/>
            <w:tcBorders>
              <w:top w:val="nil"/>
              <w:left w:val="nil"/>
              <w:bottom w:val="nil"/>
              <w:right w:val="nil"/>
            </w:tcBorders>
            <w:shd w:val="clear" w:color="000000" w:fill="F5F5F5"/>
            <w:vAlign w:val="center"/>
            <w:hideMark/>
          </w:tcPr>
          <w:p w14:paraId="5AD94803"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7" w:type="dxa"/>
            <w:tcBorders>
              <w:top w:val="nil"/>
              <w:left w:val="nil"/>
              <w:bottom w:val="nil"/>
              <w:right w:val="nil"/>
            </w:tcBorders>
            <w:shd w:val="clear" w:color="000000" w:fill="F5F5F5"/>
            <w:vAlign w:val="center"/>
            <w:hideMark/>
          </w:tcPr>
          <w:p w14:paraId="5CAC7AC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2.5</w:t>
            </w:r>
          </w:p>
        </w:tc>
        <w:tc>
          <w:tcPr>
            <w:tcW w:w="1203" w:type="dxa"/>
            <w:tcBorders>
              <w:top w:val="nil"/>
              <w:left w:val="nil"/>
              <w:bottom w:val="nil"/>
              <w:right w:val="nil"/>
            </w:tcBorders>
            <w:shd w:val="clear" w:color="000000" w:fill="F5F5F5"/>
            <w:vAlign w:val="center"/>
            <w:hideMark/>
          </w:tcPr>
          <w:p w14:paraId="5FEED60B"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6" w:type="dxa"/>
            <w:tcBorders>
              <w:top w:val="nil"/>
              <w:left w:val="nil"/>
              <w:bottom w:val="nil"/>
              <w:right w:val="nil"/>
            </w:tcBorders>
            <w:shd w:val="clear" w:color="000000" w:fill="F5F5F5"/>
            <w:vAlign w:val="center"/>
            <w:hideMark/>
          </w:tcPr>
          <w:p w14:paraId="6896553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0.8</w:t>
            </w:r>
          </w:p>
        </w:tc>
        <w:tc>
          <w:tcPr>
            <w:tcW w:w="1206" w:type="dxa"/>
            <w:tcBorders>
              <w:top w:val="nil"/>
              <w:left w:val="nil"/>
              <w:bottom w:val="nil"/>
              <w:right w:val="nil"/>
            </w:tcBorders>
            <w:shd w:val="clear" w:color="000000" w:fill="F5F5F5"/>
            <w:vAlign w:val="center"/>
            <w:hideMark/>
          </w:tcPr>
          <w:p w14:paraId="6A4FE410"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937" w:type="dxa"/>
            <w:tcBorders>
              <w:top w:val="nil"/>
              <w:left w:val="nil"/>
              <w:bottom w:val="nil"/>
              <w:right w:val="nil"/>
            </w:tcBorders>
            <w:shd w:val="clear" w:color="000000" w:fill="F5F5F5"/>
            <w:vAlign w:val="center"/>
            <w:hideMark/>
          </w:tcPr>
          <w:p w14:paraId="15ED25C9" w14:textId="6C0D420E"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11.9</w:t>
            </w:r>
          </w:p>
        </w:tc>
      </w:tr>
      <w:tr w:rsidR="00FE2ED8" w:rsidRPr="00195E57" w14:paraId="02865307" w14:textId="77777777" w:rsidTr="00686193">
        <w:trPr>
          <w:trHeight w:val="248"/>
        </w:trPr>
        <w:tc>
          <w:tcPr>
            <w:tcW w:w="1072" w:type="dxa"/>
            <w:tcBorders>
              <w:top w:val="nil"/>
              <w:left w:val="nil"/>
              <w:bottom w:val="nil"/>
              <w:right w:val="nil"/>
            </w:tcBorders>
            <w:shd w:val="clear" w:color="auto" w:fill="auto"/>
            <w:vAlign w:val="center"/>
            <w:hideMark/>
          </w:tcPr>
          <w:p w14:paraId="3FA45F89" w14:textId="77777777" w:rsidR="00FE2ED8" w:rsidRPr="00BA0797" w:rsidRDefault="00FE2ED8" w:rsidP="00FE2ED8">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2031-2</w:t>
            </w:r>
          </w:p>
        </w:tc>
        <w:tc>
          <w:tcPr>
            <w:tcW w:w="1350" w:type="dxa"/>
            <w:tcBorders>
              <w:top w:val="nil"/>
              <w:left w:val="nil"/>
              <w:bottom w:val="nil"/>
              <w:right w:val="nil"/>
            </w:tcBorders>
            <w:shd w:val="clear" w:color="auto" w:fill="auto"/>
            <w:vAlign w:val="center"/>
            <w:hideMark/>
          </w:tcPr>
          <w:p w14:paraId="1FF1E6EF" w14:textId="53AC1323"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18.7</w:t>
            </w:r>
          </w:p>
        </w:tc>
        <w:tc>
          <w:tcPr>
            <w:tcW w:w="1071" w:type="dxa"/>
            <w:tcBorders>
              <w:top w:val="nil"/>
              <w:left w:val="nil"/>
              <w:bottom w:val="nil"/>
              <w:right w:val="nil"/>
            </w:tcBorders>
            <w:shd w:val="clear" w:color="auto" w:fill="auto"/>
            <w:vAlign w:val="center"/>
            <w:hideMark/>
          </w:tcPr>
          <w:p w14:paraId="1E352256"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7" w:type="dxa"/>
            <w:tcBorders>
              <w:top w:val="nil"/>
              <w:left w:val="nil"/>
              <w:bottom w:val="nil"/>
              <w:right w:val="nil"/>
            </w:tcBorders>
            <w:shd w:val="clear" w:color="auto" w:fill="auto"/>
            <w:vAlign w:val="center"/>
            <w:hideMark/>
          </w:tcPr>
          <w:p w14:paraId="777309F7"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2.5</w:t>
            </w:r>
          </w:p>
        </w:tc>
        <w:tc>
          <w:tcPr>
            <w:tcW w:w="1203" w:type="dxa"/>
            <w:tcBorders>
              <w:top w:val="nil"/>
              <w:left w:val="nil"/>
              <w:bottom w:val="nil"/>
              <w:right w:val="nil"/>
            </w:tcBorders>
            <w:shd w:val="clear" w:color="auto" w:fill="auto"/>
            <w:vAlign w:val="center"/>
            <w:hideMark/>
          </w:tcPr>
          <w:p w14:paraId="135248F0"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6" w:type="dxa"/>
            <w:tcBorders>
              <w:top w:val="nil"/>
              <w:left w:val="nil"/>
              <w:bottom w:val="nil"/>
              <w:right w:val="nil"/>
            </w:tcBorders>
            <w:shd w:val="clear" w:color="auto" w:fill="auto"/>
            <w:vAlign w:val="center"/>
            <w:hideMark/>
          </w:tcPr>
          <w:p w14:paraId="56C4CA92"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0.8</w:t>
            </w:r>
          </w:p>
        </w:tc>
        <w:tc>
          <w:tcPr>
            <w:tcW w:w="1206" w:type="dxa"/>
            <w:tcBorders>
              <w:top w:val="nil"/>
              <w:left w:val="nil"/>
              <w:bottom w:val="nil"/>
              <w:right w:val="nil"/>
            </w:tcBorders>
            <w:shd w:val="clear" w:color="auto" w:fill="auto"/>
            <w:vAlign w:val="center"/>
            <w:hideMark/>
          </w:tcPr>
          <w:p w14:paraId="569C2365"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937" w:type="dxa"/>
            <w:tcBorders>
              <w:top w:val="nil"/>
              <w:left w:val="nil"/>
              <w:bottom w:val="nil"/>
              <w:right w:val="nil"/>
            </w:tcBorders>
            <w:shd w:val="clear" w:color="auto" w:fill="auto"/>
            <w:vAlign w:val="center"/>
            <w:hideMark/>
          </w:tcPr>
          <w:p w14:paraId="3F06CA29" w14:textId="0B670FE4"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15.4</w:t>
            </w:r>
          </w:p>
        </w:tc>
      </w:tr>
      <w:tr w:rsidR="00FE2ED8" w:rsidRPr="00195E57" w14:paraId="3717350C" w14:textId="77777777" w:rsidTr="00686193">
        <w:trPr>
          <w:trHeight w:val="259"/>
        </w:trPr>
        <w:tc>
          <w:tcPr>
            <w:tcW w:w="1072" w:type="dxa"/>
            <w:tcBorders>
              <w:top w:val="nil"/>
              <w:left w:val="nil"/>
              <w:bottom w:val="single" w:sz="8" w:space="0" w:color="auto"/>
              <w:right w:val="nil"/>
            </w:tcBorders>
            <w:shd w:val="clear" w:color="000000" w:fill="F5F5F5"/>
            <w:vAlign w:val="center"/>
            <w:hideMark/>
          </w:tcPr>
          <w:p w14:paraId="762BD5A2" w14:textId="77777777" w:rsidR="00FE2ED8" w:rsidRPr="00BA0797" w:rsidRDefault="00FE2ED8" w:rsidP="00FE2ED8">
            <w:pPr>
              <w:spacing w:before="40" w:after="40" w:line="240" w:lineRule="auto"/>
              <w:rPr>
                <w:rFonts w:eastAsia="Times New Roman" w:cs="Arial"/>
                <w:color w:val="000000"/>
                <w:sz w:val="20"/>
                <w:szCs w:val="20"/>
                <w:lang w:eastAsia="en-AU"/>
              </w:rPr>
            </w:pPr>
            <w:r w:rsidRPr="00BA0797">
              <w:rPr>
                <w:rFonts w:eastAsia="Times New Roman" w:cs="Arial"/>
                <w:color w:val="000000"/>
                <w:sz w:val="20"/>
                <w:szCs w:val="20"/>
                <w:lang w:eastAsia="en-AU"/>
              </w:rPr>
              <w:t>2032-3</w:t>
            </w:r>
          </w:p>
        </w:tc>
        <w:tc>
          <w:tcPr>
            <w:tcW w:w="1350" w:type="dxa"/>
            <w:tcBorders>
              <w:top w:val="nil"/>
              <w:left w:val="nil"/>
              <w:bottom w:val="single" w:sz="8" w:space="0" w:color="auto"/>
              <w:right w:val="nil"/>
            </w:tcBorders>
            <w:shd w:val="clear" w:color="000000" w:fill="F5F5F5"/>
            <w:vAlign w:val="center"/>
            <w:hideMark/>
          </w:tcPr>
          <w:p w14:paraId="0AAF9A7F" w14:textId="0BD96011"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13.1</w:t>
            </w:r>
          </w:p>
        </w:tc>
        <w:tc>
          <w:tcPr>
            <w:tcW w:w="1071" w:type="dxa"/>
            <w:tcBorders>
              <w:top w:val="nil"/>
              <w:left w:val="nil"/>
              <w:bottom w:val="single" w:sz="8" w:space="0" w:color="auto"/>
              <w:right w:val="nil"/>
            </w:tcBorders>
            <w:shd w:val="clear" w:color="000000" w:fill="F5F5F5"/>
            <w:vAlign w:val="center"/>
            <w:hideMark/>
          </w:tcPr>
          <w:p w14:paraId="0DC6C13F"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7" w:type="dxa"/>
            <w:tcBorders>
              <w:top w:val="nil"/>
              <w:left w:val="nil"/>
              <w:bottom w:val="single" w:sz="8" w:space="0" w:color="auto"/>
              <w:right w:val="nil"/>
            </w:tcBorders>
            <w:shd w:val="clear" w:color="000000" w:fill="F5F5F5"/>
            <w:vAlign w:val="center"/>
            <w:hideMark/>
          </w:tcPr>
          <w:p w14:paraId="1CF04FD3"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2.5</w:t>
            </w:r>
          </w:p>
        </w:tc>
        <w:tc>
          <w:tcPr>
            <w:tcW w:w="1203" w:type="dxa"/>
            <w:tcBorders>
              <w:top w:val="nil"/>
              <w:left w:val="nil"/>
              <w:bottom w:val="single" w:sz="8" w:space="0" w:color="auto"/>
              <w:right w:val="nil"/>
            </w:tcBorders>
            <w:shd w:val="clear" w:color="000000" w:fill="F5F5F5"/>
            <w:vAlign w:val="center"/>
            <w:hideMark/>
          </w:tcPr>
          <w:p w14:paraId="4A33257F"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1206" w:type="dxa"/>
            <w:tcBorders>
              <w:top w:val="nil"/>
              <w:left w:val="nil"/>
              <w:bottom w:val="single" w:sz="8" w:space="0" w:color="auto"/>
              <w:right w:val="nil"/>
            </w:tcBorders>
            <w:shd w:val="clear" w:color="000000" w:fill="F5F5F5"/>
            <w:vAlign w:val="center"/>
            <w:hideMark/>
          </w:tcPr>
          <w:p w14:paraId="27325CCB"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0.8</w:t>
            </w:r>
          </w:p>
        </w:tc>
        <w:tc>
          <w:tcPr>
            <w:tcW w:w="1206" w:type="dxa"/>
            <w:tcBorders>
              <w:top w:val="nil"/>
              <w:left w:val="nil"/>
              <w:bottom w:val="single" w:sz="8" w:space="0" w:color="auto"/>
              <w:right w:val="nil"/>
            </w:tcBorders>
            <w:shd w:val="clear" w:color="000000" w:fill="F5F5F5"/>
            <w:vAlign w:val="center"/>
            <w:hideMark/>
          </w:tcPr>
          <w:p w14:paraId="521EA18D" w14:textId="77777777" w:rsidR="00FE2ED8" w:rsidRPr="00856F71" w:rsidRDefault="00FE2ED8" w:rsidP="00FE2ED8">
            <w:pPr>
              <w:spacing w:before="40" w:after="40" w:line="240" w:lineRule="auto"/>
              <w:jc w:val="center"/>
              <w:rPr>
                <w:rFonts w:eastAsia="Times New Roman" w:cs="Arial"/>
                <w:sz w:val="20"/>
                <w:szCs w:val="20"/>
                <w:lang w:eastAsia="en-AU"/>
              </w:rPr>
            </w:pPr>
            <w:r w:rsidRPr="00856F71">
              <w:rPr>
                <w:rFonts w:eastAsia="Times New Roman" w:cs="Arial"/>
                <w:sz w:val="20"/>
                <w:szCs w:val="20"/>
                <w:lang w:eastAsia="en-AU"/>
              </w:rPr>
              <w:t>0.0</w:t>
            </w:r>
          </w:p>
        </w:tc>
        <w:tc>
          <w:tcPr>
            <w:tcW w:w="937" w:type="dxa"/>
            <w:tcBorders>
              <w:top w:val="nil"/>
              <w:left w:val="nil"/>
              <w:bottom w:val="single" w:sz="8" w:space="0" w:color="auto"/>
              <w:right w:val="nil"/>
            </w:tcBorders>
            <w:shd w:val="clear" w:color="000000" w:fill="F5F5F5"/>
            <w:vAlign w:val="center"/>
            <w:hideMark/>
          </w:tcPr>
          <w:p w14:paraId="7C2874D6" w14:textId="2D473588" w:rsidR="00FE2ED8" w:rsidRPr="00856F71" w:rsidRDefault="00FE2ED8" w:rsidP="00FE2ED8">
            <w:pPr>
              <w:spacing w:before="40" w:after="40" w:line="240" w:lineRule="auto"/>
              <w:jc w:val="center"/>
              <w:rPr>
                <w:rFonts w:eastAsia="Times New Roman" w:cs="Arial"/>
                <w:sz w:val="20"/>
                <w:szCs w:val="20"/>
                <w:lang w:eastAsia="en-AU"/>
              </w:rPr>
            </w:pPr>
            <w:r w:rsidRPr="00856F71">
              <w:rPr>
                <w:rFonts w:cs="Arial"/>
                <w:sz w:val="20"/>
                <w:szCs w:val="20"/>
                <w:lang w:eastAsia="en-AU"/>
              </w:rPr>
              <w:t>9.8</w:t>
            </w:r>
          </w:p>
        </w:tc>
      </w:tr>
    </w:tbl>
    <w:p w14:paraId="76CBF981" w14:textId="6F70ABEE" w:rsidR="00F26A03" w:rsidRDefault="00F26A03" w:rsidP="00F26A03"/>
    <w:p w14:paraId="5080C17F" w14:textId="77777777" w:rsidR="00F26A03" w:rsidRDefault="00F26A03">
      <w:r>
        <w:br w:type="page"/>
      </w:r>
    </w:p>
    <w:p w14:paraId="69E47F45" w14:textId="429730D0" w:rsidR="001268E4" w:rsidRPr="00192F41" w:rsidRDefault="001268E4" w:rsidP="00AE2AD9">
      <w:pPr>
        <w:pStyle w:val="NumberedHeading3"/>
        <w:rPr>
          <w:rStyle w:val="IntenseEmphasis"/>
          <w:rFonts w:cs="Arial"/>
          <w:i w:val="0"/>
          <w:iCs w:val="0"/>
          <w:color w:val="002B5C" w:themeColor="text2"/>
          <w:sz w:val="52"/>
        </w:rPr>
      </w:pPr>
      <w:bookmarkStart w:id="62" w:name="_Toc115263683"/>
      <w:r w:rsidRPr="00192F41">
        <w:rPr>
          <w:rStyle w:val="IntenseEmphasis"/>
          <w:rFonts w:cs="Arial"/>
          <w:i w:val="0"/>
          <w:iCs w:val="0"/>
          <w:color w:val="002B5C" w:themeColor="text2"/>
          <w:sz w:val="52"/>
        </w:rPr>
        <w:t>Revenue</w:t>
      </w:r>
      <w:bookmarkEnd w:id="62"/>
    </w:p>
    <w:tbl>
      <w:tblPr>
        <w:tblStyle w:val="ReportTable-NavyColumns"/>
        <w:tblW w:w="9634" w:type="dxa"/>
        <w:tblBorders>
          <w:insideH w:val="none" w:sz="0" w:space="0" w:color="auto"/>
        </w:tblBorders>
        <w:shd w:val="clear" w:color="auto" w:fill="D9D9D9" w:themeFill="background1" w:themeFillShade="D9"/>
        <w:tblLook w:val="04A0" w:firstRow="1" w:lastRow="0" w:firstColumn="1" w:lastColumn="0" w:noHBand="0" w:noVBand="1"/>
      </w:tblPr>
      <w:tblGrid>
        <w:gridCol w:w="9634"/>
      </w:tblGrid>
      <w:tr w:rsidR="00EA6A77" w:rsidRPr="00192F41" w14:paraId="2278F722" w14:textId="77777777" w:rsidTr="00CB0E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34" w:type="dxa"/>
            <w:shd w:val="clear" w:color="auto" w:fill="F2F2F2" w:themeFill="background1" w:themeFillShade="F2"/>
          </w:tcPr>
          <w:p w14:paraId="48821033" w14:textId="3203E5AD" w:rsidR="00EA6A77" w:rsidRPr="00192F41" w:rsidRDefault="00BC7207" w:rsidP="00324E60">
            <w:pPr>
              <w:pStyle w:val="Heading2"/>
              <w:rPr>
                <w:rStyle w:val="IntenseEmphasis"/>
                <w:rFonts w:cs="Arial"/>
                <w:b/>
                <w:bCs/>
                <w:i w:val="0"/>
                <w:iCs w:val="0"/>
                <w:sz w:val="36"/>
              </w:rPr>
            </w:pPr>
            <w:bookmarkStart w:id="63" w:name="_Hlk106971417"/>
            <w:r w:rsidRPr="00192F41">
              <w:rPr>
                <w:rStyle w:val="IntenseEmphasis"/>
                <w:rFonts w:cs="Arial"/>
                <w:b/>
                <w:bCs/>
                <w:i w:val="0"/>
                <w:iCs w:val="0"/>
                <w:sz w:val="36"/>
              </w:rPr>
              <w:t>Key messages</w:t>
            </w:r>
          </w:p>
          <w:p w14:paraId="56B77B57" w14:textId="77777777" w:rsidR="00F572D4" w:rsidRPr="00192F41" w:rsidRDefault="00F572D4" w:rsidP="00F572D4">
            <w:pPr>
              <w:pStyle w:val="Bulletpointparagraph"/>
              <w:numPr>
                <w:ilvl w:val="0"/>
                <w:numId w:val="0"/>
              </w:numPr>
              <w:ind w:left="360"/>
              <w:rPr>
                <w:rFonts w:cs="Arial"/>
                <w:bCs/>
                <w:color w:val="000000" w:themeColor="text1"/>
              </w:rPr>
            </w:pPr>
            <w:r w:rsidRPr="00192F41">
              <w:rPr>
                <w:rFonts w:cs="Arial"/>
                <w:b w:val="0"/>
                <w:bCs/>
                <w:color w:val="000000" w:themeColor="text1"/>
              </w:rPr>
              <w:t>SRW continues a track record of prudent and efficient expenditure.</w:t>
            </w:r>
          </w:p>
          <w:p w14:paraId="4D21B3D5" w14:textId="77777777" w:rsidR="00F572D4" w:rsidRPr="00192F41" w:rsidRDefault="00F572D4" w:rsidP="00F572D4">
            <w:pPr>
              <w:pStyle w:val="Bulletpointparagraph"/>
              <w:numPr>
                <w:ilvl w:val="0"/>
                <w:numId w:val="0"/>
              </w:numPr>
              <w:ind w:left="360"/>
              <w:rPr>
                <w:rFonts w:cs="Arial"/>
                <w:b w:val="0"/>
                <w:bCs/>
                <w:color w:val="000000" w:themeColor="text1"/>
              </w:rPr>
            </w:pPr>
          </w:p>
          <w:p w14:paraId="4E4F1DE6" w14:textId="77777777" w:rsidR="00F572D4" w:rsidRPr="00192F41" w:rsidRDefault="005E6D2C" w:rsidP="00CB61B8">
            <w:pPr>
              <w:pStyle w:val="Bulletpointparagraph"/>
              <w:ind w:right="544"/>
              <w:jc w:val="both"/>
              <w:rPr>
                <w:rFonts w:cs="Arial"/>
                <w:b w:val="0"/>
              </w:rPr>
            </w:pPr>
            <w:r w:rsidRPr="00192F41">
              <w:rPr>
                <w:rFonts w:cs="Arial"/>
                <w:b w:val="0"/>
                <w:bCs/>
                <w:color w:val="000000" w:themeColor="text1"/>
              </w:rPr>
              <w:t>Our required revenue has been estimated using the building block approach.</w:t>
            </w:r>
          </w:p>
          <w:p w14:paraId="3A0A7780" w14:textId="347FAD76" w:rsidR="00F572D4" w:rsidRPr="00192F41" w:rsidRDefault="005E6D2C" w:rsidP="00CB61B8">
            <w:pPr>
              <w:pStyle w:val="Bulletpointparagraph"/>
              <w:ind w:right="544"/>
              <w:jc w:val="both"/>
              <w:rPr>
                <w:rFonts w:cs="Arial"/>
                <w:b w:val="0"/>
              </w:rPr>
            </w:pPr>
            <w:r w:rsidRPr="00192F41">
              <w:rPr>
                <w:rFonts w:cs="Arial"/>
                <w:b w:val="0"/>
                <w:bCs/>
                <w:color w:val="000000" w:themeColor="text1"/>
              </w:rPr>
              <w:t>Expenditure and hence revenue requirements are aligned to customer expectation and our performance outcomes.</w:t>
            </w:r>
          </w:p>
          <w:p w14:paraId="0421B251" w14:textId="1B39CABF" w:rsidR="00F15A76" w:rsidRPr="00F15A76" w:rsidRDefault="00F15A76" w:rsidP="00CB61B8">
            <w:pPr>
              <w:pStyle w:val="Bulletpointparagraph"/>
              <w:ind w:right="544"/>
              <w:jc w:val="both"/>
              <w:rPr>
                <w:rFonts w:cs="Arial"/>
                <w:b w:val="0"/>
                <w:bCs/>
                <w:color w:val="000000" w:themeColor="text1"/>
              </w:rPr>
            </w:pPr>
            <w:r w:rsidRPr="00866498">
              <w:rPr>
                <w:rFonts w:cs="Arial"/>
                <w:b w:val="0"/>
                <w:color w:val="000000" w:themeColor="text1"/>
              </w:rPr>
              <w:t>Forecast revenue requirement is $17</w:t>
            </w:r>
            <w:r w:rsidR="00534449">
              <w:rPr>
                <w:rFonts w:cs="Arial"/>
                <w:b w:val="0"/>
                <w:color w:val="000000" w:themeColor="text1"/>
              </w:rPr>
              <w:t>7</w:t>
            </w:r>
            <w:r w:rsidRPr="00866498">
              <w:rPr>
                <w:rFonts w:cs="Arial"/>
                <w:b w:val="0"/>
                <w:color w:val="000000" w:themeColor="text1"/>
              </w:rPr>
              <w:t>.</w:t>
            </w:r>
            <w:r w:rsidR="00534449">
              <w:rPr>
                <w:rFonts w:cs="Arial"/>
                <w:b w:val="0"/>
                <w:color w:val="000000" w:themeColor="text1"/>
              </w:rPr>
              <w:t>1</w:t>
            </w:r>
            <w:r w:rsidR="002B1883">
              <w:rPr>
                <w:rFonts w:cs="Arial"/>
                <w:b w:val="0"/>
                <w:color w:val="000000" w:themeColor="text1"/>
              </w:rPr>
              <w:t xml:space="preserve"> </w:t>
            </w:r>
            <w:r w:rsidRPr="00866498">
              <w:rPr>
                <w:rFonts w:cs="Arial"/>
                <w:b w:val="0"/>
                <w:color w:val="000000" w:themeColor="text1"/>
              </w:rPr>
              <w:t>m</w:t>
            </w:r>
            <w:r w:rsidR="002B1883">
              <w:rPr>
                <w:rFonts w:cs="Arial"/>
                <w:b w:val="0"/>
                <w:color w:val="000000" w:themeColor="text1"/>
              </w:rPr>
              <w:t>illion</w:t>
            </w:r>
            <w:r w:rsidRPr="00866498">
              <w:rPr>
                <w:rFonts w:cs="Arial"/>
                <w:b w:val="0"/>
                <w:color w:val="000000" w:themeColor="text1"/>
              </w:rPr>
              <w:t xml:space="preserve"> over the regulatory period. This comprises building block components of $13</w:t>
            </w:r>
            <w:r w:rsidR="00534449">
              <w:rPr>
                <w:rFonts w:cs="Arial"/>
                <w:b w:val="0"/>
                <w:color w:val="000000" w:themeColor="text1"/>
              </w:rPr>
              <w:t>1</w:t>
            </w:r>
            <w:r w:rsidRPr="00866498">
              <w:rPr>
                <w:rFonts w:cs="Arial"/>
                <w:b w:val="0"/>
                <w:color w:val="000000" w:themeColor="text1"/>
              </w:rPr>
              <w:t>.5</w:t>
            </w:r>
            <w:r w:rsidR="002B1883">
              <w:rPr>
                <w:rFonts w:cs="Arial"/>
                <w:b w:val="0"/>
                <w:color w:val="000000" w:themeColor="text1"/>
              </w:rPr>
              <w:t xml:space="preserve"> </w:t>
            </w:r>
            <w:r w:rsidRPr="00866498">
              <w:rPr>
                <w:rFonts w:cs="Arial"/>
                <w:b w:val="0"/>
                <w:color w:val="000000" w:themeColor="text1"/>
              </w:rPr>
              <w:t>m</w:t>
            </w:r>
            <w:r w:rsidR="002B1883">
              <w:rPr>
                <w:rFonts w:cs="Arial"/>
                <w:b w:val="0"/>
                <w:color w:val="000000" w:themeColor="text1"/>
              </w:rPr>
              <w:t>illion</w:t>
            </w:r>
            <w:r w:rsidRPr="00866498">
              <w:rPr>
                <w:rFonts w:cs="Arial"/>
                <w:b w:val="0"/>
                <w:color w:val="000000" w:themeColor="text1"/>
              </w:rPr>
              <w:t xml:space="preserve"> from operating costs and $4</w:t>
            </w:r>
            <w:r w:rsidR="00534449">
              <w:rPr>
                <w:rFonts w:cs="Arial"/>
                <w:b w:val="0"/>
                <w:color w:val="000000" w:themeColor="text1"/>
              </w:rPr>
              <w:t>5</w:t>
            </w:r>
            <w:r w:rsidR="00AD0362" w:rsidRPr="00866498">
              <w:rPr>
                <w:rFonts w:cs="Arial"/>
                <w:b w:val="0"/>
                <w:color w:val="000000" w:themeColor="text1"/>
              </w:rPr>
              <w:t>.</w:t>
            </w:r>
            <w:r w:rsidR="00534449">
              <w:rPr>
                <w:rFonts w:cs="Arial"/>
                <w:b w:val="0"/>
                <w:color w:val="000000" w:themeColor="text1"/>
              </w:rPr>
              <w:t>7</w:t>
            </w:r>
            <w:r w:rsidR="002B1883">
              <w:rPr>
                <w:rFonts w:cs="Arial"/>
                <w:b w:val="0"/>
                <w:color w:val="000000" w:themeColor="text1"/>
              </w:rPr>
              <w:t xml:space="preserve"> </w:t>
            </w:r>
            <w:r w:rsidRPr="00866498">
              <w:rPr>
                <w:rFonts w:cs="Arial"/>
                <w:b w:val="0"/>
                <w:color w:val="000000" w:themeColor="text1"/>
              </w:rPr>
              <w:t>m</w:t>
            </w:r>
            <w:r w:rsidR="002B1883">
              <w:rPr>
                <w:rFonts w:cs="Arial"/>
                <w:b w:val="0"/>
                <w:color w:val="000000" w:themeColor="text1"/>
              </w:rPr>
              <w:t>illion</w:t>
            </w:r>
            <w:r w:rsidRPr="00866498">
              <w:rPr>
                <w:rFonts w:cs="Arial"/>
                <w:b w:val="0"/>
                <w:color w:val="000000" w:themeColor="text1"/>
              </w:rPr>
              <w:t xml:space="preserve"> for the return on and of existing and future capital expenditure.</w:t>
            </w:r>
            <w:r w:rsidRPr="00F15A76">
              <w:rPr>
                <w:rFonts w:cs="Arial"/>
                <w:b w:val="0"/>
                <w:bCs/>
                <w:color w:val="000000" w:themeColor="text1"/>
              </w:rPr>
              <w:tab/>
            </w:r>
          </w:p>
          <w:p w14:paraId="3EBC91AA" w14:textId="4BC890D0" w:rsidR="004F6B8F" w:rsidRPr="005327D5" w:rsidRDefault="005E6D2C" w:rsidP="00CB61B8">
            <w:pPr>
              <w:pStyle w:val="Bulletpointparagraph"/>
              <w:ind w:right="544"/>
              <w:jc w:val="both"/>
              <w:rPr>
                <w:rFonts w:cs="Arial"/>
                <w:b w:val="0"/>
              </w:rPr>
            </w:pPr>
            <w:r w:rsidRPr="00192F41">
              <w:rPr>
                <w:rFonts w:cs="Arial"/>
                <w:b w:val="0"/>
                <w:bCs/>
                <w:color w:val="000000" w:themeColor="text1"/>
              </w:rPr>
              <w:t xml:space="preserve">Our return on assets is based on a standard PREMO rating. </w:t>
            </w:r>
          </w:p>
          <w:p w14:paraId="26898234" w14:textId="0D7C5EAF" w:rsidR="005327D5" w:rsidRPr="00200F3A" w:rsidRDefault="005327D5" w:rsidP="00CB61B8">
            <w:pPr>
              <w:pStyle w:val="Bulletpointparagraph"/>
              <w:ind w:right="544"/>
              <w:jc w:val="both"/>
              <w:rPr>
                <w:rFonts w:cs="Arial"/>
                <w:b w:val="0"/>
                <w:bCs/>
                <w:color w:val="000000" w:themeColor="text1"/>
              </w:rPr>
            </w:pPr>
            <w:r w:rsidRPr="00200F3A">
              <w:rPr>
                <w:rFonts w:cs="Arial"/>
                <w:b w:val="0"/>
                <w:bCs/>
                <w:color w:val="000000" w:themeColor="text1"/>
              </w:rPr>
              <w:t>Our long</w:t>
            </w:r>
            <w:r w:rsidR="00BB596B">
              <w:rPr>
                <w:rFonts w:cs="Arial"/>
                <w:b w:val="0"/>
                <w:bCs/>
                <w:color w:val="000000" w:themeColor="text1"/>
              </w:rPr>
              <w:t>-</w:t>
            </w:r>
            <w:r w:rsidR="00200F3A">
              <w:rPr>
                <w:rFonts w:cs="Arial"/>
                <w:b w:val="0"/>
                <w:bCs/>
                <w:color w:val="000000" w:themeColor="text1"/>
              </w:rPr>
              <w:t xml:space="preserve">term </w:t>
            </w:r>
            <w:r w:rsidR="0041140E">
              <w:rPr>
                <w:rFonts w:cs="Arial"/>
                <w:b w:val="0"/>
                <w:bCs/>
                <w:color w:val="000000" w:themeColor="text1"/>
              </w:rPr>
              <w:t xml:space="preserve">expectation is for a continuation of the price increases consistent with the 2023-28 period consistent with our </w:t>
            </w:r>
            <w:r w:rsidR="00316475">
              <w:rPr>
                <w:rFonts w:cs="Arial"/>
                <w:b w:val="0"/>
                <w:bCs/>
                <w:color w:val="000000" w:themeColor="text1"/>
              </w:rPr>
              <w:t>25</w:t>
            </w:r>
            <w:r w:rsidR="00FF133A">
              <w:rPr>
                <w:rFonts w:cs="Arial"/>
                <w:b w:val="0"/>
                <w:bCs/>
                <w:color w:val="000000" w:themeColor="text1"/>
              </w:rPr>
              <w:t>-</w:t>
            </w:r>
            <w:r w:rsidR="00316475">
              <w:rPr>
                <w:rFonts w:cs="Arial"/>
                <w:b w:val="0"/>
                <w:bCs/>
                <w:color w:val="000000" w:themeColor="text1"/>
              </w:rPr>
              <w:t>year asset management plans.</w:t>
            </w:r>
          </w:p>
          <w:p w14:paraId="05477C52" w14:textId="782F0415" w:rsidR="004F6B8F" w:rsidRPr="00192F41" w:rsidRDefault="004F6B8F" w:rsidP="00F572D4">
            <w:pPr>
              <w:pStyle w:val="Bulletpointparagraph"/>
              <w:numPr>
                <w:ilvl w:val="0"/>
                <w:numId w:val="0"/>
              </w:numPr>
              <w:ind w:left="360"/>
              <w:rPr>
                <w:rFonts w:cs="Arial"/>
                <w:b w:val="0"/>
              </w:rPr>
            </w:pPr>
          </w:p>
        </w:tc>
      </w:tr>
    </w:tbl>
    <w:bookmarkEnd w:id="63"/>
    <w:p w14:paraId="7DF36835" w14:textId="023DB205" w:rsidR="001268E4" w:rsidRPr="00192F41" w:rsidRDefault="001268E4" w:rsidP="00057778">
      <w:pPr>
        <w:pStyle w:val="Heading2"/>
        <w:rPr>
          <w:rStyle w:val="IntenseEmphasis"/>
          <w:rFonts w:cs="Arial"/>
          <w:i w:val="0"/>
          <w:iCs w:val="0"/>
          <w:sz w:val="36"/>
        </w:rPr>
      </w:pPr>
      <w:r w:rsidRPr="00192F41">
        <w:rPr>
          <w:rStyle w:val="IntenseEmphasis"/>
          <w:rFonts w:cs="Arial"/>
          <w:i w:val="0"/>
          <w:iCs w:val="0"/>
          <w:sz w:val="36"/>
        </w:rPr>
        <w:t>Revenue requirement</w:t>
      </w:r>
    </w:p>
    <w:p w14:paraId="1AD8CCF7" w14:textId="6227F737" w:rsidR="00F764DC" w:rsidRPr="00FF133A" w:rsidRDefault="008067C3" w:rsidP="00BA0797">
      <w:pPr>
        <w:jc w:val="both"/>
      </w:pPr>
      <w:r w:rsidRPr="00FF133A">
        <w:t>Our r</w:t>
      </w:r>
      <w:r w:rsidR="00EA41C1" w:rsidRPr="00FF133A">
        <w:t xml:space="preserve">equired revenue for </w:t>
      </w:r>
      <w:r w:rsidR="00186CF2" w:rsidRPr="00FF133A">
        <w:t xml:space="preserve">the next regulatory </w:t>
      </w:r>
      <w:r w:rsidR="00FF0FC2" w:rsidRPr="00FF133A">
        <w:t>period</w:t>
      </w:r>
      <w:r w:rsidR="00EA41C1" w:rsidRPr="00FF133A">
        <w:t xml:space="preserve"> </w:t>
      </w:r>
      <w:r w:rsidR="00B47D1B" w:rsidRPr="00FF133A">
        <w:t>has been</w:t>
      </w:r>
      <w:r w:rsidR="00EA41C1" w:rsidRPr="00FF133A">
        <w:t xml:space="preserve"> estimated </w:t>
      </w:r>
      <w:r w:rsidR="00B47D1B" w:rsidRPr="00FF133A">
        <w:t>using</w:t>
      </w:r>
      <w:r w:rsidR="00EA41C1" w:rsidRPr="00FF133A">
        <w:t xml:space="preserve"> the building block approach</w:t>
      </w:r>
      <w:r w:rsidR="00B47D1B" w:rsidRPr="00FF133A">
        <w:t xml:space="preserve"> set out in the </w:t>
      </w:r>
      <w:r w:rsidR="00FF133A">
        <w:t>g</w:t>
      </w:r>
      <w:r w:rsidR="00B47D1B" w:rsidRPr="00FF133A">
        <w:t>uidelines</w:t>
      </w:r>
      <w:r w:rsidR="00EA41C1" w:rsidRPr="00FF133A">
        <w:t>:</w:t>
      </w:r>
    </w:p>
    <w:p w14:paraId="00FF5E98" w14:textId="44C81C94" w:rsidR="00E451F8" w:rsidRPr="00FF133A" w:rsidRDefault="00FE53FE" w:rsidP="00F459A2">
      <w:pPr>
        <w:pStyle w:val="ListParagraph"/>
        <w:numPr>
          <w:ilvl w:val="0"/>
          <w:numId w:val="17"/>
        </w:numPr>
      </w:pPr>
      <w:r w:rsidRPr="00FF133A">
        <w:t>p</w:t>
      </w:r>
      <w:r w:rsidR="00EA41C1" w:rsidRPr="00FF133A">
        <w:t>rudent and efficient forecast operating expenditure</w:t>
      </w:r>
      <w:r w:rsidR="00E451F8" w:rsidRPr="00FF133A">
        <w:t xml:space="preserve"> (see Section 7)</w:t>
      </w:r>
      <w:r w:rsidR="00FB0ECF" w:rsidRPr="00FF133A">
        <w:t>;</w:t>
      </w:r>
    </w:p>
    <w:p w14:paraId="32DDD5C3" w14:textId="5AA8C769" w:rsidR="00502D50" w:rsidRPr="00FF133A" w:rsidRDefault="00EA41C1" w:rsidP="00F459A2">
      <w:pPr>
        <w:pStyle w:val="ListParagraph"/>
        <w:numPr>
          <w:ilvl w:val="0"/>
          <w:numId w:val="17"/>
        </w:numPr>
      </w:pPr>
      <w:r w:rsidRPr="00FF133A">
        <w:t xml:space="preserve">prudent and efficient forecast capital expenditure </w:t>
      </w:r>
      <w:r w:rsidR="00E451F8" w:rsidRPr="00FF133A">
        <w:t xml:space="preserve">(see Section </w:t>
      </w:r>
      <w:r w:rsidR="00502D50" w:rsidRPr="00FF133A">
        <w:t>8)</w:t>
      </w:r>
      <w:r w:rsidR="00FB0ECF" w:rsidRPr="00FF133A">
        <w:t>; and</w:t>
      </w:r>
    </w:p>
    <w:p w14:paraId="219919B8" w14:textId="4BAE8282" w:rsidR="000545F7" w:rsidRPr="00FF133A" w:rsidRDefault="00FB0ECF" w:rsidP="00F459A2">
      <w:pPr>
        <w:pStyle w:val="ListParagraph"/>
        <w:numPr>
          <w:ilvl w:val="0"/>
          <w:numId w:val="17"/>
        </w:numPr>
        <w:jc w:val="both"/>
      </w:pPr>
      <w:r w:rsidRPr="00FF133A">
        <w:t>r</w:t>
      </w:r>
      <w:r w:rsidR="00EA41C1" w:rsidRPr="00FF133A">
        <w:t>eturn on the regulatory asset base (RAB)</w:t>
      </w:r>
      <w:r w:rsidR="000545F7" w:rsidRPr="00FF133A">
        <w:t xml:space="preserve">, including the ‘roll forward’ of the RAB, the cost of debt and </w:t>
      </w:r>
      <w:r w:rsidR="004259EA" w:rsidRPr="00FF133A">
        <w:t>return</w:t>
      </w:r>
      <w:r w:rsidR="000545F7" w:rsidRPr="00FF133A">
        <w:t xml:space="preserve"> on equity</w:t>
      </w:r>
      <w:r w:rsidR="004259EA" w:rsidRPr="00FF133A">
        <w:t xml:space="preserve"> </w:t>
      </w:r>
      <w:r w:rsidR="00502D50" w:rsidRPr="00FF133A">
        <w:t xml:space="preserve">(see later in this </w:t>
      </w:r>
      <w:r w:rsidR="000545F7" w:rsidRPr="00FF133A">
        <w:t>Section)</w:t>
      </w:r>
      <w:r w:rsidRPr="00FF133A">
        <w:t>.</w:t>
      </w:r>
    </w:p>
    <w:p w14:paraId="75B23C21" w14:textId="3B332793" w:rsidR="007855C5" w:rsidRPr="00FF133A" w:rsidRDefault="00316475" w:rsidP="00BA0797">
      <w:pPr>
        <w:jc w:val="both"/>
      </w:pPr>
      <w:r w:rsidRPr="00BE4044">
        <w:rPr>
          <w:color w:val="000000" w:themeColor="text1"/>
        </w:rPr>
        <w:fldChar w:fldCharType="begin"/>
      </w:r>
      <w:r w:rsidRPr="00BE4044">
        <w:rPr>
          <w:color w:val="000000" w:themeColor="text1"/>
        </w:rPr>
        <w:instrText xml:space="preserve"> REF _Ref113433216 \h  \* MERGEFORMAT </w:instrText>
      </w:r>
      <w:r w:rsidRPr="00BE4044">
        <w:rPr>
          <w:color w:val="000000" w:themeColor="text1"/>
        </w:rPr>
      </w:r>
      <w:r w:rsidRPr="00BE4044">
        <w:rPr>
          <w:color w:val="000000" w:themeColor="text1"/>
        </w:rPr>
        <w:fldChar w:fldCharType="separate"/>
      </w:r>
      <w:r w:rsidR="008126A8" w:rsidRPr="008126A8">
        <w:rPr>
          <w:color w:val="000000" w:themeColor="text1"/>
        </w:rPr>
        <w:t>Table 20</w:t>
      </w:r>
      <w:r w:rsidRPr="00BE4044">
        <w:rPr>
          <w:color w:val="000000" w:themeColor="text1"/>
        </w:rPr>
        <w:fldChar w:fldCharType="end"/>
      </w:r>
      <w:r w:rsidR="005C7E44" w:rsidRPr="00FF133A">
        <w:t xml:space="preserve"> summarises SRW’s total revenue requirement for each year of the next regulatory period</w:t>
      </w:r>
      <w:r w:rsidR="008B72DC" w:rsidRPr="00FF133A">
        <w:t xml:space="preserve">, along with the </w:t>
      </w:r>
      <w:r w:rsidR="003310A8" w:rsidRPr="00FF133A">
        <w:t>following</w:t>
      </w:r>
      <w:r w:rsidR="008B72DC" w:rsidRPr="00FF133A">
        <w:t xml:space="preserve"> period through to 2032</w:t>
      </w:r>
      <w:r w:rsidR="00814AD5" w:rsidRPr="00FF133A">
        <w:t>-</w:t>
      </w:r>
      <w:r w:rsidR="00A415A3" w:rsidRPr="00FF133A">
        <w:t>3</w:t>
      </w:r>
      <w:r w:rsidR="008B72DC" w:rsidRPr="00FF133A">
        <w:t>3</w:t>
      </w:r>
      <w:r w:rsidR="00746B73" w:rsidRPr="00FF133A">
        <w:t>.</w:t>
      </w:r>
      <w:r w:rsidRPr="00FF133A">
        <w:t xml:space="preserve"> </w:t>
      </w:r>
      <w:r w:rsidR="007E5C37" w:rsidRPr="00FF133A">
        <w:t>Our estimates beyond the next regulatory period are based on our 25</w:t>
      </w:r>
      <w:r w:rsidR="00FF133A">
        <w:t>-</w:t>
      </w:r>
      <w:r w:rsidR="007E5C37" w:rsidRPr="00FF133A">
        <w:t>year capital plan</w:t>
      </w:r>
      <w:r w:rsidR="00524F5E" w:rsidRPr="00FF133A">
        <w:t xml:space="preserve"> and a continuation of operational costs, </w:t>
      </w:r>
      <w:r w:rsidR="003B0F91" w:rsidRPr="00FF133A">
        <w:t>as more information becomes available over this next period could change.</w:t>
      </w:r>
    </w:p>
    <w:p w14:paraId="404C8A13" w14:textId="05F8DBC6" w:rsidR="003B174E" w:rsidRPr="003413C3" w:rsidRDefault="003413C3" w:rsidP="003413C3">
      <w:pPr>
        <w:pStyle w:val="Caption"/>
        <w:rPr>
          <w:rStyle w:val="IntenseReference"/>
          <w:b w:val="0"/>
          <w:bCs w:val="0"/>
          <w:i w:val="0"/>
          <w:iCs w:val="0"/>
          <w:color w:val="00B1B0" w:themeColor="accent1"/>
          <w:sz w:val="24"/>
          <w:szCs w:val="20"/>
          <w:u w:val="single"/>
        </w:rPr>
      </w:pPr>
      <w:bookmarkStart w:id="64" w:name="_Ref113433216"/>
      <w:r w:rsidRPr="003413C3">
        <w:rPr>
          <w:b/>
          <w:bCs/>
          <w:i w:val="0"/>
          <w:iCs w:val="0"/>
          <w:color w:val="00B1B0" w:themeColor="accent1"/>
          <w:sz w:val="20"/>
          <w:szCs w:val="20"/>
        </w:rPr>
        <w:t xml:space="preserve">Table </w:t>
      </w:r>
      <w:r w:rsidRPr="003413C3">
        <w:rPr>
          <w:b/>
          <w:bCs/>
          <w:i w:val="0"/>
          <w:iCs w:val="0"/>
          <w:color w:val="00B1B0" w:themeColor="accent1"/>
          <w:sz w:val="20"/>
          <w:szCs w:val="20"/>
        </w:rPr>
        <w:fldChar w:fldCharType="begin"/>
      </w:r>
      <w:r w:rsidRPr="003413C3">
        <w:rPr>
          <w:b/>
          <w:bCs/>
          <w:i w:val="0"/>
          <w:iCs w:val="0"/>
          <w:color w:val="00B1B0" w:themeColor="accent1"/>
          <w:sz w:val="20"/>
          <w:szCs w:val="20"/>
        </w:rPr>
        <w:instrText xml:space="preserve"> SEQ Table \* ARABIC </w:instrText>
      </w:r>
      <w:r w:rsidRPr="003413C3">
        <w:rPr>
          <w:b/>
          <w:bCs/>
          <w:i w:val="0"/>
          <w:iCs w:val="0"/>
          <w:color w:val="00B1B0" w:themeColor="accent1"/>
          <w:sz w:val="20"/>
          <w:szCs w:val="20"/>
        </w:rPr>
        <w:fldChar w:fldCharType="separate"/>
      </w:r>
      <w:r w:rsidR="008126A8">
        <w:rPr>
          <w:b/>
          <w:bCs/>
          <w:i w:val="0"/>
          <w:iCs w:val="0"/>
          <w:noProof/>
          <w:color w:val="00B1B0" w:themeColor="accent1"/>
          <w:sz w:val="20"/>
          <w:szCs w:val="20"/>
        </w:rPr>
        <w:t>20</w:t>
      </w:r>
      <w:r w:rsidRPr="003413C3">
        <w:rPr>
          <w:b/>
          <w:bCs/>
          <w:i w:val="0"/>
          <w:iCs w:val="0"/>
          <w:color w:val="00B1B0" w:themeColor="accent1"/>
          <w:sz w:val="20"/>
          <w:szCs w:val="20"/>
        </w:rPr>
        <w:fldChar w:fldCharType="end"/>
      </w:r>
      <w:bookmarkEnd w:id="64"/>
      <w:r w:rsidRPr="003413C3">
        <w:rPr>
          <w:b/>
          <w:bCs/>
          <w:i w:val="0"/>
          <w:iCs w:val="0"/>
          <w:color w:val="00B1B0" w:themeColor="accent1"/>
          <w:sz w:val="20"/>
          <w:szCs w:val="20"/>
        </w:rPr>
        <w:t xml:space="preserve"> </w:t>
      </w:r>
      <w:r w:rsidR="00BA0797">
        <w:rPr>
          <w:b/>
          <w:bCs/>
          <w:i w:val="0"/>
          <w:iCs w:val="0"/>
          <w:color w:val="00B1B0" w:themeColor="accent1"/>
          <w:sz w:val="20"/>
          <w:szCs w:val="20"/>
        </w:rPr>
        <w:t>–</w:t>
      </w:r>
      <w:r w:rsidRPr="003413C3">
        <w:rPr>
          <w:b/>
          <w:bCs/>
          <w:i w:val="0"/>
          <w:iCs w:val="0"/>
          <w:color w:val="00B1B0" w:themeColor="accent1"/>
          <w:sz w:val="20"/>
          <w:szCs w:val="20"/>
        </w:rPr>
        <w:t xml:space="preserve"> </w:t>
      </w:r>
      <w:r w:rsidR="003B174E" w:rsidRPr="003413C3">
        <w:rPr>
          <w:b/>
          <w:bCs/>
          <w:i w:val="0"/>
          <w:iCs w:val="0"/>
          <w:color w:val="00B1B0" w:themeColor="accent1"/>
          <w:sz w:val="20"/>
          <w:szCs w:val="20"/>
        </w:rPr>
        <w:t>10</w:t>
      </w:r>
      <w:r w:rsidR="00BA0797">
        <w:rPr>
          <w:b/>
          <w:bCs/>
          <w:i w:val="0"/>
          <w:iCs w:val="0"/>
          <w:color w:val="00B1B0" w:themeColor="accent1"/>
          <w:sz w:val="20"/>
          <w:szCs w:val="20"/>
        </w:rPr>
        <w:t>-</w:t>
      </w:r>
      <w:r w:rsidR="003B174E" w:rsidRPr="003413C3">
        <w:rPr>
          <w:b/>
          <w:bCs/>
          <w:i w:val="0"/>
          <w:iCs w:val="0"/>
          <w:color w:val="00B1B0" w:themeColor="accent1"/>
          <w:sz w:val="20"/>
          <w:szCs w:val="20"/>
        </w:rPr>
        <w:t xml:space="preserve">year revenue </w:t>
      </w:r>
      <w:r w:rsidR="00513476">
        <w:rPr>
          <w:b/>
          <w:bCs/>
          <w:i w:val="0"/>
          <w:iCs w:val="0"/>
          <w:color w:val="00B1B0" w:themeColor="accent1"/>
          <w:sz w:val="20"/>
          <w:szCs w:val="20"/>
        </w:rPr>
        <w:t>r</w:t>
      </w:r>
      <w:r w:rsidR="00CE4876" w:rsidRPr="003413C3">
        <w:rPr>
          <w:b/>
          <w:bCs/>
          <w:i w:val="0"/>
          <w:iCs w:val="0"/>
          <w:color w:val="00B1B0" w:themeColor="accent1"/>
          <w:sz w:val="20"/>
          <w:szCs w:val="20"/>
        </w:rPr>
        <w:t>equirement</w:t>
      </w:r>
      <w:r w:rsidR="004A4D82">
        <w:rPr>
          <w:b/>
          <w:bCs/>
          <w:i w:val="0"/>
          <w:iCs w:val="0"/>
          <w:color w:val="00B1B0" w:themeColor="accent1"/>
          <w:sz w:val="20"/>
          <w:szCs w:val="20"/>
        </w:rPr>
        <w:t xml:space="preserve"> </w:t>
      </w:r>
    </w:p>
    <w:tbl>
      <w:tblPr>
        <w:tblW w:w="4940" w:type="dxa"/>
        <w:tblLook w:val="04A0" w:firstRow="1" w:lastRow="0" w:firstColumn="1" w:lastColumn="0" w:noHBand="0" w:noVBand="1"/>
      </w:tblPr>
      <w:tblGrid>
        <w:gridCol w:w="1902"/>
        <w:gridCol w:w="1988"/>
        <w:gridCol w:w="1050"/>
      </w:tblGrid>
      <w:tr w:rsidR="00FF32E4" w:rsidRPr="00FF32E4" w14:paraId="46CDB95D" w14:textId="77777777" w:rsidTr="00FE2ED8">
        <w:trPr>
          <w:trHeight w:val="432"/>
        </w:trPr>
        <w:tc>
          <w:tcPr>
            <w:tcW w:w="1902" w:type="dxa"/>
            <w:tcBorders>
              <w:top w:val="nil"/>
              <w:left w:val="nil"/>
              <w:bottom w:val="nil"/>
              <w:right w:val="nil"/>
            </w:tcBorders>
            <w:shd w:val="clear" w:color="000000" w:fill="70CBD0"/>
            <w:vAlign w:val="center"/>
            <w:hideMark/>
          </w:tcPr>
          <w:p w14:paraId="4243FA79" w14:textId="6B65F59C" w:rsidR="00FF32E4" w:rsidRPr="00CB61B8" w:rsidRDefault="00FF32E4" w:rsidP="00CB61B8">
            <w:pPr>
              <w:spacing w:before="40" w:after="40" w:line="240" w:lineRule="auto"/>
              <w:rPr>
                <w:rFonts w:eastAsia="Times New Roman" w:cs="Arial"/>
                <w:b/>
                <w:color w:val="FFFFFF"/>
                <w:sz w:val="20"/>
                <w:szCs w:val="20"/>
                <w:lang w:eastAsia="en-AU"/>
              </w:rPr>
            </w:pPr>
            <w:bookmarkStart w:id="65" w:name="RANGE!S458"/>
            <w:r w:rsidRPr="00CB61B8">
              <w:rPr>
                <w:rFonts w:eastAsia="Times New Roman" w:cs="Arial"/>
                <w:b/>
                <w:color w:val="FFFFFF"/>
                <w:sz w:val="20"/>
                <w:szCs w:val="20"/>
                <w:lang w:eastAsia="en-AU"/>
              </w:rPr>
              <w:t>Price period</w:t>
            </w:r>
            <w:bookmarkEnd w:id="65"/>
          </w:p>
        </w:tc>
        <w:tc>
          <w:tcPr>
            <w:tcW w:w="1988" w:type="dxa"/>
            <w:tcBorders>
              <w:top w:val="nil"/>
              <w:left w:val="nil"/>
              <w:bottom w:val="nil"/>
              <w:right w:val="nil"/>
            </w:tcBorders>
            <w:shd w:val="clear" w:color="000000" w:fill="70CBD0"/>
            <w:vAlign w:val="center"/>
            <w:hideMark/>
          </w:tcPr>
          <w:p w14:paraId="44ECD67D" w14:textId="77777777" w:rsidR="00FF32E4" w:rsidRPr="00CB61B8" w:rsidRDefault="00FF32E4" w:rsidP="006B5D8A">
            <w:pPr>
              <w:spacing w:before="40" w:after="40" w:line="240" w:lineRule="auto"/>
              <w:jc w:val="center"/>
              <w:rPr>
                <w:rFonts w:eastAsia="Times New Roman" w:cs="Arial"/>
                <w:b/>
                <w:color w:val="FFFFFF"/>
                <w:sz w:val="20"/>
                <w:szCs w:val="20"/>
                <w:lang w:eastAsia="en-AU"/>
              </w:rPr>
            </w:pPr>
            <w:r w:rsidRPr="00CB61B8">
              <w:rPr>
                <w:rFonts w:eastAsia="Times New Roman" w:cs="Arial"/>
                <w:b/>
                <w:color w:val="FFFFFF"/>
                <w:sz w:val="20"/>
                <w:szCs w:val="20"/>
                <w:lang w:eastAsia="en-AU"/>
              </w:rPr>
              <w:t>Financial year</w:t>
            </w:r>
          </w:p>
        </w:tc>
        <w:tc>
          <w:tcPr>
            <w:tcW w:w="1050" w:type="dxa"/>
            <w:tcBorders>
              <w:top w:val="nil"/>
              <w:left w:val="nil"/>
              <w:bottom w:val="nil"/>
              <w:right w:val="nil"/>
            </w:tcBorders>
            <w:shd w:val="clear" w:color="000000" w:fill="70CBD0"/>
            <w:vAlign w:val="center"/>
            <w:hideMark/>
          </w:tcPr>
          <w:p w14:paraId="4CED4DC7" w14:textId="77777777" w:rsidR="00FF32E4" w:rsidRPr="00CB61B8" w:rsidRDefault="00FF32E4" w:rsidP="006B5D8A">
            <w:pPr>
              <w:spacing w:before="40" w:after="40" w:line="240" w:lineRule="auto"/>
              <w:jc w:val="center"/>
              <w:rPr>
                <w:rFonts w:eastAsia="Times New Roman" w:cs="Arial"/>
                <w:b/>
                <w:color w:val="FFFFFF"/>
                <w:sz w:val="20"/>
                <w:szCs w:val="20"/>
                <w:lang w:eastAsia="en-AU"/>
              </w:rPr>
            </w:pPr>
            <w:r w:rsidRPr="00CB61B8">
              <w:rPr>
                <w:rFonts w:eastAsia="Times New Roman" w:cs="Arial"/>
                <w:b/>
                <w:color w:val="FFFFFF"/>
                <w:sz w:val="20"/>
                <w:szCs w:val="20"/>
                <w:lang w:eastAsia="en-AU"/>
              </w:rPr>
              <w:t>Estimate</w:t>
            </w:r>
          </w:p>
        </w:tc>
      </w:tr>
      <w:tr w:rsidR="00FF32E4" w:rsidRPr="00FF32E4" w14:paraId="0E8BF33D" w14:textId="77777777" w:rsidTr="00FE2ED8">
        <w:trPr>
          <w:trHeight w:val="141"/>
        </w:trPr>
        <w:tc>
          <w:tcPr>
            <w:tcW w:w="1902" w:type="dxa"/>
            <w:tcBorders>
              <w:top w:val="nil"/>
              <w:left w:val="nil"/>
              <w:bottom w:val="nil"/>
              <w:right w:val="nil"/>
            </w:tcBorders>
            <w:shd w:val="clear" w:color="000000" w:fill="F5F5F5"/>
            <w:vAlign w:val="center"/>
            <w:hideMark/>
          </w:tcPr>
          <w:p w14:paraId="5D4CF81B" w14:textId="77777777" w:rsidR="00FF32E4" w:rsidRPr="006B5D8A" w:rsidRDefault="00FF32E4" w:rsidP="006B5D8A">
            <w:pPr>
              <w:spacing w:before="40" w:after="40"/>
              <w:rPr>
                <w:sz w:val="20"/>
                <w:szCs w:val="20"/>
              </w:rPr>
            </w:pPr>
            <w:r w:rsidRPr="006B5D8A">
              <w:rPr>
                <w:sz w:val="20"/>
                <w:szCs w:val="20"/>
              </w:rPr>
              <w:t>This price period</w:t>
            </w:r>
          </w:p>
        </w:tc>
        <w:tc>
          <w:tcPr>
            <w:tcW w:w="1988" w:type="dxa"/>
            <w:tcBorders>
              <w:top w:val="nil"/>
              <w:left w:val="nil"/>
              <w:bottom w:val="nil"/>
              <w:right w:val="nil"/>
            </w:tcBorders>
            <w:shd w:val="clear" w:color="000000" w:fill="F5F5F5"/>
            <w:vAlign w:val="center"/>
            <w:hideMark/>
          </w:tcPr>
          <w:p w14:paraId="6CD6FD0C" w14:textId="77777777" w:rsidR="00FF32E4" w:rsidRPr="006B5D8A" w:rsidRDefault="00FF32E4" w:rsidP="006B5D8A">
            <w:pPr>
              <w:spacing w:before="40" w:after="40"/>
              <w:jc w:val="center"/>
              <w:rPr>
                <w:sz w:val="20"/>
                <w:szCs w:val="20"/>
              </w:rPr>
            </w:pPr>
            <w:r w:rsidRPr="006B5D8A">
              <w:rPr>
                <w:sz w:val="20"/>
                <w:szCs w:val="20"/>
              </w:rPr>
              <w:t>2023-4</w:t>
            </w:r>
          </w:p>
        </w:tc>
        <w:tc>
          <w:tcPr>
            <w:tcW w:w="1050" w:type="dxa"/>
            <w:tcBorders>
              <w:top w:val="nil"/>
              <w:left w:val="nil"/>
              <w:bottom w:val="nil"/>
              <w:right w:val="nil"/>
            </w:tcBorders>
            <w:shd w:val="clear" w:color="000000" w:fill="F5F5F5"/>
            <w:vAlign w:val="center"/>
            <w:hideMark/>
          </w:tcPr>
          <w:p w14:paraId="0EB69C04" w14:textId="34DE91CE" w:rsidR="00FF32E4" w:rsidRPr="006B5D8A" w:rsidRDefault="00FF32E4" w:rsidP="006B5D8A">
            <w:pPr>
              <w:spacing w:before="40" w:after="40"/>
              <w:jc w:val="center"/>
              <w:rPr>
                <w:sz w:val="20"/>
                <w:szCs w:val="20"/>
              </w:rPr>
            </w:pPr>
            <w:r w:rsidRPr="006B5D8A">
              <w:rPr>
                <w:sz w:val="20"/>
                <w:szCs w:val="20"/>
              </w:rPr>
              <w:t>34.8</w:t>
            </w:r>
          </w:p>
        </w:tc>
      </w:tr>
      <w:tr w:rsidR="00FF32E4" w:rsidRPr="00FF32E4" w14:paraId="3EC25AF6" w14:textId="77777777" w:rsidTr="00FE2ED8">
        <w:trPr>
          <w:trHeight w:val="264"/>
        </w:trPr>
        <w:tc>
          <w:tcPr>
            <w:tcW w:w="1902" w:type="dxa"/>
            <w:tcBorders>
              <w:top w:val="nil"/>
              <w:left w:val="nil"/>
              <w:bottom w:val="nil"/>
              <w:right w:val="nil"/>
            </w:tcBorders>
            <w:shd w:val="clear" w:color="auto" w:fill="auto"/>
            <w:vAlign w:val="center"/>
            <w:hideMark/>
          </w:tcPr>
          <w:p w14:paraId="29FF1DF7" w14:textId="77777777" w:rsidR="00FF32E4" w:rsidRPr="006B5D8A" w:rsidRDefault="00FF32E4" w:rsidP="006B5D8A">
            <w:pPr>
              <w:spacing w:before="40" w:after="40"/>
              <w:rPr>
                <w:sz w:val="20"/>
                <w:szCs w:val="20"/>
              </w:rPr>
            </w:pPr>
          </w:p>
        </w:tc>
        <w:tc>
          <w:tcPr>
            <w:tcW w:w="1988" w:type="dxa"/>
            <w:tcBorders>
              <w:top w:val="nil"/>
              <w:left w:val="nil"/>
              <w:bottom w:val="nil"/>
              <w:right w:val="nil"/>
            </w:tcBorders>
            <w:shd w:val="clear" w:color="auto" w:fill="auto"/>
            <w:vAlign w:val="center"/>
            <w:hideMark/>
          </w:tcPr>
          <w:p w14:paraId="3B2D460D" w14:textId="77777777" w:rsidR="00FF32E4" w:rsidRPr="006B5D8A" w:rsidRDefault="00FF32E4" w:rsidP="006B5D8A">
            <w:pPr>
              <w:spacing w:before="40" w:after="40"/>
              <w:jc w:val="center"/>
              <w:rPr>
                <w:sz w:val="20"/>
                <w:szCs w:val="20"/>
              </w:rPr>
            </w:pPr>
            <w:r w:rsidRPr="006B5D8A">
              <w:rPr>
                <w:sz w:val="20"/>
                <w:szCs w:val="20"/>
              </w:rPr>
              <w:t>2024-5</w:t>
            </w:r>
          </w:p>
        </w:tc>
        <w:tc>
          <w:tcPr>
            <w:tcW w:w="1050" w:type="dxa"/>
            <w:tcBorders>
              <w:top w:val="nil"/>
              <w:left w:val="nil"/>
              <w:bottom w:val="nil"/>
              <w:right w:val="nil"/>
            </w:tcBorders>
            <w:shd w:val="clear" w:color="000000" w:fill="FFFFFF"/>
            <w:vAlign w:val="center"/>
            <w:hideMark/>
          </w:tcPr>
          <w:p w14:paraId="52E538D6" w14:textId="764E5BBF" w:rsidR="00FF32E4" w:rsidRPr="006B5D8A" w:rsidRDefault="00FF32E4" w:rsidP="006B5D8A">
            <w:pPr>
              <w:spacing w:before="40" w:after="40"/>
              <w:jc w:val="center"/>
              <w:rPr>
                <w:sz w:val="20"/>
                <w:szCs w:val="20"/>
              </w:rPr>
            </w:pPr>
            <w:r w:rsidRPr="006B5D8A">
              <w:rPr>
                <w:sz w:val="20"/>
                <w:szCs w:val="20"/>
              </w:rPr>
              <w:t>35.7</w:t>
            </w:r>
          </w:p>
        </w:tc>
      </w:tr>
      <w:tr w:rsidR="00FF32E4" w:rsidRPr="00FF32E4" w14:paraId="4F44E978" w14:textId="77777777" w:rsidTr="00FE2ED8">
        <w:trPr>
          <w:trHeight w:val="264"/>
        </w:trPr>
        <w:tc>
          <w:tcPr>
            <w:tcW w:w="1902" w:type="dxa"/>
            <w:tcBorders>
              <w:top w:val="nil"/>
              <w:left w:val="nil"/>
              <w:bottom w:val="nil"/>
              <w:right w:val="nil"/>
            </w:tcBorders>
            <w:shd w:val="clear" w:color="000000" w:fill="F5F5F5"/>
            <w:vAlign w:val="center"/>
            <w:hideMark/>
          </w:tcPr>
          <w:p w14:paraId="41285474" w14:textId="77777777" w:rsidR="00FF32E4" w:rsidRPr="006B5D8A" w:rsidRDefault="00FF32E4" w:rsidP="006B5D8A">
            <w:pPr>
              <w:spacing w:before="40" w:after="40"/>
              <w:rPr>
                <w:sz w:val="20"/>
                <w:szCs w:val="20"/>
              </w:rPr>
            </w:pPr>
            <w:r w:rsidRPr="006B5D8A">
              <w:rPr>
                <w:sz w:val="20"/>
                <w:szCs w:val="20"/>
              </w:rPr>
              <w:t> </w:t>
            </w:r>
          </w:p>
        </w:tc>
        <w:tc>
          <w:tcPr>
            <w:tcW w:w="1988" w:type="dxa"/>
            <w:tcBorders>
              <w:top w:val="nil"/>
              <w:left w:val="nil"/>
              <w:bottom w:val="nil"/>
              <w:right w:val="nil"/>
            </w:tcBorders>
            <w:shd w:val="clear" w:color="000000" w:fill="F5F5F5"/>
            <w:vAlign w:val="center"/>
            <w:hideMark/>
          </w:tcPr>
          <w:p w14:paraId="433CABC0" w14:textId="77777777" w:rsidR="00FF32E4" w:rsidRPr="006B5D8A" w:rsidRDefault="00FF32E4" w:rsidP="006B5D8A">
            <w:pPr>
              <w:spacing w:before="40" w:after="40"/>
              <w:jc w:val="center"/>
              <w:rPr>
                <w:sz w:val="20"/>
                <w:szCs w:val="20"/>
              </w:rPr>
            </w:pPr>
            <w:r w:rsidRPr="006B5D8A">
              <w:rPr>
                <w:sz w:val="20"/>
                <w:szCs w:val="20"/>
              </w:rPr>
              <w:t>2025-6</w:t>
            </w:r>
          </w:p>
        </w:tc>
        <w:tc>
          <w:tcPr>
            <w:tcW w:w="1050" w:type="dxa"/>
            <w:tcBorders>
              <w:top w:val="nil"/>
              <w:left w:val="nil"/>
              <w:bottom w:val="nil"/>
              <w:right w:val="nil"/>
            </w:tcBorders>
            <w:shd w:val="clear" w:color="000000" w:fill="F5F5F5"/>
            <w:vAlign w:val="center"/>
            <w:hideMark/>
          </w:tcPr>
          <w:p w14:paraId="0995B4C7" w14:textId="46FE3AB5" w:rsidR="00FF32E4" w:rsidRPr="006B5D8A" w:rsidRDefault="00FF32E4" w:rsidP="006B5D8A">
            <w:pPr>
              <w:spacing w:before="40" w:after="40"/>
              <w:jc w:val="center"/>
              <w:rPr>
                <w:sz w:val="20"/>
                <w:szCs w:val="20"/>
              </w:rPr>
            </w:pPr>
            <w:r w:rsidRPr="006B5D8A">
              <w:rPr>
                <w:sz w:val="20"/>
                <w:szCs w:val="20"/>
              </w:rPr>
              <w:t>34.7</w:t>
            </w:r>
          </w:p>
        </w:tc>
      </w:tr>
      <w:tr w:rsidR="00FF32E4" w:rsidRPr="00FF32E4" w14:paraId="0A420E0F" w14:textId="77777777" w:rsidTr="00FE2ED8">
        <w:trPr>
          <w:trHeight w:val="264"/>
        </w:trPr>
        <w:tc>
          <w:tcPr>
            <w:tcW w:w="1902" w:type="dxa"/>
            <w:tcBorders>
              <w:top w:val="nil"/>
              <w:left w:val="nil"/>
              <w:bottom w:val="nil"/>
              <w:right w:val="nil"/>
            </w:tcBorders>
            <w:shd w:val="clear" w:color="auto" w:fill="auto"/>
            <w:vAlign w:val="center"/>
            <w:hideMark/>
          </w:tcPr>
          <w:p w14:paraId="21BD7CC2" w14:textId="77777777" w:rsidR="00FF32E4" w:rsidRPr="006B5D8A" w:rsidRDefault="00FF32E4" w:rsidP="006B5D8A">
            <w:pPr>
              <w:spacing w:before="40" w:after="40"/>
              <w:rPr>
                <w:sz w:val="20"/>
                <w:szCs w:val="20"/>
              </w:rPr>
            </w:pPr>
          </w:p>
        </w:tc>
        <w:tc>
          <w:tcPr>
            <w:tcW w:w="1988" w:type="dxa"/>
            <w:tcBorders>
              <w:top w:val="nil"/>
              <w:left w:val="nil"/>
              <w:bottom w:val="nil"/>
              <w:right w:val="nil"/>
            </w:tcBorders>
            <w:shd w:val="clear" w:color="auto" w:fill="auto"/>
            <w:vAlign w:val="center"/>
            <w:hideMark/>
          </w:tcPr>
          <w:p w14:paraId="7D67E1FC" w14:textId="77777777" w:rsidR="00FF32E4" w:rsidRPr="006B5D8A" w:rsidRDefault="00FF32E4" w:rsidP="006B5D8A">
            <w:pPr>
              <w:spacing w:before="40" w:after="40"/>
              <w:jc w:val="center"/>
              <w:rPr>
                <w:sz w:val="20"/>
                <w:szCs w:val="20"/>
              </w:rPr>
            </w:pPr>
            <w:r w:rsidRPr="006B5D8A">
              <w:rPr>
                <w:sz w:val="20"/>
                <w:szCs w:val="20"/>
              </w:rPr>
              <w:t>2026-7</w:t>
            </w:r>
          </w:p>
        </w:tc>
        <w:tc>
          <w:tcPr>
            <w:tcW w:w="1050" w:type="dxa"/>
            <w:tcBorders>
              <w:top w:val="nil"/>
              <w:left w:val="nil"/>
              <w:bottom w:val="nil"/>
              <w:right w:val="nil"/>
            </w:tcBorders>
            <w:shd w:val="clear" w:color="000000" w:fill="FFFFFF"/>
            <w:vAlign w:val="center"/>
            <w:hideMark/>
          </w:tcPr>
          <w:p w14:paraId="155573A4" w14:textId="1D402A0E" w:rsidR="00FF32E4" w:rsidRPr="006B5D8A" w:rsidRDefault="00FF32E4" w:rsidP="006B5D8A">
            <w:pPr>
              <w:spacing w:before="40" w:after="40"/>
              <w:jc w:val="center"/>
              <w:rPr>
                <w:sz w:val="20"/>
                <w:szCs w:val="20"/>
              </w:rPr>
            </w:pPr>
            <w:r w:rsidRPr="006B5D8A">
              <w:rPr>
                <w:sz w:val="20"/>
                <w:szCs w:val="20"/>
              </w:rPr>
              <w:t>36.0</w:t>
            </w:r>
          </w:p>
        </w:tc>
      </w:tr>
      <w:tr w:rsidR="00FF32E4" w:rsidRPr="00FF32E4" w14:paraId="2CA96A21" w14:textId="77777777" w:rsidTr="00FE2ED8">
        <w:trPr>
          <w:trHeight w:val="264"/>
        </w:trPr>
        <w:tc>
          <w:tcPr>
            <w:tcW w:w="1902" w:type="dxa"/>
            <w:tcBorders>
              <w:top w:val="nil"/>
              <w:left w:val="nil"/>
              <w:bottom w:val="nil"/>
              <w:right w:val="nil"/>
            </w:tcBorders>
            <w:shd w:val="clear" w:color="000000" w:fill="F5F5F5"/>
            <w:vAlign w:val="center"/>
            <w:hideMark/>
          </w:tcPr>
          <w:p w14:paraId="232200C3" w14:textId="77777777" w:rsidR="00FF32E4" w:rsidRPr="006B5D8A" w:rsidRDefault="00FF32E4" w:rsidP="006B5D8A">
            <w:pPr>
              <w:spacing w:before="40" w:after="40"/>
              <w:rPr>
                <w:sz w:val="20"/>
                <w:szCs w:val="20"/>
              </w:rPr>
            </w:pPr>
            <w:r w:rsidRPr="006B5D8A">
              <w:rPr>
                <w:sz w:val="20"/>
                <w:szCs w:val="20"/>
              </w:rPr>
              <w:t> </w:t>
            </w:r>
          </w:p>
        </w:tc>
        <w:tc>
          <w:tcPr>
            <w:tcW w:w="1988" w:type="dxa"/>
            <w:tcBorders>
              <w:top w:val="nil"/>
              <w:left w:val="nil"/>
              <w:bottom w:val="nil"/>
              <w:right w:val="nil"/>
            </w:tcBorders>
            <w:shd w:val="clear" w:color="000000" w:fill="F5F5F5"/>
            <w:vAlign w:val="center"/>
            <w:hideMark/>
          </w:tcPr>
          <w:p w14:paraId="6A83EBDD" w14:textId="77777777" w:rsidR="00FF32E4" w:rsidRPr="006B5D8A" w:rsidRDefault="00FF32E4" w:rsidP="006B5D8A">
            <w:pPr>
              <w:spacing w:before="40" w:after="40"/>
              <w:jc w:val="center"/>
              <w:rPr>
                <w:sz w:val="20"/>
                <w:szCs w:val="20"/>
              </w:rPr>
            </w:pPr>
            <w:r w:rsidRPr="006B5D8A">
              <w:rPr>
                <w:sz w:val="20"/>
                <w:szCs w:val="20"/>
              </w:rPr>
              <w:t>2027-8</w:t>
            </w:r>
          </w:p>
        </w:tc>
        <w:tc>
          <w:tcPr>
            <w:tcW w:w="1050" w:type="dxa"/>
            <w:tcBorders>
              <w:top w:val="nil"/>
              <w:left w:val="nil"/>
              <w:bottom w:val="nil"/>
              <w:right w:val="nil"/>
            </w:tcBorders>
            <w:shd w:val="clear" w:color="000000" w:fill="F5F5F5"/>
            <w:vAlign w:val="center"/>
            <w:hideMark/>
          </w:tcPr>
          <w:p w14:paraId="61FC71DF" w14:textId="5104BB44" w:rsidR="00FF32E4" w:rsidRPr="006B5D8A" w:rsidRDefault="00FF32E4" w:rsidP="006B5D8A">
            <w:pPr>
              <w:spacing w:before="40" w:after="40"/>
              <w:jc w:val="center"/>
              <w:rPr>
                <w:sz w:val="20"/>
                <w:szCs w:val="20"/>
              </w:rPr>
            </w:pPr>
            <w:r w:rsidRPr="006B5D8A">
              <w:rPr>
                <w:sz w:val="20"/>
                <w:szCs w:val="20"/>
              </w:rPr>
              <w:t>36.0</w:t>
            </w:r>
          </w:p>
        </w:tc>
      </w:tr>
      <w:tr w:rsidR="00FE2ED8" w:rsidRPr="00FF32E4" w14:paraId="32524B1A" w14:textId="77777777" w:rsidTr="00FE2ED8">
        <w:trPr>
          <w:trHeight w:val="334"/>
        </w:trPr>
        <w:tc>
          <w:tcPr>
            <w:tcW w:w="1902" w:type="dxa"/>
            <w:tcBorders>
              <w:top w:val="nil"/>
              <w:left w:val="nil"/>
              <w:bottom w:val="nil"/>
              <w:right w:val="nil"/>
            </w:tcBorders>
            <w:shd w:val="clear" w:color="auto" w:fill="auto"/>
            <w:vAlign w:val="center"/>
            <w:hideMark/>
          </w:tcPr>
          <w:p w14:paraId="7A593FF6" w14:textId="77777777" w:rsidR="00FE2ED8" w:rsidRPr="006B5D8A" w:rsidRDefault="00FE2ED8" w:rsidP="00FE2ED8">
            <w:pPr>
              <w:spacing w:before="40" w:after="40"/>
              <w:rPr>
                <w:sz w:val="20"/>
                <w:szCs w:val="20"/>
              </w:rPr>
            </w:pPr>
            <w:r w:rsidRPr="006B5D8A">
              <w:rPr>
                <w:sz w:val="20"/>
                <w:szCs w:val="20"/>
              </w:rPr>
              <w:t>Next price period</w:t>
            </w:r>
          </w:p>
        </w:tc>
        <w:tc>
          <w:tcPr>
            <w:tcW w:w="1988" w:type="dxa"/>
            <w:tcBorders>
              <w:top w:val="nil"/>
              <w:left w:val="nil"/>
              <w:bottom w:val="nil"/>
              <w:right w:val="nil"/>
            </w:tcBorders>
            <w:shd w:val="clear" w:color="auto" w:fill="auto"/>
            <w:vAlign w:val="center"/>
            <w:hideMark/>
          </w:tcPr>
          <w:p w14:paraId="4CF7C79D" w14:textId="77777777" w:rsidR="00FE2ED8" w:rsidRPr="006B5D8A" w:rsidRDefault="00FE2ED8" w:rsidP="00FE2ED8">
            <w:pPr>
              <w:spacing w:before="40" w:after="40"/>
              <w:jc w:val="center"/>
              <w:rPr>
                <w:sz w:val="20"/>
                <w:szCs w:val="20"/>
              </w:rPr>
            </w:pPr>
            <w:r w:rsidRPr="006B5D8A">
              <w:rPr>
                <w:sz w:val="20"/>
                <w:szCs w:val="20"/>
              </w:rPr>
              <w:t>2028-9</w:t>
            </w:r>
          </w:p>
        </w:tc>
        <w:tc>
          <w:tcPr>
            <w:tcW w:w="1050" w:type="dxa"/>
            <w:tcBorders>
              <w:top w:val="nil"/>
              <w:left w:val="nil"/>
              <w:bottom w:val="nil"/>
              <w:right w:val="nil"/>
            </w:tcBorders>
            <w:shd w:val="clear" w:color="000000" w:fill="FFFFFF"/>
            <w:vAlign w:val="center"/>
            <w:hideMark/>
          </w:tcPr>
          <w:p w14:paraId="58B1A6A1" w14:textId="1FDD7594" w:rsidR="00FE2ED8" w:rsidRPr="00856F71" w:rsidRDefault="00FE2ED8" w:rsidP="00FE2ED8">
            <w:pPr>
              <w:spacing w:before="40" w:after="40"/>
              <w:jc w:val="center"/>
              <w:rPr>
                <w:sz w:val="20"/>
                <w:szCs w:val="20"/>
              </w:rPr>
            </w:pPr>
            <w:r w:rsidRPr="00856F71">
              <w:rPr>
                <w:rFonts w:cs="Arial"/>
                <w:sz w:val="20"/>
                <w:szCs w:val="20"/>
                <w:lang w:eastAsia="en-AU"/>
              </w:rPr>
              <w:t xml:space="preserve">37.5 </w:t>
            </w:r>
          </w:p>
        </w:tc>
      </w:tr>
      <w:tr w:rsidR="00FE2ED8" w:rsidRPr="00FF32E4" w14:paraId="5A5A47ED" w14:textId="77777777" w:rsidTr="00FE2ED8">
        <w:trPr>
          <w:trHeight w:val="264"/>
        </w:trPr>
        <w:tc>
          <w:tcPr>
            <w:tcW w:w="1902" w:type="dxa"/>
            <w:tcBorders>
              <w:top w:val="nil"/>
              <w:left w:val="nil"/>
              <w:bottom w:val="nil"/>
              <w:right w:val="nil"/>
            </w:tcBorders>
            <w:shd w:val="clear" w:color="000000" w:fill="F5F5F5"/>
            <w:vAlign w:val="center"/>
            <w:hideMark/>
          </w:tcPr>
          <w:p w14:paraId="1A17EB68" w14:textId="10D5E103" w:rsidR="00FE2ED8" w:rsidRPr="006B5D8A" w:rsidRDefault="00FE2ED8" w:rsidP="00FE2ED8">
            <w:pPr>
              <w:spacing w:before="40" w:after="40"/>
              <w:rPr>
                <w:sz w:val="20"/>
                <w:szCs w:val="20"/>
              </w:rPr>
            </w:pPr>
            <w:r w:rsidRPr="006B5D8A">
              <w:rPr>
                <w:sz w:val="20"/>
                <w:szCs w:val="20"/>
              </w:rPr>
              <w:t> </w:t>
            </w:r>
          </w:p>
        </w:tc>
        <w:tc>
          <w:tcPr>
            <w:tcW w:w="1988" w:type="dxa"/>
            <w:tcBorders>
              <w:top w:val="nil"/>
              <w:left w:val="nil"/>
              <w:bottom w:val="nil"/>
              <w:right w:val="nil"/>
            </w:tcBorders>
            <w:shd w:val="clear" w:color="000000" w:fill="F5F5F5"/>
            <w:vAlign w:val="center"/>
            <w:hideMark/>
          </w:tcPr>
          <w:p w14:paraId="22AEA8C9" w14:textId="77777777" w:rsidR="00FE2ED8" w:rsidRPr="006B5D8A" w:rsidRDefault="00FE2ED8" w:rsidP="00FE2ED8">
            <w:pPr>
              <w:spacing w:before="40" w:after="40"/>
              <w:jc w:val="center"/>
              <w:rPr>
                <w:sz w:val="20"/>
                <w:szCs w:val="20"/>
              </w:rPr>
            </w:pPr>
            <w:r w:rsidRPr="006B5D8A">
              <w:rPr>
                <w:sz w:val="20"/>
                <w:szCs w:val="20"/>
              </w:rPr>
              <w:t>2029-30</w:t>
            </w:r>
          </w:p>
        </w:tc>
        <w:tc>
          <w:tcPr>
            <w:tcW w:w="1050" w:type="dxa"/>
            <w:tcBorders>
              <w:top w:val="nil"/>
              <w:left w:val="nil"/>
              <w:bottom w:val="nil"/>
              <w:right w:val="nil"/>
            </w:tcBorders>
            <w:shd w:val="clear" w:color="000000" w:fill="F5F5F5"/>
            <w:vAlign w:val="center"/>
            <w:hideMark/>
          </w:tcPr>
          <w:p w14:paraId="218DDCBF" w14:textId="0DF47A12" w:rsidR="00FE2ED8" w:rsidRPr="00856F71" w:rsidRDefault="00FE2ED8" w:rsidP="00FE2ED8">
            <w:pPr>
              <w:spacing w:before="40" w:after="40"/>
              <w:jc w:val="center"/>
              <w:rPr>
                <w:sz w:val="20"/>
                <w:szCs w:val="20"/>
              </w:rPr>
            </w:pPr>
            <w:r w:rsidRPr="00856F71">
              <w:rPr>
                <w:rFonts w:cs="Arial"/>
                <w:sz w:val="20"/>
                <w:szCs w:val="20"/>
                <w:lang w:eastAsia="en-AU"/>
              </w:rPr>
              <w:t xml:space="preserve">36.0 </w:t>
            </w:r>
          </w:p>
        </w:tc>
      </w:tr>
      <w:tr w:rsidR="00FE2ED8" w:rsidRPr="00FF32E4" w14:paraId="577257C5" w14:textId="77777777" w:rsidTr="00FE2ED8">
        <w:trPr>
          <w:trHeight w:val="264"/>
        </w:trPr>
        <w:tc>
          <w:tcPr>
            <w:tcW w:w="1902" w:type="dxa"/>
            <w:tcBorders>
              <w:top w:val="nil"/>
              <w:left w:val="nil"/>
              <w:bottom w:val="nil"/>
              <w:right w:val="nil"/>
            </w:tcBorders>
            <w:shd w:val="clear" w:color="auto" w:fill="auto"/>
            <w:vAlign w:val="center"/>
            <w:hideMark/>
          </w:tcPr>
          <w:p w14:paraId="5486464F" w14:textId="77777777" w:rsidR="00FE2ED8" w:rsidRPr="006B5D8A" w:rsidRDefault="00FE2ED8" w:rsidP="00FE2ED8">
            <w:pPr>
              <w:spacing w:before="40" w:after="40"/>
              <w:rPr>
                <w:sz w:val="20"/>
                <w:szCs w:val="20"/>
              </w:rPr>
            </w:pPr>
          </w:p>
        </w:tc>
        <w:tc>
          <w:tcPr>
            <w:tcW w:w="1988" w:type="dxa"/>
            <w:tcBorders>
              <w:top w:val="nil"/>
              <w:left w:val="nil"/>
              <w:bottom w:val="nil"/>
              <w:right w:val="nil"/>
            </w:tcBorders>
            <w:shd w:val="clear" w:color="auto" w:fill="auto"/>
            <w:vAlign w:val="center"/>
            <w:hideMark/>
          </w:tcPr>
          <w:p w14:paraId="3E441E2A" w14:textId="77777777" w:rsidR="00FE2ED8" w:rsidRPr="006B5D8A" w:rsidRDefault="00FE2ED8" w:rsidP="00FE2ED8">
            <w:pPr>
              <w:spacing w:before="40" w:after="40"/>
              <w:jc w:val="center"/>
              <w:rPr>
                <w:sz w:val="20"/>
                <w:szCs w:val="20"/>
              </w:rPr>
            </w:pPr>
            <w:r w:rsidRPr="006B5D8A">
              <w:rPr>
                <w:sz w:val="20"/>
                <w:szCs w:val="20"/>
              </w:rPr>
              <w:t>2030-1</w:t>
            </w:r>
          </w:p>
        </w:tc>
        <w:tc>
          <w:tcPr>
            <w:tcW w:w="1050" w:type="dxa"/>
            <w:tcBorders>
              <w:top w:val="nil"/>
              <w:left w:val="nil"/>
              <w:bottom w:val="nil"/>
              <w:right w:val="nil"/>
            </w:tcBorders>
            <w:shd w:val="clear" w:color="000000" w:fill="FFFFFF"/>
            <w:vAlign w:val="center"/>
            <w:hideMark/>
          </w:tcPr>
          <w:p w14:paraId="56460673" w14:textId="76FBCD11" w:rsidR="00FE2ED8" w:rsidRPr="00856F71" w:rsidRDefault="00FE2ED8" w:rsidP="00FE2ED8">
            <w:pPr>
              <w:spacing w:before="40" w:after="40"/>
              <w:jc w:val="center"/>
              <w:rPr>
                <w:sz w:val="20"/>
                <w:szCs w:val="20"/>
              </w:rPr>
            </w:pPr>
            <w:r w:rsidRPr="00856F71">
              <w:rPr>
                <w:rFonts w:cs="Arial"/>
                <w:sz w:val="20"/>
                <w:szCs w:val="20"/>
                <w:lang w:eastAsia="en-AU"/>
              </w:rPr>
              <w:t xml:space="preserve">36.3 </w:t>
            </w:r>
          </w:p>
        </w:tc>
      </w:tr>
      <w:tr w:rsidR="00FE2ED8" w:rsidRPr="00FF32E4" w14:paraId="079462F4" w14:textId="77777777" w:rsidTr="00FE2ED8">
        <w:trPr>
          <w:trHeight w:val="264"/>
        </w:trPr>
        <w:tc>
          <w:tcPr>
            <w:tcW w:w="1902" w:type="dxa"/>
            <w:tcBorders>
              <w:top w:val="nil"/>
              <w:left w:val="nil"/>
              <w:right w:val="nil"/>
            </w:tcBorders>
            <w:shd w:val="clear" w:color="000000" w:fill="F5F5F5"/>
            <w:vAlign w:val="center"/>
            <w:hideMark/>
          </w:tcPr>
          <w:p w14:paraId="589E1348" w14:textId="77777777" w:rsidR="00FE2ED8" w:rsidRPr="006B5D8A" w:rsidRDefault="00FE2ED8" w:rsidP="00FE2ED8">
            <w:pPr>
              <w:spacing w:before="40" w:after="40"/>
              <w:rPr>
                <w:sz w:val="20"/>
                <w:szCs w:val="20"/>
              </w:rPr>
            </w:pPr>
            <w:r w:rsidRPr="006B5D8A">
              <w:rPr>
                <w:sz w:val="20"/>
                <w:szCs w:val="20"/>
              </w:rPr>
              <w:t> </w:t>
            </w:r>
          </w:p>
        </w:tc>
        <w:tc>
          <w:tcPr>
            <w:tcW w:w="1988" w:type="dxa"/>
            <w:tcBorders>
              <w:top w:val="nil"/>
              <w:left w:val="nil"/>
              <w:right w:val="nil"/>
            </w:tcBorders>
            <w:shd w:val="clear" w:color="000000" w:fill="F5F5F5"/>
            <w:vAlign w:val="center"/>
            <w:hideMark/>
          </w:tcPr>
          <w:p w14:paraId="43568E84" w14:textId="77777777" w:rsidR="00FE2ED8" w:rsidRPr="006B5D8A" w:rsidRDefault="00FE2ED8" w:rsidP="00FE2ED8">
            <w:pPr>
              <w:spacing w:before="40" w:after="40"/>
              <w:jc w:val="center"/>
              <w:rPr>
                <w:sz w:val="20"/>
                <w:szCs w:val="20"/>
              </w:rPr>
            </w:pPr>
            <w:r w:rsidRPr="006B5D8A">
              <w:rPr>
                <w:sz w:val="20"/>
                <w:szCs w:val="20"/>
              </w:rPr>
              <w:t>2031-2</w:t>
            </w:r>
          </w:p>
        </w:tc>
        <w:tc>
          <w:tcPr>
            <w:tcW w:w="1050" w:type="dxa"/>
            <w:tcBorders>
              <w:top w:val="nil"/>
              <w:left w:val="nil"/>
              <w:right w:val="nil"/>
            </w:tcBorders>
            <w:shd w:val="clear" w:color="000000" w:fill="F5F5F5"/>
            <w:vAlign w:val="center"/>
            <w:hideMark/>
          </w:tcPr>
          <w:p w14:paraId="6AA6443A" w14:textId="34F6FEC9" w:rsidR="00FE2ED8" w:rsidRPr="00856F71" w:rsidRDefault="00FE2ED8" w:rsidP="00FE2ED8">
            <w:pPr>
              <w:spacing w:before="40" w:after="40"/>
              <w:jc w:val="center"/>
              <w:rPr>
                <w:sz w:val="20"/>
                <w:szCs w:val="20"/>
              </w:rPr>
            </w:pPr>
            <w:r w:rsidRPr="00856F71">
              <w:rPr>
                <w:rFonts w:cs="Arial"/>
                <w:sz w:val="20"/>
                <w:szCs w:val="20"/>
                <w:lang w:eastAsia="en-AU"/>
              </w:rPr>
              <w:t xml:space="preserve">37.3 </w:t>
            </w:r>
          </w:p>
        </w:tc>
      </w:tr>
      <w:tr w:rsidR="00FE2ED8" w:rsidRPr="00FF32E4" w14:paraId="1380127C" w14:textId="77777777" w:rsidTr="00FE2ED8">
        <w:trPr>
          <w:trHeight w:val="264"/>
        </w:trPr>
        <w:tc>
          <w:tcPr>
            <w:tcW w:w="1902" w:type="dxa"/>
            <w:tcBorders>
              <w:top w:val="nil"/>
              <w:left w:val="nil"/>
              <w:bottom w:val="single" w:sz="4" w:space="0" w:color="auto"/>
              <w:right w:val="nil"/>
            </w:tcBorders>
            <w:shd w:val="clear" w:color="auto" w:fill="auto"/>
            <w:vAlign w:val="center"/>
            <w:hideMark/>
          </w:tcPr>
          <w:p w14:paraId="62A4E41C" w14:textId="77777777" w:rsidR="00FE2ED8" w:rsidRPr="006B5D8A" w:rsidRDefault="00FE2ED8" w:rsidP="00FE2ED8">
            <w:pPr>
              <w:spacing w:before="40" w:after="40"/>
              <w:rPr>
                <w:sz w:val="20"/>
                <w:szCs w:val="20"/>
              </w:rPr>
            </w:pPr>
          </w:p>
        </w:tc>
        <w:tc>
          <w:tcPr>
            <w:tcW w:w="1988" w:type="dxa"/>
            <w:tcBorders>
              <w:top w:val="nil"/>
              <w:left w:val="nil"/>
              <w:bottom w:val="single" w:sz="4" w:space="0" w:color="auto"/>
              <w:right w:val="nil"/>
            </w:tcBorders>
            <w:shd w:val="clear" w:color="auto" w:fill="auto"/>
            <w:vAlign w:val="center"/>
            <w:hideMark/>
          </w:tcPr>
          <w:p w14:paraId="6ACFEC39" w14:textId="77777777" w:rsidR="00FE2ED8" w:rsidRPr="006B5D8A" w:rsidRDefault="00FE2ED8" w:rsidP="00FE2ED8">
            <w:pPr>
              <w:spacing w:before="40" w:after="40"/>
              <w:jc w:val="center"/>
              <w:rPr>
                <w:sz w:val="20"/>
                <w:szCs w:val="20"/>
              </w:rPr>
            </w:pPr>
            <w:r w:rsidRPr="006B5D8A">
              <w:rPr>
                <w:sz w:val="20"/>
                <w:szCs w:val="20"/>
              </w:rPr>
              <w:t>2032-3</w:t>
            </w:r>
          </w:p>
        </w:tc>
        <w:tc>
          <w:tcPr>
            <w:tcW w:w="1050" w:type="dxa"/>
            <w:tcBorders>
              <w:top w:val="nil"/>
              <w:left w:val="nil"/>
              <w:bottom w:val="single" w:sz="4" w:space="0" w:color="auto"/>
              <w:right w:val="nil"/>
            </w:tcBorders>
            <w:shd w:val="clear" w:color="000000" w:fill="FFFFFF"/>
            <w:vAlign w:val="center"/>
            <w:hideMark/>
          </w:tcPr>
          <w:p w14:paraId="45A62FAE" w14:textId="0299375F" w:rsidR="00FE2ED8" w:rsidRPr="00856F71" w:rsidRDefault="00FE2ED8" w:rsidP="00FE2ED8">
            <w:pPr>
              <w:spacing w:before="40" w:after="40"/>
              <w:jc w:val="center"/>
              <w:rPr>
                <w:sz w:val="20"/>
                <w:szCs w:val="20"/>
              </w:rPr>
            </w:pPr>
            <w:r w:rsidRPr="00856F71">
              <w:rPr>
                <w:rFonts w:cs="Arial"/>
                <w:sz w:val="20"/>
                <w:szCs w:val="20"/>
                <w:lang w:eastAsia="en-AU"/>
              </w:rPr>
              <w:t xml:space="preserve">38.6 </w:t>
            </w:r>
          </w:p>
        </w:tc>
      </w:tr>
    </w:tbl>
    <w:p w14:paraId="2BDB9A02" w14:textId="6DE38803" w:rsidR="0005496B" w:rsidRPr="00192F41" w:rsidRDefault="0005496B" w:rsidP="006833D3">
      <w:pPr>
        <w:pStyle w:val="Heading2"/>
        <w:rPr>
          <w:rFonts w:cs="Arial"/>
        </w:rPr>
      </w:pPr>
      <w:r w:rsidRPr="00192F41">
        <w:rPr>
          <w:rFonts w:cs="Arial"/>
        </w:rPr>
        <w:t>Revenue trends</w:t>
      </w:r>
    </w:p>
    <w:p w14:paraId="0CD68C73" w14:textId="7B73AA60" w:rsidR="00443A39" w:rsidRDefault="007B3D27" w:rsidP="00D24A17">
      <w:pPr>
        <w:jc w:val="both"/>
        <w:rPr>
          <w:rFonts w:cs="Arial"/>
        </w:rPr>
      </w:pPr>
      <w:r w:rsidRPr="007B3D27">
        <w:rPr>
          <w:rFonts w:cs="Arial"/>
        </w:rPr>
        <w:t>We are expecting a consistent level of capital expenditure in the period of 2023-28 of approximately $1</w:t>
      </w:r>
      <w:r w:rsidR="00F04809">
        <w:rPr>
          <w:rFonts w:cs="Arial"/>
        </w:rPr>
        <w:t>25</w:t>
      </w:r>
      <w:r w:rsidR="00FF133A">
        <w:rPr>
          <w:rFonts w:cs="Arial"/>
        </w:rPr>
        <w:t xml:space="preserve"> </w:t>
      </w:r>
      <w:r w:rsidRPr="007B3D27">
        <w:rPr>
          <w:rFonts w:cs="Arial"/>
        </w:rPr>
        <w:t>m</w:t>
      </w:r>
      <w:r w:rsidR="00FF133A">
        <w:rPr>
          <w:rFonts w:cs="Arial"/>
        </w:rPr>
        <w:t>illion</w:t>
      </w:r>
      <w:r w:rsidRPr="007B3D27">
        <w:rPr>
          <w:rFonts w:cs="Arial"/>
        </w:rPr>
        <w:t>,</w:t>
      </w:r>
      <w:r w:rsidR="00BC4853" w:rsidRPr="007B3D27">
        <w:rPr>
          <w:rFonts w:cs="Arial"/>
        </w:rPr>
        <w:t xml:space="preserve"> </w:t>
      </w:r>
      <w:r w:rsidRPr="007B3D27">
        <w:rPr>
          <w:rFonts w:cs="Arial"/>
        </w:rPr>
        <w:t>up from $114</w:t>
      </w:r>
      <w:r w:rsidR="00FF133A">
        <w:rPr>
          <w:rFonts w:cs="Arial"/>
        </w:rPr>
        <w:t xml:space="preserve"> </w:t>
      </w:r>
      <w:r w:rsidRPr="007B3D27">
        <w:rPr>
          <w:rFonts w:cs="Arial"/>
        </w:rPr>
        <w:t>m</w:t>
      </w:r>
      <w:r w:rsidR="00FF133A">
        <w:rPr>
          <w:rFonts w:cs="Arial"/>
        </w:rPr>
        <w:t>illion</w:t>
      </w:r>
      <w:r w:rsidRPr="007B3D27">
        <w:rPr>
          <w:rFonts w:cs="Arial"/>
        </w:rPr>
        <w:t xml:space="preserve"> forecast </w:t>
      </w:r>
      <w:r w:rsidR="62430051" w:rsidRPr="6B20A4EE">
        <w:rPr>
          <w:rFonts w:cs="Arial"/>
        </w:rPr>
        <w:t xml:space="preserve">actuals </w:t>
      </w:r>
      <w:r w:rsidRPr="007B3D27">
        <w:rPr>
          <w:rFonts w:cs="Arial"/>
        </w:rPr>
        <w:t>for the 2018-23 period. From 2023, only minor increases in operating costs</w:t>
      </w:r>
      <w:r w:rsidR="00443A39">
        <w:rPr>
          <w:rFonts w:cs="Arial"/>
        </w:rPr>
        <w:t xml:space="preserve">, from </w:t>
      </w:r>
      <w:r w:rsidRPr="007B3D27">
        <w:rPr>
          <w:rFonts w:cs="Arial"/>
        </w:rPr>
        <w:t>some modest increases to compliance obligations</w:t>
      </w:r>
      <w:r w:rsidR="00443A39">
        <w:rPr>
          <w:rFonts w:cs="Arial"/>
        </w:rPr>
        <w:t>,</w:t>
      </w:r>
      <w:r w:rsidRPr="007B3D27">
        <w:rPr>
          <w:rFonts w:cs="Arial"/>
        </w:rPr>
        <w:t xml:space="preserve"> are forecast for the following five years. We also expect to continue to deliver cost savings via internal productivity improvements throughout the 2023-28 period. </w:t>
      </w:r>
    </w:p>
    <w:p w14:paraId="603A78EA" w14:textId="364C6299" w:rsidR="00443A39" w:rsidRDefault="007B3D27" w:rsidP="00D24A17">
      <w:pPr>
        <w:jc w:val="both"/>
        <w:rPr>
          <w:rFonts w:cs="Arial"/>
        </w:rPr>
      </w:pPr>
      <w:r w:rsidRPr="007B3D27">
        <w:rPr>
          <w:rFonts w:cs="Arial"/>
        </w:rPr>
        <w:t xml:space="preserve">SRW has significant carried forward tax </w:t>
      </w:r>
      <w:r w:rsidR="009D680B" w:rsidRPr="007B3D27">
        <w:rPr>
          <w:rFonts w:cs="Arial"/>
        </w:rPr>
        <w:t>loss and</w:t>
      </w:r>
      <w:r w:rsidRPr="007B3D27">
        <w:rPr>
          <w:rFonts w:cs="Arial"/>
        </w:rPr>
        <w:t xml:space="preserve"> does not expect to make any tax payments in the foreseeable future. </w:t>
      </w:r>
    </w:p>
    <w:p w14:paraId="2B6F6804" w14:textId="21E9082C" w:rsidR="00443A39" w:rsidRDefault="00443A39" w:rsidP="00D24A17">
      <w:pPr>
        <w:jc w:val="both"/>
        <w:rPr>
          <w:rFonts w:cs="Arial"/>
        </w:rPr>
      </w:pPr>
      <w:r w:rsidRPr="007B3D27">
        <w:rPr>
          <w:rFonts w:cs="Arial"/>
        </w:rPr>
        <w:t xml:space="preserve">The forecast increase in infrastructure investment for 2023-28 in part reflects our balanced risk approach to </w:t>
      </w:r>
      <w:r w:rsidR="19E1B6EB" w:rsidRPr="6B20A4EE">
        <w:rPr>
          <w:rFonts w:cs="Arial"/>
        </w:rPr>
        <w:t>include</w:t>
      </w:r>
      <w:r w:rsidRPr="007B3D27">
        <w:rPr>
          <w:rFonts w:cs="Arial"/>
        </w:rPr>
        <w:t xml:space="preserve"> works where the timing is </w:t>
      </w:r>
      <w:r w:rsidR="00E3313F" w:rsidRPr="6B20A4EE">
        <w:rPr>
          <w:rFonts w:cs="Arial"/>
        </w:rPr>
        <w:t xml:space="preserve">most </w:t>
      </w:r>
      <w:r w:rsidRPr="007B3D27">
        <w:rPr>
          <w:rFonts w:cs="Arial"/>
        </w:rPr>
        <w:t>certain for the coming regulatory period.</w:t>
      </w:r>
    </w:p>
    <w:p w14:paraId="505B5E5C" w14:textId="34D034B2" w:rsidR="007B3D27" w:rsidRPr="007B3D27" w:rsidRDefault="007B3D27" w:rsidP="007B3D27">
      <w:pPr>
        <w:rPr>
          <w:rFonts w:cs="Arial"/>
        </w:rPr>
      </w:pPr>
      <w:r w:rsidRPr="007B3D27">
        <w:rPr>
          <w:rFonts w:cs="Arial"/>
        </w:rPr>
        <w:t>The revenue requirement from 2023-28 is estimated to be $17</w:t>
      </w:r>
      <w:r w:rsidR="00B9114A">
        <w:rPr>
          <w:rFonts w:cs="Arial"/>
        </w:rPr>
        <w:t>7</w:t>
      </w:r>
      <w:r w:rsidR="004C333E">
        <w:rPr>
          <w:rFonts w:cs="Arial"/>
        </w:rPr>
        <w:t>.</w:t>
      </w:r>
      <w:r w:rsidR="00B9114A">
        <w:rPr>
          <w:rFonts w:cs="Arial"/>
        </w:rPr>
        <w:t>1</w:t>
      </w:r>
      <w:r w:rsidR="00FF133A">
        <w:rPr>
          <w:rFonts w:cs="Arial"/>
        </w:rPr>
        <w:t xml:space="preserve"> </w:t>
      </w:r>
      <w:r w:rsidRPr="007B3D27">
        <w:rPr>
          <w:rFonts w:cs="Arial"/>
        </w:rPr>
        <w:t>m</w:t>
      </w:r>
      <w:r w:rsidR="00FF133A">
        <w:rPr>
          <w:rFonts w:cs="Arial"/>
        </w:rPr>
        <w:t>illion</w:t>
      </w:r>
      <w:r w:rsidRPr="007B3D27">
        <w:rPr>
          <w:rFonts w:cs="Arial"/>
        </w:rPr>
        <w:t>.</w:t>
      </w:r>
    </w:p>
    <w:p w14:paraId="0265F8DD" w14:textId="0B1B90F3" w:rsidR="0059380C" w:rsidRPr="007B3D27" w:rsidRDefault="0059380C" w:rsidP="00D24A17">
      <w:pPr>
        <w:jc w:val="both"/>
        <w:rPr>
          <w:rFonts w:cs="Arial"/>
        </w:rPr>
      </w:pPr>
      <w:r w:rsidRPr="23E55EF0">
        <w:rPr>
          <w:rFonts w:cs="Arial"/>
          <w:lang w:eastAsia="en-AU"/>
        </w:rPr>
        <w:t xml:space="preserve">The </w:t>
      </w:r>
      <w:r w:rsidR="59EB3FBE" w:rsidRPr="23E55EF0">
        <w:rPr>
          <w:rFonts w:cs="Arial"/>
          <w:lang w:eastAsia="en-AU"/>
        </w:rPr>
        <w:t>capital</w:t>
      </w:r>
      <w:r w:rsidRPr="00673647">
        <w:rPr>
          <w:rFonts w:cs="Arial"/>
          <w:lang w:eastAsia="en-AU"/>
        </w:rPr>
        <w:t xml:space="preserve"> program beyond 202</w:t>
      </w:r>
      <w:r w:rsidR="00702E70" w:rsidRPr="00673647">
        <w:rPr>
          <w:rFonts w:cs="Arial"/>
          <w:lang w:eastAsia="en-AU"/>
        </w:rPr>
        <w:t>8</w:t>
      </w:r>
      <w:r w:rsidRPr="00673647">
        <w:rPr>
          <w:rFonts w:cs="Arial"/>
          <w:lang w:eastAsia="en-AU"/>
        </w:rPr>
        <w:t xml:space="preserve"> involves greater uncertainty, related to timing of works linked to growth forecasts and renewals investment requirements. New innovations and </w:t>
      </w:r>
      <w:r w:rsidR="690E0637" w:rsidRPr="23E55EF0">
        <w:rPr>
          <w:rFonts w:cs="Arial"/>
          <w:lang w:eastAsia="en-AU"/>
        </w:rPr>
        <w:t xml:space="preserve">asset management </w:t>
      </w:r>
      <w:r w:rsidRPr="00673647">
        <w:rPr>
          <w:rFonts w:cs="Arial"/>
          <w:lang w:eastAsia="en-AU"/>
        </w:rPr>
        <w:t>strategies may present lower cost solutions or enable the extension of useable asset lives. We plan to continue to refine the infrastructure investment forecast during the 20</w:t>
      </w:r>
      <w:r w:rsidR="00702E70" w:rsidRPr="00673647">
        <w:rPr>
          <w:rFonts w:cs="Arial"/>
          <w:lang w:eastAsia="en-AU"/>
        </w:rPr>
        <w:t>23-28</w:t>
      </w:r>
      <w:r w:rsidRPr="00673647">
        <w:rPr>
          <w:rFonts w:cs="Arial"/>
          <w:lang w:eastAsia="en-AU"/>
        </w:rPr>
        <w:t xml:space="preserve"> regulatory period to ensure it is efficient and keeps price impacts to a minimum</w:t>
      </w:r>
      <w:r w:rsidR="00443A39">
        <w:rPr>
          <w:rFonts w:cs="Arial"/>
          <w:lang w:eastAsia="en-AU"/>
        </w:rPr>
        <w:t>.</w:t>
      </w:r>
    </w:p>
    <w:p w14:paraId="097092A0" w14:textId="53BB5AB8" w:rsidR="00DA6DBE" w:rsidRPr="00FF133A" w:rsidRDefault="00DA6DBE" w:rsidP="006833D3">
      <w:pPr>
        <w:pStyle w:val="Heading2"/>
      </w:pPr>
      <w:r w:rsidRPr="00FF133A">
        <w:t>Revenue assumptions</w:t>
      </w:r>
    </w:p>
    <w:p w14:paraId="31F9DF22" w14:textId="77777777" w:rsidR="003151F7" w:rsidRPr="00192F41" w:rsidRDefault="003151F7" w:rsidP="006833D3">
      <w:pPr>
        <w:pStyle w:val="Heading3"/>
        <w:rPr>
          <w:rFonts w:cs="Arial"/>
        </w:rPr>
      </w:pPr>
      <w:r w:rsidRPr="00192F41">
        <w:rPr>
          <w:rFonts w:cs="Arial"/>
        </w:rPr>
        <w:t>Quantities</w:t>
      </w:r>
    </w:p>
    <w:p w14:paraId="59F1D831" w14:textId="77777777" w:rsidR="003151F7" w:rsidRPr="00192F41" w:rsidRDefault="003151F7" w:rsidP="00D24A17">
      <w:pPr>
        <w:jc w:val="both"/>
        <w:rPr>
          <w:rFonts w:cs="Arial"/>
        </w:rPr>
      </w:pPr>
      <w:r w:rsidRPr="00192F41">
        <w:rPr>
          <w:rFonts w:cs="Arial"/>
        </w:rPr>
        <w:t xml:space="preserve">The quantities on which our revenue is forecast are generally stable across the planning period with only moderate adjustments to reflect our proposed sale of water entitlements. </w:t>
      </w:r>
    </w:p>
    <w:p w14:paraId="2DFFBC86" w14:textId="77777777" w:rsidR="003151F7" w:rsidRPr="00192F41" w:rsidRDefault="003151F7" w:rsidP="003151F7">
      <w:pPr>
        <w:rPr>
          <w:rFonts w:cs="Arial"/>
        </w:rPr>
      </w:pPr>
      <w:r w:rsidRPr="00192F41">
        <w:rPr>
          <w:rFonts w:cs="Arial"/>
        </w:rPr>
        <w:t>This stability reflects the entitlement-based nature of our services including:</w:t>
      </w:r>
    </w:p>
    <w:p w14:paraId="46F029A9" w14:textId="5098F15F" w:rsidR="003151F7" w:rsidRPr="00192F41" w:rsidRDefault="003151F7" w:rsidP="00D24A17">
      <w:pPr>
        <w:pStyle w:val="ListParagraph"/>
        <w:numPr>
          <w:ilvl w:val="0"/>
          <w:numId w:val="5"/>
        </w:numPr>
        <w:jc w:val="both"/>
        <w:rPr>
          <w:rFonts w:cs="Arial"/>
        </w:rPr>
      </w:pPr>
      <w:r w:rsidRPr="00192F41">
        <w:rPr>
          <w:rFonts w:cs="Arial"/>
        </w:rPr>
        <w:t xml:space="preserve">Eastern </w:t>
      </w:r>
      <w:r w:rsidR="00FF133A">
        <w:rPr>
          <w:rFonts w:cs="Arial"/>
        </w:rPr>
        <w:t>i</w:t>
      </w:r>
      <w:r w:rsidRPr="00192F41">
        <w:rPr>
          <w:rFonts w:cs="Arial"/>
        </w:rPr>
        <w:t>rrigation</w:t>
      </w:r>
      <w:r w:rsidR="00FF133A">
        <w:rPr>
          <w:rFonts w:cs="Arial"/>
        </w:rPr>
        <w:t>:</w:t>
      </w:r>
      <w:r w:rsidRPr="00192F41">
        <w:rPr>
          <w:rFonts w:cs="Arial"/>
        </w:rPr>
        <w:t xml:space="preserve"> delivery volumes of 147</w:t>
      </w:r>
      <w:r w:rsidR="00FF133A">
        <w:rPr>
          <w:rFonts w:cs="Arial"/>
        </w:rPr>
        <w:t xml:space="preserve"> </w:t>
      </w:r>
      <w:r w:rsidRPr="00192F41">
        <w:rPr>
          <w:rFonts w:cs="Arial"/>
        </w:rPr>
        <w:t>GLs per annum being approximately the same as the last 10-year average.</w:t>
      </w:r>
    </w:p>
    <w:p w14:paraId="067B0F17" w14:textId="761652B3" w:rsidR="003151F7" w:rsidRPr="00192F41" w:rsidRDefault="003151F7" w:rsidP="00D24A17">
      <w:pPr>
        <w:pStyle w:val="ListParagraph"/>
        <w:numPr>
          <w:ilvl w:val="0"/>
          <w:numId w:val="5"/>
        </w:numPr>
        <w:jc w:val="both"/>
        <w:rPr>
          <w:rFonts w:cs="Arial"/>
        </w:rPr>
      </w:pPr>
      <w:r w:rsidRPr="00192F41">
        <w:rPr>
          <w:rFonts w:cs="Arial"/>
        </w:rPr>
        <w:t xml:space="preserve">Groundwater and </w:t>
      </w:r>
      <w:r w:rsidR="00FF133A">
        <w:rPr>
          <w:rFonts w:cs="Arial"/>
        </w:rPr>
        <w:t>r</w:t>
      </w:r>
      <w:r w:rsidRPr="00192F41">
        <w:rPr>
          <w:rFonts w:cs="Arial"/>
        </w:rPr>
        <w:t xml:space="preserve">ivers </w:t>
      </w:r>
      <w:r w:rsidR="00FF133A">
        <w:rPr>
          <w:rFonts w:cs="Arial"/>
        </w:rPr>
        <w:t>a</w:t>
      </w:r>
      <w:r w:rsidRPr="00192F41">
        <w:rPr>
          <w:rFonts w:cs="Arial"/>
        </w:rPr>
        <w:t xml:space="preserve">pplication </w:t>
      </w:r>
      <w:r w:rsidR="00FF133A">
        <w:rPr>
          <w:rFonts w:cs="Arial"/>
        </w:rPr>
        <w:t>f</w:t>
      </w:r>
      <w:r w:rsidRPr="00192F41">
        <w:rPr>
          <w:rFonts w:cs="Arial"/>
        </w:rPr>
        <w:t>ees</w:t>
      </w:r>
      <w:r w:rsidR="00FF133A">
        <w:rPr>
          <w:rFonts w:cs="Arial"/>
        </w:rPr>
        <w:t>:</w:t>
      </w:r>
      <w:r w:rsidRPr="00192F41">
        <w:rPr>
          <w:rFonts w:cs="Arial"/>
        </w:rPr>
        <w:t xml:space="preserve"> applications for new groundwater and surface water licences are subject to ongoing volatility (influenced by factors such as seasonal conditions and government policy). </w:t>
      </w:r>
      <w:r w:rsidR="00DA2623" w:rsidRPr="00192F41">
        <w:rPr>
          <w:rFonts w:cs="Arial"/>
        </w:rPr>
        <w:t>Going forward, w</w:t>
      </w:r>
      <w:r w:rsidRPr="00192F41">
        <w:rPr>
          <w:rFonts w:cs="Arial"/>
        </w:rPr>
        <w:t>e have projected a similar workload as 202</w:t>
      </w:r>
      <w:r w:rsidR="00DA2623" w:rsidRPr="00192F41">
        <w:rPr>
          <w:rFonts w:cs="Arial"/>
        </w:rPr>
        <w:t>1</w:t>
      </w:r>
      <w:r w:rsidR="00736E27">
        <w:rPr>
          <w:rFonts w:cs="Arial"/>
        </w:rPr>
        <w:t>-2</w:t>
      </w:r>
      <w:r w:rsidR="00DA2623" w:rsidRPr="00192F41">
        <w:rPr>
          <w:rFonts w:cs="Arial"/>
        </w:rPr>
        <w:t>2</w:t>
      </w:r>
      <w:r w:rsidR="00A2766E">
        <w:rPr>
          <w:rFonts w:cs="Arial"/>
        </w:rPr>
        <w:t>.</w:t>
      </w:r>
    </w:p>
    <w:p w14:paraId="39FE9EE7" w14:textId="7DDDCEF8" w:rsidR="003151F7" w:rsidRPr="00192F41" w:rsidRDefault="003151F7" w:rsidP="00D24A17">
      <w:pPr>
        <w:pStyle w:val="ListParagraph"/>
        <w:numPr>
          <w:ilvl w:val="0"/>
          <w:numId w:val="5"/>
        </w:numPr>
        <w:jc w:val="both"/>
        <w:rPr>
          <w:rFonts w:cs="Arial"/>
        </w:rPr>
      </w:pPr>
      <w:r w:rsidRPr="00192F41">
        <w:rPr>
          <w:rFonts w:cs="Arial"/>
        </w:rPr>
        <w:t xml:space="preserve">Werribee and Bacchus Marsh </w:t>
      </w:r>
      <w:r w:rsidR="00A2766E">
        <w:rPr>
          <w:rFonts w:cs="Arial"/>
        </w:rPr>
        <w:t>i</w:t>
      </w:r>
      <w:r w:rsidRPr="00192F41">
        <w:rPr>
          <w:rFonts w:cs="Arial"/>
        </w:rPr>
        <w:t>rrigation</w:t>
      </w:r>
      <w:r w:rsidR="00A2766E">
        <w:rPr>
          <w:rFonts w:cs="Arial"/>
        </w:rPr>
        <w:t>:</w:t>
      </w:r>
      <w:r w:rsidRPr="00192F41">
        <w:rPr>
          <w:rFonts w:cs="Arial"/>
        </w:rPr>
        <w:t xml:space="preserve"> delivery of river water entitlements consistent with business as usual. It is anticipated there will be sufficient carry-over to meet customer water supply needs</w:t>
      </w:r>
      <w:r w:rsidR="003578A6" w:rsidRPr="00192F41">
        <w:rPr>
          <w:rFonts w:cs="Arial"/>
        </w:rPr>
        <w:t>.</w:t>
      </w:r>
      <w:r w:rsidRPr="00192F41">
        <w:rPr>
          <w:rFonts w:cs="Arial"/>
        </w:rPr>
        <w:t xml:space="preserve"> No delivery of metro</w:t>
      </w:r>
      <w:r w:rsidR="00646F68">
        <w:rPr>
          <w:rFonts w:cs="Arial"/>
        </w:rPr>
        <w:t>politan</w:t>
      </w:r>
      <w:r w:rsidRPr="00192F41">
        <w:rPr>
          <w:rFonts w:cs="Arial"/>
        </w:rPr>
        <w:t xml:space="preserve"> water or other emergency supply water is planned</w:t>
      </w:r>
      <w:r w:rsidR="003578A6" w:rsidRPr="00192F41">
        <w:rPr>
          <w:rFonts w:cs="Arial"/>
        </w:rPr>
        <w:t>.</w:t>
      </w:r>
    </w:p>
    <w:p w14:paraId="1A15EFB4" w14:textId="34C6337C" w:rsidR="003151F7" w:rsidRPr="00C85AB2" w:rsidRDefault="003151F7" w:rsidP="006833D3">
      <w:pPr>
        <w:pStyle w:val="Heading3"/>
        <w:rPr>
          <w:rFonts w:eastAsiaTheme="minorHAnsi" w:cs="Arial"/>
          <w:b w:val="0"/>
          <w:color w:val="auto"/>
          <w:sz w:val="22"/>
          <w:szCs w:val="22"/>
        </w:rPr>
      </w:pPr>
      <w:r w:rsidRPr="00192F41">
        <w:rPr>
          <w:rFonts w:cs="Arial"/>
        </w:rPr>
        <w:t>Construction costs</w:t>
      </w:r>
    </w:p>
    <w:p w14:paraId="56999AEA" w14:textId="77777777" w:rsidR="003151F7" w:rsidRPr="00192F41" w:rsidRDefault="003151F7" w:rsidP="00D24A17">
      <w:pPr>
        <w:jc w:val="both"/>
        <w:rPr>
          <w:rFonts w:cs="Arial"/>
        </w:rPr>
      </w:pPr>
      <w:r w:rsidRPr="00192F41">
        <w:rPr>
          <w:rFonts w:cs="Arial"/>
        </w:rPr>
        <w:t xml:space="preserve">Our future capital budgets assume infrastructure construction costs will increase at CPI. </w:t>
      </w:r>
    </w:p>
    <w:p w14:paraId="04C9F672" w14:textId="77777777" w:rsidR="00CE4876" w:rsidRPr="00192F41" w:rsidRDefault="00CE4876" w:rsidP="00CE4876">
      <w:pPr>
        <w:pStyle w:val="Heading3"/>
        <w:rPr>
          <w:rFonts w:cs="Arial"/>
        </w:rPr>
      </w:pPr>
      <w:r w:rsidRPr="00192F41">
        <w:rPr>
          <w:rFonts w:cs="Arial"/>
        </w:rPr>
        <w:t>Staffing</w:t>
      </w:r>
    </w:p>
    <w:p w14:paraId="530024B8" w14:textId="6391DD6A" w:rsidR="00CE4876" w:rsidRPr="00192F41" w:rsidRDefault="00CE4876" w:rsidP="00D24A17">
      <w:pPr>
        <w:jc w:val="both"/>
        <w:rPr>
          <w:rFonts w:cs="Arial"/>
        </w:rPr>
      </w:pPr>
      <w:r w:rsidRPr="00192F41">
        <w:rPr>
          <w:rFonts w:cs="Arial"/>
        </w:rPr>
        <w:t>Our staffing levels are expected to be consistent with those of 2021</w:t>
      </w:r>
      <w:r>
        <w:rPr>
          <w:rFonts w:cs="Arial"/>
        </w:rPr>
        <w:t>-2</w:t>
      </w:r>
      <w:r w:rsidRPr="00192F41">
        <w:rPr>
          <w:rFonts w:cs="Arial"/>
        </w:rPr>
        <w:t xml:space="preserve">2 i.e., </w:t>
      </w:r>
      <w:r w:rsidR="001065AC">
        <w:rPr>
          <w:rFonts w:cs="Arial"/>
        </w:rPr>
        <w:t>135</w:t>
      </w:r>
      <w:r w:rsidR="00531BE2">
        <w:rPr>
          <w:rFonts w:cs="Arial"/>
        </w:rPr>
        <w:t xml:space="preserve"> prescribed </w:t>
      </w:r>
      <w:r w:rsidRPr="00192F41">
        <w:rPr>
          <w:rFonts w:cs="Arial"/>
        </w:rPr>
        <w:t>FTE</w:t>
      </w:r>
      <w:r w:rsidR="0016061F">
        <w:rPr>
          <w:rFonts w:cs="Arial"/>
        </w:rPr>
        <w:t>. (S</w:t>
      </w:r>
      <w:r w:rsidR="00A051D5">
        <w:rPr>
          <w:rFonts w:cs="Arial"/>
        </w:rPr>
        <w:t xml:space="preserve">ee </w:t>
      </w:r>
      <w:r w:rsidR="00A051D5" w:rsidRPr="00A051D5">
        <w:rPr>
          <w:rFonts w:cs="Arial"/>
        </w:rPr>
        <w:fldChar w:fldCharType="begin"/>
      </w:r>
      <w:r w:rsidR="00A051D5" w:rsidRPr="00A051D5">
        <w:rPr>
          <w:rFonts w:cs="Arial"/>
        </w:rPr>
        <w:instrText xml:space="preserve"> REF _Ref113433559 \h  \* MERGEFORMAT </w:instrText>
      </w:r>
      <w:r w:rsidR="00A051D5" w:rsidRPr="00A051D5">
        <w:rPr>
          <w:rFonts w:cs="Arial"/>
        </w:rPr>
      </w:r>
      <w:r w:rsidR="00A051D5" w:rsidRPr="00A051D5">
        <w:rPr>
          <w:rFonts w:cs="Arial"/>
        </w:rPr>
        <w:fldChar w:fldCharType="separate"/>
      </w:r>
      <w:r w:rsidR="008126A8" w:rsidRPr="008126A8">
        <w:t>Figure 6</w:t>
      </w:r>
      <w:r w:rsidR="00A051D5" w:rsidRPr="00A051D5">
        <w:rPr>
          <w:rFonts w:cs="Arial"/>
        </w:rPr>
        <w:fldChar w:fldCharType="end"/>
      </w:r>
      <w:r w:rsidRPr="00A051D5">
        <w:rPr>
          <w:rFonts w:cs="Arial"/>
        </w:rPr>
        <w:t>.</w:t>
      </w:r>
      <w:r w:rsidR="0016061F">
        <w:rPr>
          <w:rFonts w:cs="Arial"/>
        </w:rPr>
        <w:t>)</w:t>
      </w:r>
    </w:p>
    <w:p w14:paraId="5DD8EAA2" w14:textId="77777777" w:rsidR="003151F7" w:rsidRPr="00192F41" w:rsidRDefault="003151F7" w:rsidP="006833D3">
      <w:pPr>
        <w:pStyle w:val="Heading3"/>
        <w:rPr>
          <w:rFonts w:cs="Arial"/>
        </w:rPr>
      </w:pPr>
      <w:r w:rsidRPr="00192F41">
        <w:rPr>
          <w:rFonts w:cs="Arial"/>
        </w:rPr>
        <w:t>Labour rates</w:t>
      </w:r>
    </w:p>
    <w:p w14:paraId="635AACB0" w14:textId="6B6D534B" w:rsidR="00D808A8" w:rsidRPr="006738D4" w:rsidRDefault="008349E3" w:rsidP="00D24A17">
      <w:pPr>
        <w:jc w:val="both"/>
        <w:rPr>
          <w:rFonts w:cs="Arial"/>
        </w:rPr>
      </w:pPr>
      <w:r w:rsidRPr="006738D4">
        <w:rPr>
          <w:rFonts w:cs="Arial"/>
        </w:rPr>
        <w:t>F</w:t>
      </w:r>
      <w:r w:rsidR="00D808A8" w:rsidRPr="006738D4">
        <w:rPr>
          <w:rFonts w:cs="Arial"/>
        </w:rPr>
        <w:t>uture labour rates</w:t>
      </w:r>
      <w:r w:rsidRPr="006738D4">
        <w:rPr>
          <w:rFonts w:cs="Arial"/>
        </w:rPr>
        <w:t xml:space="preserve"> are currently</w:t>
      </w:r>
      <w:r w:rsidR="00D808A8" w:rsidRPr="006738D4">
        <w:rPr>
          <w:rFonts w:cs="Arial"/>
        </w:rPr>
        <w:t xml:space="preserve"> subject to negotiation as part of enterprise bargaining arrangements</w:t>
      </w:r>
      <w:r w:rsidRPr="006738D4">
        <w:rPr>
          <w:rFonts w:cs="Arial"/>
        </w:rPr>
        <w:t>. This bargaining is due to conclude by March 2023.</w:t>
      </w:r>
      <w:r w:rsidR="003151F7" w:rsidRPr="006738D4">
        <w:rPr>
          <w:rFonts w:cs="Arial"/>
        </w:rPr>
        <w:t xml:space="preserve"> </w:t>
      </w:r>
    </w:p>
    <w:p w14:paraId="65AE2AB5" w14:textId="453FAAD1" w:rsidR="003151F7" w:rsidRPr="00192F41" w:rsidRDefault="00D808A8" w:rsidP="00D24A17">
      <w:pPr>
        <w:jc w:val="both"/>
        <w:rPr>
          <w:rFonts w:cs="Arial"/>
        </w:rPr>
      </w:pPr>
      <w:r w:rsidRPr="006738D4">
        <w:rPr>
          <w:rFonts w:cs="Arial"/>
        </w:rPr>
        <w:t>SRW is not proposing a real increase in labour rates within its enterprise bargaining log of claim, nor does a real increase in labour rates form part of this revenue proposal.</w:t>
      </w:r>
      <w:r w:rsidRPr="006738D4" w:rsidDel="00D808A8">
        <w:rPr>
          <w:rFonts w:cs="Arial"/>
        </w:rPr>
        <w:t xml:space="preserve"> </w:t>
      </w:r>
    </w:p>
    <w:p w14:paraId="65A94422" w14:textId="77777777" w:rsidR="003151F7" w:rsidRPr="00192F41" w:rsidRDefault="003151F7" w:rsidP="006833D3">
      <w:pPr>
        <w:pStyle w:val="Heading3"/>
        <w:rPr>
          <w:rFonts w:cs="Arial"/>
        </w:rPr>
      </w:pPr>
      <w:r w:rsidRPr="00192F41">
        <w:rPr>
          <w:rFonts w:cs="Arial"/>
        </w:rPr>
        <w:t>Electricity costs</w:t>
      </w:r>
    </w:p>
    <w:p w14:paraId="29A7B926" w14:textId="2283BEC7" w:rsidR="003151F7" w:rsidRPr="00192F41" w:rsidRDefault="003151F7" w:rsidP="00D24A17">
      <w:pPr>
        <w:jc w:val="both"/>
        <w:rPr>
          <w:rFonts w:cs="Arial"/>
        </w:rPr>
      </w:pPr>
      <w:r w:rsidRPr="00192F41">
        <w:rPr>
          <w:rFonts w:cs="Arial"/>
        </w:rPr>
        <w:t xml:space="preserve">As most of our water supply is gravity-fed our electricity costs are largely for office use and accordingly represent a minor expense for the corporation. </w:t>
      </w:r>
      <w:r w:rsidR="0066362A" w:rsidRPr="00192F41">
        <w:rPr>
          <w:rFonts w:cs="Arial"/>
        </w:rPr>
        <w:t xml:space="preserve">We have recently installed </w:t>
      </w:r>
      <w:r w:rsidR="0046012C" w:rsidRPr="00192F41">
        <w:rPr>
          <w:rFonts w:cs="Arial"/>
        </w:rPr>
        <w:t>s</w:t>
      </w:r>
      <w:r w:rsidR="00366423" w:rsidRPr="00192F41">
        <w:rPr>
          <w:rFonts w:cs="Arial"/>
        </w:rPr>
        <w:t>olar</w:t>
      </w:r>
      <w:r w:rsidR="0015036E" w:rsidRPr="00192F41">
        <w:rPr>
          <w:rFonts w:cs="Arial"/>
        </w:rPr>
        <w:t xml:space="preserve"> cells</w:t>
      </w:r>
      <w:r w:rsidR="0046012C" w:rsidRPr="00192F41">
        <w:rPr>
          <w:rFonts w:cs="Arial"/>
        </w:rPr>
        <w:t xml:space="preserve"> at </w:t>
      </w:r>
      <w:r w:rsidR="009E1056" w:rsidRPr="00192F41">
        <w:rPr>
          <w:rFonts w:cs="Arial"/>
        </w:rPr>
        <w:t>several</w:t>
      </w:r>
      <w:r w:rsidR="0046012C" w:rsidRPr="00192F41">
        <w:rPr>
          <w:rFonts w:cs="Arial"/>
        </w:rPr>
        <w:t xml:space="preserve"> </w:t>
      </w:r>
      <w:r w:rsidR="00E34662">
        <w:rPr>
          <w:rFonts w:cs="Arial"/>
        </w:rPr>
        <w:t xml:space="preserve">of </w:t>
      </w:r>
      <w:r w:rsidR="0046012C" w:rsidRPr="00192F41">
        <w:rPr>
          <w:rFonts w:cs="Arial"/>
        </w:rPr>
        <w:t>our major facilities (incl</w:t>
      </w:r>
      <w:r w:rsidR="00E34662">
        <w:rPr>
          <w:rFonts w:cs="Arial"/>
        </w:rPr>
        <w:t>uding</w:t>
      </w:r>
      <w:r w:rsidR="0046012C" w:rsidRPr="00192F41">
        <w:rPr>
          <w:rFonts w:cs="Arial"/>
        </w:rPr>
        <w:t xml:space="preserve"> Maffr</w:t>
      </w:r>
      <w:r w:rsidR="002232C2" w:rsidRPr="00192F41">
        <w:rPr>
          <w:rFonts w:cs="Arial"/>
        </w:rPr>
        <w:t>a</w:t>
      </w:r>
      <w:r w:rsidR="0046012C" w:rsidRPr="00192F41">
        <w:rPr>
          <w:rFonts w:cs="Arial"/>
        </w:rPr>
        <w:t xml:space="preserve"> and Werribee offices)</w:t>
      </w:r>
      <w:r w:rsidR="002232C2" w:rsidRPr="00192F41">
        <w:rPr>
          <w:rFonts w:cs="Arial"/>
        </w:rPr>
        <w:t xml:space="preserve"> </w:t>
      </w:r>
      <w:r w:rsidR="0015036E" w:rsidRPr="00192F41">
        <w:rPr>
          <w:rFonts w:cs="Arial"/>
        </w:rPr>
        <w:t>which has effect</w:t>
      </w:r>
      <w:r w:rsidR="002232C2" w:rsidRPr="00192F41">
        <w:rPr>
          <w:rFonts w:cs="Arial"/>
        </w:rPr>
        <w:t xml:space="preserve">ively reduced </w:t>
      </w:r>
      <w:r w:rsidR="0015036E" w:rsidRPr="00192F41">
        <w:rPr>
          <w:rFonts w:cs="Arial"/>
        </w:rPr>
        <w:t xml:space="preserve">our </w:t>
      </w:r>
      <w:r w:rsidR="0066362A" w:rsidRPr="00192F41">
        <w:rPr>
          <w:rFonts w:cs="Arial"/>
        </w:rPr>
        <w:t>electricity costs at these facilities by around 50</w:t>
      </w:r>
      <w:r w:rsidR="3D3B3C76" w:rsidRPr="6B20A4EE">
        <w:rPr>
          <w:rFonts w:cs="Arial"/>
        </w:rPr>
        <w:t>%.</w:t>
      </w:r>
      <w:r w:rsidR="0066362A" w:rsidRPr="00192F41">
        <w:rPr>
          <w:rFonts w:cs="Arial"/>
        </w:rPr>
        <w:t xml:space="preserve"> </w:t>
      </w:r>
      <w:r w:rsidRPr="00192F41">
        <w:rPr>
          <w:rFonts w:cs="Arial"/>
        </w:rPr>
        <w:t>We expect to manage electricity price movements within our general basket of external costs.</w:t>
      </w:r>
    </w:p>
    <w:p w14:paraId="2276B6C1" w14:textId="5F0EA00B" w:rsidR="003151F7" w:rsidRPr="00192F41" w:rsidRDefault="003151F7" w:rsidP="006833D3">
      <w:pPr>
        <w:pStyle w:val="Heading3"/>
        <w:rPr>
          <w:rFonts w:cs="Arial"/>
        </w:rPr>
      </w:pPr>
      <w:r w:rsidRPr="00192F41">
        <w:rPr>
          <w:rFonts w:cs="Arial"/>
        </w:rPr>
        <w:t>Fuel prices</w:t>
      </w:r>
    </w:p>
    <w:p w14:paraId="6738567F" w14:textId="506CB7DD" w:rsidR="0005496B" w:rsidRPr="00192F41" w:rsidRDefault="003151F7" w:rsidP="00D24A17">
      <w:pPr>
        <w:jc w:val="both"/>
        <w:rPr>
          <w:rFonts w:cs="Arial"/>
        </w:rPr>
      </w:pPr>
      <w:r w:rsidRPr="00192F41">
        <w:rPr>
          <w:rFonts w:cs="Arial"/>
        </w:rPr>
        <w:t xml:space="preserve">While we have an extensive fleet of 130 vehicles, we have not adjusted budgets for any real change to fuel prices. </w:t>
      </w:r>
      <w:r w:rsidR="00404EE5" w:rsidRPr="00192F41">
        <w:rPr>
          <w:rFonts w:cs="Arial"/>
        </w:rPr>
        <w:t>A</w:t>
      </w:r>
      <w:r w:rsidR="002D0BB8" w:rsidRPr="00192F41">
        <w:rPr>
          <w:rFonts w:cs="Arial"/>
        </w:rPr>
        <w:t>s</w:t>
      </w:r>
      <w:r w:rsidR="00404EE5" w:rsidRPr="00192F41">
        <w:rPr>
          <w:rFonts w:cs="Arial"/>
        </w:rPr>
        <w:t xml:space="preserve"> part of our </w:t>
      </w:r>
      <w:r w:rsidR="002D0BB8" w:rsidRPr="00192F41">
        <w:rPr>
          <w:rFonts w:cs="Arial"/>
        </w:rPr>
        <w:t xml:space="preserve">commitment to zero net carbon emissions by 2025 and to reducing costs we are looking to </w:t>
      </w:r>
      <w:r w:rsidR="00DB5031" w:rsidRPr="00192F41">
        <w:rPr>
          <w:rFonts w:cs="Arial"/>
        </w:rPr>
        <w:t xml:space="preserve">reduce the size of our fleet and move to more energy efficient vehicles. </w:t>
      </w:r>
      <w:r w:rsidR="64C58C1C" w:rsidRPr="6B20A4EE">
        <w:rPr>
          <w:rFonts w:cs="Arial"/>
        </w:rPr>
        <w:t xml:space="preserve">These savings are included in our productivity improvements. </w:t>
      </w:r>
      <w:r w:rsidR="00DB5031" w:rsidRPr="00192F41">
        <w:rPr>
          <w:rFonts w:cs="Arial"/>
        </w:rPr>
        <w:t>Further we expect to manage any cost change within our general basket of external costs.</w:t>
      </w:r>
    </w:p>
    <w:p w14:paraId="059CFE9C" w14:textId="331C8FA8" w:rsidR="00F33150" w:rsidRPr="00E34662" w:rsidRDefault="00677D71" w:rsidP="006833D3">
      <w:pPr>
        <w:pStyle w:val="Heading2"/>
      </w:pPr>
      <w:r w:rsidRPr="00E34662">
        <w:t>Revenue sensitivity</w:t>
      </w:r>
    </w:p>
    <w:p w14:paraId="466EEE41" w14:textId="39C86BAB" w:rsidR="00F33150" w:rsidRPr="00192F41" w:rsidRDefault="007A64C8" w:rsidP="00D24A17">
      <w:pPr>
        <w:jc w:val="both"/>
        <w:rPr>
          <w:rFonts w:cs="Arial"/>
        </w:rPr>
      </w:pPr>
      <w:r w:rsidRPr="00192F41">
        <w:rPr>
          <w:rFonts w:cs="Arial"/>
        </w:rPr>
        <w:t>A</w:t>
      </w:r>
      <w:r w:rsidR="00F33150" w:rsidRPr="00192F41">
        <w:rPr>
          <w:rFonts w:cs="Arial"/>
        </w:rPr>
        <w:t xml:space="preserve">s a rural water </w:t>
      </w:r>
      <w:r w:rsidR="00EA59AD" w:rsidRPr="00192F41">
        <w:rPr>
          <w:rFonts w:cs="Arial"/>
        </w:rPr>
        <w:t>corporation,</w:t>
      </w:r>
      <w:r w:rsidR="00F33150" w:rsidRPr="00192F41">
        <w:rPr>
          <w:rFonts w:cs="Arial"/>
        </w:rPr>
        <w:t xml:space="preserve"> we do not operate in a conventional utility regime – where the utility supplies water to meet the demand of its customers. Rather our customers own their entitlements, and our role is to deliver the water available to them under those entitlements when they order it or in the case of </w:t>
      </w:r>
      <w:r w:rsidR="00AB4A0E">
        <w:rPr>
          <w:rFonts w:cs="Arial"/>
        </w:rPr>
        <w:t>g</w:t>
      </w:r>
      <w:r w:rsidR="00F33150" w:rsidRPr="00192F41">
        <w:rPr>
          <w:rFonts w:cs="Arial"/>
        </w:rPr>
        <w:t xml:space="preserve">roundwater and </w:t>
      </w:r>
      <w:r w:rsidR="00AB4A0E">
        <w:rPr>
          <w:rFonts w:cs="Arial"/>
        </w:rPr>
        <w:t>r</w:t>
      </w:r>
      <w:r w:rsidR="00F33150" w:rsidRPr="00192F41">
        <w:rPr>
          <w:rFonts w:cs="Arial"/>
        </w:rPr>
        <w:t>ivers customers to ensure that the entitlements are exercised in accordance with conditions imposed to protect the environment and other users.</w:t>
      </w:r>
    </w:p>
    <w:p w14:paraId="28B71313" w14:textId="77777777" w:rsidR="00F33150" w:rsidRPr="00192F41" w:rsidRDefault="00F33150" w:rsidP="00D24A17">
      <w:pPr>
        <w:jc w:val="both"/>
        <w:rPr>
          <w:rFonts w:cs="Arial"/>
        </w:rPr>
      </w:pPr>
      <w:r w:rsidRPr="00192F41">
        <w:rPr>
          <w:rFonts w:cs="Arial"/>
        </w:rPr>
        <w:t>Consequently, most of our revenue is derived from charges for water entitlements and is not dependent on how much water is available to or used by the holders of those entitlements.</w:t>
      </w:r>
    </w:p>
    <w:p w14:paraId="1263831E" w14:textId="77777777" w:rsidR="00F33150" w:rsidRPr="00192F41" w:rsidRDefault="00F33150" w:rsidP="006833D3">
      <w:pPr>
        <w:pStyle w:val="Heading3"/>
        <w:rPr>
          <w:rFonts w:cs="Arial"/>
        </w:rPr>
      </w:pPr>
      <w:r w:rsidRPr="00192F41">
        <w:rPr>
          <w:rFonts w:cs="Arial"/>
        </w:rPr>
        <w:t>Macalister Irrigation District</w:t>
      </w:r>
    </w:p>
    <w:p w14:paraId="0EA9C6C1" w14:textId="428F8385" w:rsidR="00F33150" w:rsidRPr="00192F41" w:rsidRDefault="00873DC9" w:rsidP="00D24A17">
      <w:pPr>
        <w:jc w:val="both"/>
        <w:rPr>
          <w:rFonts w:cs="Arial"/>
        </w:rPr>
      </w:pPr>
      <w:r>
        <w:rPr>
          <w:rFonts w:cs="Arial"/>
        </w:rPr>
        <w:t>T</w:t>
      </w:r>
      <w:r w:rsidR="00F33150" w:rsidRPr="00192F41">
        <w:rPr>
          <w:rFonts w:cs="Arial"/>
        </w:rPr>
        <w:t>he M</w:t>
      </w:r>
      <w:r w:rsidR="00AB4A0E">
        <w:rPr>
          <w:rFonts w:cs="Arial"/>
        </w:rPr>
        <w:t>acalister Irrigation District</w:t>
      </w:r>
      <w:r w:rsidR="00F33150" w:rsidRPr="00192F41">
        <w:rPr>
          <w:rFonts w:cs="Arial"/>
        </w:rPr>
        <w:t xml:space="preserve"> water usage accounts for approximately 12% of our revenue. This </w:t>
      </w:r>
      <w:r w:rsidR="00AB4A0E">
        <w:rPr>
          <w:rFonts w:cs="Arial"/>
        </w:rPr>
        <w:t>p</w:t>
      </w:r>
      <w:r w:rsidR="00F33150" w:rsidRPr="00192F41">
        <w:rPr>
          <w:rFonts w:cs="Arial"/>
        </w:rPr>
        <w:t>lan assumes ‘average’ water allocations and water deliveries based on recent years that is 147</w:t>
      </w:r>
      <w:r w:rsidR="00AB4A0E">
        <w:rPr>
          <w:rFonts w:cs="Arial"/>
        </w:rPr>
        <w:t>,</w:t>
      </w:r>
      <w:r w:rsidR="00F33150" w:rsidRPr="00192F41">
        <w:rPr>
          <w:rFonts w:cs="Arial"/>
        </w:rPr>
        <w:t>500</w:t>
      </w:r>
      <w:r w:rsidR="00AB4A0E">
        <w:rPr>
          <w:rFonts w:cs="Arial"/>
        </w:rPr>
        <w:t xml:space="preserve"> </w:t>
      </w:r>
      <w:r w:rsidR="00F33150" w:rsidRPr="00192F41">
        <w:rPr>
          <w:rFonts w:cs="Arial"/>
        </w:rPr>
        <w:t>ML of water deliveries. A repeat of 2006-07 the worst year on record would see usage limited to 50% of high reliability water entitlement – around 72</w:t>
      </w:r>
      <w:r w:rsidR="00AB4A0E">
        <w:rPr>
          <w:rFonts w:cs="Arial"/>
        </w:rPr>
        <w:t>,</w:t>
      </w:r>
      <w:r w:rsidR="00F33150" w:rsidRPr="00192F41">
        <w:rPr>
          <w:rFonts w:cs="Arial"/>
        </w:rPr>
        <w:t>000</w:t>
      </w:r>
      <w:r w:rsidR="00AB4A0E">
        <w:rPr>
          <w:rFonts w:cs="Arial"/>
        </w:rPr>
        <w:t xml:space="preserve"> </w:t>
      </w:r>
      <w:r w:rsidR="00F33150" w:rsidRPr="00192F41">
        <w:rPr>
          <w:rFonts w:cs="Arial"/>
        </w:rPr>
        <w:t>ML.</w:t>
      </w:r>
    </w:p>
    <w:p w14:paraId="223A9E13" w14:textId="28B898FD" w:rsidR="00F33150" w:rsidRPr="00192F41" w:rsidRDefault="00F33150" w:rsidP="00D24A17">
      <w:pPr>
        <w:jc w:val="both"/>
        <w:rPr>
          <w:rFonts w:cs="Arial"/>
        </w:rPr>
      </w:pPr>
      <w:r w:rsidRPr="00192F41">
        <w:rPr>
          <w:rFonts w:cs="Arial"/>
        </w:rPr>
        <w:t>This would decrease our revenue by $720</w:t>
      </w:r>
      <w:r w:rsidR="00AB4A0E">
        <w:rPr>
          <w:rFonts w:cs="Arial"/>
        </w:rPr>
        <w:t>,000</w:t>
      </w:r>
      <w:r w:rsidRPr="00192F41">
        <w:rPr>
          <w:rFonts w:cs="Arial"/>
        </w:rPr>
        <w:t xml:space="preserve"> which we would need to recover through future tariff increases.</w:t>
      </w:r>
    </w:p>
    <w:p w14:paraId="3DCF0F13" w14:textId="77777777" w:rsidR="00F33150" w:rsidRPr="00192F41" w:rsidRDefault="00F33150" w:rsidP="006833D3">
      <w:pPr>
        <w:pStyle w:val="Heading3"/>
        <w:rPr>
          <w:rFonts w:cs="Arial"/>
        </w:rPr>
      </w:pPr>
      <w:r w:rsidRPr="00192F41">
        <w:rPr>
          <w:rFonts w:cs="Arial"/>
        </w:rPr>
        <w:t>Werribee Irrigation District</w:t>
      </w:r>
    </w:p>
    <w:p w14:paraId="7BF2C93A" w14:textId="477FAB78" w:rsidR="00EB0470" w:rsidRPr="00192F41" w:rsidRDefault="00F33150" w:rsidP="0016061F">
      <w:pPr>
        <w:jc w:val="both"/>
        <w:rPr>
          <w:rFonts w:cs="Arial"/>
        </w:rPr>
      </w:pPr>
      <w:r w:rsidRPr="00192F41">
        <w:rPr>
          <w:rFonts w:cs="Arial"/>
        </w:rPr>
        <w:t xml:space="preserve">Our pricing for the Werribee Irrigation District does not include a variable usage charge for river water supplied against water shares. This recognises the highly variable nature of the Werribee catchment. </w:t>
      </w:r>
      <w:r w:rsidR="00EB0470" w:rsidRPr="00192F41">
        <w:rPr>
          <w:rFonts w:cs="Arial"/>
        </w:rPr>
        <w:t>As part of our Price Submission 2018, we consulted with our customers on the possibility of reintroducing a usage charge and this option was rejected.</w:t>
      </w:r>
    </w:p>
    <w:p w14:paraId="5CF9E428" w14:textId="78DD52E7" w:rsidR="00F33150" w:rsidRPr="00192F41" w:rsidRDefault="00F33150" w:rsidP="00D24A17">
      <w:pPr>
        <w:jc w:val="both"/>
        <w:rPr>
          <w:rFonts w:cs="Arial"/>
        </w:rPr>
      </w:pPr>
      <w:r w:rsidRPr="00192F41">
        <w:rPr>
          <w:rFonts w:cs="Arial"/>
        </w:rPr>
        <w:t>Long-term recycled water contracts have been established for Werribee customers and these contracts include a 50% ‘take or pay’ obligation. However, on average we expect to deliver to customers 65% of contracted volume and water pricing has been established on this basis. Should conditions be wetter than average it is likely that our revenue will be limited to the 50% take or pay obligation and pricing will fail to recover our costs by approximately $200</w:t>
      </w:r>
      <w:r w:rsidR="00AB4A0E">
        <w:rPr>
          <w:rFonts w:cs="Arial"/>
        </w:rPr>
        <w:t>,000</w:t>
      </w:r>
      <w:r w:rsidRPr="00192F41">
        <w:rPr>
          <w:rFonts w:cs="Arial"/>
        </w:rPr>
        <w:t xml:space="preserve">. In a dry year we will recoup this deficit as deliveries will exceed 65%. </w:t>
      </w:r>
    </w:p>
    <w:p w14:paraId="79B2BD27" w14:textId="05C2635B" w:rsidR="00F33150" w:rsidRPr="00192F41" w:rsidRDefault="00F33150" w:rsidP="00F33150">
      <w:pPr>
        <w:rPr>
          <w:rFonts w:cs="Arial"/>
        </w:rPr>
      </w:pPr>
      <w:r w:rsidRPr="00192F41">
        <w:rPr>
          <w:rFonts w:cs="Arial"/>
        </w:rPr>
        <w:t xml:space="preserve">This </w:t>
      </w:r>
      <w:r w:rsidR="00AB4A0E">
        <w:rPr>
          <w:rFonts w:cs="Arial"/>
        </w:rPr>
        <w:t>p</w:t>
      </w:r>
      <w:r w:rsidRPr="00192F41">
        <w:rPr>
          <w:rFonts w:cs="Arial"/>
        </w:rPr>
        <w:t>lan is based on 65% recycled water usage which generates a break-even result.</w:t>
      </w:r>
    </w:p>
    <w:p w14:paraId="590F6D37" w14:textId="77777777" w:rsidR="00F33150" w:rsidRPr="00192F41" w:rsidRDefault="00F33150" w:rsidP="006833D3">
      <w:pPr>
        <w:pStyle w:val="Heading3"/>
        <w:rPr>
          <w:rFonts w:cs="Arial"/>
        </w:rPr>
      </w:pPr>
      <w:r w:rsidRPr="00192F41">
        <w:rPr>
          <w:rFonts w:cs="Arial"/>
        </w:rPr>
        <w:t>Bacchus Marsh Irrigation District</w:t>
      </w:r>
    </w:p>
    <w:p w14:paraId="3FDDAE1F" w14:textId="77777777" w:rsidR="00F33150" w:rsidRPr="00192F41" w:rsidRDefault="00F33150" w:rsidP="00D24A17">
      <w:pPr>
        <w:jc w:val="both"/>
        <w:rPr>
          <w:rFonts w:cs="Arial"/>
        </w:rPr>
      </w:pPr>
      <w:r w:rsidRPr="00192F41">
        <w:rPr>
          <w:rFonts w:cs="Arial"/>
        </w:rPr>
        <w:t>As with Werribee our pricing for the Bacchus Marsh Irrigation District does not include a variable usage charge for river water supplied against water shares.</w:t>
      </w:r>
    </w:p>
    <w:p w14:paraId="366DBE9E" w14:textId="73EDFA94" w:rsidR="00F33150" w:rsidRPr="00192F41" w:rsidRDefault="00F33150" w:rsidP="00D24A17">
      <w:pPr>
        <w:jc w:val="both"/>
        <w:rPr>
          <w:rFonts w:cs="Arial"/>
        </w:rPr>
      </w:pPr>
      <w:r w:rsidRPr="00192F41">
        <w:rPr>
          <w:rFonts w:cs="Arial"/>
        </w:rPr>
        <w:t xml:space="preserve">This recognises the highly variable nature of the Werribee catchment. As </w:t>
      </w:r>
      <w:r w:rsidR="00054BBA" w:rsidRPr="00192F41">
        <w:rPr>
          <w:rFonts w:cs="Arial"/>
        </w:rPr>
        <w:t xml:space="preserve">part of our previous </w:t>
      </w:r>
      <w:r w:rsidR="00D02022">
        <w:rPr>
          <w:rFonts w:cs="Arial"/>
        </w:rPr>
        <w:t>p</w:t>
      </w:r>
      <w:r w:rsidR="00054BBA" w:rsidRPr="00192F41">
        <w:rPr>
          <w:rFonts w:cs="Arial"/>
        </w:rPr>
        <w:t xml:space="preserve">rice </w:t>
      </w:r>
      <w:r w:rsidR="00D02022">
        <w:rPr>
          <w:rFonts w:cs="Arial"/>
        </w:rPr>
        <w:t>s</w:t>
      </w:r>
      <w:r w:rsidR="00054BBA" w:rsidRPr="00192F41">
        <w:rPr>
          <w:rFonts w:cs="Arial"/>
        </w:rPr>
        <w:t xml:space="preserve">ubmission in 2018, </w:t>
      </w:r>
      <w:r w:rsidRPr="00192F41">
        <w:rPr>
          <w:rFonts w:cs="Arial"/>
        </w:rPr>
        <w:t xml:space="preserve">we consulted with </w:t>
      </w:r>
      <w:r w:rsidR="00054BBA" w:rsidRPr="00192F41">
        <w:rPr>
          <w:rFonts w:cs="Arial"/>
        </w:rPr>
        <w:t>our</w:t>
      </w:r>
      <w:r w:rsidRPr="00192F41">
        <w:rPr>
          <w:rFonts w:cs="Arial"/>
        </w:rPr>
        <w:t xml:space="preserve"> customer</w:t>
      </w:r>
      <w:r w:rsidR="00054BBA" w:rsidRPr="00192F41">
        <w:rPr>
          <w:rFonts w:cs="Arial"/>
        </w:rPr>
        <w:t>s</w:t>
      </w:r>
      <w:r w:rsidRPr="00192F41">
        <w:rPr>
          <w:rFonts w:cs="Arial"/>
        </w:rPr>
        <w:t xml:space="preserve"> on the possibility of reintroducing a usage charge and this option was rejected.</w:t>
      </w:r>
    </w:p>
    <w:p w14:paraId="2B3687B2" w14:textId="6F351077" w:rsidR="00F33150" w:rsidRPr="00192F41" w:rsidRDefault="00F33150" w:rsidP="006833D3">
      <w:pPr>
        <w:pStyle w:val="Heading3"/>
        <w:rPr>
          <w:rFonts w:cs="Arial"/>
        </w:rPr>
      </w:pPr>
      <w:r w:rsidRPr="00192F41">
        <w:rPr>
          <w:rFonts w:cs="Arial"/>
        </w:rPr>
        <w:t xml:space="preserve">Groundwater and </w:t>
      </w:r>
      <w:r w:rsidR="00D02022">
        <w:rPr>
          <w:rFonts w:cs="Arial"/>
        </w:rPr>
        <w:t>r</w:t>
      </w:r>
      <w:r w:rsidRPr="00192F41">
        <w:rPr>
          <w:rFonts w:cs="Arial"/>
        </w:rPr>
        <w:t>ivers</w:t>
      </w:r>
      <w:r w:rsidR="00D02022">
        <w:rPr>
          <w:rFonts w:cs="Arial"/>
        </w:rPr>
        <w:t xml:space="preserve"> a</w:t>
      </w:r>
      <w:r w:rsidRPr="00192F41">
        <w:rPr>
          <w:rFonts w:cs="Arial"/>
        </w:rPr>
        <w:t>pplications</w:t>
      </w:r>
    </w:p>
    <w:p w14:paraId="66007866" w14:textId="5331C52D" w:rsidR="00F33150" w:rsidRPr="00192F41" w:rsidRDefault="00F33150" w:rsidP="00D24A17">
      <w:pPr>
        <w:jc w:val="both"/>
        <w:rPr>
          <w:rFonts w:cs="Arial"/>
        </w:rPr>
      </w:pPr>
      <w:r w:rsidRPr="00192F41">
        <w:rPr>
          <w:rFonts w:cs="Arial"/>
        </w:rPr>
        <w:t>Applications for new groundwater and surface water licences are subject to ongoing volatility (influenced by factors such as seasonal conditions). We believe the level of revenue at risk from the budgeted $900</w:t>
      </w:r>
      <w:r w:rsidR="00D02022">
        <w:rPr>
          <w:rFonts w:cs="Arial"/>
        </w:rPr>
        <w:t>,000</w:t>
      </w:r>
      <w:r w:rsidRPr="00192F41">
        <w:rPr>
          <w:rFonts w:cs="Arial"/>
        </w:rPr>
        <w:t xml:space="preserve"> is $25</w:t>
      </w:r>
      <w:r w:rsidR="00D02022">
        <w:rPr>
          <w:rFonts w:cs="Arial"/>
        </w:rPr>
        <w:t>,000</w:t>
      </w:r>
      <w:r w:rsidR="006A605D">
        <w:rPr>
          <w:rFonts w:cs="Arial"/>
        </w:rPr>
        <w:t xml:space="preserve"> associated with </w:t>
      </w:r>
      <w:r w:rsidR="00D02022">
        <w:rPr>
          <w:rFonts w:cs="Arial"/>
        </w:rPr>
        <w:t>g</w:t>
      </w:r>
      <w:r w:rsidRPr="00192F41">
        <w:rPr>
          <w:rFonts w:cs="Arial"/>
        </w:rPr>
        <w:t xml:space="preserve">roundwater and </w:t>
      </w:r>
      <w:r w:rsidR="00D02022">
        <w:rPr>
          <w:rFonts w:cs="Arial"/>
        </w:rPr>
        <w:t>r</w:t>
      </w:r>
      <w:r w:rsidRPr="00192F41">
        <w:rPr>
          <w:rFonts w:cs="Arial"/>
        </w:rPr>
        <w:t xml:space="preserve">ivers </w:t>
      </w:r>
      <w:r w:rsidR="00D02022">
        <w:rPr>
          <w:rFonts w:cs="Arial"/>
        </w:rPr>
        <w:t>f</w:t>
      </w:r>
      <w:r w:rsidRPr="00192F41">
        <w:rPr>
          <w:rFonts w:cs="Arial"/>
        </w:rPr>
        <w:t xml:space="preserve">ield </w:t>
      </w:r>
      <w:r w:rsidR="00D02022">
        <w:rPr>
          <w:rFonts w:cs="Arial"/>
        </w:rPr>
        <w:t>c</w:t>
      </w:r>
      <w:r w:rsidRPr="00192F41">
        <w:rPr>
          <w:rFonts w:cs="Arial"/>
        </w:rPr>
        <w:t>ompliance</w:t>
      </w:r>
      <w:r w:rsidR="0016061F">
        <w:rPr>
          <w:rFonts w:cs="Arial"/>
        </w:rPr>
        <w:t>.</w:t>
      </w:r>
    </w:p>
    <w:p w14:paraId="3B17DEDC" w14:textId="77777777" w:rsidR="00F33150" w:rsidRPr="00192F41" w:rsidRDefault="00F33150" w:rsidP="00D24A17">
      <w:pPr>
        <w:jc w:val="both"/>
        <w:rPr>
          <w:rFonts w:cs="Arial"/>
        </w:rPr>
      </w:pPr>
      <w:r w:rsidRPr="00192F41">
        <w:rPr>
          <w:rFonts w:cs="Arial"/>
        </w:rPr>
        <w:t>Our annual tariffs for groundwater and surface water licences comprise a fixed charge per licence and an entitlement component (per ML). This does not expose us to any revenue risk from seasonal conditions.</w:t>
      </w:r>
      <w:r w:rsidRPr="00192F41">
        <w:rPr>
          <w:rFonts w:eastAsia="Times New Roman" w:cs="Arial"/>
          <w:noProof/>
          <w:sz w:val="18"/>
          <w:szCs w:val="18"/>
          <w:lang w:eastAsia="en-AU"/>
        </w:rPr>
        <w:t xml:space="preserve"> </w:t>
      </w:r>
    </w:p>
    <w:p w14:paraId="1DCD76CA" w14:textId="5EB3E77F" w:rsidR="00F33150" w:rsidRPr="00192F41" w:rsidRDefault="00F33150" w:rsidP="006833D3">
      <w:pPr>
        <w:pStyle w:val="Heading3"/>
        <w:rPr>
          <w:rFonts w:cs="Arial"/>
        </w:rPr>
      </w:pPr>
      <w:r w:rsidRPr="00192F41">
        <w:rPr>
          <w:rFonts w:cs="Arial"/>
        </w:rPr>
        <w:t xml:space="preserve">Latrobe Werribee and Maribyrnong </w:t>
      </w:r>
      <w:r w:rsidR="00D02022">
        <w:rPr>
          <w:rFonts w:cs="Arial"/>
        </w:rPr>
        <w:t>bulk entitlements</w:t>
      </w:r>
    </w:p>
    <w:p w14:paraId="6E52E731" w14:textId="51A07AEF" w:rsidR="00F33150" w:rsidRPr="00192F41" w:rsidRDefault="00F33150" w:rsidP="00D24A17">
      <w:pPr>
        <w:jc w:val="both"/>
        <w:rPr>
          <w:rFonts w:cs="Arial"/>
        </w:rPr>
      </w:pPr>
      <w:r w:rsidRPr="00192F41">
        <w:rPr>
          <w:rFonts w:cs="Arial"/>
        </w:rPr>
        <w:t xml:space="preserve">Our </w:t>
      </w:r>
      <w:r w:rsidR="00D02022">
        <w:rPr>
          <w:rFonts w:cs="Arial"/>
        </w:rPr>
        <w:t>h</w:t>
      </w:r>
      <w:r w:rsidRPr="00192F41">
        <w:rPr>
          <w:rFonts w:cs="Arial"/>
        </w:rPr>
        <w:t xml:space="preserve">eadworks business operates storages on behalf of </w:t>
      </w:r>
      <w:r w:rsidR="00D02022">
        <w:rPr>
          <w:rFonts w:cs="Arial"/>
        </w:rPr>
        <w:t xml:space="preserve">bulk entitlement </w:t>
      </w:r>
      <w:r w:rsidRPr="00192F41">
        <w:rPr>
          <w:rFonts w:cs="Arial"/>
        </w:rPr>
        <w:t>holders. Our charges are based on the actual costs of operating and maintaining those storages – and so do not expose us to any revenue risk from seasonal conditions.</w:t>
      </w:r>
    </w:p>
    <w:p w14:paraId="7D7C2B66" w14:textId="77777777" w:rsidR="00F33150" w:rsidRPr="00192F41" w:rsidRDefault="00F33150" w:rsidP="006833D3">
      <w:pPr>
        <w:pStyle w:val="Heading3"/>
        <w:rPr>
          <w:rFonts w:cs="Arial"/>
        </w:rPr>
      </w:pPr>
      <w:bookmarkStart w:id="66" w:name="SensitivityAnalysis"/>
      <w:r w:rsidRPr="00192F41">
        <w:rPr>
          <w:rFonts w:cs="Arial"/>
        </w:rPr>
        <w:t>Modernisation works</w:t>
      </w:r>
    </w:p>
    <w:bookmarkEnd w:id="66"/>
    <w:p w14:paraId="1F99D7C6" w14:textId="6BA8E7EC" w:rsidR="00F33150" w:rsidRPr="00192F41" w:rsidRDefault="00F33150" w:rsidP="00D24A17">
      <w:pPr>
        <w:jc w:val="both"/>
        <w:rPr>
          <w:rFonts w:cs="Arial"/>
        </w:rPr>
      </w:pPr>
      <w:r w:rsidRPr="00192F41">
        <w:rPr>
          <w:rFonts w:cs="Arial"/>
        </w:rPr>
        <w:t>Our financial projections are based on significant modernisation works occurring in the Macalister</w:t>
      </w:r>
      <w:r w:rsidR="00841233">
        <w:rPr>
          <w:rFonts w:cs="Arial"/>
        </w:rPr>
        <w:t>,</w:t>
      </w:r>
      <w:r w:rsidRPr="00192F41">
        <w:rPr>
          <w:rFonts w:cs="Arial"/>
        </w:rPr>
        <w:t xml:space="preserve"> Werribee and Bacchus Marsh irrigation districts. Since 2013 programs of just over $</w:t>
      </w:r>
      <w:r w:rsidR="00766361">
        <w:rPr>
          <w:rFonts w:cs="Arial"/>
        </w:rPr>
        <w:t>218</w:t>
      </w:r>
      <w:r w:rsidR="00D02022">
        <w:rPr>
          <w:rFonts w:cs="Arial"/>
        </w:rPr>
        <w:t xml:space="preserve"> million</w:t>
      </w:r>
      <w:r w:rsidRPr="00192F41">
        <w:rPr>
          <w:rFonts w:cs="Arial"/>
        </w:rPr>
        <w:t xml:space="preserve"> have been supported by the Victorian Government the </w:t>
      </w:r>
      <w:r w:rsidR="00D02022">
        <w:rPr>
          <w:rFonts w:cs="Arial"/>
        </w:rPr>
        <w:t>Commonwealth</w:t>
      </w:r>
      <w:r w:rsidRPr="00192F41">
        <w:rPr>
          <w:rFonts w:cs="Arial"/>
        </w:rPr>
        <w:t xml:space="preserve"> Government and our irrigation customers. Macalister works are funded </w:t>
      </w:r>
      <w:r w:rsidR="00C0300F">
        <w:rPr>
          <w:rFonts w:cs="Arial"/>
        </w:rPr>
        <w:t>for</w:t>
      </w:r>
      <w:r w:rsidRPr="00192F41">
        <w:rPr>
          <w:rFonts w:cs="Arial"/>
        </w:rPr>
        <w:t xml:space="preserve"> Phase 2 </w:t>
      </w:r>
      <w:r w:rsidR="006B4455">
        <w:rPr>
          <w:rFonts w:cs="Arial"/>
        </w:rPr>
        <w:t xml:space="preserve">to deliver upgrades for Newry customers </w:t>
      </w:r>
      <w:r w:rsidRPr="00192F41">
        <w:rPr>
          <w:rFonts w:cs="Arial"/>
        </w:rPr>
        <w:t xml:space="preserve">and two-thirds of Werribee and Bacchus Marsh funding has been secured. </w:t>
      </w:r>
    </w:p>
    <w:p w14:paraId="6BF79A2C" w14:textId="5960550F" w:rsidR="00F33150" w:rsidRPr="00192F41" w:rsidRDefault="00F33150" w:rsidP="00D24A17">
      <w:pPr>
        <w:jc w:val="both"/>
        <w:rPr>
          <w:rFonts w:cs="Arial"/>
        </w:rPr>
      </w:pPr>
      <w:r w:rsidRPr="00192F41">
        <w:rPr>
          <w:rFonts w:cs="Arial"/>
        </w:rPr>
        <w:t>As the final third contribution towards Werribee and Bacchus Marsh ($24</w:t>
      </w:r>
      <w:r w:rsidR="00105425">
        <w:rPr>
          <w:rFonts w:cs="Arial"/>
        </w:rPr>
        <w:t xml:space="preserve"> million</w:t>
      </w:r>
      <w:r w:rsidRPr="00192F41">
        <w:rPr>
          <w:rFonts w:cs="Arial"/>
        </w:rPr>
        <w:t xml:space="preserve">) has not been secured we have not included this part of the modernisation works within the </w:t>
      </w:r>
      <w:r w:rsidR="00105425">
        <w:rPr>
          <w:rFonts w:cs="Arial"/>
        </w:rPr>
        <w:t>p</w:t>
      </w:r>
      <w:r w:rsidRPr="00192F41">
        <w:rPr>
          <w:rFonts w:cs="Arial"/>
        </w:rPr>
        <w:t>rice submission.</w:t>
      </w:r>
    </w:p>
    <w:p w14:paraId="1A041806" w14:textId="7EB6D61A" w:rsidR="00F33150" w:rsidRPr="00192F41" w:rsidRDefault="00F33150" w:rsidP="006833D3">
      <w:pPr>
        <w:pStyle w:val="Heading3"/>
        <w:rPr>
          <w:rFonts w:cs="Arial"/>
        </w:rPr>
      </w:pPr>
      <w:bookmarkStart w:id="67" w:name="_Toc416438710"/>
      <w:r w:rsidRPr="00192F41">
        <w:rPr>
          <w:rFonts w:cs="Arial"/>
        </w:rPr>
        <w:t xml:space="preserve">Financial scenarios planning – </w:t>
      </w:r>
      <w:r w:rsidR="00D118EA">
        <w:rPr>
          <w:rFonts w:cs="Arial"/>
        </w:rPr>
        <w:t>Macalister</w:t>
      </w:r>
      <w:r w:rsidRPr="00192F41">
        <w:rPr>
          <w:rFonts w:cs="Arial"/>
        </w:rPr>
        <w:t xml:space="preserve"> modernisation</w:t>
      </w:r>
    </w:p>
    <w:p w14:paraId="2A1A6CA2" w14:textId="002CD49F" w:rsidR="00F33150" w:rsidRPr="00192F41" w:rsidRDefault="00F33150" w:rsidP="00D24A17">
      <w:pPr>
        <w:jc w:val="both"/>
        <w:rPr>
          <w:rFonts w:cs="Arial"/>
        </w:rPr>
      </w:pPr>
      <w:r w:rsidRPr="00192F41">
        <w:rPr>
          <w:rFonts w:cs="Arial"/>
        </w:rPr>
        <w:t xml:space="preserve">A submission to government has been made for part-funding of the </w:t>
      </w:r>
      <w:r w:rsidR="00906410">
        <w:rPr>
          <w:rFonts w:cs="Arial"/>
        </w:rPr>
        <w:t>final phase of the MID 2030 to deliver improvements to the Nuntin</w:t>
      </w:r>
      <w:r w:rsidR="006C1FBE">
        <w:rPr>
          <w:rFonts w:cs="Arial"/>
        </w:rPr>
        <w:t xml:space="preserve"> area</w:t>
      </w:r>
      <w:r w:rsidRPr="00192F41">
        <w:rPr>
          <w:rFonts w:cs="Arial"/>
        </w:rPr>
        <w:t xml:space="preserve">. These works will complete the transformation </w:t>
      </w:r>
      <w:r w:rsidR="006C1FBE">
        <w:rPr>
          <w:rFonts w:cs="Arial"/>
        </w:rPr>
        <w:t xml:space="preserve">of water supply to automated supply with </w:t>
      </w:r>
      <w:r w:rsidR="00D0727E">
        <w:rPr>
          <w:rFonts w:cs="Arial"/>
        </w:rPr>
        <w:t>contemporary assets</w:t>
      </w:r>
      <w:r w:rsidRPr="00192F41">
        <w:rPr>
          <w:rFonts w:cs="Arial"/>
        </w:rPr>
        <w:t xml:space="preserve">.  </w:t>
      </w:r>
    </w:p>
    <w:p w14:paraId="2292DC5B" w14:textId="17F83FE7" w:rsidR="005D4272" w:rsidRDefault="00F33150" w:rsidP="00D24A17">
      <w:pPr>
        <w:jc w:val="both"/>
        <w:rPr>
          <w:rFonts w:cs="Arial"/>
        </w:rPr>
      </w:pPr>
      <w:r w:rsidRPr="00192F41">
        <w:rPr>
          <w:rFonts w:cs="Arial"/>
        </w:rPr>
        <w:t xml:space="preserve">Should this submission be successful SRW will increase its debt to fund the </w:t>
      </w:r>
      <w:r w:rsidR="00D0727E">
        <w:rPr>
          <w:rFonts w:cs="Arial"/>
        </w:rPr>
        <w:t>Macalister</w:t>
      </w:r>
      <w:r w:rsidRPr="00192F41">
        <w:rPr>
          <w:rFonts w:cs="Arial"/>
        </w:rPr>
        <w:t xml:space="preserve"> customer 50% contribution towards the $</w:t>
      </w:r>
      <w:r w:rsidR="00D0727E">
        <w:rPr>
          <w:rFonts w:cs="Arial"/>
        </w:rPr>
        <w:t>10</w:t>
      </w:r>
      <w:r w:rsidR="00105425">
        <w:rPr>
          <w:rFonts w:cs="Arial"/>
        </w:rPr>
        <w:t xml:space="preserve"> million</w:t>
      </w:r>
      <w:r w:rsidRPr="00192F41">
        <w:rPr>
          <w:rFonts w:cs="Arial"/>
        </w:rPr>
        <w:t xml:space="preserve"> program of works. </w:t>
      </w:r>
      <w:bookmarkEnd w:id="67"/>
    </w:p>
    <w:p w14:paraId="3D78C861" w14:textId="64BAB07B" w:rsidR="00E4765A" w:rsidRPr="00192F41" w:rsidRDefault="00E4765A" w:rsidP="00E4765A">
      <w:pPr>
        <w:pStyle w:val="Heading2"/>
        <w:rPr>
          <w:rFonts w:cs="Arial"/>
        </w:rPr>
      </w:pPr>
      <w:r w:rsidRPr="00192F41">
        <w:rPr>
          <w:rFonts w:cs="Arial"/>
        </w:rPr>
        <w:t>Non-presc</w:t>
      </w:r>
      <w:r w:rsidR="006A22BC" w:rsidRPr="00192F41">
        <w:rPr>
          <w:rFonts w:cs="Arial"/>
        </w:rPr>
        <w:t>r</w:t>
      </w:r>
      <w:r w:rsidRPr="00192F41">
        <w:rPr>
          <w:rFonts w:cs="Arial"/>
        </w:rPr>
        <w:t>ibed service</w:t>
      </w:r>
      <w:r w:rsidR="006A22BC" w:rsidRPr="00192F41">
        <w:rPr>
          <w:rFonts w:cs="Arial"/>
        </w:rPr>
        <w:t>s</w:t>
      </w:r>
    </w:p>
    <w:p w14:paraId="7AB2A985" w14:textId="77777777" w:rsidR="00BD0EB4" w:rsidRPr="00192F41" w:rsidRDefault="00DB0329" w:rsidP="00D24A17">
      <w:pPr>
        <w:jc w:val="both"/>
        <w:rPr>
          <w:rFonts w:cs="Arial"/>
        </w:rPr>
      </w:pPr>
      <w:r w:rsidRPr="00192F41">
        <w:rPr>
          <w:rFonts w:cs="Arial"/>
        </w:rPr>
        <w:t>In addition to the activities and costs described by this submission, we also incur costs and recover revenue associated with a range of non-prescribed activities, including:</w:t>
      </w:r>
    </w:p>
    <w:p w14:paraId="061EAEB7" w14:textId="6887135C" w:rsidR="00BD0EB4" w:rsidRPr="00192F41" w:rsidRDefault="00DB0329" w:rsidP="0032641B">
      <w:pPr>
        <w:pStyle w:val="Bulletpointparagraph"/>
        <w:rPr>
          <w:rFonts w:cs="Arial"/>
        </w:rPr>
      </w:pPr>
      <w:r w:rsidRPr="00192F41">
        <w:rPr>
          <w:rFonts w:cs="Arial"/>
        </w:rPr>
        <w:t>leased properties</w:t>
      </w:r>
      <w:r w:rsidR="007158C6" w:rsidRPr="00192F41">
        <w:rPr>
          <w:rFonts w:cs="Arial"/>
        </w:rPr>
        <w:t>;</w:t>
      </w:r>
    </w:p>
    <w:p w14:paraId="63936C9B" w14:textId="1837E62C" w:rsidR="00BD0EB4" w:rsidRPr="00192F41" w:rsidRDefault="00DB0329" w:rsidP="0032641B">
      <w:pPr>
        <w:pStyle w:val="Bulletpointparagraph"/>
        <w:rPr>
          <w:rFonts w:cs="Arial"/>
        </w:rPr>
      </w:pPr>
      <w:r w:rsidRPr="00192F41">
        <w:rPr>
          <w:rFonts w:cs="Arial"/>
        </w:rPr>
        <w:t>providing secretarial support and services on behalf of the Victorian Drillers’ Licensing Board</w:t>
      </w:r>
      <w:r w:rsidR="007158C6" w:rsidRPr="00192F41">
        <w:rPr>
          <w:rFonts w:cs="Arial"/>
        </w:rPr>
        <w:t>;</w:t>
      </w:r>
    </w:p>
    <w:p w14:paraId="48553560" w14:textId="77777777" w:rsidR="00F40047" w:rsidRPr="00192F41" w:rsidRDefault="00DB0329" w:rsidP="007158C6">
      <w:pPr>
        <w:pStyle w:val="Bulletpointparagraph"/>
        <w:rPr>
          <w:rFonts w:cs="Arial"/>
        </w:rPr>
      </w:pPr>
      <w:r w:rsidRPr="00192F41">
        <w:rPr>
          <w:rFonts w:cs="Arial"/>
        </w:rPr>
        <w:t>consulting services in dam safety management</w:t>
      </w:r>
      <w:r w:rsidR="007158C6" w:rsidRPr="00192F41">
        <w:rPr>
          <w:rFonts w:cs="Arial"/>
        </w:rPr>
        <w:t>;</w:t>
      </w:r>
    </w:p>
    <w:p w14:paraId="5D6B4A3D" w14:textId="70335CEA" w:rsidR="00BD0EB4" w:rsidRPr="00192F41" w:rsidRDefault="00F40047" w:rsidP="0032641B">
      <w:pPr>
        <w:pStyle w:val="Bulletpointparagraph"/>
        <w:rPr>
          <w:rFonts w:cs="Arial"/>
        </w:rPr>
      </w:pPr>
      <w:r w:rsidRPr="00192F41">
        <w:rPr>
          <w:rFonts w:cs="Arial"/>
        </w:rPr>
        <w:t xml:space="preserve">selling of native vegetation offsets; </w:t>
      </w:r>
      <w:r w:rsidR="007158C6" w:rsidRPr="00192F41">
        <w:rPr>
          <w:rFonts w:cs="Arial"/>
        </w:rPr>
        <w:t>and</w:t>
      </w:r>
    </w:p>
    <w:p w14:paraId="44728F21" w14:textId="566BE8A6" w:rsidR="00BD0EB4" w:rsidRPr="00192F41" w:rsidRDefault="00DB0329" w:rsidP="0032641B">
      <w:pPr>
        <w:pStyle w:val="Bulletpointparagraph"/>
        <w:rPr>
          <w:rFonts w:cs="Arial"/>
        </w:rPr>
      </w:pPr>
      <w:r w:rsidRPr="00192F41">
        <w:rPr>
          <w:rFonts w:cs="Arial"/>
        </w:rPr>
        <w:t>specific funded projects on behalf of government</w:t>
      </w:r>
      <w:r w:rsidR="00BD0EB4" w:rsidRPr="00192F41">
        <w:rPr>
          <w:rFonts w:cs="Arial"/>
        </w:rPr>
        <w:t>.</w:t>
      </w:r>
    </w:p>
    <w:p w14:paraId="3E5BA8D4" w14:textId="77777777" w:rsidR="007158C6" w:rsidRPr="00192F41" w:rsidRDefault="00DB0329" w:rsidP="00D24A17">
      <w:pPr>
        <w:jc w:val="both"/>
        <w:rPr>
          <w:rFonts w:cs="Arial"/>
        </w:rPr>
      </w:pPr>
      <w:r w:rsidRPr="00192F41">
        <w:rPr>
          <w:rFonts w:cs="Arial"/>
        </w:rPr>
        <w:t>The financial transactions associated with these activities are recorded within separate segments within our finance system. Costs for these activities are not included in our baseline operating expenditure or regulatory asset base, or otherwise included in our calculated revenue requirement.</w:t>
      </w:r>
    </w:p>
    <w:p w14:paraId="33A1C593" w14:textId="004002AE" w:rsidR="00F40047" w:rsidRPr="00192F41" w:rsidRDefault="00DB0329" w:rsidP="00D24A17">
      <w:pPr>
        <w:jc w:val="both"/>
        <w:rPr>
          <w:rFonts w:cs="Arial"/>
        </w:rPr>
      </w:pPr>
      <w:r w:rsidRPr="00192F41">
        <w:rPr>
          <w:rFonts w:cs="Arial"/>
        </w:rPr>
        <w:t>We have not included any revenue from future asset sales (land and water sales) within this submission, as this is not a prescribed activity. However, we have used proceeds from sales to offset modernisation costs</w:t>
      </w:r>
      <w:r w:rsidR="001331EA">
        <w:rPr>
          <w:rFonts w:cs="Arial"/>
        </w:rPr>
        <w:t xml:space="preserve"> and as such reduce the </w:t>
      </w:r>
      <w:r w:rsidR="00206217">
        <w:rPr>
          <w:rFonts w:cs="Arial"/>
        </w:rPr>
        <w:t>proposed price increases in particular for the MID customers</w:t>
      </w:r>
      <w:r w:rsidR="00F40047" w:rsidRPr="00192F41">
        <w:rPr>
          <w:rFonts w:cs="Arial"/>
        </w:rPr>
        <w:t xml:space="preserve">. </w:t>
      </w:r>
    </w:p>
    <w:p w14:paraId="2FD13F0F" w14:textId="505FEFD5" w:rsidR="00E4765A" w:rsidRPr="00192F41" w:rsidRDefault="00DB0329" w:rsidP="00D24A17">
      <w:pPr>
        <w:jc w:val="both"/>
        <w:rPr>
          <w:rFonts w:cs="Arial"/>
        </w:rPr>
      </w:pPr>
      <w:r w:rsidRPr="00192F41">
        <w:rPr>
          <w:rFonts w:cs="Arial"/>
        </w:rPr>
        <w:t xml:space="preserve">We are also investigating opportunities for </w:t>
      </w:r>
      <w:r w:rsidR="43827368" w:rsidRPr="6B20A4EE">
        <w:rPr>
          <w:rFonts w:cs="Arial"/>
        </w:rPr>
        <w:t>renewa</w:t>
      </w:r>
      <w:r w:rsidR="7D552E69" w:rsidRPr="6B20A4EE">
        <w:rPr>
          <w:rFonts w:cs="Arial"/>
        </w:rPr>
        <w:t>b</w:t>
      </w:r>
      <w:r w:rsidR="43827368" w:rsidRPr="6B20A4EE">
        <w:rPr>
          <w:rFonts w:cs="Arial"/>
        </w:rPr>
        <w:t>l</w:t>
      </w:r>
      <w:r w:rsidR="7D552E69" w:rsidRPr="6B20A4EE">
        <w:rPr>
          <w:rFonts w:cs="Arial"/>
        </w:rPr>
        <w:t>e</w:t>
      </w:r>
      <w:r w:rsidRPr="00192F41">
        <w:rPr>
          <w:rFonts w:cs="Arial"/>
        </w:rPr>
        <w:t xml:space="preserve"> energy generation, which is outside the scope of this submission.</w:t>
      </w:r>
    </w:p>
    <w:p w14:paraId="3BABB5B9" w14:textId="21B1EF3E" w:rsidR="00AD1334" w:rsidRPr="00192F41" w:rsidRDefault="00AD1334" w:rsidP="00BC7207">
      <w:pPr>
        <w:pStyle w:val="Heading2"/>
        <w:rPr>
          <w:rFonts w:cs="Arial"/>
        </w:rPr>
      </w:pPr>
      <w:bookmarkStart w:id="68" w:name="_Hlk107383837"/>
      <w:r w:rsidRPr="00192F41">
        <w:rPr>
          <w:rFonts w:cs="Arial"/>
        </w:rPr>
        <w:t>Forecast expenditure</w:t>
      </w:r>
    </w:p>
    <w:bookmarkEnd w:id="68"/>
    <w:p w14:paraId="0BCC96CC" w14:textId="12D7DD21" w:rsidR="00FF6CF2" w:rsidRPr="00192F41" w:rsidDel="00C27F82" w:rsidRDefault="001268E4" w:rsidP="00BC7207">
      <w:pPr>
        <w:pStyle w:val="Heading3"/>
        <w:rPr>
          <w:rFonts w:cs="Arial"/>
        </w:rPr>
      </w:pPr>
      <w:r w:rsidRPr="00192F41" w:rsidDel="00C27F82">
        <w:rPr>
          <w:rStyle w:val="IntenseEmphasis"/>
          <w:rFonts w:cs="Arial"/>
          <w:i w:val="0"/>
          <w:iCs w:val="0"/>
          <w:color w:val="002B5C" w:themeColor="text2"/>
          <w:sz w:val="32"/>
        </w:rPr>
        <w:t>Forecast operating expenditure</w:t>
      </w:r>
    </w:p>
    <w:p w14:paraId="21226484" w14:textId="5FCEF6DE" w:rsidR="00AB0488" w:rsidRPr="00E26DB4" w:rsidDel="00C27F82" w:rsidRDefault="000F5BF9" w:rsidP="001268E4">
      <w:bookmarkStart w:id="69" w:name="_Hlk106985901"/>
      <w:r w:rsidRPr="00E26DB4">
        <w:t>Please refer to Sectio</w:t>
      </w:r>
      <w:r w:rsidR="001F3322" w:rsidRPr="00E26DB4">
        <w:t>n</w:t>
      </w:r>
      <w:r w:rsidRPr="00E26DB4">
        <w:t xml:space="preserve"> 7 for our </w:t>
      </w:r>
      <w:r w:rsidR="00E90818" w:rsidRPr="00E26DB4">
        <w:t>operational expenditure</w:t>
      </w:r>
      <w:r w:rsidR="001F3322" w:rsidRPr="00E26DB4">
        <w:t xml:space="preserve"> forecast</w:t>
      </w:r>
      <w:r w:rsidR="00E90818" w:rsidRPr="00E26DB4">
        <w:t>.</w:t>
      </w:r>
      <w:bookmarkEnd w:id="69"/>
    </w:p>
    <w:p w14:paraId="3D75CE7A" w14:textId="23785449" w:rsidR="001268E4" w:rsidRPr="00192F41" w:rsidDel="00C27F82" w:rsidRDefault="001268E4" w:rsidP="00BC7207">
      <w:pPr>
        <w:pStyle w:val="Heading3"/>
        <w:rPr>
          <w:rStyle w:val="IntenseEmphasis"/>
          <w:rFonts w:cs="Arial"/>
          <w:i w:val="0"/>
          <w:iCs w:val="0"/>
          <w:color w:val="002B5C" w:themeColor="text2"/>
          <w:sz w:val="32"/>
        </w:rPr>
      </w:pPr>
      <w:r w:rsidRPr="00192F41" w:rsidDel="00C27F82">
        <w:rPr>
          <w:rStyle w:val="IntenseEmphasis"/>
          <w:rFonts w:cs="Arial"/>
          <w:i w:val="0"/>
          <w:iCs w:val="0"/>
          <w:color w:val="002B5C" w:themeColor="text2"/>
          <w:sz w:val="32"/>
        </w:rPr>
        <w:t>Forecast capital expenditure</w:t>
      </w:r>
    </w:p>
    <w:p w14:paraId="531FE5FB" w14:textId="0EDB53EE" w:rsidR="001F3322" w:rsidRDefault="001F3322" w:rsidP="001F3322">
      <w:r w:rsidRPr="00E26DB4">
        <w:t>Please refer to Section 8 for our capital expenditure forecast.</w:t>
      </w:r>
    </w:p>
    <w:p w14:paraId="3E85AEB5" w14:textId="77777777" w:rsidR="0033130B" w:rsidRPr="00E26DB4" w:rsidDel="00C27F82" w:rsidRDefault="0033130B" w:rsidP="001F3322"/>
    <w:p w14:paraId="6B7EE606" w14:textId="5A46479D" w:rsidR="001268E4" w:rsidRPr="00192F41" w:rsidRDefault="001268E4" w:rsidP="00824B57">
      <w:pPr>
        <w:pStyle w:val="Heading2"/>
        <w:rPr>
          <w:rStyle w:val="IntenseEmphasis"/>
          <w:rFonts w:cs="Arial"/>
          <w:i w:val="0"/>
          <w:iCs w:val="0"/>
          <w:sz w:val="36"/>
        </w:rPr>
      </w:pPr>
      <w:r w:rsidRPr="00192F41">
        <w:rPr>
          <w:rStyle w:val="IntenseEmphasis"/>
          <w:rFonts w:cs="Arial"/>
          <w:i w:val="0"/>
          <w:iCs w:val="0"/>
          <w:sz w:val="36"/>
        </w:rPr>
        <w:t>Return on regulatory asset base</w:t>
      </w:r>
    </w:p>
    <w:p w14:paraId="3F260DD2" w14:textId="77777777" w:rsidR="00494C88" w:rsidRPr="00192F41" w:rsidRDefault="00494C88" w:rsidP="00494C88">
      <w:pPr>
        <w:pStyle w:val="Heading3"/>
        <w:rPr>
          <w:rFonts w:cs="Arial"/>
        </w:rPr>
      </w:pPr>
      <w:r w:rsidRPr="00192F41">
        <w:rPr>
          <w:rFonts w:cs="Arial"/>
        </w:rPr>
        <w:t>R</w:t>
      </w:r>
      <w:r>
        <w:rPr>
          <w:rFonts w:cs="Arial"/>
        </w:rPr>
        <w:t>eal R</w:t>
      </w:r>
      <w:r w:rsidRPr="00192F41">
        <w:rPr>
          <w:rFonts w:cs="Arial"/>
        </w:rPr>
        <w:t xml:space="preserve">ate of </w:t>
      </w:r>
      <w:r>
        <w:rPr>
          <w:rFonts w:cs="Arial"/>
        </w:rPr>
        <w:t>R</w:t>
      </w:r>
      <w:r w:rsidRPr="00192F41">
        <w:rPr>
          <w:rFonts w:cs="Arial"/>
        </w:rPr>
        <w:t>eturn</w:t>
      </w:r>
      <w:r>
        <w:rPr>
          <w:rFonts w:cs="Arial"/>
        </w:rPr>
        <w:t xml:space="preserve"> (RRR)</w:t>
      </w:r>
    </w:p>
    <w:p w14:paraId="01D36619" w14:textId="7314EAFD" w:rsidR="00494C88" w:rsidRDefault="00494C88" w:rsidP="00D24A17">
      <w:pPr>
        <w:jc w:val="both"/>
        <w:rPr>
          <w:rFonts w:cs="Arial"/>
        </w:rPr>
      </w:pPr>
      <w:r w:rsidRPr="00513E8D">
        <w:rPr>
          <w:rFonts w:cs="Arial"/>
        </w:rPr>
        <w:t>The RRR incorporated into the calculation of revenue requirement is determined using the prescribed formula set ESC’s PREMO model, and incorporates the following inputs for SRW</w:t>
      </w:r>
      <w:r>
        <w:rPr>
          <w:rFonts w:cs="Arial"/>
        </w:rPr>
        <w:t>:</w:t>
      </w:r>
      <w:r w:rsidRPr="00513E8D">
        <w:rPr>
          <w:rFonts w:cs="Arial"/>
        </w:rPr>
        <w:t xml:space="preserve"> </w:t>
      </w:r>
    </w:p>
    <w:p w14:paraId="299965EB" w14:textId="3E148B5B" w:rsidR="00206217" w:rsidRPr="009249C7" w:rsidRDefault="00206217" w:rsidP="00206217">
      <w:pPr>
        <w:pStyle w:val="Caption"/>
        <w:rPr>
          <w:b/>
          <w:bCs/>
          <w:i w:val="0"/>
          <w:iCs w:val="0"/>
          <w:color w:val="00B1B0" w:themeColor="accent1"/>
          <w:sz w:val="20"/>
          <w:szCs w:val="20"/>
        </w:rPr>
      </w:pPr>
      <w:r w:rsidRPr="009249C7">
        <w:rPr>
          <w:b/>
          <w:bCs/>
          <w:i w:val="0"/>
          <w:iCs w:val="0"/>
          <w:color w:val="00B1B0" w:themeColor="accent1"/>
          <w:sz w:val="20"/>
          <w:szCs w:val="20"/>
        </w:rPr>
        <w:t xml:space="preserve">Table </w:t>
      </w:r>
      <w:r w:rsidRPr="009249C7">
        <w:rPr>
          <w:b/>
          <w:bCs/>
          <w:i w:val="0"/>
          <w:iCs w:val="0"/>
          <w:color w:val="00B1B0" w:themeColor="accent1"/>
          <w:sz w:val="20"/>
          <w:szCs w:val="20"/>
        </w:rPr>
        <w:fldChar w:fldCharType="begin"/>
      </w:r>
      <w:r w:rsidRPr="009249C7">
        <w:rPr>
          <w:b/>
          <w:bCs/>
          <w:i w:val="0"/>
          <w:iCs w:val="0"/>
          <w:color w:val="00B1B0" w:themeColor="accent1"/>
          <w:sz w:val="20"/>
          <w:szCs w:val="20"/>
        </w:rPr>
        <w:instrText xml:space="preserve"> SEQ Table \* ARABIC </w:instrText>
      </w:r>
      <w:r w:rsidRPr="009249C7">
        <w:rPr>
          <w:b/>
          <w:bCs/>
          <w:i w:val="0"/>
          <w:iCs w:val="0"/>
          <w:color w:val="00B1B0" w:themeColor="accent1"/>
          <w:sz w:val="20"/>
          <w:szCs w:val="20"/>
        </w:rPr>
        <w:fldChar w:fldCharType="separate"/>
      </w:r>
      <w:r w:rsidR="008126A8">
        <w:rPr>
          <w:b/>
          <w:bCs/>
          <w:i w:val="0"/>
          <w:iCs w:val="0"/>
          <w:noProof/>
          <w:color w:val="00B1B0" w:themeColor="accent1"/>
          <w:sz w:val="20"/>
          <w:szCs w:val="20"/>
        </w:rPr>
        <w:t>21</w:t>
      </w:r>
      <w:r w:rsidRPr="009249C7">
        <w:rPr>
          <w:b/>
          <w:bCs/>
          <w:i w:val="0"/>
          <w:iCs w:val="0"/>
          <w:color w:val="00B1B0" w:themeColor="accent1"/>
          <w:sz w:val="20"/>
          <w:szCs w:val="20"/>
        </w:rPr>
        <w:fldChar w:fldCharType="end"/>
      </w:r>
      <w:r w:rsidR="009249C7" w:rsidRPr="009249C7">
        <w:rPr>
          <w:b/>
          <w:bCs/>
          <w:i w:val="0"/>
          <w:iCs w:val="0"/>
          <w:color w:val="00B1B0" w:themeColor="accent1"/>
          <w:sz w:val="20"/>
          <w:szCs w:val="20"/>
        </w:rPr>
        <w:t xml:space="preserve"> – Real rate of return inputs</w:t>
      </w:r>
    </w:p>
    <w:tbl>
      <w:tblPr>
        <w:tblW w:w="85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89"/>
        <w:gridCol w:w="993"/>
        <w:gridCol w:w="992"/>
        <w:gridCol w:w="992"/>
        <w:gridCol w:w="1038"/>
        <w:gridCol w:w="1088"/>
      </w:tblGrid>
      <w:tr w:rsidR="00254D80" w:rsidRPr="00254D80" w14:paraId="7C121E63" w14:textId="77777777">
        <w:trPr>
          <w:trHeight w:val="264"/>
        </w:trPr>
        <w:tc>
          <w:tcPr>
            <w:tcW w:w="3489" w:type="dxa"/>
            <w:tcBorders>
              <w:top w:val="nil"/>
              <w:left w:val="nil"/>
              <w:bottom w:val="nil"/>
              <w:right w:val="nil"/>
            </w:tcBorders>
            <w:shd w:val="clear" w:color="000000" w:fill="70CBD0"/>
            <w:noWrap/>
            <w:vAlign w:val="center"/>
            <w:hideMark/>
          </w:tcPr>
          <w:p w14:paraId="0D500EAE" w14:textId="4B9BB1A7" w:rsidR="00254D80" w:rsidRPr="00254D80" w:rsidRDefault="00254D80" w:rsidP="00D24A17">
            <w:pPr>
              <w:spacing w:before="40" w:after="40" w:line="240" w:lineRule="auto"/>
              <w:jc w:val="right"/>
              <w:rPr>
                <w:rFonts w:eastAsia="Times New Roman" w:cs="Arial"/>
                <w:color w:val="FFFFFF"/>
                <w:sz w:val="20"/>
                <w:szCs w:val="20"/>
                <w:lang w:eastAsia="en-AU"/>
              </w:rPr>
            </w:pPr>
            <w:r w:rsidRPr="00254D80">
              <w:rPr>
                <w:rFonts w:eastAsia="Times New Roman" w:cs="Arial"/>
                <w:color w:val="FFFFFF"/>
                <w:sz w:val="20"/>
                <w:szCs w:val="20"/>
                <w:lang w:eastAsia="en-AU"/>
              </w:rPr>
              <w:t> </w:t>
            </w:r>
          </w:p>
        </w:tc>
        <w:tc>
          <w:tcPr>
            <w:tcW w:w="993" w:type="dxa"/>
            <w:tcBorders>
              <w:top w:val="nil"/>
              <w:left w:val="nil"/>
              <w:bottom w:val="nil"/>
              <w:right w:val="nil"/>
            </w:tcBorders>
            <w:shd w:val="clear" w:color="000000" w:fill="70CBD0"/>
            <w:vAlign w:val="center"/>
            <w:hideMark/>
          </w:tcPr>
          <w:p w14:paraId="3A78D61C" w14:textId="77777777" w:rsidR="00254D80" w:rsidRPr="00D24A17" w:rsidRDefault="00254D80" w:rsidP="00D24A17">
            <w:pPr>
              <w:spacing w:before="40" w:after="40" w:line="240" w:lineRule="auto"/>
              <w:jc w:val="center"/>
              <w:rPr>
                <w:rFonts w:eastAsia="Times New Roman" w:cs="Arial"/>
                <w:b/>
                <w:color w:val="FFFFFF"/>
                <w:sz w:val="20"/>
                <w:szCs w:val="20"/>
                <w:lang w:eastAsia="en-AU"/>
              </w:rPr>
            </w:pPr>
            <w:r w:rsidRPr="00D24A17">
              <w:rPr>
                <w:rFonts w:eastAsia="Times New Roman" w:cs="Arial"/>
                <w:b/>
                <w:color w:val="FFFFFF"/>
                <w:sz w:val="20"/>
                <w:szCs w:val="20"/>
                <w:lang w:eastAsia="en-AU"/>
              </w:rPr>
              <w:t>2023-24</w:t>
            </w:r>
          </w:p>
        </w:tc>
        <w:tc>
          <w:tcPr>
            <w:tcW w:w="992" w:type="dxa"/>
            <w:tcBorders>
              <w:top w:val="nil"/>
              <w:left w:val="nil"/>
              <w:bottom w:val="nil"/>
              <w:right w:val="nil"/>
            </w:tcBorders>
            <w:shd w:val="clear" w:color="000000" w:fill="70CBD0"/>
            <w:vAlign w:val="center"/>
            <w:hideMark/>
          </w:tcPr>
          <w:p w14:paraId="48BAC0B8" w14:textId="77777777" w:rsidR="00254D80" w:rsidRPr="00D24A17" w:rsidRDefault="00254D80" w:rsidP="00D24A17">
            <w:pPr>
              <w:spacing w:before="40" w:after="40" w:line="240" w:lineRule="auto"/>
              <w:jc w:val="center"/>
              <w:rPr>
                <w:rFonts w:eastAsia="Times New Roman" w:cs="Arial"/>
                <w:b/>
                <w:color w:val="FFFFFF"/>
                <w:sz w:val="20"/>
                <w:szCs w:val="20"/>
                <w:lang w:eastAsia="en-AU"/>
              </w:rPr>
            </w:pPr>
            <w:r w:rsidRPr="00D24A17">
              <w:rPr>
                <w:rFonts w:eastAsia="Times New Roman" w:cs="Arial"/>
                <w:b/>
                <w:color w:val="FFFFFF"/>
                <w:sz w:val="20"/>
                <w:szCs w:val="20"/>
                <w:lang w:eastAsia="en-AU"/>
              </w:rPr>
              <w:t>2024-25</w:t>
            </w:r>
          </w:p>
        </w:tc>
        <w:tc>
          <w:tcPr>
            <w:tcW w:w="992" w:type="dxa"/>
            <w:tcBorders>
              <w:top w:val="nil"/>
              <w:left w:val="nil"/>
              <w:bottom w:val="nil"/>
              <w:right w:val="nil"/>
            </w:tcBorders>
            <w:shd w:val="clear" w:color="000000" w:fill="70CBD0"/>
            <w:vAlign w:val="center"/>
            <w:hideMark/>
          </w:tcPr>
          <w:p w14:paraId="3F8036CC" w14:textId="77777777" w:rsidR="00254D80" w:rsidRPr="00D24A17" w:rsidRDefault="00254D80" w:rsidP="00D24A17">
            <w:pPr>
              <w:spacing w:before="40" w:after="40" w:line="240" w:lineRule="auto"/>
              <w:jc w:val="center"/>
              <w:rPr>
                <w:rFonts w:eastAsia="Times New Roman" w:cs="Arial"/>
                <w:b/>
                <w:color w:val="FFFFFF"/>
                <w:sz w:val="20"/>
                <w:szCs w:val="20"/>
                <w:lang w:eastAsia="en-AU"/>
              </w:rPr>
            </w:pPr>
            <w:r w:rsidRPr="00D24A17">
              <w:rPr>
                <w:rFonts w:eastAsia="Times New Roman" w:cs="Arial"/>
                <w:b/>
                <w:color w:val="FFFFFF"/>
                <w:sz w:val="20"/>
                <w:szCs w:val="20"/>
                <w:lang w:eastAsia="en-AU"/>
              </w:rPr>
              <w:t>2025-26</w:t>
            </w:r>
          </w:p>
        </w:tc>
        <w:tc>
          <w:tcPr>
            <w:tcW w:w="1038" w:type="dxa"/>
            <w:tcBorders>
              <w:top w:val="nil"/>
              <w:left w:val="nil"/>
              <w:bottom w:val="nil"/>
              <w:right w:val="nil"/>
            </w:tcBorders>
            <w:shd w:val="clear" w:color="000000" w:fill="70CBD0"/>
            <w:vAlign w:val="center"/>
            <w:hideMark/>
          </w:tcPr>
          <w:p w14:paraId="34C315CA" w14:textId="77777777" w:rsidR="00254D80" w:rsidRPr="00D24A17" w:rsidRDefault="00254D80" w:rsidP="00D24A17">
            <w:pPr>
              <w:spacing w:before="40" w:after="40" w:line="240" w:lineRule="auto"/>
              <w:jc w:val="center"/>
              <w:rPr>
                <w:rFonts w:eastAsia="Times New Roman" w:cs="Arial"/>
                <w:b/>
                <w:color w:val="FFFFFF"/>
                <w:sz w:val="20"/>
                <w:szCs w:val="20"/>
                <w:lang w:eastAsia="en-AU"/>
              </w:rPr>
            </w:pPr>
            <w:r w:rsidRPr="00D24A17">
              <w:rPr>
                <w:rFonts w:eastAsia="Times New Roman" w:cs="Arial"/>
                <w:b/>
                <w:color w:val="FFFFFF"/>
                <w:sz w:val="20"/>
                <w:szCs w:val="20"/>
                <w:lang w:eastAsia="en-AU"/>
              </w:rPr>
              <w:t>2026-27</w:t>
            </w:r>
          </w:p>
        </w:tc>
        <w:tc>
          <w:tcPr>
            <w:tcW w:w="1088" w:type="dxa"/>
            <w:tcBorders>
              <w:top w:val="nil"/>
              <w:left w:val="nil"/>
              <w:bottom w:val="nil"/>
              <w:right w:val="nil"/>
            </w:tcBorders>
            <w:shd w:val="clear" w:color="000000" w:fill="70CBD0"/>
            <w:vAlign w:val="center"/>
            <w:hideMark/>
          </w:tcPr>
          <w:p w14:paraId="3B27AC84" w14:textId="77777777" w:rsidR="00254D80" w:rsidRPr="00D24A17" w:rsidRDefault="00254D80" w:rsidP="00D24A17">
            <w:pPr>
              <w:spacing w:before="40" w:after="40" w:line="240" w:lineRule="auto"/>
              <w:jc w:val="center"/>
              <w:rPr>
                <w:rFonts w:eastAsia="Times New Roman" w:cs="Arial"/>
                <w:b/>
                <w:color w:val="FFFFFF"/>
                <w:sz w:val="20"/>
                <w:szCs w:val="20"/>
                <w:lang w:eastAsia="en-AU"/>
              </w:rPr>
            </w:pPr>
            <w:r w:rsidRPr="00D24A17">
              <w:rPr>
                <w:rFonts w:eastAsia="Times New Roman" w:cs="Arial"/>
                <w:b/>
                <w:color w:val="FFFFFF"/>
                <w:sz w:val="20"/>
                <w:szCs w:val="20"/>
                <w:lang w:eastAsia="en-AU"/>
              </w:rPr>
              <w:t>2027-28</w:t>
            </w:r>
          </w:p>
        </w:tc>
      </w:tr>
      <w:tr w:rsidR="00254D80" w:rsidRPr="00254D80" w14:paraId="0C9E2686" w14:textId="77777777">
        <w:trPr>
          <w:trHeight w:val="276"/>
        </w:trPr>
        <w:tc>
          <w:tcPr>
            <w:tcW w:w="3489" w:type="dxa"/>
            <w:tcBorders>
              <w:top w:val="nil"/>
              <w:left w:val="nil"/>
              <w:bottom w:val="nil"/>
              <w:right w:val="nil"/>
            </w:tcBorders>
            <w:shd w:val="clear" w:color="000000" w:fill="F5F5F5"/>
            <w:noWrap/>
            <w:vAlign w:val="center"/>
            <w:hideMark/>
          </w:tcPr>
          <w:p w14:paraId="43B51F89" w14:textId="53386B21" w:rsidR="00254D80" w:rsidRPr="00254D80" w:rsidRDefault="00D24A17"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Forecast inflation </w:t>
            </w:r>
          </w:p>
        </w:tc>
        <w:tc>
          <w:tcPr>
            <w:tcW w:w="993" w:type="dxa"/>
            <w:tcBorders>
              <w:top w:val="nil"/>
              <w:left w:val="nil"/>
              <w:bottom w:val="nil"/>
              <w:right w:val="nil"/>
            </w:tcBorders>
            <w:shd w:val="clear" w:color="000000" w:fill="F5F5F5"/>
            <w:vAlign w:val="center"/>
            <w:hideMark/>
          </w:tcPr>
          <w:p w14:paraId="6D8EDD29"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3.0%</w:t>
            </w:r>
          </w:p>
        </w:tc>
        <w:tc>
          <w:tcPr>
            <w:tcW w:w="992" w:type="dxa"/>
            <w:tcBorders>
              <w:top w:val="nil"/>
              <w:left w:val="nil"/>
              <w:bottom w:val="nil"/>
              <w:right w:val="nil"/>
            </w:tcBorders>
            <w:shd w:val="clear" w:color="000000" w:fill="F5F5F5"/>
            <w:vAlign w:val="center"/>
            <w:hideMark/>
          </w:tcPr>
          <w:p w14:paraId="1CC75599"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3.0%</w:t>
            </w:r>
          </w:p>
        </w:tc>
        <w:tc>
          <w:tcPr>
            <w:tcW w:w="992" w:type="dxa"/>
            <w:tcBorders>
              <w:top w:val="nil"/>
              <w:left w:val="nil"/>
              <w:bottom w:val="nil"/>
              <w:right w:val="nil"/>
            </w:tcBorders>
            <w:shd w:val="clear" w:color="000000" w:fill="F5F5F5"/>
            <w:vAlign w:val="center"/>
            <w:hideMark/>
          </w:tcPr>
          <w:p w14:paraId="262B910C"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3.0%</w:t>
            </w:r>
          </w:p>
        </w:tc>
        <w:tc>
          <w:tcPr>
            <w:tcW w:w="1038" w:type="dxa"/>
            <w:tcBorders>
              <w:top w:val="nil"/>
              <w:left w:val="nil"/>
              <w:bottom w:val="nil"/>
              <w:right w:val="nil"/>
            </w:tcBorders>
            <w:shd w:val="clear" w:color="000000" w:fill="F5F5F5"/>
            <w:vAlign w:val="center"/>
            <w:hideMark/>
          </w:tcPr>
          <w:p w14:paraId="70683141"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3.0%</w:t>
            </w:r>
          </w:p>
        </w:tc>
        <w:tc>
          <w:tcPr>
            <w:tcW w:w="1088" w:type="dxa"/>
            <w:tcBorders>
              <w:top w:val="nil"/>
              <w:left w:val="nil"/>
              <w:bottom w:val="nil"/>
              <w:right w:val="nil"/>
            </w:tcBorders>
            <w:shd w:val="clear" w:color="000000" w:fill="F5F5F5"/>
            <w:vAlign w:val="center"/>
            <w:hideMark/>
          </w:tcPr>
          <w:p w14:paraId="683677C8"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3.0%</w:t>
            </w:r>
          </w:p>
        </w:tc>
      </w:tr>
      <w:tr w:rsidR="00254D80" w:rsidRPr="00254D80" w14:paraId="2620582B" w14:textId="77777777">
        <w:trPr>
          <w:trHeight w:val="264"/>
        </w:trPr>
        <w:tc>
          <w:tcPr>
            <w:tcW w:w="3489" w:type="dxa"/>
            <w:tcBorders>
              <w:top w:val="nil"/>
              <w:left w:val="nil"/>
              <w:bottom w:val="nil"/>
              <w:right w:val="nil"/>
            </w:tcBorders>
            <w:shd w:val="clear" w:color="auto" w:fill="auto"/>
            <w:noWrap/>
            <w:vAlign w:val="center"/>
            <w:hideMark/>
          </w:tcPr>
          <w:p w14:paraId="5A831012" w14:textId="709F13BE" w:rsidR="00254D80" w:rsidRPr="00254D80" w:rsidRDefault="00D24A17"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Current interest rate</w:t>
            </w:r>
          </w:p>
        </w:tc>
        <w:tc>
          <w:tcPr>
            <w:tcW w:w="993" w:type="dxa"/>
            <w:tcBorders>
              <w:top w:val="nil"/>
              <w:left w:val="nil"/>
              <w:bottom w:val="nil"/>
              <w:right w:val="nil"/>
            </w:tcBorders>
            <w:shd w:val="clear" w:color="auto" w:fill="auto"/>
            <w:vAlign w:val="center"/>
            <w:hideMark/>
          </w:tcPr>
          <w:p w14:paraId="020469A1"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c>
          <w:tcPr>
            <w:tcW w:w="992" w:type="dxa"/>
            <w:tcBorders>
              <w:top w:val="nil"/>
              <w:left w:val="nil"/>
              <w:bottom w:val="nil"/>
              <w:right w:val="nil"/>
            </w:tcBorders>
            <w:shd w:val="clear" w:color="auto" w:fill="auto"/>
            <w:vAlign w:val="center"/>
            <w:hideMark/>
          </w:tcPr>
          <w:p w14:paraId="7E550267"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c>
          <w:tcPr>
            <w:tcW w:w="992" w:type="dxa"/>
            <w:tcBorders>
              <w:top w:val="nil"/>
              <w:left w:val="nil"/>
              <w:bottom w:val="nil"/>
              <w:right w:val="nil"/>
            </w:tcBorders>
            <w:shd w:val="clear" w:color="auto" w:fill="auto"/>
            <w:vAlign w:val="center"/>
            <w:hideMark/>
          </w:tcPr>
          <w:p w14:paraId="1E4A1D1D"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c>
          <w:tcPr>
            <w:tcW w:w="1038" w:type="dxa"/>
            <w:tcBorders>
              <w:top w:val="nil"/>
              <w:left w:val="nil"/>
              <w:bottom w:val="nil"/>
              <w:right w:val="nil"/>
            </w:tcBorders>
            <w:shd w:val="clear" w:color="auto" w:fill="auto"/>
            <w:vAlign w:val="center"/>
            <w:hideMark/>
          </w:tcPr>
          <w:p w14:paraId="1C4B971D"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c>
          <w:tcPr>
            <w:tcW w:w="1088" w:type="dxa"/>
            <w:tcBorders>
              <w:top w:val="nil"/>
              <w:left w:val="nil"/>
              <w:bottom w:val="nil"/>
              <w:right w:val="nil"/>
            </w:tcBorders>
            <w:shd w:val="clear" w:color="auto" w:fill="auto"/>
            <w:vAlign w:val="center"/>
            <w:hideMark/>
          </w:tcPr>
          <w:p w14:paraId="1AF0E225"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r>
      <w:tr w:rsidR="00254D80" w:rsidRPr="00254D80" w14:paraId="1E7AFE3E" w14:textId="77777777" w:rsidTr="00B754A5">
        <w:trPr>
          <w:trHeight w:val="264"/>
        </w:trPr>
        <w:tc>
          <w:tcPr>
            <w:tcW w:w="3489" w:type="dxa"/>
            <w:tcBorders>
              <w:top w:val="nil"/>
              <w:left w:val="nil"/>
              <w:bottom w:val="nil"/>
              <w:right w:val="nil"/>
            </w:tcBorders>
            <w:shd w:val="clear" w:color="000000" w:fill="F5F5F5"/>
            <w:noWrap/>
            <w:vAlign w:val="center"/>
            <w:hideMark/>
          </w:tcPr>
          <w:p w14:paraId="41E34256" w14:textId="77777777" w:rsidR="00254D80" w:rsidRPr="00254D80" w:rsidRDefault="00254D80"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Cost of debt (10-year trailing average)</w:t>
            </w:r>
          </w:p>
        </w:tc>
        <w:tc>
          <w:tcPr>
            <w:tcW w:w="993" w:type="dxa"/>
            <w:tcBorders>
              <w:top w:val="nil"/>
              <w:left w:val="nil"/>
              <w:bottom w:val="nil"/>
              <w:right w:val="nil"/>
            </w:tcBorders>
            <w:shd w:val="clear" w:color="000000" w:fill="F5F5F5"/>
            <w:vAlign w:val="center"/>
            <w:hideMark/>
          </w:tcPr>
          <w:p w14:paraId="06FC6E2B"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4.6%</w:t>
            </w:r>
          </w:p>
        </w:tc>
        <w:tc>
          <w:tcPr>
            <w:tcW w:w="992" w:type="dxa"/>
            <w:tcBorders>
              <w:top w:val="nil"/>
              <w:left w:val="nil"/>
              <w:bottom w:val="nil"/>
              <w:right w:val="nil"/>
            </w:tcBorders>
            <w:shd w:val="clear" w:color="000000" w:fill="F5F5F5"/>
            <w:vAlign w:val="center"/>
            <w:hideMark/>
          </w:tcPr>
          <w:p w14:paraId="1D1B09DE"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4.2%</w:t>
            </w:r>
          </w:p>
        </w:tc>
        <w:tc>
          <w:tcPr>
            <w:tcW w:w="992" w:type="dxa"/>
            <w:tcBorders>
              <w:top w:val="nil"/>
              <w:left w:val="nil"/>
              <w:bottom w:val="nil"/>
              <w:right w:val="nil"/>
            </w:tcBorders>
            <w:shd w:val="clear" w:color="000000" w:fill="F5F5F5"/>
            <w:vAlign w:val="center"/>
            <w:hideMark/>
          </w:tcPr>
          <w:p w14:paraId="31563D80"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c>
          <w:tcPr>
            <w:tcW w:w="1038" w:type="dxa"/>
            <w:tcBorders>
              <w:top w:val="nil"/>
              <w:left w:val="nil"/>
              <w:bottom w:val="nil"/>
              <w:right w:val="nil"/>
            </w:tcBorders>
            <w:shd w:val="clear" w:color="000000" w:fill="F5F5F5"/>
            <w:vAlign w:val="center"/>
            <w:hideMark/>
          </w:tcPr>
          <w:p w14:paraId="548225A6"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3.9%</w:t>
            </w:r>
          </w:p>
        </w:tc>
        <w:tc>
          <w:tcPr>
            <w:tcW w:w="1088" w:type="dxa"/>
            <w:tcBorders>
              <w:top w:val="nil"/>
              <w:left w:val="nil"/>
              <w:bottom w:val="nil"/>
              <w:right w:val="nil"/>
            </w:tcBorders>
            <w:shd w:val="clear" w:color="000000" w:fill="F5F5F5"/>
            <w:vAlign w:val="center"/>
            <w:hideMark/>
          </w:tcPr>
          <w:p w14:paraId="1FEB3C74"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3.8%</w:t>
            </w:r>
          </w:p>
        </w:tc>
      </w:tr>
      <w:tr w:rsidR="00254D80" w:rsidRPr="00254D80" w14:paraId="61D46F91" w14:textId="77777777">
        <w:trPr>
          <w:trHeight w:val="264"/>
        </w:trPr>
        <w:tc>
          <w:tcPr>
            <w:tcW w:w="3489" w:type="dxa"/>
            <w:tcBorders>
              <w:top w:val="nil"/>
              <w:left w:val="nil"/>
              <w:bottom w:val="nil"/>
              <w:right w:val="nil"/>
            </w:tcBorders>
            <w:shd w:val="clear" w:color="auto" w:fill="auto"/>
            <w:noWrap/>
            <w:vAlign w:val="center"/>
            <w:hideMark/>
          </w:tcPr>
          <w:p w14:paraId="74D55A29" w14:textId="646EF6DF" w:rsidR="00254D80" w:rsidRPr="00254D80" w:rsidRDefault="00D24A17"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Cost of debt - real</w:t>
            </w:r>
          </w:p>
        </w:tc>
        <w:tc>
          <w:tcPr>
            <w:tcW w:w="993" w:type="dxa"/>
            <w:tcBorders>
              <w:top w:val="nil"/>
              <w:left w:val="nil"/>
              <w:bottom w:val="nil"/>
              <w:right w:val="nil"/>
            </w:tcBorders>
            <w:shd w:val="clear" w:color="auto" w:fill="auto"/>
            <w:vAlign w:val="center"/>
            <w:hideMark/>
          </w:tcPr>
          <w:p w14:paraId="2A315198"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1.5%</w:t>
            </w:r>
          </w:p>
        </w:tc>
        <w:tc>
          <w:tcPr>
            <w:tcW w:w="992" w:type="dxa"/>
            <w:tcBorders>
              <w:top w:val="nil"/>
              <w:left w:val="nil"/>
              <w:bottom w:val="nil"/>
              <w:right w:val="nil"/>
            </w:tcBorders>
            <w:shd w:val="clear" w:color="auto" w:fill="auto"/>
            <w:vAlign w:val="center"/>
            <w:hideMark/>
          </w:tcPr>
          <w:p w14:paraId="4113FC4D"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1.2%</w:t>
            </w:r>
          </w:p>
        </w:tc>
        <w:tc>
          <w:tcPr>
            <w:tcW w:w="992" w:type="dxa"/>
            <w:tcBorders>
              <w:top w:val="nil"/>
              <w:left w:val="nil"/>
              <w:bottom w:val="nil"/>
              <w:right w:val="nil"/>
            </w:tcBorders>
            <w:shd w:val="clear" w:color="auto" w:fill="auto"/>
            <w:vAlign w:val="center"/>
            <w:hideMark/>
          </w:tcPr>
          <w:p w14:paraId="36C2E5C6"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1.0%</w:t>
            </w:r>
          </w:p>
        </w:tc>
        <w:tc>
          <w:tcPr>
            <w:tcW w:w="1038" w:type="dxa"/>
            <w:tcBorders>
              <w:top w:val="nil"/>
              <w:left w:val="nil"/>
              <w:bottom w:val="nil"/>
              <w:right w:val="nil"/>
            </w:tcBorders>
            <w:shd w:val="clear" w:color="auto" w:fill="auto"/>
            <w:vAlign w:val="center"/>
            <w:hideMark/>
          </w:tcPr>
          <w:p w14:paraId="6DF5A190"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0.9%</w:t>
            </w:r>
          </w:p>
        </w:tc>
        <w:tc>
          <w:tcPr>
            <w:tcW w:w="1088" w:type="dxa"/>
            <w:tcBorders>
              <w:top w:val="nil"/>
              <w:left w:val="nil"/>
              <w:bottom w:val="nil"/>
              <w:right w:val="nil"/>
            </w:tcBorders>
            <w:shd w:val="clear" w:color="auto" w:fill="auto"/>
            <w:vAlign w:val="center"/>
            <w:hideMark/>
          </w:tcPr>
          <w:p w14:paraId="0343F9D7"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0.8%</w:t>
            </w:r>
          </w:p>
        </w:tc>
      </w:tr>
      <w:tr w:rsidR="00254D80" w:rsidRPr="00254D80" w14:paraId="56D513E7" w14:textId="77777777">
        <w:trPr>
          <w:trHeight w:val="264"/>
        </w:trPr>
        <w:tc>
          <w:tcPr>
            <w:tcW w:w="3489" w:type="dxa"/>
            <w:tcBorders>
              <w:top w:val="nil"/>
              <w:left w:val="nil"/>
              <w:bottom w:val="nil"/>
              <w:right w:val="nil"/>
            </w:tcBorders>
            <w:shd w:val="clear" w:color="000000" w:fill="F5F5F5"/>
            <w:noWrap/>
            <w:vAlign w:val="center"/>
            <w:hideMark/>
          </w:tcPr>
          <w:p w14:paraId="10103400" w14:textId="138FDE3B" w:rsidR="00254D80" w:rsidRPr="00254D80" w:rsidRDefault="00D24A17"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Return on equity </w:t>
            </w:r>
          </w:p>
        </w:tc>
        <w:tc>
          <w:tcPr>
            <w:tcW w:w="993" w:type="dxa"/>
            <w:tcBorders>
              <w:top w:val="nil"/>
              <w:left w:val="nil"/>
              <w:bottom w:val="nil"/>
              <w:right w:val="nil"/>
            </w:tcBorders>
            <w:shd w:val="clear" w:color="000000" w:fill="F5F5F5"/>
            <w:vAlign w:val="center"/>
            <w:hideMark/>
          </w:tcPr>
          <w:p w14:paraId="32CC5994"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c>
          <w:tcPr>
            <w:tcW w:w="992" w:type="dxa"/>
            <w:tcBorders>
              <w:top w:val="nil"/>
              <w:left w:val="nil"/>
              <w:bottom w:val="nil"/>
              <w:right w:val="nil"/>
            </w:tcBorders>
            <w:shd w:val="clear" w:color="000000" w:fill="F5F5F5"/>
            <w:vAlign w:val="center"/>
            <w:hideMark/>
          </w:tcPr>
          <w:p w14:paraId="64953E7B"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c>
          <w:tcPr>
            <w:tcW w:w="992" w:type="dxa"/>
            <w:tcBorders>
              <w:top w:val="nil"/>
              <w:left w:val="nil"/>
              <w:bottom w:val="nil"/>
              <w:right w:val="nil"/>
            </w:tcBorders>
            <w:shd w:val="clear" w:color="000000" w:fill="F5F5F5"/>
            <w:vAlign w:val="center"/>
            <w:hideMark/>
          </w:tcPr>
          <w:p w14:paraId="4C8AEBF8"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c>
          <w:tcPr>
            <w:tcW w:w="1038" w:type="dxa"/>
            <w:tcBorders>
              <w:top w:val="nil"/>
              <w:left w:val="nil"/>
              <w:bottom w:val="nil"/>
              <w:right w:val="nil"/>
            </w:tcBorders>
            <w:shd w:val="clear" w:color="000000" w:fill="F5F5F5"/>
            <w:vAlign w:val="center"/>
            <w:hideMark/>
          </w:tcPr>
          <w:p w14:paraId="088B6988"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c>
          <w:tcPr>
            <w:tcW w:w="1088" w:type="dxa"/>
            <w:tcBorders>
              <w:top w:val="nil"/>
              <w:left w:val="nil"/>
              <w:bottom w:val="nil"/>
              <w:right w:val="nil"/>
            </w:tcBorders>
            <w:shd w:val="clear" w:color="000000" w:fill="F5F5F5"/>
            <w:vAlign w:val="center"/>
            <w:hideMark/>
          </w:tcPr>
          <w:p w14:paraId="675C311D"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4.1%</w:t>
            </w:r>
          </w:p>
        </w:tc>
      </w:tr>
      <w:tr w:rsidR="00254D80" w:rsidRPr="00254D80" w14:paraId="2663DCC3" w14:textId="77777777">
        <w:trPr>
          <w:trHeight w:val="276"/>
        </w:trPr>
        <w:tc>
          <w:tcPr>
            <w:tcW w:w="3489" w:type="dxa"/>
            <w:tcBorders>
              <w:top w:val="nil"/>
              <w:left w:val="nil"/>
              <w:bottom w:val="single" w:sz="4" w:space="0" w:color="auto"/>
              <w:right w:val="nil"/>
            </w:tcBorders>
            <w:shd w:val="clear" w:color="auto" w:fill="auto"/>
            <w:noWrap/>
            <w:vAlign w:val="center"/>
            <w:hideMark/>
          </w:tcPr>
          <w:p w14:paraId="6584FFE3" w14:textId="5722CB82" w:rsidR="00254D80" w:rsidRPr="00254D80" w:rsidRDefault="00D24A17" w:rsidP="00D24A17">
            <w:pPr>
              <w:spacing w:before="40" w:after="40" w:line="240" w:lineRule="auto"/>
              <w:rPr>
                <w:rFonts w:eastAsia="Times New Roman" w:cs="Arial"/>
                <w:color w:val="000000"/>
                <w:sz w:val="20"/>
                <w:szCs w:val="20"/>
                <w:lang w:eastAsia="en-AU"/>
              </w:rPr>
            </w:pPr>
            <w:r w:rsidRPr="00254D80">
              <w:rPr>
                <w:rFonts w:eastAsia="Times New Roman" w:cs="Arial"/>
                <w:color w:val="000000"/>
                <w:sz w:val="20"/>
                <w:szCs w:val="20"/>
                <w:lang w:eastAsia="en-AU"/>
              </w:rPr>
              <w:t>Real Rate of Return </w:t>
            </w:r>
          </w:p>
        </w:tc>
        <w:tc>
          <w:tcPr>
            <w:tcW w:w="993" w:type="dxa"/>
            <w:tcBorders>
              <w:top w:val="nil"/>
              <w:left w:val="nil"/>
              <w:bottom w:val="single" w:sz="4" w:space="0" w:color="auto"/>
              <w:right w:val="nil"/>
            </w:tcBorders>
            <w:shd w:val="clear" w:color="auto" w:fill="auto"/>
            <w:vAlign w:val="center"/>
            <w:hideMark/>
          </w:tcPr>
          <w:p w14:paraId="19CD5BF7"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2.6%</w:t>
            </w:r>
          </w:p>
        </w:tc>
        <w:tc>
          <w:tcPr>
            <w:tcW w:w="992" w:type="dxa"/>
            <w:tcBorders>
              <w:top w:val="nil"/>
              <w:left w:val="nil"/>
              <w:bottom w:val="single" w:sz="4" w:space="0" w:color="auto"/>
              <w:right w:val="nil"/>
            </w:tcBorders>
            <w:shd w:val="clear" w:color="auto" w:fill="auto"/>
            <w:vAlign w:val="center"/>
            <w:hideMark/>
          </w:tcPr>
          <w:p w14:paraId="764DC17C"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2.4%</w:t>
            </w:r>
          </w:p>
        </w:tc>
        <w:tc>
          <w:tcPr>
            <w:tcW w:w="992" w:type="dxa"/>
            <w:tcBorders>
              <w:top w:val="nil"/>
              <w:left w:val="nil"/>
              <w:bottom w:val="single" w:sz="4" w:space="0" w:color="auto"/>
              <w:right w:val="nil"/>
            </w:tcBorders>
            <w:shd w:val="clear" w:color="auto" w:fill="auto"/>
            <w:vAlign w:val="center"/>
            <w:hideMark/>
          </w:tcPr>
          <w:p w14:paraId="20049913"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2.3%</w:t>
            </w:r>
          </w:p>
        </w:tc>
        <w:tc>
          <w:tcPr>
            <w:tcW w:w="1038" w:type="dxa"/>
            <w:tcBorders>
              <w:top w:val="nil"/>
              <w:left w:val="nil"/>
              <w:bottom w:val="single" w:sz="4" w:space="0" w:color="auto"/>
              <w:right w:val="nil"/>
            </w:tcBorders>
            <w:shd w:val="clear" w:color="auto" w:fill="auto"/>
            <w:vAlign w:val="center"/>
            <w:hideMark/>
          </w:tcPr>
          <w:p w14:paraId="6B713E73"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2.2%</w:t>
            </w:r>
          </w:p>
        </w:tc>
        <w:tc>
          <w:tcPr>
            <w:tcW w:w="1088" w:type="dxa"/>
            <w:tcBorders>
              <w:top w:val="nil"/>
              <w:left w:val="nil"/>
              <w:bottom w:val="single" w:sz="4" w:space="0" w:color="auto"/>
              <w:right w:val="nil"/>
            </w:tcBorders>
            <w:shd w:val="clear" w:color="auto" w:fill="auto"/>
            <w:vAlign w:val="center"/>
            <w:hideMark/>
          </w:tcPr>
          <w:p w14:paraId="7275A5BB" w14:textId="77777777" w:rsidR="00254D80" w:rsidRPr="00254D80" w:rsidRDefault="00254D80" w:rsidP="00D24A17">
            <w:pPr>
              <w:spacing w:before="40" w:after="40" w:line="240" w:lineRule="auto"/>
              <w:jc w:val="center"/>
              <w:rPr>
                <w:rFonts w:eastAsia="Times New Roman" w:cs="Arial"/>
                <w:color w:val="000000"/>
                <w:sz w:val="20"/>
                <w:szCs w:val="20"/>
                <w:lang w:eastAsia="en-AU"/>
              </w:rPr>
            </w:pPr>
            <w:r w:rsidRPr="00254D80">
              <w:rPr>
                <w:rFonts w:eastAsia="Times New Roman" w:cs="Arial"/>
                <w:color w:val="000000"/>
                <w:sz w:val="20"/>
                <w:szCs w:val="20"/>
                <w:lang w:eastAsia="en-AU"/>
              </w:rPr>
              <w:t>2.1%</w:t>
            </w:r>
          </w:p>
        </w:tc>
      </w:tr>
    </w:tbl>
    <w:p w14:paraId="62D7EEE2" w14:textId="5EF957FD" w:rsidR="00494C88" w:rsidRDefault="00A34AA1" w:rsidP="00494C88">
      <w:pPr>
        <w:rPr>
          <w:rFonts w:cs="Arial"/>
        </w:rPr>
      </w:pPr>
      <w:r>
        <w:rPr>
          <w:rFonts w:cs="Arial"/>
        </w:rPr>
        <w:br/>
      </w:r>
      <w:r w:rsidR="00494C88">
        <w:rPr>
          <w:rFonts w:cs="Arial"/>
        </w:rPr>
        <w:t>Forecast inflation and cost of debt are set by the ESC.</w:t>
      </w:r>
    </w:p>
    <w:p w14:paraId="2DAC9158" w14:textId="64A85F44" w:rsidR="0010138B" w:rsidRPr="00FE3FBD" w:rsidRDefault="0010138B" w:rsidP="0092271C">
      <w:pPr>
        <w:jc w:val="both"/>
      </w:pPr>
      <w:r w:rsidRPr="00FE3FBD">
        <w:t xml:space="preserve">We have provided </w:t>
      </w:r>
      <w:r w:rsidR="00152EDC">
        <w:t>an</w:t>
      </w:r>
      <w:r w:rsidRPr="00FE3FBD">
        <w:t xml:space="preserve"> assessment of our PREMO rating throughout this submission. In summary, we are proposing an overall PREMO rating of Standard</w:t>
      </w:r>
      <w:r w:rsidR="006611E5">
        <w:t xml:space="preserve"> </w:t>
      </w:r>
      <w:r w:rsidR="00A6755B">
        <w:t>(</w:t>
      </w:r>
      <w:r w:rsidRPr="00FE3FBD">
        <w:t xml:space="preserve">in accordance with Table 4 of the </w:t>
      </w:r>
      <w:r w:rsidR="00FE3FBD">
        <w:t>g</w:t>
      </w:r>
      <w:r w:rsidRPr="00FE3FBD">
        <w:t>uidelines</w:t>
      </w:r>
      <w:r w:rsidR="00A6755B">
        <w:t>)</w:t>
      </w:r>
      <w:r w:rsidRPr="00FE3FBD">
        <w:t xml:space="preserve">, </w:t>
      </w:r>
      <w:r w:rsidR="00A6755B">
        <w:t>with a</w:t>
      </w:r>
      <w:r w:rsidRPr="00FE3FBD">
        <w:t xml:space="preserve"> return on equity of 4.1% based on the return for a standard submission.</w:t>
      </w:r>
    </w:p>
    <w:p w14:paraId="3A7206EA" w14:textId="77777777" w:rsidR="0010138B" w:rsidRDefault="0010138B" w:rsidP="0092271C">
      <w:pPr>
        <w:jc w:val="both"/>
        <w:rPr>
          <w:rFonts w:cs="Arial"/>
        </w:rPr>
      </w:pPr>
      <w:r>
        <w:rPr>
          <w:rFonts w:cs="Arial"/>
        </w:rPr>
        <w:t xml:space="preserve">The resulting RRR calculated is considered to provide sufficient revenue to enable the corporation to meet its cost of debt obligations, enable modest project expenditure upon research, innovation and regional development, as well as facilitate some additional debt repayment (in addition to that enabled by revenue from regulatory depreciation). </w:t>
      </w:r>
    </w:p>
    <w:p w14:paraId="733465BF" w14:textId="6B5C8C89" w:rsidR="006B6D72" w:rsidRDefault="00D808A8" w:rsidP="0092271C">
      <w:pPr>
        <w:jc w:val="both"/>
      </w:pPr>
      <w:r>
        <w:t xml:space="preserve">The 10-year term maturity rate received by the </w:t>
      </w:r>
      <w:r w:rsidR="00FE3FBD">
        <w:t>c</w:t>
      </w:r>
      <w:r>
        <w:t>orporation in June 2022 was 5.4% (inclusive of government imposed financial levies), and this rate is higher than the prescribed rate of 3.75% set by the ESC RRR model. As we expect</w:t>
      </w:r>
      <w:r w:rsidR="0010138B">
        <w:t xml:space="preserve"> </w:t>
      </w:r>
      <w:r>
        <w:t>this increase to interest rates will endure for much of the 2023-28 regulatory period, we anticipate an increase in RRR is likely to occur within the upcoming regulatory period. Should this occur, our revenue determination will increase</w:t>
      </w:r>
      <w:r w:rsidR="0010138B">
        <w:t xml:space="preserve"> at that time</w:t>
      </w:r>
      <w:r>
        <w:t>. The following analysis illustrates the sensitivities associated with the cost of debt assumption within the RRR proposal.</w:t>
      </w:r>
    </w:p>
    <w:p w14:paraId="07689920" w14:textId="633F3BAC" w:rsidR="00F26A03" w:rsidRDefault="00F26A03">
      <w:r>
        <w:br w:type="page"/>
      </w:r>
    </w:p>
    <w:p w14:paraId="7C212196" w14:textId="49413AD6" w:rsidR="00A34AA1" w:rsidRPr="00A34AA1" w:rsidRDefault="00A34AA1" w:rsidP="00A34AA1">
      <w:pPr>
        <w:pStyle w:val="Caption"/>
        <w:rPr>
          <w:rFonts w:cs="Arial"/>
          <w:b/>
          <w:bCs/>
          <w:i w:val="0"/>
          <w:iCs w:val="0"/>
          <w:color w:val="00B1B0" w:themeColor="accent1"/>
          <w:sz w:val="20"/>
          <w:szCs w:val="20"/>
        </w:rPr>
      </w:pPr>
      <w:r w:rsidRPr="00A34AA1">
        <w:rPr>
          <w:b/>
          <w:bCs/>
          <w:i w:val="0"/>
          <w:iCs w:val="0"/>
          <w:color w:val="00B1B0" w:themeColor="accent1"/>
          <w:sz w:val="20"/>
          <w:szCs w:val="20"/>
        </w:rPr>
        <w:t xml:space="preserve">Table </w:t>
      </w:r>
      <w:r w:rsidRPr="00A34AA1">
        <w:rPr>
          <w:b/>
          <w:bCs/>
          <w:i w:val="0"/>
          <w:iCs w:val="0"/>
          <w:color w:val="00B1B0" w:themeColor="accent1"/>
          <w:sz w:val="20"/>
          <w:szCs w:val="20"/>
        </w:rPr>
        <w:fldChar w:fldCharType="begin"/>
      </w:r>
      <w:r w:rsidRPr="00A34AA1">
        <w:rPr>
          <w:b/>
          <w:bCs/>
          <w:i w:val="0"/>
          <w:iCs w:val="0"/>
          <w:color w:val="00B1B0" w:themeColor="accent1"/>
          <w:sz w:val="20"/>
          <w:szCs w:val="20"/>
        </w:rPr>
        <w:instrText xml:space="preserve"> SEQ Table \* ARABIC </w:instrText>
      </w:r>
      <w:r w:rsidRPr="00A34AA1">
        <w:rPr>
          <w:b/>
          <w:bCs/>
          <w:i w:val="0"/>
          <w:iCs w:val="0"/>
          <w:color w:val="00B1B0" w:themeColor="accent1"/>
          <w:sz w:val="20"/>
          <w:szCs w:val="20"/>
        </w:rPr>
        <w:fldChar w:fldCharType="separate"/>
      </w:r>
      <w:r w:rsidR="008126A8">
        <w:rPr>
          <w:b/>
          <w:bCs/>
          <w:i w:val="0"/>
          <w:iCs w:val="0"/>
          <w:noProof/>
          <w:color w:val="00B1B0" w:themeColor="accent1"/>
          <w:sz w:val="20"/>
          <w:szCs w:val="20"/>
        </w:rPr>
        <w:t>22</w:t>
      </w:r>
      <w:r w:rsidRPr="00A34AA1">
        <w:rPr>
          <w:b/>
          <w:bCs/>
          <w:i w:val="0"/>
          <w:iCs w:val="0"/>
          <w:color w:val="00B1B0" w:themeColor="accent1"/>
          <w:sz w:val="20"/>
          <w:szCs w:val="20"/>
        </w:rPr>
        <w:fldChar w:fldCharType="end"/>
      </w:r>
      <w:r w:rsidRPr="00A34AA1">
        <w:rPr>
          <w:b/>
          <w:bCs/>
          <w:i w:val="0"/>
          <w:iCs w:val="0"/>
          <w:color w:val="00B1B0" w:themeColor="accent1"/>
          <w:sz w:val="20"/>
          <w:szCs w:val="20"/>
        </w:rPr>
        <w:t xml:space="preserve"> – Proposed revenue requirement</w:t>
      </w:r>
      <w:r w:rsidR="006A0153">
        <w:rPr>
          <w:b/>
          <w:bCs/>
          <w:i w:val="0"/>
          <w:iCs w:val="0"/>
          <w:color w:val="00B1B0" w:themeColor="accent1"/>
          <w:sz w:val="20"/>
          <w:szCs w:val="20"/>
        </w:rPr>
        <w:t xml:space="preserve"> </w:t>
      </w:r>
    </w:p>
    <w:tbl>
      <w:tblPr>
        <w:tblStyle w:val="ReportTable-TealColumns"/>
        <w:tblW w:w="9178" w:type="dxa"/>
        <w:tblLook w:val="04A0" w:firstRow="1" w:lastRow="0" w:firstColumn="1" w:lastColumn="0" w:noHBand="0" w:noVBand="1"/>
      </w:tblPr>
      <w:tblGrid>
        <w:gridCol w:w="3923"/>
        <w:gridCol w:w="1001"/>
        <w:gridCol w:w="994"/>
        <w:gridCol w:w="992"/>
        <w:gridCol w:w="1134"/>
        <w:gridCol w:w="1134"/>
      </w:tblGrid>
      <w:tr w:rsidR="006B6D72" w:rsidRPr="006B6D72" w14:paraId="071C6443" w14:textId="77777777" w:rsidTr="00FE3FBD">
        <w:trPr>
          <w:cnfStyle w:val="100000000000" w:firstRow="1" w:lastRow="0" w:firstColumn="0" w:lastColumn="0" w:oddVBand="0" w:evenVBand="0" w:oddHBand="0" w:evenHBand="0" w:firstRowFirstColumn="0" w:firstRowLastColumn="0" w:lastRowFirstColumn="0" w:lastRowLastColumn="0"/>
          <w:trHeight w:val="311"/>
        </w:trPr>
        <w:tc>
          <w:tcPr>
            <w:cnfStyle w:val="001000000000" w:firstRow="0" w:lastRow="0" w:firstColumn="1" w:lastColumn="0" w:oddVBand="0" w:evenVBand="0" w:oddHBand="0" w:evenHBand="0" w:firstRowFirstColumn="0" w:firstRowLastColumn="0" w:lastRowFirstColumn="0" w:lastRowLastColumn="0"/>
            <w:tcW w:w="3923" w:type="dxa"/>
            <w:noWrap/>
            <w:hideMark/>
          </w:tcPr>
          <w:p w14:paraId="375B1217" w14:textId="6D77C452" w:rsidR="006B6D72" w:rsidRPr="0092271C" w:rsidRDefault="006B6D72" w:rsidP="0092271C">
            <w:pPr>
              <w:spacing w:before="40" w:after="40"/>
              <w:jc w:val="right"/>
              <w:rPr>
                <w:rFonts w:eastAsia="Times New Roman" w:cs="Arial"/>
                <w:color w:val="FFFFFF"/>
                <w:sz w:val="20"/>
                <w:szCs w:val="20"/>
                <w:lang w:eastAsia="en-AU"/>
              </w:rPr>
            </w:pPr>
          </w:p>
        </w:tc>
        <w:tc>
          <w:tcPr>
            <w:tcW w:w="1001" w:type="dxa"/>
            <w:hideMark/>
          </w:tcPr>
          <w:p w14:paraId="7C244D0E" w14:textId="77777777" w:rsidR="006B6D72" w:rsidRPr="0092271C" w:rsidRDefault="006B6D72" w:rsidP="0092271C">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AU"/>
              </w:rPr>
            </w:pPr>
            <w:r w:rsidRPr="0092271C">
              <w:rPr>
                <w:rFonts w:eastAsia="Times New Roman" w:cs="Arial"/>
                <w:color w:val="FFFFFF"/>
                <w:sz w:val="20"/>
                <w:szCs w:val="20"/>
                <w:lang w:eastAsia="en-AU"/>
              </w:rPr>
              <w:t>2023-24</w:t>
            </w:r>
          </w:p>
        </w:tc>
        <w:tc>
          <w:tcPr>
            <w:tcW w:w="994" w:type="dxa"/>
            <w:hideMark/>
          </w:tcPr>
          <w:p w14:paraId="17AD1F7A" w14:textId="77777777" w:rsidR="006B6D72" w:rsidRPr="0092271C" w:rsidRDefault="006B6D72" w:rsidP="0092271C">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AU"/>
              </w:rPr>
            </w:pPr>
            <w:r w:rsidRPr="0092271C">
              <w:rPr>
                <w:rFonts w:eastAsia="Times New Roman" w:cs="Arial"/>
                <w:color w:val="FFFFFF"/>
                <w:sz w:val="20"/>
                <w:szCs w:val="20"/>
                <w:lang w:eastAsia="en-AU"/>
              </w:rPr>
              <w:t>2024-25</w:t>
            </w:r>
          </w:p>
        </w:tc>
        <w:tc>
          <w:tcPr>
            <w:tcW w:w="992" w:type="dxa"/>
            <w:hideMark/>
          </w:tcPr>
          <w:p w14:paraId="679D5BDE" w14:textId="77777777" w:rsidR="006B6D72" w:rsidRPr="0092271C" w:rsidRDefault="006B6D72" w:rsidP="0092271C">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AU"/>
              </w:rPr>
            </w:pPr>
            <w:r w:rsidRPr="0092271C">
              <w:rPr>
                <w:rFonts w:eastAsia="Times New Roman" w:cs="Arial"/>
                <w:color w:val="FFFFFF"/>
                <w:sz w:val="20"/>
                <w:szCs w:val="20"/>
                <w:lang w:eastAsia="en-AU"/>
              </w:rPr>
              <w:t>2025-26</w:t>
            </w:r>
          </w:p>
        </w:tc>
        <w:tc>
          <w:tcPr>
            <w:tcW w:w="1134" w:type="dxa"/>
            <w:hideMark/>
          </w:tcPr>
          <w:p w14:paraId="1ADA379B" w14:textId="77777777" w:rsidR="006B6D72" w:rsidRPr="0092271C" w:rsidRDefault="006B6D72" w:rsidP="0092271C">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AU"/>
              </w:rPr>
            </w:pPr>
            <w:r w:rsidRPr="0092271C">
              <w:rPr>
                <w:rFonts w:eastAsia="Times New Roman" w:cs="Arial"/>
                <w:color w:val="FFFFFF"/>
                <w:sz w:val="20"/>
                <w:szCs w:val="20"/>
                <w:lang w:eastAsia="en-AU"/>
              </w:rPr>
              <w:t>2026-27</w:t>
            </w:r>
          </w:p>
        </w:tc>
        <w:tc>
          <w:tcPr>
            <w:tcW w:w="1134" w:type="dxa"/>
            <w:hideMark/>
          </w:tcPr>
          <w:p w14:paraId="4093F4A0" w14:textId="77777777" w:rsidR="006B6D72" w:rsidRPr="0092271C" w:rsidRDefault="006B6D72" w:rsidP="0092271C">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AU"/>
              </w:rPr>
            </w:pPr>
            <w:r w:rsidRPr="0092271C">
              <w:rPr>
                <w:rFonts w:eastAsia="Times New Roman" w:cs="Arial"/>
                <w:color w:val="FFFFFF"/>
                <w:sz w:val="20"/>
                <w:szCs w:val="20"/>
                <w:lang w:eastAsia="en-AU"/>
              </w:rPr>
              <w:t>2027-28</w:t>
            </w:r>
          </w:p>
        </w:tc>
      </w:tr>
      <w:tr w:rsidR="006B6D72" w:rsidRPr="006B6D72" w14:paraId="1FB3C228" w14:textId="77777777">
        <w:trPr>
          <w:trHeight w:val="264"/>
        </w:trPr>
        <w:tc>
          <w:tcPr>
            <w:cnfStyle w:val="001000000000" w:firstRow="0" w:lastRow="0" w:firstColumn="1" w:lastColumn="0" w:oddVBand="0" w:evenVBand="0" w:oddHBand="0" w:evenHBand="0" w:firstRowFirstColumn="0" w:firstRowLastColumn="0" w:lastRowFirstColumn="0" w:lastRowLastColumn="0"/>
            <w:tcW w:w="3923" w:type="dxa"/>
            <w:noWrap/>
            <w:hideMark/>
          </w:tcPr>
          <w:p w14:paraId="79B24F8F" w14:textId="0C29390E" w:rsidR="006B6D72" w:rsidRPr="006B6D72" w:rsidRDefault="00FE3FBD" w:rsidP="0092271C">
            <w:pPr>
              <w:spacing w:before="40" w:after="40"/>
              <w:rPr>
                <w:rFonts w:eastAsia="Times New Roman" w:cs="Arial"/>
                <w:color w:val="000000"/>
                <w:szCs w:val="20"/>
                <w:lang w:eastAsia="en-AU"/>
              </w:rPr>
            </w:pPr>
            <w:r w:rsidRPr="006B6D72">
              <w:rPr>
                <w:rFonts w:eastAsia="Times New Roman" w:cs="Arial"/>
                <w:color w:val="000000"/>
                <w:szCs w:val="20"/>
                <w:lang w:eastAsia="en-AU"/>
              </w:rPr>
              <w:t>Proposed revenue requirement</w:t>
            </w:r>
            <w:r w:rsidR="006B6D72" w:rsidRPr="006B6D72">
              <w:rPr>
                <w:rFonts w:eastAsia="Times New Roman" w:cs="Arial"/>
                <w:color w:val="000000"/>
                <w:szCs w:val="20"/>
                <w:lang w:eastAsia="en-AU"/>
              </w:rPr>
              <w:t> </w:t>
            </w:r>
          </w:p>
        </w:tc>
        <w:tc>
          <w:tcPr>
            <w:tcW w:w="1001" w:type="dxa"/>
            <w:hideMark/>
          </w:tcPr>
          <w:p w14:paraId="35F95E61" w14:textId="43E752C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$34.</w:t>
            </w:r>
            <w:r w:rsidR="000237CC">
              <w:rPr>
                <w:rFonts w:eastAsia="Times New Roman" w:cs="Arial"/>
                <w:color w:val="000000"/>
                <w:szCs w:val="20"/>
                <w:lang w:eastAsia="en-AU"/>
              </w:rPr>
              <w:t>8</w:t>
            </w:r>
            <w:r w:rsidRPr="006B6D72">
              <w:rPr>
                <w:rFonts w:eastAsia="Times New Roman" w:cs="Arial"/>
                <w:color w:val="000000"/>
                <w:szCs w:val="20"/>
                <w:lang w:eastAsia="en-AU"/>
              </w:rPr>
              <w:t>m</w:t>
            </w:r>
          </w:p>
        </w:tc>
        <w:tc>
          <w:tcPr>
            <w:tcW w:w="994" w:type="dxa"/>
            <w:hideMark/>
          </w:tcPr>
          <w:p w14:paraId="3AA68C26" w14:textId="14B6EE5D"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$35.</w:t>
            </w:r>
            <w:r w:rsidR="000237CC">
              <w:rPr>
                <w:rFonts w:eastAsia="Times New Roman" w:cs="Arial"/>
                <w:color w:val="000000"/>
                <w:szCs w:val="20"/>
                <w:lang w:eastAsia="en-AU"/>
              </w:rPr>
              <w:t>7</w:t>
            </w:r>
            <w:r w:rsidRPr="006B6D72">
              <w:rPr>
                <w:rFonts w:eastAsia="Times New Roman" w:cs="Arial"/>
                <w:color w:val="000000"/>
                <w:szCs w:val="20"/>
                <w:lang w:eastAsia="en-AU"/>
              </w:rPr>
              <w:t>m</w:t>
            </w:r>
          </w:p>
        </w:tc>
        <w:tc>
          <w:tcPr>
            <w:tcW w:w="992" w:type="dxa"/>
            <w:hideMark/>
          </w:tcPr>
          <w:p w14:paraId="225B70A3" w14:textId="4CBFC054"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$34.</w:t>
            </w:r>
            <w:r w:rsidR="000237CC">
              <w:rPr>
                <w:rFonts w:eastAsia="Times New Roman" w:cs="Arial"/>
                <w:color w:val="000000"/>
                <w:szCs w:val="20"/>
                <w:lang w:eastAsia="en-AU"/>
              </w:rPr>
              <w:t>7</w:t>
            </w:r>
            <w:r w:rsidRPr="006B6D72">
              <w:rPr>
                <w:rFonts w:eastAsia="Times New Roman" w:cs="Arial"/>
                <w:color w:val="000000"/>
                <w:szCs w:val="20"/>
                <w:lang w:eastAsia="en-AU"/>
              </w:rPr>
              <w:t>m</w:t>
            </w:r>
          </w:p>
        </w:tc>
        <w:tc>
          <w:tcPr>
            <w:tcW w:w="1134" w:type="dxa"/>
            <w:hideMark/>
          </w:tcPr>
          <w:p w14:paraId="28FCE719" w14:textId="2FEFF42F"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w:t>
            </w:r>
            <w:r w:rsidR="00D35F0E">
              <w:rPr>
                <w:rFonts w:eastAsia="Times New Roman" w:cs="Arial"/>
                <w:color w:val="000000"/>
                <w:szCs w:val="20"/>
                <w:lang w:eastAsia="en-AU"/>
              </w:rPr>
              <w:t>6.0m</w:t>
            </w:r>
          </w:p>
        </w:tc>
        <w:tc>
          <w:tcPr>
            <w:tcW w:w="1134" w:type="dxa"/>
            <w:hideMark/>
          </w:tcPr>
          <w:p w14:paraId="093A614F" w14:textId="3BF7F014"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w:t>
            </w:r>
            <w:r w:rsidR="00D35F0E">
              <w:rPr>
                <w:rFonts w:eastAsia="Times New Roman" w:cs="Arial"/>
                <w:color w:val="000000"/>
                <w:szCs w:val="20"/>
                <w:lang w:eastAsia="en-AU"/>
              </w:rPr>
              <w:t>6</w:t>
            </w:r>
            <w:r w:rsidRPr="006B6D72">
              <w:rPr>
                <w:rFonts w:eastAsia="Times New Roman" w:cs="Arial"/>
                <w:color w:val="000000"/>
                <w:szCs w:val="20"/>
                <w:lang w:eastAsia="en-AU"/>
              </w:rPr>
              <w:t>.</w:t>
            </w:r>
            <w:r w:rsidR="00D35F0E">
              <w:rPr>
                <w:rFonts w:eastAsia="Times New Roman" w:cs="Arial"/>
                <w:color w:val="000000"/>
                <w:szCs w:val="20"/>
                <w:lang w:eastAsia="en-AU"/>
              </w:rPr>
              <w:t>0</w:t>
            </w:r>
            <w:r w:rsidRPr="006B6D72">
              <w:rPr>
                <w:rFonts w:eastAsia="Times New Roman" w:cs="Arial"/>
                <w:color w:val="000000"/>
                <w:szCs w:val="20"/>
                <w:lang w:eastAsia="en-AU"/>
              </w:rPr>
              <w:t>m</w:t>
            </w:r>
          </w:p>
        </w:tc>
      </w:tr>
      <w:tr w:rsidR="006B6D72" w:rsidRPr="006B6D72" w14:paraId="16C894EC" w14:textId="77777777" w:rsidTr="0016061F">
        <w:trPr>
          <w:trHeight w:val="264"/>
        </w:trPr>
        <w:tc>
          <w:tcPr>
            <w:cnfStyle w:val="001000000000" w:firstRow="0" w:lastRow="0" w:firstColumn="1" w:lastColumn="0" w:oddVBand="0" w:evenVBand="0" w:oddHBand="0" w:evenHBand="0" w:firstRowFirstColumn="0" w:firstRowLastColumn="0" w:lastRowFirstColumn="0" w:lastRowLastColumn="0"/>
            <w:tcW w:w="3923" w:type="dxa"/>
            <w:shd w:val="clear" w:color="auto" w:fill="F2F2F2" w:themeFill="background1" w:themeFillShade="F2"/>
            <w:noWrap/>
            <w:hideMark/>
          </w:tcPr>
          <w:p w14:paraId="5DE84D22" w14:textId="77777777" w:rsidR="006B6D72" w:rsidRPr="006B6D72" w:rsidRDefault="006B6D72" w:rsidP="0092271C">
            <w:pPr>
              <w:spacing w:before="40" w:after="40"/>
              <w:rPr>
                <w:rFonts w:eastAsia="Times New Roman" w:cs="Arial"/>
                <w:color w:val="000000"/>
                <w:szCs w:val="20"/>
                <w:lang w:eastAsia="en-AU"/>
              </w:rPr>
            </w:pPr>
            <w:r w:rsidRPr="006B6D72">
              <w:rPr>
                <w:rFonts w:eastAsia="Times New Roman" w:cs="Arial"/>
                <w:color w:val="000000"/>
                <w:szCs w:val="20"/>
                <w:lang w:eastAsia="en-AU"/>
              </w:rPr>
              <w:t>Revenue requirement: 2022-23 cost of debt continues</w:t>
            </w:r>
          </w:p>
        </w:tc>
        <w:tc>
          <w:tcPr>
            <w:tcW w:w="1001" w:type="dxa"/>
            <w:shd w:val="clear" w:color="auto" w:fill="F2F2F2" w:themeFill="background1" w:themeFillShade="F2"/>
            <w:hideMark/>
          </w:tcPr>
          <w:p w14:paraId="4EC48ECB" w14:textId="7C349EDB"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$34.</w:t>
            </w:r>
            <w:r w:rsidR="00D35F0E">
              <w:rPr>
                <w:rFonts w:eastAsia="Times New Roman" w:cs="Arial"/>
                <w:color w:val="000000"/>
                <w:szCs w:val="20"/>
                <w:lang w:eastAsia="en-AU"/>
              </w:rPr>
              <w:t>9</w:t>
            </w:r>
            <w:r w:rsidRPr="006B6D72">
              <w:rPr>
                <w:rFonts w:eastAsia="Times New Roman" w:cs="Arial"/>
                <w:color w:val="000000"/>
                <w:szCs w:val="20"/>
                <w:lang w:eastAsia="en-AU"/>
              </w:rPr>
              <w:t>m</w:t>
            </w:r>
          </w:p>
        </w:tc>
        <w:tc>
          <w:tcPr>
            <w:tcW w:w="994" w:type="dxa"/>
            <w:shd w:val="clear" w:color="auto" w:fill="F2F2F2" w:themeFill="background1" w:themeFillShade="F2"/>
            <w:hideMark/>
          </w:tcPr>
          <w:p w14:paraId="65A6DE95" w14:textId="606692DE"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w:t>
            </w:r>
            <w:r w:rsidR="00453A40">
              <w:rPr>
                <w:rFonts w:eastAsia="Times New Roman" w:cs="Arial"/>
                <w:color w:val="000000"/>
                <w:szCs w:val="20"/>
                <w:lang w:eastAsia="en-AU"/>
              </w:rPr>
              <w:t>6</w:t>
            </w:r>
            <w:r w:rsidRPr="006B6D72">
              <w:rPr>
                <w:rFonts w:eastAsia="Times New Roman" w:cs="Arial"/>
                <w:color w:val="000000"/>
                <w:szCs w:val="20"/>
                <w:lang w:eastAsia="en-AU"/>
              </w:rPr>
              <w:t>.</w:t>
            </w:r>
            <w:r w:rsidR="00453A40">
              <w:rPr>
                <w:rFonts w:eastAsia="Times New Roman" w:cs="Arial"/>
                <w:color w:val="000000"/>
                <w:szCs w:val="20"/>
                <w:lang w:eastAsia="en-AU"/>
              </w:rPr>
              <w:t>0</w:t>
            </w:r>
            <w:r w:rsidRPr="006B6D72">
              <w:rPr>
                <w:rFonts w:eastAsia="Times New Roman" w:cs="Arial"/>
                <w:color w:val="000000"/>
                <w:szCs w:val="20"/>
                <w:lang w:eastAsia="en-AU"/>
              </w:rPr>
              <w:t>m</w:t>
            </w:r>
          </w:p>
        </w:tc>
        <w:tc>
          <w:tcPr>
            <w:tcW w:w="992" w:type="dxa"/>
            <w:shd w:val="clear" w:color="auto" w:fill="F2F2F2" w:themeFill="background1" w:themeFillShade="F2"/>
            <w:hideMark/>
          </w:tcPr>
          <w:p w14:paraId="4DB5D5FE" w14:textId="2F0B2E0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$35.</w:t>
            </w:r>
            <w:r w:rsidR="00453A40">
              <w:rPr>
                <w:rFonts w:eastAsia="Times New Roman" w:cs="Arial"/>
                <w:color w:val="000000"/>
                <w:szCs w:val="20"/>
                <w:lang w:eastAsia="en-AU"/>
              </w:rPr>
              <w:t>2</w:t>
            </w:r>
            <w:r w:rsidRPr="006B6D72">
              <w:rPr>
                <w:rFonts w:eastAsia="Times New Roman" w:cs="Arial"/>
                <w:color w:val="000000"/>
                <w:szCs w:val="20"/>
                <w:lang w:eastAsia="en-AU"/>
              </w:rPr>
              <w:t>m</w:t>
            </w:r>
          </w:p>
        </w:tc>
        <w:tc>
          <w:tcPr>
            <w:tcW w:w="1134" w:type="dxa"/>
            <w:shd w:val="clear" w:color="auto" w:fill="F2F2F2" w:themeFill="background1" w:themeFillShade="F2"/>
            <w:hideMark/>
          </w:tcPr>
          <w:p w14:paraId="53DF3F46" w14:textId="7F6E4B46"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$36.</w:t>
            </w:r>
            <w:r w:rsidR="00453A40">
              <w:rPr>
                <w:rFonts w:eastAsia="Times New Roman" w:cs="Arial"/>
                <w:color w:val="000000"/>
                <w:szCs w:val="20"/>
                <w:lang w:eastAsia="en-AU"/>
              </w:rPr>
              <w:t>7</w:t>
            </w:r>
            <w:r w:rsidRPr="006B6D72">
              <w:rPr>
                <w:rFonts w:eastAsia="Times New Roman" w:cs="Arial"/>
                <w:color w:val="000000"/>
                <w:szCs w:val="20"/>
                <w:lang w:eastAsia="en-AU"/>
              </w:rPr>
              <w:t>m</w:t>
            </w:r>
          </w:p>
        </w:tc>
        <w:tc>
          <w:tcPr>
            <w:tcW w:w="1134" w:type="dxa"/>
            <w:shd w:val="clear" w:color="auto" w:fill="F2F2F2" w:themeFill="background1" w:themeFillShade="F2"/>
            <w:hideMark/>
          </w:tcPr>
          <w:p w14:paraId="368B3DA4" w14:textId="5EAF2A8C"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$36.</w:t>
            </w:r>
            <w:r w:rsidR="00453A40">
              <w:rPr>
                <w:rFonts w:eastAsia="Times New Roman" w:cs="Arial"/>
                <w:color w:val="000000"/>
                <w:szCs w:val="20"/>
                <w:lang w:eastAsia="en-AU"/>
              </w:rPr>
              <w:t>9</w:t>
            </w:r>
            <w:r w:rsidRPr="006B6D72">
              <w:rPr>
                <w:rFonts w:eastAsia="Times New Roman" w:cs="Arial"/>
                <w:color w:val="000000"/>
                <w:szCs w:val="20"/>
                <w:lang w:eastAsia="en-AU"/>
              </w:rPr>
              <w:t>m</w:t>
            </w:r>
          </w:p>
        </w:tc>
      </w:tr>
      <w:tr w:rsidR="006B6D72" w:rsidRPr="006B6D72" w14:paraId="36999C8C" w14:textId="77777777" w:rsidTr="00FE3FBD">
        <w:trPr>
          <w:trHeight w:val="264"/>
        </w:trPr>
        <w:tc>
          <w:tcPr>
            <w:cnfStyle w:val="001000000000" w:firstRow="0" w:lastRow="0" w:firstColumn="1" w:lastColumn="0" w:oddVBand="0" w:evenVBand="0" w:oddHBand="0" w:evenHBand="0" w:firstRowFirstColumn="0" w:firstRowLastColumn="0" w:lastRowFirstColumn="0" w:lastRowLastColumn="0"/>
            <w:tcW w:w="3923" w:type="dxa"/>
            <w:noWrap/>
            <w:hideMark/>
          </w:tcPr>
          <w:p w14:paraId="2805DB22" w14:textId="77777777" w:rsidR="006B6D72" w:rsidRPr="006B6D72" w:rsidRDefault="006B6D72" w:rsidP="0092271C">
            <w:pPr>
              <w:spacing w:before="40" w:after="40"/>
              <w:rPr>
                <w:rFonts w:eastAsia="Times New Roman" w:cs="Arial"/>
                <w:color w:val="000000"/>
                <w:szCs w:val="20"/>
                <w:lang w:eastAsia="en-AU"/>
              </w:rPr>
            </w:pPr>
            <w:r w:rsidRPr="006B6D72">
              <w:rPr>
                <w:rFonts w:eastAsia="Times New Roman" w:cs="Arial"/>
                <w:color w:val="000000"/>
                <w:szCs w:val="20"/>
                <w:lang w:eastAsia="en-AU"/>
              </w:rPr>
              <w:t>Increase on proposed revenue requirement</w:t>
            </w:r>
          </w:p>
        </w:tc>
        <w:tc>
          <w:tcPr>
            <w:tcW w:w="1001" w:type="dxa"/>
            <w:hideMark/>
          </w:tcPr>
          <w:p w14:paraId="39D67FA3"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0.4%</w:t>
            </w:r>
          </w:p>
        </w:tc>
        <w:tc>
          <w:tcPr>
            <w:tcW w:w="994" w:type="dxa"/>
            <w:hideMark/>
          </w:tcPr>
          <w:p w14:paraId="74EB55AC"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0.9%</w:t>
            </w:r>
          </w:p>
        </w:tc>
        <w:tc>
          <w:tcPr>
            <w:tcW w:w="992" w:type="dxa"/>
            <w:hideMark/>
          </w:tcPr>
          <w:p w14:paraId="03428FF0"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1.5%</w:t>
            </w:r>
          </w:p>
        </w:tc>
        <w:tc>
          <w:tcPr>
            <w:tcW w:w="1134" w:type="dxa"/>
            <w:hideMark/>
          </w:tcPr>
          <w:p w14:paraId="2B98A5C2"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2.0%</w:t>
            </w:r>
          </w:p>
        </w:tc>
        <w:tc>
          <w:tcPr>
            <w:tcW w:w="1134" w:type="dxa"/>
            <w:hideMark/>
          </w:tcPr>
          <w:p w14:paraId="1A1BC678"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2.6%</w:t>
            </w:r>
          </w:p>
        </w:tc>
      </w:tr>
      <w:tr w:rsidR="006B6D72" w:rsidRPr="006B6D72" w14:paraId="419B1A20" w14:textId="77777777" w:rsidTr="0016061F">
        <w:trPr>
          <w:trHeight w:val="264"/>
        </w:trPr>
        <w:tc>
          <w:tcPr>
            <w:cnfStyle w:val="001000000000" w:firstRow="0" w:lastRow="0" w:firstColumn="1" w:lastColumn="0" w:oddVBand="0" w:evenVBand="0" w:oddHBand="0" w:evenHBand="0" w:firstRowFirstColumn="0" w:firstRowLastColumn="0" w:lastRowFirstColumn="0" w:lastRowLastColumn="0"/>
            <w:tcW w:w="3923" w:type="dxa"/>
            <w:tcBorders>
              <w:bottom w:val="single" w:sz="4" w:space="0" w:color="D9D9D9" w:themeColor="background1" w:themeShade="D9"/>
            </w:tcBorders>
            <w:shd w:val="clear" w:color="auto" w:fill="F2F2F2" w:themeFill="background1" w:themeFillShade="F2"/>
            <w:noWrap/>
            <w:hideMark/>
          </w:tcPr>
          <w:p w14:paraId="057A296F" w14:textId="77777777" w:rsidR="006B6D72" w:rsidRPr="006B6D72" w:rsidRDefault="006B6D72" w:rsidP="0092271C">
            <w:pPr>
              <w:spacing w:before="40" w:after="40"/>
              <w:rPr>
                <w:rFonts w:eastAsia="Times New Roman" w:cs="Arial"/>
                <w:color w:val="000000"/>
                <w:szCs w:val="20"/>
                <w:lang w:eastAsia="en-AU"/>
              </w:rPr>
            </w:pPr>
            <w:r w:rsidRPr="006B6D72">
              <w:rPr>
                <w:rFonts w:eastAsia="Times New Roman" w:cs="Arial"/>
                <w:color w:val="000000"/>
                <w:szCs w:val="20"/>
                <w:lang w:eastAsia="en-AU"/>
              </w:rPr>
              <w:t>Revenue requirement: 2022-23 cost of debt plus 1%</w:t>
            </w:r>
          </w:p>
        </w:tc>
        <w:tc>
          <w:tcPr>
            <w:tcW w:w="1001" w:type="dxa"/>
            <w:tcBorders>
              <w:bottom w:val="single" w:sz="4" w:space="0" w:color="D9D9D9" w:themeColor="background1" w:themeShade="D9"/>
            </w:tcBorders>
            <w:shd w:val="clear" w:color="auto" w:fill="F2F2F2" w:themeFill="background1" w:themeFillShade="F2"/>
            <w:hideMark/>
          </w:tcPr>
          <w:p w14:paraId="63E878E9" w14:textId="1660B51B"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$34.</w:t>
            </w:r>
            <w:r w:rsidR="00F37352">
              <w:rPr>
                <w:rFonts w:eastAsia="Times New Roman" w:cs="Arial"/>
                <w:color w:val="000000"/>
                <w:szCs w:val="20"/>
                <w:lang w:eastAsia="en-AU"/>
              </w:rPr>
              <w:t>9</w:t>
            </w:r>
            <w:r w:rsidRPr="006B6D72">
              <w:rPr>
                <w:rFonts w:eastAsia="Times New Roman" w:cs="Arial"/>
                <w:color w:val="000000"/>
                <w:szCs w:val="20"/>
                <w:lang w:eastAsia="en-AU"/>
              </w:rPr>
              <w:t>m</w:t>
            </w:r>
          </w:p>
        </w:tc>
        <w:tc>
          <w:tcPr>
            <w:tcW w:w="994" w:type="dxa"/>
            <w:tcBorders>
              <w:bottom w:val="single" w:sz="4" w:space="0" w:color="D9D9D9" w:themeColor="background1" w:themeShade="D9"/>
            </w:tcBorders>
            <w:shd w:val="clear" w:color="auto" w:fill="F2F2F2" w:themeFill="background1" w:themeFillShade="F2"/>
            <w:hideMark/>
          </w:tcPr>
          <w:p w14:paraId="68736818" w14:textId="72E4B659"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$36.</w:t>
            </w:r>
            <w:r w:rsidR="00F37352">
              <w:rPr>
                <w:rFonts w:eastAsia="Times New Roman" w:cs="Arial"/>
                <w:color w:val="000000"/>
                <w:szCs w:val="20"/>
                <w:lang w:eastAsia="en-AU"/>
              </w:rPr>
              <w:t>1</w:t>
            </w:r>
            <w:r w:rsidRPr="006B6D72">
              <w:rPr>
                <w:rFonts w:eastAsia="Times New Roman" w:cs="Arial"/>
                <w:color w:val="000000"/>
                <w:szCs w:val="20"/>
                <w:lang w:eastAsia="en-AU"/>
              </w:rPr>
              <w:t>m</w:t>
            </w:r>
          </w:p>
        </w:tc>
        <w:tc>
          <w:tcPr>
            <w:tcW w:w="992" w:type="dxa"/>
            <w:tcBorders>
              <w:bottom w:val="single" w:sz="4" w:space="0" w:color="D9D9D9" w:themeColor="background1" w:themeShade="D9"/>
            </w:tcBorders>
            <w:shd w:val="clear" w:color="auto" w:fill="F2F2F2" w:themeFill="background1" w:themeFillShade="F2"/>
            <w:hideMark/>
          </w:tcPr>
          <w:p w14:paraId="2E6D5EAD"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$35.3m</w:t>
            </w:r>
          </w:p>
        </w:tc>
        <w:tc>
          <w:tcPr>
            <w:tcW w:w="1134" w:type="dxa"/>
            <w:tcBorders>
              <w:bottom w:val="single" w:sz="4" w:space="0" w:color="D9D9D9" w:themeColor="background1" w:themeShade="D9"/>
            </w:tcBorders>
            <w:shd w:val="clear" w:color="auto" w:fill="F2F2F2" w:themeFill="background1" w:themeFillShade="F2"/>
            <w:hideMark/>
          </w:tcPr>
          <w:p w14:paraId="34D5D349" w14:textId="6FE0EDDE"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w:t>
            </w:r>
            <w:r w:rsidR="00F37352">
              <w:rPr>
                <w:rFonts w:eastAsia="Times New Roman" w:cs="Arial"/>
                <w:color w:val="000000"/>
                <w:szCs w:val="20"/>
                <w:lang w:eastAsia="en-AU"/>
              </w:rPr>
              <w:t>7</w:t>
            </w:r>
            <w:r w:rsidRPr="006B6D72">
              <w:rPr>
                <w:rFonts w:eastAsia="Times New Roman" w:cs="Arial"/>
                <w:color w:val="000000"/>
                <w:szCs w:val="20"/>
                <w:lang w:eastAsia="en-AU"/>
              </w:rPr>
              <w:t>.</w:t>
            </w:r>
            <w:r w:rsidR="00F37352">
              <w:rPr>
                <w:rFonts w:eastAsia="Times New Roman" w:cs="Arial"/>
                <w:color w:val="000000"/>
                <w:szCs w:val="20"/>
                <w:lang w:eastAsia="en-AU"/>
              </w:rPr>
              <w:t>0</w:t>
            </w:r>
            <w:r w:rsidRPr="006B6D72">
              <w:rPr>
                <w:rFonts w:eastAsia="Times New Roman" w:cs="Arial"/>
                <w:color w:val="000000"/>
                <w:szCs w:val="20"/>
                <w:lang w:eastAsia="en-AU"/>
              </w:rPr>
              <w:t>m</w:t>
            </w:r>
          </w:p>
        </w:tc>
        <w:tc>
          <w:tcPr>
            <w:tcW w:w="1134" w:type="dxa"/>
            <w:tcBorders>
              <w:bottom w:val="single" w:sz="4" w:space="0" w:color="D9D9D9" w:themeColor="background1" w:themeShade="D9"/>
            </w:tcBorders>
            <w:shd w:val="clear" w:color="auto" w:fill="F2F2F2" w:themeFill="background1" w:themeFillShade="F2"/>
            <w:hideMark/>
          </w:tcPr>
          <w:p w14:paraId="0A177974" w14:textId="11233754"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$37.</w:t>
            </w:r>
            <w:r w:rsidR="00F37352">
              <w:rPr>
                <w:rFonts w:eastAsia="Times New Roman" w:cs="Arial"/>
                <w:color w:val="000000"/>
                <w:szCs w:val="20"/>
                <w:lang w:eastAsia="en-AU"/>
              </w:rPr>
              <w:t>3</w:t>
            </w:r>
            <w:r w:rsidRPr="006B6D72">
              <w:rPr>
                <w:rFonts w:eastAsia="Times New Roman" w:cs="Arial"/>
                <w:color w:val="000000"/>
                <w:szCs w:val="20"/>
                <w:lang w:eastAsia="en-AU"/>
              </w:rPr>
              <w:t>m</w:t>
            </w:r>
          </w:p>
        </w:tc>
      </w:tr>
      <w:tr w:rsidR="006B6D72" w:rsidRPr="006B6D72" w14:paraId="0E2E6950" w14:textId="77777777" w:rsidTr="0016061F">
        <w:trPr>
          <w:trHeight w:val="264"/>
        </w:trPr>
        <w:tc>
          <w:tcPr>
            <w:cnfStyle w:val="001000000000" w:firstRow="0" w:lastRow="0" w:firstColumn="1" w:lastColumn="0" w:oddVBand="0" w:evenVBand="0" w:oddHBand="0" w:evenHBand="0" w:firstRowFirstColumn="0" w:firstRowLastColumn="0" w:lastRowFirstColumn="0" w:lastRowLastColumn="0"/>
            <w:tcW w:w="3923" w:type="dxa"/>
            <w:tcBorders>
              <w:top w:val="single" w:sz="4" w:space="0" w:color="D9D9D9" w:themeColor="background1" w:themeShade="D9"/>
              <w:bottom w:val="single" w:sz="4" w:space="0" w:color="auto"/>
            </w:tcBorders>
            <w:noWrap/>
            <w:hideMark/>
          </w:tcPr>
          <w:p w14:paraId="7646264C" w14:textId="77777777" w:rsidR="006B6D72" w:rsidRPr="006B6D72" w:rsidRDefault="006B6D72" w:rsidP="0092271C">
            <w:pPr>
              <w:spacing w:before="40" w:after="40"/>
              <w:rPr>
                <w:rFonts w:eastAsia="Times New Roman" w:cs="Arial"/>
                <w:color w:val="000000"/>
                <w:szCs w:val="20"/>
                <w:lang w:eastAsia="en-AU"/>
              </w:rPr>
            </w:pPr>
            <w:r w:rsidRPr="006B6D72">
              <w:rPr>
                <w:rFonts w:eastAsia="Times New Roman" w:cs="Arial"/>
                <w:color w:val="000000"/>
                <w:szCs w:val="20"/>
                <w:lang w:eastAsia="en-AU"/>
              </w:rPr>
              <w:t>Increase on proposed revenue requirement</w:t>
            </w:r>
          </w:p>
        </w:tc>
        <w:tc>
          <w:tcPr>
            <w:tcW w:w="1001" w:type="dxa"/>
            <w:tcBorders>
              <w:top w:val="single" w:sz="4" w:space="0" w:color="D9D9D9" w:themeColor="background1" w:themeShade="D9"/>
              <w:bottom w:val="single" w:sz="4" w:space="0" w:color="auto"/>
            </w:tcBorders>
            <w:hideMark/>
          </w:tcPr>
          <w:p w14:paraId="116EBAA9"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0.4%</w:t>
            </w:r>
          </w:p>
        </w:tc>
        <w:tc>
          <w:tcPr>
            <w:tcW w:w="994" w:type="dxa"/>
            <w:tcBorders>
              <w:top w:val="single" w:sz="4" w:space="0" w:color="D9D9D9" w:themeColor="background1" w:themeShade="D9"/>
              <w:bottom w:val="single" w:sz="4" w:space="0" w:color="auto"/>
            </w:tcBorders>
            <w:hideMark/>
          </w:tcPr>
          <w:p w14:paraId="5FFBB125"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1.1%</w:t>
            </w:r>
          </w:p>
        </w:tc>
        <w:tc>
          <w:tcPr>
            <w:tcW w:w="992" w:type="dxa"/>
            <w:tcBorders>
              <w:top w:val="single" w:sz="4" w:space="0" w:color="D9D9D9" w:themeColor="background1" w:themeShade="D9"/>
              <w:bottom w:val="single" w:sz="4" w:space="0" w:color="auto"/>
            </w:tcBorders>
            <w:hideMark/>
          </w:tcPr>
          <w:p w14:paraId="55C7CAC8"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2.0%</w:t>
            </w:r>
          </w:p>
        </w:tc>
        <w:tc>
          <w:tcPr>
            <w:tcW w:w="1134" w:type="dxa"/>
            <w:tcBorders>
              <w:top w:val="single" w:sz="4" w:space="0" w:color="D9D9D9" w:themeColor="background1" w:themeShade="D9"/>
              <w:bottom w:val="single" w:sz="4" w:space="0" w:color="auto"/>
            </w:tcBorders>
            <w:hideMark/>
          </w:tcPr>
          <w:p w14:paraId="6CBB3B89"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2.7%</w:t>
            </w:r>
          </w:p>
        </w:tc>
        <w:tc>
          <w:tcPr>
            <w:tcW w:w="1134" w:type="dxa"/>
            <w:tcBorders>
              <w:top w:val="single" w:sz="4" w:space="0" w:color="D9D9D9" w:themeColor="background1" w:themeShade="D9"/>
              <w:bottom w:val="single" w:sz="4" w:space="0" w:color="auto"/>
            </w:tcBorders>
            <w:hideMark/>
          </w:tcPr>
          <w:p w14:paraId="65E7F1A6" w14:textId="77777777" w:rsidR="006B6D72" w:rsidRPr="006B6D72" w:rsidRDefault="006B6D72"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color w:val="000000"/>
                <w:szCs w:val="20"/>
                <w:lang w:eastAsia="en-AU"/>
              </w:rPr>
            </w:pPr>
            <w:r w:rsidRPr="006B6D72">
              <w:rPr>
                <w:rFonts w:eastAsia="Times New Roman" w:cs="Arial"/>
                <w:color w:val="000000"/>
                <w:szCs w:val="20"/>
                <w:lang w:eastAsia="en-AU"/>
              </w:rPr>
              <w:t>3.6%</w:t>
            </w:r>
          </w:p>
        </w:tc>
      </w:tr>
    </w:tbl>
    <w:p w14:paraId="77D255BF" w14:textId="77777777" w:rsidR="00494C88" w:rsidRDefault="00494C88" w:rsidP="00812E41">
      <w:pPr>
        <w:pStyle w:val="Heading3"/>
        <w:rPr>
          <w:rFonts w:cs="Arial"/>
        </w:rPr>
      </w:pPr>
      <w:r w:rsidRPr="00812E41">
        <w:rPr>
          <w:iCs/>
        </w:rPr>
        <w:t xml:space="preserve">Regulatory </w:t>
      </w:r>
      <w:r w:rsidRPr="00192F41">
        <w:rPr>
          <w:rFonts w:cs="Arial"/>
        </w:rPr>
        <w:t>depreciation</w:t>
      </w:r>
    </w:p>
    <w:p w14:paraId="4C9A06B3" w14:textId="64ADCF34" w:rsidR="00494C88" w:rsidRPr="00FE3FBD" w:rsidRDefault="00494C88" w:rsidP="0092271C">
      <w:pPr>
        <w:jc w:val="both"/>
      </w:pPr>
      <w:r w:rsidRPr="00FE3FBD">
        <w:t xml:space="preserve">We have used </w:t>
      </w:r>
      <w:r w:rsidR="00D33600" w:rsidRPr="00FE3FBD">
        <w:t xml:space="preserve">a straight-line depreciation profile which utilises </w:t>
      </w:r>
      <w:r w:rsidRPr="00FE3FBD">
        <w:t>the following asset lives for</w:t>
      </w:r>
      <w:r w:rsidR="00D33600" w:rsidRPr="00FE3FBD">
        <w:t xml:space="preserve"> the calculation of a return of capital expenditure (</w:t>
      </w:r>
      <w:r w:rsidRPr="00FE3FBD">
        <w:t>regulatory depreciation</w:t>
      </w:r>
      <w:r w:rsidR="00D33600" w:rsidRPr="00FE3FBD">
        <w:t>) within our proposed revenue requirement:</w:t>
      </w:r>
    </w:p>
    <w:p w14:paraId="4BFFD180" w14:textId="12B391DB" w:rsidR="00494C88" w:rsidRPr="00C01867" w:rsidRDefault="00C01867" w:rsidP="00C01867">
      <w:pPr>
        <w:pStyle w:val="Caption"/>
        <w:rPr>
          <w:rStyle w:val="IntenseReference"/>
          <w:rFonts w:cs="Arial"/>
          <w:b w:val="0"/>
          <w:bCs w:val="0"/>
          <w:i w:val="0"/>
          <w:iCs w:val="0"/>
          <w:color w:val="00B1B0" w:themeColor="accent1"/>
          <w:sz w:val="20"/>
          <w:szCs w:val="20"/>
          <w:u w:val="single"/>
        </w:rPr>
      </w:pPr>
      <w:r w:rsidRPr="00C01867">
        <w:rPr>
          <w:b/>
          <w:bCs/>
          <w:i w:val="0"/>
          <w:iCs w:val="0"/>
          <w:color w:val="00B1B0" w:themeColor="accent1"/>
          <w:sz w:val="20"/>
          <w:szCs w:val="20"/>
        </w:rPr>
        <w:t xml:space="preserve">Table </w:t>
      </w:r>
      <w:r w:rsidRPr="00C01867">
        <w:rPr>
          <w:b/>
          <w:bCs/>
          <w:i w:val="0"/>
          <w:iCs w:val="0"/>
          <w:color w:val="00B1B0" w:themeColor="accent1"/>
          <w:sz w:val="20"/>
          <w:szCs w:val="20"/>
        </w:rPr>
        <w:fldChar w:fldCharType="begin"/>
      </w:r>
      <w:r w:rsidRPr="00C01867">
        <w:rPr>
          <w:b/>
          <w:bCs/>
          <w:i w:val="0"/>
          <w:iCs w:val="0"/>
          <w:color w:val="00B1B0" w:themeColor="accent1"/>
          <w:sz w:val="20"/>
          <w:szCs w:val="20"/>
        </w:rPr>
        <w:instrText xml:space="preserve"> SEQ Table \* ARABIC </w:instrText>
      </w:r>
      <w:r w:rsidRPr="00C01867">
        <w:rPr>
          <w:b/>
          <w:bCs/>
          <w:i w:val="0"/>
          <w:iCs w:val="0"/>
          <w:color w:val="00B1B0" w:themeColor="accent1"/>
          <w:sz w:val="20"/>
          <w:szCs w:val="20"/>
        </w:rPr>
        <w:fldChar w:fldCharType="separate"/>
      </w:r>
      <w:r w:rsidR="008126A8">
        <w:rPr>
          <w:b/>
          <w:bCs/>
          <w:i w:val="0"/>
          <w:iCs w:val="0"/>
          <w:noProof/>
          <w:color w:val="00B1B0" w:themeColor="accent1"/>
          <w:sz w:val="20"/>
          <w:szCs w:val="20"/>
        </w:rPr>
        <w:t>23</w:t>
      </w:r>
      <w:r w:rsidRPr="00C01867">
        <w:rPr>
          <w:b/>
          <w:bCs/>
          <w:i w:val="0"/>
          <w:iCs w:val="0"/>
          <w:color w:val="00B1B0" w:themeColor="accent1"/>
          <w:sz w:val="20"/>
          <w:szCs w:val="20"/>
        </w:rPr>
        <w:fldChar w:fldCharType="end"/>
      </w:r>
      <w:r w:rsidRPr="00C01867">
        <w:rPr>
          <w:b/>
          <w:bCs/>
          <w:i w:val="0"/>
          <w:iCs w:val="0"/>
          <w:color w:val="00B1B0" w:themeColor="accent1"/>
          <w:sz w:val="20"/>
          <w:szCs w:val="20"/>
        </w:rPr>
        <w:t xml:space="preserve"> </w:t>
      </w:r>
      <w:r w:rsidR="0092271C">
        <w:rPr>
          <w:b/>
          <w:bCs/>
          <w:i w:val="0"/>
          <w:iCs w:val="0"/>
          <w:color w:val="00B1B0" w:themeColor="accent1"/>
          <w:sz w:val="20"/>
          <w:szCs w:val="20"/>
        </w:rPr>
        <w:t>–</w:t>
      </w:r>
      <w:r w:rsidRPr="00C01867">
        <w:rPr>
          <w:b/>
          <w:bCs/>
          <w:i w:val="0"/>
          <w:iCs w:val="0"/>
          <w:color w:val="00B1B0" w:themeColor="accent1"/>
          <w:sz w:val="20"/>
          <w:szCs w:val="20"/>
        </w:rPr>
        <w:t xml:space="preserve"> </w:t>
      </w:r>
      <w:r w:rsidR="00494C88" w:rsidRPr="00C01867">
        <w:rPr>
          <w:b/>
          <w:bCs/>
          <w:i w:val="0"/>
          <w:iCs w:val="0"/>
          <w:color w:val="00B1B0" w:themeColor="accent1"/>
          <w:sz w:val="20"/>
          <w:szCs w:val="20"/>
        </w:rPr>
        <w:t>Asset depreciation</w:t>
      </w:r>
    </w:p>
    <w:tbl>
      <w:tblPr>
        <w:tblStyle w:val="ReportTable-TealRows2"/>
        <w:tblW w:w="6946" w:type="dxa"/>
        <w:tblLook w:val="04A0" w:firstRow="1" w:lastRow="0" w:firstColumn="1" w:lastColumn="0" w:noHBand="0" w:noVBand="1"/>
      </w:tblPr>
      <w:tblGrid>
        <w:gridCol w:w="5670"/>
        <w:gridCol w:w="1276"/>
      </w:tblGrid>
      <w:tr w:rsidR="00494C88" w:rsidRPr="0092271C" w14:paraId="65E0C897" w14:textId="77777777" w:rsidTr="00DE13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vAlign w:val="top"/>
          </w:tcPr>
          <w:p w14:paraId="3014F87D" w14:textId="77777777" w:rsidR="00494C88" w:rsidRPr="0092271C" w:rsidRDefault="00494C88" w:rsidP="0092271C">
            <w:pPr>
              <w:spacing w:before="40" w:after="40"/>
              <w:rPr>
                <w:sz w:val="20"/>
                <w:szCs w:val="20"/>
                <w:shd w:val="clear" w:color="auto" w:fill="FAF9F8"/>
              </w:rPr>
            </w:pPr>
            <w:r w:rsidRPr="0092271C">
              <w:rPr>
                <w:sz w:val="20"/>
                <w:szCs w:val="20"/>
              </w:rPr>
              <w:t>Asset</w:t>
            </w:r>
          </w:p>
        </w:tc>
        <w:tc>
          <w:tcPr>
            <w:tcW w:w="1276" w:type="dxa"/>
          </w:tcPr>
          <w:p w14:paraId="2F8D96D9" w14:textId="77777777" w:rsidR="00494C88" w:rsidRPr="0092271C" w:rsidRDefault="00494C88" w:rsidP="0092271C">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shd w:val="clear" w:color="auto" w:fill="FAF9F8"/>
              </w:rPr>
            </w:pPr>
            <w:r w:rsidRPr="0092271C">
              <w:rPr>
                <w:sz w:val="20"/>
                <w:szCs w:val="20"/>
              </w:rPr>
              <w:t>Years</w:t>
            </w:r>
          </w:p>
        </w:tc>
      </w:tr>
      <w:tr w:rsidR="00F60505" w:rsidRPr="00192F41" w14:paraId="372DE671" w14:textId="77777777" w:rsidTr="00DE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vAlign w:val="top"/>
          </w:tcPr>
          <w:p w14:paraId="1414D794" w14:textId="34181A2C" w:rsidR="00F60505" w:rsidRDefault="00F60505" w:rsidP="0092271C">
            <w:pPr>
              <w:spacing w:before="40" w:after="40"/>
              <w:rPr>
                <w:rFonts w:cs="Arial"/>
              </w:rPr>
            </w:pPr>
            <w:r w:rsidRPr="6B20A4EE">
              <w:rPr>
                <w:rFonts w:cs="Arial"/>
              </w:rPr>
              <w:t>Water infrastructure</w:t>
            </w:r>
          </w:p>
        </w:tc>
        <w:tc>
          <w:tcPr>
            <w:tcW w:w="1276" w:type="dxa"/>
          </w:tcPr>
          <w:p w14:paraId="7E9F0FCB" w14:textId="530FEAA1" w:rsidR="00F60505" w:rsidRPr="00F60505" w:rsidRDefault="00F60505" w:rsidP="0092271C">
            <w:pPr>
              <w:spacing w:before="40" w:after="40"/>
              <w:jc w:val="center"/>
              <w:cnfStyle w:val="000000100000" w:firstRow="0" w:lastRow="0" w:firstColumn="0" w:lastColumn="0" w:oddVBand="0" w:evenVBand="0" w:oddHBand="1" w:evenHBand="0" w:firstRowFirstColumn="0" w:firstRowLastColumn="0" w:lastRowFirstColumn="0" w:lastRowLastColumn="0"/>
              <w:rPr>
                <w:rFonts w:cs="Arial"/>
                <w:szCs w:val="20"/>
              </w:rPr>
            </w:pPr>
            <w:r w:rsidRPr="00F60505">
              <w:rPr>
                <w:rFonts w:cs="Arial"/>
                <w:szCs w:val="20"/>
              </w:rPr>
              <w:t>50</w:t>
            </w:r>
          </w:p>
        </w:tc>
      </w:tr>
      <w:tr w:rsidR="00494C88" w:rsidRPr="00192F41" w14:paraId="746BA100" w14:textId="77777777" w:rsidTr="00DE132F">
        <w:tc>
          <w:tcPr>
            <w:cnfStyle w:val="001000000000" w:firstRow="0" w:lastRow="0" w:firstColumn="1" w:lastColumn="0" w:oddVBand="0" w:evenVBand="0" w:oddHBand="0" w:evenHBand="0" w:firstRowFirstColumn="0" w:firstRowLastColumn="0" w:lastRowFirstColumn="0" w:lastRowLastColumn="0"/>
            <w:tcW w:w="5670" w:type="dxa"/>
            <w:vAlign w:val="top"/>
          </w:tcPr>
          <w:p w14:paraId="6209DB84" w14:textId="727B17A9" w:rsidR="00494C88" w:rsidRPr="00F60505" w:rsidRDefault="00494C88" w:rsidP="0092271C">
            <w:pPr>
              <w:spacing w:before="40" w:after="40"/>
              <w:rPr>
                <w:rFonts w:cs="Arial"/>
                <w:szCs w:val="20"/>
              </w:rPr>
            </w:pPr>
            <w:r w:rsidRPr="00192F41">
              <w:rPr>
                <w:rFonts w:cs="Arial"/>
                <w:szCs w:val="20"/>
              </w:rPr>
              <w:t xml:space="preserve">Meters (groundwater </w:t>
            </w:r>
            <w:r w:rsidR="00FE3FBD">
              <w:rPr>
                <w:rFonts w:cs="Arial"/>
                <w:szCs w:val="20"/>
              </w:rPr>
              <w:t>and</w:t>
            </w:r>
            <w:r w:rsidRPr="00192F41">
              <w:rPr>
                <w:rFonts w:cs="Arial"/>
                <w:szCs w:val="20"/>
              </w:rPr>
              <w:t xml:space="preserve"> rivers)</w:t>
            </w:r>
          </w:p>
        </w:tc>
        <w:tc>
          <w:tcPr>
            <w:tcW w:w="1276" w:type="dxa"/>
          </w:tcPr>
          <w:p w14:paraId="2F3737FD" w14:textId="790AF5D9" w:rsidR="00494C88" w:rsidRPr="00F60505" w:rsidRDefault="00494C88"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cs="Arial"/>
                <w:szCs w:val="20"/>
              </w:rPr>
            </w:pPr>
            <w:r w:rsidRPr="00F60505">
              <w:rPr>
                <w:rFonts w:cs="Arial"/>
                <w:szCs w:val="20"/>
              </w:rPr>
              <w:t>15</w:t>
            </w:r>
          </w:p>
        </w:tc>
      </w:tr>
      <w:tr w:rsidR="00494C88" w:rsidRPr="00192F41" w14:paraId="643874B8" w14:textId="77777777" w:rsidTr="00DE132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0" w:type="dxa"/>
            <w:vAlign w:val="top"/>
          </w:tcPr>
          <w:p w14:paraId="600C70C3" w14:textId="77777777" w:rsidR="00494C88" w:rsidRPr="00CB6EBB" w:rsidRDefault="00494C88" w:rsidP="0092271C">
            <w:pPr>
              <w:spacing w:before="40" w:after="40"/>
              <w:rPr>
                <w:rFonts w:cs="Arial"/>
                <w:szCs w:val="20"/>
                <w:shd w:val="clear" w:color="auto" w:fill="FAF9F8"/>
              </w:rPr>
            </w:pPr>
            <w:r w:rsidRPr="00192F41">
              <w:rPr>
                <w:rFonts w:cs="Arial"/>
                <w:szCs w:val="20"/>
              </w:rPr>
              <w:t>General tools and equipment</w:t>
            </w:r>
          </w:p>
        </w:tc>
        <w:tc>
          <w:tcPr>
            <w:tcW w:w="1276" w:type="dxa"/>
          </w:tcPr>
          <w:p w14:paraId="584EDB1B" w14:textId="77777777" w:rsidR="00494C88" w:rsidRPr="00CB6EBB" w:rsidRDefault="00494C88" w:rsidP="0092271C">
            <w:pPr>
              <w:spacing w:before="40" w:after="40"/>
              <w:jc w:val="center"/>
              <w:cnfStyle w:val="000000100000" w:firstRow="0" w:lastRow="0" w:firstColumn="0" w:lastColumn="0" w:oddVBand="0" w:evenVBand="0" w:oddHBand="1" w:evenHBand="0" w:firstRowFirstColumn="0" w:firstRowLastColumn="0" w:lastRowFirstColumn="0" w:lastRowLastColumn="0"/>
              <w:rPr>
                <w:rFonts w:cs="Arial"/>
                <w:szCs w:val="20"/>
                <w:shd w:val="clear" w:color="auto" w:fill="FAF9F8"/>
              </w:rPr>
            </w:pPr>
            <w:r w:rsidRPr="00CB6EBB">
              <w:rPr>
                <w:rFonts w:cs="Arial"/>
                <w:szCs w:val="20"/>
                <w:shd w:val="clear" w:color="auto" w:fill="FAF9F8"/>
              </w:rPr>
              <w:t>10</w:t>
            </w:r>
          </w:p>
        </w:tc>
      </w:tr>
      <w:tr w:rsidR="00494C88" w:rsidRPr="00192F41" w14:paraId="31700C9D" w14:textId="77777777" w:rsidTr="00DE132F">
        <w:tc>
          <w:tcPr>
            <w:cnfStyle w:val="001000000000" w:firstRow="0" w:lastRow="0" w:firstColumn="1" w:lastColumn="0" w:oddVBand="0" w:evenVBand="0" w:oddHBand="0" w:evenHBand="0" w:firstRowFirstColumn="0" w:firstRowLastColumn="0" w:lastRowFirstColumn="0" w:lastRowLastColumn="0"/>
            <w:tcW w:w="5670" w:type="dxa"/>
            <w:tcBorders>
              <w:bottom w:val="single" w:sz="4" w:space="0" w:color="auto"/>
            </w:tcBorders>
            <w:vAlign w:val="top"/>
          </w:tcPr>
          <w:p w14:paraId="27BB2B98" w14:textId="65D2440D" w:rsidR="00494C88" w:rsidRPr="00CB6EBB" w:rsidRDefault="00494C88" w:rsidP="0092271C">
            <w:pPr>
              <w:spacing w:before="40" w:after="40"/>
              <w:rPr>
                <w:rFonts w:cs="Arial"/>
                <w:szCs w:val="20"/>
                <w:shd w:val="clear" w:color="auto" w:fill="FAF9F8"/>
              </w:rPr>
            </w:pPr>
            <w:r w:rsidRPr="00192F41">
              <w:rPr>
                <w:rFonts w:cs="Arial"/>
                <w:szCs w:val="20"/>
              </w:rPr>
              <w:t>Computer equipment</w:t>
            </w:r>
            <w:r w:rsidR="00FE61AD">
              <w:rPr>
                <w:rFonts w:cs="Arial"/>
                <w:szCs w:val="20"/>
              </w:rPr>
              <w:t xml:space="preserve"> and software</w:t>
            </w:r>
          </w:p>
        </w:tc>
        <w:tc>
          <w:tcPr>
            <w:tcW w:w="1276" w:type="dxa"/>
            <w:tcBorders>
              <w:bottom w:val="single" w:sz="4" w:space="0" w:color="auto"/>
            </w:tcBorders>
          </w:tcPr>
          <w:p w14:paraId="52841D97" w14:textId="0838EABB" w:rsidR="00494C88" w:rsidRPr="00CB6EBB" w:rsidRDefault="00FE61AD" w:rsidP="0092271C">
            <w:pPr>
              <w:spacing w:before="40" w:after="40"/>
              <w:jc w:val="center"/>
              <w:cnfStyle w:val="000000000000" w:firstRow="0" w:lastRow="0" w:firstColumn="0" w:lastColumn="0" w:oddVBand="0" w:evenVBand="0" w:oddHBand="0" w:evenHBand="0" w:firstRowFirstColumn="0" w:firstRowLastColumn="0" w:lastRowFirstColumn="0" w:lastRowLastColumn="0"/>
              <w:rPr>
                <w:rFonts w:cs="Arial"/>
                <w:szCs w:val="20"/>
                <w:shd w:val="clear" w:color="auto" w:fill="FAF9F8"/>
              </w:rPr>
            </w:pPr>
            <w:r>
              <w:rPr>
                <w:rFonts w:cs="Arial"/>
                <w:szCs w:val="20"/>
                <w:shd w:val="clear" w:color="auto" w:fill="FAF9F8"/>
              </w:rPr>
              <w:t>10</w:t>
            </w:r>
          </w:p>
        </w:tc>
      </w:tr>
    </w:tbl>
    <w:p w14:paraId="32A0A5F2" w14:textId="197506D9" w:rsidR="00494C88" w:rsidRDefault="00494C88" w:rsidP="00494C88">
      <w:pPr>
        <w:rPr>
          <w:rFonts w:cs="Arial"/>
          <w:color w:val="FF0000"/>
          <w:shd w:val="clear" w:color="auto" w:fill="FAF9F8"/>
        </w:rPr>
      </w:pPr>
    </w:p>
    <w:p w14:paraId="399482EE" w14:textId="5F892122" w:rsidR="00FE61AD" w:rsidRPr="00FE3FBD" w:rsidRDefault="00FE61AD" w:rsidP="0092271C">
      <w:pPr>
        <w:jc w:val="both"/>
      </w:pPr>
      <w:r w:rsidRPr="00FE3FBD">
        <w:t xml:space="preserve">Together with the proposed revenue requirement from </w:t>
      </w:r>
      <w:r w:rsidR="00674F43" w:rsidRPr="00FE3FBD">
        <w:t>the RRR</w:t>
      </w:r>
      <w:r w:rsidRPr="00FE3FBD">
        <w:t>, a prudent amount of debt repayment is enabled by</w:t>
      </w:r>
      <w:r w:rsidR="00E21E20" w:rsidRPr="00FE3FBD">
        <w:t xml:space="preserve"> the revenue requirement provided by </w:t>
      </w:r>
      <w:r w:rsidRPr="00FE3FBD">
        <w:t xml:space="preserve">regulatory depreciation </w:t>
      </w:r>
      <w:r w:rsidR="00E21E20" w:rsidRPr="00FE3FBD">
        <w:t xml:space="preserve">which has been </w:t>
      </w:r>
      <w:r w:rsidRPr="00FE3FBD">
        <w:t xml:space="preserve">generated from these asset lives. </w:t>
      </w:r>
    </w:p>
    <w:p w14:paraId="7E4B6DDC" w14:textId="55363CBB" w:rsidR="001268E4" w:rsidRPr="00FE3FBD" w:rsidRDefault="001268E4" w:rsidP="006833D3">
      <w:pPr>
        <w:pStyle w:val="Heading3"/>
      </w:pPr>
      <w:r w:rsidRPr="00FE3FBD">
        <w:t>Forecast regulatory asset base</w:t>
      </w:r>
    </w:p>
    <w:p w14:paraId="2F77AFFC" w14:textId="0EC5120F" w:rsidR="00F26A03" w:rsidRDefault="009151B0" w:rsidP="0092271C">
      <w:pPr>
        <w:jc w:val="both"/>
      </w:pPr>
      <w:r w:rsidRPr="00FE3FBD">
        <w:t xml:space="preserve">Our </w:t>
      </w:r>
      <w:r w:rsidR="00963367" w:rsidRPr="00FE3FBD">
        <w:t>RAB</w:t>
      </w:r>
      <w:r w:rsidRPr="00FE3FBD">
        <w:t xml:space="preserve"> </w:t>
      </w:r>
      <w:r w:rsidR="00963367" w:rsidRPr="00FE3FBD">
        <w:t>reflect</w:t>
      </w:r>
      <w:r w:rsidRPr="00FE3FBD">
        <w:t>s</w:t>
      </w:r>
      <w:r w:rsidR="00963367" w:rsidRPr="00FE3FBD">
        <w:t xml:space="preserve"> </w:t>
      </w:r>
      <w:r w:rsidRPr="00FE3FBD">
        <w:t xml:space="preserve">our </w:t>
      </w:r>
      <w:r w:rsidR="00963367" w:rsidRPr="00FE3FBD">
        <w:t xml:space="preserve">capital expenditure (less regulatory depreciation, contributions and/or asset disposals) </w:t>
      </w:r>
      <w:r w:rsidR="00773D98" w:rsidRPr="00FE3FBD">
        <w:t>and is designed</w:t>
      </w:r>
      <w:r w:rsidR="00963367" w:rsidRPr="00FE3FBD">
        <w:t xml:space="preserve"> to achieve the lowest cost of delivering on service outcomes, </w:t>
      </w:r>
      <w:r w:rsidR="009E1056" w:rsidRPr="00FE3FBD">
        <w:t>considering</w:t>
      </w:r>
      <w:r w:rsidR="00963367" w:rsidRPr="00FE3FBD">
        <w:t xml:space="preserve"> a long-term planning horizon</w:t>
      </w:r>
      <w:r w:rsidR="00737E3E" w:rsidRPr="00FE3FBD">
        <w:t>.</w:t>
      </w:r>
    </w:p>
    <w:p w14:paraId="39529427" w14:textId="77777777" w:rsidR="00F26A03" w:rsidRDefault="00F26A03">
      <w:r>
        <w:br w:type="page"/>
      </w:r>
    </w:p>
    <w:p w14:paraId="4EB2E44A" w14:textId="649091AB" w:rsidR="00642A9A" w:rsidRPr="00FE3FBD" w:rsidRDefault="00642A9A" w:rsidP="00787AC2">
      <w:pPr>
        <w:pStyle w:val="Heading3"/>
      </w:pPr>
      <w:r w:rsidRPr="00FE3FBD">
        <w:t>Starting RAB</w:t>
      </w:r>
    </w:p>
    <w:p w14:paraId="5D3026BB" w14:textId="5AFEE53C" w:rsidR="00737E3E" w:rsidRPr="00FE3FBD" w:rsidRDefault="00ED442D" w:rsidP="001268E4">
      <w:r w:rsidRPr="00FE3FBD">
        <w:t>Our starting RAB is calculated as follows:</w:t>
      </w:r>
    </w:p>
    <w:p w14:paraId="6B7BEA63" w14:textId="51E768B5" w:rsidR="00D24C89" w:rsidRPr="007877C0" w:rsidRDefault="00C01867" w:rsidP="00C01867">
      <w:pPr>
        <w:pStyle w:val="Caption"/>
        <w:rPr>
          <w:rStyle w:val="IntenseReference"/>
          <w:b w:val="0"/>
          <w:bCs w:val="0"/>
          <w:i w:val="0"/>
          <w:iCs w:val="0"/>
          <w:color w:val="00B1B0" w:themeColor="accent1"/>
          <w:sz w:val="20"/>
          <w:szCs w:val="20"/>
          <w:u w:val="single"/>
        </w:rPr>
      </w:pPr>
      <w:bookmarkStart w:id="70" w:name="_Hlk109717397"/>
      <w:r w:rsidRPr="007877C0">
        <w:rPr>
          <w:b/>
          <w:bCs/>
          <w:i w:val="0"/>
          <w:iCs w:val="0"/>
          <w:color w:val="00B1B0" w:themeColor="accent1"/>
          <w:sz w:val="20"/>
          <w:szCs w:val="20"/>
        </w:rPr>
        <w:t xml:space="preserve">Table </w:t>
      </w:r>
      <w:r w:rsidRPr="007877C0">
        <w:rPr>
          <w:b/>
          <w:bCs/>
          <w:i w:val="0"/>
          <w:iCs w:val="0"/>
          <w:color w:val="00B1B0" w:themeColor="accent1"/>
          <w:sz w:val="20"/>
          <w:szCs w:val="20"/>
        </w:rPr>
        <w:fldChar w:fldCharType="begin"/>
      </w:r>
      <w:r w:rsidRPr="007877C0">
        <w:rPr>
          <w:b/>
          <w:bCs/>
          <w:i w:val="0"/>
          <w:iCs w:val="0"/>
          <w:color w:val="00B1B0" w:themeColor="accent1"/>
          <w:sz w:val="20"/>
          <w:szCs w:val="20"/>
        </w:rPr>
        <w:instrText xml:space="preserve"> SEQ Table \* ARABIC </w:instrText>
      </w:r>
      <w:r w:rsidRPr="007877C0">
        <w:rPr>
          <w:b/>
          <w:bCs/>
          <w:i w:val="0"/>
          <w:iCs w:val="0"/>
          <w:color w:val="00B1B0" w:themeColor="accent1"/>
          <w:sz w:val="20"/>
          <w:szCs w:val="20"/>
        </w:rPr>
        <w:fldChar w:fldCharType="separate"/>
      </w:r>
      <w:r w:rsidR="008126A8">
        <w:rPr>
          <w:b/>
          <w:bCs/>
          <w:i w:val="0"/>
          <w:iCs w:val="0"/>
          <w:noProof/>
          <w:color w:val="00B1B0" w:themeColor="accent1"/>
          <w:sz w:val="20"/>
          <w:szCs w:val="20"/>
        </w:rPr>
        <w:t>24</w:t>
      </w:r>
      <w:r w:rsidRPr="007877C0">
        <w:rPr>
          <w:b/>
          <w:bCs/>
          <w:i w:val="0"/>
          <w:iCs w:val="0"/>
          <w:color w:val="00B1B0" w:themeColor="accent1"/>
          <w:sz w:val="20"/>
          <w:szCs w:val="20"/>
        </w:rPr>
        <w:fldChar w:fldCharType="end"/>
      </w:r>
      <w:r w:rsidR="007877C0" w:rsidRPr="007877C0">
        <w:rPr>
          <w:b/>
          <w:bCs/>
          <w:i w:val="0"/>
          <w:iCs w:val="0"/>
          <w:color w:val="00B1B0" w:themeColor="accent1"/>
          <w:sz w:val="20"/>
          <w:szCs w:val="20"/>
        </w:rPr>
        <w:t xml:space="preserve"> </w:t>
      </w:r>
      <w:r w:rsidR="0092271C">
        <w:rPr>
          <w:b/>
          <w:bCs/>
          <w:i w:val="0"/>
          <w:iCs w:val="0"/>
          <w:color w:val="00B1B0" w:themeColor="accent1"/>
          <w:sz w:val="20"/>
          <w:szCs w:val="20"/>
        </w:rPr>
        <w:t>–</w:t>
      </w:r>
      <w:r w:rsidR="007877C0" w:rsidRPr="007877C0">
        <w:rPr>
          <w:b/>
          <w:bCs/>
          <w:i w:val="0"/>
          <w:iCs w:val="0"/>
          <w:color w:val="00B1B0" w:themeColor="accent1"/>
          <w:sz w:val="20"/>
          <w:szCs w:val="20"/>
        </w:rPr>
        <w:t xml:space="preserve"> </w:t>
      </w:r>
      <w:r w:rsidR="00D24C89" w:rsidRPr="007877C0">
        <w:rPr>
          <w:b/>
          <w:bCs/>
          <w:i w:val="0"/>
          <w:iCs w:val="0"/>
          <w:color w:val="00B1B0" w:themeColor="accent1"/>
          <w:sz w:val="20"/>
          <w:szCs w:val="20"/>
        </w:rPr>
        <w:t>RAB</w:t>
      </w:r>
      <w:r w:rsidR="00234AA2" w:rsidRPr="007877C0">
        <w:rPr>
          <w:b/>
          <w:bCs/>
          <w:i w:val="0"/>
          <w:iCs w:val="0"/>
          <w:color w:val="00B1B0" w:themeColor="accent1"/>
          <w:sz w:val="20"/>
          <w:szCs w:val="20"/>
        </w:rPr>
        <w:t xml:space="preserve"> </w:t>
      </w:r>
      <w:r w:rsidR="00407594">
        <w:rPr>
          <w:b/>
          <w:bCs/>
          <w:i w:val="0"/>
          <w:iCs w:val="0"/>
          <w:color w:val="00B1B0" w:themeColor="accent1"/>
          <w:sz w:val="20"/>
          <w:szCs w:val="20"/>
        </w:rPr>
        <w:t>at</w:t>
      </w:r>
      <w:r w:rsidR="00234AA2" w:rsidRPr="007877C0">
        <w:rPr>
          <w:b/>
          <w:bCs/>
          <w:i w:val="0"/>
          <w:iCs w:val="0"/>
          <w:color w:val="00B1B0" w:themeColor="accent1"/>
          <w:sz w:val="20"/>
          <w:szCs w:val="20"/>
        </w:rPr>
        <w:t xml:space="preserve"> 1 July 2023</w:t>
      </w:r>
    </w:p>
    <w:tbl>
      <w:tblPr>
        <w:tblW w:w="6900" w:type="dxa"/>
        <w:tblLook w:val="04A0" w:firstRow="1" w:lastRow="0" w:firstColumn="1" w:lastColumn="0" w:noHBand="0" w:noVBand="1"/>
      </w:tblPr>
      <w:tblGrid>
        <w:gridCol w:w="5670"/>
        <w:gridCol w:w="1230"/>
      </w:tblGrid>
      <w:tr w:rsidR="0041479B" w:rsidRPr="0041479B" w14:paraId="52D0BACE" w14:textId="77777777" w:rsidTr="00DE132F">
        <w:trPr>
          <w:trHeight w:val="375"/>
        </w:trPr>
        <w:tc>
          <w:tcPr>
            <w:tcW w:w="5670" w:type="dxa"/>
            <w:tcBorders>
              <w:top w:val="nil"/>
              <w:left w:val="nil"/>
              <w:bottom w:val="nil"/>
              <w:right w:val="nil"/>
            </w:tcBorders>
            <w:shd w:val="clear" w:color="000000" w:fill="70CBD0"/>
            <w:vAlign w:val="center"/>
            <w:hideMark/>
          </w:tcPr>
          <w:bookmarkEnd w:id="70"/>
          <w:p w14:paraId="75DF0BCA" w14:textId="77777777" w:rsidR="0041479B" w:rsidRPr="0041479B" w:rsidRDefault="0041479B" w:rsidP="0041479B">
            <w:pPr>
              <w:spacing w:after="0" w:line="240" w:lineRule="auto"/>
              <w:rPr>
                <w:rFonts w:eastAsia="Times New Roman" w:cs="Arial"/>
                <w:b/>
                <w:bCs/>
                <w:color w:val="FFFFFF"/>
                <w:sz w:val="20"/>
                <w:szCs w:val="20"/>
                <w:lang w:eastAsia="en-AU"/>
              </w:rPr>
            </w:pPr>
            <w:r w:rsidRPr="0041479B">
              <w:rPr>
                <w:rFonts w:eastAsia="Times New Roman" w:cs="Arial"/>
                <w:b/>
                <w:bCs/>
                <w:color w:val="FFFFFF"/>
                <w:sz w:val="20"/>
                <w:szCs w:val="20"/>
                <w:lang w:eastAsia="en-AU"/>
              </w:rPr>
              <w:t>RAB as at 1 July 2018</w:t>
            </w:r>
          </w:p>
        </w:tc>
        <w:tc>
          <w:tcPr>
            <w:tcW w:w="1230" w:type="dxa"/>
            <w:tcBorders>
              <w:top w:val="nil"/>
              <w:left w:val="nil"/>
              <w:bottom w:val="nil"/>
              <w:right w:val="nil"/>
            </w:tcBorders>
            <w:shd w:val="clear" w:color="000000" w:fill="70CBD0"/>
            <w:vAlign w:val="center"/>
            <w:hideMark/>
          </w:tcPr>
          <w:p w14:paraId="08D447BC" w14:textId="33B0C729" w:rsidR="0041479B" w:rsidRPr="0041479B" w:rsidRDefault="0041479B" w:rsidP="0092271C">
            <w:pPr>
              <w:spacing w:after="0" w:line="240" w:lineRule="auto"/>
              <w:jc w:val="center"/>
              <w:rPr>
                <w:rFonts w:eastAsia="Times New Roman" w:cs="Arial"/>
                <w:b/>
                <w:bCs/>
                <w:color w:val="FFFFFF"/>
                <w:sz w:val="20"/>
                <w:szCs w:val="20"/>
                <w:lang w:eastAsia="en-AU"/>
              </w:rPr>
            </w:pPr>
            <w:r w:rsidRPr="0041479B">
              <w:rPr>
                <w:rFonts w:eastAsia="Times New Roman" w:cs="Arial"/>
                <w:b/>
                <w:bCs/>
                <w:color w:val="FFFFFF"/>
                <w:sz w:val="20"/>
                <w:szCs w:val="20"/>
                <w:lang w:eastAsia="en-AU"/>
              </w:rPr>
              <w:t>60.7</w:t>
            </w:r>
          </w:p>
        </w:tc>
      </w:tr>
      <w:tr w:rsidR="0041479B" w:rsidRPr="0041479B" w14:paraId="44A84CDC" w14:textId="77777777" w:rsidTr="00DE132F">
        <w:trPr>
          <w:trHeight w:val="405"/>
        </w:trPr>
        <w:tc>
          <w:tcPr>
            <w:tcW w:w="5670" w:type="dxa"/>
            <w:tcBorders>
              <w:top w:val="nil"/>
              <w:left w:val="nil"/>
              <w:bottom w:val="nil"/>
              <w:right w:val="nil"/>
            </w:tcBorders>
            <w:shd w:val="clear" w:color="000000" w:fill="F5F5F5"/>
            <w:vAlign w:val="center"/>
            <w:hideMark/>
          </w:tcPr>
          <w:p w14:paraId="2C9B63ED" w14:textId="77777777"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 Actual capital expenditure (gross) 2018-19 to 2021-22</w:t>
            </w:r>
          </w:p>
        </w:tc>
        <w:tc>
          <w:tcPr>
            <w:tcW w:w="1230" w:type="dxa"/>
            <w:tcBorders>
              <w:top w:val="nil"/>
              <w:left w:val="nil"/>
              <w:bottom w:val="nil"/>
              <w:right w:val="nil"/>
            </w:tcBorders>
            <w:shd w:val="clear" w:color="000000" w:fill="F5F5F5"/>
            <w:vAlign w:val="center"/>
            <w:hideMark/>
          </w:tcPr>
          <w:p w14:paraId="605554EF"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110.6</w:t>
            </w:r>
          </w:p>
        </w:tc>
      </w:tr>
      <w:tr w:rsidR="0041479B" w:rsidRPr="0041479B" w14:paraId="312B36A3" w14:textId="77777777" w:rsidTr="00DE132F">
        <w:trPr>
          <w:trHeight w:val="405"/>
        </w:trPr>
        <w:tc>
          <w:tcPr>
            <w:tcW w:w="5670" w:type="dxa"/>
            <w:tcBorders>
              <w:top w:val="nil"/>
              <w:left w:val="nil"/>
              <w:bottom w:val="nil"/>
              <w:right w:val="nil"/>
            </w:tcBorders>
            <w:shd w:val="clear" w:color="auto" w:fill="auto"/>
            <w:vAlign w:val="center"/>
            <w:hideMark/>
          </w:tcPr>
          <w:p w14:paraId="07996D51" w14:textId="77777777"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 Forecast capital expenditure (gross) 2022-23</w:t>
            </w:r>
          </w:p>
        </w:tc>
        <w:tc>
          <w:tcPr>
            <w:tcW w:w="1230" w:type="dxa"/>
            <w:tcBorders>
              <w:top w:val="nil"/>
              <w:left w:val="nil"/>
              <w:bottom w:val="nil"/>
              <w:right w:val="nil"/>
            </w:tcBorders>
            <w:shd w:val="clear" w:color="auto" w:fill="auto"/>
            <w:vAlign w:val="center"/>
            <w:hideMark/>
          </w:tcPr>
          <w:p w14:paraId="2403644A"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52.9</w:t>
            </w:r>
          </w:p>
        </w:tc>
      </w:tr>
      <w:tr w:rsidR="0041479B" w:rsidRPr="0041479B" w14:paraId="7E263517" w14:textId="77777777" w:rsidTr="00DE132F">
        <w:trPr>
          <w:trHeight w:val="405"/>
        </w:trPr>
        <w:tc>
          <w:tcPr>
            <w:tcW w:w="5670" w:type="dxa"/>
            <w:tcBorders>
              <w:top w:val="nil"/>
              <w:left w:val="nil"/>
              <w:bottom w:val="nil"/>
              <w:right w:val="nil"/>
            </w:tcBorders>
            <w:shd w:val="clear" w:color="000000" w:fill="F5F5F5"/>
            <w:vAlign w:val="center"/>
            <w:hideMark/>
          </w:tcPr>
          <w:p w14:paraId="61DBD731" w14:textId="61DBB38E"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w:t>
            </w:r>
            <w:r w:rsidR="0092271C">
              <w:rPr>
                <w:rFonts w:eastAsia="Times New Roman" w:cs="Arial"/>
                <w:color w:val="000000"/>
                <w:sz w:val="20"/>
                <w:szCs w:val="20"/>
                <w:lang w:eastAsia="en-AU"/>
              </w:rPr>
              <w:t xml:space="preserve"> </w:t>
            </w:r>
            <w:r w:rsidRPr="0041479B">
              <w:rPr>
                <w:rFonts w:eastAsia="Times New Roman" w:cs="Arial"/>
                <w:color w:val="000000"/>
                <w:sz w:val="20"/>
                <w:szCs w:val="20"/>
                <w:lang w:eastAsia="en-AU"/>
              </w:rPr>
              <w:t>Actual contributions 2018-19 to 2021-22</w:t>
            </w:r>
          </w:p>
        </w:tc>
        <w:tc>
          <w:tcPr>
            <w:tcW w:w="1230" w:type="dxa"/>
            <w:tcBorders>
              <w:top w:val="nil"/>
              <w:left w:val="nil"/>
              <w:bottom w:val="nil"/>
              <w:right w:val="nil"/>
            </w:tcBorders>
            <w:shd w:val="clear" w:color="000000" w:fill="F5F5F5"/>
            <w:vAlign w:val="center"/>
            <w:hideMark/>
          </w:tcPr>
          <w:p w14:paraId="49DB53AF"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72.3</w:t>
            </w:r>
          </w:p>
        </w:tc>
      </w:tr>
      <w:tr w:rsidR="0041479B" w:rsidRPr="0041479B" w14:paraId="5DC5D125" w14:textId="77777777" w:rsidTr="00DE132F">
        <w:trPr>
          <w:trHeight w:val="405"/>
        </w:trPr>
        <w:tc>
          <w:tcPr>
            <w:tcW w:w="5670" w:type="dxa"/>
            <w:tcBorders>
              <w:top w:val="nil"/>
              <w:left w:val="nil"/>
              <w:bottom w:val="nil"/>
              <w:right w:val="nil"/>
            </w:tcBorders>
            <w:shd w:val="clear" w:color="auto" w:fill="auto"/>
            <w:vAlign w:val="center"/>
            <w:hideMark/>
          </w:tcPr>
          <w:p w14:paraId="1ACFAF5D" w14:textId="395A5C9F"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w:t>
            </w:r>
            <w:r w:rsidR="0092271C">
              <w:rPr>
                <w:rFonts w:eastAsia="Times New Roman" w:cs="Arial"/>
                <w:color w:val="000000"/>
                <w:sz w:val="20"/>
                <w:szCs w:val="20"/>
                <w:lang w:eastAsia="en-AU"/>
              </w:rPr>
              <w:t xml:space="preserve"> </w:t>
            </w:r>
            <w:r w:rsidRPr="0041479B">
              <w:rPr>
                <w:rFonts w:eastAsia="Times New Roman" w:cs="Arial"/>
                <w:color w:val="000000"/>
                <w:sz w:val="20"/>
                <w:szCs w:val="20"/>
                <w:lang w:eastAsia="en-AU"/>
              </w:rPr>
              <w:t>Forecast contributions 2022-23**</w:t>
            </w:r>
          </w:p>
        </w:tc>
        <w:tc>
          <w:tcPr>
            <w:tcW w:w="1230" w:type="dxa"/>
            <w:tcBorders>
              <w:top w:val="nil"/>
              <w:left w:val="nil"/>
              <w:bottom w:val="nil"/>
              <w:right w:val="nil"/>
            </w:tcBorders>
            <w:shd w:val="clear" w:color="auto" w:fill="auto"/>
            <w:vAlign w:val="center"/>
            <w:hideMark/>
          </w:tcPr>
          <w:p w14:paraId="2C874DF1"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14.9</w:t>
            </w:r>
          </w:p>
        </w:tc>
      </w:tr>
      <w:tr w:rsidR="0041479B" w:rsidRPr="0041479B" w14:paraId="41F66900" w14:textId="77777777" w:rsidTr="00DE132F">
        <w:trPr>
          <w:trHeight w:val="405"/>
        </w:trPr>
        <w:tc>
          <w:tcPr>
            <w:tcW w:w="5670" w:type="dxa"/>
            <w:tcBorders>
              <w:top w:val="nil"/>
              <w:left w:val="nil"/>
              <w:bottom w:val="nil"/>
              <w:right w:val="nil"/>
            </w:tcBorders>
            <w:shd w:val="clear" w:color="000000" w:fill="F5F5F5"/>
            <w:vAlign w:val="center"/>
            <w:hideMark/>
          </w:tcPr>
          <w:p w14:paraId="08F553EF" w14:textId="73FA318D"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w:t>
            </w:r>
            <w:r w:rsidR="0092271C">
              <w:rPr>
                <w:rFonts w:eastAsia="Times New Roman" w:cs="Arial"/>
                <w:color w:val="000000"/>
                <w:sz w:val="20"/>
                <w:szCs w:val="20"/>
                <w:lang w:eastAsia="en-AU"/>
              </w:rPr>
              <w:t xml:space="preserve"> </w:t>
            </w:r>
            <w:r w:rsidRPr="0041479B">
              <w:rPr>
                <w:rFonts w:eastAsia="Times New Roman" w:cs="Arial"/>
                <w:color w:val="000000"/>
                <w:sz w:val="20"/>
                <w:szCs w:val="20"/>
                <w:lang w:eastAsia="en-AU"/>
              </w:rPr>
              <w:t>Forecast regulatory depreciation 2018-19 to 2022-23*–</w:t>
            </w:r>
          </w:p>
        </w:tc>
        <w:tc>
          <w:tcPr>
            <w:tcW w:w="1230" w:type="dxa"/>
            <w:tcBorders>
              <w:top w:val="nil"/>
              <w:left w:val="nil"/>
              <w:bottom w:val="nil"/>
              <w:right w:val="nil"/>
            </w:tcBorders>
            <w:shd w:val="clear" w:color="000000" w:fill="F5F5F5"/>
            <w:vAlign w:val="center"/>
            <w:hideMark/>
          </w:tcPr>
          <w:p w14:paraId="46A1A2FC"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29.2</w:t>
            </w:r>
          </w:p>
        </w:tc>
      </w:tr>
      <w:tr w:rsidR="0041479B" w:rsidRPr="0041479B" w14:paraId="3E9FC19A" w14:textId="77777777" w:rsidTr="00DE132F">
        <w:trPr>
          <w:trHeight w:val="405"/>
        </w:trPr>
        <w:tc>
          <w:tcPr>
            <w:tcW w:w="5670" w:type="dxa"/>
            <w:tcBorders>
              <w:top w:val="nil"/>
              <w:left w:val="nil"/>
              <w:bottom w:val="nil"/>
              <w:right w:val="nil"/>
            </w:tcBorders>
            <w:shd w:val="clear" w:color="auto" w:fill="auto"/>
            <w:vAlign w:val="center"/>
            <w:hideMark/>
          </w:tcPr>
          <w:p w14:paraId="2526FB78" w14:textId="45759E9B"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w:t>
            </w:r>
            <w:r w:rsidR="0092271C">
              <w:rPr>
                <w:rFonts w:eastAsia="Times New Roman" w:cs="Arial"/>
                <w:color w:val="000000"/>
                <w:sz w:val="20"/>
                <w:szCs w:val="20"/>
                <w:lang w:eastAsia="en-AU"/>
              </w:rPr>
              <w:t xml:space="preserve"> </w:t>
            </w:r>
            <w:r w:rsidRPr="0041479B">
              <w:rPr>
                <w:rFonts w:eastAsia="Times New Roman" w:cs="Arial"/>
                <w:color w:val="000000"/>
                <w:sz w:val="20"/>
                <w:szCs w:val="20"/>
                <w:lang w:eastAsia="en-AU"/>
              </w:rPr>
              <w:t>Proceeds from disposal of assets 2018-19 to 2021-22</w:t>
            </w:r>
          </w:p>
        </w:tc>
        <w:tc>
          <w:tcPr>
            <w:tcW w:w="1230" w:type="dxa"/>
            <w:tcBorders>
              <w:top w:val="nil"/>
              <w:left w:val="nil"/>
              <w:bottom w:val="nil"/>
              <w:right w:val="nil"/>
            </w:tcBorders>
            <w:shd w:val="clear" w:color="auto" w:fill="auto"/>
            <w:vAlign w:val="center"/>
            <w:hideMark/>
          </w:tcPr>
          <w:p w14:paraId="6389F598"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4.7</w:t>
            </w:r>
          </w:p>
        </w:tc>
      </w:tr>
      <w:tr w:rsidR="0041479B" w:rsidRPr="0041479B" w14:paraId="78C40341" w14:textId="77777777" w:rsidTr="00DE132F">
        <w:trPr>
          <w:trHeight w:val="405"/>
        </w:trPr>
        <w:tc>
          <w:tcPr>
            <w:tcW w:w="5670" w:type="dxa"/>
            <w:tcBorders>
              <w:top w:val="nil"/>
              <w:left w:val="nil"/>
              <w:bottom w:val="single" w:sz="4" w:space="0" w:color="auto"/>
              <w:right w:val="nil"/>
            </w:tcBorders>
            <w:shd w:val="clear" w:color="000000" w:fill="F5F5F5"/>
            <w:vAlign w:val="center"/>
            <w:hideMark/>
          </w:tcPr>
          <w:p w14:paraId="11D314AE" w14:textId="4ED0982F"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w:t>
            </w:r>
            <w:r w:rsidR="0092271C">
              <w:rPr>
                <w:rFonts w:eastAsia="Times New Roman" w:cs="Arial"/>
                <w:color w:val="000000"/>
                <w:sz w:val="20"/>
                <w:szCs w:val="20"/>
                <w:lang w:eastAsia="en-AU"/>
              </w:rPr>
              <w:t xml:space="preserve"> </w:t>
            </w:r>
            <w:r w:rsidRPr="0041479B">
              <w:rPr>
                <w:rFonts w:eastAsia="Times New Roman" w:cs="Arial"/>
                <w:color w:val="000000"/>
                <w:sz w:val="20"/>
                <w:szCs w:val="20"/>
                <w:lang w:eastAsia="en-AU"/>
              </w:rPr>
              <w:t>Forecast proceeds from disposal of assets</w:t>
            </w:r>
          </w:p>
        </w:tc>
        <w:tc>
          <w:tcPr>
            <w:tcW w:w="1230" w:type="dxa"/>
            <w:tcBorders>
              <w:top w:val="nil"/>
              <w:left w:val="nil"/>
              <w:bottom w:val="single" w:sz="4" w:space="0" w:color="auto"/>
              <w:right w:val="nil"/>
            </w:tcBorders>
            <w:shd w:val="clear" w:color="000000" w:fill="F5F5F5"/>
            <w:vAlign w:val="center"/>
            <w:hideMark/>
          </w:tcPr>
          <w:p w14:paraId="69CD019E"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0.8</w:t>
            </w:r>
          </w:p>
        </w:tc>
      </w:tr>
      <w:tr w:rsidR="0041479B" w:rsidRPr="0041479B" w14:paraId="0C010CBE" w14:textId="77777777" w:rsidTr="00DE132F">
        <w:trPr>
          <w:trHeight w:val="405"/>
        </w:trPr>
        <w:tc>
          <w:tcPr>
            <w:tcW w:w="5670" w:type="dxa"/>
            <w:tcBorders>
              <w:top w:val="single" w:sz="4" w:space="0" w:color="auto"/>
              <w:left w:val="nil"/>
              <w:bottom w:val="single" w:sz="4" w:space="0" w:color="auto"/>
              <w:right w:val="nil"/>
            </w:tcBorders>
            <w:shd w:val="clear" w:color="auto" w:fill="auto"/>
            <w:vAlign w:val="center"/>
            <w:hideMark/>
          </w:tcPr>
          <w:p w14:paraId="12BDD44B" w14:textId="77777777" w:rsidR="0041479B" w:rsidRPr="0041479B" w:rsidRDefault="0041479B" w:rsidP="0041479B">
            <w:pPr>
              <w:spacing w:after="0" w:line="240" w:lineRule="auto"/>
              <w:rPr>
                <w:rFonts w:eastAsia="Times New Roman" w:cs="Arial"/>
                <w:color w:val="000000"/>
                <w:sz w:val="20"/>
                <w:szCs w:val="20"/>
                <w:lang w:eastAsia="en-AU"/>
              </w:rPr>
            </w:pPr>
            <w:r w:rsidRPr="0041479B">
              <w:rPr>
                <w:rFonts w:eastAsia="Times New Roman" w:cs="Arial"/>
                <w:color w:val="000000"/>
                <w:sz w:val="20"/>
                <w:szCs w:val="20"/>
                <w:lang w:eastAsia="en-AU"/>
              </w:rPr>
              <w:t>= Opening RAB 1 July 2023</w:t>
            </w:r>
          </w:p>
        </w:tc>
        <w:tc>
          <w:tcPr>
            <w:tcW w:w="1230" w:type="dxa"/>
            <w:tcBorders>
              <w:top w:val="single" w:sz="4" w:space="0" w:color="auto"/>
              <w:left w:val="nil"/>
              <w:bottom w:val="single" w:sz="4" w:space="0" w:color="auto"/>
              <w:right w:val="nil"/>
            </w:tcBorders>
            <w:shd w:val="clear" w:color="auto" w:fill="auto"/>
            <w:vAlign w:val="center"/>
            <w:hideMark/>
          </w:tcPr>
          <w:p w14:paraId="17860881" w14:textId="77777777" w:rsidR="0041479B" w:rsidRPr="0041479B" w:rsidRDefault="0041479B" w:rsidP="0092271C">
            <w:pPr>
              <w:spacing w:after="0" w:line="240" w:lineRule="auto"/>
              <w:jc w:val="center"/>
              <w:rPr>
                <w:rFonts w:eastAsia="Times New Roman" w:cs="Arial"/>
                <w:color w:val="000000"/>
                <w:sz w:val="20"/>
                <w:szCs w:val="20"/>
                <w:lang w:eastAsia="en-AU"/>
              </w:rPr>
            </w:pPr>
            <w:r w:rsidRPr="0041479B">
              <w:rPr>
                <w:rFonts w:eastAsia="Times New Roman" w:cs="Arial"/>
                <w:color w:val="000000"/>
                <w:sz w:val="20"/>
                <w:szCs w:val="20"/>
                <w:lang w:eastAsia="en-AU"/>
              </w:rPr>
              <w:t>102.3</w:t>
            </w:r>
          </w:p>
        </w:tc>
      </w:tr>
    </w:tbl>
    <w:p w14:paraId="78F9023D" w14:textId="2B3CBBAC" w:rsidR="00642A9A" w:rsidRPr="00FE3FBD" w:rsidRDefault="00642A9A" w:rsidP="00787AC2">
      <w:pPr>
        <w:pStyle w:val="Heading3"/>
      </w:pPr>
      <w:r w:rsidRPr="00FE3FBD">
        <w:t>Projected RAB</w:t>
      </w:r>
    </w:p>
    <w:p w14:paraId="5F106CF1" w14:textId="6A16561B" w:rsidR="004E689D" w:rsidRPr="00FE3FBD" w:rsidRDefault="009443D6" w:rsidP="001268E4">
      <w:r w:rsidRPr="00FE3FBD">
        <w:t>Our forecast RAB is as follows:</w:t>
      </w:r>
    </w:p>
    <w:p w14:paraId="3CA9033A" w14:textId="43D186D4" w:rsidR="00234AA2" w:rsidRPr="007877C0" w:rsidRDefault="007877C0" w:rsidP="007877C0">
      <w:pPr>
        <w:pStyle w:val="Caption"/>
        <w:rPr>
          <w:rStyle w:val="IntenseEmphasis"/>
          <w:rFonts w:cs="Arial"/>
          <w:i/>
          <w:iCs/>
          <w:color w:val="auto"/>
          <w:sz w:val="20"/>
          <w:szCs w:val="20"/>
        </w:rPr>
      </w:pPr>
      <w:r w:rsidRPr="007877C0">
        <w:rPr>
          <w:b/>
          <w:bCs/>
          <w:i w:val="0"/>
          <w:iCs w:val="0"/>
          <w:color w:val="00B1B0" w:themeColor="accent1"/>
          <w:sz w:val="20"/>
          <w:szCs w:val="20"/>
        </w:rPr>
        <w:t xml:space="preserve">Table </w:t>
      </w:r>
      <w:r w:rsidRPr="007877C0">
        <w:rPr>
          <w:b/>
          <w:bCs/>
          <w:i w:val="0"/>
          <w:iCs w:val="0"/>
          <w:color w:val="00B1B0" w:themeColor="accent1"/>
          <w:sz w:val="20"/>
          <w:szCs w:val="20"/>
        </w:rPr>
        <w:fldChar w:fldCharType="begin"/>
      </w:r>
      <w:r w:rsidRPr="007877C0">
        <w:rPr>
          <w:b/>
          <w:bCs/>
          <w:i w:val="0"/>
          <w:iCs w:val="0"/>
          <w:color w:val="00B1B0" w:themeColor="accent1"/>
          <w:sz w:val="20"/>
          <w:szCs w:val="20"/>
        </w:rPr>
        <w:instrText xml:space="preserve"> SEQ Table \* ARABIC </w:instrText>
      </w:r>
      <w:r w:rsidRPr="007877C0">
        <w:rPr>
          <w:b/>
          <w:bCs/>
          <w:i w:val="0"/>
          <w:iCs w:val="0"/>
          <w:color w:val="00B1B0" w:themeColor="accent1"/>
          <w:sz w:val="20"/>
          <w:szCs w:val="20"/>
        </w:rPr>
        <w:fldChar w:fldCharType="separate"/>
      </w:r>
      <w:r w:rsidR="008126A8">
        <w:rPr>
          <w:b/>
          <w:bCs/>
          <w:i w:val="0"/>
          <w:iCs w:val="0"/>
          <w:noProof/>
          <w:color w:val="00B1B0" w:themeColor="accent1"/>
          <w:sz w:val="20"/>
          <w:szCs w:val="20"/>
        </w:rPr>
        <w:t>25</w:t>
      </w:r>
      <w:r w:rsidRPr="007877C0">
        <w:rPr>
          <w:b/>
          <w:bCs/>
          <w:i w:val="0"/>
          <w:iCs w:val="0"/>
          <w:color w:val="00B1B0" w:themeColor="accent1"/>
          <w:sz w:val="20"/>
          <w:szCs w:val="20"/>
        </w:rPr>
        <w:fldChar w:fldCharType="end"/>
      </w:r>
      <w:r w:rsidRPr="007877C0">
        <w:rPr>
          <w:b/>
          <w:bCs/>
          <w:i w:val="0"/>
          <w:iCs w:val="0"/>
          <w:color w:val="00B1B0" w:themeColor="accent1"/>
          <w:sz w:val="20"/>
          <w:szCs w:val="20"/>
        </w:rPr>
        <w:t xml:space="preserve"> </w:t>
      </w:r>
      <w:r w:rsidR="0092271C">
        <w:rPr>
          <w:b/>
          <w:bCs/>
          <w:i w:val="0"/>
          <w:iCs w:val="0"/>
          <w:color w:val="00B1B0" w:themeColor="accent1"/>
          <w:sz w:val="20"/>
          <w:szCs w:val="20"/>
        </w:rPr>
        <w:t>–</w:t>
      </w:r>
      <w:r w:rsidRPr="007877C0">
        <w:rPr>
          <w:b/>
          <w:bCs/>
          <w:i w:val="0"/>
          <w:iCs w:val="0"/>
          <w:color w:val="00B1B0" w:themeColor="accent1"/>
          <w:sz w:val="20"/>
          <w:szCs w:val="20"/>
        </w:rPr>
        <w:t xml:space="preserve"> </w:t>
      </w:r>
      <w:r w:rsidR="00234AA2" w:rsidRPr="007877C0">
        <w:rPr>
          <w:b/>
          <w:bCs/>
          <w:i w:val="0"/>
          <w:iCs w:val="0"/>
          <w:color w:val="00B1B0" w:themeColor="accent1"/>
          <w:sz w:val="20"/>
          <w:szCs w:val="20"/>
        </w:rPr>
        <w:t>Forecast RAB</w:t>
      </w:r>
    </w:p>
    <w:tbl>
      <w:tblPr>
        <w:tblW w:w="9923" w:type="dxa"/>
        <w:tblLook w:val="04A0" w:firstRow="1" w:lastRow="0" w:firstColumn="1" w:lastColumn="0" w:noHBand="0" w:noVBand="1"/>
      </w:tblPr>
      <w:tblGrid>
        <w:gridCol w:w="5954"/>
        <w:gridCol w:w="1843"/>
        <w:gridCol w:w="2126"/>
      </w:tblGrid>
      <w:tr w:rsidR="0073133F" w:rsidRPr="0073133F" w14:paraId="50B00871" w14:textId="77777777" w:rsidTr="006715BA">
        <w:trPr>
          <w:trHeight w:val="528"/>
        </w:trPr>
        <w:tc>
          <w:tcPr>
            <w:tcW w:w="5954" w:type="dxa"/>
            <w:tcBorders>
              <w:top w:val="nil"/>
              <w:left w:val="nil"/>
              <w:bottom w:val="nil"/>
              <w:right w:val="nil"/>
            </w:tcBorders>
            <w:shd w:val="clear" w:color="000000" w:fill="70CBD0"/>
            <w:vAlign w:val="center"/>
            <w:hideMark/>
          </w:tcPr>
          <w:p w14:paraId="23E5923B" w14:textId="77777777" w:rsidR="0073133F" w:rsidRPr="0073133F" w:rsidRDefault="0073133F" w:rsidP="0073133F">
            <w:pPr>
              <w:spacing w:after="0" w:line="240" w:lineRule="auto"/>
              <w:rPr>
                <w:rFonts w:eastAsia="Times New Roman" w:cs="Arial"/>
                <w:b/>
                <w:bCs/>
                <w:color w:val="FFFFFF"/>
                <w:sz w:val="20"/>
                <w:szCs w:val="20"/>
                <w:lang w:eastAsia="en-AU"/>
              </w:rPr>
            </w:pPr>
            <w:r w:rsidRPr="0073133F">
              <w:rPr>
                <w:rFonts w:eastAsia="Times New Roman" w:cs="Arial"/>
                <w:b/>
                <w:bCs/>
                <w:color w:val="FFFFFF"/>
                <w:sz w:val="20"/>
                <w:szCs w:val="20"/>
                <w:lang w:eastAsia="en-AU"/>
              </w:rPr>
              <w:t>Period</w:t>
            </w:r>
          </w:p>
        </w:tc>
        <w:tc>
          <w:tcPr>
            <w:tcW w:w="1843" w:type="dxa"/>
            <w:tcBorders>
              <w:top w:val="nil"/>
              <w:left w:val="nil"/>
              <w:bottom w:val="nil"/>
              <w:right w:val="nil"/>
            </w:tcBorders>
            <w:shd w:val="clear" w:color="000000" w:fill="70CBD0"/>
            <w:vAlign w:val="center"/>
            <w:hideMark/>
          </w:tcPr>
          <w:p w14:paraId="392797E8" w14:textId="77777777" w:rsidR="0073133F" w:rsidRPr="0073133F" w:rsidRDefault="0073133F" w:rsidP="0092271C">
            <w:pPr>
              <w:spacing w:after="0" w:line="240" w:lineRule="auto"/>
              <w:jc w:val="center"/>
              <w:rPr>
                <w:rFonts w:eastAsia="Times New Roman" w:cs="Arial"/>
                <w:b/>
                <w:bCs/>
                <w:color w:val="FFFFFF"/>
                <w:sz w:val="20"/>
                <w:szCs w:val="20"/>
                <w:lang w:eastAsia="en-AU"/>
              </w:rPr>
            </w:pPr>
            <w:r w:rsidRPr="0073133F">
              <w:rPr>
                <w:rFonts w:eastAsia="Times New Roman" w:cs="Arial"/>
                <w:b/>
                <w:bCs/>
                <w:color w:val="FFFFFF"/>
                <w:sz w:val="20"/>
                <w:szCs w:val="20"/>
                <w:lang w:eastAsia="en-AU"/>
              </w:rPr>
              <w:t>Financial year</w:t>
            </w:r>
          </w:p>
        </w:tc>
        <w:tc>
          <w:tcPr>
            <w:tcW w:w="2126" w:type="dxa"/>
            <w:tcBorders>
              <w:top w:val="nil"/>
              <w:left w:val="nil"/>
              <w:bottom w:val="nil"/>
              <w:right w:val="nil"/>
            </w:tcBorders>
            <w:shd w:val="clear" w:color="000000" w:fill="70CBD0"/>
            <w:vAlign w:val="center"/>
            <w:hideMark/>
          </w:tcPr>
          <w:p w14:paraId="3EFB7B25" w14:textId="77777777" w:rsidR="0073133F" w:rsidRPr="0073133F" w:rsidRDefault="0073133F" w:rsidP="0092271C">
            <w:pPr>
              <w:spacing w:after="0" w:line="240" w:lineRule="auto"/>
              <w:jc w:val="center"/>
              <w:rPr>
                <w:rFonts w:eastAsia="Times New Roman" w:cs="Arial"/>
                <w:b/>
                <w:bCs/>
                <w:color w:val="FFFFFF"/>
                <w:sz w:val="20"/>
                <w:szCs w:val="20"/>
                <w:lang w:eastAsia="en-AU"/>
              </w:rPr>
            </w:pPr>
            <w:r w:rsidRPr="0073133F">
              <w:rPr>
                <w:rFonts w:eastAsia="Times New Roman" w:cs="Arial"/>
                <w:b/>
                <w:bCs/>
                <w:color w:val="FFFFFF"/>
                <w:sz w:val="20"/>
                <w:szCs w:val="20"/>
                <w:lang w:eastAsia="en-AU"/>
              </w:rPr>
              <w:t>RAB</w:t>
            </w:r>
          </w:p>
        </w:tc>
      </w:tr>
      <w:tr w:rsidR="0073133F" w:rsidRPr="0073133F" w14:paraId="2DF8E92E" w14:textId="77777777" w:rsidTr="006715BA">
        <w:trPr>
          <w:trHeight w:val="510"/>
        </w:trPr>
        <w:tc>
          <w:tcPr>
            <w:tcW w:w="5954" w:type="dxa"/>
            <w:tcBorders>
              <w:top w:val="nil"/>
              <w:left w:val="nil"/>
              <w:bottom w:val="nil"/>
              <w:right w:val="nil"/>
            </w:tcBorders>
            <w:shd w:val="clear" w:color="000000" w:fill="F5F5F5"/>
            <w:vAlign w:val="center"/>
            <w:hideMark/>
          </w:tcPr>
          <w:p w14:paraId="0C40B444" w14:textId="77777777" w:rsidR="0073133F" w:rsidRPr="0092271C" w:rsidRDefault="0073133F" w:rsidP="0092271C">
            <w:pPr>
              <w:spacing w:before="40" w:after="40" w:line="240" w:lineRule="auto"/>
              <w:rPr>
                <w:rFonts w:eastAsia="Times New Roman" w:cs="Arial"/>
                <w:color w:val="000000"/>
                <w:sz w:val="20"/>
                <w:szCs w:val="20"/>
                <w:lang w:eastAsia="en-AU"/>
              </w:rPr>
            </w:pPr>
            <w:r w:rsidRPr="0092271C">
              <w:rPr>
                <w:rFonts w:eastAsia="Times New Roman" w:cs="Arial"/>
                <w:color w:val="000000"/>
                <w:sz w:val="20"/>
                <w:szCs w:val="20"/>
                <w:lang w:eastAsia="en-AU"/>
              </w:rPr>
              <w:t>Closing value for the RAB at 30 June 2022</w:t>
            </w:r>
          </w:p>
        </w:tc>
        <w:tc>
          <w:tcPr>
            <w:tcW w:w="1843" w:type="dxa"/>
            <w:tcBorders>
              <w:top w:val="nil"/>
              <w:left w:val="nil"/>
              <w:bottom w:val="nil"/>
              <w:right w:val="nil"/>
            </w:tcBorders>
            <w:shd w:val="clear" w:color="000000" w:fill="F2F2F2"/>
            <w:noWrap/>
            <w:vAlign w:val="bottom"/>
            <w:hideMark/>
          </w:tcPr>
          <w:p w14:paraId="295046AF" w14:textId="4899B451" w:rsidR="0073133F" w:rsidRPr="0073133F" w:rsidRDefault="0073133F" w:rsidP="0092271C">
            <w:pPr>
              <w:spacing w:before="40" w:after="40" w:line="240" w:lineRule="auto"/>
              <w:jc w:val="center"/>
              <w:rPr>
                <w:rFonts w:eastAsia="Times New Roman" w:cs="Arial"/>
                <w:sz w:val="16"/>
                <w:szCs w:val="16"/>
                <w:lang w:eastAsia="en-AU"/>
              </w:rPr>
            </w:pPr>
          </w:p>
        </w:tc>
        <w:tc>
          <w:tcPr>
            <w:tcW w:w="2126" w:type="dxa"/>
            <w:tcBorders>
              <w:top w:val="nil"/>
              <w:left w:val="nil"/>
              <w:bottom w:val="nil"/>
              <w:right w:val="nil"/>
            </w:tcBorders>
            <w:shd w:val="clear" w:color="auto" w:fill="F2F2F2" w:themeFill="background1" w:themeFillShade="F2"/>
            <w:noWrap/>
            <w:vAlign w:val="center"/>
            <w:hideMark/>
          </w:tcPr>
          <w:p w14:paraId="07B460F9" w14:textId="4BA768AF" w:rsidR="0073133F" w:rsidRPr="0073133F" w:rsidRDefault="007135E1" w:rsidP="0092271C">
            <w:pPr>
              <w:spacing w:before="40" w:after="40" w:line="240" w:lineRule="auto"/>
              <w:jc w:val="center"/>
              <w:rPr>
                <w:rFonts w:eastAsia="Times New Roman" w:cs="Arial"/>
                <w:sz w:val="16"/>
                <w:szCs w:val="16"/>
                <w:lang w:eastAsia="en-AU"/>
              </w:rPr>
            </w:pPr>
            <w:r w:rsidRPr="007135E1">
              <w:rPr>
                <w:rFonts w:eastAsia="Times New Roman" w:cs="Arial"/>
                <w:color w:val="000000"/>
                <w:sz w:val="20"/>
                <w:szCs w:val="20"/>
                <w:lang w:eastAsia="en-AU"/>
              </w:rPr>
              <w:t>102.3</w:t>
            </w:r>
          </w:p>
        </w:tc>
      </w:tr>
      <w:tr w:rsidR="0073133F" w:rsidRPr="0073133F" w14:paraId="799671A5" w14:textId="77777777" w:rsidTr="006715BA">
        <w:trPr>
          <w:trHeight w:val="255"/>
        </w:trPr>
        <w:tc>
          <w:tcPr>
            <w:tcW w:w="5954" w:type="dxa"/>
            <w:vMerge w:val="restart"/>
            <w:tcBorders>
              <w:top w:val="nil"/>
              <w:left w:val="nil"/>
              <w:bottom w:val="nil"/>
              <w:right w:val="nil"/>
            </w:tcBorders>
            <w:shd w:val="clear" w:color="auto" w:fill="auto"/>
            <w:vAlign w:val="center"/>
            <w:hideMark/>
          </w:tcPr>
          <w:p w14:paraId="41165072" w14:textId="77777777" w:rsidR="0073133F" w:rsidRPr="0092271C" w:rsidRDefault="0073133F" w:rsidP="0092271C">
            <w:pPr>
              <w:spacing w:before="40" w:after="40" w:line="240" w:lineRule="auto"/>
              <w:rPr>
                <w:rFonts w:eastAsia="Times New Roman" w:cs="Arial"/>
                <w:color w:val="000000"/>
                <w:sz w:val="20"/>
                <w:szCs w:val="20"/>
                <w:lang w:eastAsia="en-AU"/>
              </w:rPr>
            </w:pPr>
            <w:r w:rsidRPr="0092271C">
              <w:rPr>
                <w:rFonts w:eastAsia="Times New Roman" w:cs="Arial"/>
                <w:color w:val="000000"/>
                <w:sz w:val="20"/>
                <w:szCs w:val="20"/>
                <w:lang w:eastAsia="en-AU"/>
              </w:rPr>
              <w:t>Opening value of the RAB at</w:t>
            </w:r>
          </w:p>
        </w:tc>
        <w:tc>
          <w:tcPr>
            <w:tcW w:w="1843" w:type="dxa"/>
            <w:tcBorders>
              <w:top w:val="nil"/>
              <w:left w:val="nil"/>
              <w:bottom w:val="nil"/>
              <w:right w:val="nil"/>
            </w:tcBorders>
            <w:shd w:val="clear" w:color="auto" w:fill="auto"/>
            <w:vAlign w:val="center"/>
            <w:hideMark/>
          </w:tcPr>
          <w:p w14:paraId="1018EAE0"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2023-4</w:t>
            </w:r>
          </w:p>
        </w:tc>
        <w:tc>
          <w:tcPr>
            <w:tcW w:w="2126" w:type="dxa"/>
            <w:tcBorders>
              <w:top w:val="nil"/>
              <w:left w:val="nil"/>
              <w:bottom w:val="nil"/>
              <w:right w:val="nil"/>
            </w:tcBorders>
            <w:shd w:val="clear" w:color="auto" w:fill="auto"/>
            <w:vAlign w:val="center"/>
            <w:hideMark/>
          </w:tcPr>
          <w:p w14:paraId="26F75577"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128.9</w:t>
            </w:r>
          </w:p>
        </w:tc>
      </w:tr>
      <w:tr w:rsidR="0073133F" w:rsidRPr="0073133F" w14:paraId="30619B95" w14:textId="77777777" w:rsidTr="006715BA">
        <w:trPr>
          <w:trHeight w:val="264"/>
        </w:trPr>
        <w:tc>
          <w:tcPr>
            <w:tcW w:w="5954" w:type="dxa"/>
            <w:vMerge/>
            <w:tcBorders>
              <w:top w:val="nil"/>
              <w:left w:val="nil"/>
              <w:bottom w:val="nil"/>
              <w:right w:val="nil"/>
            </w:tcBorders>
            <w:vAlign w:val="center"/>
            <w:hideMark/>
          </w:tcPr>
          <w:p w14:paraId="1B92C8B8" w14:textId="77777777" w:rsidR="0073133F" w:rsidRPr="0092271C" w:rsidRDefault="0073133F" w:rsidP="0092271C">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000000" w:fill="F5F5F5"/>
            <w:vAlign w:val="center"/>
            <w:hideMark/>
          </w:tcPr>
          <w:p w14:paraId="692B0565"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2024-5</w:t>
            </w:r>
          </w:p>
        </w:tc>
        <w:tc>
          <w:tcPr>
            <w:tcW w:w="2126" w:type="dxa"/>
            <w:tcBorders>
              <w:top w:val="nil"/>
              <w:left w:val="nil"/>
              <w:bottom w:val="nil"/>
              <w:right w:val="nil"/>
            </w:tcBorders>
            <w:shd w:val="clear" w:color="000000" w:fill="F5F5F5"/>
            <w:vAlign w:val="center"/>
            <w:hideMark/>
          </w:tcPr>
          <w:p w14:paraId="327AE9A1"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140.8</w:t>
            </w:r>
          </w:p>
        </w:tc>
      </w:tr>
      <w:tr w:rsidR="0073133F" w:rsidRPr="0073133F" w14:paraId="10381DD4" w14:textId="77777777" w:rsidTr="006715BA">
        <w:trPr>
          <w:trHeight w:val="264"/>
        </w:trPr>
        <w:tc>
          <w:tcPr>
            <w:tcW w:w="5954" w:type="dxa"/>
            <w:vMerge/>
            <w:tcBorders>
              <w:top w:val="nil"/>
              <w:left w:val="nil"/>
              <w:bottom w:val="nil"/>
              <w:right w:val="nil"/>
            </w:tcBorders>
            <w:vAlign w:val="center"/>
            <w:hideMark/>
          </w:tcPr>
          <w:p w14:paraId="2B9A71A8" w14:textId="77777777" w:rsidR="0073133F" w:rsidRPr="0092271C" w:rsidRDefault="0073133F" w:rsidP="0092271C">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auto" w:fill="auto"/>
            <w:vAlign w:val="center"/>
            <w:hideMark/>
          </w:tcPr>
          <w:p w14:paraId="5F06FB4B"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2025-6</w:t>
            </w:r>
          </w:p>
        </w:tc>
        <w:tc>
          <w:tcPr>
            <w:tcW w:w="2126" w:type="dxa"/>
            <w:tcBorders>
              <w:top w:val="nil"/>
              <w:left w:val="nil"/>
              <w:bottom w:val="nil"/>
              <w:right w:val="nil"/>
            </w:tcBorders>
            <w:shd w:val="clear" w:color="auto" w:fill="auto"/>
            <w:vAlign w:val="center"/>
            <w:hideMark/>
          </w:tcPr>
          <w:p w14:paraId="29E34E1B"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148.0</w:t>
            </w:r>
          </w:p>
        </w:tc>
      </w:tr>
      <w:tr w:rsidR="0073133F" w:rsidRPr="0073133F" w14:paraId="07EDF65D" w14:textId="77777777" w:rsidTr="006715BA">
        <w:trPr>
          <w:trHeight w:val="264"/>
        </w:trPr>
        <w:tc>
          <w:tcPr>
            <w:tcW w:w="5954" w:type="dxa"/>
            <w:vMerge/>
            <w:tcBorders>
              <w:top w:val="nil"/>
              <w:left w:val="nil"/>
              <w:bottom w:val="nil"/>
              <w:right w:val="nil"/>
            </w:tcBorders>
            <w:vAlign w:val="center"/>
            <w:hideMark/>
          </w:tcPr>
          <w:p w14:paraId="53DD1473" w14:textId="77777777" w:rsidR="0073133F" w:rsidRPr="0092271C" w:rsidRDefault="0073133F" w:rsidP="0092271C">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000000" w:fill="F5F5F5"/>
            <w:vAlign w:val="center"/>
            <w:hideMark/>
          </w:tcPr>
          <w:p w14:paraId="63664FB9"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2026-7</w:t>
            </w:r>
          </w:p>
        </w:tc>
        <w:tc>
          <w:tcPr>
            <w:tcW w:w="2126" w:type="dxa"/>
            <w:tcBorders>
              <w:top w:val="nil"/>
              <w:left w:val="nil"/>
              <w:bottom w:val="nil"/>
              <w:right w:val="nil"/>
            </w:tcBorders>
            <w:shd w:val="clear" w:color="000000" w:fill="F5F5F5"/>
            <w:vAlign w:val="center"/>
            <w:hideMark/>
          </w:tcPr>
          <w:p w14:paraId="670D6524"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157.9</w:t>
            </w:r>
          </w:p>
        </w:tc>
      </w:tr>
      <w:tr w:rsidR="0073133F" w:rsidRPr="0073133F" w14:paraId="0A05144A" w14:textId="77777777" w:rsidTr="006715BA">
        <w:trPr>
          <w:trHeight w:val="264"/>
        </w:trPr>
        <w:tc>
          <w:tcPr>
            <w:tcW w:w="5954" w:type="dxa"/>
            <w:vMerge/>
            <w:tcBorders>
              <w:top w:val="nil"/>
              <w:left w:val="nil"/>
              <w:right w:val="nil"/>
            </w:tcBorders>
            <w:vAlign w:val="center"/>
            <w:hideMark/>
          </w:tcPr>
          <w:p w14:paraId="4F1110EC" w14:textId="77777777" w:rsidR="0073133F" w:rsidRPr="0092271C" w:rsidRDefault="0073133F" w:rsidP="0092271C">
            <w:pPr>
              <w:spacing w:before="40" w:after="40" w:line="240" w:lineRule="auto"/>
              <w:rPr>
                <w:rFonts w:eastAsia="Times New Roman" w:cs="Arial"/>
                <w:color w:val="000000"/>
                <w:sz w:val="20"/>
                <w:szCs w:val="20"/>
                <w:lang w:eastAsia="en-AU"/>
              </w:rPr>
            </w:pPr>
          </w:p>
        </w:tc>
        <w:tc>
          <w:tcPr>
            <w:tcW w:w="1843" w:type="dxa"/>
            <w:tcBorders>
              <w:top w:val="nil"/>
              <w:left w:val="nil"/>
              <w:right w:val="nil"/>
            </w:tcBorders>
            <w:shd w:val="clear" w:color="auto" w:fill="auto"/>
            <w:vAlign w:val="center"/>
            <w:hideMark/>
          </w:tcPr>
          <w:p w14:paraId="5CC2FDFB"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2027-8</w:t>
            </w:r>
          </w:p>
        </w:tc>
        <w:tc>
          <w:tcPr>
            <w:tcW w:w="2126" w:type="dxa"/>
            <w:tcBorders>
              <w:top w:val="nil"/>
              <w:left w:val="nil"/>
              <w:right w:val="nil"/>
            </w:tcBorders>
            <w:shd w:val="clear" w:color="auto" w:fill="auto"/>
            <w:vAlign w:val="center"/>
            <w:hideMark/>
          </w:tcPr>
          <w:p w14:paraId="3F9674A1" w14:textId="77777777" w:rsidR="0073133F" w:rsidRPr="0073133F" w:rsidRDefault="0073133F" w:rsidP="0092271C">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162.7</w:t>
            </w:r>
          </w:p>
        </w:tc>
      </w:tr>
      <w:tr w:rsidR="002816A4" w:rsidRPr="0073133F" w14:paraId="3A0801B4" w14:textId="77777777" w:rsidTr="006715BA">
        <w:trPr>
          <w:trHeight w:val="255"/>
        </w:trPr>
        <w:tc>
          <w:tcPr>
            <w:tcW w:w="5954" w:type="dxa"/>
            <w:vMerge w:val="restart"/>
            <w:tcBorders>
              <w:top w:val="nil"/>
              <w:left w:val="nil"/>
              <w:bottom w:val="nil"/>
              <w:right w:val="nil"/>
            </w:tcBorders>
            <w:shd w:val="clear" w:color="000000" w:fill="F5F5F5"/>
            <w:vAlign w:val="center"/>
            <w:hideMark/>
          </w:tcPr>
          <w:p w14:paraId="7FE81F83" w14:textId="77777777" w:rsidR="002816A4" w:rsidRPr="0092271C" w:rsidRDefault="002816A4" w:rsidP="002816A4">
            <w:pPr>
              <w:spacing w:before="40" w:after="40" w:line="240" w:lineRule="auto"/>
              <w:rPr>
                <w:rFonts w:eastAsia="Times New Roman" w:cs="Arial"/>
                <w:color w:val="000000"/>
                <w:sz w:val="20"/>
                <w:szCs w:val="20"/>
                <w:lang w:eastAsia="en-AU"/>
              </w:rPr>
            </w:pPr>
            <w:r w:rsidRPr="0092271C">
              <w:rPr>
                <w:rFonts w:eastAsia="Times New Roman" w:cs="Arial"/>
                <w:color w:val="000000"/>
                <w:sz w:val="20"/>
                <w:szCs w:val="20"/>
                <w:lang w:eastAsia="en-AU"/>
              </w:rPr>
              <w:t>Next price period</w:t>
            </w:r>
          </w:p>
        </w:tc>
        <w:tc>
          <w:tcPr>
            <w:tcW w:w="1843" w:type="dxa"/>
            <w:tcBorders>
              <w:top w:val="nil"/>
              <w:left w:val="nil"/>
              <w:bottom w:val="nil"/>
              <w:right w:val="nil"/>
            </w:tcBorders>
            <w:shd w:val="clear" w:color="000000" w:fill="F5F5F5"/>
            <w:vAlign w:val="center"/>
            <w:hideMark/>
          </w:tcPr>
          <w:p w14:paraId="070DF37B" w14:textId="77777777" w:rsidR="002816A4" w:rsidRPr="0073133F" w:rsidRDefault="002816A4" w:rsidP="002816A4">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2028-9</w:t>
            </w:r>
          </w:p>
        </w:tc>
        <w:tc>
          <w:tcPr>
            <w:tcW w:w="2126" w:type="dxa"/>
            <w:tcBorders>
              <w:top w:val="nil"/>
              <w:left w:val="nil"/>
              <w:bottom w:val="nil"/>
              <w:right w:val="nil"/>
            </w:tcBorders>
            <w:shd w:val="clear" w:color="000000" w:fill="F5F5F5"/>
            <w:vAlign w:val="center"/>
            <w:hideMark/>
          </w:tcPr>
          <w:p w14:paraId="3D427825" w14:textId="4AEDDC87" w:rsidR="002816A4" w:rsidRPr="00856F71" w:rsidRDefault="002816A4" w:rsidP="002816A4">
            <w:pPr>
              <w:spacing w:before="40" w:after="40" w:line="240" w:lineRule="auto"/>
              <w:jc w:val="center"/>
              <w:rPr>
                <w:rFonts w:eastAsia="Times New Roman" w:cs="Arial"/>
                <w:sz w:val="20"/>
                <w:szCs w:val="20"/>
                <w:lang w:eastAsia="en-AU"/>
              </w:rPr>
            </w:pPr>
            <w:r w:rsidRPr="00856F71">
              <w:rPr>
                <w:rFonts w:cs="Arial"/>
                <w:sz w:val="20"/>
                <w:szCs w:val="20"/>
                <w:lang w:eastAsia="en-AU"/>
              </w:rPr>
              <w:t>166.5</w:t>
            </w:r>
          </w:p>
        </w:tc>
      </w:tr>
      <w:tr w:rsidR="002816A4" w:rsidRPr="0073133F" w14:paraId="4BD3B140" w14:textId="77777777" w:rsidTr="006715BA">
        <w:trPr>
          <w:trHeight w:val="264"/>
        </w:trPr>
        <w:tc>
          <w:tcPr>
            <w:tcW w:w="5954" w:type="dxa"/>
            <w:vMerge/>
            <w:tcBorders>
              <w:top w:val="nil"/>
              <w:left w:val="nil"/>
              <w:bottom w:val="nil"/>
              <w:right w:val="nil"/>
            </w:tcBorders>
            <w:vAlign w:val="center"/>
            <w:hideMark/>
          </w:tcPr>
          <w:p w14:paraId="60361D32" w14:textId="77777777" w:rsidR="002816A4" w:rsidRPr="0092271C" w:rsidRDefault="002816A4" w:rsidP="002816A4">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auto" w:fill="auto"/>
            <w:vAlign w:val="center"/>
            <w:hideMark/>
          </w:tcPr>
          <w:p w14:paraId="170AF9F5" w14:textId="77777777" w:rsidR="002816A4" w:rsidRPr="0073133F" w:rsidRDefault="002816A4" w:rsidP="002816A4">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2029-30</w:t>
            </w:r>
          </w:p>
        </w:tc>
        <w:tc>
          <w:tcPr>
            <w:tcW w:w="2126" w:type="dxa"/>
            <w:tcBorders>
              <w:top w:val="nil"/>
              <w:left w:val="nil"/>
              <w:bottom w:val="nil"/>
              <w:right w:val="nil"/>
            </w:tcBorders>
            <w:shd w:val="clear" w:color="auto" w:fill="auto"/>
            <w:vAlign w:val="center"/>
            <w:hideMark/>
          </w:tcPr>
          <w:p w14:paraId="1B23E9F9" w14:textId="2231F68C" w:rsidR="002816A4" w:rsidRPr="00856F71" w:rsidRDefault="002816A4" w:rsidP="002816A4">
            <w:pPr>
              <w:spacing w:before="40" w:after="40" w:line="240" w:lineRule="auto"/>
              <w:jc w:val="center"/>
              <w:rPr>
                <w:rFonts w:eastAsia="Times New Roman" w:cs="Arial"/>
                <w:sz w:val="20"/>
                <w:szCs w:val="20"/>
                <w:lang w:eastAsia="en-AU"/>
              </w:rPr>
            </w:pPr>
            <w:r w:rsidRPr="00856F71">
              <w:rPr>
                <w:rFonts w:cs="Arial"/>
                <w:sz w:val="20"/>
                <w:szCs w:val="20"/>
                <w:lang w:eastAsia="en-AU"/>
              </w:rPr>
              <w:t>169.8</w:t>
            </w:r>
          </w:p>
        </w:tc>
      </w:tr>
      <w:tr w:rsidR="002816A4" w:rsidRPr="0073133F" w14:paraId="0E36C4C8" w14:textId="77777777" w:rsidTr="006715BA">
        <w:trPr>
          <w:trHeight w:val="264"/>
        </w:trPr>
        <w:tc>
          <w:tcPr>
            <w:tcW w:w="5954" w:type="dxa"/>
            <w:vMerge/>
            <w:tcBorders>
              <w:top w:val="nil"/>
              <w:left w:val="nil"/>
              <w:bottom w:val="nil"/>
              <w:right w:val="nil"/>
            </w:tcBorders>
            <w:vAlign w:val="center"/>
            <w:hideMark/>
          </w:tcPr>
          <w:p w14:paraId="1343BC25" w14:textId="77777777" w:rsidR="002816A4" w:rsidRPr="0092271C" w:rsidRDefault="002816A4" w:rsidP="002816A4">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000000" w:fill="F5F5F5"/>
            <w:vAlign w:val="center"/>
            <w:hideMark/>
          </w:tcPr>
          <w:p w14:paraId="28958D64" w14:textId="77777777" w:rsidR="002816A4" w:rsidRPr="0073133F" w:rsidRDefault="002816A4" w:rsidP="002816A4">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2030-1</w:t>
            </w:r>
          </w:p>
        </w:tc>
        <w:tc>
          <w:tcPr>
            <w:tcW w:w="2126" w:type="dxa"/>
            <w:tcBorders>
              <w:top w:val="nil"/>
              <w:left w:val="nil"/>
              <w:bottom w:val="nil"/>
              <w:right w:val="nil"/>
            </w:tcBorders>
            <w:shd w:val="clear" w:color="000000" w:fill="F5F5F5"/>
            <w:vAlign w:val="center"/>
            <w:hideMark/>
          </w:tcPr>
          <w:p w14:paraId="0C5E06C7" w14:textId="71CC189F" w:rsidR="002816A4" w:rsidRPr="00856F71" w:rsidRDefault="002816A4" w:rsidP="002816A4">
            <w:pPr>
              <w:spacing w:before="40" w:after="40" w:line="240" w:lineRule="auto"/>
              <w:jc w:val="center"/>
              <w:rPr>
                <w:rFonts w:eastAsia="Times New Roman" w:cs="Arial"/>
                <w:sz w:val="20"/>
                <w:szCs w:val="20"/>
                <w:lang w:eastAsia="en-AU"/>
              </w:rPr>
            </w:pPr>
            <w:r w:rsidRPr="00856F71">
              <w:rPr>
                <w:rFonts w:cs="Arial"/>
                <w:sz w:val="20"/>
                <w:szCs w:val="20"/>
                <w:lang w:eastAsia="en-AU"/>
              </w:rPr>
              <w:t>173.0</w:t>
            </w:r>
          </w:p>
        </w:tc>
      </w:tr>
      <w:tr w:rsidR="002816A4" w:rsidRPr="0073133F" w14:paraId="71104E4A" w14:textId="77777777" w:rsidTr="006715BA">
        <w:trPr>
          <w:trHeight w:val="264"/>
        </w:trPr>
        <w:tc>
          <w:tcPr>
            <w:tcW w:w="5954" w:type="dxa"/>
            <w:vMerge/>
            <w:tcBorders>
              <w:top w:val="nil"/>
              <w:left w:val="nil"/>
              <w:bottom w:val="nil"/>
              <w:right w:val="nil"/>
            </w:tcBorders>
            <w:vAlign w:val="center"/>
            <w:hideMark/>
          </w:tcPr>
          <w:p w14:paraId="6627E0E1" w14:textId="77777777" w:rsidR="002816A4" w:rsidRPr="0092271C" w:rsidRDefault="002816A4" w:rsidP="002816A4">
            <w:pPr>
              <w:spacing w:before="40" w:after="40" w:line="240" w:lineRule="auto"/>
              <w:rPr>
                <w:rFonts w:eastAsia="Times New Roman" w:cs="Arial"/>
                <w:color w:val="000000"/>
                <w:sz w:val="20"/>
                <w:szCs w:val="20"/>
                <w:lang w:eastAsia="en-AU"/>
              </w:rPr>
            </w:pPr>
          </w:p>
        </w:tc>
        <w:tc>
          <w:tcPr>
            <w:tcW w:w="1843" w:type="dxa"/>
            <w:tcBorders>
              <w:top w:val="nil"/>
              <w:left w:val="nil"/>
              <w:bottom w:val="nil"/>
              <w:right w:val="nil"/>
            </w:tcBorders>
            <w:shd w:val="clear" w:color="auto" w:fill="auto"/>
            <w:vAlign w:val="center"/>
            <w:hideMark/>
          </w:tcPr>
          <w:p w14:paraId="22EB08BB" w14:textId="77777777" w:rsidR="002816A4" w:rsidRPr="0073133F" w:rsidRDefault="002816A4" w:rsidP="002816A4">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2031-2</w:t>
            </w:r>
          </w:p>
        </w:tc>
        <w:tc>
          <w:tcPr>
            <w:tcW w:w="2126" w:type="dxa"/>
            <w:tcBorders>
              <w:top w:val="nil"/>
              <w:left w:val="nil"/>
              <w:bottom w:val="nil"/>
              <w:right w:val="nil"/>
            </w:tcBorders>
            <w:shd w:val="clear" w:color="auto" w:fill="auto"/>
            <w:vAlign w:val="center"/>
            <w:hideMark/>
          </w:tcPr>
          <w:p w14:paraId="2DBAC47A" w14:textId="3DD97BB4" w:rsidR="002816A4" w:rsidRPr="00856F71" w:rsidRDefault="002816A4" w:rsidP="002816A4">
            <w:pPr>
              <w:spacing w:before="40" w:after="40" w:line="240" w:lineRule="auto"/>
              <w:jc w:val="center"/>
              <w:rPr>
                <w:rFonts w:eastAsia="Times New Roman" w:cs="Arial"/>
                <w:sz w:val="20"/>
                <w:szCs w:val="20"/>
                <w:lang w:eastAsia="en-AU"/>
              </w:rPr>
            </w:pPr>
            <w:r w:rsidRPr="00856F71">
              <w:rPr>
                <w:rFonts w:cs="Arial"/>
                <w:sz w:val="20"/>
                <w:szCs w:val="20"/>
                <w:lang w:eastAsia="en-AU"/>
              </w:rPr>
              <w:t>178.9</w:t>
            </w:r>
          </w:p>
        </w:tc>
      </w:tr>
      <w:tr w:rsidR="002816A4" w:rsidRPr="0073133F" w14:paraId="69433950" w14:textId="77777777" w:rsidTr="006715BA">
        <w:trPr>
          <w:trHeight w:val="264"/>
        </w:trPr>
        <w:tc>
          <w:tcPr>
            <w:tcW w:w="5954" w:type="dxa"/>
            <w:vMerge/>
            <w:tcBorders>
              <w:top w:val="nil"/>
              <w:left w:val="nil"/>
              <w:bottom w:val="single" w:sz="4" w:space="0" w:color="auto"/>
              <w:right w:val="nil"/>
            </w:tcBorders>
            <w:vAlign w:val="center"/>
            <w:hideMark/>
          </w:tcPr>
          <w:p w14:paraId="19986226" w14:textId="77777777" w:rsidR="002816A4" w:rsidRPr="0092271C" w:rsidRDefault="002816A4" w:rsidP="002816A4">
            <w:pPr>
              <w:spacing w:before="40" w:after="40" w:line="240" w:lineRule="auto"/>
              <w:rPr>
                <w:rFonts w:eastAsia="Times New Roman" w:cs="Arial"/>
                <w:color w:val="000000"/>
                <w:sz w:val="20"/>
                <w:szCs w:val="20"/>
                <w:lang w:eastAsia="en-AU"/>
              </w:rPr>
            </w:pPr>
          </w:p>
        </w:tc>
        <w:tc>
          <w:tcPr>
            <w:tcW w:w="1843" w:type="dxa"/>
            <w:tcBorders>
              <w:top w:val="nil"/>
              <w:left w:val="nil"/>
              <w:bottom w:val="single" w:sz="4" w:space="0" w:color="auto"/>
              <w:right w:val="nil"/>
            </w:tcBorders>
            <w:shd w:val="clear" w:color="000000" w:fill="F5F5F5"/>
            <w:vAlign w:val="center"/>
            <w:hideMark/>
          </w:tcPr>
          <w:p w14:paraId="05FA09A0" w14:textId="77777777" w:rsidR="002816A4" w:rsidRPr="0073133F" w:rsidRDefault="002816A4" w:rsidP="002816A4">
            <w:pPr>
              <w:spacing w:before="40" w:after="40" w:line="240" w:lineRule="auto"/>
              <w:jc w:val="center"/>
              <w:rPr>
                <w:rFonts w:eastAsia="Times New Roman" w:cs="Arial"/>
                <w:color w:val="000000"/>
                <w:sz w:val="20"/>
                <w:szCs w:val="20"/>
                <w:lang w:eastAsia="en-AU"/>
              </w:rPr>
            </w:pPr>
            <w:r w:rsidRPr="0073133F">
              <w:rPr>
                <w:rFonts w:eastAsia="Times New Roman" w:cs="Arial"/>
                <w:color w:val="000000"/>
                <w:sz w:val="20"/>
                <w:szCs w:val="20"/>
                <w:lang w:eastAsia="en-AU"/>
              </w:rPr>
              <w:t>2032-3</w:t>
            </w:r>
          </w:p>
        </w:tc>
        <w:tc>
          <w:tcPr>
            <w:tcW w:w="2126" w:type="dxa"/>
            <w:tcBorders>
              <w:top w:val="nil"/>
              <w:left w:val="nil"/>
              <w:bottom w:val="single" w:sz="4" w:space="0" w:color="auto"/>
              <w:right w:val="nil"/>
            </w:tcBorders>
            <w:shd w:val="clear" w:color="000000" w:fill="F5F5F5"/>
            <w:vAlign w:val="center"/>
            <w:hideMark/>
          </w:tcPr>
          <w:p w14:paraId="644FECFB" w14:textId="5B6B909D" w:rsidR="002816A4" w:rsidRPr="00856F71" w:rsidRDefault="002816A4" w:rsidP="002816A4">
            <w:pPr>
              <w:spacing w:before="40" w:after="40" w:line="240" w:lineRule="auto"/>
              <w:jc w:val="center"/>
              <w:rPr>
                <w:rFonts w:eastAsia="Times New Roman" w:cs="Arial"/>
                <w:sz w:val="20"/>
                <w:szCs w:val="20"/>
                <w:lang w:eastAsia="en-AU"/>
              </w:rPr>
            </w:pPr>
            <w:r w:rsidRPr="00856F71">
              <w:rPr>
                <w:rFonts w:cs="Arial"/>
                <w:sz w:val="20"/>
                <w:szCs w:val="20"/>
                <w:lang w:eastAsia="en-AU"/>
              </w:rPr>
              <w:t>179.3</w:t>
            </w:r>
          </w:p>
        </w:tc>
      </w:tr>
    </w:tbl>
    <w:p w14:paraId="5B338A0C" w14:textId="7E17F1F5" w:rsidR="00FD7220" w:rsidRPr="00C760F8" w:rsidRDefault="00FD7220" w:rsidP="00787AC2">
      <w:pPr>
        <w:pStyle w:val="Heading3"/>
      </w:pPr>
      <w:r w:rsidRPr="00C760F8">
        <w:t xml:space="preserve">RAB </w:t>
      </w:r>
      <w:r w:rsidR="009A3F54" w:rsidRPr="00C760F8">
        <w:t>components</w:t>
      </w:r>
    </w:p>
    <w:p w14:paraId="05055454" w14:textId="59FC8E09" w:rsidR="00851399" w:rsidRDefault="00396451" w:rsidP="004B452E">
      <w:pPr>
        <w:jc w:val="center"/>
        <w:rPr>
          <w:noProof/>
        </w:rPr>
      </w:pPr>
      <w:r>
        <w:rPr>
          <w:noProof/>
        </w:rPr>
        <w:drawing>
          <wp:inline distT="0" distB="0" distL="0" distR="0" wp14:anchorId="59E27CC3" wp14:editId="30B94316">
            <wp:extent cx="5108713" cy="2872409"/>
            <wp:effectExtent l="0" t="0" r="0" b="4445"/>
            <wp:docPr id="22" name="Chart 22">
              <a:extLst xmlns:a="http://schemas.openxmlformats.org/drawingml/2006/main">
                <a:ext uri="{FF2B5EF4-FFF2-40B4-BE49-F238E27FC236}">
                  <a16:creationId xmlns:a16="http://schemas.microsoft.com/office/drawing/2014/main" id="{00000000-0008-0000-1800-000009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6121739" w14:textId="30AD495A" w:rsidR="008F772A" w:rsidRPr="008F772A" w:rsidRDefault="008F772A" w:rsidP="008F772A">
      <w:pPr>
        <w:pStyle w:val="Caption"/>
        <w:rPr>
          <w:b/>
          <w:bCs/>
          <w:i w:val="0"/>
          <w:iCs w:val="0"/>
          <w:color w:val="00B1B0" w:themeColor="accent1"/>
          <w:sz w:val="20"/>
          <w:szCs w:val="20"/>
        </w:rPr>
      </w:pPr>
      <w:r w:rsidRPr="008F772A">
        <w:rPr>
          <w:b/>
          <w:bCs/>
          <w:i w:val="0"/>
          <w:iCs w:val="0"/>
          <w:color w:val="00B1B0" w:themeColor="accent1"/>
          <w:sz w:val="20"/>
          <w:szCs w:val="20"/>
        </w:rPr>
        <w:t xml:space="preserve">Figure </w:t>
      </w:r>
      <w:r w:rsidRPr="008F772A">
        <w:rPr>
          <w:b/>
          <w:bCs/>
          <w:i w:val="0"/>
          <w:iCs w:val="0"/>
          <w:color w:val="00B1B0" w:themeColor="accent1"/>
          <w:sz w:val="20"/>
          <w:szCs w:val="20"/>
        </w:rPr>
        <w:fldChar w:fldCharType="begin"/>
      </w:r>
      <w:r w:rsidRPr="008F772A">
        <w:rPr>
          <w:b/>
          <w:bCs/>
          <w:i w:val="0"/>
          <w:iCs w:val="0"/>
          <w:color w:val="00B1B0" w:themeColor="accent1"/>
          <w:sz w:val="20"/>
          <w:szCs w:val="20"/>
        </w:rPr>
        <w:instrText xml:space="preserve"> SEQ Figure \* ARABIC </w:instrText>
      </w:r>
      <w:r w:rsidRPr="008F772A">
        <w:rPr>
          <w:b/>
          <w:bCs/>
          <w:i w:val="0"/>
          <w:iCs w:val="0"/>
          <w:color w:val="00B1B0" w:themeColor="accent1"/>
          <w:sz w:val="20"/>
          <w:szCs w:val="20"/>
        </w:rPr>
        <w:fldChar w:fldCharType="separate"/>
      </w:r>
      <w:r w:rsidR="008126A8">
        <w:rPr>
          <w:b/>
          <w:bCs/>
          <w:i w:val="0"/>
          <w:iCs w:val="0"/>
          <w:noProof/>
          <w:color w:val="00B1B0" w:themeColor="accent1"/>
          <w:sz w:val="20"/>
          <w:szCs w:val="20"/>
        </w:rPr>
        <w:t>8</w:t>
      </w:r>
      <w:r w:rsidRPr="008F772A">
        <w:rPr>
          <w:b/>
          <w:bCs/>
          <w:i w:val="0"/>
          <w:iCs w:val="0"/>
          <w:color w:val="00B1B0" w:themeColor="accent1"/>
          <w:sz w:val="20"/>
          <w:szCs w:val="20"/>
        </w:rPr>
        <w:fldChar w:fldCharType="end"/>
      </w:r>
      <w:r w:rsidRPr="008F772A">
        <w:rPr>
          <w:b/>
          <w:bCs/>
          <w:i w:val="0"/>
          <w:iCs w:val="0"/>
          <w:color w:val="00B1B0" w:themeColor="accent1"/>
          <w:sz w:val="20"/>
          <w:szCs w:val="20"/>
        </w:rPr>
        <w:t xml:space="preserve"> – RAB components</w:t>
      </w:r>
      <w:r>
        <w:rPr>
          <w:b/>
          <w:bCs/>
          <w:i w:val="0"/>
          <w:iCs w:val="0"/>
          <w:color w:val="00B1B0" w:themeColor="accent1"/>
          <w:sz w:val="20"/>
          <w:szCs w:val="20"/>
        </w:rPr>
        <w:br/>
      </w:r>
    </w:p>
    <w:p w14:paraId="16BDD79B" w14:textId="385944DA" w:rsidR="002F094E" w:rsidRPr="00192F41" w:rsidRDefault="00D470E4" w:rsidP="00824B57">
      <w:pPr>
        <w:pStyle w:val="Heading4"/>
        <w:rPr>
          <w:rFonts w:cs="Arial"/>
        </w:rPr>
      </w:pPr>
      <w:r w:rsidRPr="00192F41">
        <w:rPr>
          <w:rFonts w:cs="Arial"/>
        </w:rPr>
        <w:t>G</w:t>
      </w:r>
      <w:r w:rsidR="00E92B15" w:rsidRPr="00192F41">
        <w:rPr>
          <w:rFonts w:cs="Arial"/>
        </w:rPr>
        <w:t>overnment contributions</w:t>
      </w:r>
    </w:p>
    <w:p w14:paraId="55930B0A" w14:textId="7F874B70" w:rsidR="00EA29BC" w:rsidRPr="00C760F8" w:rsidRDefault="00D54D38" w:rsidP="006715BA">
      <w:pPr>
        <w:jc w:val="both"/>
      </w:pPr>
      <w:r w:rsidRPr="00C760F8">
        <w:t>Section 8</w:t>
      </w:r>
      <w:r w:rsidR="00D470E4" w:rsidRPr="00C760F8">
        <w:t xml:space="preserve"> summaris</w:t>
      </w:r>
      <w:r w:rsidR="008E5D9A" w:rsidRPr="00C760F8">
        <w:t>es</w:t>
      </w:r>
      <w:r w:rsidR="00D470E4" w:rsidRPr="00C760F8">
        <w:t xml:space="preserve"> </w:t>
      </w:r>
      <w:r w:rsidR="00B0703A" w:rsidRPr="00C760F8">
        <w:t>provide</w:t>
      </w:r>
      <w:r w:rsidR="009A3F54" w:rsidRPr="00C760F8">
        <w:t>s</w:t>
      </w:r>
      <w:r w:rsidR="00B0703A" w:rsidRPr="00C760F8">
        <w:t xml:space="preserve"> </w:t>
      </w:r>
      <w:r w:rsidR="00D470E4" w:rsidRPr="00C760F8">
        <w:t xml:space="preserve">details of the </w:t>
      </w:r>
      <w:r w:rsidR="00B0703A" w:rsidRPr="00C760F8">
        <w:t>extent of government funding towards our capital activities.</w:t>
      </w:r>
      <w:r w:rsidR="00D470E4" w:rsidRPr="00C760F8">
        <w:t xml:space="preserve"> </w:t>
      </w:r>
    </w:p>
    <w:p w14:paraId="03E7799A" w14:textId="1B8C17DF" w:rsidR="00EA29BC" w:rsidRPr="00192F41" w:rsidRDefault="00D470E4" w:rsidP="00824B57">
      <w:pPr>
        <w:pStyle w:val="Heading4"/>
        <w:rPr>
          <w:rFonts w:cs="Arial"/>
        </w:rPr>
      </w:pPr>
      <w:r w:rsidRPr="00192F41">
        <w:rPr>
          <w:rFonts w:cs="Arial"/>
        </w:rPr>
        <w:t>C</w:t>
      </w:r>
      <w:r w:rsidR="00EA29BC" w:rsidRPr="00192F41">
        <w:rPr>
          <w:rFonts w:cs="Arial"/>
        </w:rPr>
        <w:t>ustomer contributions</w:t>
      </w:r>
    </w:p>
    <w:p w14:paraId="0A6D26AC" w14:textId="4C42419B" w:rsidR="00FD7220" w:rsidRPr="00C760F8" w:rsidRDefault="009A3F54" w:rsidP="006715BA">
      <w:pPr>
        <w:jc w:val="both"/>
      </w:pPr>
      <w:r w:rsidRPr="00C760F8">
        <w:t xml:space="preserve">Customer contributions represents the expected proceeds from the sale of created water entitlements in the Macalister Irrigation District. </w:t>
      </w:r>
    </w:p>
    <w:p w14:paraId="50927AE2" w14:textId="3D69AB5F" w:rsidR="00FD7220" w:rsidRPr="00192F41" w:rsidRDefault="00D470E4" w:rsidP="00824B57">
      <w:pPr>
        <w:pStyle w:val="Heading4"/>
        <w:rPr>
          <w:rFonts w:cs="Arial"/>
        </w:rPr>
      </w:pPr>
      <w:r w:rsidRPr="00192F41">
        <w:rPr>
          <w:rFonts w:cs="Arial"/>
        </w:rPr>
        <w:t>D</w:t>
      </w:r>
      <w:r w:rsidR="00E92B15" w:rsidRPr="00192F41">
        <w:rPr>
          <w:rFonts w:cs="Arial"/>
        </w:rPr>
        <w:t>isposal of assets</w:t>
      </w:r>
    </w:p>
    <w:p w14:paraId="2916E49C" w14:textId="33553B9F" w:rsidR="004F43F8" w:rsidRPr="00C760F8" w:rsidRDefault="009A3F54" w:rsidP="006715BA">
      <w:pPr>
        <w:jc w:val="both"/>
      </w:pPr>
      <w:r w:rsidRPr="00C760F8">
        <w:t>Asset disposals forecast are limited to the ongoing trade of motor vehicles.</w:t>
      </w:r>
    </w:p>
    <w:p w14:paraId="17DBFED1" w14:textId="707F2940" w:rsidR="001268E4" w:rsidRPr="00C760F8" w:rsidRDefault="001268E4" w:rsidP="00C760F8">
      <w:pPr>
        <w:pStyle w:val="Heading4"/>
      </w:pPr>
      <w:r w:rsidRPr="00C760F8">
        <w:t>Tax</w:t>
      </w:r>
    </w:p>
    <w:p w14:paraId="608F8558" w14:textId="685ADBC7" w:rsidR="009D700E" w:rsidRPr="00EF60A0" w:rsidRDefault="009F68EE" w:rsidP="006715BA">
      <w:pPr>
        <w:jc w:val="both"/>
      </w:pPr>
      <w:r w:rsidRPr="00C760F8">
        <w:t>SRW has significant carried forward tax loss and do</w:t>
      </w:r>
      <w:r w:rsidRPr="00EF60A0">
        <w:t>es not expect to make any tax payments in the foreseeable future. No tax allowance is included within the proposed requirement.</w:t>
      </w:r>
    </w:p>
    <w:p w14:paraId="6DCB6387" w14:textId="2ACEF4BB" w:rsidR="001268E4" w:rsidRPr="00C760F8" w:rsidRDefault="006833D3" w:rsidP="00C760F8">
      <w:pPr>
        <w:pStyle w:val="Heading4"/>
      </w:pPr>
      <w:r w:rsidRPr="00C760F8">
        <w:t>D</w:t>
      </w:r>
      <w:r w:rsidR="001268E4" w:rsidRPr="00C760F8">
        <w:t>emand</w:t>
      </w:r>
    </w:p>
    <w:p w14:paraId="5DF640BE" w14:textId="77777777" w:rsidR="009A3F54" w:rsidRPr="00C760F8" w:rsidRDefault="00DF687B" w:rsidP="006715BA">
      <w:pPr>
        <w:jc w:val="both"/>
      </w:pPr>
      <w:r w:rsidRPr="00C760F8">
        <w:t xml:space="preserve">The bulk of our revenue comes from fixed entitlements, which means that our quantities are static and our exposure to revenue variability is low. </w:t>
      </w:r>
    </w:p>
    <w:p w14:paraId="6B787762" w14:textId="0FBC3221" w:rsidR="00C40707" w:rsidRPr="00C760F8" w:rsidRDefault="00DF687B" w:rsidP="00964101">
      <w:pPr>
        <w:jc w:val="both"/>
      </w:pPr>
      <w:r w:rsidRPr="00C760F8">
        <w:t xml:space="preserve">We have forecast </w:t>
      </w:r>
      <w:r w:rsidR="009A3F54" w:rsidRPr="00C760F8">
        <w:t>a minor increase in water entitlements within the Macali</w:t>
      </w:r>
      <w:r w:rsidR="00C40707" w:rsidRPr="00C760F8">
        <w:t>s</w:t>
      </w:r>
      <w:r w:rsidR="009A3F54" w:rsidRPr="00C760F8">
        <w:t>ter Irrigation District as a result of the sale of water shares</w:t>
      </w:r>
      <w:r w:rsidR="00C40707" w:rsidRPr="00C760F8">
        <w:t xml:space="preserve"> (1,000</w:t>
      </w:r>
      <w:r w:rsidR="00916AD1">
        <w:t xml:space="preserve"> </w:t>
      </w:r>
      <w:r w:rsidR="00C40707" w:rsidRPr="00C760F8">
        <w:t>ML per year). These created water shares result from water savings that we expect to validate following the completion of irrigation modernisation works.</w:t>
      </w:r>
      <w:r w:rsidRPr="00C760F8">
        <w:t xml:space="preserve"> </w:t>
      </w:r>
      <w:r w:rsidR="00C40707" w:rsidRPr="00C760F8">
        <w:t>No additional operating costs occur from the creation of new water shares.</w:t>
      </w:r>
    </w:p>
    <w:p w14:paraId="02B84155" w14:textId="72421BA2" w:rsidR="00D75897" w:rsidRPr="00C760F8" w:rsidRDefault="00DF687B" w:rsidP="00964101">
      <w:pPr>
        <w:jc w:val="both"/>
      </w:pPr>
      <w:r w:rsidRPr="00C760F8">
        <w:t xml:space="preserve">This means that, within the context of a revenue cap, actual tariffs </w:t>
      </w:r>
      <w:r w:rsidR="00C40707" w:rsidRPr="00C760F8">
        <w:t xml:space="preserve">for each water share will </w:t>
      </w:r>
      <w:r w:rsidRPr="00C760F8">
        <w:t xml:space="preserve">be lower </w:t>
      </w:r>
      <w:r w:rsidR="00C40707" w:rsidRPr="00C760F8">
        <w:t>as</w:t>
      </w:r>
      <w:r w:rsidRPr="00C760F8">
        <w:t xml:space="preserve"> we i</w:t>
      </w:r>
      <w:r w:rsidR="00C40707" w:rsidRPr="00C760F8">
        <w:t>ncrease the number of entitlements.</w:t>
      </w:r>
    </w:p>
    <w:p w14:paraId="6DEA4BAF" w14:textId="2FFCAC73" w:rsidR="00D75897" w:rsidRPr="00C760F8" w:rsidRDefault="00DF687B" w:rsidP="00964101">
      <w:pPr>
        <w:jc w:val="both"/>
      </w:pPr>
      <w:r w:rsidRPr="00C760F8">
        <w:t xml:space="preserve">Our estimated revenue and expenditure associated with processing applications is consistent with recent activity, and with our previous </w:t>
      </w:r>
      <w:r w:rsidR="00863F37" w:rsidRPr="00C760F8">
        <w:t>submissions</w:t>
      </w:r>
      <w:r w:rsidRPr="00C760F8">
        <w:t>.</w:t>
      </w:r>
    </w:p>
    <w:p w14:paraId="294008D0" w14:textId="3293DF4D" w:rsidR="00DF687B" w:rsidRPr="00C760F8" w:rsidRDefault="00DF687B" w:rsidP="00964101">
      <w:pPr>
        <w:jc w:val="both"/>
      </w:pPr>
      <w:r w:rsidRPr="00C760F8">
        <w:t>Recycled water volumes are based on the most recent contracts, and we propose that this revenue will again be regulated by pricing principles.</w:t>
      </w:r>
    </w:p>
    <w:p w14:paraId="35690BA8" w14:textId="77777777" w:rsidR="00057778" w:rsidRDefault="00057778" w:rsidP="001268E4">
      <w:pPr>
        <w:rPr>
          <w:rFonts w:cs="Arial"/>
          <w:shd w:val="clear" w:color="auto" w:fill="FAF9F8"/>
        </w:rPr>
      </w:pPr>
      <w:r>
        <w:rPr>
          <w:rFonts w:cs="Arial"/>
          <w:shd w:val="clear" w:color="auto" w:fill="FAF9F8"/>
        </w:rPr>
        <w:br w:type="page"/>
      </w:r>
    </w:p>
    <w:p w14:paraId="1A87FC8B" w14:textId="684380C4" w:rsidR="001268E4" w:rsidRPr="00192F41" w:rsidRDefault="001268E4" w:rsidP="00AE2AD9">
      <w:pPr>
        <w:pStyle w:val="NumberedHeading3"/>
        <w:rPr>
          <w:rStyle w:val="IntenseEmphasis"/>
          <w:rFonts w:cs="Arial"/>
          <w:i w:val="0"/>
          <w:iCs w:val="0"/>
          <w:color w:val="002B5C" w:themeColor="text2"/>
          <w:sz w:val="52"/>
        </w:rPr>
      </w:pPr>
      <w:bookmarkStart w:id="71" w:name="_Toc115263684"/>
      <w:r w:rsidRPr="00192F41">
        <w:rPr>
          <w:rStyle w:val="IntenseEmphasis"/>
          <w:rFonts w:cs="Arial"/>
          <w:i w:val="0"/>
          <w:iCs w:val="0"/>
          <w:color w:val="002B5C" w:themeColor="text2"/>
          <w:sz w:val="52"/>
        </w:rPr>
        <w:t>Pricing</w:t>
      </w:r>
      <w:bookmarkEnd w:id="71"/>
    </w:p>
    <w:tbl>
      <w:tblPr>
        <w:tblStyle w:val="ReportTable-NavyColumns"/>
        <w:tblW w:w="9776" w:type="dxa"/>
        <w:tblBorders>
          <w:insideH w:val="none" w:sz="0" w:space="0" w:color="auto"/>
        </w:tblBorders>
        <w:shd w:val="clear" w:color="auto" w:fill="D9D9D9" w:themeFill="background1" w:themeFillShade="D9"/>
        <w:tblLook w:val="04A0" w:firstRow="1" w:lastRow="0" w:firstColumn="1" w:lastColumn="0" w:noHBand="0" w:noVBand="1"/>
      </w:tblPr>
      <w:tblGrid>
        <w:gridCol w:w="9776"/>
      </w:tblGrid>
      <w:tr w:rsidR="00EA6A77" w:rsidRPr="00192F41" w14:paraId="38F46248" w14:textId="77777777" w:rsidTr="00CB0E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2F2F2" w:themeFill="background1" w:themeFillShade="F2"/>
          </w:tcPr>
          <w:p w14:paraId="0B24BB8F" w14:textId="7D3DBDF9" w:rsidR="00EA6A77" w:rsidRPr="00192F41" w:rsidRDefault="00BC7207" w:rsidP="00324E60">
            <w:pPr>
              <w:pStyle w:val="Heading2"/>
              <w:rPr>
                <w:rStyle w:val="IntenseEmphasis"/>
                <w:rFonts w:cs="Arial"/>
                <w:b/>
                <w:bCs/>
                <w:i w:val="0"/>
                <w:iCs w:val="0"/>
                <w:sz w:val="36"/>
              </w:rPr>
            </w:pPr>
            <w:bookmarkStart w:id="72" w:name="_Hlk107208987"/>
            <w:r w:rsidRPr="00192F41">
              <w:rPr>
                <w:rStyle w:val="IntenseEmphasis"/>
                <w:rFonts w:cs="Arial"/>
                <w:b/>
                <w:bCs/>
                <w:i w:val="0"/>
                <w:iCs w:val="0"/>
                <w:sz w:val="36"/>
              </w:rPr>
              <w:t>Key messages</w:t>
            </w:r>
          </w:p>
          <w:p w14:paraId="1403AAA2" w14:textId="13E3D55B" w:rsidR="003B6C85" w:rsidRPr="00192F41" w:rsidRDefault="003B6C85" w:rsidP="00DC4021">
            <w:pPr>
              <w:pStyle w:val="Bulletpointparagraph"/>
              <w:numPr>
                <w:ilvl w:val="0"/>
                <w:numId w:val="0"/>
              </w:numPr>
              <w:ind w:left="360" w:right="553"/>
              <w:rPr>
                <w:rFonts w:cs="Arial"/>
                <w:bCs/>
                <w:color w:val="000000" w:themeColor="text1"/>
              </w:rPr>
            </w:pPr>
            <w:r w:rsidRPr="00192F41">
              <w:rPr>
                <w:rFonts w:cs="Arial"/>
                <w:b w:val="0"/>
                <w:bCs/>
                <w:color w:val="000000" w:themeColor="text1"/>
              </w:rPr>
              <w:t xml:space="preserve">SRW offers fair value-based pricing, recognising that profitability rather than affordability matters most </w:t>
            </w:r>
            <w:r w:rsidR="00E23E51">
              <w:rPr>
                <w:rFonts w:cs="Arial"/>
                <w:b w:val="0"/>
                <w:bCs/>
                <w:color w:val="000000" w:themeColor="text1"/>
              </w:rPr>
              <w:t>to</w:t>
            </w:r>
            <w:r w:rsidRPr="00192F41">
              <w:rPr>
                <w:rFonts w:cs="Arial"/>
                <w:b w:val="0"/>
                <w:bCs/>
                <w:color w:val="000000" w:themeColor="text1"/>
              </w:rPr>
              <w:t xml:space="preserve"> our customers.</w:t>
            </w:r>
          </w:p>
          <w:p w14:paraId="10874B9F" w14:textId="77777777" w:rsidR="003B6C85" w:rsidRPr="00192F41" w:rsidRDefault="003B6C85" w:rsidP="00DC4021">
            <w:pPr>
              <w:pStyle w:val="Bulletpointparagraph"/>
              <w:numPr>
                <w:ilvl w:val="0"/>
                <w:numId w:val="0"/>
              </w:numPr>
              <w:ind w:left="360" w:right="553"/>
              <w:rPr>
                <w:rFonts w:cs="Arial"/>
                <w:b w:val="0"/>
                <w:bCs/>
                <w:color w:val="000000" w:themeColor="text1"/>
              </w:rPr>
            </w:pPr>
          </w:p>
          <w:p w14:paraId="631FE1C9" w14:textId="071E1A60" w:rsidR="00351DA1" w:rsidRPr="00192F41" w:rsidRDefault="00351DA1" w:rsidP="00DC4021">
            <w:pPr>
              <w:pStyle w:val="Bulletpointparagraph"/>
              <w:ind w:right="553"/>
              <w:jc w:val="both"/>
              <w:rPr>
                <w:rFonts w:cs="Arial"/>
                <w:color w:val="000000" w:themeColor="text1"/>
              </w:rPr>
            </w:pPr>
            <w:r w:rsidRPr="00192F41">
              <w:rPr>
                <w:rFonts w:cs="Arial"/>
                <w:b w:val="0"/>
                <w:bCs/>
                <w:color w:val="000000" w:themeColor="text1"/>
              </w:rPr>
              <w:t>Minor changes to the tariff structure are proposed to reflect operational efficiencies and introduction of new fees to reflect increasing costs (e.g</w:t>
            </w:r>
            <w:r w:rsidR="00BB4A5A" w:rsidRPr="00192F41">
              <w:rPr>
                <w:rFonts w:cs="Arial"/>
                <w:b w:val="0"/>
                <w:bCs/>
                <w:color w:val="000000" w:themeColor="text1"/>
              </w:rPr>
              <w:t>.</w:t>
            </w:r>
            <w:r w:rsidR="00BB4A5A" w:rsidRPr="00192F41">
              <w:rPr>
                <w:rFonts w:cs="Arial"/>
                <w:bCs/>
                <w:color w:val="000000" w:themeColor="text1"/>
              </w:rPr>
              <w:t>,</w:t>
            </w:r>
            <w:r w:rsidRPr="00192F41">
              <w:rPr>
                <w:rFonts w:cs="Arial"/>
                <w:b w:val="0"/>
                <w:bCs/>
                <w:color w:val="000000" w:themeColor="text1"/>
              </w:rPr>
              <w:t xml:space="preserve"> advertising fee for application</w:t>
            </w:r>
            <w:r w:rsidR="00C20C8C">
              <w:rPr>
                <w:rFonts w:cs="Arial"/>
                <w:b w:val="0"/>
                <w:bCs/>
                <w:color w:val="000000" w:themeColor="text1"/>
              </w:rPr>
              <w:t>s</w:t>
            </w:r>
            <w:r w:rsidRPr="00192F41">
              <w:rPr>
                <w:rFonts w:cs="Arial"/>
                <w:b w:val="0"/>
                <w:bCs/>
                <w:color w:val="000000" w:themeColor="text1"/>
              </w:rPr>
              <w:t>).</w:t>
            </w:r>
          </w:p>
          <w:p w14:paraId="09D66C3D" w14:textId="77777777" w:rsidR="00351DA1" w:rsidRPr="00192F41" w:rsidRDefault="00351DA1" w:rsidP="00DC4021">
            <w:pPr>
              <w:pStyle w:val="Bulletpointparagraph"/>
              <w:ind w:right="553"/>
              <w:jc w:val="both"/>
              <w:rPr>
                <w:rFonts w:cs="Arial"/>
                <w:color w:val="000000" w:themeColor="text1"/>
              </w:rPr>
            </w:pPr>
            <w:r w:rsidRPr="00192F41">
              <w:rPr>
                <w:rFonts w:cs="Arial"/>
                <w:b w:val="0"/>
                <w:bCs/>
                <w:color w:val="000000" w:themeColor="text1"/>
              </w:rPr>
              <w:t>Prices are directly aligned to proposed expenditure so that we can deliver on the outcomes agree with our customers.</w:t>
            </w:r>
          </w:p>
          <w:p w14:paraId="4E472AFD" w14:textId="6713BF7E" w:rsidR="00351DA1" w:rsidRPr="00192F41" w:rsidRDefault="00351DA1" w:rsidP="00DC4021">
            <w:pPr>
              <w:pStyle w:val="Bulletpointparagraph"/>
              <w:ind w:right="553"/>
              <w:jc w:val="both"/>
              <w:rPr>
                <w:rFonts w:cs="Arial"/>
                <w:color w:val="000000" w:themeColor="text1"/>
              </w:rPr>
            </w:pPr>
            <w:r w:rsidRPr="00192F41">
              <w:rPr>
                <w:rFonts w:cs="Arial"/>
                <w:b w:val="0"/>
                <w:bCs/>
                <w:color w:val="000000" w:themeColor="text1"/>
              </w:rPr>
              <w:t>More than 8</w:t>
            </w:r>
            <w:r w:rsidR="00366052">
              <w:rPr>
                <w:rFonts w:cs="Arial"/>
                <w:b w:val="0"/>
                <w:bCs/>
                <w:color w:val="000000" w:themeColor="text1"/>
              </w:rPr>
              <w:t>6</w:t>
            </w:r>
            <w:r w:rsidRPr="00192F41">
              <w:rPr>
                <w:rFonts w:cs="Arial"/>
                <w:b w:val="0"/>
                <w:bCs/>
                <w:color w:val="000000" w:themeColor="text1"/>
              </w:rPr>
              <w:t>% of customers will see price increases capped at CPI.</w:t>
            </w:r>
          </w:p>
          <w:p w14:paraId="075D3654" w14:textId="1AFA53E6" w:rsidR="00351DA1" w:rsidRPr="00192F41" w:rsidRDefault="00351DA1" w:rsidP="00DC4021">
            <w:pPr>
              <w:pStyle w:val="Bulletpointparagraph"/>
              <w:ind w:right="553"/>
              <w:jc w:val="both"/>
              <w:rPr>
                <w:rFonts w:cs="Arial"/>
                <w:color w:val="000000" w:themeColor="text1"/>
              </w:rPr>
            </w:pPr>
            <w:r w:rsidRPr="00192F41">
              <w:rPr>
                <w:rFonts w:cs="Arial"/>
                <w:b w:val="0"/>
                <w:bCs/>
                <w:color w:val="000000" w:themeColor="text1"/>
              </w:rPr>
              <w:t xml:space="preserve">The remaining customers will incur </w:t>
            </w:r>
            <w:r w:rsidR="1AA62A07" w:rsidRPr="6B20A4EE">
              <w:rPr>
                <w:rFonts w:cs="Arial"/>
                <w:b w:val="0"/>
                <w:color w:val="000000" w:themeColor="text1"/>
              </w:rPr>
              <w:t xml:space="preserve">real </w:t>
            </w:r>
            <w:r w:rsidRPr="00192F41">
              <w:rPr>
                <w:rFonts w:cs="Arial"/>
                <w:b w:val="0"/>
                <w:bCs/>
                <w:color w:val="000000" w:themeColor="text1"/>
              </w:rPr>
              <w:t>increases of 1.0 to 1.5%, largely to pay for the investment in modernisation.</w:t>
            </w:r>
          </w:p>
          <w:p w14:paraId="0C2A03FE" w14:textId="4E8BE409" w:rsidR="00E50DFB" w:rsidRPr="00192F41" w:rsidRDefault="00351DA1" w:rsidP="00DC4021">
            <w:pPr>
              <w:pStyle w:val="Bulletpointparagraph"/>
              <w:ind w:right="553"/>
              <w:jc w:val="both"/>
              <w:rPr>
                <w:rFonts w:cs="Arial"/>
                <w:color w:val="000000" w:themeColor="text1"/>
              </w:rPr>
            </w:pPr>
            <w:r w:rsidRPr="00192F41">
              <w:rPr>
                <w:rFonts w:cs="Arial"/>
                <w:b w:val="0"/>
                <w:bCs/>
                <w:color w:val="000000" w:themeColor="text1"/>
              </w:rPr>
              <w:t xml:space="preserve">Fees for </w:t>
            </w:r>
            <w:r w:rsidR="00916AD1">
              <w:rPr>
                <w:rFonts w:cs="Arial"/>
                <w:b w:val="0"/>
                <w:bCs/>
                <w:color w:val="000000" w:themeColor="text1"/>
              </w:rPr>
              <w:t>b</w:t>
            </w:r>
            <w:r w:rsidR="00851399">
              <w:rPr>
                <w:rFonts w:cs="Arial"/>
                <w:b w:val="0"/>
                <w:bCs/>
                <w:color w:val="000000" w:themeColor="text1"/>
              </w:rPr>
              <w:t xml:space="preserve">ulk entitlement </w:t>
            </w:r>
            <w:r w:rsidRPr="00192F41">
              <w:rPr>
                <w:rFonts w:cs="Arial"/>
                <w:b w:val="0"/>
                <w:bCs/>
                <w:color w:val="000000" w:themeColor="text1"/>
              </w:rPr>
              <w:t xml:space="preserve">holders will be based on pricing-principles and applied in accordance with </w:t>
            </w:r>
            <w:r w:rsidR="00916AD1">
              <w:rPr>
                <w:rFonts w:cs="Arial"/>
                <w:b w:val="0"/>
                <w:bCs/>
                <w:color w:val="000000" w:themeColor="text1"/>
              </w:rPr>
              <w:t>Bulk Entitlement</w:t>
            </w:r>
            <w:r w:rsidRPr="00192F41">
              <w:rPr>
                <w:rFonts w:cs="Arial"/>
                <w:b w:val="0"/>
                <w:bCs/>
                <w:color w:val="000000" w:themeColor="text1"/>
              </w:rPr>
              <w:t xml:space="preserve"> Orders, so they are charged the </w:t>
            </w:r>
            <w:r w:rsidR="005F71E1">
              <w:rPr>
                <w:rFonts w:cs="Arial"/>
                <w:b w:val="0"/>
                <w:bCs/>
                <w:color w:val="000000" w:themeColor="text1"/>
              </w:rPr>
              <w:t>actual</w:t>
            </w:r>
            <w:r w:rsidR="005F71E1" w:rsidRPr="00192F41">
              <w:rPr>
                <w:rFonts w:cs="Arial"/>
                <w:b w:val="0"/>
                <w:bCs/>
                <w:color w:val="000000" w:themeColor="text1"/>
              </w:rPr>
              <w:t xml:space="preserve"> </w:t>
            </w:r>
            <w:r w:rsidRPr="00192F41">
              <w:rPr>
                <w:rFonts w:cs="Arial"/>
                <w:b w:val="0"/>
                <w:bCs/>
                <w:color w:val="000000" w:themeColor="text1"/>
              </w:rPr>
              <w:t>costs of managing water on their behalf</w:t>
            </w:r>
            <w:r w:rsidR="005F71E1">
              <w:rPr>
                <w:rFonts w:cs="Arial"/>
                <w:b w:val="0"/>
                <w:bCs/>
                <w:color w:val="000000" w:themeColor="text1"/>
              </w:rPr>
              <w:t xml:space="preserve"> as specified by the Ministerial directed </w:t>
            </w:r>
            <w:r w:rsidR="00916AD1">
              <w:rPr>
                <w:rFonts w:cs="Arial"/>
                <w:b w:val="0"/>
                <w:bCs/>
                <w:color w:val="000000" w:themeColor="text1"/>
              </w:rPr>
              <w:t>bulk entitlement</w:t>
            </w:r>
            <w:r w:rsidR="005F71E1">
              <w:rPr>
                <w:rFonts w:cs="Arial"/>
                <w:b w:val="0"/>
                <w:bCs/>
                <w:color w:val="000000" w:themeColor="text1"/>
              </w:rPr>
              <w:t xml:space="preserve"> order</w:t>
            </w:r>
            <w:r w:rsidRPr="00192F41">
              <w:rPr>
                <w:rFonts w:cs="Arial"/>
                <w:b w:val="0"/>
                <w:bCs/>
                <w:color w:val="000000" w:themeColor="text1"/>
              </w:rPr>
              <w:t>.</w:t>
            </w:r>
          </w:p>
          <w:p w14:paraId="1FC3E351" w14:textId="00FB753D" w:rsidR="00EA6A77" w:rsidRPr="00192F41" w:rsidRDefault="00EA6A77" w:rsidP="00085CED">
            <w:pPr>
              <w:pStyle w:val="Bulletpointparagraph"/>
              <w:numPr>
                <w:ilvl w:val="0"/>
                <w:numId w:val="0"/>
              </w:numPr>
              <w:ind w:left="720" w:hanging="360"/>
              <w:rPr>
                <w:rFonts w:cs="Arial"/>
                <w:b w:val="0"/>
              </w:rPr>
            </w:pPr>
          </w:p>
        </w:tc>
      </w:tr>
    </w:tbl>
    <w:bookmarkEnd w:id="72"/>
    <w:p w14:paraId="04B58BCF" w14:textId="57B2E27A" w:rsidR="003B2684" w:rsidRPr="00192F41" w:rsidRDefault="003B2684" w:rsidP="003B2684">
      <w:pPr>
        <w:pStyle w:val="Heading2"/>
        <w:rPr>
          <w:rStyle w:val="IntenseEmphasis"/>
          <w:rFonts w:cs="Arial"/>
          <w:i w:val="0"/>
          <w:iCs w:val="0"/>
          <w:sz w:val="36"/>
        </w:rPr>
      </w:pPr>
      <w:r w:rsidRPr="00192F41">
        <w:rPr>
          <w:rStyle w:val="IntenseEmphasis"/>
          <w:rFonts w:cs="Arial"/>
          <w:i w:val="0"/>
          <w:iCs w:val="0"/>
          <w:sz w:val="36"/>
        </w:rPr>
        <w:t>Form of price control</w:t>
      </w:r>
    </w:p>
    <w:p w14:paraId="123E9701" w14:textId="6E640ACF" w:rsidR="003437DE" w:rsidRPr="00916AD1" w:rsidRDefault="004A1509" w:rsidP="00964101">
      <w:pPr>
        <w:jc w:val="both"/>
      </w:pPr>
      <w:r w:rsidRPr="00916AD1">
        <w:t xml:space="preserve">We propose to make </w:t>
      </w:r>
      <w:r w:rsidR="002B513D" w:rsidRPr="00916AD1">
        <w:t xml:space="preserve">some </w:t>
      </w:r>
      <w:r w:rsidRPr="00916AD1">
        <w:t>adjustment to our price control to</w:t>
      </w:r>
      <w:r w:rsidR="00DB1083" w:rsidRPr="00916AD1">
        <w:t xml:space="preserve"> reflect </w:t>
      </w:r>
      <w:r w:rsidR="00C20C8C" w:rsidRPr="00916AD1">
        <w:t xml:space="preserve">productivity savings, different </w:t>
      </w:r>
      <w:r w:rsidR="00DB1083" w:rsidRPr="00916AD1">
        <w:t>lev</w:t>
      </w:r>
      <w:r w:rsidR="00C20C8C" w:rsidRPr="00916AD1">
        <w:t>e</w:t>
      </w:r>
      <w:r w:rsidR="00DB1083" w:rsidRPr="00916AD1">
        <w:t>ls of capital investment</w:t>
      </w:r>
      <w:r w:rsidR="00C20C8C" w:rsidRPr="00916AD1">
        <w:t xml:space="preserve"> across customer groups</w:t>
      </w:r>
      <w:r w:rsidR="00DB1083" w:rsidRPr="00916AD1">
        <w:t xml:space="preserve">, uncertainty around CPI and to </w:t>
      </w:r>
      <w:r w:rsidRPr="00916AD1">
        <w:t>provide more flexibility for tariff reform</w:t>
      </w:r>
      <w:r w:rsidR="00DB1083" w:rsidRPr="00916AD1">
        <w:t>, especially in the area of miscellaneous services.</w:t>
      </w:r>
      <w:r w:rsidR="00637B0F" w:rsidRPr="00916AD1">
        <w:t xml:space="preserve"> These include:</w:t>
      </w:r>
    </w:p>
    <w:p w14:paraId="08C12894" w14:textId="47AB5D81" w:rsidR="002F104C" w:rsidRPr="00916AD1" w:rsidRDefault="0016474C" w:rsidP="00F459A2">
      <w:pPr>
        <w:pStyle w:val="ListParagraph"/>
        <w:numPr>
          <w:ilvl w:val="0"/>
          <w:numId w:val="18"/>
        </w:numPr>
      </w:pPr>
      <w:r w:rsidRPr="00916AD1">
        <w:t xml:space="preserve">additional tariffs </w:t>
      </w:r>
      <w:r w:rsidR="00637B0F" w:rsidRPr="00916AD1">
        <w:t>for our groundwater and rivers customers</w:t>
      </w:r>
      <w:r w:rsidR="00916AD1">
        <w:t>; and</w:t>
      </w:r>
    </w:p>
    <w:p w14:paraId="529F1FF2" w14:textId="142EFA07" w:rsidR="00637B0F" w:rsidRPr="00916AD1" w:rsidRDefault="00B26AEE" w:rsidP="00F459A2">
      <w:pPr>
        <w:pStyle w:val="ListParagraph"/>
        <w:numPr>
          <w:ilvl w:val="0"/>
          <w:numId w:val="18"/>
        </w:numPr>
        <w:jc w:val="both"/>
      </w:pPr>
      <w:r w:rsidRPr="00916AD1">
        <w:t xml:space="preserve">move our bulk entitlement customers from a revenue cap to a </w:t>
      </w:r>
      <w:r w:rsidR="004377C5" w:rsidRPr="00916AD1">
        <w:t>cost reimbursement model</w:t>
      </w:r>
      <w:r w:rsidR="005C77C8" w:rsidRPr="00916AD1">
        <w:t xml:space="preserve"> consistent with the </w:t>
      </w:r>
      <w:r w:rsidR="00225FCB" w:rsidRPr="00916AD1">
        <w:t>Bulk Entitlement Orders</w:t>
      </w:r>
      <w:r w:rsidR="00916AD1">
        <w:t>.</w:t>
      </w:r>
    </w:p>
    <w:p w14:paraId="6D497C0D" w14:textId="2CEAB9C4" w:rsidR="00622A8B" w:rsidRPr="00916AD1" w:rsidRDefault="00225FCB" w:rsidP="00964101">
      <w:pPr>
        <w:jc w:val="both"/>
      </w:pPr>
      <w:r w:rsidRPr="00916AD1">
        <w:t xml:space="preserve">The </w:t>
      </w:r>
      <w:r w:rsidR="00916AD1">
        <w:t xml:space="preserve">following </w:t>
      </w:r>
      <w:r w:rsidRPr="00916AD1">
        <w:t>figure shows a breakdown of our price control.</w:t>
      </w:r>
    </w:p>
    <w:p w14:paraId="3675EA36" w14:textId="7009B6F0" w:rsidR="00622A8B" w:rsidRDefault="00644986" w:rsidP="004B452E">
      <w:pPr>
        <w:jc w:val="center"/>
        <w:rPr>
          <w:rFonts w:cs="Arial"/>
          <w:shd w:val="clear" w:color="auto" w:fill="FAF9F8"/>
        </w:rPr>
      </w:pPr>
      <w:r>
        <w:rPr>
          <w:noProof/>
        </w:rPr>
        <w:drawing>
          <wp:inline distT="0" distB="0" distL="0" distR="0" wp14:anchorId="3FBC01AF" wp14:editId="6E47F7DB">
            <wp:extent cx="5238750" cy="2505075"/>
            <wp:effectExtent l="0" t="0" r="0" b="0"/>
            <wp:docPr id="24" name="Chart 24">
              <a:extLst xmlns:a="http://schemas.openxmlformats.org/drawingml/2006/main">
                <a:ext uri="{FF2B5EF4-FFF2-40B4-BE49-F238E27FC236}">
                  <a16:creationId xmlns:a16="http://schemas.microsoft.com/office/drawing/2014/main" id="{00000000-0008-0000-1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2C0484F7" w14:textId="69D3E2A0" w:rsidR="002E71A9" w:rsidRPr="002E71A9" w:rsidRDefault="002E71A9" w:rsidP="002E71A9">
      <w:pPr>
        <w:pStyle w:val="Caption"/>
        <w:rPr>
          <w:rFonts w:cs="Arial"/>
          <w:b/>
          <w:bCs/>
          <w:i w:val="0"/>
          <w:iCs w:val="0"/>
          <w:color w:val="00B1B0" w:themeColor="accent1"/>
          <w:sz w:val="20"/>
          <w:szCs w:val="20"/>
          <w:shd w:val="clear" w:color="auto" w:fill="FAF9F8"/>
        </w:rPr>
      </w:pPr>
      <w:r w:rsidRPr="002E71A9">
        <w:rPr>
          <w:b/>
          <w:bCs/>
          <w:i w:val="0"/>
          <w:iCs w:val="0"/>
          <w:color w:val="00B1B0" w:themeColor="accent1"/>
          <w:sz w:val="20"/>
          <w:szCs w:val="20"/>
        </w:rPr>
        <w:t xml:space="preserve">Figure </w:t>
      </w:r>
      <w:r w:rsidRPr="002E71A9">
        <w:rPr>
          <w:b/>
          <w:bCs/>
          <w:i w:val="0"/>
          <w:iCs w:val="0"/>
          <w:color w:val="00B1B0" w:themeColor="accent1"/>
          <w:sz w:val="20"/>
          <w:szCs w:val="20"/>
        </w:rPr>
        <w:fldChar w:fldCharType="begin"/>
      </w:r>
      <w:r w:rsidRPr="002E71A9">
        <w:rPr>
          <w:b/>
          <w:bCs/>
          <w:i w:val="0"/>
          <w:iCs w:val="0"/>
          <w:color w:val="00B1B0" w:themeColor="accent1"/>
          <w:sz w:val="20"/>
          <w:szCs w:val="20"/>
        </w:rPr>
        <w:instrText xml:space="preserve"> SEQ Figure \* ARABIC </w:instrText>
      </w:r>
      <w:r w:rsidRPr="002E71A9">
        <w:rPr>
          <w:b/>
          <w:bCs/>
          <w:i w:val="0"/>
          <w:iCs w:val="0"/>
          <w:color w:val="00B1B0" w:themeColor="accent1"/>
          <w:sz w:val="20"/>
          <w:szCs w:val="20"/>
        </w:rPr>
        <w:fldChar w:fldCharType="separate"/>
      </w:r>
      <w:r w:rsidR="008126A8">
        <w:rPr>
          <w:b/>
          <w:bCs/>
          <w:i w:val="0"/>
          <w:iCs w:val="0"/>
          <w:noProof/>
          <w:color w:val="00B1B0" w:themeColor="accent1"/>
          <w:sz w:val="20"/>
          <w:szCs w:val="20"/>
        </w:rPr>
        <w:t>9</w:t>
      </w:r>
      <w:r w:rsidRPr="002E71A9">
        <w:rPr>
          <w:b/>
          <w:bCs/>
          <w:i w:val="0"/>
          <w:iCs w:val="0"/>
          <w:color w:val="00B1B0" w:themeColor="accent1"/>
          <w:sz w:val="20"/>
          <w:szCs w:val="20"/>
        </w:rPr>
        <w:fldChar w:fldCharType="end"/>
      </w:r>
      <w:r w:rsidRPr="002E71A9">
        <w:rPr>
          <w:b/>
          <w:bCs/>
          <w:i w:val="0"/>
          <w:iCs w:val="0"/>
          <w:color w:val="00B1B0" w:themeColor="accent1"/>
          <w:sz w:val="20"/>
          <w:szCs w:val="20"/>
        </w:rPr>
        <w:t xml:space="preserve"> – Form of price control</w:t>
      </w:r>
    </w:p>
    <w:p w14:paraId="7A79D145" w14:textId="059920B6" w:rsidR="003437DE" w:rsidRPr="00916AD1" w:rsidRDefault="00863A75" w:rsidP="003437DE">
      <w:pPr>
        <w:pStyle w:val="Heading2"/>
      </w:pPr>
      <w:r w:rsidRPr="00916AD1">
        <w:t>C</w:t>
      </w:r>
      <w:r w:rsidR="003437DE" w:rsidRPr="00916AD1">
        <w:t>onsultation</w:t>
      </w:r>
    </w:p>
    <w:p w14:paraId="2E5E4CE3" w14:textId="161E68E6" w:rsidR="003437DE" w:rsidRPr="00916AD1" w:rsidRDefault="003437DE" w:rsidP="00964101">
      <w:pPr>
        <w:jc w:val="both"/>
      </w:pPr>
      <w:r w:rsidRPr="00916AD1">
        <w:t xml:space="preserve">In early 2022, SRW sought customer feedback on a range of options and potential tariffs. We initially discussed the options with the </w:t>
      </w:r>
      <w:r w:rsidR="00916AD1">
        <w:t>Customer Reference Group</w:t>
      </w:r>
      <w:r w:rsidRPr="00916AD1">
        <w:t xml:space="preserve"> and customer committees. An online survey and series of public meetings were held to gain feedback fr</w:t>
      </w:r>
      <w:r w:rsidR="00540D9D">
        <w:t>o</w:t>
      </w:r>
      <w:r w:rsidRPr="00916AD1">
        <w:t xml:space="preserve">m all customers. </w:t>
      </w:r>
      <w:r w:rsidR="00690FBD" w:rsidRPr="00916AD1">
        <w:fldChar w:fldCharType="begin"/>
      </w:r>
      <w:r w:rsidR="00690FBD" w:rsidRPr="00916AD1">
        <w:instrText xml:space="preserve"> REF _Ref113440312 \h  \* MERGEFORMAT </w:instrText>
      </w:r>
      <w:r w:rsidR="00690FBD" w:rsidRPr="00916AD1">
        <w:fldChar w:fldCharType="separate"/>
      </w:r>
      <w:r w:rsidR="008126A8" w:rsidRPr="008126A8">
        <w:t>Table 28</w:t>
      </w:r>
      <w:r w:rsidR="00690FBD" w:rsidRPr="00916AD1">
        <w:fldChar w:fldCharType="end"/>
      </w:r>
      <w:r w:rsidR="00690FBD" w:rsidRPr="00916AD1">
        <w:t xml:space="preserve"> </w:t>
      </w:r>
      <w:r w:rsidRPr="00916AD1">
        <w:t>summarises the options, feedback and SRW’s response, highlighting that SRW proposed tariffs fall within the bounds of those we engaged on.</w:t>
      </w:r>
    </w:p>
    <w:p w14:paraId="1FDCA475" w14:textId="1411D68B" w:rsidR="00EA5C54" w:rsidRPr="00916AD1" w:rsidRDefault="00AC0D28" w:rsidP="00964101">
      <w:pPr>
        <w:jc w:val="both"/>
      </w:pPr>
      <w:r w:rsidRPr="00916AD1">
        <w:t>In addition to this, SRW conducted one-</w:t>
      </w:r>
      <w:r w:rsidR="00EA5C54" w:rsidRPr="00916AD1">
        <w:t xml:space="preserve">on-one discussions with each of our </w:t>
      </w:r>
      <w:r w:rsidR="00916AD1">
        <w:t>bulk entitlement</w:t>
      </w:r>
      <w:r w:rsidR="00EA5C54">
        <w:t xml:space="preserve"> </w:t>
      </w:r>
      <w:r w:rsidR="00EA5C54" w:rsidRPr="00916AD1">
        <w:t>holders</w:t>
      </w:r>
      <w:r w:rsidR="00850D17" w:rsidRPr="00916AD1">
        <w:t>, who are provided in the following tables.</w:t>
      </w:r>
      <w:r w:rsidR="002155C3" w:rsidRPr="00916AD1">
        <w:t xml:space="preserve"> </w:t>
      </w:r>
    </w:p>
    <w:p w14:paraId="379111EA" w14:textId="137736B0" w:rsidR="00BC4B8A" w:rsidRPr="00BC4B8A" w:rsidRDefault="00BC4B8A" w:rsidP="00BC4B8A">
      <w:pPr>
        <w:pStyle w:val="Caption"/>
        <w:rPr>
          <w:rFonts w:cs="Arial"/>
          <w:b/>
          <w:bCs/>
          <w:i w:val="0"/>
          <w:iCs w:val="0"/>
          <w:color w:val="00B1B0" w:themeColor="accent1"/>
          <w:sz w:val="24"/>
          <w:szCs w:val="24"/>
          <w:shd w:val="clear" w:color="auto" w:fill="FAF9F8"/>
        </w:rPr>
      </w:pPr>
      <w:r w:rsidRPr="00BC4B8A">
        <w:rPr>
          <w:b/>
          <w:bCs/>
          <w:i w:val="0"/>
          <w:iCs w:val="0"/>
          <w:color w:val="00B1B0" w:themeColor="accent1"/>
          <w:sz w:val="20"/>
          <w:szCs w:val="20"/>
        </w:rPr>
        <w:t xml:space="preserve">Table </w:t>
      </w:r>
      <w:r w:rsidRPr="00BC4B8A">
        <w:rPr>
          <w:b/>
          <w:bCs/>
          <w:i w:val="0"/>
          <w:iCs w:val="0"/>
          <w:color w:val="00B1B0" w:themeColor="accent1"/>
          <w:sz w:val="20"/>
          <w:szCs w:val="20"/>
        </w:rPr>
        <w:fldChar w:fldCharType="begin"/>
      </w:r>
      <w:r w:rsidRPr="00BC4B8A">
        <w:rPr>
          <w:b/>
          <w:bCs/>
          <w:i w:val="0"/>
          <w:iCs w:val="0"/>
          <w:color w:val="00B1B0" w:themeColor="accent1"/>
          <w:sz w:val="20"/>
          <w:szCs w:val="20"/>
        </w:rPr>
        <w:instrText xml:space="preserve"> SEQ Table \* ARABIC </w:instrText>
      </w:r>
      <w:r w:rsidRPr="00BC4B8A">
        <w:rPr>
          <w:b/>
          <w:bCs/>
          <w:i w:val="0"/>
          <w:iCs w:val="0"/>
          <w:color w:val="00B1B0" w:themeColor="accent1"/>
          <w:sz w:val="20"/>
          <w:szCs w:val="20"/>
        </w:rPr>
        <w:fldChar w:fldCharType="separate"/>
      </w:r>
      <w:r w:rsidR="008126A8">
        <w:rPr>
          <w:b/>
          <w:bCs/>
          <w:i w:val="0"/>
          <w:iCs w:val="0"/>
          <w:noProof/>
          <w:color w:val="00B1B0" w:themeColor="accent1"/>
          <w:sz w:val="20"/>
          <w:szCs w:val="20"/>
        </w:rPr>
        <w:t>26</w:t>
      </w:r>
      <w:r w:rsidRPr="00BC4B8A">
        <w:rPr>
          <w:b/>
          <w:bCs/>
          <w:i w:val="0"/>
          <w:iCs w:val="0"/>
          <w:color w:val="00B1B0" w:themeColor="accent1"/>
          <w:sz w:val="20"/>
          <w:szCs w:val="20"/>
        </w:rPr>
        <w:fldChar w:fldCharType="end"/>
      </w:r>
      <w:r w:rsidRPr="00BC4B8A">
        <w:rPr>
          <w:b/>
          <w:bCs/>
          <w:i w:val="0"/>
          <w:iCs w:val="0"/>
          <w:color w:val="00B1B0" w:themeColor="accent1"/>
          <w:sz w:val="20"/>
          <w:szCs w:val="20"/>
        </w:rPr>
        <w:t xml:space="preserve"> </w:t>
      </w:r>
      <w:r w:rsidR="00964101">
        <w:rPr>
          <w:b/>
          <w:bCs/>
          <w:i w:val="0"/>
          <w:iCs w:val="0"/>
          <w:color w:val="00B1B0" w:themeColor="accent1"/>
          <w:sz w:val="20"/>
          <w:szCs w:val="20"/>
        </w:rPr>
        <w:t>–</w:t>
      </w:r>
      <w:r>
        <w:rPr>
          <w:b/>
          <w:bCs/>
          <w:i w:val="0"/>
          <w:iCs w:val="0"/>
          <w:color w:val="00B1B0" w:themeColor="accent1"/>
          <w:sz w:val="20"/>
          <w:szCs w:val="20"/>
        </w:rPr>
        <w:t xml:space="preserve"> </w:t>
      </w:r>
      <w:r w:rsidRPr="00BC4B8A">
        <w:rPr>
          <w:b/>
          <w:bCs/>
          <w:i w:val="0"/>
          <w:iCs w:val="0"/>
          <w:color w:val="00B1B0" w:themeColor="accent1"/>
          <w:sz w:val="20"/>
          <w:szCs w:val="20"/>
        </w:rPr>
        <w:t xml:space="preserve">Bulk </w:t>
      </w:r>
      <w:r w:rsidR="00916AD1">
        <w:rPr>
          <w:b/>
          <w:bCs/>
          <w:i w:val="0"/>
          <w:iCs w:val="0"/>
          <w:color w:val="00B1B0" w:themeColor="accent1"/>
          <w:sz w:val="20"/>
          <w:szCs w:val="20"/>
        </w:rPr>
        <w:t>e</w:t>
      </w:r>
      <w:r w:rsidRPr="00BC4B8A">
        <w:rPr>
          <w:b/>
          <w:bCs/>
          <w:i w:val="0"/>
          <w:iCs w:val="0"/>
          <w:color w:val="00B1B0" w:themeColor="accent1"/>
          <w:sz w:val="20"/>
          <w:szCs w:val="20"/>
        </w:rPr>
        <w:t>ntitlements for Latrobe and Thomson</w:t>
      </w:r>
    </w:p>
    <w:tbl>
      <w:tblPr>
        <w:tblStyle w:val="ReportTable-TealColumns"/>
        <w:tblW w:w="0" w:type="auto"/>
        <w:tblLook w:val="04A0" w:firstRow="1" w:lastRow="0" w:firstColumn="1" w:lastColumn="0" w:noHBand="0" w:noVBand="1"/>
      </w:tblPr>
      <w:tblGrid>
        <w:gridCol w:w="3686"/>
        <w:gridCol w:w="1984"/>
        <w:gridCol w:w="1985"/>
        <w:gridCol w:w="1974"/>
      </w:tblGrid>
      <w:tr w:rsidR="002155C3" w:rsidRPr="00964101" w14:paraId="63B64F6A" w14:textId="77777777" w:rsidTr="00207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166C231E" w14:textId="40E95EF8" w:rsidR="002155C3" w:rsidRPr="00964101" w:rsidRDefault="002155C3" w:rsidP="00964101">
            <w:pPr>
              <w:spacing w:before="40" w:after="40"/>
              <w:rPr>
                <w:sz w:val="20"/>
                <w:szCs w:val="20"/>
              </w:rPr>
            </w:pPr>
            <w:r w:rsidRPr="00964101">
              <w:rPr>
                <w:sz w:val="20"/>
                <w:szCs w:val="20"/>
              </w:rPr>
              <w:t>Entitlement holder</w:t>
            </w:r>
          </w:p>
        </w:tc>
        <w:tc>
          <w:tcPr>
            <w:tcW w:w="1984" w:type="dxa"/>
          </w:tcPr>
          <w:p w14:paraId="4D8C02D9" w14:textId="3CEECDB1" w:rsidR="002155C3" w:rsidRPr="00964101" w:rsidRDefault="00C03C54" w:rsidP="00964101">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964101">
              <w:rPr>
                <w:sz w:val="20"/>
                <w:szCs w:val="20"/>
              </w:rPr>
              <w:t>Blue Rock</w:t>
            </w:r>
          </w:p>
        </w:tc>
        <w:tc>
          <w:tcPr>
            <w:tcW w:w="1985" w:type="dxa"/>
          </w:tcPr>
          <w:p w14:paraId="0F562D94" w14:textId="6F70601C" w:rsidR="002155C3" w:rsidRPr="00964101" w:rsidRDefault="00C03C54" w:rsidP="00964101">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964101">
              <w:rPr>
                <w:sz w:val="20"/>
                <w:szCs w:val="20"/>
              </w:rPr>
              <w:t>Lake Glenmaggie</w:t>
            </w:r>
          </w:p>
        </w:tc>
        <w:tc>
          <w:tcPr>
            <w:tcW w:w="1974" w:type="dxa"/>
          </w:tcPr>
          <w:p w14:paraId="781F4C12" w14:textId="68BDF08B" w:rsidR="002155C3" w:rsidRPr="00964101" w:rsidRDefault="00C03C54" w:rsidP="00964101">
            <w:pPr>
              <w:spacing w:before="40" w:after="40"/>
              <w:jc w:val="center"/>
              <w:cnfStyle w:val="100000000000" w:firstRow="1" w:lastRow="0" w:firstColumn="0" w:lastColumn="0" w:oddVBand="0" w:evenVBand="0" w:oddHBand="0" w:evenHBand="0" w:firstRowFirstColumn="0" w:firstRowLastColumn="0" w:lastRowFirstColumn="0" w:lastRowLastColumn="0"/>
              <w:rPr>
                <w:sz w:val="20"/>
                <w:szCs w:val="20"/>
              </w:rPr>
            </w:pPr>
            <w:r w:rsidRPr="00964101">
              <w:rPr>
                <w:sz w:val="20"/>
                <w:szCs w:val="20"/>
              </w:rPr>
              <w:t>Lake Narracan</w:t>
            </w:r>
          </w:p>
        </w:tc>
      </w:tr>
      <w:tr w:rsidR="002155C3" w:rsidRPr="00E6585A" w14:paraId="5DB2BD0F" w14:textId="77777777" w:rsidTr="009304F1">
        <w:tc>
          <w:tcPr>
            <w:cnfStyle w:val="001000000000" w:firstRow="0" w:lastRow="0" w:firstColumn="1" w:lastColumn="0" w:oddVBand="0" w:evenVBand="0" w:oddHBand="0" w:evenHBand="0" w:firstRowFirstColumn="0" w:firstRowLastColumn="0" w:lastRowFirstColumn="0" w:lastRowLastColumn="0"/>
            <w:tcW w:w="3686" w:type="dxa"/>
          </w:tcPr>
          <w:p w14:paraId="64117F88" w14:textId="475F4D47" w:rsidR="002155C3" w:rsidRPr="00916AD1" w:rsidRDefault="002155C3" w:rsidP="00964101">
            <w:pPr>
              <w:spacing w:before="40" w:after="40"/>
            </w:pPr>
            <w:r w:rsidRPr="00916AD1">
              <w:t>Gippsland Water</w:t>
            </w:r>
          </w:p>
        </w:tc>
        <w:tc>
          <w:tcPr>
            <w:tcW w:w="1984" w:type="dxa"/>
          </w:tcPr>
          <w:p w14:paraId="0E565F13" w14:textId="30307EF4"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17%</w:t>
            </w:r>
          </w:p>
        </w:tc>
        <w:tc>
          <w:tcPr>
            <w:tcW w:w="1985" w:type="dxa"/>
          </w:tcPr>
          <w:p w14:paraId="228A0723" w14:textId="77777777" w:rsidR="002155C3" w:rsidRPr="00916AD1" w:rsidRDefault="002155C3" w:rsidP="00964101">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974" w:type="dxa"/>
          </w:tcPr>
          <w:p w14:paraId="24409C23" w14:textId="77777777" w:rsidR="002155C3" w:rsidRPr="00916AD1" w:rsidRDefault="002155C3" w:rsidP="00964101">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2155C3" w:rsidRPr="00E6585A" w14:paraId="42C611D2" w14:textId="77777777" w:rsidTr="009304F1">
        <w:tc>
          <w:tcPr>
            <w:cnfStyle w:val="001000000000" w:firstRow="0" w:lastRow="0" w:firstColumn="1" w:lastColumn="0" w:oddVBand="0" w:evenVBand="0" w:oddHBand="0" w:evenHBand="0" w:firstRowFirstColumn="0" w:firstRowLastColumn="0" w:lastRowFirstColumn="0" w:lastRowLastColumn="0"/>
            <w:tcW w:w="3686" w:type="dxa"/>
            <w:shd w:val="clear" w:color="auto" w:fill="F2F2F2" w:themeFill="background1" w:themeFillShade="F2"/>
          </w:tcPr>
          <w:p w14:paraId="2D0BDA31" w14:textId="627CFA07" w:rsidR="002155C3" w:rsidRPr="00916AD1" w:rsidRDefault="00C03C54" w:rsidP="00964101">
            <w:pPr>
              <w:spacing w:before="40" w:after="40"/>
            </w:pPr>
            <w:r w:rsidRPr="00916AD1">
              <w:t>Government (drought reserve)</w:t>
            </w:r>
          </w:p>
        </w:tc>
        <w:tc>
          <w:tcPr>
            <w:tcW w:w="1984" w:type="dxa"/>
            <w:shd w:val="clear" w:color="auto" w:fill="F2F2F2" w:themeFill="background1" w:themeFillShade="F2"/>
          </w:tcPr>
          <w:p w14:paraId="3ABE594D" w14:textId="5FB80D20"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18.87%</w:t>
            </w:r>
          </w:p>
        </w:tc>
        <w:tc>
          <w:tcPr>
            <w:tcW w:w="1985" w:type="dxa"/>
            <w:shd w:val="clear" w:color="auto" w:fill="F2F2F2" w:themeFill="background1" w:themeFillShade="F2"/>
          </w:tcPr>
          <w:p w14:paraId="3374AE19" w14:textId="77777777" w:rsidR="002155C3" w:rsidRPr="00916AD1" w:rsidRDefault="002155C3" w:rsidP="00964101">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974" w:type="dxa"/>
            <w:shd w:val="clear" w:color="auto" w:fill="F2F2F2" w:themeFill="background1" w:themeFillShade="F2"/>
          </w:tcPr>
          <w:p w14:paraId="1E47C7BB" w14:textId="77777777" w:rsidR="002155C3" w:rsidRPr="00916AD1" w:rsidRDefault="002155C3" w:rsidP="00964101">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2155C3" w:rsidRPr="00E6585A" w14:paraId="61C9EE76" w14:textId="77777777" w:rsidTr="009304F1">
        <w:tc>
          <w:tcPr>
            <w:cnfStyle w:val="001000000000" w:firstRow="0" w:lastRow="0" w:firstColumn="1" w:lastColumn="0" w:oddVBand="0" w:evenVBand="0" w:oddHBand="0" w:evenHBand="0" w:firstRowFirstColumn="0" w:firstRowLastColumn="0" w:lastRowFirstColumn="0" w:lastRowLastColumn="0"/>
            <w:tcW w:w="3686" w:type="dxa"/>
          </w:tcPr>
          <w:p w14:paraId="43A68AAB" w14:textId="07391EDF" w:rsidR="002155C3" w:rsidRPr="00916AD1" w:rsidRDefault="00C03C54" w:rsidP="00964101">
            <w:pPr>
              <w:spacing w:before="40" w:after="40"/>
            </w:pPr>
            <w:r w:rsidRPr="00916AD1">
              <w:t xml:space="preserve">Power stations  </w:t>
            </w:r>
          </w:p>
        </w:tc>
        <w:tc>
          <w:tcPr>
            <w:tcW w:w="1984" w:type="dxa"/>
          </w:tcPr>
          <w:p w14:paraId="672292BE" w14:textId="1A8E25B1"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52.50%</w:t>
            </w:r>
          </w:p>
        </w:tc>
        <w:tc>
          <w:tcPr>
            <w:tcW w:w="1985" w:type="dxa"/>
          </w:tcPr>
          <w:p w14:paraId="34646DF2" w14:textId="5098C4FE"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974" w:type="dxa"/>
          </w:tcPr>
          <w:p w14:paraId="0BDABE79" w14:textId="3AAA4551"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100%</w:t>
            </w:r>
          </w:p>
        </w:tc>
      </w:tr>
      <w:tr w:rsidR="002155C3" w:rsidRPr="00E6585A" w14:paraId="4C4FC0BE" w14:textId="77777777" w:rsidTr="009304F1">
        <w:tc>
          <w:tcPr>
            <w:cnfStyle w:val="001000000000" w:firstRow="0" w:lastRow="0" w:firstColumn="1" w:lastColumn="0" w:oddVBand="0" w:evenVBand="0" w:oddHBand="0" w:evenHBand="0" w:firstRowFirstColumn="0" w:firstRowLastColumn="0" w:lastRowFirstColumn="0" w:lastRowLastColumn="0"/>
            <w:tcW w:w="3686" w:type="dxa"/>
            <w:tcBorders>
              <w:bottom w:val="single" w:sz="4" w:space="0" w:color="D9D9D9" w:themeColor="background1" w:themeShade="D9"/>
            </w:tcBorders>
            <w:shd w:val="clear" w:color="auto" w:fill="F2F2F2" w:themeFill="background1" w:themeFillShade="F2"/>
          </w:tcPr>
          <w:p w14:paraId="1ACE2226" w14:textId="1ADAF304" w:rsidR="002155C3" w:rsidRPr="00916AD1" w:rsidRDefault="00C03C54" w:rsidP="00964101">
            <w:pPr>
              <w:spacing w:before="40" w:after="40"/>
            </w:pPr>
            <w:r w:rsidRPr="00916AD1">
              <w:t>Southern Rural Water</w:t>
            </w:r>
          </w:p>
        </w:tc>
        <w:tc>
          <w:tcPr>
            <w:tcW w:w="1984" w:type="dxa"/>
            <w:tcBorders>
              <w:bottom w:val="single" w:sz="4" w:space="0" w:color="D9D9D9" w:themeColor="background1" w:themeShade="D9"/>
            </w:tcBorders>
            <w:shd w:val="clear" w:color="auto" w:fill="F2F2F2" w:themeFill="background1" w:themeFillShade="F2"/>
          </w:tcPr>
          <w:p w14:paraId="7100DA40" w14:textId="438F24D9"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2.10%</w:t>
            </w:r>
          </w:p>
        </w:tc>
        <w:tc>
          <w:tcPr>
            <w:tcW w:w="1985" w:type="dxa"/>
            <w:tcBorders>
              <w:bottom w:val="single" w:sz="4" w:space="0" w:color="D9D9D9" w:themeColor="background1" w:themeShade="D9"/>
            </w:tcBorders>
            <w:shd w:val="clear" w:color="auto" w:fill="F2F2F2" w:themeFill="background1" w:themeFillShade="F2"/>
          </w:tcPr>
          <w:p w14:paraId="48C1D045" w14:textId="1FF6EE0D"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100%</w:t>
            </w:r>
          </w:p>
        </w:tc>
        <w:tc>
          <w:tcPr>
            <w:tcW w:w="1974" w:type="dxa"/>
            <w:tcBorders>
              <w:bottom w:val="single" w:sz="4" w:space="0" w:color="D9D9D9" w:themeColor="background1" w:themeShade="D9"/>
            </w:tcBorders>
            <w:shd w:val="clear" w:color="auto" w:fill="F2F2F2" w:themeFill="background1" w:themeFillShade="F2"/>
          </w:tcPr>
          <w:p w14:paraId="4E5FCD31" w14:textId="64A29D37" w:rsidR="002155C3"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r>
      <w:tr w:rsidR="00C03C54" w:rsidRPr="00E6585A" w14:paraId="2DF263F9" w14:textId="77777777" w:rsidTr="009304F1">
        <w:tc>
          <w:tcPr>
            <w:cnfStyle w:val="001000000000" w:firstRow="0" w:lastRow="0" w:firstColumn="1" w:lastColumn="0" w:oddVBand="0" w:evenVBand="0" w:oddHBand="0" w:evenHBand="0" w:firstRowFirstColumn="0" w:firstRowLastColumn="0" w:lastRowFirstColumn="0" w:lastRowLastColumn="0"/>
            <w:tcW w:w="3686" w:type="dxa"/>
            <w:tcBorders>
              <w:top w:val="single" w:sz="4" w:space="0" w:color="D9D9D9" w:themeColor="background1" w:themeShade="D9"/>
              <w:bottom w:val="single" w:sz="4" w:space="0" w:color="auto"/>
            </w:tcBorders>
          </w:tcPr>
          <w:p w14:paraId="03A9E149" w14:textId="58071E66" w:rsidR="00C03C54" w:rsidRPr="00916AD1" w:rsidRDefault="00C03C54" w:rsidP="00964101">
            <w:pPr>
              <w:spacing w:before="40" w:after="40"/>
            </w:pPr>
            <w:r w:rsidRPr="00916AD1">
              <w:t>Victorian Environmental Water</w:t>
            </w:r>
            <w:r w:rsidR="00610B3C" w:rsidRPr="00916AD1">
              <w:t xml:space="preserve"> </w:t>
            </w:r>
            <w:r w:rsidRPr="00916AD1">
              <w:t>Holder</w:t>
            </w:r>
          </w:p>
        </w:tc>
        <w:tc>
          <w:tcPr>
            <w:tcW w:w="1984" w:type="dxa"/>
            <w:tcBorders>
              <w:top w:val="single" w:sz="4" w:space="0" w:color="D9D9D9" w:themeColor="background1" w:themeShade="D9"/>
              <w:bottom w:val="single" w:sz="4" w:space="0" w:color="auto"/>
            </w:tcBorders>
          </w:tcPr>
          <w:p w14:paraId="27347108" w14:textId="1682FF70" w:rsidR="00C03C54" w:rsidRPr="00916AD1" w:rsidRDefault="00C03C54"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9.</w:t>
            </w:r>
            <w:r w:rsidR="004705AA" w:rsidRPr="00916AD1">
              <w:t>45%</w:t>
            </w:r>
          </w:p>
        </w:tc>
        <w:tc>
          <w:tcPr>
            <w:tcW w:w="1985" w:type="dxa"/>
            <w:tcBorders>
              <w:top w:val="single" w:sz="4" w:space="0" w:color="D9D9D9" w:themeColor="background1" w:themeShade="D9"/>
              <w:bottom w:val="single" w:sz="4" w:space="0" w:color="auto"/>
            </w:tcBorders>
          </w:tcPr>
          <w:p w14:paraId="21E10CA3" w14:textId="4762C5AB" w:rsidR="00C03C54" w:rsidRPr="00916AD1" w:rsidRDefault="004705AA"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974" w:type="dxa"/>
            <w:tcBorders>
              <w:top w:val="single" w:sz="4" w:space="0" w:color="D9D9D9" w:themeColor="background1" w:themeShade="D9"/>
              <w:bottom w:val="single" w:sz="4" w:space="0" w:color="auto"/>
            </w:tcBorders>
          </w:tcPr>
          <w:p w14:paraId="51AE7CB1" w14:textId="1F4AC61F" w:rsidR="00C03C54" w:rsidRPr="00916AD1" w:rsidRDefault="004705AA" w:rsidP="0096410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r>
    </w:tbl>
    <w:p w14:paraId="3593C2CC" w14:textId="45A3161C" w:rsidR="00BC4B8A" w:rsidRDefault="00BC4B8A" w:rsidP="00EA5C54">
      <w:pPr>
        <w:autoSpaceDE w:val="0"/>
        <w:autoSpaceDN w:val="0"/>
        <w:adjustRightInd w:val="0"/>
        <w:spacing w:after="0" w:line="240" w:lineRule="auto"/>
        <w:rPr>
          <w:rFonts w:ascii="HelveticaNeueLT-Light" w:hAnsi="HelveticaNeueLT-Light" w:cs="HelveticaNeueLT-Light"/>
          <w:color w:val="000000"/>
          <w:sz w:val="20"/>
          <w:szCs w:val="20"/>
        </w:rPr>
      </w:pPr>
    </w:p>
    <w:p w14:paraId="7C1DB41D" w14:textId="20E5B5AD" w:rsidR="00E6585A" w:rsidRPr="00BC4B8A" w:rsidRDefault="00BC4B8A" w:rsidP="00BC4B8A">
      <w:pPr>
        <w:pStyle w:val="Caption"/>
        <w:rPr>
          <w:rFonts w:ascii="HelveticaNeueLT-Light" w:hAnsi="HelveticaNeueLT-Light" w:cs="HelveticaNeueLT-Light"/>
          <w:b/>
          <w:bCs/>
          <w:i w:val="0"/>
          <w:iCs w:val="0"/>
          <w:color w:val="00B1B0" w:themeColor="accent1"/>
          <w:sz w:val="22"/>
          <w:szCs w:val="22"/>
        </w:rPr>
      </w:pPr>
      <w:r w:rsidRPr="00BC4B8A">
        <w:rPr>
          <w:b/>
          <w:bCs/>
          <w:i w:val="0"/>
          <w:iCs w:val="0"/>
          <w:color w:val="00B1B0" w:themeColor="accent1"/>
          <w:sz w:val="20"/>
          <w:szCs w:val="20"/>
        </w:rPr>
        <w:t xml:space="preserve">Table </w:t>
      </w:r>
      <w:r w:rsidRPr="00BC4B8A">
        <w:rPr>
          <w:b/>
          <w:bCs/>
          <w:i w:val="0"/>
          <w:iCs w:val="0"/>
          <w:color w:val="00B1B0" w:themeColor="accent1"/>
          <w:sz w:val="20"/>
          <w:szCs w:val="20"/>
        </w:rPr>
        <w:fldChar w:fldCharType="begin"/>
      </w:r>
      <w:r w:rsidRPr="00BC4B8A">
        <w:rPr>
          <w:b/>
          <w:bCs/>
          <w:i w:val="0"/>
          <w:iCs w:val="0"/>
          <w:color w:val="00B1B0" w:themeColor="accent1"/>
          <w:sz w:val="20"/>
          <w:szCs w:val="20"/>
        </w:rPr>
        <w:instrText xml:space="preserve"> SEQ Table \* ARABIC </w:instrText>
      </w:r>
      <w:r w:rsidRPr="00BC4B8A">
        <w:rPr>
          <w:b/>
          <w:bCs/>
          <w:i w:val="0"/>
          <w:iCs w:val="0"/>
          <w:color w:val="00B1B0" w:themeColor="accent1"/>
          <w:sz w:val="20"/>
          <w:szCs w:val="20"/>
        </w:rPr>
        <w:fldChar w:fldCharType="separate"/>
      </w:r>
      <w:r w:rsidR="008126A8">
        <w:rPr>
          <w:b/>
          <w:bCs/>
          <w:i w:val="0"/>
          <w:iCs w:val="0"/>
          <w:noProof/>
          <w:color w:val="00B1B0" w:themeColor="accent1"/>
          <w:sz w:val="20"/>
          <w:szCs w:val="20"/>
        </w:rPr>
        <w:t>27</w:t>
      </w:r>
      <w:r w:rsidRPr="00BC4B8A">
        <w:rPr>
          <w:b/>
          <w:bCs/>
          <w:i w:val="0"/>
          <w:iCs w:val="0"/>
          <w:color w:val="00B1B0" w:themeColor="accent1"/>
          <w:sz w:val="20"/>
          <w:szCs w:val="20"/>
        </w:rPr>
        <w:fldChar w:fldCharType="end"/>
      </w:r>
      <w:r w:rsidRPr="00BC4B8A">
        <w:rPr>
          <w:b/>
          <w:bCs/>
          <w:i w:val="0"/>
          <w:iCs w:val="0"/>
          <w:color w:val="00B1B0" w:themeColor="accent1"/>
          <w:sz w:val="20"/>
          <w:szCs w:val="20"/>
        </w:rPr>
        <w:t xml:space="preserve"> – Bulk Entitlements for Werribee and Maribyrnong</w:t>
      </w:r>
    </w:p>
    <w:tbl>
      <w:tblPr>
        <w:tblStyle w:val="ReportTable-TealColumns"/>
        <w:tblW w:w="0" w:type="auto"/>
        <w:tblLook w:val="04A0" w:firstRow="1" w:lastRow="0" w:firstColumn="1" w:lastColumn="0" w:noHBand="0" w:noVBand="1"/>
      </w:tblPr>
      <w:tblGrid>
        <w:gridCol w:w="2552"/>
        <w:gridCol w:w="1559"/>
        <w:gridCol w:w="1418"/>
        <w:gridCol w:w="1275"/>
        <w:gridCol w:w="1418"/>
        <w:gridCol w:w="1417"/>
      </w:tblGrid>
      <w:tr w:rsidR="009256A3" w:rsidRPr="00E6585A" w14:paraId="3D147D7D" w14:textId="77777777" w:rsidTr="002071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tcPr>
          <w:p w14:paraId="3EC1573D" w14:textId="00509F21" w:rsidR="009256A3" w:rsidRPr="00916AD1" w:rsidRDefault="009256A3" w:rsidP="0020710A">
            <w:pPr>
              <w:spacing w:before="40" w:after="40"/>
            </w:pPr>
            <w:r w:rsidRPr="00916AD1">
              <w:t>Entitlement</w:t>
            </w:r>
          </w:p>
        </w:tc>
        <w:tc>
          <w:tcPr>
            <w:tcW w:w="1559" w:type="dxa"/>
          </w:tcPr>
          <w:p w14:paraId="1A3CA690" w14:textId="39347A56" w:rsidR="009256A3" w:rsidRPr="00916AD1" w:rsidRDefault="009256A3" w:rsidP="0020710A">
            <w:pPr>
              <w:spacing w:before="40" w:after="40"/>
              <w:jc w:val="center"/>
              <w:cnfStyle w:val="100000000000" w:firstRow="1" w:lastRow="0" w:firstColumn="0" w:lastColumn="0" w:oddVBand="0" w:evenVBand="0" w:oddHBand="0" w:evenHBand="0" w:firstRowFirstColumn="0" w:firstRowLastColumn="0" w:lastRowFirstColumn="0" w:lastRowLastColumn="0"/>
            </w:pPr>
            <w:r w:rsidRPr="00916AD1">
              <w:t>Pykes Creek</w:t>
            </w:r>
          </w:p>
        </w:tc>
        <w:tc>
          <w:tcPr>
            <w:tcW w:w="1418" w:type="dxa"/>
          </w:tcPr>
          <w:p w14:paraId="23CEAF44" w14:textId="3F34A6F9" w:rsidR="009256A3" w:rsidRPr="00916AD1" w:rsidRDefault="009256A3" w:rsidP="0020710A">
            <w:pPr>
              <w:spacing w:before="40" w:after="40"/>
              <w:jc w:val="center"/>
              <w:cnfStyle w:val="100000000000" w:firstRow="1" w:lastRow="0" w:firstColumn="0" w:lastColumn="0" w:oddVBand="0" w:evenVBand="0" w:oddHBand="0" w:evenHBand="0" w:firstRowFirstColumn="0" w:firstRowLastColumn="0" w:lastRowFirstColumn="0" w:lastRowLastColumn="0"/>
            </w:pPr>
            <w:r w:rsidRPr="00916AD1">
              <w:t>Melton</w:t>
            </w:r>
          </w:p>
        </w:tc>
        <w:tc>
          <w:tcPr>
            <w:tcW w:w="2693" w:type="dxa"/>
            <w:gridSpan w:val="2"/>
          </w:tcPr>
          <w:p w14:paraId="1D8A366E" w14:textId="50343998" w:rsidR="009256A3" w:rsidRPr="00916AD1" w:rsidRDefault="009256A3" w:rsidP="0020710A">
            <w:pPr>
              <w:spacing w:before="40" w:after="40"/>
              <w:jc w:val="center"/>
              <w:cnfStyle w:val="100000000000" w:firstRow="1" w:lastRow="0" w:firstColumn="0" w:lastColumn="0" w:oddVBand="0" w:evenVBand="0" w:oddHBand="0" w:evenHBand="0" w:firstRowFirstColumn="0" w:firstRowLastColumn="0" w:lastRowFirstColumn="0" w:lastRowLastColumn="0"/>
            </w:pPr>
            <w:r w:rsidRPr="00916AD1">
              <w:t>Merrimu</w:t>
            </w:r>
          </w:p>
        </w:tc>
        <w:tc>
          <w:tcPr>
            <w:tcW w:w="1417" w:type="dxa"/>
          </w:tcPr>
          <w:p w14:paraId="20D8ED4E" w14:textId="007181B9" w:rsidR="009256A3" w:rsidRPr="00916AD1" w:rsidRDefault="009256A3" w:rsidP="0020710A">
            <w:pPr>
              <w:spacing w:before="40" w:after="40"/>
              <w:jc w:val="center"/>
              <w:cnfStyle w:val="100000000000" w:firstRow="1" w:lastRow="0" w:firstColumn="0" w:lastColumn="0" w:oddVBand="0" w:evenVBand="0" w:oddHBand="0" w:evenHBand="0" w:firstRowFirstColumn="0" w:firstRowLastColumn="0" w:lastRowFirstColumn="0" w:lastRowLastColumn="0"/>
            </w:pPr>
            <w:r w:rsidRPr="00916AD1">
              <w:t>Rosslyn</w:t>
            </w:r>
          </w:p>
        </w:tc>
      </w:tr>
      <w:tr w:rsidR="009256A3" w:rsidRPr="00E6585A" w14:paraId="41999996" w14:textId="77777777" w:rsidTr="0020710A">
        <w:tc>
          <w:tcPr>
            <w:cnfStyle w:val="001000000000" w:firstRow="0" w:lastRow="0" w:firstColumn="1" w:lastColumn="0" w:oddVBand="0" w:evenVBand="0" w:oddHBand="0" w:evenHBand="0" w:firstRowFirstColumn="0" w:firstRowLastColumn="0" w:lastRowFirstColumn="0" w:lastRowLastColumn="0"/>
            <w:tcW w:w="2552" w:type="dxa"/>
            <w:shd w:val="clear" w:color="auto" w:fill="F2F2F2" w:themeFill="background1" w:themeFillShade="F2"/>
          </w:tcPr>
          <w:p w14:paraId="79C059EF" w14:textId="77777777" w:rsidR="009256A3" w:rsidRPr="00916AD1" w:rsidRDefault="009256A3" w:rsidP="0020710A">
            <w:pPr>
              <w:spacing w:before="40" w:after="40"/>
            </w:pPr>
          </w:p>
        </w:tc>
        <w:tc>
          <w:tcPr>
            <w:tcW w:w="1559" w:type="dxa"/>
            <w:shd w:val="clear" w:color="auto" w:fill="F2F2F2" w:themeFill="background1" w:themeFillShade="F2"/>
          </w:tcPr>
          <w:p w14:paraId="63472ECB" w14:textId="77777777"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418" w:type="dxa"/>
            <w:shd w:val="clear" w:color="auto" w:fill="F2F2F2" w:themeFill="background1" w:themeFillShade="F2"/>
          </w:tcPr>
          <w:p w14:paraId="3CDAFD16" w14:textId="77777777"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p>
        </w:tc>
        <w:tc>
          <w:tcPr>
            <w:tcW w:w="1275" w:type="dxa"/>
            <w:shd w:val="clear" w:color="auto" w:fill="F2F2F2" w:themeFill="background1" w:themeFillShade="F2"/>
          </w:tcPr>
          <w:p w14:paraId="382BF894" w14:textId="7D123574" w:rsidR="009256A3" w:rsidRPr="0020710A"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20710A">
              <w:t>Capacity</w:t>
            </w:r>
          </w:p>
        </w:tc>
        <w:tc>
          <w:tcPr>
            <w:tcW w:w="1418" w:type="dxa"/>
            <w:shd w:val="clear" w:color="auto" w:fill="F2F2F2" w:themeFill="background1" w:themeFillShade="F2"/>
          </w:tcPr>
          <w:p w14:paraId="4EFEB805" w14:textId="1EA527AF" w:rsidR="009256A3" w:rsidRPr="0020710A"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20710A">
              <w:t>Inflows</w:t>
            </w:r>
          </w:p>
        </w:tc>
        <w:tc>
          <w:tcPr>
            <w:tcW w:w="1417" w:type="dxa"/>
            <w:shd w:val="clear" w:color="auto" w:fill="F2F2F2" w:themeFill="background1" w:themeFillShade="F2"/>
          </w:tcPr>
          <w:p w14:paraId="09EC1977" w14:textId="14CB1C05"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p>
        </w:tc>
      </w:tr>
      <w:tr w:rsidR="009256A3" w:rsidRPr="00E6585A" w14:paraId="224D63D7" w14:textId="77777777" w:rsidTr="0020710A">
        <w:tc>
          <w:tcPr>
            <w:cnfStyle w:val="001000000000" w:firstRow="0" w:lastRow="0" w:firstColumn="1" w:lastColumn="0" w:oddVBand="0" w:evenVBand="0" w:oddHBand="0" w:evenHBand="0" w:firstRowFirstColumn="0" w:firstRowLastColumn="0" w:lastRowFirstColumn="0" w:lastRowLastColumn="0"/>
            <w:tcW w:w="2552" w:type="dxa"/>
          </w:tcPr>
          <w:p w14:paraId="561EE812" w14:textId="2B3C9F39" w:rsidR="009256A3" w:rsidRPr="00916AD1" w:rsidRDefault="009256A3" w:rsidP="0020710A">
            <w:pPr>
              <w:spacing w:before="40" w:after="40"/>
            </w:pPr>
            <w:r w:rsidRPr="00916AD1">
              <w:t>Greater Western Water</w:t>
            </w:r>
          </w:p>
        </w:tc>
        <w:tc>
          <w:tcPr>
            <w:tcW w:w="1559" w:type="dxa"/>
          </w:tcPr>
          <w:p w14:paraId="7AB9D533" w14:textId="3F2C02F8"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8" w:type="dxa"/>
          </w:tcPr>
          <w:p w14:paraId="4634FD7D" w14:textId="35ADEFD2"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275" w:type="dxa"/>
          </w:tcPr>
          <w:p w14:paraId="79ED76E7" w14:textId="28BCEDEF"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80%</w:t>
            </w:r>
          </w:p>
        </w:tc>
        <w:tc>
          <w:tcPr>
            <w:tcW w:w="1418" w:type="dxa"/>
          </w:tcPr>
          <w:p w14:paraId="328127B3" w14:textId="34984C28" w:rsidR="009256A3" w:rsidRPr="00916AD1" w:rsidRDefault="00E6585A"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80%</w:t>
            </w:r>
          </w:p>
        </w:tc>
        <w:tc>
          <w:tcPr>
            <w:tcW w:w="1417" w:type="dxa"/>
          </w:tcPr>
          <w:p w14:paraId="25F77B99" w14:textId="5CC952FA"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86%</w:t>
            </w:r>
          </w:p>
        </w:tc>
      </w:tr>
      <w:tr w:rsidR="009256A3" w:rsidRPr="00E6585A" w14:paraId="4FA0125B" w14:textId="77777777" w:rsidTr="0020710A">
        <w:tc>
          <w:tcPr>
            <w:cnfStyle w:val="001000000000" w:firstRow="0" w:lastRow="0" w:firstColumn="1" w:lastColumn="0" w:oddVBand="0" w:evenVBand="0" w:oddHBand="0" w:evenHBand="0" w:firstRowFirstColumn="0" w:firstRowLastColumn="0" w:lastRowFirstColumn="0" w:lastRowLastColumn="0"/>
            <w:tcW w:w="2552" w:type="dxa"/>
            <w:shd w:val="clear" w:color="auto" w:fill="F2F2F2" w:themeFill="background1" w:themeFillShade="F2"/>
          </w:tcPr>
          <w:p w14:paraId="0DFBFEFB" w14:textId="1554D9E0" w:rsidR="009256A3" w:rsidRPr="00916AD1" w:rsidRDefault="009256A3" w:rsidP="0020710A">
            <w:pPr>
              <w:spacing w:before="40" w:after="40"/>
            </w:pPr>
            <w:r w:rsidRPr="00916AD1">
              <w:t>Melbourne Water</w:t>
            </w:r>
          </w:p>
        </w:tc>
        <w:tc>
          <w:tcPr>
            <w:tcW w:w="1559" w:type="dxa"/>
            <w:shd w:val="clear" w:color="auto" w:fill="F2F2F2" w:themeFill="background1" w:themeFillShade="F2"/>
          </w:tcPr>
          <w:p w14:paraId="1771AECA" w14:textId="299196D2"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8" w:type="dxa"/>
            <w:shd w:val="clear" w:color="auto" w:fill="F2F2F2" w:themeFill="background1" w:themeFillShade="F2"/>
          </w:tcPr>
          <w:p w14:paraId="7F4B396B" w14:textId="1BABAE2A"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275" w:type="dxa"/>
            <w:shd w:val="clear" w:color="auto" w:fill="F2F2F2" w:themeFill="background1" w:themeFillShade="F2"/>
          </w:tcPr>
          <w:p w14:paraId="03E6CD5D" w14:textId="103E085E"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8" w:type="dxa"/>
            <w:shd w:val="clear" w:color="auto" w:fill="F2F2F2" w:themeFill="background1" w:themeFillShade="F2"/>
          </w:tcPr>
          <w:p w14:paraId="50677406" w14:textId="2A2F4F27" w:rsidR="009256A3" w:rsidRPr="00916AD1" w:rsidRDefault="00E6585A"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7" w:type="dxa"/>
            <w:shd w:val="clear" w:color="auto" w:fill="F2F2F2" w:themeFill="background1" w:themeFillShade="F2"/>
          </w:tcPr>
          <w:p w14:paraId="48611644" w14:textId="52B04C2E"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9.5%</w:t>
            </w:r>
          </w:p>
        </w:tc>
      </w:tr>
      <w:tr w:rsidR="009256A3" w:rsidRPr="00E6585A" w14:paraId="293A220E" w14:textId="77777777" w:rsidTr="009304F1">
        <w:tc>
          <w:tcPr>
            <w:cnfStyle w:val="001000000000" w:firstRow="0" w:lastRow="0" w:firstColumn="1" w:lastColumn="0" w:oddVBand="0" w:evenVBand="0" w:oddHBand="0" w:evenHBand="0" w:firstRowFirstColumn="0" w:firstRowLastColumn="0" w:lastRowFirstColumn="0" w:lastRowLastColumn="0"/>
            <w:tcW w:w="2552" w:type="dxa"/>
            <w:tcBorders>
              <w:bottom w:val="single" w:sz="4" w:space="0" w:color="D9D9D9" w:themeColor="background1" w:themeShade="D9"/>
            </w:tcBorders>
          </w:tcPr>
          <w:p w14:paraId="4AED1D3A" w14:textId="46A17490" w:rsidR="009256A3" w:rsidRPr="00916AD1" w:rsidRDefault="009256A3" w:rsidP="0020710A">
            <w:pPr>
              <w:spacing w:before="40" w:after="40"/>
            </w:pPr>
            <w:r w:rsidRPr="00916AD1">
              <w:t>Southern Rural Water</w:t>
            </w:r>
          </w:p>
        </w:tc>
        <w:tc>
          <w:tcPr>
            <w:tcW w:w="1559" w:type="dxa"/>
            <w:tcBorders>
              <w:bottom w:val="single" w:sz="4" w:space="0" w:color="D9D9D9" w:themeColor="background1" w:themeShade="D9"/>
            </w:tcBorders>
          </w:tcPr>
          <w:p w14:paraId="058710B1" w14:textId="6AEDB1F8"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100%</w:t>
            </w:r>
          </w:p>
        </w:tc>
        <w:tc>
          <w:tcPr>
            <w:tcW w:w="1418" w:type="dxa"/>
            <w:tcBorders>
              <w:bottom w:val="single" w:sz="4" w:space="0" w:color="D9D9D9" w:themeColor="background1" w:themeShade="D9"/>
            </w:tcBorders>
          </w:tcPr>
          <w:p w14:paraId="299808E1" w14:textId="042387BE"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100%</w:t>
            </w:r>
          </w:p>
        </w:tc>
        <w:tc>
          <w:tcPr>
            <w:tcW w:w="1275" w:type="dxa"/>
            <w:tcBorders>
              <w:bottom w:val="single" w:sz="4" w:space="0" w:color="D9D9D9" w:themeColor="background1" w:themeShade="D9"/>
            </w:tcBorders>
          </w:tcPr>
          <w:p w14:paraId="48996A84" w14:textId="0F49D4CB"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20%</w:t>
            </w:r>
          </w:p>
        </w:tc>
        <w:tc>
          <w:tcPr>
            <w:tcW w:w="1418" w:type="dxa"/>
            <w:tcBorders>
              <w:bottom w:val="single" w:sz="4" w:space="0" w:color="D9D9D9" w:themeColor="background1" w:themeShade="D9"/>
            </w:tcBorders>
          </w:tcPr>
          <w:p w14:paraId="77E20044" w14:textId="2F006E76"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w:t>
            </w:r>
          </w:p>
        </w:tc>
        <w:tc>
          <w:tcPr>
            <w:tcW w:w="1417" w:type="dxa"/>
            <w:tcBorders>
              <w:bottom w:val="single" w:sz="4" w:space="0" w:color="D9D9D9" w:themeColor="background1" w:themeShade="D9"/>
            </w:tcBorders>
          </w:tcPr>
          <w:p w14:paraId="40982E6F" w14:textId="4681AD4B" w:rsidR="009256A3" w:rsidRPr="00916AD1" w:rsidRDefault="009256A3" w:rsidP="0020710A">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4.5%</w:t>
            </w:r>
          </w:p>
        </w:tc>
      </w:tr>
      <w:tr w:rsidR="009256A3" w:rsidRPr="00E6585A" w14:paraId="24A8AD37" w14:textId="77777777" w:rsidTr="009304F1">
        <w:tc>
          <w:tcPr>
            <w:cnfStyle w:val="001000000000" w:firstRow="0" w:lastRow="0" w:firstColumn="1" w:lastColumn="0" w:oddVBand="0" w:evenVBand="0" w:oddHBand="0" w:evenHBand="0" w:firstRowFirstColumn="0" w:firstRowLastColumn="0" w:lastRowFirstColumn="0" w:lastRowLastColumn="0"/>
            <w:tcW w:w="2552" w:type="dxa"/>
            <w:tcBorders>
              <w:top w:val="single" w:sz="4" w:space="0" w:color="D9D9D9" w:themeColor="background1" w:themeShade="D9"/>
              <w:bottom w:val="single" w:sz="4" w:space="0" w:color="auto"/>
            </w:tcBorders>
            <w:shd w:val="clear" w:color="auto" w:fill="F2F2F2" w:themeFill="background1" w:themeFillShade="F2"/>
          </w:tcPr>
          <w:p w14:paraId="363942BC" w14:textId="0B051269" w:rsidR="009256A3" w:rsidRPr="00916AD1" w:rsidRDefault="009256A3" w:rsidP="009304F1">
            <w:pPr>
              <w:spacing w:before="40" w:after="40"/>
            </w:pPr>
            <w:r w:rsidRPr="00916AD1">
              <w:t>Environmental entitlement</w:t>
            </w:r>
          </w:p>
        </w:tc>
        <w:tc>
          <w:tcPr>
            <w:tcW w:w="1559" w:type="dxa"/>
            <w:tcBorders>
              <w:top w:val="single" w:sz="4" w:space="0" w:color="D9D9D9" w:themeColor="background1" w:themeShade="D9"/>
              <w:bottom w:val="single" w:sz="4" w:space="0" w:color="auto"/>
            </w:tcBorders>
            <w:shd w:val="clear" w:color="auto" w:fill="F2F2F2" w:themeFill="background1" w:themeFillShade="F2"/>
          </w:tcPr>
          <w:p w14:paraId="4DC2035B" w14:textId="6118A75E" w:rsidR="009256A3" w:rsidRPr="00916AD1" w:rsidRDefault="009256A3" w:rsidP="009304F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8" w:type="dxa"/>
            <w:tcBorders>
              <w:top w:val="single" w:sz="4" w:space="0" w:color="D9D9D9" w:themeColor="background1" w:themeShade="D9"/>
              <w:bottom w:val="single" w:sz="4" w:space="0" w:color="auto"/>
            </w:tcBorders>
            <w:shd w:val="clear" w:color="auto" w:fill="F2F2F2" w:themeFill="background1" w:themeFillShade="F2"/>
          </w:tcPr>
          <w:p w14:paraId="2707AAD4" w14:textId="7F6307D1" w:rsidR="009256A3" w:rsidRPr="00916AD1" w:rsidRDefault="009256A3" w:rsidP="009304F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275" w:type="dxa"/>
            <w:tcBorders>
              <w:top w:val="single" w:sz="4" w:space="0" w:color="D9D9D9" w:themeColor="background1" w:themeShade="D9"/>
              <w:bottom w:val="single" w:sz="4" w:space="0" w:color="auto"/>
            </w:tcBorders>
            <w:shd w:val="clear" w:color="auto" w:fill="F2F2F2" w:themeFill="background1" w:themeFillShade="F2"/>
          </w:tcPr>
          <w:p w14:paraId="6C3148A7" w14:textId="661565D3" w:rsidR="009256A3" w:rsidRPr="00916AD1" w:rsidRDefault="009256A3" w:rsidP="009304F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c>
          <w:tcPr>
            <w:tcW w:w="1418" w:type="dxa"/>
            <w:tcBorders>
              <w:top w:val="single" w:sz="4" w:space="0" w:color="D9D9D9" w:themeColor="background1" w:themeShade="D9"/>
              <w:bottom w:val="single" w:sz="4" w:space="0" w:color="auto"/>
            </w:tcBorders>
            <w:shd w:val="clear" w:color="auto" w:fill="F2F2F2" w:themeFill="background1" w:themeFillShade="F2"/>
          </w:tcPr>
          <w:p w14:paraId="7964B624" w14:textId="5648C4CE" w:rsidR="009256A3" w:rsidRPr="00916AD1" w:rsidRDefault="009256A3" w:rsidP="009304F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10%</w:t>
            </w:r>
          </w:p>
        </w:tc>
        <w:tc>
          <w:tcPr>
            <w:tcW w:w="1417" w:type="dxa"/>
            <w:tcBorders>
              <w:top w:val="single" w:sz="4" w:space="0" w:color="D9D9D9" w:themeColor="background1" w:themeShade="D9"/>
              <w:bottom w:val="single" w:sz="4" w:space="0" w:color="auto"/>
            </w:tcBorders>
            <w:shd w:val="clear" w:color="auto" w:fill="F2F2F2" w:themeFill="background1" w:themeFillShade="F2"/>
          </w:tcPr>
          <w:p w14:paraId="39BD0D01" w14:textId="63B38791" w:rsidR="009256A3" w:rsidRPr="00916AD1" w:rsidRDefault="009256A3" w:rsidP="009304F1">
            <w:pPr>
              <w:spacing w:before="40" w:after="40"/>
              <w:jc w:val="center"/>
              <w:cnfStyle w:val="000000000000" w:firstRow="0" w:lastRow="0" w:firstColumn="0" w:lastColumn="0" w:oddVBand="0" w:evenVBand="0" w:oddHBand="0" w:evenHBand="0" w:firstRowFirstColumn="0" w:firstRowLastColumn="0" w:lastRowFirstColumn="0" w:lastRowLastColumn="0"/>
            </w:pPr>
            <w:r w:rsidRPr="00916AD1">
              <w:t>0%</w:t>
            </w:r>
          </w:p>
        </w:tc>
      </w:tr>
    </w:tbl>
    <w:p w14:paraId="4215E31F" w14:textId="77777777" w:rsidR="004705AA" w:rsidRDefault="004705AA" w:rsidP="00EA5C54">
      <w:pPr>
        <w:autoSpaceDE w:val="0"/>
        <w:autoSpaceDN w:val="0"/>
        <w:adjustRightInd w:val="0"/>
        <w:spacing w:after="0" w:line="240" w:lineRule="auto"/>
        <w:rPr>
          <w:rFonts w:ascii="HelveticaNeueLT-Light" w:hAnsi="HelveticaNeueLT-Light" w:cs="HelveticaNeueLT-Light"/>
          <w:color w:val="000000"/>
          <w:sz w:val="20"/>
          <w:szCs w:val="20"/>
        </w:rPr>
      </w:pPr>
    </w:p>
    <w:p w14:paraId="7D1F6F55" w14:textId="14E0D38B" w:rsidR="00850D17" w:rsidRPr="00916AD1" w:rsidRDefault="00850D17" w:rsidP="0020710A">
      <w:pPr>
        <w:jc w:val="both"/>
      </w:pPr>
      <w:r w:rsidRPr="00916AD1">
        <w:t>Charges for our B</w:t>
      </w:r>
      <w:r w:rsidR="00A003B6" w:rsidRPr="00916AD1">
        <w:t>E</w:t>
      </w:r>
      <w:r w:rsidRPr="00916AD1">
        <w:t xml:space="preserve">s are based on cost reimbursement arrangements set by the bulk entitlement </w:t>
      </w:r>
      <w:r w:rsidR="00E93F6A" w:rsidRPr="00916AD1">
        <w:t>agreements determined by the State</w:t>
      </w:r>
      <w:r w:rsidR="00A003B6" w:rsidRPr="00916AD1">
        <w:t>, t</w:t>
      </w:r>
      <w:r w:rsidR="00E93F6A" w:rsidRPr="00916AD1">
        <w:t>hese are in the proportion of the entitlement holders.</w:t>
      </w:r>
      <w:r w:rsidR="00151221" w:rsidRPr="00916AD1">
        <w:t xml:space="preserve"> </w:t>
      </w:r>
    </w:p>
    <w:p w14:paraId="7067B8E5" w14:textId="41E88490" w:rsidR="00E645D1" w:rsidRDefault="008F7AF4" w:rsidP="0020710A">
      <w:pPr>
        <w:jc w:val="both"/>
      </w:pPr>
      <w:r w:rsidRPr="00916AD1">
        <w:t xml:space="preserve">Charges for our BEs are based on cost reimbursement arrangements set by the bulk entitlement agreements determined by the State, these are in the proportion of the entitlement holders. </w:t>
      </w:r>
    </w:p>
    <w:p w14:paraId="10326813" w14:textId="77777777" w:rsidR="00E645D1" w:rsidRDefault="00E645D1">
      <w:r>
        <w:br w:type="page"/>
      </w:r>
    </w:p>
    <w:p w14:paraId="243FEAE8" w14:textId="77777777" w:rsidR="009D0A01" w:rsidRPr="00916AD1" w:rsidRDefault="003437DE" w:rsidP="003437DE">
      <w:pPr>
        <w:pStyle w:val="Heading2"/>
      </w:pPr>
      <w:r w:rsidRPr="00916AD1">
        <w:t>Tariff</w:t>
      </w:r>
      <w:r w:rsidR="009D0A01" w:rsidRPr="00916AD1">
        <w:t>s</w:t>
      </w:r>
    </w:p>
    <w:p w14:paraId="60230DAB" w14:textId="1C6A33D9" w:rsidR="003437DE" w:rsidRPr="00916AD1" w:rsidRDefault="009D0A01" w:rsidP="009D0A01">
      <w:pPr>
        <w:pStyle w:val="Heading3"/>
      </w:pPr>
      <w:r w:rsidRPr="00916AD1">
        <w:t>Tariff</w:t>
      </w:r>
      <w:r w:rsidR="003437DE" w:rsidRPr="00916AD1">
        <w:t xml:space="preserve"> </w:t>
      </w:r>
      <w:r w:rsidR="00EE2E5D" w:rsidRPr="00916AD1">
        <w:t>forecasts</w:t>
      </w:r>
    </w:p>
    <w:p w14:paraId="36E0055B" w14:textId="5717E346" w:rsidR="00EE2E5D" w:rsidRPr="00916AD1" w:rsidRDefault="00BC3B66" w:rsidP="0020710A">
      <w:pPr>
        <w:jc w:val="both"/>
      </w:pPr>
      <w:r w:rsidRPr="00916AD1">
        <w:t>Headline price movements are reflected in the table on the following page.</w:t>
      </w:r>
      <w:r w:rsidR="005B6352" w:rsidRPr="00916AD1">
        <w:t xml:space="preserve">  </w:t>
      </w:r>
      <w:r w:rsidR="003437DE" w:rsidRPr="00916AD1">
        <w:t xml:space="preserve">Appendix A provides a detailed list of prices and tariffs </w:t>
      </w:r>
      <w:r w:rsidR="00EE2E5D" w:rsidRPr="00916AD1">
        <w:t>including forecasts through to 2028.</w:t>
      </w:r>
    </w:p>
    <w:p w14:paraId="72B86E03" w14:textId="107BA01E" w:rsidR="003437DE" w:rsidRDefault="007877C0" w:rsidP="007877C0">
      <w:pPr>
        <w:pStyle w:val="Caption"/>
        <w:rPr>
          <w:b/>
          <w:bCs/>
          <w:i w:val="0"/>
          <w:iCs w:val="0"/>
          <w:color w:val="00B1B0" w:themeColor="accent1"/>
          <w:sz w:val="20"/>
          <w:szCs w:val="20"/>
        </w:rPr>
      </w:pPr>
      <w:bookmarkStart w:id="73" w:name="_Ref113440312"/>
      <w:bookmarkStart w:id="74" w:name="_Hlk109245460"/>
      <w:r w:rsidRPr="00312AF4">
        <w:rPr>
          <w:b/>
          <w:bCs/>
          <w:i w:val="0"/>
          <w:iCs w:val="0"/>
          <w:color w:val="00B1B0" w:themeColor="accent1"/>
          <w:sz w:val="20"/>
          <w:szCs w:val="20"/>
        </w:rPr>
        <w:t xml:space="preserve">Table </w:t>
      </w:r>
      <w:r w:rsidRPr="00312AF4">
        <w:rPr>
          <w:b/>
          <w:bCs/>
          <w:i w:val="0"/>
          <w:iCs w:val="0"/>
          <w:color w:val="00B1B0" w:themeColor="accent1"/>
          <w:sz w:val="20"/>
          <w:szCs w:val="20"/>
        </w:rPr>
        <w:fldChar w:fldCharType="begin"/>
      </w:r>
      <w:r w:rsidRPr="00312AF4">
        <w:rPr>
          <w:b/>
          <w:bCs/>
          <w:i w:val="0"/>
          <w:iCs w:val="0"/>
          <w:color w:val="00B1B0" w:themeColor="accent1"/>
          <w:sz w:val="20"/>
          <w:szCs w:val="20"/>
        </w:rPr>
        <w:instrText xml:space="preserve"> SEQ Table \* ARABIC </w:instrText>
      </w:r>
      <w:r w:rsidRPr="00312AF4">
        <w:rPr>
          <w:b/>
          <w:bCs/>
          <w:i w:val="0"/>
          <w:iCs w:val="0"/>
          <w:color w:val="00B1B0" w:themeColor="accent1"/>
          <w:sz w:val="20"/>
          <w:szCs w:val="20"/>
        </w:rPr>
        <w:fldChar w:fldCharType="separate"/>
      </w:r>
      <w:r w:rsidR="008126A8">
        <w:rPr>
          <w:b/>
          <w:bCs/>
          <w:i w:val="0"/>
          <w:iCs w:val="0"/>
          <w:noProof/>
          <w:color w:val="00B1B0" w:themeColor="accent1"/>
          <w:sz w:val="20"/>
          <w:szCs w:val="20"/>
        </w:rPr>
        <w:t>28</w:t>
      </w:r>
      <w:r w:rsidRPr="00312AF4">
        <w:rPr>
          <w:b/>
          <w:bCs/>
          <w:i w:val="0"/>
          <w:iCs w:val="0"/>
          <w:color w:val="00B1B0" w:themeColor="accent1"/>
          <w:sz w:val="20"/>
          <w:szCs w:val="20"/>
        </w:rPr>
        <w:fldChar w:fldCharType="end"/>
      </w:r>
      <w:bookmarkEnd w:id="73"/>
      <w:r w:rsidRPr="00312AF4">
        <w:rPr>
          <w:b/>
          <w:bCs/>
          <w:i w:val="0"/>
          <w:iCs w:val="0"/>
          <w:color w:val="00B1B0" w:themeColor="accent1"/>
          <w:sz w:val="20"/>
          <w:szCs w:val="20"/>
        </w:rPr>
        <w:t xml:space="preserve"> </w:t>
      </w:r>
      <w:r w:rsidR="00AF74E2" w:rsidRPr="00312AF4">
        <w:rPr>
          <w:b/>
          <w:bCs/>
          <w:i w:val="0"/>
          <w:iCs w:val="0"/>
          <w:color w:val="00B1B0" w:themeColor="accent1"/>
          <w:sz w:val="20"/>
          <w:szCs w:val="20"/>
        </w:rPr>
        <w:t>–</w:t>
      </w:r>
      <w:r w:rsidRPr="00312AF4">
        <w:rPr>
          <w:b/>
          <w:bCs/>
          <w:i w:val="0"/>
          <w:iCs w:val="0"/>
          <w:color w:val="00B1B0" w:themeColor="accent1"/>
          <w:sz w:val="20"/>
          <w:szCs w:val="20"/>
        </w:rPr>
        <w:t xml:space="preserve"> </w:t>
      </w:r>
      <w:r w:rsidR="00AF74E2" w:rsidRPr="00312AF4">
        <w:rPr>
          <w:b/>
          <w:bCs/>
          <w:i w:val="0"/>
          <w:iCs w:val="0"/>
          <w:color w:val="00B1B0" w:themeColor="accent1"/>
          <w:sz w:val="20"/>
          <w:szCs w:val="20"/>
        </w:rPr>
        <w:t>Headline price mo</w:t>
      </w:r>
      <w:r w:rsidR="00312AF4" w:rsidRPr="00312AF4">
        <w:rPr>
          <w:b/>
          <w:bCs/>
          <w:i w:val="0"/>
          <w:iCs w:val="0"/>
          <w:color w:val="00B1B0" w:themeColor="accent1"/>
          <w:sz w:val="20"/>
          <w:szCs w:val="20"/>
        </w:rPr>
        <w:t>vements</w:t>
      </w:r>
    </w:p>
    <w:tbl>
      <w:tblPr>
        <w:tblStyle w:val="ReportTable-TealRows"/>
        <w:tblW w:w="9781" w:type="dxa"/>
        <w:tblLook w:val="04A0" w:firstRow="1" w:lastRow="0" w:firstColumn="1" w:lastColumn="0" w:noHBand="0" w:noVBand="1"/>
      </w:tblPr>
      <w:tblGrid>
        <w:gridCol w:w="2977"/>
        <w:gridCol w:w="3231"/>
        <w:gridCol w:w="3573"/>
      </w:tblGrid>
      <w:tr w:rsidR="007F3ADD" w:rsidRPr="00192F41" w14:paraId="0CA01107" w14:textId="77777777">
        <w:trPr>
          <w:cnfStyle w:val="100000000000" w:firstRow="1" w:lastRow="0" w:firstColumn="0" w:lastColumn="0" w:oddVBand="0" w:evenVBand="0" w:oddHBand="0" w:evenHBand="0" w:firstRowFirstColumn="0" w:firstRowLastColumn="0" w:lastRowFirstColumn="0" w:lastRowLastColumn="0"/>
          <w:trHeight w:val="364"/>
        </w:trPr>
        <w:tc>
          <w:tcPr>
            <w:cnfStyle w:val="001000000000" w:firstRow="0" w:lastRow="0" w:firstColumn="1" w:lastColumn="0" w:oddVBand="0" w:evenVBand="0" w:oddHBand="0" w:evenHBand="0" w:firstRowFirstColumn="0" w:firstRowLastColumn="0" w:lastRowFirstColumn="0" w:lastRowLastColumn="0"/>
            <w:tcW w:w="2977" w:type="dxa"/>
            <w:hideMark/>
          </w:tcPr>
          <w:p w14:paraId="654E98CB" w14:textId="77777777" w:rsidR="007F3ADD" w:rsidRPr="00355CD2" w:rsidRDefault="007F3ADD">
            <w:pPr>
              <w:spacing w:before="40" w:after="40"/>
            </w:pPr>
            <w:r w:rsidRPr="00355CD2">
              <w:t>We asked our customers,</w:t>
            </w:r>
          </w:p>
          <w:p w14:paraId="134895CA" w14:textId="77777777" w:rsidR="007F3ADD" w:rsidRPr="009304F1" w:rsidRDefault="007F3ADD">
            <w:pPr>
              <w:spacing w:before="40" w:after="40"/>
            </w:pPr>
            <w:r w:rsidRPr="00355CD2">
              <w:t>if they supported</w:t>
            </w:r>
          </w:p>
        </w:tc>
        <w:tc>
          <w:tcPr>
            <w:tcW w:w="3231" w:type="dxa"/>
            <w:hideMark/>
          </w:tcPr>
          <w:p w14:paraId="62A72B64" w14:textId="77777777" w:rsidR="007F3ADD" w:rsidRPr="009304F1" w:rsidRDefault="007F3ADD">
            <w:pPr>
              <w:spacing w:before="40" w:after="40"/>
              <w:cnfStyle w:val="100000000000" w:firstRow="1" w:lastRow="0" w:firstColumn="0" w:lastColumn="0" w:oddVBand="0" w:evenVBand="0" w:oddHBand="0" w:evenHBand="0" w:firstRowFirstColumn="0" w:firstRowLastColumn="0" w:lastRowFirstColumn="0" w:lastRowLastColumn="0"/>
            </w:pPr>
            <w:r w:rsidRPr="00355CD2">
              <w:t>Customer response</w:t>
            </w:r>
          </w:p>
        </w:tc>
        <w:tc>
          <w:tcPr>
            <w:tcW w:w="3573" w:type="dxa"/>
            <w:hideMark/>
          </w:tcPr>
          <w:p w14:paraId="42388055" w14:textId="77777777" w:rsidR="007F3ADD" w:rsidRPr="009304F1" w:rsidRDefault="007F3ADD">
            <w:pPr>
              <w:spacing w:before="40" w:after="40"/>
              <w:cnfStyle w:val="100000000000" w:firstRow="1" w:lastRow="0" w:firstColumn="0" w:lastColumn="0" w:oddVBand="0" w:evenVBand="0" w:oddHBand="0" w:evenHBand="0" w:firstRowFirstColumn="0" w:firstRowLastColumn="0" w:lastRowFirstColumn="0" w:lastRowLastColumn="0"/>
            </w:pPr>
            <w:r w:rsidRPr="00355CD2">
              <w:t>SRW proposal</w:t>
            </w:r>
          </w:p>
        </w:tc>
      </w:tr>
      <w:tr w:rsidR="007F3ADD" w:rsidRPr="00192F41" w14:paraId="60A604A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7" w:type="dxa"/>
            <w:vAlign w:val="top"/>
            <w:hideMark/>
          </w:tcPr>
          <w:p w14:paraId="73B9EC57" w14:textId="77777777" w:rsidR="007F3ADD" w:rsidRPr="008F7AF4" w:rsidRDefault="007F3ADD">
            <w:pPr>
              <w:spacing w:before="40" w:after="40"/>
            </w:pPr>
            <w:r w:rsidRPr="008F7AF4">
              <w:t>G&amp;R price increases of:</w:t>
            </w:r>
          </w:p>
          <w:p w14:paraId="3EACCBA7" w14:textId="77777777" w:rsidR="007F3ADD" w:rsidRPr="00192F41" w:rsidRDefault="007F3ADD">
            <w:pPr>
              <w:spacing w:before="40" w:after="40"/>
              <w:rPr>
                <w:rFonts w:cs="Arial"/>
              </w:rPr>
            </w:pPr>
            <w:r w:rsidRPr="008F7AF4">
              <w:t>CPI only</w:t>
            </w:r>
          </w:p>
        </w:tc>
        <w:tc>
          <w:tcPr>
            <w:tcW w:w="3231" w:type="dxa"/>
            <w:vAlign w:val="top"/>
            <w:hideMark/>
          </w:tcPr>
          <w:p w14:paraId="060D9DDD" w14:textId="77777777" w:rsidR="007F3ADD" w:rsidRPr="00192F41" w:rsidRDefault="007F3ADD">
            <w:pPr>
              <w:spacing w:before="40" w:after="40"/>
              <w:ind w:right="90"/>
              <w:jc w:val="both"/>
              <w:cnfStyle w:val="000000100000" w:firstRow="0" w:lastRow="0" w:firstColumn="0" w:lastColumn="0" w:oddVBand="0" w:evenVBand="0" w:oddHBand="1" w:evenHBand="0" w:firstRowFirstColumn="0" w:firstRowLastColumn="0" w:lastRowFirstColumn="0" w:lastRowLastColumn="0"/>
              <w:rPr>
                <w:rFonts w:cs="Arial"/>
              </w:rPr>
            </w:pPr>
            <w:r w:rsidRPr="008F7AF4">
              <w:t>Responses varied, with some customers seeking price reductions or just a CPI increase</w:t>
            </w:r>
          </w:p>
        </w:tc>
        <w:tc>
          <w:tcPr>
            <w:tcW w:w="3573" w:type="dxa"/>
            <w:vAlign w:val="top"/>
            <w:hideMark/>
          </w:tcPr>
          <w:p w14:paraId="536DD2BE" w14:textId="77777777" w:rsidR="007F3ADD" w:rsidRPr="008F7AF4" w:rsidRDefault="007F3ADD">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8F7AF4">
              <w:t>We need greater investment in compliance which can (in part) be offset by productivity savings, resulting in proposed price increases of:</w:t>
            </w:r>
          </w:p>
          <w:p w14:paraId="373AAA5A" w14:textId="77777777" w:rsidR="007F3ADD" w:rsidRPr="00192F41" w:rsidRDefault="007F3ADD" w:rsidP="00F459A2">
            <w:pPr>
              <w:pStyle w:val="ListParagraph"/>
              <w:numPr>
                <w:ilvl w:val="0"/>
                <w:numId w:val="19"/>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5C375E">
              <w:t xml:space="preserve">CPI </w:t>
            </w:r>
            <w:r>
              <w:t>only per annum.</w:t>
            </w:r>
          </w:p>
        </w:tc>
      </w:tr>
      <w:tr w:rsidR="007F3ADD" w:rsidRPr="00192F41" w14:paraId="12ACD4B2" w14:textId="77777777">
        <w:trPr>
          <w:trHeight w:val="457"/>
        </w:trPr>
        <w:tc>
          <w:tcPr>
            <w:cnfStyle w:val="001000000000" w:firstRow="0" w:lastRow="0" w:firstColumn="1" w:lastColumn="0" w:oddVBand="0" w:evenVBand="0" w:oddHBand="0" w:evenHBand="0" w:firstRowFirstColumn="0" w:firstRowLastColumn="0" w:lastRowFirstColumn="0" w:lastRowLastColumn="0"/>
            <w:tcW w:w="2977" w:type="dxa"/>
            <w:vAlign w:val="top"/>
            <w:hideMark/>
          </w:tcPr>
          <w:p w14:paraId="5C0E53B6" w14:textId="77777777" w:rsidR="007F3ADD" w:rsidRPr="008F7AF4" w:rsidRDefault="007F3ADD">
            <w:pPr>
              <w:spacing w:before="40" w:after="40"/>
            </w:pPr>
            <w:r w:rsidRPr="008F7AF4">
              <w:t>BMID price increases of:</w:t>
            </w:r>
          </w:p>
          <w:p w14:paraId="2CAE586A" w14:textId="77777777" w:rsidR="007F3ADD" w:rsidRPr="00192F41" w:rsidRDefault="007F3ADD">
            <w:pPr>
              <w:spacing w:before="40" w:after="40"/>
              <w:rPr>
                <w:rFonts w:cs="Arial"/>
              </w:rPr>
            </w:pPr>
            <w:r w:rsidRPr="008F7AF4">
              <w:t>0.0% – 0.2% + CPI pa</w:t>
            </w:r>
          </w:p>
        </w:tc>
        <w:tc>
          <w:tcPr>
            <w:tcW w:w="3231" w:type="dxa"/>
            <w:vAlign w:val="top"/>
            <w:hideMark/>
          </w:tcPr>
          <w:p w14:paraId="3782B88B" w14:textId="77777777" w:rsidR="007F3ADD" w:rsidRPr="00192F41" w:rsidRDefault="007F3ADD">
            <w:pPr>
              <w:spacing w:before="40" w:after="40"/>
              <w:ind w:right="90"/>
              <w:jc w:val="both"/>
              <w:cnfStyle w:val="000000000000" w:firstRow="0" w:lastRow="0" w:firstColumn="0" w:lastColumn="0" w:oddVBand="0" w:evenVBand="0" w:oddHBand="0" w:evenHBand="0" w:firstRowFirstColumn="0" w:firstRowLastColumn="0" w:lastRowFirstColumn="0" w:lastRowLastColumn="0"/>
              <w:rPr>
                <w:rFonts w:cs="Arial"/>
              </w:rPr>
            </w:pPr>
            <w:r w:rsidRPr="008F7AF4">
              <w:t>General opposition to any price increase</w:t>
            </w:r>
          </w:p>
        </w:tc>
        <w:tc>
          <w:tcPr>
            <w:tcW w:w="3573" w:type="dxa"/>
            <w:vAlign w:val="top"/>
            <w:hideMark/>
          </w:tcPr>
          <w:p w14:paraId="2CEE84C3" w14:textId="77777777" w:rsidR="007F3ADD" w:rsidRPr="008F7AF4" w:rsidRDefault="007F3ADD">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F7AF4">
              <w:t>We need to fund past CAPEX which can (in part) be offset by productivity savings, resulting in proposed price increases of:</w:t>
            </w:r>
          </w:p>
          <w:p w14:paraId="556805A1" w14:textId="77777777" w:rsidR="007F3ADD" w:rsidRPr="00192F41" w:rsidRDefault="007F3ADD" w:rsidP="00F459A2">
            <w:pPr>
              <w:pStyle w:val="ListParagraph"/>
              <w:numPr>
                <w:ilvl w:val="0"/>
                <w:numId w:val="19"/>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F7AF4">
              <w:t>CPI only per annum.</w:t>
            </w:r>
          </w:p>
        </w:tc>
      </w:tr>
      <w:tr w:rsidR="007F3ADD" w:rsidRPr="00192F41" w14:paraId="0FACF6C2" w14:textId="77777777">
        <w:trPr>
          <w:cnfStyle w:val="000000100000" w:firstRow="0" w:lastRow="0" w:firstColumn="0" w:lastColumn="0" w:oddVBand="0" w:evenVBand="0" w:oddHBand="1" w:evenHBand="0" w:firstRowFirstColumn="0" w:firstRowLastColumn="0" w:lastRowFirstColumn="0" w:lastRowLastColumn="0"/>
          <w:trHeight w:val="703"/>
        </w:trPr>
        <w:tc>
          <w:tcPr>
            <w:cnfStyle w:val="001000000000" w:firstRow="0" w:lastRow="0" w:firstColumn="1" w:lastColumn="0" w:oddVBand="0" w:evenVBand="0" w:oddHBand="0" w:evenHBand="0" w:firstRowFirstColumn="0" w:firstRowLastColumn="0" w:lastRowFirstColumn="0" w:lastRowLastColumn="0"/>
            <w:tcW w:w="2977" w:type="dxa"/>
            <w:vAlign w:val="top"/>
            <w:hideMark/>
          </w:tcPr>
          <w:p w14:paraId="0B687706" w14:textId="77777777" w:rsidR="007F3ADD" w:rsidRPr="008F7AF4" w:rsidRDefault="007F3ADD">
            <w:pPr>
              <w:spacing w:before="40" w:after="40"/>
            </w:pPr>
            <w:r w:rsidRPr="008F7AF4">
              <w:t>WID price increases of:</w:t>
            </w:r>
          </w:p>
          <w:p w14:paraId="41AAEA29" w14:textId="77777777" w:rsidR="007F3ADD" w:rsidRPr="00192F41" w:rsidRDefault="007F3ADD">
            <w:pPr>
              <w:spacing w:before="40" w:after="40"/>
              <w:rPr>
                <w:rFonts w:cs="Arial"/>
              </w:rPr>
            </w:pPr>
            <w:r w:rsidRPr="008F7AF4">
              <w:t>0.5 to 1.3% + CPI pa.</w:t>
            </w:r>
          </w:p>
        </w:tc>
        <w:tc>
          <w:tcPr>
            <w:tcW w:w="3231" w:type="dxa"/>
            <w:vAlign w:val="top"/>
            <w:hideMark/>
          </w:tcPr>
          <w:p w14:paraId="54E5FD96" w14:textId="77777777" w:rsidR="007F3ADD" w:rsidRPr="00192F41" w:rsidRDefault="007F3ADD">
            <w:pPr>
              <w:spacing w:before="40" w:after="40"/>
              <w:ind w:right="90"/>
              <w:jc w:val="both"/>
              <w:cnfStyle w:val="000000100000" w:firstRow="0" w:lastRow="0" w:firstColumn="0" w:lastColumn="0" w:oddVBand="0" w:evenVBand="0" w:oddHBand="1" w:evenHBand="0" w:firstRowFirstColumn="0" w:firstRowLastColumn="0" w:lastRowFirstColumn="0" w:lastRowLastColumn="0"/>
              <w:rPr>
                <w:rFonts w:cs="Arial"/>
              </w:rPr>
            </w:pPr>
            <w:r w:rsidRPr="008F7AF4">
              <w:t>Very strong support for options with a 1.0% to 1.3% price increase, although it is acknowledged that some did not support any increase.</w:t>
            </w:r>
          </w:p>
        </w:tc>
        <w:tc>
          <w:tcPr>
            <w:tcW w:w="3573" w:type="dxa"/>
            <w:vAlign w:val="top"/>
            <w:hideMark/>
          </w:tcPr>
          <w:p w14:paraId="163E4367" w14:textId="77777777" w:rsidR="007F3ADD" w:rsidRPr="008F7AF4" w:rsidRDefault="007F3ADD">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8F7AF4">
              <w:t>We need to fund past and future modernisation CAPEX which can (in part) be offset by productivity savings, resulting in proposed price increases of:</w:t>
            </w:r>
          </w:p>
          <w:p w14:paraId="6DAC8D13" w14:textId="77777777" w:rsidR="007F3ADD" w:rsidRPr="00192F41" w:rsidRDefault="007F3ADD" w:rsidP="00F459A2">
            <w:pPr>
              <w:pStyle w:val="ListParagraph"/>
              <w:numPr>
                <w:ilvl w:val="0"/>
                <w:numId w:val="19"/>
              </w:numPr>
              <w:spacing w:before="40" w:after="40"/>
              <w:ind w:right="115"/>
              <w:jc w:val="both"/>
              <w:cnfStyle w:val="000000100000" w:firstRow="0" w:lastRow="0" w:firstColumn="0" w:lastColumn="0" w:oddVBand="0" w:evenVBand="0" w:oddHBand="1" w:evenHBand="0" w:firstRowFirstColumn="0" w:firstRowLastColumn="0" w:lastRowFirstColumn="0" w:lastRowLastColumn="0"/>
              <w:rPr>
                <w:rFonts w:cs="Arial"/>
              </w:rPr>
            </w:pPr>
            <w:r w:rsidRPr="008F7AF4">
              <w:t>1.0% + CPI per annum.</w:t>
            </w:r>
          </w:p>
        </w:tc>
      </w:tr>
      <w:tr w:rsidR="007F3ADD" w:rsidRPr="00192F41" w14:paraId="5945EACC" w14:textId="77777777">
        <w:trPr>
          <w:trHeight w:val="769"/>
        </w:trPr>
        <w:tc>
          <w:tcPr>
            <w:cnfStyle w:val="001000000000" w:firstRow="0" w:lastRow="0" w:firstColumn="1" w:lastColumn="0" w:oddVBand="0" w:evenVBand="0" w:oddHBand="0" w:evenHBand="0" w:firstRowFirstColumn="0" w:firstRowLastColumn="0" w:lastRowFirstColumn="0" w:lastRowLastColumn="0"/>
            <w:tcW w:w="2977" w:type="dxa"/>
            <w:vAlign w:val="top"/>
            <w:hideMark/>
          </w:tcPr>
          <w:p w14:paraId="798336D5" w14:textId="77777777" w:rsidR="007F3ADD" w:rsidRPr="008F7AF4" w:rsidRDefault="007F3ADD">
            <w:pPr>
              <w:spacing w:before="40" w:after="40"/>
            </w:pPr>
            <w:r w:rsidRPr="008F7AF4">
              <w:t>MID price increases of:</w:t>
            </w:r>
          </w:p>
          <w:p w14:paraId="39DB78B9" w14:textId="77777777" w:rsidR="007F3ADD" w:rsidRPr="00192F41" w:rsidRDefault="007F3ADD">
            <w:pPr>
              <w:spacing w:before="40" w:after="40"/>
              <w:rPr>
                <w:rFonts w:cs="Arial"/>
              </w:rPr>
            </w:pPr>
            <w:r w:rsidRPr="008F7AF4">
              <w:t>1.3 – 3.1% + CPI pa.</w:t>
            </w:r>
          </w:p>
        </w:tc>
        <w:tc>
          <w:tcPr>
            <w:tcW w:w="3231" w:type="dxa"/>
            <w:vAlign w:val="top"/>
            <w:hideMark/>
          </w:tcPr>
          <w:p w14:paraId="33B3280D" w14:textId="77777777" w:rsidR="007F3ADD" w:rsidRPr="00192F41" w:rsidRDefault="007F3ADD">
            <w:pPr>
              <w:spacing w:before="40" w:after="40"/>
              <w:ind w:right="90"/>
              <w:jc w:val="both"/>
              <w:cnfStyle w:val="000000000000" w:firstRow="0" w:lastRow="0" w:firstColumn="0" w:lastColumn="0" w:oddVBand="0" w:evenVBand="0" w:oddHBand="0" w:evenHBand="0" w:firstRowFirstColumn="0" w:firstRowLastColumn="0" w:lastRowFirstColumn="0" w:lastRowLastColumn="0"/>
              <w:rPr>
                <w:rFonts w:cs="Arial"/>
              </w:rPr>
            </w:pPr>
            <w:r w:rsidRPr="008F7AF4">
              <w:t>General support for minimal price increases, but with notable support for a 3.1% increase.</w:t>
            </w:r>
          </w:p>
        </w:tc>
        <w:tc>
          <w:tcPr>
            <w:tcW w:w="3573" w:type="dxa"/>
            <w:vAlign w:val="top"/>
            <w:hideMark/>
          </w:tcPr>
          <w:p w14:paraId="7B144233" w14:textId="77777777" w:rsidR="007F3ADD" w:rsidRPr="008F7AF4" w:rsidRDefault="007F3ADD">
            <w:p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F7AF4">
              <w:t>We need to fund past and future modernisation CAPEX which can (in part) be offset by productivity savings, resulting in proposed price increases of:</w:t>
            </w:r>
          </w:p>
          <w:p w14:paraId="533CA9AB" w14:textId="77777777" w:rsidR="007F3ADD" w:rsidRPr="00192F41" w:rsidRDefault="007F3ADD" w:rsidP="00F459A2">
            <w:pPr>
              <w:pStyle w:val="ListParagraph"/>
              <w:numPr>
                <w:ilvl w:val="0"/>
                <w:numId w:val="19"/>
              </w:numPr>
              <w:spacing w:before="40" w:after="40"/>
              <w:ind w:right="115"/>
              <w:jc w:val="both"/>
              <w:cnfStyle w:val="000000000000" w:firstRow="0" w:lastRow="0" w:firstColumn="0" w:lastColumn="0" w:oddVBand="0" w:evenVBand="0" w:oddHBand="0" w:evenHBand="0" w:firstRowFirstColumn="0" w:firstRowLastColumn="0" w:lastRowFirstColumn="0" w:lastRowLastColumn="0"/>
            </w:pPr>
            <w:r w:rsidRPr="008F7AF4">
              <w:t>1.5% + CPI per annum.</w:t>
            </w:r>
          </w:p>
        </w:tc>
      </w:tr>
      <w:tr w:rsidR="007F3ADD" w:rsidRPr="00192F41" w14:paraId="7D6A522C" w14:textId="77777777">
        <w:trPr>
          <w:cnfStyle w:val="000000100000" w:firstRow="0" w:lastRow="0" w:firstColumn="0" w:lastColumn="0" w:oddVBand="0" w:evenVBand="0" w:oddHBand="1" w:evenHBand="0" w:firstRowFirstColumn="0" w:firstRowLastColumn="0" w:lastRowFirstColumn="0" w:lastRowLastColumn="0"/>
          <w:trHeight w:val="366"/>
        </w:trPr>
        <w:tc>
          <w:tcPr>
            <w:cnfStyle w:val="001000000000" w:firstRow="0" w:lastRow="0" w:firstColumn="1" w:lastColumn="0" w:oddVBand="0" w:evenVBand="0" w:oddHBand="0" w:evenHBand="0" w:firstRowFirstColumn="0" w:firstRowLastColumn="0" w:lastRowFirstColumn="0" w:lastRowLastColumn="0"/>
            <w:tcW w:w="2977" w:type="dxa"/>
            <w:vAlign w:val="top"/>
          </w:tcPr>
          <w:p w14:paraId="6A4D809A" w14:textId="77777777" w:rsidR="007F3ADD" w:rsidRPr="008F7AF4" w:rsidRDefault="007F3ADD">
            <w:pPr>
              <w:spacing w:before="40" w:after="40"/>
            </w:pPr>
            <w:r w:rsidRPr="008F7AF4">
              <w:t>Latrobe BE price increases of:</w:t>
            </w:r>
          </w:p>
          <w:p w14:paraId="3A4B94BF" w14:textId="77777777" w:rsidR="007F3ADD" w:rsidRPr="008F7AF4" w:rsidRDefault="007F3ADD">
            <w:pPr>
              <w:spacing w:before="40" w:after="40"/>
            </w:pPr>
            <w:r w:rsidRPr="008F7AF4">
              <w:t xml:space="preserve">1.5% (approx.) + CPI pa </w:t>
            </w:r>
          </w:p>
        </w:tc>
        <w:tc>
          <w:tcPr>
            <w:tcW w:w="3231" w:type="dxa"/>
            <w:vAlign w:val="top"/>
          </w:tcPr>
          <w:p w14:paraId="00964672" w14:textId="77777777" w:rsidR="007F3ADD" w:rsidRPr="008F7AF4" w:rsidRDefault="007F3ADD">
            <w:pPr>
              <w:spacing w:before="40" w:after="40"/>
              <w:ind w:right="90"/>
              <w:jc w:val="both"/>
              <w:cnfStyle w:val="000000100000" w:firstRow="0" w:lastRow="0" w:firstColumn="0" w:lastColumn="0" w:oddVBand="0" w:evenVBand="0" w:oddHBand="1" w:evenHBand="0" w:firstRowFirstColumn="0" w:firstRowLastColumn="0" w:lastRowFirstColumn="0" w:lastRowLastColumn="0"/>
            </w:pPr>
            <w:r w:rsidRPr="008F7AF4">
              <w:t>General support, knowing the increase is primarily to fund dam safety works.</w:t>
            </w:r>
          </w:p>
        </w:tc>
        <w:tc>
          <w:tcPr>
            <w:tcW w:w="3573" w:type="dxa"/>
            <w:vAlign w:val="top"/>
          </w:tcPr>
          <w:p w14:paraId="20193BD6" w14:textId="77777777" w:rsidR="007F3ADD" w:rsidRPr="008F7AF4" w:rsidRDefault="007F3ADD">
            <w:p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8F7AF4">
              <w:t>We need to fund CAPEX but will consult in accordance with the BE instrument, expecting price increases of around:</w:t>
            </w:r>
          </w:p>
          <w:p w14:paraId="031951F8" w14:textId="77777777" w:rsidR="007F3ADD" w:rsidRPr="008F7AF4" w:rsidRDefault="007F3ADD" w:rsidP="00F459A2">
            <w:pPr>
              <w:pStyle w:val="ListParagraph"/>
              <w:numPr>
                <w:ilvl w:val="0"/>
                <w:numId w:val="19"/>
              </w:numPr>
              <w:spacing w:before="40" w:after="40"/>
              <w:ind w:right="115"/>
              <w:jc w:val="both"/>
              <w:cnfStyle w:val="000000100000" w:firstRow="0" w:lastRow="0" w:firstColumn="0" w:lastColumn="0" w:oddVBand="0" w:evenVBand="0" w:oddHBand="1" w:evenHBand="0" w:firstRowFirstColumn="0" w:firstRowLastColumn="0" w:lastRowFirstColumn="0" w:lastRowLastColumn="0"/>
            </w:pPr>
            <w:r w:rsidRPr="008F7AF4">
              <w:t>1.5% + CPI per annum.</w:t>
            </w:r>
          </w:p>
        </w:tc>
      </w:tr>
      <w:tr w:rsidR="007F3ADD" w:rsidRPr="00192F41" w14:paraId="250DAD7D" w14:textId="77777777">
        <w:trPr>
          <w:trHeight w:val="769"/>
        </w:trPr>
        <w:tc>
          <w:tcPr>
            <w:cnfStyle w:val="001000000000" w:firstRow="0" w:lastRow="0" w:firstColumn="1" w:lastColumn="0" w:oddVBand="0" w:evenVBand="0" w:oddHBand="0" w:evenHBand="0" w:firstRowFirstColumn="0" w:firstRowLastColumn="0" w:lastRowFirstColumn="0" w:lastRowLastColumn="0"/>
            <w:tcW w:w="2977" w:type="dxa"/>
            <w:tcBorders>
              <w:bottom w:val="single" w:sz="4" w:space="0" w:color="auto"/>
            </w:tcBorders>
            <w:vAlign w:val="top"/>
          </w:tcPr>
          <w:p w14:paraId="72DF5795" w14:textId="77777777" w:rsidR="007F3ADD" w:rsidRPr="008F7AF4" w:rsidRDefault="007F3ADD">
            <w:r w:rsidRPr="008F7AF4">
              <w:t>Werribee and Maribyrnong BE price increases of 1.9% (approx.) + CPI pa</w:t>
            </w:r>
          </w:p>
        </w:tc>
        <w:tc>
          <w:tcPr>
            <w:tcW w:w="3231" w:type="dxa"/>
            <w:tcBorders>
              <w:bottom w:val="single" w:sz="4" w:space="0" w:color="auto"/>
            </w:tcBorders>
            <w:vAlign w:val="top"/>
          </w:tcPr>
          <w:p w14:paraId="7D2FF685" w14:textId="77777777" w:rsidR="007F3ADD" w:rsidRPr="008F7AF4" w:rsidRDefault="007F3ADD">
            <w:pPr>
              <w:ind w:right="90"/>
              <w:jc w:val="both"/>
              <w:cnfStyle w:val="000000000000" w:firstRow="0" w:lastRow="0" w:firstColumn="0" w:lastColumn="0" w:oddVBand="0" w:evenVBand="0" w:oddHBand="0" w:evenHBand="0" w:firstRowFirstColumn="0" w:firstRowLastColumn="0" w:lastRowFirstColumn="0" w:lastRowLastColumn="0"/>
            </w:pPr>
            <w:r w:rsidRPr="008F7AF4">
              <w:t>General support, knowing the increase is primarily to fund dam safety works.</w:t>
            </w:r>
          </w:p>
        </w:tc>
        <w:tc>
          <w:tcPr>
            <w:tcW w:w="3573" w:type="dxa"/>
            <w:tcBorders>
              <w:bottom w:val="single" w:sz="4" w:space="0" w:color="auto"/>
            </w:tcBorders>
            <w:vAlign w:val="top"/>
          </w:tcPr>
          <w:p w14:paraId="34115536" w14:textId="77777777" w:rsidR="007F3ADD" w:rsidRPr="008F7AF4" w:rsidRDefault="007F3ADD">
            <w:pPr>
              <w:ind w:right="115"/>
              <w:jc w:val="both"/>
              <w:cnfStyle w:val="000000000000" w:firstRow="0" w:lastRow="0" w:firstColumn="0" w:lastColumn="0" w:oddVBand="0" w:evenVBand="0" w:oddHBand="0" w:evenHBand="0" w:firstRowFirstColumn="0" w:firstRowLastColumn="0" w:lastRowFirstColumn="0" w:lastRowLastColumn="0"/>
            </w:pPr>
            <w:r w:rsidRPr="008F7AF4">
              <w:t>We need to fund CAPEX but will consult in accordance with the BE instrument, expecting price increases of around:</w:t>
            </w:r>
          </w:p>
          <w:p w14:paraId="17FECD10" w14:textId="77777777" w:rsidR="007F3ADD" w:rsidRPr="008F7AF4" w:rsidRDefault="007F3ADD" w:rsidP="00F459A2">
            <w:pPr>
              <w:pStyle w:val="ListParagraph"/>
              <w:numPr>
                <w:ilvl w:val="0"/>
                <w:numId w:val="19"/>
              </w:numPr>
              <w:ind w:right="115"/>
              <w:jc w:val="both"/>
              <w:cnfStyle w:val="000000000000" w:firstRow="0" w:lastRow="0" w:firstColumn="0" w:lastColumn="0" w:oddVBand="0" w:evenVBand="0" w:oddHBand="0" w:evenHBand="0" w:firstRowFirstColumn="0" w:firstRowLastColumn="0" w:lastRowFirstColumn="0" w:lastRowLastColumn="0"/>
            </w:pPr>
            <w:r w:rsidRPr="008F7AF4">
              <w:t>1.9% + CPI per annum.</w:t>
            </w:r>
          </w:p>
        </w:tc>
      </w:tr>
    </w:tbl>
    <w:p w14:paraId="39B68898" w14:textId="03A79A8E" w:rsidR="007F3ADD" w:rsidRDefault="007F3ADD" w:rsidP="007F3ADD"/>
    <w:p w14:paraId="4FE0E98A" w14:textId="77777777" w:rsidR="007F3ADD" w:rsidRDefault="007F3ADD">
      <w:r>
        <w:br w:type="page"/>
      </w:r>
    </w:p>
    <w:bookmarkEnd w:id="74"/>
    <w:p w14:paraId="48C3A57A" w14:textId="77777777" w:rsidR="0050576C" w:rsidRPr="008F7AF4" w:rsidRDefault="0050576C" w:rsidP="0050576C">
      <w:pPr>
        <w:pStyle w:val="Heading3"/>
      </w:pPr>
      <w:r w:rsidRPr="008F7AF4">
        <w:t>Indicative bill impacts</w:t>
      </w:r>
    </w:p>
    <w:p w14:paraId="14B024EC" w14:textId="77777777" w:rsidR="0050576C" w:rsidRPr="00192F41" w:rsidRDefault="0050576C" w:rsidP="0050576C">
      <w:pPr>
        <w:rPr>
          <w:rFonts w:cs="Arial"/>
          <w:color w:val="000000" w:themeColor="text1"/>
        </w:rPr>
      </w:pPr>
      <w:r w:rsidRPr="00192F41">
        <w:rPr>
          <w:rFonts w:cs="Arial"/>
          <w:color w:val="000000" w:themeColor="text1"/>
        </w:rPr>
        <w:t>Bills will vary, having regard to service mix and specific tariffs.</w:t>
      </w:r>
    </w:p>
    <w:p w14:paraId="44851EEB" w14:textId="3739D0B0" w:rsidR="0050576C" w:rsidRDefault="0050576C" w:rsidP="0020710A">
      <w:pPr>
        <w:jc w:val="both"/>
        <w:rPr>
          <w:rFonts w:cs="Arial"/>
          <w:color w:val="000000" w:themeColor="text1"/>
        </w:rPr>
      </w:pPr>
      <w:r w:rsidRPr="00192F41">
        <w:rPr>
          <w:rFonts w:cs="Arial"/>
          <w:color w:val="000000" w:themeColor="text1"/>
        </w:rPr>
        <w:t>The following table provides examples of typical bills for</w:t>
      </w:r>
      <w:r w:rsidR="00C520D7">
        <w:rPr>
          <w:rFonts w:cs="Arial"/>
          <w:color w:val="000000" w:themeColor="text1"/>
        </w:rPr>
        <w:t xml:space="preserve"> Macalister and Werribee customers through to 2028:</w:t>
      </w:r>
    </w:p>
    <w:p w14:paraId="41FFE527" w14:textId="3FD0199C" w:rsidR="0050576C" w:rsidRPr="00312AF4" w:rsidRDefault="00312AF4" w:rsidP="00312AF4">
      <w:pPr>
        <w:pStyle w:val="Caption"/>
        <w:rPr>
          <w:rStyle w:val="IntenseReference"/>
          <w:rFonts w:cs="Arial"/>
          <w:b w:val="0"/>
          <w:bCs w:val="0"/>
          <w:i w:val="0"/>
          <w:iCs w:val="0"/>
          <w:color w:val="00B1B0" w:themeColor="accent1"/>
          <w:sz w:val="20"/>
          <w:szCs w:val="20"/>
          <w:u w:val="single"/>
        </w:rPr>
      </w:pPr>
      <w:r w:rsidRPr="00312AF4">
        <w:rPr>
          <w:b/>
          <w:bCs/>
          <w:i w:val="0"/>
          <w:iCs w:val="0"/>
          <w:color w:val="00B1B0" w:themeColor="accent1"/>
          <w:sz w:val="20"/>
          <w:szCs w:val="20"/>
        </w:rPr>
        <w:t xml:space="preserve">Table </w:t>
      </w:r>
      <w:r w:rsidRPr="00312AF4">
        <w:rPr>
          <w:b/>
          <w:bCs/>
          <w:i w:val="0"/>
          <w:iCs w:val="0"/>
          <w:color w:val="00B1B0" w:themeColor="accent1"/>
          <w:sz w:val="20"/>
          <w:szCs w:val="20"/>
        </w:rPr>
        <w:fldChar w:fldCharType="begin"/>
      </w:r>
      <w:r w:rsidRPr="00312AF4">
        <w:rPr>
          <w:b/>
          <w:bCs/>
          <w:i w:val="0"/>
          <w:iCs w:val="0"/>
          <w:color w:val="00B1B0" w:themeColor="accent1"/>
          <w:sz w:val="20"/>
          <w:szCs w:val="20"/>
        </w:rPr>
        <w:instrText xml:space="preserve"> SEQ Table \* ARABIC </w:instrText>
      </w:r>
      <w:r w:rsidRPr="00312AF4">
        <w:rPr>
          <w:b/>
          <w:bCs/>
          <w:i w:val="0"/>
          <w:iCs w:val="0"/>
          <w:color w:val="00B1B0" w:themeColor="accent1"/>
          <w:sz w:val="20"/>
          <w:szCs w:val="20"/>
        </w:rPr>
        <w:fldChar w:fldCharType="separate"/>
      </w:r>
      <w:r w:rsidR="008126A8">
        <w:rPr>
          <w:b/>
          <w:bCs/>
          <w:i w:val="0"/>
          <w:iCs w:val="0"/>
          <w:noProof/>
          <w:color w:val="00B1B0" w:themeColor="accent1"/>
          <w:sz w:val="20"/>
          <w:szCs w:val="20"/>
        </w:rPr>
        <w:t>29</w:t>
      </w:r>
      <w:r w:rsidRPr="00312AF4">
        <w:rPr>
          <w:b/>
          <w:bCs/>
          <w:i w:val="0"/>
          <w:iCs w:val="0"/>
          <w:color w:val="00B1B0" w:themeColor="accent1"/>
          <w:sz w:val="20"/>
          <w:szCs w:val="20"/>
        </w:rPr>
        <w:fldChar w:fldCharType="end"/>
      </w:r>
      <w:r w:rsidRPr="00312AF4">
        <w:rPr>
          <w:b/>
          <w:bCs/>
          <w:i w:val="0"/>
          <w:iCs w:val="0"/>
          <w:color w:val="00B1B0" w:themeColor="accent1"/>
          <w:sz w:val="20"/>
          <w:szCs w:val="20"/>
        </w:rPr>
        <w:t xml:space="preserve"> </w:t>
      </w:r>
      <w:r w:rsidR="0020710A">
        <w:rPr>
          <w:b/>
          <w:bCs/>
          <w:i w:val="0"/>
          <w:iCs w:val="0"/>
          <w:color w:val="00B1B0" w:themeColor="accent1"/>
          <w:sz w:val="20"/>
          <w:szCs w:val="20"/>
        </w:rPr>
        <w:t>–</w:t>
      </w:r>
      <w:r w:rsidRPr="00312AF4">
        <w:rPr>
          <w:b/>
          <w:bCs/>
          <w:i w:val="0"/>
          <w:iCs w:val="0"/>
          <w:color w:val="00B1B0" w:themeColor="accent1"/>
          <w:sz w:val="20"/>
          <w:szCs w:val="20"/>
        </w:rPr>
        <w:t xml:space="preserve"> </w:t>
      </w:r>
      <w:r w:rsidR="0050576C" w:rsidRPr="00312AF4">
        <w:rPr>
          <w:b/>
          <w:bCs/>
          <w:i w:val="0"/>
          <w:iCs w:val="0"/>
          <w:color w:val="00B1B0" w:themeColor="accent1"/>
          <w:sz w:val="20"/>
          <w:szCs w:val="20"/>
        </w:rPr>
        <w:t>Indicative bills</w:t>
      </w:r>
    </w:p>
    <w:tbl>
      <w:tblPr>
        <w:tblStyle w:val="ReportTable-TealRows1"/>
        <w:tblW w:w="9806" w:type="dxa"/>
        <w:tblLayout w:type="fixed"/>
        <w:tblLook w:val="04A0" w:firstRow="1" w:lastRow="0" w:firstColumn="1" w:lastColumn="0" w:noHBand="0" w:noVBand="1"/>
      </w:tblPr>
      <w:tblGrid>
        <w:gridCol w:w="6"/>
        <w:gridCol w:w="1814"/>
        <w:gridCol w:w="510"/>
        <w:gridCol w:w="1246"/>
        <w:gridCol w:w="1246"/>
        <w:gridCol w:w="1246"/>
        <w:gridCol w:w="1246"/>
        <w:gridCol w:w="1246"/>
        <w:gridCol w:w="1246"/>
      </w:tblGrid>
      <w:tr w:rsidR="0050576C" w:rsidRPr="00192F41" w14:paraId="0BAF0BD2" w14:textId="77777777" w:rsidTr="00C215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gridSpan w:val="2"/>
          </w:tcPr>
          <w:p w14:paraId="1106E376" w14:textId="77777777" w:rsidR="0050576C" w:rsidRPr="00192F41" w:rsidRDefault="0050576C" w:rsidP="0075385A">
            <w:pPr>
              <w:spacing w:before="40"/>
              <w:rPr>
                <w:rFonts w:cs="Arial"/>
                <w:iCs/>
                <w:sz w:val="20"/>
                <w:szCs w:val="20"/>
              </w:rPr>
            </w:pPr>
            <w:r w:rsidRPr="00192F41">
              <w:rPr>
                <w:rFonts w:cs="Arial"/>
                <w:iCs/>
                <w:sz w:val="20"/>
                <w:szCs w:val="20"/>
              </w:rPr>
              <w:t>Customer group</w:t>
            </w:r>
          </w:p>
        </w:tc>
        <w:tc>
          <w:tcPr>
            <w:tcW w:w="510" w:type="dxa"/>
          </w:tcPr>
          <w:p w14:paraId="5050D49F" w14:textId="77777777" w:rsidR="0050576C" w:rsidRPr="00192F41" w:rsidRDefault="0050576C" w:rsidP="0075385A">
            <w:pPr>
              <w:spacing w:before="40"/>
              <w:cnfStyle w:val="100000000000" w:firstRow="1" w:lastRow="0" w:firstColumn="0" w:lastColumn="0" w:oddVBand="0" w:evenVBand="0" w:oddHBand="0" w:evenHBand="0" w:firstRowFirstColumn="0" w:firstRowLastColumn="0" w:lastRowFirstColumn="0" w:lastRowLastColumn="0"/>
              <w:rPr>
                <w:rFonts w:cs="Arial"/>
                <w:sz w:val="20"/>
                <w:szCs w:val="20"/>
              </w:rPr>
            </w:pPr>
          </w:p>
        </w:tc>
        <w:tc>
          <w:tcPr>
            <w:tcW w:w="1246" w:type="dxa"/>
          </w:tcPr>
          <w:p w14:paraId="47F9BECA" w14:textId="3E6A225F"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b w:val="0"/>
                <w:iCs/>
                <w:sz w:val="20"/>
                <w:szCs w:val="20"/>
              </w:rPr>
            </w:pPr>
            <w:r w:rsidRPr="00192F41">
              <w:rPr>
                <w:rFonts w:cs="Arial"/>
                <w:sz w:val="20"/>
                <w:szCs w:val="20"/>
              </w:rPr>
              <w:t>2022</w:t>
            </w:r>
            <w:r w:rsidR="00A415A3">
              <w:rPr>
                <w:rFonts w:cs="Arial"/>
                <w:sz w:val="20"/>
                <w:szCs w:val="20"/>
              </w:rPr>
              <w:t>-2</w:t>
            </w:r>
            <w:r w:rsidRPr="00192F41">
              <w:rPr>
                <w:rFonts w:cs="Arial"/>
                <w:sz w:val="20"/>
                <w:szCs w:val="20"/>
              </w:rPr>
              <w:t>3</w:t>
            </w:r>
          </w:p>
        </w:tc>
        <w:tc>
          <w:tcPr>
            <w:tcW w:w="1246" w:type="dxa"/>
          </w:tcPr>
          <w:p w14:paraId="53191BDB" w14:textId="1D466CEE"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2023</w:t>
            </w:r>
            <w:r w:rsidR="00A415A3">
              <w:rPr>
                <w:rFonts w:cs="Arial"/>
                <w:sz w:val="20"/>
                <w:szCs w:val="20"/>
              </w:rPr>
              <w:t>-2</w:t>
            </w:r>
            <w:r w:rsidRPr="00192F41">
              <w:rPr>
                <w:rFonts w:cs="Arial"/>
                <w:sz w:val="20"/>
                <w:szCs w:val="20"/>
              </w:rPr>
              <w:t>4</w:t>
            </w:r>
          </w:p>
          <w:p w14:paraId="054E7D8C" w14:textId="77777777"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 CPI)</w:t>
            </w:r>
          </w:p>
        </w:tc>
        <w:tc>
          <w:tcPr>
            <w:tcW w:w="1246" w:type="dxa"/>
          </w:tcPr>
          <w:p w14:paraId="2F33274C" w14:textId="297C68BB"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2024</w:t>
            </w:r>
            <w:r w:rsidR="00A415A3">
              <w:rPr>
                <w:rFonts w:cs="Arial"/>
                <w:sz w:val="20"/>
                <w:szCs w:val="20"/>
              </w:rPr>
              <w:t>-2</w:t>
            </w:r>
            <w:r w:rsidRPr="00192F41">
              <w:rPr>
                <w:rFonts w:cs="Arial"/>
                <w:sz w:val="20"/>
                <w:szCs w:val="20"/>
              </w:rPr>
              <w:t>5</w:t>
            </w:r>
          </w:p>
          <w:p w14:paraId="5877545E" w14:textId="77777777"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 CPI)</w:t>
            </w:r>
          </w:p>
        </w:tc>
        <w:tc>
          <w:tcPr>
            <w:tcW w:w="1246" w:type="dxa"/>
          </w:tcPr>
          <w:p w14:paraId="74EC781B" w14:textId="0C2FE369"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2025</w:t>
            </w:r>
            <w:r w:rsidR="00A415A3">
              <w:rPr>
                <w:rFonts w:cs="Arial"/>
                <w:sz w:val="20"/>
                <w:szCs w:val="20"/>
              </w:rPr>
              <w:t>-26</w:t>
            </w:r>
          </w:p>
          <w:p w14:paraId="2EC89B78" w14:textId="77777777"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 CPI)</w:t>
            </w:r>
          </w:p>
        </w:tc>
        <w:tc>
          <w:tcPr>
            <w:tcW w:w="1246" w:type="dxa"/>
          </w:tcPr>
          <w:p w14:paraId="61012794" w14:textId="7BEAA7CA"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2026</w:t>
            </w:r>
            <w:r w:rsidR="00A415A3">
              <w:rPr>
                <w:rFonts w:cs="Arial"/>
                <w:sz w:val="20"/>
                <w:szCs w:val="20"/>
              </w:rPr>
              <w:t>-27</w:t>
            </w:r>
          </w:p>
          <w:p w14:paraId="04584291" w14:textId="77777777"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 CPI)</w:t>
            </w:r>
          </w:p>
        </w:tc>
        <w:tc>
          <w:tcPr>
            <w:tcW w:w="1246" w:type="dxa"/>
          </w:tcPr>
          <w:p w14:paraId="48FE7A6F" w14:textId="0906F2B6"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2027</w:t>
            </w:r>
            <w:r w:rsidR="00A415A3">
              <w:rPr>
                <w:rFonts w:cs="Arial"/>
                <w:sz w:val="20"/>
                <w:szCs w:val="20"/>
              </w:rPr>
              <w:t>-28</w:t>
            </w:r>
          </w:p>
          <w:p w14:paraId="65ABD248" w14:textId="77777777" w:rsidR="0050576C" w:rsidRPr="00192F41" w:rsidRDefault="0050576C" w:rsidP="0075385A">
            <w:pPr>
              <w:spacing w:before="40"/>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192F41">
              <w:rPr>
                <w:rFonts w:cs="Arial"/>
                <w:sz w:val="20"/>
                <w:szCs w:val="20"/>
              </w:rPr>
              <w:t>(+ CPI)</w:t>
            </w:r>
          </w:p>
        </w:tc>
      </w:tr>
      <w:tr w:rsidR="0050576C" w:rsidRPr="00192F41" w14:paraId="6E7AF80A" w14:textId="77777777" w:rsidTr="00753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gridSpan w:val="2"/>
            <w:shd w:val="clear" w:color="auto" w:fill="F2F2F2" w:themeFill="background1" w:themeFillShade="F2"/>
          </w:tcPr>
          <w:p w14:paraId="55652DD6" w14:textId="77777777" w:rsidR="0050576C" w:rsidRPr="00192F41" w:rsidRDefault="0050576C" w:rsidP="0075385A">
            <w:pPr>
              <w:spacing w:before="40"/>
              <w:contextualSpacing/>
              <w:rPr>
                <w:rFonts w:cs="Arial"/>
                <w:iCs/>
                <w:color w:val="000000" w:themeColor="text1"/>
                <w:szCs w:val="20"/>
              </w:rPr>
            </w:pPr>
            <w:r w:rsidRPr="00192F41">
              <w:rPr>
                <w:rFonts w:cs="Arial"/>
                <w:iCs/>
                <w:color w:val="000000" w:themeColor="text1"/>
                <w:szCs w:val="20"/>
              </w:rPr>
              <w:t>MIA</w:t>
            </w:r>
          </w:p>
        </w:tc>
        <w:tc>
          <w:tcPr>
            <w:tcW w:w="510" w:type="dxa"/>
            <w:shd w:val="clear" w:color="auto" w:fill="F2F2F2" w:themeFill="background1" w:themeFillShade="F2"/>
          </w:tcPr>
          <w:p w14:paraId="259C4D93" w14:textId="77777777" w:rsidR="0050576C" w:rsidRPr="00192F41" w:rsidRDefault="0050576C" w:rsidP="0075385A">
            <w:pPr>
              <w:spacing w:before="40"/>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shd w:val="clear" w:color="auto" w:fill="F2F2F2" w:themeFill="background1" w:themeFillShade="F2"/>
          </w:tcPr>
          <w:p w14:paraId="7858CA47"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10,000</w:t>
            </w:r>
          </w:p>
        </w:tc>
        <w:tc>
          <w:tcPr>
            <w:tcW w:w="1246" w:type="dxa"/>
            <w:shd w:val="clear" w:color="auto" w:fill="F2F2F2" w:themeFill="background1" w:themeFillShade="F2"/>
          </w:tcPr>
          <w:p w14:paraId="015509BF"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10,150</w:t>
            </w:r>
          </w:p>
        </w:tc>
        <w:tc>
          <w:tcPr>
            <w:tcW w:w="1246" w:type="dxa"/>
            <w:shd w:val="clear" w:color="auto" w:fill="F2F2F2" w:themeFill="background1" w:themeFillShade="F2"/>
          </w:tcPr>
          <w:p w14:paraId="366392EB"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10,302</w:t>
            </w:r>
          </w:p>
        </w:tc>
        <w:tc>
          <w:tcPr>
            <w:tcW w:w="1246" w:type="dxa"/>
            <w:shd w:val="clear" w:color="auto" w:fill="F2F2F2" w:themeFill="background1" w:themeFillShade="F2"/>
          </w:tcPr>
          <w:p w14:paraId="2508137F"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10,457</w:t>
            </w:r>
          </w:p>
        </w:tc>
        <w:tc>
          <w:tcPr>
            <w:tcW w:w="1246" w:type="dxa"/>
            <w:shd w:val="clear" w:color="auto" w:fill="F2F2F2" w:themeFill="background1" w:themeFillShade="F2"/>
          </w:tcPr>
          <w:p w14:paraId="41E0B113"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10,614</w:t>
            </w:r>
          </w:p>
        </w:tc>
        <w:tc>
          <w:tcPr>
            <w:tcW w:w="1246" w:type="dxa"/>
            <w:shd w:val="clear" w:color="auto" w:fill="F2F2F2" w:themeFill="background1" w:themeFillShade="F2"/>
          </w:tcPr>
          <w:p w14:paraId="63F5F9BF"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10,773</w:t>
            </w:r>
          </w:p>
        </w:tc>
      </w:tr>
      <w:tr w:rsidR="0050576C" w:rsidRPr="00192F41" w14:paraId="127F76A2" w14:textId="77777777" w:rsidTr="00C215CB">
        <w:tc>
          <w:tcPr>
            <w:cnfStyle w:val="001000000000" w:firstRow="0" w:lastRow="0" w:firstColumn="1" w:lastColumn="0" w:oddVBand="0" w:evenVBand="0" w:oddHBand="0" w:evenHBand="0" w:firstRowFirstColumn="0" w:firstRowLastColumn="0" w:lastRowFirstColumn="0" w:lastRowLastColumn="0"/>
            <w:tcW w:w="1820" w:type="dxa"/>
            <w:gridSpan w:val="2"/>
            <w:shd w:val="clear" w:color="auto" w:fill="auto"/>
          </w:tcPr>
          <w:p w14:paraId="7E8A87CC" w14:textId="77777777" w:rsidR="0050576C" w:rsidRPr="00192F41" w:rsidRDefault="0050576C" w:rsidP="0075385A">
            <w:pPr>
              <w:spacing w:before="40"/>
              <w:ind w:left="360"/>
              <w:contextualSpacing/>
              <w:rPr>
                <w:rFonts w:cs="Arial"/>
                <w:iCs/>
                <w:color w:val="000000" w:themeColor="text1"/>
                <w:szCs w:val="20"/>
              </w:rPr>
            </w:pPr>
          </w:p>
        </w:tc>
        <w:tc>
          <w:tcPr>
            <w:tcW w:w="510" w:type="dxa"/>
            <w:shd w:val="clear" w:color="auto" w:fill="auto"/>
          </w:tcPr>
          <w:p w14:paraId="23889A2B" w14:textId="77777777" w:rsidR="0050576C" w:rsidRPr="00192F41" w:rsidRDefault="0050576C" w:rsidP="0075385A">
            <w:pPr>
              <w:spacing w:before="40"/>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shd w:val="clear" w:color="auto" w:fill="auto"/>
          </w:tcPr>
          <w:p w14:paraId="4A8F1D3E"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50,000</w:t>
            </w:r>
          </w:p>
        </w:tc>
        <w:tc>
          <w:tcPr>
            <w:tcW w:w="1246" w:type="dxa"/>
            <w:shd w:val="clear" w:color="auto" w:fill="auto"/>
          </w:tcPr>
          <w:p w14:paraId="6F61A126"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50,750</w:t>
            </w:r>
          </w:p>
        </w:tc>
        <w:tc>
          <w:tcPr>
            <w:tcW w:w="1246" w:type="dxa"/>
            <w:shd w:val="clear" w:color="auto" w:fill="auto"/>
          </w:tcPr>
          <w:p w14:paraId="0F700F8A"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51,511</w:t>
            </w:r>
          </w:p>
        </w:tc>
        <w:tc>
          <w:tcPr>
            <w:tcW w:w="1246" w:type="dxa"/>
            <w:shd w:val="clear" w:color="auto" w:fill="auto"/>
          </w:tcPr>
          <w:p w14:paraId="5910E7CA"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52,284</w:t>
            </w:r>
          </w:p>
        </w:tc>
        <w:tc>
          <w:tcPr>
            <w:tcW w:w="1246" w:type="dxa"/>
            <w:shd w:val="clear" w:color="auto" w:fill="auto"/>
          </w:tcPr>
          <w:p w14:paraId="7899153C"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53,068</w:t>
            </w:r>
          </w:p>
        </w:tc>
        <w:tc>
          <w:tcPr>
            <w:tcW w:w="1246" w:type="dxa"/>
            <w:shd w:val="clear" w:color="auto" w:fill="auto"/>
          </w:tcPr>
          <w:p w14:paraId="23D08B5F"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53,864</w:t>
            </w:r>
          </w:p>
        </w:tc>
      </w:tr>
      <w:tr w:rsidR="0050576C" w:rsidRPr="00192F41" w14:paraId="017036B5" w14:textId="77777777" w:rsidTr="0075385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gridSpan w:val="2"/>
            <w:shd w:val="clear" w:color="auto" w:fill="F2F2F2" w:themeFill="background1" w:themeFillShade="F2"/>
          </w:tcPr>
          <w:p w14:paraId="3EF6E464" w14:textId="77777777" w:rsidR="0050576C" w:rsidRPr="00192F41" w:rsidRDefault="0050576C" w:rsidP="0075385A">
            <w:pPr>
              <w:spacing w:before="40"/>
              <w:ind w:left="360"/>
              <w:contextualSpacing/>
              <w:rPr>
                <w:rFonts w:cs="Arial"/>
                <w:iCs/>
                <w:color w:val="000000" w:themeColor="text1"/>
                <w:szCs w:val="20"/>
              </w:rPr>
            </w:pPr>
          </w:p>
        </w:tc>
        <w:tc>
          <w:tcPr>
            <w:tcW w:w="510" w:type="dxa"/>
            <w:shd w:val="clear" w:color="auto" w:fill="F2F2F2" w:themeFill="background1" w:themeFillShade="F2"/>
          </w:tcPr>
          <w:p w14:paraId="20A4AB5E" w14:textId="77777777" w:rsidR="0050576C" w:rsidRPr="00192F41" w:rsidRDefault="0050576C" w:rsidP="0075385A">
            <w:pPr>
              <w:spacing w:before="40"/>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shd w:val="clear" w:color="auto" w:fill="F2F2F2" w:themeFill="background1" w:themeFillShade="F2"/>
          </w:tcPr>
          <w:p w14:paraId="684F0339"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100,000</w:t>
            </w:r>
          </w:p>
        </w:tc>
        <w:tc>
          <w:tcPr>
            <w:tcW w:w="1246" w:type="dxa"/>
          </w:tcPr>
          <w:p w14:paraId="3A3B85E3"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101,500</w:t>
            </w:r>
          </w:p>
        </w:tc>
        <w:tc>
          <w:tcPr>
            <w:tcW w:w="1246" w:type="dxa"/>
          </w:tcPr>
          <w:p w14:paraId="188C29B0"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103,023</w:t>
            </w:r>
          </w:p>
        </w:tc>
        <w:tc>
          <w:tcPr>
            <w:tcW w:w="1246" w:type="dxa"/>
          </w:tcPr>
          <w:p w14:paraId="5427FEB5"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104,568</w:t>
            </w:r>
          </w:p>
        </w:tc>
        <w:tc>
          <w:tcPr>
            <w:tcW w:w="1246" w:type="dxa"/>
          </w:tcPr>
          <w:p w14:paraId="1D634152"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106,136</w:t>
            </w:r>
          </w:p>
        </w:tc>
        <w:tc>
          <w:tcPr>
            <w:tcW w:w="1246" w:type="dxa"/>
          </w:tcPr>
          <w:p w14:paraId="03CD98EC"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107,728</w:t>
            </w:r>
          </w:p>
        </w:tc>
      </w:tr>
      <w:tr w:rsidR="0050576C" w:rsidRPr="00192F41" w14:paraId="1790B240" w14:textId="77777777" w:rsidTr="00C215CB">
        <w:trPr>
          <w:gridBefore w:val="1"/>
          <w:wBefore w:w="6" w:type="dxa"/>
        </w:trPr>
        <w:tc>
          <w:tcPr>
            <w:cnfStyle w:val="001000000000" w:firstRow="0" w:lastRow="0" w:firstColumn="1" w:lastColumn="0" w:oddVBand="0" w:evenVBand="0" w:oddHBand="0" w:evenHBand="0" w:firstRowFirstColumn="0" w:firstRowLastColumn="0" w:lastRowFirstColumn="0" w:lastRowLastColumn="0"/>
            <w:tcW w:w="1814" w:type="dxa"/>
          </w:tcPr>
          <w:p w14:paraId="48EF6E3B" w14:textId="77777777" w:rsidR="0050576C" w:rsidRPr="00192F41" w:rsidRDefault="0050576C" w:rsidP="0075385A">
            <w:pPr>
              <w:spacing w:before="40"/>
              <w:contextualSpacing/>
              <w:rPr>
                <w:rFonts w:cs="Arial"/>
                <w:iCs/>
                <w:color w:val="000000" w:themeColor="text1"/>
                <w:szCs w:val="20"/>
              </w:rPr>
            </w:pPr>
            <w:r w:rsidRPr="00192F41">
              <w:rPr>
                <w:rFonts w:cs="Arial"/>
                <w:iCs/>
                <w:color w:val="000000" w:themeColor="text1"/>
                <w:szCs w:val="20"/>
              </w:rPr>
              <w:t xml:space="preserve">WID </w:t>
            </w:r>
          </w:p>
        </w:tc>
        <w:tc>
          <w:tcPr>
            <w:tcW w:w="510" w:type="dxa"/>
          </w:tcPr>
          <w:p w14:paraId="2464BB48" w14:textId="77777777" w:rsidR="0050576C" w:rsidRPr="00192F41" w:rsidRDefault="0050576C" w:rsidP="0075385A">
            <w:pPr>
              <w:spacing w:before="40"/>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tcPr>
          <w:p w14:paraId="47718309"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10,000</w:t>
            </w:r>
          </w:p>
        </w:tc>
        <w:tc>
          <w:tcPr>
            <w:tcW w:w="1246" w:type="dxa"/>
          </w:tcPr>
          <w:p w14:paraId="68BCCDDA"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10,100</w:t>
            </w:r>
          </w:p>
        </w:tc>
        <w:tc>
          <w:tcPr>
            <w:tcW w:w="1246" w:type="dxa"/>
          </w:tcPr>
          <w:p w14:paraId="2E321F61"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10,201</w:t>
            </w:r>
          </w:p>
        </w:tc>
        <w:tc>
          <w:tcPr>
            <w:tcW w:w="1246" w:type="dxa"/>
          </w:tcPr>
          <w:p w14:paraId="53EA9764"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10,303</w:t>
            </w:r>
          </w:p>
        </w:tc>
        <w:tc>
          <w:tcPr>
            <w:tcW w:w="1246" w:type="dxa"/>
          </w:tcPr>
          <w:p w14:paraId="69BEB848"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10,406</w:t>
            </w:r>
          </w:p>
        </w:tc>
        <w:tc>
          <w:tcPr>
            <w:tcW w:w="1246" w:type="dxa"/>
          </w:tcPr>
          <w:p w14:paraId="54B0A402"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10,510</w:t>
            </w:r>
          </w:p>
        </w:tc>
      </w:tr>
      <w:tr w:rsidR="0050576C" w:rsidRPr="00192F41" w14:paraId="4B716C22" w14:textId="77777777" w:rsidTr="00C215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20" w:type="dxa"/>
            <w:gridSpan w:val="2"/>
          </w:tcPr>
          <w:p w14:paraId="25130CB4" w14:textId="77777777" w:rsidR="0050576C" w:rsidRPr="00192F41" w:rsidRDefault="0050576C" w:rsidP="0075385A">
            <w:pPr>
              <w:spacing w:before="40"/>
              <w:ind w:left="360"/>
              <w:contextualSpacing/>
              <w:rPr>
                <w:rFonts w:cs="Arial"/>
                <w:iCs/>
                <w:color w:val="000000" w:themeColor="text1"/>
                <w:szCs w:val="20"/>
              </w:rPr>
            </w:pPr>
          </w:p>
        </w:tc>
        <w:tc>
          <w:tcPr>
            <w:tcW w:w="510" w:type="dxa"/>
          </w:tcPr>
          <w:p w14:paraId="66DB2BDB" w14:textId="77777777" w:rsidR="0050576C" w:rsidRPr="00192F41" w:rsidRDefault="0050576C" w:rsidP="0075385A">
            <w:pPr>
              <w:spacing w:before="40"/>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tcPr>
          <w:p w14:paraId="012E61EE"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50,000</w:t>
            </w:r>
          </w:p>
        </w:tc>
        <w:tc>
          <w:tcPr>
            <w:tcW w:w="1246" w:type="dxa"/>
          </w:tcPr>
          <w:p w14:paraId="6B6F941E"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50,500</w:t>
            </w:r>
          </w:p>
        </w:tc>
        <w:tc>
          <w:tcPr>
            <w:tcW w:w="1246" w:type="dxa"/>
          </w:tcPr>
          <w:p w14:paraId="329226A1"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51,005</w:t>
            </w:r>
          </w:p>
        </w:tc>
        <w:tc>
          <w:tcPr>
            <w:tcW w:w="1246" w:type="dxa"/>
          </w:tcPr>
          <w:p w14:paraId="2BE0CAE0"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51,515</w:t>
            </w:r>
          </w:p>
        </w:tc>
        <w:tc>
          <w:tcPr>
            <w:tcW w:w="1246" w:type="dxa"/>
          </w:tcPr>
          <w:p w14:paraId="69D3CBCA"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52,030</w:t>
            </w:r>
          </w:p>
        </w:tc>
        <w:tc>
          <w:tcPr>
            <w:tcW w:w="1246" w:type="dxa"/>
          </w:tcPr>
          <w:p w14:paraId="7D3DEB1B" w14:textId="77777777" w:rsidR="0050576C" w:rsidRPr="00192F41" w:rsidRDefault="0050576C" w:rsidP="0075385A">
            <w:pPr>
              <w:spacing w:before="40"/>
              <w:jc w:val="center"/>
              <w:cnfStyle w:val="000000100000" w:firstRow="0" w:lastRow="0" w:firstColumn="0" w:lastColumn="0" w:oddVBand="0" w:evenVBand="0" w:oddHBand="1"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52,551</w:t>
            </w:r>
          </w:p>
        </w:tc>
      </w:tr>
      <w:tr w:rsidR="0050576C" w:rsidRPr="00192F41" w14:paraId="305733D0" w14:textId="77777777" w:rsidTr="00C215CB">
        <w:trPr>
          <w:gridBefore w:val="1"/>
          <w:wBefore w:w="6" w:type="dxa"/>
        </w:trPr>
        <w:tc>
          <w:tcPr>
            <w:cnfStyle w:val="001000000000" w:firstRow="0" w:lastRow="0" w:firstColumn="1" w:lastColumn="0" w:oddVBand="0" w:evenVBand="0" w:oddHBand="0" w:evenHBand="0" w:firstRowFirstColumn="0" w:firstRowLastColumn="0" w:lastRowFirstColumn="0" w:lastRowLastColumn="0"/>
            <w:tcW w:w="1814" w:type="dxa"/>
            <w:tcBorders>
              <w:bottom w:val="single" w:sz="4" w:space="0" w:color="auto"/>
            </w:tcBorders>
          </w:tcPr>
          <w:p w14:paraId="594E41F8" w14:textId="77777777" w:rsidR="0050576C" w:rsidRPr="00192F41" w:rsidRDefault="0050576C" w:rsidP="0075385A">
            <w:pPr>
              <w:spacing w:before="40"/>
              <w:ind w:left="360"/>
              <w:contextualSpacing/>
              <w:rPr>
                <w:rFonts w:cs="Arial"/>
                <w:iCs/>
                <w:color w:val="000000" w:themeColor="text1"/>
                <w:szCs w:val="20"/>
              </w:rPr>
            </w:pPr>
          </w:p>
        </w:tc>
        <w:tc>
          <w:tcPr>
            <w:tcW w:w="510" w:type="dxa"/>
            <w:tcBorders>
              <w:bottom w:val="single" w:sz="4" w:space="0" w:color="auto"/>
            </w:tcBorders>
          </w:tcPr>
          <w:p w14:paraId="2A45BD55" w14:textId="77777777" w:rsidR="0050576C" w:rsidRPr="00192F41" w:rsidRDefault="0050576C" w:rsidP="0075385A">
            <w:pPr>
              <w:spacing w:before="40"/>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Pr>
                <w:rFonts w:cs="Arial"/>
                <w:color w:val="000000" w:themeColor="text1"/>
                <w:szCs w:val="20"/>
              </w:rPr>
              <w:t>$</w:t>
            </w:r>
          </w:p>
        </w:tc>
        <w:tc>
          <w:tcPr>
            <w:tcW w:w="1246" w:type="dxa"/>
            <w:tcBorders>
              <w:bottom w:val="single" w:sz="4" w:space="0" w:color="auto"/>
            </w:tcBorders>
          </w:tcPr>
          <w:p w14:paraId="507D317B"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rPr>
            </w:pPr>
            <w:r w:rsidRPr="00192F41" w:rsidDel="00C273C2">
              <w:rPr>
                <w:rFonts w:cs="Arial"/>
                <w:color w:val="000000" w:themeColor="text1"/>
                <w:szCs w:val="20"/>
              </w:rPr>
              <w:t>100,000</w:t>
            </w:r>
          </w:p>
        </w:tc>
        <w:tc>
          <w:tcPr>
            <w:tcW w:w="1246" w:type="dxa"/>
            <w:tcBorders>
              <w:bottom w:val="single" w:sz="4" w:space="0" w:color="auto"/>
            </w:tcBorders>
          </w:tcPr>
          <w:p w14:paraId="6DE02016"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101,000</w:t>
            </w:r>
          </w:p>
        </w:tc>
        <w:tc>
          <w:tcPr>
            <w:tcW w:w="1246" w:type="dxa"/>
            <w:tcBorders>
              <w:bottom w:val="single" w:sz="4" w:space="0" w:color="auto"/>
            </w:tcBorders>
          </w:tcPr>
          <w:p w14:paraId="4A3BD51E"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102,010</w:t>
            </w:r>
          </w:p>
        </w:tc>
        <w:tc>
          <w:tcPr>
            <w:tcW w:w="1246" w:type="dxa"/>
            <w:tcBorders>
              <w:bottom w:val="single" w:sz="4" w:space="0" w:color="auto"/>
            </w:tcBorders>
          </w:tcPr>
          <w:p w14:paraId="746BB3BE"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103,030</w:t>
            </w:r>
          </w:p>
        </w:tc>
        <w:tc>
          <w:tcPr>
            <w:tcW w:w="1246" w:type="dxa"/>
            <w:tcBorders>
              <w:bottom w:val="single" w:sz="4" w:space="0" w:color="auto"/>
            </w:tcBorders>
          </w:tcPr>
          <w:p w14:paraId="62DB63AD"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104,060</w:t>
            </w:r>
          </w:p>
        </w:tc>
        <w:tc>
          <w:tcPr>
            <w:tcW w:w="1246" w:type="dxa"/>
            <w:tcBorders>
              <w:bottom w:val="single" w:sz="4" w:space="0" w:color="auto"/>
            </w:tcBorders>
          </w:tcPr>
          <w:p w14:paraId="158BD42B" w14:textId="77777777" w:rsidR="0050576C" w:rsidRPr="00192F41" w:rsidRDefault="0050576C" w:rsidP="0075385A">
            <w:pPr>
              <w:spacing w:before="40"/>
              <w:jc w:val="center"/>
              <w:cnfStyle w:val="000000000000" w:firstRow="0" w:lastRow="0" w:firstColumn="0" w:lastColumn="0" w:oddVBand="0" w:evenVBand="0" w:oddHBand="0" w:evenHBand="0" w:firstRowFirstColumn="0" w:firstRowLastColumn="0" w:lastRowFirstColumn="0" w:lastRowLastColumn="0"/>
              <w:rPr>
                <w:rFonts w:cs="Arial"/>
                <w:color w:val="000000" w:themeColor="text1"/>
                <w:szCs w:val="20"/>
                <w:shd w:val="clear" w:color="auto" w:fill="FAF9F8"/>
              </w:rPr>
            </w:pPr>
            <w:r w:rsidRPr="00192F41" w:rsidDel="00C273C2">
              <w:rPr>
                <w:rFonts w:cs="Arial"/>
                <w:color w:val="000000" w:themeColor="text1"/>
                <w:szCs w:val="20"/>
              </w:rPr>
              <w:t>105,101</w:t>
            </w:r>
          </w:p>
        </w:tc>
      </w:tr>
    </w:tbl>
    <w:p w14:paraId="1C6B8343" w14:textId="77777777" w:rsidR="0050576C" w:rsidRDefault="0050576C" w:rsidP="0075385A">
      <w:pPr>
        <w:jc w:val="both"/>
        <w:rPr>
          <w:rFonts w:cs="Arial"/>
          <w:color w:val="000000" w:themeColor="text1"/>
        </w:rPr>
      </w:pPr>
    </w:p>
    <w:p w14:paraId="4D022A61" w14:textId="6ECD7E81" w:rsidR="0007292B" w:rsidRDefault="00B201AC">
      <w:r w:rsidRPr="008F7AF4">
        <w:t xml:space="preserve">We have not included typical bill movements for </w:t>
      </w:r>
      <w:r w:rsidR="008F7AF4">
        <w:t>Bacchus Marsh Irrigation District</w:t>
      </w:r>
      <w:r w:rsidRPr="008F7AF4">
        <w:t xml:space="preserve"> and </w:t>
      </w:r>
      <w:r w:rsidR="008F7AF4">
        <w:t>g</w:t>
      </w:r>
      <w:r w:rsidRPr="008F7AF4">
        <w:t xml:space="preserve">roundwater and </w:t>
      </w:r>
      <w:r w:rsidR="008F7AF4">
        <w:t>r</w:t>
      </w:r>
      <w:r w:rsidRPr="008F7AF4">
        <w:t>ivers customers as these prices will be capped at CPI which is unknown.</w:t>
      </w:r>
    </w:p>
    <w:p w14:paraId="5FA7515A" w14:textId="6D97A0AD" w:rsidR="008B14D8" w:rsidRPr="008F7AF4" w:rsidRDefault="008B14D8" w:rsidP="008B14D8">
      <w:pPr>
        <w:pStyle w:val="Heading3"/>
      </w:pPr>
      <w:bookmarkStart w:id="75" w:name="_Hlk110346142"/>
      <w:r w:rsidRPr="008F7AF4">
        <w:t>Tariff strategy</w:t>
      </w:r>
      <w:r w:rsidR="00EE2E5D" w:rsidRPr="008F7AF4">
        <w:t xml:space="preserve"> and changes</w:t>
      </w:r>
    </w:p>
    <w:p w14:paraId="0165BB2C" w14:textId="5C3BB20A" w:rsidR="00C962DC" w:rsidRPr="008F7AF4" w:rsidRDefault="00B41172" w:rsidP="0075385A">
      <w:pPr>
        <w:jc w:val="both"/>
      </w:pPr>
      <w:r w:rsidRPr="008F7AF4">
        <w:t>SRW plans to retain much of its existing tariff structure.</w:t>
      </w:r>
      <w:r w:rsidR="00295A5F" w:rsidRPr="008F7AF4">
        <w:t xml:space="preserve"> </w:t>
      </w:r>
      <w:r w:rsidRPr="008F7AF4">
        <w:t xml:space="preserve">However, </w:t>
      </w:r>
      <w:r w:rsidR="00404F77" w:rsidRPr="008F7AF4">
        <w:t xml:space="preserve">we are looking to make </w:t>
      </w:r>
      <w:r w:rsidR="0089702F" w:rsidRPr="008F7AF4">
        <w:t xml:space="preserve">some </w:t>
      </w:r>
      <w:r w:rsidR="00404F77" w:rsidRPr="008F7AF4">
        <w:t xml:space="preserve">refinements due </w:t>
      </w:r>
      <w:r w:rsidR="00801172" w:rsidRPr="008F7AF4">
        <w:t xml:space="preserve">largely </w:t>
      </w:r>
      <w:r w:rsidR="00404F77" w:rsidRPr="008F7AF4">
        <w:t>to</w:t>
      </w:r>
      <w:r w:rsidR="003540B3" w:rsidRPr="008F7AF4">
        <w:t xml:space="preserve"> </w:t>
      </w:r>
      <w:r w:rsidR="00FC27D9" w:rsidRPr="008F7AF4">
        <w:t xml:space="preserve">the </w:t>
      </w:r>
      <w:r w:rsidR="00AD0646" w:rsidRPr="008F7AF4">
        <w:t>historic</w:t>
      </w:r>
      <w:r w:rsidR="00FC27D9" w:rsidRPr="008F7AF4">
        <w:t xml:space="preserve"> under-recovery of costs</w:t>
      </w:r>
      <w:r w:rsidR="00856D55" w:rsidRPr="008F7AF4">
        <w:t xml:space="preserve"> associated with applications</w:t>
      </w:r>
      <w:r w:rsidR="0071213D" w:rsidRPr="008F7AF4">
        <w:t>.</w:t>
      </w:r>
      <w:r w:rsidR="00EF005C" w:rsidRPr="008F7AF4">
        <w:t xml:space="preserve"> It is important that we</w:t>
      </w:r>
      <w:r w:rsidR="00D75497" w:rsidRPr="008F7AF4">
        <w:t xml:space="preserve"> reconcile th</w:t>
      </w:r>
      <w:r w:rsidR="00C962DC" w:rsidRPr="008F7AF4">
        <w:t>is</w:t>
      </w:r>
      <w:r w:rsidR="001E5A3D" w:rsidRPr="008F7AF4">
        <w:t xml:space="preserve"> difference to ensure we can continue to provide</w:t>
      </w:r>
      <w:r w:rsidR="002E1182" w:rsidRPr="008F7AF4">
        <w:t xml:space="preserve"> the level of service and value our </w:t>
      </w:r>
      <w:r w:rsidR="00F47CA2" w:rsidRPr="008F7AF4">
        <w:t>customers</w:t>
      </w:r>
      <w:r w:rsidR="002E1182" w:rsidRPr="008F7AF4">
        <w:t xml:space="preserve"> expect</w:t>
      </w:r>
      <w:r w:rsidR="00F47CA2" w:rsidRPr="008F7AF4">
        <w:t>.</w:t>
      </w:r>
      <w:r w:rsidR="005563F2" w:rsidRPr="008F7AF4">
        <w:t xml:space="preserve"> </w:t>
      </w:r>
    </w:p>
    <w:p w14:paraId="59F4CA89" w14:textId="5BDD9B88" w:rsidR="00FC27D9" w:rsidRPr="008F7AF4" w:rsidRDefault="006539A5" w:rsidP="0075385A">
      <w:pPr>
        <w:jc w:val="both"/>
      </w:pPr>
      <w:r w:rsidRPr="008F7AF4">
        <w:t>On average</w:t>
      </w:r>
      <w:r w:rsidR="008F7AF4">
        <w:t>,</w:t>
      </w:r>
      <w:r w:rsidRPr="008F7AF4">
        <w:t xml:space="preserve"> since </w:t>
      </w:r>
      <w:r w:rsidR="00DE41C4" w:rsidRPr="008F7AF4">
        <w:t>2019-20</w:t>
      </w:r>
      <w:r w:rsidR="008143BF" w:rsidRPr="008F7AF4">
        <w:t xml:space="preserve"> the discrepancy between revenue and cost for applications is </w:t>
      </w:r>
      <w:r w:rsidR="00AE7A5F">
        <w:t xml:space="preserve">approximately </w:t>
      </w:r>
      <w:r w:rsidR="008143BF" w:rsidRPr="008F7AF4">
        <w:t>$</w:t>
      </w:r>
      <w:r w:rsidR="00AE7A5F">
        <w:t>200</w:t>
      </w:r>
      <w:r w:rsidR="008143BF" w:rsidRPr="008F7AF4">
        <w:t>,00</w:t>
      </w:r>
      <w:r w:rsidR="00626FE8" w:rsidRPr="008F7AF4">
        <w:t>0</w:t>
      </w:r>
      <w:r w:rsidR="00572FBB">
        <w:t xml:space="preserve"> or thereabouts 20% of the associated applications cost base</w:t>
      </w:r>
      <w:r w:rsidR="00A76171" w:rsidRPr="008F7AF4">
        <w:t xml:space="preserve">. </w:t>
      </w:r>
    </w:p>
    <w:p w14:paraId="5F2BC31D" w14:textId="60DFF14E" w:rsidR="00EE2E5D" w:rsidRPr="008F7AF4" w:rsidRDefault="00F75AF7" w:rsidP="0075385A">
      <w:pPr>
        <w:jc w:val="both"/>
      </w:pPr>
      <w:r w:rsidRPr="008F7AF4">
        <w:t xml:space="preserve">The </w:t>
      </w:r>
      <w:r w:rsidR="00C962DC" w:rsidRPr="008F7AF4">
        <w:t>proposed</w:t>
      </w:r>
      <w:r w:rsidRPr="008F7AF4">
        <w:t xml:space="preserve"> charges are described in a paper prepared by Aither and </w:t>
      </w:r>
      <w:r w:rsidR="00EE2E5D" w:rsidRPr="008F7AF4">
        <w:t>are summarise</w:t>
      </w:r>
      <w:r w:rsidR="00131C85" w:rsidRPr="008F7AF4">
        <w:t>d</w:t>
      </w:r>
      <w:r w:rsidR="00EE2E5D" w:rsidRPr="008F7AF4">
        <w:t xml:space="preserve"> in the </w:t>
      </w:r>
      <w:r w:rsidR="00EE2E5D">
        <w:t xml:space="preserve">following </w:t>
      </w:r>
      <w:r w:rsidR="00EE2E5D" w:rsidRPr="008F7AF4">
        <w:t>table.</w:t>
      </w:r>
    </w:p>
    <w:p w14:paraId="18C70C55" w14:textId="2C6AD1F1" w:rsidR="00306895" w:rsidRDefault="001E1A38" w:rsidP="0075385A">
      <w:pPr>
        <w:jc w:val="both"/>
      </w:pPr>
      <w:r w:rsidRPr="008F7AF4">
        <w:t>The</w:t>
      </w:r>
      <w:r w:rsidR="00D22E32" w:rsidRPr="008F7AF4">
        <w:t xml:space="preserve"> new charges </w:t>
      </w:r>
      <w:r w:rsidR="005A29BB" w:rsidRPr="008F7AF4">
        <w:t xml:space="preserve">outlined </w:t>
      </w:r>
      <w:r w:rsidR="00D22E32" w:rsidRPr="008F7AF4">
        <w:t>below</w:t>
      </w:r>
      <w:r w:rsidR="005A29BB" w:rsidRPr="008F7AF4">
        <w:t>, are once-off</w:t>
      </w:r>
      <w:r w:rsidR="00CC2BA9" w:rsidRPr="008F7AF4">
        <w:t xml:space="preserve"> charges and</w:t>
      </w:r>
      <w:r w:rsidR="00346569" w:rsidRPr="008F7AF4">
        <w:t xml:space="preserve"> will not be </w:t>
      </w:r>
      <w:r w:rsidR="00A2325A" w:rsidRPr="008F7AF4">
        <w:t>ap</w:t>
      </w:r>
      <w:r w:rsidR="00346569" w:rsidRPr="008F7AF4">
        <w:t xml:space="preserve">plied without knowledge </w:t>
      </w:r>
      <w:r w:rsidR="00897E22" w:rsidRPr="008F7AF4">
        <w:t>and consent</w:t>
      </w:r>
      <w:r w:rsidR="00A2325A" w:rsidRPr="008F7AF4">
        <w:t xml:space="preserve">. These charges may relate to individuals who are not </w:t>
      </w:r>
      <w:r w:rsidR="00831261" w:rsidRPr="008F7AF4">
        <w:t>yet SRW customers, or those customers undertaking an application. Details of charges will be published on our website</w:t>
      </w:r>
      <w:r w:rsidR="005A29BB" w:rsidRPr="008F7AF4">
        <w:t xml:space="preserve"> and shared with existing customers.</w:t>
      </w:r>
    </w:p>
    <w:p w14:paraId="1904D6FB" w14:textId="77777777" w:rsidR="00306895" w:rsidRDefault="00306895">
      <w:r>
        <w:br w:type="page"/>
      </w:r>
    </w:p>
    <w:p w14:paraId="7BC4675C" w14:textId="3B5A4DAD" w:rsidR="001E2F50" w:rsidRPr="001E2F50" w:rsidRDefault="001E2F50" w:rsidP="001E2F50">
      <w:pPr>
        <w:pStyle w:val="Caption"/>
        <w:rPr>
          <w:rFonts w:cs="Arial"/>
          <w:b/>
          <w:bCs/>
          <w:i w:val="0"/>
          <w:iCs w:val="0"/>
          <w:color w:val="00B1B0" w:themeColor="accent1"/>
          <w:sz w:val="20"/>
          <w:szCs w:val="20"/>
          <w:shd w:val="clear" w:color="auto" w:fill="FAF9F8"/>
        </w:rPr>
      </w:pPr>
      <w:r w:rsidRPr="001E2F50">
        <w:rPr>
          <w:b/>
          <w:bCs/>
          <w:i w:val="0"/>
          <w:iCs w:val="0"/>
          <w:color w:val="00B1B0" w:themeColor="accent1"/>
          <w:sz w:val="20"/>
          <w:szCs w:val="20"/>
        </w:rPr>
        <w:t xml:space="preserve">Table </w:t>
      </w:r>
      <w:r w:rsidRPr="001E2F50">
        <w:rPr>
          <w:b/>
          <w:bCs/>
          <w:i w:val="0"/>
          <w:iCs w:val="0"/>
          <w:color w:val="00B1B0" w:themeColor="accent1"/>
          <w:sz w:val="20"/>
          <w:szCs w:val="20"/>
        </w:rPr>
        <w:fldChar w:fldCharType="begin"/>
      </w:r>
      <w:r w:rsidRPr="001E2F50">
        <w:rPr>
          <w:b/>
          <w:bCs/>
          <w:i w:val="0"/>
          <w:iCs w:val="0"/>
          <w:color w:val="00B1B0" w:themeColor="accent1"/>
          <w:sz w:val="20"/>
          <w:szCs w:val="20"/>
        </w:rPr>
        <w:instrText xml:space="preserve"> SEQ Table \* ARABIC </w:instrText>
      </w:r>
      <w:r w:rsidRPr="001E2F50">
        <w:rPr>
          <w:b/>
          <w:bCs/>
          <w:i w:val="0"/>
          <w:iCs w:val="0"/>
          <w:color w:val="00B1B0" w:themeColor="accent1"/>
          <w:sz w:val="20"/>
          <w:szCs w:val="20"/>
        </w:rPr>
        <w:fldChar w:fldCharType="separate"/>
      </w:r>
      <w:r w:rsidR="008126A8">
        <w:rPr>
          <w:b/>
          <w:bCs/>
          <w:i w:val="0"/>
          <w:iCs w:val="0"/>
          <w:noProof/>
          <w:color w:val="00B1B0" w:themeColor="accent1"/>
          <w:sz w:val="20"/>
          <w:szCs w:val="20"/>
        </w:rPr>
        <w:t>30</w:t>
      </w:r>
      <w:r w:rsidRPr="001E2F50">
        <w:rPr>
          <w:b/>
          <w:bCs/>
          <w:i w:val="0"/>
          <w:iCs w:val="0"/>
          <w:color w:val="00B1B0" w:themeColor="accent1"/>
          <w:sz w:val="20"/>
          <w:szCs w:val="20"/>
        </w:rPr>
        <w:fldChar w:fldCharType="end"/>
      </w:r>
      <w:r w:rsidRPr="001E2F50">
        <w:rPr>
          <w:b/>
          <w:bCs/>
          <w:i w:val="0"/>
          <w:iCs w:val="0"/>
          <w:color w:val="00B1B0" w:themeColor="accent1"/>
          <w:sz w:val="20"/>
          <w:szCs w:val="20"/>
        </w:rPr>
        <w:t xml:space="preserve"> </w:t>
      </w:r>
      <w:r w:rsidR="0075385A">
        <w:rPr>
          <w:b/>
          <w:bCs/>
          <w:i w:val="0"/>
          <w:iCs w:val="0"/>
          <w:color w:val="00B1B0" w:themeColor="accent1"/>
          <w:sz w:val="20"/>
          <w:szCs w:val="20"/>
        </w:rPr>
        <w:t>–</w:t>
      </w:r>
      <w:r w:rsidRPr="001E2F50">
        <w:rPr>
          <w:b/>
          <w:bCs/>
          <w:i w:val="0"/>
          <w:iCs w:val="0"/>
          <w:color w:val="00B1B0" w:themeColor="accent1"/>
          <w:sz w:val="20"/>
          <w:szCs w:val="20"/>
        </w:rPr>
        <w:t xml:space="preserve"> New charges</w:t>
      </w:r>
    </w:p>
    <w:tbl>
      <w:tblPr>
        <w:tblStyle w:val="Tealheader-Grayrows1"/>
        <w:tblW w:w="9498" w:type="dxa"/>
        <w:tblLook w:val="04A0" w:firstRow="1" w:lastRow="0" w:firstColumn="1" w:lastColumn="0" w:noHBand="0" w:noVBand="1"/>
      </w:tblPr>
      <w:tblGrid>
        <w:gridCol w:w="1298"/>
        <w:gridCol w:w="8200"/>
      </w:tblGrid>
      <w:tr w:rsidR="001E1A38" w:rsidRPr="0031753D" w14:paraId="4ACD2776" w14:textId="77777777">
        <w:trPr>
          <w:cnfStyle w:val="100000000000" w:firstRow="1" w:lastRow="0" w:firstColumn="0" w:lastColumn="0" w:oddVBand="0" w:evenVBand="0" w:oddHBand="0" w:evenHBand="0" w:firstRowFirstColumn="0" w:firstRowLastColumn="0" w:lastRowFirstColumn="0" w:lastRowLastColumn="0"/>
        </w:trPr>
        <w:tc>
          <w:tcPr>
            <w:tcW w:w="1298" w:type="dxa"/>
          </w:tcPr>
          <w:p w14:paraId="39A2AF9D" w14:textId="77777777" w:rsidR="001E1A38" w:rsidRPr="00EE2E5D" w:rsidRDefault="001E1A38" w:rsidP="0075385A">
            <w:pPr>
              <w:spacing w:before="40" w:after="40" w:line="252" w:lineRule="auto"/>
              <w:rPr>
                <w:sz w:val="20"/>
                <w:szCs w:val="20"/>
              </w:rPr>
            </w:pPr>
            <w:bookmarkStart w:id="76" w:name="_Hlk109230302"/>
            <w:r w:rsidRPr="00EE2E5D">
              <w:rPr>
                <w:sz w:val="20"/>
                <w:szCs w:val="20"/>
              </w:rPr>
              <w:t>New charge</w:t>
            </w:r>
          </w:p>
        </w:tc>
        <w:tc>
          <w:tcPr>
            <w:tcW w:w="8200" w:type="dxa"/>
            <w:hideMark/>
          </w:tcPr>
          <w:p w14:paraId="3137F560" w14:textId="77777777" w:rsidR="001E1A38" w:rsidRPr="00EE2E5D" w:rsidRDefault="001E1A38" w:rsidP="0075385A">
            <w:pPr>
              <w:spacing w:before="40" w:after="40"/>
              <w:rPr>
                <w:sz w:val="20"/>
                <w:szCs w:val="20"/>
              </w:rPr>
            </w:pPr>
            <w:r w:rsidRPr="00EE2E5D">
              <w:rPr>
                <w:sz w:val="20"/>
                <w:szCs w:val="20"/>
              </w:rPr>
              <w:t>Rationale</w:t>
            </w:r>
          </w:p>
        </w:tc>
      </w:tr>
      <w:tr w:rsidR="001E1A38" w:rsidRPr="0031753D" w14:paraId="68221841" w14:textId="77777777">
        <w:trPr>
          <w:cnfStyle w:val="000000100000" w:firstRow="0" w:lastRow="0" w:firstColumn="0" w:lastColumn="0" w:oddVBand="0" w:evenVBand="0" w:oddHBand="1" w:evenHBand="0" w:firstRowFirstColumn="0" w:firstRowLastColumn="0" w:lastRowFirstColumn="0" w:lastRowLastColumn="0"/>
        </w:trPr>
        <w:tc>
          <w:tcPr>
            <w:tcW w:w="1298" w:type="dxa"/>
            <w:vAlign w:val="top"/>
            <w:hideMark/>
          </w:tcPr>
          <w:p w14:paraId="3B6FAD90" w14:textId="77777777" w:rsidR="001E1A38" w:rsidRPr="00EE2E5D" w:rsidRDefault="001E1A38" w:rsidP="0075385A">
            <w:pPr>
              <w:spacing w:before="40" w:after="40" w:line="252" w:lineRule="auto"/>
              <w:rPr>
                <w:sz w:val="20"/>
                <w:szCs w:val="20"/>
              </w:rPr>
            </w:pPr>
            <w:r>
              <w:rPr>
                <w:sz w:val="20"/>
                <w:szCs w:val="20"/>
              </w:rPr>
              <w:t>Pre-application fee</w:t>
            </w:r>
          </w:p>
        </w:tc>
        <w:tc>
          <w:tcPr>
            <w:tcW w:w="8200" w:type="dxa"/>
            <w:hideMark/>
          </w:tcPr>
          <w:p w14:paraId="42B25BF4" w14:textId="7D0F35DD" w:rsidR="001E1A38" w:rsidRPr="00EE2E5D" w:rsidRDefault="001E1A38" w:rsidP="0075385A">
            <w:pPr>
              <w:spacing w:before="40" w:after="120" w:line="252" w:lineRule="auto"/>
              <w:ind w:right="110"/>
              <w:jc w:val="both"/>
              <w:rPr>
                <w:sz w:val="20"/>
                <w:szCs w:val="20"/>
              </w:rPr>
            </w:pPr>
            <w:r w:rsidRPr="00EE2E5D">
              <w:rPr>
                <w:sz w:val="20"/>
                <w:szCs w:val="20"/>
              </w:rPr>
              <w:t>We are facing an ever</w:t>
            </w:r>
            <w:r>
              <w:rPr>
                <w:sz w:val="20"/>
                <w:szCs w:val="20"/>
              </w:rPr>
              <w:t>-</w:t>
            </w:r>
            <w:r w:rsidRPr="00EE2E5D">
              <w:rPr>
                <w:sz w:val="20"/>
                <w:szCs w:val="20"/>
              </w:rPr>
              <w:t xml:space="preserve">increasing number of queries from potential customers </w:t>
            </w:r>
            <w:r w:rsidRPr="0031753D">
              <w:rPr>
                <w:rFonts w:eastAsia="Times New Roman" w:cs="Arial"/>
                <w:sz w:val="20"/>
                <w:szCs w:val="20"/>
                <w:lang w:eastAsia="en-AU"/>
              </w:rPr>
              <w:t>advice on the application process, or information to inform their application (including but not limited to water availability, trading advice, technical assessment requirements). Sometimes</w:t>
            </w:r>
            <w:r>
              <w:rPr>
                <w:sz w:val="20"/>
                <w:szCs w:val="20"/>
              </w:rPr>
              <w:t xml:space="preserve">, these result in applications but often </w:t>
            </w:r>
            <w:r w:rsidRPr="0031753D">
              <w:rPr>
                <w:sz w:val="20"/>
                <w:szCs w:val="20"/>
              </w:rPr>
              <w:t>the</w:t>
            </w:r>
            <w:r>
              <w:rPr>
                <w:sz w:val="20"/>
                <w:szCs w:val="20"/>
              </w:rPr>
              <w:t>y</w:t>
            </w:r>
            <w:r w:rsidRPr="0031753D">
              <w:rPr>
                <w:sz w:val="20"/>
                <w:szCs w:val="20"/>
              </w:rPr>
              <w:t xml:space="preserve"> </w:t>
            </w:r>
            <w:r>
              <w:rPr>
                <w:sz w:val="20"/>
                <w:szCs w:val="20"/>
              </w:rPr>
              <w:t>do not. They can take up many hours of staff time.</w:t>
            </w:r>
          </w:p>
          <w:p w14:paraId="4F7E7582" w14:textId="22FD61D7" w:rsidR="001E1A38" w:rsidRPr="00EE2E5D" w:rsidRDefault="001E1A38" w:rsidP="0075385A">
            <w:pPr>
              <w:spacing w:before="40" w:after="40" w:line="252" w:lineRule="auto"/>
              <w:ind w:right="110"/>
              <w:jc w:val="both"/>
              <w:rPr>
                <w:sz w:val="20"/>
                <w:szCs w:val="20"/>
              </w:rPr>
            </w:pPr>
            <w:r w:rsidRPr="00EE2E5D">
              <w:rPr>
                <w:sz w:val="20"/>
                <w:szCs w:val="20"/>
              </w:rPr>
              <w:t xml:space="preserve">SRW proposes to introduce a </w:t>
            </w:r>
            <w:r>
              <w:rPr>
                <w:sz w:val="20"/>
                <w:szCs w:val="20"/>
              </w:rPr>
              <w:t>pre-application</w:t>
            </w:r>
            <w:r w:rsidRPr="00EE2E5D">
              <w:rPr>
                <w:sz w:val="20"/>
                <w:szCs w:val="20"/>
              </w:rPr>
              <w:t xml:space="preserve"> fee at $150</w:t>
            </w:r>
            <w:r w:rsidR="00635711">
              <w:rPr>
                <w:sz w:val="20"/>
                <w:szCs w:val="20"/>
              </w:rPr>
              <w:t>/</w:t>
            </w:r>
            <w:r w:rsidRPr="00EE2E5D">
              <w:rPr>
                <w:sz w:val="20"/>
                <w:szCs w:val="20"/>
              </w:rPr>
              <w:t xml:space="preserve">hr </w:t>
            </w:r>
            <w:r w:rsidRPr="0031753D">
              <w:rPr>
                <w:sz w:val="20"/>
                <w:szCs w:val="20"/>
              </w:rPr>
              <w:t>per staff member to:</w:t>
            </w:r>
          </w:p>
          <w:p w14:paraId="416EDC36" w14:textId="6CE9CE68" w:rsidR="001E1A38" w:rsidRPr="00EE2E5D" w:rsidRDefault="001E1A38" w:rsidP="0075385A">
            <w:pPr>
              <w:pStyle w:val="Bulletpointparagraph"/>
              <w:spacing w:before="40" w:after="40"/>
              <w:ind w:right="110"/>
              <w:jc w:val="both"/>
              <w:rPr>
                <w:sz w:val="20"/>
                <w:szCs w:val="20"/>
              </w:rPr>
            </w:pPr>
            <w:r w:rsidRPr="00EE2E5D">
              <w:rPr>
                <w:sz w:val="20"/>
                <w:szCs w:val="20"/>
              </w:rPr>
              <w:t xml:space="preserve">attend meetings </w:t>
            </w:r>
            <w:r>
              <w:rPr>
                <w:sz w:val="20"/>
                <w:szCs w:val="20"/>
              </w:rPr>
              <w:t xml:space="preserve">that for any particular proposal </w:t>
            </w:r>
            <w:r w:rsidRPr="00EE2E5D">
              <w:rPr>
                <w:sz w:val="20"/>
                <w:szCs w:val="20"/>
              </w:rPr>
              <w:t>involv</w:t>
            </w:r>
            <w:r>
              <w:rPr>
                <w:sz w:val="20"/>
                <w:szCs w:val="20"/>
              </w:rPr>
              <w:t>e</w:t>
            </w:r>
            <w:r w:rsidRPr="00EE2E5D">
              <w:rPr>
                <w:sz w:val="20"/>
                <w:szCs w:val="20"/>
              </w:rPr>
              <w:t xml:space="preserve"> more than </w:t>
            </w:r>
            <w:r w:rsidR="00635711">
              <w:rPr>
                <w:sz w:val="20"/>
                <w:szCs w:val="20"/>
              </w:rPr>
              <w:t>two hours</w:t>
            </w:r>
            <w:r w:rsidRPr="00EE2E5D">
              <w:rPr>
                <w:sz w:val="20"/>
                <w:szCs w:val="20"/>
              </w:rPr>
              <w:t xml:space="preserve"> </w:t>
            </w:r>
            <w:r>
              <w:rPr>
                <w:sz w:val="20"/>
                <w:szCs w:val="20"/>
              </w:rPr>
              <w:t>in total (including travel time).</w:t>
            </w:r>
          </w:p>
          <w:p w14:paraId="5502D13E" w14:textId="77777777" w:rsidR="001E1A38" w:rsidRPr="00EE2E5D" w:rsidRDefault="001E1A38" w:rsidP="0075385A">
            <w:pPr>
              <w:pStyle w:val="Bulletpointparagraph"/>
              <w:spacing w:before="40" w:after="40"/>
              <w:ind w:right="110"/>
              <w:jc w:val="both"/>
              <w:rPr>
                <w:sz w:val="20"/>
                <w:szCs w:val="20"/>
              </w:rPr>
            </w:pPr>
            <w:r w:rsidRPr="00EE2E5D">
              <w:rPr>
                <w:sz w:val="20"/>
                <w:szCs w:val="20"/>
              </w:rPr>
              <w:t xml:space="preserve">undertake field inspections outside our irrigation districts. </w:t>
            </w:r>
          </w:p>
        </w:tc>
      </w:tr>
      <w:tr w:rsidR="001E1A38" w:rsidRPr="0031753D" w14:paraId="003C0039" w14:textId="77777777">
        <w:tc>
          <w:tcPr>
            <w:tcW w:w="1298" w:type="dxa"/>
            <w:vAlign w:val="top"/>
          </w:tcPr>
          <w:p w14:paraId="7F09628E" w14:textId="77777777" w:rsidR="001E1A38" w:rsidRPr="00F55B24" w:rsidRDefault="001E1A38" w:rsidP="0075385A">
            <w:pPr>
              <w:spacing w:before="40" w:after="40" w:line="252" w:lineRule="auto"/>
              <w:rPr>
                <w:sz w:val="20"/>
                <w:szCs w:val="20"/>
              </w:rPr>
            </w:pPr>
            <w:r w:rsidRPr="00F55B24">
              <w:rPr>
                <w:sz w:val="20"/>
                <w:szCs w:val="20"/>
              </w:rPr>
              <w:t>Site visits</w:t>
            </w:r>
          </w:p>
        </w:tc>
        <w:tc>
          <w:tcPr>
            <w:tcW w:w="8200" w:type="dxa"/>
            <w:vAlign w:val="top"/>
          </w:tcPr>
          <w:p w14:paraId="2616E5D6" w14:textId="77777777" w:rsidR="001E1A38" w:rsidRPr="00F55B24" w:rsidRDefault="001E1A38" w:rsidP="0075385A">
            <w:pPr>
              <w:spacing w:before="40" w:after="120" w:line="252" w:lineRule="auto"/>
              <w:ind w:right="110"/>
              <w:jc w:val="both"/>
              <w:rPr>
                <w:sz w:val="20"/>
                <w:szCs w:val="20"/>
              </w:rPr>
            </w:pPr>
            <w:r w:rsidRPr="00F55B24">
              <w:rPr>
                <w:sz w:val="20"/>
                <w:szCs w:val="20"/>
              </w:rPr>
              <w:t>SRW has an extensive footprint, providing services right across southern Victoria. While we operate a series of regional offices, some of our customers are still located quite some distance from our offices.</w:t>
            </w:r>
          </w:p>
          <w:p w14:paraId="4D112C71" w14:textId="2B4E929E" w:rsidR="001E1A38" w:rsidRPr="00EE2E5D" w:rsidRDefault="001E1A38" w:rsidP="0075385A">
            <w:pPr>
              <w:spacing w:before="40" w:after="120" w:line="252" w:lineRule="auto"/>
              <w:ind w:right="110"/>
              <w:jc w:val="both"/>
              <w:rPr>
                <w:sz w:val="20"/>
                <w:szCs w:val="20"/>
              </w:rPr>
            </w:pPr>
            <w:r>
              <w:rPr>
                <w:sz w:val="20"/>
                <w:szCs w:val="20"/>
              </w:rPr>
              <w:t>From time to time customers make a request that we attend their property for any number of reasons</w:t>
            </w:r>
            <w:r w:rsidRPr="00F55B24">
              <w:rPr>
                <w:sz w:val="20"/>
                <w:szCs w:val="20"/>
              </w:rPr>
              <w:t>.</w:t>
            </w:r>
            <w:r>
              <w:rPr>
                <w:sz w:val="20"/>
                <w:szCs w:val="20"/>
              </w:rPr>
              <w:t xml:space="preserve"> If this does not relate to general operations such as meter maintenance, or pre-application advice (which incurs a separate fee) we need to recover costs associated with significant time and travel.</w:t>
            </w:r>
            <w:r w:rsidRPr="00F55B24">
              <w:rPr>
                <w:sz w:val="20"/>
                <w:szCs w:val="20"/>
              </w:rPr>
              <w:t xml:space="preserve"> </w:t>
            </w:r>
          </w:p>
          <w:p w14:paraId="6554A8BD" w14:textId="005B7465" w:rsidR="001E1A38" w:rsidRPr="00EE2E5D" w:rsidRDefault="001E1A38" w:rsidP="0075385A">
            <w:pPr>
              <w:spacing w:before="40" w:after="40" w:line="252" w:lineRule="auto"/>
              <w:ind w:right="110"/>
              <w:jc w:val="both"/>
              <w:rPr>
                <w:sz w:val="20"/>
                <w:szCs w:val="20"/>
              </w:rPr>
            </w:pPr>
            <w:r w:rsidRPr="00EE2E5D">
              <w:rPr>
                <w:sz w:val="20"/>
                <w:szCs w:val="20"/>
              </w:rPr>
              <w:t xml:space="preserve">SRW proposes to introduce a </w:t>
            </w:r>
            <w:r>
              <w:rPr>
                <w:sz w:val="20"/>
                <w:szCs w:val="20"/>
              </w:rPr>
              <w:t>site visit fee</w:t>
            </w:r>
            <w:r w:rsidRPr="00EE2E5D">
              <w:rPr>
                <w:sz w:val="20"/>
                <w:szCs w:val="20"/>
              </w:rPr>
              <w:t xml:space="preserve"> at $150</w:t>
            </w:r>
            <w:r w:rsidR="007D4E18">
              <w:rPr>
                <w:sz w:val="20"/>
                <w:szCs w:val="20"/>
              </w:rPr>
              <w:t>/</w:t>
            </w:r>
            <w:r w:rsidRPr="00EE2E5D">
              <w:rPr>
                <w:sz w:val="20"/>
                <w:szCs w:val="20"/>
              </w:rPr>
              <w:t>hr to:</w:t>
            </w:r>
          </w:p>
          <w:p w14:paraId="7BDA4953" w14:textId="0E661C1C" w:rsidR="001E1A38" w:rsidRPr="00F55B24" w:rsidRDefault="001E1A38" w:rsidP="0075385A">
            <w:pPr>
              <w:pStyle w:val="Bulletpointparagraph"/>
              <w:spacing w:before="40" w:after="40"/>
              <w:ind w:right="110"/>
              <w:jc w:val="both"/>
              <w:rPr>
                <w:sz w:val="20"/>
                <w:szCs w:val="20"/>
              </w:rPr>
            </w:pPr>
            <w:r w:rsidRPr="00EE2E5D">
              <w:rPr>
                <w:sz w:val="20"/>
                <w:szCs w:val="20"/>
              </w:rPr>
              <w:t xml:space="preserve">attend </w:t>
            </w:r>
            <w:r>
              <w:rPr>
                <w:sz w:val="20"/>
                <w:szCs w:val="20"/>
              </w:rPr>
              <w:t>customer sites</w:t>
            </w:r>
            <w:r w:rsidRPr="0031753D">
              <w:rPr>
                <w:sz w:val="20"/>
                <w:szCs w:val="20"/>
              </w:rPr>
              <w:t xml:space="preserve"> </w:t>
            </w:r>
            <w:r>
              <w:rPr>
                <w:sz w:val="20"/>
                <w:szCs w:val="20"/>
              </w:rPr>
              <w:t xml:space="preserve">that </w:t>
            </w:r>
            <w:r w:rsidRPr="00EE2E5D">
              <w:rPr>
                <w:sz w:val="20"/>
                <w:szCs w:val="20"/>
              </w:rPr>
              <w:t>involv</w:t>
            </w:r>
            <w:r>
              <w:rPr>
                <w:sz w:val="20"/>
                <w:szCs w:val="20"/>
              </w:rPr>
              <w:t>e</w:t>
            </w:r>
            <w:r w:rsidRPr="00EE2E5D">
              <w:rPr>
                <w:sz w:val="20"/>
                <w:szCs w:val="20"/>
              </w:rPr>
              <w:t xml:space="preserve"> more than </w:t>
            </w:r>
            <w:r w:rsidR="007D4E18">
              <w:rPr>
                <w:sz w:val="20"/>
                <w:szCs w:val="20"/>
              </w:rPr>
              <w:t xml:space="preserve">two </w:t>
            </w:r>
            <w:r w:rsidRPr="00EE2E5D">
              <w:rPr>
                <w:sz w:val="20"/>
                <w:szCs w:val="20"/>
              </w:rPr>
              <w:t>h</w:t>
            </w:r>
            <w:r w:rsidR="007D4E18">
              <w:rPr>
                <w:sz w:val="20"/>
                <w:szCs w:val="20"/>
              </w:rPr>
              <w:t>ou</w:t>
            </w:r>
            <w:r w:rsidRPr="00EE2E5D">
              <w:rPr>
                <w:sz w:val="20"/>
                <w:szCs w:val="20"/>
              </w:rPr>
              <w:t xml:space="preserve">rs </w:t>
            </w:r>
            <w:r>
              <w:rPr>
                <w:sz w:val="20"/>
                <w:szCs w:val="20"/>
              </w:rPr>
              <w:t>in total (including travel time).</w:t>
            </w:r>
          </w:p>
        </w:tc>
      </w:tr>
      <w:tr w:rsidR="001E1A38" w:rsidRPr="0031753D" w14:paraId="7478D768" w14:textId="77777777">
        <w:trPr>
          <w:cnfStyle w:val="000000100000" w:firstRow="0" w:lastRow="0" w:firstColumn="0" w:lastColumn="0" w:oddVBand="0" w:evenVBand="0" w:oddHBand="1" w:evenHBand="0" w:firstRowFirstColumn="0" w:firstRowLastColumn="0" w:lastRowFirstColumn="0" w:lastRowLastColumn="0"/>
        </w:trPr>
        <w:tc>
          <w:tcPr>
            <w:tcW w:w="1298" w:type="dxa"/>
            <w:vAlign w:val="top"/>
          </w:tcPr>
          <w:p w14:paraId="18E142FB" w14:textId="77777777" w:rsidR="001E1A38" w:rsidRPr="00F55B24" w:rsidRDefault="001E1A38" w:rsidP="0075385A">
            <w:pPr>
              <w:spacing w:before="40" w:after="40" w:line="252" w:lineRule="auto"/>
              <w:rPr>
                <w:sz w:val="20"/>
                <w:szCs w:val="20"/>
              </w:rPr>
            </w:pPr>
            <w:r w:rsidRPr="00F55B24">
              <w:rPr>
                <w:sz w:val="20"/>
                <w:szCs w:val="20"/>
              </w:rPr>
              <w:t>Peer review fee</w:t>
            </w:r>
          </w:p>
        </w:tc>
        <w:tc>
          <w:tcPr>
            <w:tcW w:w="8200" w:type="dxa"/>
            <w:vAlign w:val="top"/>
          </w:tcPr>
          <w:p w14:paraId="0B429A26" w14:textId="08F025B7" w:rsidR="001E1A38" w:rsidRPr="00F55B24" w:rsidRDefault="001E1A38" w:rsidP="0075385A">
            <w:pPr>
              <w:spacing w:before="40" w:after="120" w:line="252" w:lineRule="auto"/>
              <w:ind w:right="110"/>
              <w:jc w:val="both"/>
              <w:rPr>
                <w:sz w:val="20"/>
                <w:szCs w:val="20"/>
              </w:rPr>
            </w:pPr>
            <w:r w:rsidRPr="00F55B24">
              <w:rPr>
                <w:sz w:val="20"/>
                <w:szCs w:val="20"/>
              </w:rPr>
              <w:t>SRW has previously had a technical analysis fee. This fee was charged where it was deemed necessary to have an application peer reviewed. We are facing an increasing number of more complex applications that require</w:t>
            </w:r>
            <w:r>
              <w:rPr>
                <w:sz w:val="20"/>
                <w:szCs w:val="20"/>
              </w:rPr>
              <w:t xml:space="preserve"> external</w:t>
            </w:r>
            <w:r w:rsidRPr="00F55B24">
              <w:rPr>
                <w:sz w:val="20"/>
                <w:szCs w:val="20"/>
              </w:rPr>
              <w:t xml:space="preserve"> peer review.</w:t>
            </w:r>
          </w:p>
          <w:p w14:paraId="152066B3" w14:textId="77777777" w:rsidR="001E1A38" w:rsidRPr="00EE2E5D" w:rsidRDefault="001E1A38" w:rsidP="0075385A">
            <w:pPr>
              <w:spacing w:before="40" w:after="40" w:line="252" w:lineRule="auto"/>
              <w:ind w:right="110"/>
              <w:jc w:val="both"/>
              <w:rPr>
                <w:sz w:val="20"/>
                <w:szCs w:val="20"/>
              </w:rPr>
            </w:pPr>
            <w:r w:rsidRPr="00EE2E5D">
              <w:rPr>
                <w:sz w:val="20"/>
                <w:szCs w:val="20"/>
              </w:rPr>
              <w:t xml:space="preserve">SRW proposes to </w:t>
            </w:r>
            <w:r>
              <w:rPr>
                <w:sz w:val="20"/>
                <w:szCs w:val="20"/>
              </w:rPr>
              <w:t>re-</w:t>
            </w:r>
            <w:r w:rsidRPr="00EE2E5D">
              <w:rPr>
                <w:sz w:val="20"/>
                <w:szCs w:val="20"/>
              </w:rPr>
              <w:t xml:space="preserve">introduce a </w:t>
            </w:r>
            <w:r>
              <w:rPr>
                <w:sz w:val="20"/>
                <w:szCs w:val="20"/>
              </w:rPr>
              <w:t xml:space="preserve">peer review fee </w:t>
            </w:r>
            <w:r w:rsidRPr="00D11C3F">
              <w:rPr>
                <w:bCs/>
                <w:sz w:val="20"/>
                <w:szCs w:val="20"/>
              </w:rPr>
              <w:t>at cost</w:t>
            </w:r>
            <w:r w:rsidRPr="00EE2E5D">
              <w:rPr>
                <w:sz w:val="20"/>
                <w:szCs w:val="20"/>
              </w:rPr>
              <w:t xml:space="preserve"> to:</w:t>
            </w:r>
          </w:p>
          <w:p w14:paraId="1710A439" w14:textId="77777777" w:rsidR="001E1A38" w:rsidRPr="00F55B24" w:rsidRDefault="001E1A38" w:rsidP="0075385A">
            <w:pPr>
              <w:pStyle w:val="Bulletpointparagraph"/>
              <w:spacing w:before="40" w:after="40" w:line="252" w:lineRule="auto"/>
              <w:ind w:right="110"/>
              <w:jc w:val="both"/>
              <w:rPr>
                <w:sz w:val="20"/>
                <w:szCs w:val="20"/>
              </w:rPr>
            </w:pPr>
            <w:r w:rsidRPr="00877274">
              <w:rPr>
                <w:sz w:val="20"/>
                <w:szCs w:val="20"/>
              </w:rPr>
              <w:t>offset the costs of engaging consultants to review technical reports.</w:t>
            </w:r>
          </w:p>
        </w:tc>
      </w:tr>
      <w:tr w:rsidR="001E1A38" w:rsidRPr="0031753D" w14:paraId="34D4DA60" w14:textId="77777777">
        <w:tc>
          <w:tcPr>
            <w:tcW w:w="1298" w:type="dxa"/>
            <w:tcBorders>
              <w:bottom w:val="single" w:sz="4" w:space="0" w:color="auto"/>
            </w:tcBorders>
            <w:vAlign w:val="top"/>
            <w:hideMark/>
          </w:tcPr>
          <w:p w14:paraId="5AECA5B9" w14:textId="77777777" w:rsidR="001E1A38" w:rsidRPr="00EE2E5D" w:rsidRDefault="001E1A38" w:rsidP="0075385A">
            <w:pPr>
              <w:spacing w:before="40" w:after="40" w:line="252" w:lineRule="auto"/>
              <w:rPr>
                <w:sz w:val="20"/>
                <w:szCs w:val="20"/>
              </w:rPr>
            </w:pPr>
            <w:r w:rsidRPr="00EE2E5D">
              <w:rPr>
                <w:sz w:val="20"/>
                <w:szCs w:val="20"/>
              </w:rPr>
              <w:t xml:space="preserve">Public </w:t>
            </w:r>
            <w:r>
              <w:rPr>
                <w:sz w:val="20"/>
                <w:szCs w:val="20"/>
              </w:rPr>
              <w:t>advertising</w:t>
            </w:r>
            <w:r w:rsidRPr="00EE2E5D">
              <w:rPr>
                <w:sz w:val="20"/>
                <w:szCs w:val="20"/>
              </w:rPr>
              <w:t xml:space="preserve"> fee</w:t>
            </w:r>
          </w:p>
        </w:tc>
        <w:tc>
          <w:tcPr>
            <w:tcW w:w="8200" w:type="dxa"/>
            <w:tcBorders>
              <w:bottom w:val="single" w:sz="4" w:space="0" w:color="auto"/>
            </w:tcBorders>
            <w:hideMark/>
          </w:tcPr>
          <w:p w14:paraId="3786A0A1" w14:textId="029C07F5" w:rsidR="001E1A38" w:rsidRPr="00EE2E5D" w:rsidRDefault="001E1A38" w:rsidP="0075385A">
            <w:pPr>
              <w:spacing w:before="40" w:after="120" w:line="252" w:lineRule="auto"/>
              <w:ind w:right="110"/>
              <w:jc w:val="both"/>
              <w:rPr>
                <w:sz w:val="20"/>
                <w:szCs w:val="20"/>
              </w:rPr>
            </w:pPr>
            <w:r>
              <w:rPr>
                <w:sz w:val="20"/>
                <w:szCs w:val="20"/>
              </w:rPr>
              <w:t>Under legislation take and use licence applications require public consultation such as advertising in local newspapers and public meetings. To date SRW ha</w:t>
            </w:r>
            <w:r w:rsidR="007D4E18">
              <w:rPr>
                <w:sz w:val="20"/>
                <w:szCs w:val="20"/>
              </w:rPr>
              <w:t>s</w:t>
            </w:r>
            <w:r>
              <w:rPr>
                <w:sz w:val="20"/>
                <w:szCs w:val="20"/>
              </w:rPr>
              <w:t xml:space="preserve"> absorbed these costs. </w:t>
            </w:r>
            <w:r w:rsidRPr="00EE2E5D">
              <w:rPr>
                <w:sz w:val="20"/>
                <w:szCs w:val="20"/>
              </w:rPr>
              <w:t>Current advertising costs range from $600 to over $2</w:t>
            </w:r>
            <w:r w:rsidR="007D4E18">
              <w:rPr>
                <w:sz w:val="20"/>
                <w:szCs w:val="20"/>
              </w:rPr>
              <w:t>,</w:t>
            </w:r>
            <w:r w:rsidRPr="00EE2E5D">
              <w:rPr>
                <w:sz w:val="20"/>
                <w:szCs w:val="20"/>
              </w:rPr>
              <w:t>000 depending on the media outlet an</w:t>
            </w:r>
            <w:r>
              <w:rPr>
                <w:sz w:val="20"/>
                <w:szCs w:val="20"/>
              </w:rPr>
              <w:t>d</w:t>
            </w:r>
            <w:r w:rsidRPr="00EE2E5D">
              <w:rPr>
                <w:sz w:val="20"/>
                <w:szCs w:val="20"/>
              </w:rPr>
              <w:t xml:space="preserve"> the extent of advertising.</w:t>
            </w:r>
          </w:p>
          <w:p w14:paraId="5132DD4A" w14:textId="2F33094C" w:rsidR="001E1A38" w:rsidRPr="00EE2E5D" w:rsidRDefault="001E1A38" w:rsidP="0075385A">
            <w:pPr>
              <w:spacing w:before="40" w:after="120" w:line="252" w:lineRule="auto"/>
              <w:ind w:right="110"/>
              <w:jc w:val="both"/>
              <w:rPr>
                <w:sz w:val="20"/>
                <w:szCs w:val="20"/>
              </w:rPr>
            </w:pPr>
            <w:r w:rsidRPr="00EE2E5D">
              <w:rPr>
                <w:sz w:val="20"/>
                <w:szCs w:val="20"/>
              </w:rPr>
              <w:t xml:space="preserve">Many local </w:t>
            </w:r>
            <w:r w:rsidR="007D4E18">
              <w:rPr>
                <w:sz w:val="20"/>
                <w:szCs w:val="20"/>
              </w:rPr>
              <w:t>c</w:t>
            </w:r>
            <w:r w:rsidRPr="00EE2E5D">
              <w:rPr>
                <w:sz w:val="20"/>
                <w:szCs w:val="20"/>
              </w:rPr>
              <w:t xml:space="preserve">ouncils charge an additional fee which is outside the regulations for </w:t>
            </w:r>
            <w:r w:rsidRPr="0031753D">
              <w:rPr>
                <w:sz w:val="20"/>
                <w:szCs w:val="20"/>
              </w:rPr>
              <w:t>advert</w:t>
            </w:r>
            <w:r>
              <w:rPr>
                <w:sz w:val="20"/>
                <w:szCs w:val="20"/>
              </w:rPr>
              <w:t>is</w:t>
            </w:r>
            <w:r w:rsidRPr="0031753D">
              <w:rPr>
                <w:sz w:val="20"/>
                <w:szCs w:val="20"/>
              </w:rPr>
              <w:t>ing</w:t>
            </w:r>
            <w:r w:rsidRPr="00EE2E5D">
              <w:rPr>
                <w:sz w:val="20"/>
                <w:szCs w:val="20"/>
              </w:rPr>
              <w:t xml:space="preserve"> planning applications.</w:t>
            </w:r>
          </w:p>
          <w:p w14:paraId="27604F74" w14:textId="544CAE60" w:rsidR="001E1A38" w:rsidRPr="00EE2E5D" w:rsidRDefault="001E1A38" w:rsidP="0075385A">
            <w:pPr>
              <w:spacing w:before="40" w:after="40" w:line="252" w:lineRule="auto"/>
              <w:ind w:right="110"/>
              <w:jc w:val="both"/>
              <w:rPr>
                <w:sz w:val="20"/>
                <w:szCs w:val="20"/>
              </w:rPr>
            </w:pPr>
            <w:r w:rsidRPr="00EE2E5D">
              <w:rPr>
                <w:sz w:val="20"/>
                <w:szCs w:val="20"/>
              </w:rPr>
              <w:t xml:space="preserve">SRW proposes to introduce a </w:t>
            </w:r>
            <w:r>
              <w:rPr>
                <w:sz w:val="20"/>
                <w:szCs w:val="20"/>
              </w:rPr>
              <w:t>new miscellaneous charge</w:t>
            </w:r>
            <w:r w:rsidRPr="00EE2E5D">
              <w:rPr>
                <w:sz w:val="20"/>
                <w:szCs w:val="20"/>
              </w:rPr>
              <w:t xml:space="preserve"> to cover advertising </w:t>
            </w:r>
            <w:r>
              <w:rPr>
                <w:sz w:val="20"/>
                <w:szCs w:val="20"/>
              </w:rPr>
              <w:t xml:space="preserve">and </w:t>
            </w:r>
            <w:r w:rsidRPr="00EE2E5D">
              <w:rPr>
                <w:sz w:val="20"/>
                <w:szCs w:val="20"/>
              </w:rPr>
              <w:t xml:space="preserve">costs </w:t>
            </w:r>
            <w:r>
              <w:rPr>
                <w:sz w:val="20"/>
                <w:szCs w:val="20"/>
              </w:rPr>
              <w:t>associated with convening public meetings</w:t>
            </w:r>
            <w:r w:rsidRPr="0031753D">
              <w:rPr>
                <w:sz w:val="20"/>
                <w:szCs w:val="20"/>
              </w:rPr>
              <w:t xml:space="preserve"> </w:t>
            </w:r>
            <w:r>
              <w:rPr>
                <w:sz w:val="20"/>
                <w:szCs w:val="20"/>
              </w:rPr>
              <w:t>where the actual costs is a direct cost passed on to the applicant.</w:t>
            </w:r>
          </w:p>
        </w:tc>
      </w:tr>
      <w:bookmarkEnd w:id="76"/>
    </w:tbl>
    <w:p w14:paraId="03980F41" w14:textId="3DC7DA88" w:rsidR="00A140D7" w:rsidRDefault="00A140D7">
      <w:pPr>
        <w:rPr>
          <w:rFonts w:cs="Arial"/>
          <w:color w:val="000000" w:themeColor="text1"/>
          <w:sz w:val="20"/>
          <w:szCs w:val="20"/>
          <w:shd w:val="clear" w:color="auto" w:fill="FAF9F8"/>
        </w:rPr>
      </w:pPr>
    </w:p>
    <w:p w14:paraId="47FD07FD" w14:textId="1EB8C3D3" w:rsidR="004D6555" w:rsidRDefault="005A58A2" w:rsidP="0075385A">
      <w:pPr>
        <w:jc w:val="both"/>
      </w:pPr>
      <w:r w:rsidRPr="007D4E18">
        <w:t xml:space="preserve">In addition to the </w:t>
      </w:r>
      <w:r w:rsidR="00A140D7" w:rsidRPr="007D4E18">
        <w:t>new</w:t>
      </w:r>
      <w:r w:rsidRPr="007D4E18">
        <w:t xml:space="preserve"> tariffs</w:t>
      </w:r>
      <w:r w:rsidR="00CD2EE3">
        <w:t xml:space="preserve"> proposed above</w:t>
      </w:r>
      <w:r w:rsidRPr="007D4E18">
        <w:t>, SRW considered a number of other tariffs</w:t>
      </w:r>
      <w:r w:rsidR="005D4840">
        <w:t>,</w:t>
      </w:r>
      <w:r w:rsidR="00CD2EE3">
        <w:t xml:space="preserve"> however</w:t>
      </w:r>
      <w:r w:rsidR="005D4840">
        <w:t xml:space="preserve"> through our customer engagement</w:t>
      </w:r>
      <w:r w:rsidR="0072319F" w:rsidRPr="007D4E18">
        <w:t xml:space="preserve"> </w:t>
      </w:r>
      <w:r w:rsidR="00CD2EE3">
        <w:t xml:space="preserve">we established we needed to do further work </w:t>
      </w:r>
      <w:r w:rsidR="00675B90">
        <w:t xml:space="preserve">before we could consider implementation. As such we are not pursuing these tariffs in </w:t>
      </w:r>
      <w:r w:rsidR="0072319F" w:rsidRPr="007D4E18">
        <w:t>this regulatory period but will review for consideration as part of its next price submission: Price Submission 2028</w:t>
      </w:r>
      <w:r w:rsidR="001A5D73" w:rsidRPr="007D4E18">
        <w:t>.</w:t>
      </w:r>
      <w:r w:rsidR="00675B90">
        <w:t xml:space="preserve"> </w:t>
      </w:r>
    </w:p>
    <w:p w14:paraId="313D46F3" w14:textId="77777777" w:rsidR="004D6555" w:rsidRDefault="004D6555">
      <w:r>
        <w:br w:type="page"/>
      </w:r>
    </w:p>
    <w:p w14:paraId="350494DF" w14:textId="16B7EAC3" w:rsidR="003827CD" w:rsidRDefault="00411779" w:rsidP="00411779">
      <w:pPr>
        <w:pStyle w:val="Caption"/>
        <w:rPr>
          <w:b/>
          <w:bCs/>
          <w:i w:val="0"/>
          <w:iCs w:val="0"/>
          <w:color w:val="00B1B0" w:themeColor="accent1"/>
          <w:sz w:val="20"/>
          <w:szCs w:val="20"/>
        </w:rPr>
      </w:pPr>
      <w:r w:rsidRPr="00411779">
        <w:rPr>
          <w:b/>
          <w:bCs/>
          <w:i w:val="0"/>
          <w:iCs w:val="0"/>
          <w:color w:val="00B1B0" w:themeColor="accent1"/>
          <w:sz w:val="20"/>
          <w:szCs w:val="20"/>
        </w:rPr>
        <w:t xml:space="preserve">Table </w:t>
      </w:r>
      <w:r w:rsidRPr="00411779">
        <w:rPr>
          <w:b/>
          <w:bCs/>
          <w:i w:val="0"/>
          <w:iCs w:val="0"/>
          <w:color w:val="00B1B0" w:themeColor="accent1"/>
          <w:sz w:val="20"/>
          <w:szCs w:val="20"/>
        </w:rPr>
        <w:fldChar w:fldCharType="begin"/>
      </w:r>
      <w:r w:rsidRPr="00411779">
        <w:rPr>
          <w:b/>
          <w:bCs/>
          <w:i w:val="0"/>
          <w:iCs w:val="0"/>
          <w:color w:val="00B1B0" w:themeColor="accent1"/>
          <w:sz w:val="20"/>
          <w:szCs w:val="20"/>
        </w:rPr>
        <w:instrText xml:space="preserve"> SEQ Table \* ARABIC </w:instrText>
      </w:r>
      <w:r w:rsidRPr="00411779">
        <w:rPr>
          <w:b/>
          <w:bCs/>
          <w:i w:val="0"/>
          <w:iCs w:val="0"/>
          <w:color w:val="00B1B0" w:themeColor="accent1"/>
          <w:sz w:val="20"/>
          <w:szCs w:val="20"/>
        </w:rPr>
        <w:fldChar w:fldCharType="separate"/>
      </w:r>
      <w:r w:rsidR="008126A8">
        <w:rPr>
          <w:b/>
          <w:bCs/>
          <w:i w:val="0"/>
          <w:iCs w:val="0"/>
          <w:noProof/>
          <w:color w:val="00B1B0" w:themeColor="accent1"/>
          <w:sz w:val="20"/>
          <w:szCs w:val="20"/>
        </w:rPr>
        <w:t>31</w:t>
      </w:r>
      <w:r w:rsidRPr="00411779">
        <w:rPr>
          <w:b/>
          <w:bCs/>
          <w:i w:val="0"/>
          <w:iCs w:val="0"/>
          <w:color w:val="00B1B0" w:themeColor="accent1"/>
          <w:sz w:val="20"/>
          <w:szCs w:val="20"/>
        </w:rPr>
        <w:fldChar w:fldCharType="end"/>
      </w:r>
      <w:r w:rsidRPr="00411779">
        <w:rPr>
          <w:b/>
          <w:bCs/>
          <w:i w:val="0"/>
          <w:iCs w:val="0"/>
          <w:color w:val="00B1B0" w:themeColor="accent1"/>
          <w:sz w:val="20"/>
          <w:szCs w:val="20"/>
        </w:rPr>
        <w:t xml:space="preserve"> </w:t>
      </w:r>
      <w:r w:rsidR="00687E53">
        <w:rPr>
          <w:b/>
          <w:bCs/>
          <w:i w:val="0"/>
          <w:iCs w:val="0"/>
          <w:color w:val="00B1B0" w:themeColor="accent1"/>
          <w:sz w:val="20"/>
          <w:szCs w:val="20"/>
        </w:rPr>
        <w:t>–</w:t>
      </w:r>
      <w:r w:rsidRPr="00411779">
        <w:rPr>
          <w:b/>
          <w:bCs/>
          <w:i w:val="0"/>
          <w:iCs w:val="0"/>
          <w:color w:val="00B1B0" w:themeColor="accent1"/>
          <w:sz w:val="20"/>
          <w:szCs w:val="20"/>
        </w:rPr>
        <w:t xml:space="preserve"> </w:t>
      </w:r>
      <w:r w:rsidR="00687E53">
        <w:rPr>
          <w:b/>
          <w:bCs/>
          <w:i w:val="0"/>
          <w:iCs w:val="0"/>
          <w:color w:val="00B1B0" w:themeColor="accent1"/>
          <w:sz w:val="20"/>
          <w:szCs w:val="20"/>
        </w:rPr>
        <w:t>Tariffs to be considered for PS28</w:t>
      </w:r>
    </w:p>
    <w:tbl>
      <w:tblPr>
        <w:tblStyle w:val="Tealheader-Grayrows1"/>
        <w:tblW w:w="9629" w:type="dxa"/>
        <w:tblBorders>
          <w:bottom w:val="single" w:sz="4" w:space="0" w:color="auto"/>
        </w:tblBorders>
        <w:tblLook w:val="04A0" w:firstRow="1" w:lastRow="0" w:firstColumn="1" w:lastColumn="0" w:noHBand="0" w:noVBand="1"/>
      </w:tblPr>
      <w:tblGrid>
        <w:gridCol w:w="1560"/>
        <w:gridCol w:w="1559"/>
        <w:gridCol w:w="6510"/>
      </w:tblGrid>
      <w:tr w:rsidR="004D6555" w:rsidRPr="009E32FF" w14:paraId="23D8D821" w14:textId="77777777">
        <w:trPr>
          <w:cnfStyle w:val="100000000000" w:firstRow="1" w:lastRow="0" w:firstColumn="0" w:lastColumn="0" w:oddVBand="0" w:evenVBand="0" w:oddHBand="0" w:evenHBand="0" w:firstRowFirstColumn="0" w:firstRowLastColumn="0" w:lastRowFirstColumn="0" w:lastRowLastColumn="0"/>
        </w:trPr>
        <w:tc>
          <w:tcPr>
            <w:tcW w:w="1560" w:type="dxa"/>
            <w:vAlign w:val="top"/>
          </w:tcPr>
          <w:p w14:paraId="0613E0A7" w14:textId="77777777" w:rsidR="004D6555" w:rsidRPr="009E32FF" w:rsidRDefault="004D6555">
            <w:pPr>
              <w:spacing w:before="40" w:after="40"/>
              <w:rPr>
                <w:sz w:val="20"/>
                <w:szCs w:val="18"/>
              </w:rPr>
            </w:pPr>
            <w:r w:rsidRPr="009E32FF">
              <w:rPr>
                <w:sz w:val="20"/>
                <w:szCs w:val="18"/>
              </w:rPr>
              <w:t>Customers</w:t>
            </w:r>
          </w:p>
        </w:tc>
        <w:tc>
          <w:tcPr>
            <w:tcW w:w="1559" w:type="dxa"/>
            <w:vAlign w:val="top"/>
          </w:tcPr>
          <w:p w14:paraId="439E1952" w14:textId="77777777" w:rsidR="004D6555" w:rsidRPr="009E32FF" w:rsidRDefault="004D6555">
            <w:pPr>
              <w:spacing w:before="40" w:after="40"/>
              <w:rPr>
                <w:sz w:val="20"/>
                <w:szCs w:val="18"/>
              </w:rPr>
            </w:pPr>
            <w:r w:rsidRPr="009E32FF">
              <w:rPr>
                <w:sz w:val="20"/>
                <w:szCs w:val="18"/>
              </w:rPr>
              <w:t>Fee</w:t>
            </w:r>
          </w:p>
        </w:tc>
        <w:tc>
          <w:tcPr>
            <w:tcW w:w="6510" w:type="dxa"/>
            <w:vAlign w:val="top"/>
          </w:tcPr>
          <w:p w14:paraId="233E308A" w14:textId="77777777" w:rsidR="004D6555" w:rsidRPr="009E32FF" w:rsidRDefault="004D6555">
            <w:pPr>
              <w:spacing w:before="40" w:after="40"/>
              <w:rPr>
                <w:sz w:val="20"/>
                <w:szCs w:val="18"/>
              </w:rPr>
            </w:pPr>
            <w:r w:rsidRPr="009E32FF">
              <w:rPr>
                <w:sz w:val="20"/>
                <w:szCs w:val="18"/>
              </w:rPr>
              <w:t>Details</w:t>
            </w:r>
          </w:p>
        </w:tc>
      </w:tr>
      <w:tr w:rsidR="004D6555" w:rsidRPr="009E32FF" w14:paraId="75D02F28" w14:textId="77777777">
        <w:trPr>
          <w:cnfStyle w:val="000000100000" w:firstRow="0" w:lastRow="0" w:firstColumn="0" w:lastColumn="0" w:oddVBand="0" w:evenVBand="0" w:oddHBand="1" w:evenHBand="0" w:firstRowFirstColumn="0" w:firstRowLastColumn="0" w:lastRowFirstColumn="0" w:lastRowLastColumn="0"/>
        </w:trPr>
        <w:tc>
          <w:tcPr>
            <w:tcW w:w="1560" w:type="dxa"/>
            <w:vMerge w:val="restart"/>
            <w:shd w:val="clear" w:color="auto" w:fill="auto"/>
            <w:vAlign w:val="top"/>
          </w:tcPr>
          <w:p w14:paraId="50E83417" w14:textId="77777777" w:rsidR="004D6555" w:rsidRPr="009E32FF" w:rsidRDefault="004D6555">
            <w:pPr>
              <w:spacing w:before="40" w:after="40"/>
              <w:rPr>
                <w:sz w:val="20"/>
                <w:szCs w:val="18"/>
              </w:rPr>
            </w:pPr>
            <w:r w:rsidRPr="009E32FF">
              <w:rPr>
                <w:sz w:val="20"/>
                <w:szCs w:val="18"/>
              </w:rPr>
              <w:t>Irrigation district customers</w:t>
            </w:r>
          </w:p>
        </w:tc>
        <w:tc>
          <w:tcPr>
            <w:tcW w:w="1559" w:type="dxa"/>
            <w:shd w:val="clear" w:color="auto" w:fill="auto"/>
            <w:vAlign w:val="top"/>
          </w:tcPr>
          <w:p w14:paraId="772348D8" w14:textId="77777777" w:rsidR="004D6555" w:rsidRPr="009E32FF" w:rsidRDefault="004D6555">
            <w:pPr>
              <w:spacing w:before="40" w:after="40"/>
              <w:rPr>
                <w:sz w:val="20"/>
                <w:szCs w:val="18"/>
              </w:rPr>
            </w:pPr>
            <w:r w:rsidRPr="009E32FF">
              <w:rPr>
                <w:sz w:val="20"/>
                <w:szCs w:val="18"/>
              </w:rPr>
              <w:t>Differential outlet charge</w:t>
            </w:r>
          </w:p>
        </w:tc>
        <w:tc>
          <w:tcPr>
            <w:tcW w:w="6510" w:type="dxa"/>
            <w:shd w:val="clear" w:color="auto" w:fill="auto"/>
            <w:vAlign w:val="top"/>
          </w:tcPr>
          <w:p w14:paraId="1FAE754A" w14:textId="77777777" w:rsidR="004D6555" w:rsidRPr="009E32FF" w:rsidRDefault="004D6555">
            <w:pPr>
              <w:spacing w:before="40" w:after="120"/>
              <w:ind w:right="106"/>
              <w:jc w:val="both"/>
              <w:rPr>
                <w:sz w:val="20"/>
                <w:szCs w:val="18"/>
              </w:rPr>
            </w:pPr>
            <w:r w:rsidRPr="009E32FF">
              <w:rPr>
                <w:sz w:val="20"/>
                <w:szCs w:val="18"/>
              </w:rPr>
              <w:t>SRW’s costs to maintain outlets vary with manual outlets requiring greater monitoring time while automation outlets have higher ongoing maintenance costs. Modernisation is also leading to a reduction in outlets by approximately one third which further reduces maintenance revenues.</w:t>
            </w:r>
          </w:p>
          <w:p w14:paraId="02D6643D" w14:textId="77777777" w:rsidR="004D6555" w:rsidRPr="009E32FF" w:rsidRDefault="004D6555">
            <w:pPr>
              <w:spacing w:before="40" w:after="40"/>
              <w:ind w:right="106"/>
              <w:jc w:val="both"/>
              <w:rPr>
                <w:sz w:val="20"/>
                <w:szCs w:val="18"/>
              </w:rPr>
            </w:pPr>
            <w:r w:rsidRPr="009E32FF">
              <w:rPr>
                <w:sz w:val="20"/>
                <w:szCs w:val="18"/>
              </w:rPr>
              <w:t>SRW will monitor this over the course of Price Submission 2023 and consider, as part of Price Submission 2028, whether to introduce differential tariffs based on the size and type of outlet, reflecting the true cost of maintaining the outlet (e.g. automated v manual) and the service that it provides to customers (e.g. remote v manual operations).</w:t>
            </w:r>
          </w:p>
        </w:tc>
      </w:tr>
      <w:tr w:rsidR="004D6555" w:rsidRPr="009E32FF" w14:paraId="1A349CC4" w14:textId="77777777">
        <w:tc>
          <w:tcPr>
            <w:tcW w:w="1560" w:type="dxa"/>
            <w:vMerge/>
            <w:shd w:val="clear" w:color="auto" w:fill="auto"/>
            <w:vAlign w:val="top"/>
          </w:tcPr>
          <w:p w14:paraId="4EADF7CF" w14:textId="77777777" w:rsidR="004D6555" w:rsidRPr="009E32FF" w:rsidRDefault="004D6555">
            <w:pPr>
              <w:spacing w:before="40" w:after="40"/>
              <w:rPr>
                <w:sz w:val="20"/>
                <w:szCs w:val="18"/>
              </w:rPr>
            </w:pPr>
          </w:p>
        </w:tc>
        <w:tc>
          <w:tcPr>
            <w:tcW w:w="1559" w:type="dxa"/>
            <w:shd w:val="clear" w:color="auto" w:fill="F2F2F2" w:themeFill="background1" w:themeFillShade="F2"/>
            <w:vAlign w:val="top"/>
          </w:tcPr>
          <w:p w14:paraId="0308AEB9" w14:textId="77777777" w:rsidR="004D6555" w:rsidRPr="009E32FF" w:rsidRDefault="004D6555">
            <w:pPr>
              <w:spacing w:before="40" w:after="40"/>
              <w:rPr>
                <w:sz w:val="20"/>
                <w:szCs w:val="18"/>
              </w:rPr>
            </w:pPr>
            <w:r w:rsidRPr="009E32FF">
              <w:rPr>
                <w:sz w:val="20"/>
                <w:szCs w:val="18"/>
              </w:rPr>
              <w:t>Delivery cancellations (within 24 hours of scheduled delivery)</w:t>
            </w:r>
          </w:p>
        </w:tc>
        <w:tc>
          <w:tcPr>
            <w:tcW w:w="6510" w:type="dxa"/>
            <w:shd w:val="clear" w:color="auto" w:fill="F2F2F2" w:themeFill="background1" w:themeFillShade="F2"/>
          </w:tcPr>
          <w:p w14:paraId="7F239F9B" w14:textId="77777777" w:rsidR="004D6555" w:rsidRPr="009E32FF" w:rsidRDefault="004D6555">
            <w:pPr>
              <w:spacing w:before="40" w:after="120"/>
              <w:ind w:right="106"/>
              <w:jc w:val="both"/>
              <w:rPr>
                <w:sz w:val="20"/>
                <w:szCs w:val="18"/>
              </w:rPr>
            </w:pPr>
            <w:r w:rsidRPr="009E32FF">
              <w:rPr>
                <w:sz w:val="20"/>
                <w:szCs w:val="18"/>
              </w:rPr>
              <w:t>Customers need to order irrigation water in advance: they cannot simply take it when they want it. Some are lodging orders well in advance to ensure they secure their orders. SRW is experiencing an increasing rate of cancelled orders or customers simply not taking the water, despite having ordered it. Customers only pay for the water they take rather than the water they order. As a result, the water can be ‘wasted’, impeding other customers ability to place an order and resulting in lost revenue.</w:t>
            </w:r>
          </w:p>
          <w:p w14:paraId="14AF0A8E" w14:textId="77777777" w:rsidR="004D6555" w:rsidRPr="009E32FF" w:rsidRDefault="004D6555">
            <w:pPr>
              <w:spacing w:before="40" w:after="40"/>
              <w:ind w:right="106"/>
              <w:jc w:val="both"/>
              <w:rPr>
                <w:sz w:val="20"/>
                <w:szCs w:val="18"/>
              </w:rPr>
            </w:pPr>
            <w:r w:rsidRPr="009E32FF">
              <w:rPr>
                <w:sz w:val="20"/>
                <w:szCs w:val="18"/>
              </w:rPr>
              <w:t>We will monitor this over the course of price submission and seek to determine the most appropriate way to manage this, and consider as a part of the Price Submission 2028 the introduction of a late cancellation fee</w:t>
            </w:r>
          </w:p>
        </w:tc>
      </w:tr>
      <w:tr w:rsidR="004D6555" w:rsidRPr="009E32FF" w14:paraId="60F67B15" w14:textId="77777777">
        <w:trPr>
          <w:cnfStyle w:val="000000100000" w:firstRow="0" w:lastRow="0" w:firstColumn="0" w:lastColumn="0" w:oddVBand="0" w:evenVBand="0" w:oddHBand="1" w:evenHBand="0" w:firstRowFirstColumn="0" w:firstRowLastColumn="0" w:lastRowFirstColumn="0" w:lastRowLastColumn="0"/>
        </w:trPr>
        <w:tc>
          <w:tcPr>
            <w:tcW w:w="1560" w:type="dxa"/>
            <w:vMerge w:val="restart"/>
            <w:shd w:val="clear" w:color="auto" w:fill="F2F2F2" w:themeFill="background1" w:themeFillShade="F2"/>
            <w:vAlign w:val="top"/>
          </w:tcPr>
          <w:p w14:paraId="6F6EC100" w14:textId="77777777" w:rsidR="004D6555" w:rsidRPr="009E32FF" w:rsidRDefault="004D6555">
            <w:pPr>
              <w:spacing w:before="40" w:after="40"/>
              <w:rPr>
                <w:sz w:val="20"/>
                <w:szCs w:val="18"/>
              </w:rPr>
            </w:pPr>
            <w:r w:rsidRPr="009E32FF">
              <w:rPr>
                <w:sz w:val="20"/>
                <w:szCs w:val="18"/>
              </w:rPr>
              <w:t>Groundwater and river customers</w:t>
            </w:r>
          </w:p>
        </w:tc>
        <w:tc>
          <w:tcPr>
            <w:tcW w:w="1559" w:type="dxa"/>
            <w:shd w:val="clear" w:color="auto" w:fill="auto"/>
            <w:vAlign w:val="top"/>
          </w:tcPr>
          <w:p w14:paraId="06EF06E1" w14:textId="77777777" w:rsidR="004D6555" w:rsidRPr="009E32FF" w:rsidRDefault="004D6555">
            <w:pPr>
              <w:spacing w:before="40" w:after="40"/>
              <w:rPr>
                <w:sz w:val="20"/>
                <w:szCs w:val="18"/>
              </w:rPr>
            </w:pPr>
            <w:r w:rsidRPr="009E32FF">
              <w:rPr>
                <w:sz w:val="20"/>
                <w:szCs w:val="18"/>
              </w:rPr>
              <w:t>Licence renewal fee</w:t>
            </w:r>
          </w:p>
        </w:tc>
        <w:tc>
          <w:tcPr>
            <w:tcW w:w="6510" w:type="dxa"/>
            <w:shd w:val="clear" w:color="auto" w:fill="auto"/>
            <w:vAlign w:val="top"/>
          </w:tcPr>
          <w:p w14:paraId="1AE78C2E" w14:textId="77777777" w:rsidR="004D6555" w:rsidRPr="009E32FF" w:rsidRDefault="004D6555">
            <w:pPr>
              <w:spacing w:before="40" w:after="120"/>
              <w:ind w:right="106"/>
              <w:jc w:val="both"/>
              <w:rPr>
                <w:sz w:val="20"/>
                <w:szCs w:val="18"/>
              </w:rPr>
            </w:pPr>
            <w:r w:rsidRPr="009E32FF">
              <w:rPr>
                <w:sz w:val="20"/>
                <w:szCs w:val="18"/>
              </w:rPr>
              <w:t xml:space="preserve">In the past, SRW has had a licence renewal fee. This fee was suspended as part of Price Submission 2018 with renewal costs absorbed into the annual licence fee on the basis that licences were automatically renewed on request. With a greater government focus on compliance and the </w:t>
            </w:r>
            <w:r w:rsidRPr="009E32FF">
              <w:rPr>
                <w:i/>
                <w:sz w:val="20"/>
                <w:szCs w:val="18"/>
              </w:rPr>
              <w:t>Water Act 1989</w:t>
            </w:r>
            <w:r w:rsidRPr="009E32FF">
              <w:rPr>
                <w:sz w:val="20"/>
                <w:szCs w:val="18"/>
              </w:rPr>
              <w:t xml:space="preserve"> giving the Minister the power to request additional information/consideration, there is the potential for our renewal costs to increase.</w:t>
            </w:r>
          </w:p>
          <w:p w14:paraId="3FF97B28" w14:textId="77777777" w:rsidR="004D6555" w:rsidRPr="009E32FF" w:rsidRDefault="004D6555">
            <w:pPr>
              <w:spacing w:before="40" w:after="40"/>
              <w:ind w:right="106"/>
              <w:jc w:val="both"/>
              <w:rPr>
                <w:sz w:val="20"/>
                <w:szCs w:val="18"/>
              </w:rPr>
            </w:pPr>
            <w:r w:rsidRPr="009E32FF">
              <w:rPr>
                <w:sz w:val="20"/>
                <w:szCs w:val="18"/>
              </w:rPr>
              <w:t>SRW will monitor this over the course of Price Submission 2023 and reconsider, as part of Price Submission 2028, the introduction of the fee or an increase of annual licensing fees to cover licence renewal costs.</w:t>
            </w:r>
          </w:p>
        </w:tc>
      </w:tr>
      <w:tr w:rsidR="004D6555" w:rsidRPr="009E32FF" w14:paraId="5B569930" w14:textId="77777777">
        <w:tc>
          <w:tcPr>
            <w:tcW w:w="1560" w:type="dxa"/>
            <w:vMerge/>
            <w:shd w:val="clear" w:color="auto" w:fill="F2F2F2" w:themeFill="background1" w:themeFillShade="F2"/>
            <w:vAlign w:val="top"/>
          </w:tcPr>
          <w:p w14:paraId="6ADCAE64" w14:textId="77777777" w:rsidR="004D6555" w:rsidRPr="009E32FF" w:rsidRDefault="004D6555">
            <w:pPr>
              <w:rPr>
                <w:sz w:val="20"/>
                <w:szCs w:val="18"/>
              </w:rPr>
            </w:pPr>
          </w:p>
        </w:tc>
        <w:tc>
          <w:tcPr>
            <w:tcW w:w="1559" w:type="dxa"/>
            <w:shd w:val="clear" w:color="auto" w:fill="F2F2F2" w:themeFill="background1" w:themeFillShade="F2"/>
            <w:vAlign w:val="top"/>
          </w:tcPr>
          <w:p w14:paraId="2F1B2365" w14:textId="77777777" w:rsidR="004D6555" w:rsidRPr="009E32FF" w:rsidRDefault="004D6555">
            <w:pPr>
              <w:rPr>
                <w:sz w:val="20"/>
                <w:szCs w:val="18"/>
              </w:rPr>
            </w:pPr>
            <w:r w:rsidRPr="009E32FF">
              <w:rPr>
                <w:sz w:val="20"/>
                <w:szCs w:val="18"/>
              </w:rPr>
              <w:t>Complex application fee</w:t>
            </w:r>
          </w:p>
        </w:tc>
        <w:tc>
          <w:tcPr>
            <w:tcW w:w="6510" w:type="dxa"/>
            <w:shd w:val="clear" w:color="auto" w:fill="F2F2F2" w:themeFill="background1" w:themeFillShade="F2"/>
            <w:vAlign w:val="top"/>
          </w:tcPr>
          <w:p w14:paraId="3F29B747" w14:textId="77777777" w:rsidR="004D6555" w:rsidRPr="009E32FF" w:rsidRDefault="004D6555">
            <w:pPr>
              <w:spacing w:before="40" w:after="120"/>
              <w:ind w:right="106"/>
              <w:jc w:val="both"/>
              <w:rPr>
                <w:sz w:val="20"/>
                <w:szCs w:val="18"/>
              </w:rPr>
            </w:pPr>
            <w:r w:rsidRPr="009E32FF">
              <w:rPr>
                <w:sz w:val="20"/>
                <w:szCs w:val="18"/>
              </w:rPr>
              <w:t>SRW is receiving an increasing number of more complex applications. Often these involve extensive community engagement and technical review and are the subject to hearings (e.g., VCAT hearings EES panels etc). The costs on considering these applications is significantly greater than the fees we recoup.</w:t>
            </w:r>
          </w:p>
          <w:p w14:paraId="3E68F39D" w14:textId="77777777" w:rsidR="004D6555" w:rsidRPr="009E32FF" w:rsidRDefault="004D6555">
            <w:pPr>
              <w:spacing w:after="40"/>
              <w:ind w:right="106"/>
              <w:jc w:val="both"/>
              <w:rPr>
                <w:sz w:val="20"/>
                <w:szCs w:val="18"/>
              </w:rPr>
            </w:pPr>
            <w:r w:rsidRPr="009E32FF">
              <w:rPr>
                <w:sz w:val="20"/>
                <w:szCs w:val="18"/>
              </w:rPr>
              <w:t>SRW will monitor this over the course of Price Submission 2023 and consider, as part of Price Submission 2028, the introduction of a revise fee structure or hourly charge for more complex applications.</w:t>
            </w:r>
          </w:p>
        </w:tc>
      </w:tr>
    </w:tbl>
    <w:p w14:paraId="3BC01725" w14:textId="1BD2A5B8" w:rsidR="004D6555" w:rsidRDefault="004D6555" w:rsidP="004D6555"/>
    <w:p w14:paraId="7B2C4ED8" w14:textId="77777777" w:rsidR="004D6555" w:rsidRDefault="004D6555">
      <w:r>
        <w:br w:type="page"/>
      </w:r>
    </w:p>
    <w:bookmarkEnd w:id="75"/>
    <w:p w14:paraId="7FB01093" w14:textId="323814E2" w:rsidR="008B14D8" w:rsidRPr="00192F41" w:rsidRDefault="00A556A8" w:rsidP="004D6555">
      <w:pPr>
        <w:pStyle w:val="Heading3"/>
        <w:tabs>
          <w:tab w:val="right" w:pos="9639"/>
        </w:tabs>
        <w:rPr>
          <w:rFonts w:cs="Arial"/>
          <w:b w:val="0"/>
          <w:shd w:val="clear" w:color="auto" w:fill="FAF9F8"/>
        </w:rPr>
      </w:pPr>
      <w:r w:rsidRPr="00852505">
        <w:t>Major tari</w:t>
      </w:r>
      <w:r w:rsidRPr="009615E8">
        <w:rPr>
          <w:rFonts w:cs="Arial"/>
          <w:shd w:val="clear" w:color="auto" w:fill="FAF9F8"/>
        </w:rPr>
        <w:t>ff increases (10%)</w:t>
      </w:r>
    </w:p>
    <w:p w14:paraId="3AEA499C" w14:textId="4FC72904" w:rsidR="003B7114" w:rsidRPr="00852505" w:rsidRDefault="001C4157" w:rsidP="00AE6F14">
      <w:pPr>
        <w:jc w:val="both"/>
      </w:pPr>
      <w:r w:rsidRPr="00852505">
        <w:t>In line with price increases proposed in this submission, SRW</w:t>
      </w:r>
      <w:r w:rsidR="002470BF" w:rsidRPr="00852505">
        <w:t xml:space="preserve"> are not proposing any</w:t>
      </w:r>
      <w:r w:rsidR="00AA0B7C" w:rsidRPr="00852505">
        <w:t xml:space="preserve"> real price changes of more than 10%</w:t>
      </w:r>
      <w:r w:rsidRPr="00852505">
        <w:t xml:space="preserve"> across the regulatory period</w:t>
      </w:r>
      <w:r w:rsidR="00AA0B7C" w:rsidRPr="00852505">
        <w:t>.</w:t>
      </w:r>
    </w:p>
    <w:p w14:paraId="0A6171FB" w14:textId="6ECB7239" w:rsidR="008B14D8" w:rsidRPr="00852505" w:rsidRDefault="004D6332" w:rsidP="00567F9F">
      <w:pPr>
        <w:pStyle w:val="Heading3"/>
        <w:tabs>
          <w:tab w:val="right" w:pos="9639"/>
        </w:tabs>
      </w:pPr>
      <w:r w:rsidRPr="00852505">
        <w:t>M</w:t>
      </w:r>
      <w:r w:rsidR="00795921" w:rsidRPr="00852505">
        <w:t>iscellaneous charges</w:t>
      </w:r>
    </w:p>
    <w:p w14:paraId="4D82EDED" w14:textId="77777777" w:rsidR="004D6332" w:rsidRPr="00852505" w:rsidRDefault="004D6332" w:rsidP="00852505">
      <w:pPr>
        <w:pStyle w:val="Heading4"/>
      </w:pPr>
      <w:r w:rsidRPr="00852505">
        <w:t>Existing charges</w:t>
      </w:r>
    </w:p>
    <w:p w14:paraId="68655209" w14:textId="41B51447" w:rsidR="00F04B9F" w:rsidRPr="00852505" w:rsidRDefault="005329E0" w:rsidP="001268E4">
      <w:r w:rsidRPr="00852505">
        <w:t>SRW is proposing to maintain the following</w:t>
      </w:r>
      <w:r w:rsidR="001F5EC2" w:rsidRPr="00852505">
        <w:t xml:space="preserve"> </w:t>
      </w:r>
      <w:r w:rsidR="00EB73C9" w:rsidRPr="00852505">
        <w:t>miscellaneous</w:t>
      </w:r>
      <w:r w:rsidR="005A0A67" w:rsidRPr="00852505">
        <w:t xml:space="preserve"> </w:t>
      </w:r>
      <w:r w:rsidR="00EB73C9" w:rsidRPr="00852505">
        <w:t>charges:</w:t>
      </w:r>
    </w:p>
    <w:p w14:paraId="0BD39FA7" w14:textId="238BBD1B" w:rsidR="005329E0" w:rsidRPr="00EE65E4" w:rsidRDefault="00EE65E4" w:rsidP="00EE65E4">
      <w:pPr>
        <w:pStyle w:val="Caption"/>
        <w:rPr>
          <w:rStyle w:val="IntenseReference"/>
          <w:b w:val="0"/>
          <w:bCs w:val="0"/>
          <w:i w:val="0"/>
          <w:iCs w:val="0"/>
          <w:color w:val="00B1B0" w:themeColor="accent1"/>
          <w:sz w:val="20"/>
          <w:szCs w:val="20"/>
          <w:u w:val="single"/>
        </w:rPr>
      </w:pPr>
      <w:r w:rsidRPr="00EE65E4">
        <w:rPr>
          <w:b/>
          <w:bCs/>
          <w:i w:val="0"/>
          <w:iCs w:val="0"/>
          <w:color w:val="00B1B0" w:themeColor="accent1"/>
          <w:sz w:val="20"/>
          <w:szCs w:val="20"/>
        </w:rPr>
        <w:t xml:space="preserve">Table </w:t>
      </w:r>
      <w:r w:rsidRPr="00EE65E4">
        <w:rPr>
          <w:b/>
          <w:bCs/>
          <w:i w:val="0"/>
          <w:iCs w:val="0"/>
          <w:color w:val="00B1B0" w:themeColor="accent1"/>
          <w:sz w:val="20"/>
          <w:szCs w:val="20"/>
        </w:rPr>
        <w:fldChar w:fldCharType="begin"/>
      </w:r>
      <w:r w:rsidRPr="00EE65E4">
        <w:rPr>
          <w:b/>
          <w:bCs/>
          <w:i w:val="0"/>
          <w:iCs w:val="0"/>
          <w:color w:val="00B1B0" w:themeColor="accent1"/>
          <w:sz w:val="20"/>
          <w:szCs w:val="20"/>
        </w:rPr>
        <w:instrText xml:space="preserve"> SEQ Table \* ARABIC </w:instrText>
      </w:r>
      <w:r w:rsidRPr="00EE65E4">
        <w:rPr>
          <w:b/>
          <w:bCs/>
          <w:i w:val="0"/>
          <w:iCs w:val="0"/>
          <w:color w:val="00B1B0" w:themeColor="accent1"/>
          <w:sz w:val="20"/>
          <w:szCs w:val="20"/>
        </w:rPr>
        <w:fldChar w:fldCharType="separate"/>
      </w:r>
      <w:r w:rsidR="008126A8">
        <w:rPr>
          <w:b/>
          <w:bCs/>
          <w:i w:val="0"/>
          <w:iCs w:val="0"/>
          <w:noProof/>
          <w:color w:val="00B1B0" w:themeColor="accent1"/>
          <w:sz w:val="20"/>
          <w:szCs w:val="20"/>
        </w:rPr>
        <w:t>32</w:t>
      </w:r>
      <w:r w:rsidRPr="00EE65E4">
        <w:rPr>
          <w:b/>
          <w:bCs/>
          <w:i w:val="0"/>
          <w:iCs w:val="0"/>
          <w:color w:val="00B1B0" w:themeColor="accent1"/>
          <w:sz w:val="20"/>
          <w:szCs w:val="20"/>
        </w:rPr>
        <w:fldChar w:fldCharType="end"/>
      </w:r>
      <w:r w:rsidRPr="00EE65E4">
        <w:rPr>
          <w:b/>
          <w:bCs/>
          <w:i w:val="0"/>
          <w:iCs w:val="0"/>
          <w:color w:val="00B1B0" w:themeColor="accent1"/>
          <w:sz w:val="20"/>
          <w:szCs w:val="20"/>
        </w:rPr>
        <w:t xml:space="preserve"> </w:t>
      </w:r>
      <w:r w:rsidR="00AE6F14">
        <w:rPr>
          <w:b/>
          <w:bCs/>
          <w:i w:val="0"/>
          <w:iCs w:val="0"/>
          <w:color w:val="00B1B0" w:themeColor="accent1"/>
          <w:sz w:val="20"/>
          <w:szCs w:val="20"/>
        </w:rPr>
        <w:t>–</w:t>
      </w:r>
      <w:r w:rsidRPr="00EE65E4">
        <w:rPr>
          <w:b/>
          <w:bCs/>
          <w:i w:val="0"/>
          <w:iCs w:val="0"/>
          <w:color w:val="00B1B0" w:themeColor="accent1"/>
          <w:sz w:val="20"/>
          <w:szCs w:val="20"/>
        </w:rPr>
        <w:t xml:space="preserve"> </w:t>
      </w:r>
      <w:r w:rsidR="001F5EC2" w:rsidRPr="00EE65E4">
        <w:rPr>
          <w:b/>
          <w:bCs/>
          <w:i w:val="0"/>
          <w:iCs w:val="0"/>
          <w:color w:val="00B1B0" w:themeColor="accent1"/>
          <w:sz w:val="20"/>
          <w:szCs w:val="20"/>
        </w:rPr>
        <w:t>Existing miscellaneous charges</w:t>
      </w:r>
    </w:p>
    <w:tbl>
      <w:tblPr>
        <w:tblStyle w:val="Tealheader-Grayrows1"/>
        <w:tblW w:w="9743" w:type="dxa"/>
        <w:tblLook w:val="04A0" w:firstRow="1" w:lastRow="0" w:firstColumn="1" w:lastColumn="0" w:noHBand="0" w:noVBand="1"/>
      </w:tblPr>
      <w:tblGrid>
        <w:gridCol w:w="2834"/>
        <w:gridCol w:w="6909"/>
      </w:tblGrid>
      <w:tr w:rsidR="001F5EC2" w:rsidRPr="009E32FF" w14:paraId="60E2760F" w14:textId="77777777" w:rsidTr="005B1BD3">
        <w:trPr>
          <w:cnfStyle w:val="100000000000" w:firstRow="1" w:lastRow="0" w:firstColumn="0" w:lastColumn="0" w:oddVBand="0" w:evenVBand="0" w:oddHBand="0" w:evenHBand="0" w:firstRowFirstColumn="0" w:firstRowLastColumn="0" w:lastRowFirstColumn="0" w:lastRowLastColumn="0"/>
        </w:trPr>
        <w:tc>
          <w:tcPr>
            <w:tcW w:w="2834" w:type="dxa"/>
          </w:tcPr>
          <w:p w14:paraId="2DC1A372" w14:textId="51742198" w:rsidR="005329E0" w:rsidRPr="009E32FF" w:rsidRDefault="005329E0" w:rsidP="00AE6F14">
            <w:pPr>
              <w:spacing w:before="40" w:after="40"/>
              <w:rPr>
                <w:sz w:val="20"/>
                <w:szCs w:val="20"/>
              </w:rPr>
            </w:pPr>
            <w:r w:rsidRPr="009E32FF">
              <w:rPr>
                <w:sz w:val="20"/>
                <w:szCs w:val="20"/>
              </w:rPr>
              <w:t>Charge</w:t>
            </w:r>
          </w:p>
        </w:tc>
        <w:tc>
          <w:tcPr>
            <w:tcW w:w="6909" w:type="dxa"/>
          </w:tcPr>
          <w:p w14:paraId="78A8055B" w14:textId="52199914" w:rsidR="005329E0" w:rsidRPr="009E32FF" w:rsidRDefault="005329E0" w:rsidP="00AE6F14">
            <w:pPr>
              <w:spacing w:before="40" w:after="40"/>
              <w:rPr>
                <w:sz w:val="20"/>
                <w:szCs w:val="20"/>
              </w:rPr>
            </w:pPr>
            <w:r w:rsidRPr="009E32FF">
              <w:rPr>
                <w:sz w:val="20"/>
                <w:szCs w:val="20"/>
              </w:rPr>
              <w:t>Details</w:t>
            </w:r>
          </w:p>
        </w:tc>
      </w:tr>
      <w:tr w:rsidR="001F5EC2" w:rsidRPr="009E32FF" w14:paraId="5A14C7D0" w14:textId="77777777" w:rsidTr="005B1BD3">
        <w:trPr>
          <w:cnfStyle w:val="000000100000" w:firstRow="0" w:lastRow="0" w:firstColumn="0" w:lastColumn="0" w:oddVBand="0" w:evenVBand="0" w:oddHBand="1" w:evenHBand="0" w:firstRowFirstColumn="0" w:firstRowLastColumn="0" w:lastRowFirstColumn="0" w:lastRowLastColumn="0"/>
        </w:trPr>
        <w:tc>
          <w:tcPr>
            <w:tcW w:w="2834" w:type="dxa"/>
          </w:tcPr>
          <w:p w14:paraId="6AD7FCFB" w14:textId="38FDEC6B" w:rsidR="005329E0" w:rsidRPr="009E32FF" w:rsidRDefault="005329E0" w:rsidP="00AE6F14">
            <w:pPr>
              <w:spacing w:before="40" w:after="40"/>
              <w:rPr>
                <w:sz w:val="20"/>
                <w:szCs w:val="20"/>
              </w:rPr>
            </w:pPr>
            <w:r w:rsidRPr="009E32FF">
              <w:rPr>
                <w:sz w:val="20"/>
                <w:szCs w:val="20"/>
              </w:rPr>
              <w:t>Issue of take and use or underground disposal licence</w:t>
            </w:r>
          </w:p>
        </w:tc>
        <w:tc>
          <w:tcPr>
            <w:tcW w:w="6909" w:type="dxa"/>
          </w:tcPr>
          <w:p w14:paraId="7B1119B9" w14:textId="118F524F" w:rsidR="005329E0" w:rsidRPr="009E32FF" w:rsidRDefault="005329E0" w:rsidP="00AE6F14">
            <w:pPr>
              <w:spacing w:before="40" w:after="40"/>
              <w:ind w:right="78"/>
              <w:jc w:val="both"/>
              <w:rPr>
                <w:sz w:val="20"/>
                <w:szCs w:val="20"/>
              </w:rPr>
            </w:pPr>
            <w:r w:rsidRPr="009E32FF">
              <w:rPr>
                <w:sz w:val="20"/>
                <w:szCs w:val="20"/>
              </w:rPr>
              <w:t xml:space="preserve">An application made in accordance with section 51 or section 76 of the </w:t>
            </w:r>
            <w:r w:rsidRPr="009E32FF">
              <w:rPr>
                <w:i/>
                <w:sz w:val="20"/>
                <w:szCs w:val="20"/>
              </w:rPr>
              <w:t>Water Act</w:t>
            </w:r>
            <w:r w:rsidR="00852505" w:rsidRPr="009E32FF">
              <w:rPr>
                <w:i/>
                <w:iCs/>
                <w:sz w:val="20"/>
                <w:szCs w:val="20"/>
              </w:rPr>
              <w:t xml:space="preserve"> 1989</w:t>
            </w:r>
          </w:p>
        </w:tc>
      </w:tr>
      <w:tr w:rsidR="001F5EC2" w:rsidRPr="009E32FF" w14:paraId="326D23B3" w14:textId="77777777" w:rsidTr="005B1BD3">
        <w:tc>
          <w:tcPr>
            <w:tcW w:w="2834" w:type="dxa"/>
          </w:tcPr>
          <w:p w14:paraId="6A426F45" w14:textId="3BFD59D6" w:rsidR="005329E0" w:rsidRPr="009E32FF" w:rsidRDefault="005329E0" w:rsidP="00AE6F14">
            <w:pPr>
              <w:spacing w:before="40" w:after="40"/>
              <w:rPr>
                <w:sz w:val="20"/>
                <w:szCs w:val="20"/>
              </w:rPr>
            </w:pPr>
            <w:r w:rsidRPr="009E32FF">
              <w:rPr>
                <w:sz w:val="20"/>
                <w:szCs w:val="20"/>
              </w:rPr>
              <w:t>Amendment/amalgamation of licence</w:t>
            </w:r>
          </w:p>
        </w:tc>
        <w:tc>
          <w:tcPr>
            <w:tcW w:w="6909" w:type="dxa"/>
          </w:tcPr>
          <w:p w14:paraId="11B39BD0" w14:textId="19A55E14" w:rsidR="005329E0" w:rsidRPr="009E32FF" w:rsidRDefault="005329E0" w:rsidP="00AE6F14">
            <w:pPr>
              <w:spacing w:before="40" w:after="40"/>
              <w:ind w:right="78"/>
              <w:jc w:val="both"/>
              <w:rPr>
                <w:sz w:val="20"/>
                <w:szCs w:val="20"/>
              </w:rPr>
            </w:pPr>
            <w:r w:rsidRPr="009E32FF">
              <w:rPr>
                <w:sz w:val="20"/>
                <w:szCs w:val="20"/>
              </w:rPr>
              <w:t xml:space="preserve">An application made in accordance with section 59A or section 73A of the </w:t>
            </w:r>
            <w:r w:rsidRPr="009E32FF">
              <w:rPr>
                <w:i/>
                <w:sz w:val="20"/>
                <w:szCs w:val="20"/>
              </w:rPr>
              <w:t>Water Act 1989</w:t>
            </w:r>
          </w:p>
        </w:tc>
      </w:tr>
      <w:tr w:rsidR="001F5EC2" w:rsidRPr="009E32FF" w14:paraId="4161B5D0" w14:textId="77777777" w:rsidTr="005B1BD3">
        <w:trPr>
          <w:cnfStyle w:val="000000100000" w:firstRow="0" w:lastRow="0" w:firstColumn="0" w:lastColumn="0" w:oddVBand="0" w:evenVBand="0" w:oddHBand="1" w:evenHBand="0" w:firstRowFirstColumn="0" w:firstRowLastColumn="0" w:lastRowFirstColumn="0" w:lastRowLastColumn="0"/>
        </w:trPr>
        <w:tc>
          <w:tcPr>
            <w:tcW w:w="2834" w:type="dxa"/>
          </w:tcPr>
          <w:p w14:paraId="1FFF5927" w14:textId="6F27CB4D" w:rsidR="005329E0" w:rsidRPr="009E32FF" w:rsidRDefault="005329E0" w:rsidP="00AE6F14">
            <w:pPr>
              <w:spacing w:before="40" w:after="40"/>
              <w:rPr>
                <w:sz w:val="20"/>
                <w:szCs w:val="20"/>
              </w:rPr>
            </w:pPr>
            <w:r w:rsidRPr="009E32FF">
              <w:rPr>
                <w:sz w:val="20"/>
                <w:szCs w:val="20"/>
              </w:rPr>
              <w:t>Transfer of licence</w:t>
            </w:r>
          </w:p>
        </w:tc>
        <w:tc>
          <w:tcPr>
            <w:tcW w:w="6909" w:type="dxa"/>
          </w:tcPr>
          <w:p w14:paraId="220BFFD1" w14:textId="6C36C23F" w:rsidR="005329E0" w:rsidRPr="009E32FF" w:rsidRDefault="005329E0" w:rsidP="00AE6F14">
            <w:pPr>
              <w:spacing w:before="40" w:after="40"/>
              <w:ind w:right="78"/>
              <w:jc w:val="both"/>
              <w:rPr>
                <w:sz w:val="20"/>
                <w:szCs w:val="20"/>
              </w:rPr>
            </w:pPr>
            <w:r w:rsidRPr="009E32FF">
              <w:rPr>
                <w:sz w:val="20"/>
                <w:szCs w:val="20"/>
              </w:rPr>
              <w:t xml:space="preserve">An application made in accordance with section 62 or section 74 of the </w:t>
            </w:r>
            <w:r w:rsidRPr="009E32FF">
              <w:rPr>
                <w:i/>
                <w:sz w:val="20"/>
                <w:szCs w:val="20"/>
              </w:rPr>
              <w:t>Water Act</w:t>
            </w:r>
            <w:r w:rsidR="00852505" w:rsidRPr="009E32FF">
              <w:rPr>
                <w:i/>
                <w:iCs/>
                <w:sz w:val="20"/>
                <w:szCs w:val="20"/>
              </w:rPr>
              <w:t xml:space="preserve"> 1989</w:t>
            </w:r>
          </w:p>
        </w:tc>
      </w:tr>
      <w:tr w:rsidR="001F5EC2" w:rsidRPr="009E32FF" w14:paraId="57E711E8" w14:textId="77777777" w:rsidTr="005B1BD3">
        <w:tc>
          <w:tcPr>
            <w:tcW w:w="2834" w:type="dxa"/>
          </w:tcPr>
          <w:p w14:paraId="5C88D1F0" w14:textId="6553B881" w:rsidR="005329E0" w:rsidRPr="009E32FF" w:rsidRDefault="005329E0" w:rsidP="00AE6F14">
            <w:pPr>
              <w:spacing w:before="40" w:after="40"/>
              <w:rPr>
                <w:sz w:val="20"/>
                <w:szCs w:val="20"/>
              </w:rPr>
            </w:pPr>
            <w:r w:rsidRPr="009E32FF">
              <w:rPr>
                <w:sz w:val="20"/>
                <w:szCs w:val="20"/>
              </w:rPr>
              <w:t>Construction licence</w:t>
            </w:r>
          </w:p>
        </w:tc>
        <w:tc>
          <w:tcPr>
            <w:tcW w:w="6909" w:type="dxa"/>
          </w:tcPr>
          <w:p w14:paraId="07EADB2D" w14:textId="5EAA6B79" w:rsidR="005329E0" w:rsidRPr="009E32FF" w:rsidRDefault="005329E0" w:rsidP="00AE6F14">
            <w:pPr>
              <w:spacing w:before="40" w:after="40"/>
              <w:ind w:right="78"/>
              <w:jc w:val="both"/>
              <w:rPr>
                <w:sz w:val="20"/>
                <w:szCs w:val="20"/>
              </w:rPr>
            </w:pPr>
            <w:r w:rsidRPr="009E32FF">
              <w:rPr>
                <w:sz w:val="20"/>
                <w:szCs w:val="20"/>
              </w:rPr>
              <w:t xml:space="preserve">An application made in accordance with section 67 of the </w:t>
            </w:r>
            <w:r w:rsidRPr="009E32FF">
              <w:rPr>
                <w:i/>
                <w:sz w:val="20"/>
                <w:szCs w:val="20"/>
              </w:rPr>
              <w:t>Water Act</w:t>
            </w:r>
            <w:r w:rsidR="00852505" w:rsidRPr="009E32FF">
              <w:rPr>
                <w:i/>
                <w:iCs/>
                <w:sz w:val="20"/>
                <w:szCs w:val="20"/>
              </w:rPr>
              <w:t xml:space="preserve"> 1989</w:t>
            </w:r>
          </w:p>
        </w:tc>
      </w:tr>
      <w:tr w:rsidR="001F5EC2" w:rsidRPr="009E32FF" w14:paraId="083585F5" w14:textId="77777777" w:rsidTr="005B1BD3">
        <w:trPr>
          <w:cnfStyle w:val="000000100000" w:firstRow="0" w:lastRow="0" w:firstColumn="0" w:lastColumn="0" w:oddVBand="0" w:evenVBand="0" w:oddHBand="1" w:evenHBand="0" w:firstRowFirstColumn="0" w:firstRowLastColumn="0" w:lastRowFirstColumn="0" w:lastRowLastColumn="0"/>
        </w:trPr>
        <w:tc>
          <w:tcPr>
            <w:tcW w:w="2834" w:type="dxa"/>
            <w:tcBorders>
              <w:bottom w:val="single" w:sz="4" w:space="0" w:color="auto"/>
            </w:tcBorders>
          </w:tcPr>
          <w:p w14:paraId="56A6D2D6" w14:textId="7CB356D7" w:rsidR="005329E0" w:rsidRPr="009E32FF" w:rsidRDefault="005329E0" w:rsidP="00AE6F14">
            <w:pPr>
              <w:spacing w:before="40" w:after="40"/>
              <w:rPr>
                <w:sz w:val="20"/>
                <w:szCs w:val="20"/>
              </w:rPr>
            </w:pPr>
            <w:r w:rsidRPr="009E32FF">
              <w:rPr>
                <w:sz w:val="20"/>
                <w:szCs w:val="20"/>
              </w:rPr>
              <w:t>Information statement</w:t>
            </w:r>
          </w:p>
        </w:tc>
        <w:tc>
          <w:tcPr>
            <w:tcW w:w="6909" w:type="dxa"/>
            <w:tcBorders>
              <w:bottom w:val="single" w:sz="4" w:space="0" w:color="auto"/>
            </w:tcBorders>
          </w:tcPr>
          <w:p w14:paraId="58F3489D" w14:textId="45A5A102" w:rsidR="005329E0" w:rsidRPr="009E32FF" w:rsidRDefault="005329E0" w:rsidP="00AE6F14">
            <w:pPr>
              <w:spacing w:before="40" w:after="40"/>
              <w:ind w:right="78"/>
              <w:jc w:val="both"/>
              <w:rPr>
                <w:sz w:val="20"/>
                <w:szCs w:val="20"/>
              </w:rPr>
            </w:pPr>
            <w:r w:rsidRPr="009E32FF">
              <w:rPr>
                <w:sz w:val="20"/>
                <w:szCs w:val="20"/>
              </w:rPr>
              <w:t xml:space="preserve">An application made in accordance with section 158 of the </w:t>
            </w:r>
            <w:r w:rsidRPr="009E32FF">
              <w:rPr>
                <w:i/>
                <w:sz w:val="20"/>
                <w:szCs w:val="20"/>
              </w:rPr>
              <w:t>Water Act</w:t>
            </w:r>
            <w:r w:rsidR="00852505" w:rsidRPr="009E32FF">
              <w:rPr>
                <w:i/>
                <w:iCs/>
                <w:sz w:val="20"/>
                <w:szCs w:val="20"/>
              </w:rPr>
              <w:t xml:space="preserve"> 1989</w:t>
            </w:r>
          </w:p>
        </w:tc>
      </w:tr>
    </w:tbl>
    <w:p w14:paraId="3991733B" w14:textId="77777777" w:rsidR="005329E0" w:rsidRPr="001F5EC2" w:rsidRDefault="005329E0" w:rsidP="001268E4">
      <w:pPr>
        <w:rPr>
          <w:rFonts w:cs="Arial"/>
          <w:shd w:val="clear" w:color="auto" w:fill="FAF9F8"/>
        </w:rPr>
      </w:pPr>
    </w:p>
    <w:p w14:paraId="7D477823" w14:textId="03548F76" w:rsidR="00F2576D" w:rsidRPr="00852505" w:rsidRDefault="001F5EC2" w:rsidP="00AE6F14">
      <w:pPr>
        <w:jc w:val="both"/>
      </w:pPr>
      <w:r w:rsidRPr="00852505">
        <w:t>These prices will</w:t>
      </w:r>
      <w:r w:rsidR="00F2576D" w:rsidRPr="00852505">
        <w:t xml:space="preserve"> be </w:t>
      </w:r>
      <w:r w:rsidRPr="00852505">
        <w:t>based on</w:t>
      </w:r>
      <w:r w:rsidR="00F2576D" w:rsidRPr="00852505">
        <w:t xml:space="preserve"> actual costs calculated on the basis of the aggregate of:</w:t>
      </w:r>
    </w:p>
    <w:p w14:paraId="7B3F6B69" w14:textId="5C00A129" w:rsidR="00F2576D" w:rsidRPr="00852505" w:rsidRDefault="00F2576D" w:rsidP="00F459A2">
      <w:pPr>
        <w:pStyle w:val="ListParagraph"/>
        <w:numPr>
          <w:ilvl w:val="0"/>
          <w:numId w:val="19"/>
        </w:numPr>
      </w:pPr>
      <w:r w:rsidRPr="00852505">
        <w:t>direct third party or contractor invoice cost</w:t>
      </w:r>
      <w:r w:rsidR="00852505">
        <w:t>;</w:t>
      </w:r>
    </w:p>
    <w:p w14:paraId="48B0035F" w14:textId="2DA26919" w:rsidR="00F2576D" w:rsidRPr="00852505" w:rsidRDefault="00F2576D" w:rsidP="00F459A2">
      <w:pPr>
        <w:pStyle w:val="ListParagraph"/>
        <w:numPr>
          <w:ilvl w:val="0"/>
          <w:numId w:val="19"/>
        </w:numPr>
        <w:jc w:val="both"/>
      </w:pPr>
      <w:r w:rsidRPr="00852505">
        <w:t xml:space="preserve">direct marginal internal costs, including labour, </w:t>
      </w:r>
      <w:r w:rsidR="00FF0FC2" w:rsidRPr="00852505">
        <w:t>materials</w:t>
      </w:r>
      <w:r w:rsidR="00A55F5D" w:rsidRPr="00852505">
        <w:t>,</w:t>
      </w:r>
      <w:r w:rsidR="00FF0FC2" w:rsidRPr="00852505">
        <w:t xml:space="preserve"> and</w:t>
      </w:r>
      <w:r w:rsidRPr="00852505">
        <w:t xml:space="preserve"> transport costs</w:t>
      </w:r>
      <w:r w:rsidR="00852505">
        <w:t>; and</w:t>
      </w:r>
    </w:p>
    <w:p w14:paraId="3C931141" w14:textId="1E5DDE8A" w:rsidR="00F2576D" w:rsidRDefault="00F2576D" w:rsidP="00F459A2">
      <w:pPr>
        <w:pStyle w:val="ListParagraph"/>
        <w:numPr>
          <w:ilvl w:val="0"/>
          <w:numId w:val="19"/>
        </w:numPr>
      </w:pPr>
      <w:r w:rsidRPr="00852505">
        <w:t>a fair contribution to overheads.</w:t>
      </w:r>
    </w:p>
    <w:p w14:paraId="2DADB1C5" w14:textId="4865FD2D" w:rsidR="00D614D8" w:rsidRDefault="00D614D8">
      <w:r>
        <w:br w:type="page"/>
      </w:r>
    </w:p>
    <w:p w14:paraId="5B9FDFF8" w14:textId="7D7435D7" w:rsidR="004D6332" w:rsidRPr="00852505" w:rsidRDefault="004D6332" w:rsidP="00852505">
      <w:pPr>
        <w:pStyle w:val="Heading2"/>
      </w:pPr>
      <w:r w:rsidRPr="00852505">
        <w:t>Modified charges</w:t>
      </w:r>
      <w:r w:rsidR="00BF35F4" w:rsidRPr="00852505">
        <w:t xml:space="preserve"> </w:t>
      </w:r>
    </w:p>
    <w:p w14:paraId="5F3ED3A1" w14:textId="1A09BA2B" w:rsidR="00EC4546" w:rsidRPr="00852505" w:rsidRDefault="001F5EC2" w:rsidP="001268E4">
      <w:r w:rsidRPr="00852505">
        <w:t xml:space="preserve">SRW is proposing to modify the </w:t>
      </w:r>
      <w:r w:rsidR="00414AC8" w:rsidRPr="00852505">
        <w:t xml:space="preserve">following </w:t>
      </w:r>
      <w:r w:rsidRPr="00852505">
        <w:t>charges</w:t>
      </w:r>
      <w:r w:rsidR="00EC4546" w:rsidRPr="00852505">
        <w:t>.</w:t>
      </w:r>
    </w:p>
    <w:p w14:paraId="101A3303" w14:textId="4F126D46" w:rsidR="00EC4546" w:rsidRPr="00852505" w:rsidRDefault="00EC4546" w:rsidP="00852505">
      <w:pPr>
        <w:pStyle w:val="Heading3"/>
      </w:pPr>
      <w:r>
        <w:t>B</w:t>
      </w:r>
      <w:r w:rsidR="009F68EE">
        <w:t xml:space="preserve">ulk </w:t>
      </w:r>
      <w:r w:rsidR="00852505">
        <w:t>e</w:t>
      </w:r>
      <w:r w:rsidR="009F68EE" w:rsidRPr="00852505">
        <w:t>ntitlement</w:t>
      </w:r>
      <w:r w:rsidRPr="00192F41">
        <w:t xml:space="preserve"> charges</w:t>
      </w:r>
    </w:p>
    <w:p w14:paraId="1E952C72" w14:textId="50EE3F6D" w:rsidR="00EC4546" w:rsidRPr="00852505" w:rsidRDefault="00EC4546" w:rsidP="00AE6F14">
      <w:pPr>
        <w:jc w:val="both"/>
      </w:pPr>
      <w:r w:rsidRPr="00852505">
        <w:t xml:space="preserve">The </w:t>
      </w:r>
      <w:r w:rsidR="00852505">
        <w:t>bulk entitlement</w:t>
      </w:r>
      <w:r w:rsidRPr="00852505">
        <w:t xml:space="preserve"> orders require entitlement holders to pay an annual storage management charge based on formulas set out in the individual orders. </w:t>
      </w:r>
      <w:r w:rsidR="0009240E" w:rsidRPr="00852505">
        <w:t xml:space="preserve">The costs are based on pricing principles. </w:t>
      </w:r>
      <w:r w:rsidRPr="00852505">
        <w:t xml:space="preserve">SRW is </w:t>
      </w:r>
      <w:r w:rsidR="0009240E" w:rsidRPr="00852505">
        <w:t>r</w:t>
      </w:r>
      <w:r w:rsidRPr="00852505">
        <w:t>equired to provide an annual estimate of costs. The entitlement holder may refer any such costs to the ESC.</w:t>
      </w:r>
    </w:p>
    <w:p w14:paraId="5EEC5C9D" w14:textId="1D6EA5E1" w:rsidR="00EC4546" w:rsidRPr="00852505" w:rsidRDefault="00EC4546" w:rsidP="00AE6F14">
      <w:pPr>
        <w:jc w:val="both"/>
      </w:pPr>
      <w:r w:rsidRPr="00852505">
        <w:t>The current arrangements work well but the 5% price cap creates difficulties with fluctuations in CAPEX spending.</w:t>
      </w:r>
      <w:r w:rsidR="0055566D" w:rsidRPr="00852505">
        <w:t xml:space="preserve"> For instance</w:t>
      </w:r>
      <w:r w:rsidR="00AD6C1F" w:rsidRPr="00852505">
        <w:t xml:space="preserve">, we are unable to recoup the costs or must seek separate ESC approval for major capital projects even when the </w:t>
      </w:r>
      <w:r w:rsidR="00852505">
        <w:t>bulk entitlement</w:t>
      </w:r>
      <w:r w:rsidR="00AD6C1F" w:rsidRPr="00852505">
        <w:t xml:space="preserve"> holders agree to the need for the works.</w:t>
      </w:r>
      <w:r w:rsidR="000463BF" w:rsidRPr="00852505">
        <w:t xml:space="preserve"> During our engagement the </w:t>
      </w:r>
      <w:r w:rsidR="00852505">
        <w:t>bulk entitlement</w:t>
      </w:r>
      <w:r w:rsidR="000463BF" w:rsidRPr="00852505">
        <w:t xml:space="preserve"> holders agreed to the removal of the cap provided SRW</w:t>
      </w:r>
      <w:r w:rsidR="00487E42" w:rsidRPr="00852505">
        <w:t xml:space="preserve"> advises them of intended works in accordance with the notification requirements in the </w:t>
      </w:r>
      <w:r w:rsidR="00852505">
        <w:t>bulk entitlement</w:t>
      </w:r>
      <w:r w:rsidR="00487E42" w:rsidRPr="00852505">
        <w:t xml:space="preserve"> orders.</w:t>
      </w:r>
    </w:p>
    <w:p w14:paraId="0AD4ABA7" w14:textId="77777777" w:rsidR="00EC4546" w:rsidRPr="00852505" w:rsidRDefault="00EC4546" w:rsidP="008D3D13">
      <w:r w:rsidRPr="00852505">
        <w:t>The intention is to:</w:t>
      </w:r>
    </w:p>
    <w:p w14:paraId="1BC9D45A" w14:textId="2CD38D51" w:rsidR="00EC4546" w:rsidRPr="008D3D13" w:rsidRDefault="00EC4546" w:rsidP="00F459A2">
      <w:pPr>
        <w:pStyle w:val="ListParagraph"/>
        <w:numPr>
          <w:ilvl w:val="0"/>
          <w:numId w:val="20"/>
        </w:numPr>
        <w:jc w:val="both"/>
      </w:pPr>
      <w:r w:rsidRPr="008D3D13">
        <w:t xml:space="preserve">delete the cap and apply the charges in accordance with the various </w:t>
      </w:r>
      <w:r w:rsidR="00852505">
        <w:t>bulk entitlement</w:t>
      </w:r>
      <w:r w:rsidRPr="00852505">
        <w:t xml:space="preserve"> </w:t>
      </w:r>
      <w:r w:rsidR="00852505">
        <w:t>o</w:t>
      </w:r>
      <w:r w:rsidRPr="00852505">
        <w:t>rders</w:t>
      </w:r>
      <w:r w:rsidR="00852505">
        <w:t>;</w:t>
      </w:r>
    </w:p>
    <w:p w14:paraId="28E43A64" w14:textId="56F4B893" w:rsidR="00EC4546" w:rsidRPr="008D3D13" w:rsidRDefault="00EC4546" w:rsidP="00F459A2">
      <w:pPr>
        <w:pStyle w:val="ListParagraph"/>
        <w:numPr>
          <w:ilvl w:val="0"/>
          <w:numId w:val="20"/>
        </w:numPr>
      </w:pPr>
      <w:r w:rsidRPr="008D3D13">
        <w:t xml:space="preserve">base the charges on </w:t>
      </w:r>
      <w:r w:rsidR="004377C5">
        <w:t>cost reimbursement model</w:t>
      </w:r>
      <w:r w:rsidRPr="008D3D13">
        <w:t>; and</w:t>
      </w:r>
    </w:p>
    <w:p w14:paraId="56A0E2EC" w14:textId="77777777" w:rsidR="00EC4546" w:rsidRPr="008D3D13" w:rsidRDefault="00EC4546" w:rsidP="00F459A2">
      <w:pPr>
        <w:pStyle w:val="ListParagraph"/>
        <w:numPr>
          <w:ilvl w:val="0"/>
          <w:numId w:val="20"/>
        </w:numPr>
        <w:jc w:val="both"/>
      </w:pPr>
      <w:r w:rsidRPr="008D3D13">
        <w:t>move these charges from the schedule of rural prices to the list of miscellaneous charges to reflect they are based on pricing principles.</w:t>
      </w:r>
    </w:p>
    <w:p w14:paraId="30339D57" w14:textId="3DF7B4D1" w:rsidR="0009240E" w:rsidRPr="00852505" w:rsidRDefault="0009240E" w:rsidP="00852505">
      <w:pPr>
        <w:pStyle w:val="Heading3"/>
      </w:pPr>
      <w:r w:rsidRPr="00192F41">
        <w:t>Latrobe Resource Management Fee</w:t>
      </w:r>
    </w:p>
    <w:p w14:paraId="5C9757E5" w14:textId="1E149703" w:rsidR="0009240E" w:rsidRPr="00852505" w:rsidRDefault="0009240E" w:rsidP="0009240E">
      <w:r w:rsidRPr="00852505">
        <w:t xml:space="preserve">The </w:t>
      </w:r>
      <w:r w:rsidR="00852505">
        <w:t>bulk entitlement</w:t>
      </w:r>
      <w:r w:rsidRPr="00852505">
        <w:t xml:space="preserve"> orders provide for the taking of a resource management fee.  </w:t>
      </w:r>
    </w:p>
    <w:p w14:paraId="555E5306" w14:textId="77777777" w:rsidR="0009240E" w:rsidRPr="00852505" w:rsidRDefault="0009240E" w:rsidP="0009240E">
      <w:r w:rsidRPr="00852505">
        <w:t>Consistent with the BE arrangements, the intention is to:</w:t>
      </w:r>
    </w:p>
    <w:p w14:paraId="1EA3DE7B" w14:textId="6A42ACD8" w:rsidR="0009240E" w:rsidRPr="00852505" w:rsidRDefault="0009240E" w:rsidP="00F459A2">
      <w:pPr>
        <w:pStyle w:val="ListParagraph"/>
        <w:numPr>
          <w:ilvl w:val="0"/>
          <w:numId w:val="21"/>
        </w:numPr>
      </w:pPr>
      <w:r w:rsidRPr="00852505">
        <w:t xml:space="preserve">retain this charge in accordance with </w:t>
      </w:r>
      <w:r w:rsidR="00852505">
        <w:t>bulk entitlement</w:t>
      </w:r>
      <w:r w:rsidR="00852505" w:rsidRPr="00852505">
        <w:t xml:space="preserve"> </w:t>
      </w:r>
      <w:r w:rsidR="00852505">
        <w:t>o</w:t>
      </w:r>
      <w:r w:rsidRPr="00852505">
        <w:t>rders</w:t>
      </w:r>
      <w:r w:rsidR="00852505">
        <w:t>;</w:t>
      </w:r>
    </w:p>
    <w:p w14:paraId="0F9ACB3C" w14:textId="7E18F940" w:rsidR="0009240E" w:rsidRPr="00852505" w:rsidRDefault="0009240E" w:rsidP="00F459A2">
      <w:pPr>
        <w:pStyle w:val="ListParagraph"/>
        <w:numPr>
          <w:ilvl w:val="0"/>
          <w:numId w:val="21"/>
        </w:numPr>
      </w:pPr>
      <w:r w:rsidRPr="00852505">
        <w:t xml:space="preserve">base the charges on </w:t>
      </w:r>
      <w:r w:rsidR="002E2460" w:rsidRPr="00852505">
        <w:t>cost recovery</w:t>
      </w:r>
      <w:r w:rsidRPr="00852505">
        <w:t>;</w:t>
      </w:r>
      <w:r w:rsidR="00852505">
        <w:t xml:space="preserve"> and</w:t>
      </w:r>
    </w:p>
    <w:p w14:paraId="40737944" w14:textId="67F0CB18" w:rsidR="0009240E" w:rsidRPr="00852505" w:rsidRDefault="0009240E" w:rsidP="00F459A2">
      <w:pPr>
        <w:pStyle w:val="ListParagraph"/>
        <w:numPr>
          <w:ilvl w:val="0"/>
          <w:numId w:val="21"/>
        </w:numPr>
        <w:jc w:val="both"/>
      </w:pPr>
      <w:r w:rsidRPr="00852505">
        <w:t>move these charges from the schedule of rural prices to the list of miscellaneous charges to reflect they are based on pricing principles.</w:t>
      </w:r>
    </w:p>
    <w:p w14:paraId="5F95BAE1" w14:textId="738FF5AF" w:rsidR="0009240E" w:rsidRPr="00852505" w:rsidRDefault="00FC34EC" w:rsidP="00852505">
      <w:pPr>
        <w:pStyle w:val="Heading3"/>
      </w:pPr>
      <w:r w:rsidRPr="00852505">
        <w:t xml:space="preserve">Recreation </w:t>
      </w:r>
      <w:r w:rsidR="00852505">
        <w:t>f</w:t>
      </w:r>
      <w:r w:rsidRPr="00852505">
        <w:t xml:space="preserve">acilities </w:t>
      </w:r>
    </w:p>
    <w:p w14:paraId="02DE728F" w14:textId="3E0997A9" w:rsidR="00FC34EC" w:rsidRPr="00852505" w:rsidRDefault="00FC34EC" w:rsidP="00AE6F14">
      <w:pPr>
        <w:jc w:val="both"/>
      </w:pPr>
      <w:r w:rsidRPr="00852505">
        <w:t>SRW operates a number of recreational facilities</w:t>
      </w:r>
      <w:r w:rsidR="006579A2">
        <w:t xml:space="preserve"> across our service area that provide great value to the communities that we </w:t>
      </w:r>
      <w:r w:rsidR="00C12229">
        <w:t>serve. We</w:t>
      </w:r>
      <w:r w:rsidRPr="00852505">
        <w:t xml:space="preserve"> do not charge a usage or access fee but rather levy a charge on our urban water customers and to a lesser extent </w:t>
      </w:r>
      <w:r w:rsidR="00852505">
        <w:t>Macalister Irrigation District</w:t>
      </w:r>
      <w:r w:rsidRPr="00852505">
        <w:t xml:space="preserve"> irrigators to maintain these facilities. This approach is consistent with </w:t>
      </w:r>
      <w:r w:rsidR="00F52C41">
        <w:t xml:space="preserve">state-wide practice and </w:t>
      </w:r>
      <w:r w:rsidRPr="00852505">
        <w:t>the model used by Goulburn Murray Water to provide facilities at Lake Eildon and other storages. It has been in place over successive water plans and price submissions</w:t>
      </w:r>
      <w:r w:rsidR="00CE7D38" w:rsidRPr="00852505">
        <w:t xml:space="preserve"> and is intended to </w:t>
      </w:r>
      <w:r w:rsidR="0032082D" w:rsidRPr="00852505">
        <w:t xml:space="preserve">provide a proxy for the beneficiary pays </w:t>
      </w:r>
      <w:r w:rsidR="00202B94" w:rsidRPr="00852505">
        <w:t>model</w:t>
      </w:r>
      <w:r w:rsidRPr="00852505">
        <w:t>.</w:t>
      </w:r>
    </w:p>
    <w:p w14:paraId="12B029F4" w14:textId="703BD298" w:rsidR="00FC34EC" w:rsidRPr="00852505" w:rsidRDefault="00FC34EC" w:rsidP="00AE6F14">
      <w:pPr>
        <w:jc w:val="both"/>
      </w:pPr>
      <w:r w:rsidRPr="00852505">
        <w:t>Greater Western Water is charged the full cost of providing facilities at Merrimu Reservoir, Pykes Creek and Melton Reservoir. Gippsland Water is charged 96% of the costs of providing facilities at Lake Glenmaggie, Cowwarr Weir</w:t>
      </w:r>
      <w:r w:rsidR="00A55F5D" w:rsidRPr="00852505">
        <w:t>,</w:t>
      </w:r>
      <w:r w:rsidRPr="00852505">
        <w:t xml:space="preserve"> and Blue Rock Lake, with </w:t>
      </w:r>
      <w:r w:rsidR="00852505">
        <w:t>Macalister Irrigation District</w:t>
      </w:r>
      <w:r w:rsidRPr="00852505">
        <w:t xml:space="preserve"> irrigators funding the remaining 4%.</w:t>
      </w:r>
    </w:p>
    <w:p w14:paraId="1E00316F" w14:textId="6F148DE5" w:rsidR="00FC34EC" w:rsidRPr="00852505" w:rsidRDefault="00FC34EC" w:rsidP="00AE6F14">
      <w:pPr>
        <w:jc w:val="both"/>
      </w:pPr>
      <w:r w:rsidRPr="00852505">
        <w:t xml:space="preserve">The arrangements in the east are based on previous work where it was estimate that </w:t>
      </w:r>
      <w:r w:rsidR="00852505">
        <w:t>Macalister Irrigation District</w:t>
      </w:r>
      <w:r w:rsidRPr="00852505">
        <w:t xml:space="preserve"> residents make up approximately 4% of the regional population and SRW is able to charge them directly to maintain the facilities. The remaining population are principally Gippsland Water customers, rather than SRW customers, hence the costs are passed</w:t>
      </w:r>
      <w:r w:rsidR="0032082D" w:rsidRPr="00852505">
        <w:t xml:space="preserve"> </w:t>
      </w:r>
      <w:r w:rsidRPr="00852505">
        <w:t xml:space="preserve">on to Gippsland Water. </w:t>
      </w:r>
    </w:p>
    <w:p w14:paraId="13EF7FAD" w14:textId="0F431F58" w:rsidR="00FC34EC" w:rsidRPr="00852505" w:rsidRDefault="0032082D" w:rsidP="00AE6F14">
      <w:pPr>
        <w:jc w:val="both"/>
      </w:pPr>
      <w:r w:rsidRPr="00852505">
        <w:t xml:space="preserve">Through our engagement, </w:t>
      </w:r>
      <w:r w:rsidR="00FC34EC" w:rsidRPr="00852505">
        <w:t>Gippsland Water has sought a review of the arrangements,</w:t>
      </w:r>
      <w:r w:rsidRPr="00852505">
        <w:t xml:space="preserve"> based on feedback from their customers,</w:t>
      </w:r>
      <w:r w:rsidR="00FC34EC" w:rsidRPr="00852505">
        <w:t xml:space="preserve"> suggesting that the costs should be levied on other </w:t>
      </w:r>
      <w:r w:rsidR="00852505">
        <w:t>bulk entitlement</w:t>
      </w:r>
      <w:r w:rsidR="00FC34EC" w:rsidRPr="00852505">
        <w:t xml:space="preserve"> holders, principally the power companies. There are no provisions in the </w:t>
      </w:r>
      <w:r w:rsidR="00852505">
        <w:t>bulk entitlement</w:t>
      </w:r>
      <w:r w:rsidR="00FC34EC" w:rsidRPr="00852505">
        <w:t xml:space="preserve"> orders to impose such a fee on the </w:t>
      </w:r>
      <w:r w:rsidR="00852505">
        <w:t>bulk entitlement</w:t>
      </w:r>
      <w:r w:rsidR="00FC34EC" w:rsidRPr="00852505">
        <w:t xml:space="preserve"> holders. Nonetheless, SRW has instigated discussions with the </w:t>
      </w:r>
      <w:r w:rsidR="00852505">
        <w:t>bulk entitlement</w:t>
      </w:r>
      <w:r w:rsidR="00FC34EC" w:rsidRPr="00852505">
        <w:t xml:space="preserve"> holders to confirm whether they would be prepared to share some of these costs.</w:t>
      </w:r>
    </w:p>
    <w:p w14:paraId="70AE6AC8" w14:textId="77777777" w:rsidR="00FC34EC" w:rsidRPr="00852505" w:rsidRDefault="00FC34EC" w:rsidP="00FC34EC">
      <w:r w:rsidRPr="00852505">
        <w:t>In the interim, SRW is proposing to maintain the existing arrangements but has agree to:</w:t>
      </w:r>
    </w:p>
    <w:p w14:paraId="6E43711E" w14:textId="619F43B7" w:rsidR="00FC34EC" w:rsidRPr="00852505" w:rsidRDefault="0000318B" w:rsidP="00F459A2">
      <w:pPr>
        <w:pStyle w:val="ListParagraph"/>
        <w:numPr>
          <w:ilvl w:val="0"/>
          <w:numId w:val="22"/>
        </w:numPr>
      </w:pPr>
      <w:r w:rsidRPr="00852505">
        <w:t>r</w:t>
      </w:r>
      <w:r w:rsidR="00FC34EC" w:rsidRPr="00852505">
        <w:t>eview the application of shared services and corporate overheads on recreation facilities;</w:t>
      </w:r>
    </w:p>
    <w:p w14:paraId="1A106FD9" w14:textId="74A6F0F5" w:rsidR="00990F48" w:rsidRPr="00852505" w:rsidRDefault="00EB7AD8" w:rsidP="00F459A2">
      <w:pPr>
        <w:pStyle w:val="ListParagraph"/>
        <w:numPr>
          <w:ilvl w:val="0"/>
          <w:numId w:val="22"/>
        </w:numPr>
      </w:pPr>
      <w:r w:rsidRPr="00852505">
        <w:t xml:space="preserve">review the </w:t>
      </w:r>
      <w:r w:rsidR="00990F48" w:rsidRPr="00852505">
        <w:t>OPEX costs of maint</w:t>
      </w:r>
      <w:r w:rsidR="006C2877" w:rsidRPr="00852505">
        <w:t>ain</w:t>
      </w:r>
      <w:r w:rsidR="00E501EC" w:rsidRPr="00852505">
        <w:t>ing</w:t>
      </w:r>
      <w:r w:rsidR="00990F48" w:rsidRPr="00852505">
        <w:t xml:space="preserve"> recreation facilities</w:t>
      </w:r>
      <w:r w:rsidR="00852505">
        <w:t>;</w:t>
      </w:r>
    </w:p>
    <w:p w14:paraId="2C576C7C" w14:textId="110C07B6" w:rsidR="00FC34EC" w:rsidRPr="00852505" w:rsidRDefault="0000318B" w:rsidP="00F459A2">
      <w:pPr>
        <w:pStyle w:val="ListParagraph"/>
        <w:numPr>
          <w:ilvl w:val="0"/>
          <w:numId w:val="22"/>
        </w:numPr>
        <w:jc w:val="both"/>
      </w:pPr>
      <w:r w:rsidRPr="00852505">
        <w:t>c</w:t>
      </w:r>
      <w:r w:rsidR="00FC34EC" w:rsidRPr="00852505">
        <w:t xml:space="preserve">ap the </w:t>
      </w:r>
      <w:r w:rsidR="008264BE" w:rsidRPr="00852505">
        <w:t>Rec</w:t>
      </w:r>
      <w:r w:rsidR="008264BE">
        <w:t>reational facilities</w:t>
      </w:r>
      <w:r w:rsidR="008264BE" w:rsidRPr="00852505">
        <w:t xml:space="preserve"> </w:t>
      </w:r>
      <w:r w:rsidR="00FC34EC" w:rsidRPr="00852505">
        <w:t xml:space="preserve">charge on Gippsland Water at </w:t>
      </w:r>
      <w:r w:rsidR="00E501EC" w:rsidRPr="00852505">
        <w:t>$</w:t>
      </w:r>
      <w:r w:rsidR="002E6BB3">
        <w:t>44</w:t>
      </w:r>
      <w:r w:rsidR="00925372">
        <w:t>6</w:t>
      </w:r>
      <w:r w:rsidR="002E6BB3">
        <w:t>,000</w:t>
      </w:r>
      <w:r w:rsidR="00E501EC" w:rsidRPr="00852505">
        <w:t xml:space="preserve"> </w:t>
      </w:r>
      <w:r w:rsidR="00E22004">
        <w:t>($real 2022-23) + CPI</w:t>
      </w:r>
      <w:r w:rsidR="00E22004" w:rsidRPr="00E22004">
        <w:t xml:space="preserve"> </w:t>
      </w:r>
      <w:r w:rsidR="00E22004" w:rsidRPr="00852505">
        <w:t>per annum</w:t>
      </w:r>
      <w:r w:rsidR="00852505">
        <w:t>;</w:t>
      </w:r>
      <w:r w:rsidR="00685FC8" w:rsidRPr="00852505">
        <w:t xml:space="preserve"> </w:t>
      </w:r>
      <w:r w:rsidR="00FC34EC" w:rsidRPr="00852505">
        <w:t>and</w:t>
      </w:r>
    </w:p>
    <w:p w14:paraId="30E989C5" w14:textId="15909860" w:rsidR="00FC34EC" w:rsidRPr="00852505" w:rsidRDefault="0000318B" w:rsidP="00F459A2">
      <w:pPr>
        <w:pStyle w:val="ListParagraph"/>
        <w:numPr>
          <w:ilvl w:val="0"/>
          <w:numId w:val="22"/>
        </w:numPr>
        <w:jc w:val="both"/>
      </w:pPr>
      <w:r w:rsidRPr="00852505">
        <w:t>u</w:t>
      </w:r>
      <w:r w:rsidR="00FC34EC" w:rsidRPr="00852505">
        <w:t xml:space="preserve">nless otherwise agreed limit the annual increase in </w:t>
      </w:r>
      <w:r w:rsidR="00590A52">
        <w:t xml:space="preserve">recreational facility </w:t>
      </w:r>
      <w:r w:rsidR="00FC34EC" w:rsidRPr="00852505">
        <w:t>charges to CPI.</w:t>
      </w:r>
    </w:p>
    <w:p w14:paraId="493F7C6E" w14:textId="67326ABF" w:rsidR="00FC34EC" w:rsidRPr="00852505" w:rsidRDefault="00FC34EC" w:rsidP="00FC34EC">
      <w:r w:rsidRPr="00852505">
        <w:t xml:space="preserve">The </w:t>
      </w:r>
      <w:r w:rsidR="004852AF">
        <w:t xml:space="preserve">proposal for </w:t>
      </w:r>
      <w:r w:rsidR="00371BF5">
        <w:t xml:space="preserve">this price period </w:t>
      </w:r>
      <w:r w:rsidRPr="00852505">
        <w:t>is to:</w:t>
      </w:r>
    </w:p>
    <w:p w14:paraId="2395706A" w14:textId="43511756" w:rsidR="00FC34EC" w:rsidRPr="00852505" w:rsidRDefault="00FC34EC" w:rsidP="00F459A2">
      <w:pPr>
        <w:pStyle w:val="ListParagraph"/>
        <w:numPr>
          <w:ilvl w:val="0"/>
          <w:numId w:val="23"/>
        </w:numPr>
      </w:pPr>
      <w:r w:rsidRPr="00852505">
        <w:t>retain this charge;</w:t>
      </w:r>
    </w:p>
    <w:p w14:paraId="37064DED" w14:textId="31D1608B" w:rsidR="00FC34EC" w:rsidRPr="00852505" w:rsidRDefault="00FC34EC" w:rsidP="00F459A2">
      <w:pPr>
        <w:pStyle w:val="ListParagraph"/>
        <w:numPr>
          <w:ilvl w:val="0"/>
          <w:numId w:val="23"/>
        </w:numPr>
        <w:jc w:val="both"/>
      </w:pPr>
      <w:r w:rsidRPr="00852505">
        <w:t>base the charges on pricing principles</w:t>
      </w:r>
      <w:r w:rsidR="00371BF5">
        <w:t xml:space="preserve"> of cost reimbursement</w:t>
      </w:r>
      <w:r w:rsidRPr="00852505">
        <w:t>; and</w:t>
      </w:r>
    </w:p>
    <w:p w14:paraId="07E85884" w14:textId="173726C4" w:rsidR="00FC34EC" w:rsidRPr="00852505" w:rsidRDefault="00FC34EC" w:rsidP="00F459A2">
      <w:pPr>
        <w:pStyle w:val="ListParagraph"/>
        <w:numPr>
          <w:ilvl w:val="0"/>
          <w:numId w:val="23"/>
        </w:numPr>
        <w:jc w:val="both"/>
      </w:pPr>
      <w:r w:rsidRPr="00852505">
        <w:t>move these charges from the schedule of rural prices to the list of miscellaneous charges to reflect they are based on pricing principles.</w:t>
      </w:r>
    </w:p>
    <w:p w14:paraId="2CF17BC3" w14:textId="770EEC13" w:rsidR="0009240E" w:rsidRPr="00852505" w:rsidRDefault="00F32C4C" w:rsidP="00852505">
      <w:pPr>
        <w:pStyle w:val="Heading3"/>
      </w:pPr>
      <w:r w:rsidRPr="00852505">
        <w:t>Recycled water scheme</w:t>
      </w:r>
    </w:p>
    <w:p w14:paraId="17ACEE6F" w14:textId="0ABD4FD0" w:rsidR="00F32C4C" w:rsidRPr="00852505" w:rsidRDefault="00F32C4C" w:rsidP="008E0AED">
      <w:pPr>
        <w:jc w:val="both"/>
      </w:pPr>
      <w:r w:rsidRPr="00852505">
        <w:t>SRW operates a recycle water scheme, providing water from Melbourne Water</w:t>
      </w:r>
      <w:r w:rsidR="00EA7E59" w:rsidRPr="00852505">
        <w:t>’</w:t>
      </w:r>
      <w:r w:rsidRPr="00852505">
        <w:t xml:space="preserve">s </w:t>
      </w:r>
      <w:r w:rsidR="00EA7E59" w:rsidRPr="00852505">
        <w:t>W</w:t>
      </w:r>
      <w:r w:rsidRPr="00852505">
        <w:t xml:space="preserve">estern </w:t>
      </w:r>
      <w:r w:rsidR="00EA7E59" w:rsidRPr="00852505">
        <w:t>T</w:t>
      </w:r>
      <w:r w:rsidRPr="00852505">
        <w:t xml:space="preserve">reatment </w:t>
      </w:r>
      <w:r w:rsidR="00EA7E59" w:rsidRPr="00852505">
        <w:t>P</w:t>
      </w:r>
      <w:r w:rsidRPr="00852505">
        <w:t xml:space="preserve">lant </w:t>
      </w:r>
      <w:r w:rsidR="00EA7E59" w:rsidRPr="00852505">
        <w:t xml:space="preserve">(WTP) </w:t>
      </w:r>
      <w:r w:rsidRPr="00852505">
        <w:t>to customers in Werribee South.</w:t>
      </w:r>
    </w:p>
    <w:p w14:paraId="6043E918" w14:textId="4125F626" w:rsidR="00F32C4C" w:rsidRPr="00852505" w:rsidRDefault="00F32C4C" w:rsidP="00F32C4C">
      <w:r w:rsidRPr="00852505">
        <w:t>This water is provided at cost in accordance with contracts with Melbourne Water.</w:t>
      </w:r>
    </w:p>
    <w:p w14:paraId="7504A514" w14:textId="77777777" w:rsidR="00F32C4C" w:rsidRPr="00852505" w:rsidRDefault="00F32C4C" w:rsidP="00F32C4C">
      <w:r w:rsidRPr="00852505">
        <w:t>The intention is to:</w:t>
      </w:r>
    </w:p>
    <w:p w14:paraId="4E3DDDE3" w14:textId="77777777" w:rsidR="00F32C4C" w:rsidRPr="00852505" w:rsidRDefault="00F32C4C" w:rsidP="00F459A2">
      <w:pPr>
        <w:pStyle w:val="ListParagraph"/>
        <w:numPr>
          <w:ilvl w:val="0"/>
          <w:numId w:val="24"/>
        </w:numPr>
      </w:pPr>
      <w:r w:rsidRPr="00852505">
        <w:t>retain this charge;</w:t>
      </w:r>
    </w:p>
    <w:p w14:paraId="36761D6A" w14:textId="376E1D52" w:rsidR="00F32C4C" w:rsidRPr="00852505" w:rsidRDefault="00F32C4C" w:rsidP="00F459A2">
      <w:pPr>
        <w:pStyle w:val="ListParagraph"/>
        <w:numPr>
          <w:ilvl w:val="0"/>
          <w:numId w:val="24"/>
        </w:numPr>
      </w:pPr>
      <w:r w:rsidRPr="00852505">
        <w:t>base the charges on</w:t>
      </w:r>
      <w:r w:rsidR="000624CE" w:rsidRPr="00852505">
        <w:t xml:space="preserve"> our agreed sustainable</w:t>
      </w:r>
      <w:r w:rsidRPr="00852505">
        <w:t xml:space="preserve"> pricing </w:t>
      </w:r>
      <w:r w:rsidR="000624CE" w:rsidRPr="00852505">
        <w:t xml:space="preserve">foundations (see Section </w:t>
      </w:r>
      <w:r w:rsidR="001567C6" w:rsidRPr="00852505">
        <w:t>2</w:t>
      </w:r>
      <w:r w:rsidR="000624CE" w:rsidRPr="00852505">
        <w:t>)</w:t>
      </w:r>
      <w:r w:rsidRPr="00852505">
        <w:t>; and</w:t>
      </w:r>
    </w:p>
    <w:p w14:paraId="6C533E14" w14:textId="77777777" w:rsidR="00F32C4C" w:rsidRPr="00852505" w:rsidRDefault="00F32C4C" w:rsidP="00F459A2">
      <w:pPr>
        <w:pStyle w:val="ListParagraph"/>
        <w:numPr>
          <w:ilvl w:val="0"/>
          <w:numId w:val="24"/>
        </w:numPr>
        <w:jc w:val="both"/>
      </w:pPr>
      <w:r w:rsidRPr="00852505">
        <w:t>move these charges from the schedule of rural prices to the list of miscellaneous charges to reflect they are based on pricing principles.</w:t>
      </w:r>
    </w:p>
    <w:p w14:paraId="45928F4F" w14:textId="4AE88DFC" w:rsidR="001268E4" w:rsidRPr="00192F41" w:rsidRDefault="001268E4" w:rsidP="00224190">
      <w:pPr>
        <w:pStyle w:val="Heading2"/>
        <w:rPr>
          <w:rStyle w:val="IntenseEmphasis"/>
          <w:rFonts w:cs="Arial"/>
          <w:i w:val="0"/>
          <w:iCs w:val="0"/>
          <w:sz w:val="36"/>
        </w:rPr>
      </w:pPr>
      <w:r w:rsidRPr="00192F41">
        <w:rPr>
          <w:rStyle w:val="IntenseEmphasis"/>
          <w:rFonts w:cs="Arial"/>
          <w:i w:val="0"/>
          <w:iCs w:val="0"/>
          <w:sz w:val="36"/>
        </w:rPr>
        <w:t>Adjusting prices</w:t>
      </w:r>
    </w:p>
    <w:p w14:paraId="711EF4BD" w14:textId="145A21AC" w:rsidR="005C26D2" w:rsidRPr="00852505" w:rsidRDefault="005C26D2" w:rsidP="005C26D2">
      <w:pPr>
        <w:pStyle w:val="Heading3"/>
      </w:pPr>
      <w:r w:rsidRPr="00852505">
        <w:t>Price adjustment mechanisms</w:t>
      </w:r>
    </w:p>
    <w:p w14:paraId="3AC0B1D7" w14:textId="0D6057D5" w:rsidR="001579E9" w:rsidRPr="00852505" w:rsidRDefault="00406BE0" w:rsidP="008E0AED">
      <w:pPr>
        <w:jc w:val="both"/>
      </w:pPr>
      <w:r w:rsidRPr="00852505">
        <w:t>SRW</w:t>
      </w:r>
      <w:r w:rsidR="008E518E" w:rsidRPr="00852505">
        <w:t xml:space="preserve"> has a long history of close and effective engagement with customer consultative committees – particularly through our annual planning and pricing processes.  We work with customers annually in setting tariffs within our revenue cap.</w:t>
      </w:r>
      <w:r w:rsidR="001579E9" w:rsidRPr="00852505">
        <w:t xml:space="preserve"> </w:t>
      </w:r>
    </w:p>
    <w:p w14:paraId="04F2C15E" w14:textId="40E2512B" w:rsidR="001579E9" w:rsidRPr="00852505" w:rsidRDefault="004C327B" w:rsidP="008E0AED">
      <w:pPr>
        <w:jc w:val="both"/>
      </w:pPr>
      <w:r w:rsidRPr="00852505">
        <w:t>I</w:t>
      </w:r>
      <w:r w:rsidR="008E518E" w:rsidRPr="00852505">
        <w:t>n setting our annual prices, we have regard for our annual budgets, as well as our longer</w:t>
      </w:r>
      <w:r w:rsidR="00C14FE9" w:rsidRPr="00852505">
        <w:t>-</w:t>
      </w:r>
      <w:r w:rsidR="008E518E" w:rsidRPr="00852505">
        <w:t>term financial plans. Customers provide input on, for example, whether tariff changes should be smoothed, adjusted in a single year, or deferred to later years. These decisions often reflect regional economic circumstances which may change from year to year.</w:t>
      </w:r>
    </w:p>
    <w:p w14:paraId="3A860270" w14:textId="77777777" w:rsidR="002A4137" w:rsidRPr="00852505" w:rsidRDefault="008E518E" w:rsidP="008E0AED">
      <w:pPr>
        <w:jc w:val="both"/>
      </w:pPr>
      <w:r w:rsidRPr="00852505">
        <w:t xml:space="preserve">The effectiveness of our annual pricing and our close customer engagement is demonstrated by our pricing outcomes across </w:t>
      </w:r>
      <w:r w:rsidR="00D87D8E" w:rsidRPr="00852505">
        <w:t>past water plans and price submissions.</w:t>
      </w:r>
      <w:r w:rsidRPr="00852505">
        <w:t xml:space="preserve"> </w:t>
      </w:r>
    </w:p>
    <w:p w14:paraId="7571C2BB" w14:textId="1436135B" w:rsidR="00430D3E" w:rsidRPr="00852505" w:rsidRDefault="00430D3E" w:rsidP="002A4137">
      <w:r w:rsidRPr="00852505">
        <w:t>For the 2023-28 period, we are proposing the following:</w:t>
      </w:r>
    </w:p>
    <w:p w14:paraId="0057513E" w14:textId="5634BB41" w:rsidR="00430D3E" w:rsidRPr="00D11098" w:rsidRDefault="00D11098" w:rsidP="00D11098">
      <w:pPr>
        <w:pStyle w:val="Caption"/>
        <w:rPr>
          <w:rStyle w:val="IntenseReference"/>
          <w:b w:val="0"/>
          <w:bCs w:val="0"/>
          <w:i w:val="0"/>
          <w:iCs w:val="0"/>
          <w:color w:val="00B1B0" w:themeColor="accent1"/>
          <w:sz w:val="20"/>
          <w:szCs w:val="20"/>
          <w:u w:val="single"/>
        </w:rPr>
      </w:pPr>
      <w:r w:rsidRPr="00D11098">
        <w:rPr>
          <w:b/>
          <w:bCs/>
          <w:i w:val="0"/>
          <w:iCs w:val="0"/>
          <w:color w:val="00B1B0" w:themeColor="accent1"/>
          <w:sz w:val="20"/>
          <w:szCs w:val="20"/>
        </w:rPr>
        <w:t xml:space="preserve">Table </w:t>
      </w:r>
      <w:r w:rsidRPr="00D11098">
        <w:rPr>
          <w:b/>
          <w:bCs/>
          <w:i w:val="0"/>
          <w:iCs w:val="0"/>
          <w:color w:val="00B1B0" w:themeColor="accent1"/>
          <w:sz w:val="20"/>
          <w:szCs w:val="20"/>
        </w:rPr>
        <w:fldChar w:fldCharType="begin"/>
      </w:r>
      <w:r w:rsidRPr="00D11098">
        <w:rPr>
          <w:b/>
          <w:bCs/>
          <w:i w:val="0"/>
          <w:iCs w:val="0"/>
          <w:color w:val="00B1B0" w:themeColor="accent1"/>
          <w:sz w:val="20"/>
          <w:szCs w:val="20"/>
        </w:rPr>
        <w:instrText xml:space="preserve"> SEQ Table \* ARABIC </w:instrText>
      </w:r>
      <w:r w:rsidRPr="00D11098">
        <w:rPr>
          <w:b/>
          <w:bCs/>
          <w:i w:val="0"/>
          <w:iCs w:val="0"/>
          <w:color w:val="00B1B0" w:themeColor="accent1"/>
          <w:sz w:val="20"/>
          <w:szCs w:val="20"/>
        </w:rPr>
        <w:fldChar w:fldCharType="separate"/>
      </w:r>
      <w:r w:rsidR="008126A8">
        <w:rPr>
          <w:b/>
          <w:bCs/>
          <w:i w:val="0"/>
          <w:iCs w:val="0"/>
          <w:noProof/>
          <w:color w:val="00B1B0" w:themeColor="accent1"/>
          <w:sz w:val="20"/>
          <w:szCs w:val="20"/>
        </w:rPr>
        <w:t>33</w:t>
      </w:r>
      <w:r w:rsidRPr="00D11098">
        <w:rPr>
          <w:b/>
          <w:bCs/>
          <w:i w:val="0"/>
          <w:iCs w:val="0"/>
          <w:color w:val="00B1B0" w:themeColor="accent1"/>
          <w:sz w:val="20"/>
          <w:szCs w:val="20"/>
        </w:rPr>
        <w:fldChar w:fldCharType="end"/>
      </w:r>
      <w:r w:rsidRPr="00D11098">
        <w:rPr>
          <w:b/>
          <w:bCs/>
          <w:i w:val="0"/>
          <w:iCs w:val="0"/>
          <w:color w:val="00B1B0" w:themeColor="accent1"/>
          <w:sz w:val="20"/>
          <w:szCs w:val="20"/>
        </w:rPr>
        <w:t xml:space="preserve"> </w:t>
      </w:r>
      <w:r w:rsidR="008E0AED">
        <w:rPr>
          <w:b/>
          <w:bCs/>
          <w:i w:val="0"/>
          <w:iCs w:val="0"/>
          <w:color w:val="00B1B0" w:themeColor="accent1"/>
          <w:sz w:val="20"/>
          <w:szCs w:val="20"/>
        </w:rPr>
        <w:t>–</w:t>
      </w:r>
      <w:r w:rsidRPr="00D11098">
        <w:rPr>
          <w:b/>
          <w:bCs/>
          <w:i w:val="0"/>
          <w:iCs w:val="0"/>
          <w:color w:val="00B1B0" w:themeColor="accent1"/>
          <w:sz w:val="20"/>
          <w:szCs w:val="20"/>
        </w:rPr>
        <w:t xml:space="preserve"> </w:t>
      </w:r>
      <w:r w:rsidR="00B33093" w:rsidRPr="00D11098">
        <w:rPr>
          <w:b/>
          <w:bCs/>
          <w:i w:val="0"/>
          <w:iCs w:val="0"/>
          <w:color w:val="00B1B0" w:themeColor="accent1"/>
          <w:sz w:val="20"/>
          <w:szCs w:val="20"/>
        </w:rPr>
        <w:t>Price adjustment</w:t>
      </w:r>
    </w:p>
    <w:tbl>
      <w:tblPr>
        <w:tblStyle w:val="Tealheader-Grayrows1"/>
        <w:tblW w:w="9781" w:type="dxa"/>
        <w:tblLook w:val="04A0" w:firstRow="1" w:lastRow="0" w:firstColumn="1" w:lastColumn="0" w:noHBand="0" w:noVBand="1"/>
      </w:tblPr>
      <w:tblGrid>
        <w:gridCol w:w="2127"/>
        <w:gridCol w:w="7654"/>
      </w:tblGrid>
      <w:tr w:rsidR="00430D3E" w:rsidRPr="008E0AED" w14:paraId="10CF02EF" w14:textId="77777777" w:rsidTr="0085311F">
        <w:trPr>
          <w:cnfStyle w:val="100000000000" w:firstRow="1" w:lastRow="0" w:firstColumn="0" w:lastColumn="0" w:oddVBand="0" w:evenVBand="0" w:oddHBand="0" w:evenHBand="0" w:firstRowFirstColumn="0" w:firstRowLastColumn="0" w:lastRowFirstColumn="0" w:lastRowLastColumn="0"/>
        </w:trPr>
        <w:tc>
          <w:tcPr>
            <w:tcW w:w="0" w:type="dxa"/>
            <w:shd w:val="clear" w:color="auto" w:fill="70CBD0"/>
          </w:tcPr>
          <w:p w14:paraId="68E95B34" w14:textId="6FD93081" w:rsidR="00430D3E" w:rsidRPr="008E0AED" w:rsidRDefault="00430D3E" w:rsidP="008E0AED">
            <w:pPr>
              <w:spacing w:before="40" w:after="40"/>
              <w:rPr>
                <w:sz w:val="20"/>
                <w:szCs w:val="20"/>
              </w:rPr>
            </w:pPr>
            <w:r w:rsidRPr="008E0AED">
              <w:rPr>
                <w:sz w:val="20"/>
                <w:szCs w:val="20"/>
              </w:rPr>
              <w:t>Custom</w:t>
            </w:r>
            <w:r w:rsidR="00920134" w:rsidRPr="008E0AED">
              <w:rPr>
                <w:sz w:val="20"/>
                <w:szCs w:val="20"/>
              </w:rPr>
              <w:t>e</w:t>
            </w:r>
            <w:r w:rsidRPr="008E0AED">
              <w:rPr>
                <w:sz w:val="20"/>
                <w:szCs w:val="20"/>
              </w:rPr>
              <w:t>r group</w:t>
            </w:r>
          </w:p>
        </w:tc>
        <w:tc>
          <w:tcPr>
            <w:tcW w:w="7654" w:type="dxa"/>
            <w:shd w:val="clear" w:color="auto" w:fill="70CBD0"/>
          </w:tcPr>
          <w:p w14:paraId="5B5CC3C3" w14:textId="38EA0B65" w:rsidR="00430D3E" w:rsidRPr="008E0AED" w:rsidRDefault="00430D3E" w:rsidP="008E0AED">
            <w:pPr>
              <w:spacing w:before="40" w:after="40"/>
              <w:rPr>
                <w:sz w:val="20"/>
                <w:szCs w:val="20"/>
              </w:rPr>
            </w:pPr>
            <w:r w:rsidRPr="008E0AED">
              <w:rPr>
                <w:sz w:val="20"/>
                <w:szCs w:val="20"/>
              </w:rPr>
              <w:t>A</w:t>
            </w:r>
            <w:r w:rsidR="00920134" w:rsidRPr="008E0AED">
              <w:rPr>
                <w:sz w:val="20"/>
                <w:szCs w:val="20"/>
              </w:rPr>
              <w:t>djustment</w:t>
            </w:r>
          </w:p>
        </w:tc>
      </w:tr>
      <w:tr w:rsidR="00430D3E" w:rsidRPr="00D9189D" w14:paraId="6AA7507A" w14:textId="77777777" w:rsidTr="0085311F">
        <w:trPr>
          <w:cnfStyle w:val="000000100000" w:firstRow="0" w:lastRow="0" w:firstColumn="0" w:lastColumn="0" w:oddVBand="0" w:evenVBand="0" w:oddHBand="1" w:evenHBand="0" w:firstRowFirstColumn="0" w:firstRowLastColumn="0" w:lastRowFirstColumn="0" w:lastRowLastColumn="0"/>
        </w:trPr>
        <w:tc>
          <w:tcPr>
            <w:tcW w:w="2127" w:type="dxa"/>
          </w:tcPr>
          <w:p w14:paraId="70B03E4C" w14:textId="38E8FC24" w:rsidR="00430D3E" w:rsidRPr="008E0AED" w:rsidRDefault="00430D3E" w:rsidP="008E0AED">
            <w:pPr>
              <w:spacing w:before="40" w:after="40"/>
              <w:rPr>
                <w:sz w:val="20"/>
                <w:szCs w:val="20"/>
              </w:rPr>
            </w:pPr>
            <w:r w:rsidRPr="008E0AED">
              <w:rPr>
                <w:sz w:val="20"/>
                <w:szCs w:val="20"/>
              </w:rPr>
              <w:t>Groundwater and Rivers</w:t>
            </w:r>
          </w:p>
        </w:tc>
        <w:tc>
          <w:tcPr>
            <w:tcW w:w="7654" w:type="dxa"/>
          </w:tcPr>
          <w:p w14:paraId="3452E1A5" w14:textId="68D24844" w:rsidR="00430D3E" w:rsidRPr="008E0AED" w:rsidRDefault="00D9189D" w:rsidP="008E0AED">
            <w:pPr>
              <w:spacing w:before="40" w:after="40"/>
              <w:rPr>
                <w:sz w:val="20"/>
                <w:szCs w:val="20"/>
              </w:rPr>
            </w:pPr>
            <w:r w:rsidRPr="008E0AED">
              <w:rPr>
                <w:sz w:val="20"/>
                <w:szCs w:val="20"/>
              </w:rPr>
              <w:t xml:space="preserve">Cap </w:t>
            </w:r>
            <w:r w:rsidR="002A4482" w:rsidRPr="008E0AED">
              <w:rPr>
                <w:sz w:val="20"/>
                <w:szCs w:val="20"/>
              </w:rPr>
              <w:t>any increases to CPI</w:t>
            </w:r>
            <w:r w:rsidR="009E7EFD" w:rsidRPr="008E0AED">
              <w:rPr>
                <w:sz w:val="20"/>
                <w:szCs w:val="20"/>
              </w:rPr>
              <w:t xml:space="preserve"> to cover increasing operational costs</w:t>
            </w:r>
            <w:r w:rsidR="00D955A9" w:rsidRPr="008E0AED">
              <w:rPr>
                <w:sz w:val="20"/>
                <w:szCs w:val="20"/>
              </w:rPr>
              <w:t>.</w:t>
            </w:r>
          </w:p>
        </w:tc>
      </w:tr>
      <w:tr w:rsidR="00430D3E" w:rsidRPr="00D9189D" w14:paraId="0A34CEB3" w14:textId="77777777" w:rsidTr="0085311F">
        <w:tc>
          <w:tcPr>
            <w:tcW w:w="2127" w:type="dxa"/>
          </w:tcPr>
          <w:p w14:paraId="2FC75AD9" w14:textId="232BF94F" w:rsidR="00430D3E" w:rsidRPr="008E0AED" w:rsidRDefault="002A4482" w:rsidP="008E0AED">
            <w:pPr>
              <w:spacing w:before="40" w:after="40"/>
              <w:rPr>
                <w:sz w:val="20"/>
                <w:szCs w:val="20"/>
              </w:rPr>
            </w:pPr>
            <w:r w:rsidRPr="008E0AED">
              <w:rPr>
                <w:sz w:val="20"/>
                <w:szCs w:val="20"/>
              </w:rPr>
              <w:t>BMID</w:t>
            </w:r>
          </w:p>
        </w:tc>
        <w:tc>
          <w:tcPr>
            <w:tcW w:w="7654" w:type="dxa"/>
          </w:tcPr>
          <w:p w14:paraId="0DF4FA59" w14:textId="1C78FEC3" w:rsidR="00430D3E" w:rsidRPr="008E0AED" w:rsidRDefault="002A4482" w:rsidP="008E0AED">
            <w:pPr>
              <w:spacing w:before="40" w:after="40"/>
              <w:rPr>
                <w:sz w:val="20"/>
                <w:szCs w:val="20"/>
              </w:rPr>
            </w:pPr>
            <w:r w:rsidRPr="008E0AED">
              <w:rPr>
                <w:sz w:val="20"/>
                <w:szCs w:val="20"/>
              </w:rPr>
              <w:t>Cap any increases to CPI</w:t>
            </w:r>
            <w:r w:rsidR="009E7EFD" w:rsidRPr="008E0AED">
              <w:rPr>
                <w:sz w:val="20"/>
                <w:szCs w:val="20"/>
              </w:rPr>
              <w:t xml:space="preserve"> to cover increasing operational costs</w:t>
            </w:r>
            <w:r w:rsidR="00D955A9" w:rsidRPr="008E0AED">
              <w:rPr>
                <w:sz w:val="20"/>
                <w:szCs w:val="20"/>
              </w:rPr>
              <w:t>.</w:t>
            </w:r>
          </w:p>
        </w:tc>
      </w:tr>
      <w:tr w:rsidR="00430D3E" w:rsidRPr="00D9189D" w14:paraId="73616B28" w14:textId="77777777" w:rsidTr="0085311F">
        <w:trPr>
          <w:cnfStyle w:val="000000100000" w:firstRow="0" w:lastRow="0" w:firstColumn="0" w:lastColumn="0" w:oddVBand="0" w:evenVBand="0" w:oddHBand="1" w:evenHBand="0" w:firstRowFirstColumn="0" w:firstRowLastColumn="0" w:lastRowFirstColumn="0" w:lastRowLastColumn="0"/>
        </w:trPr>
        <w:tc>
          <w:tcPr>
            <w:tcW w:w="2127" w:type="dxa"/>
          </w:tcPr>
          <w:p w14:paraId="26EA5C81" w14:textId="25DD0616" w:rsidR="00430D3E" w:rsidRPr="008E0AED" w:rsidRDefault="00A75E9A" w:rsidP="008E0AED">
            <w:pPr>
              <w:spacing w:before="40" w:after="40"/>
              <w:rPr>
                <w:sz w:val="20"/>
                <w:szCs w:val="20"/>
              </w:rPr>
            </w:pPr>
            <w:r w:rsidRPr="008E0AED">
              <w:rPr>
                <w:sz w:val="20"/>
                <w:szCs w:val="20"/>
              </w:rPr>
              <w:t>MID</w:t>
            </w:r>
          </w:p>
        </w:tc>
        <w:tc>
          <w:tcPr>
            <w:tcW w:w="7654" w:type="dxa"/>
          </w:tcPr>
          <w:p w14:paraId="07EB928A" w14:textId="23B1D31F" w:rsidR="00430D3E" w:rsidRPr="008E0AED" w:rsidRDefault="008C6063" w:rsidP="008E0AED">
            <w:pPr>
              <w:spacing w:before="40" w:after="40"/>
              <w:ind w:right="115"/>
              <w:jc w:val="both"/>
              <w:rPr>
                <w:sz w:val="20"/>
                <w:szCs w:val="20"/>
              </w:rPr>
            </w:pPr>
            <w:r w:rsidRPr="008E0AED">
              <w:rPr>
                <w:sz w:val="20"/>
                <w:szCs w:val="20"/>
              </w:rPr>
              <w:t>Increase prices by 1.5%</w:t>
            </w:r>
            <w:r w:rsidR="00E22004" w:rsidRPr="008E0AED">
              <w:rPr>
                <w:sz w:val="20"/>
                <w:szCs w:val="20"/>
              </w:rPr>
              <w:t xml:space="preserve"> year on year</w:t>
            </w:r>
            <w:r w:rsidR="000E48BF" w:rsidRPr="008E0AED">
              <w:rPr>
                <w:sz w:val="20"/>
                <w:szCs w:val="20"/>
              </w:rPr>
              <w:t xml:space="preserve"> (</w:t>
            </w:r>
            <w:r w:rsidR="00323C31" w:rsidRPr="008E0AED">
              <w:rPr>
                <w:sz w:val="20"/>
                <w:szCs w:val="20"/>
              </w:rPr>
              <w:t>as</w:t>
            </w:r>
            <w:r w:rsidR="003F7FE0" w:rsidRPr="008E0AED">
              <w:rPr>
                <w:sz w:val="20"/>
                <w:szCs w:val="20"/>
              </w:rPr>
              <w:t xml:space="preserve"> contribution towards modernisation projects and thereby reducing future price increases</w:t>
            </w:r>
            <w:r w:rsidR="000E48BF" w:rsidRPr="008E0AED">
              <w:rPr>
                <w:sz w:val="20"/>
                <w:szCs w:val="20"/>
              </w:rPr>
              <w:t xml:space="preserve">) plus </w:t>
            </w:r>
            <w:r w:rsidR="00B84823" w:rsidRPr="008E0AED">
              <w:rPr>
                <w:sz w:val="20"/>
                <w:szCs w:val="20"/>
              </w:rPr>
              <w:t>an additional amount capped at CPI to cover increasing operational costs</w:t>
            </w:r>
            <w:r w:rsidR="00D955A9" w:rsidRPr="008E0AED">
              <w:rPr>
                <w:sz w:val="20"/>
                <w:szCs w:val="20"/>
              </w:rPr>
              <w:t>.</w:t>
            </w:r>
          </w:p>
        </w:tc>
      </w:tr>
      <w:tr w:rsidR="00430D3E" w:rsidRPr="00D9189D" w14:paraId="20F05482" w14:textId="77777777" w:rsidTr="0085311F">
        <w:tc>
          <w:tcPr>
            <w:tcW w:w="2127" w:type="dxa"/>
          </w:tcPr>
          <w:p w14:paraId="7B58D21E" w14:textId="1FC940D1" w:rsidR="00430D3E" w:rsidRPr="008E0AED" w:rsidRDefault="00A75E9A" w:rsidP="008E0AED">
            <w:pPr>
              <w:spacing w:before="40" w:after="40"/>
              <w:rPr>
                <w:sz w:val="20"/>
                <w:szCs w:val="20"/>
              </w:rPr>
            </w:pPr>
            <w:r w:rsidRPr="008E0AED">
              <w:rPr>
                <w:sz w:val="20"/>
                <w:szCs w:val="20"/>
              </w:rPr>
              <w:t>WID</w:t>
            </w:r>
          </w:p>
        </w:tc>
        <w:tc>
          <w:tcPr>
            <w:tcW w:w="7654" w:type="dxa"/>
          </w:tcPr>
          <w:p w14:paraId="1981BB04" w14:textId="0F8684AD" w:rsidR="00430D3E" w:rsidRPr="008E0AED" w:rsidRDefault="009E7EFD" w:rsidP="008E0AED">
            <w:pPr>
              <w:spacing w:before="40" w:after="40"/>
              <w:ind w:right="115"/>
              <w:jc w:val="both"/>
              <w:rPr>
                <w:sz w:val="20"/>
                <w:szCs w:val="20"/>
              </w:rPr>
            </w:pPr>
            <w:r w:rsidRPr="008E0AED">
              <w:rPr>
                <w:sz w:val="20"/>
                <w:szCs w:val="20"/>
              </w:rPr>
              <w:t>Increase prices by 1.0%</w:t>
            </w:r>
            <w:r w:rsidR="00E22004" w:rsidRPr="008E0AED">
              <w:rPr>
                <w:sz w:val="20"/>
                <w:szCs w:val="20"/>
              </w:rPr>
              <w:t xml:space="preserve"> year on year</w:t>
            </w:r>
            <w:r w:rsidRPr="008E0AED">
              <w:rPr>
                <w:sz w:val="20"/>
                <w:szCs w:val="20"/>
              </w:rPr>
              <w:t xml:space="preserve"> (as contribution towards modernisation projects and thereby reducing future price increases) plus an additional amount capped at CPI to cover increasing operational costs</w:t>
            </w:r>
            <w:r w:rsidR="00D955A9" w:rsidRPr="008E0AED">
              <w:rPr>
                <w:sz w:val="20"/>
                <w:szCs w:val="20"/>
              </w:rPr>
              <w:t>.</w:t>
            </w:r>
          </w:p>
        </w:tc>
      </w:tr>
      <w:tr w:rsidR="00430D3E" w:rsidRPr="00D9189D" w14:paraId="70A119C1" w14:textId="77777777" w:rsidTr="0085311F">
        <w:trPr>
          <w:cnfStyle w:val="000000100000" w:firstRow="0" w:lastRow="0" w:firstColumn="0" w:lastColumn="0" w:oddVBand="0" w:evenVBand="0" w:oddHBand="1" w:evenHBand="0" w:firstRowFirstColumn="0" w:firstRowLastColumn="0" w:lastRowFirstColumn="0" w:lastRowLastColumn="0"/>
        </w:trPr>
        <w:tc>
          <w:tcPr>
            <w:tcW w:w="2127" w:type="dxa"/>
            <w:tcBorders>
              <w:bottom w:val="single" w:sz="4" w:space="0" w:color="auto"/>
            </w:tcBorders>
          </w:tcPr>
          <w:p w14:paraId="3EE6C0B7" w14:textId="6DE6587C" w:rsidR="00430D3E" w:rsidRPr="008E0AED" w:rsidRDefault="00852505" w:rsidP="008E0AED">
            <w:pPr>
              <w:spacing w:before="40" w:after="40"/>
              <w:rPr>
                <w:sz w:val="20"/>
                <w:szCs w:val="20"/>
              </w:rPr>
            </w:pPr>
            <w:r w:rsidRPr="008E0AED">
              <w:rPr>
                <w:sz w:val="20"/>
                <w:szCs w:val="20"/>
              </w:rPr>
              <w:t>Bulk entitlement</w:t>
            </w:r>
            <w:r w:rsidR="00D955A9" w:rsidRPr="008E0AED">
              <w:rPr>
                <w:sz w:val="20"/>
                <w:szCs w:val="20"/>
              </w:rPr>
              <w:t xml:space="preserve"> </w:t>
            </w:r>
            <w:r w:rsidRPr="008E0AED">
              <w:rPr>
                <w:sz w:val="20"/>
                <w:szCs w:val="20"/>
              </w:rPr>
              <w:t>h</w:t>
            </w:r>
            <w:r w:rsidR="00D955A9" w:rsidRPr="008E0AED">
              <w:rPr>
                <w:sz w:val="20"/>
                <w:szCs w:val="20"/>
              </w:rPr>
              <w:t>olders</w:t>
            </w:r>
          </w:p>
        </w:tc>
        <w:tc>
          <w:tcPr>
            <w:tcW w:w="7654" w:type="dxa"/>
            <w:tcBorders>
              <w:bottom w:val="single" w:sz="4" w:space="0" w:color="auto"/>
            </w:tcBorders>
          </w:tcPr>
          <w:p w14:paraId="357BFCE1" w14:textId="4299715F" w:rsidR="00430D3E" w:rsidRPr="008E0AED" w:rsidRDefault="00A23C93" w:rsidP="008E0AED">
            <w:pPr>
              <w:spacing w:before="40" w:after="40"/>
              <w:ind w:right="115"/>
              <w:jc w:val="both"/>
              <w:rPr>
                <w:sz w:val="20"/>
                <w:szCs w:val="20"/>
              </w:rPr>
            </w:pPr>
            <w:r w:rsidRPr="008E0AED">
              <w:rPr>
                <w:sz w:val="20"/>
                <w:szCs w:val="20"/>
              </w:rPr>
              <w:t>Pass through the real costs</w:t>
            </w:r>
            <w:r w:rsidR="00E87B11" w:rsidRPr="008E0AED">
              <w:rPr>
                <w:sz w:val="20"/>
                <w:szCs w:val="20"/>
              </w:rPr>
              <w:t xml:space="preserve">, as set out in the relevant </w:t>
            </w:r>
            <w:r w:rsidR="00477217" w:rsidRPr="008E0AED">
              <w:rPr>
                <w:sz w:val="20"/>
                <w:szCs w:val="20"/>
              </w:rPr>
              <w:t>BE</w:t>
            </w:r>
            <w:r w:rsidR="00E87B11" w:rsidRPr="008E0AED">
              <w:rPr>
                <w:sz w:val="20"/>
                <w:szCs w:val="20"/>
              </w:rPr>
              <w:t xml:space="preserve"> order where </w:t>
            </w:r>
            <w:r w:rsidR="0062021B" w:rsidRPr="008E0AED">
              <w:rPr>
                <w:sz w:val="20"/>
                <w:szCs w:val="20"/>
              </w:rPr>
              <w:t>annual estimates are provided in advance</w:t>
            </w:r>
            <w:r w:rsidR="007B79DE" w:rsidRPr="008E0AED">
              <w:rPr>
                <w:sz w:val="20"/>
                <w:szCs w:val="20"/>
              </w:rPr>
              <w:t xml:space="preserve">. </w:t>
            </w:r>
            <w:r w:rsidR="00A3491B" w:rsidRPr="008E0AED">
              <w:rPr>
                <w:sz w:val="20"/>
                <w:szCs w:val="20"/>
              </w:rPr>
              <w:t>We are removing the 5% price increase cap</w:t>
            </w:r>
            <w:r w:rsidR="006F20A7" w:rsidRPr="008E0AED">
              <w:rPr>
                <w:sz w:val="20"/>
                <w:szCs w:val="20"/>
              </w:rPr>
              <w:t xml:space="preserve"> which </w:t>
            </w:r>
            <w:r w:rsidR="001E00F1" w:rsidRPr="008E0AED">
              <w:rPr>
                <w:sz w:val="20"/>
                <w:szCs w:val="20"/>
              </w:rPr>
              <w:t>makes it difficult to manage an</w:t>
            </w:r>
            <w:r w:rsidR="00582379" w:rsidRPr="008E0AED">
              <w:rPr>
                <w:sz w:val="20"/>
                <w:szCs w:val="20"/>
              </w:rPr>
              <w:t>d</w:t>
            </w:r>
            <w:r w:rsidR="001E00F1" w:rsidRPr="008E0AED">
              <w:rPr>
                <w:sz w:val="20"/>
                <w:szCs w:val="20"/>
              </w:rPr>
              <w:t xml:space="preserve"> pass</w:t>
            </w:r>
            <w:r w:rsidR="00C14FE9" w:rsidRPr="008E0AED">
              <w:rPr>
                <w:sz w:val="20"/>
                <w:szCs w:val="20"/>
              </w:rPr>
              <w:t>-</w:t>
            </w:r>
            <w:r w:rsidR="001E00F1" w:rsidRPr="008E0AED">
              <w:rPr>
                <w:sz w:val="20"/>
                <w:szCs w:val="20"/>
              </w:rPr>
              <w:t>through</w:t>
            </w:r>
            <w:r w:rsidR="006D1A12" w:rsidRPr="008E0AED">
              <w:rPr>
                <w:sz w:val="20"/>
                <w:szCs w:val="20"/>
              </w:rPr>
              <w:t xml:space="preserve"> </w:t>
            </w:r>
            <w:r w:rsidR="001E00F1" w:rsidRPr="008E0AED">
              <w:rPr>
                <w:sz w:val="20"/>
                <w:szCs w:val="20"/>
              </w:rPr>
              <w:t>one</w:t>
            </w:r>
            <w:r w:rsidR="00582379" w:rsidRPr="008E0AED">
              <w:rPr>
                <w:sz w:val="20"/>
                <w:szCs w:val="20"/>
              </w:rPr>
              <w:t>-</w:t>
            </w:r>
            <w:r w:rsidR="001E00F1" w:rsidRPr="008E0AED">
              <w:rPr>
                <w:sz w:val="20"/>
                <w:szCs w:val="20"/>
              </w:rPr>
              <w:t>off capital costs.</w:t>
            </w:r>
          </w:p>
        </w:tc>
      </w:tr>
    </w:tbl>
    <w:p w14:paraId="5416B188" w14:textId="49C9A144" w:rsidR="005C26D2" w:rsidRPr="00852505" w:rsidRDefault="005C26D2" w:rsidP="005C26D2">
      <w:pPr>
        <w:pStyle w:val="Heading3"/>
      </w:pPr>
      <w:r w:rsidRPr="00852505">
        <w:t>Unforeseen events</w:t>
      </w:r>
    </w:p>
    <w:p w14:paraId="2297EF0E" w14:textId="57E370B2" w:rsidR="00A74906" w:rsidRPr="00852505" w:rsidRDefault="0004448B" w:rsidP="008E0AED">
      <w:pPr>
        <w:jc w:val="both"/>
      </w:pPr>
      <w:r w:rsidRPr="00852505">
        <w:t xml:space="preserve">It is difficult to </w:t>
      </w:r>
      <w:r w:rsidR="000767DB" w:rsidRPr="00852505">
        <w:t xml:space="preserve">identify </w:t>
      </w:r>
      <w:r w:rsidR="0064684B" w:rsidRPr="00852505">
        <w:t>uncertain and unforeseen events</w:t>
      </w:r>
      <w:r w:rsidR="000767DB" w:rsidRPr="00852505">
        <w:t>.</w:t>
      </w:r>
      <w:r w:rsidR="004D25C1" w:rsidRPr="00852505">
        <w:t xml:space="preserve"> However, they could include </w:t>
      </w:r>
      <w:r w:rsidR="007B0228" w:rsidRPr="00852505">
        <w:t xml:space="preserve">infrastructure failures and natural disasters, along with changes in </w:t>
      </w:r>
      <w:r w:rsidR="004D25C1" w:rsidRPr="00852505">
        <w:t>licen</w:t>
      </w:r>
      <w:r w:rsidR="00F15B08" w:rsidRPr="00852505">
        <w:t>s</w:t>
      </w:r>
      <w:r w:rsidR="004D25C1" w:rsidRPr="00852505">
        <w:t>ing fees paid by SRW to other authorities</w:t>
      </w:r>
      <w:r w:rsidR="007B0228" w:rsidRPr="00852505">
        <w:t xml:space="preserve">, </w:t>
      </w:r>
      <w:r w:rsidR="00A74906" w:rsidRPr="00852505">
        <w:t xml:space="preserve">the costs of </w:t>
      </w:r>
      <w:r w:rsidR="004D25C1" w:rsidRPr="00852505">
        <w:t>major capital project costs</w:t>
      </w:r>
      <w:r w:rsidR="00A74906" w:rsidRPr="00852505">
        <w:t xml:space="preserve"> and </w:t>
      </w:r>
      <w:r w:rsidR="58AD4A58">
        <w:t>changes</w:t>
      </w:r>
      <w:r w:rsidR="77EE4E1B">
        <w:t xml:space="preserve"> </w:t>
      </w:r>
      <w:r w:rsidR="58AD4A58">
        <w:t>in</w:t>
      </w:r>
      <w:r w:rsidR="00A74906" w:rsidRPr="00852505">
        <w:t xml:space="preserve"> statutory and regulatory obligations.</w:t>
      </w:r>
    </w:p>
    <w:p w14:paraId="6C2FA5D4" w14:textId="0B601D76" w:rsidR="00EC5D0D" w:rsidRPr="00852505" w:rsidRDefault="003D10CB" w:rsidP="008E0AED">
      <w:pPr>
        <w:jc w:val="both"/>
      </w:pPr>
      <w:r w:rsidRPr="00852505">
        <w:t xml:space="preserve">Should such an event arise, we will review the circumstances and if we are unable to absorb the </w:t>
      </w:r>
      <w:r w:rsidR="00EB5F80" w:rsidRPr="00852505">
        <w:t xml:space="preserve">financial implications of such an event, </w:t>
      </w:r>
      <w:r w:rsidR="002C4694" w:rsidRPr="00852505">
        <w:t xml:space="preserve">we will </w:t>
      </w:r>
      <w:r w:rsidR="00EB5F80" w:rsidRPr="00852505">
        <w:t>apply to the ESC for an adjustm</w:t>
      </w:r>
      <w:r w:rsidR="00EC5D0D" w:rsidRPr="00852505">
        <w:t>ent to:</w:t>
      </w:r>
    </w:p>
    <w:p w14:paraId="1AD94603" w14:textId="64DDE278" w:rsidR="00867C4B" w:rsidRPr="00852505" w:rsidRDefault="008E3F36" w:rsidP="00F459A2">
      <w:pPr>
        <w:pStyle w:val="ListParagraph"/>
        <w:numPr>
          <w:ilvl w:val="0"/>
          <w:numId w:val="25"/>
        </w:numPr>
      </w:pPr>
      <w:r w:rsidRPr="00852505">
        <w:t xml:space="preserve">the ESC’s </w:t>
      </w:r>
      <w:r w:rsidR="00EC5D0D" w:rsidRPr="00852505">
        <w:t>determination</w:t>
      </w:r>
      <w:r w:rsidR="0074103C" w:rsidRPr="00852505">
        <w:t>;</w:t>
      </w:r>
    </w:p>
    <w:p w14:paraId="1FE54108" w14:textId="12F29F9A" w:rsidR="00867C4B" w:rsidRPr="00852505" w:rsidRDefault="0074103C" w:rsidP="00F459A2">
      <w:pPr>
        <w:pStyle w:val="ListParagraph"/>
        <w:numPr>
          <w:ilvl w:val="0"/>
          <w:numId w:val="25"/>
        </w:numPr>
      </w:pPr>
      <w:r w:rsidRPr="00852505">
        <w:t>o</w:t>
      </w:r>
      <w:r w:rsidR="00867C4B" w:rsidRPr="00852505">
        <w:t>ur schedule of prices</w:t>
      </w:r>
      <w:r w:rsidRPr="00852505">
        <w:t>; an</w:t>
      </w:r>
      <w:r w:rsidR="00C25859" w:rsidRPr="00852505">
        <w:t>d</w:t>
      </w:r>
      <w:r w:rsidRPr="00852505">
        <w:t>/or</w:t>
      </w:r>
    </w:p>
    <w:p w14:paraId="5A760C2B" w14:textId="02E72948" w:rsidR="00A76269" w:rsidRPr="00852505" w:rsidRDefault="0074103C" w:rsidP="00F459A2">
      <w:pPr>
        <w:pStyle w:val="ListParagraph"/>
        <w:numPr>
          <w:ilvl w:val="0"/>
          <w:numId w:val="25"/>
        </w:numPr>
      </w:pPr>
      <w:r w:rsidRPr="00852505">
        <w:t>o</w:t>
      </w:r>
      <w:r w:rsidR="00867C4B" w:rsidRPr="00852505">
        <w:t>ur revenue requirements</w:t>
      </w:r>
      <w:r w:rsidRPr="00852505">
        <w:t xml:space="preserve"> (to reflect cost changes).</w:t>
      </w:r>
    </w:p>
    <w:p w14:paraId="2290A6EA" w14:textId="569BD350" w:rsidR="001268E4" w:rsidRPr="00852505" w:rsidRDefault="001268E4" w:rsidP="00852505">
      <w:pPr>
        <w:pStyle w:val="Heading3"/>
      </w:pPr>
      <w:r w:rsidRPr="00852505">
        <w:t>New customer contributions</w:t>
      </w:r>
    </w:p>
    <w:p w14:paraId="563DB3FA" w14:textId="6915B20F" w:rsidR="00913AE4" w:rsidRPr="00852505" w:rsidRDefault="0086601C" w:rsidP="008E0AED">
      <w:pPr>
        <w:jc w:val="both"/>
      </w:pPr>
      <w:r w:rsidRPr="00852505">
        <w:t xml:space="preserve">SRW is a rural water corporation and </w:t>
      </w:r>
      <w:r w:rsidR="00E73009" w:rsidRPr="00852505">
        <w:t xml:space="preserve">as such </w:t>
      </w:r>
      <w:r w:rsidRPr="00852505">
        <w:t xml:space="preserve">we are not proposing </w:t>
      </w:r>
      <w:r w:rsidR="00E73009" w:rsidRPr="00852505">
        <w:t>new customer contributions.</w:t>
      </w:r>
    </w:p>
    <w:p w14:paraId="005CE65C" w14:textId="77777777" w:rsidR="00ED4B50" w:rsidRPr="00192F41" w:rsidRDefault="00ED4B50" w:rsidP="001268E4">
      <w:pPr>
        <w:rPr>
          <w:rStyle w:val="IntenseEmphasis"/>
          <w:rFonts w:cs="Arial"/>
          <w:i w:val="0"/>
          <w:iCs w:val="0"/>
          <w:color w:val="auto"/>
        </w:rPr>
      </w:pPr>
      <w:r w:rsidRPr="00192F41">
        <w:rPr>
          <w:rStyle w:val="IntenseEmphasis"/>
          <w:rFonts w:cs="Arial"/>
          <w:i w:val="0"/>
          <w:iCs w:val="0"/>
          <w:color w:val="auto"/>
        </w:rPr>
        <w:br w:type="page"/>
      </w:r>
    </w:p>
    <w:p w14:paraId="0C60B0F0" w14:textId="10FD7B72" w:rsidR="00E40539" w:rsidRPr="00192F41" w:rsidRDefault="000A15D6" w:rsidP="00AE2AD9">
      <w:pPr>
        <w:pStyle w:val="NumberedHeading3"/>
        <w:rPr>
          <w:rStyle w:val="IntenseEmphasis"/>
          <w:rFonts w:cs="Arial"/>
          <w:i w:val="0"/>
          <w:iCs w:val="0"/>
          <w:color w:val="002B5C" w:themeColor="text2"/>
          <w:sz w:val="52"/>
        </w:rPr>
      </w:pPr>
      <w:bookmarkStart w:id="77" w:name="_Toc106979797"/>
      <w:bookmarkStart w:id="78" w:name="_Toc106979798"/>
      <w:bookmarkStart w:id="79" w:name="_Toc106979799"/>
      <w:bookmarkStart w:id="80" w:name="_Toc106697175"/>
      <w:bookmarkStart w:id="81" w:name="_Toc115263685"/>
      <w:bookmarkEnd w:id="77"/>
      <w:bookmarkEnd w:id="78"/>
      <w:bookmarkEnd w:id="79"/>
      <w:r w:rsidRPr="00192F41">
        <w:rPr>
          <w:rStyle w:val="IntenseEmphasis"/>
          <w:rFonts w:cs="Arial"/>
          <w:i w:val="0"/>
          <w:iCs w:val="0"/>
          <w:color w:val="002B5C" w:themeColor="text2"/>
          <w:sz w:val="52"/>
        </w:rPr>
        <w:t>P</w:t>
      </w:r>
      <w:r w:rsidR="00E40539" w:rsidRPr="00192F41">
        <w:rPr>
          <w:rStyle w:val="IntenseEmphasis"/>
          <w:rFonts w:cs="Arial"/>
          <w:i w:val="0"/>
          <w:iCs w:val="0"/>
          <w:color w:val="002B5C" w:themeColor="text2"/>
          <w:sz w:val="52"/>
        </w:rPr>
        <w:t xml:space="preserve">REMO </w:t>
      </w:r>
      <w:r w:rsidR="00AA7DA2" w:rsidRPr="00192F41">
        <w:rPr>
          <w:rStyle w:val="IntenseEmphasis"/>
          <w:rFonts w:cs="Arial"/>
          <w:i w:val="0"/>
          <w:iCs w:val="0"/>
          <w:color w:val="002B5C" w:themeColor="text2"/>
          <w:sz w:val="52"/>
        </w:rPr>
        <w:t>conclusion</w:t>
      </w:r>
      <w:bookmarkEnd w:id="80"/>
      <w:bookmarkEnd w:id="81"/>
    </w:p>
    <w:tbl>
      <w:tblPr>
        <w:tblStyle w:val="ReportTable-NavyColumns"/>
        <w:tblW w:w="9776" w:type="dxa"/>
        <w:tblBorders>
          <w:insideH w:val="none" w:sz="0" w:space="0" w:color="auto"/>
        </w:tblBorders>
        <w:shd w:val="clear" w:color="auto" w:fill="D9D9D9" w:themeFill="background1" w:themeFillShade="D9"/>
        <w:tblLook w:val="04A0" w:firstRow="1" w:lastRow="0" w:firstColumn="1" w:lastColumn="0" w:noHBand="0" w:noVBand="1"/>
      </w:tblPr>
      <w:tblGrid>
        <w:gridCol w:w="9776"/>
      </w:tblGrid>
      <w:tr w:rsidR="00CE59B4" w:rsidRPr="00192F41" w14:paraId="1023BF1C" w14:textId="77777777" w:rsidTr="004128F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776" w:type="dxa"/>
            <w:shd w:val="clear" w:color="auto" w:fill="F2F2F2" w:themeFill="background1" w:themeFillShade="F2"/>
          </w:tcPr>
          <w:p w14:paraId="33D7061C" w14:textId="5AABB915" w:rsidR="00CE59B4" w:rsidRPr="00192F41" w:rsidRDefault="00BC7207" w:rsidP="005F1353">
            <w:pPr>
              <w:pStyle w:val="Heading2"/>
              <w:rPr>
                <w:rStyle w:val="IntenseEmphasis"/>
                <w:rFonts w:cs="Arial"/>
                <w:b/>
                <w:bCs/>
                <w:i w:val="0"/>
                <w:iCs w:val="0"/>
                <w:sz w:val="36"/>
              </w:rPr>
            </w:pPr>
            <w:r w:rsidRPr="00192F41">
              <w:rPr>
                <w:rStyle w:val="IntenseEmphasis"/>
                <w:rFonts w:cs="Arial"/>
                <w:b/>
                <w:bCs/>
                <w:i w:val="0"/>
                <w:iCs w:val="0"/>
                <w:sz w:val="36"/>
              </w:rPr>
              <w:t>Key messages</w:t>
            </w:r>
          </w:p>
          <w:p w14:paraId="1870809C" w14:textId="0B118148" w:rsidR="008E3ABD" w:rsidRDefault="005A4A16" w:rsidP="005D6ED0">
            <w:pPr>
              <w:pStyle w:val="Bulletpointparagraph"/>
              <w:numPr>
                <w:ilvl w:val="0"/>
                <w:numId w:val="0"/>
              </w:numPr>
              <w:ind w:left="360" w:right="121"/>
              <w:rPr>
                <w:rFonts w:cs="Arial"/>
                <w:color w:val="000000" w:themeColor="text1"/>
              </w:rPr>
            </w:pPr>
            <w:r>
              <w:rPr>
                <w:rFonts w:cs="Arial"/>
                <w:b w:val="0"/>
                <w:bCs/>
                <w:color w:val="000000" w:themeColor="text1"/>
              </w:rPr>
              <w:t>W</w:t>
            </w:r>
            <w:r w:rsidR="008E3ABD" w:rsidRPr="00192F41">
              <w:rPr>
                <w:rFonts w:cs="Arial"/>
                <w:b w:val="0"/>
                <w:bCs/>
                <w:color w:val="000000" w:themeColor="text1"/>
              </w:rPr>
              <w:t xml:space="preserve">e are very confident that our submission is at the higher end of </w:t>
            </w:r>
            <w:r w:rsidR="008E3ABD" w:rsidRPr="00192F41">
              <w:rPr>
                <w:rFonts w:cs="Arial"/>
                <w:color w:val="000000" w:themeColor="text1"/>
              </w:rPr>
              <w:t>STANDARD</w:t>
            </w:r>
            <w:r w:rsidR="009857AC">
              <w:rPr>
                <w:rFonts w:cs="Arial"/>
                <w:color w:val="000000" w:themeColor="text1"/>
              </w:rPr>
              <w:t>,</w:t>
            </w:r>
            <w:r w:rsidR="003E4A93" w:rsidRPr="003E4A93">
              <w:rPr>
                <w:rFonts w:cs="Arial"/>
                <w:b w:val="0"/>
                <w:bCs/>
                <w:color w:val="000000" w:themeColor="text1"/>
              </w:rPr>
              <w:t xml:space="preserve"> where</w:t>
            </w:r>
            <w:r w:rsidR="003E4A93">
              <w:rPr>
                <w:rFonts w:cs="Arial"/>
                <w:b w:val="0"/>
                <w:bCs/>
                <w:color w:val="000000" w:themeColor="text1"/>
              </w:rPr>
              <w:t xml:space="preserve"> </w:t>
            </w:r>
            <w:r w:rsidR="005E7785">
              <w:rPr>
                <w:rFonts w:cs="Arial"/>
                <w:b w:val="0"/>
                <w:bCs/>
                <w:color w:val="000000" w:themeColor="text1"/>
              </w:rPr>
              <w:t>we are:</w:t>
            </w:r>
          </w:p>
          <w:p w14:paraId="629D74CF" w14:textId="77777777" w:rsidR="004A4914" w:rsidRPr="00192F41" w:rsidRDefault="004A4914" w:rsidP="004A4914">
            <w:pPr>
              <w:pStyle w:val="Bulletpointparagraph"/>
              <w:numPr>
                <w:ilvl w:val="0"/>
                <w:numId w:val="0"/>
              </w:numPr>
              <w:ind w:left="360"/>
              <w:rPr>
                <w:rFonts w:cs="Arial"/>
              </w:rPr>
            </w:pPr>
          </w:p>
          <w:p w14:paraId="2C66952A" w14:textId="7C020DF2" w:rsidR="005E7785" w:rsidRPr="005D6ED0" w:rsidRDefault="008D4216" w:rsidP="005E7785">
            <w:pPr>
              <w:pStyle w:val="Bulletpointparagraph"/>
              <w:rPr>
                <w:rFonts w:cs="Arial"/>
                <w:b w:val="0"/>
                <w:bCs/>
                <w:color w:val="000000" w:themeColor="text1"/>
              </w:rPr>
            </w:pPr>
            <w:r>
              <w:rPr>
                <w:rFonts w:cs="Arial"/>
                <w:b w:val="0"/>
                <w:bCs/>
                <w:color w:val="000000" w:themeColor="text1"/>
              </w:rPr>
              <w:t xml:space="preserve">very </w:t>
            </w:r>
            <w:r w:rsidR="005E7785" w:rsidRPr="005D6ED0">
              <w:rPr>
                <w:rFonts w:cs="Arial"/>
                <w:b w:val="0"/>
                <w:bCs/>
                <w:color w:val="000000" w:themeColor="text1"/>
              </w:rPr>
              <w:t xml:space="preserve">confident that our </w:t>
            </w:r>
            <w:r w:rsidR="005A4A16">
              <w:rPr>
                <w:rFonts w:cs="Arial"/>
                <w:b w:val="0"/>
                <w:bCs/>
                <w:color w:val="000000" w:themeColor="text1"/>
              </w:rPr>
              <w:t xml:space="preserve">performance rating is </w:t>
            </w:r>
            <w:r>
              <w:rPr>
                <w:rFonts w:cs="Arial"/>
                <w:b w:val="0"/>
                <w:bCs/>
                <w:color w:val="000000" w:themeColor="text1"/>
              </w:rPr>
              <w:t>standard</w:t>
            </w:r>
            <w:r w:rsidR="005D6ED0" w:rsidRPr="005D6ED0">
              <w:rPr>
                <w:rFonts w:cs="Arial"/>
                <w:b w:val="0"/>
                <w:bCs/>
                <w:color w:val="000000" w:themeColor="text1"/>
              </w:rPr>
              <w:t>;</w:t>
            </w:r>
          </w:p>
          <w:p w14:paraId="76753F33" w14:textId="7C26AD68" w:rsidR="005E7785" w:rsidRPr="005D6ED0" w:rsidRDefault="00261A48" w:rsidP="005E7785">
            <w:pPr>
              <w:pStyle w:val="Bulletpointparagraph"/>
              <w:rPr>
                <w:rFonts w:cs="Arial"/>
                <w:b w:val="0"/>
                <w:bCs/>
                <w:color w:val="000000" w:themeColor="text1"/>
              </w:rPr>
            </w:pPr>
            <w:r>
              <w:rPr>
                <w:rFonts w:cs="Arial"/>
                <w:b w:val="0"/>
                <w:bCs/>
                <w:color w:val="000000" w:themeColor="text1"/>
              </w:rPr>
              <w:t xml:space="preserve">very </w:t>
            </w:r>
            <w:r w:rsidR="005E7785" w:rsidRPr="005D6ED0">
              <w:rPr>
                <w:rFonts w:cs="Arial"/>
                <w:b w:val="0"/>
                <w:bCs/>
                <w:color w:val="000000" w:themeColor="text1"/>
              </w:rPr>
              <w:t xml:space="preserve">confident that our </w:t>
            </w:r>
            <w:r w:rsidR="005A4A16">
              <w:rPr>
                <w:rFonts w:cs="Arial"/>
                <w:b w:val="0"/>
                <w:bCs/>
                <w:color w:val="000000" w:themeColor="text1"/>
              </w:rPr>
              <w:t>risk rating is standard</w:t>
            </w:r>
            <w:r w:rsidR="005D6ED0" w:rsidRPr="005D6ED0">
              <w:rPr>
                <w:rFonts w:cs="Arial"/>
                <w:b w:val="0"/>
                <w:bCs/>
                <w:color w:val="000000" w:themeColor="text1"/>
              </w:rPr>
              <w:t>;</w:t>
            </w:r>
          </w:p>
          <w:p w14:paraId="0B068AA8" w14:textId="2DC607F6" w:rsidR="005E7785" w:rsidRPr="005D6ED0" w:rsidRDefault="000B23E8" w:rsidP="005E7785">
            <w:pPr>
              <w:pStyle w:val="Bulletpointparagraph"/>
              <w:rPr>
                <w:rFonts w:cs="Arial"/>
                <w:b w:val="0"/>
                <w:bCs/>
                <w:color w:val="000000" w:themeColor="text1"/>
              </w:rPr>
            </w:pPr>
            <w:r>
              <w:rPr>
                <w:rFonts w:cs="Arial"/>
                <w:b w:val="0"/>
                <w:bCs/>
                <w:color w:val="000000" w:themeColor="text1"/>
              </w:rPr>
              <w:t>satisfied</w:t>
            </w:r>
            <w:r w:rsidR="005E7785" w:rsidRPr="005D6ED0">
              <w:rPr>
                <w:rFonts w:cs="Arial"/>
                <w:b w:val="0"/>
                <w:bCs/>
                <w:color w:val="000000" w:themeColor="text1"/>
              </w:rPr>
              <w:t xml:space="preserve"> that our </w:t>
            </w:r>
            <w:r w:rsidR="005A4A16">
              <w:rPr>
                <w:rFonts w:cs="Arial"/>
                <w:b w:val="0"/>
                <w:bCs/>
                <w:color w:val="000000" w:themeColor="text1"/>
              </w:rPr>
              <w:t xml:space="preserve">engagement rating is </w:t>
            </w:r>
            <w:r>
              <w:rPr>
                <w:rFonts w:cs="Arial"/>
                <w:b w:val="0"/>
                <w:bCs/>
                <w:color w:val="000000" w:themeColor="text1"/>
              </w:rPr>
              <w:t>a</w:t>
            </w:r>
            <w:r w:rsidR="008F66B0">
              <w:rPr>
                <w:rFonts w:cs="Arial"/>
                <w:b w:val="0"/>
                <w:bCs/>
                <w:color w:val="000000" w:themeColor="text1"/>
              </w:rPr>
              <w:t>d</w:t>
            </w:r>
            <w:r>
              <w:rPr>
                <w:rFonts w:cs="Arial"/>
                <w:b w:val="0"/>
                <w:bCs/>
                <w:color w:val="000000" w:themeColor="text1"/>
              </w:rPr>
              <w:t>vanced</w:t>
            </w:r>
            <w:r w:rsidR="004E79E5" w:rsidRPr="005D6ED0">
              <w:rPr>
                <w:rFonts w:cs="Arial"/>
                <w:b w:val="0"/>
                <w:bCs/>
                <w:color w:val="000000" w:themeColor="text1"/>
              </w:rPr>
              <w:t>;</w:t>
            </w:r>
          </w:p>
          <w:p w14:paraId="1501FDB7" w14:textId="34F6ECF2" w:rsidR="005E7785" w:rsidRPr="005D6ED0" w:rsidRDefault="005E7785" w:rsidP="005E7785">
            <w:pPr>
              <w:pStyle w:val="Bulletpointparagraph"/>
              <w:rPr>
                <w:rFonts w:cs="Arial"/>
                <w:b w:val="0"/>
                <w:bCs/>
                <w:color w:val="000000" w:themeColor="text1"/>
              </w:rPr>
            </w:pPr>
            <w:r w:rsidRPr="005D6ED0">
              <w:rPr>
                <w:rFonts w:cs="Arial"/>
                <w:b w:val="0"/>
                <w:bCs/>
                <w:color w:val="000000" w:themeColor="text1"/>
              </w:rPr>
              <w:t>very confident that our</w:t>
            </w:r>
            <w:r w:rsidR="005A4A16">
              <w:rPr>
                <w:rFonts w:cs="Arial"/>
                <w:b w:val="0"/>
                <w:bCs/>
                <w:color w:val="000000" w:themeColor="text1"/>
              </w:rPr>
              <w:t xml:space="preserve"> management rating is standard</w:t>
            </w:r>
            <w:r w:rsidR="006220F6">
              <w:rPr>
                <w:rFonts w:cs="Arial"/>
                <w:b w:val="0"/>
                <w:bCs/>
                <w:color w:val="000000" w:themeColor="text1"/>
              </w:rPr>
              <w:t>;</w:t>
            </w:r>
            <w:r w:rsidR="004E79E5" w:rsidRPr="005D6ED0">
              <w:rPr>
                <w:rFonts w:cs="Arial"/>
                <w:b w:val="0"/>
                <w:bCs/>
                <w:color w:val="000000" w:themeColor="text1"/>
              </w:rPr>
              <w:t xml:space="preserve"> and</w:t>
            </w:r>
          </w:p>
          <w:p w14:paraId="19B8D162" w14:textId="77777777" w:rsidR="00CE59B4" w:rsidRPr="006220F6" w:rsidRDefault="004E79E5" w:rsidP="004E79E5">
            <w:pPr>
              <w:pStyle w:val="Bulletpointparagraph"/>
              <w:rPr>
                <w:rFonts w:cs="Arial"/>
                <w:b w:val="0"/>
              </w:rPr>
            </w:pPr>
            <w:r w:rsidRPr="005D6ED0">
              <w:rPr>
                <w:rFonts w:cs="Arial"/>
                <w:b w:val="0"/>
                <w:bCs/>
                <w:color w:val="000000" w:themeColor="text1"/>
              </w:rPr>
              <w:t xml:space="preserve">satisfied that our </w:t>
            </w:r>
            <w:r w:rsidR="006220F6">
              <w:rPr>
                <w:rFonts w:cs="Arial"/>
                <w:b w:val="0"/>
                <w:bCs/>
                <w:color w:val="000000" w:themeColor="text1"/>
              </w:rPr>
              <w:t>outcome rating is advanced</w:t>
            </w:r>
            <w:r w:rsidRPr="005D6ED0">
              <w:rPr>
                <w:rFonts w:cs="Arial"/>
                <w:b w:val="0"/>
                <w:bCs/>
                <w:color w:val="000000" w:themeColor="text1"/>
              </w:rPr>
              <w:t>.</w:t>
            </w:r>
          </w:p>
          <w:p w14:paraId="03D7FD79" w14:textId="04285105" w:rsidR="00CE59B4" w:rsidRPr="00192F41" w:rsidRDefault="00CE59B4" w:rsidP="006220F6"/>
        </w:tc>
      </w:tr>
    </w:tbl>
    <w:p w14:paraId="0093C3F3" w14:textId="77777777" w:rsidR="00A34646" w:rsidRPr="00192F41" w:rsidRDefault="00A34646" w:rsidP="00053F3D">
      <w:pPr>
        <w:rPr>
          <w:rFonts w:cs="Arial"/>
          <w:shd w:val="clear" w:color="auto" w:fill="FAF9F8"/>
        </w:rPr>
      </w:pPr>
    </w:p>
    <w:p w14:paraId="38E14C95" w14:textId="673C844E" w:rsidR="00053F3D" w:rsidRPr="00852505" w:rsidRDefault="00053F3D" w:rsidP="008E0AED">
      <w:pPr>
        <w:jc w:val="both"/>
      </w:pPr>
      <w:r w:rsidRPr="00852505">
        <w:t>SRW is committed to provid</w:t>
      </w:r>
      <w:r w:rsidR="00A70467" w:rsidRPr="00852505">
        <w:t>ing</w:t>
      </w:r>
      <w:r w:rsidRPr="00852505">
        <w:t xml:space="preserve"> great value to customers. We have invested in our infrastructure and service, creating opportunities for customers to increase efficiencies, expand profitability and generate state-wide employment benefits.</w:t>
      </w:r>
      <w:r w:rsidR="00A2451A" w:rsidRPr="00852505">
        <w:t xml:space="preserve"> Our proposal provides for the prudent and efficient use of resources to continue these endeavours.</w:t>
      </w:r>
    </w:p>
    <w:p w14:paraId="7DE99F93" w14:textId="67DD90A1" w:rsidR="007560D5" w:rsidRDefault="005E5276" w:rsidP="008E0AED">
      <w:pPr>
        <w:jc w:val="both"/>
        <w:rPr>
          <w:rFonts w:cs="Arial"/>
        </w:rPr>
      </w:pPr>
      <w:r w:rsidRPr="00852505">
        <w:t>W</w:t>
      </w:r>
      <w:r w:rsidR="003E1552" w:rsidRPr="00852505">
        <w:t>ith a</w:t>
      </w:r>
      <w:r w:rsidR="007B228E" w:rsidRPr="00852505">
        <w:t>n</w:t>
      </w:r>
      <w:r w:rsidR="003E1552" w:rsidRPr="00852505">
        <w:t xml:space="preserve"> </w:t>
      </w:r>
      <w:r w:rsidR="009C23DE" w:rsidRPr="00852505">
        <w:t xml:space="preserve">overall score of 13.44 and having regard </w:t>
      </w:r>
      <w:r w:rsidR="008853C8" w:rsidRPr="00852505">
        <w:t xml:space="preserve">to the preceding sections we </w:t>
      </w:r>
      <w:r w:rsidRPr="00852505">
        <w:t xml:space="preserve">are </w:t>
      </w:r>
      <w:r w:rsidR="00557D33" w:rsidRPr="00852505">
        <w:t xml:space="preserve">very </w:t>
      </w:r>
      <w:r w:rsidRPr="00852505">
        <w:t xml:space="preserve">confident of </w:t>
      </w:r>
      <w:r w:rsidRPr="00192F41">
        <w:rPr>
          <w:rFonts w:cs="Arial"/>
        </w:rPr>
        <w:t>proposing a PREMO rating of Standard</w:t>
      </w:r>
      <w:r w:rsidR="007560D5">
        <w:rPr>
          <w:rFonts w:cs="Arial"/>
        </w:rPr>
        <w:t>:</w:t>
      </w:r>
    </w:p>
    <w:p w14:paraId="24CA7518" w14:textId="12E01B03" w:rsidR="004B0814" w:rsidRPr="004B0814" w:rsidRDefault="006F3E51" w:rsidP="008E0AED">
      <w:pPr>
        <w:pStyle w:val="Bulletpointparagraph"/>
        <w:jc w:val="both"/>
        <w:rPr>
          <w:rFonts w:cs="Arial"/>
          <w:b/>
          <w:bCs/>
          <w:color w:val="000000" w:themeColor="text1"/>
        </w:rPr>
      </w:pPr>
      <w:r>
        <w:rPr>
          <w:rFonts w:cs="Arial"/>
          <w:bCs/>
          <w:color w:val="000000" w:themeColor="text1"/>
        </w:rPr>
        <w:t xml:space="preserve">While having faced some challenges in delivering </w:t>
      </w:r>
      <w:r w:rsidR="000F3219">
        <w:rPr>
          <w:rFonts w:cs="Arial"/>
          <w:bCs/>
          <w:color w:val="000000" w:themeColor="text1"/>
        </w:rPr>
        <w:t xml:space="preserve">on our OPEX and CAPEX, we have nonetheless </w:t>
      </w:r>
      <w:r w:rsidR="000D691E" w:rsidRPr="004B0814">
        <w:rPr>
          <w:rFonts w:cs="Arial"/>
          <w:bCs/>
          <w:color w:val="000000" w:themeColor="text1"/>
        </w:rPr>
        <w:t>d</w:t>
      </w:r>
      <w:r w:rsidR="003430EE" w:rsidRPr="004B0814">
        <w:rPr>
          <w:rFonts w:cs="Arial"/>
          <w:bCs/>
          <w:color w:val="000000" w:themeColor="text1"/>
        </w:rPr>
        <w:t xml:space="preserve">elivered on </w:t>
      </w:r>
      <w:r w:rsidR="000F3219">
        <w:rPr>
          <w:rFonts w:cs="Arial"/>
          <w:bCs/>
          <w:color w:val="000000" w:themeColor="text1"/>
        </w:rPr>
        <w:t>most of</w:t>
      </w:r>
      <w:r w:rsidR="003430EE" w:rsidRPr="004B0814">
        <w:rPr>
          <w:rFonts w:cs="Arial"/>
          <w:bCs/>
          <w:color w:val="000000" w:themeColor="text1"/>
        </w:rPr>
        <w:t xml:space="preserve"> our Price Submission 2018 commitments</w:t>
      </w:r>
      <w:r w:rsidR="000D691E" w:rsidRPr="004B0814">
        <w:rPr>
          <w:rFonts w:cs="Arial"/>
          <w:bCs/>
          <w:color w:val="000000" w:themeColor="text1"/>
        </w:rPr>
        <w:t xml:space="preserve"> and c</w:t>
      </w:r>
      <w:r w:rsidR="0078515C" w:rsidRPr="004B0814">
        <w:rPr>
          <w:rFonts w:cs="Arial"/>
          <w:bCs/>
          <w:color w:val="000000" w:themeColor="text1"/>
        </w:rPr>
        <w:t xml:space="preserve">onstantly met or exceeded most of our customer outcomes </w:t>
      </w:r>
      <w:r w:rsidR="00A058EF">
        <w:rPr>
          <w:rFonts w:cs="Arial"/>
          <w:bCs/>
          <w:color w:val="000000" w:themeColor="text1"/>
        </w:rPr>
        <w:t>(</w:t>
      </w:r>
      <w:r w:rsidR="0078515C" w:rsidRPr="004B0814">
        <w:rPr>
          <w:rFonts w:cs="Arial"/>
          <w:bCs/>
          <w:color w:val="000000" w:themeColor="text1"/>
        </w:rPr>
        <w:t>with 76% of customers recently indicating that we are living up to their expectations</w:t>
      </w:r>
      <w:r w:rsidR="00A058EF">
        <w:rPr>
          <w:rFonts w:cs="Arial"/>
          <w:bCs/>
          <w:color w:val="000000" w:themeColor="text1"/>
        </w:rPr>
        <w:t>)</w:t>
      </w:r>
      <w:r w:rsidR="0078515C" w:rsidRPr="004B0814">
        <w:rPr>
          <w:rFonts w:cs="Arial"/>
          <w:bCs/>
          <w:color w:val="000000" w:themeColor="text1"/>
        </w:rPr>
        <w:t xml:space="preserve">, we are </w:t>
      </w:r>
      <w:r w:rsidR="00910D60">
        <w:rPr>
          <w:rFonts w:cs="Arial"/>
          <w:bCs/>
          <w:color w:val="000000" w:themeColor="text1"/>
        </w:rPr>
        <w:t xml:space="preserve">very </w:t>
      </w:r>
      <w:r w:rsidR="0078515C" w:rsidRPr="004B0814">
        <w:rPr>
          <w:rFonts w:cs="Arial"/>
          <w:bCs/>
          <w:color w:val="000000" w:themeColor="text1"/>
        </w:rPr>
        <w:t xml:space="preserve">confident that our </w:t>
      </w:r>
      <w:r w:rsidR="00256C52" w:rsidRPr="004B0814">
        <w:rPr>
          <w:rFonts w:cs="Arial"/>
          <w:color w:val="000000" w:themeColor="text1"/>
        </w:rPr>
        <w:t xml:space="preserve">performance rating is </w:t>
      </w:r>
      <w:r w:rsidR="00910D60">
        <w:rPr>
          <w:rFonts w:cs="Arial"/>
          <w:color w:val="000000" w:themeColor="text1"/>
        </w:rPr>
        <w:t>standard</w:t>
      </w:r>
      <w:r w:rsidR="00256C52" w:rsidRPr="004B0814">
        <w:rPr>
          <w:rFonts w:cs="Arial"/>
          <w:color w:val="000000" w:themeColor="text1"/>
        </w:rPr>
        <w:t xml:space="preserve"> </w:t>
      </w:r>
      <w:r w:rsidR="009679DB">
        <w:rPr>
          <w:rFonts w:cs="Arial"/>
          <w:color w:val="000000" w:themeColor="text1"/>
        </w:rPr>
        <w:t>at</w:t>
      </w:r>
      <w:r w:rsidR="0078515C" w:rsidRPr="004B0814">
        <w:rPr>
          <w:rFonts w:cs="Arial"/>
          <w:color w:val="000000" w:themeColor="text1"/>
        </w:rPr>
        <w:t xml:space="preserve"> </w:t>
      </w:r>
      <w:r w:rsidR="0078515C" w:rsidRPr="0085311F">
        <w:rPr>
          <w:rFonts w:cs="Arial"/>
          <w:color w:val="000000" w:themeColor="text1"/>
        </w:rPr>
        <w:t>2.</w:t>
      </w:r>
      <w:r w:rsidR="00272A28" w:rsidRPr="0085311F">
        <w:rPr>
          <w:rFonts w:cs="Arial"/>
          <w:color w:val="000000" w:themeColor="text1"/>
        </w:rPr>
        <w:t>50</w:t>
      </w:r>
      <w:r w:rsidR="001543A8">
        <w:rPr>
          <w:rFonts w:cs="Arial"/>
          <w:color w:val="000000" w:themeColor="text1"/>
        </w:rPr>
        <w:t>.</w:t>
      </w:r>
    </w:p>
    <w:p w14:paraId="0AD0579E" w14:textId="503A6D46" w:rsidR="0078515C" w:rsidRPr="00192F41" w:rsidRDefault="0078515C" w:rsidP="008E0AED">
      <w:pPr>
        <w:pStyle w:val="Bulletpointparagraph"/>
        <w:jc w:val="both"/>
        <w:rPr>
          <w:rFonts w:cs="Arial"/>
          <w:b/>
          <w:bCs/>
          <w:color w:val="000000" w:themeColor="text1"/>
        </w:rPr>
      </w:pPr>
      <w:r w:rsidRPr="00192F41">
        <w:rPr>
          <w:rFonts w:cs="Arial"/>
          <w:bCs/>
          <w:color w:val="000000" w:themeColor="text1"/>
        </w:rPr>
        <w:t xml:space="preserve">With mature risk management and capital planning processes in place, along with low exposure to emerging risk (e.g., climate change, drought impacts on revenues and rising energy costs), we are </w:t>
      </w:r>
      <w:r w:rsidR="005B05B5">
        <w:rPr>
          <w:rFonts w:cs="Arial"/>
          <w:bCs/>
          <w:color w:val="000000" w:themeColor="text1"/>
        </w:rPr>
        <w:t xml:space="preserve">very </w:t>
      </w:r>
      <w:r w:rsidRPr="00192F41">
        <w:rPr>
          <w:rFonts w:cs="Arial"/>
          <w:bCs/>
          <w:color w:val="000000" w:themeColor="text1"/>
        </w:rPr>
        <w:t xml:space="preserve">confident that our </w:t>
      </w:r>
      <w:r w:rsidR="00256C52" w:rsidRPr="004B0814">
        <w:rPr>
          <w:rFonts w:cs="Arial"/>
          <w:bCs/>
          <w:color w:val="000000" w:themeColor="text1"/>
        </w:rPr>
        <w:t>risk rating is standard</w:t>
      </w:r>
      <w:r w:rsidRPr="00192F41">
        <w:rPr>
          <w:rFonts w:cs="Arial"/>
          <w:color w:val="000000" w:themeColor="text1"/>
        </w:rPr>
        <w:t xml:space="preserve"> </w:t>
      </w:r>
      <w:r w:rsidR="009679DB">
        <w:rPr>
          <w:rFonts w:cs="Arial"/>
          <w:color w:val="000000" w:themeColor="text1"/>
        </w:rPr>
        <w:t>at</w:t>
      </w:r>
      <w:r w:rsidRPr="00192F41">
        <w:rPr>
          <w:rFonts w:cs="Arial"/>
          <w:color w:val="000000" w:themeColor="text1"/>
        </w:rPr>
        <w:t xml:space="preserve"> </w:t>
      </w:r>
      <w:r w:rsidRPr="0085311F">
        <w:rPr>
          <w:rFonts w:cs="Arial"/>
          <w:color w:val="000000" w:themeColor="text1"/>
        </w:rPr>
        <w:t>2.5</w:t>
      </w:r>
      <w:r w:rsidR="00B15334" w:rsidRPr="0085311F">
        <w:rPr>
          <w:rFonts w:cs="Arial"/>
          <w:color w:val="000000" w:themeColor="text1"/>
        </w:rPr>
        <w:t>0</w:t>
      </w:r>
      <w:r w:rsidR="001543A8">
        <w:rPr>
          <w:rFonts w:cs="Arial"/>
          <w:color w:val="000000" w:themeColor="text1"/>
        </w:rPr>
        <w:t>.</w:t>
      </w:r>
    </w:p>
    <w:p w14:paraId="75BE077C" w14:textId="5ED401B7" w:rsidR="0078515C" w:rsidRPr="00192F41" w:rsidRDefault="0078515C" w:rsidP="008E0AED">
      <w:pPr>
        <w:pStyle w:val="Bulletpointparagraph"/>
        <w:jc w:val="both"/>
        <w:rPr>
          <w:rFonts w:cs="Arial"/>
          <w:b/>
          <w:bCs/>
          <w:color w:val="000000" w:themeColor="text1"/>
        </w:rPr>
      </w:pPr>
      <w:r w:rsidRPr="00192F41">
        <w:rPr>
          <w:rFonts w:cs="Arial"/>
          <w:bCs/>
          <w:color w:val="000000" w:themeColor="text1"/>
        </w:rPr>
        <w:t xml:space="preserve">Consistent with the existing close relationship with our customers and the implementation of a tailored engagement program that provided opportunities for all customers from right across southern Victoria, to provide input into the price submission, we are </w:t>
      </w:r>
      <w:r w:rsidR="00C65A31">
        <w:rPr>
          <w:rFonts w:cs="Arial"/>
          <w:bCs/>
          <w:color w:val="000000" w:themeColor="text1"/>
        </w:rPr>
        <w:t>satisfied</w:t>
      </w:r>
      <w:r w:rsidRPr="00192F41">
        <w:rPr>
          <w:rFonts w:cs="Arial"/>
          <w:bCs/>
          <w:color w:val="000000" w:themeColor="text1"/>
        </w:rPr>
        <w:t xml:space="preserve"> that our </w:t>
      </w:r>
      <w:r w:rsidR="00256C52">
        <w:rPr>
          <w:rFonts w:cs="Arial"/>
          <w:bCs/>
          <w:color w:val="000000" w:themeColor="text1"/>
        </w:rPr>
        <w:t>engagement rating</w:t>
      </w:r>
      <w:r w:rsidRPr="00192F41">
        <w:rPr>
          <w:rFonts w:cs="Arial"/>
          <w:color w:val="000000" w:themeColor="text1"/>
        </w:rPr>
        <w:t xml:space="preserve"> is </w:t>
      </w:r>
      <w:r w:rsidR="00C65A31">
        <w:rPr>
          <w:rFonts w:cs="Arial"/>
          <w:bCs/>
          <w:color w:val="000000" w:themeColor="text1"/>
        </w:rPr>
        <w:t>a</w:t>
      </w:r>
      <w:r w:rsidR="006A0D29">
        <w:rPr>
          <w:rFonts w:cs="Arial"/>
          <w:bCs/>
          <w:color w:val="000000" w:themeColor="text1"/>
        </w:rPr>
        <w:t>d</w:t>
      </w:r>
      <w:r w:rsidR="00C65A31">
        <w:rPr>
          <w:rFonts w:cs="Arial"/>
          <w:bCs/>
          <w:color w:val="000000" w:themeColor="text1"/>
        </w:rPr>
        <w:t>vanced</w:t>
      </w:r>
      <w:r w:rsidRPr="00192F41">
        <w:rPr>
          <w:rFonts w:cs="Arial"/>
          <w:color w:val="000000" w:themeColor="text1"/>
        </w:rPr>
        <w:t xml:space="preserve"> </w:t>
      </w:r>
      <w:r w:rsidR="009679DB">
        <w:rPr>
          <w:rFonts w:cs="Arial"/>
          <w:color w:val="000000" w:themeColor="text1"/>
        </w:rPr>
        <w:t>at</w:t>
      </w:r>
      <w:r w:rsidRPr="00192F41">
        <w:rPr>
          <w:rFonts w:cs="Arial"/>
          <w:color w:val="000000" w:themeColor="text1"/>
        </w:rPr>
        <w:t xml:space="preserve"> </w:t>
      </w:r>
      <w:r w:rsidRPr="0085311F">
        <w:rPr>
          <w:rFonts w:cs="Arial"/>
          <w:color w:val="000000" w:themeColor="text1"/>
        </w:rPr>
        <w:t>2.</w:t>
      </w:r>
      <w:r w:rsidR="006A0D29" w:rsidRPr="0085311F">
        <w:rPr>
          <w:rFonts w:cs="Arial"/>
          <w:color w:val="000000" w:themeColor="text1"/>
        </w:rPr>
        <w:t>89</w:t>
      </w:r>
      <w:r w:rsidR="001543A8">
        <w:rPr>
          <w:rFonts w:cs="Arial"/>
          <w:color w:val="000000" w:themeColor="text1"/>
        </w:rPr>
        <w:t>.</w:t>
      </w:r>
    </w:p>
    <w:p w14:paraId="16321E01" w14:textId="4CE56A61" w:rsidR="0078515C" w:rsidRPr="00192F41" w:rsidRDefault="0078515C" w:rsidP="008E0AED">
      <w:pPr>
        <w:pStyle w:val="Bulletpointparagraph"/>
        <w:jc w:val="both"/>
        <w:rPr>
          <w:rFonts w:cs="Arial"/>
          <w:b/>
          <w:bCs/>
          <w:color w:val="000000" w:themeColor="text1"/>
        </w:rPr>
      </w:pPr>
      <w:r w:rsidRPr="00192F41">
        <w:rPr>
          <w:rFonts w:cs="Arial"/>
          <w:bCs/>
          <w:color w:val="000000" w:themeColor="text1"/>
        </w:rPr>
        <w:t xml:space="preserve">With full board support for our submission which has been developed with the assistance of leading consultants (Aither, KBR and Bartley Consulting), SRW continues its journey of managing costs and setting prices based on prudent and efficient expenditure, we are very confident that our </w:t>
      </w:r>
      <w:r w:rsidR="00256C52">
        <w:rPr>
          <w:rFonts w:cs="Arial"/>
          <w:bCs/>
          <w:color w:val="000000" w:themeColor="text1"/>
        </w:rPr>
        <w:t>management rating</w:t>
      </w:r>
      <w:r w:rsidRPr="00192F41">
        <w:rPr>
          <w:rFonts w:cs="Arial"/>
          <w:color w:val="000000" w:themeColor="text1"/>
        </w:rPr>
        <w:t xml:space="preserve"> is </w:t>
      </w:r>
      <w:r w:rsidR="00256C52">
        <w:rPr>
          <w:rFonts w:cs="Arial"/>
          <w:bCs/>
          <w:color w:val="000000" w:themeColor="text1"/>
        </w:rPr>
        <w:t>standard</w:t>
      </w:r>
      <w:r w:rsidRPr="00192F41">
        <w:rPr>
          <w:rFonts w:cs="Arial"/>
          <w:color w:val="000000" w:themeColor="text1"/>
        </w:rPr>
        <w:t xml:space="preserve"> </w:t>
      </w:r>
      <w:r w:rsidR="009679DB">
        <w:rPr>
          <w:rFonts w:cs="Arial"/>
          <w:color w:val="000000" w:themeColor="text1"/>
        </w:rPr>
        <w:t>at</w:t>
      </w:r>
      <w:r w:rsidRPr="00192F41">
        <w:rPr>
          <w:rFonts w:cs="Arial"/>
          <w:color w:val="000000" w:themeColor="text1"/>
        </w:rPr>
        <w:t xml:space="preserve"> </w:t>
      </w:r>
      <w:r w:rsidRPr="0085311F">
        <w:rPr>
          <w:rFonts w:cs="Arial"/>
          <w:color w:val="000000" w:themeColor="text1"/>
        </w:rPr>
        <w:t>2.60</w:t>
      </w:r>
      <w:r w:rsidR="001543A8">
        <w:rPr>
          <w:rFonts w:cs="Arial"/>
          <w:color w:val="000000" w:themeColor="text1"/>
        </w:rPr>
        <w:t>.</w:t>
      </w:r>
    </w:p>
    <w:p w14:paraId="1F7E649C" w14:textId="696FAF95" w:rsidR="00F52461" w:rsidRPr="00192F41" w:rsidRDefault="0078515C" w:rsidP="008E0AED">
      <w:pPr>
        <w:pStyle w:val="Bulletpointparagraph"/>
        <w:jc w:val="both"/>
      </w:pPr>
      <w:r w:rsidRPr="00192F41">
        <w:t xml:space="preserve">With the outcomes reflecting the priorities of our customers: (i.e., </w:t>
      </w:r>
      <w:r w:rsidR="00A42271">
        <w:t>r</w:t>
      </w:r>
      <w:r w:rsidRPr="00192F41">
        <w:t xml:space="preserve">eliable water supply: </w:t>
      </w:r>
      <w:r w:rsidR="00A42271">
        <w:t>s</w:t>
      </w:r>
      <w:r w:rsidRPr="00192F41">
        <w:t xml:space="preserve">ustainable water; </w:t>
      </w:r>
      <w:r w:rsidR="00A42271">
        <w:t>g</w:t>
      </w:r>
      <w:r w:rsidRPr="00192F41">
        <w:t xml:space="preserve">reat service; </w:t>
      </w:r>
      <w:r w:rsidR="00A42271">
        <w:t>v</w:t>
      </w:r>
      <w:r w:rsidRPr="00192F41">
        <w:t xml:space="preserve">alued community member: and </w:t>
      </w:r>
      <w:r w:rsidR="00A42271">
        <w:t>f</w:t>
      </w:r>
      <w:r w:rsidRPr="00192F41">
        <w:t>air and reasonable prices</w:t>
      </w:r>
      <w:r w:rsidR="00256C52">
        <w:t>)</w:t>
      </w:r>
      <w:r w:rsidRPr="00192F41">
        <w:t xml:space="preserve">, we are satisfied that our </w:t>
      </w:r>
      <w:r w:rsidR="00256C52">
        <w:t>outcome rating</w:t>
      </w:r>
      <w:r w:rsidRPr="00192F41">
        <w:t xml:space="preserve"> is </w:t>
      </w:r>
      <w:r w:rsidR="00256C52">
        <w:t>advanced</w:t>
      </w:r>
      <w:r w:rsidRPr="00192F41">
        <w:t xml:space="preserve"> </w:t>
      </w:r>
      <w:r w:rsidR="009679DB">
        <w:t>at</w:t>
      </w:r>
      <w:r w:rsidRPr="00192F41">
        <w:t xml:space="preserve"> </w:t>
      </w:r>
      <w:r w:rsidRPr="0085311F">
        <w:t>2.95</w:t>
      </w:r>
      <w:r w:rsidR="004B0814" w:rsidRPr="0085311F">
        <w:t>.</w:t>
      </w:r>
    </w:p>
    <w:p w14:paraId="7D9DEDD9" w14:textId="77777777" w:rsidR="005E5276" w:rsidRPr="00192F41" w:rsidRDefault="005E5276" w:rsidP="005E5276">
      <w:pPr>
        <w:rPr>
          <w:rFonts w:cs="Arial"/>
        </w:rPr>
      </w:pPr>
    </w:p>
    <w:p w14:paraId="2F1D6DAE" w14:textId="77777777" w:rsidR="006535E2" w:rsidRPr="00192F41" w:rsidRDefault="006535E2" w:rsidP="00C42955">
      <w:pPr>
        <w:rPr>
          <w:rStyle w:val="IntenseEmphasis"/>
          <w:rFonts w:cs="Arial"/>
          <w:i w:val="0"/>
          <w:iCs w:val="0"/>
          <w:color w:val="auto"/>
        </w:rPr>
        <w:sectPr w:rsidR="006535E2" w:rsidRPr="00192F41" w:rsidSect="00371483">
          <w:pgSz w:w="11906" w:h="16838"/>
          <w:pgMar w:top="2127" w:right="1133" w:bottom="851" w:left="1134" w:header="567" w:footer="0" w:gutter="0"/>
          <w:cols w:space="708"/>
          <w:titlePg/>
          <w:docGrid w:linePitch="360"/>
        </w:sectPr>
      </w:pPr>
    </w:p>
    <w:p w14:paraId="1FE9F750" w14:textId="388FBDE0" w:rsidR="00CB6C88" w:rsidRPr="00192F41" w:rsidRDefault="00CB6C88" w:rsidP="00CB6C88">
      <w:pPr>
        <w:pStyle w:val="Heading1"/>
        <w:rPr>
          <w:rStyle w:val="IntenseEmphasis"/>
          <w:rFonts w:cs="Arial"/>
          <w:i w:val="0"/>
          <w:iCs w:val="0"/>
          <w:color w:val="002B5C" w:themeColor="text2"/>
          <w:sz w:val="52"/>
        </w:rPr>
      </w:pPr>
      <w:bookmarkStart w:id="82" w:name="_Toc115263686"/>
      <w:r w:rsidRPr="00192F41">
        <w:rPr>
          <w:rStyle w:val="IntenseEmphasis"/>
          <w:rFonts w:cs="Arial"/>
          <w:i w:val="0"/>
          <w:iCs w:val="0"/>
          <w:color w:val="002B5C" w:themeColor="text2"/>
          <w:sz w:val="52"/>
        </w:rPr>
        <w:t>Abbreviations</w:t>
      </w:r>
      <w:bookmarkEnd w:id="82"/>
    </w:p>
    <w:p w14:paraId="6DC1756D"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BMID – Bacchus Marsh Irrigation District</w:t>
      </w:r>
    </w:p>
    <w:p w14:paraId="31C2CDBC"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CCC – Customer Consultative Committees</w:t>
      </w:r>
    </w:p>
    <w:p w14:paraId="195B77F2"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CPI – Consumer Price Index</w:t>
      </w:r>
    </w:p>
    <w:p w14:paraId="65153FCD"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CRG – Customer Reference Group</w:t>
      </w:r>
    </w:p>
    <w:p w14:paraId="7B3D80D9" w14:textId="77777777" w:rsidR="00CB6C88" w:rsidRPr="00192F41" w:rsidRDefault="00CB6C88" w:rsidP="00CB6C88">
      <w:pPr>
        <w:rPr>
          <w:rFonts w:cs="Arial"/>
        </w:rPr>
      </w:pPr>
      <w:r w:rsidRPr="00192F41">
        <w:rPr>
          <w:rFonts w:cs="Arial"/>
        </w:rPr>
        <w:t>DELWP – Department of Environment Land Water and Planning</w:t>
      </w:r>
    </w:p>
    <w:p w14:paraId="0184FBD3"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ESC – Essential Services Commission</w:t>
      </w:r>
    </w:p>
    <w:p w14:paraId="65BD6BD9"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G&amp;R – Groundwater and Rivers (the licensing function of SRW)</w:t>
      </w:r>
    </w:p>
    <w:p w14:paraId="2EDF4564" w14:textId="77777777" w:rsidR="00CB6C88" w:rsidRPr="00192F41" w:rsidRDefault="00CB6C88" w:rsidP="008E0AED">
      <w:pPr>
        <w:jc w:val="both"/>
        <w:rPr>
          <w:rFonts w:cs="Arial"/>
        </w:rPr>
      </w:pPr>
      <w:r w:rsidRPr="00192F41">
        <w:rPr>
          <w:rFonts w:cs="Arial"/>
        </w:rPr>
        <w:t>Guidance Paper - 2023 Water Price Review Guidance paper issued by the ESC on 26 October 2021</w:t>
      </w:r>
    </w:p>
    <w:p w14:paraId="5E12A80D" w14:textId="7E85CCFA" w:rsidR="002842A3" w:rsidRPr="00192F41" w:rsidRDefault="002842A3" w:rsidP="00CB6C88">
      <w:pPr>
        <w:rPr>
          <w:rFonts w:cs="Arial"/>
        </w:rPr>
      </w:pPr>
      <w:r>
        <w:rPr>
          <w:rFonts w:cs="Arial"/>
        </w:rPr>
        <w:t>M -</w:t>
      </w:r>
      <w:r w:rsidR="00D64E45">
        <w:rPr>
          <w:rFonts w:cs="Arial"/>
        </w:rPr>
        <w:t xml:space="preserve"> </w:t>
      </w:r>
      <w:r>
        <w:rPr>
          <w:rFonts w:cs="Arial"/>
        </w:rPr>
        <w:t>Million</w:t>
      </w:r>
    </w:p>
    <w:p w14:paraId="4675DF4D"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MIA – Macalister Irrigation Area</w:t>
      </w:r>
    </w:p>
    <w:p w14:paraId="33045BE0"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MID – Macalister Irrigation District</w:t>
      </w:r>
    </w:p>
    <w:p w14:paraId="49455E1E"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ML – Megalitres</w:t>
      </w:r>
    </w:p>
    <w:p w14:paraId="05387227"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PREMO – Performance, Risk, Engagement, Management &amp; Outcomes</w:t>
      </w:r>
    </w:p>
    <w:p w14:paraId="1C035B01" w14:textId="189A040A" w:rsidR="00753B15" w:rsidRPr="00192F41" w:rsidRDefault="00753B15" w:rsidP="008E0AED">
      <w:pPr>
        <w:jc w:val="both"/>
        <w:rPr>
          <w:rStyle w:val="IntenseEmphasis"/>
          <w:rFonts w:cs="Arial"/>
          <w:i w:val="0"/>
          <w:iCs w:val="0"/>
          <w:color w:val="auto"/>
        </w:rPr>
      </w:pPr>
      <w:r w:rsidRPr="00192F41">
        <w:rPr>
          <w:rStyle w:val="IntenseEmphasis"/>
          <w:rFonts w:cs="Arial"/>
          <w:i w:val="0"/>
          <w:iCs w:val="0"/>
          <w:color w:val="auto"/>
        </w:rPr>
        <w:t xml:space="preserve">Regulatory period – </w:t>
      </w:r>
      <w:r w:rsidR="00660413" w:rsidRPr="00192F41">
        <w:rPr>
          <w:rStyle w:val="IntenseEmphasis"/>
          <w:rFonts w:cs="Arial"/>
          <w:i w:val="0"/>
          <w:iCs w:val="0"/>
          <w:color w:val="auto"/>
        </w:rPr>
        <w:t>unless otherwise stated is financial</w:t>
      </w:r>
      <w:r w:rsidR="00DE26B1" w:rsidRPr="00192F41">
        <w:rPr>
          <w:rStyle w:val="IntenseEmphasis"/>
          <w:rFonts w:cs="Arial"/>
          <w:i w:val="0"/>
          <w:iCs w:val="0"/>
          <w:color w:val="auto"/>
        </w:rPr>
        <w:t xml:space="preserve"> years of </w:t>
      </w:r>
      <w:r w:rsidRPr="00192F41">
        <w:rPr>
          <w:rStyle w:val="IntenseEmphasis"/>
          <w:rFonts w:cs="Arial"/>
          <w:i w:val="0"/>
          <w:iCs w:val="0"/>
          <w:color w:val="auto"/>
        </w:rPr>
        <w:t>2023</w:t>
      </w:r>
      <w:r w:rsidR="00660413" w:rsidRPr="00192F41">
        <w:rPr>
          <w:rStyle w:val="IntenseEmphasis"/>
          <w:rFonts w:cs="Arial"/>
          <w:i w:val="0"/>
          <w:iCs w:val="0"/>
          <w:color w:val="auto"/>
        </w:rPr>
        <w:t xml:space="preserve">-4 to </w:t>
      </w:r>
      <w:r w:rsidRPr="00192F41">
        <w:rPr>
          <w:rStyle w:val="IntenseEmphasis"/>
          <w:rFonts w:cs="Arial"/>
          <w:i w:val="0"/>
          <w:iCs w:val="0"/>
          <w:color w:val="auto"/>
        </w:rPr>
        <w:t>2027-28</w:t>
      </w:r>
      <w:r w:rsidR="00DE26B1" w:rsidRPr="00192F41">
        <w:rPr>
          <w:rStyle w:val="IntenseEmphasis"/>
          <w:rFonts w:cs="Arial"/>
          <w:i w:val="0"/>
          <w:iCs w:val="0"/>
          <w:color w:val="auto"/>
        </w:rPr>
        <w:t xml:space="preserve">, </w:t>
      </w:r>
      <w:r w:rsidR="00DA2D10" w:rsidRPr="00192F41">
        <w:rPr>
          <w:rStyle w:val="IntenseEmphasis"/>
          <w:rFonts w:cs="Arial"/>
          <w:i w:val="0"/>
          <w:iCs w:val="0"/>
          <w:color w:val="auto"/>
        </w:rPr>
        <w:t>inclusive</w:t>
      </w:r>
    </w:p>
    <w:p w14:paraId="6180000F"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SRW – Southern Rural Water, the trading name of Gippsland and Southern Rural Water</w:t>
      </w:r>
    </w:p>
    <w:p w14:paraId="068F1AA4"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Submission – SRW Price Submission 2023</w:t>
      </w:r>
    </w:p>
    <w:p w14:paraId="3AFDBB3A" w14:textId="6754C095"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VEWH - Victorian Environmental Water Holder</w:t>
      </w:r>
    </w:p>
    <w:p w14:paraId="33047C02" w14:textId="77777777" w:rsidR="00CB6C88" w:rsidRPr="00192F41" w:rsidRDefault="00CB6C88" w:rsidP="00CB6C88">
      <w:pPr>
        <w:rPr>
          <w:rStyle w:val="IntenseEmphasis"/>
          <w:rFonts w:cs="Arial"/>
          <w:i w:val="0"/>
          <w:iCs w:val="0"/>
          <w:color w:val="auto"/>
        </w:rPr>
      </w:pPr>
      <w:r w:rsidRPr="00192F41">
        <w:rPr>
          <w:rStyle w:val="IntenseEmphasis"/>
          <w:rFonts w:cs="Arial"/>
          <w:i w:val="0"/>
          <w:iCs w:val="0"/>
          <w:color w:val="auto"/>
        </w:rPr>
        <w:t>WID – Werribee Irrigation District</w:t>
      </w:r>
    </w:p>
    <w:p w14:paraId="4E162DB2" w14:textId="77777777" w:rsidR="00CB6C88" w:rsidRPr="00192F41" w:rsidRDefault="00CB6C88" w:rsidP="00CB6C88">
      <w:pPr>
        <w:rPr>
          <w:rFonts w:cs="Arial"/>
        </w:rPr>
      </w:pPr>
    </w:p>
    <w:p w14:paraId="43E3DEC1" w14:textId="77777777" w:rsidR="00CB6C88" w:rsidRPr="00192F41" w:rsidRDefault="00CB6C88" w:rsidP="00CB6C88">
      <w:pPr>
        <w:rPr>
          <w:rFonts w:cs="Arial"/>
        </w:rPr>
      </w:pPr>
    </w:p>
    <w:p w14:paraId="17E56AD5" w14:textId="77777777" w:rsidR="00CB6C88" w:rsidRPr="00192F41" w:rsidRDefault="00CB6C88" w:rsidP="00CB6C88">
      <w:pPr>
        <w:rPr>
          <w:rFonts w:cs="Arial"/>
        </w:rPr>
      </w:pPr>
      <w:r w:rsidRPr="00192F41">
        <w:rPr>
          <w:rFonts w:cs="Arial"/>
        </w:rPr>
        <w:br w:type="page"/>
      </w:r>
    </w:p>
    <w:p w14:paraId="6B1ACE12" w14:textId="711B31B1" w:rsidR="00CB6C88" w:rsidRPr="00192F41" w:rsidRDefault="00CB6C88" w:rsidP="00CB6C88">
      <w:pPr>
        <w:pStyle w:val="Heading1"/>
        <w:rPr>
          <w:rStyle w:val="IntenseEmphasis"/>
          <w:rFonts w:cs="Arial"/>
          <w:i w:val="0"/>
          <w:iCs w:val="0"/>
          <w:color w:val="002B5C" w:themeColor="text2"/>
          <w:sz w:val="52"/>
        </w:rPr>
      </w:pPr>
      <w:bookmarkStart w:id="83" w:name="_Toc115263687"/>
      <w:r w:rsidRPr="00192F41">
        <w:rPr>
          <w:rStyle w:val="IntenseEmphasis"/>
          <w:rFonts w:cs="Arial"/>
          <w:i w:val="0"/>
          <w:iCs w:val="0"/>
          <w:color w:val="002B5C" w:themeColor="text2"/>
          <w:sz w:val="52"/>
        </w:rPr>
        <w:t>Appendices</w:t>
      </w:r>
      <w:bookmarkEnd w:id="83"/>
    </w:p>
    <w:p w14:paraId="7E6088AA" w14:textId="77777777" w:rsidR="00CB6C88" w:rsidRPr="00192F41" w:rsidRDefault="00CB6C88" w:rsidP="00CB6C88">
      <w:pPr>
        <w:pStyle w:val="Bulletpointparagraph"/>
        <w:numPr>
          <w:ilvl w:val="0"/>
          <w:numId w:val="0"/>
        </w:numPr>
        <w:ind w:left="360"/>
        <w:rPr>
          <w:rStyle w:val="IntenseReference"/>
          <w:rFonts w:cs="Arial"/>
        </w:rPr>
      </w:pPr>
      <w:r w:rsidRPr="00192F41">
        <w:rPr>
          <w:rStyle w:val="IntenseReference"/>
          <w:rFonts w:cs="Arial"/>
        </w:rPr>
        <w:t>Appendix A – Tariff Schedule 2023-4</w:t>
      </w:r>
    </w:p>
    <w:p w14:paraId="5867D2F9" w14:textId="77777777" w:rsidR="00CB6C88" w:rsidRPr="00192F41" w:rsidRDefault="00CB6C88" w:rsidP="00CB6C88">
      <w:pPr>
        <w:pStyle w:val="Bulletpointparagraph"/>
        <w:numPr>
          <w:ilvl w:val="0"/>
          <w:numId w:val="0"/>
        </w:numPr>
        <w:ind w:left="360"/>
        <w:rPr>
          <w:rStyle w:val="IntenseReference"/>
          <w:rFonts w:cs="Arial"/>
        </w:rPr>
      </w:pPr>
    </w:p>
    <w:p w14:paraId="483B9D2D" w14:textId="67F86DDA" w:rsidR="00D36944" w:rsidRDefault="00D36944" w:rsidP="00D36944">
      <w:pPr>
        <w:pStyle w:val="Bulletpointparagraph"/>
        <w:numPr>
          <w:ilvl w:val="0"/>
          <w:numId w:val="0"/>
        </w:numPr>
        <w:ind w:left="360"/>
        <w:rPr>
          <w:rStyle w:val="IntenseReference"/>
          <w:rFonts w:cs="Arial"/>
        </w:rPr>
      </w:pPr>
      <w:r w:rsidRPr="00192F41">
        <w:rPr>
          <w:rStyle w:val="IntenseReference"/>
          <w:rFonts w:cs="Arial"/>
        </w:rPr>
        <w:t xml:space="preserve">Appendix </w:t>
      </w:r>
      <w:r w:rsidR="00A57C78">
        <w:rPr>
          <w:rStyle w:val="IntenseReference"/>
          <w:rFonts w:cs="Arial"/>
        </w:rPr>
        <w:t>B</w:t>
      </w:r>
      <w:r w:rsidRPr="00192F41">
        <w:rPr>
          <w:rStyle w:val="IntenseReference"/>
          <w:rFonts w:cs="Arial"/>
        </w:rPr>
        <w:t xml:space="preserve"> – </w:t>
      </w:r>
      <w:r>
        <w:rPr>
          <w:rStyle w:val="IntenseReference"/>
          <w:rFonts w:cs="Arial"/>
        </w:rPr>
        <w:t>PREMO ratings</w:t>
      </w:r>
    </w:p>
    <w:p w14:paraId="2EC1BAC3" w14:textId="77777777" w:rsidR="00CB6C88" w:rsidRPr="00192F41" w:rsidRDefault="00CB6C88" w:rsidP="00CB6C88">
      <w:pPr>
        <w:pStyle w:val="Bulletpointparagraph"/>
        <w:numPr>
          <w:ilvl w:val="0"/>
          <w:numId w:val="0"/>
        </w:numPr>
        <w:ind w:left="360"/>
        <w:rPr>
          <w:rStyle w:val="IntenseReference"/>
          <w:rFonts w:cs="Arial"/>
        </w:rPr>
      </w:pPr>
    </w:p>
    <w:p w14:paraId="592696BE" w14:textId="1DC18411" w:rsidR="00CB6C88" w:rsidRPr="00192F41" w:rsidRDefault="00CB6C88" w:rsidP="00CB6C88">
      <w:pPr>
        <w:pStyle w:val="Bulletpointparagraph"/>
        <w:numPr>
          <w:ilvl w:val="0"/>
          <w:numId w:val="0"/>
        </w:numPr>
        <w:ind w:left="360"/>
        <w:rPr>
          <w:rStyle w:val="IntenseReference"/>
          <w:rFonts w:cs="Arial"/>
        </w:rPr>
      </w:pPr>
      <w:r w:rsidRPr="00192F41">
        <w:rPr>
          <w:rStyle w:val="IntenseReference"/>
          <w:rFonts w:cs="Arial"/>
        </w:rPr>
        <w:t xml:space="preserve">Appendix </w:t>
      </w:r>
      <w:r w:rsidR="00683E43">
        <w:rPr>
          <w:rStyle w:val="IntenseReference"/>
          <w:rFonts w:cs="Arial"/>
        </w:rPr>
        <w:t>C</w:t>
      </w:r>
      <w:r w:rsidRPr="00192F41">
        <w:rPr>
          <w:rStyle w:val="IntenseReference"/>
          <w:rFonts w:cs="Arial"/>
        </w:rPr>
        <w:t xml:space="preserve"> - Performance measures and targets</w:t>
      </w:r>
    </w:p>
    <w:p w14:paraId="3871D0F0" w14:textId="77777777" w:rsidR="00CB6C88" w:rsidRPr="00192F41" w:rsidRDefault="00CB6C88" w:rsidP="00CB6C88">
      <w:pPr>
        <w:pStyle w:val="Bulletpointparagraph"/>
        <w:numPr>
          <w:ilvl w:val="0"/>
          <w:numId w:val="0"/>
        </w:numPr>
        <w:ind w:left="360"/>
        <w:rPr>
          <w:rStyle w:val="IntenseReference"/>
          <w:rFonts w:cs="Arial"/>
        </w:rPr>
      </w:pPr>
    </w:p>
    <w:p w14:paraId="01695FD5" w14:textId="23F44F01" w:rsidR="00CB6C88" w:rsidRPr="00192F41" w:rsidRDefault="00CB6C88" w:rsidP="00CB6C88">
      <w:pPr>
        <w:pStyle w:val="Bulletpointparagraph"/>
        <w:numPr>
          <w:ilvl w:val="0"/>
          <w:numId w:val="0"/>
        </w:numPr>
        <w:ind w:left="360"/>
        <w:rPr>
          <w:rStyle w:val="IntenseReference"/>
          <w:rFonts w:cs="Arial"/>
        </w:rPr>
      </w:pPr>
      <w:r w:rsidRPr="00192F41">
        <w:rPr>
          <w:rStyle w:val="IntenseReference"/>
          <w:rFonts w:cs="Arial"/>
        </w:rPr>
        <w:t xml:space="preserve">Appendix </w:t>
      </w:r>
      <w:r w:rsidR="00683E43">
        <w:rPr>
          <w:rStyle w:val="IntenseReference"/>
          <w:rFonts w:cs="Arial"/>
        </w:rPr>
        <w:t>D</w:t>
      </w:r>
      <w:r w:rsidRPr="00192F41">
        <w:rPr>
          <w:rStyle w:val="IntenseReference"/>
          <w:rFonts w:cs="Arial"/>
        </w:rPr>
        <w:t xml:space="preserve"> - Board engagement</w:t>
      </w:r>
    </w:p>
    <w:p w14:paraId="4735FA3C" w14:textId="77777777" w:rsidR="00AF3640" w:rsidRDefault="00AF3640" w:rsidP="00CB6C88">
      <w:pPr>
        <w:pStyle w:val="Bulletpointparagraph"/>
        <w:numPr>
          <w:ilvl w:val="0"/>
          <w:numId w:val="0"/>
        </w:numPr>
        <w:ind w:left="360"/>
        <w:rPr>
          <w:rStyle w:val="IntenseReference"/>
          <w:rFonts w:cs="Arial"/>
        </w:rPr>
      </w:pPr>
    </w:p>
    <w:p w14:paraId="3C83AAC3" w14:textId="79914819" w:rsidR="00AF3640" w:rsidRDefault="00AF3640" w:rsidP="00CB6C88">
      <w:pPr>
        <w:pStyle w:val="Bulletpointparagraph"/>
        <w:numPr>
          <w:ilvl w:val="0"/>
          <w:numId w:val="0"/>
        </w:numPr>
        <w:ind w:left="360"/>
        <w:rPr>
          <w:rStyle w:val="IntenseReference"/>
          <w:rFonts w:cs="Arial"/>
        </w:rPr>
      </w:pPr>
      <w:r>
        <w:rPr>
          <w:rStyle w:val="IntenseReference"/>
          <w:rFonts w:cs="Arial"/>
        </w:rPr>
        <w:t>Appendix E – Pathway to financial sust</w:t>
      </w:r>
      <w:r w:rsidR="00DC42B1">
        <w:rPr>
          <w:rStyle w:val="IntenseReference"/>
          <w:rFonts w:cs="Arial"/>
        </w:rPr>
        <w:t>a</w:t>
      </w:r>
      <w:r>
        <w:rPr>
          <w:rStyle w:val="IntenseReference"/>
          <w:rFonts w:cs="Arial"/>
        </w:rPr>
        <w:t>inability</w:t>
      </w:r>
    </w:p>
    <w:p w14:paraId="1BFB0CC6" w14:textId="77777777" w:rsidR="00AF3640" w:rsidRDefault="00AF3640" w:rsidP="00CB6C88">
      <w:pPr>
        <w:pStyle w:val="Bulletpointparagraph"/>
        <w:numPr>
          <w:ilvl w:val="0"/>
          <w:numId w:val="0"/>
        </w:numPr>
        <w:ind w:left="360"/>
        <w:rPr>
          <w:rStyle w:val="IntenseReference"/>
          <w:rFonts w:cs="Arial"/>
        </w:rPr>
      </w:pPr>
    </w:p>
    <w:p w14:paraId="54A15911" w14:textId="528795EC" w:rsidR="00AF3640" w:rsidRPr="00192F41" w:rsidRDefault="00AF3640" w:rsidP="00CB6C88">
      <w:pPr>
        <w:pStyle w:val="Bulletpointparagraph"/>
        <w:numPr>
          <w:ilvl w:val="0"/>
          <w:numId w:val="0"/>
        </w:numPr>
        <w:ind w:left="360"/>
        <w:rPr>
          <w:rStyle w:val="IntenseReference"/>
          <w:rFonts w:cs="Arial"/>
        </w:rPr>
      </w:pPr>
      <w:r>
        <w:rPr>
          <w:rStyle w:val="IntenseReference"/>
          <w:rFonts w:cs="Arial"/>
        </w:rPr>
        <w:t>Appendix F – Engagement report</w:t>
      </w:r>
    </w:p>
    <w:p w14:paraId="428E1D49" w14:textId="77777777" w:rsidR="00CB6C88" w:rsidRPr="00192F41" w:rsidRDefault="00CB6C88" w:rsidP="00CB6C88">
      <w:pPr>
        <w:pStyle w:val="Bulletpointparagraph"/>
        <w:numPr>
          <w:ilvl w:val="0"/>
          <w:numId w:val="0"/>
        </w:numPr>
        <w:ind w:left="360"/>
        <w:rPr>
          <w:rStyle w:val="IntenseReference"/>
          <w:rFonts w:cs="Arial"/>
        </w:rPr>
      </w:pPr>
    </w:p>
    <w:p w14:paraId="6106481E" w14:textId="77777777" w:rsidR="00CB6C88" w:rsidRPr="00192F41" w:rsidRDefault="00CB6C88" w:rsidP="00CB6C88">
      <w:pPr>
        <w:rPr>
          <w:rFonts w:cs="Arial"/>
          <w:shd w:val="clear" w:color="auto" w:fill="FAF9F8"/>
        </w:rPr>
      </w:pPr>
      <w:r w:rsidRPr="00192F41">
        <w:rPr>
          <w:rFonts w:cs="Arial"/>
          <w:shd w:val="clear" w:color="auto" w:fill="FAF9F8"/>
        </w:rPr>
        <w:br w:type="page"/>
      </w:r>
    </w:p>
    <w:p w14:paraId="48845646" w14:textId="111E54C8" w:rsidR="00BE50A9" w:rsidRPr="00192F41" w:rsidRDefault="00BE50A9" w:rsidP="0079390E">
      <w:pPr>
        <w:pStyle w:val="Heading2"/>
        <w:rPr>
          <w:rStyle w:val="IntenseEmphasis"/>
          <w:rFonts w:cs="Arial"/>
          <w:i w:val="0"/>
          <w:iCs w:val="0"/>
          <w:sz w:val="36"/>
        </w:rPr>
      </w:pPr>
      <w:r w:rsidRPr="00192F41">
        <w:rPr>
          <w:rStyle w:val="IntenseEmphasis"/>
          <w:rFonts w:cs="Arial"/>
          <w:i w:val="0"/>
          <w:iCs w:val="0"/>
          <w:sz w:val="36"/>
        </w:rPr>
        <w:t>Appen</w:t>
      </w:r>
      <w:r w:rsidR="0079390E" w:rsidRPr="00192F41">
        <w:rPr>
          <w:rStyle w:val="IntenseEmphasis"/>
          <w:rFonts w:cs="Arial"/>
          <w:i w:val="0"/>
          <w:iCs w:val="0"/>
          <w:sz w:val="36"/>
        </w:rPr>
        <w:t>d</w:t>
      </w:r>
      <w:r w:rsidRPr="00192F41">
        <w:rPr>
          <w:rStyle w:val="IntenseEmphasis"/>
          <w:rFonts w:cs="Arial"/>
          <w:i w:val="0"/>
          <w:iCs w:val="0"/>
          <w:sz w:val="36"/>
        </w:rPr>
        <w:t xml:space="preserve">ix </w:t>
      </w:r>
      <w:r w:rsidR="006A22BC" w:rsidRPr="00192F41">
        <w:rPr>
          <w:rStyle w:val="IntenseEmphasis"/>
          <w:rFonts w:cs="Arial"/>
          <w:i w:val="0"/>
          <w:iCs w:val="0"/>
          <w:sz w:val="36"/>
        </w:rPr>
        <w:t>A</w:t>
      </w:r>
      <w:r w:rsidR="0079390E" w:rsidRPr="00192F41">
        <w:rPr>
          <w:rStyle w:val="IntenseEmphasis"/>
          <w:rFonts w:cs="Arial"/>
          <w:i w:val="0"/>
          <w:iCs w:val="0"/>
          <w:sz w:val="36"/>
        </w:rPr>
        <w:t xml:space="preserve"> – Tariff Schedule 2023-4</w:t>
      </w:r>
    </w:p>
    <w:p w14:paraId="100C461A" w14:textId="127B20E9" w:rsidR="00235164" w:rsidRPr="00AB32E1" w:rsidRDefault="00AE5AAC" w:rsidP="00DC42B1">
      <w:pPr>
        <w:jc w:val="both"/>
        <w:rPr>
          <w:rStyle w:val="IntenseEmphasis"/>
          <w:rFonts w:cs="Arial"/>
          <w:i w:val="0"/>
          <w:color w:val="auto"/>
        </w:rPr>
      </w:pPr>
      <w:r w:rsidRPr="00AB32E1">
        <w:rPr>
          <w:rStyle w:val="IntenseEmphasis"/>
          <w:rFonts w:cs="Arial"/>
          <w:i w:val="0"/>
          <w:color w:val="auto"/>
        </w:rPr>
        <w:t>I</w:t>
      </w:r>
      <w:r w:rsidR="00BF44AB" w:rsidRPr="00AB32E1">
        <w:rPr>
          <w:rStyle w:val="IntenseEmphasis"/>
          <w:rFonts w:cs="Arial"/>
          <w:i w:val="0"/>
          <w:color w:val="auto"/>
        </w:rPr>
        <w:t>ndividual t</w:t>
      </w:r>
      <w:r w:rsidRPr="00AB32E1">
        <w:rPr>
          <w:rStyle w:val="IntenseEmphasis"/>
          <w:rFonts w:cs="Arial"/>
          <w:i w:val="0"/>
          <w:color w:val="auto"/>
        </w:rPr>
        <w:t>ariffs will be inserted once they are finalised.</w:t>
      </w:r>
      <w:r w:rsidR="00BF44AB" w:rsidRPr="00AB32E1">
        <w:rPr>
          <w:rStyle w:val="IntenseEmphasis"/>
          <w:rFonts w:cs="Arial"/>
          <w:i w:val="0"/>
          <w:color w:val="auto"/>
        </w:rPr>
        <w:t xml:space="preserve"> They will be bas</w:t>
      </w:r>
      <w:r w:rsidR="00CB3ABA" w:rsidRPr="00AB32E1">
        <w:rPr>
          <w:rStyle w:val="IntenseEmphasis"/>
          <w:rFonts w:cs="Arial"/>
          <w:i w:val="0"/>
          <w:color w:val="auto"/>
        </w:rPr>
        <w:t>ed on the following price pathways plus any adjustments noted in the submission.</w:t>
      </w:r>
    </w:p>
    <w:tbl>
      <w:tblPr>
        <w:tblStyle w:val="TableGrid"/>
        <w:tblW w:w="8350" w:type="dxa"/>
        <w:tblInd w:w="2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52"/>
        <w:gridCol w:w="2998"/>
      </w:tblGrid>
      <w:tr w:rsidR="00223FC7" w:rsidRPr="00B50489" w14:paraId="13033A57" w14:textId="77777777" w:rsidTr="00223FC7">
        <w:trPr>
          <w:trHeight w:val="92"/>
        </w:trPr>
        <w:tc>
          <w:tcPr>
            <w:tcW w:w="5352" w:type="dxa"/>
            <w:shd w:val="clear" w:color="auto" w:fill="00B1B0" w:themeFill="accent1"/>
            <w:vAlign w:val="center"/>
          </w:tcPr>
          <w:p w14:paraId="144A07DC" w14:textId="77777777" w:rsidR="00223FC7" w:rsidRPr="00DC42B1" w:rsidRDefault="00223FC7" w:rsidP="00CE694D">
            <w:pPr>
              <w:spacing w:before="40" w:after="40"/>
              <w:rPr>
                <w:sz w:val="20"/>
                <w:szCs w:val="20"/>
              </w:rPr>
            </w:pPr>
          </w:p>
        </w:tc>
        <w:tc>
          <w:tcPr>
            <w:tcW w:w="2998" w:type="dxa"/>
            <w:shd w:val="clear" w:color="auto" w:fill="00B1B0" w:themeFill="accent1"/>
            <w:vAlign w:val="center"/>
          </w:tcPr>
          <w:p w14:paraId="771C4801" w14:textId="77777777" w:rsidR="00223FC7" w:rsidRPr="00DC42B1" w:rsidRDefault="00223FC7" w:rsidP="00CE694D">
            <w:pPr>
              <w:spacing w:before="40" w:after="40"/>
              <w:jc w:val="right"/>
              <w:rPr>
                <w:rFonts w:cs="Arial"/>
                <w:color w:val="000000" w:themeColor="text1"/>
                <w:kern w:val="24"/>
                <w:sz w:val="20"/>
                <w:szCs w:val="20"/>
              </w:rPr>
            </w:pPr>
          </w:p>
        </w:tc>
      </w:tr>
      <w:tr w:rsidR="00B50489" w:rsidRPr="00B50489" w14:paraId="5D945534" w14:textId="77777777" w:rsidTr="00A72533">
        <w:trPr>
          <w:trHeight w:val="92"/>
        </w:trPr>
        <w:tc>
          <w:tcPr>
            <w:tcW w:w="5352" w:type="dxa"/>
            <w:shd w:val="clear" w:color="auto" w:fill="auto"/>
            <w:vAlign w:val="center"/>
          </w:tcPr>
          <w:p w14:paraId="30F6CB08" w14:textId="77777777" w:rsidR="00B50489" w:rsidRPr="00DC42B1" w:rsidRDefault="00B50489" w:rsidP="00CE694D">
            <w:pPr>
              <w:spacing w:before="40" w:after="40"/>
              <w:rPr>
                <w:sz w:val="20"/>
                <w:szCs w:val="20"/>
              </w:rPr>
            </w:pPr>
            <w:r w:rsidRPr="00DC42B1">
              <w:rPr>
                <w:sz w:val="20"/>
                <w:szCs w:val="20"/>
              </w:rPr>
              <w:t>Groundwater &amp; Rivers</w:t>
            </w:r>
          </w:p>
        </w:tc>
        <w:tc>
          <w:tcPr>
            <w:tcW w:w="2998" w:type="dxa"/>
            <w:shd w:val="clear" w:color="auto" w:fill="auto"/>
            <w:vAlign w:val="center"/>
          </w:tcPr>
          <w:p w14:paraId="62CFEBC2" w14:textId="2EF2117B" w:rsidR="00B50489" w:rsidRPr="00AB32E1" w:rsidRDefault="00091E58" w:rsidP="00CF585C">
            <w:pPr>
              <w:spacing w:before="40" w:after="40"/>
              <w:jc w:val="center"/>
              <w:rPr>
                <w:rFonts w:cs="Arial"/>
                <w:color w:val="000000" w:themeColor="text1"/>
                <w:sz w:val="20"/>
                <w:szCs w:val="20"/>
              </w:rPr>
            </w:pPr>
            <w:r>
              <w:rPr>
                <w:rFonts w:cs="Arial"/>
                <w:color w:val="000000" w:themeColor="text1"/>
                <w:kern w:val="24"/>
                <w:sz w:val="20"/>
                <w:szCs w:val="20"/>
              </w:rPr>
              <w:t>CPI only per annum</w:t>
            </w:r>
          </w:p>
        </w:tc>
      </w:tr>
      <w:tr w:rsidR="00B50489" w:rsidRPr="00B50489" w14:paraId="7DBDAAA4" w14:textId="77777777" w:rsidTr="00CE694D">
        <w:trPr>
          <w:trHeight w:val="256"/>
        </w:trPr>
        <w:tc>
          <w:tcPr>
            <w:tcW w:w="5352" w:type="dxa"/>
            <w:shd w:val="clear" w:color="auto" w:fill="F2F2F2" w:themeFill="background1" w:themeFillShade="F2"/>
            <w:vAlign w:val="center"/>
          </w:tcPr>
          <w:p w14:paraId="1E95A307" w14:textId="77777777" w:rsidR="00B50489" w:rsidRPr="00DC42B1" w:rsidRDefault="00B50489" w:rsidP="00CE694D">
            <w:pPr>
              <w:spacing w:before="40" w:after="40"/>
              <w:rPr>
                <w:sz w:val="20"/>
                <w:szCs w:val="20"/>
              </w:rPr>
            </w:pPr>
            <w:r w:rsidRPr="00DC42B1">
              <w:rPr>
                <w:sz w:val="20"/>
                <w:szCs w:val="20"/>
              </w:rPr>
              <w:t>Bacchus Marsh Irrigation District</w:t>
            </w:r>
          </w:p>
        </w:tc>
        <w:tc>
          <w:tcPr>
            <w:tcW w:w="2998" w:type="dxa"/>
            <w:shd w:val="clear" w:color="auto" w:fill="F2F2F2" w:themeFill="background1" w:themeFillShade="F2"/>
            <w:vAlign w:val="center"/>
          </w:tcPr>
          <w:p w14:paraId="46426F89" w14:textId="1B2A42AA" w:rsidR="00B50489" w:rsidRPr="00AB32E1" w:rsidRDefault="00091E58" w:rsidP="00CF585C">
            <w:pPr>
              <w:spacing w:before="40" w:after="40"/>
              <w:jc w:val="center"/>
              <w:rPr>
                <w:rFonts w:cs="Arial"/>
                <w:color w:val="000000" w:themeColor="text1"/>
                <w:sz w:val="20"/>
                <w:szCs w:val="20"/>
              </w:rPr>
            </w:pPr>
            <w:r>
              <w:rPr>
                <w:rFonts w:cs="Arial"/>
                <w:color w:val="000000" w:themeColor="text1"/>
                <w:kern w:val="24"/>
                <w:sz w:val="20"/>
                <w:szCs w:val="20"/>
              </w:rPr>
              <w:t>CPI only per annum</w:t>
            </w:r>
          </w:p>
        </w:tc>
      </w:tr>
      <w:tr w:rsidR="00B50489" w:rsidRPr="00B50489" w14:paraId="4918B0F7" w14:textId="77777777" w:rsidTr="00A72533">
        <w:trPr>
          <w:trHeight w:val="256"/>
        </w:trPr>
        <w:tc>
          <w:tcPr>
            <w:tcW w:w="5352" w:type="dxa"/>
            <w:shd w:val="clear" w:color="auto" w:fill="auto"/>
            <w:vAlign w:val="center"/>
          </w:tcPr>
          <w:p w14:paraId="7048478B" w14:textId="77777777" w:rsidR="00B50489" w:rsidRPr="00DC42B1" w:rsidRDefault="00B50489" w:rsidP="00CE694D">
            <w:pPr>
              <w:spacing w:before="40" w:after="40"/>
              <w:rPr>
                <w:sz w:val="20"/>
                <w:szCs w:val="20"/>
              </w:rPr>
            </w:pPr>
            <w:r w:rsidRPr="00DC42B1">
              <w:rPr>
                <w:sz w:val="20"/>
                <w:szCs w:val="20"/>
              </w:rPr>
              <w:t>Werribee Irrigation District</w:t>
            </w:r>
          </w:p>
        </w:tc>
        <w:tc>
          <w:tcPr>
            <w:tcW w:w="2998" w:type="dxa"/>
            <w:shd w:val="clear" w:color="auto" w:fill="auto"/>
            <w:vAlign w:val="center"/>
          </w:tcPr>
          <w:p w14:paraId="1A18EBBF" w14:textId="46AA089D" w:rsidR="00B50489" w:rsidRPr="00AB32E1" w:rsidRDefault="004C125E" w:rsidP="00CF585C">
            <w:pPr>
              <w:spacing w:before="40" w:after="40"/>
              <w:jc w:val="center"/>
              <w:rPr>
                <w:rFonts w:cs="Arial"/>
                <w:color w:val="000000" w:themeColor="text1"/>
                <w:sz w:val="20"/>
                <w:szCs w:val="20"/>
              </w:rPr>
            </w:pPr>
            <w:r>
              <w:rPr>
                <w:rFonts w:cs="Arial"/>
                <w:color w:val="000000" w:themeColor="text1"/>
                <w:kern w:val="24"/>
                <w:sz w:val="20"/>
                <w:szCs w:val="20"/>
              </w:rPr>
              <w:t xml:space="preserve">CPI + </w:t>
            </w:r>
            <w:r w:rsidR="00B50489" w:rsidRPr="00AB32E1">
              <w:rPr>
                <w:rFonts w:cs="Arial"/>
                <w:color w:val="000000" w:themeColor="text1"/>
                <w:kern w:val="24"/>
                <w:sz w:val="20"/>
                <w:szCs w:val="20"/>
              </w:rPr>
              <w:t>1.0%</w:t>
            </w:r>
            <w:r>
              <w:rPr>
                <w:rFonts w:cs="Arial"/>
                <w:color w:val="000000" w:themeColor="text1"/>
                <w:kern w:val="24"/>
                <w:sz w:val="20"/>
                <w:szCs w:val="20"/>
              </w:rPr>
              <w:t xml:space="preserve"> per annum</w:t>
            </w:r>
          </w:p>
        </w:tc>
      </w:tr>
      <w:tr w:rsidR="00B50489" w:rsidRPr="00B50489" w14:paraId="4841C7BA" w14:textId="77777777" w:rsidTr="00CE694D">
        <w:trPr>
          <w:trHeight w:val="256"/>
        </w:trPr>
        <w:tc>
          <w:tcPr>
            <w:tcW w:w="5352" w:type="dxa"/>
            <w:shd w:val="clear" w:color="auto" w:fill="F2F2F2" w:themeFill="background1" w:themeFillShade="F2"/>
            <w:vAlign w:val="center"/>
          </w:tcPr>
          <w:p w14:paraId="5349BE82" w14:textId="77777777" w:rsidR="00B50489" w:rsidRPr="00DC42B1" w:rsidRDefault="00B50489" w:rsidP="00CE694D">
            <w:pPr>
              <w:spacing w:before="40" w:after="40"/>
              <w:rPr>
                <w:sz w:val="20"/>
                <w:szCs w:val="20"/>
              </w:rPr>
            </w:pPr>
            <w:r w:rsidRPr="00DC42B1">
              <w:rPr>
                <w:sz w:val="20"/>
                <w:szCs w:val="20"/>
              </w:rPr>
              <w:t>Macalister Irrigation Area</w:t>
            </w:r>
          </w:p>
        </w:tc>
        <w:tc>
          <w:tcPr>
            <w:tcW w:w="2998" w:type="dxa"/>
            <w:shd w:val="clear" w:color="auto" w:fill="F2F2F2" w:themeFill="background1" w:themeFillShade="F2"/>
            <w:vAlign w:val="center"/>
          </w:tcPr>
          <w:p w14:paraId="4FA356B2" w14:textId="6D19282C" w:rsidR="00B50489" w:rsidRPr="00AB32E1" w:rsidRDefault="004C125E" w:rsidP="00CF585C">
            <w:pPr>
              <w:spacing w:before="40" w:after="40"/>
              <w:ind w:left="98" w:hanging="98"/>
              <w:jc w:val="center"/>
              <w:rPr>
                <w:rFonts w:cs="Arial"/>
                <w:color w:val="000000" w:themeColor="text1"/>
                <w:sz w:val="20"/>
                <w:szCs w:val="20"/>
              </w:rPr>
            </w:pPr>
            <w:r>
              <w:rPr>
                <w:rFonts w:cs="Arial"/>
                <w:color w:val="000000" w:themeColor="text1"/>
                <w:kern w:val="24"/>
                <w:sz w:val="20"/>
                <w:szCs w:val="20"/>
              </w:rPr>
              <w:t xml:space="preserve">CPI + </w:t>
            </w:r>
            <w:r w:rsidR="00B50489" w:rsidRPr="00AB32E1">
              <w:rPr>
                <w:rFonts w:cs="Arial"/>
                <w:color w:val="000000" w:themeColor="text1"/>
                <w:kern w:val="24"/>
                <w:sz w:val="20"/>
                <w:szCs w:val="20"/>
              </w:rPr>
              <w:t>1.5%</w:t>
            </w:r>
            <w:r>
              <w:rPr>
                <w:rFonts w:cs="Arial"/>
                <w:color w:val="000000" w:themeColor="text1"/>
                <w:kern w:val="24"/>
                <w:sz w:val="20"/>
                <w:szCs w:val="20"/>
              </w:rPr>
              <w:t xml:space="preserve"> per annum</w:t>
            </w:r>
          </w:p>
        </w:tc>
      </w:tr>
      <w:tr w:rsidR="00B50489" w:rsidRPr="00B50489" w14:paraId="0868D969" w14:textId="77777777" w:rsidTr="00A72533">
        <w:trPr>
          <w:trHeight w:val="256"/>
        </w:trPr>
        <w:tc>
          <w:tcPr>
            <w:tcW w:w="5352" w:type="dxa"/>
            <w:shd w:val="clear" w:color="auto" w:fill="auto"/>
            <w:vAlign w:val="center"/>
          </w:tcPr>
          <w:p w14:paraId="1E97F4FA" w14:textId="73447709" w:rsidR="00B50489" w:rsidRPr="00DC42B1" w:rsidRDefault="00B50489" w:rsidP="00CE694D">
            <w:pPr>
              <w:spacing w:before="40" w:after="40"/>
              <w:rPr>
                <w:sz w:val="20"/>
                <w:szCs w:val="20"/>
              </w:rPr>
            </w:pPr>
            <w:r w:rsidRPr="00DC42B1">
              <w:rPr>
                <w:sz w:val="20"/>
                <w:szCs w:val="20"/>
              </w:rPr>
              <w:t xml:space="preserve">Latrobe </w:t>
            </w:r>
            <w:r w:rsidR="00A72533" w:rsidRPr="00DC42B1">
              <w:rPr>
                <w:sz w:val="20"/>
                <w:szCs w:val="20"/>
              </w:rPr>
              <w:t>bulk entitlement</w:t>
            </w:r>
            <w:r w:rsidRPr="00DC42B1">
              <w:rPr>
                <w:sz w:val="20"/>
                <w:szCs w:val="20"/>
              </w:rPr>
              <w:t>s (est)</w:t>
            </w:r>
          </w:p>
        </w:tc>
        <w:tc>
          <w:tcPr>
            <w:tcW w:w="2998" w:type="dxa"/>
            <w:shd w:val="clear" w:color="auto" w:fill="auto"/>
            <w:vAlign w:val="center"/>
          </w:tcPr>
          <w:p w14:paraId="19B9CFE2" w14:textId="2AB0663A" w:rsidR="00B50489" w:rsidRPr="00AB32E1" w:rsidRDefault="004C125E" w:rsidP="00CF585C">
            <w:pPr>
              <w:spacing w:before="40" w:after="40"/>
              <w:jc w:val="center"/>
              <w:rPr>
                <w:rFonts w:cs="Arial"/>
                <w:color w:val="000000" w:themeColor="text1"/>
                <w:sz w:val="20"/>
                <w:szCs w:val="20"/>
              </w:rPr>
            </w:pPr>
            <w:r>
              <w:rPr>
                <w:rFonts w:cs="Arial"/>
                <w:color w:val="000000" w:themeColor="text1"/>
                <w:kern w:val="24"/>
                <w:sz w:val="20"/>
                <w:szCs w:val="20"/>
              </w:rPr>
              <w:t xml:space="preserve">CPI + </w:t>
            </w:r>
            <w:r w:rsidR="00B50489" w:rsidRPr="00AB32E1">
              <w:rPr>
                <w:rFonts w:cs="Arial"/>
                <w:color w:val="000000" w:themeColor="text1"/>
                <w:kern w:val="24"/>
                <w:sz w:val="20"/>
                <w:szCs w:val="20"/>
              </w:rPr>
              <w:t>1.5%</w:t>
            </w:r>
            <w:r>
              <w:rPr>
                <w:rFonts w:cs="Arial"/>
                <w:color w:val="000000" w:themeColor="text1"/>
                <w:kern w:val="24"/>
                <w:sz w:val="20"/>
                <w:szCs w:val="20"/>
              </w:rPr>
              <w:t xml:space="preserve"> per annum</w:t>
            </w:r>
          </w:p>
        </w:tc>
      </w:tr>
      <w:tr w:rsidR="00B50489" w:rsidRPr="00F82275" w14:paraId="665B4A02" w14:textId="77777777" w:rsidTr="00223FC7">
        <w:trPr>
          <w:trHeight w:val="256"/>
        </w:trPr>
        <w:tc>
          <w:tcPr>
            <w:tcW w:w="5352" w:type="dxa"/>
            <w:tcBorders>
              <w:bottom w:val="single" w:sz="4" w:space="0" w:color="auto"/>
            </w:tcBorders>
            <w:shd w:val="clear" w:color="auto" w:fill="F2F2F2" w:themeFill="background1" w:themeFillShade="F2"/>
            <w:vAlign w:val="center"/>
          </w:tcPr>
          <w:p w14:paraId="39694F7C" w14:textId="49773CA8" w:rsidR="00B50489" w:rsidRPr="00DC42B1" w:rsidRDefault="00B50489" w:rsidP="00CE694D">
            <w:pPr>
              <w:spacing w:before="40" w:after="40"/>
              <w:rPr>
                <w:sz w:val="20"/>
                <w:szCs w:val="20"/>
              </w:rPr>
            </w:pPr>
            <w:r w:rsidRPr="00DC42B1">
              <w:rPr>
                <w:sz w:val="20"/>
                <w:szCs w:val="20"/>
              </w:rPr>
              <w:t xml:space="preserve">Werribee and Maribyrnong </w:t>
            </w:r>
            <w:r w:rsidR="00A72533" w:rsidRPr="00DC42B1">
              <w:rPr>
                <w:sz w:val="20"/>
                <w:szCs w:val="20"/>
              </w:rPr>
              <w:t>bulk entitlements</w:t>
            </w:r>
            <w:r w:rsidRPr="00DC42B1">
              <w:rPr>
                <w:sz w:val="20"/>
                <w:szCs w:val="20"/>
              </w:rPr>
              <w:t xml:space="preserve"> (est)</w:t>
            </w:r>
          </w:p>
        </w:tc>
        <w:tc>
          <w:tcPr>
            <w:tcW w:w="2998" w:type="dxa"/>
            <w:tcBorders>
              <w:bottom w:val="single" w:sz="4" w:space="0" w:color="auto"/>
            </w:tcBorders>
            <w:shd w:val="clear" w:color="auto" w:fill="F2F2F2" w:themeFill="background1" w:themeFillShade="F2"/>
            <w:vAlign w:val="center"/>
          </w:tcPr>
          <w:p w14:paraId="141E381C" w14:textId="40F1D4C2" w:rsidR="00B50489" w:rsidRPr="00F82275" w:rsidRDefault="004C125E" w:rsidP="00CF585C">
            <w:pPr>
              <w:spacing w:before="40" w:after="40"/>
              <w:jc w:val="center"/>
              <w:rPr>
                <w:rFonts w:cs="Arial"/>
                <w:color w:val="000000" w:themeColor="text1"/>
                <w:sz w:val="20"/>
                <w:szCs w:val="20"/>
              </w:rPr>
            </w:pPr>
            <w:r>
              <w:rPr>
                <w:rFonts w:cs="Arial"/>
                <w:color w:val="000000" w:themeColor="text1"/>
                <w:kern w:val="24"/>
                <w:sz w:val="20"/>
                <w:szCs w:val="20"/>
              </w:rPr>
              <w:t xml:space="preserve">CPI + </w:t>
            </w:r>
            <w:r w:rsidR="00B50489" w:rsidRPr="00AB32E1">
              <w:rPr>
                <w:rFonts w:cs="Arial"/>
                <w:color w:val="000000" w:themeColor="text1"/>
                <w:kern w:val="24"/>
                <w:sz w:val="20"/>
                <w:szCs w:val="20"/>
              </w:rPr>
              <w:t>1.9%</w:t>
            </w:r>
            <w:r>
              <w:rPr>
                <w:rFonts w:cs="Arial"/>
                <w:color w:val="000000" w:themeColor="text1"/>
                <w:kern w:val="24"/>
                <w:sz w:val="20"/>
                <w:szCs w:val="20"/>
              </w:rPr>
              <w:t xml:space="preserve"> per annum</w:t>
            </w:r>
          </w:p>
        </w:tc>
      </w:tr>
    </w:tbl>
    <w:p w14:paraId="76EA0994" w14:textId="77777777" w:rsidR="00235164" w:rsidRPr="00B50489" w:rsidRDefault="00235164" w:rsidP="00B50489">
      <w:pPr>
        <w:rPr>
          <w:rStyle w:val="IntenseEmphasis"/>
          <w:rFonts w:cs="Arial"/>
          <w:i w:val="0"/>
          <w:iCs w:val="0"/>
          <w:color w:val="auto"/>
        </w:rPr>
      </w:pPr>
    </w:p>
    <w:p w14:paraId="5917F000" w14:textId="77777777" w:rsidR="00462A78" w:rsidRPr="00B50489" w:rsidRDefault="00462A78" w:rsidP="00B50489">
      <w:pPr>
        <w:rPr>
          <w:rStyle w:val="IntenseEmphasis"/>
          <w:rFonts w:cs="Arial"/>
          <w:i w:val="0"/>
          <w:iCs w:val="0"/>
          <w:color w:val="auto"/>
        </w:rPr>
      </w:pPr>
    </w:p>
    <w:p w14:paraId="2C072A0B" w14:textId="21F41B9B" w:rsidR="0079390E" w:rsidRPr="00B50489" w:rsidRDefault="0079390E" w:rsidP="0079390E">
      <w:pPr>
        <w:rPr>
          <w:rStyle w:val="IntenseEmphasis"/>
          <w:rFonts w:cs="Arial"/>
          <w:i w:val="0"/>
          <w:color w:val="auto"/>
        </w:rPr>
      </w:pPr>
      <w:r w:rsidRPr="00B50489">
        <w:rPr>
          <w:rStyle w:val="IntenseEmphasis"/>
          <w:rFonts w:cs="Arial"/>
          <w:i w:val="0"/>
          <w:color w:val="auto"/>
        </w:rPr>
        <w:br w:type="page"/>
      </w:r>
    </w:p>
    <w:p w14:paraId="2503C8A5" w14:textId="21F41B9B" w:rsidR="00A17E69" w:rsidRDefault="00A17E69" w:rsidP="00861843">
      <w:pPr>
        <w:rPr>
          <w:rFonts w:cs="Arial"/>
          <w:shd w:val="clear" w:color="auto" w:fill="FAF9F8"/>
        </w:rPr>
        <w:sectPr w:rsidR="00A17E69" w:rsidSect="006535E2">
          <w:pgSz w:w="11906" w:h="16838"/>
          <w:pgMar w:top="1701" w:right="1134" w:bottom="2353" w:left="1134" w:header="567" w:footer="0" w:gutter="0"/>
          <w:cols w:space="708"/>
          <w:titlePg/>
          <w:docGrid w:linePitch="360"/>
        </w:sectPr>
      </w:pPr>
    </w:p>
    <w:p w14:paraId="5359686A" w14:textId="6E879022" w:rsidR="00D36944" w:rsidRPr="00192F41" w:rsidRDefault="00D36944" w:rsidP="00D36944">
      <w:pPr>
        <w:pStyle w:val="Heading2"/>
        <w:rPr>
          <w:rStyle w:val="IntenseEmphasis"/>
          <w:rFonts w:cs="Arial"/>
          <w:i w:val="0"/>
          <w:iCs w:val="0"/>
          <w:sz w:val="36"/>
        </w:rPr>
      </w:pPr>
      <w:r w:rsidRPr="00192F41">
        <w:rPr>
          <w:rStyle w:val="IntenseEmphasis"/>
          <w:rFonts w:cs="Arial"/>
          <w:i w:val="0"/>
          <w:iCs w:val="0"/>
          <w:sz w:val="36"/>
        </w:rPr>
        <w:t xml:space="preserve">Appendix </w:t>
      </w:r>
      <w:r w:rsidR="00A57C78">
        <w:rPr>
          <w:rStyle w:val="IntenseEmphasis"/>
          <w:rFonts w:cs="Arial"/>
          <w:i w:val="0"/>
          <w:iCs w:val="0"/>
          <w:sz w:val="36"/>
        </w:rPr>
        <w:t>B</w:t>
      </w:r>
      <w:r w:rsidRPr="00192F41">
        <w:rPr>
          <w:rStyle w:val="IntenseEmphasis"/>
          <w:rFonts w:cs="Arial"/>
          <w:i w:val="0"/>
          <w:iCs w:val="0"/>
          <w:sz w:val="36"/>
        </w:rPr>
        <w:t xml:space="preserve"> </w:t>
      </w:r>
      <w:r>
        <w:rPr>
          <w:rStyle w:val="IntenseEmphasis"/>
          <w:rFonts w:cs="Arial"/>
          <w:i w:val="0"/>
          <w:iCs w:val="0"/>
          <w:sz w:val="36"/>
        </w:rPr>
        <w:t>–</w:t>
      </w:r>
      <w:r w:rsidRPr="00192F41">
        <w:rPr>
          <w:rStyle w:val="IntenseEmphasis"/>
          <w:rFonts w:cs="Arial"/>
          <w:i w:val="0"/>
          <w:iCs w:val="0"/>
          <w:sz w:val="36"/>
        </w:rPr>
        <w:t xml:space="preserve"> P</w:t>
      </w:r>
      <w:r>
        <w:rPr>
          <w:rStyle w:val="IntenseEmphasis"/>
          <w:rFonts w:cs="Arial"/>
          <w:i w:val="0"/>
          <w:iCs w:val="0"/>
          <w:sz w:val="36"/>
        </w:rPr>
        <w:t>REMO ratings</w:t>
      </w:r>
    </w:p>
    <w:tbl>
      <w:tblPr>
        <w:tblStyle w:val="ReportTable-TealRows"/>
        <w:tblW w:w="12900" w:type="dxa"/>
        <w:tblInd w:w="-426" w:type="dxa"/>
        <w:tblLook w:val="04A0" w:firstRow="1" w:lastRow="0" w:firstColumn="1" w:lastColumn="0" w:noHBand="0" w:noVBand="1"/>
      </w:tblPr>
      <w:tblGrid>
        <w:gridCol w:w="11907"/>
        <w:gridCol w:w="993"/>
      </w:tblGrid>
      <w:tr w:rsidR="00730158" w:rsidRPr="00F430C9" w14:paraId="4D6A2A75" w14:textId="77777777" w:rsidTr="00CF6682">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1907" w:type="dxa"/>
            <w:hideMark/>
          </w:tcPr>
          <w:p w14:paraId="481E779F" w14:textId="77777777" w:rsidR="00A17E69" w:rsidRPr="00F430C9" w:rsidRDefault="00A17E69" w:rsidP="00F430C9">
            <w:pPr>
              <w:spacing w:before="40" w:after="40"/>
              <w:rPr>
                <w:rFonts w:eastAsia="Times New Roman" w:cs="Arial"/>
                <w:sz w:val="20"/>
                <w:szCs w:val="20"/>
                <w:lang w:eastAsia="en-AU"/>
              </w:rPr>
            </w:pPr>
            <w:r w:rsidRPr="00F430C9">
              <w:rPr>
                <w:rFonts w:eastAsia="Times New Roman" w:cs="Arial"/>
                <w:sz w:val="20"/>
                <w:szCs w:val="20"/>
                <w:lang w:eastAsia="en-AU"/>
              </w:rPr>
              <w:t>Performance  </w:t>
            </w:r>
          </w:p>
        </w:tc>
        <w:tc>
          <w:tcPr>
            <w:tcW w:w="993" w:type="dxa"/>
            <w:noWrap/>
            <w:hideMark/>
          </w:tcPr>
          <w:p w14:paraId="53DFD7E4" w14:textId="77777777" w:rsidR="00A17E69" w:rsidRPr="00F430C9" w:rsidRDefault="00A17E69" w:rsidP="00F430C9">
            <w:pPr>
              <w:spacing w:before="40" w:after="40"/>
              <w:jc w:val="center"/>
              <w:cnfStyle w:val="100000000000" w:firstRow="1" w:lastRow="0" w:firstColumn="0" w:lastColumn="0" w:oddVBand="0" w:evenVBand="0" w:oddHBand="0" w:evenHBand="0" w:firstRowFirstColumn="0" w:firstRowLastColumn="0" w:lastRowFirstColumn="0" w:lastRowLastColumn="0"/>
              <w:rPr>
                <w:rFonts w:eastAsia="Times New Roman" w:cs="Arial"/>
                <w:sz w:val="20"/>
                <w:szCs w:val="20"/>
                <w:lang w:eastAsia="en-AU"/>
              </w:rPr>
            </w:pPr>
            <w:r w:rsidRPr="00F430C9">
              <w:rPr>
                <w:rFonts w:eastAsia="Times New Roman" w:cs="Arial"/>
                <w:sz w:val="20"/>
                <w:szCs w:val="20"/>
                <w:lang w:eastAsia="en-AU"/>
              </w:rPr>
              <w:t>2.81</w:t>
            </w:r>
          </w:p>
        </w:tc>
      </w:tr>
      <w:tr w:rsidR="00730158" w:rsidRPr="00730158" w14:paraId="3ADB8F37"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7CEBA22B" w14:textId="77777777" w:rsidR="00A17E69" w:rsidRPr="00A17E69" w:rsidRDefault="00A17E69" w:rsidP="00F430C9">
            <w:pPr>
              <w:spacing w:before="40" w:after="40"/>
              <w:ind w:right="117"/>
              <w:jc w:val="both"/>
              <w:rPr>
                <w:rFonts w:eastAsia="Times New Roman" w:cs="Arial"/>
                <w:szCs w:val="20"/>
                <w:lang w:eastAsia="en-AU"/>
              </w:rPr>
            </w:pPr>
            <w:r w:rsidRPr="00A17E69">
              <w:rPr>
                <w:rFonts w:eastAsia="Times New Roman" w:cs="Arial"/>
                <w:szCs w:val="20"/>
                <w:lang w:eastAsia="en-AU"/>
              </w:rPr>
              <w:t>To what extent has the business demonstrated delivery of its customer outcomes commitment over the current regulatory period? Did its customers get what they paid for?  </w:t>
            </w:r>
          </w:p>
        </w:tc>
        <w:tc>
          <w:tcPr>
            <w:tcW w:w="993" w:type="dxa"/>
            <w:hideMark/>
          </w:tcPr>
          <w:p w14:paraId="76B93963"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3.50</w:t>
            </w:r>
          </w:p>
        </w:tc>
      </w:tr>
      <w:tr w:rsidR="00730158" w:rsidRPr="00730158" w14:paraId="5A00E047" w14:textId="77777777" w:rsidTr="00CF6682">
        <w:trPr>
          <w:trHeight w:val="41"/>
        </w:trPr>
        <w:tc>
          <w:tcPr>
            <w:cnfStyle w:val="001000000000" w:firstRow="0" w:lastRow="0" w:firstColumn="1" w:lastColumn="0" w:oddVBand="0" w:evenVBand="0" w:oddHBand="0" w:evenHBand="0" w:firstRowFirstColumn="0" w:firstRowLastColumn="0" w:lastRowFirstColumn="0" w:lastRowLastColumn="0"/>
            <w:tcW w:w="11907" w:type="dxa"/>
            <w:hideMark/>
          </w:tcPr>
          <w:p w14:paraId="1411FB63" w14:textId="77777777" w:rsidR="00A17E69" w:rsidRPr="00A17E69" w:rsidRDefault="00A17E69" w:rsidP="00F430C9">
            <w:pPr>
              <w:spacing w:before="40" w:after="40"/>
              <w:ind w:right="117"/>
              <w:jc w:val="both"/>
              <w:rPr>
                <w:rFonts w:eastAsia="Times New Roman" w:cs="Arial"/>
                <w:szCs w:val="20"/>
                <w:lang w:eastAsia="en-AU"/>
              </w:rPr>
            </w:pPr>
            <w:r w:rsidRPr="00A17E69">
              <w:rPr>
                <w:rFonts w:eastAsia="Times New Roman" w:cs="Arial"/>
                <w:szCs w:val="20"/>
                <w:lang w:eastAsia="en-AU"/>
              </w:rPr>
              <w:t>How does actual operating expenditure across the current period compare with the established benchmark allowance, and to what extent has the business rationalised any discrepancies?  </w:t>
            </w:r>
          </w:p>
        </w:tc>
        <w:tc>
          <w:tcPr>
            <w:tcW w:w="993" w:type="dxa"/>
            <w:hideMark/>
          </w:tcPr>
          <w:p w14:paraId="10E5C69B"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1C745AC5"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6EA8F7EE" w14:textId="77777777" w:rsidR="00A17E69" w:rsidRPr="00A17E69" w:rsidRDefault="00A17E69" w:rsidP="00F430C9">
            <w:pPr>
              <w:spacing w:before="40" w:after="40"/>
              <w:ind w:right="117"/>
              <w:jc w:val="both"/>
              <w:rPr>
                <w:rFonts w:eastAsia="Times New Roman" w:cs="Arial"/>
                <w:szCs w:val="20"/>
                <w:lang w:eastAsia="en-AU"/>
              </w:rPr>
            </w:pPr>
            <w:r w:rsidRPr="00A17E69">
              <w:rPr>
                <w:rFonts w:eastAsia="Times New Roman" w:cs="Arial"/>
                <w:szCs w:val="20"/>
                <w:lang w:eastAsia="en-AU"/>
              </w:rPr>
              <w:t>How does actual capital expenditure across the current period compare with the established benchmark allowance, and to what extent has the business rationalised any discrepancies?  </w:t>
            </w:r>
          </w:p>
        </w:tc>
        <w:tc>
          <w:tcPr>
            <w:tcW w:w="993" w:type="dxa"/>
            <w:hideMark/>
          </w:tcPr>
          <w:p w14:paraId="633C5421"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60122858"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36CAF6CF" w14:textId="77777777" w:rsidR="00A17E69" w:rsidRPr="00A17E69" w:rsidRDefault="00A17E69" w:rsidP="00F430C9">
            <w:pPr>
              <w:spacing w:before="40" w:after="40"/>
              <w:ind w:right="117"/>
              <w:jc w:val="both"/>
              <w:rPr>
                <w:rFonts w:eastAsia="Times New Roman" w:cs="Arial"/>
                <w:szCs w:val="20"/>
                <w:lang w:eastAsia="en-AU"/>
              </w:rPr>
            </w:pPr>
            <w:r w:rsidRPr="00A17E69">
              <w:rPr>
                <w:rFonts w:eastAsia="Times New Roman" w:cs="Arial"/>
                <w:szCs w:val="20"/>
                <w:lang w:eastAsia="en-AU"/>
              </w:rPr>
              <w:t>To what extent does customer sentiment demonstrate satisfaction in the business’s performance over the current regulatory period? Are customers happy with the value they receive from their water business?  </w:t>
            </w:r>
          </w:p>
        </w:tc>
        <w:tc>
          <w:tcPr>
            <w:tcW w:w="993" w:type="dxa"/>
            <w:hideMark/>
          </w:tcPr>
          <w:p w14:paraId="236B225E"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2.75</w:t>
            </w:r>
          </w:p>
        </w:tc>
      </w:tr>
      <w:tr w:rsidR="00730158" w:rsidRPr="00F430C9" w14:paraId="0F04AA81" w14:textId="77777777" w:rsidTr="00CF6682">
        <w:trPr>
          <w:cnfStyle w:val="000000100000" w:firstRow="0" w:lastRow="0" w:firstColumn="0" w:lastColumn="0" w:oddVBand="0" w:evenVBand="0" w:oddHBand="1"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1907" w:type="dxa"/>
            <w:shd w:val="clear" w:color="auto" w:fill="70CBD0"/>
            <w:hideMark/>
          </w:tcPr>
          <w:p w14:paraId="33A29AA6" w14:textId="77777777" w:rsidR="00A17E69" w:rsidRPr="00F430C9" w:rsidRDefault="00A17E69" w:rsidP="00F430C9">
            <w:pPr>
              <w:spacing w:before="40" w:after="4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Risk  </w:t>
            </w:r>
          </w:p>
        </w:tc>
        <w:tc>
          <w:tcPr>
            <w:tcW w:w="993" w:type="dxa"/>
            <w:shd w:val="clear" w:color="auto" w:fill="70CBD0"/>
            <w:noWrap/>
            <w:hideMark/>
          </w:tcPr>
          <w:p w14:paraId="0013B49D" w14:textId="77777777" w:rsidR="00A17E69" w:rsidRPr="00F430C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2.50</w:t>
            </w:r>
          </w:p>
        </w:tc>
      </w:tr>
      <w:tr w:rsidR="00730158" w:rsidRPr="00730158" w14:paraId="18D1AD04"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410DC492"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a robust process for identifying risk, and how it has decided who should bear these risks? (i.e. customers not paying more than they need to.)  </w:t>
            </w:r>
          </w:p>
        </w:tc>
        <w:tc>
          <w:tcPr>
            <w:tcW w:w="993" w:type="dxa"/>
            <w:hideMark/>
          </w:tcPr>
          <w:p w14:paraId="483AF4E4"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66464AB3"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3EE7324B"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does the proposed guaranteed service level scheme provide incentives for the business to be accountable for the quality of services delivered, and provide incentives to deliver valued services efficiently?  </w:t>
            </w:r>
          </w:p>
        </w:tc>
        <w:tc>
          <w:tcPr>
            <w:tcW w:w="993" w:type="dxa"/>
            <w:hideMark/>
          </w:tcPr>
          <w:p w14:paraId="468137CB"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N/A</w:t>
            </w:r>
          </w:p>
        </w:tc>
      </w:tr>
      <w:tr w:rsidR="00730158" w:rsidRPr="00F430C9" w14:paraId="38E1F9E7" w14:textId="77777777" w:rsidTr="00CF6682">
        <w:trPr>
          <w:trHeight w:val="500"/>
        </w:trPr>
        <w:tc>
          <w:tcPr>
            <w:cnfStyle w:val="001000000000" w:firstRow="0" w:lastRow="0" w:firstColumn="1" w:lastColumn="0" w:oddVBand="0" w:evenVBand="0" w:oddHBand="0" w:evenHBand="0" w:firstRowFirstColumn="0" w:firstRowLastColumn="0" w:lastRowFirstColumn="0" w:lastRowLastColumn="0"/>
            <w:tcW w:w="11907" w:type="dxa"/>
            <w:shd w:val="clear" w:color="auto" w:fill="70CBD0"/>
            <w:hideMark/>
          </w:tcPr>
          <w:p w14:paraId="31AC9AB5" w14:textId="77777777" w:rsidR="00A17E69" w:rsidRPr="00F430C9" w:rsidRDefault="00A17E69" w:rsidP="00F430C9">
            <w:pPr>
              <w:spacing w:before="40" w:after="4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Engagement  </w:t>
            </w:r>
          </w:p>
        </w:tc>
        <w:tc>
          <w:tcPr>
            <w:tcW w:w="993" w:type="dxa"/>
            <w:shd w:val="clear" w:color="auto" w:fill="70CBD0"/>
            <w:noWrap/>
            <w:hideMark/>
          </w:tcPr>
          <w:p w14:paraId="45B7D7E3" w14:textId="77777777" w:rsidR="00A17E69" w:rsidRPr="00F430C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2.86</w:t>
            </w:r>
          </w:p>
        </w:tc>
      </w:tr>
      <w:tr w:rsidR="00730158" w:rsidRPr="00730158" w14:paraId="3B088BBF"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503CF5F9"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justified how the form of engagement suits the content of consultation, the circumstances facing the water business and its customers?  </w:t>
            </w:r>
          </w:p>
        </w:tc>
        <w:tc>
          <w:tcPr>
            <w:tcW w:w="993" w:type="dxa"/>
            <w:hideMark/>
          </w:tcPr>
          <w:p w14:paraId="4DB5303E"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730158" w14:paraId="5A9FC219"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51E5F454" w14:textId="1ACF804A"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that it provided appropriate instruction and information to customers about the purpose, form</w:t>
            </w:r>
            <w:r w:rsidR="00A55F5D" w:rsidRPr="00A17E69">
              <w:rPr>
                <w:rFonts w:eastAsia="Times New Roman" w:cs="Arial"/>
                <w:szCs w:val="20"/>
                <w:lang w:eastAsia="en-AU"/>
              </w:rPr>
              <w:t>,</w:t>
            </w:r>
            <w:r w:rsidRPr="00A17E69">
              <w:rPr>
                <w:rFonts w:eastAsia="Times New Roman" w:cs="Arial"/>
                <w:szCs w:val="20"/>
                <w:lang w:eastAsia="en-AU"/>
              </w:rPr>
              <w:t xml:space="preserve"> and content of the customer engagement?  </w:t>
            </w:r>
          </w:p>
        </w:tc>
        <w:tc>
          <w:tcPr>
            <w:tcW w:w="993" w:type="dxa"/>
            <w:hideMark/>
          </w:tcPr>
          <w:p w14:paraId="7DDB2177"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3.00</w:t>
            </w:r>
          </w:p>
        </w:tc>
      </w:tr>
      <w:tr w:rsidR="00730158" w:rsidRPr="00730158" w14:paraId="3C7A2D75"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3DE61A44"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that the matters it has engaged on are those that have the most influence on the services provided to customers and prices charged?  </w:t>
            </w:r>
          </w:p>
        </w:tc>
        <w:tc>
          <w:tcPr>
            <w:tcW w:w="993" w:type="dxa"/>
            <w:hideMark/>
          </w:tcPr>
          <w:p w14:paraId="3F8A6CBC"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730158" w14:paraId="20CE6653"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362EAE15"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explained how it decided when to carry out its engagement?  </w:t>
            </w:r>
          </w:p>
        </w:tc>
        <w:tc>
          <w:tcPr>
            <w:tcW w:w="993" w:type="dxa"/>
            <w:hideMark/>
          </w:tcPr>
          <w:p w14:paraId="37D92788"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3.00</w:t>
            </w:r>
          </w:p>
        </w:tc>
      </w:tr>
      <w:tr w:rsidR="00730158" w:rsidRPr="00730158" w14:paraId="774FC308"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2938306E"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how its engagement with customers has influenced its submission?  </w:t>
            </w:r>
          </w:p>
        </w:tc>
        <w:tc>
          <w:tcPr>
            <w:tcW w:w="993" w:type="dxa"/>
            <w:hideMark/>
          </w:tcPr>
          <w:p w14:paraId="6BA6C13A"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3.00</w:t>
            </w:r>
          </w:p>
        </w:tc>
      </w:tr>
      <w:tr w:rsidR="00730158" w:rsidRPr="00730158" w14:paraId="4F273E50" w14:textId="77777777" w:rsidTr="00CF6682">
        <w:trPr>
          <w:trHeight w:val="500"/>
        </w:trPr>
        <w:tc>
          <w:tcPr>
            <w:cnfStyle w:val="001000000000" w:firstRow="0" w:lastRow="0" w:firstColumn="1" w:lastColumn="0" w:oddVBand="0" w:evenVBand="0" w:oddHBand="0" w:evenHBand="0" w:firstRowFirstColumn="0" w:firstRowLastColumn="0" w:lastRowFirstColumn="0" w:lastRowLastColumn="0"/>
            <w:tcW w:w="11907" w:type="dxa"/>
            <w:hideMark/>
          </w:tcPr>
          <w:p w14:paraId="49F9F893"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that its engagement was inclusive of consumers experiencing vulnerability?  </w:t>
            </w:r>
          </w:p>
        </w:tc>
        <w:tc>
          <w:tcPr>
            <w:tcW w:w="993" w:type="dxa"/>
            <w:hideMark/>
          </w:tcPr>
          <w:p w14:paraId="15C2042F"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2.00</w:t>
            </w:r>
          </w:p>
        </w:tc>
      </w:tr>
      <w:tr w:rsidR="00730158" w:rsidRPr="00730158" w14:paraId="4D739030"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2F8E6897"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that its engagement was inclusive of First Nations people?  </w:t>
            </w:r>
          </w:p>
        </w:tc>
        <w:tc>
          <w:tcPr>
            <w:tcW w:w="993" w:type="dxa"/>
            <w:hideMark/>
          </w:tcPr>
          <w:p w14:paraId="054F476B"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F430C9" w14:paraId="5AB46043" w14:textId="77777777" w:rsidTr="00CF6682">
        <w:trPr>
          <w:trHeight w:val="500"/>
        </w:trPr>
        <w:tc>
          <w:tcPr>
            <w:cnfStyle w:val="001000000000" w:firstRow="0" w:lastRow="0" w:firstColumn="1" w:lastColumn="0" w:oddVBand="0" w:evenVBand="0" w:oddHBand="0" w:evenHBand="0" w:firstRowFirstColumn="0" w:firstRowLastColumn="0" w:lastRowFirstColumn="0" w:lastRowLastColumn="0"/>
            <w:tcW w:w="11907" w:type="dxa"/>
            <w:shd w:val="clear" w:color="auto" w:fill="70CBD0"/>
            <w:hideMark/>
          </w:tcPr>
          <w:p w14:paraId="656F63BE" w14:textId="77777777" w:rsidR="00A17E69" w:rsidRPr="00F430C9" w:rsidRDefault="00A17E69" w:rsidP="00F430C9">
            <w:pPr>
              <w:spacing w:before="40" w:after="4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Management</w:t>
            </w:r>
          </w:p>
        </w:tc>
        <w:tc>
          <w:tcPr>
            <w:tcW w:w="993" w:type="dxa"/>
            <w:shd w:val="clear" w:color="auto" w:fill="70CBD0"/>
            <w:noWrap/>
            <w:hideMark/>
          </w:tcPr>
          <w:p w14:paraId="7D5255D9" w14:textId="77777777" w:rsidR="00A17E69" w:rsidRPr="00F430C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2.60</w:t>
            </w:r>
          </w:p>
        </w:tc>
      </w:tr>
      <w:tr w:rsidR="00730158" w:rsidRPr="00730158" w14:paraId="6F6DF5F1"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54DDE30C"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how its proposed prices reflect only prudent and efficient expenditure?  </w:t>
            </w:r>
          </w:p>
        </w:tc>
        <w:tc>
          <w:tcPr>
            <w:tcW w:w="993" w:type="dxa"/>
            <w:hideMark/>
          </w:tcPr>
          <w:p w14:paraId="5F5C3519"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2.25</w:t>
            </w:r>
          </w:p>
        </w:tc>
      </w:tr>
      <w:tr w:rsidR="00730158" w:rsidRPr="00730158" w14:paraId="5494090B"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68811409"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justified its commitment to cost efficiency or productivity improvements?  </w:t>
            </w:r>
          </w:p>
        </w:tc>
        <w:tc>
          <w:tcPr>
            <w:tcW w:w="993" w:type="dxa"/>
            <w:hideMark/>
          </w:tcPr>
          <w:p w14:paraId="3AEA9648"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6689CA0F" w14:textId="77777777" w:rsidTr="00CF6682">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11907" w:type="dxa"/>
            <w:hideMark/>
          </w:tcPr>
          <w:p w14:paraId="4E2BD060"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justified or provided assurance about the quality of the submission, including the quality of supporting information on forecast costs or projects?  </w:t>
            </w:r>
          </w:p>
        </w:tc>
        <w:tc>
          <w:tcPr>
            <w:tcW w:w="993" w:type="dxa"/>
            <w:hideMark/>
          </w:tcPr>
          <w:p w14:paraId="01E5C381"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10D90F04" w14:textId="77777777" w:rsidTr="00CF6682">
        <w:trPr>
          <w:trHeight w:val="142"/>
        </w:trPr>
        <w:tc>
          <w:tcPr>
            <w:cnfStyle w:val="001000000000" w:firstRow="0" w:lastRow="0" w:firstColumn="1" w:lastColumn="0" w:oddVBand="0" w:evenVBand="0" w:oddHBand="0" w:evenHBand="0" w:firstRowFirstColumn="0" w:firstRowLastColumn="0" w:lastRowFirstColumn="0" w:lastRowLastColumn="0"/>
            <w:tcW w:w="11907" w:type="dxa"/>
            <w:hideMark/>
          </w:tcPr>
          <w:p w14:paraId="4F198302"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provided evidence that there is senior level, including board level, ownership and commitment to its submission and its outcomes?  </w:t>
            </w:r>
          </w:p>
        </w:tc>
        <w:tc>
          <w:tcPr>
            <w:tcW w:w="993" w:type="dxa"/>
            <w:hideMark/>
          </w:tcPr>
          <w:p w14:paraId="20C3C13D"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3.50</w:t>
            </w:r>
          </w:p>
        </w:tc>
      </w:tr>
      <w:tr w:rsidR="00730158" w:rsidRPr="00730158" w14:paraId="78D0A23B"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7221B55C"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To what extent has the business demonstrated its price submission is an ‘open book’?  </w:t>
            </w:r>
          </w:p>
        </w:tc>
        <w:tc>
          <w:tcPr>
            <w:tcW w:w="993" w:type="dxa"/>
            <w:hideMark/>
          </w:tcPr>
          <w:p w14:paraId="1237915F"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2.25</w:t>
            </w:r>
          </w:p>
        </w:tc>
      </w:tr>
      <w:tr w:rsidR="00730158" w:rsidRPr="00F430C9" w14:paraId="544AE2CF" w14:textId="77777777" w:rsidTr="00CF6682">
        <w:trPr>
          <w:trHeight w:val="500"/>
        </w:trPr>
        <w:tc>
          <w:tcPr>
            <w:cnfStyle w:val="001000000000" w:firstRow="0" w:lastRow="0" w:firstColumn="1" w:lastColumn="0" w:oddVBand="0" w:evenVBand="0" w:oddHBand="0" w:evenHBand="0" w:firstRowFirstColumn="0" w:firstRowLastColumn="0" w:lastRowFirstColumn="0" w:lastRowLastColumn="0"/>
            <w:tcW w:w="11907" w:type="dxa"/>
            <w:shd w:val="clear" w:color="auto" w:fill="70CBD0"/>
            <w:hideMark/>
          </w:tcPr>
          <w:p w14:paraId="76EC9E87" w14:textId="77777777" w:rsidR="00A17E69" w:rsidRPr="00F430C9" w:rsidRDefault="00A17E69" w:rsidP="00F430C9">
            <w:pPr>
              <w:spacing w:before="40" w:after="4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Outcomes </w:t>
            </w:r>
          </w:p>
        </w:tc>
        <w:tc>
          <w:tcPr>
            <w:tcW w:w="993" w:type="dxa"/>
            <w:shd w:val="clear" w:color="auto" w:fill="70CBD0"/>
            <w:noWrap/>
            <w:hideMark/>
          </w:tcPr>
          <w:p w14:paraId="6E8A8CDD" w14:textId="77777777" w:rsidR="00A17E69" w:rsidRPr="00F430C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FFFFFF" w:themeColor="background1"/>
                <w:szCs w:val="20"/>
                <w:lang w:eastAsia="en-AU"/>
              </w:rPr>
            </w:pPr>
            <w:r w:rsidRPr="00F430C9">
              <w:rPr>
                <w:rFonts w:eastAsia="Times New Roman" w:cs="Arial"/>
                <w:b/>
                <w:color w:val="FFFFFF" w:themeColor="background1"/>
                <w:szCs w:val="20"/>
                <w:lang w:eastAsia="en-AU"/>
              </w:rPr>
              <w:t>3.10</w:t>
            </w:r>
          </w:p>
        </w:tc>
      </w:tr>
      <w:tr w:rsidR="00730158" w:rsidRPr="00730158" w14:paraId="3C7031DC" w14:textId="77777777" w:rsidTr="00CF6682">
        <w:trPr>
          <w:cnfStyle w:val="000000100000" w:firstRow="0" w:lastRow="0" w:firstColumn="0" w:lastColumn="0" w:oddVBand="0" w:evenVBand="0" w:oddHBand="1" w:evenHBand="0" w:firstRowFirstColumn="0" w:firstRowLastColumn="0" w:lastRowFirstColumn="0" w:lastRowLastColumn="0"/>
          <w:trHeight w:val="164"/>
        </w:trPr>
        <w:tc>
          <w:tcPr>
            <w:cnfStyle w:val="001000000000" w:firstRow="0" w:lastRow="0" w:firstColumn="1" w:lastColumn="0" w:oddVBand="0" w:evenVBand="0" w:oddHBand="0" w:evenHBand="0" w:firstRowFirstColumn="0" w:firstRowLastColumn="0" w:lastRowFirstColumn="0" w:lastRowLastColumn="0"/>
            <w:tcW w:w="11907" w:type="dxa"/>
            <w:hideMark/>
          </w:tcPr>
          <w:p w14:paraId="57EC0806" w14:textId="47C09C44"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 xml:space="preserve">Has the business provided evidence that the outcomes proposed have </w:t>
            </w:r>
            <w:r w:rsidR="00216074" w:rsidRPr="00A17E69">
              <w:rPr>
                <w:rFonts w:eastAsia="Times New Roman" w:cs="Arial"/>
                <w:szCs w:val="20"/>
                <w:lang w:eastAsia="en-AU"/>
              </w:rPr>
              <w:t>considered</w:t>
            </w:r>
            <w:r w:rsidRPr="00A17E69">
              <w:rPr>
                <w:rFonts w:eastAsia="Times New Roman" w:cs="Arial"/>
                <w:szCs w:val="20"/>
                <w:lang w:eastAsia="en-AU"/>
              </w:rPr>
              <w:t xml:space="preserve"> the views, concerns</w:t>
            </w:r>
            <w:r w:rsidR="00A55F5D" w:rsidRPr="00A17E69">
              <w:rPr>
                <w:rFonts w:eastAsia="Times New Roman" w:cs="Arial"/>
                <w:szCs w:val="20"/>
                <w:lang w:eastAsia="en-AU"/>
              </w:rPr>
              <w:t>,</w:t>
            </w:r>
            <w:r w:rsidRPr="00A17E69">
              <w:rPr>
                <w:rFonts w:eastAsia="Times New Roman" w:cs="Arial"/>
                <w:szCs w:val="20"/>
                <w:lang w:eastAsia="en-AU"/>
              </w:rPr>
              <w:t xml:space="preserve"> and priorities of customers?  </w:t>
            </w:r>
          </w:p>
        </w:tc>
        <w:tc>
          <w:tcPr>
            <w:tcW w:w="993" w:type="dxa"/>
            <w:hideMark/>
          </w:tcPr>
          <w:p w14:paraId="14FCAC71"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730158" w14:paraId="6C65208C"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37359159"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Has the business provided sufficient explanation of how the outcomes it has proposed align to the forecast expenditure requested?  </w:t>
            </w:r>
          </w:p>
        </w:tc>
        <w:tc>
          <w:tcPr>
            <w:tcW w:w="993" w:type="dxa"/>
            <w:hideMark/>
          </w:tcPr>
          <w:p w14:paraId="1D15E7AA"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2.50</w:t>
            </w:r>
          </w:p>
        </w:tc>
      </w:tr>
      <w:tr w:rsidR="00730158" w:rsidRPr="00730158" w14:paraId="26A33B3A"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7E9E991C" w14:textId="622C27BE"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Has the business proposed outputs to support each of its outcomes, which are measurable, robust</w:t>
            </w:r>
            <w:r w:rsidR="00A55F5D" w:rsidRPr="00A17E69">
              <w:rPr>
                <w:rFonts w:eastAsia="Times New Roman" w:cs="Arial"/>
                <w:szCs w:val="20"/>
                <w:lang w:eastAsia="en-AU"/>
              </w:rPr>
              <w:t>,</w:t>
            </w:r>
            <w:r w:rsidRPr="00A17E69">
              <w:rPr>
                <w:rFonts w:eastAsia="Times New Roman" w:cs="Arial"/>
                <w:szCs w:val="20"/>
                <w:lang w:eastAsia="en-AU"/>
              </w:rPr>
              <w:t xml:space="preserve"> and deliverable?  </w:t>
            </w:r>
          </w:p>
        </w:tc>
        <w:tc>
          <w:tcPr>
            <w:tcW w:w="993" w:type="dxa"/>
            <w:hideMark/>
          </w:tcPr>
          <w:p w14:paraId="2564C9EC"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730158" w14:paraId="347B9ED3" w14:textId="77777777" w:rsidTr="00CF6682">
        <w:trPr>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5F23E767"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Has the business provided evidence that the outputs it has proposed are reasonable measures of performance against stated outcomes?  </w:t>
            </w:r>
          </w:p>
        </w:tc>
        <w:tc>
          <w:tcPr>
            <w:tcW w:w="993" w:type="dxa"/>
            <w:hideMark/>
          </w:tcPr>
          <w:p w14:paraId="7F713142" w14:textId="77777777" w:rsidR="00A17E69" w:rsidRPr="00A17E69"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730158" w14:paraId="6471B39A" w14:textId="77777777" w:rsidTr="00CF6682">
        <w:trPr>
          <w:cnfStyle w:val="000000100000" w:firstRow="0" w:lastRow="0" w:firstColumn="0" w:lastColumn="0" w:oddVBand="0" w:evenVBand="0" w:oddHBand="1" w:evenHBand="0" w:firstRowFirstColumn="0" w:firstRowLastColumn="0" w:lastRowFirstColumn="0" w:lastRowLastColumn="0"/>
          <w:trHeight w:val="17"/>
        </w:trPr>
        <w:tc>
          <w:tcPr>
            <w:cnfStyle w:val="001000000000" w:firstRow="0" w:lastRow="0" w:firstColumn="1" w:lastColumn="0" w:oddVBand="0" w:evenVBand="0" w:oddHBand="0" w:evenHBand="0" w:firstRowFirstColumn="0" w:firstRowLastColumn="0" w:lastRowFirstColumn="0" w:lastRowLastColumn="0"/>
            <w:tcW w:w="11907" w:type="dxa"/>
            <w:hideMark/>
          </w:tcPr>
          <w:p w14:paraId="0588C339" w14:textId="77777777" w:rsidR="00A17E69" w:rsidRPr="00A17E69" w:rsidRDefault="00A17E69" w:rsidP="00F430C9">
            <w:pPr>
              <w:spacing w:before="40" w:after="40"/>
              <w:rPr>
                <w:rFonts w:eastAsia="Times New Roman" w:cs="Arial"/>
                <w:szCs w:val="20"/>
                <w:lang w:eastAsia="en-AU"/>
              </w:rPr>
            </w:pPr>
            <w:r w:rsidRPr="00A17E69">
              <w:rPr>
                <w:rFonts w:eastAsia="Times New Roman" w:cs="Arial"/>
                <w:szCs w:val="20"/>
                <w:lang w:eastAsia="en-AU"/>
              </w:rPr>
              <w:t>Has the business demonstrated a process to measure performance against each outcome and to inform customers?  </w:t>
            </w:r>
          </w:p>
        </w:tc>
        <w:tc>
          <w:tcPr>
            <w:tcW w:w="993" w:type="dxa"/>
            <w:hideMark/>
          </w:tcPr>
          <w:p w14:paraId="6AB60885" w14:textId="77777777" w:rsidR="00A17E69" w:rsidRPr="00A17E69" w:rsidRDefault="00A17E69" w:rsidP="00F430C9">
            <w:pPr>
              <w:spacing w:before="40" w:after="40"/>
              <w:jc w:val="center"/>
              <w:cnfStyle w:val="000000100000" w:firstRow="0" w:lastRow="0" w:firstColumn="0" w:lastColumn="0" w:oddVBand="0" w:evenVBand="0" w:oddHBand="1" w:evenHBand="0" w:firstRowFirstColumn="0" w:firstRowLastColumn="0" w:lastRowFirstColumn="0" w:lastRowLastColumn="0"/>
              <w:rPr>
                <w:rFonts w:eastAsia="Times New Roman" w:cs="Arial"/>
                <w:szCs w:val="20"/>
                <w:lang w:eastAsia="en-AU"/>
              </w:rPr>
            </w:pPr>
            <w:r w:rsidRPr="00A17E69">
              <w:rPr>
                <w:rFonts w:eastAsia="Times New Roman" w:cs="Arial"/>
                <w:szCs w:val="20"/>
                <w:lang w:eastAsia="en-AU"/>
              </w:rPr>
              <w:t>3.25</w:t>
            </w:r>
          </w:p>
        </w:tc>
      </w:tr>
      <w:tr w:rsidR="00730158" w:rsidRPr="00CF6682" w14:paraId="46B355C9" w14:textId="77777777" w:rsidTr="00CF6682">
        <w:trPr>
          <w:trHeight w:val="500"/>
        </w:trPr>
        <w:tc>
          <w:tcPr>
            <w:cnfStyle w:val="001000000000" w:firstRow="0" w:lastRow="0" w:firstColumn="1" w:lastColumn="0" w:oddVBand="0" w:evenVBand="0" w:oddHBand="0" w:evenHBand="0" w:firstRowFirstColumn="0" w:firstRowLastColumn="0" w:lastRowFirstColumn="0" w:lastRowLastColumn="0"/>
            <w:tcW w:w="11907" w:type="dxa"/>
            <w:tcBorders>
              <w:bottom w:val="single" w:sz="4" w:space="0" w:color="auto"/>
            </w:tcBorders>
            <w:shd w:val="clear" w:color="auto" w:fill="70CBD0"/>
            <w:hideMark/>
          </w:tcPr>
          <w:p w14:paraId="7903FA40" w14:textId="1DE769E4" w:rsidR="00A17E69" w:rsidRPr="00CF6682" w:rsidRDefault="00A72533" w:rsidP="00F430C9">
            <w:pPr>
              <w:spacing w:before="40" w:after="40"/>
              <w:rPr>
                <w:rFonts w:eastAsia="Times New Roman" w:cs="Arial"/>
                <w:b/>
                <w:color w:val="FFFFFF" w:themeColor="background1"/>
                <w:szCs w:val="20"/>
                <w:lang w:eastAsia="en-AU"/>
              </w:rPr>
            </w:pPr>
            <w:r w:rsidRPr="00CF6682">
              <w:rPr>
                <w:rFonts w:eastAsia="Times New Roman" w:cs="Arial"/>
                <w:b/>
                <w:color w:val="FFFFFF" w:themeColor="background1"/>
                <w:szCs w:val="20"/>
                <w:lang w:eastAsia="en-AU"/>
              </w:rPr>
              <w:t>Total average score</w:t>
            </w:r>
          </w:p>
        </w:tc>
        <w:tc>
          <w:tcPr>
            <w:tcW w:w="993" w:type="dxa"/>
            <w:tcBorders>
              <w:bottom w:val="single" w:sz="4" w:space="0" w:color="auto"/>
            </w:tcBorders>
            <w:shd w:val="clear" w:color="auto" w:fill="70CBD0"/>
            <w:hideMark/>
          </w:tcPr>
          <w:p w14:paraId="28A46B41" w14:textId="77777777" w:rsidR="00A17E69" w:rsidRPr="00CF6682" w:rsidRDefault="00A17E69" w:rsidP="00F430C9">
            <w:pPr>
              <w:spacing w:before="40" w:after="40"/>
              <w:jc w:val="center"/>
              <w:cnfStyle w:val="000000000000" w:firstRow="0" w:lastRow="0" w:firstColumn="0" w:lastColumn="0" w:oddVBand="0" w:evenVBand="0" w:oddHBand="0" w:evenHBand="0" w:firstRowFirstColumn="0" w:firstRowLastColumn="0" w:lastRowFirstColumn="0" w:lastRowLastColumn="0"/>
              <w:rPr>
                <w:rFonts w:eastAsia="Times New Roman" w:cs="Arial"/>
                <w:b/>
                <w:color w:val="FFFFFF" w:themeColor="background1"/>
                <w:szCs w:val="20"/>
                <w:lang w:eastAsia="en-AU"/>
              </w:rPr>
            </w:pPr>
            <w:r w:rsidRPr="00CF6682">
              <w:rPr>
                <w:rFonts w:eastAsia="Times New Roman" w:cs="Arial"/>
                <w:b/>
                <w:color w:val="FFFFFF" w:themeColor="background1"/>
                <w:szCs w:val="20"/>
                <w:lang w:eastAsia="en-AU"/>
              </w:rPr>
              <w:t>13.87</w:t>
            </w:r>
          </w:p>
        </w:tc>
      </w:tr>
    </w:tbl>
    <w:p w14:paraId="367A0DB9" w14:textId="77777777" w:rsidR="00823C81" w:rsidRDefault="00823C81" w:rsidP="00861843">
      <w:pPr>
        <w:rPr>
          <w:rFonts w:cs="Arial"/>
          <w:shd w:val="clear" w:color="auto" w:fill="FAF9F8"/>
        </w:rPr>
      </w:pPr>
    </w:p>
    <w:p w14:paraId="3BDA1CDF" w14:textId="77777777" w:rsidR="00823C81" w:rsidRPr="00192F41" w:rsidRDefault="00823C81" w:rsidP="00861843">
      <w:pPr>
        <w:rPr>
          <w:rFonts w:cs="Arial"/>
          <w:shd w:val="clear" w:color="auto" w:fill="FAF9F8"/>
        </w:rPr>
      </w:pPr>
    </w:p>
    <w:p w14:paraId="55E02E05" w14:textId="77777777" w:rsidR="00436C9E" w:rsidRPr="00192F41" w:rsidRDefault="00436C9E" w:rsidP="00861843">
      <w:pPr>
        <w:rPr>
          <w:rFonts w:cs="Arial"/>
          <w:shd w:val="clear" w:color="auto" w:fill="FAF9F8"/>
        </w:rPr>
      </w:pPr>
    </w:p>
    <w:p w14:paraId="3B7E65D6" w14:textId="77777777" w:rsidR="00436C9E" w:rsidRPr="00192F41" w:rsidRDefault="00436C9E" w:rsidP="00861843">
      <w:pPr>
        <w:rPr>
          <w:rFonts w:cs="Arial"/>
          <w:shd w:val="clear" w:color="auto" w:fill="FAF9F8"/>
        </w:rPr>
        <w:sectPr w:rsidR="00436C9E" w:rsidRPr="00192F41" w:rsidSect="00A17E69">
          <w:pgSz w:w="16838" w:h="11906" w:orient="landscape"/>
          <w:pgMar w:top="1134" w:right="1701" w:bottom="1134" w:left="2353" w:header="567" w:footer="0" w:gutter="0"/>
          <w:cols w:space="708"/>
          <w:titlePg/>
          <w:docGrid w:linePitch="360"/>
        </w:sectPr>
      </w:pPr>
    </w:p>
    <w:p w14:paraId="3A971D40" w14:textId="6CC01005" w:rsidR="00861843" w:rsidRDefault="009C50E3" w:rsidP="00436C9E">
      <w:pPr>
        <w:pStyle w:val="Heading2"/>
        <w:rPr>
          <w:rStyle w:val="IntenseEmphasis"/>
          <w:rFonts w:cs="Arial"/>
          <w:i w:val="0"/>
          <w:iCs w:val="0"/>
          <w:sz w:val="36"/>
        </w:rPr>
      </w:pPr>
      <w:bookmarkStart w:id="84" w:name="_Hlk114653399"/>
      <w:bookmarkStart w:id="85" w:name="_Hlk109315296"/>
      <w:r w:rsidRPr="00192F41">
        <w:rPr>
          <w:rStyle w:val="IntenseEmphasis"/>
          <w:rFonts w:cs="Arial"/>
          <w:i w:val="0"/>
          <w:iCs w:val="0"/>
          <w:sz w:val="36"/>
        </w:rPr>
        <w:t xml:space="preserve">Appendix </w:t>
      </w:r>
      <w:r w:rsidR="00A57C78">
        <w:rPr>
          <w:rStyle w:val="IntenseEmphasis"/>
          <w:rFonts w:cs="Arial"/>
          <w:i w:val="0"/>
          <w:iCs w:val="0"/>
          <w:sz w:val="36"/>
        </w:rPr>
        <w:t>C</w:t>
      </w:r>
      <w:r w:rsidR="009B35AA" w:rsidRPr="00192F41">
        <w:rPr>
          <w:rStyle w:val="IntenseEmphasis"/>
          <w:rFonts w:cs="Arial"/>
          <w:i w:val="0"/>
          <w:iCs w:val="0"/>
          <w:sz w:val="36"/>
        </w:rPr>
        <w:t xml:space="preserve"> - </w:t>
      </w:r>
      <w:r w:rsidR="00E03593" w:rsidRPr="00192F41">
        <w:rPr>
          <w:rStyle w:val="IntenseEmphasis"/>
          <w:rFonts w:cs="Arial"/>
          <w:i w:val="0"/>
          <w:iCs w:val="0"/>
          <w:sz w:val="36"/>
        </w:rPr>
        <w:t xml:space="preserve">Performance </w:t>
      </w:r>
      <w:r w:rsidR="00436C9E" w:rsidRPr="00192F41">
        <w:rPr>
          <w:rStyle w:val="IntenseEmphasis"/>
          <w:rFonts w:cs="Arial"/>
          <w:i w:val="0"/>
          <w:iCs w:val="0"/>
          <w:sz w:val="36"/>
        </w:rPr>
        <w:t>m</w:t>
      </w:r>
      <w:r w:rsidR="00E03593" w:rsidRPr="00192F41">
        <w:rPr>
          <w:rStyle w:val="IntenseEmphasis"/>
          <w:rFonts w:cs="Arial"/>
          <w:i w:val="0"/>
          <w:iCs w:val="0"/>
          <w:sz w:val="36"/>
        </w:rPr>
        <w:t>easures</w:t>
      </w:r>
      <w:r w:rsidR="00436C9E" w:rsidRPr="00192F41">
        <w:rPr>
          <w:rStyle w:val="IntenseEmphasis"/>
          <w:rFonts w:cs="Arial"/>
          <w:i w:val="0"/>
          <w:iCs w:val="0"/>
          <w:sz w:val="36"/>
        </w:rPr>
        <w:t xml:space="preserve"> and targets</w:t>
      </w:r>
    </w:p>
    <w:bookmarkEnd w:id="84"/>
    <w:p w14:paraId="748D88E3" w14:textId="3040FD95" w:rsidR="003E2F5E" w:rsidRPr="003E2F5E" w:rsidRDefault="003E2F5E" w:rsidP="003E2F5E">
      <w:r>
        <w:t>Notes for this table, where the measures are new we have included a N/A for the current regulatory period.</w:t>
      </w:r>
    </w:p>
    <w:tbl>
      <w:tblPr>
        <w:tblW w:w="13970" w:type="dxa"/>
        <w:tblInd w:w="-851" w:type="dxa"/>
        <w:tblLook w:val="04A0" w:firstRow="1" w:lastRow="0" w:firstColumn="1" w:lastColumn="0" w:noHBand="0" w:noVBand="1"/>
      </w:tblPr>
      <w:tblGrid>
        <w:gridCol w:w="1318"/>
        <w:gridCol w:w="1398"/>
        <w:gridCol w:w="2121"/>
        <w:gridCol w:w="2403"/>
        <w:gridCol w:w="849"/>
        <w:gridCol w:w="848"/>
        <w:gridCol w:w="849"/>
        <w:gridCol w:w="849"/>
        <w:gridCol w:w="850"/>
        <w:gridCol w:w="849"/>
        <w:gridCol w:w="832"/>
        <w:gridCol w:w="804"/>
      </w:tblGrid>
      <w:tr w:rsidR="00FA422B" w:rsidRPr="00990A88" w14:paraId="42EBBE39" w14:textId="77777777" w:rsidTr="003565AF">
        <w:trPr>
          <w:trHeight w:val="286"/>
        </w:trPr>
        <w:tc>
          <w:tcPr>
            <w:tcW w:w="1318" w:type="dxa"/>
            <w:tcBorders>
              <w:top w:val="nil"/>
              <w:left w:val="nil"/>
              <w:bottom w:val="nil"/>
              <w:right w:val="nil"/>
            </w:tcBorders>
            <w:shd w:val="clear" w:color="000000" w:fill="70CBD0"/>
            <w:vAlign w:val="center"/>
            <w:hideMark/>
          </w:tcPr>
          <w:bookmarkEnd w:id="85"/>
          <w:p w14:paraId="13454A76" w14:textId="77777777" w:rsidR="00B15887" w:rsidRPr="00C33511" w:rsidRDefault="00B15887" w:rsidP="00990A88">
            <w:pPr>
              <w:spacing w:after="0" w:line="240" w:lineRule="auto"/>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Customers </w:t>
            </w:r>
          </w:p>
        </w:tc>
        <w:tc>
          <w:tcPr>
            <w:tcW w:w="1398" w:type="dxa"/>
            <w:tcBorders>
              <w:top w:val="nil"/>
              <w:left w:val="nil"/>
              <w:bottom w:val="nil"/>
              <w:right w:val="nil"/>
            </w:tcBorders>
            <w:shd w:val="clear" w:color="000000" w:fill="70CBD0"/>
            <w:vAlign w:val="center"/>
            <w:hideMark/>
          </w:tcPr>
          <w:p w14:paraId="6446453D" w14:textId="77777777" w:rsidR="00B15887" w:rsidRPr="00C33511" w:rsidRDefault="00B15887" w:rsidP="00990A88">
            <w:pPr>
              <w:spacing w:after="0" w:line="240" w:lineRule="auto"/>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Output </w:t>
            </w:r>
          </w:p>
        </w:tc>
        <w:tc>
          <w:tcPr>
            <w:tcW w:w="2121" w:type="dxa"/>
            <w:tcBorders>
              <w:top w:val="nil"/>
              <w:left w:val="nil"/>
              <w:bottom w:val="nil"/>
              <w:right w:val="nil"/>
            </w:tcBorders>
            <w:shd w:val="clear" w:color="000000" w:fill="70CBD0"/>
            <w:vAlign w:val="center"/>
            <w:hideMark/>
          </w:tcPr>
          <w:p w14:paraId="76DB3416" w14:textId="77777777" w:rsidR="00B15887" w:rsidRPr="00C33511" w:rsidRDefault="00B15887" w:rsidP="00990A88">
            <w:pPr>
              <w:spacing w:after="0" w:line="240" w:lineRule="auto"/>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Why </w:t>
            </w:r>
          </w:p>
        </w:tc>
        <w:tc>
          <w:tcPr>
            <w:tcW w:w="2403" w:type="dxa"/>
            <w:tcBorders>
              <w:top w:val="nil"/>
              <w:left w:val="nil"/>
              <w:bottom w:val="nil"/>
              <w:right w:val="nil"/>
            </w:tcBorders>
            <w:shd w:val="clear" w:color="000000" w:fill="70CBD0"/>
            <w:vAlign w:val="center"/>
            <w:hideMark/>
          </w:tcPr>
          <w:p w14:paraId="526A24A8" w14:textId="77777777" w:rsidR="00B15887" w:rsidRPr="00C33511" w:rsidRDefault="00B15887" w:rsidP="00990A88">
            <w:pPr>
              <w:spacing w:after="0" w:line="240" w:lineRule="auto"/>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Measure </w:t>
            </w:r>
          </w:p>
        </w:tc>
        <w:tc>
          <w:tcPr>
            <w:tcW w:w="849" w:type="dxa"/>
            <w:tcBorders>
              <w:top w:val="nil"/>
              <w:left w:val="nil"/>
              <w:bottom w:val="nil"/>
              <w:right w:val="nil"/>
            </w:tcBorders>
            <w:shd w:val="clear" w:color="000000" w:fill="70CBD0"/>
            <w:vAlign w:val="center"/>
            <w:hideMark/>
          </w:tcPr>
          <w:p w14:paraId="4D0D13D4" w14:textId="07C0D3EB"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20-21</w:t>
            </w:r>
          </w:p>
        </w:tc>
        <w:tc>
          <w:tcPr>
            <w:tcW w:w="848" w:type="dxa"/>
            <w:tcBorders>
              <w:top w:val="nil"/>
              <w:left w:val="nil"/>
              <w:bottom w:val="nil"/>
              <w:right w:val="nil"/>
            </w:tcBorders>
            <w:shd w:val="clear" w:color="000000" w:fill="70CBD0"/>
            <w:vAlign w:val="center"/>
            <w:hideMark/>
          </w:tcPr>
          <w:p w14:paraId="09BE7AD8" w14:textId="00EF66C2"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21-22</w:t>
            </w:r>
          </w:p>
        </w:tc>
        <w:tc>
          <w:tcPr>
            <w:tcW w:w="849" w:type="dxa"/>
            <w:tcBorders>
              <w:top w:val="nil"/>
              <w:left w:val="nil"/>
              <w:bottom w:val="nil"/>
              <w:right w:val="nil"/>
            </w:tcBorders>
            <w:shd w:val="clear" w:color="000000" w:fill="70CBD0"/>
            <w:vAlign w:val="center"/>
          </w:tcPr>
          <w:p w14:paraId="10929EF0" w14:textId="55E86367" w:rsidR="00B15887" w:rsidRPr="00C33511" w:rsidRDefault="00B15887" w:rsidP="00563B15">
            <w:pPr>
              <w:spacing w:after="0" w:line="240" w:lineRule="auto"/>
              <w:jc w:val="center"/>
              <w:rPr>
                <w:rFonts w:eastAsia="Times New Roman" w:cs="Arial"/>
                <w:b/>
                <w:bCs/>
                <w:color w:val="FFFFFF" w:themeColor="background1"/>
                <w:sz w:val="20"/>
                <w:szCs w:val="20"/>
                <w:lang w:eastAsia="en-AU"/>
              </w:rPr>
            </w:pPr>
            <w:r w:rsidRPr="00C33511">
              <w:rPr>
                <w:rFonts w:eastAsia="Times New Roman" w:cs="Arial"/>
                <w:b/>
                <w:bCs/>
                <w:color w:val="FFFFFF" w:themeColor="background1"/>
                <w:sz w:val="20"/>
                <w:szCs w:val="20"/>
                <w:lang w:eastAsia="en-AU"/>
              </w:rPr>
              <w:t>22-23</w:t>
            </w:r>
          </w:p>
        </w:tc>
        <w:tc>
          <w:tcPr>
            <w:tcW w:w="849" w:type="dxa"/>
            <w:tcBorders>
              <w:top w:val="nil"/>
              <w:left w:val="nil"/>
              <w:bottom w:val="nil"/>
              <w:right w:val="nil"/>
            </w:tcBorders>
            <w:shd w:val="clear" w:color="000000" w:fill="70CBD0"/>
            <w:vAlign w:val="center"/>
            <w:hideMark/>
          </w:tcPr>
          <w:p w14:paraId="6B7B673D" w14:textId="7B45BF6B"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23-24</w:t>
            </w:r>
          </w:p>
        </w:tc>
        <w:tc>
          <w:tcPr>
            <w:tcW w:w="850" w:type="dxa"/>
            <w:tcBorders>
              <w:top w:val="nil"/>
              <w:left w:val="nil"/>
              <w:bottom w:val="nil"/>
              <w:right w:val="nil"/>
            </w:tcBorders>
            <w:shd w:val="clear" w:color="000000" w:fill="70CBD0"/>
            <w:vAlign w:val="center"/>
            <w:hideMark/>
          </w:tcPr>
          <w:p w14:paraId="783486E4" w14:textId="3DCD6CC0"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24-25</w:t>
            </w:r>
          </w:p>
        </w:tc>
        <w:tc>
          <w:tcPr>
            <w:tcW w:w="849" w:type="dxa"/>
            <w:tcBorders>
              <w:top w:val="nil"/>
              <w:left w:val="nil"/>
              <w:bottom w:val="nil"/>
              <w:right w:val="nil"/>
            </w:tcBorders>
            <w:shd w:val="clear" w:color="000000" w:fill="70CBD0"/>
            <w:vAlign w:val="center"/>
            <w:hideMark/>
          </w:tcPr>
          <w:p w14:paraId="1227E339" w14:textId="0CD1D0F4"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25-26</w:t>
            </w:r>
          </w:p>
        </w:tc>
        <w:tc>
          <w:tcPr>
            <w:tcW w:w="832" w:type="dxa"/>
            <w:tcBorders>
              <w:top w:val="nil"/>
              <w:left w:val="nil"/>
              <w:bottom w:val="nil"/>
              <w:right w:val="nil"/>
            </w:tcBorders>
            <w:shd w:val="clear" w:color="000000" w:fill="70CBD0"/>
            <w:vAlign w:val="center"/>
            <w:hideMark/>
          </w:tcPr>
          <w:p w14:paraId="1F44C811" w14:textId="6849D3E4"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26-27</w:t>
            </w:r>
          </w:p>
        </w:tc>
        <w:tc>
          <w:tcPr>
            <w:tcW w:w="804" w:type="dxa"/>
            <w:tcBorders>
              <w:top w:val="nil"/>
              <w:left w:val="nil"/>
              <w:bottom w:val="nil"/>
              <w:right w:val="nil"/>
            </w:tcBorders>
            <w:shd w:val="clear" w:color="000000" w:fill="70CBD0"/>
            <w:vAlign w:val="center"/>
            <w:hideMark/>
          </w:tcPr>
          <w:p w14:paraId="2CBBFD28" w14:textId="77777777" w:rsidR="00B15887" w:rsidRPr="00C33511" w:rsidRDefault="00B15887" w:rsidP="001F2318">
            <w:pPr>
              <w:spacing w:after="0" w:line="240" w:lineRule="auto"/>
              <w:jc w:val="center"/>
              <w:rPr>
                <w:rFonts w:eastAsia="Times New Roman" w:cs="Arial"/>
                <w:b/>
                <w:bCs/>
                <w:color w:val="FFFFFF"/>
                <w:sz w:val="20"/>
                <w:szCs w:val="20"/>
                <w:lang w:eastAsia="en-AU"/>
              </w:rPr>
            </w:pPr>
            <w:r w:rsidRPr="00C33511">
              <w:rPr>
                <w:rFonts w:eastAsia="Times New Roman" w:cs="Arial"/>
                <w:b/>
                <w:bCs/>
                <w:color w:val="FFFFFF" w:themeColor="background1"/>
                <w:sz w:val="20"/>
                <w:szCs w:val="20"/>
                <w:lang w:eastAsia="en-AU"/>
              </w:rPr>
              <w:t>27-28</w:t>
            </w:r>
          </w:p>
        </w:tc>
      </w:tr>
      <w:tr w:rsidR="00C01DCE" w:rsidRPr="00990A88" w14:paraId="42388FFC" w14:textId="77777777" w:rsidTr="001F1C64">
        <w:trPr>
          <w:trHeight w:val="181"/>
        </w:trPr>
        <w:tc>
          <w:tcPr>
            <w:tcW w:w="1318" w:type="dxa"/>
            <w:tcBorders>
              <w:top w:val="nil"/>
              <w:left w:val="nil"/>
              <w:bottom w:val="nil"/>
              <w:right w:val="nil"/>
            </w:tcBorders>
            <w:shd w:val="clear" w:color="auto" w:fill="F2F2F2" w:themeFill="background1" w:themeFillShade="F2"/>
            <w:vAlign w:val="center"/>
          </w:tcPr>
          <w:p w14:paraId="6B6FADBE" w14:textId="77777777" w:rsidR="008401C8" w:rsidRPr="00990A88" w:rsidRDefault="008401C8" w:rsidP="00990A88">
            <w:pPr>
              <w:spacing w:after="0" w:line="240" w:lineRule="auto"/>
              <w:rPr>
                <w:rFonts w:eastAsia="Times New Roman" w:cs="Arial"/>
                <w:b/>
                <w:bCs/>
                <w:sz w:val="20"/>
                <w:szCs w:val="20"/>
                <w:lang w:eastAsia="en-AU"/>
              </w:rPr>
            </w:pPr>
          </w:p>
        </w:tc>
        <w:tc>
          <w:tcPr>
            <w:tcW w:w="1398" w:type="dxa"/>
            <w:tcBorders>
              <w:top w:val="nil"/>
              <w:left w:val="nil"/>
              <w:bottom w:val="nil"/>
              <w:right w:val="nil"/>
            </w:tcBorders>
            <w:shd w:val="clear" w:color="auto" w:fill="F2F2F2" w:themeFill="background1" w:themeFillShade="F2"/>
            <w:vAlign w:val="center"/>
          </w:tcPr>
          <w:p w14:paraId="36694B1C" w14:textId="77777777" w:rsidR="008401C8" w:rsidRPr="00990A88" w:rsidRDefault="008401C8" w:rsidP="00990A88">
            <w:pPr>
              <w:spacing w:after="0" w:line="240" w:lineRule="auto"/>
              <w:rPr>
                <w:rFonts w:eastAsia="Times New Roman" w:cs="Arial"/>
                <w:color w:val="000000"/>
                <w:sz w:val="20"/>
                <w:szCs w:val="20"/>
                <w:lang w:eastAsia="en-AU"/>
              </w:rPr>
            </w:pPr>
          </w:p>
        </w:tc>
        <w:tc>
          <w:tcPr>
            <w:tcW w:w="2121" w:type="dxa"/>
            <w:tcBorders>
              <w:top w:val="nil"/>
              <w:left w:val="nil"/>
              <w:bottom w:val="nil"/>
              <w:right w:val="nil"/>
            </w:tcBorders>
            <w:shd w:val="clear" w:color="auto" w:fill="F2F2F2" w:themeFill="background1" w:themeFillShade="F2"/>
            <w:vAlign w:val="center"/>
          </w:tcPr>
          <w:p w14:paraId="00733908" w14:textId="77777777" w:rsidR="008401C8" w:rsidRPr="00990A88" w:rsidRDefault="008401C8" w:rsidP="00990A88">
            <w:pPr>
              <w:spacing w:after="0" w:line="240" w:lineRule="auto"/>
              <w:rPr>
                <w:rFonts w:eastAsia="Times New Roman" w:cs="Arial"/>
                <w:color w:val="000000"/>
                <w:sz w:val="20"/>
                <w:szCs w:val="20"/>
                <w:lang w:eastAsia="en-AU"/>
              </w:rPr>
            </w:pPr>
          </w:p>
        </w:tc>
        <w:tc>
          <w:tcPr>
            <w:tcW w:w="2403" w:type="dxa"/>
            <w:tcBorders>
              <w:top w:val="nil"/>
              <w:left w:val="nil"/>
              <w:bottom w:val="nil"/>
              <w:right w:val="nil"/>
            </w:tcBorders>
            <w:shd w:val="clear" w:color="auto" w:fill="F2F2F2" w:themeFill="background1" w:themeFillShade="F2"/>
            <w:vAlign w:val="center"/>
          </w:tcPr>
          <w:p w14:paraId="5F5FA2CC" w14:textId="77777777" w:rsidR="008401C8" w:rsidRPr="00990A88" w:rsidRDefault="008401C8" w:rsidP="00990A88">
            <w:pPr>
              <w:spacing w:after="0" w:line="240" w:lineRule="auto"/>
              <w:rPr>
                <w:rFonts w:eastAsia="Times New Roman" w:cs="Arial"/>
                <w:color w:val="000000"/>
                <w:sz w:val="20"/>
                <w:szCs w:val="20"/>
                <w:lang w:eastAsia="en-AU"/>
              </w:rPr>
            </w:pPr>
          </w:p>
        </w:tc>
        <w:tc>
          <w:tcPr>
            <w:tcW w:w="2546" w:type="dxa"/>
            <w:gridSpan w:val="3"/>
            <w:tcBorders>
              <w:top w:val="nil"/>
              <w:left w:val="nil"/>
              <w:bottom w:val="nil"/>
              <w:right w:val="nil"/>
            </w:tcBorders>
            <w:shd w:val="clear" w:color="auto" w:fill="F2F2F2" w:themeFill="background1" w:themeFillShade="F2"/>
            <w:vAlign w:val="center"/>
          </w:tcPr>
          <w:p w14:paraId="5670A4E0" w14:textId="0465B75B" w:rsidR="008401C8" w:rsidRPr="00990A88" w:rsidRDefault="008401C8" w:rsidP="008401C8">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18</w:t>
            </w:r>
          </w:p>
        </w:tc>
        <w:tc>
          <w:tcPr>
            <w:tcW w:w="4184" w:type="dxa"/>
            <w:gridSpan w:val="5"/>
            <w:tcBorders>
              <w:top w:val="nil"/>
              <w:left w:val="nil"/>
              <w:bottom w:val="nil"/>
              <w:right w:val="nil"/>
            </w:tcBorders>
            <w:shd w:val="clear" w:color="auto" w:fill="F2F2F2" w:themeFill="background1" w:themeFillShade="F2"/>
            <w:vAlign w:val="center"/>
          </w:tcPr>
          <w:p w14:paraId="3B122595" w14:textId="3982AB8A" w:rsidR="008401C8" w:rsidRPr="00990A88" w:rsidRDefault="008401C8" w:rsidP="008401C8">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23</w:t>
            </w:r>
          </w:p>
        </w:tc>
      </w:tr>
      <w:tr w:rsidR="00E41596" w:rsidRPr="00990A88" w14:paraId="6237BAE1" w14:textId="77777777" w:rsidTr="001F1C64">
        <w:trPr>
          <w:trHeight w:val="222"/>
        </w:trPr>
        <w:tc>
          <w:tcPr>
            <w:tcW w:w="13970" w:type="dxa"/>
            <w:gridSpan w:val="12"/>
            <w:tcBorders>
              <w:top w:val="nil"/>
              <w:left w:val="nil"/>
              <w:bottom w:val="nil"/>
              <w:right w:val="nil"/>
            </w:tcBorders>
            <w:shd w:val="clear" w:color="auto" w:fill="F2F2F2" w:themeFill="background1" w:themeFillShade="F2"/>
            <w:vAlign w:val="center"/>
            <w:hideMark/>
          </w:tcPr>
          <w:p w14:paraId="16A5659B" w14:textId="7FADFC3F" w:rsidR="00E41596" w:rsidRPr="00E41596" w:rsidRDefault="00E41596" w:rsidP="00E41596">
            <w:pPr>
              <w:spacing w:after="0" w:line="240" w:lineRule="auto"/>
              <w:rPr>
                <w:rFonts w:eastAsia="Times New Roman" w:cs="Arial"/>
                <w:b/>
                <w:bCs/>
                <w:color w:val="000000"/>
                <w:sz w:val="20"/>
                <w:szCs w:val="20"/>
                <w:lang w:eastAsia="en-AU"/>
              </w:rPr>
            </w:pPr>
            <w:r w:rsidRPr="00990A88">
              <w:rPr>
                <w:rFonts w:eastAsia="Times New Roman" w:cs="Arial"/>
                <w:b/>
                <w:bCs/>
                <w:sz w:val="20"/>
                <w:szCs w:val="20"/>
                <w:lang w:eastAsia="en-AU"/>
              </w:rPr>
              <w:t>Reliable water supply</w:t>
            </w:r>
          </w:p>
        </w:tc>
      </w:tr>
      <w:tr w:rsidR="00EB2B85" w:rsidRPr="00990A88" w14:paraId="22825A6E" w14:textId="77777777" w:rsidTr="001F1C64">
        <w:trPr>
          <w:trHeight w:val="1233"/>
        </w:trPr>
        <w:tc>
          <w:tcPr>
            <w:tcW w:w="1318" w:type="dxa"/>
            <w:tcBorders>
              <w:top w:val="nil"/>
              <w:left w:val="nil"/>
              <w:bottom w:val="nil"/>
              <w:right w:val="nil"/>
            </w:tcBorders>
            <w:shd w:val="clear" w:color="auto" w:fill="auto"/>
            <w:vAlign w:val="center"/>
            <w:hideMark/>
          </w:tcPr>
          <w:p w14:paraId="0F094633"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Districts </w:t>
            </w:r>
          </w:p>
        </w:tc>
        <w:tc>
          <w:tcPr>
            <w:tcW w:w="1398" w:type="dxa"/>
            <w:tcBorders>
              <w:top w:val="nil"/>
              <w:left w:val="nil"/>
              <w:bottom w:val="nil"/>
              <w:right w:val="nil"/>
            </w:tcBorders>
            <w:shd w:val="clear" w:color="auto" w:fill="auto"/>
            <w:vAlign w:val="center"/>
            <w:hideMark/>
          </w:tcPr>
          <w:p w14:paraId="71D6BAB0"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Orders delivered at time agreed </w:t>
            </w:r>
          </w:p>
        </w:tc>
        <w:tc>
          <w:tcPr>
            <w:tcW w:w="2121" w:type="dxa"/>
            <w:tcBorders>
              <w:top w:val="nil"/>
              <w:left w:val="nil"/>
              <w:bottom w:val="nil"/>
              <w:right w:val="nil"/>
            </w:tcBorders>
            <w:shd w:val="clear" w:color="auto" w:fill="auto"/>
            <w:vAlign w:val="center"/>
            <w:hideMark/>
          </w:tcPr>
          <w:p w14:paraId="55C4D990"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Customers want a reliable service. This is a MRD reporting requirement </w:t>
            </w:r>
          </w:p>
        </w:tc>
        <w:tc>
          <w:tcPr>
            <w:tcW w:w="2403" w:type="dxa"/>
            <w:tcBorders>
              <w:top w:val="nil"/>
              <w:left w:val="nil"/>
              <w:bottom w:val="nil"/>
              <w:right w:val="nil"/>
            </w:tcBorders>
            <w:shd w:val="clear" w:color="auto" w:fill="auto"/>
            <w:vAlign w:val="center"/>
            <w:hideMark/>
          </w:tcPr>
          <w:p w14:paraId="7BDB4B3E"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all orders delivered on day that was confirmed</w:t>
            </w:r>
          </w:p>
        </w:tc>
        <w:tc>
          <w:tcPr>
            <w:tcW w:w="849" w:type="dxa"/>
            <w:tcBorders>
              <w:top w:val="nil"/>
              <w:left w:val="nil"/>
              <w:bottom w:val="nil"/>
              <w:right w:val="nil"/>
            </w:tcBorders>
            <w:shd w:val="clear" w:color="auto" w:fill="auto"/>
            <w:vAlign w:val="center"/>
            <w:hideMark/>
          </w:tcPr>
          <w:p w14:paraId="26E272E0" w14:textId="3BED607E" w:rsidR="00B15887" w:rsidRPr="00990A88" w:rsidRDefault="00B15887"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585DBDD6" w14:textId="6E540B3B" w:rsidR="00B15887" w:rsidRPr="00990A88" w:rsidRDefault="00B15887" w:rsidP="003565AF">
            <w:pPr>
              <w:spacing w:after="0" w:line="240" w:lineRule="auto"/>
              <w:jc w:val="center"/>
              <w:rPr>
                <w:rFonts w:ascii="Times New Roman" w:eastAsia="Times New Roman" w:hAnsi="Times New Roman" w:cs="Times New Roman"/>
                <w:sz w:val="20"/>
                <w:szCs w:val="20"/>
                <w:lang w:eastAsia="en-AU"/>
              </w:rPr>
            </w:pPr>
            <w:r w:rsidRPr="00EA4879">
              <w:rPr>
                <w:rFonts w:eastAsia="Times New Roman" w:cs="Arial"/>
                <w:color w:val="000000"/>
                <w:sz w:val="20"/>
                <w:szCs w:val="20"/>
                <w:lang w:eastAsia="en-AU"/>
              </w:rPr>
              <w:t>N/A</w:t>
            </w:r>
          </w:p>
        </w:tc>
        <w:tc>
          <w:tcPr>
            <w:tcW w:w="849" w:type="dxa"/>
            <w:tcBorders>
              <w:top w:val="nil"/>
              <w:left w:val="nil"/>
              <w:bottom w:val="nil"/>
              <w:right w:val="nil"/>
            </w:tcBorders>
            <w:shd w:val="clear" w:color="auto" w:fill="auto"/>
            <w:vAlign w:val="center"/>
          </w:tcPr>
          <w:p w14:paraId="56C5D5AB" w14:textId="15E0C07F" w:rsidR="00B15887" w:rsidRPr="00990A88" w:rsidRDefault="00B15887"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bottom w:val="nil"/>
              <w:right w:val="nil"/>
            </w:tcBorders>
            <w:shd w:val="clear" w:color="auto" w:fill="auto"/>
            <w:vAlign w:val="center"/>
            <w:hideMark/>
          </w:tcPr>
          <w:p w14:paraId="1F489901" w14:textId="6C06DF46"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95%</w:t>
            </w:r>
          </w:p>
        </w:tc>
        <w:tc>
          <w:tcPr>
            <w:tcW w:w="850" w:type="dxa"/>
            <w:tcBorders>
              <w:top w:val="nil"/>
              <w:left w:val="nil"/>
              <w:bottom w:val="nil"/>
              <w:right w:val="nil"/>
            </w:tcBorders>
            <w:shd w:val="clear" w:color="auto" w:fill="auto"/>
            <w:vAlign w:val="center"/>
            <w:hideMark/>
          </w:tcPr>
          <w:p w14:paraId="3F22822C" w14:textId="5EB07D2F"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95%</w:t>
            </w:r>
          </w:p>
        </w:tc>
        <w:tc>
          <w:tcPr>
            <w:tcW w:w="849" w:type="dxa"/>
            <w:tcBorders>
              <w:top w:val="nil"/>
              <w:left w:val="nil"/>
              <w:bottom w:val="nil"/>
              <w:right w:val="nil"/>
            </w:tcBorders>
            <w:shd w:val="clear" w:color="auto" w:fill="auto"/>
            <w:vAlign w:val="center"/>
            <w:hideMark/>
          </w:tcPr>
          <w:p w14:paraId="29E89E6A" w14:textId="33BF5E8C"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95%</w:t>
            </w:r>
          </w:p>
        </w:tc>
        <w:tc>
          <w:tcPr>
            <w:tcW w:w="832" w:type="dxa"/>
            <w:tcBorders>
              <w:top w:val="nil"/>
              <w:left w:val="nil"/>
              <w:bottom w:val="nil"/>
              <w:right w:val="nil"/>
            </w:tcBorders>
            <w:shd w:val="clear" w:color="auto" w:fill="auto"/>
            <w:vAlign w:val="center"/>
            <w:hideMark/>
          </w:tcPr>
          <w:p w14:paraId="5C120679" w14:textId="4F9AFEF8"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95%</w:t>
            </w:r>
          </w:p>
        </w:tc>
        <w:tc>
          <w:tcPr>
            <w:tcW w:w="804" w:type="dxa"/>
            <w:tcBorders>
              <w:top w:val="nil"/>
              <w:left w:val="nil"/>
              <w:bottom w:val="nil"/>
              <w:right w:val="nil"/>
            </w:tcBorders>
            <w:shd w:val="clear" w:color="auto" w:fill="auto"/>
            <w:vAlign w:val="center"/>
            <w:hideMark/>
          </w:tcPr>
          <w:p w14:paraId="3A8F321D" w14:textId="08344F55"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95%</w:t>
            </w:r>
          </w:p>
        </w:tc>
      </w:tr>
      <w:tr w:rsidR="00FA422B" w:rsidRPr="00990A88" w14:paraId="37F167BA" w14:textId="77777777" w:rsidTr="001F1C64">
        <w:trPr>
          <w:trHeight w:val="986"/>
        </w:trPr>
        <w:tc>
          <w:tcPr>
            <w:tcW w:w="1318" w:type="dxa"/>
            <w:tcBorders>
              <w:top w:val="nil"/>
              <w:left w:val="nil"/>
              <w:bottom w:val="nil"/>
              <w:right w:val="nil"/>
            </w:tcBorders>
            <w:shd w:val="clear" w:color="auto" w:fill="F2F2F2" w:themeFill="background1" w:themeFillShade="F2"/>
            <w:vAlign w:val="center"/>
            <w:hideMark/>
          </w:tcPr>
          <w:p w14:paraId="39B42A88"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MID </w:t>
            </w:r>
          </w:p>
        </w:tc>
        <w:tc>
          <w:tcPr>
            <w:tcW w:w="1398" w:type="dxa"/>
            <w:tcBorders>
              <w:top w:val="nil"/>
              <w:left w:val="nil"/>
              <w:bottom w:val="nil"/>
              <w:right w:val="nil"/>
            </w:tcBorders>
            <w:shd w:val="clear" w:color="auto" w:fill="F2F2F2" w:themeFill="background1" w:themeFillShade="F2"/>
            <w:vAlign w:val="center"/>
            <w:hideMark/>
          </w:tcPr>
          <w:p w14:paraId="11F01C12"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Orders delivered without interruption</w:t>
            </w:r>
          </w:p>
        </w:tc>
        <w:tc>
          <w:tcPr>
            <w:tcW w:w="2121" w:type="dxa"/>
            <w:tcBorders>
              <w:top w:val="nil"/>
              <w:left w:val="nil"/>
              <w:bottom w:val="nil"/>
              <w:right w:val="nil"/>
            </w:tcBorders>
            <w:shd w:val="clear" w:color="auto" w:fill="F2F2F2" w:themeFill="background1" w:themeFillShade="F2"/>
            <w:vAlign w:val="center"/>
            <w:hideMark/>
          </w:tcPr>
          <w:p w14:paraId="4371AA5E"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Customers want a reliable service </w:t>
            </w:r>
          </w:p>
        </w:tc>
        <w:tc>
          <w:tcPr>
            <w:tcW w:w="2403" w:type="dxa"/>
            <w:tcBorders>
              <w:top w:val="nil"/>
              <w:left w:val="nil"/>
              <w:bottom w:val="nil"/>
              <w:right w:val="nil"/>
            </w:tcBorders>
            <w:shd w:val="clear" w:color="auto" w:fill="F2F2F2" w:themeFill="background1" w:themeFillShade="F2"/>
            <w:vAlign w:val="center"/>
            <w:hideMark/>
          </w:tcPr>
          <w:p w14:paraId="7AA1AB17" w14:textId="2B6052EC"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Total number of unplanned disruptions of 10+ days </w:t>
            </w:r>
            <w:r w:rsidRPr="00990A88">
              <w:rPr>
                <w:rFonts w:eastAsia="Times New Roman" w:cs="Arial"/>
                <w:color w:val="000000"/>
                <w:sz w:val="16"/>
                <w:szCs w:val="16"/>
                <w:lang w:eastAsia="en-AU"/>
              </w:rPr>
              <w:t>  </w:t>
            </w:r>
          </w:p>
        </w:tc>
        <w:tc>
          <w:tcPr>
            <w:tcW w:w="849" w:type="dxa"/>
            <w:tcBorders>
              <w:top w:val="nil"/>
              <w:left w:val="nil"/>
              <w:bottom w:val="nil"/>
              <w:right w:val="nil"/>
            </w:tcBorders>
            <w:shd w:val="clear" w:color="auto" w:fill="F2F2F2" w:themeFill="background1" w:themeFillShade="F2"/>
            <w:vAlign w:val="center"/>
            <w:hideMark/>
          </w:tcPr>
          <w:p w14:paraId="272D947B" w14:textId="5B1A2C4D" w:rsidR="003565AF" w:rsidRPr="00990A88"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F2F2F2" w:themeFill="background1" w:themeFillShade="F2"/>
            <w:vAlign w:val="center"/>
            <w:hideMark/>
          </w:tcPr>
          <w:p w14:paraId="1AA607BB" w14:textId="5F9EE300" w:rsidR="003565AF" w:rsidRPr="00EA4879"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bottom w:val="nil"/>
              <w:right w:val="nil"/>
            </w:tcBorders>
            <w:shd w:val="clear" w:color="auto" w:fill="F2F2F2" w:themeFill="background1" w:themeFillShade="F2"/>
            <w:vAlign w:val="center"/>
          </w:tcPr>
          <w:p w14:paraId="6F8AC0F7" w14:textId="18649740" w:rsidR="003565AF" w:rsidRPr="00990A88"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bottom w:val="nil"/>
              <w:right w:val="nil"/>
            </w:tcBorders>
            <w:shd w:val="clear" w:color="auto" w:fill="F2F2F2" w:themeFill="background1" w:themeFillShade="F2"/>
            <w:vAlign w:val="center"/>
            <w:hideMark/>
          </w:tcPr>
          <w:p w14:paraId="6E834AA0" w14:textId="1F3C836D"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c>
          <w:tcPr>
            <w:tcW w:w="850" w:type="dxa"/>
            <w:tcBorders>
              <w:top w:val="nil"/>
              <w:left w:val="nil"/>
              <w:bottom w:val="nil"/>
              <w:right w:val="nil"/>
            </w:tcBorders>
            <w:shd w:val="clear" w:color="auto" w:fill="F2F2F2" w:themeFill="background1" w:themeFillShade="F2"/>
            <w:vAlign w:val="center"/>
            <w:hideMark/>
          </w:tcPr>
          <w:p w14:paraId="3DD2D715"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c>
          <w:tcPr>
            <w:tcW w:w="849" w:type="dxa"/>
            <w:tcBorders>
              <w:top w:val="nil"/>
              <w:left w:val="nil"/>
              <w:bottom w:val="nil"/>
              <w:right w:val="nil"/>
            </w:tcBorders>
            <w:shd w:val="clear" w:color="auto" w:fill="F2F2F2" w:themeFill="background1" w:themeFillShade="F2"/>
            <w:vAlign w:val="center"/>
            <w:hideMark/>
          </w:tcPr>
          <w:p w14:paraId="5C921D50"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c>
          <w:tcPr>
            <w:tcW w:w="832" w:type="dxa"/>
            <w:tcBorders>
              <w:top w:val="nil"/>
              <w:left w:val="nil"/>
              <w:bottom w:val="nil"/>
              <w:right w:val="nil"/>
            </w:tcBorders>
            <w:shd w:val="clear" w:color="auto" w:fill="F2F2F2" w:themeFill="background1" w:themeFillShade="F2"/>
            <w:vAlign w:val="center"/>
            <w:hideMark/>
          </w:tcPr>
          <w:p w14:paraId="6C7B7A59"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c>
          <w:tcPr>
            <w:tcW w:w="804" w:type="dxa"/>
            <w:tcBorders>
              <w:top w:val="nil"/>
              <w:left w:val="nil"/>
              <w:bottom w:val="nil"/>
              <w:right w:val="nil"/>
            </w:tcBorders>
            <w:shd w:val="clear" w:color="auto" w:fill="F2F2F2" w:themeFill="background1" w:themeFillShade="F2"/>
            <w:vAlign w:val="center"/>
            <w:hideMark/>
          </w:tcPr>
          <w:p w14:paraId="5811A4F0"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r>
      <w:tr w:rsidR="00C345B8" w:rsidRPr="00990A88" w14:paraId="23AF7B12" w14:textId="77777777" w:rsidTr="001F1C64">
        <w:trPr>
          <w:trHeight w:val="1479"/>
        </w:trPr>
        <w:tc>
          <w:tcPr>
            <w:tcW w:w="1318" w:type="dxa"/>
            <w:tcBorders>
              <w:top w:val="nil"/>
              <w:left w:val="nil"/>
              <w:bottom w:val="nil"/>
              <w:right w:val="nil"/>
            </w:tcBorders>
            <w:shd w:val="clear" w:color="auto" w:fill="auto"/>
            <w:vAlign w:val="center"/>
            <w:hideMark/>
          </w:tcPr>
          <w:p w14:paraId="43250A8F"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WID </w:t>
            </w:r>
          </w:p>
        </w:tc>
        <w:tc>
          <w:tcPr>
            <w:tcW w:w="1398" w:type="dxa"/>
            <w:tcBorders>
              <w:top w:val="nil"/>
              <w:left w:val="nil"/>
              <w:bottom w:val="nil"/>
              <w:right w:val="nil"/>
            </w:tcBorders>
            <w:shd w:val="clear" w:color="auto" w:fill="auto"/>
            <w:vAlign w:val="center"/>
            <w:hideMark/>
          </w:tcPr>
          <w:p w14:paraId="7F12EE6E"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 xml:space="preserve">Quality water supplied </w:t>
            </w:r>
          </w:p>
        </w:tc>
        <w:tc>
          <w:tcPr>
            <w:tcW w:w="2121" w:type="dxa"/>
            <w:tcBorders>
              <w:top w:val="nil"/>
              <w:left w:val="nil"/>
              <w:bottom w:val="nil"/>
              <w:right w:val="nil"/>
            </w:tcBorders>
            <w:shd w:val="clear" w:color="auto" w:fill="auto"/>
            <w:vAlign w:val="center"/>
            <w:hideMark/>
          </w:tcPr>
          <w:p w14:paraId="1451F40A" w14:textId="021271F5"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 xml:space="preserve">Customers want a reliable supply of quality water: </w:t>
            </w:r>
            <w:r w:rsidR="00DF468A">
              <w:rPr>
                <w:rFonts w:eastAsia="Times New Roman" w:cs="Arial"/>
                <w:sz w:val="20"/>
                <w:szCs w:val="20"/>
                <w:lang w:eastAsia="en-AU"/>
              </w:rPr>
              <w:t>h</w:t>
            </w:r>
            <w:r w:rsidR="00990A88" w:rsidRPr="00990A88">
              <w:rPr>
                <w:rFonts w:eastAsia="Times New Roman" w:cs="Arial"/>
                <w:sz w:val="20"/>
                <w:szCs w:val="20"/>
                <w:lang w:eastAsia="en-AU"/>
              </w:rPr>
              <w:t>istorical</w:t>
            </w:r>
            <w:r w:rsidRPr="00990A88">
              <w:rPr>
                <w:rFonts w:eastAsia="Times New Roman" w:cs="Arial"/>
                <w:sz w:val="20"/>
                <w:szCs w:val="20"/>
                <w:lang w:eastAsia="en-AU"/>
              </w:rPr>
              <w:t xml:space="preserve"> problems with salinity and </w:t>
            </w:r>
            <w:r w:rsidR="00DF468A">
              <w:rPr>
                <w:rFonts w:eastAsia="Times New Roman" w:cs="Arial"/>
                <w:sz w:val="20"/>
                <w:szCs w:val="20"/>
                <w:lang w:eastAsia="en-AU"/>
              </w:rPr>
              <w:t>b</w:t>
            </w:r>
            <w:r w:rsidR="00990A88" w:rsidRPr="00990A88">
              <w:rPr>
                <w:rFonts w:eastAsia="Times New Roman" w:cs="Arial"/>
                <w:sz w:val="20"/>
                <w:szCs w:val="20"/>
                <w:lang w:eastAsia="en-AU"/>
              </w:rPr>
              <w:t xml:space="preserve">lue </w:t>
            </w:r>
            <w:r w:rsidR="00DF468A">
              <w:rPr>
                <w:rFonts w:eastAsia="Times New Roman" w:cs="Arial"/>
                <w:sz w:val="20"/>
                <w:szCs w:val="20"/>
                <w:lang w:eastAsia="en-AU"/>
              </w:rPr>
              <w:t>g</w:t>
            </w:r>
            <w:r w:rsidR="00990A88" w:rsidRPr="00990A88">
              <w:rPr>
                <w:rFonts w:eastAsia="Times New Roman" w:cs="Arial"/>
                <w:sz w:val="20"/>
                <w:szCs w:val="20"/>
                <w:lang w:eastAsia="en-AU"/>
              </w:rPr>
              <w:t xml:space="preserve">reen </w:t>
            </w:r>
            <w:r w:rsidR="00DF468A">
              <w:rPr>
                <w:rFonts w:eastAsia="Times New Roman" w:cs="Arial"/>
                <w:sz w:val="20"/>
                <w:szCs w:val="20"/>
                <w:lang w:eastAsia="en-AU"/>
              </w:rPr>
              <w:t>a</w:t>
            </w:r>
            <w:r w:rsidR="00990A88" w:rsidRPr="00990A88">
              <w:rPr>
                <w:rFonts w:eastAsia="Times New Roman" w:cs="Arial"/>
                <w:sz w:val="20"/>
                <w:szCs w:val="20"/>
                <w:lang w:eastAsia="en-AU"/>
              </w:rPr>
              <w:t>lgae</w:t>
            </w:r>
            <w:r w:rsidRPr="00990A88">
              <w:rPr>
                <w:rFonts w:eastAsia="Times New Roman" w:cs="Arial"/>
                <w:sz w:val="20"/>
                <w:szCs w:val="20"/>
                <w:lang w:eastAsia="en-AU"/>
              </w:rPr>
              <w:t xml:space="preserve"> </w:t>
            </w:r>
          </w:p>
        </w:tc>
        <w:tc>
          <w:tcPr>
            <w:tcW w:w="2403" w:type="dxa"/>
            <w:tcBorders>
              <w:top w:val="nil"/>
              <w:left w:val="nil"/>
              <w:bottom w:val="nil"/>
              <w:right w:val="nil"/>
            </w:tcBorders>
            <w:shd w:val="clear" w:color="auto" w:fill="auto"/>
            <w:vAlign w:val="center"/>
            <w:hideMark/>
          </w:tcPr>
          <w:p w14:paraId="270BE3B3" w14:textId="7752BD4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 xml:space="preserve">Number of times p/a that recycled water cannot be supplied for 5 consecutive days due to high salinity (≤1,800) or </w:t>
            </w:r>
            <w:r w:rsidR="00DF468A">
              <w:rPr>
                <w:rFonts w:eastAsia="Times New Roman" w:cs="Arial"/>
                <w:sz w:val="20"/>
                <w:szCs w:val="20"/>
                <w:lang w:eastAsia="en-AU"/>
              </w:rPr>
              <w:t>b</w:t>
            </w:r>
            <w:r w:rsidR="00990A88" w:rsidRPr="00990A88">
              <w:rPr>
                <w:rFonts w:eastAsia="Times New Roman" w:cs="Arial"/>
                <w:sz w:val="20"/>
                <w:szCs w:val="20"/>
                <w:lang w:eastAsia="en-AU"/>
              </w:rPr>
              <w:t xml:space="preserve">lue </w:t>
            </w:r>
            <w:r w:rsidR="00DF468A">
              <w:rPr>
                <w:rFonts w:eastAsia="Times New Roman" w:cs="Arial"/>
                <w:sz w:val="20"/>
                <w:szCs w:val="20"/>
                <w:lang w:eastAsia="en-AU"/>
              </w:rPr>
              <w:t>g</w:t>
            </w:r>
            <w:r w:rsidR="00990A88" w:rsidRPr="00990A88">
              <w:rPr>
                <w:rFonts w:eastAsia="Times New Roman" w:cs="Arial"/>
                <w:sz w:val="20"/>
                <w:szCs w:val="20"/>
                <w:lang w:eastAsia="en-AU"/>
              </w:rPr>
              <w:t xml:space="preserve">reen </w:t>
            </w:r>
            <w:r w:rsidR="00DF468A">
              <w:rPr>
                <w:rFonts w:eastAsia="Times New Roman" w:cs="Arial"/>
                <w:sz w:val="20"/>
                <w:szCs w:val="20"/>
                <w:lang w:eastAsia="en-AU"/>
              </w:rPr>
              <w:t>a</w:t>
            </w:r>
            <w:r w:rsidR="00990A88" w:rsidRPr="00990A88">
              <w:rPr>
                <w:rFonts w:eastAsia="Times New Roman" w:cs="Arial"/>
                <w:sz w:val="20"/>
                <w:szCs w:val="20"/>
                <w:lang w:eastAsia="en-AU"/>
              </w:rPr>
              <w:t>lgae</w:t>
            </w:r>
          </w:p>
        </w:tc>
        <w:tc>
          <w:tcPr>
            <w:tcW w:w="849" w:type="dxa"/>
            <w:tcBorders>
              <w:top w:val="nil"/>
              <w:left w:val="nil"/>
              <w:bottom w:val="nil"/>
              <w:right w:val="nil"/>
            </w:tcBorders>
            <w:shd w:val="clear" w:color="auto" w:fill="auto"/>
            <w:vAlign w:val="center"/>
            <w:hideMark/>
          </w:tcPr>
          <w:p w14:paraId="0E2B091F" w14:textId="4E4D664E" w:rsidR="00B15887" w:rsidRPr="00990A88" w:rsidRDefault="00B15887"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24099B7E" w14:textId="0A5AAFD2" w:rsidR="00B15887" w:rsidRPr="00990A88" w:rsidRDefault="00B15887"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bottom w:val="nil"/>
              <w:right w:val="nil"/>
            </w:tcBorders>
            <w:shd w:val="clear" w:color="auto" w:fill="auto"/>
            <w:vAlign w:val="center"/>
          </w:tcPr>
          <w:p w14:paraId="16E06018" w14:textId="1F566211" w:rsidR="00B15887" w:rsidRPr="00990A88" w:rsidRDefault="00A7145E" w:rsidP="003565AF">
            <w:pPr>
              <w:spacing w:after="0" w:line="240" w:lineRule="auto"/>
              <w:jc w:val="center"/>
              <w:rPr>
                <w:rFonts w:eastAsia="Times New Roman" w:cs="Arial"/>
                <w:sz w:val="20"/>
                <w:szCs w:val="20"/>
                <w:lang w:eastAsia="en-AU"/>
              </w:rPr>
            </w:pPr>
            <w:r>
              <w:rPr>
                <w:rFonts w:eastAsia="Times New Roman" w:cs="Arial"/>
                <w:sz w:val="20"/>
                <w:szCs w:val="20"/>
                <w:lang w:eastAsia="en-AU"/>
              </w:rPr>
              <w:t>N/A</w:t>
            </w:r>
          </w:p>
        </w:tc>
        <w:tc>
          <w:tcPr>
            <w:tcW w:w="849" w:type="dxa"/>
            <w:tcBorders>
              <w:top w:val="nil"/>
              <w:left w:val="nil"/>
              <w:bottom w:val="nil"/>
              <w:right w:val="nil"/>
            </w:tcBorders>
            <w:shd w:val="clear" w:color="auto" w:fill="auto"/>
            <w:vAlign w:val="center"/>
            <w:hideMark/>
          </w:tcPr>
          <w:p w14:paraId="1F9EF137" w14:textId="4C7A9CDB"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2</w:t>
            </w:r>
          </w:p>
        </w:tc>
        <w:tc>
          <w:tcPr>
            <w:tcW w:w="850" w:type="dxa"/>
            <w:tcBorders>
              <w:top w:val="nil"/>
              <w:left w:val="nil"/>
              <w:bottom w:val="nil"/>
              <w:right w:val="nil"/>
            </w:tcBorders>
            <w:shd w:val="clear" w:color="auto" w:fill="auto"/>
            <w:vAlign w:val="center"/>
            <w:hideMark/>
          </w:tcPr>
          <w:p w14:paraId="2F98868D"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2</w:t>
            </w:r>
          </w:p>
        </w:tc>
        <w:tc>
          <w:tcPr>
            <w:tcW w:w="849" w:type="dxa"/>
            <w:tcBorders>
              <w:top w:val="nil"/>
              <w:left w:val="nil"/>
              <w:bottom w:val="nil"/>
              <w:right w:val="nil"/>
            </w:tcBorders>
            <w:shd w:val="clear" w:color="auto" w:fill="auto"/>
            <w:vAlign w:val="center"/>
            <w:hideMark/>
          </w:tcPr>
          <w:p w14:paraId="096E9236"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2</w:t>
            </w:r>
          </w:p>
        </w:tc>
        <w:tc>
          <w:tcPr>
            <w:tcW w:w="832" w:type="dxa"/>
            <w:tcBorders>
              <w:top w:val="nil"/>
              <w:left w:val="nil"/>
              <w:bottom w:val="nil"/>
              <w:right w:val="nil"/>
            </w:tcBorders>
            <w:shd w:val="clear" w:color="auto" w:fill="auto"/>
            <w:vAlign w:val="center"/>
            <w:hideMark/>
          </w:tcPr>
          <w:p w14:paraId="71EBE3ED"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2</w:t>
            </w:r>
          </w:p>
        </w:tc>
        <w:tc>
          <w:tcPr>
            <w:tcW w:w="804" w:type="dxa"/>
            <w:tcBorders>
              <w:top w:val="nil"/>
              <w:left w:val="nil"/>
              <w:bottom w:val="nil"/>
              <w:right w:val="nil"/>
            </w:tcBorders>
            <w:shd w:val="clear" w:color="auto" w:fill="auto"/>
            <w:vAlign w:val="center"/>
            <w:hideMark/>
          </w:tcPr>
          <w:p w14:paraId="0193F1CA"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2</w:t>
            </w:r>
          </w:p>
        </w:tc>
      </w:tr>
      <w:tr w:rsidR="00FA422B" w:rsidRPr="00990A88" w14:paraId="1D69A43D" w14:textId="77777777" w:rsidTr="001F1C64">
        <w:trPr>
          <w:trHeight w:val="986"/>
        </w:trPr>
        <w:tc>
          <w:tcPr>
            <w:tcW w:w="1318" w:type="dxa"/>
            <w:tcBorders>
              <w:top w:val="nil"/>
              <w:left w:val="nil"/>
              <w:bottom w:val="nil"/>
              <w:right w:val="nil"/>
            </w:tcBorders>
            <w:shd w:val="clear" w:color="auto" w:fill="F2F2F2" w:themeFill="background1" w:themeFillShade="F2"/>
            <w:vAlign w:val="center"/>
            <w:hideMark/>
          </w:tcPr>
          <w:p w14:paraId="1E112D38"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WID </w:t>
            </w:r>
          </w:p>
        </w:tc>
        <w:tc>
          <w:tcPr>
            <w:tcW w:w="1398" w:type="dxa"/>
            <w:tcBorders>
              <w:top w:val="nil"/>
              <w:left w:val="nil"/>
              <w:bottom w:val="nil"/>
              <w:right w:val="nil"/>
            </w:tcBorders>
            <w:shd w:val="clear" w:color="auto" w:fill="F2F2F2" w:themeFill="background1" w:themeFillShade="F2"/>
            <w:vAlign w:val="center"/>
            <w:hideMark/>
          </w:tcPr>
          <w:p w14:paraId="14008DDB"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Orders delivered without interruption</w:t>
            </w:r>
          </w:p>
        </w:tc>
        <w:tc>
          <w:tcPr>
            <w:tcW w:w="2121" w:type="dxa"/>
            <w:tcBorders>
              <w:top w:val="nil"/>
              <w:left w:val="nil"/>
              <w:bottom w:val="nil"/>
              <w:right w:val="nil"/>
            </w:tcBorders>
            <w:shd w:val="clear" w:color="auto" w:fill="F2F2F2" w:themeFill="background1" w:themeFillShade="F2"/>
            <w:vAlign w:val="center"/>
            <w:hideMark/>
          </w:tcPr>
          <w:p w14:paraId="744ED7D8"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Customers want a reliable service </w:t>
            </w:r>
          </w:p>
        </w:tc>
        <w:tc>
          <w:tcPr>
            <w:tcW w:w="2403" w:type="dxa"/>
            <w:tcBorders>
              <w:top w:val="nil"/>
              <w:left w:val="nil"/>
              <w:bottom w:val="nil"/>
              <w:right w:val="nil"/>
            </w:tcBorders>
            <w:shd w:val="clear" w:color="auto" w:fill="F2F2F2" w:themeFill="background1" w:themeFillShade="F2"/>
            <w:vAlign w:val="center"/>
            <w:hideMark/>
          </w:tcPr>
          <w:p w14:paraId="0FBB7464"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Total number of unplanned disruptions of 3+ days </w:t>
            </w:r>
          </w:p>
        </w:tc>
        <w:tc>
          <w:tcPr>
            <w:tcW w:w="849" w:type="dxa"/>
            <w:tcBorders>
              <w:top w:val="nil"/>
              <w:left w:val="nil"/>
              <w:bottom w:val="nil"/>
              <w:right w:val="nil"/>
            </w:tcBorders>
            <w:shd w:val="clear" w:color="auto" w:fill="F2F2F2" w:themeFill="background1" w:themeFillShade="F2"/>
            <w:vAlign w:val="center"/>
            <w:hideMark/>
          </w:tcPr>
          <w:p w14:paraId="256CE663" w14:textId="5417AF41" w:rsidR="003565AF" w:rsidRPr="00990A88"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F2F2F2" w:themeFill="background1" w:themeFillShade="F2"/>
            <w:vAlign w:val="center"/>
            <w:hideMark/>
          </w:tcPr>
          <w:p w14:paraId="5DCF376F" w14:textId="2BAB31A6" w:rsidR="003565AF" w:rsidRPr="00990A88" w:rsidRDefault="003565AF" w:rsidP="003565AF">
            <w:pPr>
              <w:spacing w:after="0" w:line="240" w:lineRule="auto"/>
              <w:jc w:val="center"/>
              <w:rPr>
                <w:rFonts w:ascii="Times New Roman" w:eastAsia="Times New Roman" w:hAnsi="Times New Roman" w:cs="Times New Roman"/>
                <w:sz w:val="20"/>
                <w:szCs w:val="20"/>
                <w:lang w:eastAsia="en-AU"/>
              </w:rPr>
            </w:pPr>
            <w:r>
              <w:rPr>
                <w:rFonts w:eastAsia="Times New Roman" w:cs="Arial"/>
                <w:color w:val="000000"/>
                <w:sz w:val="20"/>
                <w:szCs w:val="20"/>
                <w:lang w:eastAsia="en-AU"/>
              </w:rPr>
              <w:t>N/A</w:t>
            </w:r>
          </w:p>
        </w:tc>
        <w:tc>
          <w:tcPr>
            <w:tcW w:w="849" w:type="dxa"/>
            <w:tcBorders>
              <w:top w:val="nil"/>
              <w:left w:val="nil"/>
              <w:bottom w:val="nil"/>
              <w:right w:val="nil"/>
            </w:tcBorders>
            <w:shd w:val="clear" w:color="auto" w:fill="F2F2F2" w:themeFill="background1" w:themeFillShade="F2"/>
            <w:vAlign w:val="center"/>
          </w:tcPr>
          <w:p w14:paraId="414749C6" w14:textId="405702A0" w:rsidR="003565AF" w:rsidRDefault="003565AF" w:rsidP="003565AF">
            <w:pPr>
              <w:spacing w:after="0" w:line="240" w:lineRule="auto"/>
              <w:jc w:val="center"/>
              <w:rPr>
                <w:rFonts w:eastAsia="Times New Roman" w:cs="Arial"/>
                <w:sz w:val="20"/>
                <w:szCs w:val="20"/>
                <w:lang w:eastAsia="en-AU"/>
              </w:rPr>
            </w:pPr>
            <w:r>
              <w:rPr>
                <w:rFonts w:eastAsia="Times New Roman" w:cs="Arial"/>
                <w:sz w:val="20"/>
                <w:szCs w:val="20"/>
                <w:lang w:eastAsia="en-AU"/>
              </w:rPr>
              <w:t>N/A</w:t>
            </w:r>
          </w:p>
        </w:tc>
        <w:tc>
          <w:tcPr>
            <w:tcW w:w="849" w:type="dxa"/>
            <w:tcBorders>
              <w:top w:val="nil"/>
              <w:left w:val="nil"/>
              <w:bottom w:val="nil"/>
              <w:right w:val="nil"/>
            </w:tcBorders>
            <w:shd w:val="clear" w:color="auto" w:fill="F2F2F2" w:themeFill="background1" w:themeFillShade="F2"/>
            <w:vAlign w:val="center"/>
            <w:hideMark/>
          </w:tcPr>
          <w:p w14:paraId="718E847F" w14:textId="5C7CF81D"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w:t>
            </w:r>
          </w:p>
        </w:tc>
        <w:tc>
          <w:tcPr>
            <w:tcW w:w="850" w:type="dxa"/>
            <w:tcBorders>
              <w:top w:val="nil"/>
              <w:left w:val="nil"/>
              <w:bottom w:val="nil"/>
              <w:right w:val="nil"/>
            </w:tcBorders>
            <w:shd w:val="clear" w:color="auto" w:fill="F2F2F2" w:themeFill="background1" w:themeFillShade="F2"/>
            <w:vAlign w:val="center"/>
            <w:hideMark/>
          </w:tcPr>
          <w:p w14:paraId="037E00EA"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w:t>
            </w:r>
          </w:p>
        </w:tc>
        <w:tc>
          <w:tcPr>
            <w:tcW w:w="849" w:type="dxa"/>
            <w:tcBorders>
              <w:top w:val="nil"/>
              <w:left w:val="nil"/>
              <w:bottom w:val="nil"/>
              <w:right w:val="nil"/>
            </w:tcBorders>
            <w:shd w:val="clear" w:color="auto" w:fill="F2F2F2" w:themeFill="background1" w:themeFillShade="F2"/>
            <w:vAlign w:val="center"/>
            <w:hideMark/>
          </w:tcPr>
          <w:p w14:paraId="13F5BF64"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w:t>
            </w:r>
          </w:p>
        </w:tc>
        <w:tc>
          <w:tcPr>
            <w:tcW w:w="832" w:type="dxa"/>
            <w:tcBorders>
              <w:top w:val="nil"/>
              <w:left w:val="nil"/>
              <w:bottom w:val="nil"/>
              <w:right w:val="nil"/>
            </w:tcBorders>
            <w:shd w:val="clear" w:color="auto" w:fill="F2F2F2" w:themeFill="background1" w:themeFillShade="F2"/>
            <w:vAlign w:val="center"/>
            <w:hideMark/>
          </w:tcPr>
          <w:p w14:paraId="55BC2383"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c>
          <w:tcPr>
            <w:tcW w:w="804" w:type="dxa"/>
            <w:tcBorders>
              <w:top w:val="nil"/>
              <w:left w:val="nil"/>
              <w:bottom w:val="nil"/>
              <w:right w:val="nil"/>
            </w:tcBorders>
            <w:shd w:val="clear" w:color="auto" w:fill="F2F2F2" w:themeFill="background1" w:themeFillShade="F2"/>
            <w:vAlign w:val="center"/>
            <w:hideMark/>
          </w:tcPr>
          <w:p w14:paraId="2DAB3DAB"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0</w:t>
            </w:r>
          </w:p>
        </w:tc>
      </w:tr>
      <w:tr w:rsidR="00C345B8" w:rsidRPr="00990A88" w14:paraId="3FCCE780" w14:textId="77777777" w:rsidTr="000E4967">
        <w:trPr>
          <w:trHeight w:val="986"/>
        </w:trPr>
        <w:tc>
          <w:tcPr>
            <w:tcW w:w="1318" w:type="dxa"/>
            <w:tcBorders>
              <w:top w:val="nil"/>
              <w:left w:val="nil"/>
              <w:right w:val="nil"/>
            </w:tcBorders>
            <w:shd w:val="clear" w:color="auto" w:fill="auto"/>
            <w:vAlign w:val="center"/>
            <w:hideMark/>
          </w:tcPr>
          <w:p w14:paraId="78CE66D6"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BMID</w:t>
            </w:r>
          </w:p>
        </w:tc>
        <w:tc>
          <w:tcPr>
            <w:tcW w:w="1398" w:type="dxa"/>
            <w:tcBorders>
              <w:top w:val="nil"/>
              <w:left w:val="nil"/>
              <w:right w:val="nil"/>
            </w:tcBorders>
            <w:shd w:val="clear" w:color="auto" w:fill="auto"/>
            <w:vAlign w:val="center"/>
            <w:hideMark/>
          </w:tcPr>
          <w:p w14:paraId="214C262A"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Orders delivered without interruption</w:t>
            </w:r>
          </w:p>
        </w:tc>
        <w:tc>
          <w:tcPr>
            <w:tcW w:w="2121" w:type="dxa"/>
            <w:tcBorders>
              <w:top w:val="nil"/>
              <w:left w:val="nil"/>
              <w:right w:val="nil"/>
            </w:tcBorders>
            <w:shd w:val="clear" w:color="auto" w:fill="auto"/>
            <w:vAlign w:val="center"/>
            <w:hideMark/>
          </w:tcPr>
          <w:p w14:paraId="0160EE01"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 xml:space="preserve">Customers want a reliable service </w:t>
            </w:r>
          </w:p>
        </w:tc>
        <w:tc>
          <w:tcPr>
            <w:tcW w:w="2403" w:type="dxa"/>
            <w:tcBorders>
              <w:top w:val="nil"/>
              <w:left w:val="nil"/>
              <w:right w:val="nil"/>
            </w:tcBorders>
            <w:shd w:val="clear" w:color="auto" w:fill="auto"/>
            <w:vAlign w:val="center"/>
            <w:hideMark/>
          </w:tcPr>
          <w:p w14:paraId="7E97608B" w14:textId="77777777" w:rsidR="003565AF" w:rsidRPr="00990A88" w:rsidRDefault="003565AF" w:rsidP="003565AF">
            <w:pPr>
              <w:spacing w:after="0" w:line="240" w:lineRule="auto"/>
              <w:rPr>
                <w:rFonts w:eastAsia="Times New Roman" w:cs="Arial"/>
                <w:color w:val="000000"/>
                <w:sz w:val="20"/>
                <w:szCs w:val="20"/>
                <w:lang w:eastAsia="en-AU"/>
              </w:rPr>
            </w:pPr>
            <w:r w:rsidRPr="00990A88">
              <w:rPr>
                <w:rFonts w:eastAsia="Times New Roman" w:cs="Arial"/>
                <w:sz w:val="20"/>
                <w:szCs w:val="20"/>
                <w:lang w:eastAsia="en-AU"/>
              </w:rPr>
              <w:t xml:space="preserve">Total number of unplanned disruptions of 3+ days </w:t>
            </w:r>
          </w:p>
        </w:tc>
        <w:tc>
          <w:tcPr>
            <w:tcW w:w="849" w:type="dxa"/>
            <w:tcBorders>
              <w:top w:val="nil"/>
              <w:left w:val="nil"/>
              <w:right w:val="nil"/>
            </w:tcBorders>
            <w:shd w:val="clear" w:color="auto" w:fill="auto"/>
            <w:vAlign w:val="center"/>
            <w:hideMark/>
          </w:tcPr>
          <w:p w14:paraId="105FBFF1" w14:textId="619C6965" w:rsidR="003565AF" w:rsidRPr="00990A88"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right w:val="nil"/>
            </w:tcBorders>
            <w:shd w:val="clear" w:color="auto" w:fill="auto"/>
            <w:vAlign w:val="center"/>
            <w:hideMark/>
          </w:tcPr>
          <w:p w14:paraId="445340EA" w14:textId="48843B75" w:rsidR="003565AF" w:rsidRPr="00990A88" w:rsidRDefault="003565AF"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right w:val="nil"/>
            </w:tcBorders>
            <w:shd w:val="clear" w:color="auto" w:fill="auto"/>
            <w:vAlign w:val="center"/>
          </w:tcPr>
          <w:p w14:paraId="616DEC1E" w14:textId="4C424F1A" w:rsidR="003565AF" w:rsidRPr="00990A88" w:rsidRDefault="003565AF" w:rsidP="003565AF">
            <w:pPr>
              <w:spacing w:after="0" w:line="240" w:lineRule="auto"/>
              <w:jc w:val="center"/>
              <w:rPr>
                <w:rFonts w:eastAsia="Times New Roman" w:cs="Arial"/>
                <w:sz w:val="20"/>
                <w:szCs w:val="20"/>
                <w:lang w:eastAsia="en-AU"/>
              </w:rPr>
            </w:pPr>
            <w:r>
              <w:rPr>
                <w:rFonts w:eastAsia="Times New Roman" w:cs="Arial"/>
                <w:sz w:val="20"/>
                <w:szCs w:val="20"/>
                <w:lang w:eastAsia="en-AU"/>
              </w:rPr>
              <w:t>N/A</w:t>
            </w:r>
          </w:p>
        </w:tc>
        <w:tc>
          <w:tcPr>
            <w:tcW w:w="849" w:type="dxa"/>
            <w:tcBorders>
              <w:top w:val="nil"/>
              <w:left w:val="nil"/>
              <w:right w:val="nil"/>
            </w:tcBorders>
            <w:shd w:val="clear" w:color="auto" w:fill="auto"/>
            <w:vAlign w:val="center"/>
            <w:hideMark/>
          </w:tcPr>
          <w:p w14:paraId="48EE2BF8" w14:textId="016A2DDB"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1</w:t>
            </w:r>
          </w:p>
        </w:tc>
        <w:tc>
          <w:tcPr>
            <w:tcW w:w="850" w:type="dxa"/>
            <w:tcBorders>
              <w:top w:val="nil"/>
              <w:left w:val="nil"/>
              <w:right w:val="nil"/>
            </w:tcBorders>
            <w:shd w:val="clear" w:color="auto" w:fill="auto"/>
            <w:vAlign w:val="center"/>
            <w:hideMark/>
          </w:tcPr>
          <w:p w14:paraId="7419B690"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1</w:t>
            </w:r>
          </w:p>
        </w:tc>
        <w:tc>
          <w:tcPr>
            <w:tcW w:w="849" w:type="dxa"/>
            <w:tcBorders>
              <w:top w:val="nil"/>
              <w:left w:val="nil"/>
              <w:right w:val="nil"/>
            </w:tcBorders>
            <w:shd w:val="clear" w:color="auto" w:fill="auto"/>
            <w:vAlign w:val="center"/>
            <w:hideMark/>
          </w:tcPr>
          <w:p w14:paraId="197D9A9E"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1</w:t>
            </w:r>
          </w:p>
        </w:tc>
        <w:tc>
          <w:tcPr>
            <w:tcW w:w="832" w:type="dxa"/>
            <w:tcBorders>
              <w:top w:val="nil"/>
              <w:left w:val="nil"/>
              <w:right w:val="nil"/>
            </w:tcBorders>
            <w:shd w:val="clear" w:color="auto" w:fill="auto"/>
            <w:vAlign w:val="center"/>
            <w:hideMark/>
          </w:tcPr>
          <w:p w14:paraId="02A14CE2"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0</w:t>
            </w:r>
          </w:p>
        </w:tc>
        <w:tc>
          <w:tcPr>
            <w:tcW w:w="804" w:type="dxa"/>
            <w:tcBorders>
              <w:top w:val="nil"/>
              <w:left w:val="nil"/>
              <w:right w:val="nil"/>
            </w:tcBorders>
            <w:shd w:val="clear" w:color="auto" w:fill="auto"/>
            <w:vAlign w:val="center"/>
            <w:hideMark/>
          </w:tcPr>
          <w:p w14:paraId="010F3766" w14:textId="77777777" w:rsidR="003565AF" w:rsidRPr="001F1C64" w:rsidRDefault="003565AF" w:rsidP="003565AF">
            <w:pPr>
              <w:spacing w:after="0" w:line="240" w:lineRule="auto"/>
              <w:jc w:val="center"/>
              <w:rPr>
                <w:rFonts w:eastAsia="Times New Roman" w:cs="Arial"/>
                <w:color w:val="000000"/>
                <w:sz w:val="20"/>
                <w:szCs w:val="20"/>
                <w:lang w:eastAsia="en-AU"/>
              </w:rPr>
            </w:pPr>
            <w:r w:rsidRPr="001F1C64">
              <w:rPr>
                <w:rFonts w:eastAsia="Times New Roman" w:cs="Arial"/>
                <w:sz w:val="20"/>
                <w:szCs w:val="20"/>
                <w:lang w:eastAsia="en-AU"/>
              </w:rPr>
              <w:t>0</w:t>
            </w:r>
          </w:p>
        </w:tc>
      </w:tr>
      <w:tr w:rsidR="00FA422B" w:rsidRPr="00990A88" w14:paraId="671D310E" w14:textId="77777777" w:rsidTr="000E4967">
        <w:trPr>
          <w:trHeight w:val="493"/>
        </w:trPr>
        <w:tc>
          <w:tcPr>
            <w:tcW w:w="1318" w:type="dxa"/>
            <w:tcBorders>
              <w:top w:val="nil"/>
              <w:left w:val="nil"/>
              <w:bottom w:val="single" w:sz="4" w:space="0" w:color="auto"/>
              <w:right w:val="nil"/>
            </w:tcBorders>
            <w:shd w:val="clear" w:color="auto" w:fill="F2F2F2" w:themeFill="background1" w:themeFillShade="F2"/>
            <w:vAlign w:val="center"/>
            <w:hideMark/>
          </w:tcPr>
          <w:p w14:paraId="32D9E0C1"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Bulk entitlements</w:t>
            </w:r>
          </w:p>
        </w:tc>
        <w:tc>
          <w:tcPr>
            <w:tcW w:w="1398" w:type="dxa"/>
            <w:tcBorders>
              <w:top w:val="nil"/>
              <w:left w:val="nil"/>
              <w:bottom w:val="single" w:sz="4" w:space="0" w:color="auto"/>
              <w:right w:val="nil"/>
            </w:tcBorders>
            <w:shd w:val="clear" w:color="auto" w:fill="F2F2F2" w:themeFill="background1" w:themeFillShade="F2"/>
            <w:vAlign w:val="center"/>
            <w:hideMark/>
          </w:tcPr>
          <w:p w14:paraId="6B9008E1"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Orders delivered</w:t>
            </w:r>
          </w:p>
        </w:tc>
        <w:tc>
          <w:tcPr>
            <w:tcW w:w="2121" w:type="dxa"/>
            <w:tcBorders>
              <w:top w:val="nil"/>
              <w:left w:val="nil"/>
              <w:bottom w:val="single" w:sz="4" w:space="0" w:color="auto"/>
              <w:right w:val="nil"/>
            </w:tcBorders>
            <w:shd w:val="clear" w:color="auto" w:fill="F2F2F2" w:themeFill="background1" w:themeFillShade="F2"/>
            <w:vAlign w:val="center"/>
            <w:hideMark/>
          </w:tcPr>
          <w:p w14:paraId="0FB1857F"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Customers want a reliable service</w:t>
            </w:r>
          </w:p>
        </w:tc>
        <w:tc>
          <w:tcPr>
            <w:tcW w:w="2403" w:type="dxa"/>
            <w:tcBorders>
              <w:top w:val="nil"/>
              <w:left w:val="nil"/>
              <w:bottom w:val="single" w:sz="4" w:space="0" w:color="auto"/>
              <w:right w:val="nil"/>
            </w:tcBorders>
            <w:shd w:val="clear" w:color="auto" w:fill="F2F2F2" w:themeFill="background1" w:themeFillShade="F2"/>
            <w:vAlign w:val="center"/>
            <w:hideMark/>
          </w:tcPr>
          <w:p w14:paraId="285B0007" w14:textId="77777777" w:rsidR="00B15887" w:rsidRPr="00990A88" w:rsidRDefault="00B15887" w:rsidP="00990A88">
            <w:pPr>
              <w:spacing w:after="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Orders delivered as per bulk entitlement order</w:t>
            </w:r>
          </w:p>
        </w:tc>
        <w:tc>
          <w:tcPr>
            <w:tcW w:w="849" w:type="dxa"/>
            <w:tcBorders>
              <w:top w:val="nil"/>
              <w:left w:val="nil"/>
              <w:bottom w:val="single" w:sz="4" w:space="0" w:color="auto"/>
              <w:right w:val="nil"/>
            </w:tcBorders>
            <w:shd w:val="clear" w:color="auto" w:fill="F2F2F2" w:themeFill="background1" w:themeFillShade="F2"/>
            <w:vAlign w:val="center"/>
            <w:hideMark/>
          </w:tcPr>
          <w:p w14:paraId="461CCA6F" w14:textId="0FBD3F93" w:rsidR="00B15887" w:rsidRPr="00990A88" w:rsidRDefault="00B15887"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single" w:sz="4" w:space="0" w:color="auto"/>
              <w:right w:val="nil"/>
            </w:tcBorders>
            <w:shd w:val="clear" w:color="auto" w:fill="F2F2F2" w:themeFill="background1" w:themeFillShade="F2"/>
            <w:vAlign w:val="center"/>
            <w:hideMark/>
          </w:tcPr>
          <w:p w14:paraId="598EDF83" w14:textId="6A3CB315" w:rsidR="00B15887" w:rsidRPr="00990A88" w:rsidRDefault="00B15887" w:rsidP="003565AF">
            <w:pPr>
              <w:spacing w:after="0" w:line="240" w:lineRule="auto"/>
              <w:jc w:val="center"/>
              <w:rPr>
                <w:rFonts w:ascii="Times New Roman" w:eastAsia="Times New Roman" w:hAnsi="Times New Roman" w:cs="Times New Roman"/>
                <w:sz w:val="20"/>
                <w:szCs w:val="20"/>
                <w:lang w:eastAsia="en-AU"/>
              </w:rPr>
            </w:pPr>
            <w:r w:rsidRPr="00AE7814">
              <w:rPr>
                <w:rFonts w:eastAsia="Times New Roman" w:cs="Arial"/>
                <w:color w:val="000000"/>
                <w:sz w:val="20"/>
                <w:szCs w:val="20"/>
                <w:lang w:eastAsia="en-AU"/>
              </w:rPr>
              <w:t>N/A</w:t>
            </w:r>
          </w:p>
        </w:tc>
        <w:tc>
          <w:tcPr>
            <w:tcW w:w="849" w:type="dxa"/>
            <w:tcBorders>
              <w:top w:val="nil"/>
              <w:left w:val="nil"/>
              <w:bottom w:val="single" w:sz="4" w:space="0" w:color="auto"/>
              <w:right w:val="nil"/>
            </w:tcBorders>
            <w:shd w:val="clear" w:color="auto" w:fill="F2F2F2" w:themeFill="background1" w:themeFillShade="F2"/>
            <w:vAlign w:val="center"/>
          </w:tcPr>
          <w:p w14:paraId="432FA5B0" w14:textId="40EE6657" w:rsidR="00B15887" w:rsidRPr="00990A88" w:rsidRDefault="00A7145E" w:rsidP="003565AF">
            <w:pPr>
              <w:spacing w:after="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9" w:type="dxa"/>
            <w:tcBorders>
              <w:top w:val="nil"/>
              <w:left w:val="nil"/>
              <w:bottom w:val="single" w:sz="4" w:space="0" w:color="auto"/>
              <w:right w:val="nil"/>
            </w:tcBorders>
            <w:shd w:val="clear" w:color="auto" w:fill="F2F2F2" w:themeFill="background1" w:themeFillShade="F2"/>
            <w:vAlign w:val="center"/>
            <w:hideMark/>
          </w:tcPr>
          <w:p w14:paraId="5921809A" w14:textId="6DF74C1B"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100%</w:t>
            </w:r>
          </w:p>
        </w:tc>
        <w:tc>
          <w:tcPr>
            <w:tcW w:w="850" w:type="dxa"/>
            <w:tcBorders>
              <w:top w:val="nil"/>
              <w:left w:val="nil"/>
              <w:bottom w:val="single" w:sz="4" w:space="0" w:color="auto"/>
              <w:right w:val="nil"/>
            </w:tcBorders>
            <w:shd w:val="clear" w:color="auto" w:fill="F2F2F2" w:themeFill="background1" w:themeFillShade="F2"/>
            <w:vAlign w:val="center"/>
            <w:hideMark/>
          </w:tcPr>
          <w:p w14:paraId="754F6FE1"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100%</w:t>
            </w:r>
          </w:p>
        </w:tc>
        <w:tc>
          <w:tcPr>
            <w:tcW w:w="849" w:type="dxa"/>
            <w:tcBorders>
              <w:top w:val="nil"/>
              <w:left w:val="nil"/>
              <w:bottom w:val="single" w:sz="4" w:space="0" w:color="auto"/>
              <w:right w:val="nil"/>
            </w:tcBorders>
            <w:shd w:val="clear" w:color="auto" w:fill="F2F2F2" w:themeFill="background1" w:themeFillShade="F2"/>
            <w:vAlign w:val="center"/>
            <w:hideMark/>
          </w:tcPr>
          <w:p w14:paraId="03840613"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100%</w:t>
            </w:r>
          </w:p>
        </w:tc>
        <w:tc>
          <w:tcPr>
            <w:tcW w:w="832" w:type="dxa"/>
            <w:tcBorders>
              <w:top w:val="nil"/>
              <w:left w:val="nil"/>
              <w:bottom w:val="single" w:sz="4" w:space="0" w:color="auto"/>
              <w:right w:val="nil"/>
            </w:tcBorders>
            <w:shd w:val="clear" w:color="auto" w:fill="F2F2F2" w:themeFill="background1" w:themeFillShade="F2"/>
            <w:vAlign w:val="center"/>
            <w:hideMark/>
          </w:tcPr>
          <w:p w14:paraId="7AE9B9C6"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100%</w:t>
            </w:r>
          </w:p>
        </w:tc>
        <w:tc>
          <w:tcPr>
            <w:tcW w:w="804" w:type="dxa"/>
            <w:tcBorders>
              <w:top w:val="nil"/>
              <w:left w:val="nil"/>
              <w:bottom w:val="single" w:sz="4" w:space="0" w:color="auto"/>
              <w:right w:val="nil"/>
            </w:tcBorders>
            <w:shd w:val="clear" w:color="auto" w:fill="F2F2F2" w:themeFill="background1" w:themeFillShade="F2"/>
            <w:vAlign w:val="center"/>
            <w:hideMark/>
          </w:tcPr>
          <w:p w14:paraId="7388EDF1" w14:textId="77777777" w:rsidR="00B15887" w:rsidRPr="001F1C64" w:rsidRDefault="00B15887" w:rsidP="003565AF">
            <w:pPr>
              <w:spacing w:after="0" w:line="240" w:lineRule="auto"/>
              <w:jc w:val="center"/>
              <w:rPr>
                <w:rFonts w:eastAsia="Times New Roman" w:cs="Arial"/>
                <w:color w:val="000000"/>
                <w:sz w:val="20"/>
                <w:szCs w:val="20"/>
                <w:lang w:eastAsia="en-AU"/>
              </w:rPr>
            </w:pPr>
            <w:r w:rsidRPr="001F1C64">
              <w:rPr>
                <w:rFonts w:eastAsia="Times New Roman" w:cs="Arial"/>
                <w:color w:val="000000"/>
                <w:sz w:val="20"/>
                <w:szCs w:val="20"/>
                <w:lang w:eastAsia="en-AU"/>
              </w:rPr>
              <w:t>100%</w:t>
            </w:r>
          </w:p>
        </w:tc>
      </w:tr>
    </w:tbl>
    <w:p w14:paraId="6526884B" w14:textId="77777777" w:rsidR="00EA4879" w:rsidRDefault="00EA4879">
      <w:r>
        <w:br w:type="page"/>
      </w:r>
    </w:p>
    <w:tbl>
      <w:tblPr>
        <w:tblW w:w="13895" w:type="dxa"/>
        <w:tblInd w:w="-851" w:type="dxa"/>
        <w:tblLayout w:type="fixed"/>
        <w:tblLook w:val="04A0" w:firstRow="1" w:lastRow="0" w:firstColumn="1" w:lastColumn="0" w:noHBand="0" w:noVBand="1"/>
      </w:tblPr>
      <w:tblGrid>
        <w:gridCol w:w="1418"/>
        <w:gridCol w:w="1418"/>
        <w:gridCol w:w="1983"/>
        <w:gridCol w:w="2410"/>
        <w:gridCol w:w="851"/>
        <w:gridCol w:w="850"/>
        <w:gridCol w:w="851"/>
        <w:gridCol w:w="850"/>
        <w:gridCol w:w="858"/>
        <w:gridCol w:w="839"/>
        <w:gridCol w:w="827"/>
        <w:gridCol w:w="740"/>
      </w:tblGrid>
      <w:tr w:rsidR="00FA422B" w:rsidRPr="00990A88" w14:paraId="178C39E5" w14:textId="77777777" w:rsidTr="000E4967">
        <w:trPr>
          <w:trHeight w:val="296"/>
        </w:trPr>
        <w:tc>
          <w:tcPr>
            <w:tcW w:w="1418" w:type="dxa"/>
            <w:tcBorders>
              <w:top w:val="nil"/>
              <w:left w:val="nil"/>
              <w:bottom w:val="nil"/>
              <w:right w:val="nil"/>
            </w:tcBorders>
            <w:shd w:val="clear" w:color="auto" w:fill="70CBD0" w:themeFill="accent4"/>
            <w:vAlign w:val="center"/>
          </w:tcPr>
          <w:p w14:paraId="4C9E1BF3" w14:textId="0DF7BBC5" w:rsidR="00DA535A" w:rsidRPr="00C33511" w:rsidRDefault="00DA535A" w:rsidP="00DA535A">
            <w:pPr>
              <w:spacing w:after="0" w:line="240" w:lineRule="auto"/>
              <w:rPr>
                <w:rFonts w:eastAsia="Times New Roman" w:cs="Arial"/>
                <w:b/>
                <w:bCs/>
                <w:color w:val="000000" w:themeColor="text1"/>
                <w:sz w:val="20"/>
                <w:szCs w:val="20"/>
                <w:lang w:eastAsia="en-AU"/>
              </w:rPr>
            </w:pPr>
            <w:r w:rsidRPr="00C33511">
              <w:rPr>
                <w:rFonts w:eastAsia="Times New Roman" w:cs="Arial"/>
                <w:b/>
                <w:bCs/>
                <w:color w:val="FFFFFF" w:themeColor="background1"/>
                <w:sz w:val="20"/>
                <w:szCs w:val="20"/>
                <w:lang w:eastAsia="en-AU"/>
              </w:rPr>
              <w:t>Customers</w:t>
            </w:r>
          </w:p>
        </w:tc>
        <w:tc>
          <w:tcPr>
            <w:tcW w:w="1418" w:type="dxa"/>
            <w:tcBorders>
              <w:top w:val="nil"/>
              <w:left w:val="nil"/>
              <w:bottom w:val="nil"/>
              <w:right w:val="nil"/>
            </w:tcBorders>
            <w:shd w:val="clear" w:color="auto" w:fill="70CBD0" w:themeFill="accent4"/>
            <w:vAlign w:val="center"/>
          </w:tcPr>
          <w:p w14:paraId="68A3228D" w14:textId="1AB581F8" w:rsidR="00DA535A" w:rsidRPr="00C33511" w:rsidRDefault="00DA535A" w:rsidP="00DA535A">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Output </w:t>
            </w:r>
          </w:p>
        </w:tc>
        <w:tc>
          <w:tcPr>
            <w:tcW w:w="1983" w:type="dxa"/>
            <w:tcBorders>
              <w:top w:val="nil"/>
              <w:left w:val="nil"/>
              <w:bottom w:val="nil"/>
              <w:right w:val="nil"/>
            </w:tcBorders>
            <w:shd w:val="clear" w:color="auto" w:fill="70CBD0" w:themeFill="accent4"/>
            <w:vAlign w:val="center"/>
          </w:tcPr>
          <w:p w14:paraId="55715CEE" w14:textId="4047C7C2" w:rsidR="00DA535A" w:rsidRPr="00C33511" w:rsidRDefault="00DA535A" w:rsidP="00DA535A">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Why </w:t>
            </w:r>
          </w:p>
        </w:tc>
        <w:tc>
          <w:tcPr>
            <w:tcW w:w="2410" w:type="dxa"/>
            <w:tcBorders>
              <w:top w:val="nil"/>
              <w:left w:val="nil"/>
              <w:bottom w:val="nil"/>
              <w:right w:val="nil"/>
            </w:tcBorders>
            <w:shd w:val="clear" w:color="auto" w:fill="70CBD0" w:themeFill="accent4"/>
            <w:vAlign w:val="center"/>
          </w:tcPr>
          <w:p w14:paraId="7906EAE7" w14:textId="1CC72DF4" w:rsidR="00DA535A" w:rsidRPr="00C33511" w:rsidRDefault="00DA535A" w:rsidP="00DA535A">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Measure </w:t>
            </w:r>
          </w:p>
        </w:tc>
        <w:tc>
          <w:tcPr>
            <w:tcW w:w="851" w:type="dxa"/>
            <w:tcBorders>
              <w:top w:val="nil"/>
              <w:left w:val="nil"/>
              <w:bottom w:val="nil"/>
              <w:right w:val="nil"/>
            </w:tcBorders>
            <w:shd w:val="clear" w:color="auto" w:fill="70CBD0" w:themeFill="accent4"/>
            <w:vAlign w:val="center"/>
          </w:tcPr>
          <w:p w14:paraId="196E94F5" w14:textId="203AA044" w:rsidR="00DA535A" w:rsidRPr="00C33511" w:rsidRDefault="00DA535A" w:rsidP="00DA535A">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20-21</w:t>
            </w:r>
          </w:p>
        </w:tc>
        <w:tc>
          <w:tcPr>
            <w:tcW w:w="850" w:type="dxa"/>
            <w:tcBorders>
              <w:top w:val="nil"/>
              <w:left w:val="nil"/>
              <w:bottom w:val="nil"/>
              <w:right w:val="nil"/>
            </w:tcBorders>
            <w:shd w:val="clear" w:color="auto" w:fill="70CBD0" w:themeFill="accent4"/>
            <w:vAlign w:val="center"/>
          </w:tcPr>
          <w:p w14:paraId="42554A5A" w14:textId="7E85B7AD" w:rsidR="00DA535A" w:rsidRPr="00C33511" w:rsidRDefault="00DA535A" w:rsidP="001F2318">
            <w:pPr>
              <w:spacing w:after="0" w:line="240" w:lineRule="auto"/>
              <w:ind w:left="-1"/>
              <w:jc w:val="center"/>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21-22</w:t>
            </w:r>
          </w:p>
        </w:tc>
        <w:tc>
          <w:tcPr>
            <w:tcW w:w="851" w:type="dxa"/>
            <w:tcBorders>
              <w:top w:val="nil"/>
              <w:left w:val="nil"/>
              <w:bottom w:val="nil"/>
              <w:right w:val="nil"/>
            </w:tcBorders>
            <w:shd w:val="clear" w:color="auto" w:fill="70CBD0" w:themeFill="accent4"/>
            <w:vAlign w:val="center"/>
          </w:tcPr>
          <w:p w14:paraId="5D12463F" w14:textId="50C86ED6" w:rsidR="00DA535A" w:rsidRPr="00C33511" w:rsidRDefault="00DA535A" w:rsidP="00DA535A">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22-23</w:t>
            </w:r>
          </w:p>
        </w:tc>
        <w:tc>
          <w:tcPr>
            <w:tcW w:w="850" w:type="dxa"/>
            <w:tcBorders>
              <w:top w:val="nil"/>
              <w:left w:val="nil"/>
              <w:bottom w:val="nil"/>
              <w:right w:val="nil"/>
            </w:tcBorders>
            <w:shd w:val="clear" w:color="auto" w:fill="70CBD0" w:themeFill="accent4"/>
            <w:vAlign w:val="center"/>
          </w:tcPr>
          <w:p w14:paraId="211DB9C7" w14:textId="3450E5B4" w:rsidR="00DA535A" w:rsidRPr="00C33511" w:rsidRDefault="00DA535A" w:rsidP="00DA535A">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23-24 </w:t>
            </w:r>
          </w:p>
        </w:tc>
        <w:tc>
          <w:tcPr>
            <w:tcW w:w="858" w:type="dxa"/>
            <w:tcBorders>
              <w:top w:val="nil"/>
              <w:left w:val="nil"/>
              <w:bottom w:val="nil"/>
              <w:right w:val="nil"/>
            </w:tcBorders>
            <w:shd w:val="clear" w:color="auto" w:fill="70CBD0" w:themeFill="accent4"/>
            <w:vAlign w:val="center"/>
          </w:tcPr>
          <w:p w14:paraId="0C6CC76F" w14:textId="1E88FBB1" w:rsidR="00DA535A" w:rsidRPr="00C33511" w:rsidRDefault="00DA535A" w:rsidP="00DA535A">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24-25 </w:t>
            </w:r>
          </w:p>
        </w:tc>
        <w:tc>
          <w:tcPr>
            <w:tcW w:w="839" w:type="dxa"/>
            <w:tcBorders>
              <w:top w:val="nil"/>
              <w:left w:val="nil"/>
              <w:bottom w:val="nil"/>
              <w:right w:val="nil"/>
            </w:tcBorders>
            <w:shd w:val="clear" w:color="auto" w:fill="70CBD0" w:themeFill="accent4"/>
            <w:vAlign w:val="center"/>
          </w:tcPr>
          <w:p w14:paraId="442BB362" w14:textId="082C6BDA" w:rsidR="00DA535A" w:rsidRPr="00C33511" w:rsidRDefault="00DA535A" w:rsidP="00DA535A">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25-26 </w:t>
            </w:r>
          </w:p>
        </w:tc>
        <w:tc>
          <w:tcPr>
            <w:tcW w:w="827" w:type="dxa"/>
            <w:tcBorders>
              <w:top w:val="nil"/>
              <w:left w:val="nil"/>
              <w:bottom w:val="nil"/>
              <w:right w:val="nil"/>
            </w:tcBorders>
            <w:shd w:val="clear" w:color="auto" w:fill="70CBD0" w:themeFill="accent4"/>
            <w:vAlign w:val="center"/>
          </w:tcPr>
          <w:p w14:paraId="5B8D8A12" w14:textId="2B3246AA" w:rsidR="00DA535A" w:rsidRPr="00C33511" w:rsidRDefault="00DA535A" w:rsidP="00ED2D2B">
            <w:pPr>
              <w:spacing w:after="0" w:line="240" w:lineRule="auto"/>
              <w:ind w:left="-84"/>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26-27 </w:t>
            </w:r>
          </w:p>
        </w:tc>
        <w:tc>
          <w:tcPr>
            <w:tcW w:w="740" w:type="dxa"/>
            <w:tcBorders>
              <w:top w:val="nil"/>
              <w:left w:val="nil"/>
              <w:bottom w:val="nil"/>
              <w:right w:val="nil"/>
            </w:tcBorders>
            <w:shd w:val="clear" w:color="auto" w:fill="70CBD0" w:themeFill="accent4"/>
            <w:vAlign w:val="center"/>
          </w:tcPr>
          <w:p w14:paraId="5FF6BBB7" w14:textId="42CDB1A3" w:rsidR="00DA535A" w:rsidRPr="00C33511" w:rsidRDefault="00DA535A" w:rsidP="00ED2D2B">
            <w:pPr>
              <w:spacing w:after="0" w:line="240" w:lineRule="auto"/>
              <w:ind w:left="-147"/>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27-28</w:t>
            </w:r>
          </w:p>
        </w:tc>
      </w:tr>
      <w:tr w:rsidR="00C01DCE" w:rsidRPr="00990A88" w14:paraId="06512A66" w14:textId="77777777" w:rsidTr="000E4967">
        <w:trPr>
          <w:trHeight w:val="205"/>
        </w:trPr>
        <w:tc>
          <w:tcPr>
            <w:tcW w:w="1418" w:type="dxa"/>
            <w:tcBorders>
              <w:top w:val="nil"/>
              <w:left w:val="nil"/>
              <w:bottom w:val="nil"/>
              <w:right w:val="nil"/>
            </w:tcBorders>
            <w:shd w:val="clear" w:color="auto" w:fill="F2F2F2" w:themeFill="background1" w:themeFillShade="F2"/>
            <w:vAlign w:val="center"/>
          </w:tcPr>
          <w:p w14:paraId="4B741D46" w14:textId="77777777" w:rsidR="00DA535A" w:rsidRPr="00990A88" w:rsidRDefault="00DA535A" w:rsidP="00DA535A">
            <w:pPr>
              <w:spacing w:after="0" w:line="240" w:lineRule="auto"/>
              <w:rPr>
                <w:rFonts w:eastAsia="Times New Roman" w:cs="Arial"/>
                <w:b/>
                <w:bCs/>
                <w:color w:val="000000" w:themeColor="text1"/>
                <w:sz w:val="20"/>
                <w:szCs w:val="20"/>
                <w:lang w:eastAsia="en-AU"/>
              </w:rPr>
            </w:pPr>
          </w:p>
        </w:tc>
        <w:tc>
          <w:tcPr>
            <w:tcW w:w="1418" w:type="dxa"/>
            <w:tcBorders>
              <w:top w:val="nil"/>
              <w:left w:val="nil"/>
              <w:bottom w:val="nil"/>
              <w:right w:val="nil"/>
            </w:tcBorders>
            <w:shd w:val="clear" w:color="auto" w:fill="F2F2F2" w:themeFill="background1" w:themeFillShade="F2"/>
            <w:vAlign w:val="center"/>
          </w:tcPr>
          <w:p w14:paraId="4093E943" w14:textId="77777777" w:rsidR="00DA535A" w:rsidRPr="00990A88" w:rsidRDefault="00DA535A" w:rsidP="00DA535A">
            <w:pPr>
              <w:spacing w:after="0" w:line="240" w:lineRule="auto"/>
              <w:rPr>
                <w:rFonts w:eastAsia="Times New Roman" w:cs="Arial"/>
                <w:color w:val="000000"/>
                <w:sz w:val="20"/>
                <w:szCs w:val="20"/>
                <w:lang w:eastAsia="en-AU"/>
              </w:rPr>
            </w:pPr>
          </w:p>
        </w:tc>
        <w:tc>
          <w:tcPr>
            <w:tcW w:w="1983" w:type="dxa"/>
            <w:tcBorders>
              <w:top w:val="nil"/>
              <w:left w:val="nil"/>
              <w:bottom w:val="nil"/>
              <w:right w:val="nil"/>
            </w:tcBorders>
            <w:shd w:val="clear" w:color="auto" w:fill="F2F2F2" w:themeFill="background1" w:themeFillShade="F2"/>
            <w:vAlign w:val="center"/>
          </w:tcPr>
          <w:p w14:paraId="05687939" w14:textId="77777777" w:rsidR="00DA535A" w:rsidRPr="00990A88" w:rsidRDefault="00DA535A" w:rsidP="00DA535A">
            <w:pPr>
              <w:spacing w:after="0" w:line="240" w:lineRule="auto"/>
              <w:rPr>
                <w:rFonts w:eastAsia="Times New Roman" w:cs="Arial"/>
                <w:color w:val="000000"/>
                <w:sz w:val="20"/>
                <w:szCs w:val="20"/>
                <w:lang w:eastAsia="en-AU"/>
              </w:rPr>
            </w:pPr>
          </w:p>
        </w:tc>
        <w:tc>
          <w:tcPr>
            <w:tcW w:w="2410" w:type="dxa"/>
            <w:tcBorders>
              <w:top w:val="nil"/>
              <w:left w:val="nil"/>
              <w:bottom w:val="nil"/>
              <w:right w:val="nil"/>
            </w:tcBorders>
            <w:shd w:val="clear" w:color="auto" w:fill="F2F2F2" w:themeFill="background1" w:themeFillShade="F2"/>
            <w:vAlign w:val="center"/>
          </w:tcPr>
          <w:p w14:paraId="13FF36EF" w14:textId="77777777" w:rsidR="00DA535A" w:rsidRPr="00990A88" w:rsidRDefault="00DA535A" w:rsidP="00DA535A">
            <w:pPr>
              <w:spacing w:after="0" w:line="240" w:lineRule="auto"/>
              <w:rPr>
                <w:rFonts w:eastAsia="Times New Roman" w:cs="Arial"/>
                <w:color w:val="000000"/>
                <w:sz w:val="20"/>
                <w:szCs w:val="20"/>
                <w:lang w:eastAsia="en-AU"/>
              </w:rPr>
            </w:pPr>
          </w:p>
        </w:tc>
        <w:tc>
          <w:tcPr>
            <w:tcW w:w="2552" w:type="dxa"/>
            <w:gridSpan w:val="3"/>
            <w:tcBorders>
              <w:top w:val="nil"/>
              <w:left w:val="nil"/>
              <w:bottom w:val="nil"/>
              <w:right w:val="nil"/>
            </w:tcBorders>
            <w:shd w:val="clear" w:color="auto" w:fill="F2F2F2" w:themeFill="background1" w:themeFillShade="F2"/>
            <w:vAlign w:val="center"/>
          </w:tcPr>
          <w:p w14:paraId="22CA9DA9" w14:textId="51E46EB1" w:rsidR="00DA535A" w:rsidRPr="00990A88" w:rsidRDefault="00DA535A" w:rsidP="00DA535A">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18</w:t>
            </w:r>
          </w:p>
        </w:tc>
        <w:tc>
          <w:tcPr>
            <w:tcW w:w="4114" w:type="dxa"/>
            <w:gridSpan w:val="5"/>
            <w:tcBorders>
              <w:top w:val="nil"/>
              <w:left w:val="nil"/>
              <w:bottom w:val="nil"/>
              <w:right w:val="nil"/>
            </w:tcBorders>
            <w:shd w:val="clear" w:color="auto" w:fill="F2F2F2" w:themeFill="background1" w:themeFillShade="F2"/>
            <w:vAlign w:val="center"/>
          </w:tcPr>
          <w:p w14:paraId="13357EE1" w14:textId="098DDD35" w:rsidR="00DA535A" w:rsidRPr="00990A88" w:rsidRDefault="00DA535A" w:rsidP="00DA535A">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23</w:t>
            </w:r>
          </w:p>
        </w:tc>
      </w:tr>
      <w:tr w:rsidR="00E41596" w:rsidRPr="00990A88" w14:paraId="47B7DE66" w14:textId="77777777" w:rsidTr="00207D7B">
        <w:trPr>
          <w:trHeight w:val="332"/>
        </w:trPr>
        <w:tc>
          <w:tcPr>
            <w:tcW w:w="13895" w:type="dxa"/>
            <w:gridSpan w:val="12"/>
            <w:tcBorders>
              <w:top w:val="nil"/>
              <w:left w:val="nil"/>
              <w:bottom w:val="nil"/>
              <w:right w:val="nil"/>
            </w:tcBorders>
            <w:shd w:val="clear" w:color="auto" w:fill="F2F2F2" w:themeFill="background1" w:themeFillShade="F2"/>
            <w:vAlign w:val="center"/>
            <w:hideMark/>
          </w:tcPr>
          <w:p w14:paraId="1AF51874" w14:textId="2C3CD2FC" w:rsidR="00E41596" w:rsidRPr="00E41596" w:rsidRDefault="00E41596" w:rsidP="00E41596">
            <w:pPr>
              <w:spacing w:after="0" w:line="240" w:lineRule="auto"/>
              <w:rPr>
                <w:rFonts w:eastAsia="Times New Roman" w:cs="Arial"/>
                <w:b/>
                <w:bCs/>
                <w:color w:val="000000"/>
                <w:sz w:val="20"/>
                <w:szCs w:val="20"/>
                <w:lang w:eastAsia="en-AU"/>
              </w:rPr>
            </w:pPr>
            <w:r w:rsidRPr="00990A88">
              <w:rPr>
                <w:rFonts w:eastAsia="Times New Roman" w:cs="Arial"/>
                <w:b/>
                <w:bCs/>
                <w:color w:val="000000" w:themeColor="text1"/>
                <w:sz w:val="20"/>
                <w:szCs w:val="20"/>
                <w:lang w:eastAsia="en-AU"/>
              </w:rPr>
              <w:t>Sustainable water</w:t>
            </w:r>
          </w:p>
        </w:tc>
      </w:tr>
      <w:tr w:rsidR="00F9210C" w:rsidRPr="00990A88" w14:paraId="0FA11F64" w14:textId="77777777" w:rsidTr="000E4967">
        <w:trPr>
          <w:trHeight w:val="1257"/>
        </w:trPr>
        <w:tc>
          <w:tcPr>
            <w:tcW w:w="1418" w:type="dxa"/>
            <w:tcBorders>
              <w:top w:val="nil"/>
              <w:left w:val="nil"/>
              <w:bottom w:val="nil"/>
              <w:right w:val="nil"/>
            </w:tcBorders>
            <w:shd w:val="clear" w:color="auto" w:fill="auto"/>
            <w:vAlign w:val="center"/>
            <w:hideMark/>
          </w:tcPr>
          <w:p w14:paraId="73DBDB19"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All</w:t>
            </w:r>
          </w:p>
        </w:tc>
        <w:tc>
          <w:tcPr>
            <w:tcW w:w="1418" w:type="dxa"/>
            <w:tcBorders>
              <w:top w:val="nil"/>
              <w:left w:val="nil"/>
              <w:bottom w:val="nil"/>
              <w:right w:val="nil"/>
            </w:tcBorders>
            <w:shd w:val="clear" w:color="auto" w:fill="auto"/>
            <w:vAlign w:val="center"/>
            <w:hideMark/>
          </w:tcPr>
          <w:p w14:paraId="54714B70"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Investigation of unauthorised use </w:t>
            </w:r>
          </w:p>
        </w:tc>
        <w:tc>
          <w:tcPr>
            <w:tcW w:w="1983" w:type="dxa"/>
            <w:tcBorders>
              <w:top w:val="nil"/>
              <w:left w:val="nil"/>
              <w:bottom w:val="nil"/>
              <w:right w:val="nil"/>
            </w:tcBorders>
            <w:shd w:val="clear" w:color="auto" w:fill="auto"/>
            <w:vAlign w:val="center"/>
            <w:hideMark/>
          </w:tcPr>
          <w:p w14:paraId="1967DD2F"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Check for unauthorised use of water: compliance is a government priority</w:t>
            </w:r>
          </w:p>
        </w:tc>
        <w:tc>
          <w:tcPr>
            <w:tcW w:w="2410" w:type="dxa"/>
            <w:tcBorders>
              <w:top w:val="nil"/>
              <w:left w:val="nil"/>
              <w:bottom w:val="nil"/>
              <w:right w:val="nil"/>
            </w:tcBorders>
            <w:shd w:val="clear" w:color="auto" w:fill="auto"/>
            <w:vAlign w:val="center"/>
            <w:hideMark/>
          </w:tcPr>
          <w:p w14:paraId="258ECCCA" w14:textId="26292DB0" w:rsidR="00207D7B" w:rsidRPr="00990A88" w:rsidRDefault="00207D7B"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all reported/observed incidents investigated within 1 week </w:t>
            </w:r>
          </w:p>
        </w:tc>
        <w:tc>
          <w:tcPr>
            <w:tcW w:w="851" w:type="dxa"/>
            <w:tcBorders>
              <w:top w:val="nil"/>
              <w:left w:val="nil"/>
              <w:bottom w:val="nil"/>
              <w:right w:val="nil"/>
            </w:tcBorders>
            <w:shd w:val="clear" w:color="auto" w:fill="auto"/>
            <w:vAlign w:val="center"/>
            <w:hideMark/>
          </w:tcPr>
          <w:p w14:paraId="64AA4D36" w14:textId="696D6A2A"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50" w:type="dxa"/>
            <w:tcBorders>
              <w:top w:val="nil"/>
              <w:left w:val="nil"/>
              <w:bottom w:val="nil"/>
              <w:right w:val="nil"/>
            </w:tcBorders>
            <w:vAlign w:val="center"/>
            <w:hideMark/>
          </w:tcPr>
          <w:p w14:paraId="7460EF79" w14:textId="1844736A" w:rsidR="00DA535A" w:rsidRPr="00990A88" w:rsidRDefault="00DA535A" w:rsidP="000E4967">
            <w:pPr>
              <w:spacing w:before="40" w:after="40" w:line="240" w:lineRule="auto"/>
              <w:jc w:val="center"/>
              <w:rPr>
                <w:rFonts w:ascii="Times New Roman" w:eastAsia="Times New Roman" w:hAnsi="Times New Roman" w:cs="Times New Roman"/>
                <w:sz w:val="20"/>
                <w:szCs w:val="20"/>
                <w:lang w:eastAsia="en-AU"/>
              </w:rPr>
            </w:pPr>
            <w:r w:rsidRPr="00AE7814">
              <w:rPr>
                <w:rFonts w:eastAsia="Times New Roman" w:cs="Arial"/>
                <w:color w:val="000000"/>
                <w:sz w:val="20"/>
                <w:szCs w:val="20"/>
                <w:lang w:eastAsia="en-AU"/>
              </w:rPr>
              <w:t>N/A</w:t>
            </w:r>
          </w:p>
        </w:tc>
        <w:tc>
          <w:tcPr>
            <w:tcW w:w="851" w:type="dxa"/>
            <w:tcBorders>
              <w:top w:val="nil"/>
              <w:left w:val="nil"/>
              <w:bottom w:val="nil"/>
              <w:right w:val="nil"/>
            </w:tcBorders>
            <w:shd w:val="clear" w:color="auto" w:fill="auto"/>
            <w:vAlign w:val="center"/>
          </w:tcPr>
          <w:p w14:paraId="2A66000E" w14:textId="0465CD00" w:rsidR="00DA535A" w:rsidRPr="00990A88" w:rsidRDefault="00F62532" w:rsidP="000E4967">
            <w:pPr>
              <w:spacing w:before="40" w:after="40" w:line="240" w:lineRule="auto"/>
              <w:jc w:val="center"/>
              <w:rPr>
                <w:rFonts w:eastAsia="Times New Roman" w:cs="Arial"/>
                <w:color w:val="000000"/>
                <w:sz w:val="20"/>
                <w:szCs w:val="20"/>
                <w:lang w:eastAsia="en-AU"/>
              </w:rPr>
            </w:pPr>
            <w:r w:rsidRPr="00AE7814">
              <w:rPr>
                <w:rFonts w:eastAsia="Times New Roman" w:cs="Arial"/>
                <w:color w:val="000000"/>
                <w:sz w:val="20"/>
                <w:szCs w:val="20"/>
                <w:lang w:eastAsia="en-AU"/>
              </w:rPr>
              <w:t>N/A</w:t>
            </w:r>
          </w:p>
        </w:tc>
        <w:tc>
          <w:tcPr>
            <w:tcW w:w="850" w:type="dxa"/>
            <w:tcBorders>
              <w:top w:val="nil"/>
              <w:left w:val="nil"/>
              <w:bottom w:val="nil"/>
              <w:right w:val="nil"/>
            </w:tcBorders>
            <w:shd w:val="clear" w:color="auto" w:fill="auto"/>
            <w:vAlign w:val="center"/>
            <w:hideMark/>
          </w:tcPr>
          <w:p w14:paraId="45CFF383" w14:textId="73308969"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100%</w:t>
            </w:r>
          </w:p>
        </w:tc>
        <w:tc>
          <w:tcPr>
            <w:tcW w:w="858" w:type="dxa"/>
            <w:tcBorders>
              <w:top w:val="nil"/>
              <w:left w:val="nil"/>
              <w:bottom w:val="nil"/>
              <w:right w:val="nil"/>
            </w:tcBorders>
            <w:shd w:val="clear" w:color="auto" w:fill="auto"/>
            <w:vAlign w:val="center"/>
            <w:hideMark/>
          </w:tcPr>
          <w:p w14:paraId="55BDBA7C" w14:textId="28147C6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100%</w:t>
            </w:r>
          </w:p>
        </w:tc>
        <w:tc>
          <w:tcPr>
            <w:tcW w:w="839" w:type="dxa"/>
            <w:tcBorders>
              <w:top w:val="nil"/>
              <w:left w:val="nil"/>
              <w:bottom w:val="nil"/>
              <w:right w:val="nil"/>
            </w:tcBorders>
            <w:shd w:val="clear" w:color="auto" w:fill="auto"/>
            <w:vAlign w:val="center"/>
            <w:hideMark/>
          </w:tcPr>
          <w:p w14:paraId="6AA81557" w14:textId="34F54D9E"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100%</w:t>
            </w:r>
          </w:p>
        </w:tc>
        <w:tc>
          <w:tcPr>
            <w:tcW w:w="827" w:type="dxa"/>
            <w:tcBorders>
              <w:top w:val="nil"/>
              <w:left w:val="nil"/>
              <w:bottom w:val="nil"/>
              <w:right w:val="nil"/>
            </w:tcBorders>
            <w:shd w:val="clear" w:color="auto" w:fill="auto"/>
            <w:vAlign w:val="center"/>
            <w:hideMark/>
          </w:tcPr>
          <w:p w14:paraId="4D4792D5" w14:textId="41AF63D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100%</w:t>
            </w:r>
          </w:p>
        </w:tc>
        <w:tc>
          <w:tcPr>
            <w:tcW w:w="740" w:type="dxa"/>
            <w:tcBorders>
              <w:top w:val="nil"/>
              <w:left w:val="nil"/>
              <w:bottom w:val="nil"/>
              <w:right w:val="nil"/>
            </w:tcBorders>
            <w:vAlign w:val="center"/>
            <w:hideMark/>
          </w:tcPr>
          <w:p w14:paraId="4DD8C241" w14:textId="009606DA"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100%</w:t>
            </w:r>
          </w:p>
        </w:tc>
      </w:tr>
      <w:tr w:rsidR="00FA422B" w:rsidRPr="00990A88" w14:paraId="02D472AF" w14:textId="77777777" w:rsidTr="000E4967">
        <w:trPr>
          <w:trHeight w:val="1005"/>
        </w:trPr>
        <w:tc>
          <w:tcPr>
            <w:tcW w:w="1418" w:type="dxa"/>
            <w:tcBorders>
              <w:top w:val="nil"/>
              <w:left w:val="nil"/>
              <w:bottom w:val="nil"/>
              <w:right w:val="nil"/>
            </w:tcBorders>
            <w:shd w:val="clear" w:color="auto" w:fill="F5F5F5" w:themeFill="background2"/>
            <w:vAlign w:val="center"/>
            <w:hideMark/>
          </w:tcPr>
          <w:p w14:paraId="333E08C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MID </w:t>
            </w:r>
          </w:p>
        </w:tc>
        <w:tc>
          <w:tcPr>
            <w:tcW w:w="1418" w:type="dxa"/>
            <w:tcBorders>
              <w:top w:val="nil"/>
              <w:left w:val="nil"/>
              <w:bottom w:val="nil"/>
              <w:right w:val="nil"/>
            </w:tcBorders>
            <w:shd w:val="clear" w:color="auto" w:fill="F5F5F5" w:themeFill="background2"/>
            <w:vAlign w:val="center"/>
            <w:hideMark/>
          </w:tcPr>
          <w:p w14:paraId="6DE2D49D"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Release of additional water entitlements</w:t>
            </w:r>
          </w:p>
        </w:tc>
        <w:tc>
          <w:tcPr>
            <w:tcW w:w="1983" w:type="dxa"/>
            <w:tcBorders>
              <w:top w:val="nil"/>
              <w:left w:val="nil"/>
              <w:bottom w:val="nil"/>
              <w:right w:val="nil"/>
            </w:tcBorders>
            <w:shd w:val="clear" w:color="auto" w:fill="F5F5F5" w:themeFill="background2"/>
            <w:vAlign w:val="center"/>
            <w:hideMark/>
          </w:tcPr>
          <w:p w14:paraId="32037895"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Sell the water savings from modernisation</w:t>
            </w:r>
          </w:p>
        </w:tc>
        <w:tc>
          <w:tcPr>
            <w:tcW w:w="2410" w:type="dxa"/>
            <w:tcBorders>
              <w:top w:val="nil"/>
              <w:left w:val="nil"/>
              <w:bottom w:val="nil"/>
              <w:right w:val="nil"/>
            </w:tcBorders>
            <w:shd w:val="clear" w:color="auto" w:fill="F5F5F5" w:themeFill="background2"/>
            <w:vAlign w:val="center"/>
            <w:hideMark/>
          </w:tcPr>
          <w:p w14:paraId="4A35B52F"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Megalitres of permanent water offered for sale but with any sale subject to the reserve being reached, </w:t>
            </w:r>
          </w:p>
        </w:tc>
        <w:tc>
          <w:tcPr>
            <w:tcW w:w="851" w:type="dxa"/>
            <w:tcBorders>
              <w:top w:val="nil"/>
              <w:left w:val="nil"/>
              <w:bottom w:val="nil"/>
              <w:right w:val="nil"/>
            </w:tcBorders>
            <w:shd w:val="clear" w:color="auto" w:fill="F5F5F5" w:themeFill="background2"/>
            <w:vAlign w:val="center"/>
            <w:hideMark/>
          </w:tcPr>
          <w:p w14:paraId="0974A9BD" w14:textId="52AD0795" w:rsidR="00DA535A" w:rsidRPr="00990A88" w:rsidRDefault="00C33511"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800</w:t>
            </w:r>
          </w:p>
        </w:tc>
        <w:tc>
          <w:tcPr>
            <w:tcW w:w="850" w:type="dxa"/>
            <w:tcBorders>
              <w:top w:val="nil"/>
              <w:left w:val="nil"/>
              <w:bottom w:val="nil"/>
              <w:right w:val="nil"/>
            </w:tcBorders>
            <w:shd w:val="clear" w:color="auto" w:fill="F5F5F5" w:themeFill="background2"/>
            <w:vAlign w:val="center"/>
            <w:hideMark/>
          </w:tcPr>
          <w:p w14:paraId="5BA06D15" w14:textId="6961D50E" w:rsidR="00DA535A" w:rsidRPr="00990A88" w:rsidRDefault="00CC5381"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7300</w:t>
            </w:r>
          </w:p>
        </w:tc>
        <w:tc>
          <w:tcPr>
            <w:tcW w:w="851" w:type="dxa"/>
            <w:tcBorders>
              <w:top w:val="nil"/>
              <w:left w:val="nil"/>
              <w:bottom w:val="nil"/>
              <w:right w:val="nil"/>
            </w:tcBorders>
            <w:shd w:val="clear" w:color="auto" w:fill="F5F5F5" w:themeFill="background2"/>
            <w:vAlign w:val="center"/>
          </w:tcPr>
          <w:p w14:paraId="19F29463" w14:textId="19EF2428" w:rsidR="00DA535A" w:rsidRPr="00990A88" w:rsidRDefault="00CC5381" w:rsidP="000E4967">
            <w:pPr>
              <w:spacing w:before="40" w:after="40" w:line="240" w:lineRule="auto"/>
              <w:jc w:val="center"/>
              <w:rPr>
                <w:rFonts w:eastAsia="Times New Roman" w:cs="Arial"/>
                <w:sz w:val="20"/>
                <w:szCs w:val="20"/>
                <w:lang w:eastAsia="en-AU"/>
              </w:rPr>
            </w:pPr>
            <w:r>
              <w:rPr>
                <w:rFonts w:eastAsia="Times New Roman" w:cs="Arial"/>
                <w:sz w:val="20"/>
                <w:szCs w:val="20"/>
                <w:lang w:eastAsia="en-AU"/>
              </w:rPr>
              <w:t>800</w:t>
            </w:r>
          </w:p>
        </w:tc>
        <w:tc>
          <w:tcPr>
            <w:tcW w:w="850" w:type="dxa"/>
            <w:tcBorders>
              <w:top w:val="nil"/>
              <w:left w:val="nil"/>
              <w:bottom w:val="nil"/>
              <w:right w:val="nil"/>
            </w:tcBorders>
            <w:shd w:val="clear" w:color="auto" w:fill="F5F5F5" w:themeFill="background2"/>
            <w:vAlign w:val="center"/>
            <w:hideMark/>
          </w:tcPr>
          <w:p w14:paraId="3485AC06"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1000</w:t>
            </w:r>
          </w:p>
        </w:tc>
        <w:tc>
          <w:tcPr>
            <w:tcW w:w="858" w:type="dxa"/>
            <w:tcBorders>
              <w:top w:val="nil"/>
              <w:left w:val="nil"/>
              <w:bottom w:val="nil"/>
              <w:right w:val="nil"/>
            </w:tcBorders>
            <w:shd w:val="clear" w:color="auto" w:fill="F5F5F5" w:themeFill="background2"/>
            <w:vAlign w:val="center"/>
            <w:hideMark/>
          </w:tcPr>
          <w:p w14:paraId="07254384" w14:textId="16918136"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1000</w:t>
            </w:r>
          </w:p>
        </w:tc>
        <w:tc>
          <w:tcPr>
            <w:tcW w:w="839" w:type="dxa"/>
            <w:tcBorders>
              <w:top w:val="nil"/>
              <w:left w:val="nil"/>
              <w:bottom w:val="nil"/>
              <w:right w:val="nil"/>
            </w:tcBorders>
            <w:shd w:val="clear" w:color="auto" w:fill="F5F5F5" w:themeFill="background2"/>
            <w:vAlign w:val="center"/>
            <w:hideMark/>
          </w:tcPr>
          <w:p w14:paraId="3B9BD08E" w14:textId="6716A7F1"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1000</w:t>
            </w:r>
          </w:p>
        </w:tc>
        <w:tc>
          <w:tcPr>
            <w:tcW w:w="827" w:type="dxa"/>
            <w:tcBorders>
              <w:top w:val="nil"/>
              <w:left w:val="nil"/>
              <w:bottom w:val="nil"/>
              <w:right w:val="nil"/>
            </w:tcBorders>
            <w:shd w:val="clear" w:color="auto" w:fill="F5F5F5" w:themeFill="background2"/>
            <w:vAlign w:val="center"/>
            <w:hideMark/>
          </w:tcPr>
          <w:p w14:paraId="639CBADD"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1000</w:t>
            </w:r>
          </w:p>
        </w:tc>
        <w:tc>
          <w:tcPr>
            <w:tcW w:w="740" w:type="dxa"/>
            <w:tcBorders>
              <w:top w:val="nil"/>
              <w:left w:val="nil"/>
              <w:bottom w:val="nil"/>
              <w:right w:val="nil"/>
            </w:tcBorders>
            <w:shd w:val="clear" w:color="auto" w:fill="F5F5F5" w:themeFill="background2"/>
            <w:vAlign w:val="center"/>
            <w:hideMark/>
          </w:tcPr>
          <w:p w14:paraId="0EB9A3FA"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1000</w:t>
            </w:r>
          </w:p>
        </w:tc>
      </w:tr>
      <w:tr w:rsidR="00F9210C" w:rsidRPr="00990A88" w14:paraId="4A66C471" w14:textId="77777777" w:rsidTr="000E4967">
        <w:trPr>
          <w:trHeight w:val="1005"/>
        </w:trPr>
        <w:tc>
          <w:tcPr>
            <w:tcW w:w="1418" w:type="dxa"/>
            <w:tcBorders>
              <w:top w:val="nil"/>
              <w:left w:val="nil"/>
              <w:bottom w:val="nil"/>
              <w:right w:val="nil"/>
            </w:tcBorders>
            <w:shd w:val="clear" w:color="auto" w:fill="auto"/>
            <w:vAlign w:val="center"/>
            <w:hideMark/>
          </w:tcPr>
          <w:p w14:paraId="2B405447"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MID </w:t>
            </w:r>
          </w:p>
        </w:tc>
        <w:tc>
          <w:tcPr>
            <w:tcW w:w="1418" w:type="dxa"/>
            <w:tcBorders>
              <w:top w:val="nil"/>
              <w:left w:val="nil"/>
              <w:bottom w:val="nil"/>
              <w:right w:val="nil"/>
            </w:tcBorders>
            <w:shd w:val="clear" w:color="auto" w:fill="auto"/>
            <w:vAlign w:val="center"/>
            <w:hideMark/>
          </w:tcPr>
          <w:p w14:paraId="5DEE042E"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Delivery efficiency</w:t>
            </w:r>
          </w:p>
        </w:tc>
        <w:tc>
          <w:tcPr>
            <w:tcW w:w="1983" w:type="dxa"/>
            <w:tcBorders>
              <w:top w:val="nil"/>
              <w:left w:val="nil"/>
              <w:bottom w:val="nil"/>
              <w:right w:val="nil"/>
            </w:tcBorders>
            <w:shd w:val="clear" w:color="auto" w:fill="auto"/>
            <w:vAlign w:val="center"/>
            <w:hideMark/>
          </w:tcPr>
          <w:p w14:paraId="0F23482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Water released into the system that is delivered to customers</w:t>
            </w:r>
          </w:p>
        </w:tc>
        <w:tc>
          <w:tcPr>
            <w:tcW w:w="2410" w:type="dxa"/>
            <w:tcBorders>
              <w:top w:val="nil"/>
              <w:left w:val="nil"/>
              <w:bottom w:val="nil"/>
              <w:right w:val="nil"/>
            </w:tcBorders>
            <w:shd w:val="clear" w:color="auto" w:fill="auto"/>
            <w:vAlign w:val="center"/>
            <w:hideMark/>
          </w:tcPr>
          <w:p w14:paraId="32D11234" w14:textId="16BE4976" w:rsidR="00207D7B" w:rsidRPr="00990A88" w:rsidRDefault="00207D7B"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water released that is delivered to customers</w:t>
            </w:r>
          </w:p>
        </w:tc>
        <w:tc>
          <w:tcPr>
            <w:tcW w:w="851" w:type="dxa"/>
            <w:tcBorders>
              <w:top w:val="nil"/>
              <w:left w:val="nil"/>
              <w:bottom w:val="nil"/>
              <w:right w:val="nil"/>
            </w:tcBorders>
            <w:shd w:val="clear" w:color="auto" w:fill="auto"/>
            <w:vAlign w:val="center"/>
            <w:hideMark/>
          </w:tcPr>
          <w:p w14:paraId="3C337718" w14:textId="5DF2486B"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85%</w:t>
            </w:r>
          </w:p>
        </w:tc>
        <w:tc>
          <w:tcPr>
            <w:tcW w:w="850" w:type="dxa"/>
            <w:tcBorders>
              <w:top w:val="nil"/>
              <w:left w:val="nil"/>
              <w:bottom w:val="nil"/>
              <w:right w:val="nil"/>
            </w:tcBorders>
            <w:vAlign w:val="center"/>
            <w:hideMark/>
          </w:tcPr>
          <w:p w14:paraId="1D6C9AC1" w14:textId="3CD0AC33"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85%</w:t>
            </w:r>
          </w:p>
        </w:tc>
        <w:tc>
          <w:tcPr>
            <w:tcW w:w="851" w:type="dxa"/>
            <w:tcBorders>
              <w:top w:val="nil"/>
              <w:left w:val="nil"/>
              <w:bottom w:val="nil"/>
              <w:right w:val="nil"/>
            </w:tcBorders>
            <w:shd w:val="clear" w:color="auto" w:fill="auto"/>
            <w:vAlign w:val="center"/>
          </w:tcPr>
          <w:p w14:paraId="671A384C" w14:textId="4B2B0604" w:rsidR="00DA535A" w:rsidRPr="00990A88" w:rsidRDefault="00F9210C"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85%</w:t>
            </w:r>
          </w:p>
        </w:tc>
        <w:tc>
          <w:tcPr>
            <w:tcW w:w="850" w:type="dxa"/>
            <w:tcBorders>
              <w:top w:val="nil"/>
              <w:left w:val="nil"/>
              <w:bottom w:val="nil"/>
              <w:right w:val="nil"/>
            </w:tcBorders>
            <w:shd w:val="clear" w:color="auto" w:fill="auto"/>
            <w:vAlign w:val="center"/>
            <w:hideMark/>
          </w:tcPr>
          <w:p w14:paraId="6A799914" w14:textId="6B35BE26"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858" w:type="dxa"/>
            <w:tcBorders>
              <w:top w:val="nil"/>
              <w:left w:val="nil"/>
              <w:bottom w:val="nil"/>
              <w:right w:val="nil"/>
            </w:tcBorders>
            <w:shd w:val="clear" w:color="auto" w:fill="auto"/>
            <w:vAlign w:val="center"/>
            <w:hideMark/>
          </w:tcPr>
          <w:p w14:paraId="55F29298" w14:textId="1084C525"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839" w:type="dxa"/>
            <w:tcBorders>
              <w:top w:val="nil"/>
              <w:left w:val="nil"/>
              <w:bottom w:val="nil"/>
              <w:right w:val="nil"/>
            </w:tcBorders>
            <w:shd w:val="clear" w:color="auto" w:fill="auto"/>
            <w:vAlign w:val="center"/>
            <w:hideMark/>
          </w:tcPr>
          <w:p w14:paraId="55EEB47F" w14:textId="508BCA86"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90%</w:t>
            </w:r>
          </w:p>
        </w:tc>
        <w:tc>
          <w:tcPr>
            <w:tcW w:w="827" w:type="dxa"/>
            <w:tcBorders>
              <w:top w:val="nil"/>
              <w:left w:val="nil"/>
              <w:bottom w:val="nil"/>
              <w:right w:val="nil"/>
            </w:tcBorders>
            <w:shd w:val="clear" w:color="auto" w:fill="auto"/>
            <w:vAlign w:val="center"/>
            <w:hideMark/>
          </w:tcPr>
          <w:p w14:paraId="418F5FD4" w14:textId="1DE5455B"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90%</w:t>
            </w:r>
          </w:p>
        </w:tc>
        <w:tc>
          <w:tcPr>
            <w:tcW w:w="740" w:type="dxa"/>
            <w:tcBorders>
              <w:top w:val="nil"/>
              <w:left w:val="nil"/>
              <w:bottom w:val="nil"/>
              <w:right w:val="nil"/>
            </w:tcBorders>
            <w:vAlign w:val="center"/>
            <w:hideMark/>
          </w:tcPr>
          <w:p w14:paraId="345C0CE0" w14:textId="7FA28341"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90%</w:t>
            </w:r>
          </w:p>
        </w:tc>
      </w:tr>
      <w:tr w:rsidR="00FA422B" w:rsidRPr="00990A88" w14:paraId="02921940" w14:textId="77777777" w:rsidTr="000E4967">
        <w:trPr>
          <w:trHeight w:val="1005"/>
        </w:trPr>
        <w:tc>
          <w:tcPr>
            <w:tcW w:w="1418" w:type="dxa"/>
            <w:tcBorders>
              <w:top w:val="nil"/>
              <w:left w:val="nil"/>
              <w:bottom w:val="nil"/>
              <w:right w:val="nil"/>
            </w:tcBorders>
            <w:shd w:val="clear" w:color="auto" w:fill="F5F5F5" w:themeFill="background2"/>
            <w:vAlign w:val="center"/>
            <w:hideMark/>
          </w:tcPr>
          <w:p w14:paraId="638AFF6F"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BMID </w:t>
            </w:r>
          </w:p>
        </w:tc>
        <w:tc>
          <w:tcPr>
            <w:tcW w:w="1418" w:type="dxa"/>
            <w:tcBorders>
              <w:top w:val="nil"/>
              <w:left w:val="nil"/>
              <w:bottom w:val="nil"/>
              <w:right w:val="nil"/>
            </w:tcBorders>
            <w:shd w:val="clear" w:color="auto" w:fill="F5F5F5" w:themeFill="background2"/>
            <w:vAlign w:val="center"/>
            <w:hideMark/>
          </w:tcPr>
          <w:p w14:paraId="6676441A"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Release of additional water entitlements</w:t>
            </w:r>
          </w:p>
        </w:tc>
        <w:tc>
          <w:tcPr>
            <w:tcW w:w="1983" w:type="dxa"/>
            <w:tcBorders>
              <w:top w:val="nil"/>
              <w:left w:val="nil"/>
              <w:bottom w:val="nil"/>
              <w:right w:val="nil"/>
            </w:tcBorders>
            <w:shd w:val="clear" w:color="auto" w:fill="F5F5F5" w:themeFill="background2"/>
            <w:vAlign w:val="center"/>
            <w:hideMark/>
          </w:tcPr>
          <w:p w14:paraId="621F802C"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Sell the water savings from modernisation</w:t>
            </w:r>
          </w:p>
        </w:tc>
        <w:tc>
          <w:tcPr>
            <w:tcW w:w="2410" w:type="dxa"/>
            <w:tcBorders>
              <w:top w:val="nil"/>
              <w:left w:val="nil"/>
              <w:bottom w:val="nil"/>
              <w:right w:val="nil"/>
            </w:tcBorders>
            <w:shd w:val="clear" w:color="auto" w:fill="F5F5F5" w:themeFill="background2"/>
            <w:vAlign w:val="center"/>
            <w:hideMark/>
          </w:tcPr>
          <w:p w14:paraId="6D84F2F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Megalitres of permanent water offered for sale but with any sale subject to the reserve being reached </w:t>
            </w:r>
          </w:p>
        </w:tc>
        <w:tc>
          <w:tcPr>
            <w:tcW w:w="851" w:type="dxa"/>
            <w:tcBorders>
              <w:top w:val="nil"/>
              <w:left w:val="nil"/>
              <w:bottom w:val="nil"/>
              <w:right w:val="nil"/>
            </w:tcBorders>
            <w:shd w:val="clear" w:color="auto" w:fill="F5F5F5" w:themeFill="background2"/>
            <w:vAlign w:val="center"/>
            <w:hideMark/>
          </w:tcPr>
          <w:p w14:paraId="20691B63" w14:textId="7A47113C" w:rsidR="00DA535A" w:rsidRPr="00990A88" w:rsidRDefault="00C33511"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167</w:t>
            </w:r>
          </w:p>
        </w:tc>
        <w:tc>
          <w:tcPr>
            <w:tcW w:w="850" w:type="dxa"/>
            <w:tcBorders>
              <w:top w:val="nil"/>
              <w:left w:val="nil"/>
              <w:bottom w:val="nil"/>
              <w:right w:val="nil"/>
            </w:tcBorders>
            <w:shd w:val="clear" w:color="auto" w:fill="F5F5F5" w:themeFill="background2"/>
            <w:vAlign w:val="center"/>
            <w:hideMark/>
          </w:tcPr>
          <w:p w14:paraId="7B4C66F9" w14:textId="18925498"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0</w:t>
            </w:r>
          </w:p>
        </w:tc>
        <w:tc>
          <w:tcPr>
            <w:tcW w:w="851" w:type="dxa"/>
            <w:tcBorders>
              <w:top w:val="nil"/>
              <w:left w:val="nil"/>
              <w:bottom w:val="nil"/>
              <w:right w:val="nil"/>
            </w:tcBorders>
            <w:shd w:val="clear" w:color="auto" w:fill="F5F5F5" w:themeFill="background2"/>
            <w:vAlign w:val="center"/>
          </w:tcPr>
          <w:p w14:paraId="0B5574B6" w14:textId="0862574E" w:rsidR="00DA535A" w:rsidRPr="00990A88" w:rsidRDefault="00F9210C" w:rsidP="000E4967">
            <w:pPr>
              <w:spacing w:before="40" w:after="40" w:line="240" w:lineRule="auto"/>
              <w:jc w:val="center"/>
              <w:rPr>
                <w:rFonts w:eastAsia="Times New Roman" w:cs="Arial"/>
                <w:sz w:val="20"/>
                <w:szCs w:val="20"/>
                <w:lang w:eastAsia="en-AU"/>
              </w:rPr>
            </w:pPr>
            <w:r>
              <w:rPr>
                <w:rFonts w:eastAsia="Times New Roman" w:cs="Arial"/>
                <w:sz w:val="20"/>
                <w:szCs w:val="20"/>
                <w:lang w:eastAsia="en-AU"/>
              </w:rPr>
              <w:t>0</w:t>
            </w:r>
          </w:p>
        </w:tc>
        <w:tc>
          <w:tcPr>
            <w:tcW w:w="850" w:type="dxa"/>
            <w:tcBorders>
              <w:top w:val="nil"/>
              <w:left w:val="nil"/>
              <w:bottom w:val="nil"/>
              <w:right w:val="nil"/>
            </w:tcBorders>
            <w:shd w:val="clear" w:color="auto" w:fill="F5F5F5" w:themeFill="background2"/>
            <w:vAlign w:val="center"/>
            <w:hideMark/>
          </w:tcPr>
          <w:p w14:paraId="3D175FA2" w14:textId="544F3B29" w:rsidR="00DA535A" w:rsidRPr="00ED2D2B" w:rsidRDefault="00CF6710"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58" w:type="dxa"/>
            <w:tcBorders>
              <w:top w:val="nil"/>
              <w:left w:val="nil"/>
              <w:bottom w:val="nil"/>
              <w:right w:val="nil"/>
            </w:tcBorders>
            <w:shd w:val="clear" w:color="auto" w:fill="F5F5F5" w:themeFill="background2"/>
            <w:vAlign w:val="center"/>
            <w:hideMark/>
          </w:tcPr>
          <w:p w14:paraId="44BCA963" w14:textId="7936EF14" w:rsidR="00DA535A" w:rsidRPr="00ED2D2B" w:rsidRDefault="00CF6710"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39" w:type="dxa"/>
            <w:tcBorders>
              <w:top w:val="nil"/>
              <w:left w:val="nil"/>
              <w:bottom w:val="nil"/>
              <w:right w:val="nil"/>
            </w:tcBorders>
            <w:shd w:val="clear" w:color="auto" w:fill="F5F5F5" w:themeFill="background2"/>
            <w:vAlign w:val="center"/>
            <w:hideMark/>
          </w:tcPr>
          <w:p w14:paraId="14BB0526" w14:textId="40C407FC"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27" w:type="dxa"/>
            <w:tcBorders>
              <w:top w:val="nil"/>
              <w:left w:val="nil"/>
              <w:bottom w:val="nil"/>
              <w:right w:val="nil"/>
            </w:tcBorders>
            <w:shd w:val="clear" w:color="auto" w:fill="F5F5F5" w:themeFill="background2"/>
            <w:vAlign w:val="center"/>
            <w:hideMark/>
          </w:tcPr>
          <w:p w14:paraId="65C12F89"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740" w:type="dxa"/>
            <w:tcBorders>
              <w:top w:val="nil"/>
              <w:left w:val="nil"/>
              <w:bottom w:val="nil"/>
              <w:right w:val="nil"/>
            </w:tcBorders>
            <w:shd w:val="clear" w:color="auto" w:fill="F5F5F5" w:themeFill="background2"/>
            <w:vAlign w:val="center"/>
            <w:hideMark/>
          </w:tcPr>
          <w:p w14:paraId="3F498578"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r>
      <w:tr w:rsidR="00F9210C" w:rsidRPr="00990A88" w14:paraId="25BF850F" w14:textId="77777777" w:rsidTr="000E4967">
        <w:trPr>
          <w:trHeight w:val="1005"/>
        </w:trPr>
        <w:tc>
          <w:tcPr>
            <w:tcW w:w="1418" w:type="dxa"/>
            <w:tcBorders>
              <w:top w:val="nil"/>
              <w:left w:val="nil"/>
              <w:bottom w:val="nil"/>
              <w:right w:val="nil"/>
            </w:tcBorders>
            <w:shd w:val="clear" w:color="auto" w:fill="auto"/>
            <w:vAlign w:val="center"/>
            <w:hideMark/>
          </w:tcPr>
          <w:p w14:paraId="39DF58C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BMID </w:t>
            </w:r>
          </w:p>
        </w:tc>
        <w:tc>
          <w:tcPr>
            <w:tcW w:w="1418" w:type="dxa"/>
            <w:tcBorders>
              <w:top w:val="nil"/>
              <w:left w:val="nil"/>
              <w:bottom w:val="nil"/>
              <w:right w:val="nil"/>
            </w:tcBorders>
            <w:shd w:val="clear" w:color="auto" w:fill="auto"/>
            <w:vAlign w:val="center"/>
            <w:hideMark/>
          </w:tcPr>
          <w:p w14:paraId="485CE046"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Delivery efficiency</w:t>
            </w:r>
          </w:p>
        </w:tc>
        <w:tc>
          <w:tcPr>
            <w:tcW w:w="1983" w:type="dxa"/>
            <w:tcBorders>
              <w:top w:val="nil"/>
              <w:left w:val="nil"/>
              <w:bottom w:val="nil"/>
              <w:right w:val="nil"/>
            </w:tcBorders>
            <w:shd w:val="clear" w:color="auto" w:fill="auto"/>
            <w:vAlign w:val="center"/>
            <w:hideMark/>
          </w:tcPr>
          <w:p w14:paraId="2E14A716"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Water released into the system that is delivered to customers</w:t>
            </w:r>
          </w:p>
        </w:tc>
        <w:tc>
          <w:tcPr>
            <w:tcW w:w="2410" w:type="dxa"/>
            <w:tcBorders>
              <w:top w:val="nil"/>
              <w:left w:val="nil"/>
              <w:bottom w:val="nil"/>
              <w:right w:val="nil"/>
            </w:tcBorders>
            <w:shd w:val="clear" w:color="auto" w:fill="auto"/>
            <w:vAlign w:val="center"/>
            <w:hideMark/>
          </w:tcPr>
          <w:p w14:paraId="0D5F5DF6" w14:textId="2E63D20B" w:rsidR="00207D7B" w:rsidRPr="00990A88" w:rsidRDefault="00207D7B"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water released that is delivered to customers </w:t>
            </w:r>
          </w:p>
        </w:tc>
        <w:tc>
          <w:tcPr>
            <w:tcW w:w="851" w:type="dxa"/>
            <w:tcBorders>
              <w:top w:val="nil"/>
              <w:left w:val="nil"/>
              <w:bottom w:val="nil"/>
              <w:right w:val="nil"/>
            </w:tcBorders>
            <w:shd w:val="clear" w:color="auto" w:fill="auto"/>
            <w:vAlign w:val="center"/>
            <w:hideMark/>
          </w:tcPr>
          <w:p w14:paraId="59780AAA" w14:textId="05E3C092"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80%</w:t>
            </w:r>
          </w:p>
        </w:tc>
        <w:tc>
          <w:tcPr>
            <w:tcW w:w="850" w:type="dxa"/>
            <w:tcBorders>
              <w:top w:val="nil"/>
              <w:left w:val="nil"/>
              <w:bottom w:val="nil"/>
              <w:right w:val="nil"/>
            </w:tcBorders>
            <w:vAlign w:val="center"/>
            <w:hideMark/>
          </w:tcPr>
          <w:p w14:paraId="6D3E0C26" w14:textId="4F2CEFDB"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80%</w:t>
            </w:r>
          </w:p>
        </w:tc>
        <w:tc>
          <w:tcPr>
            <w:tcW w:w="851" w:type="dxa"/>
            <w:tcBorders>
              <w:top w:val="nil"/>
              <w:left w:val="nil"/>
              <w:bottom w:val="nil"/>
              <w:right w:val="nil"/>
            </w:tcBorders>
            <w:shd w:val="clear" w:color="auto" w:fill="auto"/>
            <w:vAlign w:val="center"/>
          </w:tcPr>
          <w:p w14:paraId="6553F424" w14:textId="7B57B061" w:rsidR="00DA535A" w:rsidRPr="00990A88" w:rsidRDefault="5D46E7E7" w:rsidP="000E4967">
            <w:pPr>
              <w:spacing w:before="40" w:after="40" w:line="240" w:lineRule="auto"/>
              <w:jc w:val="center"/>
              <w:rPr>
                <w:rFonts w:eastAsia="Times New Roman" w:cs="Arial"/>
                <w:color w:val="000000"/>
                <w:sz w:val="20"/>
                <w:szCs w:val="20"/>
                <w:lang w:eastAsia="en-AU"/>
              </w:rPr>
            </w:pPr>
            <w:r w:rsidRPr="374ABFB3">
              <w:rPr>
                <w:rFonts w:eastAsia="Times New Roman" w:cs="Arial"/>
                <w:color w:val="000000" w:themeColor="text1"/>
                <w:sz w:val="20"/>
                <w:szCs w:val="20"/>
                <w:lang w:eastAsia="en-AU"/>
              </w:rPr>
              <w:t>80%</w:t>
            </w:r>
          </w:p>
        </w:tc>
        <w:tc>
          <w:tcPr>
            <w:tcW w:w="850" w:type="dxa"/>
            <w:tcBorders>
              <w:top w:val="nil"/>
              <w:left w:val="nil"/>
              <w:bottom w:val="nil"/>
              <w:right w:val="nil"/>
            </w:tcBorders>
            <w:shd w:val="clear" w:color="auto" w:fill="auto"/>
            <w:vAlign w:val="center"/>
            <w:hideMark/>
          </w:tcPr>
          <w:p w14:paraId="0064F955" w14:textId="3B73344D"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80%</w:t>
            </w:r>
          </w:p>
        </w:tc>
        <w:tc>
          <w:tcPr>
            <w:tcW w:w="858" w:type="dxa"/>
            <w:tcBorders>
              <w:top w:val="nil"/>
              <w:left w:val="nil"/>
              <w:bottom w:val="nil"/>
              <w:right w:val="nil"/>
            </w:tcBorders>
            <w:shd w:val="clear" w:color="auto" w:fill="auto"/>
            <w:vAlign w:val="center"/>
            <w:hideMark/>
          </w:tcPr>
          <w:p w14:paraId="3CBDD82B" w14:textId="4DAA3B13"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80%</w:t>
            </w:r>
          </w:p>
        </w:tc>
        <w:tc>
          <w:tcPr>
            <w:tcW w:w="839" w:type="dxa"/>
            <w:tcBorders>
              <w:top w:val="nil"/>
              <w:left w:val="nil"/>
              <w:bottom w:val="nil"/>
              <w:right w:val="nil"/>
            </w:tcBorders>
            <w:shd w:val="clear" w:color="auto" w:fill="auto"/>
            <w:vAlign w:val="center"/>
            <w:hideMark/>
          </w:tcPr>
          <w:p w14:paraId="5A1ABC7E" w14:textId="16A91E39"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827" w:type="dxa"/>
            <w:tcBorders>
              <w:top w:val="nil"/>
              <w:left w:val="nil"/>
              <w:bottom w:val="nil"/>
              <w:right w:val="nil"/>
            </w:tcBorders>
            <w:shd w:val="clear" w:color="auto" w:fill="auto"/>
            <w:vAlign w:val="center"/>
            <w:hideMark/>
          </w:tcPr>
          <w:p w14:paraId="4EBE11F4" w14:textId="70F92DC5"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740" w:type="dxa"/>
            <w:tcBorders>
              <w:top w:val="nil"/>
              <w:left w:val="nil"/>
              <w:bottom w:val="nil"/>
              <w:right w:val="nil"/>
            </w:tcBorders>
            <w:vAlign w:val="center"/>
            <w:hideMark/>
          </w:tcPr>
          <w:p w14:paraId="6CC391DC" w14:textId="225DE032"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r>
      <w:tr w:rsidR="00FA422B" w:rsidRPr="00990A88" w14:paraId="3F1CF104" w14:textId="77777777" w:rsidTr="000E4967">
        <w:trPr>
          <w:trHeight w:val="1005"/>
        </w:trPr>
        <w:tc>
          <w:tcPr>
            <w:tcW w:w="1418" w:type="dxa"/>
            <w:tcBorders>
              <w:top w:val="nil"/>
              <w:left w:val="nil"/>
              <w:bottom w:val="nil"/>
              <w:right w:val="nil"/>
            </w:tcBorders>
            <w:shd w:val="clear" w:color="auto" w:fill="F5F5F5" w:themeFill="background2"/>
            <w:vAlign w:val="center"/>
            <w:hideMark/>
          </w:tcPr>
          <w:p w14:paraId="3F6045B9"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WID </w:t>
            </w:r>
          </w:p>
        </w:tc>
        <w:tc>
          <w:tcPr>
            <w:tcW w:w="1418" w:type="dxa"/>
            <w:tcBorders>
              <w:top w:val="nil"/>
              <w:left w:val="nil"/>
              <w:bottom w:val="nil"/>
              <w:right w:val="nil"/>
            </w:tcBorders>
            <w:shd w:val="clear" w:color="auto" w:fill="F5F5F5" w:themeFill="background2"/>
            <w:vAlign w:val="center"/>
            <w:hideMark/>
          </w:tcPr>
          <w:p w14:paraId="6B5FA9AA"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Release of additional water entitlements</w:t>
            </w:r>
          </w:p>
        </w:tc>
        <w:tc>
          <w:tcPr>
            <w:tcW w:w="1983" w:type="dxa"/>
            <w:tcBorders>
              <w:top w:val="nil"/>
              <w:left w:val="nil"/>
              <w:bottom w:val="nil"/>
              <w:right w:val="nil"/>
            </w:tcBorders>
            <w:shd w:val="clear" w:color="auto" w:fill="F5F5F5" w:themeFill="background2"/>
            <w:vAlign w:val="center"/>
            <w:hideMark/>
          </w:tcPr>
          <w:p w14:paraId="4FFCC855"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Sell the water savings from modernisation </w:t>
            </w:r>
          </w:p>
        </w:tc>
        <w:tc>
          <w:tcPr>
            <w:tcW w:w="2410" w:type="dxa"/>
            <w:tcBorders>
              <w:top w:val="nil"/>
              <w:left w:val="nil"/>
              <w:bottom w:val="nil"/>
              <w:right w:val="nil"/>
            </w:tcBorders>
            <w:shd w:val="clear" w:color="auto" w:fill="F5F5F5" w:themeFill="background2"/>
            <w:vAlign w:val="center"/>
            <w:hideMark/>
          </w:tcPr>
          <w:p w14:paraId="2F9E3C2C"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sz w:val="20"/>
                <w:szCs w:val="20"/>
                <w:lang w:eastAsia="en-AU"/>
              </w:rPr>
              <w:t>Megalitres of permanent water offered for sale but with any sale subject to the reserve being reached</w:t>
            </w:r>
          </w:p>
        </w:tc>
        <w:tc>
          <w:tcPr>
            <w:tcW w:w="851" w:type="dxa"/>
            <w:tcBorders>
              <w:top w:val="nil"/>
              <w:left w:val="nil"/>
              <w:bottom w:val="nil"/>
              <w:right w:val="nil"/>
            </w:tcBorders>
            <w:shd w:val="clear" w:color="auto" w:fill="F5F5F5" w:themeFill="background2"/>
            <w:vAlign w:val="center"/>
            <w:hideMark/>
          </w:tcPr>
          <w:p w14:paraId="64772EE9" w14:textId="434A1B3D" w:rsidR="00DA535A" w:rsidRPr="00990A88" w:rsidRDefault="00C33511"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533</w:t>
            </w:r>
          </w:p>
        </w:tc>
        <w:tc>
          <w:tcPr>
            <w:tcW w:w="850" w:type="dxa"/>
            <w:tcBorders>
              <w:top w:val="nil"/>
              <w:left w:val="nil"/>
              <w:bottom w:val="nil"/>
              <w:right w:val="nil"/>
            </w:tcBorders>
            <w:shd w:val="clear" w:color="auto" w:fill="F5F5F5" w:themeFill="background2"/>
            <w:vAlign w:val="center"/>
            <w:hideMark/>
          </w:tcPr>
          <w:p w14:paraId="4B4F930F" w14:textId="066E9AEF"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0</w:t>
            </w:r>
          </w:p>
        </w:tc>
        <w:tc>
          <w:tcPr>
            <w:tcW w:w="851" w:type="dxa"/>
            <w:tcBorders>
              <w:top w:val="nil"/>
              <w:left w:val="nil"/>
              <w:bottom w:val="nil"/>
              <w:right w:val="nil"/>
            </w:tcBorders>
            <w:shd w:val="clear" w:color="auto" w:fill="F5F5F5" w:themeFill="background2"/>
            <w:vAlign w:val="center"/>
          </w:tcPr>
          <w:p w14:paraId="6DCE409A" w14:textId="00AD48C9" w:rsidR="00DA535A" w:rsidRPr="00990A88" w:rsidRDefault="00CF6710" w:rsidP="000E4967">
            <w:pPr>
              <w:spacing w:before="40" w:after="40" w:line="240" w:lineRule="auto"/>
              <w:jc w:val="center"/>
              <w:rPr>
                <w:rFonts w:eastAsia="Times New Roman" w:cs="Arial"/>
                <w:sz w:val="20"/>
                <w:szCs w:val="20"/>
                <w:lang w:eastAsia="en-AU"/>
              </w:rPr>
            </w:pPr>
            <w:r>
              <w:rPr>
                <w:rFonts w:eastAsia="Times New Roman" w:cs="Arial"/>
                <w:sz w:val="20"/>
                <w:szCs w:val="20"/>
                <w:lang w:eastAsia="en-AU"/>
              </w:rPr>
              <w:t>0</w:t>
            </w:r>
          </w:p>
        </w:tc>
        <w:tc>
          <w:tcPr>
            <w:tcW w:w="850" w:type="dxa"/>
            <w:tcBorders>
              <w:top w:val="nil"/>
              <w:left w:val="nil"/>
              <w:bottom w:val="nil"/>
              <w:right w:val="nil"/>
            </w:tcBorders>
            <w:shd w:val="clear" w:color="auto" w:fill="F5F5F5" w:themeFill="background2"/>
            <w:vAlign w:val="center"/>
            <w:hideMark/>
          </w:tcPr>
          <w:p w14:paraId="46C98E4D" w14:textId="58213C96" w:rsidR="00DA535A" w:rsidRPr="00ED2D2B" w:rsidRDefault="00CF6710"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58" w:type="dxa"/>
            <w:tcBorders>
              <w:top w:val="nil"/>
              <w:left w:val="nil"/>
              <w:bottom w:val="nil"/>
              <w:right w:val="nil"/>
            </w:tcBorders>
            <w:shd w:val="clear" w:color="auto" w:fill="F5F5F5" w:themeFill="background2"/>
            <w:vAlign w:val="center"/>
            <w:hideMark/>
          </w:tcPr>
          <w:p w14:paraId="3D64F05F" w14:textId="7D7A8069" w:rsidR="00DA535A" w:rsidRPr="00ED2D2B" w:rsidRDefault="00CF6710"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39" w:type="dxa"/>
            <w:tcBorders>
              <w:top w:val="nil"/>
              <w:left w:val="nil"/>
              <w:bottom w:val="nil"/>
              <w:right w:val="nil"/>
            </w:tcBorders>
            <w:shd w:val="clear" w:color="auto" w:fill="F5F5F5" w:themeFill="background2"/>
            <w:vAlign w:val="center"/>
            <w:hideMark/>
          </w:tcPr>
          <w:p w14:paraId="64664287" w14:textId="2BBCAFB4" w:rsidR="00DA535A" w:rsidRPr="00ED2D2B" w:rsidRDefault="00CF6710"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827" w:type="dxa"/>
            <w:tcBorders>
              <w:top w:val="nil"/>
              <w:left w:val="nil"/>
              <w:bottom w:val="nil"/>
              <w:right w:val="nil"/>
            </w:tcBorders>
            <w:shd w:val="clear" w:color="auto" w:fill="F5F5F5" w:themeFill="background2"/>
            <w:vAlign w:val="center"/>
            <w:hideMark/>
          </w:tcPr>
          <w:p w14:paraId="421322F7" w14:textId="5C3A8236"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c>
          <w:tcPr>
            <w:tcW w:w="740" w:type="dxa"/>
            <w:tcBorders>
              <w:top w:val="nil"/>
              <w:left w:val="nil"/>
              <w:bottom w:val="nil"/>
              <w:right w:val="nil"/>
            </w:tcBorders>
            <w:shd w:val="clear" w:color="auto" w:fill="F5F5F5" w:themeFill="background2"/>
            <w:vAlign w:val="center"/>
            <w:hideMark/>
          </w:tcPr>
          <w:p w14:paraId="7331231C" w14:textId="4BA24515"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0</w:t>
            </w:r>
          </w:p>
        </w:tc>
      </w:tr>
      <w:tr w:rsidR="003565AF" w:rsidRPr="00990A88" w14:paraId="0F6AB497" w14:textId="77777777" w:rsidTr="000E4967">
        <w:trPr>
          <w:trHeight w:val="1005"/>
        </w:trPr>
        <w:tc>
          <w:tcPr>
            <w:tcW w:w="1418" w:type="dxa"/>
            <w:tcBorders>
              <w:top w:val="nil"/>
              <w:left w:val="nil"/>
              <w:right w:val="nil"/>
            </w:tcBorders>
            <w:shd w:val="clear" w:color="auto" w:fill="auto"/>
            <w:vAlign w:val="center"/>
            <w:hideMark/>
          </w:tcPr>
          <w:p w14:paraId="54570C6E"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WID </w:t>
            </w:r>
          </w:p>
        </w:tc>
        <w:tc>
          <w:tcPr>
            <w:tcW w:w="1418" w:type="dxa"/>
            <w:tcBorders>
              <w:top w:val="nil"/>
              <w:left w:val="nil"/>
              <w:right w:val="nil"/>
            </w:tcBorders>
            <w:shd w:val="clear" w:color="auto" w:fill="auto"/>
            <w:vAlign w:val="center"/>
            <w:hideMark/>
          </w:tcPr>
          <w:p w14:paraId="2A84B9F8"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Delivery efficiency</w:t>
            </w:r>
          </w:p>
        </w:tc>
        <w:tc>
          <w:tcPr>
            <w:tcW w:w="1983" w:type="dxa"/>
            <w:tcBorders>
              <w:top w:val="nil"/>
              <w:left w:val="nil"/>
              <w:right w:val="nil"/>
            </w:tcBorders>
            <w:shd w:val="clear" w:color="auto" w:fill="auto"/>
            <w:vAlign w:val="center"/>
            <w:hideMark/>
          </w:tcPr>
          <w:p w14:paraId="40DF290C"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Water released into the system that is delivered to customers </w:t>
            </w:r>
          </w:p>
        </w:tc>
        <w:tc>
          <w:tcPr>
            <w:tcW w:w="2410" w:type="dxa"/>
            <w:tcBorders>
              <w:top w:val="nil"/>
              <w:left w:val="nil"/>
              <w:right w:val="nil"/>
            </w:tcBorders>
            <w:shd w:val="clear" w:color="auto" w:fill="auto"/>
            <w:vAlign w:val="center"/>
            <w:hideMark/>
          </w:tcPr>
          <w:p w14:paraId="38294068" w14:textId="2EDB2569" w:rsidR="00207D7B" w:rsidRPr="00990A88" w:rsidRDefault="00207D7B"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water released that is delivered to customers </w:t>
            </w:r>
          </w:p>
        </w:tc>
        <w:tc>
          <w:tcPr>
            <w:tcW w:w="851" w:type="dxa"/>
            <w:tcBorders>
              <w:top w:val="nil"/>
              <w:left w:val="nil"/>
              <w:right w:val="nil"/>
            </w:tcBorders>
            <w:shd w:val="clear" w:color="auto" w:fill="auto"/>
            <w:vAlign w:val="center"/>
            <w:hideMark/>
          </w:tcPr>
          <w:p w14:paraId="652202B4" w14:textId="1715BE11"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80%</w:t>
            </w:r>
          </w:p>
        </w:tc>
        <w:tc>
          <w:tcPr>
            <w:tcW w:w="850" w:type="dxa"/>
            <w:tcBorders>
              <w:top w:val="nil"/>
              <w:left w:val="nil"/>
              <w:right w:val="nil"/>
            </w:tcBorders>
            <w:vAlign w:val="center"/>
            <w:hideMark/>
          </w:tcPr>
          <w:p w14:paraId="64CEA548" w14:textId="7C802A9F"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80%</w:t>
            </w:r>
          </w:p>
        </w:tc>
        <w:tc>
          <w:tcPr>
            <w:tcW w:w="851" w:type="dxa"/>
            <w:tcBorders>
              <w:top w:val="nil"/>
              <w:left w:val="nil"/>
              <w:right w:val="nil"/>
            </w:tcBorders>
            <w:shd w:val="clear" w:color="auto" w:fill="auto"/>
            <w:vAlign w:val="center"/>
          </w:tcPr>
          <w:p w14:paraId="197C0C0B" w14:textId="33CD9B4E" w:rsidR="00DA535A" w:rsidRPr="00990A88" w:rsidRDefault="003E2F5E"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80%</w:t>
            </w:r>
          </w:p>
        </w:tc>
        <w:tc>
          <w:tcPr>
            <w:tcW w:w="850" w:type="dxa"/>
            <w:tcBorders>
              <w:top w:val="nil"/>
              <w:left w:val="nil"/>
              <w:right w:val="nil"/>
            </w:tcBorders>
            <w:shd w:val="clear" w:color="auto" w:fill="auto"/>
            <w:vAlign w:val="center"/>
            <w:hideMark/>
          </w:tcPr>
          <w:p w14:paraId="66A79897" w14:textId="2B410CF3"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80%</w:t>
            </w:r>
          </w:p>
        </w:tc>
        <w:tc>
          <w:tcPr>
            <w:tcW w:w="858" w:type="dxa"/>
            <w:tcBorders>
              <w:top w:val="nil"/>
              <w:left w:val="nil"/>
              <w:right w:val="nil"/>
            </w:tcBorders>
            <w:shd w:val="clear" w:color="auto" w:fill="auto"/>
            <w:vAlign w:val="center"/>
            <w:hideMark/>
          </w:tcPr>
          <w:p w14:paraId="4695C61A" w14:textId="799A835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80%</w:t>
            </w:r>
          </w:p>
        </w:tc>
        <w:tc>
          <w:tcPr>
            <w:tcW w:w="839" w:type="dxa"/>
            <w:tcBorders>
              <w:top w:val="nil"/>
              <w:left w:val="nil"/>
              <w:right w:val="nil"/>
            </w:tcBorders>
            <w:shd w:val="clear" w:color="auto" w:fill="auto"/>
            <w:vAlign w:val="center"/>
            <w:hideMark/>
          </w:tcPr>
          <w:p w14:paraId="7ADDA6D6" w14:textId="37ADA23B"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827" w:type="dxa"/>
            <w:tcBorders>
              <w:top w:val="nil"/>
              <w:left w:val="nil"/>
              <w:right w:val="nil"/>
            </w:tcBorders>
            <w:shd w:val="clear" w:color="auto" w:fill="auto"/>
            <w:vAlign w:val="center"/>
            <w:hideMark/>
          </w:tcPr>
          <w:p w14:paraId="24566651" w14:textId="1B359491"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c>
          <w:tcPr>
            <w:tcW w:w="740" w:type="dxa"/>
            <w:tcBorders>
              <w:top w:val="nil"/>
              <w:left w:val="nil"/>
              <w:right w:val="nil"/>
            </w:tcBorders>
            <w:vAlign w:val="center"/>
            <w:hideMark/>
          </w:tcPr>
          <w:p w14:paraId="219FED98" w14:textId="71913E10"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color w:val="000000"/>
                <w:sz w:val="20"/>
                <w:szCs w:val="20"/>
                <w:lang w:eastAsia="en-AU"/>
              </w:rPr>
              <w:t>85%</w:t>
            </w:r>
          </w:p>
        </w:tc>
      </w:tr>
      <w:tr w:rsidR="00FA422B" w:rsidRPr="00990A88" w14:paraId="7F727A73" w14:textId="77777777" w:rsidTr="000E4967">
        <w:trPr>
          <w:trHeight w:val="753"/>
        </w:trPr>
        <w:tc>
          <w:tcPr>
            <w:tcW w:w="1418" w:type="dxa"/>
            <w:tcBorders>
              <w:top w:val="nil"/>
              <w:left w:val="nil"/>
              <w:bottom w:val="single" w:sz="4" w:space="0" w:color="auto"/>
              <w:right w:val="nil"/>
            </w:tcBorders>
            <w:shd w:val="clear" w:color="auto" w:fill="F5F5F5" w:themeFill="background2"/>
            <w:vAlign w:val="center"/>
            <w:hideMark/>
          </w:tcPr>
          <w:p w14:paraId="0B9ECC91"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sz w:val="20"/>
                <w:szCs w:val="20"/>
                <w:lang w:eastAsia="en-AU"/>
              </w:rPr>
              <w:t>Bulk entitlements</w:t>
            </w:r>
          </w:p>
        </w:tc>
        <w:tc>
          <w:tcPr>
            <w:tcW w:w="1418" w:type="dxa"/>
            <w:tcBorders>
              <w:top w:val="nil"/>
              <w:left w:val="nil"/>
              <w:bottom w:val="single" w:sz="4" w:space="0" w:color="auto"/>
              <w:right w:val="nil"/>
            </w:tcBorders>
            <w:shd w:val="clear" w:color="auto" w:fill="F5F5F5" w:themeFill="background2"/>
            <w:vAlign w:val="center"/>
            <w:hideMark/>
          </w:tcPr>
          <w:p w14:paraId="661A83A1"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sz w:val="20"/>
                <w:szCs w:val="20"/>
                <w:lang w:eastAsia="en-AU"/>
              </w:rPr>
              <w:t>Environmental flows delivered </w:t>
            </w:r>
          </w:p>
        </w:tc>
        <w:tc>
          <w:tcPr>
            <w:tcW w:w="1983" w:type="dxa"/>
            <w:tcBorders>
              <w:top w:val="nil"/>
              <w:left w:val="nil"/>
              <w:bottom w:val="single" w:sz="4" w:space="0" w:color="auto"/>
              <w:right w:val="nil"/>
            </w:tcBorders>
            <w:shd w:val="clear" w:color="auto" w:fill="F5F5F5" w:themeFill="background2"/>
            <w:vAlign w:val="center"/>
            <w:hideMark/>
          </w:tcPr>
          <w:p w14:paraId="2238B718"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sz w:val="20"/>
                <w:szCs w:val="20"/>
                <w:lang w:eastAsia="en-AU"/>
              </w:rPr>
              <w:t>Provide water to the environment </w:t>
            </w:r>
          </w:p>
        </w:tc>
        <w:tc>
          <w:tcPr>
            <w:tcW w:w="2410" w:type="dxa"/>
            <w:tcBorders>
              <w:top w:val="nil"/>
              <w:left w:val="nil"/>
              <w:bottom w:val="single" w:sz="4" w:space="0" w:color="auto"/>
              <w:right w:val="nil"/>
            </w:tcBorders>
            <w:shd w:val="clear" w:color="auto" w:fill="F5F5F5" w:themeFill="background2"/>
            <w:vAlign w:val="center"/>
            <w:hideMark/>
          </w:tcPr>
          <w:p w14:paraId="74D4D401"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sz w:val="20"/>
                <w:szCs w:val="20"/>
                <w:lang w:eastAsia="en-AU"/>
              </w:rPr>
              <w:t>Percentage of orders delivered </w:t>
            </w:r>
          </w:p>
        </w:tc>
        <w:tc>
          <w:tcPr>
            <w:tcW w:w="851" w:type="dxa"/>
            <w:tcBorders>
              <w:top w:val="nil"/>
              <w:left w:val="nil"/>
              <w:bottom w:val="single" w:sz="4" w:space="0" w:color="auto"/>
              <w:right w:val="nil"/>
            </w:tcBorders>
            <w:shd w:val="clear" w:color="auto" w:fill="F5F5F5" w:themeFill="background2"/>
            <w:vAlign w:val="center"/>
            <w:hideMark/>
          </w:tcPr>
          <w:p w14:paraId="23D624B9" w14:textId="24B7947B"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N/A</w:t>
            </w:r>
          </w:p>
        </w:tc>
        <w:tc>
          <w:tcPr>
            <w:tcW w:w="850" w:type="dxa"/>
            <w:tcBorders>
              <w:top w:val="nil"/>
              <w:left w:val="nil"/>
              <w:bottom w:val="single" w:sz="4" w:space="0" w:color="auto"/>
              <w:right w:val="nil"/>
            </w:tcBorders>
            <w:shd w:val="clear" w:color="auto" w:fill="F5F5F5" w:themeFill="background2"/>
            <w:vAlign w:val="center"/>
            <w:hideMark/>
          </w:tcPr>
          <w:p w14:paraId="694B9882" w14:textId="31C7E75C"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N/A</w:t>
            </w:r>
          </w:p>
        </w:tc>
        <w:tc>
          <w:tcPr>
            <w:tcW w:w="851" w:type="dxa"/>
            <w:tcBorders>
              <w:top w:val="nil"/>
              <w:left w:val="nil"/>
              <w:bottom w:val="single" w:sz="4" w:space="0" w:color="auto"/>
              <w:right w:val="nil"/>
            </w:tcBorders>
            <w:shd w:val="clear" w:color="auto" w:fill="F5F5F5" w:themeFill="background2"/>
            <w:vAlign w:val="center"/>
          </w:tcPr>
          <w:p w14:paraId="2BEB9644" w14:textId="0D72828C" w:rsidR="00DA535A" w:rsidRPr="00EA4879" w:rsidRDefault="003E2F5E" w:rsidP="000E4967">
            <w:pPr>
              <w:spacing w:before="40" w:after="40" w:line="240" w:lineRule="auto"/>
              <w:jc w:val="center"/>
              <w:rPr>
                <w:rFonts w:eastAsia="Times New Roman" w:cs="Arial"/>
                <w:sz w:val="20"/>
                <w:szCs w:val="20"/>
                <w:lang w:eastAsia="en-AU"/>
              </w:rPr>
            </w:pPr>
            <w:r>
              <w:rPr>
                <w:rFonts w:eastAsia="Times New Roman" w:cs="Arial"/>
                <w:sz w:val="20"/>
                <w:szCs w:val="20"/>
                <w:lang w:eastAsia="en-AU"/>
              </w:rPr>
              <w:t>N/A</w:t>
            </w:r>
          </w:p>
        </w:tc>
        <w:tc>
          <w:tcPr>
            <w:tcW w:w="850" w:type="dxa"/>
            <w:tcBorders>
              <w:top w:val="nil"/>
              <w:left w:val="nil"/>
              <w:bottom w:val="single" w:sz="4" w:space="0" w:color="auto"/>
              <w:right w:val="nil"/>
            </w:tcBorders>
            <w:shd w:val="clear" w:color="auto" w:fill="F5F5F5" w:themeFill="background2"/>
            <w:vAlign w:val="center"/>
            <w:hideMark/>
          </w:tcPr>
          <w:p w14:paraId="1426A220"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w:t>
            </w:r>
          </w:p>
        </w:tc>
        <w:tc>
          <w:tcPr>
            <w:tcW w:w="858" w:type="dxa"/>
            <w:tcBorders>
              <w:top w:val="nil"/>
              <w:left w:val="nil"/>
              <w:bottom w:val="single" w:sz="4" w:space="0" w:color="auto"/>
              <w:right w:val="nil"/>
            </w:tcBorders>
            <w:shd w:val="clear" w:color="auto" w:fill="F5F5F5" w:themeFill="background2"/>
            <w:vAlign w:val="center"/>
            <w:hideMark/>
          </w:tcPr>
          <w:p w14:paraId="29265282"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w:t>
            </w:r>
          </w:p>
        </w:tc>
        <w:tc>
          <w:tcPr>
            <w:tcW w:w="839" w:type="dxa"/>
            <w:tcBorders>
              <w:top w:val="nil"/>
              <w:left w:val="nil"/>
              <w:bottom w:val="single" w:sz="4" w:space="0" w:color="auto"/>
              <w:right w:val="nil"/>
            </w:tcBorders>
            <w:shd w:val="clear" w:color="auto" w:fill="F5F5F5" w:themeFill="background2"/>
            <w:vAlign w:val="center"/>
            <w:hideMark/>
          </w:tcPr>
          <w:p w14:paraId="3E381780"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w:t>
            </w:r>
          </w:p>
        </w:tc>
        <w:tc>
          <w:tcPr>
            <w:tcW w:w="827" w:type="dxa"/>
            <w:tcBorders>
              <w:top w:val="nil"/>
              <w:left w:val="nil"/>
              <w:bottom w:val="single" w:sz="4" w:space="0" w:color="auto"/>
              <w:right w:val="nil"/>
            </w:tcBorders>
            <w:shd w:val="clear" w:color="auto" w:fill="F5F5F5" w:themeFill="background2"/>
            <w:vAlign w:val="center"/>
            <w:hideMark/>
          </w:tcPr>
          <w:p w14:paraId="08EA4DEA"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w:t>
            </w:r>
          </w:p>
        </w:tc>
        <w:tc>
          <w:tcPr>
            <w:tcW w:w="740" w:type="dxa"/>
            <w:tcBorders>
              <w:top w:val="nil"/>
              <w:left w:val="nil"/>
              <w:bottom w:val="single" w:sz="4" w:space="0" w:color="auto"/>
              <w:right w:val="nil"/>
            </w:tcBorders>
            <w:shd w:val="clear" w:color="auto" w:fill="F5F5F5" w:themeFill="background2"/>
            <w:vAlign w:val="center"/>
            <w:hideMark/>
          </w:tcPr>
          <w:p w14:paraId="1FBBB744" w14:textId="77777777" w:rsidR="00DA535A" w:rsidRPr="00ED2D2B" w:rsidRDefault="00DA535A" w:rsidP="000E4967">
            <w:pPr>
              <w:spacing w:before="40" w:after="40" w:line="240" w:lineRule="auto"/>
              <w:jc w:val="center"/>
              <w:rPr>
                <w:rFonts w:eastAsia="Times New Roman" w:cs="Arial"/>
                <w:color w:val="000000"/>
                <w:sz w:val="20"/>
                <w:szCs w:val="20"/>
                <w:lang w:eastAsia="en-AU"/>
              </w:rPr>
            </w:pPr>
            <w:r w:rsidRPr="00ED2D2B">
              <w:rPr>
                <w:rFonts w:eastAsia="Times New Roman" w:cs="Arial"/>
                <w:sz w:val="20"/>
                <w:szCs w:val="20"/>
                <w:lang w:eastAsia="en-AU"/>
              </w:rPr>
              <w:t>100%</w:t>
            </w:r>
          </w:p>
        </w:tc>
      </w:tr>
    </w:tbl>
    <w:p w14:paraId="18063F5F" w14:textId="77777777" w:rsidR="00F62532" w:rsidRDefault="00F62532">
      <w:r>
        <w:br w:type="page"/>
      </w:r>
    </w:p>
    <w:tbl>
      <w:tblPr>
        <w:tblW w:w="14185" w:type="dxa"/>
        <w:tblInd w:w="-993" w:type="dxa"/>
        <w:tblLook w:val="04A0" w:firstRow="1" w:lastRow="0" w:firstColumn="1" w:lastColumn="0" w:noHBand="0" w:noVBand="1"/>
      </w:tblPr>
      <w:tblGrid>
        <w:gridCol w:w="1317"/>
        <w:gridCol w:w="1555"/>
        <w:gridCol w:w="1556"/>
        <w:gridCol w:w="2962"/>
        <w:gridCol w:w="849"/>
        <w:gridCol w:w="848"/>
        <w:gridCol w:w="849"/>
        <w:gridCol w:w="848"/>
        <w:gridCol w:w="849"/>
        <w:gridCol w:w="811"/>
        <w:gridCol w:w="873"/>
        <w:gridCol w:w="868"/>
      </w:tblGrid>
      <w:tr w:rsidR="00FA422B" w:rsidRPr="00990A88" w14:paraId="7506FE07" w14:textId="77777777" w:rsidTr="004377C5">
        <w:trPr>
          <w:trHeight w:val="296"/>
        </w:trPr>
        <w:tc>
          <w:tcPr>
            <w:tcW w:w="1317" w:type="dxa"/>
            <w:tcBorders>
              <w:top w:val="nil"/>
              <w:left w:val="nil"/>
              <w:bottom w:val="nil"/>
              <w:right w:val="nil"/>
            </w:tcBorders>
            <w:shd w:val="clear" w:color="auto" w:fill="70CBD0"/>
            <w:vAlign w:val="center"/>
          </w:tcPr>
          <w:p w14:paraId="528D9BDE" w14:textId="75400979" w:rsidR="004438E7" w:rsidRPr="00C33511" w:rsidRDefault="004438E7" w:rsidP="004438E7">
            <w:pPr>
              <w:spacing w:after="0" w:line="240" w:lineRule="auto"/>
              <w:rPr>
                <w:rFonts w:eastAsia="Times New Roman" w:cs="Arial"/>
                <w:b/>
                <w:bCs/>
                <w:color w:val="000000" w:themeColor="text1"/>
                <w:sz w:val="20"/>
                <w:szCs w:val="20"/>
                <w:lang w:eastAsia="en-AU"/>
              </w:rPr>
            </w:pPr>
            <w:r w:rsidRPr="00C33511">
              <w:rPr>
                <w:rFonts w:eastAsia="Times New Roman" w:cs="Arial"/>
                <w:b/>
                <w:bCs/>
                <w:color w:val="FFFFFF" w:themeColor="background1"/>
                <w:sz w:val="20"/>
                <w:szCs w:val="20"/>
                <w:lang w:eastAsia="en-AU"/>
              </w:rPr>
              <w:t>Customers </w:t>
            </w:r>
          </w:p>
        </w:tc>
        <w:tc>
          <w:tcPr>
            <w:tcW w:w="1555" w:type="dxa"/>
            <w:tcBorders>
              <w:top w:val="nil"/>
              <w:left w:val="nil"/>
              <w:bottom w:val="nil"/>
              <w:right w:val="nil"/>
            </w:tcBorders>
            <w:shd w:val="clear" w:color="auto" w:fill="70CBD0"/>
            <w:vAlign w:val="center"/>
          </w:tcPr>
          <w:p w14:paraId="1DA18398" w14:textId="34B84D63" w:rsidR="004438E7" w:rsidRPr="00C33511" w:rsidRDefault="004438E7" w:rsidP="004438E7">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Output </w:t>
            </w:r>
          </w:p>
        </w:tc>
        <w:tc>
          <w:tcPr>
            <w:tcW w:w="1556" w:type="dxa"/>
            <w:tcBorders>
              <w:top w:val="nil"/>
              <w:left w:val="nil"/>
              <w:bottom w:val="nil"/>
              <w:right w:val="nil"/>
            </w:tcBorders>
            <w:shd w:val="clear" w:color="auto" w:fill="70CBD0"/>
            <w:vAlign w:val="center"/>
          </w:tcPr>
          <w:p w14:paraId="58421FEE" w14:textId="1D7D8E22" w:rsidR="004438E7" w:rsidRPr="00C33511" w:rsidRDefault="004438E7" w:rsidP="004438E7">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Why </w:t>
            </w:r>
          </w:p>
        </w:tc>
        <w:tc>
          <w:tcPr>
            <w:tcW w:w="2962" w:type="dxa"/>
            <w:tcBorders>
              <w:top w:val="nil"/>
              <w:left w:val="nil"/>
              <w:bottom w:val="nil"/>
              <w:right w:val="nil"/>
            </w:tcBorders>
            <w:shd w:val="clear" w:color="auto" w:fill="70CBD0"/>
            <w:vAlign w:val="center"/>
          </w:tcPr>
          <w:p w14:paraId="7BCFD2C3" w14:textId="74C2668B" w:rsidR="004438E7" w:rsidRPr="00C33511" w:rsidRDefault="004438E7" w:rsidP="004438E7">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Measure </w:t>
            </w:r>
          </w:p>
        </w:tc>
        <w:tc>
          <w:tcPr>
            <w:tcW w:w="849" w:type="dxa"/>
            <w:tcBorders>
              <w:top w:val="nil"/>
              <w:left w:val="nil"/>
              <w:bottom w:val="nil"/>
              <w:right w:val="nil"/>
            </w:tcBorders>
            <w:shd w:val="clear" w:color="auto" w:fill="70CBD0"/>
            <w:vAlign w:val="center"/>
          </w:tcPr>
          <w:p w14:paraId="6ED572DB" w14:textId="60E4EB8A"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20-21</w:t>
            </w:r>
          </w:p>
        </w:tc>
        <w:tc>
          <w:tcPr>
            <w:tcW w:w="848" w:type="dxa"/>
            <w:tcBorders>
              <w:top w:val="nil"/>
              <w:left w:val="nil"/>
              <w:bottom w:val="nil"/>
              <w:right w:val="nil"/>
            </w:tcBorders>
            <w:shd w:val="clear" w:color="auto" w:fill="70CBD0"/>
            <w:vAlign w:val="center"/>
          </w:tcPr>
          <w:p w14:paraId="0DA42AAE" w14:textId="492CEF83"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21-22 </w:t>
            </w:r>
          </w:p>
        </w:tc>
        <w:tc>
          <w:tcPr>
            <w:tcW w:w="849" w:type="dxa"/>
            <w:tcBorders>
              <w:top w:val="nil"/>
              <w:left w:val="nil"/>
              <w:bottom w:val="nil"/>
              <w:right w:val="nil"/>
            </w:tcBorders>
            <w:shd w:val="clear" w:color="auto" w:fill="70CBD0"/>
            <w:vAlign w:val="center"/>
          </w:tcPr>
          <w:p w14:paraId="6E061712" w14:textId="5BED6162"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22-23</w:t>
            </w:r>
          </w:p>
        </w:tc>
        <w:tc>
          <w:tcPr>
            <w:tcW w:w="848" w:type="dxa"/>
            <w:tcBorders>
              <w:top w:val="nil"/>
              <w:left w:val="nil"/>
              <w:bottom w:val="nil"/>
              <w:right w:val="nil"/>
            </w:tcBorders>
            <w:shd w:val="clear" w:color="auto" w:fill="70CBD0"/>
            <w:vAlign w:val="center"/>
          </w:tcPr>
          <w:p w14:paraId="7AB000C7" w14:textId="3CBDE2EA"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23-24 </w:t>
            </w:r>
          </w:p>
        </w:tc>
        <w:tc>
          <w:tcPr>
            <w:tcW w:w="849" w:type="dxa"/>
            <w:tcBorders>
              <w:top w:val="nil"/>
              <w:left w:val="nil"/>
              <w:bottom w:val="nil"/>
              <w:right w:val="nil"/>
            </w:tcBorders>
            <w:shd w:val="clear" w:color="auto" w:fill="70CBD0"/>
            <w:vAlign w:val="center"/>
          </w:tcPr>
          <w:p w14:paraId="4D1ABA38" w14:textId="5BB6FD94"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24-25 </w:t>
            </w:r>
          </w:p>
        </w:tc>
        <w:tc>
          <w:tcPr>
            <w:tcW w:w="811" w:type="dxa"/>
            <w:tcBorders>
              <w:top w:val="nil"/>
              <w:left w:val="nil"/>
              <w:bottom w:val="nil"/>
              <w:right w:val="nil"/>
            </w:tcBorders>
            <w:shd w:val="clear" w:color="auto" w:fill="70CBD0"/>
            <w:vAlign w:val="center"/>
          </w:tcPr>
          <w:p w14:paraId="1566CDCA" w14:textId="162AF70D"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25-26 </w:t>
            </w:r>
          </w:p>
        </w:tc>
        <w:tc>
          <w:tcPr>
            <w:tcW w:w="873" w:type="dxa"/>
            <w:tcBorders>
              <w:top w:val="nil"/>
              <w:left w:val="nil"/>
              <w:bottom w:val="nil"/>
              <w:right w:val="nil"/>
            </w:tcBorders>
            <w:shd w:val="clear" w:color="auto" w:fill="70CBD0"/>
            <w:vAlign w:val="center"/>
          </w:tcPr>
          <w:p w14:paraId="23F170E3" w14:textId="095470DD"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26-27 </w:t>
            </w:r>
          </w:p>
        </w:tc>
        <w:tc>
          <w:tcPr>
            <w:tcW w:w="868" w:type="dxa"/>
            <w:tcBorders>
              <w:top w:val="nil"/>
              <w:left w:val="nil"/>
              <w:bottom w:val="nil"/>
              <w:right w:val="nil"/>
            </w:tcBorders>
            <w:shd w:val="clear" w:color="auto" w:fill="70CBD0"/>
            <w:vAlign w:val="center"/>
          </w:tcPr>
          <w:p w14:paraId="00847847" w14:textId="077A782D" w:rsidR="004438E7" w:rsidRPr="00C33511" w:rsidRDefault="004438E7" w:rsidP="004438E7">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27-28</w:t>
            </w:r>
          </w:p>
        </w:tc>
      </w:tr>
      <w:tr w:rsidR="00C01DCE" w:rsidRPr="00990A88" w14:paraId="3D38D654" w14:textId="77777777" w:rsidTr="000E4967">
        <w:trPr>
          <w:trHeight w:val="81"/>
        </w:trPr>
        <w:tc>
          <w:tcPr>
            <w:tcW w:w="1317" w:type="dxa"/>
            <w:tcBorders>
              <w:top w:val="nil"/>
              <w:left w:val="nil"/>
              <w:bottom w:val="nil"/>
              <w:right w:val="nil"/>
            </w:tcBorders>
            <w:shd w:val="clear" w:color="auto" w:fill="F2F2F2" w:themeFill="background1" w:themeFillShade="F2"/>
            <w:vAlign w:val="center"/>
          </w:tcPr>
          <w:p w14:paraId="6BF1253C" w14:textId="77777777" w:rsidR="004438E7" w:rsidRPr="00990A88" w:rsidRDefault="004438E7" w:rsidP="004438E7">
            <w:pPr>
              <w:spacing w:after="0" w:line="240" w:lineRule="auto"/>
              <w:rPr>
                <w:rFonts w:eastAsia="Times New Roman" w:cs="Arial"/>
                <w:b/>
                <w:bCs/>
                <w:color w:val="000000" w:themeColor="text1"/>
                <w:sz w:val="20"/>
                <w:szCs w:val="20"/>
                <w:lang w:eastAsia="en-AU"/>
              </w:rPr>
            </w:pPr>
          </w:p>
        </w:tc>
        <w:tc>
          <w:tcPr>
            <w:tcW w:w="1555" w:type="dxa"/>
            <w:tcBorders>
              <w:top w:val="nil"/>
              <w:left w:val="nil"/>
              <w:bottom w:val="nil"/>
              <w:right w:val="nil"/>
            </w:tcBorders>
            <w:shd w:val="clear" w:color="auto" w:fill="F2F2F2" w:themeFill="background1" w:themeFillShade="F2"/>
            <w:vAlign w:val="center"/>
          </w:tcPr>
          <w:p w14:paraId="1D2E50E1" w14:textId="77777777" w:rsidR="004438E7" w:rsidRPr="00990A88" w:rsidRDefault="004438E7" w:rsidP="004438E7">
            <w:pPr>
              <w:spacing w:after="0" w:line="240" w:lineRule="auto"/>
              <w:rPr>
                <w:rFonts w:eastAsia="Times New Roman" w:cs="Arial"/>
                <w:color w:val="000000"/>
                <w:sz w:val="20"/>
                <w:szCs w:val="20"/>
                <w:lang w:eastAsia="en-AU"/>
              </w:rPr>
            </w:pPr>
          </w:p>
        </w:tc>
        <w:tc>
          <w:tcPr>
            <w:tcW w:w="1556" w:type="dxa"/>
            <w:tcBorders>
              <w:top w:val="nil"/>
              <w:left w:val="nil"/>
              <w:bottom w:val="nil"/>
              <w:right w:val="nil"/>
            </w:tcBorders>
            <w:shd w:val="clear" w:color="auto" w:fill="F2F2F2" w:themeFill="background1" w:themeFillShade="F2"/>
            <w:vAlign w:val="center"/>
          </w:tcPr>
          <w:p w14:paraId="14E198BD" w14:textId="77777777" w:rsidR="004438E7" w:rsidRPr="00990A88" w:rsidRDefault="004438E7" w:rsidP="004438E7">
            <w:pPr>
              <w:spacing w:after="0" w:line="240" w:lineRule="auto"/>
              <w:rPr>
                <w:rFonts w:eastAsia="Times New Roman" w:cs="Arial"/>
                <w:color w:val="000000"/>
                <w:sz w:val="20"/>
                <w:szCs w:val="20"/>
                <w:lang w:eastAsia="en-AU"/>
              </w:rPr>
            </w:pPr>
          </w:p>
        </w:tc>
        <w:tc>
          <w:tcPr>
            <w:tcW w:w="2962" w:type="dxa"/>
            <w:tcBorders>
              <w:top w:val="nil"/>
              <w:left w:val="nil"/>
              <w:bottom w:val="nil"/>
              <w:right w:val="nil"/>
            </w:tcBorders>
            <w:shd w:val="clear" w:color="auto" w:fill="F2F2F2" w:themeFill="background1" w:themeFillShade="F2"/>
            <w:vAlign w:val="center"/>
          </w:tcPr>
          <w:p w14:paraId="2DAD4BB3" w14:textId="77777777" w:rsidR="004438E7" w:rsidRPr="00990A88" w:rsidRDefault="004438E7" w:rsidP="004438E7">
            <w:pPr>
              <w:spacing w:after="0" w:line="240" w:lineRule="auto"/>
              <w:rPr>
                <w:rFonts w:eastAsia="Times New Roman" w:cs="Arial"/>
                <w:color w:val="000000"/>
                <w:sz w:val="20"/>
                <w:szCs w:val="20"/>
                <w:lang w:eastAsia="en-AU"/>
              </w:rPr>
            </w:pPr>
          </w:p>
        </w:tc>
        <w:tc>
          <w:tcPr>
            <w:tcW w:w="2546" w:type="dxa"/>
            <w:gridSpan w:val="3"/>
            <w:tcBorders>
              <w:top w:val="nil"/>
              <w:left w:val="nil"/>
              <w:bottom w:val="nil"/>
              <w:right w:val="nil"/>
            </w:tcBorders>
            <w:shd w:val="clear" w:color="auto" w:fill="F2F2F2" w:themeFill="background1" w:themeFillShade="F2"/>
            <w:vAlign w:val="center"/>
          </w:tcPr>
          <w:p w14:paraId="42E87F22" w14:textId="1A7C0F58" w:rsidR="004438E7" w:rsidRPr="00990A88" w:rsidRDefault="004438E7" w:rsidP="004438E7">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18</w:t>
            </w:r>
          </w:p>
        </w:tc>
        <w:tc>
          <w:tcPr>
            <w:tcW w:w="4249" w:type="dxa"/>
            <w:gridSpan w:val="5"/>
            <w:tcBorders>
              <w:top w:val="nil"/>
              <w:left w:val="nil"/>
              <w:bottom w:val="nil"/>
              <w:right w:val="nil"/>
            </w:tcBorders>
            <w:shd w:val="clear" w:color="auto" w:fill="F2F2F2" w:themeFill="background1" w:themeFillShade="F2"/>
            <w:vAlign w:val="center"/>
          </w:tcPr>
          <w:p w14:paraId="6458C98B" w14:textId="7BF86AA0" w:rsidR="004438E7" w:rsidRPr="00990A88" w:rsidRDefault="004438E7" w:rsidP="004438E7">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23</w:t>
            </w:r>
          </w:p>
        </w:tc>
      </w:tr>
      <w:tr w:rsidR="00E41596" w:rsidRPr="00990A88" w14:paraId="35DCD805" w14:textId="77777777" w:rsidTr="000E4967">
        <w:trPr>
          <w:trHeight w:val="190"/>
        </w:trPr>
        <w:tc>
          <w:tcPr>
            <w:tcW w:w="14185" w:type="dxa"/>
            <w:gridSpan w:val="12"/>
            <w:tcBorders>
              <w:top w:val="nil"/>
              <w:left w:val="nil"/>
              <w:bottom w:val="nil"/>
              <w:right w:val="nil"/>
            </w:tcBorders>
            <w:shd w:val="clear" w:color="auto" w:fill="F2F2F2" w:themeFill="background1" w:themeFillShade="F2"/>
            <w:vAlign w:val="center"/>
            <w:hideMark/>
          </w:tcPr>
          <w:p w14:paraId="11F31798" w14:textId="12CA8DC4" w:rsidR="00E41596" w:rsidRPr="00E41596" w:rsidRDefault="00E41596" w:rsidP="00E41596">
            <w:pPr>
              <w:spacing w:after="0" w:line="240" w:lineRule="auto"/>
              <w:rPr>
                <w:rFonts w:eastAsia="Times New Roman" w:cs="Arial"/>
                <w:b/>
                <w:bCs/>
                <w:color w:val="000000"/>
                <w:sz w:val="20"/>
                <w:szCs w:val="20"/>
                <w:lang w:eastAsia="en-AU"/>
              </w:rPr>
            </w:pPr>
            <w:r w:rsidRPr="00990A88">
              <w:rPr>
                <w:rFonts w:eastAsia="Times New Roman" w:cs="Arial"/>
                <w:b/>
                <w:bCs/>
                <w:color w:val="000000" w:themeColor="text1"/>
                <w:sz w:val="20"/>
                <w:szCs w:val="20"/>
                <w:lang w:eastAsia="en-AU"/>
              </w:rPr>
              <w:t>Great service</w:t>
            </w:r>
          </w:p>
        </w:tc>
      </w:tr>
      <w:tr w:rsidR="00382F5F" w:rsidRPr="00990A88" w14:paraId="04CE8830" w14:textId="77777777" w:rsidTr="004377C5">
        <w:trPr>
          <w:trHeight w:val="500"/>
        </w:trPr>
        <w:tc>
          <w:tcPr>
            <w:tcW w:w="1317" w:type="dxa"/>
            <w:tcBorders>
              <w:top w:val="nil"/>
              <w:left w:val="nil"/>
              <w:bottom w:val="nil"/>
              <w:right w:val="nil"/>
            </w:tcBorders>
            <w:shd w:val="clear" w:color="auto" w:fill="auto"/>
            <w:vAlign w:val="center"/>
            <w:hideMark/>
          </w:tcPr>
          <w:p w14:paraId="73F92084"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All </w:t>
            </w:r>
          </w:p>
        </w:tc>
        <w:tc>
          <w:tcPr>
            <w:tcW w:w="1555" w:type="dxa"/>
            <w:tcBorders>
              <w:top w:val="nil"/>
              <w:left w:val="nil"/>
              <w:bottom w:val="nil"/>
              <w:right w:val="nil"/>
            </w:tcBorders>
            <w:shd w:val="clear" w:color="auto" w:fill="auto"/>
            <w:vAlign w:val="center"/>
            <w:hideMark/>
          </w:tcPr>
          <w:p w14:paraId="376156C6"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Customer complaints </w:t>
            </w:r>
          </w:p>
        </w:tc>
        <w:tc>
          <w:tcPr>
            <w:tcW w:w="1556" w:type="dxa"/>
            <w:tcBorders>
              <w:top w:val="nil"/>
              <w:left w:val="nil"/>
              <w:bottom w:val="nil"/>
              <w:right w:val="nil"/>
            </w:tcBorders>
            <w:shd w:val="clear" w:color="auto" w:fill="auto"/>
            <w:vAlign w:val="center"/>
            <w:hideMark/>
          </w:tcPr>
          <w:p w14:paraId="2C4AB648"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We want satisfied customers </w:t>
            </w:r>
          </w:p>
        </w:tc>
        <w:tc>
          <w:tcPr>
            <w:tcW w:w="2962" w:type="dxa"/>
            <w:tcBorders>
              <w:top w:val="nil"/>
              <w:left w:val="nil"/>
              <w:bottom w:val="nil"/>
              <w:right w:val="nil"/>
            </w:tcBorders>
            <w:shd w:val="clear" w:color="auto" w:fill="auto"/>
            <w:vAlign w:val="center"/>
            <w:hideMark/>
          </w:tcPr>
          <w:p w14:paraId="493FC584" w14:textId="3C345084"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Number of complaints per </w:t>
            </w:r>
            <w:r w:rsidR="00990A88" w:rsidRPr="00990A88">
              <w:rPr>
                <w:rFonts w:eastAsia="Times New Roman" w:cs="Arial"/>
                <w:color w:val="000000"/>
                <w:sz w:val="20"/>
                <w:szCs w:val="20"/>
                <w:lang w:eastAsia="en-AU"/>
              </w:rPr>
              <w:t>1</w:t>
            </w:r>
            <w:r w:rsidR="00DF468A">
              <w:rPr>
                <w:rFonts w:eastAsia="Times New Roman" w:cs="Arial"/>
                <w:color w:val="000000"/>
                <w:sz w:val="20"/>
                <w:szCs w:val="20"/>
                <w:lang w:eastAsia="en-AU"/>
              </w:rPr>
              <w:t>,</w:t>
            </w:r>
            <w:r w:rsidR="00990A88" w:rsidRPr="00990A88">
              <w:rPr>
                <w:rFonts w:eastAsia="Times New Roman" w:cs="Arial"/>
                <w:color w:val="000000"/>
                <w:sz w:val="20"/>
                <w:szCs w:val="20"/>
                <w:lang w:eastAsia="en-AU"/>
              </w:rPr>
              <w:t>000</w:t>
            </w:r>
            <w:r w:rsidRPr="00990A88">
              <w:rPr>
                <w:rFonts w:eastAsia="Times New Roman" w:cs="Arial"/>
                <w:color w:val="000000"/>
                <w:sz w:val="20"/>
                <w:szCs w:val="20"/>
                <w:lang w:eastAsia="en-AU"/>
              </w:rPr>
              <w:t xml:space="preserve"> customers </w:t>
            </w:r>
          </w:p>
        </w:tc>
        <w:tc>
          <w:tcPr>
            <w:tcW w:w="849" w:type="dxa"/>
            <w:tcBorders>
              <w:top w:val="nil"/>
              <w:left w:val="nil"/>
              <w:bottom w:val="nil"/>
              <w:right w:val="nil"/>
            </w:tcBorders>
            <w:shd w:val="clear" w:color="auto" w:fill="auto"/>
            <w:vAlign w:val="center"/>
            <w:hideMark/>
          </w:tcPr>
          <w:p w14:paraId="2E893F3B" w14:textId="5EC3665D"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624B91F3" w14:textId="093AEC4F" w:rsidR="00DA535A" w:rsidRPr="00990A88" w:rsidRDefault="00DA535A" w:rsidP="000E4967">
            <w:pPr>
              <w:spacing w:before="40" w:after="40" w:line="240" w:lineRule="auto"/>
              <w:jc w:val="center"/>
              <w:rPr>
                <w:rFonts w:ascii="Times New Roman" w:eastAsia="Times New Roman" w:hAnsi="Times New Roman" w:cs="Times New Roman"/>
                <w:sz w:val="20"/>
                <w:szCs w:val="20"/>
                <w:lang w:eastAsia="en-AU"/>
              </w:rPr>
            </w:pPr>
            <w:r w:rsidRPr="00AE7814">
              <w:rPr>
                <w:rFonts w:eastAsia="Times New Roman" w:cs="Arial"/>
                <w:color w:val="000000"/>
                <w:sz w:val="20"/>
                <w:szCs w:val="20"/>
                <w:lang w:eastAsia="en-AU"/>
              </w:rPr>
              <w:t>N/A</w:t>
            </w:r>
          </w:p>
        </w:tc>
        <w:tc>
          <w:tcPr>
            <w:tcW w:w="849" w:type="dxa"/>
            <w:tcBorders>
              <w:top w:val="nil"/>
              <w:left w:val="nil"/>
              <w:bottom w:val="nil"/>
              <w:right w:val="nil"/>
            </w:tcBorders>
            <w:vAlign w:val="center"/>
          </w:tcPr>
          <w:p w14:paraId="663DE842" w14:textId="028AF6DF" w:rsidR="00DA535A" w:rsidRPr="00990A88" w:rsidRDefault="004776B4"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082AF71D" w14:textId="2844BC88" w:rsidR="00DA535A" w:rsidRPr="00C33511" w:rsidRDefault="00DA535A" w:rsidP="000E4967">
            <w:pPr>
              <w:spacing w:before="40" w:after="40" w:line="240" w:lineRule="auto"/>
              <w:jc w:val="center"/>
              <w:rPr>
                <w:rFonts w:eastAsia="Times New Roman" w:cs="Arial"/>
                <w:b/>
                <w:bCs/>
                <w:color w:val="000000"/>
                <w:sz w:val="20"/>
                <w:szCs w:val="20"/>
                <w:lang w:eastAsia="en-AU"/>
              </w:rPr>
            </w:pPr>
            <w:r w:rsidRPr="00C33511">
              <w:rPr>
                <w:rFonts w:eastAsia="Times New Roman" w:cs="Arial"/>
                <w:b/>
                <w:bCs/>
                <w:color w:val="000000"/>
                <w:sz w:val="20"/>
                <w:szCs w:val="20"/>
                <w:lang w:eastAsia="en-AU"/>
              </w:rPr>
              <w:t>&lt;2</w:t>
            </w:r>
          </w:p>
        </w:tc>
        <w:tc>
          <w:tcPr>
            <w:tcW w:w="849" w:type="dxa"/>
            <w:tcBorders>
              <w:top w:val="nil"/>
              <w:left w:val="nil"/>
              <w:bottom w:val="nil"/>
              <w:right w:val="nil"/>
            </w:tcBorders>
            <w:shd w:val="clear" w:color="auto" w:fill="auto"/>
            <w:vAlign w:val="center"/>
            <w:hideMark/>
          </w:tcPr>
          <w:p w14:paraId="7356D339" w14:textId="70017BB4" w:rsidR="00DA535A" w:rsidRPr="00C33511" w:rsidRDefault="00DA535A" w:rsidP="000E4967">
            <w:pPr>
              <w:spacing w:before="40" w:after="40" w:line="240" w:lineRule="auto"/>
              <w:jc w:val="center"/>
              <w:rPr>
                <w:rFonts w:eastAsia="Times New Roman" w:cs="Arial"/>
                <w:b/>
                <w:bCs/>
                <w:color w:val="000000"/>
                <w:sz w:val="20"/>
                <w:szCs w:val="20"/>
                <w:lang w:eastAsia="en-AU"/>
              </w:rPr>
            </w:pPr>
            <w:r w:rsidRPr="00C33511">
              <w:rPr>
                <w:rFonts w:eastAsia="Times New Roman" w:cs="Arial"/>
                <w:b/>
                <w:bCs/>
                <w:color w:val="000000"/>
                <w:sz w:val="20"/>
                <w:szCs w:val="20"/>
                <w:lang w:eastAsia="en-AU"/>
              </w:rPr>
              <w:t>&lt;2</w:t>
            </w:r>
          </w:p>
        </w:tc>
        <w:tc>
          <w:tcPr>
            <w:tcW w:w="811" w:type="dxa"/>
            <w:tcBorders>
              <w:top w:val="nil"/>
              <w:left w:val="nil"/>
              <w:bottom w:val="nil"/>
              <w:right w:val="nil"/>
            </w:tcBorders>
            <w:shd w:val="clear" w:color="auto" w:fill="auto"/>
            <w:vAlign w:val="center"/>
            <w:hideMark/>
          </w:tcPr>
          <w:p w14:paraId="64F21AAE" w14:textId="03F3A17B" w:rsidR="00DA535A" w:rsidRPr="00C33511" w:rsidRDefault="00DA535A" w:rsidP="000E4967">
            <w:pPr>
              <w:spacing w:before="40" w:after="40" w:line="240" w:lineRule="auto"/>
              <w:jc w:val="center"/>
              <w:rPr>
                <w:rFonts w:eastAsia="Times New Roman" w:cs="Arial"/>
                <w:b/>
                <w:bCs/>
                <w:color w:val="000000"/>
                <w:sz w:val="20"/>
                <w:szCs w:val="20"/>
                <w:lang w:eastAsia="en-AU"/>
              </w:rPr>
            </w:pPr>
            <w:r w:rsidRPr="00C33511">
              <w:rPr>
                <w:rFonts w:eastAsia="Times New Roman" w:cs="Arial"/>
                <w:b/>
                <w:bCs/>
                <w:color w:val="000000"/>
                <w:sz w:val="20"/>
                <w:szCs w:val="20"/>
                <w:lang w:eastAsia="en-AU"/>
              </w:rPr>
              <w:t>&lt;2</w:t>
            </w:r>
          </w:p>
        </w:tc>
        <w:tc>
          <w:tcPr>
            <w:tcW w:w="873" w:type="dxa"/>
            <w:tcBorders>
              <w:top w:val="nil"/>
              <w:left w:val="nil"/>
              <w:bottom w:val="nil"/>
              <w:right w:val="nil"/>
            </w:tcBorders>
            <w:shd w:val="clear" w:color="auto" w:fill="auto"/>
            <w:vAlign w:val="center"/>
            <w:hideMark/>
          </w:tcPr>
          <w:p w14:paraId="36F6717C" w14:textId="34868D2D" w:rsidR="00DA535A" w:rsidRPr="00C33511" w:rsidRDefault="00DA535A" w:rsidP="000E4967">
            <w:pPr>
              <w:spacing w:before="40" w:after="40" w:line="240" w:lineRule="auto"/>
              <w:jc w:val="center"/>
              <w:rPr>
                <w:rFonts w:eastAsia="Times New Roman" w:cs="Arial"/>
                <w:b/>
                <w:bCs/>
                <w:color w:val="000000"/>
                <w:sz w:val="20"/>
                <w:szCs w:val="20"/>
                <w:lang w:eastAsia="en-AU"/>
              </w:rPr>
            </w:pPr>
            <w:r w:rsidRPr="00C33511">
              <w:rPr>
                <w:rFonts w:eastAsia="Times New Roman" w:cs="Arial"/>
                <w:b/>
                <w:bCs/>
                <w:color w:val="000000"/>
                <w:sz w:val="20"/>
                <w:szCs w:val="20"/>
                <w:lang w:eastAsia="en-AU"/>
              </w:rPr>
              <w:t>&lt;1</w:t>
            </w:r>
          </w:p>
        </w:tc>
        <w:tc>
          <w:tcPr>
            <w:tcW w:w="868" w:type="dxa"/>
            <w:tcBorders>
              <w:top w:val="nil"/>
              <w:left w:val="nil"/>
              <w:bottom w:val="nil"/>
              <w:right w:val="nil"/>
            </w:tcBorders>
            <w:shd w:val="clear" w:color="auto" w:fill="auto"/>
            <w:vAlign w:val="center"/>
            <w:hideMark/>
          </w:tcPr>
          <w:p w14:paraId="276C6795" w14:textId="28E2D89B" w:rsidR="00DA535A" w:rsidRPr="00C33511" w:rsidRDefault="00DA535A" w:rsidP="000E4967">
            <w:pPr>
              <w:spacing w:before="40" w:after="40" w:line="240" w:lineRule="auto"/>
              <w:jc w:val="center"/>
              <w:rPr>
                <w:rFonts w:eastAsia="Times New Roman" w:cs="Arial"/>
                <w:b/>
                <w:bCs/>
                <w:color w:val="000000"/>
                <w:sz w:val="20"/>
                <w:szCs w:val="20"/>
                <w:lang w:eastAsia="en-AU"/>
              </w:rPr>
            </w:pPr>
            <w:r w:rsidRPr="00C33511">
              <w:rPr>
                <w:rFonts w:eastAsia="Times New Roman" w:cs="Arial"/>
                <w:b/>
                <w:bCs/>
                <w:color w:val="000000"/>
                <w:sz w:val="20"/>
                <w:szCs w:val="20"/>
                <w:lang w:eastAsia="en-AU"/>
              </w:rPr>
              <w:t>&lt;1</w:t>
            </w:r>
          </w:p>
        </w:tc>
      </w:tr>
      <w:tr w:rsidR="00FA422B" w:rsidRPr="00990A88" w14:paraId="70A768ED" w14:textId="77777777" w:rsidTr="004377C5">
        <w:trPr>
          <w:trHeight w:val="750"/>
        </w:trPr>
        <w:tc>
          <w:tcPr>
            <w:tcW w:w="1317" w:type="dxa"/>
            <w:tcBorders>
              <w:top w:val="nil"/>
              <w:left w:val="nil"/>
              <w:bottom w:val="nil"/>
              <w:right w:val="nil"/>
            </w:tcBorders>
            <w:shd w:val="clear" w:color="auto" w:fill="F5F5F5" w:themeFill="background2"/>
            <w:vAlign w:val="center"/>
            <w:hideMark/>
          </w:tcPr>
          <w:p w14:paraId="66081658"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All </w:t>
            </w:r>
          </w:p>
        </w:tc>
        <w:tc>
          <w:tcPr>
            <w:tcW w:w="1555" w:type="dxa"/>
            <w:tcBorders>
              <w:top w:val="nil"/>
              <w:left w:val="nil"/>
              <w:bottom w:val="nil"/>
              <w:right w:val="nil"/>
            </w:tcBorders>
            <w:shd w:val="clear" w:color="auto" w:fill="F5F5F5" w:themeFill="background2"/>
            <w:vAlign w:val="center"/>
            <w:hideMark/>
          </w:tcPr>
          <w:p w14:paraId="5F4E2A33"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Complaints managed quickly </w:t>
            </w:r>
          </w:p>
        </w:tc>
        <w:tc>
          <w:tcPr>
            <w:tcW w:w="1556" w:type="dxa"/>
            <w:tcBorders>
              <w:top w:val="nil"/>
              <w:left w:val="nil"/>
              <w:bottom w:val="nil"/>
              <w:right w:val="nil"/>
            </w:tcBorders>
            <w:shd w:val="clear" w:color="auto" w:fill="F5F5F5" w:themeFill="background2"/>
            <w:vAlign w:val="center"/>
            <w:hideMark/>
          </w:tcPr>
          <w:p w14:paraId="54B5C68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Customers want a prompt and reliable service </w:t>
            </w:r>
          </w:p>
        </w:tc>
        <w:tc>
          <w:tcPr>
            <w:tcW w:w="2962" w:type="dxa"/>
            <w:tcBorders>
              <w:top w:val="nil"/>
              <w:left w:val="nil"/>
              <w:bottom w:val="nil"/>
              <w:right w:val="nil"/>
            </w:tcBorders>
            <w:shd w:val="clear" w:color="auto" w:fill="F5F5F5" w:themeFill="background2"/>
            <w:vAlign w:val="center"/>
            <w:hideMark/>
          </w:tcPr>
          <w:p w14:paraId="5C8D5D37"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 xml:space="preserve">Percentage of all complaints responded to within ten business days </w:t>
            </w:r>
          </w:p>
        </w:tc>
        <w:tc>
          <w:tcPr>
            <w:tcW w:w="849" w:type="dxa"/>
            <w:tcBorders>
              <w:top w:val="nil"/>
              <w:left w:val="nil"/>
              <w:bottom w:val="nil"/>
              <w:right w:val="nil"/>
            </w:tcBorders>
            <w:shd w:val="clear" w:color="auto" w:fill="F5F5F5" w:themeFill="background2"/>
            <w:vAlign w:val="center"/>
            <w:hideMark/>
          </w:tcPr>
          <w:p w14:paraId="363DE7B7" w14:textId="4754D74B"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F5F5F5" w:themeFill="background2"/>
            <w:vAlign w:val="center"/>
            <w:hideMark/>
          </w:tcPr>
          <w:p w14:paraId="7FEF1E0F" w14:textId="1CD42C51" w:rsidR="00DA535A" w:rsidRPr="00990A88" w:rsidRDefault="00DA535A" w:rsidP="000E4967">
            <w:pPr>
              <w:spacing w:before="40" w:after="40" w:line="240" w:lineRule="auto"/>
              <w:jc w:val="center"/>
              <w:rPr>
                <w:rFonts w:ascii="Times New Roman" w:eastAsia="Times New Roman" w:hAnsi="Times New Roman" w:cs="Times New Roman"/>
                <w:sz w:val="20"/>
                <w:szCs w:val="20"/>
                <w:lang w:eastAsia="en-AU"/>
              </w:rPr>
            </w:pPr>
            <w:r w:rsidRPr="00AE7814">
              <w:rPr>
                <w:rFonts w:eastAsia="Times New Roman" w:cs="Arial"/>
                <w:color w:val="000000"/>
                <w:sz w:val="20"/>
                <w:szCs w:val="20"/>
                <w:lang w:eastAsia="en-AU"/>
              </w:rPr>
              <w:t>N/A</w:t>
            </w:r>
          </w:p>
        </w:tc>
        <w:tc>
          <w:tcPr>
            <w:tcW w:w="849" w:type="dxa"/>
            <w:tcBorders>
              <w:top w:val="nil"/>
              <w:left w:val="nil"/>
              <w:bottom w:val="nil"/>
              <w:right w:val="nil"/>
            </w:tcBorders>
            <w:shd w:val="clear" w:color="auto" w:fill="F5F5F5" w:themeFill="background2"/>
            <w:vAlign w:val="center"/>
          </w:tcPr>
          <w:p w14:paraId="7FC8AB0A" w14:textId="76779D47" w:rsidR="00DA535A" w:rsidRPr="00990A88" w:rsidRDefault="004776B4" w:rsidP="000E4967">
            <w:pPr>
              <w:spacing w:before="40" w:after="40" w:line="240" w:lineRule="auto"/>
              <w:jc w:val="center"/>
              <w:rPr>
                <w:rFonts w:eastAsia="Times New Roman" w:cs="Arial"/>
                <w:color w:val="000000"/>
                <w:sz w:val="20"/>
                <w:szCs w:val="20"/>
                <w:lang w:eastAsia="en-AU"/>
              </w:rPr>
            </w:pPr>
            <w:r w:rsidRPr="00AE7814">
              <w:rPr>
                <w:rFonts w:eastAsia="Times New Roman" w:cs="Arial"/>
                <w:color w:val="000000"/>
                <w:sz w:val="20"/>
                <w:szCs w:val="20"/>
                <w:lang w:eastAsia="en-AU"/>
              </w:rPr>
              <w:t>N/A</w:t>
            </w:r>
          </w:p>
        </w:tc>
        <w:tc>
          <w:tcPr>
            <w:tcW w:w="848" w:type="dxa"/>
            <w:tcBorders>
              <w:top w:val="nil"/>
              <w:left w:val="nil"/>
              <w:bottom w:val="nil"/>
              <w:right w:val="nil"/>
            </w:tcBorders>
            <w:shd w:val="clear" w:color="auto" w:fill="F5F5F5" w:themeFill="background2"/>
            <w:vAlign w:val="center"/>
            <w:hideMark/>
          </w:tcPr>
          <w:p w14:paraId="136129B3" w14:textId="219C834F"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49" w:type="dxa"/>
            <w:tcBorders>
              <w:top w:val="nil"/>
              <w:left w:val="nil"/>
              <w:bottom w:val="nil"/>
              <w:right w:val="nil"/>
            </w:tcBorders>
            <w:shd w:val="clear" w:color="auto" w:fill="F5F5F5" w:themeFill="background2"/>
            <w:vAlign w:val="center"/>
            <w:hideMark/>
          </w:tcPr>
          <w:p w14:paraId="1189826F" w14:textId="0C662EBE"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11" w:type="dxa"/>
            <w:tcBorders>
              <w:top w:val="nil"/>
              <w:left w:val="nil"/>
              <w:bottom w:val="nil"/>
              <w:right w:val="nil"/>
            </w:tcBorders>
            <w:shd w:val="clear" w:color="auto" w:fill="F5F5F5" w:themeFill="background2"/>
            <w:vAlign w:val="center"/>
            <w:hideMark/>
          </w:tcPr>
          <w:p w14:paraId="635D9DF6" w14:textId="471BD59D"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73" w:type="dxa"/>
            <w:tcBorders>
              <w:top w:val="nil"/>
              <w:left w:val="nil"/>
              <w:bottom w:val="nil"/>
              <w:right w:val="nil"/>
            </w:tcBorders>
            <w:shd w:val="clear" w:color="auto" w:fill="F5F5F5" w:themeFill="background2"/>
            <w:vAlign w:val="center"/>
            <w:hideMark/>
          </w:tcPr>
          <w:p w14:paraId="1981C4B4" w14:textId="11DEB06B"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68" w:type="dxa"/>
            <w:tcBorders>
              <w:top w:val="nil"/>
              <w:left w:val="nil"/>
              <w:bottom w:val="nil"/>
              <w:right w:val="nil"/>
            </w:tcBorders>
            <w:shd w:val="clear" w:color="auto" w:fill="F5F5F5" w:themeFill="background2"/>
            <w:vAlign w:val="center"/>
            <w:hideMark/>
          </w:tcPr>
          <w:p w14:paraId="2263FB2B" w14:textId="2722BE2E"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r>
      <w:tr w:rsidR="00C01DCE" w:rsidRPr="00990A88" w14:paraId="18140BE7" w14:textId="77777777" w:rsidTr="005E754C">
        <w:trPr>
          <w:trHeight w:val="500"/>
        </w:trPr>
        <w:tc>
          <w:tcPr>
            <w:tcW w:w="1317" w:type="dxa"/>
            <w:vMerge w:val="restart"/>
            <w:tcBorders>
              <w:top w:val="nil"/>
              <w:left w:val="nil"/>
              <w:right w:val="nil"/>
            </w:tcBorders>
            <w:shd w:val="clear" w:color="auto" w:fill="auto"/>
            <w:vAlign w:val="center"/>
            <w:hideMark/>
          </w:tcPr>
          <w:p w14:paraId="45D86D38" w14:textId="77777777" w:rsidR="00753774" w:rsidRPr="00990A88" w:rsidRDefault="00753774"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G&amp;R </w:t>
            </w:r>
          </w:p>
        </w:tc>
        <w:tc>
          <w:tcPr>
            <w:tcW w:w="1555" w:type="dxa"/>
            <w:vMerge w:val="restart"/>
            <w:tcBorders>
              <w:top w:val="nil"/>
              <w:left w:val="nil"/>
              <w:right w:val="nil"/>
            </w:tcBorders>
            <w:shd w:val="clear" w:color="auto" w:fill="auto"/>
            <w:vAlign w:val="center"/>
            <w:hideMark/>
          </w:tcPr>
          <w:p w14:paraId="1AE2D34B" w14:textId="77777777" w:rsidR="00753774" w:rsidRPr="00990A88" w:rsidRDefault="00753774"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Applications completed within set timeframes.</w:t>
            </w:r>
          </w:p>
        </w:tc>
        <w:tc>
          <w:tcPr>
            <w:tcW w:w="1556" w:type="dxa"/>
            <w:vMerge w:val="restart"/>
            <w:tcBorders>
              <w:top w:val="nil"/>
              <w:left w:val="nil"/>
              <w:right w:val="nil"/>
            </w:tcBorders>
            <w:shd w:val="clear" w:color="auto" w:fill="auto"/>
            <w:vAlign w:val="center"/>
            <w:hideMark/>
          </w:tcPr>
          <w:p w14:paraId="0AD0957A" w14:textId="77777777" w:rsidR="00753774" w:rsidRPr="00990A88" w:rsidRDefault="00753774"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Customers want a prompt and reliable service. (MRD requirement)</w:t>
            </w:r>
          </w:p>
        </w:tc>
        <w:tc>
          <w:tcPr>
            <w:tcW w:w="2962" w:type="dxa"/>
            <w:tcBorders>
              <w:top w:val="nil"/>
              <w:left w:val="nil"/>
              <w:bottom w:val="nil"/>
              <w:right w:val="nil"/>
            </w:tcBorders>
            <w:shd w:val="clear" w:color="auto" w:fill="auto"/>
            <w:vAlign w:val="center"/>
            <w:hideMark/>
          </w:tcPr>
          <w:p w14:paraId="7F0329C1" w14:textId="77777777" w:rsidR="00753774" w:rsidRPr="00990A88" w:rsidRDefault="00753774"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Applications that do not require public notification completed within: </w:t>
            </w:r>
          </w:p>
        </w:tc>
        <w:tc>
          <w:tcPr>
            <w:tcW w:w="849" w:type="dxa"/>
            <w:vMerge w:val="restart"/>
            <w:tcBorders>
              <w:top w:val="nil"/>
              <w:left w:val="nil"/>
              <w:right w:val="nil"/>
            </w:tcBorders>
            <w:shd w:val="clear" w:color="auto" w:fill="auto"/>
            <w:vAlign w:val="center"/>
            <w:hideMark/>
          </w:tcPr>
          <w:p w14:paraId="3765D969" w14:textId="6FE05C67" w:rsidR="00753774" w:rsidRPr="00990A88" w:rsidRDefault="00753774"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90%</w:t>
            </w:r>
          </w:p>
        </w:tc>
        <w:tc>
          <w:tcPr>
            <w:tcW w:w="848" w:type="dxa"/>
            <w:vMerge w:val="restart"/>
            <w:tcBorders>
              <w:top w:val="nil"/>
              <w:left w:val="nil"/>
              <w:right w:val="nil"/>
            </w:tcBorders>
            <w:shd w:val="clear" w:color="auto" w:fill="auto"/>
            <w:vAlign w:val="center"/>
            <w:hideMark/>
          </w:tcPr>
          <w:p w14:paraId="59525434" w14:textId="057F80C2" w:rsidR="00753774" w:rsidRPr="00990A88" w:rsidRDefault="00753774" w:rsidP="000E4967">
            <w:pPr>
              <w:spacing w:before="40" w:after="40" w:line="240" w:lineRule="auto"/>
              <w:jc w:val="center"/>
              <w:rPr>
                <w:rFonts w:ascii="Times New Roman" w:eastAsia="Times New Roman" w:hAnsi="Times New Roman" w:cs="Times New Roman"/>
                <w:sz w:val="20"/>
                <w:szCs w:val="20"/>
                <w:lang w:eastAsia="en-AU"/>
              </w:rPr>
            </w:pPr>
            <w:r w:rsidRPr="00EA4879">
              <w:rPr>
                <w:rFonts w:eastAsia="Times New Roman" w:cs="Arial"/>
                <w:color w:val="000000"/>
                <w:sz w:val="20"/>
                <w:szCs w:val="20"/>
                <w:lang w:eastAsia="en-AU"/>
              </w:rPr>
              <w:t>90%</w:t>
            </w:r>
          </w:p>
        </w:tc>
        <w:tc>
          <w:tcPr>
            <w:tcW w:w="849" w:type="dxa"/>
            <w:vMerge w:val="restart"/>
            <w:tcBorders>
              <w:top w:val="nil"/>
              <w:left w:val="nil"/>
              <w:right w:val="nil"/>
            </w:tcBorders>
            <w:vAlign w:val="center"/>
          </w:tcPr>
          <w:p w14:paraId="0F2BA9F6" w14:textId="646EE2AC" w:rsidR="00753774" w:rsidRPr="00990A88" w:rsidRDefault="00753774"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90%</w:t>
            </w:r>
          </w:p>
        </w:tc>
        <w:tc>
          <w:tcPr>
            <w:tcW w:w="848" w:type="dxa"/>
            <w:vMerge w:val="restart"/>
            <w:tcBorders>
              <w:top w:val="nil"/>
              <w:left w:val="nil"/>
              <w:right w:val="nil"/>
            </w:tcBorders>
            <w:shd w:val="clear" w:color="auto" w:fill="auto"/>
            <w:vAlign w:val="center"/>
            <w:hideMark/>
          </w:tcPr>
          <w:p w14:paraId="46753E89" w14:textId="7AE6C539" w:rsidR="00753774" w:rsidRPr="000E4967" w:rsidRDefault="00753774"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49" w:type="dxa"/>
            <w:vMerge w:val="restart"/>
            <w:tcBorders>
              <w:top w:val="nil"/>
              <w:left w:val="nil"/>
              <w:right w:val="nil"/>
            </w:tcBorders>
            <w:shd w:val="clear" w:color="auto" w:fill="auto"/>
            <w:vAlign w:val="center"/>
            <w:hideMark/>
          </w:tcPr>
          <w:p w14:paraId="1AECD9F9" w14:textId="668A0BF0" w:rsidR="00753774" w:rsidRPr="000E4967" w:rsidRDefault="00753774"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11" w:type="dxa"/>
            <w:vMerge w:val="restart"/>
            <w:tcBorders>
              <w:top w:val="nil"/>
              <w:left w:val="nil"/>
              <w:right w:val="nil"/>
            </w:tcBorders>
            <w:shd w:val="clear" w:color="auto" w:fill="auto"/>
            <w:vAlign w:val="center"/>
            <w:hideMark/>
          </w:tcPr>
          <w:p w14:paraId="0B72F4E2" w14:textId="0681327A" w:rsidR="00753774" w:rsidRPr="000E4967" w:rsidRDefault="00753774"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73" w:type="dxa"/>
            <w:vMerge w:val="restart"/>
            <w:tcBorders>
              <w:top w:val="nil"/>
              <w:left w:val="nil"/>
              <w:right w:val="nil"/>
            </w:tcBorders>
            <w:shd w:val="clear" w:color="auto" w:fill="auto"/>
            <w:vAlign w:val="center"/>
            <w:hideMark/>
          </w:tcPr>
          <w:p w14:paraId="54294A42" w14:textId="04207794" w:rsidR="00753774" w:rsidRPr="000E4967" w:rsidRDefault="00753774"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c>
          <w:tcPr>
            <w:tcW w:w="868" w:type="dxa"/>
            <w:vMerge w:val="restart"/>
            <w:tcBorders>
              <w:top w:val="nil"/>
              <w:left w:val="nil"/>
              <w:bottom w:val="nil"/>
              <w:right w:val="nil"/>
            </w:tcBorders>
            <w:shd w:val="clear" w:color="auto" w:fill="auto"/>
            <w:vAlign w:val="center"/>
            <w:hideMark/>
          </w:tcPr>
          <w:p w14:paraId="4F129CBE" w14:textId="022905BC" w:rsidR="00753774" w:rsidRPr="000E4967" w:rsidRDefault="00753774"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90%</w:t>
            </w:r>
          </w:p>
        </w:tc>
      </w:tr>
      <w:tr w:rsidR="00753774" w:rsidRPr="00990A88" w14:paraId="0E8C591A" w14:textId="77777777" w:rsidTr="005E754C">
        <w:trPr>
          <w:trHeight w:val="750"/>
        </w:trPr>
        <w:tc>
          <w:tcPr>
            <w:tcW w:w="1317" w:type="dxa"/>
            <w:vMerge/>
            <w:tcBorders>
              <w:left w:val="nil"/>
              <w:right w:val="nil"/>
            </w:tcBorders>
            <w:vAlign w:val="center"/>
            <w:hideMark/>
          </w:tcPr>
          <w:p w14:paraId="54195F74"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5" w:type="dxa"/>
            <w:vMerge/>
            <w:tcBorders>
              <w:left w:val="nil"/>
              <w:right w:val="nil"/>
            </w:tcBorders>
            <w:vAlign w:val="center"/>
            <w:hideMark/>
          </w:tcPr>
          <w:p w14:paraId="6C6FCA5E"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6" w:type="dxa"/>
            <w:vMerge/>
            <w:tcBorders>
              <w:left w:val="nil"/>
              <w:right w:val="nil"/>
            </w:tcBorders>
            <w:vAlign w:val="center"/>
            <w:hideMark/>
          </w:tcPr>
          <w:p w14:paraId="17B36133"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2962" w:type="dxa"/>
            <w:tcBorders>
              <w:top w:val="nil"/>
              <w:left w:val="nil"/>
              <w:bottom w:val="nil"/>
              <w:right w:val="nil"/>
            </w:tcBorders>
            <w:shd w:val="clear" w:color="auto" w:fill="auto"/>
            <w:vAlign w:val="center"/>
            <w:hideMark/>
          </w:tcPr>
          <w:p w14:paraId="57A4AE7A" w14:textId="69948A38" w:rsidR="00753774" w:rsidRPr="00367D54" w:rsidRDefault="00753774" w:rsidP="00F459A2">
            <w:pPr>
              <w:pStyle w:val="ListParagraph"/>
              <w:numPr>
                <w:ilvl w:val="0"/>
                <w:numId w:val="10"/>
              </w:numPr>
              <w:spacing w:before="40" w:after="40" w:line="240" w:lineRule="auto"/>
              <w:ind w:left="130" w:hanging="130"/>
              <w:rPr>
                <w:rFonts w:ascii="Symbol" w:eastAsia="Times New Roman" w:hAnsi="Symbol" w:cs="Calibri"/>
                <w:color w:val="000000"/>
                <w:sz w:val="20"/>
                <w:szCs w:val="20"/>
                <w:lang w:eastAsia="en-AU"/>
              </w:rPr>
            </w:pPr>
            <w:r w:rsidRPr="00367D54">
              <w:rPr>
                <w:rFonts w:eastAsia="Times New Roman" w:cs="Arial"/>
                <w:color w:val="000000"/>
                <w:sz w:val="20"/>
                <w:szCs w:val="20"/>
                <w:lang w:eastAsia="en-AU"/>
              </w:rPr>
              <w:t xml:space="preserve">allocation trades, divide a water share, take, and Use licences: </w:t>
            </w:r>
            <w:r w:rsidR="00DF468A">
              <w:rPr>
                <w:rFonts w:eastAsia="Times New Roman" w:cs="Arial"/>
                <w:color w:val="000000"/>
                <w:sz w:val="20"/>
                <w:szCs w:val="20"/>
                <w:lang w:eastAsia="en-AU"/>
              </w:rPr>
              <w:t>three</w:t>
            </w:r>
            <w:r w:rsidRPr="00367D54">
              <w:rPr>
                <w:rFonts w:eastAsia="Times New Roman" w:cs="Arial"/>
                <w:color w:val="000000"/>
                <w:sz w:val="20"/>
                <w:szCs w:val="20"/>
                <w:lang w:eastAsia="en-AU"/>
              </w:rPr>
              <w:t xml:space="preserve"> days</w:t>
            </w:r>
          </w:p>
        </w:tc>
        <w:tc>
          <w:tcPr>
            <w:tcW w:w="849" w:type="dxa"/>
            <w:vMerge/>
            <w:tcBorders>
              <w:left w:val="nil"/>
              <w:right w:val="nil"/>
            </w:tcBorders>
            <w:vAlign w:val="center"/>
            <w:hideMark/>
          </w:tcPr>
          <w:p w14:paraId="63C66D10"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right w:val="nil"/>
            </w:tcBorders>
            <w:vAlign w:val="center"/>
            <w:hideMark/>
          </w:tcPr>
          <w:p w14:paraId="4E52EA7C" w14:textId="77777777" w:rsidR="00753774" w:rsidRPr="00990A88" w:rsidRDefault="00753774" w:rsidP="000E4967">
            <w:pPr>
              <w:spacing w:before="40" w:after="40" w:line="240" w:lineRule="auto"/>
              <w:jc w:val="center"/>
              <w:rPr>
                <w:rFonts w:ascii="Times New Roman" w:eastAsia="Times New Roman" w:hAnsi="Times New Roman" w:cs="Times New Roman"/>
                <w:sz w:val="20"/>
                <w:szCs w:val="20"/>
                <w:lang w:eastAsia="en-AU"/>
              </w:rPr>
            </w:pPr>
          </w:p>
        </w:tc>
        <w:tc>
          <w:tcPr>
            <w:tcW w:w="849" w:type="dxa"/>
            <w:vMerge/>
            <w:tcBorders>
              <w:left w:val="nil"/>
              <w:right w:val="nil"/>
            </w:tcBorders>
            <w:vAlign w:val="center"/>
          </w:tcPr>
          <w:p w14:paraId="08AA3D20"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right w:val="nil"/>
            </w:tcBorders>
            <w:vAlign w:val="center"/>
            <w:hideMark/>
          </w:tcPr>
          <w:p w14:paraId="5DFA718F"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49" w:type="dxa"/>
            <w:vMerge/>
            <w:tcBorders>
              <w:left w:val="nil"/>
              <w:right w:val="nil"/>
            </w:tcBorders>
            <w:vAlign w:val="center"/>
            <w:hideMark/>
          </w:tcPr>
          <w:p w14:paraId="6BE364F8"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11" w:type="dxa"/>
            <w:vMerge/>
            <w:tcBorders>
              <w:left w:val="nil"/>
              <w:right w:val="nil"/>
            </w:tcBorders>
            <w:vAlign w:val="center"/>
            <w:hideMark/>
          </w:tcPr>
          <w:p w14:paraId="0DA57F20"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73" w:type="dxa"/>
            <w:vMerge/>
            <w:tcBorders>
              <w:left w:val="nil"/>
              <w:right w:val="nil"/>
            </w:tcBorders>
            <w:vAlign w:val="center"/>
            <w:hideMark/>
          </w:tcPr>
          <w:p w14:paraId="210A9A03"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68" w:type="dxa"/>
            <w:vMerge/>
            <w:tcBorders>
              <w:top w:val="nil"/>
              <w:left w:val="nil"/>
              <w:bottom w:val="nil"/>
              <w:right w:val="nil"/>
            </w:tcBorders>
            <w:vAlign w:val="center"/>
            <w:hideMark/>
          </w:tcPr>
          <w:p w14:paraId="2EC31F16"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r>
      <w:tr w:rsidR="00753774" w:rsidRPr="00990A88" w14:paraId="6DB5C652" w14:textId="77777777" w:rsidTr="005E754C">
        <w:trPr>
          <w:trHeight w:val="750"/>
        </w:trPr>
        <w:tc>
          <w:tcPr>
            <w:tcW w:w="1317" w:type="dxa"/>
            <w:vMerge/>
            <w:tcBorders>
              <w:left w:val="nil"/>
              <w:right w:val="nil"/>
            </w:tcBorders>
            <w:vAlign w:val="center"/>
            <w:hideMark/>
          </w:tcPr>
          <w:p w14:paraId="3942E036"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5" w:type="dxa"/>
            <w:vMerge/>
            <w:tcBorders>
              <w:left w:val="nil"/>
              <w:right w:val="nil"/>
            </w:tcBorders>
            <w:vAlign w:val="center"/>
            <w:hideMark/>
          </w:tcPr>
          <w:p w14:paraId="55A04012"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6" w:type="dxa"/>
            <w:vMerge/>
            <w:tcBorders>
              <w:left w:val="nil"/>
              <w:right w:val="nil"/>
            </w:tcBorders>
            <w:vAlign w:val="center"/>
            <w:hideMark/>
          </w:tcPr>
          <w:p w14:paraId="7FC6E52D"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2962" w:type="dxa"/>
            <w:tcBorders>
              <w:top w:val="nil"/>
              <w:left w:val="nil"/>
              <w:bottom w:val="nil"/>
              <w:right w:val="nil"/>
            </w:tcBorders>
            <w:shd w:val="clear" w:color="auto" w:fill="auto"/>
            <w:vAlign w:val="center"/>
            <w:hideMark/>
          </w:tcPr>
          <w:p w14:paraId="0C52EC1B" w14:textId="3C99C63D" w:rsidR="00753774" w:rsidRPr="00367D54" w:rsidRDefault="00753774" w:rsidP="00F459A2">
            <w:pPr>
              <w:pStyle w:val="ListParagraph"/>
              <w:numPr>
                <w:ilvl w:val="0"/>
                <w:numId w:val="10"/>
              </w:numPr>
              <w:spacing w:before="40" w:after="40" w:line="240" w:lineRule="auto"/>
              <w:ind w:left="130" w:hanging="130"/>
              <w:rPr>
                <w:rFonts w:eastAsia="Times New Roman" w:cs="Arial"/>
                <w:color w:val="000000"/>
                <w:sz w:val="20"/>
                <w:szCs w:val="20"/>
                <w:lang w:eastAsia="en-AU"/>
              </w:rPr>
            </w:pPr>
            <w:r w:rsidRPr="00990A88">
              <w:rPr>
                <w:rFonts w:eastAsia="Times New Roman" w:cs="Arial"/>
                <w:color w:val="000000"/>
                <w:sz w:val="20"/>
                <w:szCs w:val="20"/>
                <w:lang w:eastAsia="en-AU"/>
              </w:rPr>
              <w:t xml:space="preserve">licence, transfers, water share transfers, information statements, subdivisions: </w:t>
            </w:r>
            <w:r w:rsidR="00DF468A">
              <w:rPr>
                <w:rFonts w:eastAsia="Times New Roman" w:cs="Arial"/>
                <w:color w:val="000000"/>
                <w:sz w:val="20"/>
                <w:szCs w:val="20"/>
                <w:lang w:eastAsia="en-AU"/>
              </w:rPr>
              <w:t>seven</w:t>
            </w:r>
            <w:r w:rsidRPr="00990A88">
              <w:rPr>
                <w:rFonts w:eastAsia="Times New Roman" w:cs="Arial"/>
                <w:color w:val="000000"/>
                <w:sz w:val="20"/>
                <w:szCs w:val="20"/>
                <w:lang w:eastAsia="en-AU"/>
              </w:rPr>
              <w:t xml:space="preserve"> days</w:t>
            </w:r>
          </w:p>
        </w:tc>
        <w:tc>
          <w:tcPr>
            <w:tcW w:w="849" w:type="dxa"/>
            <w:vMerge/>
            <w:tcBorders>
              <w:left w:val="nil"/>
              <w:right w:val="nil"/>
            </w:tcBorders>
            <w:vAlign w:val="center"/>
            <w:hideMark/>
          </w:tcPr>
          <w:p w14:paraId="64388BEB"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right w:val="nil"/>
            </w:tcBorders>
            <w:vAlign w:val="center"/>
            <w:hideMark/>
          </w:tcPr>
          <w:p w14:paraId="685C947B" w14:textId="77777777" w:rsidR="00753774" w:rsidRPr="00990A88" w:rsidRDefault="00753774" w:rsidP="000E4967">
            <w:pPr>
              <w:spacing w:before="40" w:after="40" w:line="240" w:lineRule="auto"/>
              <w:jc w:val="center"/>
              <w:rPr>
                <w:rFonts w:ascii="Times New Roman" w:eastAsia="Times New Roman" w:hAnsi="Times New Roman" w:cs="Times New Roman"/>
                <w:sz w:val="20"/>
                <w:szCs w:val="20"/>
                <w:lang w:eastAsia="en-AU"/>
              </w:rPr>
            </w:pPr>
          </w:p>
        </w:tc>
        <w:tc>
          <w:tcPr>
            <w:tcW w:w="849" w:type="dxa"/>
            <w:vMerge/>
            <w:tcBorders>
              <w:left w:val="nil"/>
              <w:right w:val="nil"/>
            </w:tcBorders>
            <w:vAlign w:val="center"/>
          </w:tcPr>
          <w:p w14:paraId="570165F3"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right w:val="nil"/>
            </w:tcBorders>
            <w:vAlign w:val="center"/>
            <w:hideMark/>
          </w:tcPr>
          <w:p w14:paraId="42B911EB"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49" w:type="dxa"/>
            <w:vMerge/>
            <w:tcBorders>
              <w:left w:val="nil"/>
              <w:right w:val="nil"/>
            </w:tcBorders>
            <w:vAlign w:val="center"/>
            <w:hideMark/>
          </w:tcPr>
          <w:p w14:paraId="50F1390A"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11" w:type="dxa"/>
            <w:vMerge/>
            <w:tcBorders>
              <w:left w:val="nil"/>
              <w:right w:val="nil"/>
            </w:tcBorders>
            <w:vAlign w:val="center"/>
            <w:hideMark/>
          </w:tcPr>
          <w:p w14:paraId="51261836"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73" w:type="dxa"/>
            <w:vMerge/>
            <w:tcBorders>
              <w:left w:val="nil"/>
              <w:right w:val="nil"/>
            </w:tcBorders>
            <w:vAlign w:val="center"/>
            <w:hideMark/>
          </w:tcPr>
          <w:p w14:paraId="3D7BB8D1"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68" w:type="dxa"/>
            <w:vMerge/>
            <w:tcBorders>
              <w:top w:val="nil"/>
              <w:left w:val="nil"/>
              <w:bottom w:val="nil"/>
              <w:right w:val="nil"/>
            </w:tcBorders>
            <w:vAlign w:val="center"/>
            <w:hideMark/>
          </w:tcPr>
          <w:p w14:paraId="4E6E04AA"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r>
      <w:tr w:rsidR="00D523E5" w:rsidRPr="00990A88" w14:paraId="0AEA9FB0" w14:textId="77777777" w:rsidTr="005E754C">
        <w:trPr>
          <w:trHeight w:val="290"/>
        </w:trPr>
        <w:tc>
          <w:tcPr>
            <w:tcW w:w="1317" w:type="dxa"/>
            <w:vMerge/>
            <w:tcBorders>
              <w:left w:val="nil"/>
              <w:bottom w:val="nil"/>
              <w:right w:val="nil"/>
            </w:tcBorders>
            <w:vAlign w:val="center"/>
            <w:hideMark/>
          </w:tcPr>
          <w:p w14:paraId="71862C73"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5" w:type="dxa"/>
            <w:vMerge/>
            <w:tcBorders>
              <w:left w:val="nil"/>
              <w:bottom w:val="nil"/>
              <w:right w:val="nil"/>
            </w:tcBorders>
            <w:vAlign w:val="center"/>
            <w:hideMark/>
          </w:tcPr>
          <w:p w14:paraId="436430F0"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1556" w:type="dxa"/>
            <w:vMerge/>
            <w:tcBorders>
              <w:left w:val="nil"/>
              <w:bottom w:val="nil"/>
              <w:right w:val="nil"/>
            </w:tcBorders>
            <w:vAlign w:val="center"/>
            <w:hideMark/>
          </w:tcPr>
          <w:p w14:paraId="75B63616" w14:textId="77777777" w:rsidR="00753774" w:rsidRPr="00990A88" w:rsidRDefault="00753774" w:rsidP="000E4967">
            <w:pPr>
              <w:spacing w:before="40" w:after="40" w:line="240" w:lineRule="auto"/>
              <w:rPr>
                <w:rFonts w:eastAsia="Times New Roman" w:cs="Arial"/>
                <w:color w:val="000000"/>
                <w:sz w:val="20"/>
                <w:szCs w:val="20"/>
                <w:lang w:eastAsia="en-AU"/>
              </w:rPr>
            </w:pPr>
          </w:p>
        </w:tc>
        <w:tc>
          <w:tcPr>
            <w:tcW w:w="2962" w:type="dxa"/>
            <w:tcBorders>
              <w:top w:val="nil"/>
              <w:left w:val="nil"/>
              <w:bottom w:val="nil"/>
              <w:right w:val="nil"/>
            </w:tcBorders>
            <w:shd w:val="clear" w:color="auto" w:fill="auto"/>
            <w:vAlign w:val="center"/>
            <w:hideMark/>
          </w:tcPr>
          <w:p w14:paraId="6A45CE18" w14:textId="1B10FD7A" w:rsidR="00753774" w:rsidRPr="00367D54" w:rsidRDefault="00753774" w:rsidP="00F459A2">
            <w:pPr>
              <w:pStyle w:val="ListParagraph"/>
              <w:numPr>
                <w:ilvl w:val="0"/>
                <w:numId w:val="10"/>
              </w:numPr>
              <w:spacing w:before="40" w:after="40" w:line="240" w:lineRule="auto"/>
              <w:ind w:left="130" w:hanging="130"/>
              <w:rPr>
                <w:rFonts w:eastAsia="Times New Roman" w:cs="Arial"/>
                <w:color w:val="000000"/>
                <w:sz w:val="20"/>
                <w:szCs w:val="20"/>
                <w:lang w:eastAsia="en-AU"/>
              </w:rPr>
            </w:pPr>
            <w:r w:rsidRPr="00990A88">
              <w:rPr>
                <w:rFonts w:eastAsia="Times New Roman" w:cs="Arial"/>
                <w:color w:val="000000"/>
                <w:sz w:val="20"/>
                <w:szCs w:val="20"/>
                <w:lang w:eastAsia="en-AU"/>
              </w:rPr>
              <w:t>farm dam licences: 60 days</w:t>
            </w:r>
          </w:p>
        </w:tc>
        <w:tc>
          <w:tcPr>
            <w:tcW w:w="849" w:type="dxa"/>
            <w:vMerge/>
            <w:tcBorders>
              <w:left w:val="nil"/>
              <w:bottom w:val="nil"/>
              <w:right w:val="nil"/>
            </w:tcBorders>
            <w:vAlign w:val="center"/>
            <w:hideMark/>
          </w:tcPr>
          <w:p w14:paraId="13006256"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bottom w:val="nil"/>
              <w:right w:val="nil"/>
            </w:tcBorders>
            <w:vAlign w:val="center"/>
            <w:hideMark/>
          </w:tcPr>
          <w:p w14:paraId="10C93B23" w14:textId="77777777" w:rsidR="00753774" w:rsidRPr="00990A88" w:rsidRDefault="00753774" w:rsidP="000E4967">
            <w:pPr>
              <w:spacing w:before="40" w:after="40" w:line="240" w:lineRule="auto"/>
              <w:jc w:val="center"/>
              <w:rPr>
                <w:rFonts w:ascii="Times New Roman" w:eastAsia="Times New Roman" w:hAnsi="Times New Roman" w:cs="Times New Roman"/>
                <w:sz w:val="20"/>
                <w:szCs w:val="20"/>
                <w:lang w:eastAsia="en-AU"/>
              </w:rPr>
            </w:pPr>
          </w:p>
        </w:tc>
        <w:tc>
          <w:tcPr>
            <w:tcW w:w="849" w:type="dxa"/>
            <w:vMerge/>
            <w:tcBorders>
              <w:left w:val="nil"/>
              <w:bottom w:val="nil"/>
              <w:right w:val="nil"/>
            </w:tcBorders>
            <w:vAlign w:val="center"/>
          </w:tcPr>
          <w:p w14:paraId="488A2E84" w14:textId="77777777" w:rsidR="00753774" w:rsidRPr="00990A88" w:rsidRDefault="00753774" w:rsidP="000E4967">
            <w:pPr>
              <w:spacing w:before="40" w:after="40" w:line="240" w:lineRule="auto"/>
              <w:jc w:val="center"/>
              <w:rPr>
                <w:rFonts w:eastAsia="Times New Roman" w:cs="Arial"/>
                <w:color w:val="000000"/>
                <w:sz w:val="20"/>
                <w:szCs w:val="20"/>
                <w:lang w:eastAsia="en-AU"/>
              </w:rPr>
            </w:pPr>
          </w:p>
        </w:tc>
        <w:tc>
          <w:tcPr>
            <w:tcW w:w="848" w:type="dxa"/>
            <w:vMerge/>
            <w:tcBorders>
              <w:left w:val="nil"/>
              <w:bottom w:val="nil"/>
              <w:right w:val="nil"/>
            </w:tcBorders>
            <w:vAlign w:val="center"/>
            <w:hideMark/>
          </w:tcPr>
          <w:p w14:paraId="12EE628B"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49" w:type="dxa"/>
            <w:vMerge/>
            <w:tcBorders>
              <w:left w:val="nil"/>
              <w:bottom w:val="nil"/>
              <w:right w:val="nil"/>
            </w:tcBorders>
            <w:vAlign w:val="center"/>
            <w:hideMark/>
          </w:tcPr>
          <w:p w14:paraId="5E472425"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11" w:type="dxa"/>
            <w:vMerge/>
            <w:tcBorders>
              <w:left w:val="nil"/>
              <w:bottom w:val="nil"/>
              <w:right w:val="nil"/>
            </w:tcBorders>
            <w:vAlign w:val="center"/>
            <w:hideMark/>
          </w:tcPr>
          <w:p w14:paraId="6A427B60"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73" w:type="dxa"/>
            <w:vMerge/>
            <w:tcBorders>
              <w:left w:val="nil"/>
              <w:bottom w:val="nil"/>
              <w:right w:val="nil"/>
            </w:tcBorders>
            <w:vAlign w:val="center"/>
            <w:hideMark/>
          </w:tcPr>
          <w:p w14:paraId="13840D36"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c>
          <w:tcPr>
            <w:tcW w:w="868" w:type="dxa"/>
            <w:vMerge/>
            <w:tcBorders>
              <w:top w:val="nil"/>
              <w:left w:val="nil"/>
              <w:bottom w:val="nil"/>
              <w:right w:val="nil"/>
            </w:tcBorders>
            <w:vAlign w:val="center"/>
            <w:hideMark/>
          </w:tcPr>
          <w:p w14:paraId="4BFB8358" w14:textId="77777777" w:rsidR="00753774" w:rsidRPr="000E4967" w:rsidRDefault="00753774" w:rsidP="000E4967">
            <w:pPr>
              <w:spacing w:before="40" w:after="40" w:line="240" w:lineRule="auto"/>
              <w:jc w:val="center"/>
              <w:rPr>
                <w:rFonts w:eastAsia="Times New Roman" w:cs="Arial"/>
                <w:color w:val="000000"/>
                <w:sz w:val="20"/>
                <w:szCs w:val="20"/>
                <w:lang w:eastAsia="en-AU"/>
              </w:rPr>
            </w:pPr>
          </w:p>
        </w:tc>
      </w:tr>
      <w:tr w:rsidR="00FA422B" w:rsidRPr="00990A88" w14:paraId="1C03F8FB" w14:textId="77777777" w:rsidTr="004377C5">
        <w:trPr>
          <w:trHeight w:val="863"/>
        </w:trPr>
        <w:tc>
          <w:tcPr>
            <w:tcW w:w="1317" w:type="dxa"/>
            <w:tcBorders>
              <w:top w:val="nil"/>
              <w:left w:val="nil"/>
              <w:bottom w:val="nil"/>
              <w:right w:val="nil"/>
            </w:tcBorders>
            <w:shd w:val="clear" w:color="000000" w:fill="F5F5F5"/>
            <w:vAlign w:val="center"/>
            <w:hideMark/>
          </w:tcPr>
          <w:p w14:paraId="65FCD8CF"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MID </w:t>
            </w:r>
          </w:p>
        </w:tc>
        <w:tc>
          <w:tcPr>
            <w:tcW w:w="1555" w:type="dxa"/>
            <w:tcBorders>
              <w:top w:val="nil"/>
              <w:left w:val="nil"/>
              <w:bottom w:val="nil"/>
              <w:right w:val="nil"/>
            </w:tcBorders>
            <w:shd w:val="clear" w:color="000000" w:fill="F5F5F5"/>
            <w:vAlign w:val="center"/>
            <w:hideMark/>
          </w:tcPr>
          <w:p w14:paraId="30166E0B"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Drains - MID </w:t>
            </w:r>
          </w:p>
        </w:tc>
        <w:tc>
          <w:tcPr>
            <w:tcW w:w="1556" w:type="dxa"/>
            <w:vMerge w:val="restart"/>
            <w:tcBorders>
              <w:top w:val="nil"/>
              <w:left w:val="nil"/>
              <w:right w:val="nil"/>
            </w:tcBorders>
            <w:shd w:val="clear" w:color="000000" w:fill="F5F5F5"/>
            <w:vAlign w:val="center"/>
            <w:hideMark/>
          </w:tcPr>
          <w:p w14:paraId="67886499" w14:textId="4C27E481"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Drainage is a problem for customers that we need to focus on </w:t>
            </w:r>
          </w:p>
        </w:tc>
        <w:tc>
          <w:tcPr>
            <w:tcW w:w="2962" w:type="dxa"/>
            <w:tcBorders>
              <w:top w:val="nil"/>
              <w:left w:val="nil"/>
              <w:bottom w:val="nil"/>
              <w:right w:val="nil"/>
            </w:tcBorders>
            <w:shd w:val="clear" w:color="000000" w:fill="F5F5F5"/>
            <w:vAlign w:val="center"/>
            <w:hideMark/>
          </w:tcPr>
          <w:p w14:paraId="76884228" w14:textId="2BEE685C" w:rsidR="004377C5" w:rsidRPr="006A2AEF" w:rsidRDefault="004377C5" w:rsidP="000E4967">
            <w:pPr>
              <w:spacing w:before="40" w:after="40" w:line="240" w:lineRule="auto"/>
              <w:rPr>
                <w:rFonts w:eastAsia="Times New Roman" w:cs="Arial"/>
                <w:color w:val="000000"/>
                <w:sz w:val="20"/>
                <w:szCs w:val="20"/>
                <w:lang w:eastAsia="en-AU"/>
              </w:rPr>
            </w:pPr>
            <w:r w:rsidRPr="006A2AEF">
              <w:rPr>
                <w:rFonts w:eastAsia="Times New Roman" w:cs="Arial"/>
                <w:color w:val="000000"/>
                <w:sz w:val="20"/>
                <w:szCs w:val="20"/>
                <w:lang w:eastAsia="en-AU"/>
              </w:rPr>
              <w:t>Number of rainfall events at a frequency of more than 1:50 resulting in complaints of water being on properties for more than 24 hours </w:t>
            </w:r>
          </w:p>
        </w:tc>
        <w:tc>
          <w:tcPr>
            <w:tcW w:w="849" w:type="dxa"/>
            <w:tcBorders>
              <w:top w:val="nil"/>
              <w:left w:val="nil"/>
              <w:bottom w:val="nil"/>
              <w:right w:val="nil"/>
            </w:tcBorders>
            <w:shd w:val="clear" w:color="000000" w:fill="F5F5F5"/>
            <w:vAlign w:val="center"/>
            <w:hideMark/>
          </w:tcPr>
          <w:p w14:paraId="645EED0B" w14:textId="5E362F86"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8" w:type="dxa"/>
            <w:tcBorders>
              <w:top w:val="nil"/>
              <w:left w:val="nil"/>
              <w:bottom w:val="nil"/>
              <w:right w:val="nil"/>
            </w:tcBorders>
            <w:shd w:val="clear" w:color="000000" w:fill="F5F5F5"/>
            <w:vAlign w:val="center"/>
            <w:hideMark/>
          </w:tcPr>
          <w:p w14:paraId="28B8AA38" w14:textId="5FCA16B9"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9" w:type="dxa"/>
            <w:tcBorders>
              <w:top w:val="nil"/>
              <w:left w:val="nil"/>
              <w:bottom w:val="nil"/>
              <w:right w:val="nil"/>
            </w:tcBorders>
            <w:shd w:val="clear" w:color="000000" w:fill="F5F5F5"/>
            <w:vAlign w:val="center"/>
          </w:tcPr>
          <w:p w14:paraId="72CFF4F5" w14:textId="50BDBE39" w:rsidR="004377C5" w:rsidRPr="00990A88" w:rsidRDefault="004377C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000000" w:fill="F5F5F5"/>
            <w:vAlign w:val="center"/>
            <w:hideMark/>
          </w:tcPr>
          <w:p w14:paraId="4F66FD69" w14:textId="7ACDB1AB"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5</w:t>
            </w:r>
          </w:p>
        </w:tc>
        <w:tc>
          <w:tcPr>
            <w:tcW w:w="849" w:type="dxa"/>
            <w:tcBorders>
              <w:top w:val="nil"/>
              <w:left w:val="nil"/>
              <w:bottom w:val="nil"/>
              <w:right w:val="nil"/>
            </w:tcBorders>
            <w:shd w:val="clear" w:color="000000" w:fill="F5F5F5"/>
            <w:vAlign w:val="center"/>
            <w:hideMark/>
          </w:tcPr>
          <w:p w14:paraId="3D148188" w14:textId="4025EC0D"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4</w:t>
            </w:r>
          </w:p>
        </w:tc>
        <w:tc>
          <w:tcPr>
            <w:tcW w:w="811" w:type="dxa"/>
            <w:tcBorders>
              <w:top w:val="nil"/>
              <w:left w:val="nil"/>
              <w:bottom w:val="nil"/>
              <w:right w:val="nil"/>
            </w:tcBorders>
            <w:shd w:val="clear" w:color="000000" w:fill="F5F5F5"/>
            <w:vAlign w:val="center"/>
            <w:hideMark/>
          </w:tcPr>
          <w:p w14:paraId="56BA16D2" w14:textId="09DD941B"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3</w:t>
            </w:r>
          </w:p>
        </w:tc>
        <w:tc>
          <w:tcPr>
            <w:tcW w:w="873" w:type="dxa"/>
            <w:tcBorders>
              <w:top w:val="nil"/>
              <w:left w:val="nil"/>
              <w:bottom w:val="nil"/>
              <w:right w:val="nil"/>
            </w:tcBorders>
            <w:shd w:val="clear" w:color="000000" w:fill="F5F5F5"/>
            <w:vAlign w:val="center"/>
            <w:hideMark/>
          </w:tcPr>
          <w:p w14:paraId="3C0A5D04" w14:textId="14877A12"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w:t>
            </w:r>
          </w:p>
        </w:tc>
        <w:tc>
          <w:tcPr>
            <w:tcW w:w="868" w:type="dxa"/>
            <w:tcBorders>
              <w:top w:val="nil"/>
              <w:left w:val="nil"/>
              <w:bottom w:val="nil"/>
              <w:right w:val="nil"/>
            </w:tcBorders>
            <w:shd w:val="clear" w:color="000000" w:fill="F5F5F5"/>
            <w:vAlign w:val="center"/>
            <w:hideMark/>
          </w:tcPr>
          <w:p w14:paraId="749F3D6A" w14:textId="2C62C91A"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w:t>
            </w:r>
          </w:p>
        </w:tc>
      </w:tr>
      <w:tr w:rsidR="004377C5" w:rsidRPr="00990A88" w14:paraId="043F60CB" w14:textId="77777777" w:rsidTr="004377C5">
        <w:trPr>
          <w:trHeight w:val="1000"/>
        </w:trPr>
        <w:tc>
          <w:tcPr>
            <w:tcW w:w="1317" w:type="dxa"/>
            <w:tcBorders>
              <w:top w:val="nil"/>
              <w:left w:val="nil"/>
              <w:bottom w:val="nil"/>
              <w:right w:val="nil"/>
            </w:tcBorders>
            <w:shd w:val="clear" w:color="auto" w:fill="auto"/>
            <w:vAlign w:val="center"/>
            <w:hideMark/>
          </w:tcPr>
          <w:p w14:paraId="5F737732"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MID </w:t>
            </w:r>
          </w:p>
        </w:tc>
        <w:tc>
          <w:tcPr>
            <w:tcW w:w="1555" w:type="dxa"/>
            <w:tcBorders>
              <w:top w:val="nil"/>
              <w:left w:val="nil"/>
              <w:bottom w:val="nil"/>
              <w:right w:val="nil"/>
            </w:tcBorders>
            <w:shd w:val="clear" w:color="auto" w:fill="auto"/>
            <w:vAlign w:val="center"/>
            <w:hideMark/>
          </w:tcPr>
          <w:p w14:paraId="6BB093FA"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Drains – MID </w:t>
            </w:r>
          </w:p>
        </w:tc>
        <w:tc>
          <w:tcPr>
            <w:tcW w:w="1556" w:type="dxa"/>
            <w:vMerge/>
            <w:tcBorders>
              <w:left w:val="nil"/>
              <w:right w:val="nil"/>
            </w:tcBorders>
            <w:shd w:val="clear" w:color="auto" w:fill="auto"/>
            <w:vAlign w:val="center"/>
            <w:hideMark/>
          </w:tcPr>
          <w:p w14:paraId="7029BD5A" w14:textId="41052FCE" w:rsidR="004377C5" w:rsidRPr="00990A88" w:rsidRDefault="004377C5" w:rsidP="000E4967">
            <w:pPr>
              <w:spacing w:before="40" w:after="40" w:line="240" w:lineRule="auto"/>
              <w:rPr>
                <w:rFonts w:eastAsia="Times New Roman" w:cs="Arial"/>
                <w:color w:val="000000"/>
                <w:sz w:val="20"/>
                <w:szCs w:val="20"/>
                <w:lang w:eastAsia="en-AU"/>
              </w:rPr>
            </w:pPr>
          </w:p>
        </w:tc>
        <w:tc>
          <w:tcPr>
            <w:tcW w:w="2962" w:type="dxa"/>
            <w:tcBorders>
              <w:top w:val="nil"/>
              <w:left w:val="nil"/>
              <w:bottom w:val="nil"/>
              <w:right w:val="nil"/>
            </w:tcBorders>
            <w:shd w:val="clear" w:color="auto" w:fill="auto"/>
            <w:vAlign w:val="center"/>
            <w:hideMark/>
          </w:tcPr>
          <w:p w14:paraId="0C521651"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Proportion of priority drains maintained on annual basis</w:t>
            </w:r>
          </w:p>
        </w:tc>
        <w:tc>
          <w:tcPr>
            <w:tcW w:w="849" w:type="dxa"/>
            <w:tcBorders>
              <w:top w:val="nil"/>
              <w:left w:val="nil"/>
              <w:bottom w:val="nil"/>
              <w:right w:val="nil"/>
            </w:tcBorders>
            <w:shd w:val="clear" w:color="auto" w:fill="auto"/>
            <w:vAlign w:val="center"/>
            <w:hideMark/>
          </w:tcPr>
          <w:p w14:paraId="442ED534" w14:textId="64781C3F"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53B5F312" w14:textId="6EE07D3E" w:rsidR="004377C5" w:rsidRPr="00990A88" w:rsidRDefault="004377C5" w:rsidP="000E4967">
            <w:pPr>
              <w:spacing w:before="40" w:after="40" w:line="240" w:lineRule="auto"/>
              <w:jc w:val="center"/>
              <w:rPr>
                <w:rFonts w:ascii="Times New Roman" w:eastAsia="Times New Roman" w:hAnsi="Times New Roman" w:cs="Times New Roman"/>
                <w:sz w:val="20"/>
                <w:szCs w:val="20"/>
                <w:lang w:eastAsia="en-AU"/>
              </w:rPr>
            </w:pPr>
            <w:r w:rsidRPr="0055233F">
              <w:rPr>
                <w:rFonts w:eastAsia="Times New Roman" w:cs="Arial"/>
                <w:color w:val="000000"/>
                <w:sz w:val="20"/>
                <w:szCs w:val="20"/>
                <w:lang w:eastAsia="en-AU"/>
              </w:rPr>
              <w:t>N/A</w:t>
            </w:r>
          </w:p>
        </w:tc>
        <w:tc>
          <w:tcPr>
            <w:tcW w:w="849" w:type="dxa"/>
            <w:tcBorders>
              <w:top w:val="nil"/>
              <w:left w:val="nil"/>
              <w:bottom w:val="nil"/>
              <w:right w:val="nil"/>
            </w:tcBorders>
            <w:vAlign w:val="center"/>
          </w:tcPr>
          <w:p w14:paraId="0DC775EF" w14:textId="2B04545C" w:rsidR="004377C5" w:rsidRPr="00990A88" w:rsidRDefault="004377C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nil"/>
              <w:right w:val="nil"/>
            </w:tcBorders>
            <w:shd w:val="clear" w:color="auto" w:fill="auto"/>
            <w:vAlign w:val="center"/>
            <w:hideMark/>
          </w:tcPr>
          <w:p w14:paraId="063AE8D0" w14:textId="64C9A5A3"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w:t>
            </w:r>
          </w:p>
        </w:tc>
        <w:tc>
          <w:tcPr>
            <w:tcW w:w="849" w:type="dxa"/>
            <w:tcBorders>
              <w:top w:val="nil"/>
              <w:left w:val="nil"/>
              <w:bottom w:val="nil"/>
              <w:right w:val="nil"/>
            </w:tcBorders>
            <w:shd w:val="clear" w:color="auto" w:fill="auto"/>
            <w:vAlign w:val="center"/>
            <w:hideMark/>
          </w:tcPr>
          <w:p w14:paraId="1D021CED" w14:textId="26E44B16"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15%</w:t>
            </w:r>
          </w:p>
        </w:tc>
        <w:tc>
          <w:tcPr>
            <w:tcW w:w="811" w:type="dxa"/>
            <w:tcBorders>
              <w:top w:val="nil"/>
              <w:left w:val="nil"/>
              <w:bottom w:val="nil"/>
              <w:right w:val="nil"/>
            </w:tcBorders>
            <w:shd w:val="clear" w:color="auto" w:fill="auto"/>
            <w:vAlign w:val="center"/>
            <w:hideMark/>
          </w:tcPr>
          <w:p w14:paraId="751C6DC3" w14:textId="1F2161E9"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20%</w:t>
            </w:r>
          </w:p>
        </w:tc>
        <w:tc>
          <w:tcPr>
            <w:tcW w:w="873" w:type="dxa"/>
            <w:tcBorders>
              <w:top w:val="nil"/>
              <w:left w:val="nil"/>
              <w:bottom w:val="nil"/>
              <w:right w:val="nil"/>
            </w:tcBorders>
            <w:shd w:val="clear" w:color="auto" w:fill="auto"/>
            <w:vAlign w:val="center"/>
            <w:hideMark/>
          </w:tcPr>
          <w:p w14:paraId="5EABBE7C" w14:textId="5EB5F618"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25%</w:t>
            </w:r>
          </w:p>
        </w:tc>
        <w:tc>
          <w:tcPr>
            <w:tcW w:w="868" w:type="dxa"/>
            <w:tcBorders>
              <w:top w:val="nil"/>
              <w:left w:val="nil"/>
              <w:bottom w:val="nil"/>
              <w:right w:val="nil"/>
            </w:tcBorders>
            <w:shd w:val="clear" w:color="auto" w:fill="auto"/>
            <w:vAlign w:val="center"/>
            <w:hideMark/>
          </w:tcPr>
          <w:p w14:paraId="7DB78392" w14:textId="05AED761"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25%</w:t>
            </w:r>
          </w:p>
        </w:tc>
      </w:tr>
      <w:tr w:rsidR="00FA422B" w:rsidRPr="00990A88" w14:paraId="78C2F72D" w14:textId="77777777" w:rsidTr="000E4967">
        <w:trPr>
          <w:trHeight w:val="1000"/>
        </w:trPr>
        <w:tc>
          <w:tcPr>
            <w:tcW w:w="1317" w:type="dxa"/>
            <w:tcBorders>
              <w:top w:val="nil"/>
              <w:left w:val="nil"/>
              <w:right w:val="nil"/>
            </w:tcBorders>
            <w:shd w:val="clear" w:color="000000" w:fill="F5F5F5"/>
            <w:vAlign w:val="center"/>
            <w:hideMark/>
          </w:tcPr>
          <w:p w14:paraId="0E70FCD4"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WID </w:t>
            </w:r>
          </w:p>
        </w:tc>
        <w:tc>
          <w:tcPr>
            <w:tcW w:w="1555" w:type="dxa"/>
            <w:tcBorders>
              <w:top w:val="nil"/>
              <w:left w:val="nil"/>
              <w:right w:val="nil"/>
            </w:tcBorders>
            <w:shd w:val="clear" w:color="000000" w:fill="F5F5F5"/>
            <w:vAlign w:val="center"/>
            <w:hideMark/>
          </w:tcPr>
          <w:p w14:paraId="1FA00385"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Drains - WID </w:t>
            </w:r>
          </w:p>
        </w:tc>
        <w:tc>
          <w:tcPr>
            <w:tcW w:w="1556" w:type="dxa"/>
            <w:vMerge/>
            <w:tcBorders>
              <w:left w:val="nil"/>
              <w:right w:val="nil"/>
            </w:tcBorders>
            <w:shd w:val="clear" w:color="000000" w:fill="F5F5F5"/>
            <w:vAlign w:val="center"/>
            <w:hideMark/>
          </w:tcPr>
          <w:p w14:paraId="58B3C920" w14:textId="1339CA6A" w:rsidR="004377C5" w:rsidRPr="00990A88" w:rsidRDefault="004377C5" w:rsidP="000E4967">
            <w:pPr>
              <w:spacing w:before="40" w:after="40" w:line="240" w:lineRule="auto"/>
              <w:rPr>
                <w:rFonts w:eastAsia="Times New Roman" w:cs="Arial"/>
                <w:color w:val="000000"/>
                <w:sz w:val="20"/>
                <w:szCs w:val="20"/>
                <w:lang w:eastAsia="en-AU"/>
              </w:rPr>
            </w:pPr>
          </w:p>
        </w:tc>
        <w:tc>
          <w:tcPr>
            <w:tcW w:w="2962" w:type="dxa"/>
            <w:tcBorders>
              <w:top w:val="nil"/>
              <w:left w:val="nil"/>
              <w:right w:val="nil"/>
            </w:tcBorders>
            <w:shd w:val="clear" w:color="000000" w:fill="F5F5F5"/>
            <w:vAlign w:val="center"/>
            <w:hideMark/>
          </w:tcPr>
          <w:p w14:paraId="0437B93B" w14:textId="4C79762E" w:rsidR="004377C5" w:rsidRPr="00990A88" w:rsidRDefault="004377C5" w:rsidP="000E4967">
            <w:pPr>
              <w:spacing w:before="40" w:after="40" w:line="240" w:lineRule="auto"/>
              <w:rPr>
                <w:rFonts w:eastAsia="Times New Roman" w:cs="Arial"/>
                <w:color w:val="000000"/>
                <w:sz w:val="20"/>
                <w:szCs w:val="20"/>
                <w:lang w:eastAsia="en-AU"/>
              </w:rPr>
            </w:pPr>
            <w:r>
              <w:rPr>
                <w:color w:val="000000"/>
                <w:sz w:val="20"/>
                <w:szCs w:val="20"/>
                <w:lang w:eastAsia="en-AU"/>
              </w:rPr>
              <w:t xml:space="preserve">For </w:t>
            </w:r>
            <w:r w:rsidRPr="00990A88">
              <w:rPr>
                <w:rFonts w:eastAsia="Times New Roman" w:cs="Arial"/>
                <w:color w:val="000000"/>
                <w:sz w:val="20"/>
                <w:szCs w:val="20"/>
                <w:lang w:eastAsia="en-AU"/>
              </w:rPr>
              <w:t xml:space="preserve">rainfall events </w:t>
            </w:r>
            <w:r w:rsidR="00F54E8C" w:rsidRPr="006A2AEF">
              <w:rPr>
                <w:rFonts w:eastAsia="Times New Roman" w:cs="Arial"/>
                <w:color w:val="000000"/>
                <w:sz w:val="20"/>
                <w:szCs w:val="20"/>
                <w:lang w:eastAsia="en-AU"/>
              </w:rPr>
              <w:t>at a frequency of more than</w:t>
            </w:r>
            <w:r w:rsidRPr="00990A88">
              <w:rPr>
                <w:rFonts w:eastAsia="Times New Roman" w:cs="Arial"/>
                <w:color w:val="000000"/>
                <w:sz w:val="20"/>
                <w:szCs w:val="20"/>
                <w:lang w:eastAsia="en-AU"/>
              </w:rPr>
              <w:t xml:space="preserve"> 1:</w:t>
            </w:r>
            <w:r>
              <w:rPr>
                <w:color w:val="000000"/>
                <w:sz w:val="20"/>
                <w:szCs w:val="20"/>
                <w:lang w:eastAsia="en-AU"/>
              </w:rPr>
              <w:t xml:space="preserve">50, </w:t>
            </w:r>
            <w:r w:rsidR="00F54E8C">
              <w:rPr>
                <w:color w:val="000000"/>
                <w:sz w:val="20"/>
                <w:szCs w:val="20"/>
                <w:lang w:eastAsia="en-AU"/>
              </w:rPr>
              <w:t>resulting in</w:t>
            </w:r>
            <w:r>
              <w:rPr>
                <w:color w:val="000000"/>
                <w:sz w:val="20"/>
                <w:szCs w:val="20"/>
                <w:lang w:eastAsia="en-AU"/>
              </w:rPr>
              <w:t xml:space="preserve"> complaints of</w:t>
            </w:r>
            <w:r w:rsidRPr="00990A88">
              <w:rPr>
                <w:rFonts w:eastAsia="Times New Roman" w:cs="Arial"/>
                <w:color w:val="000000"/>
                <w:sz w:val="20"/>
                <w:szCs w:val="20"/>
                <w:lang w:eastAsia="en-AU"/>
              </w:rPr>
              <w:t xml:space="preserve"> water being on properties for more than 24 hours</w:t>
            </w:r>
          </w:p>
        </w:tc>
        <w:tc>
          <w:tcPr>
            <w:tcW w:w="849" w:type="dxa"/>
            <w:tcBorders>
              <w:top w:val="nil"/>
              <w:left w:val="nil"/>
              <w:right w:val="nil"/>
            </w:tcBorders>
            <w:shd w:val="clear" w:color="000000" w:fill="F5F5F5"/>
            <w:vAlign w:val="center"/>
            <w:hideMark/>
          </w:tcPr>
          <w:p w14:paraId="68C9AF6C" w14:textId="66D69863"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8" w:type="dxa"/>
            <w:tcBorders>
              <w:top w:val="nil"/>
              <w:left w:val="nil"/>
              <w:right w:val="nil"/>
            </w:tcBorders>
            <w:shd w:val="clear" w:color="000000" w:fill="F5F5F5"/>
            <w:vAlign w:val="center"/>
            <w:hideMark/>
          </w:tcPr>
          <w:p w14:paraId="1C5BBBC5" w14:textId="51A0FE5B"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9" w:type="dxa"/>
            <w:tcBorders>
              <w:top w:val="nil"/>
              <w:left w:val="nil"/>
              <w:right w:val="nil"/>
            </w:tcBorders>
            <w:shd w:val="clear" w:color="000000" w:fill="F5F5F5"/>
            <w:vAlign w:val="center"/>
          </w:tcPr>
          <w:p w14:paraId="13EA1DC2" w14:textId="10E14874" w:rsidR="004377C5" w:rsidRPr="00990A88" w:rsidRDefault="004377C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right w:val="nil"/>
            </w:tcBorders>
            <w:shd w:val="clear" w:color="000000" w:fill="F5F5F5"/>
            <w:vAlign w:val="center"/>
            <w:hideMark/>
          </w:tcPr>
          <w:p w14:paraId="063F3FE0" w14:textId="1F8963DB"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5</w:t>
            </w:r>
          </w:p>
        </w:tc>
        <w:tc>
          <w:tcPr>
            <w:tcW w:w="849" w:type="dxa"/>
            <w:tcBorders>
              <w:top w:val="nil"/>
              <w:left w:val="nil"/>
              <w:right w:val="nil"/>
            </w:tcBorders>
            <w:shd w:val="clear" w:color="000000" w:fill="F5F5F5"/>
            <w:vAlign w:val="center"/>
            <w:hideMark/>
          </w:tcPr>
          <w:p w14:paraId="4382168B" w14:textId="74C88433"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4</w:t>
            </w:r>
          </w:p>
        </w:tc>
        <w:tc>
          <w:tcPr>
            <w:tcW w:w="811" w:type="dxa"/>
            <w:tcBorders>
              <w:top w:val="nil"/>
              <w:left w:val="nil"/>
              <w:right w:val="nil"/>
            </w:tcBorders>
            <w:shd w:val="clear" w:color="000000" w:fill="F5F5F5"/>
            <w:vAlign w:val="center"/>
            <w:hideMark/>
          </w:tcPr>
          <w:p w14:paraId="70A7A5BD" w14:textId="4B8488D8"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3</w:t>
            </w:r>
          </w:p>
        </w:tc>
        <w:tc>
          <w:tcPr>
            <w:tcW w:w="873" w:type="dxa"/>
            <w:tcBorders>
              <w:top w:val="nil"/>
              <w:left w:val="nil"/>
              <w:right w:val="nil"/>
            </w:tcBorders>
            <w:shd w:val="clear" w:color="000000" w:fill="F5F5F5"/>
            <w:vAlign w:val="center"/>
            <w:hideMark/>
          </w:tcPr>
          <w:p w14:paraId="6A8E3C4B" w14:textId="3682AB19"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w:t>
            </w:r>
          </w:p>
        </w:tc>
        <w:tc>
          <w:tcPr>
            <w:tcW w:w="868" w:type="dxa"/>
            <w:tcBorders>
              <w:top w:val="nil"/>
              <w:left w:val="nil"/>
              <w:right w:val="nil"/>
            </w:tcBorders>
            <w:shd w:val="clear" w:color="000000" w:fill="F5F5F5"/>
            <w:vAlign w:val="center"/>
            <w:hideMark/>
          </w:tcPr>
          <w:p w14:paraId="6DABF42B" w14:textId="4DEAB5BF"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w:t>
            </w:r>
          </w:p>
        </w:tc>
      </w:tr>
      <w:tr w:rsidR="004377C5" w:rsidRPr="00990A88" w14:paraId="19E663B8" w14:textId="77777777" w:rsidTr="000E4967">
        <w:trPr>
          <w:trHeight w:val="438"/>
        </w:trPr>
        <w:tc>
          <w:tcPr>
            <w:tcW w:w="1317" w:type="dxa"/>
            <w:tcBorders>
              <w:top w:val="nil"/>
              <w:left w:val="nil"/>
              <w:bottom w:val="single" w:sz="4" w:space="0" w:color="auto"/>
              <w:right w:val="nil"/>
            </w:tcBorders>
            <w:shd w:val="clear" w:color="auto" w:fill="auto"/>
            <w:vAlign w:val="center"/>
            <w:hideMark/>
          </w:tcPr>
          <w:p w14:paraId="6A91665E"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WID </w:t>
            </w:r>
          </w:p>
        </w:tc>
        <w:tc>
          <w:tcPr>
            <w:tcW w:w="1555" w:type="dxa"/>
            <w:tcBorders>
              <w:top w:val="nil"/>
              <w:left w:val="nil"/>
              <w:bottom w:val="single" w:sz="4" w:space="0" w:color="auto"/>
              <w:right w:val="nil"/>
            </w:tcBorders>
            <w:shd w:val="clear" w:color="auto" w:fill="auto"/>
            <w:vAlign w:val="center"/>
            <w:hideMark/>
          </w:tcPr>
          <w:p w14:paraId="67110913"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Drains – WID </w:t>
            </w:r>
          </w:p>
        </w:tc>
        <w:tc>
          <w:tcPr>
            <w:tcW w:w="1556" w:type="dxa"/>
            <w:vMerge/>
            <w:tcBorders>
              <w:left w:val="nil"/>
              <w:bottom w:val="single" w:sz="4" w:space="0" w:color="auto"/>
              <w:right w:val="nil"/>
            </w:tcBorders>
            <w:shd w:val="clear" w:color="auto" w:fill="auto"/>
            <w:vAlign w:val="center"/>
            <w:hideMark/>
          </w:tcPr>
          <w:p w14:paraId="13961172" w14:textId="7F58C737" w:rsidR="004377C5" w:rsidRPr="00990A88" w:rsidRDefault="004377C5" w:rsidP="000E4967">
            <w:pPr>
              <w:spacing w:before="40" w:after="40" w:line="240" w:lineRule="auto"/>
              <w:rPr>
                <w:rFonts w:eastAsia="Times New Roman" w:cs="Arial"/>
                <w:color w:val="000000"/>
                <w:sz w:val="20"/>
                <w:szCs w:val="20"/>
                <w:lang w:eastAsia="en-AU"/>
              </w:rPr>
            </w:pPr>
          </w:p>
        </w:tc>
        <w:tc>
          <w:tcPr>
            <w:tcW w:w="2962" w:type="dxa"/>
            <w:tcBorders>
              <w:top w:val="nil"/>
              <w:left w:val="nil"/>
              <w:bottom w:val="single" w:sz="4" w:space="0" w:color="auto"/>
              <w:right w:val="nil"/>
            </w:tcBorders>
            <w:shd w:val="clear" w:color="auto" w:fill="auto"/>
            <w:vAlign w:val="center"/>
            <w:hideMark/>
          </w:tcPr>
          <w:p w14:paraId="7F27F955" w14:textId="77777777" w:rsidR="004377C5" w:rsidRPr="00990A88" w:rsidRDefault="004377C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Proportion of priority drains maintained on annual basis</w:t>
            </w:r>
          </w:p>
        </w:tc>
        <w:tc>
          <w:tcPr>
            <w:tcW w:w="849" w:type="dxa"/>
            <w:tcBorders>
              <w:top w:val="nil"/>
              <w:left w:val="nil"/>
              <w:bottom w:val="single" w:sz="4" w:space="0" w:color="auto"/>
              <w:right w:val="nil"/>
            </w:tcBorders>
            <w:shd w:val="clear" w:color="auto" w:fill="auto"/>
            <w:vAlign w:val="center"/>
            <w:hideMark/>
          </w:tcPr>
          <w:p w14:paraId="3B95378D" w14:textId="1D1FF9D0" w:rsidR="004377C5" w:rsidRPr="00990A88" w:rsidRDefault="004377C5" w:rsidP="000E4967">
            <w:pPr>
              <w:spacing w:before="40" w:after="40" w:line="240" w:lineRule="auto"/>
              <w:jc w:val="center"/>
              <w:rPr>
                <w:rFonts w:eastAsia="Times New Roman" w:cs="Arial"/>
                <w:color w:val="000000"/>
                <w:sz w:val="20"/>
                <w:szCs w:val="20"/>
                <w:lang w:eastAsia="en-AU"/>
              </w:rPr>
            </w:pPr>
            <w:r w:rsidRPr="0055233F">
              <w:rPr>
                <w:rFonts w:eastAsia="Times New Roman" w:cs="Arial"/>
                <w:color w:val="000000"/>
                <w:sz w:val="20"/>
                <w:szCs w:val="20"/>
                <w:lang w:eastAsia="en-AU"/>
              </w:rPr>
              <w:t>N/A</w:t>
            </w:r>
          </w:p>
        </w:tc>
        <w:tc>
          <w:tcPr>
            <w:tcW w:w="848" w:type="dxa"/>
            <w:tcBorders>
              <w:top w:val="nil"/>
              <w:left w:val="nil"/>
              <w:bottom w:val="single" w:sz="4" w:space="0" w:color="auto"/>
              <w:right w:val="nil"/>
            </w:tcBorders>
            <w:shd w:val="clear" w:color="auto" w:fill="auto"/>
            <w:vAlign w:val="center"/>
            <w:hideMark/>
          </w:tcPr>
          <w:p w14:paraId="6680F7DC" w14:textId="6EBF6A5D" w:rsidR="004377C5" w:rsidRPr="00990A88" w:rsidRDefault="004377C5" w:rsidP="000E4967">
            <w:pPr>
              <w:spacing w:before="40" w:after="40" w:line="240" w:lineRule="auto"/>
              <w:jc w:val="center"/>
              <w:rPr>
                <w:rFonts w:ascii="Times New Roman" w:eastAsia="Times New Roman" w:hAnsi="Times New Roman" w:cs="Times New Roman"/>
                <w:sz w:val="20"/>
                <w:szCs w:val="20"/>
                <w:lang w:eastAsia="en-AU"/>
              </w:rPr>
            </w:pPr>
            <w:r w:rsidRPr="0055233F">
              <w:rPr>
                <w:rFonts w:eastAsia="Times New Roman" w:cs="Arial"/>
                <w:color w:val="000000"/>
                <w:sz w:val="20"/>
                <w:szCs w:val="20"/>
                <w:lang w:eastAsia="en-AU"/>
              </w:rPr>
              <w:t>N/A</w:t>
            </w:r>
          </w:p>
        </w:tc>
        <w:tc>
          <w:tcPr>
            <w:tcW w:w="849" w:type="dxa"/>
            <w:tcBorders>
              <w:top w:val="nil"/>
              <w:left w:val="nil"/>
              <w:bottom w:val="single" w:sz="4" w:space="0" w:color="auto"/>
              <w:right w:val="nil"/>
            </w:tcBorders>
            <w:vAlign w:val="center"/>
          </w:tcPr>
          <w:p w14:paraId="16176CDB" w14:textId="3623CBCD" w:rsidR="004377C5" w:rsidRPr="00990A88" w:rsidRDefault="004377C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48" w:type="dxa"/>
            <w:tcBorders>
              <w:top w:val="nil"/>
              <w:left w:val="nil"/>
              <w:bottom w:val="single" w:sz="4" w:space="0" w:color="auto"/>
              <w:right w:val="nil"/>
            </w:tcBorders>
            <w:shd w:val="clear" w:color="auto" w:fill="auto"/>
            <w:vAlign w:val="center"/>
            <w:hideMark/>
          </w:tcPr>
          <w:p w14:paraId="7CB19261" w14:textId="404B4E28"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w:t>
            </w:r>
          </w:p>
        </w:tc>
        <w:tc>
          <w:tcPr>
            <w:tcW w:w="849" w:type="dxa"/>
            <w:tcBorders>
              <w:top w:val="nil"/>
              <w:left w:val="nil"/>
              <w:bottom w:val="single" w:sz="4" w:space="0" w:color="auto"/>
              <w:right w:val="nil"/>
            </w:tcBorders>
            <w:shd w:val="clear" w:color="auto" w:fill="auto"/>
            <w:vAlign w:val="center"/>
            <w:hideMark/>
          </w:tcPr>
          <w:p w14:paraId="43497CD0" w14:textId="24023258"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15%</w:t>
            </w:r>
          </w:p>
        </w:tc>
        <w:tc>
          <w:tcPr>
            <w:tcW w:w="811" w:type="dxa"/>
            <w:tcBorders>
              <w:top w:val="nil"/>
              <w:left w:val="nil"/>
              <w:bottom w:val="single" w:sz="4" w:space="0" w:color="auto"/>
              <w:right w:val="nil"/>
            </w:tcBorders>
            <w:shd w:val="clear" w:color="auto" w:fill="auto"/>
            <w:vAlign w:val="center"/>
            <w:hideMark/>
          </w:tcPr>
          <w:p w14:paraId="75460EDA" w14:textId="03521D55"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20%</w:t>
            </w:r>
          </w:p>
        </w:tc>
        <w:tc>
          <w:tcPr>
            <w:tcW w:w="873" w:type="dxa"/>
            <w:tcBorders>
              <w:top w:val="nil"/>
              <w:left w:val="nil"/>
              <w:bottom w:val="single" w:sz="4" w:space="0" w:color="auto"/>
              <w:right w:val="nil"/>
            </w:tcBorders>
            <w:shd w:val="clear" w:color="auto" w:fill="auto"/>
            <w:vAlign w:val="center"/>
            <w:hideMark/>
          </w:tcPr>
          <w:p w14:paraId="1BB4B27D" w14:textId="003C04AC"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25%</w:t>
            </w:r>
          </w:p>
        </w:tc>
        <w:tc>
          <w:tcPr>
            <w:tcW w:w="868" w:type="dxa"/>
            <w:tcBorders>
              <w:top w:val="nil"/>
              <w:left w:val="nil"/>
              <w:bottom w:val="single" w:sz="4" w:space="0" w:color="auto"/>
              <w:right w:val="nil"/>
            </w:tcBorders>
            <w:shd w:val="clear" w:color="auto" w:fill="auto"/>
            <w:vAlign w:val="center"/>
            <w:hideMark/>
          </w:tcPr>
          <w:p w14:paraId="7E303175" w14:textId="198BF635" w:rsidR="004377C5" w:rsidRPr="000E4967" w:rsidRDefault="004377C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25%</w:t>
            </w:r>
          </w:p>
        </w:tc>
      </w:tr>
    </w:tbl>
    <w:p w14:paraId="26AF5C04" w14:textId="77777777" w:rsidR="006A2AEF" w:rsidRDefault="006A2AEF">
      <w:r>
        <w:br w:type="page"/>
      </w:r>
    </w:p>
    <w:tbl>
      <w:tblPr>
        <w:tblW w:w="13873" w:type="dxa"/>
        <w:tblInd w:w="-993" w:type="dxa"/>
        <w:tblLook w:val="04A0" w:firstRow="1" w:lastRow="0" w:firstColumn="1" w:lastColumn="0" w:noHBand="0" w:noVBand="1"/>
      </w:tblPr>
      <w:tblGrid>
        <w:gridCol w:w="1429"/>
        <w:gridCol w:w="1549"/>
        <w:gridCol w:w="1791"/>
        <w:gridCol w:w="1980"/>
        <w:gridCol w:w="913"/>
        <w:gridCol w:w="896"/>
        <w:gridCol w:w="914"/>
        <w:gridCol w:w="898"/>
        <w:gridCol w:w="897"/>
        <w:gridCol w:w="898"/>
        <w:gridCol w:w="857"/>
        <w:gridCol w:w="851"/>
      </w:tblGrid>
      <w:tr w:rsidR="00FA422B" w:rsidRPr="00990A88" w14:paraId="2773F34F" w14:textId="77777777" w:rsidTr="00760E19">
        <w:trPr>
          <w:trHeight w:val="296"/>
        </w:trPr>
        <w:tc>
          <w:tcPr>
            <w:tcW w:w="1429" w:type="dxa"/>
            <w:tcBorders>
              <w:top w:val="nil"/>
              <w:left w:val="nil"/>
              <w:bottom w:val="nil"/>
              <w:right w:val="nil"/>
            </w:tcBorders>
            <w:shd w:val="clear" w:color="auto" w:fill="70CBD0"/>
            <w:vAlign w:val="center"/>
          </w:tcPr>
          <w:p w14:paraId="79F5DE64" w14:textId="5EB9503D" w:rsidR="00AC3781" w:rsidRPr="00C33511" w:rsidRDefault="00AC3781" w:rsidP="00AC3781">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Customers </w:t>
            </w:r>
          </w:p>
        </w:tc>
        <w:tc>
          <w:tcPr>
            <w:tcW w:w="1549" w:type="dxa"/>
            <w:tcBorders>
              <w:top w:val="nil"/>
              <w:left w:val="nil"/>
              <w:bottom w:val="nil"/>
              <w:right w:val="nil"/>
            </w:tcBorders>
            <w:shd w:val="clear" w:color="auto" w:fill="70CBD0"/>
            <w:vAlign w:val="center"/>
          </w:tcPr>
          <w:p w14:paraId="68618B60" w14:textId="06482C46" w:rsidR="00AC3781" w:rsidRPr="00C33511" w:rsidRDefault="00AC3781" w:rsidP="00AC3781">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Output </w:t>
            </w:r>
          </w:p>
        </w:tc>
        <w:tc>
          <w:tcPr>
            <w:tcW w:w="1791" w:type="dxa"/>
            <w:tcBorders>
              <w:top w:val="nil"/>
              <w:left w:val="nil"/>
              <w:bottom w:val="nil"/>
              <w:right w:val="nil"/>
            </w:tcBorders>
            <w:shd w:val="clear" w:color="auto" w:fill="70CBD0"/>
            <w:vAlign w:val="center"/>
          </w:tcPr>
          <w:p w14:paraId="012CD532" w14:textId="19D7336D" w:rsidR="00AC3781" w:rsidRPr="00C33511" w:rsidRDefault="00AC3781" w:rsidP="00AC3781">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Why </w:t>
            </w:r>
          </w:p>
        </w:tc>
        <w:tc>
          <w:tcPr>
            <w:tcW w:w="1980" w:type="dxa"/>
            <w:tcBorders>
              <w:top w:val="nil"/>
              <w:left w:val="nil"/>
              <w:bottom w:val="nil"/>
              <w:right w:val="nil"/>
            </w:tcBorders>
            <w:shd w:val="clear" w:color="auto" w:fill="70CBD0"/>
            <w:vAlign w:val="center"/>
          </w:tcPr>
          <w:p w14:paraId="2FFB812F" w14:textId="6FDCA6B3" w:rsidR="00AC3781" w:rsidRPr="00C33511" w:rsidRDefault="00AC3781" w:rsidP="00AC3781">
            <w:pPr>
              <w:spacing w:after="0" w:line="240" w:lineRule="auto"/>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Measure </w:t>
            </w:r>
          </w:p>
        </w:tc>
        <w:tc>
          <w:tcPr>
            <w:tcW w:w="913" w:type="dxa"/>
            <w:tcBorders>
              <w:top w:val="nil"/>
              <w:left w:val="nil"/>
              <w:bottom w:val="nil"/>
              <w:right w:val="nil"/>
            </w:tcBorders>
            <w:shd w:val="clear" w:color="auto" w:fill="70CBD0"/>
            <w:vAlign w:val="center"/>
          </w:tcPr>
          <w:p w14:paraId="5E97AD62" w14:textId="7EF41384"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20-21</w:t>
            </w:r>
          </w:p>
        </w:tc>
        <w:tc>
          <w:tcPr>
            <w:tcW w:w="896" w:type="dxa"/>
            <w:tcBorders>
              <w:top w:val="nil"/>
              <w:left w:val="nil"/>
              <w:bottom w:val="nil"/>
              <w:right w:val="nil"/>
            </w:tcBorders>
            <w:shd w:val="clear" w:color="auto" w:fill="70CBD0"/>
            <w:vAlign w:val="center"/>
          </w:tcPr>
          <w:p w14:paraId="7BE36E9D" w14:textId="749D9DC5"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21-22 </w:t>
            </w:r>
          </w:p>
        </w:tc>
        <w:tc>
          <w:tcPr>
            <w:tcW w:w="914" w:type="dxa"/>
            <w:tcBorders>
              <w:top w:val="nil"/>
              <w:left w:val="nil"/>
              <w:bottom w:val="nil"/>
              <w:right w:val="nil"/>
            </w:tcBorders>
            <w:shd w:val="clear" w:color="auto" w:fill="70CBD0"/>
            <w:vAlign w:val="center"/>
          </w:tcPr>
          <w:p w14:paraId="5F1775AB" w14:textId="5DBA8148"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22-23</w:t>
            </w:r>
          </w:p>
        </w:tc>
        <w:tc>
          <w:tcPr>
            <w:tcW w:w="898" w:type="dxa"/>
            <w:tcBorders>
              <w:top w:val="nil"/>
              <w:left w:val="nil"/>
              <w:bottom w:val="nil"/>
              <w:right w:val="nil"/>
            </w:tcBorders>
            <w:shd w:val="clear" w:color="auto" w:fill="70CBD0"/>
            <w:vAlign w:val="center"/>
          </w:tcPr>
          <w:p w14:paraId="220A0C0C" w14:textId="56FE8497"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23-24 </w:t>
            </w:r>
          </w:p>
        </w:tc>
        <w:tc>
          <w:tcPr>
            <w:tcW w:w="897" w:type="dxa"/>
            <w:tcBorders>
              <w:top w:val="nil"/>
              <w:left w:val="nil"/>
              <w:bottom w:val="nil"/>
              <w:right w:val="nil"/>
            </w:tcBorders>
            <w:shd w:val="clear" w:color="auto" w:fill="70CBD0"/>
            <w:vAlign w:val="center"/>
          </w:tcPr>
          <w:p w14:paraId="767CE38D" w14:textId="7D318219"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24-25 </w:t>
            </w:r>
          </w:p>
        </w:tc>
        <w:tc>
          <w:tcPr>
            <w:tcW w:w="898" w:type="dxa"/>
            <w:tcBorders>
              <w:top w:val="nil"/>
              <w:left w:val="nil"/>
              <w:bottom w:val="nil"/>
              <w:right w:val="nil"/>
            </w:tcBorders>
            <w:shd w:val="clear" w:color="auto" w:fill="70CBD0"/>
            <w:vAlign w:val="center"/>
          </w:tcPr>
          <w:p w14:paraId="30328518" w14:textId="6F58F2D7"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25-26 </w:t>
            </w:r>
          </w:p>
        </w:tc>
        <w:tc>
          <w:tcPr>
            <w:tcW w:w="857" w:type="dxa"/>
            <w:tcBorders>
              <w:top w:val="nil"/>
              <w:left w:val="nil"/>
              <w:bottom w:val="nil"/>
              <w:right w:val="nil"/>
            </w:tcBorders>
            <w:shd w:val="clear" w:color="auto" w:fill="70CBD0"/>
            <w:vAlign w:val="center"/>
          </w:tcPr>
          <w:p w14:paraId="1D28C0B7" w14:textId="42690263"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26-27 </w:t>
            </w:r>
          </w:p>
        </w:tc>
        <w:tc>
          <w:tcPr>
            <w:tcW w:w="851" w:type="dxa"/>
            <w:tcBorders>
              <w:top w:val="nil"/>
              <w:left w:val="nil"/>
              <w:bottom w:val="nil"/>
              <w:right w:val="nil"/>
            </w:tcBorders>
            <w:shd w:val="clear" w:color="auto" w:fill="70CBD0"/>
            <w:vAlign w:val="center"/>
          </w:tcPr>
          <w:p w14:paraId="3F75DB89" w14:textId="518D798A" w:rsidR="00AC3781" w:rsidRPr="00C33511" w:rsidRDefault="00AC3781" w:rsidP="00AC3781">
            <w:pPr>
              <w:spacing w:after="0" w:line="240" w:lineRule="auto"/>
              <w:jc w:val="right"/>
              <w:rPr>
                <w:rFonts w:eastAsia="Times New Roman" w:cs="Arial"/>
                <w:b/>
                <w:bCs/>
                <w:color w:val="000000"/>
                <w:sz w:val="20"/>
                <w:szCs w:val="20"/>
                <w:lang w:eastAsia="en-AU"/>
              </w:rPr>
            </w:pPr>
            <w:r w:rsidRPr="00C33511">
              <w:rPr>
                <w:rFonts w:eastAsia="Times New Roman" w:cs="Arial"/>
                <w:b/>
                <w:bCs/>
                <w:color w:val="FFFFFF" w:themeColor="background1"/>
                <w:sz w:val="20"/>
                <w:szCs w:val="20"/>
                <w:lang w:eastAsia="en-AU"/>
              </w:rPr>
              <w:t>27-28</w:t>
            </w:r>
          </w:p>
        </w:tc>
      </w:tr>
      <w:tr w:rsidR="00C01DCE" w:rsidRPr="00990A88" w14:paraId="7E001D51" w14:textId="77777777" w:rsidTr="000E4967">
        <w:trPr>
          <w:trHeight w:val="201"/>
        </w:trPr>
        <w:tc>
          <w:tcPr>
            <w:tcW w:w="1429" w:type="dxa"/>
            <w:tcBorders>
              <w:top w:val="nil"/>
              <w:left w:val="nil"/>
              <w:bottom w:val="nil"/>
              <w:right w:val="nil"/>
            </w:tcBorders>
            <w:shd w:val="clear" w:color="auto" w:fill="F2F2F2" w:themeFill="background1" w:themeFillShade="F2"/>
            <w:vAlign w:val="center"/>
          </w:tcPr>
          <w:p w14:paraId="594E6B07" w14:textId="77777777" w:rsidR="00336767" w:rsidRPr="00990A88" w:rsidRDefault="00336767" w:rsidP="00AC3781">
            <w:pPr>
              <w:spacing w:after="0" w:line="240" w:lineRule="auto"/>
              <w:rPr>
                <w:rFonts w:eastAsia="Times New Roman" w:cs="Arial"/>
                <w:b/>
                <w:bCs/>
                <w:color w:val="000000"/>
                <w:sz w:val="20"/>
                <w:szCs w:val="20"/>
                <w:lang w:eastAsia="en-AU"/>
              </w:rPr>
            </w:pPr>
          </w:p>
        </w:tc>
        <w:tc>
          <w:tcPr>
            <w:tcW w:w="1549" w:type="dxa"/>
            <w:tcBorders>
              <w:top w:val="nil"/>
              <w:left w:val="nil"/>
              <w:bottom w:val="nil"/>
              <w:right w:val="nil"/>
            </w:tcBorders>
            <w:shd w:val="clear" w:color="auto" w:fill="F2F2F2" w:themeFill="background1" w:themeFillShade="F2"/>
            <w:vAlign w:val="center"/>
          </w:tcPr>
          <w:p w14:paraId="306CD27F" w14:textId="77777777" w:rsidR="00336767" w:rsidRPr="00990A88" w:rsidRDefault="00336767" w:rsidP="00AC3781">
            <w:pPr>
              <w:spacing w:after="0" w:line="240" w:lineRule="auto"/>
              <w:rPr>
                <w:rFonts w:eastAsia="Times New Roman" w:cs="Arial"/>
                <w:color w:val="000000"/>
                <w:sz w:val="20"/>
                <w:szCs w:val="20"/>
                <w:lang w:eastAsia="en-AU"/>
              </w:rPr>
            </w:pPr>
          </w:p>
        </w:tc>
        <w:tc>
          <w:tcPr>
            <w:tcW w:w="1791" w:type="dxa"/>
            <w:tcBorders>
              <w:top w:val="nil"/>
              <w:left w:val="nil"/>
              <w:bottom w:val="nil"/>
              <w:right w:val="nil"/>
            </w:tcBorders>
            <w:shd w:val="clear" w:color="auto" w:fill="F2F2F2" w:themeFill="background1" w:themeFillShade="F2"/>
            <w:vAlign w:val="center"/>
          </w:tcPr>
          <w:p w14:paraId="59D41BA4" w14:textId="77777777" w:rsidR="00336767" w:rsidRPr="00990A88" w:rsidRDefault="00336767" w:rsidP="00AC3781">
            <w:pPr>
              <w:spacing w:after="0" w:line="240" w:lineRule="auto"/>
              <w:rPr>
                <w:rFonts w:eastAsia="Times New Roman" w:cs="Arial"/>
                <w:color w:val="000000"/>
                <w:sz w:val="20"/>
                <w:szCs w:val="20"/>
                <w:lang w:eastAsia="en-AU"/>
              </w:rPr>
            </w:pPr>
          </w:p>
        </w:tc>
        <w:tc>
          <w:tcPr>
            <w:tcW w:w="1980" w:type="dxa"/>
            <w:tcBorders>
              <w:top w:val="nil"/>
              <w:left w:val="nil"/>
              <w:bottom w:val="nil"/>
              <w:right w:val="nil"/>
            </w:tcBorders>
            <w:shd w:val="clear" w:color="auto" w:fill="F2F2F2" w:themeFill="background1" w:themeFillShade="F2"/>
            <w:vAlign w:val="center"/>
          </w:tcPr>
          <w:p w14:paraId="393543B0" w14:textId="77777777" w:rsidR="00336767" w:rsidRPr="00990A88" w:rsidRDefault="00336767" w:rsidP="00AC3781">
            <w:pPr>
              <w:spacing w:after="0" w:line="240" w:lineRule="auto"/>
              <w:rPr>
                <w:rFonts w:eastAsia="Times New Roman" w:cs="Arial"/>
                <w:color w:val="000000"/>
                <w:sz w:val="20"/>
                <w:szCs w:val="20"/>
                <w:lang w:eastAsia="en-AU"/>
              </w:rPr>
            </w:pPr>
          </w:p>
        </w:tc>
        <w:tc>
          <w:tcPr>
            <w:tcW w:w="2723" w:type="dxa"/>
            <w:gridSpan w:val="3"/>
            <w:tcBorders>
              <w:top w:val="nil"/>
              <w:left w:val="nil"/>
              <w:bottom w:val="nil"/>
              <w:right w:val="nil"/>
            </w:tcBorders>
            <w:shd w:val="clear" w:color="auto" w:fill="F2F2F2" w:themeFill="background1" w:themeFillShade="F2"/>
            <w:vAlign w:val="center"/>
          </w:tcPr>
          <w:p w14:paraId="1B86655C" w14:textId="4E96A52A" w:rsidR="00336767" w:rsidRPr="00990A88" w:rsidRDefault="00336767" w:rsidP="00336767">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18</w:t>
            </w:r>
          </w:p>
        </w:tc>
        <w:tc>
          <w:tcPr>
            <w:tcW w:w="4401" w:type="dxa"/>
            <w:gridSpan w:val="5"/>
            <w:tcBorders>
              <w:top w:val="nil"/>
              <w:left w:val="nil"/>
              <w:bottom w:val="nil"/>
              <w:right w:val="nil"/>
            </w:tcBorders>
            <w:shd w:val="clear" w:color="auto" w:fill="F2F2F2" w:themeFill="background1" w:themeFillShade="F2"/>
            <w:vAlign w:val="center"/>
          </w:tcPr>
          <w:p w14:paraId="796A4C5A" w14:textId="56A0536B" w:rsidR="00336767" w:rsidRPr="00990A88" w:rsidRDefault="00336767" w:rsidP="00336767">
            <w:pPr>
              <w:spacing w:after="0" w:line="240" w:lineRule="auto"/>
              <w:rPr>
                <w:rFonts w:eastAsia="Times New Roman" w:cs="Arial"/>
                <w:color w:val="000000"/>
                <w:sz w:val="20"/>
                <w:szCs w:val="20"/>
                <w:lang w:eastAsia="en-AU"/>
              </w:rPr>
            </w:pPr>
            <w:r>
              <w:rPr>
                <w:rFonts w:eastAsia="Times New Roman" w:cs="Arial"/>
                <w:color w:val="000000"/>
                <w:sz w:val="20"/>
                <w:szCs w:val="20"/>
                <w:lang w:eastAsia="en-AU"/>
              </w:rPr>
              <w:t>PS 23</w:t>
            </w:r>
          </w:p>
        </w:tc>
      </w:tr>
      <w:tr w:rsidR="00E41596" w:rsidRPr="00990A88" w14:paraId="154BE54E" w14:textId="77777777" w:rsidTr="000E4967">
        <w:trPr>
          <w:trHeight w:val="68"/>
        </w:trPr>
        <w:tc>
          <w:tcPr>
            <w:tcW w:w="13873" w:type="dxa"/>
            <w:gridSpan w:val="12"/>
            <w:tcBorders>
              <w:top w:val="nil"/>
              <w:left w:val="nil"/>
              <w:bottom w:val="nil"/>
              <w:right w:val="nil"/>
            </w:tcBorders>
            <w:shd w:val="clear" w:color="auto" w:fill="F2F2F2" w:themeFill="background1" w:themeFillShade="F2"/>
            <w:vAlign w:val="center"/>
            <w:hideMark/>
          </w:tcPr>
          <w:p w14:paraId="4AE02DDA" w14:textId="6413EFD6" w:rsidR="00E41596" w:rsidRPr="00990A88" w:rsidRDefault="00E41596" w:rsidP="00E41596">
            <w:pPr>
              <w:spacing w:after="0" w:line="240" w:lineRule="auto"/>
              <w:rPr>
                <w:rFonts w:eastAsia="Times New Roman" w:cs="Arial"/>
                <w:color w:val="000000"/>
                <w:sz w:val="20"/>
                <w:szCs w:val="20"/>
                <w:lang w:eastAsia="en-AU"/>
              </w:rPr>
            </w:pPr>
            <w:r w:rsidRPr="00990A88">
              <w:rPr>
                <w:rFonts w:eastAsia="Times New Roman" w:cs="Arial"/>
                <w:b/>
                <w:bCs/>
                <w:color w:val="000000"/>
                <w:sz w:val="20"/>
                <w:szCs w:val="20"/>
                <w:lang w:eastAsia="en-AU"/>
              </w:rPr>
              <w:t>Community value</w:t>
            </w:r>
          </w:p>
        </w:tc>
      </w:tr>
      <w:tr w:rsidR="004776B4" w:rsidRPr="00990A88" w14:paraId="56095D38" w14:textId="77777777" w:rsidTr="00760E19">
        <w:trPr>
          <w:trHeight w:val="989"/>
        </w:trPr>
        <w:tc>
          <w:tcPr>
            <w:tcW w:w="1429" w:type="dxa"/>
            <w:tcBorders>
              <w:top w:val="nil"/>
              <w:left w:val="nil"/>
              <w:bottom w:val="nil"/>
              <w:right w:val="nil"/>
            </w:tcBorders>
            <w:shd w:val="clear" w:color="auto" w:fill="auto"/>
            <w:vAlign w:val="center"/>
            <w:hideMark/>
          </w:tcPr>
          <w:p w14:paraId="1BA8A466"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All</w:t>
            </w:r>
          </w:p>
        </w:tc>
        <w:tc>
          <w:tcPr>
            <w:tcW w:w="1549" w:type="dxa"/>
            <w:tcBorders>
              <w:top w:val="nil"/>
              <w:left w:val="nil"/>
              <w:bottom w:val="nil"/>
              <w:right w:val="nil"/>
            </w:tcBorders>
            <w:shd w:val="clear" w:color="auto" w:fill="auto"/>
            <w:vAlign w:val="center"/>
            <w:hideMark/>
          </w:tcPr>
          <w:p w14:paraId="2FB7A656"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Emission reductions </w:t>
            </w:r>
          </w:p>
        </w:tc>
        <w:tc>
          <w:tcPr>
            <w:tcW w:w="1791" w:type="dxa"/>
            <w:tcBorders>
              <w:top w:val="nil"/>
              <w:left w:val="nil"/>
              <w:bottom w:val="nil"/>
              <w:right w:val="nil"/>
            </w:tcBorders>
            <w:shd w:val="clear" w:color="auto" w:fill="auto"/>
            <w:vAlign w:val="center"/>
            <w:hideMark/>
          </w:tcPr>
          <w:p w14:paraId="3374FD72"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We are committed to net zero by 2025. (MRD requirement)</w:t>
            </w:r>
          </w:p>
        </w:tc>
        <w:tc>
          <w:tcPr>
            <w:tcW w:w="1980" w:type="dxa"/>
            <w:tcBorders>
              <w:top w:val="nil"/>
              <w:left w:val="nil"/>
              <w:bottom w:val="nil"/>
              <w:right w:val="nil"/>
            </w:tcBorders>
            <w:shd w:val="clear" w:color="auto" w:fill="auto"/>
            <w:vAlign w:val="center"/>
            <w:hideMark/>
          </w:tcPr>
          <w:p w14:paraId="2A2BCDD7" w14:textId="77777777" w:rsidR="00DA535A" w:rsidRPr="00990A88" w:rsidRDefault="00DA535A"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Net tonnes CO2 emissions </w:t>
            </w:r>
          </w:p>
        </w:tc>
        <w:tc>
          <w:tcPr>
            <w:tcW w:w="913" w:type="dxa"/>
            <w:tcBorders>
              <w:top w:val="nil"/>
              <w:left w:val="nil"/>
              <w:bottom w:val="nil"/>
              <w:right w:val="nil"/>
            </w:tcBorders>
            <w:shd w:val="clear" w:color="auto" w:fill="auto"/>
            <w:vAlign w:val="center"/>
            <w:hideMark/>
          </w:tcPr>
          <w:p w14:paraId="6D847942" w14:textId="37C334B9" w:rsidR="00DA535A" w:rsidRPr="00990A88" w:rsidRDefault="00DA535A"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96" w:type="dxa"/>
            <w:tcBorders>
              <w:top w:val="nil"/>
              <w:left w:val="nil"/>
              <w:bottom w:val="nil"/>
              <w:right w:val="nil"/>
            </w:tcBorders>
            <w:shd w:val="clear" w:color="auto" w:fill="auto"/>
            <w:vAlign w:val="center"/>
            <w:hideMark/>
          </w:tcPr>
          <w:p w14:paraId="0E2CD61C" w14:textId="56CA6091" w:rsidR="00DA535A" w:rsidRPr="00990A88" w:rsidRDefault="00DA535A" w:rsidP="000E4967">
            <w:pPr>
              <w:spacing w:before="40" w:after="40" w:line="240" w:lineRule="auto"/>
              <w:jc w:val="center"/>
              <w:rPr>
                <w:rFonts w:ascii="Times New Roman" w:eastAsia="Times New Roman" w:hAnsi="Times New Roman" w:cs="Times New Roman"/>
                <w:sz w:val="20"/>
                <w:szCs w:val="20"/>
                <w:lang w:eastAsia="en-AU"/>
              </w:rPr>
            </w:pPr>
            <w:r w:rsidRPr="00AE7814">
              <w:rPr>
                <w:rFonts w:eastAsia="Times New Roman" w:cs="Arial"/>
                <w:color w:val="000000"/>
                <w:sz w:val="20"/>
                <w:szCs w:val="20"/>
                <w:lang w:eastAsia="en-AU"/>
              </w:rPr>
              <w:t>N/A</w:t>
            </w:r>
          </w:p>
        </w:tc>
        <w:tc>
          <w:tcPr>
            <w:tcW w:w="914" w:type="dxa"/>
            <w:tcBorders>
              <w:top w:val="nil"/>
              <w:left w:val="nil"/>
              <w:bottom w:val="nil"/>
              <w:right w:val="nil"/>
            </w:tcBorders>
            <w:vAlign w:val="center"/>
          </w:tcPr>
          <w:p w14:paraId="32821A24" w14:textId="0C804C30" w:rsidR="00DA535A" w:rsidRPr="00990A88" w:rsidRDefault="00B5755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98" w:type="dxa"/>
            <w:tcBorders>
              <w:top w:val="nil"/>
              <w:left w:val="nil"/>
              <w:bottom w:val="nil"/>
              <w:right w:val="nil"/>
            </w:tcBorders>
            <w:shd w:val="clear" w:color="auto" w:fill="auto"/>
            <w:vAlign w:val="center"/>
            <w:hideMark/>
          </w:tcPr>
          <w:p w14:paraId="691EB0D5" w14:textId="297110D0"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800</w:t>
            </w:r>
          </w:p>
        </w:tc>
        <w:tc>
          <w:tcPr>
            <w:tcW w:w="897" w:type="dxa"/>
            <w:tcBorders>
              <w:top w:val="nil"/>
              <w:left w:val="nil"/>
              <w:bottom w:val="nil"/>
              <w:right w:val="nil"/>
            </w:tcBorders>
            <w:shd w:val="clear" w:color="auto" w:fill="auto"/>
            <w:vAlign w:val="center"/>
            <w:hideMark/>
          </w:tcPr>
          <w:p w14:paraId="5972D237" w14:textId="719EC2AB"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800</w:t>
            </w:r>
          </w:p>
        </w:tc>
        <w:tc>
          <w:tcPr>
            <w:tcW w:w="898" w:type="dxa"/>
            <w:tcBorders>
              <w:top w:val="nil"/>
              <w:left w:val="nil"/>
              <w:bottom w:val="nil"/>
              <w:right w:val="nil"/>
            </w:tcBorders>
            <w:shd w:val="clear" w:color="auto" w:fill="auto"/>
            <w:vAlign w:val="center"/>
            <w:hideMark/>
          </w:tcPr>
          <w:p w14:paraId="24F764F8" w14:textId="729F026B"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0</w:t>
            </w:r>
          </w:p>
        </w:tc>
        <w:tc>
          <w:tcPr>
            <w:tcW w:w="857" w:type="dxa"/>
            <w:tcBorders>
              <w:top w:val="nil"/>
              <w:left w:val="nil"/>
              <w:bottom w:val="nil"/>
              <w:right w:val="nil"/>
            </w:tcBorders>
            <w:shd w:val="clear" w:color="auto" w:fill="auto"/>
            <w:vAlign w:val="center"/>
            <w:hideMark/>
          </w:tcPr>
          <w:p w14:paraId="41E94188" w14:textId="592CBD14"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0</w:t>
            </w:r>
          </w:p>
        </w:tc>
        <w:tc>
          <w:tcPr>
            <w:tcW w:w="851" w:type="dxa"/>
            <w:tcBorders>
              <w:top w:val="nil"/>
              <w:left w:val="nil"/>
              <w:bottom w:val="nil"/>
              <w:right w:val="nil"/>
            </w:tcBorders>
            <w:shd w:val="clear" w:color="auto" w:fill="auto"/>
            <w:vAlign w:val="center"/>
            <w:hideMark/>
          </w:tcPr>
          <w:p w14:paraId="2C83C42A" w14:textId="245E8BFF"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0</w:t>
            </w:r>
          </w:p>
        </w:tc>
      </w:tr>
      <w:tr w:rsidR="00FA422B" w:rsidRPr="00990A88" w14:paraId="21F5A9B8" w14:textId="77777777" w:rsidTr="000E4967">
        <w:trPr>
          <w:trHeight w:val="742"/>
        </w:trPr>
        <w:tc>
          <w:tcPr>
            <w:tcW w:w="1429" w:type="dxa"/>
            <w:tcBorders>
              <w:top w:val="nil"/>
              <w:left w:val="nil"/>
              <w:right w:val="nil"/>
            </w:tcBorders>
            <w:shd w:val="clear" w:color="000000" w:fill="F5F5F5"/>
            <w:vAlign w:val="center"/>
            <w:hideMark/>
          </w:tcPr>
          <w:p w14:paraId="4049FEA4"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color w:val="000000"/>
                <w:sz w:val="20"/>
                <w:szCs w:val="20"/>
                <w:lang w:eastAsia="en-AU"/>
              </w:rPr>
              <w:t>Bulk entitlements</w:t>
            </w:r>
          </w:p>
        </w:tc>
        <w:tc>
          <w:tcPr>
            <w:tcW w:w="1549" w:type="dxa"/>
            <w:tcBorders>
              <w:top w:val="nil"/>
              <w:left w:val="nil"/>
              <w:right w:val="nil"/>
            </w:tcBorders>
            <w:shd w:val="clear" w:color="000000" w:fill="F5F5F5"/>
            <w:vAlign w:val="center"/>
            <w:hideMark/>
          </w:tcPr>
          <w:p w14:paraId="71BAB67D"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color w:val="000000"/>
                <w:sz w:val="20"/>
                <w:szCs w:val="20"/>
                <w:lang w:eastAsia="en-AU"/>
              </w:rPr>
              <w:t>Environmental flows</w:t>
            </w:r>
          </w:p>
        </w:tc>
        <w:tc>
          <w:tcPr>
            <w:tcW w:w="1791" w:type="dxa"/>
            <w:tcBorders>
              <w:top w:val="nil"/>
              <w:left w:val="nil"/>
              <w:right w:val="nil"/>
            </w:tcBorders>
            <w:shd w:val="clear" w:color="000000" w:fill="F5F5F5"/>
            <w:vAlign w:val="center"/>
            <w:hideMark/>
          </w:tcPr>
          <w:p w14:paraId="22F7BC3E" w14:textId="284AD495"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color w:val="000000"/>
                <w:sz w:val="20"/>
                <w:szCs w:val="20"/>
                <w:lang w:eastAsia="en-AU"/>
              </w:rPr>
              <w:t>We are committed to protecting the health of our rivers</w:t>
            </w:r>
          </w:p>
        </w:tc>
        <w:tc>
          <w:tcPr>
            <w:tcW w:w="1980" w:type="dxa"/>
            <w:tcBorders>
              <w:top w:val="nil"/>
              <w:left w:val="nil"/>
              <w:right w:val="nil"/>
            </w:tcBorders>
            <w:shd w:val="clear" w:color="000000" w:fill="F5F5F5"/>
            <w:vAlign w:val="center"/>
            <w:hideMark/>
          </w:tcPr>
          <w:p w14:paraId="14FD607B" w14:textId="77777777" w:rsidR="00DA535A" w:rsidRPr="00EA4879" w:rsidRDefault="00DA535A" w:rsidP="000E4967">
            <w:pPr>
              <w:spacing w:before="40" w:after="40" w:line="240" w:lineRule="auto"/>
              <w:rPr>
                <w:rFonts w:eastAsia="Times New Roman" w:cs="Arial"/>
                <w:color w:val="000000"/>
                <w:sz w:val="20"/>
                <w:szCs w:val="20"/>
                <w:lang w:eastAsia="en-AU"/>
              </w:rPr>
            </w:pPr>
            <w:r w:rsidRPr="00EA4879">
              <w:rPr>
                <w:rFonts w:eastAsia="Times New Roman" w:cs="Arial"/>
                <w:color w:val="000000"/>
                <w:sz w:val="20"/>
                <w:szCs w:val="20"/>
                <w:lang w:eastAsia="en-AU"/>
              </w:rPr>
              <w:t>Environmental flows are released in accordance with bulk entitlements obligations</w:t>
            </w:r>
          </w:p>
        </w:tc>
        <w:tc>
          <w:tcPr>
            <w:tcW w:w="913" w:type="dxa"/>
            <w:tcBorders>
              <w:top w:val="nil"/>
              <w:left w:val="nil"/>
              <w:right w:val="nil"/>
            </w:tcBorders>
            <w:shd w:val="clear" w:color="000000" w:fill="F5F5F5"/>
            <w:vAlign w:val="center"/>
            <w:hideMark/>
          </w:tcPr>
          <w:p w14:paraId="576B0CDF" w14:textId="59CA24B4"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N/A</w:t>
            </w:r>
          </w:p>
        </w:tc>
        <w:tc>
          <w:tcPr>
            <w:tcW w:w="896" w:type="dxa"/>
            <w:tcBorders>
              <w:top w:val="nil"/>
              <w:left w:val="nil"/>
              <w:right w:val="nil"/>
            </w:tcBorders>
            <w:shd w:val="clear" w:color="000000" w:fill="F5F5F5"/>
            <w:vAlign w:val="center"/>
            <w:hideMark/>
          </w:tcPr>
          <w:p w14:paraId="40D9BE13" w14:textId="3AEEFFA8" w:rsidR="00DA535A" w:rsidRPr="00EA4879" w:rsidRDefault="00DA535A"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N/A</w:t>
            </w:r>
          </w:p>
        </w:tc>
        <w:tc>
          <w:tcPr>
            <w:tcW w:w="914" w:type="dxa"/>
            <w:tcBorders>
              <w:top w:val="nil"/>
              <w:left w:val="nil"/>
              <w:right w:val="nil"/>
            </w:tcBorders>
            <w:shd w:val="clear" w:color="000000" w:fill="F5F5F5"/>
            <w:vAlign w:val="center"/>
          </w:tcPr>
          <w:p w14:paraId="3309CF66" w14:textId="120900D5" w:rsidR="00DA535A" w:rsidRPr="00EA4879" w:rsidRDefault="00B5755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N/A</w:t>
            </w:r>
          </w:p>
        </w:tc>
        <w:tc>
          <w:tcPr>
            <w:tcW w:w="898" w:type="dxa"/>
            <w:tcBorders>
              <w:top w:val="nil"/>
              <w:left w:val="nil"/>
              <w:right w:val="nil"/>
            </w:tcBorders>
            <w:shd w:val="clear" w:color="000000" w:fill="F5F5F5"/>
            <w:vAlign w:val="center"/>
            <w:hideMark/>
          </w:tcPr>
          <w:p w14:paraId="7C5DAA6D" w14:textId="77777777"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100%</w:t>
            </w:r>
          </w:p>
        </w:tc>
        <w:tc>
          <w:tcPr>
            <w:tcW w:w="897" w:type="dxa"/>
            <w:tcBorders>
              <w:top w:val="nil"/>
              <w:left w:val="nil"/>
              <w:right w:val="nil"/>
            </w:tcBorders>
            <w:shd w:val="clear" w:color="000000" w:fill="F5F5F5"/>
            <w:vAlign w:val="center"/>
            <w:hideMark/>
          </w:tcPr>
          <w:p w14:paraId="30601B66" w14:textId="77777777"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100%</w:t>
            </w:r>
          </w:p>
        </w:tc>
        <w:tc>
          <w:tcPr>
            <w:tcW w:w="898" w:type="dxa"/>
            <w:tcBorders>
              <w:top w:val="nil"/>
              <w:left w:val="nil"/>
              <w:right w:val="nil"/>
            </w:tcBorders>
            <w:shd w:val="clear" w:color="000000" w:fill="F5F5F5"/>
            <w:vAlign w:val="center"/>
            <w:hideMark/>
          </w:tcPr>
          <w:p w14:paraId="7207DF02" w14:textId="77777777"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100%</w:t>
            </w:r>
          </w:p>
        </w:tc>
        <w:tc>
          <w:tcPr>
            <w:tcW w:w="857" w:type="dxa"/>
            <w:tcBorders>
              <w:top w:val="nil"/>
              <w:left w:val="nil"/>
              <w:right w:val="nil"/>
            </w:tcBorders>
            <w:shd w:val="clear" w:color="000000" w:fill="F5F5F5"/>
            <w:vAlign w:val="center"/>
            <w:hideMark/>
          </w:tcPr>
          <w:p w14:paraId="33035074" w14:textId="77777777"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100%</w:t>
            </w:r>
          </w:p>
        </w:tc>
        <w:tc>
          <w:tcPr>
            <w:tcW w:w="851" w:type="dxa"/>
            <w:tcBorders>
              <w:top w:val="nil"/>
              <w:left w:val="nil"/>
              <w:right w:val="nil"/>
            </w:tcBorders>
            <w:shd w:val="clear" w:color="000000" w:fill="F5F5F5"/>
            <w:vAlign w:val="center"/>
            <w:hideMark/>
          </w:tcPr>
          <w:p w14:paraId="21324E61" w14:textId="77777777" w:rsidR="00DA535A" w:rsidRPr="000E4967" w:rsidRDefault="00DA535A"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100%</w:t>
            </w:r>
          </w:p>
        </w:tc>
      </w:tr>
      <w:tr w:rsidR="00B57555" w:rsidRPr="00990A88" w14:paraId="21AC5FD4" w14:textId="77777777" w:rsidTr="000E4967">
        <w:trPr>
          <w:trHeight w:val="1484"/>
        </w:trPr>
        <w:tc>
          <w:tcPr>
            <w:tcW w:w="1429" w:type="dxa"/>
            <w:tcBorders>
              <w:top w:val="nil"/>
              <w:left w:val="nil"/>
              <w:bottom w:val="single" w:sz="4" w:space="0" w:color="auto"/>
              <w:right w:val="nil"/>
            </w:tcBorders>
            <w:shd w:val="clear" w:color="auto" w:fill="auto"/>
            <w:vAlign w:val="center"/>
            <w:hideMark/>
          </w:tcPr>
          <w:p w14:paraId="687CC072" w14:textId="77777777" w:rsidR="00B57555" w:rsidRPr="00990A88" w:rsidRDefault="00B5755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Bulk entitlements</w:t>
            </w:r>
          </w:p>
        </w:tc>
        <w:tc>
          <w:tcPr>
            <w:tcW w:w="1549" w:type="dxa"/>
            <w:tcBorders>
              <w:top w:val="nil"/>
              <w:left w:val="nil"/>
              <w:bottom w:val="single" w:sz="4" w:space="0" w:color="auto"/>
              <w:right w:val="nil"/>
            </w:tcBorders>
            <w:shd w:val="clear" w:color="auto" w:fill="auto"/>
            <w:vAlign w:val="center"/>
            <w:hideMark/>
          </w:tcPr>
          <w:p w14:paraId="14EFD5FE" w14:textId="77777777" w:rsidR="00B57555" w:rsidRPr="00990A88" w:rsidRDefault="00B5755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Headworks management</w:t>
            </w:r>
          </w:p>
        </w:tc>
        <w:tc>
          <w:tcPr>
            <w:tcW w:w="1791" w:type="dxa"/>
            <w:tcBorders>
              <w:top w:val="nil"/>
              <w:left w:val="nil"/>
              <w:bottom w:val="single" w:sz="4" w:space="0" w:color="auto"/>
              <w:right w:val="nil"/>
            </w:tcBorders>
            <w:shd w:val="clear" w:color="auto" w:fill="auto"/>
            <w:vAlign w:val="center"/>
            <w:hideMark/>
          </w:tcPr>
          <w:p w14:paraId="4FF13F6C" w14:textId="77777777" w:rsidR="00B57555" w:rsidRPr="00990A88" w:rsidRDefault="00B5755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To indicate whether we are meeting our obligations to harvest and release water from our storages</w:t>
            </w:r>
          </w:p>
        </w:tc>
        <w:tc>
          <w:tcPr>
            <w:tcW w:w="1980" w:type="dxa"/>
            <w:tcBorders>
              <w:top w:val="nil"/>
              <w:left w:val="nil"/>
              <w:bottom w:val="single" w:sz="4" w:space="0" w:color="auto"/>
              <w:right w:val="nil"/>
            </w:tcBorders>
            <w:shd w:val="clear" w:color="auto" w:fill="auto"/>
            <w:vAlign w:val="center"/>
            <w:hideMark/>
          </w:tcPr>
          <w:p w14:paraId="751AFD61" w14:textId="77777777" w:rsidR="00B57555" w:rsidRPr="00990A88" w:rsidRDefault="00B57555" w:rsidP="000E4967">
            <w:pPr>
              <w:spacing w:before="40" w:after="40" w:line="240" w:lineRule="auto"/>
              <w:rPr>
                <w:rFonts w:eastAsia="Times New Roman" w:cs="Arial"/>
                <w:color w:val="000000"/>
                <w:sz w:val="20"/>
                <w:szCs w:val="20"/>
                <w:lang w:eastAsia="en-AU"/>
              </w:rPr>
            </w:pPr>
            <w:r w:rsidRPr="00990A88">
              <w:rPr>
                <w:rFonts w:eastAsia="Times New Roman" w:cs="Arial"/>
                <w:color w:val="000000"/>
                <w:sz w:val="20"/>
                <w:szCs w:val="20"/>
                <w:lang w:eastAsia="en-AU"/>
              </w:rPr>
              <w:t>Percentage of times obligations are met</w:t>
            </w:r>
          </w:p>
        </w:tc>
        <w:tc>
          <w:tcPr>
            <w:tcW w:w="913" w:type="dxa"/>
            <w:tcBorders>
              <w:top w:val="nil"/>
              <w:left w:val="nil"/>
              <w:bottom w:val="single" w:sz="4" w:space="0" w:color="auto"/>
              <w:right w:val="nil"/>
            </w:tcBorders>
            <w:shd w:val="clear" w:color="auto" w:fill="auto"/>
            <w:vAlign w:val="center"/>
            <w:hideMark/>
          </w:tcPr>
          <w:p w14:paraId="277768B4" w14:textId="58F86910" w:rsidR="00B57555" w:rsidRPr="00990A88" w:rsidRDefault="00B5755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95%</w:t>
            </w:r>
          </w:p>
        </w:tc>
        <w:tc>
          <w:tcPr>
            <w:tcW w:w="896" w:type="dxa"/>
            <w:tcBorders>
              <w:top w:val="nil"/>
              <w:left w:val="nil"/>
              <w:bottom w:val="single" w:sz="4" w:space="0" w:color="auto"/>
              <w:right w:val="nil"/>
            </w:tcBorders>
            <w:shd w:val="clear" w:color="auto" w:fill="auto"/>
            <w:vAlign w:val="center"/>
            <w:hideMark/>
          </w:tcPr>
          <w:p w14:paraId="2AF87B9D" w14:textId="46BE1D5A" w:rsidR="00B57555" w:rsidRPr="00EA4879" w:rsidRDefault="00B57555" w:rsidP="000E4967">
            <w:pPr>
              <w:spacing w:before="40" w:after="40" w:line="240" w:lineRule="auto"/>
              <w:jc w:val="center"/>
              <w:rPr>
                <w:rFonts w:eastAsia="Times New Roman" w:cs="Arial"/>
                <w:color w:val="000000"/>
                <w:sz w:val="20"/>
                <w:szCs w:val="20"/>
                <w:lang w:eastAsia="en-AU"/>
              </w:rPr>
            </w:pPr>
            <w:r w:rsidRPr="00EA4879">
              <w:rPr>
                <w:rFonts w:eastAsia="Times New Roman" w:cs="Arial"/>
                <w:color w:val="000000"/>
                <w:sz w:val="20"/>
                <w:szCs w:val="20"/>
                <w:lang w:eastAsia="en-AU"/>
              </w:rPr>
              <w:t>95%</w:t>
            </w:r>
          </w:p>
        </w:tc>
        <w:tc>
          <w:tcPr>
            <w:tcW w:w="914" w:type="dxa"/>
            <w:tcBorders>
              <w:top w:val="nil"/>
              <w:left w:val="nil"/>
              <w:bottom w:val="single" w:sz="4" w:space="0" w:color="auto"/>
              <w:right w:val="nil"/>
            </w:tcBorders>
            <w:vAlign w:val="center"/>
          </w:tcPr>
          <w:p w14:paraId="5B91B2B9" w14:textId="4DFEFA4A" w:rsidR="00B57555" w:rsidRPr="00990A88" w:rsidRDefault="00B57555" w:rsidP="000E4967">
            <w:pPr>
              <w:spacing w:before="40" w:after="40" w:line="240" w:lineRule="auto"/>
              <w:jc w:val="center"/>
              <w:rPr>
                <w:rFonts w:eastAsia="Times New Roman" w:cs="Arial"/>
                <w:color w:val="000000"/>
                <w:sz w:val="20"/>
                <w:szCs w:val="20"/>
                <w:lang w:eastAsia="en-AU"/>
              </w:rPr>
            </w:pPr>
            <w:r>
              <w:rPr>
                <w:rFonts w:eastAsia="Times New Roman" w:cs="Arial"/>
                <w:color w:val="000000"/>
                <w:sz w:val="20"/>
                <w:szCs w:val="20"/>
                <w:lang w:eastAsia="en-AU"/>
              </w:rPr>
              <w:t>95%</w:t>
            </w:r>
          </w:p>
        </w:tc>
        <w:tc>
          <w:tcPr>
            <w:tcW w:w="898" w:type="dxa"/>
            <w:tcBorders>
              <w:top w:val="nil"/>
              <w:left w:val="nil"/>
              <w:bottom w:val="single" w:sz="4" w:space="0" w:color="auto"/>
              <w:right w:val="nil"/>
            </w:tcBorders>
            <w:shd w:val="clear" w:color="auto" w:fill="auto"/>
            <w:vAlign w:val="center"/>
            <w:hideMark/>
          </w:tcPr>
          <w:p w14:paraId="19AAEEAF" w14:textId="39CEACBE" w:rsidR="00B57555" w:rsidRPr="000E4967" w:rsidRDefault="00B5755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97" w:type="dxa"/>
            <w:tcBorders>
              <w:top w:val="nil"/>
              <w:left w:val="nil"/>
              <w:bottom w:val="single" w:sz="4" w:space="0" w:color="auto"/>
              <w:right w:val="nil"/>
            </w:tcBorders>
            <w:shd w:val="clear" w:color="auto" w:fill="auto"/>
            <w:vAlign w:val="center"/>
            <w:hideMark/>
          </w:tcPr>
          <w:p w14:paraId="4D936F56" w14:textId="67672869" w:rsidR="00B57555" w:rsidRPr="000E4967" w:rsidRDefault="00B5755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98" w:type="dxa"/>
            <w:tcBorders>
              <w:top w:val="nil"/>
              <w:left w:val="nil"/>
              <w:bottom w:val="single" w:sz="4" w:space="0" w:color="auto"/>
              <w:right w:val="nil"/>
            </w:tcBorders>
            <w:shd w:val="clear" w:color="auto" w:fill="auto"/>
            <w:vAlign w:val="center"/>
            <w:hideMark/>
          </w:tcPr>
          <w:p w14:paraId="2C232630" w14:textId="6923FA10" w:rsidR="00B57555" w:rsidRPr="000E4967" w:rsidRDefault="00B5755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57" w:type="dxa"/>
            <w:tcBorders>
              <w:top w:val="nil"/>
              <w:left w:val="nil"/>
              <w:bottom w:val="single" w:sz="4" w:space="0" w:color="auto"/>
              <w:right w:val="nil"/>
            </w:tcBorders>
            <w:shd w:val="clear" w:color="auto" w:fill="auto"/>
            <w:vAlign w:val="center"/>
            <w:hideMark/>
          </w:tcPr>
          <w:p w14:paraId="5B7CC126" w14:textId="5808AC40" w:rsidR="00B57555" w:rsidRPr="000E4967" w:rsidRDefault="00B5755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c>
          <w:tcPr>
            <w:tcW w:w="851" w:type="dxa"/>
            <w:tcBorders>
              <w:top w:val="nil"/>
              <w:left w:val="nil"/>
              <w:bottom w:val="single" w:sz="4" w:space="0" w:color="auto"/>
              <w:right w:val="nil"/>
            </w:tcBorders>
            <w:shd w:val="clear" w:color="auto" w:fill="auto"/>
            <w:vAlign w:val="center"/>
            <w:hideMark/>
          </w:tcPr>
          <w:p w14:paraId="5C0AB41B" w14:textId="21A2D333" w:rsidR="00B57555" w:rsidRPr="000E4967" w:rsidRDefault="00B57555" w:rsidP="000E4967">
            <w:pPr>
              <w:spacing w:before="40" w:after="40" w:line="240" w:lineRule="auto"/>
              <w:jc w:val="center"/>
              <w:rPr>
                <w:rFonts w:eastAsia="Times New Roman" w:cs="Arial"/>
                <w:color w:val="000000"/>
                <w:sz w:val="20"/>
                <w:szCs w:val="20"/>
                <w:lang w:eastAsia="en-AU"/>
              </w:rPr>
            </w:pPr>
            <w:r w:rsidRPr="000E4967">
              <w:rPr>
                <w:rFonts w:eastAsia="Times New Roman" w:cs="Arial"/>
                <w:color w:val="000000"/>
                <w:sz w:val="20"/>
                <w:szCs w:val="20"/>
                <w:lang w:eastAsia="en-AU"/>
              </w:rPr>
              <w:t>95%</w:t>
            </w:r>
          </w:p>
        </w:tc>
      </w:tr>
    </w:tbl>
    <w:p w14:paraId="293FB5FD" w14:textId="77777777" w:rsidR="00990A88" w:rsidRDefault="00990A88" w:rsidP="00990A88"/>
    <w:p w14:paraId="4CDF1611" w14:textId="77777777" w:rsidR="00990A88" w:rsidRDefault="00990A88" w:rsidP="00990A88"/>
    <w:p w14:paraId="323AA361" w14:textId="77777777" w:rsidR="00A33CCE" w:rsidRPr="00192F41" w:rsidRDefault="00A33CCE" w:rsidP="00A33CCE">
      <w:pPr>
        <w:rPr>
          <w:rFonts w:cs="Arial"/>
        </w:rPr>
      </w:pPr>
      <w:r w:rsidRPr="00192F41">
        <w:rPr>
          <w:rFonts w:cs="Arial"/>
          <w:b/>
        </w:rPr>
        <w:br w:type="page"/>
      </w:r>
    </w:p>
    <w:p w14:paraId="23E23384" w14:textId="2E80C6A1" w:rsidR="00971858" w:rsidRPr="00192F41" w:rsidRDefault="00971858" w:rsidP="000F2F6C">
      <w:pPr>
        <w:pStyle w:val="Heading2"/>
        <w:rPr>
          <w:rFonts w:cs="Arial"/>
        </w:rPr>
      </w:pPr>
      <w:r w:rsidRPr="00192F41">
        <w:rPr>
          <w:rStyle w:val="IntenseEmphasis"/>
          <w:rFonts w:cs="Arial"/>
          <w:i w:val="0"/>
          <w:iCs w:val="0"/>
          <w:sz w:val="36"/>
        </w:rPr>
        <w:t xml:space="preserve">Appendix </w:t>
      </w:r>
      <w:r w:rsidR="00683E43">
        <w:rPr>
          <w:rStyle w:val="IntenseEmphasis"/>
          <w:rFonts w:cs="Arial"/>
          <w:i w:val="0"/>
          <w:iCs w:val="0"/>
          <w:sz w:val="36"/>
        </w:rPr>
        <w:t>D</w:t>
      </w:r>
      <w:r w:rsidRPr="00192F41">
        <w:rPr>
          <w:rStyle w:val="IntenseEmphasis"/>
          <w:rFonts w:cs="Arial"/>
          <w:i w:val="0"/>
          <w:iCs w:val="0"/>
          <w:sz w:val="36"/>
        </w:rPr>
        <w:t xml:space="preserve"> – Board engagement</w:t>
      </w:r>
    </w:p>
    <w:tbl>
      <w:tblPr>
        <w:tblStyle w:val="Tealheader-Grayrows1"/>
        <w:tblW w:w="13928" w:type="dxa"/>
        <w:tblInd w:w="-1134" w:type="dxa"/>
        <w:tblLook w:val="04A0" w:firstRow="1" w:lastRow="0" w:firstColumn="1" w:lastColumn="0" w:noHBand="0" w:noVBand="1"/>
      </w:tblPr>
      <w:tblGrid>
        <w:gridCol w:w="908"/>
        <w:gridCol w:w="1120"/>
        <w:gridCol w:w="845"/>
        <w:gridCol w:w="2947"/>
        <w:gridCol w:w="8108"/>
      </w:tblGrid>
      <w:tr w:rsidR="00071881" w:rsidRPr="000E4967" w14:paraId="2C5C0894" w14:textId="77777777" w:rsidTr="00F97216">
        <w:trPr>
          <w:cnfStyle w:val="100000000000" w:firstRow="1" w:lastRow="0" w:firstColumn="0" w:lastColumn="0" w:oddVBand="0" w:evenVBand="0" w:oddHBand="0" w:evenHBand="0" w:firstRowFirstColumn="0" w:firstRowLastColumn="0" w:lastRowFirstColumn="0" w:lastRowLastColumn="0"/>
          <w:trHeight w:val="250"/>
        </w:trPr>
        <w:tc>
          <w:tcPr>
            <w:tcW w:w="908" w:type="dxa"/>
            <w:vAlign w:val="top"/>
            <w:hideMark/>
          </w:tcPr>
          <w:p w14:paraId="3D1EE85E" w14:textId="0B5AF12B" w:rsidR="00971858" w:rsidRPr="000E4967" w:rsidRDefault="00971858" w:rsidP="00E60F65">
            <w:pPr>
              <w:jc w:val="center"/>
              <w:rPr>
                <w:rFonts w:eastAsia="Times New Roman" w:cs="Arial"/>
                <w:sz w:val="20"/>
                <w:szCs w:val="20"/>
                <w:lang w:eastAsia="en-AU"/>
              </w:rPr>
            </w:pPr>
            <w:r w:rsidRPr="000E4967">
              <w:rPr>
                <w:rFonts w:eastAsia="Times New Roman" w:cs="Arial"/>
                <w:sz w:val="20"/>
                <w:szCs w:val="20"/>
                <w:lang w:eastAsia="en-AU"/>
              </w:rPr>
              <w:t xml:space="preserve">Board </w:t>
            </w:r>
            <w:r w:rsidR="00DF468A" w:rsidRPr="000E4967">
              <w:rPr>
                <w:rFonts w:eastAsia="Times New Roman" w:cs="Arial"/>
                <w:sz w:val="20"/>
                <w:szCs w:val="20"/>
                <w:lang w:eastAsia="en-AU"/>
              </w:rPr>
              <w:t>m</w:t>
            </w:r>
            <w:r w:rsidRPr="000E4967">
              <w:rPr>
                <w:rFonts w:eastAsia="Times New Roman" w:cs="Arial"/>
                <w:sz w:val="20"/>
                <w:szCs w:val="20"/>
                <w:lang w:eastAsia="en-AU"/>
              </w:rPr>
              <w:t>eeting</w:t>
            </w:r>
          </w:p>
        </w:tc>
        <w:tc>
          <w:tcPr>
            <w:tcW w:w="1077" w:type="dxa"/>
            <w:vAlign w:val="top"/>
            <w:hideMark/>
          </w:tcPr>
          <w:p w14:paraId="65C54061" w14:textId="77777777" w:rsidR="00971858" w:rsidRPr="000E4967" w:rsidRDefault="00971858" w:rsidP="007D4834">
            <w:pPr>
              <w:rPr>
                <w:rFonts w:eastAsia="Times New Roman" w:cs="Arial"/>
                <w:sz w:val="20"/>
                <w:szCs w:val="20"/>
                <w:lang w:eastAsia="en-AU"/>
              </w:rPr>
            </w:pPr>
            <w:r w:rsidRPr="000E4967">
              <w:rPr>
                <w:rFonts w:eastAsia="Times New Roman" w:cs="Arial"/>
                <w:sz w:val="20"/>
                <w:szCs w:val="20"/>
                <w:lang w:eastAsia="en-AU"/>
              </w:rPr>
              <w:t>Date</w:t>
            </w:r>
          </w:p>
        </w:tc>
        <w:tc>
          <w:tcPr>
            <w:tcW w:w="846" w:type="dxa"/>
            <w:vAlign w:val="top"/>
            <w:hideMark/>
          </w:tcPr>
          <w:p w14:paraId="5B43A819" w14:textId="77777777" w:rsidR="00971858" w:rsidRPr="000E4967" w:rsidRDefault="00971858" w:rsidP="00E60F65">
            <w:pPr>
              <w:jc w:val="center"/>
              <w:rPr>
                <w:rFonts w:eastAsia="Times New Roman" w:cs="Arial"/>
                <w:sz w:val="20"/>
                <w:szCs w:val="20"/>
                <w:lang w:eastAsia="en-AU"/>
              </w:rPr>
            </w:pPr>
            <w:r w:rsidRPr="000E4967">
              <w:rPr>
                <w:rFonts w:eastAsia="Times New Roman" w:cs="Arial"/>
                <w:sz w:val="20"/>
                <w:szCs w:val="20"/>
                <w:lang w:eastAsia="en-AU"/>
              </w:rPr>
              <w:t>Paper #</w:t>
            </w:r>
          </w:p>
        </w:tc>
        <w:tc>
          <w:tcPr>
            <w:tcW w:w="2955" w:type="dxa"/>
            <w:vAlign w:val="top"/>
            <w:hideMark/>
          </w:tcPr>
          <w:p w14:paraId="4D949F46" w14:textId="77777777" w:rsidR="00971858" w:rsidRPr="000E4967" w:rsidRDefault="00971858" w:rsidP="007D4834">
            <w:pPr>
              <w:rPr>
                <w:rFonts w:eastAsia="Times New Roman" w:cs="Arial"/>
                <w:sz w:val="20"/>
                <w:szCs w:val="20"/>
                <w:lang w:eastAsia="en-AU"/>
              </w:rPr>
            </w:pPr>
            <w:r w:rsidRPr="000E4967">
              <w:rPr>
                <w:rFonts w:eastAsia="Times New Roman" w:cs="Arial"/>
                <w:sz w:val="20"/>
                <w:szCs w:val="20"/>
                <w:lang w:eastAsia="en-AU"/>
              </w:rPr>
              <w:t>Title</w:t>
            </w:r>
          </w:p>
        </w:tc>
        <w:tc>
          <w:tcPr>
            <w:tcW w:w="8142" w:type="dxa"/>
            <w:vAlign w:val="top"/>
            <w:hideMark/>
          </w:tcPr>
          <w:p w14:paraId="59AF1240" w14:textId="77777777" w:rsidR="00971858" w:rsidRPr="000E4967" w:rsidRDefault="00971858" w:rsidP="007D4834">
            <w:pPr>
              <w:rPr>
                <w:rFonts w:eastAsia="Times New Roman" w:cs="Arial"/>
                <w:sz w:val="20"/>
                <w:szCs w:val="20"/>
                <w:lang w:eastAsia="en-AU"/>
              </w:rPr>
            </w:pPr>
            <w:r w:rsidRPr="000E4967">
              <w:rPr>
                <w:rFonts w:eastAsia="Times New Roman" w:cs="Arial"/>
                <w:sz w:val="20"/>
                <w:szCs w:val="20"/>
                <w:lang w:eastAsia="en-AU"/>
              </w:rPr>
              <w:t>Purpose</w:t>
            </w:r>
          </w:p>
        </w:tc>
      </w:tr>
      <w:tr w:rsidR="00071881" w:rsidRPr="00192F41" w14:paraId="0E5B594C" w14:textId="77777777" w:rsidTr="00F97216">
        <w:trPr>
          <w:cnfStyle w:val="000000100000" w:firstRow="0" w:lastRow="0" w:firstColumn="0" w:lastColumn="0" w:oddVBand="0" w:evenVBand="0" w:oddHBand="1" w:evenHBand="0" w:firstRowFirstColumn="0" w:firstRowLastColumn="0" w:lastRowFirstColumn="0" w:lastRowLastColumn="0"/>
          <w:trHeight w:val="384"/>
        </w:trPr>
        <w:tc>
          <w:tcPr>
            <w:tcW w:w="908" w:type="dxa"/>
            <w:vAlign w:val="top"/>
            <w:hideMark/>
          </w:tcPr>
          <w:p w14:paraId="61C1DBBF" w14:textId="1DAFFDDA" w:rsidR="00971858" w:rsidRPr="00192F41" w:rsidRDefault="00971858" w:rsidP="000E4967">
            <w:pPr>
              <w:spacing w:before="40" w:after="40"/>
              <w:jc w:val="center"/>
              <w:rPr>
                <w:rFonts w:eastAsia="Times New Roman" w:cs="Arial"/>
                <w:color w:val="000000"/>
                <w:sz w:val="20"/>
                <w:szCs w:val="20"/>
                <w:lang w:eastAsia="en-AU"/>
              </w:rPr>
            </w:pPr>
          </w:p>
        </w:tc>
        <w:tc>
          <w:tcPr>
            <w:tcW w:w="1077" w:type="dxa"/>
            <w:vAlign w:val="top"/>
            <w:hideMark/>
          </w:tcPr>
          <w:p w14:paraId="65182140" w14:textId="77777777"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March 2021</w:t>
            </w:r>
          </w:p>
        </w:tc>
        <w:tc>
          <w:tcPr>
            <w:tcW w:w="846" w:type="dxa"/>
            <w:vAlign w:val="top"/>
            <w:hideMark/>
          </w:tcPr>
          <w:p w14:paraId="69C07F8C" w14:textId="77777777" w:rsidR="00971858" w:rsidRPr="00192F41" w:rsidRDefault="00971858"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8.1</w:t>
            </w:r>
          </w:p>
        </w:tc>
        <w:tc>
          <w:tcPr>
            <w:tcW w:w="2955" w:type="dxa"/>
            <w:vAlign w:val="top"/>
            <w:hideMark/>
          </w:tcPr>
          <w:p w14:paraId="18E9FBE6" w14:textId="34F81F77"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Price </w:t>
            </w:r>
            <w:r w:rsidR="00672687" w:rsidRPr="00192F41">
              <w:rPr>
                <w:rFonts w:eastAsia="Times New Roman" w:cs="Arial"/>
                <w:color w:val="000000"/>
                <w:sz w:val="20"/>
                <w:szCs w:val="20"/>
                <w:lang w:eastAsia="en-AU"/>
              </w:rPr>
              <w:t>s</w:t>
            </w:r>
            <w:r w:rsidRPr="00192F41">
              <w:rPr>
                <w:rFonts w:eastAsia="Times New Roman" w:cs="Arial"/>
                <w:color w:val="000000"/>
                <w:sz w:val="20"/>
                <w:szCs w:val="20"/>
                <w:lang w:eastAsia="en-AU"/>
              </w:rPr>
              <w:t xml:space="preserve">ubmission - </w:t>
            </w:r>
            <w:r w:rsidR="00672687" w:rsidRPr="00192F41">
              <w:rPr>
                <w:rFonts w:eastAsia="Times New Roman" w:cs="Arial"/>
                <w:color w:val="000000"/>
                <w:sz w:val="20"/>
                <w:szCs w:val="20"/>
                <w:lang w:eastAsia="en-AU"/>
              </w:rPr>
              <w:t>p</w:t>
            </w:r>
            <w:r w:rsidRPr="00192F41">
              <w:rPr>
                <w:rFonts w:eastAsia="Times New Roman" w:cs="Arial"/>
                <w:color w:val="000000"/>
                <w:sz w:val="20"/>
                <w:szCs w:val="20"/>
                <w:lang w:eastAsia="en-AU"/>
              </w:rPr>
              <w:t xml:space="preserve">reparing our next </w:t>
            </w:r>
            <w:r w:rsidR="00672687" w:rsidRPr="00192F41">
              <w:rPr>
                <w:rFonts w:eastAsia="Times New Roman" w:cs="Arial"/>
                <w:color w:val="000000"/>
                <w:sz w:val="20"/>
                <w:szCs w:val="20"/>
                <w:lang w:eastAsia="en-AU"/>
              </w:rPr>
              <w:t>p</w:t>
            </w:r>
            <w:r w:rsidRPr="00192F41">
              <w:rPr>
                <w:rFonts w:eastAsia="Times New Roman" w:cs="Arial"/>
                <w:color w:val="000000"/>
                <w:sz w:val="20"/>
                <w:szCs w:val="20"/>
                <w:lang w:eastAsia="en-AU"/>
              </w:rPr>
              <w:t xml:space="preserve">rice </w:t>
            </w:r>
            <w:r w:rsidR="00672687" w:rsidRPr="00192F41">
              <w:rPr>
                <w:rFonts w:eastAsia="Times New Roman" w:cs="Arial"/>
                <w:color w:val="000000"/>
                <w:sz w:val="20"/>
                <w:szCs w:val="20"/>
                <w:lang w:eastAsia="en-AU"/>
              </w:rPr>
              <w:t>s</w:t>
            </w:r>
            <w:r w:rsidRPr="00192F41">
              <w:rPr>
                <w:rFonts w:eastAsia="Times New Roman" w:cs="Arial"/>
                <w:color w:val="000000"/>
                <w:sz w:val="20"/>
                <w:szCs w:val="20"/>
                <w:lang w:eastAsia="en-AU"/>
              </w:rPr>
              <w:t>ubmission</w:t>
            </w:r>
          </w:p>
        </w:tc>
        <w:tc>
          <w:tcPr>
            <w:tcW w:w="8142" w:type="dxa"/>
            <w:vAlign w:val="top"/>
            <w:hideMark/>
          </w:tcPr>
          <w:p w14:paraId="63715875" w14:textId="1B2ED154"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To provide the board with an overview of preparation for the </w:t>
            </w:r>
            <w:r w:rsidR="00571B9E">
              <w:rPr>
                <w:rFonts w:eastAsia="Times New Roman" w:cs="Arial"/>
                <w:color w:val="000000"/>
                <w:sz w:val="20"/>
                <w:szCs w:val="20"/>
                <w:lang w:eastAsia="en-AU"/>
              </w:rPr>
              <w:t>P</w:t>
            </w:r>
            <w:r w:rsidRPr="00192F41">
              <w:rPr>
                <w:rFonts w:eastAsia="Times New Roman" w:cs="Arial"/>
                <w:color w:val="000000"/>
                <w:sz w:val="20"/>
                <w:szCs w:val="20"/>
                <w:lang w:eastAsia="en-AU"/>
              </w:rPr>
              <w:t xml:space="preserve">rice </w:t>
            </w:r>
            <w:r w:rsidR="00571B9E">
              <w:rPr>
                <w:rFonts w:eastAsia="Times New Roman" w:cs="Arial"/>
                <w:color w:val="000000"/>
                <w:sz w:val="20"/>
                <w:szCs w:val="20"/>
                <w:lang w:eastAsia="en-AU"/>
              </w:rPr>
              <w:t>S</w:t>
            </w:r>
            <w:r w:rsidRPr="00192F41">
              <w:rPr>
                <w:rFonts w:eastAsia="Times New Roman" w:cs="Arial"/>
                <w:color w:val="000000"/>
                <w:sz w:val="20"/>
                <w:szCs w:val="20"/>
                <w:lang w:eastAsia="en-AU"/>
              </w:rPr>
              <w:t xml:space="preserve">ubmission </w:t>
            </w:r>
            <w:r w:rsidR="00571B9E">
              <w:rPr>
                <w:rFonts w:eastAsia="Times New Roman" w:cs="Arial"/>
                <w:color w:val="000000"/>
                <w:sz w:val="20"/>
                <w:szCs w:val="20"/>
                <w:lang w:eastAsia="en-AU"/>
              </w:rPr>
              <w:t xml:space="preserve">2023 </w:t>
            </w:r>
            <w:r w:rsidRPr="00192F41">
              <w:rPr>
                <w:rFonts w:eastAsia="Times New Roman" w:cs="Arial"/>
                <w:color w:val="000000"/>
                <w:sz w:val="20"/>
                <w:szCs w:val="20"/>
                <w:lang w:eastAsia="en-AU"/>
              </w:rPr>
              <w:t>and initiate a discussion on key decision points.</w:t>
            </w:r>
          </w:p>
        </w:tc>
      </w:tr>
      <w:tr w:rsidR="005B1AB4" w:rsidRPr="00192F41" w14:paraId="20BBD8AE" w14:textId="77777777" w:rsidTr="00F97216">
        <w:trPr>
          <w:trHeight w:val="282"/>
        </w:trPr>
        <w:tc>
          <w:tcPr>
            <w:tcW w:w="908" w:type="dxa"/>
            <w:vAlign w:val="top"/>
            <w:hideMark/>
          </w:tcPr>
          <w:p w14:paraId="617D7573" w14:textId="03AA5B9B" w:rsidR="00971858" w:rsidRPr="00192F41" w:rsidRDefault="00971858" w:rsidP="000E4967">
            <w:pPr>
              <w:spacing w:before="40" w:after="40"/>
              <w:jc w:val="center"/>
              <w:rPr>
                <w:rFonts w:eastAsia="Times New Roman" w:cs="Arial"/>
                <w:color w:val="000000"/>
                <w:sz w:val="20"/>
                <w:szCs w:val="20"/>
                <w:lang w:eastAsia="en-AU"/>
              </w:rPr>
            </w:pPr>
          </w:p>
        </w:tc>
        <w:tc>
          <w:tcPr>
            <w:tcW w:w="1077" w:type="dxa"/>
            <w:vAlign w:val="top"/>
            <w:hideMark/>
          </w:tcPr>
          <w:p w14:paraId="08DAFD2E" w14:textId="77777777" w:rsidR="000F2F6C"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June</w:t>
            </w:r>
          </w:p>
          <w:p w14:paraId="250FA980" w14:textId="1ACD35A7"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2021</w:t>
            </w:r>
          </w:p>
        </w:tc>
        <w:tc>
          <w:tcPr>
            <w:tcW w:w="846" w:type="dxa"/>
            <w:vAlign w:val="top"/>
            <w:hideMark/>
          </w:tcPr>
          <w:p w14:paraId="64E65C7A" w14:textId="77777777" w:rsidR="00971858" w:rsidRPr="00192F41" w:rsidRDefault="00971858"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12.1</w:t>
            </w:r>
          </w:p>
        </w:tc>
        <w:tc>
          <w:tcPr>
            <w:tcW w:w="2955" w:type="dxa"/>
            <w:vAlign w:val="top"/>
            <w:hideMark/>
          </w:tcPr>
          <w:p w14:paraId="7476B15F" w14:textId="2DDBFA9D"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Price </w:t>
            </w:r>
            <w:r w:rsidR="00672687" w:rsidRPr="00192F41">
              <w:rPr>
                <w:rFonts w:eastAsia="Times New Roman" w:cs="Arial"/>
                <w:color w:val="000000"/>
                <w:sz w:val="20"/>
                <w:szCs w:val="20"/>
                <w:lang w:eastAsia="en-AU"/>
              </w:rPr>
              <w:t>s</w:t>
            </w:r>
            <w:r w:rsidRPr="00192F41">
              <w:rPr>
                <w:rFonts w:eastAsia="Times New Roman" w:cs="Arial"/>
                <w:color w:val="000000"/>
                <w:sz w:val="20"/>
                <w:szCs w:val="20"/>
                <w:lang w:eastAsia="en-AU"/>
              </w:rPr>
              <w:t>ubmission Engagement Framework</w:t>
            </w:r>
          </w:p>
        </w:tc>
        <w:tc>
          <w:tcPr>
            <w:tcW w:w="8142" w:type="dxa"/>
            <w:vAlign w:val="top"/>
            <w:hideMark/>
          </w:tcPr>
          <w:p w14:paraId="087F8FC9" w14:textId="4DBFC828" w:rsidR="00971858" w:rsidRPr="00192F41" w:rsidRDefault="00971858"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provide the board with an overview of our approach to the development of the Price Submission</w:t>
            </w:r>
            <w:r w:rsidR="00571B9E">
              <w:rPr>
                <w:rFonts w:eastAsia="Times New Roman" w:cs="Arial"/>
                <w:color w:val="000000"/>
                <w:sz w:val="20"/>
                <w:szCs w:val="20"/>
                <w:lang w:eastAsia="en-AU"/>
              </w:rPr>
              <w:t xml:space="preserve"> 2023</w:t>
            </w:r>
            <w:r w:rsidRPr="00192F41">
              <w:rPr>
                <w:rFonts w:eastAsia="Times New Roman" w:cs="Arial"/>
                <w:color w:val="000000"/>
                <w:sz w:val="20"/>
                <w:szCs w:val="20"/>
                <w:lang w:eastAsia="en-AU"/>
              </w:rPr>
              <w:t>. </w:t>
            </w:r>
          </w:p>
        </w:tc>
      </w:tr>
      <w:tr w:rsidR="00071881" w:rsidRPr="00192F41" w14:paraId="525BA930" w14:textId="77777777" w:rsidTr="00F97216">
        <w:trPr>
          <w:cnfStyle w:val="000000100000" w:firstRow="0" w:lastRow="0" w:firstColumn="0" w:lastColumn="0" w:oddVBand="0" w:evenVBand="0" w:oddHBand="1" w:evenHBand="0" w:firstRowFirstColumn="0" w:firstRowLastColumn="0" w:lastRowFirstColumn="0" w:lastRowLastColumn="0"/>
          <w:trHeight w:val="292"/>
        </w:trPr>
        <w:tc>
          <w:tcPr>
            <w:tcW w:w="908" w:type="dxa"/>
            <w:vAlign w:val="top"/>
            <w:hideMark/>
          </w:tcPr>
          <w:p w14:paraId="617449B3" w14:textId="398900C2"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453C4499"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September 2021</w:t>
            </w:r>
          </w:p>
        </w:tc>
        <w:tc>
          <w:tcPr>
            <w:tcW w:w="846" w:type="dxa"/>
            <w:vAlign w:val="top"/>
            <w:hideMark/>
          </w:tcPr>
          <w:p w14:paraId="342082FD" w14:textId="2F2A0250" w:rsidR="008C152E" w:rsidRPr="00192F41" w:rsidRDefault="008C152E" w:rsidP="000E4967">
            <w:pPr>
              <w:spacing w:before="40" w:after="40"/>
              <w:jc w:val="center"/>
              <w:rPr>
                <w:rFonts w:eastAsia="Times New Roman" w:cs="Arial"/>
                <w:color w:val="000000"/>
                <w:sz w:val="20"/>
                <w:szCs w:val="20"/>
                <w:lang w:eastAsia="en-AU"/>
              </w:rPr>
            </w:pPr>
          </w:p>
        </w:tc>
        <w:tc>
          <w:tcPr>
            <w:tcW w:w="2955" w:type="dxa"/>
            <w:vAlign w:val="top"/>
            <w:hideMark/>
          </w:tcPr>
          <w:p w14:paraId="5E4E02D8" w14:textId="6568BD24"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PS18 annual performance review</w:t>
            </w:r>
          </w:p>
        </w:tc>
        <w:tc>
          <w:tcPr>
            <w:tcW w:w="8142" w:type="dxa"/>
            <w:vAlign w:val="top"/>
            <w:hideMark/>
          </w:tcPr>
          <w:p w14:paraId="71CFF7A0" w14:textId="0DBE5AC8"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The ESC requires us to provide a review of our performance each year. We have provided a copy of the review for board noting. </w:t>
            </w:r>
          </w:p>
        </w:tc>
      </w:tr>
      <w:tr w:rsidR="008C152E" w:rsidRPr="00192F41" w14:paraId="4404A755" w14:textId="77777777" w:rsidTr="00F97216">
        <w:trPr>
          <w:trHeight w:val="508"/>
        </w:trPr>
        <w:tc>
          <w:tcPr>
            <w:tcW w:w="908" w:type="dxa"/>
            <w:vAlign w:val="top"/>
            <w:hideMark/>
          </w:tcPr>
          <w:p w14:paraId="21767E37" w14:textId="57EED5D6"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59D4CD69"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October 2021</w:t>
            </w:r>
          </w:p>
        </w:tc>
        <w:tc>
          <w:tcPr>
            <w:tcW w:w="846" w:type="dxa"/>
            <w:vAlign w:val="top"/>
            <w:hideMark/>
          </w:tcPr>
          <w:p w14:paraId="53D90F48" w14:textId="79A78BBA" w:rsidR="008C152E" w:rsidRPr="00192F41" w:rsidRDefault="008C152E" w:rsidP="000E4967">
            <w:pPr>
              <w:spacing w:before="40" w:after="40"/>
              <w:jc w:val="center"/>
              <w:rPr>
                <w:rFonts w:eastAsia="Times New Roman" w:cs="Arial"/>
                <w:color w:val="000000"/>
                <w:sz w:val="20"/>
                <w:szCs w:val="20"/>
                <w:lang w:eastAsia="en-AU"/>
              </w:rPr>
            </w:pPr>
          </w:p>
        </w:tc>
        <w:tc>
          <w:tcPr>
            <w:tcW w:w="2955" w:type="dxa"/>
            <w:vAlign w:val="top"/>
            <w:hideMark/>
          </w:tcPr>
          <w:p w14:paraId="492C2AB4" w14:textId="1DCC7CE5"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Board strategy workshop</w:t>
            </w:r>
          </w:p>
        </w:tc>
        <w:tc>
          <w:tcPr>
            <w:tcW w:w="8142" w:type="dxa"/>
            <w:vAlign w:val="top"/>
            <w:hideMark/>
          </w:tcPr>
          <w:p w14:paraId="3E6F044C"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To commence our annual strategic planning process by identifying the next suite of high value strategic initiatives to support the delivery of our vision of </w:t>
            </w:r>
            <w:r w:rsidRPr="00192F41">
              <w:rPr>
                <w:rFonts w:eastAsia="Times New Roman" w:cs="Arial"/>
                <w:i/>
                <w:iCs/>
                <w:color w:val="000000"/>
                <w:sz w:val="20"/>
                <w:szCs w:val="20"/>
                <w:lang w:eastAsia="en-AU"/>
              </w:rPr>
              <w:t>great value for customers and community through excellence in rural water management.</w:t>
            </w:r>
            <w:r w:rsidRPr="00192F41">
              <w:rPr>
                <w:rFonts w:eastAsia="Times New Roman" w:cs="Arial"/>
                <w:color w:val="000000"/>
                <w:sz w:val="20"/>
                <w:szCs w:val="20"/>
                <w:lang w:eastAsia="en-AU"/>
              </w:rPr>
              <w:t> </w:t>
            </w:r>
          </w:p>
        </w:tc>
      </w:tr>
      <w:tr w:rsidR="00071881" w:rsidRPr="00192F41" w14:paraId="2C7A85E8" w14:textId="77777777" w:rsidTr="00F97216">
        <w:trPr>
          <w:cnfStyle w:val="000000100000" w:firstRow="0" w:lastRow="0" w:firstColumn="0" w:lastColumn="0" w:oddVBand="0" w:evenVBand="0" w:oddHBand="1" w:evenHBand="0" w:firstRowFirstColumn="0" w:firstRowLastColumn="0" w:lastRowFirstColumn="0" w:lastRowLastColumn="0"/>
          <w:trHeight w:val="406"/>
        </w:trPr>
        <w:tc>
          <w:tcPr>
            <w:tcW w:w="908" w:type="dxa"/>
            <w:vAlign w:val="top"/>
            <w:hideMark/>
          </w:tcPr>
          <w:p w14:paraId="01944BEA" w14:textId="77777777" w:rsidR="008C152E" w:rsidRPr="00192F41" w:rsidRDefault="008C152E" w:rsidP="000E4967">
            <w:pPr>
              <w:spacing w:before="40" w:after="40"/>
              <w:jc w:val="center"/>
              <w:rPr>
                <w:rFonts w:eastAsia="Times New Roman" w:cs="Arial"/>
                <w:sz w:val="20"/>
                <w:szCs w:val="20"/>
                <w:lang w:eastAsia="en-AU"/>
              </w:rPr>
            </w:pPr>
          </w:p>
        </w:tc>
        <w:tc>
          <w:tcPr>
            <w:tcW w:w="1077" w:type="dxa"/>
            <w:vAlign w:val="top"/>
            <w:hideMark/>
          </w:tcPr>
          <w:p w14:paraId="3130EFEE"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December 2021</w:t>
            </w:r>
          </w:p>
        </w:tc>
        <w:tc>
          <w:tcPr>
            <w:tcW w:w="846" w:type="dxa"/>
            <w:vAlign w:val="top"/>
            <w:hideMark/>
          </w:tcPr>
          <w:p w14:paraId="3D713F79" w14:textId="77777777" w:rsidR="008C152E" w:rsidRPr="00192F41" w:rsidRDefault="008C152E"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8.1</w:t>
            </w:r>
          </w:p>
        </w:tc>
        <w:tc>
          <w:tcPr>
            <w:tcW w:w="2955" w:type="dxa"/>
            <w:vAlign w:val="top"/>
            <w:hideMark/>
          </w:tcPr>
          <w:p w14:paraId="3C9CEB46" w14:textId="5B4D4F5B"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Board strategy outcomes</w:t>
            </w:r>
          </w:p>
        </w:tc>
        <w:tc>
          <w:tcPr>
            <w:tcW w:w="8142" w:type="dxa"/>
            <w:vAlign w:val="top"/>
            <w:hideMark/>
          </w:tcPr>
          <w:p w14:paraId="6AFAA435"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provide an overview of the outcomes from the board strategy workshop and define next steps as part of our 2022-23 corporate plan development</w:t>
            </w:r>
            <w:r w:rsidRPr="00192F41">
              <w:rPr>
                <w:rFonts w:eastAsia="Times New Roman" w:cs="Arial"/>
                <w:i/>
                <w:iCs/>
                <w:color w:val="000000"/>
                <w:sz w:val="20"/>
                <w:szCs w:val="20"/>
                <w:lang w:eastAsia="en-AU"/>
              </w:rPr>
              <w:t>.</w:t>
            </w:r>
            <w:r w:rsidRPr="00192F41">
              <w:rPr>
                <w:rFonts w:eastAsia="Times New Roman" w:cs="Arial"/>
                <w:color w:val="000000"/>
                <w:sz w:val="20"/>
                <w:szCs w:val="20"/>
                <w:lang w:eastAsia="en-AU"/>
              </w:rPr>
              <w:t> </w:t>
            </w:r>
          </w:p>
        </w:tc>
      </w:tr>
      <w:tr w:rsidR="008C152E" w:rsidRPr="00192F41" w14:paraId="4CE4E481" w14:textId="77777777" w:rsidTr="00F97216">
        <w:trPr>
          <w:trHeight w:val="400"/>
        </w:trPr>
        <w:tc>
          <w:tcPr>
            <w:tcW w:w="908" w:type="dxa"/>
            <w:vAlign w:val="top"/>
            <w:hideMark/>
          </w:tcPr>
          <w:p w14:paraId="736FEA79" w14:textId="77777777" w:rsidR="008C152E" w:rsidRPr="00192F41" w:rsidRDefault="008C152E" w:rsidP="000E4967">
            <w:pPr>
              <w:spacing w:before="40" w:after="40"/>
              <w:jc w:val="center"/>
              <w:rPr>
                <w:rFonts w:eastAsia="Times New Roman" w:cs="Arial"/>
                <w:sz w:val="20"/>
                <w:szCs w:val="20"/>
                <w:lang w:eastAsia="en-AU"/>
              </w:rPr>
            </w:pPr>
          </w:p>
        </w:tc>
        <w:tc>
          <w:tcPr>
            <w:tcW w:w="1077" w:type="dxa"/>
            <w:vAlign w:val="top"/>
            <w:hideMark/>
          </w:tcPr>
          <w:p w14:paraId="278311F4"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February 2022</w:t>
            </w:r>
          </w:p>
        </w:tc>
        <w:tc>
          <w:tcPr>
            <w:tcW w:w="846" w:type="dxa"/>
            <w:vAlign w:val="top"/>
            <w:hideMark/>
          </w:tcPr>
          <w:p w14:paraId="6A5489FE" w14:textId="77777777" w:rsidR="008C152E" w:rsidRPr="00192F41" w:rsidRDefault="008C152E"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8.3</w:t>
            </w:r>
          </w:p>
        </w:tc>
        <w:tc>
          <w:tcPr>
            <w:tcW w:w="2955" w:type="dxa"/>
            <w:vAlign w:val="top"/>
            <w:hideMark/>
          </w:tcPr>
          <w:p w14:paraId="483EB2A2" w14:textId="51DED136"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options paper</w:t>
            </w:r>
          </w:p>
        </w:tc>
        <w:tc>
          <w:tcPr>
            <w:tcW w:w="8142" w:type="dxa"/>
            <w:vAlign w:val="top"/>
            <w:hideMark/>
          </w:tcPr>
          <w:p w14:paraId="2857D721"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This report provides an overview of the price submission engagement to date and the options that have been developed for the next phase of customer engagement. </w:t>
            </w:r>
          </w:p>
        </w:tc>
      </w:tr>
      <w:tr w:rsidR="00071881" w:rsidRPr="00192F41" w14:paraId="1E5A8E2A" w14:textId="77777777" w:rsidTr="00F97216">
        <w:trPr>
          <w:cnfStyle w:val="000000100000" w:firstRow="0" w:lastRow="0" w:firstColumn="0" w:lastColumn="0" w:oddVBand="0" w:evenVBand="0" w:oddHBand="1" w:evenHBand="0" w:firstRowFirstColumn="0" w:firstRowLastColumn="0" w:lastRowFirstColumn="0" w:lastRowLastColumn="0"/>
          <w:trHeight w:val="394"/>
        </w:trPr>
        <w:tc>
          <w:tcPr>
            <w:tcW w:w="908" w:type="dxa"/>
            <w:vAlign w:val="top"/>
            <w:hideMark/>
          </w:tcPr>
          <w:p w14:paraId="041F08B3" w14:textId="008E57E6"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359D7AB8"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March 2022</w:t>
            </w:r>
          </w:p>
        </w:tc>
        <w:tc>
          <w:tcPr>
            <w:tcW w:w="846" w:type="dxa"/>
            <w:vAlign w:val="top"/>
            <w:hideMark/>
          </w:tcPr>
          <w:p w14:paraId="7579A774" w14:textId="2BA86884" w:rsidR="008C152E" w:rsidRPr="00192F41" w:rsidRDefault="008C152E" w:rsidP="000E4967">
            <w:pPr>
              <w:spacing w:before="40" w:after="40"/>
              <w:jc w:val="center"/>
              <w:rPr>
                <w:rFonts w:eastAsia="Times New Roman" w:cs="Arial"/>
                <w:color w:val="000000"/>
                <w:sz w:val="20"/>
                <w:szCs w:val="20"/>
                <w:lang w:eastAsia="en-AU"/>
              </w:rPr>
            </w:pPr>
          </w:p>
        </w:tc>
        <w:tc>
          <w:tcPr>
            <w:tcW w:w="2955" w:type="dxa"/>
            <w:vAlign w:val="top"/>
            <w:hideMark/>
          </w:tcPr>
          <w:p w14:paraId="5719F956" w14:textId="720DD22B"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pric</w:t>
            </w:r>
            <w:r w:rsidR="00C7570A">
              <w:rPr>
                <w:rFonts w:eastAsia="Times New Roman" w:cs="Arial"/>
                <w:color w:val="000000"/>
                <w:sz w:val="20"/>
                <w:szCs w:val="20"/>
                <w:lang w:eastAsia="en-AU"/>
              </w:rPr>
              <w:t>e</w:t>
            </w:r>
            <w:r w:rsidRPr="00192F41">
              <w:rPr>
                <w:rFonts w:eastAsia="Times New Roman" w:cs="Arial"/>
                <w:color w:val="000000"/>
                <w:sz w:val="20"/>
                <w:szCs w:val="20"/>
                <w:lang w:eastAsia="en-AU"/>
              </w:rPr>
              <w:t xml:space="preserve"> Strategies</w:t>
            </w:r>
          </w:p>
        </w:tc>
        <w:tc>
          <w:tcPr>
            <w:tcW w:w="8142" w:type="dxa"/>
            <w:vAlign w:val="top"/>
            <w:hideMark/>
          </w:tcPr>
          <w:p w14:paraId="1A7F3D2C"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update the board on our price submission deliberations. </w:t>
            </w:r>
          </w:p>
        </w:tc>
      </w:tr>
      <w:tr w:rsidR="008C152E" w:rsidRPr="00192F41" w14:paraId="1363BCC0" w14:textId="77777777" w:rsidTr="00F97216">
        <w:trPr>
          <w:trHeight w:val="246"/>
        </w:trPr>
        <w:tc>
          <w:tcPr>
            <w:tcW w:w="908" w:type="dxa"/>
            <w:vAlign w:val="top"/>
            <w:hideMark/>
          </w:tcPr>
          <w:p w14:paraId="130C982F" w14:textId="6FCECE45"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57FB39D8"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May</w:t>
            </w:r>
          </w:p>
          <w:p w14:paraId="6536FC05" w14:textId="4D8FF67F"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2022</w:t>
            </w:r>
          </w:p>
        </w:tc>
        <w:tc>
          <w:tcPr>
            <w:tcW w:w="846" w:type="dxa"/>
            <w:vAlign w:val="top"/>
            <w:hideMark/>
          </w:tcPr>
          <w:p w14:paraId="096F2775" w14:textId="77777777" w:rsidR="008C152E" w:rsidRPr="00192F41" w:rsidRDefault="008C152E"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8.1</w:t>
            </w:r>
          </w:p>
        </w:tc>
        <w:tc>
          <w:tcPr>
            <w:tcW w:w="2955" w:type="dxa"/>
            <w:vAlign w:val="top"/>
            <w:hideMark/>
          </w:tcPr>
          <w:p w14:paraId="08496C9A" w14:textId="6F017CFD"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update</w:t>
            </w:r>
          </w:p>
        </w:tc>
        <w:tc>
          <w:tcPr>
            <w:tcW w:w="8142" w:type="dxa"/>
            <w:vAlign w:val="top"/>
            <w:hideMark/>
          </w:tcPr>
          <w:p w14:paraId="03D81329" w14:textId="1BE5A3E8"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update the board on the development of SRW’s pric</w:t>
            </w:r>
            <w:r w:rsidR="00BA1F49">
              <w:rPr>
                <w:rFonts w:eastAsia="Times New Roman" w:cs="Arial"/>
                <w:color w:val="000000"/>
                <w:sz w:val="20"/>
                <w:szCs w:val="20"/>
                <w:lang w:eastAsia="en-AU"/>
              </w:rPr>
              <w:t>e</w:t>
            </w:r>
            <w:r w:rsidRPr="00192F41">
              <w:rPr>
                <w:rFonts w:eastAsia="Times New Roman" w:cs="Arial"/>
                <w:color w:val="000000"/>
                <w:sz w:val="20"/>
                <w:szCs w:val="20"/>
                <w:lang w:eastAsia="en-AU"/>
              </w:rPr>
              <w:t xml:space="preserve"> submission. </w:t>
            </w:r>
          </w:p>
        </w:tc>
      </w:tr>
      <w:tr w:rsidR="00071881" w:rsidRPr="00192F41" w14:paraId="6F2B4385" w14:textId="77777777" w:rsidTr="00F97216">
        <w:trPr>
          <w:cnfStyle w:val="000000100000" w:firstRow="0" w:lastRow="0" w:firstColumn="0" w:lastColumn="0" w:oddVBand="0" w:evenVBand="0" w:oddHBand="1" w:evenHBand="0" w:firstRowFirstColumn="0" w:firstRowLastColumn="0" w:lastRowFirstColumn="0" w:lastRowLastColumn="0"/>
          <w:trHeight w:val="351"/>
        </w:trPr>
        <w:tc>
          <w:tcPr>
            <w:tcW w:w="908" w:type="dxa"/>
            <w:vAlign w:val="top"/>
            <w:hideMark/>
          </w:tcPr>
          <w:p w14:paraId="744CD5B5" w14:textId="6BCC245A"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42DA01EA"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June</w:t>
            </w:r>
          </w:p>
          <w:p w14:paraId="42AF774A" w14:textId="26F05422"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2022</w:t>
            </w:r>
          </w:p>
        </w:tc>
        <w:tc>
          <w:tcPr>
            <w:tcW w:w="846" w:type="dxa"/>
            <w:vAlign w:val="top"/>
            <w:hideMark/>
          </w:tcPr>
          <w:p w14:paraId="60803982" w14:textId="77777777" w:rsidR="008C152E" w:rsidRPr="00192F41" w:rsidRDefault="008C152E"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8.1</w:t>
            </w:r>
          </w:p>
        </w:tc>
        <w:tc>
          <w:tcPr>
            <w:tcW w:w="2955" w:type="dxa"/>
            <w:vAlign w:val="top"/>
            <w:hideMark/>
          </w:tcPr>
          <w:p w14:paraId="322B1216" w14:textId="6124560A"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engagement and performance</w:t>
            </w:r>
          </w:p>
        </w:tc>
        <w:tc>
          <w:tcPr>
            <w:tcW w:w="8142" w:type="dxa"/>
            <w:vAlign w:val="top"/>
            <w:hideMark/>
          </w:tcPr>
          <w:p w14:paraId="39619203" w14:textId="2F662B56"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provide the board with an update of engagement activities and high-level themes which has informed the proposed performance measures being considered for SRW’s pri</w:t>
            </w:r>
            <w:r w:rsidR="00C7570A">
              <w:rPr>
                <w:rFonts w:eastAsia="Times New Roman" w:cs="Arial"/>
                <w:color w:val="000000"/>
                <w:sz w:val="20"/>
                <w:szCs w:val="20"/>
                <w:lang w:eastAsia="en-AU"/>
              </w:rPr>
              <w:t>ce</w:t>
            </w:r>
            <w:r w:rsidRPr="00192F41">
              <w:rPr>
                <w:rFonts w:eastAsia="Times New Roman" w:cs="Arial"/>
                <w:color w:val="000000"/>
                <w:sz w:val="20"/>
                <w:szCs w:val="20"/>
                <w:lang w:eastAsia="en-AU"/>
              </w:rPr>
              <w:t xml:space="preserve"> submission. </w:t>
            </w:r>
          </w:p>
        </w:tc>
      </w:tr>
      <w:tr w:rsidR="008C152E" w:rsidRPr="00192F41" w14:paraId="0FF854DB" w14:textId="77777777" w:rsidTr="00F97216">
        <w:trPr>
          <w:trHeight w:val="578"/>
        </w:trPr>
        <w:tc>
          <w:tcPr>
            <w:tcW w:w="908" w:type="dxa"/>
            <w:vAlign w:val="top"/>
            <w:hideMark/>
          </w:tcPr>
          <w:p w14:paraId="69CA3BA0" w14:textId="119B7CAC"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64DBFFA5"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June</w:t>
            </w:r>
          </w:p>
          <w:p w14:paraId="0E5E6223" w14:textId="6CD868B3"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2022</w:t>
            </w:r>
          </w:p>
        </w:tc>
        <w:tc>
          <w:tcPr>
            <w:tcW w:w="846" w:type="dxa"/>
            <w:vAlign w:val="top"/>
            <w:hideMark/>
          </w:tcPr>
          <w:p w14:paraId="55E7999A" w14:textId="77777777" w:rsidR="008C152E" w:rsidRPr="00192F41" w:rsidRDefault="008C152E" w:rsidP="000E4967">
            <w:pPr>
              <w:spacing w:before="40" w:after="40"/>
              <w:jc w:val="center"/>
              <w:rPr>
                <w:rFonts w:eastAsia="Times New Roman" w:cs="Arial"/>
                <w:color w:val="000000"/>
                <w:sz w:val="20"/>
                <w:szCs w:val="20"/>
                <w:lang w:eastAsia="en-AU"/>
              </w:rPr>
            </w:pPr>
            <w:r w:rsidRPr="00192F41">
              <w:rPr>
                <w:rFonts w:eastAsia="Times New Roman" w:cs="Arial"/>
                <w:color w:val="000000"/>
                <w:sz w:val="20"/>
                <w:szCs w:val="20"/>
                <w:lang w:eastAsia="en-AU"/>
              </w:rPr>
              <w:t>4.1</w:t>
            </w:r>
          </w:p>
        </w:tc>
        <w:tc>
          <w:tcPr>
            <w:tcW w:w="2955" w:type="dxa"/>
            <w:vAlign w:val="top"/>
            <w:hideMark/>
          </w:tcPr>
          <w:p w14:paraId="30FC8E53" w14:textId="54BBC12E"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summary for DELWP</w:t>
            </w:r>
          </w:p>
        </w:tc>
        <w:tc>
          <w:tcPr>
            <w:tcW w:w="8142" w:type="dxa"/>
            <w:vAlign w:val="top"/>
            <w:hideMark/>
          </w:tcPr>
          <w:p w14:paraId="63ECD6C6" w14:textId="4D1ACC4D"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To provide the board with the proposed </w:t>
            </w:r>
            <w:r w:rsidR="00571B9E">
              <w:rPr>
                <w:rFonts w:eastAsia="Times New Roman" w:cs="Arial"/>
                <w:color w:val="000000"/>
                <w:sz w:val="20"/>
                <w:szCs w:val="20"/>
                <w:lang w:eastAsia="en-AU"/>
              </w:rPr>
              <w:t>p</w:t>
            </w:r>
            <w:r w:rsidRPr="00192F41">
              <w:rPr>
                <w:rFonts w:eastAsia="Times New Roman" w:cs="Arial"/>
                <w:color w:val="000000"/>
                <w:sz w:val="20"/>
                <w:szCs w:val="20"/>
                <w:lang w:eastAsia="en-AU"/>
              </w:rPr>
              <w:t xml:space="preserve">rice </w:t>
            </w:r>
            <w:r w:rsidR="00571B9E">
              <w:rPr>
                <w:rFonts w:eastAsia="Times New Roman" w:cs="Arial"/>
                <w:color w:val="000000"/>
                <w:sz w:val="20"/>
                <w:szCs w:val="20"/>
                <w:lang w:eastAsia="en-AU"/>
              </w:rPr>
              <w:t>s</w:t>
            </w:r>
            <w:r w:rsidRPr="00192F41">
              <w:rPr>
                <w:rFonts w:eastAsia="Times New Roman" w:cs="Arial"/>
                <w:color w:val="000000"/>
                <w:sz w:val="20"/>
                <w:szCs w:val="20"/>
                <w:lang w:eastAsia="en-AU"/>
              </w:rPr>
              <w:t xml:space="preserve">ubmission </w:t>
            </w:r>
            <w:r w:rsidR="00571B9E">
              <w:rPr>
                <w:rFonts w:eastAsia="Times New Roman" w:cs="Arial"/>
                <w:color w:val="000000"/>
                <w:sz w:val="20"/>
                <w:szCs w:val="20"/>
                <w:lang w:eastAsia="en-AU"/>
              </w:rPr>
              <w:t>s</w:t>
            </w:r>
            <w:r w:rsidRPr="00192F41">
              <w:rPr>
                <w:rFonts w:eastAsia="Times New Roman" w:cs="Arial"/>
                <w:color w:val="000000"/>
                <w:sz w:val="20"/>
                <w:szCs w:val="20"/>
                <w:lang w:eastAsia="en-AU"/>
              </w:rPr>
              <w:t>ummary, including headline price movements and the PREMO assessment, to be submitted to DELWP</w:t>
            </w:r>
            <w:r w:rsidR="00571B9E">
              <w:rPr>
                <w:rFonts w:eastAsia="Times New Roman" w:cs="Arial"/>
                <w:color w:val="000000"/>
                <w:sz w:val="20"/>
                <w:szCs w:val="20"/>
                <w:lang w:eastAsia="en-AU"/>
              </w:rPr>
              <w:t>.</w:t>
            </w:r>
          </w:p>
        </w:tc>
      </w:tr>
      <w:tr w:rsidR="00071881" w:rsidRPr="00192F41" w14:paraId="41F5D9B3" w14:textId="77777777" w:rsidTr="00F97216">
        <w:trPr>
          <w:cnfStyle w:val="000000100000" w:firstRow="0" w:lastRow="0" w:firstColumn="0" w:lastColumn="0" w:oddVBand="0" w:evenVBand="0" w:oddHBand="1" w:evenHBand="0" w:firstRowFirstColumn="0" w:firstRowLastColumn="0" w:lastRowFirstColumn="0" w:lastRowLastColumn="0"/>
          <w:trHeight w:val="476"/>
        </w:trPr>
        <w:tc>
          <w:tcPr>
            <w:tcW w:w="908" w:type="dxa"/>
            <w:vAlign w:val="top"/>
            <w:hideMark/>
          </w:tcPr>
          <w:p w14:paraId="44DC10C1" w14:textId="150A7C39" w:rsidR="008C152E" w:rsidRPr="00192F41" w:rsidRDefault="008C152E" w:rsidP="000E4967">
            <w:pPr>
              <w:spacing w:before="40" w:after="40"/>
              <w:jc w:val="center"/>
              <w:rPr>
                <w:rFonts w:eastAsia="Times New Roman" w:cs="Arial"/>
                <w:color w:val="000000"/>
                <w:sz w:val="20"/>
                <w:szCs w:val="20"/>
                <w:lang w:eastAsia="en-AU"/>
              </w:rPr>
            </w:pPr>
          </w:p>
        </w:tc>
        <w:tc>
          <w:tcPr>
            <w:tcW w:w="1077" w:type="dxa"/>
            <w:vAlign w:val="top"/>
            <w:hideMark/>
          </w:tcPr>
          <w:p w14:paraId="497B829F"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August 2022</w:t>
            </w:r>
          </w:p>
        </w:tc>
        <w:tc>
          <w:tcPr>
            <w:tcW w:w="846" w:type="dxa"/>
            <w:vAlign w:val="top"/>
            <w:hideMark/>
          </w:tcPr>
          <w:p w14:paraId="224EE4AE" w14:textId="748D32FD" w:rsidR="008C152E" w:rsidRPr="00F97216" w:rsidRDefault="00F97216" w:rsidP="000E4967">
            <w:pPr>
              <w:spacing w:before="40" w:after="40"/>
              <w:jc w:val="center"/>
              <w:rPr>
                <w:rFonts w:eastAsia="Times New Roman" w:cs="Arial"/>
                <w:color w:val="000000"/>
                <w:sz w:val="20"/>
                <w:szCs w:val="20"/>
                <w:lang w:eastAsia="en-AU"/>
              </w:rPr>
            </w:pPr>
            <w:r w:rsidRPr="00F97216">
              <w:rPr>
                <w:rFonts w:eastAsia="Times New Roman" w:cs="Arial"/>
                <w:color w:val="000000"/>
                <w:sz w:val="20"/>
                <w:szCs w:val="20"/>
                <w:lang w:eastAsia="en-AU"/>
              </w:rPr>
              <w:t>9.3</w:t>
            </w:r>
          </w:p>
        </w:tc>
        <w:tc>
          <w:tcPr>
            <w:tcW w:w="2955" w:type="dxa"/>
            <w:vAlign w:val="top"/>
            <w:hideMark/>
          </w:tcPr>
          <w:p w14:paraId="47A7B5A9"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Price submission first draft</w:t>
            </w:r>
          </w:p>
        </w:tc>
        <w:tc>
          <w:tcPr>
            <w:tcW w:w="8142" w:type="dxa"/>
            <w:vAlign w:val="top"/>
            <w:hideMark/>
          </w:tcPr>
          <w:p w14:paraId="07F0F50E"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provide the board with a first draft of our proposed price submission, noting that we are still finalising some areas such as the detailed CAPEX and Engagement reports.</w:t>
            </w:r>
          </w:p>
        </w:tc>
      </w:tr>
      <w:tr w:rsidR="008C152E" w:rsidRPr="00192F41" w14:paraId="42CD9433" w14:textId="77777777" w:rsidTr="000E4967">
        <w:trPr>
          <w:trHeight w:val="456"/>
        </w:trPr>
        <w:tc>
          <w:tcPr>
            <w:tcW w:w="908" w:type="dxa"/>
            <w:tcBorders>
              <w:bottom w:val="single" w:sz="4" w:space="0" w:color="auto"/>
            </w:tcBorders>
            <w:vAlign w:val="top"/>
            <w:hideMark/>
          </w:tcPr>
          <w:p w14:paraId="0FAD8A09" w14:textId="4E4C50DA" w:rsidR="008C152E" w:rsidRPr="00192F41" w:rsidRDefault="008C152E" w:rsidP="000E4967">
            <w:pPr>
              <w:spacing w:before="40" w:after="40"/>
              <w:jc w:val="center"/>
              <w:rPr>
                <w:rFonts w:eastAsia="Times New Roman" w:cs="Arial"/>
                <w:color w:val="000000"/>
                <w:sz w:val="20"/>
                <w:szCs w:val="20"/>
                <w:lang w:eastAsia="en-AU"/>
              </w:rPr>
            </w:pPr>
          </w:p>
        </w:tc>
        <w:tc>
          <w:tcPr>
            <w:tcW w:w="1077" w:type="dxa"/>
            <w:tcBorders>
              <w:bottom w:val="single" w:sz="4" w:space="0" w:color="auto"/>
            </w:tcBorders>
            <w:vAlign w:val="top"/>
            <w:hideMark/>
          </w:tcPr>
          <w:p w14:paraId="0F95453A" w14:textId="77777777"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September 2022</w:t>
            </w:r>
          </w:p>
        </w:tc>
        <w:tc>
          <w:tcPr>
            <w:tcW w:w="846" w:type="dxa"/>
            <w:tcBorders>
              <w:bottom w:val="single" w:sz="4" w:space="0" w:color="auto"/>
            </w:tcBorders>
            <w:vAlign w:val="top"/>
            <w:hideMark/>
          </w:tcPr>
          <w:p w14:paraId="6C8D8042" w14:textId="057A7E71" w:rsidR="008C152E" w:rsidRPr="00F97216" w:rsidRDefault="00F97216" w:rsidP="000E4967">
            <w:pPr>
              <w:spacing w:before="40" w:after="40"/>
              <w:jc w:val="center"/>
              <w:rPr>
                <w:rFonts w:eastAsia="Times New Roman" w:cs="Arial"/>
                <w:color w:val="000000"/>
                <w:sz w:val="20"/>
                <w:szCs w:val="20"/>
                <w:lang w:eastAsia="en-AU"/>
              </w:rPr>
            </w:pPr>
            <w:r w:rsidRPr="00F97216">
              <w:rPr>
                <w:rFonts w:eastAsia="Times New Roman" w:cs="Arial"/>
                <w:color w:val="000000"/>
                <w:sz w:val="20"/>
                <w:szCs w:val="20"/>
                <w:lang w:eastAsia="en-AU"/>
              </w:rPr>
              <w:t>4.1</w:t>
            </w:r>
          </w:p>
        </w:tc>
        <w:tc>
          <w:tcPr>
            <w:tcW w:w="2955" w:type="dxa"/>
            <w:tcBorders>
              <w:bottom w:val="single" w:sz="4" w:space="0" w:color="auto"/>
            </w:tcBorders>
            <w:vAlign w:val="top"/>
            <w:hideMark/>
          </w:tcPr>
          <w:p w14:paraId="0B7E5B0B" w14:textId="08713D3F"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 xml:space="preserve">Price submission </w:t>
            </w:r>
            <w:r w:rsidR="00B17A98">
              <w:rPr>
                <w:rFonts w:eastAsia="Times New Roman" w:cs="Arial"/>
                <w:color w:val="000000"/>
                <w:sz w:val="20"/>
                <w:szCs w:val="20"/>
                <w:lang w:eastAsia="en-AU"/>
              </w:rPr>
              <w:t>attestation</w:t>
            </w:r>
          </w:p>
        </w:tc>
        <w:tc>
          <w:tcPr>
            <w:tcW w:w="8142" w:type="dxa"/>
            <w:tcBorders>
              <w:bottom w:val="single" w:sz="4" w:space="0" w:color="auto"/>
            </w:tcBorders>
            <w:vAlign w:val="top"/>
            <w:hideMark/>
          </w:tcPr>
          <w:p w14:paraId="09775A3D" w14:textId="7468B841" w:rsidR="008C152E" w:rsidRPr="00192F41" w:rsidRDefault="008C152E" w:rsidP="000E4967">
            <w:pPr>
              <w:spacing w:before="40" w:after="40"/>
              <w:rPr>
                <w:rFonts w:eastAsia="Times New Roman" w:cs="Arial"/>
                <w:color w:val="000000"/>
                <w:sz w:val="20"/>
                <w:szCs w:val="20"/>
                <w:lang w:eastAsia="en-AU"/>
              </w:rPr>
            </w:pPr>
            <w:r w:rsidRPr="00192F41">
              <w:rPr>
                <w:rFonts w:eastAsia="Times New Roman" w:cs="Arial"/>
                <w:color w:val="000000"/>
                <w:sz w:val="20"/>
                <w:szCs w:val="20"/>
                <w:lang w:eastAsia="en-AU"/>
              </w:rPr>
              <w:t>To provide the board with our full price submission for approval</w:t>
            </w:r>
            <w:r w:rsidR="00571B9E">
              <w:rPr>
                <w:rFonts w:eastAsia="Times New Roman" w:cs="Arial"/>
                <w:color w:val="000000"/>
                <w:sz w:val="20"/>
                <w:szCs w:val="20"/>
                <w:lang w:eastAsia="en-AU"/>
              </w:rPr>
              <w:t>.</w:t>
            </w:r>
          </w:p>
        </w:tc>
      </w:tr>
    </w:tbl>
    <w:p w14:paraId="5CD18246" w14:textId="39C2462E" w:rsidR="006B2584" w:rsidRDefault="006B2584" w:rsidP="006B2584">
      <w:pPr>
        <w:pStyle w:val="Heading2"/>
        <w:rPr>
          <w:rStyle w:val="IntenseEmphasis"/>
          <w:rFonts w:cs="Arial"/>
          <w:i w:val="0"/>
          <w:iCs w:val="0"/>
          <w:sz w:val="36"/>
        </w:rPr>
      </w:pPr>
      <w:r w:rsidRPr="00192F41">
        <w:rPr>
          <w:rStyle w:val="IntenseEmphasis"/>
          <w:rFonts w:cs="Arial"/>
          <w:i w:val="0"/>
          <w:iCs w:val="0"/>
          <w:sz w:val="36"/>
        </w:rPr>
        <w:t xml:space="preserve">Appendix </w:t>
      </w:r>
      <w:r>
        <w:rPr>
          <w:rStyle w:val="IntenseEmphasis"/>
          <w:rFonts w:cs="Arial"/>
          <w:i w:val="0"/>
          <w:iCs w:val="0"/>
          <w:sz w:val="36"/>
        </w:rPr>
        <w:t>E</w:t>
      </w:r>
      <w:r w:rsidRPr="00192F41">
        <w:rPr>
          <w:rStyle w:val="IntenseEmphasis"/>
          <w:rFonts w:cs="Arial"/>
          <w:i w:val="0"/>
          <w:iCs w:val="0"/>
          <w:sz w:val="36"/>
        </w:rPr>
        <w:t xml:space="preserve"> </w:t>
      </w:r>
      <w:r w:rsidR="006165E8">
        <w:rPr>
          <w:rStyle w:val="IntenseEmphasis"/>
          <w:rFonts w:cs="Arial"/>
          <w:i w:val="0"/>
          <w:iCs w:val="0"/>
          <w:sz w:val="36"/>
        </w:rPr>
        <w:t>–</w:t>
      </w:r>
      <w:r w:rsidRPr="00192F41">
        <w:rPr>
          <w:rStyle w:val="IntenseEmphasis"/>
          <w:rFonts w:cs="Arial"/>
          <w:i w:val="0"/>
          <w:iCs w:val="0"/>
          <w:sz w:val="36"/>
        </w:rPr>
        <w:t xml:space="preserve"> </w:t>
      </w:r>
      <w:r w:rsidR="006165E8">
        <w:rPr>
          <w:rStyle w:val="IntenseEmphasis"/>
          <w:rFonts w:cs="Arial"/>
          <w:i w:val="0"/>
          <w:iCs w:val="0"/>
          <w:sz w:val="36"/>
        </w:rPr>
        <w:t>Pathway to financial sustainability</w:t>
      </w:r>
    </w:p>
    <w:p w14:paraId="248860F4" w14:textId="00171577" w:rsidR="00971858" w:rsidRDefault="006165E8" w:rsidP="005B1AB4">
      <w:r w:rsidRPr="006165E8">
        <w:rPr>
          <w:noProof/>
        </w:rPr>
        <w:drawing>
          <wp:inline distT="0" distB="0" distL="0" distR="0" wp14:anchorId="5E9EFD95" wp14:editId="1FDE065A">
            <wp:extent cx="8117840" cy="573278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8117840" cy="5732780"/>
                    </a:xfrm>
                    <a:prstGeom prst="rect">
                      <a:avLst/>
                    </a:prstGeom>
                    <a:noFill/>
                    <a:ln>
                      <a:noFill/>
                    </a:ln>
                  </pic:spPr>
                </pic:pic>
              </a:graphicData>
            </a:graphic>
          </wp:inline>
        </w:drawing>
      </w:r>
    </w:p>
    <w:p w14:paraId="2E151869" w14:textId="1F6A5868" w:rsidR="006165E8" w:rsidRDefault="006165E8" w:rsidP="006165E8">
      <w:pPr>
        <w:pStyle w:val="Heading2"/>
        <w:rPr>
          <w:rStyle w:val="IntenseEmphasis"/>
          <w:rFonts w:cs="Arial"/>
          <w:i w:val="0"/>
          <w:iCs w:val="0"/>
          <w:sz w:val="36"/>
        </w:rPr>
      </w:pPr>
      <w:r w:rsidRPr="00192F41">
        <w:rPr>
          <w:rStyle w:val="IntenseEmphasis"/>
          <w:rFonts w:cs="Arial"/>
          <w:i w:val="0"/>
          <w:iCs w:val="0"/>
          <w:sz w:val="36"/>
        </w:rPr>
        <w:t xml:space="preserve">Appendix </w:t>
      </w:r>
      <w:r>
        <w:rPr>
          <w:rStyle w:val="IntenseEmphasis"/>
          <w:rFonts w:cs="Arial"/>
          <w:i w:val="0"/>
          <w:iCs w:val="0"/>
          <w:sz w:val="36"/>
        </w:rPr>
        <w:t>F</w:t>
      </w:r>
      <w:r w:rsidRPr="00192F41">
        <w:rPr>
          <w:rStyle w:val="IntenseEmphasis"/>
          <w:rFonts w:cs="Arial"/>
          <w:i w:val="0"/>
          <w:iCs w:val="0"/>
          <w:sz w:val="36"/>
        </w:rPr>
        <w:t xml:space="preserve"> </w:t>
      </w:r>
      <w:r>
        <w:rPr>
          <w:rStyle w:val="IntenseEmphasis"/>
          <w:rFonts w:cs="Arial"/>
          <w:i w:val="0"/>
          <w:iCs w:val="0"/>
          <w:sz w:val="36"/>
        </w:rPr>
        <w:t>–</w:t>
      </w:r>
      <w:r w:rsidRPr="00192F41">
        <w:rPr>
          <w:rStyle w:val="IntenseEmphasis"/>
          <w:rFonts w:cs="Arial"/>
          <w:i w:val="0"/>
          <w:iCs w:val="0"/>
          <w:sz w:val="36"/>
        </w:rPr>
        <w:t xml:space="preserve"> </w:t>
      </w:r>
      <w:r>
        <w:rPr>
          <w:rStyle w:val="IntenseEmphasis"/>
          <w:rFonts w:cs="Arial"/>
          <w:i w:val="0"/>
          <w:iCs w:val="0"/>
          <w:sz w:val="36"/>
        </w:rPr>
        <w:t>Engagement report</w:t>
      </w:r>
    </w:p>
    <w:p w14:paraId="70E27D38" w14:textId="69F68555" w:rsidR="008A426A" w:rsidRDefault="00981AC6" w:rsidP="005B1AB4">
      <w:r>
        <w:t>This engagement report was prepared by external consultants</w:t>
      </w:r>
      <w:r w:rsidR="00BE5C9A">
        <w:t xml:space="preserve"> and represents</w:t>
      </w:r>
      <w:r w:rsidR="00242348">
        <w:t xml:space="preserve"> the complete engagement process. Report on following page.</w:t>
      </w:r>
    </w:p>
    <w:p w14:paraId="05A87819" w14:textId="77777777" w:rsidR="004C150F" w:rsidRDefault="004C150F" w:rsidP="005B1AB4">
      <w:pPr>
        <w:sectPr w:rsidR="004C150F" w:rsidSect="005A5037">
          <w:footerReference w:type="first" r:id="rId46"/>
          <w:pgSz w:w="16838" w:h="11906" w:orient="landscape"/>
          <w:pgMar w:top="1134" w:right="1701" w:bottom="567" w:left="2353" w:header="567" w:footer="0" w:gutter="0"/>
          <w:cols w:space="708"/>
          <w:docGrid w:linePitch="360"/>
        </w:sectPr>
      </w:pPr>
    </w:p>
    <w:p w14:paraId="39E76554" w14:textId="77777777" w:rsidR="0022607C" w:rsidRPr="0022607C" w:rsidRDefault="0022607C" w:rsidP="0022607C">
      <w:pPr>
        <w:spacing w:before="120" w:after="120" w:line="240" w:lineRule="auto"/>
        <w:rPr>
          <w:rFonts w:ascii="Calibri" w:eastAsia="Times New Roman" w:hAnsi="Calibri" w:cs="Calibri"/>
          <w:sz w:val="32"/>
          <w:szCs w:val="24"/>
          <w:lang w:eastAsia="en-AU"/>
        </w:rPr>
      </w:pPr>
    </w:p>
    <w:p w14:paraId="7D272B3E" w14:textId="77777777" w:rsidR="0022607C" w:rsidRPr="0022607C" w:rsidRDefault="0022607C" w:rsidP="0022607C">
      <w:pPr>
        <w:tabs>
          <w:tab w:val="left" w:pos="711"/>
        </w:tabs>
        <w:spacing w:before="120" w:after="120" w:line="240" w:lineRule="auto"/>
        <w:jc w:val="right"/>
        <w:rPr>
          <w:rFonts w:ascii="Calibri" w:eastAsia="Times New Roman" w:hAnsi="Calibri" w:cs="Calibri"/>
          <w:color w:val="0070C0"/>
          <w:sz w:val="32"/>
          <w:szCs w:val="24"/>
          <w:lang w:eastAsia="en-AU"/>
        </w:rPr>
      </w:pPr>
      <w:r w:rsidRPr="0022607C">
        <w:rPr>
          <w:rFonts w:ascii="Calibri" w:eastAsia="Times New Roman" w:hAnsi="Calibri" w:cs="Calibri"/>
          <w:noProof/>
          <w:color w:val="0070C0"/>
          <w:sz w:val="32"/>
          <w:szCs w:val="24"/>
          <w:lang w:eastAsia="en-AU"/>
        </w:rPr>
        <w:drawing>
          <wp:inline distT="0" distB="0" distL="0" distR="0" wp14:anchorId="4BED8953" wp14:editId="72BA0480">
            <wp:extent cx="3671966" cy="1386204"/>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7">
                      <a:extLst>
                        <a:ext uri="{28A0092B-C50C-407E-A947-70E740481C1C}">
                          <a14:useLocalDpi xmlns:a14="http://schemas.microsoft.com/office/drawing/2010/main" val="0"/>
                        </a:ext>
                      </a:extLst>
                    </a:blip>
                    <a:stretch>
                      <a:fillRect/>
                    </a:stretch>
                  </pic:blipFill>
                  <pic:spPr>
                    <a:xfrm>
                      <a:off x="0" y="0"/>
                      <a:ext cx="3691042" cy="1393405"/>
                    </a:xfrm>
                    <a:prstGeom prst="rect">
                      <a:avLst/>
                    </a:prstGeom>
                  </pic:spPr>
                </pic:pic>
              </a:graphicData>
            </a:graphic>
          </wp:inline>
        </w:drawing>
      </w:r>
    </w:p>
    <w:p w14:paraId="62B2E0A8" w14:textId="77777777" w:rsidR="0022607C" w:rsidRPr="0022607C" w:rsidRDefault="0022607C" w:rsidP="0022607C">
      <w:pPr>
        <w:spacing w:before="120" w:after="120" w:line="240" w:lineRule="auto"/>
        <w:jc w:val="right"/>
        <w:rPr>
          <w:rFonts w:ascii="Calibri" w:eastAsia="Times New Roman" w:hAnsi="Calibri" w:cs="Calibri"/>
          <w:sz w:val="32"/>
          <w:szCs w:val="24"/>
          <w:lang w:eastAsia="en-AU"/>
        </w:rPr>
      </w:pPr>
    </w:p>
    <w:p w14:paraId="0361860B" w14:textId="77777777" w:rsidR="0022607C" w:rsidRPr="0022607C" w:rsidRDefault="0022607C" w:rsidP="0022607C">
      <w:pPr>
        <w:tabs>
          <w:tab w:val="left" w:pos="3131"/>
        </w:tabs>
        <w:spacing w:before="120" w:after="120" w:line="240" w:lineRule="auto"/>
        <w:rPr>
          <w:rFonts w:ascii="Calibri" w:eastAsia="Times New Roman" w:hAnsi="Calibri" w:cs="Calibri"/>
          <w:sz w:val="32"/>
          <w:szCs w:val="24"/>
          <w:lang w:eastAsia="en-AU"/>
        </w:rPr>
      </w:pPr>
    </w:p>
    <w:p w14:paraId="4F6014E2" w14:textId="77777777" w:rsidR="0022607C" w:rsidRPr="0022607C" w:rsidRDefault="0022607C" w:rsidP="0022607C">
      <w:pPr>
        <w:spacing w:before="120" w:after="120" w:line="240" w:lineRule="auto"/>
        <w:jc w:val="right"/>
        <w:rPr>
          <w:rFonts w:ascii="Calibri" w:eastAsia="Times New Roman" w:hAnsi="Calibri" w:cs="Calibri"/>
          <w:sz w:val="32"/>
          <w:szCs w:val="24"/>
          <w:lang w:eastAsia="en-AU"/>
        </w:rPr>
      </w:pPr>
    </w:p>
    <w:p w14:paraId="340E077B" w14:textId="77777777" w:rsidR="0022607C" w:rsidRPr="0022607C" w:rsidRDefault="0022607C" w:rsidP="0022607C">
      <w:pPr>
        <w:spacing w:before="120" w:after="120" w:line="240" w:lineRule="auto"/>
        <w:jc w:val="right"/>
        <w:rPr>
          <w:rFonts w:ascii="Calibri" w:eastAsia="Times New Roman" w:hAnsi="Calibri" w:cs="Calibri"/>
          <w:sz w:val="32"/>
          <w:szCs w:val="24"/>
          <w:lang w:eastAsia="en-AU"/>
        </w:rPr>
      </w:pPr>
    </w:p>
    <w:p w14:paraId="1941CA4F" w14:textId="77777777" w:rsidR="0022607C" w:rsidRPr="0022607C" w:rsidRDefault="0022607C" w:rsidP="0022607C">
      <w:pPr>
        <w:spacing w:before="120" w:after="120" w:line="240" w:lineRule="auto"/>
        <w:jc w:val="right"/>
        <w:rPr>
          <w:rFonts w:ascii="Calibri" w:eastAsia="Times New Roman" w:hAnsi="Calibri" w:cs="Calibri"/>
          <w:sz w:val="32"/>
          <w:szCs w:val="24"/>
          <w:lang w:eastAsia="en-AU"/>
        </w:rPr>
      </w:pPr>
    </w:p>
    <w:p w14:paraId="0BFAFD43" w14:textId="77777777" w:rsidR="0022607C" w:rsidRPr="0022607C" w:rsidRDefault="0022607C" w:rsidP="0022607C">
      <w:pPr>
        <w:spacing w:before="120" w:after="120" w:line="240" w:lineRule="auto"/>
        <w:jc w:val="right"/>
        <w:rPr>
          <w:rFonts w:ascii="Calibri" w:eastAsia="Times New Roman" w:hAnsi="Calibri" w:cs="Calibri"/>
          <w:b/>
          <w:color w:val="0070C0"/>
          <w:sz w:val="32"/>
          <w:szCs w:val="24"/>
          <w:lang w:eastAsia="en-AU"/>
        </w:rPr>
      </w:pPr>
      <w:r w:rsidRPr="0022607C">
        <w:rPr>
          <w:rFonts w:ascii="Calibri" w:eastAsia="Times New Roman" w:hAnsi="Calibri" w:cs="Calibri"/>
          <w:b/>
          <w:color w:val="0070C0"/>
          <w:sz w:val="32"/>
          <w:szCs w:val="24"/>
          <w:lang w:eastAsia="en-AU"/>
        </w:rPr>
        <w:t>Price Submission 2023 – Engagement Report</w:t>
      </w:r>
      <w:r w:rsidRPr="0022607C">
        <w:rPr>
          <w:rFonts w:ascii="Calibri" w:eastAsia="Times New Roman" w:hAnsi="Calibri" w:cs="Calibri"/>
          <w:b/>
          <w:color w:val="0070C0"/>
          <w:sz w:val="32"/>
          <w:szCs w:val="24"/>
          <w:lang w:eastAsia="en-AU"/>
        </w:rPr>
        <w:fldChar w:fldCharType="begin"/>
      </w:r>
      <w:r w:rsidRPr="0022607C">
        <w:rPr>
          <w:rFonts w:ascii="Calibri" w:eastAsia="Times New Roman" w:hAnsi="Calibri" w:cs="Calibri"/>
          <w:b/>
          <w:color w:val="0070C0"/>
          <w:sz w:val="32"/>
          <w:szCs w:val="24"/>
          <w:lang w:eastAsia="en-AU"/>
        </w:rPr>
        <w:instrText xml:space="preserve"> TITLE  \* Upper </w:instrText>
      </w:r>
      <w:r w:rsidR="00000000">
        <w:rPr>
          <w:rFonts w:ascii="Calibri" w:eastAsia="Times New Roman" w:hAnsi="Calibri" w:cs="Calibri"/>
          <w:b/>
          <w:color w:val="0070C0"/>
          <w:sz w:val="32"/>
          <w:szCs w:val="24"/>
          <w:lang w:eastAsia="en-AU"/>
        </w:rPr>
        <w:fldChar w:fldCharType="separate"/>
      </w:r>
      <w:r w:rsidRPr="0022607C">
        <w:rPr>
          <w:rFonts w:ascii="Calibri" w:eastAsia="Times New Roman" w:hAnsi="Calibri" w:cs="Calibri"/>
          <w:b/>
          <w:color w:val="0070C0"/>
          <w:sz w:val="32"/>
          <w:szCs w:val="24"/>
          <w:lang w:eastAsia="en-AU"/>
        </w:rPr>
        <w:fldChar w:fldCharType="end"/>
      </w:r>
    </w:p>
    <w:p w14:paraId="36D2AE89" w14:textId="77777777" w:rsidR="0022607C" w:rsidRPr="0022607C" w:rsidRDefault="0022607C" w:rsidP="0022607C">
      <w:pPr>
        <w:spacing w:before="120" w:after="120" w:line="240" w:lineRule="auto"/>
        <w:jc w:val="both"/>
        <w:rPr>
          <w:rFonts w:ascii="Calibri" w:eastAsia="Times New Roman" w:hAnsi="Calibri" w:cs="Calibri"/>
          <w:color w:val="0070C0"/>
          <w:sz w:val="32"/>
          <w:szCs w:val="24"/>
          <w:lang w:eastAsia="en-AU"/>
        </w:rPr>
      </w:pPr>
    </w:p>
    <w:p w14:paraId="4B7E8447"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r w:rsidRPr="0022607C">
        <w:rPr>
          <w:rFonts w:ascii="Calibri" w:eastAsia="Times New Roman" w:hAnsi="Calibri" w:cs="Calibri"/>
          <w:color w:val="0070C0"/>
          <w:sz w:val="32"/>
          <w:szCs w:val="24"/>
          <w:lang w:eastAsia="en-AU"/>
        </w:rPr>
        <w:t>For</w:t>
      </w:r>
    </w:p>
    <w:p w14:paraId="4FA56EB6"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p>
    <w:p w14:paraId="18950A92"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r w:rsidRPr="0022607C">
        <w:rPr>
          <w:rFonts w:ascii="Calibri" w:eastAsia="Times New Roman" w:hAnsi="Calibri" w:cs="Calibri"/>
          <w:noProof/>
          <w:color w:val="0070C0"/>
          <w:sz w:val="32"/>
          <w:szCs w:val="24"/>
          <w:lang w:eastAsia="en-AU"/>
        </w:rPr>
        <w:drawing>
          <wp:inline distT="0" distB="0" distL="0" distR="0" wp14:anchorId="654B8A0D" wp14:editId="1DFBEFC3">
            <wp:extent cx="2997200" cy="1295400"/>
            <wp:effectExtent l="0" t="0" r="0" b="0"/>
            <wp:docPr id="37" name="Picture 5" descr="Logo&#10;&#10;Description automatically generated with medium confidence">
              <a:extLst xmlns:a="http://schemas.openxmlformats.org/drawingml/2006/main">
                <a:ext uri="{FF2B5EF4-FFF2-40B4-BE49-F238E27FC236}">
                  <a16:creationId xmlns:a16="http://schemas.microsoft.com/office/drawing/2014/main" id="{FC869276-4673-8844-A6BB-FDA94BB6B9E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Logo&#10;&#10;Description automatically generated with medium confidence">
                      <a:extLst>
                        <a:ext uri="{FF2B5EF4-FFF2-40B4-BE49-F238E27FC236}">
                          <a16:creationId xmlns:a16="http://schemas.microsoft.com/office/drawing/2014/main" id="{FC869276-4673-8844-A6BB-FDA94BB6B9E4}"/>
                        </a:ext>
                      </a:extLst>
                    </pic:cNvPr>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2997200" cy="1295400"/>
                    </a:xfrm>
                    <a:prstGeom prst="rect">
                      <a:avLst/>
                    </a:prstGeom>
                  </pic:spPr>
                </pic:pic>
              </a:graphicData>
            </a:graphic>
          </wp:inline>
        </w:drawing>
      </w:r>
    </w:p>
    <w:p w14:paraId="28C33D56"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p>
    <w:p w14:paraId="6514CBDB"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r w:rsidRPr="0022607C">
        <w:rPr>
          <w:rFonts w:ascii="Calibri" w:eastAsia="Times New Roman" w:hAnsi="Calibri" w:cs="Calibri"/>
          <w:color w:val="0070C0"/>
          <w:sz w:val="32"/>
          <w:szCs w:val="24"/>
          <w:lang w:eastAsia="en-AU"/>
        </w:rPr>
        <w:t>By</w:t>
      </w:r>
    </w:p>
    <w:p w14:paraId="69DD7290" w14:textId="77777777" w:rsidR="0022607C" w:rsidRPr="0022607C" w:rsidRDefault="0022607C" w:rsidP="0022607C">
      <w:pPr>
        <w:spacing w:before="120" w:after="120" w:line="240" w:lineRule="auto"/>
        <w:jc w:val="right"/>
        <w:rPr>
          <w:rFonts w:ascii="Calibri" w:eastAsia="Times New Roman" w:hAnsi="Calibri" w:cs="Calibri"/>
          <w:color w:val="0070C0"/>
          <w:sz w:val="32"/>
          <w:szCs w:val="24"/>
          <w:lang w:eastAsia="en-AU"/>
        </w:rPr>
      </w:pPr>
    </w:p>
    <w:p w14:paraId="6F80EEA1" w14:textId="77777777" w:rsidR="0022607C" w:rsidRPr="0022607C" w:rsidRDefault="0022607C" w:rsidP="0022607C">
      <w:pPr>
        <w:spacing w:before="120" w:after="120" w:line="240" w:lineRule="auto"/>
        <w:jc w:val="right"/>
        <w:rPr>
          <w:rFonts w:ascii="Tahoma" w:eastAsia="Times New Roman" w:hAnsi="Tahoma" w:cs="Times New Roman"/>
          <w:color w:val="0070C0"/>
          <w:sz w:val="32"/>
          <w:szCs w:val="24"/>
          <w:lang w:eastAsia="en-AU"/>
        </w:rPr>
      </w:pPr>
      <w:r w:rsidRPr="0022607C">
        <w:rPr>
          <w:rFonts w:ascii="Calibri" w:eastAsia="Times New Roman" w:hAnsi="Calibri" w:cs="Calibri"/>
          <w:color w:val="0070C0"/>
          <w:sz w:val="32"/>
          <w:szCs w:val="24"/>
          <w:lang w:eastAsia="en-AU"/>
        </w:rPr>
        <w:fldChar w:fldCharType="begin"/>
      </w:r>
      <w:r w:rsidRPr="0022607C">
        <w:rPr>
          <w:rFonts w:ascii="Calibri" w:eastAsia="Times New Roman" w:hAnsi="Calibri" w:cs="Calibri"/>
          <w:color w:val="0070C0"/>
          <w:sz w:val="32"/>
          <w:szCs w:val="24"/>
          <w:lang w:eastAsia="en-AU"/>
        </w:rPr>
        <w:instrText xml:space="preserve"> DOCPROPERTY  Company </w:instrText>
      </w:r>
      <w:r w:rsidRPr="0022607C">
        <w:rPr>
          <w:rFonts w:ascii="Calibri" w:eastAsia="Times New Roman" w:hAnsi="Calibri" w:cs="Calibri"/>
          <w:color w:val="0070C0"/>
          <w:sz w:val="32"/>
          <w:szCs w:val="24"/>
          <w:lang w:eastAsia="en-AU"/>
        </w:rPr>
        <w:fldChar w:fldCharType="separate"/>
      </w:r>
      <w:r w:rsidRPr="0022607C">
        <w:rPr>
          <w:rFonts w:ascii="Calibri" w:eastAsia="Times New Roman" w:hAnsi="Calibri" w:cs="Calibri"/>
          <w:color w:val="0070C0"/>
          <w:sz w:val="32"/>
          <w:szCs w:val="24"/>
          <w:lang w:eastAsia="en-AU"/>
        </w:rPr>
        <w:t>Bartley Consulting Pty Ltd</w:t>
      </w:r>
      <w:r w:rsidRPr="0022607C">
        <w:rPr>
          <w:rFonts w:ascii="Calibri" w:eastAsia="Times New Roman" w:hAnsi="Calibri" w:cs="Calibri"/>
          <w:color w:val="0070C0"/>
          <w:sz w:val="32"/>
          <w:szCs w:val="24"/>
          <w:lang w:eastAsia="en-AU"/>
        </w:rPr>
        <w:fldChar w:fldCharType="end"/>
      </w:r>
    </w:p>
    <w:p w14:paraId="404F7B0B" w14:textId="77777777" w:rsidR="0022607C" w:rsidRPr="0022607C" w:rsidRDefault="0022607C" w:rsidP="0022607C">
      <w:pPr>
        <w:spacing w:before="120" w:after="120" w:line="240" w:lineRule="auto"/>
        <w:jc w:val="right"/>
        <w:rPr>
          <w:rFonts w:ascii="Calibri" w:eastAsia="Times New Roman" w:hAnsi="Calibri" w:cs="Calibri"/>
          <w:b/>
          <w:bCs/>
          <w:color w:val="0070C0"/>
          <w:szCs w:val="20"/>
          <w:lang w:eastAsia="en-AU"/>
        </w:rPr>
      </w:pPr>
      <w:r w:rsidRPr="0022607C">
        <w:rPr>
          <w:rFonts w:ascii="Calibri" w:eastAsia="Times New Roman" w:hAnsi="Calibri" w:cs="Calibri"/>
          <w:b/>
          <w:bCs/>
          <w:color w:val="0070C0"/>
          <w:szCs w:val="20"/>
          <w:lang w:eastAsia="en-AU"/>
        </w:rPr>
        <w:t>02 August 2022</w:t>
      </w:r>
    </w:p>
    <w:p w14:paraId="443025D8" w14:textId="77777777" w:rsidR="0022607C" w:rsidRPr="0022607C" w:rsidRDefault="0022607C" w:rsidP="0022607C">
      <w:pPr>
        <w:snapToGrid w:val="0"/>
        <w:spacing w:after="0" w:line="240" w:lineRule="auto"/>
        <w:rPr>
          <w:rFonts w:ascii="Calibri" w:eastAsia="Times New Roman" w:hAnsi="Calibri" w:cs="Calibri"/>
          <w:color w:val="808080"/>
          <w:sz w:val="20"/>
          <w:szCs w:val="20"/>
          <w:lang w:eastAsia="en-GB"/>
        </w:rPr>
      </w:pPr>
    </w:p>
    <w:p w14:paraId="0628A8F0" w14:textId="77777777" w:rsidR="0022607C" w:rsidRPr="0022607C" w:rsidRDefault="0022607C" w:rsidP="0022607C">
      <w:pPr>
        <w:snapToGrid w:val="0"/>
        <w:spacing w:after="0" w:line="240" w:lineRule="auto"/>
        <w:rPr>
          <w:rFonts w:ascii="Calibri" w:eastAsia="Times New Roman" w:hAnsi="Calibri" w:cs="Calibri"/>
          <w:color w:val="808080"/>
          <w:sz w:val="20"/>
          <w:szCs w:val="20"/>
          <w:lang w:eastAsia="en-GB"/>
        </w:rPr>
      </w:pPr>
    </w:p>
    <w:p w14:paraId="60E5AE04"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sectPr w:rsidR="0022607C" w:rsidRPr="0022607C">
          <w:headerReference w:type="default" r:id="rId49"/>
          <w:footerReference w:type="default" r:id="rId50"/>
          <w:headerReference w:type="first" r:id="rId51"/>
          <w:footerReference w:type="first" r:id="rId52"/>
          <w:pgSz w:w="11900" w:h="16840" w:code="9"/>
          <w:pgMar w:top="1440" w:right="1440" w:bottom="879" w:left="1440" w:header="709" w:footer="261" w:gutter="0"/>
          <w:cols w:space="708"/>
          <w:titlePg/>
          <w:docGrid w:linePitch="360"/>
        </w:sectPr>
      </w:pPr>
    </w:p>
    <w:p w14:paraId="6651BD72"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68DDB121"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1BE11C5A"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2609689C"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51FF0030"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3EB71145"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101E6A1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79D9E9D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37EDFC36"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3FF1622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2A507241"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6B3BDE89"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72D50D13"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 xml:space="preserve">© </w:t>
      </w:r>
      <w:r w:rsidRPr="0022607C">
        <w:rPr>
          <w:rFonts w:ascii="Calibri" w:eastAsia="Times New Roman" w:hAnsi="Calibri" w:cs="Times New Roman"/>
          <w:sz w:val="21"/>
          <w:szCs w:val="24"/>
          <w:lang w:eastAsia="en-AU"/>
        </w:rPr>
        <w:fldChar w:fldCharType="begin"/>
      </w:r>
      <w:r w:rsidRPr="0022607C">
        <w:rPr>
          <w:rFonts w:ascii="Calibri" w:eastAsia="Times New Roman" w:hAnsi="Calibri" w:cs="Times New Roman"/>
          <w:sz w:val="21"/>
          <w:szCs w:val="24"/>
          <w:lang w:eastAsia="en-AU"/>
        </w:rPr>
        <w:instrText>DOCPROPERTY  Company</w:instrText>
      </w:r>
      <w:r w:rsidRPr="0022607C">
        <w:rPr>
          <w:rFonts w:ascii="Calibri" w:eastAsia="Times New Roman" w:hAnsi="Calibri" w:cs="Times New Roman"/>
          <w:sz w:val="21"/>
          <w:szCs w:val="24"/>
          <w:lang w:eastAsia="en-AU"/>
        </w:rPr>
        <w:fldChar w:fldCharType="separate"/>
      </w:r>
      <w:r w:rsidRPr="0022607C">
        <w:rPr>
          <w:rFonts w:ascii="Calibri" w:eastAsia="Times New Roman" w:hAnsi="Calibri" w:cs="Times New Roman"/>
          <w:sz w:val="21"/>
          <w:szCs w:val="24"/>
          <w:lang w:eastAsia="en-AU"/>
        </w:rPr>
        <w:t>Bartley Consulting Pty Ltd</w:t>
      </w:r>
      <w:r w:rsidRPr="0022607C">
        <w:rPr>
          <w:rFonts w:ascii="Calibri" w:eastAsia="Times New Roman" w:hAnsi="Calibri" w:cs="Times New Roman"/>
          <w:sz w:val="21"/>
          <w:szCs w:val="24"/>
          <w:lang w:eastAsia="en-AU"/>
        </w:rPr>
        <w:fldChar w:fldCharType="end"/>
      </w:r>
      <w:r w:rsidRPr="0022607C">
        <w:rPr>
          <w:rFonts w:ascii="Calibri" w:eastAsia="Times New Roman" w:hAnsi="Calibri" w:cs="Times New Roman"/>
          <w:sz w:val="21"/>
          <w:szCs w:val="24"/>
          <w:lang w:eastAsia="en-AU"/>
        </w:rPr>
        <w:t>, 2022</w:t>
      </w:r>
    </w:p>
    <w:p w14:paraId="726393E6"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ABN 87 084 786 550 ACN 084 786 550</w:t>
      </w:r>
    </w:p>
    <w:p w14:paraId="712DE473"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This document may only be used for the purpose for which it was commissioned and in accordance with the terms of engagement for the commission.  Unauthorised use of this document in any form whatsoever is prohibited.</w:t>
      </w:r>
    </w:p>
    <w:p w14:paraId="08A20066"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49F5FCD4"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Bartley Consulting Pty Ltd</w:t>
      </w:r>
    </w:p>
    <w:p w14:paraId="7CF13E8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PO Box 2105</w:t>
      </w:r>
    </w:p>
    <w:p w14:paraId="4DF9E338"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Hawthorn Vic 3122</w:t>
      </w:r>
    </w:p>
    <w:p w14:paraId="068EAB25"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2A486F14" w14:textId="77777777" w:rsidR="0022607C" w:rsidRPr="0022607C" w:rsidRDefault="00000000" w:rsidP="0022607C">
      <w:pPr>
        <w:spacing w:before="120" w:after="120" w:line="240" w:lineRule="auto"/>
        <w:jc w:val="both"/>
        <w:rPr>
          <w:rFonts w:ascii="Calibri" w:eastAsia="Times New Roman" w:hAnsi="Calibri" w:cs="Times New Roman"/>
          <w:sz w:val="21"/>
          <w:szCs w:val="24"/>
          <w:lang w:eastAsia="en-AU"/>
        </w:rPr>
      </w:pPr>
      <w:hyperlink r:id="rId53" w:history="1">
        <w:r w:rsidR="0022607C" w:rsidRPr="0022607C">
          <w:rPr>
            <w:rFonts w:ascii="Calibri" w:eastAsia="Times New Roman" w:hAnsi="Calibri" w:cs="Times New Roman"/>
            <w:sz w:val="21"/>
            <w:szCs w:val="24"/>
            <w:lang w:eastAsia="en-AU"/>
          </w:rPr>
          <w:t>www.bartley.com.au</w:t>
        </w:r>
      </w:hyperlink>
    </w:p>
    <w:p w14:paraId="37DA146E"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444E8259"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Document Details</w:t>
      </w:r>
    </w:p>
    <w:tbl>
      <w:tblPr>
        <w:tblW w:w="8196" w:type="dxa"/>
        <w:tblInd w:w="-8"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127"/>
        <w:gridCol w:w="6069"/>
      </w:tblGrid>
      <w:tr w:rsidR="0022607C" w:rsidRPr="0022607C" w14:paraId="6BF3300D" w14:textId="77777777" w:rsidTr="00F4567E">
        <w:trPr>
          <w:trHeight w:val="510"/>
        </w:trPr>
        <w:tc>
          <w:tcPr>
            <w:tcW w:w="8196" w:type="dxa"/>
            <w:gridSpan w:val="2"/>
            <w:tcBorders>
              <w:top w:val="single" w:sz="4" w:space="0" w:color="auto"/>
              <w:left w:val="single" w:sz="4" w:space="0" w:color="auto"/>
              <w:bottom w:val="single" w:sz="4" w:space="0" w:color="auto"/>
              <w:right w:val="single" w:sz="4" w:space="0" w:color="auto"/>
            </w:tcBorders>
            <w:vAlign w:val="center"/>
          </w:tcPr>
          <w:p w14:paraId="12EB67A0" w14:textId="77777777" w:rsidR="0022607C" w:rsidRPr="0022607C" w:rsidRDefault="0022607C" w:rsidP="0022607C">
            <w:pPr>
              <w:spacing w:before="120" w:after="120" w:line="240" w:lineRule="auto"/>
              <w:jc w:val="both"/>
              <w:rPr>
                <w:rFonts w:ascii="Calibri" w:eastAsia="Times New Roman" w:hAnsi="Calibri" w:cs="Times New Roman"/>
                <w:bCs/>
                <w:sz w:val="21"/>
                <w:szCs w:val="24"/>
                <w:lang w:eastAsia="en-AU"/>
              </w:rPr>
            </w:pPr>
            <w:r w:rsidRPr="0022607C">
              <w:rPr>
                <w:rFonts w:ascii="Calibri" w:eastAsia="Times New Roman" w:hAnsi="Calibri" w:cs="Times New Roman"/>
                <w:bCs/>
                <w:sz w:val="21"/>
                <w:szCs w:val="24"/>
                <w:lang w:eastAsia="en-AU"/>
              </w:rPr>
              <w:t>Title</w:t>
            </w:r>
            <w:r w:rsidRPr="0022607C">
              <w:rPr>
                <w:rFonts w:ascii="Calibri" w:eastAsia="Times New Roman" w:hAnsi="Calibri" w:cs="Times New Roman"/>
                <w:bCs/>
                <w:sz w:val="21"/>
                <w:szCs w:val="24"/>
                <w:lang w:eastAsia="en-AU"/>
              </w:rPr>
              <w:fldChar w:fldCharType="begin"/>
            </w:r>
            <w:r w:rsidRPr="0022607C">
              <w:rPr>
                <w:rFonts w:ascii="Calibri" w:eastAsia="Times New Roman" w:hAnsi="Calibri" w:cs="Times New Roman"/>
                <w:bCs/>
                <w:sz w:val="21"/>
                <w:szCs w:val="24"/>
                <w:lang w:eastAsia="en-AU"/>
              </w:rPr>
              <w:instrText xml:space="preserve"> SUBJECT  \* Caps  \* MERGEFORMAT </w:instrText>
            </w:r>
            <w:r w:rsidRPr="0022607C">
              <w:rPr>
                <w:rFonts w:ascii="Calibri" w:eastAsia="Times New Roman" w:hAnsi="Calibri" w:cs="Times New Roman"/>
                <w:bCs/>
                <w:sz w:val="21"/>
                <w:szCs w:val="24"/>
                <w:lang w:eastAsia="en-AU"/>
              </w:rPr>
              <w:fldChar w:fldCharType="end"/>
            </w:r>
          </w:p>
        </w:tc>
      </w:tr>
      <w:tr w:rsidR="0022607C" w:rsidRPr="0022607C" w14:paraId="6463F604" w14:textId="77777777" w:rsidTr="00F4567E">
        <w:trPr>
          <w:trHeight w:val="510"/>
        </w:trPr>
        <w:tc>
          <w:tcPr>
            <w:tcW w:w="2127" w:type="dxa"/>
            <w:tcBorders>
              <w:top w:val="single" w:sz="4" w:space="0" w:color="auto"/>
            </w:tcBorders>
            <w:vAlign w:val="center"/>
          </w:tcPr>
          <w:p w14:paraId="6B875523"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noProof/>
                <w:sz w:val="21"/>
                <w:szCs w:val="24"/>
                <w:lang w:eastAsia="en-AU"/>
              </w:rPr>
              <w:t>02 August 2022</w:t>
            </w:r>
          </w:p>
        </w:tc>
        <w:tc>
          <w:tcPr>
            <w:tcW w:w="6069" w:type="dxa"/>
            <w:tcBorders>
              <w:top w:val="single" w:sz="4" w:space="0" w:color="auto"/>
              <w:left w:val="nil"/>
            </w:tcBorders>
            <w:vAlign w:val="center"/>
          </w:tcPr>
          <w:p w14:paraId="41DA07A4"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noProof/>
                <w:sz w:val="21"/>
                <w:szCs w:val="24"/>
                <w:lang w:eastAsia="en-AU"/>
              </w:rPr>
              <w:fldChar w:fldCharType="begin"/>
            </w:r>
            <w:r w:rsidRPr="0022607C">
              <w:rPr>
                <w:rFonts w:ascii="Calibri" w:eastAsia="Times New Roman" w:hAnsi="Calibri" w:cs="Times New Roman"/>
                <w:noProof/>
                <w:sz w:val="21"/>
                <w:szCs w:val="24"/>
                <w:lang w:eastAsia="en-AU"/>
              </w:rPr>
              <w:instrText xml:space="preserve"> FILENAME  \* MERGEFORMAT </w:instrText>
            </w:r>
            <w:r w:rsidRPr="0022607C">
              <w:rPr>
                <w:rFonts w:ascii="Calibri" w:eastAsia="Times New Roman" w:hAnsi="Calibri" w:cs="Times New Roman"/>
                <w:noProof/>
                <w:sz w:val="21"/>
                <w:szCs w:val="24"/>
                <w:lang w:eastAsia="en-AU"/>
              </w:rPr>
              <w:fldChar w:fldCharType="separate"/>
            </w:r>
            <w:r w:rsidRPr="0022607C">
              <w:rPr>
                <w:rFonts w:ascii="Calibri" w:eastAsia="Times New Roman" w:hAnsi="Calibri" w:cs="Times New Roman"/>
                <w:noProof/>
                <w:sz w:val="21"/>
                <w:szCs w:val="24"/>
                <w:lang w:eastAsia="en-AU"/>
              </w:rPr>
              <w:t>Engagement Report SRW PS2023 (FINAL).docx</w:t>
            </w:r>
            <w:r w:rsidRPr="0022607C">
              <w:rPr>
                <w:rFonts w:ascii="Calibri" w:eastAsia="Times New Roman" w:hAnsi="Calibri" w:cs="Times New Roman"/>
                <w:noProof/>
                <w:sz w:val="21"/>
                <w:szCs w:val="24"/>
                <w:lang w:eastAsia="en-AU"/>
              </w:rPr>
              <w:fldChar w:fldCharType="end"/>
            </w:r>
          </w:p>
        </w:tc>
      </w:tr>
      <w:tr w:rsidR="0022607C" w:rsidRPr="0022607C" w14:paraId="1CC15B63" w14:textId="77777777" w:rsidTr="00F4567E">
        <w:trPr>
          <w:trHeight w:val="490"/>
        </w:trPr>
        <w:tc>
          <w:tcPr>
            <w:tcW w:w="8196" w:type="dxa"/>
            <w:gridSpan w:val="2"/>
            <w:vAlign w:val="center"/>
          </w:tcPr>
          <w:p w14:paraId="69E1F6AE"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 xml:space="preserve">Prepared by </w:t>
            </w:r>
            <w:r w:rsidRPr="0022607C">
              <w:rPr>
                <w:rFonts w:ascii="Calibri" w:eastAsia="Times New Roman" w:hAnsi="Calibri" w:cs="Times New Roman"/>
                <w:noProof/>
                <w:sz w:val="21"/>
                <w:szCs w:val="24"/>
                <w:lang w:eastAsia="en-AU"/>
              </w:rPr>
              <w:fldChar w:fldCharType="begin"/>
            </w:r>
            <w:r w:rsidRPr="0022607C">
              <w:rPr>
                <w:rFonts w:ascii="Calibri" w:eastAsia="Times New Roman" w:hAnsi="Calibri" w:cs="Times New Roman"/>
                <w:noProof/>
                <w:sz w:val="21"/>
                <w:szCs w:val="24"/>
                <w:lang w:eastAsia="en-AU"/>
              </w:rPr>
              <w:instrText xml:space="preserve"> AUTHOR  \* Caps </w:instrText>
            </w:r>
            <w:r w:rsidRPr="0022607C">
              <w:rPr>
                <w:rFonts w:ascii="Calibri" w:eastAsia="Times New Roman" w:hAnsi="Calibri" w:cs="Times New Roman"/>
                <w:noProof/>
                <w:sz w:val="21"/>
                <w:szCs w:val="24"/>
                <w:lang w:eastAsia="en-AU"/>
              </w:rPr>
              <w:fldChar w:fldCharType="separate"/>
            </w:r>
            <w:r w:rsidRPr="0022607C">
              <w:rPr>
                <w:rFonts w:ascii="Calibri" w:eastAsia="Times New Roman" w:hAnsi="Calibri" w:cs="Times New Roman"/>
                <w:noProof/>
                <w:sz w:val="21"/>
                <w:szCs w:val="24"/>
                <w:lang w:eastAsia="en-AU"/>
              </w:rPr>
              <w:t>Helen Bartley</w:t>
            </w:r>
            <w:r w:rsidRPr="0022607C">
              <w:rPr>
                <w:rFonts w:ascii="Calibri" w:eastAsia="Times New Roman" w:hAnsi="Calibri" w:cs="Times New Roman"/>
                <w:noProof/>
                <w:sz w:val="21"/>
                <w:szCs w:val="24"/>
                <w:lang w:eastAsia="en-AU"/>
              </w:rPr>
              <w:fldChar w:fldCharType="end"/>
            </w:r>
            <w:r w:rsidRPr="0022607C">
              <w:rPr>
                <w:rFonts w:ascii="Calibri" w:eastAsia="Times New Roman" w:hAnsi="Calibri" w:cs="Times New Roman"/>
                <w:noProof/>
                <w:sz w:val="21"/>
                <w:szCs w:val="24"/>
                <w:lang w:eastAsia="en-AU"/>
              </w:rPr>
              <w:t>, Gillian Hayman and Carolyn Stanford</w:t>
            </w:r>
          </w:p>
        </w:tc>
      </w:tr>
    </w:tbl>
    <w:p w14:paraId="40DBA734"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45AA3F3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Distribution</w:t>
      </w:r>
    </w:p>
    <w:tbl>
      <w:tblPr>
        <w:tblW w:w="819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64"/>
        <w:gridCol w:w="1730"/>
        <w:gridCol w:w="2268"/>
        <w:gridCol w:w="1701"/>
        <w:gridCol w:w="1530"/>
      </w:tblGrid>
      <w:tr w:rsidR="0022607C" w:rsidRPr="0022607C" w14:paraId="048E9F88" w14:textId="77777777" w:rsidTr="00F4567E">
        <w:trPr>
          <w:trHeight w:val="505"/>
        </w:trPr>
        <w:tc>
          <w:tcPr>
            <w:tcW w:w="964" w:type="dxa"/>
            <w:tcBorders>
              <w:bottom w:val="single" w:sz="4" w:space="0" w:color="auto"/>
            </w:tcBorders>
            <w:vAlign w:val="center"/>
          </w:tcPr>
          <w:p w14:paraId="2F49270F"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Status</w:t>
            </w:r>
          </w:p>
        </w:tc>
        <w:tc>
          <w:tcPr>
            <w:tcW w:w="1730" w:type="dxa"/>
            <w:vAlign w:val="center"/>
          </w:tcPr>
          <w:p w14:paraId="246C35C1"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Issued to</w:t>
            </w:r>
          </w:p>
        </w:tc>
        <w:tc>
          <w:tcPr>
            <w:tcW w:w="2268" w:type="dxa"/>
            <w:vAlign w:val="center"/>
          </w:tcPr>
          <w:p w14:paraId="6656F5A4"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Organisation</w:t>
            </w:r>
          </w:p>
        </w:tc>
        <w:tc>
          <w:tcPr>
            <w:tcW w:w="1701" w:type="dxa"/>
            <w:vAlign w:val="center"/>
          </w:tcPr>
          <w:p w14:paraId="311A8E30"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Date</w:t>
            </w:r>
          </w:p>
        </w:tc>
        <w:tc>
          <w:tcPr>
            <w:tcW w:w="1530" w:type="dxa"/>
            <w:vAlign w:val="center"/>
          </w:tcPr>
          <w:p w14:paraId="62CD99B5"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Format</w:t>
            </w:r>
          </w:p>
        </w:tc>
      </w:tr>
      <w:tr w:rsidR="0022607C" w:rsidRPr="0022607C" w14:paraId="52306846" w14:textId="77777777" w:rsidTr="00F4567E">
        <w:trPr>
          <w:trHeight w:val="685"/>
        </w:trPr>
        <w:tc>
          <w:tcPr>
            <w:tcW w:w="964" w:type="dxa"/>
            <w:shd w:val="clear" w:color="auto" w:fill="auto"/>
            <w:vAlign w:val="center"/>
          </w:tcPr>
          <w:p w14:paraId="6E8AD1A9" w14:textId="77777777" w:rsidR="0022607C" w:rsidRPr="0022607C" w:rsidRDefault="0022607C" w:rsidP="0022607C">
            <w:pPr>
              <w:spacing w:before="120" w:after="120" w:line="240" w:lineRule="auto"/>
              <w:jc w:val="both"/>
              <w:rPr>
                <w:rFonts w:ascii="Calibri" w:eastAsia="Times New Roman" w:hAnsi="Calibri" w:cs="Times New Roman"/>
                <w:color w:val="FF0000"/>
                <w:sz w:val="21"/>
                <w:szCs w:val="24"/>
                <w:lang w:eastAsia="en-AU"/>
              </w:rPr>
            </w:pPr>
            <w:r w:rsidRPr="0022607C">
              <w:rPr>
                <w:rFonts w:ascii="Calibri" w:eastAsia="Times New Roman" w:hAnsi="Calibri" w:cs="Times New Roman"/>
                <w:color w:val="000000"/>
                <w:sz w:val="21"/>
                <w:szCs w:val="24"/>
                <w:lang w:eastAsia="en-AU"/>
              </w:rPr>
              <w:t>FINAL</w:t>
            </w:r>
          </w:p>
        </w:tc>
        <w:tc>
          <w:tcPr>
            <w:tcW w:w="1730" w:type="dxa"/>
            <w:vAlign w:val="center"/>
          </w:tcPr>
          <w:p w14:paraId="5E9A3582" w14:textId="77777777" w:rsidR="0022607C" w:rsidRPr="0022607C" w:rsidRDefault="0022607C" w:rsidP="0022607C">
            <w:pPr>
              <w:spacing w:before="120" w:after="120" w:line="240" w:lineRule="auto"/>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Penny Winbanks</w:t>
            </w:r>
          </w:p>
        </w:tc>
        <w:tc>
          <w:tcPr>
            <w:tcW w:w="2268" w:type="dxa"/>
            <w:vAlign w:val="center"/>
          </w:tcPr>
          <w:p w14:paraId="5D039278"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fldChar w:fldCharType="begin"/>
            </w:r>
            <w:r w:rsidRPr="0022607C">
              <w:rPr>
                <w:rFonts w:ascii="Calibri" w:eastAsia="Times New Roman" w:hAnsi="Calibri" w:cs="Times New Roman"/>
                <w:sz w:val="21"/>
                <w:szCs w:val="24"/>
                <w:lang w:eastAsia="en-AU"/>
              </w:rPr>
              <w:instrText>DOCPROPERTY  Client</w:instrText>
            </w:r>
            <w:r w:rsidRPr="0022607C">
              <w:rPr>
                <w:rFonts w:ascii="Calibri" w:eastAsia="Times New Roman" w:hAnsi="Calibri" w:cs="Times New Roman"/>
                <w:sz w:val="21"/>
                <w:szCs w:val="24"/>
                <w:lang w:eastAsia="en-AU"/>
              </w:rPr>
              <w:fldChar w:fldCharType="separate"/>
            </w:r>
            <w:r w:rsidRPr="0022607C">
              <w:rPr>
                <w:rFonts w:ascii="Calibri" w:eastAsia="Times New Roman" w:hAnsi="Calibri" w:cs="Times New Roman"/>
                <w:sz w:val="21"/>
                <w:szCs w:val="24"/>
                <w:lang w:eastAsia="en-AU"/>
              </w:rPr>
              <w:t>Southern Rural Water</w:t>
            </w:r>
            <w:r w:rsidRPr="0022607C">
              <w:rPr>
                <w:rFonts w:ascii="Calibri" w:eastAsia="Times New Roman" w:hAnsi="Calibri" w:cs="Times New Roman"/>
                <w:sz w:val="21"/>
                <w:szCs w:val="24"/>
                <w:lang w:eastAsia="en-AU"/>
              </w:rPr>
              <w:fldChar w:fldCharType="end"/>
            </w:r>
          </w:p>
        </w:tc>
        <w:tc>
          <w:tcPr>
            <w:tcW w:w="1701" w:type="dxa"/>
            <w:vAlign w:val="center"/>
          </w:tcPr>
          <w:p w14:paraId="6D16E20E" w14:textId="77777777" w:rsidR="0022607C" w:rsidRPr="0022607C" w:rsidRDefault="0022607C" w:rsidP="0022607C">
            <w:pPr>
              <w:spacing w:before="120" w:after="120" w:line="240" w:lineRule="auto"/>
              <w:rPr>
                <w:rFonts w:ascii="Calibri" w:eastAsia="Times New Roman" w:hAnsi="Calibri" w:cs="Times New Roman"/>
                <w:sz w:val="21"/>
                <w:szCs w:val="24"/>
                <w:lang w:eastAsia="en-AU"/>
              </w:rPr>
            </w:pPr>
            <w:r w:rsidRPr="0022607C">
              <w:rPr>
                <w:rFonts w:ascii="Calibri" w:eastAsia="Times New Roman" w:hAnsi="Calibri" w:cs="Times New Roman"/>
                <w:noProof/>
                <w:sz w:val="21"/>
                <w:szCs w:val="24"/>
                <w:lang w:eastAsia="en-AU"/>
              </w:rPr>
              <w:t>02 August 2022</w:t>
            </w:r>
          </w:p>
        </w:tc>
        <w:tc>
          <w:tcPr>
            <w:tcW w:w="1530" w:type="dxa"/>
            <w:vAlign w:val="center"/>
          </w:tcPr>
          <w:p w14:paraId="21EB1279"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r w:rsidRPr="0022607C">
              <w:rPr>
                <w:rFonts w:ascii="Calibri" w:eastAsia="Times New Roman" w:hAnsi="Calibri" w:cs="Times New Roman"/>
                <w:sz w:val="21"/>
                <w:szCs w:val="24"/>
                <w:lang w:eastAsia="en-AU"/>
              </w:rPr>
              <w:t>PDF by email</w:t>
            </w:r>
          </w:p>
        </w:tc>
      </w:tr>
    </w:tbl>
    <w:p w14:paraId="261D27BD" w14:textId="77777777" w:rsidR="0022607C" w:rsidRPr="0022607C" w:rsidRDefault="0022607C" w:rsidP="0022607C">
      <w:pPr>
        <w:spacing w:after="120" w:line="240" w:lineRule="auto"/>
        <w:rPr>
          <w:rFonts w:ascii="Calibri" w:eastAsia="Times New Roman" w:hAnsi="Calibri" w:cs="Calibri"/>
          <w:b/>
          <w:color w:val="0070C0"/>
          <w:sz w:val="28"/>
          <w:szCs w:val="24"/>
          <w:lang w:eastAsia="en-AU"/>
        </w:rPr>
      </w:pPr>
    </w:p>
    <w:p w14:paraId="478A3D20" w14:textId="77777777" w:rsidR="0022607C" w:rsidRPr="0022607C" w:rsidRDefault="0022607C" w:rsidP="0022607C">
      <w:pPr>
        <w:snapToGrid w:val="0"/>
        <w:spacing w:after="0" w:line="240" w:lineRule="auto"/>
        <w:rPr>
          <w:rFonts w:ascii="Calibri" w:eastAsia="Times New Roman" w:hAnsi="Calibri" w:cs="Calibri"/>
          <w:color w:val="808080"/>
          <w:sz w:val="20"/>
          <w:szCs w:val="20"/>
          <w:lang w:eastAsia="en-GB"/>
        </w:rPr>
      </w:pPr>
      <w:r w:rsidRPr="0022607C">
        <w:rPr>
          <w:rFonts w:ascii="Calibri" w:eastAsia="Times New Roman" w:hAnsi="Calibri" w:cs="Calibri"/>
          <w:color w:val="808080"/>
          <w:sz w:val="20"/>
          <w:szCs w:val="20"/>
          <w:lang w:eastAsia="en-GB"/>
        </w:rPr>
        <w:br w:type="page"/>
      </w:r>
    </w:p>
    <w:p w14:paraId="1D57C8B2" w14:textId="77777777" w:rsidR="0022607C" w:rsidRPr="0022607C" w:rsidRDefault="0022607C" w:rsidP="0022607C">
      <w:pPr>
        <w:spacing w:after="0" w:line="240" w:lineRule="auto"/>
        <w:rPr>
          <w:rFonts w:asciiTheme="majorHAnsi" w:eastAsia="Times New Roman" w:hAnsiTheme="majorHAnsi" w:cstheme="majorHAnsi"/>
          <w:b/>
          <w:color w:val="0070C0"/>
          <w:sz w:val="28"/>
          <w:szCs w:val="24"/>
          <w:lang w:eastAsia="en-AU"/>
        </w:rPr>
      </w:pPr>
      <w:r w:rsidRPr="0022607C">
        <w:rPr>
          <w:rFonts w:ascii="Calibri" w:eastAsia="Times New Roman" w:hAnsi="Calibri" w:cs="Calibri"/>
          <w:b/>
          <w:color w:val="0070C0"/>
          <w:sz w:val="28"/>
          <w:szCs w:val="24"/>
          <w:lang w:eastAsia="en-AU"/>
        </w:rPr>
        <w:t>Contents</w:t>
      </w:r>
    </w:p>
    <w:p w14:paraId="4BBB26DC" w14:textId="642744EF" w:rsidR="0022607C" w:rsidRPr="0022607C" w:rsidRDefault="0022607C"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r w:rsidRPr="0022607C">
        <w:rPr>
          <w:rFonts w:asciiTheme="majorHAnsi" w:eastAsia="Times New Roman" w:hAnsiTheme="majorHAnsi" w:cstheme="majorHAnsi"/>
          <w:b/>
          <w:bCs/>
          <w:noProof/>
          <w:sz w:val="20"/>
          <w:szCs w:val="24"/>
          <w:lang w:eastAsia="en-AU"/>
        </w:rPr>
        <w:fldChar w:fldCharType="begin"/>
      </w:r>
      <w:r w:rsidRPr="0022607C">
        <w:rPr>
          <w:rFonts w:asciiTheme="majorHAnsi" w:eastAsia="Times New Roman" w:hAnsiTheme="majorHAnsi" w:cstheme="majorHAnsi"/>
          <w:b/>
          <w:bCs/>
          <w:noProof/>
          <w:sz w:val="20"/>
          <w:szCs w:val="24"/>
          <w:lang w:eastAsia="en-AU"/>
        </w:rPr>
        <w:instrText xml:space="preserve"> TOC \o "1-3" \h \z \u </w:instrText>
      </w:r>
      <w:r w:rsidRPr="0022607C">
        <w:rPr>
          <w:rFonts w:asciiTheme="majorHAnsi" w:eastAsia="Times New Roman" w:hAnsiTheme="majorHAnsi" w:cstheme="majorHAnsi"/>
          <w:b/>
          <w:bCs/>
          <w:noProof/>
          <w:sz w:val="20"/>
          <w:szCs w:val="24"/>
          <w:lang w:eastAsia="en-AU"/>
        </w:rPr>
        <w:fldChar w:fldCharType="separate"/>
      </w:r>
      <w:hyperlink w:anchor="_Toc111730990" w:history="1">
        <w:r w:rsidRPr="0022607C">
          <w:rPr>
            <w:rFonts w:asciiTheme="majorHAnsi" w:eastAsia="Times New Roman" w:hAnsiTheme="majorHAnsi" w:cstheme="majorHAnsi"/>
            <w:b/>
            <w:bCs/>
            <w:noProof/>
            <w:sz w:val="20"/>
            <w:szCs w:val="24"/>
            <w:lang w:eastAsia="en-AU"/>
          </w:rPr>
          <w:t>Glossary</w:t>
        </w:r>
        <w:r w:rsidRPr="0022607C">
          <w:rPr>
            <w:rFonts w:asciiTheme="majorHAnsi" w:eastAsia="Times New Roman" w:hAnsiTheme="majorHAnsi" w:cstheme="majorHAnsi"/>
            <w:b/>
            <w:bCs/>
            <w:noProof/>
            <w:webHidden/>
            <w:sz w:val="20"/>
            <w:szCs w:val="24"/>
            <w:lang w:eastAsia="en-AU"/>
          </w:rPr>
          <w:tab/>
        </w:r>
        <w:r w:rsidRPr="0022607C">
          <w:rPr>
            <w:rFonts w:asciiTheme="majorHAnsi" w:eastAsia="Times New Roman" w:hAnsiTheme="majorHAnsi" w:cstheme="majorHAnsi"/>
            <w:b/>
            <w:bCs/>
            <w:noProof/>
            <w:webHidden/>
            <w:sz w:val="20"/>
            <w:szCs w:val="24"/>
            <w:lang w:eastAsia="en-AU"/>
          </w:rPr>
          <w:fldChar w:fldCharType="begin"/>
        </w:r>
        <w:r w:rsidRPr="0022607C">
          <w:rPr>
            <w:rFonts w:asciiTheme="majorHAnsi" w:eastAsia="Times New Roman" w:hAnsiTheme="majorHAnsi" w:cstheme="majorHAnsi"/>
            <w:b/>
            <w:bCs/>
            <w:noProof/>
            <w:webHidden/>
            <w:sz w:val="20"/>
            <w:szCs w:val="24"/>
            <w:lang w:eastAsia="en-AU"/>
          </w:rPr>
          <w:instrText xml:space="preserve"> PAGEREF _Toc111730990 \h </w:instrText>
        </w:r>
        <w:r w:rsidRPr="0022607C">
          <w:rPr>
            <w:rFonts w:asciiTheme="majorHAnsi" w:eastAsia="Times New Roman" w:hAnsiTheme="majorHAnsi" w:cstheme="majorHAnsi"/>
            <w:b/>
            <w:bCs/>
            <w:noProof/>
            <w:webHidden/>
            <w:sz w:val="20"/>
            <w:szCs w:val="24"/>
            <w:lang w:eastAsia="en-AU"/>
          </w:rPr>
        </w:r>
        <w:r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133</w:t>
        </w:r>
        <w:r w:rsidRPr="0022607C">
          <w:rPr>
            <w:rFonts w:asciiTheme="majorHAnsi" w:eastAsia="Times New Roman" w:hAnsiTheme="majorHAnsi" w:cstheme="majorHAnsi"/>
            <w:b/>
            <w:bCs/>
            <w:noProof/>
            <w:webHidden/>
            <w:sz w:val="20"/>
            <w:szCs w:val="24"/>
            <w:lang w:eastAsia="en-AU"/>
          </w:rPr>
          <w:fldChar w:fldCharType="end"/>
        </w:r>
      </w:hyperlink>
    </w:p>
    <w:p w14:paraId="65CEA9B9" w14:textId="15821E9C"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0991" w:history="1">
        <w:r w:rsidR="0022607C" w:rsidRPr="0022607C">
          <w:rPr>
            <w:rFonts w:asciiTheme="majorHAnsi" w:eastAsia="Times New Roman" w:hAnsiTheme="majorHAnsi" w:cstheme="majorHAnsi"/>
            <w:b/>
            <w:bCs/>
            <w:noProof/>
            <w:sz w:val="20"/>
            <w:szCs w:val="24"/>
            <w:lang w:eastAsia="en-AU"/>
          </w:rPr>
          <w:t>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Executive summary</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_Toc111730991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134</w:t>
        </w:r>
        <w:r w:rsidR="0022607C" w:rsidRPr="0022607C">
          <w:rPr>
            <w:rFonts w:asciiTheme="majorHAnsi" w:eastAsia="Times New Roman" w:hAnsiTheme="majorHAnsi" w:cstheme="majorHAnsi"/>
            <w:b/>
            <w:bCs/>
            <w:noProof/>
            <w:webHidden/>
            <w:sz w:val="20"/>
            <w:szCs w:val="24"/>
            <w:lang w:eastAsia="en-AU"/>
          </w:rPr>
          <w:fldChar w:fldCharType="end"/>
        </w:r>
      </w:hyperlink>
    </w:p>
    <w:p w14:paraId="44521C50" w14:textId="2625049C"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0992" w:history="1">
        <w:r w:rsidR="0022607C" w:rsidRPr="0022607C">
          <w:rPr>
            <w:rFonts w:asciiTheme="majorHAnsi" w:eastAsia="Times New Roman" w:hAnsiTheme="majorHAnsi" w:cstheme="majorHAnsi"/>
            <w:b/>
            <w:bCs/>
            <w:noProof/>
            <w:sz w:val="20"/>
            <w:szCs w:val="24"/>
            <w:lang w:eastAsia="en-AU"/>
          </w:rPr>
          <w:t>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Background</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_Toc111730992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135</w:t>
        </w:r>
        <w:r w:rsidR="0022607C" w:rsidRPr="0022607C">
          <w:rPr>
            <w:rFonts w:asciiTheme="majorHAnsi" w:eastAsia="Times New Roman" w:hAnsiTheme="majorHAnsi" w:cstheme="majorHAnsi"/>
            <w:b/>
            <w:bCs/>
            <w:noProof/>
            <w:webHidden/>
            <w:sz w:val="20"/>
            <w:szCs w:val="24"/>
            <w:lang w:eastAsia="en-AU"/>
          </w:rPr>
          <w:fldChar w:fldCharType="end"/>
        </w:r>
      </w:hyperlink>
    </w:p>
    <w:p w14:paraId="1D14F771" w14:textId="185D269F"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3" w:history="1">
        <w:r w:rsidR="0022607C" w:rsidRPr="0022607C">
          <w:rPr>
            <w:rFonts w:asciiTheme="majorHAnsi" w:eastAsia="Times New Roman" w:hAnsiTheme="majorHAnsi" w:cstheme="majorHAnsi"/>
            <w:bCs/>
            <w:noProof/>
            <w:sz w:val="20"/>
            <w:szCs w:val="24"/>
            <w:lang w:eastAsia="en-AU"/>
          </w:rPr>
          <w:t>2.1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Context</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_Toc111730993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135</w:t>
        </w:r>
        <w:r w:rsidR="0022607C" w:rsidRPr="0022607C">
          <w:rPr>
            <w:rFonts w:asciiTheme="majorHAnsi" w:eastAsia="Times New Roman" w:hAnsiTheme="majorHAnsi" w:cstheme="majorHAnsi"/>
            <w:bCs/>
            <w:noProof/>
            <w:webHidden/>
            <w:sz w:val="20"/>
            <w:szCs w:val="24"/>
            <w:lang w:eastAsia="en-AU"/>
          </w:rPr>
          <w:fldChar w:fldCharType="end"/>
        </w:r>
      </w:hyperlink>
    </w:p>
    <w:p w14:paraId="48655D60" w14:textId="25BDBE01"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4" w:history="1">
        <w:r w:rsidR="0022607C" w:rsidRPr="0022607C">
          <w:rPr>
            <w:rFonts w:asciiTheme="majorHAnsi" w:eastAsia="Times New Roman" w:hAnsiTheme="majorHAnsi" w:cstheme="majorHAnsi"/>
            <w:bCs/>
            <w:noProof/>
            <w:sz w:val="20"/>
            <w:szCs w:val="24"/>
            <w:lang w:eastAsia="en-AU"/>
          </w:rPr>
          <w:t>2.2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SRW’s key stakeholders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_Toc111730994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136</w:t>
        </w:r>
        <w:r w:rsidR="0022607C" w:rsidRPr="0022607C">
          <w:rPr>
            <w:rFonts w:asciiTheme="majorHAnsi" w:eastAsia="Times New Roman" w:hAnsiTheme="majorHAnsi" w:cstheme="majorHAnsi"/>
            <w:bCs/>
            <w:noProof/>
            <w:webHidden/>
            <w:sz w:val="20"/>
            <w:szCs w:val="24"/>
            <w:lang w:eastAsia="en-AU"/>
          </w:rPr>
          <w:fldChar w:fldCharType="end"/>
        </w:r>
      </w:hyperlink>
    </w:p>
    <w:p w14:paraId="73BC15F8" w14:textId="5264B4B9"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5" w:history="1">
        <w:r w:rsidR="0022607C" w:rsidRPr="0022607C">
          <w:rPr>
            <w:rFonts w:asciiTheme="majorHAnsi" w:eastAsia="Times New Roman" w:hAnsiTheme="majorHAnsi" w:cstheme="majorHAnsi"/>
            <w:bCs/>
            <w:noProof/>
            <w:sz w:val="20"/>
            <w:szCs w:val="24"/>
            <w:lang w:eastAsia="en-AU"/>
          </w:rPr>
          <w:t>2.3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Price Submission 2023</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_Toc111730995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136</w:t>
        </w:r>
        <w:r w:rsidR="0022607C" w:rsidRPr="0022607C">
          <w:rPr>
            <w:rFonts w:asciiTheme="majorHAnsi" w:eastAsia="Times New Roman" w:hAnsiTheme="majorHAnsi" w:cstheme="majorHAnsi"/>
            <w:bCs/>
            <w:noProof/>
            <w:webHidden/>
            <w:sz w:val="20"/>
            <w:szCs w:val="24"/>
            <w:lang w:eastAsia="en-AU"/>
          </w:rPr>
          <w:fldChar w:fldCharType="end"/>
        </w:r>
      </w:hyperlink>
    </w:p>
    <w:p w14:paraId="11A3D317" w14:textId="549ED883"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6" w:history="1">
        <w:r w:rsidR="0022607C" w:rsidRPr="0022607C">
          <w:rPr>
            <w:rFonts w:asciiTheme="majorHAnsi" w:eastAsia="Times New Roman" w:hAnsiTheme="majorHAnsi" w:cstheme="majorHAnsi"/>
            <w:bCs/>
            <w:noProof/>
            <w:sz w:val="20"/>
            <w:szCs w:val="24"/>
            <w:lang w:eastAsia="en-AU"/>
          </w:rPr>
          <w:t>2.4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Overarching purpose</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_Toc111730996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137</w:t>
        </w:r>
        <w:r w:rsidR="0022607C" w:rsidRPr="0022607C">
          <w:rPr>
            <w:rFonts w:asciiTheme="majorHAnsi" w:eastAsia="Times New Roman" w:hAnsiTheme="majorHAnsi" w:cstheme="majorHAnsi"/>
            <w:bCs/>
            <w:noProof/>
            <w:webHidden/>
            <w:sz w:val="20"/>
            <w:szCs w:val="24"/>
            <w:lang w:eastAsia="en-AU"/>
          </w:rPr>
          <w:fldChar w:fldCharType="end"/>
        </w:r>
      </w:hyperlink>
    </w:p>
    <w:p w14:paraId="54E5E6E8" w14:textId="29976F63"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0997" w:history="1">
        <w:r w:rsidR="0022607C" w:rsidRPr="0022607C">
          <w:rPr>
            <w:rFonts w:asciiTheme="majorHAnsi" w:eastAsia="Times New Roman" w:hAnsiTheme="majorHAnsi" w:cstheme="majorHAnsi"/>
            <w:b/>
            <w:bCs/>
            <w:noProof/>
            <w:sz w:val="20"/>
            <w:szCs w:val="24"/>
            <w:lang w:eastAsia="en-AU"/>
          </w:rPr>
          <w:t>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Engagement framework and plan</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_Toc111730997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138</w:t>
        </w:r>
        <w:r w:rsidR="0022607C" w:rsidRPr="0022607C">
          <w:rPr>
            <w:rFonts w:asciiTheme="majorHAnsi" w:eastAsia="Times New Roman" w:hAnsiTheme="majorHAnsi" w:cstheme="majorHAnsi"/>
            <w:b/>
            <w:bCs/>
            <w:noProof/>
            <w:webHidden/>
            <w:sz w:val="20"/>
            <w:szCs w:val="24"/>
            <w:lang w:eastAsia="en-AU"/>
          </w:rPr>
          <w:fldChar w:fldCharType="end"/>
        </w:r>
      </w:hyperlink>
    </w:p>
    <w:p w14:paraId="12D82C0C" w14:textId="565DE6E3"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8" w:history="1">
        <w:r w:rsidR="0022607C" w:rsidRPr="0022607C">
          <w:rPr>
            <w:rFonts w:asciiTheme="majorHAnsi" w:eastAsia="Times New Roman" w:hAnsiTheme="majorHAnsi" w:cstheme="majorHAnsi"/>
            <w:bCs/>
            <w:noProof/>
            <w:sz w:val="20"/>
            <w:szCs w:val="24"/>
            <w:lang w:eastAsia="en-AU"/>
          </w:rPr>
          <w:t>3.1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SRW’s engagement framework</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_Toc111730998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138</w:t>
        </w:r>
        <w:r w:rsidR="0022607C" w:rsidRPr="0022607C">
          <w:rPr>
            <w:rFonts w:asciiTheme="majorHAnsi" w:eastAsia="Times New Roman" w:hAnsiTheme="majorHAnsi" w:cstheme="majorHAnsi"/>
            <w:bCs/>
            <w:noProof/>
            <w:webHidden/>
            <w:sz w:val="20"/>
            <w:szCs w:val="24"/>
            <w:lang w:eastAsia="en-AU"/>
          </w:rPr>
          <w:fldChar w:fldCharType="end"/>
        </w:r>
      </w:hyperlink>
    </w:p>
    <w:p w14:paraId="0A1E9311" w14:textId="2C7DFF4D"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0999" w:history="1">
        <w:r w:rsidR="0022607C" w:rsidRPr="0022607C">
          <w:rPr>
            <w:rFonts w:asciiTheme="majorHAnsi" w:eastAsia="Times New Roman" w:hAnsiTheme="majorHAnsi" w:cstheme="majorHAnsi"/>
            <w:bCs/>
            <w:noProof/>
            <w:sz w:val="20"/>
            <w:szCs w:val="24"/>
            <w:lang w:eastAsia="en-AU"/>
          </w:rPr>
          <w:t>3.2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Engagement plan</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_Toc111730999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139</w:t>
        </w:r>
        <w:r w:rsidR="0022607C" w:rsidRPr="0022607C">
          <w:rPr>
            <w:rFonts w:asciiTheme="majorHAnsi" w:eastAsia="Times New Roman" w:hAnsiTheme="majorHAnsi" w:cstheme="majorHAnsi"/>
            <w:bCs/>
            <w:noProof/>
            <w:webHidden/>
            <w:sz w:val="20"/>
            <w:szCs w:val="24"/>
            <w:lang w:eastAsia="en-AU"/>
          </w:rPr>
          <w:fldChar w:fldCharType="end"/>
        </w:r>
      </w:hyperlink>
    </w:p>
    <w:p w14:paraId="51FCAA52" w14:textId="47462719"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0" w:history="1">
        <w:r w:rsidR="0022607C" w:rsidRPr="0022607C">
          <w:rPr>
            <w:rFonts w:asciiTheme="majorHAnsi" w:eastAsia="Times New Roman" w:hAnsiTheme="majorHAnsi" w:cstheme="majorHAnsi"/>
            <w:bCs/>
            <w:noProof/>
            <w:sz w:val="20"/>
            <w:szCs w:val="24"/>
            <w:lang w:eastAsia="en-AU"/>
          </w:rPr>
          <w:t>3.3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Building on PS2018</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_Toc111731000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140</w:t>
        </w:r>
        <w:r w:rsidR="0022607C" w:rsidRPr="0022607C">
          <w:rPr>
            <w:rFonts w:asciiTheme="majorHAnsi" w:eastAsia="Times New Roman" w:hAnsiTheme="majorHAnsi" w:cstheme="majorHAnsi"/>
            <w:bCs/>
            <w:noProof/>
            <w:webHidden/>
            <w:sz w:val="20"/>
            <w:szCs w:val="24"/>
            <w:lang w:eastAsia="en-AU"/>
          </w:rPr>
          <w:fldChar w:fldCharType="end"/>
        </w:r>
      </w:hyperlink>
    </w:p>
    <w:p w14:paraId="651F0000" w14:textId="3E17A3E5"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01" w:history="1">
        <w:r w:rsidR="0022607C" w:rsidRPr="0022607C">
          <w:rPr>
            <w:rFonts w:asciiTheme="majorHAnsi" w:eastAsia="Times New Roman" w:hAnsiTheme="majorHAnsi" w:cstheme="majorHAnsi"/>
            <w:b/>
            <w:bCs/>
            <w:noProof/>
            <w:sz w:val="20"/>
            <w:szCs w:val="24"/>
            <w:lang w:eastAsia="en-AU"/>
          </w:rPr>
          <w:t>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Informing and consulting via an Engagement Hub</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_Toc111731001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142</w:t>
        </w:r>
        <w:r w:rsidR="0022607C" w:rsidRPr="0022607C">
          <w:rPr>
            <w:rFonts w:asciiTheme="majorHAnsi" w:eastAsia="Times New Roman" w:hAnsiTheme="majorHAnsi" w:cstheme="majorHAnsi"/>
            <w:b/>
            <w:bCs/>
            <w:noProof/>
            <w:webHidden/>
            <w:sz w:val="20"/>
            <w:szCs w:val="24"/>
            <w:lang w:eastAsia="en-AU"/>
          </w:rPr>
          <w:fldChar w:fldCharType="end"/>
        </w:r>
      </w:hyperlink>
    </w:p>
    <w:p w14:paraId="714FF5A2" w14:textId="497C00FB"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2" w:history="1">
        <w:r w:rsidR="0022607C" w:rsidRPr="0022607C">
          <w:rPr>
            <w:rFonts w:asciiTheme="majorHAnsi" w:eastAsia="Times New Roman" w:hAnsiTheme="majorHAnsi" w:cstheme="majorHAnsi"/>
            <w:bCs/>
            <w:noProof/>
            <w:sz w:val="20"/>
            <w:szCs w:val="24"/>
            <w:lang w:eastAsia="en-AU"/>
          </w:rPr>
          <w:t>4.1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Context</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_Toc111731002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142</w:t>
        </w:r>
        <w:r w:rsidR="0022607C" w:rsidRPr="0022607C">
          <w:rPr>
            <w:rFonts w:asciiTheme="majorHAnsi" w:eastAsia="Times New Roman" w:hAnsiTheme="majorHAnsi" w:cstheme="majorHAnsi"/>
            <w:bCs/>
            <w:noProof/>
            <w:webHidden/>
            <w:sz w:val="20"/>
            <w:szCs w:val="24"/>
            <w:lang w:eastAsia="en-AU"/>
          </w:rPr>
          <w:fldChar w:fldCharType="end"/>
        </w:r>
      </w:hyperlink>
    </w:p>
    <w:p w14:paraId="238F4ECD" w14:textId="35E50FD2"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3" w:history="1">
        <w:r w:rsidR="0022607C" w:rsidRPr="0022607C">
          <w:rPr>
            <w:rFonts w:asciiTheme="majorHAnsi" w:eastAsia="Times New Roman" w:hAnsiTheme="majorHAnsi" w:cstheme="majorHAnsi"/>
            <w:bCs/>
            <w:noProof/>
            <w:sz w:val="20"/>
            <w:szCs w:val="24"/>
            <w:lang w:eastAsia="en-AU"/>
          </w:rPr>
          <w:t>4.2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Engagement Hub purpose</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_Toc111731003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143</w:t>
        </w:r>
        <w:r w:rsidR="0022607C" w:rsidRPr="0022607C">
          <w:rPr>
            <w:rFonts w:asciiTheme="majorHAnsi" w:eastAsia="Times New Roman" w:hAnsiTheme="majorHAnsi" w:cstheme="majorHAnsi"/>
            <w:bCs/>
            <w:noProof/>
            <w:webHidden/>
            <w:sz w:val="20"/>
            <w:szCs w:val="24"/>
            <w:lang w:eastAsia="en-AU"/>
          </w:rPr>
          <w:fldChar w:fldCharType="end"/>
        </w:r>
      </w:hyperlink>
    </w:p>
    <w:p w14:paraId="4BCEC731" w14:textId="2C8E114D"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4" w:history="1">
        <w:r w:rsidR="0022607C" w:rsidRPr="0022607C">
          <w:rPr>
            <w:rFonts w:asciiTheme="majorHAnsi" w:eastAsia="Times New Roman" w:hAnsiTheme="majorHAnsi" w:cstheme="majorHAnsi"/>
            <w:bCs/>
            <w:noProof/>
            <w:sz w:val="20"/>
            <w:szCs w:val="24"/>
            <w:lang w:eastAsia="en-AU"/>
          </w:rPr>
          <w:t>4.3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Choice of engagement platform</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_Toc111731004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143</w:t>
        </w:r>
        <w:r w:rsidR="0022607C" w:rsidRPr="0022607C">
          <w:rPr>
            <w:rFonts w:asciiTheme="majorHAnsi" w:eastAsia="Times New Roman" w:hAnsiTheme="majorHAnsi" w:cstheme="majorHAnsi"/>
            <w:bCs/>
            <w:noProof/>
            <w:webHidden/>
            <w:sz w:val="20"/>
            <w:szCs w:val="24"/>
            <w:lang w:eastAsia="en-AU"/>
          </w:rPr>
          <w:fldChar w:fldCharType="end"/>
        </w:r>
      </w:hyperlink>
    </w:p>
    <w:p w14:paraId="56BC8FE5" w14:textId="1A320285"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5" w:history="1">
        <w:r w:rsidR="0022607C" w:rsidRPr="0022607C">
          <w:rPr>
            <w:rFonts w:asciiTheme="majorHAnsi" w:eastAsia="Times New Roman" w:hAnsiTheme="majorHAnsi" w:cstheme="majorHAnsi"/>
            <w:bCs/>
            <w:noProof/>
            <w:sz w:val="20"/>
            <w:szCs w:val="24"/>
            <w:lang w:eastAsia="en-AU"/>
          </w:rPr>
          <w:t>4.4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Information contained on the Engagement Hub</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_Toc111731005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143</w:t>
        </w:r>
        <w:r w:rsidR="0022607C" w:rsidRPr="0022607C">
          <w:rPr>
            <w:rFonts w:asciiTheme="majorHAnsi" w:eastAsia="Times New Roman" w:hAnsiTheme="majorHAnsi" w:cstheme="majorHAnsi"/>
            <w:bCs/>
            <w:noProof/>
            <w:webHidden/>
            <w:sz w:val="20"/>
            <w:szCs w:val="24"/>
            <w:lang w:eastAsia="en-AU"/>
          </w:rPr>
          <w:fldChar w:fldCharType="end"/>
        </w:r>
      </w:hyperlink>
    </w:p>
    <w:p w14:paraId="1AE93004" w14:textId="4A137C1F"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6" w:history="1">
        <w:r w:rsidR="0022607C" w:rsidRPr="0022607C">
          <w:rPr>
            <w:rFonts w:asciiTheme="majorHAnsi" w:eastAsia="Times New Roman" w:hAnsiTheme="majorHAnsi" w:cstheme="majorHAnsi"/>
            <w:bCs/>
            <w:noProof/>
            <w:sz w:val="20"/>
            <w:szCs w:val="24"/>
            <w:lang w:eastAsia="en-AU"/>
          </w:rPr>
          <w:t>4.5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Customer and stakeholder interaction with the Engagement Hub</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_Toc111731006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144</w:t>
        </w:r>
        <w:r w:rsidR="0022607C" w:rsidRPr="0022607C">
          <w:rPr>
            <w:rFonts w:asciiTheme="majorHAnsi" w:eastAsia="Times New Roman" w:hAnsiTheme="majorHAnsi" w:cstheme="majorHAnsi"/>
            <w:bCs/>
            <w:noProof/>
            <w:webHidden/>
            <w:sz w:val="20"/>
            <w:szCs w:val="24"/>
            <w:lang w:eastAsia="en-AU"/>
          </w:rPr>
          <w:fldChar w:fldCharType="end"/>
        </w:r>
      </w:hyperlink>
    </w:p>
    <w:p w14:paraId="7EE3CB89" w14:textId="1BB9181E"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07" w:history="1">
        <w:r w:rsidR="0022607C" w:rsidRPr="0022607C">
          <w:rPr>
            <w:rFonts w:asciiTheme="majorHAnsi" w:eastAsia="Times New Roman" w:hAnsiTheme="majorHAnsi" w:cstheme="majorHAnsi"/>
            <w:b/>
            <w:bCs/>
            <w:noProof/>
            <w:sz w:val="20"/>
            <w:szCs w:val="24"/>
            <w:lang w:eastAsia="en-AU"/>
          </w:rPr>
          <w:t>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Informing: PS2023 communications</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_Toc111731007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145</w:t>
        </w:r>
        <w:r w:rsidR="0022607C" w:rsidRPr="0022607C">
          <w:rPr>
            <w:rFonts w:asciiTheme="majorHAnsi" w:eastAsia="Times New Roman" w:hAnsiTheme="majorHAnsi" w:cstheme="majorHAnsi"/>
            <w:b/>
            <w:bCs/>
            <w:noProof/>
            <w:webHidden/>
            <w:sz w:val="20"/>
            <w:szCs w:val="24"/>
            <w:lang w:eastAsia="en-AU"/>
          </w:rPr>
          <w:fldChar w:fldCharType="end"/>
        </w:r>
      </w:hyperlink>
    </w:p>
    <w:p w14:paraId="04044EEB" w14:textId="5133F226"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8" w:history="1">
        <w:r w:rsidR="0022607C" w:rsidRPr="0022607C">
          <w:rPr>
            <w:rFonts w:asciiTheme="majorHAnsi" w:eastAsia="Times New Roman" w:hAnsiTheme="majorHAnsi" w:cstheme="majorHAnsi"/>
            <w:bCs/>
            <w:noProof/>
            <w:sz w:val="20"/>
            <w:szCs w:val="24"/>
            <w:lang w:eastAsia="en-AU"/>
          </w:rPr>
          <w:t>5.1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Fact sheets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_Toc111731008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145</w:t>
        </w:r>
        <w:r w:rsidR="0022607C" w:rsidRPr="0022607C">
          <w:rPr>
            <w:rFonts w:asciiTheme="majorHAnsi" w:eastAsia="Times New Roman" w:hAnsiTheme="majorHAnsi" w:cstheme="majorHAnsi"/>
            <w:bCs/>
            <w:noProof/>
            <w:webHidden/>
            <w:sz w:val="20"/>
            <w:szCs w:val="24"/>
            <w:lang w:eastAsia="en-AU"/>
          </w:rPr>
          <w:fldChar w:fldCharType="end"/>
        </w:r>
      </w:hyperlink>
    </w:p>
    <w:p w14:paraId="3454427F" w14:textId="5CE5765E"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09" w:history="1">
        <w:r w:rsidR="0022607C" w:rsidRPr="0022607C">
          <w:rPr>
            <w:rFonts w:asciiTheme="majorHAnsi" w:eastAsia="Times New Roman" w:hAnsiTheme="majorHAnsi" w:cstheme="majorHAnsi"/>
            <w:bCs/>
            <w:noProof/>
            <w:sz w:val="20"/>
            <w:szCs w:val="24"/>
            <w:lang w:eastAsia="en-AU"/>
          </w:rPr>
          <w:t>5.2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Frequently Asked Questions (FAQs)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_Toc111731009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146</w:t>
        </w:r>
        <w:r w:rsidR="0022607C" w:rsidRPr="0022607C">
          <w:rPr>
            <w:rFonts w:asciiTheme="majorHAnsi" w:eastAsia="Times New Roman" w:hAnsiTheme="majorHAnsi" w:cstheme="majorHAnsi"/>
            <w:bCs/>
            <w:noProof/>
            <w:webHidden/>
            <w:sz w:val="20"/>
            <w:szCs w:val="24"/>
            <w:lang w:eastAsia="en-AU"/>
          </w:rPr>
          <w:fldChar w:fldCharType="end"/>
        </w:r>
      </w:hyperlink>
    </w:p>
    <w:p w14:paraId="1F87D3A9" w14:textId="58AE52B3"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10" w:history="1">
        <w:r w:rsidR="0022607C" w:rsidRPr="0022607C">
          <w:rPr>
            <w:rFonts w:asciiTheme="majorHAnsi" w:eastAsia="Times New Roman" w:hAnsiTheme="majorHAnsi" w:cstheme="majorHAnsi"/>
            <w:bCs/>
            <w:noProof/>
            <w:sz w:val="20"/>
            <w:szCs w:val="24"/>
            <w:lang w:eastAsia="en-AU"/>
          </w:rPr>
          <w:t>5.3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Social media posts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_Toc111731010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147</w:t>
        </w:r>
        <w:r w:rsidR="0022607C" w:rsidRPr="0022607C">
          <w:rPr>
            <w:rFonts w:asciiTheme="majorHAnsi" w:eastAsia="Times New Roman" w:hAnsiTheme="majorHAnsi" w:cstheme="majorHAnsi"/>
            <w:bCs/>
            <w:noProof/>
            <w:webHidden/>
            <w:sz w:val="20"/>
            <w:szCs w:val="24"/>
            <w:lang w:eastAsia="en-AU"/>
          </w:rPr>
          <w:fldChar w:fldCharType="end"/>
        </w:r>
      </w:hyperlink>
    </w:p>
    <w:p w14:paraId="38CFC5D9" w14:textId="5CA1FEAA"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11" w:history="1">
        <w:r w:rsidR="0022607C" w:rsidRPr="0022607C">
          <w:rPr>
            <w:rFonts w:asciiTheme="majorHAnsi" w:eastAsia="Times New Roman" w:hAnsiTheme="majorHAnsi" w:cstheme="majorHAnsi"/>
            <w:bCs/>
            <w:noProof/>
            <w:sz w:val="20"/>
            <w:szCs w:val="24"/>
            <w:lang w:eastAsia="en-AU"/>
          </w:rPr>
          <w:t>5.4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Blogs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_Toc111731011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147</w:t>
        </w:r>
        <w:r w:rsidR="0022607C" w:rsidRPr="0022607C">
          <w:rPr>
            <w:rFonts w:asciiTheme="majorHAnsi" w:eastAsia="Times New Roman" w:hAnsiTheme="majorHAnsi" w:cstheme="majorHAnsi"/>
            <w:bCs/>
            <w:noProof/>
            <w:webHidden/>
            <w:sz w:val="20"/>
            <w:szCs w:val="24"/>
            <w:lang w:eastAsia="en-AU"/>
          </w:rPr>
          <w:fldChar w:fldCharType="end"/>
        </w:r>
      </w:hyperlink>
    </w:p>
    <w:p w14:paraId="15E5EC4D" w14:textId="0170EDB8"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12" w:history="1">
        <w:r w:rsidR="0022607C" w:rsidRPr="0022607C">
          <w:rPr>
            <w:rFonts w:asciiTheme="majorHAnsi" w:eastAsia="Times New Roman" w:hAnsiTheme="majorHAnsi" w:cstheme="majorHAnsi"/>
            <w:bCs/>
            <w:noProof/>
            <w:sz w:val="20"/>
            <w:szCs w:val="24"/>
            <w:lang w:eastAsia="en-AU"/>
          </w:rPr>
          <w:t>5.5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Videos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_Toc111731012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147</w:t>
        </w:r>
        <w:r w:rsidR="0022607C" w:rsidRPr="0022607C">
          <w:rPr>
            <w:rFonts w:asciiTheme="majorHAnsi" w:eastAsia="Times New Roman" w:hAnsiTheme="majorHAnsi" w:cstheme="majorHAnsi"/>
            <w:bCs/>
            <w:noProof/>
            <w:webHidden/>
            <w:sz w:val="20"/>
            <w:szCs w:val="24"/>
            <w:lang w:eastAsia="en-AU"/>
          </w:rPr>
          <w:fldChar w:fldCharType="end"/>
        </w:r>
      </w:hyperlink>
    </w:p>
    <w:p w14:paraId="30A710FA" w14:textId="469F2004"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13" w:history="1">
        <w:r w:rsidR="0022607C" w:rsidRPr="0022607C">
          <w:rPr>
            <w:rFonts w:asciiTheme="majorHAnsi" w:eastAsia="Times New Roman" w:hAnsiTheme="majorHAnsi" w:cstheme="majorHAnsi"/>
            <w:bCs/>
            <w:noProof/>
            <w:sz w:val="20"/>
            <w:szCs w:val="24"/>
            <w:lang w:eastAsia="en-AU"/>
          </w:rPr>
          <w:t>5.6</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Other communications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_Toc111731013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148</w:t>
        </w:r>
        <w:r w:rsidR="0022607C" w:rsidRPr="0022607C">
          <w:rPr>
            <w:rFonts w:asciiTheme="majorHAnsi" w:eastAsia="Times New Roman" w:hAnsiTheme="majorHAnsi" w:cstheme="majorHAnsi"/>
            <w:bCs/>
            <w:noProof/>
            <w:webHidden/>
            <w:sz w:val="20"/>
            <w:szCs w:val="24"/>
            <w:lang w:eastAsia="en-AU"/>
          </w:rPr>
          <w:fldChar w:fldCharType="end"/>
        </w:r>
      </w:hyperlink>
    </w:p>
    <w:p w14:paraId="144319D8" w14:textId="392D31FB"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14" w:history="1">
        <w:r w:rsidR="0022607C" w:rsidRPr="0022607C">
          <w:rPr>
            <w:rFonts w:asciiTheme="majorHAnsi" w:eastAsia="Times New Roman" w:hAnsiTheme="majorHAnsi" w:cstheme="majorHAnsi"/>
            <w:b/>
            <w:bCs/>
            <w:noProof/>
            <w:sz w:val="20"/>
            <w:szCs w:val="24"/>
            <w:lang w:eastAsia="en-AU"/>
          </w:rPr>
          <w:t>6</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Survey consultations with customers and the wider community</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_Toc111731014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149</w:t>
        </w:r>
        <w:r w:rsidR="0022607C" w:rsidRPr="0022607C">
          <w:rPr>
            <w:rFonts w:asciiTheme="majorHAnsi" w:eastAsia="Times New Roman" w:hAnsiTheme="majorHAnsi" w:cstheme="majorHAnsi"/>
            <w:b/>
            <w:bCs/>
            <w:noProof/>
            <w:webHidden/>
            <w:sz w:val="20"/>
            <w:szCs w:val="24"/>
            <w:lang w:eastAsia="en-AU"/>
          </w:rPr>
          <w:fldChar w:fldCharType="end"/>
        </w:r>
      </w:hyperlink>
    </w:p>
    <w:p w14:paraId="6D4330D5" w14:textId="4C6D3810"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15" w:history="1">
        <w:r w:rsidR="0022607C" w:rsidRPr="0022607C">
          <w:rPr>
            <w:rFonts w:asciiTheme="majorHAnsi" w:eastAsia="Times New Roman" w:hAnsiTheme="majorHAnsi" w:cstheme="majorHAnsi"/>
            <w:bCs/>
            <w:noProof/>
            <w:sz w:val="20"/>
            <w:szCs w:val="24"/>
            <w:lang w:eastAsia="en-AU"/>
          </w:rPr>
          <w:t>6.1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1 customer and community survey</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_Toc111731015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149</w:t>
        </w:r>
        <w:r w:rsidR="0022607C" w:rsidRPr="0022607C">
          <w:rPr>
            <w:rFonts w:asciiTheme="majorHAnsi" w:eastAsia="Times New Roman" w:hAnsiTheme="majorHAnsi" w:cstheme="majorHAnsi"/>
            <w:bCs/>
            <w:noProof/>
            <w:webHidden/>
            <w:sz w:val="20"/>
            <w:szCs w:val="24"/>
            <w:lang w:eastAsia="en-AU"/>
          </w:rPr>
          <w:fldChar w:fldCharType="end"/>
        </w:r>
      </w:hyperlink>
    </w:p>
    <w:p w14:paraId="45B55284" w14:textId="22502EBE"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16" w:history="1">
        <w:r w:rsidR="0022607C" w:rsidRPr="0022607C">
          <w:rPr>
            <w:rFonts w:asciiTheme="majorHAnsi" w:eastAsia="Times New Roman" w:hAnsiTheme="majorHAnsi" w:cstheme="majorHAnsi"/>
            <w:noProof/>
            <w:sz w:val="20"/>
            <w:szCs w:val="24"/>
          </w:rPr>
          <w:t>6.1.1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purpose and objectives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_Toc111731016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149</w:t>
        </w:r>
        <w:r w:rsidR="0022607C" w:rsidRPr="0022607C">
          <w:rPr>
            <w:rFonts w:asciiTheme="majorHAnsi" w:eastAsia="Times New Roman" w:hAnsiTheme="majorHAnsi" w:cstheme="majorHAnsi"/>
            <w:noProof/>
            <w:webHidden/>
            <w:sz w:val="20"/>
            <w:szCs w:val="24"/>
          </w:rPr>
          <w:fldChar w:fldCharType="end"/>
        </w:r>
      </w:hyperlink>
    </w:p>
    <w:p w14:paraId="582B6499" w14:textId="0DE85340"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17" w:history="1">
        <w:r w:rsidR="0022607C" w:rsidRPr="0022607C">
          <w:rPr>
            <w:rFonts w:asciiTheme="majorHAnsi" w:eastAsia="Times New Roman" w:hAnsiTheme="majorHAnsi" w:cstheme="majorHAnsi"/>
            <w:noProof/>
            <w:sz w:val="20"/>
            <w:szCs w:val="24"/>
          </w:rPr>
          <w:t>6.1.2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overview</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_Toc111731017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149</w:t>
        </w:r>
        <w:r w:rsidR="0022607C" w:rsidRPr="0022607C">
          <w:rPr>
            <w:rFonts w:asciiTheme="majorHAnsi" w:eastAsia="Times New Roman" w:hAnsiTheme="majorHAnsi" w:cstheme="majorHAnsi"/>
            <w:noProof/>
            <w:webHidden/>
            <w:sz w:val="20"/>
            <w:szCs w:val="24"/>
          </w:rPr>
          <w:fldChar w:fldCharType="end"/>
        </w:r>
      </w:hyperlink>
    </w:p>
    <w:p w14:paraId="13BF28D6" w14:textId="1CF3D502"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18" w:history="1">
        <w:r w:rsidR="0022607C" w:rsidRPr="0022607C">
          <w:rPr>
            <w:rFonts w:asciiTheme="majorHAnsi" w:eastAsia="Times New Roman" w:hAnsiTheme="majorHAnsi" w:cstheme="majorHAnsi"/>
            <w:noProof/>
            <w:sz w:val="20"/>
            <w:szCs w:val="24"/>
          </w:rPr>
          <w:t>6.1.3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SRW’s efforts to engage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_Toc111731018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149</w:t>
        </w:r>
        <w:r w:rsidR="0022607C" w:rsidRPr="0022607C">
          <w:rPr>
            <w:rFonts w:asciiTheme="majorHAnsi" w:eastAsia="Times New Roman" w:hAnsiTheme="majorHAnsi" w:cstheme="majorHAnsi"/>
            <w:noProof/>
            <w:webHidden/>
            <w:sz w:val="20"/>
            <w:szCs w:val="24"/>
          </w:rPr>
          <w:fldChar w:fldCharType="end"/>
        </w:r>
      </w:hyperlink>
    </w:p>
    <w:p w14:paraId="278E58C2" w14:textId="06E5A08D"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19" w:history="1">
        <w:r w:rsidR="0022607C" w:rsidRPr="0022607C">
          <w:rPr>
            <w:rFonts w:asciiTheme="majorHAnsi" w:eastAsia="Times New Roman" w:hAnsiTheme="majorHAnsi" w:cstheme="majorHAnsi"/>
            <w:noProof/>
            <w:sz w:val="20"/>
            <w:szCs w:val="24"/>
          </w:rPr>
          <w:t>6.1.4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response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_Toc111731019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150</w:t>
        </w:r>
        <w:r w:rsidR="0022607C" w:rsidRPr="0022607C">
          <w:rPr>
            <w:rFonts w:asciiTheme="majorHAnsi" w:eastAsia="Times New Roman" w:hAnsiTheme="majorHAnsi" w:cstheme="majorHAnsi"/>
            <w:noProof/>
            <w:webHidden/>
            <w:sz w:val="20"/>
            <w:szCs w:val="24"/>
          </w:rPr>
          <w:fldChar w:fldCharType="end"/>
        </w:r>
      </w:hyperlink>
    </w:p>
    <w:p w14:paraId="1AEFDB1A" w14:textId="4C1DD6AA"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0" w:history="1">
        <w:r w:rsidR="0022607C" w:rsidRPr="0022607C">
          <w:rPr>
            <w:rFonts w:asciiTheme="majorHAnsi" w:eastAsia="Times New Roman" w:hAnsiTheme="majorHAnsi" w:cstheme="majorHAnsi"/>
            <w:noProof/>
            <w:sz w:val="20"/>
            <w:szCs w:val="24"/>
          </w:rPr>
          <w:t>6.1.5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findings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_Toc111731020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150</w:t>
        </w:r>
        <w:r w:rsidR="0022607C" w:rsidRPr="0022607C">
          <w:rPr>
            <w:rFonts w:asciiTheme="majorHAnsi" w:eastAsia="Times New Roman" w:hAnsiTheme="majorHAnsi" w:cstheme="majorHAnsi"/>
            <w:noProof/>
            <w:webHidden/>
            <w:sz w:val="20"/>
            <w:szCs w:val="24"/>
          </w:rPr>
          <w:fldChar w:fldCharType="end"/>
        </w:r>
      </w:hyperlink>
    </w:p>
    <w:p w14:paraId="7EB53900" w14:textId="20310533"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1" w:history="1">
        <w:r w:rsidR="0022607C" w:rsidRPr="0022607C">
          <w:rPr>
            <w:rFonts w:asciiTheme="majorHAnsi" w:eastAsia="Times New Roman" w:hAnsiTheme="majorHAnsi" w:cstheme="majorHAnsi"/>
            <w:noProof/>
            <w:sz w:val="20"/>
            <w:szCs w:val="24"/>
          </w:rPr>
          <w:t>6.1.6</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How did SRW use the survey outcomes?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_Toc111731021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151</w:t>
        </w:r>
        <w:r w:rsidR="0022607C" w:rsidRPr="0022607C">
          <w:rPr>
            <w:rFonts w:asciiTheme="majorHAnsi" w:eastAsia="Times New Roman" w:hAnsiTheme="majorHAnsi" w:cstheme="majorHAnsi"/>
            <w:noProof/>
            <w:webHidden/>
            <w:sz w:val="20"/>
            <w:szCs w:val="24"/>
          </w:rPr>
          <w:fldChar w:fldCharType="end"/>
        </w:r>
      </w:hyperlink>
    </w:p>
    <w:p w14:paraId="0958BCEC" w14:textId="2BD3B8D3"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22" w:history="1">
        <w:r w:rsidR="0022607C" w:rsidRPr="0022607C">
          <w:rPr>
            <w:rFonts w:asciiTheme="majorHAnsi" w:eastAsia="Times New Roman" w:hAnsiTheme="majorHAnsi" w:cstheme="majorHAnsi"/>
            <w:bCs/>
            <w:noProof/>
            <w:sz w:val="20"/>
            <w:szCs w:val="24"/>
            <w:lang w:eastAsia="en-AU"/>
          </w:rPr>
          <w:t>6.2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3 customer survey</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_Toc111731022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151</w:t>
        </w:r>
        <w:r w:rsidR="0022607C" w:rsidRPr="0022607C">
          <w:rPr>
            <w:rFonts w:asciiTheme="majorHAnsi" w:eastAsia="Times New Roman" w:hAnsiTheme="majorHAnsi" w:cstheme="majorHAnsi"/>
            <w:bCs/>
            <w:noProof/>
            <w:webHidden/>
            <w:sz w:val="20"/>
            <w:szCs w:val="24"/>
            <w:lang w:eastAsia="en-AU"/>
          </w:rPr>
          <w:fldChar w:fldCharType="end"/>
        </w:r>
      </w:hyperlink>
    </w:p>
    <w:p w14:paraId="2C547065" w14:textId="13A68966"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3" w:history="1">
        <w:r w:rsidR="0022607C" w:rsidRPr="0022607C">
          <w:rPr>
            <w:rFonts w:asciiTheme="majorHAnsi" w:eastAsia="Times New Roman" w:hAnsiTheme="majorHAnsi" w:cstheme="majorHAnsi"/>
            <w:noProof/>
            <w:sz w:val="20"/>
            <w:szCs w:val="24"/>
          </w:rPr>
          <w:t>6.2.1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purpose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_Toc111731023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151</w:t>
        </w:r>
        <w:r w:rsidR="0022607C" w:rsidRPr="0022607C">
          <w:rPr>
            <w:rFonts w:asciiTheme="majorHAnsi" w:eastAsia="Times New Roman" w:hAnsiTheme="majorHAnsi" w:cstheme="majorHAnsi"/>
            <w:noProof/>
            <w:webHidden/>
            <w:sz w:val="20"/>
            <w:szCs w:val="24"/>
          </w:rPr>
          <w:fldChar w:fldCharType="end"/>
        </w:r>
      </w:hyperlink>
    </w:p>
    <w:p w14:paraId="3E68912F" w14:textId="3332D4BC"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4" w:history="1">
        <w:r w:rsidR="0022607C" w:rsidRPr="0022607C">
          <w:rPr>
            <w:rFonts w:asciiTheme="majorHAnsi" w:eastAsia="Times New Roman" w:hAnsiTheme="majorHAnsi" w:cstheme="majorHAnsi"/>
            <w:noProof/>
            <w:sz w:val="20"/>
            <w:szCs w:val="24"/>
          </w:rPr>
          <w:t>6.2.2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overview</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_Toc111731024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151</w:t>
        </w:r>
        <w:r w:rsidR="0022607C" w:rsidRPr="0022607C">
          <w:rPr>
            <w:rFonts w:asciiTheme="majorHAnsi" w:eastAsia="Times New Roman" w:hAnsiTheme="majorHAnsi" w:cstheme="majorHAnsi"/>
            <w:noProof/>
            <w:webHidden/>
            <w:sz w:val="20"/>
            <w:szCs w:val="24"/>
          </w:rPr>
          <w:fldChar w:fldCharType="end"/>
        </w:r>
      </w:hyperlink>
    </w:p>
    <w:p w14:paraId="4C967E48" w14:textId="747ABBB2"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5" w:history="1">
        <w:r w:rsidR="0022607C" w:rsidRPr="0022607C">
          <w:rPr>
            <w:rFonts w:asciiTheme="majorHAnsi" w:eastAsia="Times New Roman" w:hAnsiTheme="majorHAnsi" w:cstheme="majorHAnsi"/>
            <w:noProof/>
            <w:sz w:val="20"/>
            <w:szCs w:val="24"/>
          </w:rPr>
          <w:t>6.2.3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SRW’s efforts to engage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_Toc111731025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152</w:t>
        </w:r>
        <w:r w:rsidR="0022607C" w:rsidRPr="0022607C">
          <w:rPr>
            <w:rFonts w:asciiTheme="majorHAnsi" w:eastAsia="Times New Roman" w:hAnsiTheme="majorHAnsi" w:cstheme="majorHAnsi"/>
            <w:noProof/>
            <w:webHidden/>
            <w:sz w:val="20"/>
            <w:szCs w:val="24"/>
          </w:rPr>
          <w:fldChar w:fldCharType="end"/>
        </w:r>
      </w:hyperlink>
    </w:p>
    <w:p w14:paraId="44777190" w14:textId="6FF337C2"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6" w:history="1">
        <w:r w:rsidR="0022607C" w:rsidRPr="0022607C">
          <w:rPr>
            <w:rFonts w:asciiTheme="majorHAnsi" w:eastAsia="Times New Roman" w:hAnsiTheme="majorHAnsi" w:cstheme="majorHAnsi"/>
            <w:noProof/>
            <w:sz w:val="20"/>
            <w:szCs w:val="24"/>
          </w:rPr>
          <w:t>6.2.4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response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_Toc111731026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152</w:t>
        </w:r>
        <w:r w:rsidR="0022607C" w:rsidRPr="0022607C">
          <w:rPr>
            <w:rFonts w:asciiTheme="majorHAnsi" w:eastAsia="Times New Roman" w:hAnsiTheme="majorHAnsi" w:cstheme="majorHAnsi"/>
            <w:noProof/>
            <w:webHidden/>
            <w:sz w:val="20"/>
            <w:szCs w:val="24"/>
          </w:rPr>
          <w:fldChar w:fldCharType="end"/>
        </w:r>
      </w:hyperlink>
    </w:p>
    <w:p w14:paraId="354C803F" w14:textId="335CA409"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7" w:history="1">
        <w:r w:rsidR="0022607C" w:rsidRPr="0022607C">
          <w:rPr>
            <w:rFonts w:asciiTheme="majorHAnsi" w:eastAsia="Times New Roman" w:hAnsiTheme="majorHAnsi" w:cstheme="majorHAnsi"/>
            <w:noProof/>
            <w:sz w:val="20"/>
            <w:szCs w:val="24"/>
          </w:rPr>
          <w:t>6.2.5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Survey findings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_Toc111731027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152</w:t>
        </w:r>
        <w:r w:rsidR="0022607C" w:rsidRPr="0022607C">
          <w:rPr>
            <w:rFonts w:asciiTheme="majorHAnsi" w:eastAsia="Times New Roman" w:hAnsiTheme="majorHAnsi" w:cstheme="majorHAnsi"/>
            <w:noProof/>
            <w:webHidden/>
            <w:sz w:val="20"/>
            <w:szCs w:val="24"/>
          </w:rPr>
          <w:fldChar w:fldCharType="end"/>
        </w:r>
      </w:hyperlink>
    </w:p>
    <w:p w14:paraId="52E0D00B" w14:textId="1DC2042F"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28" w:history="1">
        <w:r w:rsidR="0022607C" w:rsidRPr="0022607C">
          <w:rPr>
            <w:rFonts w:asciiTheme="majorHAnsi" w:eastAsia="Times New Roman" w:hAnsiTheme="majorHAnsi" w:cstheme="majorHAnsi"/>
            <w:noProof/>
            <w:sz w:val="20"/>
            <w:szCs w:val="24"/>
          </w:rPr>
          <w:t>6.2.6</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How did SRW use the survey outcomes?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_Toc111731028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153</w:t>
        </w:r>
        <w:r w:rsidR="0022607C" w:rsidRPr="0022607C">
          <w:rPr>
            <w:rFonts w:asciiTheme="majorHAnsi" w:eastAsia="Times New Roman" w:hAnsiTheme="majorHAnsi" w:cstheme="majorHAnsi"/>
            <w:noProof/>
            <w:webHidden/>
            <w:sz w:val="20"/>
            <w:szCs w:val="24"/>
          </w:rPr>
          <w:fldChar w:fldCharType="end"/>
        </w:r>
      </w:hyperlink>
    </w:p>
    <w:p w14:paraId="159A2A10" w14:textId="79E44DB0"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29" w:history="1">
        <w:r w:rsidR="0022607C" w:rsidRPr="0022607C">
          <w:rPr>
            <w:rFonts w:asciiTheme="majorHAnsi" w:eastAsia="Times New Roman" w:hAnsiTheme="majorHAnsi" w:cstheme="majorHAnsi"/>
            <w:b/>
            <w:bCs/>
            <w:noProof/>
            <w:sz w:val="20"/>
            <w:szCs w:val="24"/>
            <w:lang w:eastAsia="en-AU"/>
          </w:rPr>
          <w:t>7</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Involving customers through the CRG</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_Toc111731029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155</w:t>
        </w:r>
        <w:r w:rsidR="0022607C" w:rsidRPr="0022607C">
          <w:rPr>
            <w:rFonts w:asciiTheme="majorHAnsi" w:eastAsia="Times New Roman" w:hAnsiTheme="majorHAnsi" w:cstheme="majorHAnsi"/>
            <w:b/>
            <w:bCs/>
            <w:noProof/>
            <w:webHidden/>
            <w:sz w:val="20"/>
            <w:szCs w:val="24"/>
            <w:lang w:eastAsia="en-AU"/>
          </w:rPr>
          <w:fldChar w:fldCharType="end"/>
        </w:r>
      </w:hyperlink>
    </w:p>
    <w:p w14:paraId="564C6926" w14:textId="0374BA85"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0" w:history="1">
        <w:r w:rsidR="0022607C" w:rsidRPr="0022607C">
          <w:rPr>
            <w:rFonts w:asciiTheme="majorHAnsi" w:eastAsia="Times New Roman" w:hAnsiTheme="majorHAnsi" w:cstheme="majorHAnsi"/>
            <w:bCs/>
            <w:noProof/>
            <w:sz w:val="20"/>
            <w:szCs w:val="24"/>
            <w:lang w:eastAsia="en-AU"/>
          </w:rPr>
          <w:t>7.1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CRG purpose</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_Toc111731030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155</w:t>
        </w:r>
        <w:r w:rsidR="0022607C" w:rsidRPr="0022607C">
          <w:rPr>
            <w:rFonts w:asciiTheme="majorHAnsi" w:eastAsia="Times New Roman" w:hAnsiTheme="majorHAnsi" w:cstheme="majorHAnsi"/>
            <w:bCs/>
            <w:noProof/>
            <w:webHidden/>
            <w:sz w:val="20"/>
            <w:szCs w:val="24"/>
            <w:lang w:eastAsia="en-AU"/>
          </w:rPr>
          <w:fldChar w:fldCharType="end"/>
        </w:r>
      </w:hyperlink>
    </w:p>
    <w:p w14:paraId="4C6ABFA1" w14:textId="74F5862B"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1" w:history="1">
        <w:r w:rsidR="0022607C" w:rsidRPr="0022607C">
          <w:rPr>
            <w:rFonts w:asciiTheme="majorHAnsi" w:eastAsia="Times New Roman" w:hAnsiTheme="majorHAnsi" w:cstheme="majorHAnsi"/>
            <w:bCs/>
            <w:noProof/>
            <w:sz w:val="20"/>
            <w:szCs w:val="24"/>
            <w:lang w:eastAsia="en-AU"/>
          </w:rPr>
          <w:t>7.2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Recruitment</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_Toc111731031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155</w:t>
        </w:r>
        <w:r w:rsidR="0022607C" w:rsidRPr="0022607C">
          <w:rPr>
            <w:rFonts w:asciiTheme="majorHAnsi" w:eastAsia="Times New Roman" w:hAnsiTheme="majorHAnsi" w:cstheme="majorHAnsi"/>
            <w:bCs/>
            <w:noProof/>
            <w:webHidden/>
            <w:sz w:val="20"/>
            <w:szCs w:val="24"/>
            <w:lang w:eastAsia="en-AU"/>
          </w:rPr>
          <w:fldChar w:fldCharType="end"/>
        </w:r>
      </w:hyperlink>
    </w:p>
    <w:p w14:paraId="364661C0" w14:textId="66DC11A4"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2" w:history="1">
        <w:r w:rsidR="0022607C" w:rsidRPr="0022607C">
          <w:rPr>
            <w:rFonts w:asciiTheme="majorHAnsi" w:eastAsia="Times New Roman" w:hAnsiTheme="majorHAnsi" w:cstheme="majorHAnsi"/>
            <w:bCs/>
            <w:noProof/>
            <w:sz w:val="20"/>
            <w:szCs w:val="24"/>
            <w:lang w:eastAsia="en-AU"/>
          </w:rPr>
          <w:t>7.3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CRG membership and representation</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_Toc111731032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156</w:t>
        </w:r>
        <w:r w:rsidR="0022607C" w:rsidRPr="0022607C">
          <w:rPr>
            <w:rFonts w:asciiTheme="majorHAnsi" w:eastAsia="Times New Roman" w:hAnsiTheme="majorHAnsi" w:cstheme="majorHAnsi"/>
            <w:bCs/>
            <w:noProof/>
            <w:webHidden/>
            <w:sz w:val="20"/>
            <w:szCs w:val="24"/>
            <w:lang w:eastAsia="en-AU"/>
          </w:rPr>
          <w:fldChar w:fldCharType="end"/>
        </w:r>
      </w:hyperlink>
    </w:p>
    <w:p w14:paraId="4520C98F" w14:textId="73A0C55B"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3" w:history="1">
        <w:r w:rsidR="0022607C" w:rsidRPr="0022607C">
          <w:rPr>
            <w:rFonts w:asciiTheme="majorHAnsi" w:eastAsia="Times New Roman" w:hAnsiTheme="majorHAnsi" w:cstheme="majorHAnsi"/>
            <w:bCs/>
            <w:noProof/>
            <w:sz w:val="20"/>
            <w:szCs w:val="24"/>
            <w:lang w:eastAsia="en-AU"/>
          </w:rPr>
          <w:t>7.4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CRG meetings</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_Toc111731033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157</w:t>
        </w:r>
        <w:r w:rsidR="0022607C" w:rsidRPr="0022607C">
          <w:rPr>
            <w:rFonts w:asciiTheme="majorHAnsi" w:eastAsia="Times New Roman" w:hAnsiTheme="majorHAnsi" w:cstheme="majorHAnsi"/>
            <w:bCs/>
            <w:noProof/>
            <w:webHidden/>
            <w:sz w:val="20"/>
            <w:szCs w:val="24"/>
            <w:lang w:eastAsia="en-AU"/>
          </w:rPr>
          <w:fldChar w:fldCharType="end"/>
        </w:r>
      </w:hyperlink>
    </w:p>
    <w:p w14:paraId="15E13F61" w14:textId="5A68C520"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34" w:history="1">
        <w:r w:rsidR="0022607C" w:rsidRPr="0022607C">
          <w:rPr>
            <w:rFonts w:asciiTheme="majorHAnsi" w:eastAsia="Times New Roman" w:hAnsiTheme="majorHAnsi" w:cstheme="majorHAnsi"/>
            <w:noProof/>
            <w:sz w:val="20"/>
            <w:szCs w:val="24"/>
          </w:rPr>
          <w:t>7.4.1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Overview</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_Toc111731034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157</w:t>
        </w:r>
        <w:r w:rsidR="0022607C" w:rsidRPr="0022607C">
          <w:rPr>
            <w:rFonts w:asciiTheme="majorHAnsi" w:eastAsia="Times New Roman" w:hAnsiTheme="majorHAnsi" w:cstheme="majorHAnsi"/>
            <w:noProof/>
            <w:webHidden/>
            <w:sz w:val="20"/>
            <w:szCs w:val="24"/>
          </w:rPr>
          <w:fldChar w:fldCharType="end"/>
        </w:r>
      </w:hyperlink>
    </w:p>
    <w:p w14:paraId="7D492A33" w14:textId="64708E95"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5" w:history="1">
        <w:r w:rsidR="0022607C" w:rsidRPr="0022607C">
          <w:rPr>
            <w:rFonts w:asciiTheme="majorHAnsi" w:eastAsia="Times New Roman" w:hAnsiTheme="majorHAnsi" w:cstheme="majorHAnsi"/>
            <w:bCs/>
            <w:noProof/>
            <w:sz w:val="20"/>
            <w:szCs w:val="24"/>
            <w:lang w:eastAsia="en-AU"/>
          </w:rPr>
          <w:t>7.5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How did SRW use CRG feedback?</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_Toc111731035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157</w:t>
        </w:r>
        <w:r w:rsidR="0022607C" w:rsidRPr="0022607C">
          <w:rPr>
            <w:rFonts w:asciiTheme="majorHAnsi" w:eastAsia="Times New Roman" w:hAnsiTheme="majorHAnsi" w:cstheme="majorHAnsi"/>
            <w:bCs/>
            <w:noProof/>
            <w:webHidden/>
            <w:sz w:val="20"/>
            <w:szCs w:val="24"/>
            <w:lang w:eastAsia="en-AU"/>
          </w:rPr>
          <w:fldChar w:fldCharType="end"/>
        </w:r>
      </w:hyperlink>
    </w:p>
    <w:p w14:paraId="7AE4EF0B" w14:textId="1BDEE77A"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6" w:history="1">
        <w:r w:rsidR="0022607C" w:rsidRPr="0022607C">
          <w:rPr>
            <w:rFonts w:asciiTheme="majorHAnsi" w:eastAsia="Times New Roman" w:hAnsiTheme="majorHAnsi" w:cstheme="majorHAnsi"/>
            <w:bCs/>
            <w:noProof/>
            <w:sz w:val="20"/>
            <w:szCs w:val="24"/>
            <w:lang w:eastAsia="en-AU"/>
          </w:rPr>
          <w:t>7.6</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CRG members’ feedback on their role</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_Toc111731036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158</w:t>
        </w:r>
        <w:r w:rsidR="0022607C" w:rsidRPr="0022607C">
          <w:rPr>
            <w:rFonts w:asciiTheme="majorHAnsi" w:eastAsia="Times New Roman" w:hAnsiTheme="majorHAnsi" w:cstheme="majorHAnsi"/>
            <w:bCs/>
            <w:noProof/>
            <w:webHidden/>
            <w:sz w:val="20"/>
            <w:szCs w:val="24"/>
            <w:lang w:eastAsia="en-AU"/>
          </w:rPr>
          <w:fldChar w:fldCharType="end"/>
        </w:r>
      </w:hyperlink>
    </w:p>
    <w:p w14:paraId="3BB37767" w14:textId="59F7F4E2"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37" w:history="1">
        <w:r w:rsidR="0022607C" w:rsidRPr="0022607C">
          <w:rPr>
            <w:rFonts w:asciiTheme="majorHAnsi" w:eastAsia="Times New Roman" w:hAnsiTheme="majorHAnsi" w:cstheme="majorHAnsi"/>
            <w:b/>
            <w:bCs/>
            <w:noProof/>
            <w:sz w:val="20"/>
            <w:szCs w:val="24"/>
            <w:lang w:eastAsia="en-AU"/>
          </w:rPr>
          <w:t>8</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Other engagement activities</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_Toc111731037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159</w:t>
        </w:r>
        <w:r w:rsidR="0022607C" w:rsidRPr="0022607C">
          <w:rPr>
            <w:rFonts w:asciiTheme="majorHAnsi" w:eastAsia="Times New Roman" w:hAnsiTheme="majorHAnsi" w:cstheme="majorHAnsi"/>
            <w:b/>
            <w:bCs/>
            <w:noProof/>
            <w:webHidden/>
            <w:sz w:val="20"/>
            <w:szCs w:val="24"/>
            <w:lang w:eastAsia="en-AU"/>
          </w:rPr>
          <w:fldChar w:fldCharType="end"/>
        </w:r>
      </w:hyperlink>
    </w:p>
    <w:p w14:paraId="6EF86E60" w14:textId="2C6798B8"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38" w:history="1">
        <w:r w:rsidR="0022607C" w:rsidRPr="0022607C">
          <w:rPr>
            <w:rFonts w:asciiTheme="majorHAnsi" w:eastAsia="Times New Roman" w:hAnsiTheme="majorHAnsi" w:cstheme="majorHAnsi"/>
            <w:b/>
            <w:bCs/>
            <w:noProof/>
            <w:sz w:val="20"/>
            <w:szCs w:val="24"/>
            <w:lang w:eastAsia="en-AU"/>
          </w:rPr>
          <w:t>9</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Summarising SRW’s phased approach</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_Toc111731038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160</w:t>
        </w:r>
        <w:r w:rsidR="0022607C" w:rsidRPr="0022607C">
          <w:rPr>
            <w:rFonts w:asciiTheme="majorHAnsi" w:eastAsia="Times New Roman" w:hAnsiTheme="majorHAnsi" w:cstheme="majorHAnsi"/>
            <w:b/>
            <w:bCs/>
            <w:noProof/>
            <w:webHidden/>
            <w:sz w:val="20"/>
            <w:szCs w:val="24"/>
            <w:lang w:eastAsia="en-AU"/>
          </w:rPr>
          <w:fldChar w:fldCharType="end"/>
        </w:r>
      </w:hyperlink>
    </w:p>
    <w:p w14:paraId="4BAF4F69" w14:textId="387B2A1C"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39" w:history="1">
        <w:r w:rsidR="0022607C" w:rsidRPr="0022607C">
          <w:rPr>
            <w:rFonts w:asciiTheme="majorHAnsi" w:eastAsia="Times New Roman" w:hAnsiTheme="majorHAnsi" w:cstheme="majorHAnsi"/>
            <w:bCs/>
            <w:noProof/>
            <w:sz w:val="20"/>
            <w:szCs w:val="24"/>
            <w:lang w:eastAsia="en-AU"/>
          </w:rPr>
          <w:t>9.1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1: Informing and listening</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_Toc111731039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160</w:t>
        </w:r>
        <w:r w:rsidR="0022607C" w:rsidRPr="0022607C">
          <w:rPr>
            <w:rFonts w:asciiTheme="majorHAnsi" w:eastAsia="Times New Roman" w:hAnsiTheme="majorHAnsi" w:cstheme="majorHAnsi"/>
            <w:bCs/>
            <w:noProof/>
            <w:webHidden/>
            <w:sz w:val="20"/>
            <w:szCs w:val="24"/>
            <w:lang w:eastAsia="en-AU"/>
          </w:rPr>
          <w:fldChar w:fldCharType="end"/>
        </w:r>
      </w:hyperlink>
    </w:p>
    <w:p w14:paraId="1F8656C6" w14:textId="14CDD9FD"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0" w:history="1">
        <w:r w:rsidR="0022607C" w:rsidRPr="0022607C">
          <w:rPr>
            <w:rFonts w:asciiTheme="majorHAnsi" w:eastAsia="Times New Roman" w:hAnsiTheme="majorHAnsi" w:cstheme="majorHAnsi"/>
            <w:noProof/>
            <w:sz w:val="20"/>
            <w:szCs w:val="24"/>
          </w:rPr>
          <w:t>9.1.1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Purpose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_Toc111731040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160</w:t>
        </w:r>
        <w:r w:rsidR="0022607C" w:rsidRPr="0022607C">
          <w:rPr>
            <w:rFonts w:asciiTheme="majorHAnsi" w:eastAsia="Times New Roman" w:hAnsiTheme="majorHAnsi" w:cstheme="majorHAnsi"/>
            <w:noProof/>
            <w:webHidden/>
            <w:sz w:val="20"/>
            <w:szCs w:val="24"/>
          </w:rPr>
          <w:fldChar w:fldCharType="end"/>
        </w:r>
      </w:hyperlink>
    </w:p>
    <w:p w14:paraId="7FBBA56B" w14:textId="379AFAE0"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1" w:history="1">
        <w:r w:rsidR="0022607C" w:rsidRPr="0022607C">
          <w:rPr>
            <w:rFonts w:asciiTheme="majorHAnsi" w:eastAsia="Times New Roman" w:hAnsiTheme="majorHAnsi" w:cstheme="majorHAnsi"/>
            <w:noProof/>
            <w:sz w:val="20"/>
            <w:szCs w:val="24"/>
          </w:rPr>
          <w:t>9.1.2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Overview of Phase 1 engagement activities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_Toc111731041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161</w:t>
        </w:r>
        <w:r w:rsidR="0022607C" w:rsidRPr="0022607C">
          <w:rPr>
            <w:rFonts w:asciiTheme="majorHAnsi" w:eastAsia="Times New Roman" w:hAnsiTheme="majorHAnsi" w:cstheme="majorHAnsi"/>
            <w:noProof/>
            <w:webHidden/>
            <w:sz w:val="20"/>
            <w:szCs w:val="24"/>
          </w:rPr>
          <w:fldChar w:fldCharType="end"/>
        </w:r>
      </w:hyperlink>
    </w:p>
    <w:p w14:paraId="5CC6029D" w14:textId="788CF338"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42" w:history="1">
        <w:r w:rsidR="0022607C" w:rsidRPr="0022607C">
          <w:rPr>
            <w:rFonts w:asciiTheme="majorHAnsi" w:eastAsia="Times New Roman" w:hAnsiTheme="majorHAnsi" w:cstheme="majorHAnsi"/>
            <w:bCs/>
            <w:noProof/>
            <w:sz w:val="20"/>
            <w:szCs w:val="24"/>
            <w:lang w:eastAsia="en-AU"/>
          </w:rPr>
          <w:t>9.2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2: Price-service design</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_Toc111731042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161</w:t>
        </w:r>
        <w:r w:rsidR="0022607C" w:rsidRPr="0022607C">
          <w:rPr>
            <w:rFonts w:asciiTheme="majorHAnsi" w:eastAsia="Times New Roman" w:hAnsiTheme="majorHAnsi" w:cstheme="majorHAnsi"/>
            <w:bCs/>
            <w:noProof/>
            <w:webHidden/>
            <w:sz w:val="20"/>
            <w:szCs w:val="24"/>
            <w:lang w:eastAsia="en-AU"/>
          </w:rPr>
          <w:fldChar w:fldCharType="end"/>
        </w:r>
      </w:hyperlink>
    </w:p>
    <w:p w14:paraId="335F2DE8" w14:textId="1ECE8E45"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3" w:history="1">
        <w:r w:rsidR="0022607C" w:rsidRPr="0022607C">
          <w:rPr>
            <w:rFonts w:asciiTheme="majorHAnsi" w:eastAsia="Times New Roman" w:hAnsiTheme="majorHAnsi" w:cstheme="majorHAnsi"/>
            <w:noProof/>
            <w:sz w:val="20"/>
            <w:szCs w:val="24"/>
          </w:rPr>
          <w:t>9.2.1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Overarching purpose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_Toc111731043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161</w:t>
        </w:r>
        <w:r w:rsidR="0022607C" w:rsidRPr="0022607C">
          <w:rPr>
            <w:rFonts w:asciiTheme="majorHAnsi" w:eastAsia="Times New Roman" w:hAnsiTheme="majorHAnsi" w:cstheme="majorHAnsi"/>
            <w:noProof/>
            <w:webHidden/>
            <w:sz w:val="20"/>
            <w:szCs w:val="24"/>
          </w:rPr>
          <w:fldChar w:fldCharType="end"/>
        </w:r>
      </w:hyperlink>
    </w:p>
    <w:p w14:paraId="6570F432" w14:textId="7EC368E1"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4" w:history="1">
        <w:r w:rsidR="0022607C" w:rsidRPr="0022607C">
          <w:rPr>
            <w:rFonts w:asciiTheme="majorHAnsi" w:eastAsia="Times New Roman" w:hAnsiTheme="majorHAnsi" w:cstheme="majorHAnsi"/>
            <w:noProof/>
            <w:sz w:val="20"/>
            <w:szCs w:val="24"/>
          </w:rPr>
          <w:t>9.2.2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CRG Workshop 3</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_Toc111731044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161</w:t>
        </w:r>
        <w:r w:rsidR="0022607C" w:rsidRPr="0022607C">
          <w:rPr>
            <w:rFonts w:asciiTheme="majorHAnsi" w:eastAsia="Times New Roman" w:hAnsiTheme="majorHAnsi" w:cstheme="majorHAnsi"/>
            <w:noProof/>
            <w:webHidden/>
            <w:sz w:val="20"/>
            <w:szCs w:val="24"/>
          </w:rPr>
          <w:fldChar w:fldCharType="end"/>
        </w:r>
      </w:hyperlink>
    </w:p>
    <w:p w14:paraId="395516FA" w14:textId="4EF24200"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5" w:history="1">
        <w:r w:rsidR="0022607C" w:rsidRPr="0022607C">
          <w:rPr>
            <w:rFonts w:asciiTheme="majorHAnsi" w:eastAsia="Times New Roman" w:hAnsiTheme="majorHAnsi" w:cstheme="majorHAnsi"/>
            <w:noProof/>
            <w:sz w:val="20"/>
            <w:szCs w:val="24"/>
          </w:rPr>
          <w:t>9.2.3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CCC and SGRF and other stakeholder engagement</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_Toc111731045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162</w:t>
        </w:r>
        <w:r w:rsidR="0022607C" w:rsidRPr="0022607C">
          <w:rPr>
            <w:rFonts w:asciiTheme="majorHAnsi" w:eastAsia="Times New Roman" w:hAnsiTheme="majorHAnsi" w:cstheme="majorHAnsi"/>
            <w:noProof/>
            <w:webHidden/>
            <w:sz w:val="20"/>
            <w:szCs w:val="24"/>
          </w:rPr>
          <w:fldChar w:fldCharType="end"/>
        </w:r>
      </w:hyperlink>
    </w:p>
    <w:p w14:paraId="105F557B" w14:textId="6FA3E6BE"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6" w:history="1">
        <w:r w:rsidR="0022607C" w:rsidRPr="0022607C">
          <w:rPr>
            <w:rFonts w:asciiTheme="majorHAnsi" w:eastAsia="Times New Roman" w:hAnsiTheme="majorHAnsi" w:cstheme="majorHAnsi"/>
            <w:noProof/>
            <w:sz w:val="20"/>
            <w:szCs w:val="24"/>
          </w:rPr>
          <w:t>9.2.4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Engagement Hub</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_Toc111731046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162</w:t>
        </w:r>
        <w:r w:rsidR="0022607C" w:rsidRPr="0022607C">
          <w:rPr>
            <w:rFonts w:asciiTheme="majorHAnsi" w:eastAsia="Times New Roman" w:hAnsiTheme="majorHAnsi" w:cstheme="majorHAnsi"/>
            <w:noProof/>
            <w:webHidden/>
            <w:sz w:val="20"/>
            <w:szCs w:val="24"/>
          </w:rPr>
          <w:fldChar w:fldCharType="end"/>
        </w:r>
      </w:hyperlink>
    </w:p>
    <w:p w14:paraId="345F0F4C" w14:textId="640A28D9"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7" w:history="1">
        <w:r w:rsidR="0022607C" w:rsidRPr="0022607C">
          <w:rPr>
            <w:rFonts w:asciiTheme="majorHAnsi" w:eastAsia="Times New Roman" w:hAnsiTheme="majorHAnsi" w:cstheme="majorHAnsi"/>
            <w:noProof/>
            <w:sz w:val="20"/>
            <w:szCs w:val="24"/>
          </w:rPr>
          <w:t>9.2.5</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Communication materials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_Toc111731047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162</w:t>
        </w:r>
        <w:r w:rsidR="0022607C" w:rsidRPr="0022607C">
          <w:rPr>
            <w:rFonts w:asciiTheme="majorHAnsi" w:eastAsia="Times New Roman" w:hAnsiTheme="majorHAnsi" w:cstheme="majorHAnsi"/>
            <w:noProof/>
            <w:webHidden/>
            <w:sz w:val="20"/>
            <w:szCs w:val="24"/>
          </w:rPr>
          <w:fldChar w:fldCharType="end"/>
        </w:r>
      </w:hyperlink>
    </w:p>
    <w:p w14:paraId="3DDAB89E" w14:textId="1B089B4C"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48" w:history="1">
        <w:r w:rsidR="0022607C" w:rsidRPr="0022607C">
          <w:rPr>
            <w:rFonts w:asciiTheme="majorHAnsi" w:eastAsia="Times New Roman" w:hAnsiTheme="majorHAnsi" w:cstheme="majorHAnsi"/>
            <w:bCs/>
            <w:noProof/>
            <w:sz w:val="20"/>
            <w:szCs w:val="24"/>
            <w:lang w:eastAsia="en-AU"/>
          </w:rPr>
          <w:t>9.3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3: Testing and prioritising</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_Toc111731048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162</w:t>
        </w:r>
        <w:r w:rsidR="0022607C" w:rsidRPr="0022607C">
          <w:rPr>
            <w:rFonts w:asciiTheme="majorHAnsi" w:eastAsia="Times New Roman" w:hAnsiTheme="majorHAnsi" w:cstheme="majorHAnsi"/>
            <w:bCs/>
            <w:noProof/>
            <w:webHidden/>
            <w:sz w:val="20"/>
            <w:szCs w:val="24"/>
            <w:lang w:eastAsia="en-AU"/>
          </w:rPr>
          <w:fldChar w:fldCharType="end"/>
        </w:r>
      </w:hyperlink>
    </w:p>
    <w:p w14:paraId="0AE94F5B" w14:textId="3F3D2DBC"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49" w:history="1">
        <w:r w:rsidR="0022607C" w:rsidRPr="0022607C">
          <w:rPr>
            <w:rFonts w:asciiTheme="majorHAnsi" w:eastAsia="Times New Roman" w:hAnsiTheme="majorHAnsi" w:cstheme="majorHAnsi"/>
            <w:noProof/>
            <w:sz w:val="20"/>
            <w:szCs w:val="24"/>
          </w:rPr>
          <w:t>9.3.1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Purpose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_Toc111731049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162</w:t>
        </w:r>
        <w:r w:rsidR="0022607C" w:rsidRPr="0022607C">
          <w:rPr>
            <w:rFonts w:asciiTheme="majorHAnsi" w:eastAsia="Times New Roman" w:hAnsiTheme="majorHAnsi" w:cstheme="majorHAnsi"/>
            <w:noProof/>
            <w:webHidden/>
            <w:sz w:val="20"/>
            <w:szCs w:val="24"/>
          </w:rPr>
          <w:fldChar w:fldCharType="end"/>
        </w:r>
      </w:hyperlink>
    </w:p>
    <w:p w14:paraId="33961440" w14:textId="726F66C8"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0" w:history="1">
        <w:r w:rsidR="0022607C" w:rsidRPr="0022607C">
          <w:rPr>
            <w:rFonts w:asciiTheme="majorHAnsi" w:eastAsia="Times New Roman" w:hAnsiTheme="majorHAnsi" w:cstheme="majorHAnsi"/>
            <w:noProof/>
            <w:sz w:val="20"/>
            <w:szCs w:val="24"/>
          </w:rPr>
          <w:t>9.3.2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Overview of Phase 3 engagement activities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_Toc111731050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162</w:t>
        </w:r>
        <w:r w:rsidR="0022607C" w:rsidRPr="0022607C">
          <w:rPr>
            <w:rFonts w:asciiTheme="majorHAnsi" w:eastAsia="Times New Roman" w:hAnsiTheme="majorHAnsi" w:cstheme="majorHAnsi"/>
            <w:noProof/>
            <w:webHidden/>
            <w:sz w:val="20"/>
            <w:szCs w:val="24"/>
          </w:rPr>
          <w:fldChar w:fldCharType="end"/>
        </w:r>
      </w:hyperlink>
    </w:p>
    <w:p w14:paraId="1F93ABF3" w14:textId="0CF470F2"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51" w:history="1">
        <w:r w:rsidR="0022607C" w:rsidRPr="0022607C">
          <w:rPr>
            <w:rFonts w:asciiTheme="majorHAnsi" w:eastAsia="Times New Roman" w:hAnsiTheme="majorHAnsi" w:cstheme="majorHAnsi"/>
            <w:bCs/>
            <w:noProof/>
            <w:sz w:val="20"/>
            <w:szCs w:val="24"/>
            <w:lang w:eastAsia="en-AU"/>
          </w:rPr>
          <w:t>9.4</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Phase 4: Reporting back</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_Toc111731051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163</w:t>
        </w:r>
        <w:r w:rsidR="0022607C" w:rsidRPr="0022607C">
          <w:rPr>
            <w:rFonts w:asciiTheme="majorHAnsi" w:eastAsia="Times New Roman" w:hAnsiTheme="majorHAnsi" w:cstheme="majorHAnsi"/>
            <w:bCs/>
            <w:noProof/>
            <w:webHidden/>
            <w:sz w:val="20"/>
            <w:szCs w:val="24"/>
            <w:lang w:eastAsia="en-AU"/>
          </w:rPr>
          <w:fldChar w:fldCharType="end"/>
        </w:r>
      </w:hyperlink>
    </w:p>
    <w:p w14:paraId="7F3854CD" w14:textId="7686F254"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2" w:history="1">
        <w:r w:rsidR="0022607C" w:rsidRPr="0022607C">
          <w:rPr>
            <w:rFonts w:asciiTheme="majorHAnsi" w:eastAsia="Times New Roman" w:hAnsiTheme="majorHAnsi" w:cstheme="majorHAnsi"/>
            <w:noProof/>
            <w:sz w:val="20"/>
            <w:szCs w:val="24"/>
          </w:rPr>
          <w:t>9.4.1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Purpose</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_Toc111731052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163</w:t>
        </w:r>
        <w:r w:rsidR="0022607C" w:rsidRPr="0022607C">
          <w:rPr>
            <w:rFonts w:asciiTheme="majorHAnsi" w:eastAsia="Times New Roman" w:hAnsiTheme="majorHAnsi" w:cstheme="majorHAnsi"/>
            <w:noProof/>
            <w:webHidden/>
            <w:sz w:val="20"/>
            <w:szCs w:val="24"/>
          </w:rPr>
          <w:fldChar w:fldCharType="end"/>
        </w:r>
      </w:hyperlink>
    </w:p>
    <w:p w14:paraId="2F1A4046" w14:textId="7D954D2D"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3" w:history="1">
        <w:r w:rsidR="0022607C" w:rsidRPr="0022607C">
          <w:rPr>
            <w:rFonts w:asciiTheme="majorHAnsi" w:eastAsia="Times New Roman" w:hAnsiTheme="majorHAnsi" w:cstheme="majorHAnsi"/>
            <w:noProof/>
            <w:sz w:val="20"/>
            <w:szCs w:val="24"/>
          </w:rPr>
          <w:t>9.4.2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Feedback to partners and stakeholders</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_Toc111731053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163</w:t>
        </w:r>
        <w:r w:rsidR="0022607C" w:rsidRPr="0022607C">
          <w:rPr>
            <w:rFonts w:asciiTheme="majorHAnsi" w:eastAsia="Times New Roman" w:hAnsiTheme="majorHAnsi" w:cstheme="majorHAnsi"/>
            <w:noProof/>
            <w:webHidden/>
            <w:sz w:val="20"/>
            <w:szCs w:val="24"/>
          </w:rPr>
          <w:fldChar w:fldCharType="end"/>
        </w:r>
      </w:hyperlink>
    </w:p>
    <w:p w14:paraId="1D208464" w14:textId="27A581C3"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4" w:history="1">
        <w:r w:rsidR="0022607C" w:rsidRPr="0022607C">
          <w:rPr>
            <w:rFonts w:asciiTheme="majorHAnsi" w:eastAsia="Times New Roman" w:hAnsiTheme="majorHAnsi" w:cstheme="majorHAnsi"/>
            <w:noProof/>
            <w:sz w:val="20"/>
            <w:szCs w:val="24"/>
          </w:rPr>
          <w:t>9.4.3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CRG Workshop 5</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_Toc111731054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163</w:t>
        </w:r>
        <w:r w:rsidR="0022607C" w:rsidRPr="0022607C">
          <w:rPr>
            <w:rFonts w:asciiTheme="majorHAnsi" w:eastAsia="Times New Roman" w:hAnsiTheme="majorHAnsi" w:cstheme="majorHAnsi"/>
            <w:noProof/>
            <w:webHidden/>
            <w:sz w:val="20"/>
            <w:szCs w:val="24"/>
          </w:rPr>
          <w:fldChar w:fldCharType="end"/>
        </w:r>
      </w:hyperlink>
    </w:p>
    <w:p w14:paraId="0383A455" w14:textId="43629066"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55" w:history="1">
        <w:r w:rsidR="0022607C" w:rsidRPr="0022607C">
          <w:rPr>
            <w:rFonts w:asciiTheme="majorHAnsi" w:eastAsia="Times New Roman" w:hAnsiTheme="majorHAnsi" w:cstheme="majorHAnsi"/>
            <w:b/>
            <w:bCs/>
            <w:noProof/>
            <w:sz w:val="20"/>
            <w:szCs w:val="24"/>
            <w:lang w:eastAsia="en-AU"/>
          </w:rPr>
          <w:t>10</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
            <w:bCs/>
            <w:noProof/>
            <w:sz w:val="20"/>
            <w:szCs w:val="24"/>
            <w:lang w:eastAsia="en-AU"/>
          </w:rPr>
          <w:t>Reflections</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_Toc111731055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164</w:t>
        </w:r>
        <w:r w:rsidR="0022607C" w:rsidRPr="0022607C">
          <w:rPr>
            <w:rFonts w:asciiTheme="majorHAnsi" w:eastAsia="Times New Roman" w:hAnsiTheme="majorHAnsi" w:cstheme="majorHAnsi"/>
            <w:b/>
            <w:bCs/>
            <w:noProof/>
            <w:webHidden/>
            <w:sz w:val="20"/>
            <w:szCs w:val="24"/>
            <w:lang w:eastAsia="en-AU"/>
          </w:rPr>
          <w:fldChar w:fldCharType="end"/>
        </w:r>
      </w:hyperlink>
    </w:p>
    <w:p w14:paraId="6C44069A" w14:textId="3DC1F164"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56" w:history="1">
        <w:r w:rsidR="0022607C" w:rsidRPr="0022607C">
          <w:rPr>
            <w:rFonts w:asciiTheme="majorHAnsi" w:eastAsia="Times New Roman" w:hAnsiTheme="majorHAnsi" w:cstheme="majorHAnsi"/>
            <w:bCs/>
            <w:noProof/>
            <w:sz w:val="20"/>
            <w:szCs w:val="24"/>
            <w:lang w:eastAsia="en-AU"/>
          </w:rPr>
          <w:t>10.1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CRG feedback</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_Toc111731056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164</w:t>
        </w:r>
        <w:r w:rsidR="0022607C" w:rsidRPr="0022607C">
          <w:rPr>
            <w:rFonts w:asciiTheme="majorHAnsi" w:eastAsia="Times New Roman" w:hAnsiTheme="majorHAnsi" w:cstheme="majorHAnsi"/>
            <w:bCs/>
            <w:noProof/>
            <w:webHidden/>
            <w:sz w:val="20"/>
            <w:szCs w:val="24"/>
            <w:lang w:eastAsia="en-AU"/>
          </w:rPr>
          <w:fldChar w:fldCharType="end"/>
        </w:r>
      </w:hyperlink>
    </w:p>
    <w:p w14:paraId="08BE24DB" w14:textId="0FB46AFB"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7" w:history="1">
        <w:r w:rsidR="0022607C" w:rsidRPr="0022607C">
          <w:rPr>
            <w:rFonts w:asciiTheme="majorHAnsi" w:eastAsia="Times New Roman" w:hAnsiTheme="majorHAnsi" w:cstheme="majorHAnsi"/>
            <w:noProof/>
            <w:sz w:val="20"/>
            <w:szCs w:val="24"/>
          </w:rPr>
          <w:t>10.1.1</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Overall comments shared with the SRW team at the final meeting</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_Toc111731057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164</w:t>
        </w:r>
        <w:r w:rsidR="0022607C" w:rsidRPr="0022607C">
          <w:rPr>
            <w:rFonts w:asciiTheme="majorHAnsi" w:eastAsia="Times New Roman" w:hAnsiTheme="majorHAnsi" w:cstheme="majorHAnsi"/>
            <w:noProof/>
            <w:webHidden/>
            <w:sz w:val="20"/>
            <w:szCs w:val="24"/>
          </w:rPr>
          <w:fldChar w:fldCharType="end"/>
        </w:r>
      </w:hyperlink>
    </w:p>
    <w:p w14:paraId="0198900C" w14:textId="10535949" w:rsidR="0022607C" w:rsidRPr="0022607C" w:rsidRDefault="00000000" w:rsidP="0022607C">
      <w:pPr>
        <w:tabs>
          <w:tab w:val="left" w:pos="960"/>
          <w:tab w:val="right" w:pos="7513"/>
          <w:tab w:val="right" w:pos="8364"/>
          <w:tab w:val="right" w:pos="8493"/>
        </w:tabs>
        <w:spacing w:after="0" w:line="240" w:lineRule="auto"/>
        <w:ind w:left="238"/>
        <w:rPr>
          <w:rFonts w:asciiTheme="majorHAnsi" w:eastAsia="HGPMinchoE" w:hAnsiTheme="majorHAnsi" w:cstheme="majorHAnsi"/>
          <w:noProof/>
          <w:sz w:val="24"/>
          <w:szCs w:val="24"/>
          <w:lang w:eastAsia="en-GB"/>
        </w:rPr>
      </w:pPr>
      <w:hyperlink w:anchor="_Toc111731058" w:history="1">
        <w:r w:rsidR="0022607C" w:rsidRPr="0022607C">
          <w:rPr>
            <w:rFonts w:asciiTheme="majorHAnsi" w:eastAsia="Times New Roman" w:hAnsiTheme="majorHAnsi" w:cstheme="majorHAnsi"/>
            <w:noProof/>
            <w:sz w:val="20"/>
            <w:szCs w:val="24"/>
          </w:rPr>
          <w:t>10.1.2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noProof/>
            <w:sz w:val="20"/>
            <w:szCs w:val="24"/>
          </w:rPr>
          <w:t>Overall comments shared with the SRW team at the final meeting</w:t>
        </w:r>
        <w:r w:rsidR="0022607C" w:rsidRPr="0022607C">
          <w:rPr>
            <w:rFonts w:asciiTheme="majorHAnsi" w:eastAsia="Times New Roman" w:hAnsiTheme="majorHAnsi" w:cstheme="majorHAnsi"/>
            <w:noProof/>
            <w:webHidden/>
            <w:sz w:val="20"/>
            <w:szCs w:val="24"/>
          </w:rPr>
          <w:tab/>
        </w:r>
        <w:r w:rsidR="0022607C" w:rsidRPr="0022607C">
          <w:rPr>
            <w:rFonts w:asciiTheme="majorHAnsi" w:eastAsia="Times New Roman" w:hAnsiTheme="majorHAnsi" w:cstheme="majorHAnsi"/>
            <w:noProof/>
            <w:webHidden/>
            <w:sz w:val="20"/>
            <w:szCs w:val="24"/>
          </w:rPr>
          <w:fldChar w:fldCharType="begin"/>
        </w:r>
        <w:r w:rsidR="0022607C" w:rsidRPr="0022607C">
          <w:rPr>
            <w:rFonts w:asciiTheme="majorHAnsi" w:eastAsia="Times New Roman" w:hAnsiTheme="majorHAnsi" w:cstheme="majorHAnsi"/>
            <w:noProof/>
            <w:webHidden/>
            <w:sz w:val="20"/>
            <w:szCs w:val="24"/>
          </w:rPr>
          <w:instrText xml:space="preserve"> PAGEREF _Toc111731058 \h </w:instrText>
        </w:r>
        <w:r w:rsidR="0022607C" w:rsidRPr="0022607C">
          <w:rPr>
            <w:rFonts w:asciiTheme="majorHAnsi" w:eastAsia="Times New Roman" w:hAnsiTheme="majorHAnsi" w:cstheme="majorHAnsi"/>
            <w:noProof/>
            <w:webHidden/>
            <w:sz w:val="20"/>
            <w:szCs w:val="24"/>
          </w:rPr>
        </w:r>
        <w:r w:rsidR="0022607C" w:rsidRPr="0022607C">
          <w:rPr>
            <w:rFonts w:asciiTheme="majorHAnsi" w:eastAsia="Times New Roman" w:hAnsiTheme="majorHAnsi" w:cstheme="majorHAnsi"/>
            <w:noProof/>
            <w:webHidden/>
            <w:sz w:val="20"/>
            <w:szCs w:val="24"/>
          </w:rPr>
          <w:fldChar w:fldCharType="separate"/>
        </w:r>
        <w:r w:rsidR="008126A8">
          <w:rPr>
            <w:rFonts w:asciiTheme="majorHAnsi" w:eastAsia="Times New Roman" w:hAnsiTheme="majorHAnsi" w:cstheme="majorHAnsi"/>
            <w:noProof/>
            <w:webHidden/>
            <w:sz w:val="20"/>
            <w:szCs w:val="24"/>
          </w:rPr>
          <w:t>164</w:t>
        </w:r>
        <w:r w:rsidR="0022607C" w:rsidRPr="0022607C">
          <w:rPr>
            <w:rFonts w:asciiTheme="majorHAnsi" w:eastAsia="Times New Roman" w:hAnsiTheme="majorHAnsi" w:cstheme="majorHAnsi"/>
            <w:noProof/>
            <w:webHidden/>
            <w:sz w:val="20"/>
            <w:szCs w:val="24"/>
          </w:rPr>
          <w:fldChar w:fldCharType="end"/>
        </w:r>
      </w:hyperlink>
    </w:p>
    <w:p w14:paraId="54DACF76" w14:textId="38DBA0E2"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59" w:history="1">
        <w:r w:rsidR="0022607C" w:rsidRPr="0022607C">
          <w:rPr>
            <w:rFonts w:asciiTheme="majorHAnsi" w:eastAsia="Times New Roman" w:hAnsiTheme="majorHAnsi" w:cstheme="majorHAnsi"/>
            <w:bCs/>
            <w:noProof/>
            <w:sz w:val="20"/>
            <w:szCs w:val="24"/>
            <w:lang w:eastAsia="en-AU"/>
          </w:rPr>
          <w:t>10.2</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Feedback from SRW</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_Toc111731059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167</w:t>
        </w:r>
        <w:r w:rsidR="0022607C" w:rsidRPr="0022607C">
          <w:rPr>
            <w:rFonts w:asciiTheme="majorHAnsi" w:eastAsia="Times New Roman" w:hAnsiTheme="majorHAnsi" w:cstheme="majorHAnsi"/>
            <w:bCs/>
            <w:noProof/>
            <w:webHidden/>
            <w:sz w:val="20"/>
            <w:szCs w:val="24"/>
            <w:lang w:eastAsia="en-AU"/>
          </w:rPr>
          <w:fldChar w:fldCharType="end"/>
        </w:r>
      </w:hyperlink>
    </w:p>
    <w:p w14:paraId="6955B70F" w14:textId="133A71DB" w:rsidR="0022607C" w:rsidRPr="0022607C" w:rsidRDefault="00000000" w:rsidP="0022607C">
      <w:pPr>
        <w:tabs>
          <w:tab w:val="left" w:pos="-2977"/>
          <w:tab w:val="left" w:pos="720"/>
          <w:tab w:val="right" w:pos="8364"/>
          <w:tab w:val="right" w:pos="13892"/>
        </w:tabs>
        <w:spacing w:after="0" w:line="240" w:lineRule="auto"/>
        <w:rPr>
          <w:rFonts w:asciiTheme="majorHAnsi" w:eastAsia="HGPMinchoE" w:hAnsiTheme="majorHAnsi" w:cstheme="majorHAnsi"/>
          <w:noProof/>
          <w:sz w:val="24"/>
          <w:szCs w:val="24"/>
          <w:lang w:eastAsia="en-GB"/>
        </w:rPr>
      </w:pPr>
      <w:hyperlink w:anchor="_Toc111731060" w:history="1">
        <w:r w:rsidR="0022607C" w:rsidRPr="0022607C">
          <w:rPr>
            <w:rFonts w:asciiTheme="majorHAnsi" w:eastAsia="Times New Roman" w:hAnsiTheme="majorHAnsi" w:cstheme="majorHAnsi"/>
            <w:bCs/>
            <w:noProof/>
            <w:sz w:val="20"/>
            <w:szCs w:val="24"/>
            <w:lang w:eastAsia="en-AU"/>
          </w:rPr>
          <w:t>10.3</w:t>
        </w:r>
        <w:r w:rsidR="0022607C" w:rsidRPr="0022607C">
          <w:rPr>
            <w:rFonts w:asciiTheme="majorHAnsi" w:eastAsia="HGPMinchoE" w:hAnsiTheme="majorHAnsi" w:cstheme="majorHAnsi"/>
            <w:noProof/>
            <w:sz w:val="24"/>
            <w:szCs w:val="24"/>
            <w:lang w:eastAsia="en-GB"/>
          </w:rPr>
          <w:tab/>
        </w:r>
        <w:r w:rsidR="0022607C" w:rsidRPr="0022607C">
          <w:rPr>
            <w:rFonts w:asciiTheme="majorHAnsi" w:eastAsia="Times New Roman" w:hAnsiTheme="majorHAnsi" w:cstheme="majorHAnsi"/>
            <w:bCs/>
            <w:noProof/>
            <w:sz w:val="20"/>
            <w:szCs w:val="24"/>
            <w:lang w:eastAsia="en-AU"/>
          </w:rPr>
          <w:t>Feedback from BC Team</w:t>
        </w:r>
        <w:r w:rsidR="0022607C" w:rsidRPr="0022607C">
          <w:rPr>
            <w:rFonts w:asciiTheme="majorHAnsi" w:eastAsia="Times New Roman" w:hAnsiTheme="majorHAnsi" w:cstheme="majorHAnsi"/>
            <w:bCs/>
            <w:noProof/>
            <w:webHidden/>
            <w:sz w:val="20"/>
            <w:szCs w:val="24"/>
            <w:lang w:eastAsia="en-AU"/>
          </w:rPr>
          <w:tab/>
        </w:r>
        <w:r w:rsidR="0022607C" w:rsidRPr="0022607C">
          <w:rPr>
            <w:rFonts w:asciiTheme="majorHAnsi" w:eastAsia="Times New Roman" w:hAnsiTheme="majorHAnsi" w:cstheme="majorHAnsi"/>
            <w:bCs/>
            <w:noProof/>
            <w:webHidden/>
            <w:sz w:val="20"/>
            <w:szCs w:val="24"/>
            <w:lang w:eastAsia="en-AU"/>
          </w:rPr>
          <w:fldChar w:fldCharType="begin"/>
        </w:r>
        <w:r w:rsidR="0022607C" w:rsidRPr="0022607C">
          <w:rPr>
            <w:rFonts w:asciiTheme="majorHAnsi" w:eastAsia="Times New Roman" w:hAnsiTheme="majorHAnsi" w:cstheme="majorHAnsi"/>
            <w:bCs/>
            <w:noProof/>
            <w:webHidden/>
            <w:sz w:val="20"/>
            <w:szCs w:val="24"/>
            <w:lang w:eastAsia="en-AU"/>
          </w:rPr>
          <w:instrText xml:space="preserve"> PAGEREF _Toc111731060 \h </w:instrText>
        </w:r>
        <w:r w:rsidR="0022607C" w:rsidRPr="0022607C">
          <w:rPr>
            <w:rFonts w:asciiTheme="majorHAnsi" w:eastAsia="Times New Roman" w:hAnsiTheme="majorHAnsi" w:cstheme="majorHAnsi"/>
            <w:bCs/>
            <w:noProof/>
            <w:webHidden/>
            <w:sz w:val="20"/>
            <w:szCs w:val="24"/>
            <w:lang w:eastAsia="en-AU"/>
          </w:rPr>
        </w:r>
        <w:r w:rsidR="0022607C" w:rsidRPr="0022607C">
          <w:rPr>
            <w:rFonts w:asciiTheme="majorHAnsi" w:eastAsia="Times New Roman" w:hAnsiTheme="majorHAnsi" w:cstheme="majorHAnsi"/>
            <w:bCs/>
            <w:noProof/>
            <w:webHidden/>
            <w:sz w:val="20"/>
            <w:szCs w:val="24"/>
            <w:lang w:eastAsia="en-AU"/>
          </w:rPr>
          <w:fldChar w:fldCharType="separate"/>
        </w:r>
        <w:r w:rsidR="008126A8">
          <w:rPr>
            <w:rFonts w:asciiTheme="majorHAnsi" w:eastAsia="Times New Roman" w:hAnsiTheme="majorHAnsi" w:cstheme="majorHAnsi"/>
            <w:bCs/>
            <w:noProof/>
            <w:webHidden/>
            <w:sz w:val="20"/>
            <w:szCs w:val="24"/>
            <w:lang w:eastAsia="en-AU"/>
          </w:rPr>
          <w:t>169</w:t>
        </w:r>
        <w:r w:rsidR="0022607C" w:rsidRPr="0022607C">
          <w:rPr>
            <w:rFonts w:asciiTheme="majorHAnsi" w:eastAsia="Times New Roman" w:hAnsiTheme="majorHAnsi" w:cstheme="majorHAnsi"/>
            <w:bCs/>
            <w:noProof/>
            <w:webHidden/>
            <w:sz w:val="20"/>
            <w:szCs w:val="24"/>
            <w:lang w:eastAsia="en-AU"/>
          </w:rPr>
          <w:fldChar w:fldCharType="end"/>
        </w:r>
      </w:hyperlink>
    </w:p>
    <w:p w14:paraId="185CB3E9" w14:textId="4B853F58"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61" w:history="1">
        <w:r w:rsidR="0022607C" w:rsidRPr="0022607C">
          <w:rPr>
            <w:rFonts w:asciiTheme="majorHAnsi" w:eastAsia="Times New Roman" w:hAnsiTheme="majorHAnsi" w:cstheme="majorHAnsi"/>
            <w:b/>
            <w:bCs/>
            <w:noProof/>
            <w:sz w:val="20"/>
            <w:szCs w:val="24"/>
            <w:lang w:val="en-US" w:eastAsia="en-AU"/>
          </w:rPr>
          <w:t>Appendix A: PREMO framework</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_Toc111731061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173</w:t>
        </w:r>
        <w:r w:rsidR="0022607C" w:rsidRPr="0022607C">
          <w:rPr>
            <w:rFonts w:asciiTheme="majorHAnsi" w:eastAsia="Times New Roman" w:hAnsiTheme="majorHAnsi" w:cstheme="majorHAnsi"/>
            <w:b/>
            <w:bCs/>
            <w:noProof/>
            <w:webHidden/>
            <w:sz w:val="20"/>
            <w:szCs w:val="24"/>
            <w:lang w:eastAsia="en-AU"/>
          </w:rPr>
          <w:fldChar w:fldCharType="end"/>
        </w:r>
      </w:hyperlink>
    </w:p>
    <w:p w14:paraId="376EB5FB" w14:textId="7D606FA2"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62" w:history="1">
        <w:r w:rsidR="0022607C" w:rsidRPr="0022607C">
          <w:rPr>
            <w:rFonts w:asciiTheme="majorHAnsi" w:eastAsia="Times New Roman" w:hAnsiTheme="majorHAnsi" w:cstheme="majorHAnsi"/>
            <w:b/>
            <w:bCs/>
            <w:noProof/>
            <w:sz w:val="20"/>
            <w:szCs w:val="24"/>
            <w:lang w:val="en-US" w:eastAsia="en-AU"/>
          </w:rPr>
          <w:t>Appendix B: PS2023 engagement principles</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_Toc111731062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174</w:t>
        </w:r>
        <w:r w:rsidR="0022607C" w:rsidRPr="0022607C">
          <w:rPr>
            <w:rFonts w:asciiTheme="majorHAnsi" w:eastAsia="Times New Roman" w:hAnsiTheme="majorHAnsi" w:cstheme="majorHAnsi"/>
            <w:b/>
            <w:bCs/>
            <w:noProof/>
            <w:webHidden/>
            <w:sz w:val="20"/>
            <w:szCs w:val="24"/>
            <w:lang w:eastAsia="en-AU"/>
          </w:rPr>
          <w:fldChar w:fldCharType="end"/>
        </w:r>
      </w:hyperlink>
    </w:p>
    <w:p w14:paraId="2D482AD6" w14:textId="758B68DC" w:rsidR="0022607C" w:rsidRPr="0022607C" w:rsidRDefault="00000000" w:rsidP="0022607C">
      <w:pPr>
        <w:tabs>
          <w:tab w:val="left" w:pos="480"/>
          <w:tab w:val="right" w:pos="9072"/>
          <w:tab w:val="right" w:pos="13892"/>
        </w:tabs>
        <w:spacing w:before="60" w:after="0" w:line="240" w:lineRule="auto"/>
        <w:rPr>
          <w:rFonts w:asciiTheme="majorHAnsi" w:eastAsia="HGPMinchoE" w:hAnsiTheme="majorHAnsi" w:cstheme="majorHAnsi"/>
          <w:noProof/>
          <w:sz w:val="24"/>
          <w:szCs w:val="24"/>
          <w:lang w:eastAsia="en-GB"/>
        </w:rPr>
      </w:pPr>
      <w:hyperlink w:anchor="_Toc111731063" w:history="1">
        <w:r w:rsidR="0022607C" w:rsidRPr="0022607C">
          <w:rPr>
            <w:rFonts w:asciiTheme="majorHAnsi" w:eastAsia="Times New Roman" w:hAnsiTheme="majorHAnsi" w:cstheme="majorHAnsi"/>
            <w:b/>
            <w:bCs/>
            <w:noProof/>
            <w:sz w:val="20"/>
            <w:szCs w:val="24"/>
            <w:lang w:eastAsia="en-AU"/>
          </w:rPr>
          <w:t>Appendix C: Engagement Hub FAQs</w:t>
        </w:r>
        <w:r w:rsidR="0022607C" w:rsidRPr="0022607C">
          <w:rPr>
            <w:rFonts w:asciiTheme="majorHAnsi" w:eastAsia="Times New Roman" w:hAnsiTheme="majorHAnsi" w:cstheme="majorHAnsi"/>
            <w:b/>
            <w:bCs/>
            <w:noProof/>
            <w:webHidden/>
            <w:sz w:val="20"/>
            <w:szCs w:val="24"/>
            <w:lang w:eastAsia="en-AU"/>
          </w:rPr>
          <w:tab/>
        </w:r>
        <w:r w:rsidR="0022607C" w:rsidRPr="0022607C">
          <w:rPr>
            <w:rFonts w:asciiTheme="majorHAnsi" w:eastAsia="Times New Roman" w:hAnsiTheme="majorHAnsi" w:cstheme="majorHAnsi"/>
            <w:b/>
            <w:bCs/>
            <w:noProof/>
            <w:webHidden/>
            <w:sz w:val="20"/>
            <w:szCs w:val="24"/>
            <w:lang w:eastAsia="en-AU"/>
          </w:rPr>
          <w:fldChar w:fldCharType="begin"/>
        </w:r>
        <w:r w:rsidR="0022607C" w:rsidRPr="0022607C">
          <w:rPr>
            <w:rFonts w:asciiTheme="majorHAnsi" w:eastAsia="Times New Roman" w:hAnsiTheme="majorHAnsi" w:cstheme="majorHAnsi"/>
            <w:b/>
            <w:bCs/>
            <w:noProof/>
            <w:webHidden/>
            <w:sz w:val="20"/>
            <w:szCs w:val="24"/>
            <w:lang w:eastAsia="en-AU"/>
          </w:rPr>
          <w:instrText xml:space="preserve"> PAGEREF _Toc111731063 \h </w:instrText>
        </w:r>
        <w:r w:rsidR="0022607C" w:rsidRPr="0022607C">
          <w:rPr>
            <w:rFonts w:asciiTheme="majorHAnsi" w:eastAsia="Times New Roman" w:hAnsiTheme="majorHAnsi" w:cstheme="majorHAnsi"/>
            <w:b/>
            <w:bCs/>
            <w:noProof/>
            <w:webHidden/>
            <w:sz w:val="20"/>
            <w:szCs w:val="24"/>
            <w:lang w:eastAsia="en-AU"/>
          </w:rPr>
        </w:r>
        <w:r w:rsidR="0022607C" w:rsidRPr="0022607C">
          <w:rPr>
            <w:rFonts w:asciiTheme="majorHAnsi" w:eastAsia="Times New Roman" w:hAnsiTheme="majorHAnsi" w:cstheme="majorHAnsi"/>
            <w:b/>
            <w:bCs/>
            <w:noProof/>
            <w:webHidden/>
            <w:sz w:val="20"/>
            <w:szCs w:val="24"/>
            <w:lang w:eastAsia="en-AU"/>
          </w:rPr>
          <w:fldChar w:fldCharType="separate"/>
        </w:r>
        <w:r w:rsidR="008126A8">
          <w:rPr>
            <w:rFonts w:asciiTheme="majorHAnsi" w:eastAsia="Times New Roman" w:hAnsiTheme="majorHAnsi" w:cstheme="majorHAnsi"/>
            <w:b/>
            <w:bCs/>
            <w:noProof/>
            <w:webHidden/>
            <w:sz w:val="20"/>
            <w:szCs w:val="24"/>
            <w:lang w:eastAsia="en-AU"/>
          </w:rPr>
          <w:t>175</w:t>
        </w:r>
        <w:r w:rsidR="0022607C" w:rsidRPr="0022607C">
          <w:rPr>
            <w:rFonts w:asciiTheme="majorHAnsi" w:eastAsia="Times New Roman" w:hAnsiTheme="majorHAnsi" w:cstheme="majorHAnsi"/>
            <w:b/>
            <w:bCs/>
            <w:noProof/>
            <w:webHidden/>
            <w:sz w:val="20"/>
            <w:szCs w:val="24"/>
            <w:lang w:eastAsia="en-AU"/>
          </w:rPr>
          <w:fldChar w:fldCharType="end"/>
        </w:r>
      </w:hyperlink>
    </w:p>
    <w:p w14:paraId="44A0269D" w14:textId="77777777" w:rsidR="0022607C" w:rsidRPr="0022607C" w:rsidRDefault="0022607C" w:rsidP="0022607C">
      <w:pPr>
        <w:snapToGrid w:val="0"/>
        <w:spacing w:after="0" w:line="240" w:lineRule="auto"/>
        <w:rPr>
          <w:rFonts w:asciiTheme="majorHAnsi" w:eastAsia="Times New Roman" w:hAnsiTheme="majorHAnsi" w:cstheme="majorHAnsi"/>
          <w:color w:val="808080"/>
          <w:sz w:val="20"/>
          <w:szCs w:val="20"/>
          <w:lang w:eastAsia="en-GB"/>
        </w:rPr>
      </w:pPr>
      <w:r w:rsidRPr="0022607C">
        <w:rPr>
          <w:rFonts w:asciiTheme="majorHAnsi" w:eastAsia="Times New Roman" w:hAnsiTheme="majorHAnsi" w:cstheme="majorHAnsi"/>
          <w:color w:val="808080"/>
          <w:sz w:val="20"/>
          <w:szCs w:val="20"/>
          <w:lang w:eastAsia="en-GB"/>
        </w:rPr>
        <w:fldChar w:fldCharType="end"/>
      </w:r>
    </w:p>
    <w:p w14:paraId="4EF62AD4" w14:textId="77777777" w:rsidR="0022607C" w:rsidRPr="0022607C" w:rsidRDefault="0022607C" w:rsidP="0022607C">
      <w:pPr>
        <w:keepNext/>
        <w:keepLines/>
        <w:pageBreakBefore/>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86" w:name="_Toc111730990"/>
      <w:r w:rsidRPr="0022607C">
        <w:rPr>
          <w:rFonts w:asciiTheme="majorHAnsi" w:eastAsia="Times New Roman" w:hAnsiTheme="majorHAnsi" w:cstheme="majorHAnsi"/>
          <w:b/>
          <w:bCs/>
          <w:snapToGrid w:val="0"/>
          <w:color w:val="0070C0"/>
          <w:kern w:val="32"/>
          <w:sz w:val="28"/>
          <w:szCs w:val="32"/>
          <w:lang w:eastAsia="en-AU"/>
        </w:rPr>
        <w:t>Glossary</w:t>
      </w:r>
      <w:bookmarkEnd w:id="86"/>
    </w:p>
    <w:tbl>
      <w:tblPr>
        <w:tblStyle w:val="GridTable1Light-Accent6"/>
        <w:tblW w:w="9493" w:type="dxa"/>
        <w:tblLook w:val="0420" w:firstRow="1" w:lastRow="0" w:firstColumn="0" w:lastColumn="0" w:noHBand="0" w:noVBand="1"/>
      </w:tblPr>
      <w:tblGrid>
        <w:gridCol w:w="1413"/>
        <w:gridCol w:w="8080"/>
      </w:tblGrid>
      <w:tr w:rsidR="0022607C" w:rsidRPr="0022607C" w14:paraId="26223B07" w14:textId="77777777" w:rsidTr="00E27522">
        <w:trPr>
          <w:cnfStyle w:val="100000000000" w:firstRow="1" w:lastRow="0" w:firstColumn="0" w:lastColumn="0" w:oddVBand="0" w:evenVBand="0" w:oddHBand="0" w:evenHBand="0" w:firstRowFirstColumn="0" w:firstRowLastColumn="0" w:lastRowFirstColumn="0" w:lastRowLastColumn="0"/>
        </w:trPr>
        <w:tc>
          <w:tcPr>
            <w:tcW w:w="1413" w:type="dxa"/>
          </w:tcPr>
          <w:p w14:paraId="54D5E008"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Short form</w:t>
            </w:r>
          </w:p>
        </w:tc>
        <w:tc>
          <w:tcPr>
            <w:tcW w:w="8080" w:type="dxa"/>
          </w:tcPr>
          <w:p w14:paraId="2C0064A8"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18"/>
                <w:szCs w:val="21"/>
                <w:lang w:eastAsia="en-GB"/>
              </w:rPr>
            </w:pPr>
            <w:r w:rsidRPr="0022607C">
              <w:rPr>
                <w:rFonts w:asciiTheme="majorHAnsi" w:hAnsiTheme="majorHAnsi" w:cstheme="majorHAnsi"/>
                <w:iCs/>
                <w:color w:val="000000"/>
                <w:sz w:val="20"/>
                <w:szCs w:val="20"/>
                <w:lang w:eastAsia="en-GB"/>
              </w:rPr>
              <w:t>Long form</w:t>
            </w:r>
          </w:p>
        </w:tc>
      </w:tr>
      <w:tr w:rsidR="0022607C" w:rsidRPr="0022607C" w14:paraId="4BF313C8" w14:textId="77777777" w:rsidTr="00E27522">
        <w:tc>
          <w:tcPr>
            <w:tcW w:w="1413" w:type="dxa"/>
          </w:tcPr>
          <w:p w14:paraId="0A3F45A7"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BC Team</w:t>
            </w:r>
          </w:p>
        </w:tc>
        <w:tc>
          <w:tcPr>
            <w:tcW w:w="8080" w:type="dxa"/>
          </w:tcPr>
          <w:p w14:paraId="385FBD6F"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Bartley Consulting Team (including Bartley Consulting, Stanford Marketing and Gillian Hayman Facilitation and Project Services)</w:t>
            </w:r>
          </w:p>
        </w:tc>
      </w:tr>
      <w:tr w:rsidR="0022607C" w:rsidRPr="0022607C" w14:paraId="636B1660" w14:textId="77777777" w:rsidTr="00E27522">
        <w:tc>
          <w:tcPr>
            <w:tcW w:w="1413" w:type="dxa"/>
          </w:tcPr>
          <w:p w14:paraId="474AABEF"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CCC</w:t>
            </w:r>
          </w:p>
        </w:tc>
        <w:tc>
          <w:tcPr>
            <w:tcW w:w="8080" w:type="dxa"/>
          </w:tcPr>
          <w:p w14:paraId="16B2C638"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Customer Consultative Committee</w:t>
            </w:r>
          </w:p>
        </w:tc>
      </w:tr>
      <w:tr w:rsidR="0022607C" w:rsidRPr="0022607C" w14:paraId="60C7A583" w14:textId="77777777" w:rsidTr="00E27522">
        <w:tc>
          <w:tcPr>
            <w:tcW w:w="1413" w:type="dxa"/>
          </w:tcPr>
          <w:p w14:paraId="1E465E62"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
                <w:iCs/>
                <w:color w:val="000000"/>
                <w:sz w:val="20"/>
                <w:szCs w:val="20"/>
                <w:lang w:eastAsia="en-GB"/>
              </w:rPr>
            </w:pPr>
            <w:r w:rsidRPr="0022607C">
              <w:rPr>
                <w:rFonts w:asciiTheme="majorHAnsi" w:hAnsiTheme="majorHAnsi" w:cstheme="majorHAnsi"/>
                <w:iCs/>
                <w:color w:val="000000"/>
                <w:sz w:val="20"/>
                <w:szCs w:val="20"/>
                <w:lang w:eastAsia="en-GB"/>
              </w:rPr>
              <w:t>CRG</w:t>
            </w:r>
          </w:p>
        </w:tc>
        <w:tc>
          <w:tcPr>
            <w:tcW w:w="8080" w:type="dxa"/>
          </w:tcPr>
          <w:p w14:paraId="0C9F9299"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Independently facilitated Customer Reference Group</w:t>
            </w:r>
          </w:p>
        </w:tc>
      </w:tr>
      <w:tr w:rsidR="0022607C" w:rsidRPr="0022607C" w14:paraId="75051BE3" w14:textId="77777777" w:rsidTr="00E27522">
        <w:tc>
          <w:tcPr>
            <w:tcW w:w="1413" w:type="dxa"/>
          </w:tcPr>
          <w:p w14:paraId="662579B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DELWP</w:t>
            </w:r>
          </w:p>
        </w:tc>
        <w:tc>
          <w:tcPr>
            <w:tcW w:w="8080" w:type="dxa"/>
          </w:tcPr>
          <w:p w14:paraId="46BA52BE"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Department of Environment, Land, Water and Planning</w:t>
            </w:r>
          </w:p>
        </w:tc>
      </w:tr>
      <w:tr w:rsidR="0022607C" w:rsidRPr="0022607C" w14:paraId="191D4127" w14:textId="77777777" w:rsidTr="00E27522">
        <w:tc>
          <w:tcPr>
            <w:tcW w:w="1413" w:type="dxa"/>
          </w:tcPr>
          <w:p w14:paraId="600BBDA3"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ESC</w:t>
            </w:r>
          </w:p>
        </w:tc>
        <w:tc>
          <w:tcPr>
            <w:tcW w:w="8080" w:type="dxa"/>
          </w:tcPr>
          <w:p w14:paraId="3D76FEE4"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Essential Services Commission</w:t>
            </w:r>
          </w:p>
        </w:tc>
      </w:tr>
      <w:tr w:rsidR="0022607C" w:rsidRPr="0022607C" w14:paraId="222A7F31" w14:textId="77777777" w:rsidTr="00E27522">
        <w:tc>
          <w:tcPr>
            <w:tcW w:w="1413" w:type="dxa"/>
          </w:tcPr>
          <w:p w14:paraId="12594438"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G&amp;R</w:t>
            </w:r>
          </w:p>
        </w:tc>
        <w:tc>
          <w:tcPr>
            <w:tcW w:w="8080" w:type="dxa"/>
          </w:tcPr>
          <w:p w14:paraId="059AE406"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Groundwater and Rivers</w:t>
            </w:r>
          </w:p>
        </w:tc>
      </w:tr>
      <w:tr w:rsidR="0022607C" w:rsidRPr="0022607C" w14:paraId="6BE5EF54" w14:textId="77777777" w:rsidTr="00E27522">
        <w:tc>
          <w:tcPr>
            <w:tcW w:w="1413" w:type="dxa"/>
          </w:tcPr>
          <w:p w14:paraId="535E3971"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
                <w:iCs/>
                <w:color w:val="000000"/>
                <w:sz w:val="20"/>
                <w:szCs w:val="20"/>
                <w:lang w:eastAsia="en-GB"/>
              </w:rPr>
            </w:pPr>
            <w:r w:rsidRPr="0022607C">
              <w:rPr>
                <w:rFonts w:asciiTheme="majorHAnsi" w:hAnsiTheme="majorHAnsi" w:cstheme="majorHAnsi"/>
                <w:iCs/>
                <w:color w:val="000000"/>
                <w:sz w:val="20"/>
                <w:szCs w:val="20"/>
                <w:lang w:eastAsia="en-GB"/>
              </w:rPr>
              <w:t>IAP2</w:t>
            </w:r>
          </w:p>
        </w:tc>
        <w:tc>
          <w:tcPr>
            <w:tcW w:w="8080" w:type="dxa"/>
          </w:tcPr>
          <w:p w14:paraId="60CE7832" w14:textId="77777777" w:rsidR="0022607C" w:rsidRPr="0022607C" w:rsidRDefault="0022607C" w:rsidP="0022607C">
            <w:pPr>
              <w:spacing w:before="20" w:after="20"/>
              <w:rPr>
                <w:rFonts w:asciiTheme="majorHAnsi" w:hAnsiTheme="majorHAnsi" w:cstheme="majorHAnsi"/>
                <w:sz w:val="18"/>
                <w:szCs w:val="21"/>
              </w:rPr>
            </w:pPr>
            <w:r w:rsidRPr="0022607C">
              <w:rPr>
                <w:rFonts w:asciiTheme="majorHAnsi" w:hAnsiTheme="majorHAnsi" w:cstheme="majorHAnsi"/>
                <w:sz w:val="21"/>
                <w:szCs w:val="24"/>
              </w:rPr>
              <w:t>International Association for Public Participation</w:t>
            </w:r>
          </w:p>
        </w:tc>
      </w:tr>
      <w:tr w:rsidR="0022607C" w:rsidRPr="0022607C" w14:paraId="5452C1BD" w14:textId="77777777" w:rsidTr="00E27522">
        <w:tc>
          <w:tcPr>
            <w:tcW w:w="1413" w:type="dxa"/>
          </w:tcPr>
          <w:p w14:paraId="6F1B4932"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MCCC</w:t>
            </w:r>
          </w:p>
        </w:tc>
        <w:tc>
          <w:tcPr>
            <w:tcW w:w="8080" w:type="dxa"/>
          </w:tcPr>
          <w:p w14:paraId="04D401B9"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Macalister Customer Consultative Committee</w:t>
            </w:r>
          </w:p>
        </w:tc>
      </w:tr>
      <w:tr w:rsidR="0022607C" w:rsidRPr="0022607C" w14:paraId="3AFFAE87" w14:textId="77777777" w:rsidTr="00E27522">
        <w:tc>
          <w:tcPr>
            <w:tcW w:w="1413" w:type="dxa"/>
          </w:tcPr>
          <w:p w14:paraId="05DF5DF5"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PS2018</w:t>
            </w:r>
          </w:p>
        </w:tc>
        <w:tc>
          <w:tcPr>
            <w:tcW w:w="8080" w:type="dxa"/>
          </w:tcPr>
          <w:p w14:paraId="652441DD"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Southern Rural Water Price Submission 2018-2023</w:t>
            </w:r>
          </w:p>
        </w:tc>
      </w:tr>
      <w:tr w:rsidR="0022607C" w:rsidRPr="0022607C" w14:paraId="711A59F6" w14:textId="77777777" w:rsidTr="00E27522">
        <w:tc>
          <w:tcPr>
            <w:tcW w:w="1413" w:type="dxa"/>
          </w:tcPr>
          <w:p w14:paraId="7DD73274"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PS2023</w:t>
            </w:r>
          </w:p>
        </w:tc>
        <w:tc>
          <w:tcPr>
            <w:tcW w:w="8080" w:type="dxa"/>
          </w:tcPr>
          <w:p w14:paraId="43B77BEF"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Southern Rural Water Price Submission 2023-2028</w:t>
            </w:r>
          </w:p>
        </w:tc>
      </w:tr>
      <w:tr w:rsidR="0022607C" w:rsidRPr="0022607C" w14:paraId="0E12CC7A" w14:textId="77777777" w:rsidTr="00E27522">
        <w:tc>
          <w:tcPr>
            <w:tcW w:w="1413" w:type="dxa"/>
          </w:tcPr>
          <w:p w14:paraId="1AFA1FEA"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RFCS</w:t>
            </w:r>
          </w:p>
        </w:tc>
        <w:tc>
          <w:tcPr>
            <w:tcW w:w="8080" w:type="dxa"/>
          </w:tcPr>
          <w:p w14:paraId="08A71D11"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Rural Financial Counselling Service</w:t>
            </w:r>
          </w:p>
        </w:tc>
      </w:tr>
      <w:tr w:rsidR="0022607C" w:rsidRPr="0022607C" w14:paraId="27269935" w14:textId="77777777" w:rsidTr="00E27522">
        <w:tc>
          <w:tcPr>
            <w:tcW w:w="1413" w:type="dxa"/>
          </w:tcPr>
          <w:p w14:paraId="023B19C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
                <w:iCs/>
                <w:color w:val="000000"/>
                <w:sz w:val="20"/>
                <w:szCs w:val="20"/>
                <w:lang w:eastAsia="en-GB"/>
              </w:rPr>
            </w:pPr>
            <w:r w:rsidRPr="0022607C">
              <w:rPr>
                <w:rFonts w:asciiTheme="majorHAnsi" w:hAnsiTheme="majorHAnsi" w:cstheme="majorHAnsi"/>
                <w:iCs/>
                <w:color w:val="000000"/>
                <w:sz w:val="20"/>
                <w:szCs w:val="20"/>
                <w:lang w:eastAsia="en-GB"/>
              </w:rPr>
              <w:t>SGRF</w:t>
            </w:r>
          </w:p>
        </w:tc>
        <w:tc>
          <w:tcPr>
            <w:tcW w:w="8080" w:type="dxa"/>
          </w:tcPr>
          <w:p w14:paraId="30577B6C" w14:textId="77777777" w:rsidR="0022607C" w:rsidRPr="0022607C" w:rsidRDefault="0022607C" w:rsidP="0022607C">
            <w:pPr>
              <w:spacing w:before="20" w:after="20"/>
              <w:rPr>
                <w:rFonts w:asciiTheme="majorHAnsi" w:hAnsiTheme="majorHAnsi" w:cstheme="majorHAnsi"/>
                <w:sz w:val="18"/>
                <w:szCs w:val="21"/>
              </w:rPr>
            </w:pPr>
            <w:r w:rsidRPr="0022607C">
              <w:rPr>
                <w:rFonts w:asciiTheme="majorHAnsi" w:hAnsiTheme="majorHAnsi" w:cstheme="majorHAnsi"/>
                <w:sz w:val="21"/>
                <w:szCs w:val="24"/>
              </w:rPr>
              <w:t>Southern Groundwater and Rivers Forum</w:t>
            </w:r>
          </w:p>
        </w:tc>
      </w:tr>
      <w:tr w:rsidR="0022607C" w:rsidRPr="0022607C" w14:paraId="650694DD" w14:textId="77777777" w:rsidTr="00E27522">
        <w:tc>
          <w:tcPr>
            <w:tcW w:w="1413" w:type="dxa"/>
          </w:tcPr>
          <w:p w14:paraId="0ED04EDD"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SRW</w:t>
            </w:r>
          </w:p>
        </w:tc>
        <w:tc>
          <w:tcPr>
            <w:tcW w:w="8080" w:type="dxa"/>
          </w:tcPr>
          <w:p w14:paraId="686E2822"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Southern Rural Water</w:t>
            </w:r>
          </w:p>
        </w:tc>
      </w:tr>
      <w:tr w:rsidR="0022607C" w:rsidRPr="0022607C" w14:paraId="77466EBD" w14:textId="77777777" w:rsidTr="00E27522">
        <w:tc>
          <w:tcPr>
            <w:tcW w:w="1413" w:type="dxa"/>
          </w:tcPr>
          <w:p w14:paraId="4889CD6F"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ToR</w:t>
            </w:r>
          </w:p>
        </w:tc>
        <w:tc>
          <w:tcPr>
            <w:tcW w:w="8080" w:type="dxa"/>
          </w:tcPr>
          <w:p w14:paraId="699AEB6C"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Terms of Reference (for the CRG)</w:t>
            </w:r>
          </w:p>
        </w:tc>
      </w:tr>
      <w:tr w:rsidR="0022607C" w:rsidRPr="0022607C" w14:paraId="7D0FDDE2" w14:textId="77777777" w:rsidTr="00E27522">
        <w:tc>
          <w:tcPr>
            <w:tcW w:w="1413" w:type="dxa"/>
          </w:tcPr>
          <w:p w14:paraId="6413471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VEWH</w:t>
            </w:r>
          </w:p>
        </w:tc>
        <w:tc>
          <w:tcPr>
            <w:tcW w:w="8080" w:type="dxa"/>
          </w:tcPr>
          <w:p w14:paraId="529A1B23"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0"/>
                <w:lang w:val="en-US"/>
              </w:rPr>
              <w:t>Victorian Environmental Water Holder</w:t>
            </w:r>
          </w:p>
        </w:tc>
      </w:tr>
      <w:tr w:rsidR="0022607C" w:rsidRPr="0022607C" w14:paraId="0CFC2717" w14:textId="77777777" w:rsidTr="00E27522">
        <w:tc>
          <w:tcPr>
            <w:tcW w:w="1413" w:type="dxa"/>
          </w:tcPr>
          <w:p w14:paraId="64C034F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VFF</w:t>
            </w:r>
          </w:p>
        </w:tc>
        <w:tc>
          <w:tcPr>
            <w:tcW w:w="8080" w:type="dxa"/>
          </w:tcPr>
          <w:p w14:paraId="3CBBD58C" w14:textId="77777777" w:rsidR="0022607C" w:rsidRPr="0022607C" w:rsidRDefault="0022607C" w:rsidP="0022607C">
            <w:pPr>
              <w:spacing w:before="20" w:after="20"/>
              <w:rPr>
                <w:rFonts w:asciiTheme="majorHAnsi" w:hAnsiTheme="majorHAnsi" w:cstheme="majorHAnsi"/>
                <w:sz w:val="21"/>
                <w:szCs w:val="24"/>
              </w:rPr>
            </w:pPr>
            <w:r w:rsidRPr="0022607C">
              <w:rPr>
                <w:rFonts w:asciiTheme="majorHAnsi" w:hAnsiTheme="majorHAnsi" w:cstheme="majorHAnsi"/>
                <w:sz w:val="21"/>
                <w:szCs w:val="24"/>
              </w:rPr>
              <w:t>Victorian Farmers’ Federation</w:t>
            </w:r>
          </w:p>
        </w:tc>
      </w:tr>
      <w:tr w:rsidR="0022607C" w:rsidRPr="0022607C" w14:paraId="4476088F" w14:textId="77777777" w:rsidTr="00E27522">
        <w:tc>
          <w:tcPr>
            <w:tcW w:w="1413" w:type="dxa"/>
          </w:tcPr>
          <w:p w14:paraId="40745EEB"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WBMCCC</w:t>
            </w:r>
          </w:p>
        </w:tc>
        <w:tc>
          <w:tcPr>
            <w:tcW w:w="8080" w:type="dxa"/>
          </w:tcPr>
          <w:p w14:paraId="4B6A34BD"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color w:val="000000"/>
                <w:sz w:val="20"/>
                <w:szCs w:val="20"/>
                <w:lang w:eastAsia="en-GB"/>
              </w:rPr>
            </w:pPr>
            <w:r w:rsidRPr="0022607C">
              <w:rPr>
                <w:rFonts w:asciiTheme="majorHAnsi" w:hAnsiTheme="majorHAnsi" w:cstheme="majorHAnsi"/>
                <w:iCs/>
                <w:color w:val="000000"/>
                <w:sz w:val="20"/>
                <w:szCs w:val="20"/>
                <w:lang w:eastAsia="en-GB"/>
              </w:rPr>
              <w:t>Werribee Bacchus Marsh Customer Consultative Committee</w:t>
            </w:r>
          </w:p>
        </w:tc>
      </w:tr>
    </w:tbl>
    <w:p w14:paraId="7F331DE0"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p>
    <w:p w14:paraId="670E28F6"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87" w:name="_Toc111730991"/>
      <w:r w:rsidRPr="0022607C">
        <w:rPr>
          <w:rFonts w:asciiTheme="majorHAnsi" w:eastAsia="Times New Roman" w:hAnsiTheme="majorHAnsi" w:cstheme="majorHAnsi"/>
          <w:b/>
          <w:bCs/>
          <w:snapToGrid w:val="0"/>
          <w:color w:val="0070C0"/>
          <w:kern w:val="32"/>
          <w:sz w:val="28"/>
          <w:szCs w:val="32"/>
          <w:lang w:eastAsia="en-AU"/>
        </w:rPr>
        <w:t>Executive summary</w:t>
      </w:r>
      <w:bookmarkEnd w:id="87"/>
    </w:p>
    <w:p w14:paraId="254658A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Southern Rural Water (SRW) commenced its engagement planning for its Price Submission 2023 (PS2023) early in 2021.  SRW’s aim was to build upon its Price Submission 2018 (PS2018) “leading” rating to achieve broader and deeper engagement.</w:t>
      </w:r>
      <w:r w:rsidRPr="0022607C">
        <w:rPr>
          <w:rFonts w:asciiTheme="majorHAnsi" w:eastAsia="Times New Roman" w:hAnsiTheme="majorHAnsi" w:cstheme="majorHAnsi"/>
          <w:sz w:val="21"/>
          <w:szCs w:val="24"/>
          <w:vertAlign w:val="superscript"/>
          <w:lang w:eastAsia="en-AU"/>
        </w:rPr>
        <w:footnoteReference w:id="3"/>
      </w:r>
      <w:r w:rsidRPr="0022607C">
        <w:rPr>
          <w:rFonts w:asciiTheme="majorHAnsi" w:eastAsia="Times New Roman" w:hAnsiTheme="majorHAnsi" w:cstheme="majorHAnsi"/>
          <w:sz w:val="21"/>
          <w:szCs w:val="24"/>
          <w:lang w:eastAsia="en-AU"/>
        </w:rPr>
        <w:t xml:space="preserve"> SRW set out to improve its engagement from its 2018 efforts by specifically involving customers in its decision-making and setting of priorities, consistent with Essential Services Commission current expectations. </w:t>
      </w:r>
    </w:p>
    <w:p w14:paraId="16C4F9F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developed an approach for its PS2023 engagement based on four clearly defined engagement phases:</w:t>
      </w:r>
    </w:p>
    <w:p w14:paraId="1DB5F151" w14:textId="77777777" w:rsidR="0022607C" w:rsidRPr="0022607C" w:rsidRDefault="0022607C" w:rsidP="00F459A2">
      <w:pPr>
        <w:numPr>
          <w:ilvl w:val="0"/>
          <w:numId w:val="6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Phase 1: Informing and listening (August 2021 to October 2021)</w:t>
      </w:r>
    </w:p>
    <w:p w14:paraId="67F76493" w14:textId="77777777" w:rsidR="0022607C" w:rsidRPr="0022607C" w:rsidRDefault="0022607C" w:rsidP="00F459A2">
      <w:pPr>
        <w:numPr>
          <w:ilvl w:val="0"/>
          <w:numId w:val="6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Phase 2: Price-service design (November 2021 to January 2022)</w:t>
      </w:r>
    </w:p>
    <w:p w14:paraId="18DA456E" w14:textId="77777777" w:rsidR="0022607C" w:rsidRPr="0022607C" w:rsidRDefault="0022607C" w:rsidP="00F459A2">
      <w:pPr>
        <w:numPr>
          <w:ilvl w:val="0"/>
          <w:numId w:val="6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Phase 3: Testing and prioritising (February 2021 to May 2022)</w:t>
      </w:r>
    </w:p>
    <w:p w14:paraId="08A64144" w14:textId="77777777" w:rsidR="0022607C" w:rsidRPr="0022607C" w:rsidRDefault="0022607C" w:rsidP="00F459A2">
      <w:pPr>
        <w:numPr>
          <w:ilvl w:val="0"/>
          <w:numId w:val="6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Phase 4: Reporting back (June 2022 to August 2022)</w:t>
      </w:r>
    </w:p>
    <w:p w14:paraId="6D2278E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Despite the challenges presented by the COVID-19 pandemic, SRW provided numerous opportunities for customers and other stakeholders to contribute to its PS2023.  It advertised its engagement activities widely through traditional and social media, text messages and emails as well as through its stakeholder networks and via word of mouth through its various customer and stakeholder networks.  SRW directly engaged with more than 200 customers and other stakeholders through its Customer Reference Group (CRG) established specifically for its PS2023, its Customer Consultative Committees (CCCs) and Southern Rivers and Groundwater Forum (SGRF) and two PS2023-specific surveys.  Additionally, it put considerable effort into keeping customers and stakeholders informed of its PS2023 activities which included establishing and maintaining a dedicated engagement space on the internet – the PS2023 Engagement Hub.</w:t>
      </w:r>
    </w:p>
    <w:p w14:paraId="5E86619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engaged Bartley Consulting, in association with Stanford Marketing and Gillian Hayman Facilitation and Project Services (the BC Team), to provide expertise and support its PS2023 engagement.  Specifically, the BC Team worked closely with SRW to gather evidence of customers’, stakeholders’ and partners’ service and pricing needs, expectations and preferences, having regard to the ESC’s PREMO Framework,</w:t>
      </w:r>
      <w:r w:rsidRPr="0022607C">
        <w:rPr>
          <w:rFonts w:asciiTheme="majorHAnsi" w:eastAsia="Times New Roman" w:hAnsiTheme="majorHAnsi" w:cstheme="majorHAnsi"/>
          <w:sz w:val="21"/>
          <w:szCs w:val="24"/>
          <w:vertAlign w:val="superscript"/>
          <w:lang w:eastAsia="en-AU"/>
        </w:rPr>
        <w:footnoteReference w:id="4"/>
      </w:r>
      <w:r w:rsidRPr="0022607C">
        <w:rPr>
          <w:rFonts w:asciiTheme="majorHAnsi" w:eastAsia="Times New Roman" w:hAnsiTheme="majorHAnsi" w:cstheme="majorHAnsi"/>
          <w:sz w:val="21"/>
          <w:szCs w:val="24"/>
          <w:lang w:eastAsia="en-AU"/>
        </w:rPr>
        <w:t xml:space="preserve"> to facilitate its CRG and develop its PS2023 communications.  The BC Team was subsequently contracted to prepare this engagement report covering SRW engagement activities from August 2021 through until August 2022.</w:t>
      </w:r>
    </w:p>
    <w:p w14:paraId="645B700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Additionally, this report includes an informal evaluation of SRW’s engagement from the perspectives of its CRG members, the SRW PS2023 team and the BC Team.  Overall, SRW has demonstrated a strong commitment to genuine engagement with its customers, stakeholders and wider community and has listened to their feedback in developing its PS2023.  This is despite the COVID-19 constraints and uncertainties, and wider challenges engaging with customers and the community attributed to general engagement fatigue,</w:t>
      </w:r>
      <w:r w:rsidRPr="0022607C">
        <w:rPr>
          <w:rFonts w:asciiTheme="majorHAnsi" w:eastAsia="Times New Roman" w:hAnsiTheme="majorHAnsi" w:cstheme="majorHAnsi"/>
          <w:sz w:val="21"/>
          <w:szCs w:val="24"/>
          <w:vertAlign w:val="superscript"/>
          <w:lang w:eastAsia="en-AU"/>
        </w:rPr>
        <w:footnoteReference w:id="5"/>
      </w:r>
      <w:r w:rsidRPr="0022607C">
        <w:rPr>
          <w:rFonts w:asciiTheme="majorHAnsi" w:eastAsia="Times New Roman" w:hAnsiTheme="majorHAnsi" w:cstheme="majorHAnsi"/>
          <w:sz w:val="21"/>
          <w:szCs w:val="24"/>
          <w:lang w:eastAsia="en-AU"/>
        </w:rPr>
        <w:t xml:space="preserve"> as well as limited interest in the cost of water relative to other financial pressures affecting customers.  Compared with SRW’s PS2018 engagement, we consider that SRW has significantly improved its engagement particularly in its communications and efforts to consult and involve customers in decision-making and setting priorities.</w:t>
      </w:r>
    </w:p>
    <w:p w14:paraId="22E53B32"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88" w:name="_Toc111730992"/>
      <w:r w:rsidRPr="0022607C">
        <w:rPr>
          <w:rFonts w:asciiTheme="majorHAnsi" w:eastAsia="Times New Roman" w:hAnsiTheme="majorHAnsi" w:cstheme="majorHAnsi"/>
          <w:b/>
          <w:bCs/>
          <w:snapToGrid w:val="0"/>
          <w:color w:val="0070C0"/>
          <w:kern w:val="32"/>
          <w:sz w:val="28"/>
          <w:szCs w:val="32"/>
          <w:lang w:eastAsia="en-AU"/>
        </w:rPr>
        <w:t>Background</w:t>
      </w:r>
      <w:bookmarkEnd w:id="88"/>
    </w:p>
    <w:p w14:paraId="4F1CBCAA"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89" w:name="_Toc111730993"/>
      <w:r w:rsidRPr="0022607C">
        <w:rPr>
          <w:rFonts w:asciiTheme="majorHAnsi" w:eastAsia="Times New Roman" w:hAnsiTheme="majorHAnsi" w:cstheme="majorHAnsi"/>
          <w:b/>
          <w:iCs/>
          <w:color w:val="0070C0"/>
          <w:kern w:val="32"/>
          <w:sz w:val="24"/>
          <w:szCs w:val="28"/>
          <w:lang w:eastAsia="en-AU"/>
        </w:rPr>
        <w:t>Context</w:t>
      </w:r>
      <w:bookmarkEnd w:id="89"/>
    </w:p>
    <w:p w14:paraId="1C7E94E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Southern Rural Water (SRW) operates under the Victorian Government’s Department of Environment, Land, Water and Planning (DELWP).  SRW is governed by a Board of Directors appointed by the Minister for Water.</w:t>
      </w:r>
    </w:p>
    <w:p w14:paraId="3F2274B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SRW services 88,000 square kilometres, or 37% of Victoria from the South Australian border to the New South Wales border, and from the Great Dividing Range to the Victorian coast. </w:t>
      </w:r>
    </w:p>
    <w:p w14:paraId="27E5AAA4" w14:textId="7926F8B8"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xml:space="preserve"> SRW’s region</w:t>
      </w:r>
      <w:r w:rsidRPr="0022607C">
        <w:rPr>
          <w:rFonts w:asciiTheme="majorHAnsi" w:eastAsia="Times New Roman" w:hAnsiTheme="majorHAnsi" w:cstheme="majorHAnsi"/>
          <w:b/>
          <w:bCs/>
          <w:color w:val="0070C0"/>
          <w:sz w:val="21"/>
          <w:szCs w:val="20"/>
          <w:vertAlign w:val="superscript"/>
          <w:lang w:eastAsia="en-AU"/>
        </w:rPr>
        <w:footnoteReference w:id="6"/>
      </w:r>
    </w:p>
    <w:p w14:paraId="30D01498" w14:textId="77777777" w:rsidR="0022607C" w:rsidRPr="0022607C" w:rsidRDefault="0022607C" w:rsidP="0022607C">
      <w:pPr>
        <w:spacing w:after="0" w:line="240" w:lineRule="auto"/>
        <w:rPr>
          <w:rFonts w:asciiTheme="majorHAnsi" w:eastAsia="Times New Roman" w:hAnsiTheme="majorHAnsi" w:cstheme="majorHAnsi"/>
          <w:sz w:val="24"/>
          <w:szCs w:val="24"/>
          <w:lang w:eastAsia="en-GB"/>
        </w:rPr>
      </w:pPr>
      <w:r w:rsidRPr="0022607C">
        <w:rPr>
          <w:rFonts w:asciiTheme="majorHAnsi" w:eastAsia="Times New Roman" w:hAnsiTheme="majorHAnsi" w:cstheme="majorHAnsi"/>
          <w:noProof/>
          <w:sz w:val="24"/>
          <w:szCs w:val="24"/>
          <w:lang w:eastAsia="en-GB"/>
        </w:rPr>
        <w:drawing>
          <wp:inline distT="0" distB="0" distL="0" distR="0" wp14:anchorId="6529D9EA" wp14:editId="1199CA31">
            <wp:extent cx="3542097" cy="2331616"/>
            <wp:effectExtent l="0" t="0" r="1270" b="57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561834" cy="2344608"/>
                    </a:xfrm>
                    <a:prstGeom prst="rect">
                      <a:avLst/>
                    </a:prstGeom>
                  </pic:spPr>
                </pic:pic>
              </a:graphicData>
            </a:graphic>
          </wp:inline>
        </w:drawing>
      </w:r>
    </w:p>
    <w:p w14:paraId="39B2DBD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Within its region, SRW operates irrigation districts and manages ‘take and use’ licences from waterways, licences relating to catchment dams, farm dam registrations, seven major dams and eight diversion weirs.  SRW manages Victoria's largest groundwater operation and second largest non-metropolitan headworks business.</w:t>
      </w:r>
    </w:p>
    <w:p w14:paraId="1DA8B20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delivers and licences water primarily for use in food and fibre production, electricity generation and urban water consumption through urban water corporations which treat the water before supplying it to towns and cities.  SRW services around 12,000 customers and is committed to ensuring it provides great value services to them, as indicated in its Corporate Vision Statement:</w:t>
      </w:r>
      <w:r w:rsidRPr="0022607C">
        <w:rPr>
          <w:rFonts w:asciiTheme="majorHAnsi" w:eastAsia="Times New Roman" w:hAnsiTheme="majorHAnsi" w:cstheme="majorHAnsi"/>
          <w:sz w:val="21"/>
          <w:szCs w:val="24"/>
          <w:vertAlign w:val="superscript"/>
          <w:lang w:eastAsia="en-AU"/>
        </w:rPr>
        <w:footnoteReference w:id="7"/>
      </w:r>
    </w:p>
    <w:p w14:paraId="6BC29819" w14:textId="77777777" w:rsidR="0022607C" w:rsidRPr="0022607C" w:rsidRDefault="0022607C" w:rsidP="0022607C">
      <w:pPr>
        <w:spacing w:before="120" w:after="120" w:line="240" w:lineRule="auto"/>
        <w:ind w:left="426"/>
        <w:jc w:val="both"/>
        <w:rPr>
          <w:rFonts w:asciiTheme="majorHAnsi" w:eastAsia="Times New Roman" w:hAnsiTheme="majorHAnsi" w:cstheme="majorHAnsi"/>
          <w:i/>
          <w:iCs/>
          <w:color w:val="0070C0"/>
          <w:sz w:val="21"/>
          <w:szCs w:val="24"/>
          <w:lang w:eastAsia="en-AU"/>
        </w:rPr>
      </w:pPr>
      <w:r w:rsidRPr="0022607C">
        <w:rPr>
          <w:rFonts w:asciiTheme="majorHAnsi" w:eastAsia="Times New Roman" w:hAnsiTheme="majorHAnsi" w:cstheme="majorHAnsi"/>
          <w:i/>
          <w:iCs/>
          <w:color w:val="0070C0"/>
          <w:sz w:val="21"/>
          <w:szCs w:val="24"/>
          <w:lang w:eastAsia="en-AU"/>
        </w:rPr>
        <w:t>“Great value for customers and community through excellence in rural water management.”</w:t>
      </w:r>
    </w:p>
    <w:p w14:paraId="2351E3F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deliver this vision SRW aspires to provide:</w:t>
      </w:r>
      <w:r w:rsidRPr="0022607C">
        <w:rPr>
          <w:rFonts w:asciiTheme="majorHAnsi" w:eastAsia="Times New Roman" w:hAnsiTheme="majorHAnsi" w:cstheme="majorHAnsi"/>
          <w:sz w:val="21"/>
          <w:szCs w:val="24"/>
          <w:vertAlign w:val="superscript"/>
          <w:lang w:eastAsia="en-AU"/>
        </w:rPr>
        <w:footnoteReference w:id="8"/>
      </w:r>
    </w:p>
    <w:p w14:paraId="17A2DEA3" w14:textId="77777777" w:rsidR="0022607C" w:rsidRPr="0022607C" w:rsidRDefault="0022607C" w:rsidP="0022607C">
      <w:pPr>
        <w:spacing w:before="120" w:after="120" w:line="240" w:lineRule="auto"/>
        <w:ind w:left="426"/>
        <w:jc w:val="both"/>
        <w:rPr>
          <w:rFonts w:asciiTheme="majorHAnsi" w:eastAsia="Times New Roman" w:hAnsiTheme="majorHAnsi" w:cstheme="majorHAnsi"/>
          <w:i/>
          <w:iCs/>
          <w:color w:val="0070C0"/>
          <w:sz w:val="21"/>
          <w:szCs w:val="24"/>
          <w:lang w:eastAsia="en-AU"/>
        </w:rPr>
      </w:pPr>
      <w:r w:rsidRPr="0022607C">
        <w:rPr>
          <w:rFonts w:asciiTheme="majorHAnsi" w:eastAsia="Times New Roman" w:hAnsiTheme="majorHAnsi" w:cstheme="majorHAnsi"/>
          <w:i/>
          <w:iCs/>
          <w:color w:val="0070C0"/>
          <w:sz w:val="21"/>
          <w:szCs w:val="24"/>
          <w:lang w:eastAsia="en-AU"/>
        </w:rPr>
        <w:t>“Customer value through outstanding services; community value to help [its] region thrive, and excellence in everything [it does] by empowering its people to deliver results.”</w:t>
      </w:r>
    </w:p>
    <w:p w14:paraId="5E43C24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SRW’s </w:t>
      </w:r>
      <w:r w:rsidRPr="0022607C">
        <w:rPr>
          <w:rFonts w:asciiTheme="majorHAnsi" w:eastAsia="Times New Roman" w:hAnsiTheme="majorHAnsi" w:cstheme="majorHAnsi"/>
          <w:i/>
          <w:iCs/>
          <w:sz w:val="21"/>
          <w:szCs w:val="24"/>
          <w:lang w:eastAsia="en-AU"/>
        </w:rPr>
        <w:t>Corporate Strategy</w:t>
      </w:r>
      <w:r w:rsidRPr="0022607C">
        <w:rPr>
          <w:rFonts w:asciiTheme="majorHAnsi" w:eastAsia="Times New Roman" w:hAnsiTheme="majorHAnsi" w:cstheme="majorHAnsi"/>
          <w:sz w:val="21"/>
          <w:szCs w:val="24"/>
          <w:lang w:eastAsia="en-AU"/>
        </w:rPr>
        <w:t xml:space="preserve"> further details these aspirations, and envisages it has succeeded in achieving its aspirations at a high level by:</w:t>
      </w:r>
    </w:p>
    <w:p w14:paraId="6880AD9A" w14:textId="77777777" w:rsidR="0022607C" w:rsidRPr="0022607C" w:rsidRDefault="0022607C" w:rsidP="00F459A2">
      <w:pPr>
        <w:numPr>
          <w:ilvl w:val="0"/>
          <w:numId w:val="4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Providing outstanding service (Customer value)</w:t>
      </w:r>
    </w:p>
    <w:p w14:paraId="2B90D34D" w14:textId="77777777" w:rsidR="0022607C" w:rsidRPr="0022607C" w:rsidRDefault="0022607C" w:rsidP="00F459A2">
      <w:pPr>
        <w:numPr>
          <w:ilvl w:val="0"/>
          <w:numId w:val="4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Contributing to thriving regional communities (Community value)</w:t>
      </w:r>
    </w:p>
    <w:p w14:paraId="6E06E917" w14:textId="77777777" w:rsidR="0022607C" w:rsidRPr="0022607C" w:rsidRDefault="0022607C" w:rsidP="00F459A2">
      <w:pPr>
        <w:numPr>
          <w:ilvl w:val="0"/>
          <w:numId w:val="4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Empowering its people to deliver results (Excellence)</w:t>
      </w:r>
    </w:p>
    <w:p w14:paraId="1A29196F" w14:textId="77777777" w:rsidR="0022607C" w:rsidRPr="0022607C" w:rsidRDefault="0022607C" w:rsidP="0022607C">
      <w:pPr>
        <w:spacing w:after="0" w:line="240" w:lineRule="auto"/>
        <w:rPr>
          <w:rFonts w:asciiTheme="majorHAnsi" w:eastAsia="Times New Roman" w:hAnsiTheme="majorHAnsi" w:cstheme="majorHAnsi"/>
          <w:b/>
          <w:iCs/>
          <w:color w:val="0070C0"/>
          <w:kern w:val="32"/>
          <w:sz w:val="24"/>
          <w:szCs w:val="28"/>
          <w:lang w:eastAsia="en-AU"/>
        </w:rPr>
      </w:pPr>
      <w:r w:rsidRPr="0022607C">
        <w:rPr>
          <w:rFonts w:asciiTheme="majorHAnsi" w:eastAsia="Times New Roman" w:hAnsiTheme="majorHAnsi" w:cstheme="majorHAnsi"/>
          <w:color w:val="808080"/>
          <w:sz w:val="20"/>
          <w:szCs w:val="20"/>
          <w:lang w:eastAsia="en-GB"/>
        </w:rPr>
        <w:br w:type="page"/>
      </w:r>
    </w:p>
    <w:p w14:paraId="35C1776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0" w:name="_Toc111730994"/>
      <w:r w:rsidRPr="0022607C">
        <w:rPr>
          <w:rFonts w:asciiTheme="majorHAnsi" w:eastAsia="Times New Roman" w:hAnsiTheme="majorHAnsi" w:cstheme="majorHAnsi"/>
          <w:b/>
          <w:iCs/>
          <w:color w:val="0070C0"/>
          <w:kern w:val="32"/>
          <w:sz w:val="24"/>
          <w:szCs w:val="28"/>
          <w:lang w:eastAsia="en-AU"/>
        </w:rPr>
        <w:t>SRW’s key stakeholders</w:t>
      </w:r>
      <w:bookmarkEnd w:id="90"/>
    </w:p>
    <w:p w14:paraId="5A0DF66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broadly defines its key stakeholders as:</w:t>
      </w:r>
    </w:p>
    <w:p w14:paraId="64B33E76" w14:textId="77777777" w:rsidR="0022607C" w:rsidRPr="0022607C" w:rsidRDefault="0022607C" w:rsidP="00F459A2">
      <w:pPr>
        <w:numPr>
          <w:ilvl w:val="0"/>
          <w:numId w:val="72"/>
        </w:numPr>
        <w:snapToGrid w:val="0"/>
        <w:spacing w:before="120" w:after="120" w:line="240" w:lineRule="auto"/>
        <w:jc w:val="both"/>
        <w:rPr>
          <w:rFonts w:asciiTheme="majorHAnsi" w:eastAsia="Times New Roman" w:hAnsiTheme="majorHAnsi" w:cstheme="majorHAnsi"/>
          <w:lang w:eastAsia="en-AU"/>
        </w:rPr>
      </w:pPr>
      <w:r w:rsidRPr="0022607C">
        <w:rPr>
          <w:rFonts w:asciiTheme="majorHAnsi" w:eastAsia="Times New Roman" w:hAnsiTheme="majorHAnsi" w:cstheme="majorHAnsi"/>
          <w:b/>
          <w:bCs/>
          <w:color w:val="0070C0"/>
          <w:lang w:eastAsia="en-AU"/>
        </w:rPr>
        <w:t>Partners and stakeholders</w:t>
      </w:r>
      <w:r w:rsidRPr="0022607C">
        <w:rPr>
          <w:rFonts w:asciiTheme="majorHAnsi" w:eastAsia="Times New Roman" w:hAnsiTheme="majorHAnsi" w:cstheme="majorHAnsi"/>
          <w:lang w:eastAsia="en-AU"/>
        </w:rPr>
        <w:t>, which include agricultural organisations, catchment management authorities, local government, state government departments and agencies, water corporations,</w:t>
      </w:r>
      <w:r w:rsidRPr="0022607C">
        <w:rPr>
          <w:rFonts w:asciiTheme="majorHAnsi" w:eastAsia="Times New Roman" w:hAnsiTheme="majorHAnsi" w:cstheme="majorHAnsi"/>
          <w:vertAlign w:val="superscript"/>
          <w:lang w:eastAsia="en-AU"/>
        </w:rPr>
        <w:footnoteReference w:id="9"/>
      </w:r>
      <w:r w:rsidRPr="0022607C">
        <w:rPr>
          <w:rFonts w:asciiTheme="majorHAnsi" w:eastAsia="Times New Roman" w:hAnsiTheme="majorHAnsi" w:cstheme="majorHAnsi"/>
          <w:lang w:eastAsia="en-AU"/>
        </w:rPr>
        <w:t xml:space="preserve"> the Victorian Environmental Water Holder and Traditional Owners.</w:t>
      </w:r>
    </w:p>
    <w:p w14:paraId="4B701BAB" w14:textId="77777777" w:rsidR="0022607C" w:rsidRPr="0022607C" w:rsidRDefault="0022607C" w:rsidP="00F459A2">
      <w:pPr>
        <w:numPr>
          <w:ilvl w:val="0"/>
          <w:numId w:val="72"/>
        </w:numPr>
        <w:snapToGrid w:val="0"/>
        <w:spacing w:before="120" w:after="120" w:line="240" w:lineRule="auto"/>
        <w:jc w:val="both"/>
        <w:rPr>
          <w:rFonts w:asciiTheme="majorHAnsi" w:eastAsia="Times New Roman" w:hAnsiTheme="majorHAnsi" w:cstheme="majorHAnsi"/>
          <w:lang w:eastAsia="en-AU"/>
        </w:rPr>
      </w:pPr>
      <w:r w:rsidRPr="0022607C">
        <w:rPr>
          <w:rFonts w:asciiTheme="majorHAnsi" w:eastAsia="Times New Roman" w:hAnsiTheme="majorHAnsi" w:cstheme="majorHAnsi"/>
          <w:b/>
          <w:bCs/>
          <w:color w:val="0070C0"/>
          <w:lang w:eastAsia="en-AU"/>
        </w:rPr>
        <w:t>Customers</w:t>
      </w:r>
      <w:r w:rsidRPr="0022607C">
        <w:rPr>
          <w:rFonts w:asciiTheme="majorHAnsi" w:eastAsia="Times New Roman" w:hAnsiTheme="majorHAnsi" w:cstheme="majorHAnsi"/>
          <w:lang w:eastAsia="en-AU"/>
        </w:rPr>
        <w:t>, which includes all members of SRW’s broad customer base (who receive a bill from SRW), and customer representatives including CCC, SGRF and CRG members.</w:t>
      </w:r>
    </w:p>
    <w:p w14:paraId="26E2510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SRW’s customer numbers by district and according to their licence type are summarised in the following table.</w:t>
      </w:r>
    </w:p>
    <w:p w14:paraId="534C4912" w14:textId="243FEB18"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SRW approximate customer numbers</w:t>
      </w:r>
      <w:r w:rsidRPr="0022607C">
        <w:rPr>
          <w:rFonts w:asciiTheme="majorHAnsi" w:eastAsia="Times New Roman" w:hAnsiTheme="majorHAnsi" w:cstheme="majorHAnsi"/>
          <w:b/>
          <w:bCs/>
          <w:color w:val="0070C0"/>
          <w:sz w:val="21"/>
          <w:szCs w:val="20"/>
          <w:vertAlign w:val="superscript"/>
          <w:lang w:eastAsia="en-AU"/>
        </w:rPr>
        <w:footnoteReference w:id="10"/>
      </w:r>
    </w:p>
    <w:tbl>
      <w:tblPr>
        <w:tblStyle w:val="GridTable1Light-Accent51"/>
        <w:tblW w:w="8359" w:type="dxa"/>
        <w:tblLook w:val="04A0" w:firstRow="1" w:lastRow="0" w:firstColumn="1" w:lastColumn="0" w:noHBand="0" w:noVBand="1"/>
      </w:tblPr>
      <w:tblGrid>
        <w:gridCol w:w="4673"/>
        <w:gridCol w:w="3686"/>
      </w:tblGrid>
      <w:tr w:rsidR="0022607C" w:rsidRPr="0022607C" w14:paraId="6007B562" w14:textId="77777777" w:rsidTr="00D159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3" w:type="dxa"/>
            <w:hideMark/>
          </w:tcPr>
          <w:p w14:paraId="309C2037" w14:textId="77777777" w:rsidR="0022607C" w:rsidRPr="0022607C" w:rsidRDefault="0022607C" w:rsidP="0022607C">
            <w:pPr>
              <w:spacing w:before="60" w:after="60"/>
              <w:jc w:val="both"/>
              <w:rPr>
                <w:rFonts w:asciiTheme="majorHAnsi" w:hAnsiTheme="majorHAnsi" w:cstheme="majorHAnsi"/>
                <w:color w:val="0070C0"/>
              </w:rPr>
            </w:pPr>
            <w:r w:rsidRPr="0022607C">
              <w:rPr>
                <w:rFonts w:asciiTheme="majorHAnsi" w:hAnsiTheme="majorHAnsi" w:cstheme="majorHAnsi"/>
                <w:color w:val="0070C0"/>
                <w:shd w:val="clear" w:color="auto" w:fill="FAF9F8"/>
              </w:rPr>
              <w:t>SRW Customer group</w:t>
            </w:r>
          </w:p>
        </w:tc>
        <w:tc>
          <w:tcPr>
            <w:tcW w:w="3686" w:type="dxa"/>
            <w:hideMark/>
          </w:tcPr>
          <w:p w14:paraId="708CAE4D" w14:textId="77777777" w:rsidR="0022607C" w:rsidRPr="0022607C" w:rsidRDefault="0022607C" w:rsidP="0022607C">
            <w:pPr>
              <w:spacing w:before="60" w:after="60"/>
              <w:ind w:right="744"/>
              <w:jc w:val="right"/>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rPr>
            </w:pPr>
            <w:r w:rsidRPr="0022607C">
              <w:rPr>
                <w:rFonts w:asciiTheme="majorHAnsi" w:hAnsiTheme="majorHAnsi" w:cstheme="majorHAnsi"/>
                <w:color w:val="0070C0"/>
                <w:shd w:val="clear" w:color="auto" w:fill="FAF9F8"/>
              </w:rPr>
              <w:t>Number of customers</w:t>
            </w:r>
          </w:p>
        </w:tc>
      </w:tr>
      <w:tr w:rsidR="0022607C" w:rsidRPr="0022607C" w14:paraId="58E7712C" w14:textId="77777777" w:rsidTr="00D15952">
        <w:tc>
          <w:tcPr>
            <w:cnfStyle w:val="001000000000" w:firstRow="0" w:lastRow="0" w:firstColumn="1" w:lastColumn="0" w:oddVBand="0" w:evenVBand="0" w:oddHBand="0" w:evenHBand="0" w:firstRowFirstColumn="0" w:firstRowLastColumn="0" w:lastRowFirstColumn="0" w:lastRowLastColumn="0"/>
            <w:tcW w:w="4673" w:type="dxa"/>
            <w:hideMark/>
          </w:tcPr>
          <w:p w14:paraId="22C662B8"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Macalister Irrigation Area</w:t>
            </w:r>
          </w:p>
        </w:tc>
        <w:tc>
          <w:tcPr>
            <w:tcW w:w="3686" w:type="dxa"/>
            <w:hideMark/>
          </w:tcPr>
          <w:p w14:paraId="2FC5F8D3"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1,140</w:t>
            </w:r>
          </w:p>
        </w:tc>
      </w:tr>
      <w:tr w:rsidR="0022607C" w:rsidRPr="0022607C" w14:paraId="18D4894F"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41ED7981"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 xml:space="preserve">Werribee Irrigation District </w:t>
            </w:r>
          </w:p>
        </w:tc>
        <w:tc>
          <w:tcPr>
            <w:tcW w:w="3686" w:type="dxa"/>
          </w:tcPr>
          <w:p w14:paraId="4E5B1F81"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244</w:t>
            </w:r>
          </w:p>
        </w:tc>
      </w:tr>
      <w:tr w:rsidR="0022607C" w:rsidRPr="0022607C" w14:paraId="016AC3FE"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2CA44F54"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Bacchus Marsh Irrigation District</w:t>
            </w:r>
          </w:p>
        </w:tc>
        <w:tc>
          <w:tcPr>
            <w:tcW w:w="3686" w:type="dxa"/>
          </w:tcPr>
          <w:p w14:paraId="368402C3"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130</w:t>
            </w:r>
          </w:p>
        </w:tc>
      </w:tr>
      <w:tr w:rsidR="0022607C" w:rsidRPr="0022607C" w14:paraId="2A00DF18"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77ED8FE2"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Groundwater licence holders</w:t>
            </w:r>
          </w:p>
        </w:tc>
        <w:tc>
          <w:tcPr>
            <w:tcW w:w="3686" w:type="dxa"/>
          </w:tcPr>
          <w:p w14:paraId="6FB5BC2C"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4,334</w:t>
            </w:r>
          </w:p>
        </w:tc>
      </w:tr>
      <w:tr w:rsidR="0022607C" w:rsidRPr="0022607C" w14:paraId="3C084CCA"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7E7B5FFA"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Surface water licence holders</w:t>
            </w:r>
          </w:p>
        </w:tc>
        <w:tc>
          <w:tcPr>
            <w:tcW w:w="3686" w:type="dxa"/>
          </w:tcPr>
          <w:p w14:paraId="5E1DE5DE"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4,290</w:t>
            </w:r>
          </w:p>
        </w:tc>
      </w:tr>
      <w:tr w:rsidR="0022607C" w:rsidRPr="0022607C" w14:paraId="69BC29BD"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2576C4BD"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Bulk entitlement holders</w:t>
            </w:r>
          </w:p>
        </w:tc>
        <w:tc>
          <w:tcPr>
            <w:tcW w:w="3686" w:type="dxa"/>
          </w:tcPr>
          <w:p w14:paraId="58665AF4"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9</w:t>
            </w:r>
          </w:p>
        </w:tc>
      </w:tr>
      <w:tr w:rsidR="0022607C" w:rsidRPr="0022607C" w14:paraId="623E560A" w14:textId="77777777" w:rsidTr="00D15952">
        <w:tc>
          <w:tcPr>
            <w:cnfStyle w:val="001000000000" w:firstRow="0" w:lastRow="0" w:firstColumn="1" w:lastColumn="0" w:oddVBand="0" w:evenVBand="0" w:oddHBand="0" w:evenHBand="0" w:firstRowFirstColumn="0" w:firstRowLastColumn="0" w:lastRowFirstColumn="0" w:lastRowLastColumn="0"/>
            <w:tcW w:w="4673" w:type="dxa"/>
          </w:tcPr>
          <w:p w14:paraId="729A3576" w14:textId="77777777" w:rsidR="0022607C" w:rsidRPr="0022607C" w:rsidRDefault="0022607C" w:rsidP="0022607C">
            <w:pPr>
              <w:spacing w:before="60" w:after="60"/>
              <w:jc w:val="both"/>
              <w:rPr>
                <w:rFonts w:asciiTheme="majorHAnsi" w:hAnsiTheme="majorHAnsi" w:cstheme="majorHAnsi"/>
                <w:color w:val="0070C0"/>
              </w:rPr>
            </w:pPr>
            <w:r w:rsidRPr="0022607C">
              <w:rPr>
                <w:rFonts w:asciiTheme="majorHAnsi" w:hAnsiTheme="majorHAnsi" w:cstheme="majorHAnsi"/>
                <w:color w:val="0070C0"/>
              </w:rPr>
              <w:t>TOTAL customers</w:t>
            </w:r>
          </w:p>
        </w:tc>
        <w:tc>
          <w:tcPr>
            <w:tcW w:w="3686" w:type="dxa"/>
          </w:tcPr>
          <w:p w14:paraId="2101EF19" w14:textId="77777777" w:rsidR="0022607C" w:rsidRPr="0022607C" w:rsidRDefault="0022607C" w:rsidP="0022607C">
            <w:pPr>
              <w:spacing w:before="60" w:after="60"/>
              <w:ind w:right="744"/>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70C0"/>
              </w:rPr>
            </w:pPr>
            <w:r w:rsidRPr="0022607C">
              <w:rPr>
                <w:rFonts w:asciiTheme="majorHAnsi" w:hAnsiTheme="majorHAnsi" w:cstheme="majorHAnsi"/>
                <w:b/>
                <w:bCs/>
                <w:color w:val="0070C0"/>
              </w:rPr>
              <w:t>10,147</w:t>
            </w:r>
          </w:p>
        </w:tc>
      </w:tr>
    </w:tbl>
    <w:p w14:paraId="0C77B42C"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1" w:name="_Toc111730995"/>
      <w:r w:rsidRPr="0022607C">
        <w:rPr>
          <w:rFonts w:asciiTheme="majorHAnsi" w:eastAsia="Times New Roman" w:hAnsiTheme="majorHAnsi" w:cstheme="majorHAnsi"/>
          <w:b/>
          <w:iCs/>
          <w:color w:val="0070C0"/>
          <w:kern w:val="32"/>
          <w:sz w:val="24"/>
          <w:szCs w:val="28"/>
          <w:lang w:eastAsia="en-AU"/>
        </w:rPr>
        <w:t>Price Submission 2023</w:t>
      </w:r>
      <w:bookmarkEnd w:id="91"/>
    </w:p>
    <w:p w14:paraId="6747BD1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SRW’s next pricing period is for 2023-2028. SRW is required to lodge its Price Submission (PS2023) with the Essential Services Commission (ESC) in September 2022. In May 2016 the ESC published a new Framework (the </w:t>
      </w:r>
      <w:r w:rsidRPr="0022607C">
        <w:rPr>
          <w:rFonts w:asciiTheme="majorHAnsi" w:eastAsia="Times New Roman" w:hAnsiTheme="majorHAnsi" w:cstheme="majorHAnsi"/>
          <w:i/>
          <w:iCs/>
          <w:sz w:val="21"/>
          <w:szCs w:val="24"/>
          <w:lang w:eastAsia="en-AU"/>
        </w:rPr>
        <w:t>PREMO Framework</w:t>
      </w:r>
      <w:r w:rsidRPr="0022607C">
        <w:rPr>
          <w:rFonts w:asciiTheme="majorHAnsi" w:eastAsia="Times New Roman" w:hAnsiTheme="majorHAnsi" w:cstheme="majorHAnsi"/>
          <w:sz w:val="21"/>
          <w:szCs w:val="24"/>
          <w:lang w:eastAsia="en-AU"/>
        </w:rPr>
        <w:t>) which places strong emphasis on customer engagement to inform water corporations’ Price Submissions.</w:t>
      </w:r>
      <w:r w:rsidRPr="0022607C">
        <w:rPr>
          <w:rFonts w:asciiTheme="majorHAnsi" w:eastAsia="Times New Roman" w:hAnsiTheme="majorHAnsi" w:cstheme="majorHAnsi"/>
          <w:sz w:val="21"/>
          <w:szCs w:val="24"/>
          <w:vertAlign w:val="superscript"/>
          <w:lang w:eastAsia="en-AU"/>
        </w:rPr>
        <w:footnoteReference w:id="11"/>
      </w:r>
      <w:r w:rsidRPr="0022607C">
        <w:rPr>
          <w:rFonts w:asciiTheme="majorHAnsi" w:eastAsia="Times New Roman" w:hAnsiTheme="majorHAnsi" w:cstheme="majorHAnsi"/>
          <w:sz w:val="21"/>
          <w:szCs w:val="24"/>
          <w:lang w:eastAsia="en-AU"/>
        </w:rPr>
        <w:t xml:space="preserve">  SRW applied the PREMO Framework to its 2018 to 2023 Price Submission (PS2018) and subsequently the ESC agreed with SRW’s overall self-rating of its application of the PREMO Framework as “Advanced”, and its engagement as “Leading”.</w:t>
      </w:r>
      <w:r w:rsidRPr="0022607C">
        <w:rPr>
          <w:rFonts w:asciiTheme="majorHAnsi" w:eastAsia="Times New Roman" w:hAnsiTheme="majorHAnsi" w:cstheme="majorHAnsi"/>
          <w:sz w:val="21"/>
          <w:szCs w:val="24"/>
          <w:vertAlign w:val="superscript"/>
          <w:lang w:eastAsia="en-AU"/>
        </w:rPr>
        <w:footnoteReference w:id="12"/>
      </w:r>
      <w:r w:rsidRPr="0022607C">
        <w:rPr>
          <w:rFonts w:asciiTheme="majorHAnsi" w:eastAsia="Times New Roman" w:hAnsiTheme="majorHAnsi" w:cstheme="majorHAnsi"/>
          <w:sz w:val="21"/>
          <w:szCs w:val="24"/>
          <w:lang w:eastAsia="en-AU"/>
        </w:rPr>
        <w:t xml:space="preserve">  The ESC noted:</w:t>
      </w:r>
    </w:p>
    <w:p w14:paraId="462E3C00" w14:textId="77777777" w:rsidR="0022607C" w:rsidRPr="0022607C" w:rsidRDefault="0022607C" w:rsidP="0022607C">
      <w:pPr>
        <w:spacing w:before="120" w:after="120" w:line="240" w:lineRule="auto"/>
        <w:ind w:left="720" w:right="544"/>
        <w:jc w:val="both"/>
        <w:rPr>
          <w:rFonts w:asciiTheme="majorHAnsi" w:eastAsia="Times New Roman" w:hAnsiTheme="majorHAnsi" w:cstheme="majorHAnsi"/>
          <w:i/>
          <w:iCs/>
          <w:sz w:val="21"/>
          <w:szCs w:val="24"/>
          <w:lang w:eastAsia="en-AU"/>
        </w:rPr>
      </w:pPr>
      <w:r w:rsidRPr="0022607C">
        <w:rPr>
          <w:rFonts w:asciiTheme="majorHAnsi" w:eastAsia="Times New Roman" w:hAnsiTheme="majorHAnsi" w:cstheme="majorHAnsi"/>
          <w:i/>
          <w:iCs/>
          <w:sz w:val="21"/>
          <w:szCs w:val="24"/>
          <w:lang w:eastAsia="en-AU"/>
        </w:rPr>
        <w:t>“Informed by its engagement program, Southern Rural Water is proposing improvements in service outcomes. This includes in areas such as the consistency of irrigation flow rates, additional water availability, providing for real-time water usage information, and expanding online information and payment options for customers. This, along with generally flat or falling prices demonstrate Southern Rural Water’s commitment to delivering better value to customers, consistent with an ‘Advanced’ PREMO rating for Outcomes.”</w:t>
      </w:r>
      <w:r w:rsidRPr="0022607C">
        <w:rPr>
          <w:rFonts w:asciiTheme="majorHAnsi" w:eastAsia="Times New Roman" w:hAnsiTheme="majorHAnsi" w:cstheme="majorHAnsi"/>
          <w:i/>
          <w:iCs/>
          <w:sz w:val="21"/>
          <w:szCs w:val="24"/>
          <w:vertAlign w:val="superscript"/>
          <w:lang w:eastAsia="en-AU"/>
        </w:rPr>
        <w:footnoteReference w:id="13"/>
      </w:r>
    </w:p>
    <w:p w14:paraId="76C0B69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SRW is aiming to engage more broadly than it achieved in for its PS2018.  Hence SRW committed to early and open engagement with its customers, partners and stakeholders, and the community to inform its PS2023. To this end, SRW developed a draft </w:t>
      </w:r>
      <w:r w:rsidRPr="0022607C">
        <w:rPr>
          <w:rFonts w:asciiTheme="majorHAnsi" w:eastAsia="Times New Roman" w:hAnsiTheme="majorHAnsi" w:cstheme="majorHAnsi"/>
          <w:i/>
          <w:iCs/>
          <w:sz w:val="21"/>
          <w:szCs w:val="24"/>
          <w:lang w:eastAsia="en-AU"/>
        </w:rPr>
        <w:t>Price Submission Engagement Framework</w:t>
      </w:r>
      <w:r w:rsidRPr="0022607C">
        <w:rPr>
          <w:rFonts w:asciiTheme="majorHAnsi" w:eastAsia="Times New Roman" w:hAnsiTheme="majorHAnsi" w:cstheme="majorHAnsi"/>
          <w:i/>
          <w:iCs/>
          <w:sz w:val="21"/>
          <w:szCs w:val="24"/>
          <w:vertAlign w:val="superscript"/>
          <w:lang w:eastAsia="en-AU"/>
        </w:rPr>
        <w:footnoteReference w:id="14"/>
      </w:r>
      <w:r w:rsidRPr="0022607C">
        <w:rPr>
          <w:rFonts w:asciiTheme="majorHAnsi" w:eastAsia="Times New Roman" w:hAnsiTheme="majorHAnsi" w:cstheme="majorHAnsi"/>
          <w:sz w:val="21"/>
          <w:szCs w:val="24"/>
          <w:lang w:eastAsia="en-AU"/>
        </w:rPr>
        <w:t>, involving four phases as a starting point for its engagement activities.</w:t>
      </w:r>
    </w:p>
    <w:p w14:paraId="5A2ADDC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In August 2021, SRW appointed Bartley Consulting in association with Stanford Marketing and Gillian </w:t>
      </w:r>
      <w:r w:rsidRPr="0022607C">
        <w:rPr>
          <w:rFonts w:asciiTheme="majorHAnsi" w:eastAsia="Times New Roman" w:hAnsiTheme="majorHAnsi" w:cstheme="majorHAnsi"/>
          <w:color w:val="000000"/>
          <w:sz w:val="21"/>
          <w:szCs w:val="24"/>
          <w:lang w:eastAsia="en-AU"/>
        </w:rPr>
        <w:t xml:space="preserve">Hayman Facilitation and Project Services (BC Team) to provide expert engagement, facilitation and communications services in relation to </w:t>
      </w:r>
      <w:r w:rsidRPr="0022607C">
        <w:rPr>
          <w:rFonts w:asciiTheme="majorHAnsi" w:eastAsia="Times New Roman" w:hAnsiTheme="majorHAnsi" w:cstheme="majorHAnsi"/>
          <w:sz w:val="21"/>
          <w:szCs w:val="24"/>
          <w:lang w:eastAsia="en-AU"/>
        </w:rPr>
        <w:t>SRW’s Price Submission.  The BC Team has worked with SRW over the last 12 months to plan and deliver SRW’s engagement activities and is now pleased to provide SRW with a report detailing the program of work over that period and the outcomes of SRW’s engagement activities.</w:t>
      </w:r>
    </w:p>
    <w:p w14:paraId="398C255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set out to improve its engagement from its 2018 efforts by specifically involving customers in its decision-making and setting of priorities, consistent with Essential Services Commission expectations.</w:t>
      </w:r>
    </w:p>
    <w:p w14:paraId="50815DF6"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2" w:name="_Toc111730996"/>
      <w:r w:rsidRPr="0022607C">
        <w:rPr>
          <w:rFonts w:asciiTheme="majorHAnsi" w:eastAsia="Times New Roman" w:hAnsiTheme="majorHAnsi" w:cstheme="majorHAnsi"/>
          <w:b/>
          <w:iCs/>
          <w:color w:val="0070C0"/>
          <w:kern w:val="32"/>
          <w:sz w:val="24"/>
          <w:szCs w:val="28"/>
          <w:lang w:eastAsia="en-AU"/>
        </w:rPr>
        <w:t>Overarching purpose</w:t>
      </w:r>
      <w:bookmarkEnd w:id="92"/>
    </w:p>
    <w:p w14:paraId="0DFE7AAA"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Specifically, the Bartley Consulting team worked with SRW to gather evidence of customers’, stakeholders’ and partners’ service and pricing needs, expectations, and preferences, having regard to the ESC’s PREMO Framework.</w:t>
      </w:r>
    </w:p>
    <w:p w14:paraId="76B48C7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In particular, SRW wanted to be appropriately resourced to </w:t>
      </w:r>
      <w:r w:rsidRPr="0022607C">
        <w:rPr>
          <w:rFonts w:asciiTheme="majorHAnsi" w:eastAsia="Times New Roman" w:hAnsiTheme="majorHAnsi" w:cstheme="majorHAnsi"/>
          <w:b/>
          <w:bCs/>
          <w:color w:val="0070C0"/>
          <w:sz w:val="21"/>
          <w:szCs w:val="24"/>
          <w:lang w:eastAsia="en-AU"/>
        </w:rPr>
        <w:t xml:space="preserve">improve the quality </w:t>
      </w:r>
      <w:r w:rsidRPr="0022607C">
        <w:rPr>
          <w:rFonts w:asciiTheme="majorHAnsi" w:eastAsia="Times New Roman" w:hAnsiTheme="majorHAnsi" w:cstheme="majorHAnsi"/>
          <w:sz w:val="21"/>
          <w:szCs w:val="24"/>
          <w:lang w:eastAsia="en-AU"/>
        </w:rPr>
        <w:t xml:space="preserve">of its Price Submission, by involving customers in its </w:t>
      </w:r>
      <w:r w:rsidRPr="0022607C">
        <w:rPr>
          <w:rFonts w:asciiTheme="majorHAnsi" w:eastAsia="Times New Roman" w:hAnsiTheme="majorHAnsi" w:cstheme="majorHAnsi"/>
          <w:b/>
          <w:bCs/>
          <w:color w:val="0070C0"/>
          <w:sz w:val="21"/>
          <w:szCs w:val="24"/>
          <w:lang w:eastAsia="en-AU"/>
        </w:rPr>
        <w:t>decision-making</w:t>
      </w:r>
      <w:r w:rsidRPr="0022607C">
        <w:rPr>
          <w:rFonts w:asciiTheme="majorHAnsi" w:eastAsia="Times New Roman" w:hAnsiTheme="majorHAnsi" w:cstheme="majorHAnsi"/>
          <w:color w:val="0070C0"/>
          <w:sz w:val="21"/>
          <w:szCs w:val="24"/>
          <w:lang w:eastAsia="en-AU"/>
        </w:rPr>
        <w:t xml:space="preserve"> </w:t>
      </w:r>
      <w:r w:rsidRPr="0022607C">
        <w:rPr>
          <w:rFonts w:asciiTheme="majorHAnsi" w:eastAsia="Times New Roman" w:hAnsiTheme="majorHAnsi" w:cstheme="majorHAnsi"/>
          <w:sz w:val="21"/>
          <w:szCs w:val="24"/>
          <w:lang w:eastAsia="en-AU"/>
        </w:rPr>
        <w:t>and setting of priorities, consistent with the ESC expectations (</w:t>
      </w:r>
      <w:r w:rsidRPr="0022607C">
        <w:rPr>
          <w:rFonts w:asciiTheme="majorHAnsi" w:eastAsia="Times New Roman" w:hAnsiTheme="majorHAnsi" w:cstheme="majorHAnsi"/>
          <w:b/>
          <w:bCs/>
          <w:color w:val="0070C0"/>
          <w:sz w:val="21"/>
          <w:szCs w:val="24"/>
          <w:lang w:eastAsia="en-AU"/>
        </w:rPr>
        <w:t>compliance</w:t>
      </w:r>
      <w:r w:rsidRPr="0022607C">
        <w:rPr>
          <w:rFonts w:asciiTheme="majorHAnsi" w:eastAsia="Times New Roman" w:hAnsiTheme="majorHAnsi" w:cstheme="majorHAnsi"/>
          <w:sz w:val="21"/>
          <w:szCs w:val="24"/>
          <w:lang w:eastAsia="en-AU"/>
        </w:rPr>
        <w:t>).</w:t>
      </w:r>
    </w:p>
    <w:p w14:paraId="077EBB95"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93" w:name="_Toc111730997"/>
      <w:r w:rsidRPr="0022607C">
        <w:rPr>
          <w:rFonts w:asciiTheme="majorHAnsi" w:eastAsia="Times New Roman" w:hAnsiTheme="majorHAnsi" w:cstheme="majorHAnsi"/>
          <w:b/>
          <w:bCs/>
          <w:snapToGrid w:val="0"/>
          <w:color w:val="0070C0"/>
          <w:kern w:val="32"/>
          <w:sz w:val="28"/>
          <w:szCs w:val="32"/>
          <w:lang w:eastAsia="en-AU"/>
        </w:rPr>
        <w:t>Engagement framework and plan</w:t>
      </w:r>
      <w:bookmarkEnd w:id="93"/>
    </w:p>
    <w:p w14:paraId="23EEF5B5"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4" w:name="_Toc111730998"/>
      <w:r w:rsidRPr="0022607C">
        <w:rPr>
          <w:rFonts w:asciiTheme="majorHAnsi" w:eastAsia="Times New Roman" w:hAnsiTheme="majorHAnsi" w:cstheme="majorHAnsi"/>
          <w:b/>
          <w:iCs/>
          <w:color w:val="0070C0"/>
          <w:kern w:val="32"/>
          <w:sz w:val="24"/>
          <w:szCs w:val="28"/>
          <w:lang w:eastAsia="en-AU"/>
        </w:rPr>
        <w:t>SRW’s engagement framework</w:t>
      </w:r>
      <w:bookmarkEnd w:id="94"/>
    </w:p>
    <w:p w14:paraId="2154EB8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Early in 2021, SRW prepared an engagement framework which the SRW Board supported.  This framework (shown in Figure 3-1 below) forms the basis of SRW’s engagement activities, indicative timing (when SRW prepared the framework) and milestones.</w:t>
      </w:r>
    </w:p>
    <w:p w14:paraId="51DCA4E2" w14:textId="471FD00D" w:rsidR="0022607C" w:rsidRPr="0022607C" w:rsidRDefault="0022607C" w:rsidP="0022607C">
      <w:pPr>
        <w:keepNext/>
        <w:spacing w:before="120" w:after="120" w:line="240" w:lineRule="auto"/>
        <w:jc w:val="both"/>
        <w:rPr>
          <w:rFonts w:asciiTheme="majorHAnsi" w:eastAsia="Times New Roman" w:hAnsiTheme="majorHAnsi" w:cstheme="majorHAnsi"/>
          <w:b/>
          <w:bCs/>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2</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SRW’s engagement framework</w:t>
      </w:r>
      <w:r w:rsidRPr="0022607C">
        <w:rPr>
          <w:rFonts w:asciiTheme="majorHAnsi" w:eastAsia="Times New Roman" w:hAnsiTheme="majorHAnsi" w:cstheme="majorHAnsi"/>
          <w:b/>
          <w:bCs/>
          <w:color w:val="0070C0"/>
          <w:sz w:val="21"/>
          <w:szCs w:val="20"/>
          <w:vertAlign w:val="superscript"/>
          <w:lang w:eastAsia="en-AU"/>
        </w:rPr>
        <w:footnoteReference w:id="15"/>
      </w:r>
    </w:p>
    <w:p w14:paraId="18AE623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noProof/>
          <w:sz w:val="21"/>
          <w:szCs w:val="24"/>
          <w:lang w:eastAsia="en-AU"/>
        </w:rPr>
        <w:drawing>
          <wp:inline distT="0" distB="0" distL="0" distR="0" wp14:anchorId="53EE67A8" wp14:editId="7C0B7829">
            <wp:extent cx="5905390" cy="4137824"/>
            <wp:effectExtent l="0" t="0" r="635"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017871" cy="4216638"/>
                    </a:xfrm>
                    <a:prstGeom prst="rect">
                      <a:avLst/>
                    </a:prstGeom>
                  </pic:spPr>
                </pic:pic>
              </a:graphicData>
            </a:graphic>
          </wp:inline>
        </w:drawing>
      </w:r>
    </w:p>
    <w:p w14:paraId="74F9E7C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Importantly, SRW:</w:t>
      </w:r>
    </w:p>
    <w:p w14:paraId="323EF3A0" w14:textId="77777777" w:rsidR="0022607C" w:rsidRPr="0022607C" w:rsidRDefault="0022607C" w:rsidP="00F459A2">
      <w:pPr>
        <w:numPr>
          <w:ilvl w:val="0"/>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Developed a structured and </w:t>
      </w:r>
      <w:r w:rsidRPr="0022607C">
        <w:rPr>
          <w:rFonts w:asciiTheme="majorHAnsi" w:eastAsia="Times New Roman" w:hAnsiTheme="majorHAnsi" w:cstheme="majorHAnsi"/>
          <w:b/>
          <w:bCs/>
          <w:color w:val="0070C0"/>
          <w:sz w:val="21"/>
          <w:szCs w:val="24"/>
          <w:lang w:eastAsia="en-AU"/>
        </w:rPr>
        <w:t xml:space="preserve">phased </w:t>
      </w:r>
      <w:r w:rsidRPr="0022607C">
        <w:rPr>
          <w:rFonts w:asciiTheme="majorHAnsi" w:eastAsia="Times New Roman" w:hAnsiTheme="majorHAnsi" w:cstheme="majorHAnsi"/>
          <w:sz w:val="21"/>
          <w:szCs w:val="24"/>
          <w:lang w:eastAsia="en-AU"/>
        </w:rPr>
        <w:t>approach to its engagement, comprising four phases:</w:t>
      </w:r>
    </w:p>
    <w:p w14:paraId="34150BAE"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Informing customers and listening to stakeholders to identify their SRW needs and priorities</w:t>
      </w:r>
    </w:p>
    <w:p w14:paraId="266DE1C9"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Developing price-service scenarios</w:t>
      </w:r>
    </w:p>
    <w:p w14:paraId="607BB21C"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Testing these price-service scenarios with customers to determine their preferences</w:t>
      </w:r>
    </w:p>
    <w:p w14:paraId="046CD110"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Finalising price-service proposals and informing customers and stakeholders to close the loop</w:t>
      </w:r>
    </w:p>
    <w:p w14:paraId="5D9D1413" w14:textId="77777777" w:rsidR="0022607C" w:rsidRPr="0022607C" w:rsidRDefault="0022607C" w:rsidP="00F459A2">
      <w:pPr>
        <w:numPr>
          <w:ilvl w:val="0"/>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Identified </w:t>
      </w:r>
      <w:r w:rsidRPr="0022607C">
        <w:rPr>
          <w:rFonts w:asciiTheme="majorHAnsi" w:eastAsia="Times New Roman" w:hAnsiTheme="majorHAnsi" w:cstheme="majorHAnsi"/>
          <w:b/>
          <w:bCs/>
          <w:color w:val="0070C0"/>
          <w:sz w:val="21"/>
          <w:szCs w:val="24"/>
          <w:lang w:eastAsia="en-AU"/>
        </w:rPr>
        <w:t>key stakeholder groups</w:t>
      </w:r>
      <w:r w:rsidRPr="0022607C">
        <w:rPr>
          <w:rFonts w:asciiTheme="majorHAnsi" w:eastAsia="Times New Roman" w:hAnsiTheme="majorHAnsi" w:cstheme="majorHAnsi"/>
          <w:color w:val="0070C0"/>
          <w:sz w:val="21"/>
          <w:szCs w:val="24"/>
          <w:lang w:eastAsia="en-AU"/>
        </w:rPr>
        <w:t xml:space="preserve"> </w:t>
      </w:r>
      <w:r w:rsidRPr="0022607C">
        <w:rPr>
          <w:rFonts w:asciiTheme="majorHAnsi" w:eastAsia="Times New Roman" w:hAnsiTheme="majorHAnsi" w:cstheme="majorHAnsi"/>
          <w:sz w:val="21"/>
          <w:szCs w:val="24"/>
          <w:lang w:eastAsia="en-AU"/>
        </w:rPr>
        <w:t>and its desired level of engagement with each group:</w:t>
      </w:r>
    </w:p>
    <w:p w14:paraId="6E17FEC2"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Board - collaborate</w:t>
      </w:r>
    </w:p>
    <w:p w14:paraId="29953ADC"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Senior Leadership Team (SLT) – collaborate</w:t>
      </w:r>
    </w:p>
    <w:p w14:paraId="5CFFD06E"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Independently facilitated CRG – collaborate</w:t>
      </w:r>
      <w:r w:rsidRPr="0022607C">
        <w:rPr>
          <w:rFonts w:asciiTheme="majorHAnsi" w:eastAsia="Times New Roman" w:hAnsiTheme="majorHAnsi" w:cstheme="majorHAnsi"/>
          <w:sz w:val="21"/>
          <w:szCs w:val="24"/>
          <w:vertAlign w:val="superscript"/>
          <w:lang w:eastAsia="en-AU"/>
        </w:rPr>
        <w:footnoteReference w:id="16"/>
      </w:r>
    </w:p>
    <w:p w14:paraId="5CEBE2E0"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DEWLP – consult/involve</w:t>
      </w:r>
    </w:p>
    <w:p w14:paraId="606BA030"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CCCs, SGRF and agency stakeholders – collaborate</w:t>
      </w:r>
    </w:p>
    <w:p w14:paraId="1BED3219" w14:textId="77777777" w:rsidR="0022607C" w:rsidRPr="0022607C" w:rsidRDefault="0022607C" w:rsidP="00F459A2">
      <w:pPr>
        <w:numPr>
          <w:ilvl w:val="1"/>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Broader customer base – inform/consult</w:t>
      </w:r>
    </w:p>
    <w:p w14:paraId="75A7A8B1" w14:textId="77777777" w:rsidR="0022607C" w:rsidRPr="0022607C" w:rsidRDefault="0022607C" w:rsidP="00F459A2">
      <w:pPr>
        <w:numPr>
          <w:ilvl w:val="0"/>
          <w:numId w:val="4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Described broad engagement activities for each phase and stakeholder group and indicative timing.</w:t>
      </w:r>
    </w:p>
    <w:p w14:paraId="3BFF96A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This report focuses on SRW’s engagement with the Independently Facilitated Reference Group (subsequently renamed Customer Reference Group - CRG) and engagement with SRW’s broad customer base in line with our contract with SRW.</w:t>
      </w:r>
    </w:p>
    <w:p w14:paraId="57440E70"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5" w:name="_Toc111730999"/>
      <w:r w:rsidRPr="0022607C">
        <w:rPr>
          <w:rFonts w:asciiTheme="majorHAnsi" w:eastAsia="Times New Roman" w:hAnsiTheme="majorHAnsi" w:cstheme="majorHAnsi"/>
          <w:b/>
          <w:iCs/>
          <w:color w:val="0070C0"/>
          <w:kern w:val="32"/>
          <w:sz w:val="24"/>
          <w:szCs w:val="28"/>
          <w:lang w:eastAsia="en-AU"/>
        </w:rPr>
        <w:t>Engagement plan</w:t>
      </w:r>
      <w:bookmarkEnd w:id="95"/>
    </w:p>
    <w:p w14:paraId="68EAC33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BC Team was responsible for preparing an engagement plan.  SRW’s engagement framework formed the basis of the engagement plan.  The detailed engagement plan remained an internal working document for SRW and was further developed and adapted to suit each Phase, particularly as the continually changing impacts of the COVID-19 pandemic and associated restrictions meant that initial plans for face-to-face engagement in 2021 had to be adapted to online methods.</w:t>
      </w:r>
    </w:p>
    <w:p w14:paraId="1150F23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Key elements of the engagement plan, beyond the stated purpose of engagement (see Section 1.3 of this report), that guided the delivery of SRW’s engagement activities were:</w:t>
      </w:r>
    </w:p>
    <w:p w14:paraId="6969403C" w14:textId="77777777" w:rsidR="0022607C" w:rsidRPr="0022607C" w:rsidRDefault="0022607C" w:rsidP="00F459A2">
      <w:pPr>
        <w:numPr>
          <w:ilvl w:val="0"/>
          <w:numId w:val="4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Agreeing on some good practice engagement principles to guide SRW’s engagement activities and against which SRW could ultimately assess its engagement</w:t>
      </w:r>
      <w:r w:rsidRPr="0022607C">
        <w:rPr>
          <w:rFonts w:asciiTheme="majorHAnsi" w:eastAsia="Times New Roman" w:hAnsiTheme="majorHAnsi" w:cstheme="majorHAnsi"/>
          <w:sz w:val="21"/>
          <w:szCs w:val="24"/>
          <w:vertAlign w:val="superscript"/>
          <w:lang w:eastAsia="en-AU"/>
        </w:rPr>
        <w:footnoteReference w:id="17"/>
      </w:r>
    </w:p>
    <w:p w14:paraId="05D21B3D" w14:textId="77777777" w:rsidR="0022607C" w:rsidRPr="0022607C" w:rsidRDefault="0022607C" w:rsidP="00F459A2">
      <w:pPr>
        <w:numPr>
          <w:ilvl w:val="0"/>
          <w:numId w:val="4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Defining and describing the elements of SRW’s PS2023 and engagement activities that customers and stakeholders could control (the negotiables), and the elements which were not negotiable</w:t>
      </w:r>
    </w:p>
    <w:p w14:paraId="686B93AD" w14:textId="77777777" w:rsidR="0022607C" w:rsidRPr="0022607C" w:rsidRDefault="0022607C" w:rsidP="00F459A2">
      <w:pPr>
        <w:numPr>
          <w:ilvl w:val="0"/>
          <w:numId w:val="4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risks and risk-mitigation strategies</w:t>
      </w:r>
    </w:p>
    <w:p w14:paraId="020D4D9C" w14:textId="77777777" w:rsidR="0022607C" w:rsidRPr="0022607C" w:rsidRDefault="0022607C" w:rsidP="00F459A2">
      <w:pPr>
        <w:numPr>
          <w:ilvl w:val="0"/>
          <w:numId w:val="4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Roles and responsibilities</w:t>
      </w:r>
    </w:p>
    <w:p w14:paraId="53671384" w14:textId="77777777" w:rsidR="0022607C" w:rsidRPr="0022607C" w:rsidRDefault="0022607C" w:rsidP="00F459A2">
      <w:pPr>
        <w:numPr>
          <w:ilvl w:val="0"/>
          <w:numId w:val="4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Planned communication and engagement activities for each Phase</w:t>
      </w:r>
    </w:p>
    <w:p w14:paraId="3464917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two-page engagement plan overview was produced and published on the SRW Engagement Hub and shared with stakeholders, including the CRG.  A copy is shown below in Figure 3-2.</w:t>
      </w:r>
    </w:p>
    <w:p w14:paraId="112E2D6C" w14:textId="47F47FF3"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3</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PS2023 engagement plan overview</w:t>
      </w:r>
    </w:p>
    <w:p w14:paraId="339146E0" w14:textId="77777777" w:rsidR="0022607C" w:rsidRPr="0022607C" w:rsidRDefault="0022607C" w:rsidP="0022607C">
      <w:pPr>
        <w:spacing w:after="0" w:line="240" w:lineRule="auto"/>
        <w:rPr>
          <w:rFonts w:asciiTheme="majorHAnsi" w:eastAsia="Times New Roman" w:hAnsiTheme="majorHAnsi" w:cstheme="majorHAnsi"/>
          <w:sz w:val="21"/>
          <w:szCs w:val="24"/>
          <w:lang w:eastAsia="en-AU"/>
        </w:rPr>
      </w:pPr>
      <w:r w:rsidRPr="0022607C">
        <w:rPr>
          <w:rFonts w:asciiTheme="majorHAnsi" w:eastAsia="Times New Roman" w:hAnsiTheme="majorHAnsi" w:cstheme="majorHAnsi"/>
          <w:noProof/>
          <w:color w:val="808080"/>
          <w:sz w:val="20"/>
          <w:szCs w:val="20"/>
          <w:lang w:eastAsia="en-GB"/>
        </w:rPr>
        <w:drawing>
          <wp:inline distT="0" distB="0" distL="0" distR="0" wp14:anchorId="5F0DBED2" wp14:editId="2D5E56EE">
            <wp:extent cx="6016625" cy="428244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016625" cy="4282440"/>
                    </a:xfrm>
                    <a:prstGeom prst="rect">
                      <a:avLst/>
                    </a:prstGeom>
                  </pic:spPr>
                </pic:pic>
              </a:graphicData>
            </a:graphic>
          </wp:inline>
        </w:drawing>
      </w:r>
    </w:p>
    <w:p w14:paraId="6758D38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6" w:name="_Toc111731000"/>
      <w:r w:rsidRPr="0022607C">
        <w:rPr>
          <w:rFonts w:asciiTheme="majorHAnsi" w:eastAsia="Times New Roman" w:hAnsiTheme="majorHAnsi" w:cstheme="majorHAnsi"/>
          <w:b/>
          <w:iCs/>
          <w:color w:val="0070C0"/>
          <w:kern w:val="32"/>
          <w:sz w:val="24"/>
          <w:szCs w:val="28"/>
          <w:lang w:eastAsia="en-AU"/>
        </w:rPr>
        <w:t>Building on PS2018</w:t>
      </w:r>
      <w:bookmarkEnd w:id="96"/>
    </w:p>
    <w:p w14:paraId="55B76E7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As illustrated in Figure 3-3, for PS2023 SRW has engaged more broadly and on a larger scale than it did for PS2018.  SRW considered feedback from its PS2018 engagement detailed in the engagement report prepared by Currie Communications,</w:t>
      </w:r>
      <w:r w:rsidRPr="0022607C">
        <w:rPr>
          <w:rFonts w:asciiTheme="majorHAnsi" w:eastAsia="Times New Roman" w:hAnsiTheme="majorHAnsi" w:cstheme="majorHAnsi"/>
          <w:sz w:val="21"/>
          <w:szCs w:val="24"/>
          <w:vertAlign w:val="superscript"/>
          <w:lang w:eastAsia="en-AU"/>
        </w:rPr>
        <w:footnoteReference w:id="18"/>
      </w:r>
      <w:r w:rsidRPr="0022607C">
        <w:rPr>
          <w:rFonts w:asciiTheme="majorHAnsi" w:eastAsia="Times New Roman" w:hAnsiTheme="majorHAnsi" w:cstheme="majorHAnsi"/>
          <w:sz w:val="21"/>
          <w:szCs w:val="24"/>
          <w:lang w:eastAsia="en-AU"/>
        </w:rPr>
        <w:t xml:space="preserve"> and decided to broaden its engagement activities for PS2023 to reach a more diverse range of customers and stakeholders.  The table below outlines the key difference between SRW’s  PS2018 and PS2023 approaches.</w:t>
      </w:r>
    </w:p>
    <w:p w14:paraId="7916445D" w14:textId="375DA7BF"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4</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noProof/>
          <w:color w:val="0070C0"/>
          <w:sz w:val="21"/>
          <w:szCs w:val="20"/>
          <w:lang w:eastAsia="en-AU"/>
        </w:rPr>
        <w:t>:</w:t>
      </w:r>
      <w:r w:rsidRPr="0022607C">
        <w:rPr>
          <w:rFonts w:asciiTheme="majorHAnsi" w:eastAsia="Times New Roman" w:hAnsiTheme="majorHAnsi" w:cstheme="majorHAnsi"/>
          <w:b/>
          <w:bCs/>
          <w:color w:val="0070C0"/>
          <w:sz w:val="21"/>
          <w:szCs w:val="20"/>
          <w:lang w:eastAsia="en-AU"/>
        </w:rPr>
        <w:t xml:space="preserve"> Comparison between SRW’s PS2018 and PS2023 engagement activities</w:t>
      </w:r>
    </w:p>
    <w:tbl>
      <w:tblPr>
        <w:tblStyle w:val="GridTable1Light-Accent51"/>
        <w:tblW w:w="9634" w:type="dxa"/>
        <w:tblLook w:val="04A0" w:firstRow="1" w:lastRow="0" w:firstColumn="1" w:lastColumn="0" w:noHBand="0" w:noVBand="1"/>
      </w:tblPr>
      <w:tblGrid>
        <w:gridCol w:w="3256"/>
        <w:gridCol w:w="3118"/>
        <w:gridCol w:w="3260"/>
      </w:tblGrid>
      <w:tr w:rsidR="0022607C" w:rsidRPr="0022607C" w14:paraId="1766E2E1" w14:textId="77777777" w:rsidTr="00A324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hideMark/>
          </w:tcPr>
          <w:p w14:paraId="6649A243" w14:textId="77777777" w:rsidR="0022607C" w:rsidRPr="0022607C" w:rsidRDefault="0022607C" w:rsidP="0022607C">
            <w:pPr>
              <w:spacing w:before="60" w:after="60"/>
              <w:rPr>
                <w:rFonts w:asciiTheme="majorHAnsi" w:hAnsiTheme="majorHAnsi" w:cstheme="majorHAnsi"/>
                <w:color w:val="0070C0"/>
              </w:rPr>
            </w:pPr>
            <w:r w:rsidRPr="0022607C">
              <w:rPr>
                <w:rFonts w:asciiTheme="majorHAnsi" w:hAnsiTheme="majorHAnsi" w:cstheme="majorHAnsi"/>
                <w:color w:val="0070C0"/>
                <w:shd w:val="clear" w:color="auto" w:fill="FAF9F8"/>
              </w:rPr>
              <w:t>Group and engagement activity</w:t>
            </w:r>
            <w:r w:rsidRPr="0022607C">
              <w:rPr>
                <w:rFonts w:asciiTheme="majorHAnsi" w:hAnsiTheme="majorHAnsi" w:cstheme="majorHAnsi"/>
                <w:color w:val="0070C0"/>
              </w:rPr>
              <w:t> </w:t>
            </w:r>
          </w:p>
        </w:tc>
        <w:tc>
          <w:tcPr>
            <w:tcW w:w="3118" w:type="dxa"/>
            <w:hideMark/>
          </w:tcPr>
          <w:p w14:paraId="31E2D58F" w14:textId="77777777" w:rsidR="0022607C" w:rsidRPr="0022607C" w:rsidRDefault="0022607C" w:rsidP="0022607C">
            <w:pPr>
              <w:spacing w:before="60" w:after="6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rPr>
            </w:pPr>
            <w:r w:rsidRPr="0022607C">
              <w:rPr>
                <w:rFonts w:asciiTheme="majorHAnsi" w:hAnsiTheme="majorHAnsi" w:cstheme="majorHAnsi"/>
                <w:color w:val="0070C0"/>
                <w:shd w:val="clear" w:color="auto" w:fill="FAF9F8"/>
              </w:rPr>
              <w:t>PS2018</w:t>
            </w:r>
          </w:p>
        </w:tc>
        <w:tc>
          <w:tcPr>
            <w:tcW w:w="3260" w:type="dxa"/>
            <w:hideMark/>
          </w:tcPr>
          <w:p w14:paraId="66279408" w14:textId="77777777" w:rsidR="0022607C" w:rsidRPr="0022607C" w:rsidRDefault="0022607C" w:rsidP="0022607C">
            <w:pPr>
              <w:spacing w:before="60" w:after="6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rPr>
            </w:pPr>
            <w:r w:rsidRPr="0022607C">
              <w:rPr>
                <w:rFonts w:asciiTheme="majorHAnsi" w:hAnsiTheme="majorHAnsi" w:cstheme="majorHAnsi"/>
                <w:color w:val="0070C0"/>
                <w:shd w:val="clear" w:color="auto" w:fill="FAF9F8"/>
              </w:rPr>
              <w:t>PS2023</w:t>
            </w:r>
          </w:p>
        </w:tc>
      </w:tr>
      <w:tr w:rsidR="00561B01" w:rsidRPr="0022607C" w14:paraId="3CAD2AEE"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611AA1C3" w14:textId="77777777" w:rsidR="00561B01" w:rsidRPr="0022607C" w:rsidRDefault="00561B01" w:rsidP="00561B01">
            <w:pPr>
              <w:spacing w:before="60" w:after="60"/>
              <w:rPr>
                <w:rFonts w:asciiTheme="majorHAnsi" w:hAnsiTheme="majorHAnsi" w:cstheme="majorHAnsi"/>
              </w:rPr>
            </w:pPr>
            <w:r w:rsidRPr="0022607C">
              <w:rPr>
                <w:rFonts w:asciiTheme="majorHAnsi" w:hAnsiTheme="majorHAnsi" w:cstheme="majorHAnsi"/>
                <w:shd w:val="clear" w:color="auto" w:fill="FAF9F8"/>
              </w:rPr>
              <w:t xml:space="preserve">Ongoing strategic and tactical discussions with </w:t>
            </w:r>
            <w:r w:rsidRPr="0022607C">
              <w:rPr>
                <w:rFonts w:asciiTheme="majorHAnsi" w:hAnsiTheme="majorHAnsi" w:cstheme="majorHAnsi"/>
                <w:color w:val="0070C0"/>
                <w:shd w:val="clear" w:color="auto" w:fill="FAF9F8"/>
              </w:rPr>
              <w:t>CCCs</w:t>
            </w:r>
            <w:r w:rsidRPr="0022607C">
              <w:rPr>
                <w:rFonts w:asciiTheme="majorHAnsi" w:hAnsiTheme="majorHAnsi" w:cstheme="majorHAnsi"/>
                <w:shd w:val="clear" w:color="auto" w:fill="FAF9F8"/>
              </w:rPr>
              <w:t xml:space="preserve"> and </w:t>
            </w:r>
            <w:r w:rsidRPr="0022607C">
              <w:rPr>
                <w:rFonts w:asciiTheme="majorHAnsi" w:hAnsiTheme="majorHAnsi" w:cstheme="majorHAnsi"/>
                <w:color w:val="0070C0"/>
                <w:shd w:val="clear" w:color="auto" w:fill="FAF9F8"/>
              </w:rPr>
              <w:t>SGRF</w:t>
            </w:r>
            <w:r w:rsidRPr="0022607C">
              <w:rPr>
                <w:rFonts w:asciiTheme="majorHAnsi" w:hAnsiTheme="majorHAnsi" w:cstheme="majorHAnsi"/>
                <w:shd w:val="clear" w:color="auto" w:fill="FAF9F8"/>
              </w:rPr>
              <w:t xml:space="preserve"> outside of the direct PS engagement program</w:t>
            </w:r>
            <w:r w:rsidRPr="0022607C">
              <w:rPr>
                <w:rFonts w:asciiTheme="majorHAnsi" w:hAnsiTheme="majorHAnsi" w:cstheme="majorHAnsi"/>
              </w:rPr>
              <w:t> </w:t>
            </w:r>
          </w:p>
        </w:tc>
        <w:tc>
          <w:tcPr>
            <w:tcW w:w="3118" w:type="dxa"/>
            <w:hideMark/>
          </w:tcPr>
          <w:p w14:paraId="55BC8F61" w14:textId="6A85A1E2"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0A289F">
              <w:rPr>
                <w:rFonts w:ascii="Wingdings" w:hAnsi="Wingdings"/>
                <w:szCs w:val="22"/>
              </w:rPr>
              <w:t>ü</w:t>
            </w:r>
          </w:p>
        </w:tc>
        <w:tc>
          <w:tcPr>
            <w:tcW w:w="3260" w:type="dxa"/>
            <w:hideMark/>
          </w:tcPr>
          <w:p w14:paraId="3DD55867" w14:textId="17BCF2E6"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806056">
              <w:rPr>
                <w:rFonts w:ascii="Wingdings" w:hAnsi="Wingdings"/>
                <w:szCs w:val="22"/>
              </w:rPr>
              <w:t>ü</w:t>
            </w:r>
          </w:p>
        </w:tc>
      </w:tr>
      <w:tr w:rsidR="00561B01" w:rsidRPr="0022607C" w14:paraId="210D6FC6"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5A54B930" w14:textId="77777777" w:rsidR="00561B01" w:rsidRPr="0022607C" w:rsidRDefault="00561B01" w:rsidP="00561B01">
            <w:pPr>
              <w:spacing w:before="60" w:after="60"/>
              <w:rPr>
                <w:rFonts w:asciiTheme="majorHAnsi" w:hAnsiTheme="majorHAnsi" w:cstheme="majorHAnsi"/>
              </w:rPr>
            </w:pPr>
            <w:r w:rsidRPr="0022607C">
              <w:rPr>
                <w:rFonts w:asciiTheme="majorHAnsi" w:hAnsiTheme="majorHAnsi" w:cstheme="majorHAnsi"/>
                <w:shd w:val="clear" w:color="auto" w:fill="FAF9F8"/>
              </w:rPr>
              <w:t xml:space="preserve">Ongoing informal discussions and relationships with </w:t>
            </w:r>
            <w:r w:rsidRPr="0022607C">
              <w:rPr>
                <w:rFonts w:asciiTheme="majorHAnsi" w:hAnsiTheme="majorHAnsi" w:cstheme="majorHAnsi"/>
                <w:color w:val="0070C0"/>
                <w:shd w:val="clear" w:color="auto" w:fill="FAF9F8"/>
              </w:rPr>
              <w:t xml:space="preserve">customers </w:t>
            </w:r>
            <w:r w:rsidRPr="0022607C">
              <w:rPr>
                <w:rFonts w:asciiTheme="majorHAnsi" w:hAnsiTheme="majorHAnsi" w:cstheme="majorHAnsi"/>
                <w:shd w:val="clear" w:color="auto" w:fill="FAF9F8"/>
              </w:rPr>
              <w:t>via field staff and project groups etc</w:t>
            </w:r>
            <w:r w:rsidRPr="0022607C">
              <w:rPr>
                <w:rFonts w:asciiTheme="majorHAnsi" w:hAnsiTheme="majorHAnsi" w:cstheme="majorHAnsi"/>
              </w:rPr>
              <w:t> </w:t>
            </w:r>
          </w:p>
        </w:tc>
        <w:tc>
          <w:tcPr>
            <w:tcW w:w="3118" w:type="dxa"/>
            <w:hideMark/>
          </w:tcPr>
          <w:p w14:paraId="7F514046" w14:textId="353D1A1A"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92EBC">
              <w:rPr>
                <w:rFonts w:ascii="Wingdings" w:hAnsi="Wingdings"/>
                <w:szCs w:val="22"/>
              </w:rPr>
              <w:t>ü</w:t>
            </w:r>
          </w:p>
        </w:tc>
        <w:tc>
          <w:tcPr>
            <w:tcW w:w="3260" w:type="dxa"/>
            <w:hideMark/>
          </w:tcPr>
          <w:p w14:paraId="6B1BB576" w14:textId="2A60338C"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806056">
              <w:rPr>
                <w:rFonts w:ascii="Wingdings" w:hAnsi="Wingdings"/>
                <w:szCs w:val="22"/>
              </w:rPr>
              <w:t>ü</w:t>
            </w:r>
          </w:p>
        </w:tc>
      </w:tr>
      <w:tr w:rsidR="00561B01" w:rsidRPr="0022607C" w14:paraId="286CFE32"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1B85B4CE" w14:textId="77777777" w:rsidR="00561B01" w:rsidRPr="0022607C" w:rsidRDefault="00561B01" w:rsidP="00561B01">
            <w:pPr>
              <w:spacing w:before="60" w:after="60"/>
              <w:rPr>
                <w:rFonts w:asciiTheme="majorHAnsi" w:hAnsiTheme="majorHAnsi" w:cstheme="majorHAnsi"/>
              </w:rPr>
            </w:pPr>
            <w:r w:rsidRPr="0022607C">
              <w:rPr>
                <w:rFonts w:asciiTheme="majorHAnsi" w:hAnsiTheme="majorHAnsi" w:cstheme="majorHAnsi"/>
                <w:shd w:val="clear" w:color="auto" w:fill="FAF9F8"/>
              </w:rPr>
              <w:t xml:space="preserve">Biennial survey of </w:t>
            </w:r>
            <w:r w:rsidRPr="0022607C">
              <w:rPr>
                <w:rFonts w:asciiTheme="majorHAnsi" w:hAnsiTheme="majorHAnsi" w:cstheme="majorHAnsi"/>
                <w:color w:val="0070C0"/>
                <w:shd w:val="clear" w:color="auto" w:fill="FAF9F8"/>
              </w:rPr>
              <w:t xml:space="preserve">customers </w:t>
            </w:r>
            <w:r w:rsidRPr="0022607C">
              <w:rPr>
                <w:rFonts w:asciiTheme="majorHAnsi" w:hAnsiTheme="majorHAnsi" w:cstheme="majorHAnsi"/>
                <w:shd w:val="clear" w:color="auto" w:fill="FAF9F8"/>
              </w:rPr>
              <w:t>(Customer Satisfaction Survey) to provide context</w:t>
            </w:r>
          </w:p>
        </w:tc>
        <w:tc>
          <w:tcPr>
            <w:tcW w:w="3118" w:type="dxa"/>
            <w:hideMark/>
          </w:tcPr>
          <w:p w14:paraId="73760D50" w14:textId="38BE9134"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192EBC">
              <w:rPr>
                <w:rFonts w:ascii="Wingdings" w:hAnsi="Wingdings"/>
                <w:szCs w:val="22"/>
              </w:rPr>
              <w:t>ü</w:t>
            </w:r>
          </w:p>
        </w:tc>
        <w:tc>
          <w:tcPr>
            <w:tcW w:w="3260" w:type="dxa"/>
            <w:hideMark/>
          </w:tcPr>
          <w:p w14:paraId="12E9A509" w14:textId="51BD0EDB" w:rsidR="00561B01" w:rsidRPr="0022607C" w:rsidRDefault="00561B01"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806056">
              <w:rPr>
                <w:rFonts w:ascii="Wingdings" w:hAnsi="Wingdings"/>
                <w:szCs w:val="22"/>
              </w:rPr>
              <w:t>ü</w:t>
            </w:r>
          </w:p>
        </w:tc>
      </w:tr>
      <w:tr w:rsidR="0022607C" w:rsidRPr="0022607C" w14:paraId="228F3CB8"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78609948"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color w:val="0070C0"/>
                <w:shd w:val="clear" w:color="auto" w:fill="FAF9F8"/>
              </w:rPr>
              <w:t xml:space="preserve">Customer and stakeholder representatives </w:t>
            </w:r>
            <w:r w:rsidRPr="0022607C">
              <w:rPr>
                <w:rFonts w:asciiTheme="majorHAnsi" w:hAnsiTheme="majorHAnsi" w:cstheme="majorHAnsi"/>
                <w:shd w:val="clear" w:color="auto" w:fill="FAF9F8"/>
              </w:rPr>
              <w:t>through a PS-specific CRG</w:t>
            </w:r>
          </w:p>
        </w:tc>
        <w:tc>
          <w:tcPr>
            <w:tcW w:w="3118" w:type="dxa"/>
            <w:hideMark/>
          </w:tcPr>
          <w:p w14:paraId="2CE5462F" w14:textId="6EAFA572" w:rsidR="0022607C" w:rsidRPr="0022607C" w:rsidRDefault="0022607C"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hideMark/>
          </w:tcPr>
          <w:p w14:paraId="72C2499F" w14:textId="1D2663D6" w:rsidR="0022607C" w:rsidRPr="0022607C" w:rsidRDefault="00561B01" w:rsidP="0022607C">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0A289F">
              <w:rPr>
                <w:rFonts w:ascii="Wingdings" w:hAnsi="Wingdings"/>
                <w:szCs w:val="22"/>
              </w:rPr>
              <w:t>ü</w:t>
            </w:r>
          </w:p>
        </w:tc>
      </w:tr>
      <w:tr w:rsidR="0022607C" w:rsidRPr="0022607C" w14:paraId="0A488764"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6C191E4E"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color w:val="0070C0"/>
                <w:shd w:val="clear" w:color="auto" w:fill="FAF9F8"/>
              </w:rPr>
              <w:t xml:space="preserve">Customers, community and other stakeholders </w:t>
            </w:r>
            <w:r w:rsidRPr="0022607C">
              <w:rPr>
                <w:rFonts w:asciiTheme="majorHAnsi" w:hAnsiTheme="majorHAnsi" w:cstheme="majorHAnsi"/>
                <w:shd w:val="clear" w:color="auto" w:fill="FAF9F8"/>
              </w:rPr>
              <w:t>through a dedicated PS online Engagement Hub</w:t>
            </w:r>
          </w:p>
        </w:tc>
        <w:tc>
          <w:tcPr>
            <w:tcW w:w="3118" w:type="dxa"/>
            <w:hideMark/>
          </w:tcPr>
          <w:p w14:paraId="1AAC90C5" w14:textId="77777777" w:rsidR="0022607C" w:rsidRPr="0022607C" w:rsidRDefault="0022607C" w:rsidP="00561B01">
            <w:pPr>
              <w:snapToGrid w:val="0"/>
              <w:spacing w:before="60" w:after="60"/>
              <w:ind w:left="3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hideMark/>
          </w:tcPr>
          <w:p w14:paraId="693AA7E9" w14:textId="36A38416" w:rsidR="0022607C" w:rsidRPr="0022607C" w:rsidRDefault="00561B01" w:rsidP="0022607C">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0A289F">
              <w:rPr>
                <w:rFonts w:ascii="Wingdings" w:hAnsi="Wingdings"/>
                <w:szCs w:val="22"/>
              </w:rPr>
              <w:t>ü</w:t>
            </w:r>
          </w:p>
        </w:tc>
      </w:tr>
      <w:tr w:rsidR="0022607C" w:rsidRPr="0022607C" w14:paraId="0DFF9A1C" w14:textId="77777777" w:rsidTr="00A32484">
        <w:tc>
          <w:tcPr>
            <w:cnfStyle w:val="001000000000" w:firstRow="0" w:lastRow="0" w:firstColumn="1" w:lastColumn="0" w:oddVBand="0" w:evenVBand="0" w:oddHBand="0" w:evenHBand="0" w:firstRowFirstColumn="0" w:firstRowLastColumn="0" w:lastRowFirstColumn="0" w:lastRowLastColumn="0"/>
            <w:tcW w:w="3256" w:type="dxa"/>
            <w:hideMark/>
          </w:tcPr>
          <w:p w14:paraId="1B7EB077"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shd w:val="clear" w:color="auto" w:fill="FAF9F8"/>
              </w:rPr>
              <w:t xml:space="preserve">Consultation through specific </w:t>
            </w:r>
            <w:r w:rsidRPr="0022607C">
              <w:rPr>
                <w:rFonts w:asciiTheme="majorHAnsi" w:hAnsiTheme="majorHAnsi" w:cstheme="majorHAnsi"/>
                <w:color w:val="0070C0"/>
                <w:shd w:val="clear" w:color="auto" w:fill="FAF9F8"/>
              </w:rPr>
              <w:t xml:space="preserve">customer and community </w:t>
            </w:r>
            <w:r w:rsidRPr="0022607C">
              <w:rPr>
                <w:rFonts w:asciiTheme="majorHAnsi" w:hAnsiTheme="majorHAnsi" w:cstheme="majorHAnsi"/>
                <w:shd w:val="clear" w:color="auto" w:fill="FAF9F8"/>
              </w:rPr>
              <w:t>surveys</w:t>
            </w:r>
          </w:p>
        </w:tc>
        <w:tc>
          <w:tcPr>
            <w:tcW w:w="3118" w:type="dxa"/>
            <w:hideMark/>
          </w:tcPr>
          <w:p w14:paraId="6644945A" w14:textId="77777777" w:rsidR="0022607C" w:rsidRPr="0022607C" w:rsidRDefault="0022607C" w:rsidP="00F459A2">
            <w:pPr>
              <w:numPr>
                <w:ilvl w:val="0"/>
                <w:numId w:val="64"/>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Small scale phone interviews to </w:t>
            </w:r>
            <w:r w:rsidRPr="0022607C">
              <w:rPr>
                <w:rFonts w:asciiTheme="majorHAnsi" w:hAnsiTheme="majorHAnsi" w:cstheme="majorHAnsi"/>
                <w:b/>
                <w:bCs/>
              </w:rPr>
              <w:t xml:space="preserve">test </w:t>
            </w:r>
            <w:r w:rsidRPr="0022607C">
              <w:rPr>
                <w:rFonts w:asciiTheme="majorHAnsi" w:hAnsiTheme="majorHAnsi" w:cstheme="majorHAnsi"/>
                <w:shd w:val="clear" w:color="auto" w:fill="FAF9F8"/>
              </w:rPr>
              <w:t>price-service</w:t>
            </w:r>
            <w:r w:rsidRPr="0022607C">
              <w:rPr>
                <w:rFonts w:asciiTheme="majorHAnsi" w:hAnsiTheme="majorHAnsi" w:cstheme="majorHAnsi"/>
              </w:rPr>
              <w:t xml:space="preserve"> proposals (n= 6)</w:t>
            </w:r>
          </w:p>
        </w:tc>
        <w:tc>
          <w:tcPr>
            <w:tcW w:w="3260" w:type="dxa"/>
            <w:hideMark/>
          </w:tcPr>
          <w:p w14:paraId="6FFC39B4" w14:textId="77777777" w:rsidR="0022607C" w:rsidRPr="0022607C" w:rsidRDefault="0022607C" w:rsidP="00F459A2">
            <w:pPr>
              <w:numPr>
                <w:ilvl w:val="0"/>
                <w:numId w:val="64"/>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Online survey open-to all customers and the community </w:t>
            </w:r>
            <w:r w:rsidRPr="0022607C">
              <w:rPr>
                <w:rFonts w:asciiTheme="majorHAnsi" w:hAnsiTheme="majorHAnsi" w:cstheme="majorHAnsi"/>
                <w:b/>
                <w:bCs/>
                <w:shd w:val="clear" w:color="auto" w:fill="FAF9F8"/>
              </w:rPr>
              <w:t xml:space="preserve">to understand </w:t>
            </w:r>
            <w:r w:rsidRPr="0022607C">
              <w:rPr>
                <w:rFonts w:asciiTheme="majorHAnsi" w:hAnsiTheme="majorHAnsi" w:cstheme="majorHAnsi"/>
                <w:shd w:val="clear" w:color="auto" w:fill="FAF9F8"/>
              </w:rPr>
              <w:t xml:space="preserve">customer values, expectations and challenges </w:t>
            </w:r>
            <w:r w:rsidRPr="0022607C">
              <w:rPr>
                <w:rFonts w:asciiTheme="majorHAnsi" w:hAnsiTheme="majorHAnsi" w:cstheme="majorHAnsi"/>
              </w:rPr>
              <w:t>(n= 194)</w:t>
            </w:r>
          </w:p>
          <w:p w14:paraId="3A3E95A4" w14:textId="77777777" w:rsidR="0022607C" w:rsidRPr="0022607C" w:rsidRDefault="0022607C" w:rsidP="00F459A2">
            <w:pPr>
              <w:numPr>
                <w:ilvl w:val="0"/>
                <w:numId w:val="64"/>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shd w:val="clear" w:color="auto" w:fill="FAF9F8"/>
              </w:rPr>
              <w:t xml:space="preserve">Online customer survey to </w:t>
            </w:r>
            <w:r w:rsidRPr="0022607C">
              <w:rPr>
                <w:rFonts w:asciiTheme="majorHAnsi" w:hAnsiTheme="majorHAnsi" w:cstheme="majorHAnsi"/>
                <w:b/>
                <w:bCs/>
                <w:shd w:val="clear" w:color="auto" w:fill="FAF9F8"/>
              </w:rPr>
              <w:t>test</w:t>
            </w:r>
            <w:r w:rsidRPr="0022607C">
              <w:rPr>
                <w:rFonts w:asciiTheme="majorHAnsi" w:hAnsiTheme="majorHAnsi" w:cstheme="majorHAnsi"/>
                <w:shd w:val="clear" w:color="auto" w:fill="FAF9F8"/>
              </w:rPr>
              <w:t xml:space="preserve"> price-service proposals </w:t>
            </w:r>
            <w:r w:rsidRPr="0022607C">
              <w:rPr>
                <w:rFonts w:asciiTheme="majorHAnsi" w:hAnsiTheme="majorHAnsi" w:cstheme="majorHAnsi"/>
              </w:rPr>
              <w:t>(n= 73)</w:t>
            </w:r>
          </w:p>
        </w:tc>
      </w:tr>
      <w:tr w:rsidR="0022607C" w:rsidRPr="0022607C" w14:paraId="72ED00ED" w14:textId="77777777" w:rsidTr="00A32484">
        <w:tc>
          <w:tcPr>
            <w:cnfStyle w:val="001000000000" w:firstRow="0" w:lastRow="0" w:firstColumn="1" w:lastColumn="0" w:oddVBand="0" w:evenVBand="0" w:oddHBand="0" w:evenHBand="0" w:firstRowFirstColumn="0" w:firstRowLastColumn="0" w:lastRowFirstColumn="0" w:lastRowLastColumn="0"/>
            <w:tcW w:w="3256" w:type="dxa"/>
          </w:tcPr>
          <w:p w14:paraId="21C7DC5F" w14:textId="77777777" w:rsidR="0022607C" w:rsidRPr="0022607C" w:rsidRDefault="0022607C" w:rsidP="0022607C">
            <w:pPr>
              <w:spacing w:before="60" w:after="60"/>
              <w:rPr>
                <w:rFonts w:asciiTheme="majorHAnsi" w:hAnsiTheme="majorHAnsi" w:cstheme="majorHAnsi"/>
                <w:shd w:val="clear" w:color="auto" w:fill="FAF9F8"/>
              </w:rPr>
            </w:pPr>
            <w:r w:rsidRPr="0022607C">
              <w:rPr>
                <w:rFonts w:asciiTheme="majorHAnsi" w:hAnsiTheme="majorHAnsi" w:cstheme="majorHAnsi"/>
                <w:shd w:val="clear" w:color="auto" w:fill="FAF9F8"/>
              </w:rPr>
              <w:t xml:space="preserve">Qualitative feedback from </w:t>
            </w:r>
            <w:r w:rsidRPr="0022607C">
              <w:rPr>
                <w:rFonts w:asciiTheme="majorHAnsi" w:hAnsiTheme="majorHAnsi" w:cstheme="majorHAnsi"/>
                <w:color w:val="0070C0"/>
                <w:shd w:val="clear" w:color="auto" w:fill="FAF9F8"/>
              </w:rPr>
              <w:t>customers and community</w:t>
            </w:r>
          </w:p>
        </w:tc>
        <w:tc>
          <w:tcPr>
            <w:tcW w:w="3118" w:type="dxa"/>
          </w:tcPr>
          <w:p w14:paraId="0B5DE4D5"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Three customer focus groups (n= 14): Bacchus Marsh (n=7), Sale (n=4) Warrnambool (n=3)</w:t>
            </w:r>
          </w:p>
        </w:tc>
        <w:tc>
          <w:tcPr>
            <w:tcW w:w="3260" w:type="dxa"/>
          </w:tcPr>
          <w:p w14:paraId="2C207B53"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Five “open-house” face-to face sessions across SRW’s region to </w:t>
            </w:r>
            <w:r w:rsidRPr="0022607C">
              <w:rPr>
                <w:rFonts w:asciiTheme="majorHAnsi" w:hAnsiTheme="majorHAnsi" w:cstheme="majorHAnsi"/>
                <w:b/>
                <w:bCs/>
                <w:shd w:val="clear" w:color="auto" w:fill="FAF9F8"/>
              </w:rPr>
              <w:t>test</w:t>
            </w:r>
            <w:r w:rsidRPr="0022607C">
              <w:rPr>
                <w:rFonts w:asciiTheme="majorHAnsi" w:hAnsiTheme="majorHAnsi" w:cstheme="majorHAnsi"/>
                <w:shd w:val="clear" w:color="auto" w:fill="FAF9F8"/>
              </w:rPr>
              <w:t xml:space="preserve"> price-service proposals</w:t>
            </w:r>
          </w:p>
          <w:p w14:paraId="7527DE9D" w14:textId="77777777" w:rsidR="0022607C" w:rsidRPr="0022607C" w:rsidRDefault="0022607C" w:rsidP="0022607C">
            <w:pPr>
              <w:spacing w:before="60" w:after="60"/>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 20 customers)</w:t>
            </w:r>
          </w:p>
          <w:p w14:paraId="15942779"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Two online focus sessions to </w:t>
            </w:r>
            <w:r w:rsidRPr="0022607C">
              <w:rPr>
                <w:rFonts w:asciiTheme="majorHAnsi" w:hAnsiTheme="majorHAnsi" w:cstheme="majorHAnsi"/>
                <w:b/>
                <w:bCs/>
                <w:shd w:val="clear" w:color="auto" w:fill="FAF9F8"/>
              </w:rPr>
              <w:t>test</w:t>
            </w:r>
            <w:r w:rsidRPr="0022607C">
              <w:rPr>
                <w:rFonts w:asciiTheme="majorHAnsi" w:hAnsiTheme="majorHAnsi" w:cstheme="majorHAnsi"/>
                <w:shd w:val="clear" w:color="auto" w:fill="FAF9F8"/>
              </w:rPr>
              <w:t xml:space="preserve"> price-service proposals</w:t>
            </w:r>
          </w:p>
          <w:p w14:paraId="6FBAF8F0" w14:textId="77777777" w:rsidR="0022607C" w:rsidRPr="0022607C" w:rsidRDefault="0022607C" w:rsidP="0022607C">
            <w:pPr>
              <w:spacing w:before="60" w:after="60"/>
              <w:ind w:left="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 4 customers)</w:t>
            </w:r>
          </w:p>
        </w:tc>
      </w:tr>
      <w:tr w:rsidR="0022607C" w:rsidRPr="0022607C" w14:paraId="4CE0B1AA" w14:textId="77777777" w:rsidTr="00A32484">
        <w:tc>
          <w:tcPr>
            <w:cnfStyle w:val="001000000000" w:firstRow="0" w:lastRow="0" w:firstColumn="1" w:lastColumn="0" w:oddVBand="0" w:evenVBand="0" w:oddHBand="0" w:evenHBand="0" w:firstRowFirstColumn="0" w:firstRowLastColumn="0" w:lastRowFirstColumn="0" w:lastRowLastColumn="0"/>
            <w:tcW w:w="3256" w:type="dxa"/>
          </w:tcPr>
          <w:p w14:paraId="09497A1D" w14:textId="77777777" w:rsidR="0022607C" w:rsidRPr="0022607C" w:rsidRDefault="0022607C" w:rsidP="0022607C">
            <w:pPr>
              <w:spacing w:before="60" w:after="60"/>
              <w:rPr>
                <w:rFonts w:asciiTheme="majorHAnsi" w:hAnsiTheme="majorHAnsi" w:cstheme="majorHAnsi"/>
                <w:color w:val="0070C0"/>
                <w:shd w:val="clear" w:color="auto" w:fill="FAF9F8"/>
              </w:rPr>
            </w:pPr>
            <w:r w:rsidRPr="0022607C">
              <w:rPr>
                <w:rFonts w:asciiTheme="majorHAnsi" w:hAnsiTheme="majorHAnsi" w:cstheme="majorHAnsi"/>
                <w:color w:val="0070C0"/>
                <w:shd w:val="clear" w:color="auto" w:fill="FAF9F8"/>
              </w:rPr>
              <w:t>Traditional Owners</w:t>
            </w:r>
          </w:p>
        </w:tc>
        <w:tc>
          <w:tcPr>
            <w:tcW w:w="3118" w:type="dxa"/>
          </w:tcPr>
          <w:p w14:paraId="62DE614E" w14:textId="77777777" w:rsidR="0022607C" w:rsidRPr="0022607C" w:rsidRDefault="0022607C" w:rsidP="00561B01">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tcPr>
          <w:p w14:paraId="0847E513"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Newsletter from SRW Managing Director providing PS2023 contextual information and the basic process (n=6)</w:t>
            </w:r>
          </w:p>
          <w:p w14:paraId="492BC76B"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A letter to inform of PS2023 was sent to groups (n= 6) </w:t>
            </w:r>
          </w:p>
          <w:p w14:paraId="2F8E3295"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An email invitation to participate in targeted discussions on PS2023 (n=6)</w:t>
            </w:r>
          </w:p>
          <w:p w14:paraId="7D374861"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Targeted discussion (n=1) to </w:t>
            </w:r>
            <w:r w:rsidRPr="0022607C">
              <w:rPr>
                <w:rFonts w:asciiTheme="majorHAnsi" w:hAnsiTheme="majorHAnsi" w:cstheme="majorHAnsi"/>
                <w:b/>
                <w:bCs/>
              </w:rPr>
              <w:t>understand</w:t>
            </w:r>
            <w:r w:rsidRPr="0022607C">
              <w:rPr>
                <w:rFonts w:asciiTheme="majorHAnsi" w:hAnsiTheme="majorHAnsi" w:cstheme="majorHAnsi"/>
              </w:rPr>
              <w:t xml:space="preserve"> needs and values and </w:t>
            </w:r>
            <w:r w:rsidRPr="0022607C">
              <w:rPr>
                <w:rFonts w:asciiTheme="majorHAnsi" w:hAnsiTheme="majorHAnsi" w:cstheme="majorHAnsi"/>
                <w:b/>
                <w:bCs/>
              </w:rPr>
              <w:t>test</w:t>
            </w:r>
            <w:r w:rsidRPr="0022607C">
              <w:rPr>
                <w:rFonts w:asciiTheme="majorHAnsi" w:hAnsiTheme="majorHAnsi" w:cstheme="majorHAnsi"/>
              </w:rPr>
              <w:t xml:space="preserve"> price-service proposals</w:t>
            </w:r>
          </w:p>
        </w:tc>
      </w:tr>
      <w:tr w:rsidR="0022607C" w:rsidRPr="0022607C" w14:paraId="6444C98A" w14:textId="77777777" w:rsidTr="00A32484">
        <w:tc>
          <w:tcPr>
            <w:cnfStyle w:val="001000000000" w:firstRow="0" w:lastRow="0" w:firstColumn="1" w:lastColumn="0" w:oddVBand="0" w:evenVBand="0" w:oddHBand="0" w:evenHBand="0" w:firstRowFirstColumn="0" w:firstRowLastColumn="0" w:lastRowFirstColumn="0" w:lastRowLastColumn="0"/>
            <w:tcW w:w="3256" w:type="dxa"/>
          </w:tcPr>
          <w:p w14:paraId="630CAD7C" w14:textId="77777777" w:rsidR="0022607C" w:rsidRPr="0022607C" w:rsidRDefault="0022607C" w:rsidP="0022607C">
            <w:pPr>
              <w:spacing w:before="60" w:after="60"/>
              <w:rPr>
                <w:rFonts w:asciiTheme="majorHAnsi" w:hAnsiTheme="majorHAnsi" w:cstheme="majorHAnsi"/>
                <w:color w:val="0070C0"/>
                <w:shd w:val="clear" w:color="auto" w:fill="FAF9F8"/>
              </w:rPr>
            </w:pPr>
            <w:r w:rsidRPr="0022607C">
              <w:rPr>
                <w:rFonts w:asciiTheme="majorHAnsi" w:hAnsiTheme="majorHAnsi" w:cstheme="majorHAnsi"/>
                <w:color w:val="0070C0"/>
                <w:shd w:val="clear" w:color="auto" w:fill="FAF9F8"/>
              </w:rPr>
              <w:t>Bulk entitlement holders</w:t>
            </w:r>
          </w:p>
        </w:tc>
        <w:tc>
          <w:tcPr>
            <w:tcW w:w="3118" w:type="dxa"/>
          </w:tcPr>
          <w:p w14:paraId="78684902" w14:textId="77777777" w:rsidR="0022607C" w:rsidRPr="0022607C" w:rsidRDefault="0022607C" w:rsidP="00E50239">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tcPr>
          <w:p w14:paraId="53C5BF32"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Targeted discussions (n=9) to </w:t>
            </w:r>
            <w:r w:rsidRPr="0022607C">
              <w:rPr>
                <w:rFonts w:asciiTheme="majorHAnsi" w:hAnsiTheme="majorHAnsi" w:cstheme="majorHAnsi"/>
                <w:b/>
                <w:bCs/>
              </w:rPr>
              <w:t>understand</w:t>
            </w:r>
            <w:r w:rsidRPr="0022607C">
              <w:rPr>
                <w:rFonts w:asciiTheme="majorHAnsi" w:hAnsiTheme="majorHAnsi" w:cstheme="majorHAnsi"/>
              </w:rPr>
              <w:t xml:space="preserve"> their needs and values and </w:t>
            </w:r>
            <w:r w:rsidRPr="0022607C">
              <w:rPr>
                <w:rFonts w:asciiTheme="majorHAnsi" w:hAnsiTheme="majorHAnsi" w:cstheme="majorHAnsi"/>
                <w:b/>
                <w:bCs/>
              </w:rPr>
              <w:t>test</w:t>
            </w:r>
            <w:r w:rsidRPr="0022607C">
              <w:rPr>
                <w:rFonts w:asciiTheme="majorHAnsi" w:hAnsiTheme="majorHAnsi" w:cstheme="majorHAnsi"/>
              </w:rPr>
              <w:t xml:space="preserve"> price-service proposals</w:t>
            </w:r>
          </w:p>
        </w:tc>
      </w:tr>
      <w:tr w:rsidR="0022607C" w:rsidRPr="0022607C" w14:paraId="2231971A" w14:textId="77777777" w:rsidTr="00A32484">
        <w:tc>
          <w:tcPr>
            <w:cnfStyle w:val="001000000000" w:firstRow="0" w:lastRow="0" w:firstColumn="1" w:lastColumn="0" w:oddVBand="0" w:evenVBand="0" w:oddHBand="0" w:evenHBand="0" w:firstRowFirstColumn="0" w:firstRowLastColumn="0" w:lastRowFirstColumn="0" w:lastRowLastColumn="0"/>
            <w:tcW w:w="3256" w:type="dxa"/>
          </w:tcPr>
          <w:p w14:paraId="3DF48DF2" w14:textId="77777777" w:rsidR="0022607C" w:rsidRPr="0022607C" w:rsidRDefault="0022607C" w:rsidP="0022607C">
            <w:pPr>
              <w:spacing w:before="60" w:after="60"/>
              <w:rPr>
                <w:rFonts w:asciiTheme="majorHAnsi" w:hAnsiTheme="majorHAnsi" w:cstheme="majorHAnsi"/>
                <w:color w:val="000000"/>
                <w:shd w:val="clear" w:color="auto" w:fill="FAF9F8"/>
              </w:rPr>
            </w:pPr>
            <w:r w:rsidRPr="0022607C">
              <w:rPr>
                <w:rFonts w:asciiTheme="majorHAnsi" w:hAnsiTheme="majorHAnsi" w:cstheme="majorHAnsi"/>
                <w:color w:val="0070C0"/>
                <w:shd w:val="clear" w:color="auto" w:fill="FAF9F8"/>
              </w:rPr>
              <w:t xml:space="preserve">Other water corporations </w:t>
            </w:r>
            <w:r w:rsidRPr="0022607C">
              <w:rPr>
                <w:rFonts w:asciiTheme="majorHAnsi" w:hAnsiTheme="majorHAnsi" w:cstheme="majorHAnsi"/>
                <w:color w:val="000000"/>
                <w:shd w:val="clear" w:color="auto" w:fill="FAF9F8"/>
              </w:rPr>
              <w:t>(as licence holders)</w:t>
            </w:r>
          </w:p>
        </w:tc>
        <w:tc>
          <w:tcPr>
            <w:tcW w:w="3118" w:type="dxa"/>
          </w:tcPr>
          <w:p w14:paraId="69F65C72" w14:textId="77777777" w:rsidR="0022607C" w:rsidRPr="0022607C" w:rsidRDefault="0022607C" w:rsidP="00E50239">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tcPr>
          <w:p w14:paraId="2B4571F5"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 xml:space="preserve">Emails informing and inviting targeted discussions (n=7) to </w:t>
            </w:r>
            <w:r w:rsidRPr="0022607C">
              <w:rPr>
                <w:rFonts w:asciiTheme="majorHAnsi" w:hAnsiTheme="majorHAnsi" w:cstheme="majorHAnsi"/>
                <w:b/>
                <w:bCs/>
              </w:rPr>
              <w:t>understand</w:t>
            </w:r>
            <w:r w:rsidRPr="0022607C">
              <w:rPr>
                <w:rFonts w:asciiTheme="majorHAnsi" w:hAnsiTheme="majorHAnsi" w:cstheme="majorHAnsi"/>
              </w:rPr>
              <w:t xml:space="preserve"> their needs and values and </w:t>
            </w:r>
            <w:r w:rsidRPr="0022607C">
              <w:rPr>
                <w:rFonts w:asciiTheme="majorHAnsi" w:hAnsiTheme="majorHAnsi" w:cstheme="majorHAnsi"/>
                <w:b/>
                <w:bCs/>
              </w:rPr>
              <w:t>test</w:t>
            </w:r>
            <w:r w:rsidRPr="0022607C">
              <w:rPr>
                <w:rFonts w:asciiTheme="majorHAnsi" w:hAnsiTheme="majorHAnsi" w:cstheme="majorHAnsi"/>
              </w:rPr>
              <w:t xml:space="preserve"> price-service proposals</w:t>
            </w:r>
          </w:p>
        </w:tc>
      </w:tr>
      <w:tr w:rsidR="0022607C" w:rsidRPr="0022607C" w14:paraId="22123065" w14:textId="77777777" w:rsidTr="00A32484">
        <w:tc>
          <w:tcPr>
            <w:cnfStyle w:val="001000000000" w:firstRow="0" w:lastRow="0" w:firstColumn="1" w:lastColumn="0" w:oddVBand="0" w:evenVBand="0" w:oddHBand="0" w:evenHBand="0" w:firstRowFirstColumn="0" w:firstRowLastColumn="0" w:lastRowFirstColumn="0" w:lastRowLastColumn="0"/>
            <w:tcW w:w="3256" w:type="dxa"/>
          </w:tcPr>
          <w:p w14:paraId="637E84C7" w14:textId="77777777" w:rsidR="0022607C" w:rsidRPr="0022607C" w:rsidRDefault="0022607C" w:rsidP="0022607C">
            <w:pPr>
              <w:spacing w:before="60" w:after="60"/>
              <w:rPr>
                <w:rFonts w:asciiTheme="majorHAnsi" w:hAnsiTheme="majorHAnsi" w:cstheme="majorHAnsi"/>
                <w:color w:val="0070C0"/>
                <w:shd w:val="clear" w:color="auto" w:fill="FAF9F8"/>
              </w:rPr>
            </w:pPr>
            <w:r w:rsidRPr="0022607C">
              <w:rPr>
                <w:rFonts w:asciiTheme="majorHAnsi" w:hAnsiTheme="majorHAnsi" w:cstheme="majorHAnsi"/>
                <w:color w:val="0070C0"/>
                <w:shd w:val="clear" w:color="auto" w:fill="FAF9F8"/>
              </w:rPr>
              <w:t>Vulnerable customer support service</w:t>
            </w:r>
          </w:p>
        </w:tc>
        <w:tc>
          <w:tcPr>
            <w:tcW w:w="3118" w:type="dxa"/>
          </w:tcPr>
          <w:p w14:paraId="07B8B950" w14:textId="77777777" w:rsidR="0022607C" w:rsidRPr="0022607C" w:rsidRDefault="0022607C" w:rsidP="00E50239">
            <w:pPr>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N/A</w:t>
            </w:r>
          </w:p>
        </w:tc>
        <w:tc>
          <w:tcPr>
            <w:tcW w:w="3260" w:type="dxa"/>
          </w:tcPr>
          <w:p w14:paraId="54A9DE92"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Independently conducted semi structured online interview (n=1) with the Rural Financial Counselling Service (RFCS in association with SGW customer engagement</w:t>
            </w:r>
          </w:p>
          <w:p w14:paraId="13CC5CD6" w14:textId="77777777" w:rsidR="0022607C" w:rsidRPr="0022607C" w:rsidRDefault="0022607C" w:rsidP="00F459A2">
            <w:pPr>
              <w:numPr>
                <w:ilvl w:val="0"/>
                <w:numId w:val="63"/>
              </w:numPr>
              <w:snapToGrid w:val="0"/>
              <w:spacing w:before="60" w:after="60"/>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One CRG member is also an RFCS Board member</w:t>
            </w:r>
          </w:p>
        </w:tc>
      </w:tr>
    </w:tbl>
    <w:p w14:paraId="2ED76471"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97" w:name="_Toc111731001"/>
      <w:r w:rsidRPr="0022607C">
        <w:rPr>
          <w:rFonts w:asciiTheme="majorHAnsi" w:eastAsia="Times New Roman" w:hAnsiTheme="majorHAnsi" w:cstheme="majorHAnsi"/>
          <w:b/>
          <w:bCs/>
          <w:snapToGrid w:val="0"/>
          <w:color w:val="0070C0"/>
          <w:kern w:val="32"/>
          <w:sz w:val="28"/>
          <w:szCs w:val="32"/>
          <w:lang w:eastAsia="en-AU"/>
        </w:rPr>
        <w:t>Informing and consulting via an Engagement Hub</w:t>
      </w:r>
      <w:bookmarkEnd w:id="97"/>
    </w:p>
    <w:p w14:paraId="1834FD0C"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8" w:name="_Toc111731002"/>
      <w:r w:rsidRPr="0022607C">
        <w:rPr>
          <w:rFonts w:asciiTheme="majorHAnsi" w:eastAsia="Times New Roman" w:hAnsiTheme="majorHAnsi" w:cstheme="majorHAnsi"/>
          <w:b/>
          <w:iCs/>
          <w:color w:val="0070C0"/>
          <w:kern w:val="32"/>
          <w:sz w:val="24"/>
          <w:szCs w:val="28"/>
          <w:lang w:eastAsia="en-AU"/>
        </w:rPr>
        <w:t>Context</w:t>
      </w:r>
      <w:bookmarkEnd w:id="98"/>
    </w:p>
    <w:p w14:paraId="43DC7F7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In establishing this engagement framework, SRW was keen to increase its customer engagement through the use of technology. </w:t>
      </w:r>
    </w:p>
    <w:p w14:paraId="7D12C45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COVID-19 restrictions were in place for the early phases of engagement.  This limited SRW’s opportunity to engage in person across the regions. Communicating through technology was important given these circumstances.</w:t>
      </w:r>
    </w:p>
    <w:p w14:paraId="5403C5E0"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Whilst SRW had a number of existing engagement tools, such as its website and customer newsletters, a social media presence and contact details of individual customers, these different engagement tools serve different communication purposes.  For example, SMS and email can be used for individualised messaging whereas social media and SRW’s website are platforms for more generic information dissemination about the Price Submission or directing interested people to an online engagement platform.</w:t>
      </w:r>
    </w:p>
    <w:p w14:paraId="2FCB151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Throughout PS2023 SRW continued to leverage existing communication channels where possible. In addition, SRW was keen to invest in a trial of a dedicated online engagement platform to centralise its PS2023 activities.</w:t>
      </w:r>
    </w:p>
    <w:p w14:paraId="1CF4F0B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‘Engagement Hub’ platform was chosen as the online tool to hold all the information related to PS2023.  The platform was updated throughout the duration of the project.  A screenshot of the Engagement Hub can be seen in Figure 4-1.</w:t>
      </w:r>
    </w:p>
    <w:p w14:paraId="7BC382C1" w14:textId="155F3A48"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5</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PS2023 Engagement Hub landing page, June 2022</w:t>
      </w:r>
    </w:p>
    <w:p w14:paraId="167C23F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noProof/>
          <w:sz w:val="21"/>
          <w:szCs w:val="24"/>
          <w:lang w:eastAsia="en-AU"/>
        </w:rPr>
        <w:drawing>
          <wp:inline distT="0" distB="0" distL="0" distR="0" wp14:anchorId="1739BDBB" wp14:editId="1D307D89">
            <wp:extent cx="6029325" cy="4992727"/>
            <wp:effectExtent l="0" t="0" r="0" b="0"/>
            <wp:docPr id="40" name="Picture 40"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website&#10;&#10;Description automatically generated"/>
                    <pic:cNvPicPr/>
                  </pic:nvPicPr>
                  <pic:blipFill>
                    <a:blip r:embed="rId57"/>
                    <a:stretch>
                      <a:fillRect/>
                    </a:stretch>
                  </pic:blipFill>
                  <pic:spPr>
                    <a:xfrm>
                      <a:off x="0" y="0"/>
                      <a:ext cx="6067958" cy="5024718"/>
                    </a:xfrm>
                    <a:prstGeom prst="rect">
                      <a:avLst/>
                    </a:prstGeom>
                  </pic:spPr>
                </pic:pic>
              </a:graphicData>
            </a:graphic>
          </wp:inline>
        </w:drawing>
      </w:r>
    </w:p>
    <w:p w14:paraId="337DA71C" w14:textId="77777777" w:rsidR="0022607C" w:rsidRPr="0022607C" w:rsidRDefault="0022607C" w:rsidP="0022607C">
      <w:pPr>
        <w:spacing w:after="0" w:line="240" w:lineRule="auto"/>
        <w:rPr>
          <w:rFonts w:asciiTheme="majorHAnsi" w:eastAsia="Times New Roman" w:hAnsiTheme="majorHAnsi" w:cstheme="majorHAnsi"/>
          <w:b/>
          <w:iCs/>
          <w:color w:val="0070C0"/>
          <w:kern w:val="32"/>
          <w:sz w:val="24"/>
          <w:szCs w:val="28"/>
          <w:lang w:eastAsia="en-AU"/>
        </w:rPr>
      </w:pPr>
      <w:r w:rsidRPr="0022607C">
        <w:rPr>
          <w:rFonts w:asciiTheme="majorHAnsi" w:eastAsia="Times New Roman" w:hAnsiTheme="majorHAnsi" w:cstheme="majorHAnsi"/>
          <w:color w:val="808080"/>
          <w:sz w:val="20"/>
          <w:szCs w:val="20"/>
          <w:lang w:eastAsia="en-GB"/>
        </w:rPr>
        <w:br w:type="page"/>
      </w:r>
    </w:p>
    <w:p w14:paraId="76809CDC"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99" w:name="_Toc111731003"/>
      <w:r w:rsidRPr="0022607C">
        <w:rPr>
          <w:rFonts w:asciiTheme="majorHAnsi" w:eastAsia="Times New Roman" w:hAnsiTheme="majorHAnsi" w:cstheme="majorHAnsi"/>
          <w:b/>
          <w:iCs/>
          <w:color w:val="0070C0"/>
          <w:kern w:val="32"/>
          <w:sz w:val="24"/>
          <w:szCs w:val="28"/>
          <w:lang w:eastAsia="en-AU"/>
        </w:rPr>
        <w:t>Engagement Hub purpose</w:t>
      </w:r>
      <w:bookmarkEnd w:id="99"/>
    </w:p>
    <w:p w14:paraId="3F0E8CE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purpose of the Engagement Hub was to provide customers, community, partners and stakeholders with a portal to centralise public facing information and facilitate engagement activities related to PS2023.  The Engagement Hub is a toolbox for managing stakeholder engagement and engagement materials.  It also allows stakeholders to participate at a level that suits them, ranging from it being a centralised information source through to a platform where stakeholders can register to participate in discussions and receive notifications of information updates and activities.  Those who engage more informally without registering can still view content and vote on polls.</w:t>
      </w:r>
    </w:p>
    <w:p w14:paraId="2C40197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PS2023 provided SRW with an opportunity to trial the value of an online engagement platform, with a view that beyond PS2023 it could be used more broadly to engage on other matters.</w:t>
      </w:r>
    </w:p>
    <w:p w14:paraId="321DAFC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0" w:name="_Toc111731004"/>
      <w:r w:rsidRPr="0022607C">
        <w:rPr>
          <w:rFonts w:asciiTheme="majorHAnsi" w:eastAsia="Times New Roman" w:hAnsiTheme="majorHAnsi" w:cstheme="majorHAnsi"/>
          <w:b/>
          <w:iCs/>
          <w:color w:val="0070C0"/>
          <w:kern w:val="32"/>
          <w:sz w:val="24"/>
          <w:szCs w:val="28"/>
          <w:lang w:eastAsia="en-AU"/>
        </w:rPr>
        <w:t>Choice of engagement platform</w:t>
      </w:r>
      <w:bookmarkEnd w:id="100"/>
    </w:p>
    <w:p w14:paraId="37ECBB4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BC Team provided advice and recommendations for the engagement platform at the outset of the project. SRW decided on the Engagement Hub platform as it was simple to use and interact with and could be retained beyond the PS2023 project for future SRW engagement activities if it was established to be a successful tool for engaging with SRW customers.</w:t>
      </w:r>
    </w:p>
    <w:p w14:paraId="0FD8B0A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BC Team facilitated the contractual arrangements and implemented the engagement platform with SRW input, including training and ongoing administration.</w:t>
      </w:r>
    </w:p>
    <w:p w14:paraId="06FD3901"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BC Team built the content on the Engagement Hub.  It was also their role to monitor and maintain content on the engagement platform including adding and removing content.</w:t>
      </w:r>
    </w:p>
    <w:p w14:paraId="3B80A265"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1" w:name="_Toc111731005"/>
      <w:r w:rsidRPr="0022607C">
        <w:rPr>
          <w:rFonts w:asciiTheme="majorHAnsi" w:eastAsia="Times New Roman" w:hAnsiTheme="majorHAnsi" w:cstheme="majorHAnsi"/>
          <w:b/>
          <w:iCs/>
          <w:color w:val="0070C0"/>
          <w:kern w:val="32"/>
          <w:sz w:val="24"/>
          <w:szCs w:val="28"/>
          <w:lang w:eastAsia="en-AU"/>
        </w:rPr>
        <w:t>Information contained on the Engagement Hub</w:t>
      </w:r>
      <w:bookmarkEnd w:id="101"/>
    </w:p>
    <w:p w14:paraId="50E2DE0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Engagement Hub was used to disseminate communication materials and live updates about activities and information throughout the PS2023 engagement period. Customers were encouraged to sign up to the Engagement Hub to follow SRW’s PS2023 activities as they progressed through the four phases.</w:t>
      </w:r>
    </w:p>
    <w:p w14:paraId="2A6C642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Details of the content posted on the Engagement Hub were listed in Chapter 4.  Additionally, the Engagement Hub was used to:</w:t>
      </w:r>
    </w:p>
    <w:p w14:paraId="1B4AC2B9"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Promote the Phase 1 and Phase 3 customer surveys (see Chapter 6)</w:t>
      </w:r>
    </w:p>
    <w:p w14:paraId="1E1D0089"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Provide customers and the community with news about SRW’s other engagement activities and events such as its open-house sessions</w:t>
      </w:r>
    </w:p>
    <w:p w14:paraId="59AA4CA1"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Provide a booking and registration process for SRW’s open-house sessions</w:t>
      </w:r>
    </w:p>
    <w:p w14:paraId="754A938D"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Initiate online discussion, although attempts to encourage discussion among Engagement Hub users were unsuccessful</w:t>
      </w:r>
    </w:p>
    <w:p w14:paraId="490B8AF9"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House published documents (in addition to the communications materials mentioned in Chapter 4) that could be of interest to customers in relation to SRW’s PS2023</w:t>
      </w:r>
    </w:p>
    <w:p w14:paraId="5ADF4AF2"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Provide statistical information on PS2023 information dissemination and engagement</w:t>
      </w:r>
    </w:p>
    <w:p w14:paraId="434B139C" w14:textId="77777777" w:rsidR="0022607C" w:rsidRPr="0022607C" w:rsidRDefault="0022607C" w:rsidP="0022607C">
      <w:pPr>
        <w:spacing w:after="0" w:line="240" w:lineRule="auto"/>
        <w:rPr>
          <w:rFonts w:asciiTheme="majorHAnsi" w:eastAsia="Times New Roman" w:hAnsiTheme="majorHAnsi" w:cstheme="majorHAnsi"/>
          <w:b/>
          <w:iCs/>
          <w:color w:val="0070C0"/>
          <w:kern w:val="32"/>
          <w:sz w:val="24"/>
          <w:szCs w:val="28"/>
          <w:lang w:eastAsia="en-AU"/>
        </w:rPr>
      </w:pPr>
      <w:r w:rsidRPr="0022607C">
        <w:rPr>
          <w:rFonts w:asciiTheme="majorHAnsi" w:eastAsia="Times New Roman" w:hAnsiTheme="majorHAnsi" w:cstheme="majorHAnsi"/>
          <w:color w:val="808080"/>
          <w:sz w:val="20"/>
          <w:szCs w:val="20"/>
          <w:lang w:eastAsia="en-GB"/>
        </w:rPr>
        <w:br w:type="page"/>
      </w:r>
    </w:p>
    <w:p w14:paraId="323C1E8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2" w:name="_Toc111731006"/>
      <w:r w:rsidRPr="0022607C">
        <w:rPr>
          <w:rFonts w:asciiTheme="majorHAnsi" w:eastAsia="Times New Roman" w:hAnsiTheme="majorHAnsi" w:cstheme="majorHAnsi"/>
          <w:b/>
          <w:iCs/>
          <w:color w:val="0070C0"/>
          <w:kern w:val="32"/>
          <w:sz w:val="24"/>
          <w:szCs w:val="28"/>
          <w:lang w:eastAsia="en-AU"/>
        </w:rPr>
        <w:t>Customer and stakeholder interaction with the Engagement Hub</w:t>
      </w:r>
      <w:bookmarkEnd w:id="102"/>
    </w:p>
    <w:p w14:paraId="476B756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following table details customer and stakeholder interaction with the Engagement Hub between 20 September 2021 when it was launched and the end of 19 July 2022.  It is evident from these statistics that the Engagement Hub has potential as an information source, given the number of page views and the reasonable number of unique visitors.  However, the statistics suggest that visitors are reluctant to register or engage further.  The small number of registrations and engaged stakeholders is likely to be due to a combination of factors such as:</w:t>
      </w:r>
    </w:p>
    <w:p w14:paraId="0085081B" w14:textId="77777777" w:rsidR="0022607C" w:rsidRPr="0022607C" w:rsidRDefault="0022607C" w:rsidP="00F459A2">
      <w:pPr>
        <w:numPr>
          <w:ilvl w:val="0"/>
          <w:numId w:val="67"/>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Lack of interest in engaging further </w:t>
      </w:r>
    </w:p>
    <w:p w14:paraId="0A94B30D" w14:textId="77777777" w:rsidR="0022607C" w:rsidRPr="0022607C" w:rsidRDefault="0022607C" w:rsidP="00F459A2">
      <w:pPr>
        <w:numPr>
          <w:ilvl w:val="0"/>
          <w:numId w:val="67"/>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Lack of awareness or understanding of the purpose of registering</w:t>
      </w:r>
    </w:p>
    <w:p w14:paraId="05A5B8E4" w14:textId="77777777" w:rsidR="0022607C" w:rsidRPr="0022607C" w:rsidRDefault="0022607C" w:rsidP="00F459A2">
      <w:pPr>
        <w:numPr>
          <w:ilvl w:val="0"/>
          <w:numId w:val="67"/>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Lack of familiarity and trust in such platforms</w:t>
      </w:r>
    </w:p>
    <w:p w14:paraId="41B2C687" w14:textId="77777777" w:rsidR="0022607C" w:rsidRPr="0022607C" w:rsidRDefault="0022607C" w:rsidP="00F459A2">
      <w:pPr>
        <w:numPr>
          <w:ilvl w:val="0"/>
          <w:numId w:val="67"/>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Lack of digital skills</w:t>
      </w:r>
    </w:p>
    <w:p w14:paraId="0276F403" w14:textId="77777777" w:rsidR="0022607C" w:rsidRPr="0022607C" w:rsidRDefault="0022607C" w:rsidP="00F459A2">
      <w:pPr>
        <w:numPr>
          <w:ilvl w:val="0"/>
          <w:numId w:val="67"/>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General engagement fatigue as noted elsewhere in this report</w:t>
      </w:r>
    </w:p>
    <w:p w14:paraId="287BD37C" w14:textId="2F37FB0E"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2</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Engagement Hub interaction measures</w:t>
      </w:r>
    </w:p>
    <w:tbl>
      <w:tblPr>
        <w:tblStyle w:val="GridTable1Light-Accent6"/>
        <w:tblW w:w="0" w:type="auto"/>
        <w:tblLook w:val="04A0" w:firstRow="1" w:lastRow="0" w:firstColumn="1" w:lastColumn="0" w:noHBand="0" w:noVBand="1"/>
      </w:tblPr>
      <w:tblGrid>
        <w:gridCol w:w="1838"/>
        <w:gridCol w:w="5812"/>
        <w:gridCol w:w="1805"/>
      </w:tblGrid>
      <w:tr w:rsidR="0022607C" w:rsidRPr="0022607C" w14:paraId="01BA1F6D"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16CFEF6" w14:textId="77777777" w:rsidR="0022607C" w:rsidRPr="0022607C" w:rsidRDefault="0022607C" w:rsidP="0022607C">
            <w:pPr>
              <w:spacing w:before="120" w:after="120"/>
              <w:rPr>
                <w:rFonts w:asciiTheme="majorHAnsi" w:hAnsiTheme="majorHAnsi" w:cstheme="majorHAnsi"/>
                <w:sz w:val="20"/>
              </w:rPr>
            </w:pPr>
            <w:r w:rsidRPr="0022607C">
              <w:rPr>
                <w:rFonts w:asciiTheme="majorHAnsi" w:hAnsiTheme="majorHAnsi" w:cstheme="majorHAnsi"/>
                <w:sz w:val="20"/>
              </w:rPr>
              <w:t>Measure</w:t>
            </w:r>
          </w:p>
        </w:tc>
        <w:tc>
          <w:tcPr>
            <w:tcW w:w="5812" w:type="dxa"/>
          </w:tcPr>
          <w:p w14:paraId="3D7DF5B7" w14:textId="77777777" w:rsidR="0022607C" w:rsidRPr="0022607C" w:rsidRDefault="0022607C" w:rsidP="0022607C">
            <w:pPr>
              <w:spacing w:before="120" w:after="12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22607C">
              <w:rPr>
                <w:rFonts w:asciiTheme="majorHAnsi" w:hAnsiTheme="majorHAnsi" w:cstheme="majorHAnsi"/>
                <w:sz w:val="20"/>
              </w:rPr>
              <w:t>Meaning</w:t>
            </w:r>
          </w:p>
        </w:tc>
        <w:tc>
          <w:tcPr>
            <w:tcW w:w="1805" w:type="dxa"/>
          </w:tcPr>
          <w:p w14:paraId="244838DC" w14:textId="77777777" w:rsidR="0022607C" w:rsidRPr="0022607C" w:rsidRDefault="0022607C" w:rsidP="0022607C">
            <w:pPr>
              <w:spacing w:before="120" w:after="120"/>
              <w:ind w:right="572"/>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rPr>
            </w:pPr>
            <w:r w:rsidRPr="0022607C">
              <w:rPr>
                <w:rFonts w:asciiTheme="majorHAnsi" w:hAnsiTheme="majorHAnsi" w:cstheme="majorHAnsi"/>
                <w:sz w:val="20"/>
              </w:rPr>
              <w:t>Number</w:t>
            </w:r>
          </w:p>
        </w:tc>
      </w:tr>
      <w:tr w:rsidR="0022607C" w:rsidRPr="0022607C" w14:paraId="42BC3B46" w14:textId="77777777" w:rsidTr="00E50239">
        <w:tc>
          <w:tcPr>
            <w:cnfStyle w:val="001000000000" w:firstRow="0" w:lastRow="0" w:firstColumn="1" w:lastColumn="0" w:oddVBand="0" w:evenVBand="0" w:oddHBand="0" w:evenHBand="0" w:firstRowFirstColumn="0" w:firstRowLastColumn="0" w:lastRowFirstColumn="0" w:lastRowLastColumn="0"/>
            <w:tcW w:w="1838" w:type="dxa"/>
          </w:tcPr>
          <w:p w14:paraId="5C54415B" w14:textId="77777777" w:rsidR="0022607C" w:rsidRPr="0022607C" w:rsidRDefault="0022607C" w:rsidP="0022607C">
            <w:pPr>
              <w:spacing w:before="120" w:after="120"/>
              <w:rPr>
                <w:rFonts w:asciiTheme="majorHAnsi" w:hAnsiTheme="majorHAnsi" w:cstheme="majorHAnsi"/>
                <w:bCs w:val="0"/>
                <w:sz w:val="20"/>
              </w:rPr>
            </w:pPr>
            <w:r w:rsidRPr="0022607C">
              <w:rPr>
                <w:rFonts w:asciiTheme="majorHAnsi" w:hAnsiTheme="majorHAnsi" w:cstheme="majorHAnsi"/>
                <w:bCs w:val="0"/>
                <w:sz w:val="20"/>
              </w:rPr>
              <w:t>Total page views</w:t>
            </w:r>
          </w:p>
        </w:tc>
        <w:tc>
          <w:tcPr>
            <w:tcW w:w="5812" w:type="dxa"/>
          </w:tcPr>
          <w:p w14:paraId="275C3912"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The number of pages viewed by users within the PS2023 Engagement Hub “project”</w:t>
            </w:r>
          </w:p>
        </w:tc>
        <w:tc>
          <w:tcPr>
            <w:tcW w:w="1805" w:type="dxa"/>
          </w:tcPr>
          <w:p w14:paraId="18063F6F" w14:textId="77777777" w:rsidR="0022607C" w:rsidRPr="0022607C" w:rsidRDefault="0022607C" w:rsidP="0022607C">
            <w:pPr>
              <w:spacing w:before="120" w:after="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4,919 views</w:t>
            </w:r>
          </w:p>
        </w:tc>
      </w:tr>
      <w:tr w:rsidR="0022607C" w:rsidRPr="0022607C" w14:paraId="69B4EC3C" w14:textId="77777777" w:rsidTr="00E50239">
        <w:tc>
          <w:tcPr>
            <w:cnfStyle w:val="001000000000" w:firstRow="0" w:lastRow="0" w:firstColumn="1" w:lastColumn="0" w:oddVBand="0" w:evenVBand="0" w:oddHBand="0" w:evenHBand="0" w:firstRowFirstColumn="0" w:firstRowLastColumn="0" w:lastRowFirstColumn="0" w:lastRowLastColumn="0"/>
            <w:tcW w:w="1838" w:type="dxa"/>
          </w:tcPr>
          <w:p w14:paraId="4A3ABDE0" w14:textId="77777777" w:rsidR="0022607C" w:rsidRPr="0022607C" w:rsidRDefault="0022607C" w:rsidP="0022607C">
            <w:pPr>
              <w:spacing w:before="120" w:after="120"/>
              <w:rPr>
                <w:rFonts w:asciiTheme="majorHAnsi" w:hAnsiTheme="majorHAnsi" w:cstheme="majorHAnsi"/>
                <w:bCs w:val="0"/>
                <w:sz w:val="20"/>
              </w:rPr>
            </w:pPr>
            <w:r w:rsidRPr="0022607C">
              <w:rPr>
                <w:rFonts w:asciiTheme="majorHAnsi" w:hAnsiTheme="majorHAnsi" w:cstheme="majorHAnsi"/>
                <w:bCs w:val="0"/>
                <w:sz w:val="20"/>
              </w:rPr>
              <w:t>Total unique visitors in portal</w:t>
            </w:r>
          </w:p>
        </w:tc>
        <w:tc>
          <w:tcPr>
            <w:tcW w:w="5812" w:type="dxa"/>
          </w:tcPr>
          <w:p w14:paraId="4A932539"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The number of visitors who visited the PS2023 Engagement Bub (excluding project administrator visits)</w:t>
            </w:r>
          </w:p>
        </w:tc>
        <w:tc>
          <w:tcPr>
            <w:tcW w:w="1805" w:type="dxa"/>
          </w:tcPr>
          <w:p w14:paraId="0A07D64D" w14:textId="77777777" w:rsidR="0022607C" w:rsidRPr="0022607C" w:rsidRDefault="0022607C" w:rsidP="0022607C">
            <w:pPr>
              <w:spacing w:before="120" w:after="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1,302 customers/</w:t>
            </w:r>
            <w:r w:rsidRPr="0022607C">
              <w:rPr>
                <w:rFonts w:asciiTheme="majorHAnsi" w:hAnsiTheme="majorHAnsi" w:cstheme="majorHAnsi"/>
                <w:b/>
                <w:sz w:val="20"/>
              </w:rPr>
              <w:br/>
              <w:t>stakeholders</w:t>
            </w:r>
          </w:p>
        </w:tc>
      </w:tr>
      <w:tr w:rsidR="0022607C" w:rsidRPr="0022607C" w14:paraId="6C9614AD" w14:textId="77777777" w:rsidTr="00E50239">
        <w:tc>
          <w:tcPr>
            <w:cnfStyle w:val="001000000000" w:firstRow="0" w:lastRow="0" w:firstColumn="1" w:lastColumn="0" w:oddVBand="0" w:evenVBand="0" w:oddHBand="0" w:evenHBand="0" w:firstRowFirstColumn="0" w:firstRowLastColumn="0" w:lastRowFirstColumn="0" w:lastRowLastColumn="0"/>
            <w:tcW w:w="1838" w:type="dxa"/>
          </w:tcPr>
          <w:p w14:paraId="5CD7B6B3" w14:textId="77777777" w:rsidR="0022607C" w:rsidRPr="0022607C" w:rsidRDefault="0022607C" w:rsidP="0022607C">
            <w:pPr>
              <w:spacing w:before="120" w:after="120"/>
              <w:rPr>
                <w:rFonts w:asciiTheme="majorHAnsi" w:hAnsiTheme="majorHAnsi" w:cstheme="majorHAnsi"/>
                <w:bCs w:val="0"/>
                <w:sz w:val="20"/>
              </w:rPr>
            </w:pPr>
            <w:r w:rsidRPr="0022607C">
              <w:rPr>
                <w:rFonts w:asciiTheme="majorHAnsi" w:hAnsiTheme="majorHAnsi" w:cstheme="majorHAnsi"/>
                <w:bCs w:val="0"/>
                <w:sz w:val="20"/>
              </w:rPr>
              <w:t>Total aware stakeholders</w:t>
            </w:r>
          </w:p>
        </w:tc>
        <w:tc>
          <w:tcPr>
            <w:tcW w:w="5812" w:type="dxa"/>
          </w:tcPr>
          <w:p w14:paraId="5A88E95C"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Registered users who viewed content in the PS2023 project but had not taken any action on the Engagement Hub platform</w:t>
            </w:r>
          </w:p>
        </w:tc>
        <w:tc>
          <w:tcPr>
            <w:tcW w:w="1805" w:type="dxa"/>
          </w:tcPr>
          <w:p w14:paraId="516D63AF" w14:textId="77777777" w:rsidR="0022607C" w:rsidRPr="0022607C" w:rsidRDefault="0022607C" w:rsidP="0022607C">
            <w:pPr>
              <w:spacing w:before="120" w:after="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70 customers/</w:t>
            </w:r>
            <w:r w:rsidRPr="0022607C">
              <w:rPr>
                <w:rFonts w:asciiTheme="majorHAnsi" w:hAnsiTheme="majorHAnsi" w:cstheme="majorHAnsi"/>
                <w:b/>
                <w:sz w:val="20"/>
              </w:rPr>
              <w:br/>
              <w:t>stakeholders</w:t>
            </w:r>
          </w:p>
        </w:tc>
      </w:tr>
      <w:tr w:rsidR="0022607C" w:rsidRPr="0022607C" w14:paraId="119D20AF" w14:textId="77777777" w:rsidTr="00E50239">
        <w:tc>
          <w:tcPr>
            <w:cnfStyle w:val="001000000000" w:firstRow="0" w:lastRow="0" w:firstColumn="1" w:lastColumn="0" w:oddVBand="0" w:evenVBand="0" w:oddHBand="0" w:evenHBand="0" w:firstRowFirstColumn="0" w:firstRowLastColumn="0" w:lastRowFirstColumn="0" w:lastRowLastColumn="0"/>
            <w:tcW w:w="1838" w:type="dxa"/>
          </w:tcPr>
          <w:p w14:paraId="54A42476" w14:textId="77777777" w:rsidR="0022607C" w:rsidRPr="0022607C" w:rsidRDefault="0022607C" w:rsidP="0022607C">
            <w:pPr>
              <w:spacing w:before="120" w:after="120"/>
              <w:rPr>
                <w:rFonts w:asciiTheme="majorHAnsi" w:hAnsiTheme="majorHAnsi" w:cstheme="majorHAnsi"/>
                <w:bCs w:val="0"/>
                <w:sz w:val="20"/>
              </w:rPr>
            </w:pPr>
            <w:r w:rsidRPr="0022607C">
              <w:rPr>
                <w:rFonts w:asciiTheme="majorHAnsi" w:hAnsiTheme="majorHAnsi" w:cstheme="majorHAnsi"/>
                <w:bCs w:val="0"/>
                <w:sz w:val="20"/>
              </w:rPr>
              <w:t>Total informed stakeholders</w:t>
            </w:r>
          </w:p>
        </w:tc>
        <w:tc>
          <w:tcPr>
            <w:tcW w:w="5812" w:type="dxa"/>
          </w:tcPr>
          <w:p w14:paraId="3817A732"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Visitors (unregistered users) and registered users who have been active on the hub including viewing/downloading a document, watching a video, reading FAQs or latest news items</w:t>
            </w:r>
          </w:p>
        </w:tc>
        <w:tc>
          <w:tcPr>
            <w:tcW w:w="1805" w:type="dxa"/>
          </w:tcPr>
          <w:p w14:paraId="7E760B51" w14:textId="77777777" w:rsidR="0022607C" w:rsidRPr="0022607C" w:rsidRDefault="0022607C" w:rsidP="0022607C">
            <w:pPr>
              <w:spacing w:before="120" w:after="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75 customers/</w:t>
            </w:r>
            <w:r w:rsidRPr="0022607C">
              <w:rPr>
                <w:rFonts w:asciiTheme="majorHAnsi" w:hAnsiTheme="majorHAnsi" w:cstheme="majorHAnsi"/>
                <w:b/>
                <w:sz w:val="20"/>
              </w:rPr>
              <w:br/>
              <w:t>stakeholders</w:t>
            </w:r>
          </w:p>
        </w:tc>
      </w:tr>
      <w:tr w:rsidR="0022607C" w:rsidRPr="0022607C" w14:paraId="4E22CBD3" w14:textId="77777777" w:rsidTr="00E50239">
        <w:tc>
          <w:tcPr>
            <w:cnfStyle w:val="001000000000" w:firstRow="0" w:lastRow="0" w:firstColumn="1" w:lastColumn="0" w:oddVBand="0" w:evenVBand="0" w:oddHBand="0" w:evenHBand="0" w:firstRowFirstColumn="0" w:firstRowLastColumn="0" w:lastRowFirstColumn="0" w:lastRowLastColumn="0"/>
            <w:tcW w:w="1838" w:type="dxa"/>
          </w:tcPr>
          <w:p w14:paraId="53FB8F99" w14:textId="77777777" w:rsidR="0022607C" w:rsidRPr="0022607C" w:rsidRDefault="0022607C" w:rsidP="0022607C">
            <w:pPr>
              <w:spacing w:before="120" w:after="120"/>
              <w:rPr>
                <w:rFonts w:asciiTheme="majorHAnsi" w:hAnsiTheme="majorHAnsi" w:cstheme="majorHAnsi"/>
                <w:bCs w:val="0"/>
                <w:sz w:val="20"/>
              </w:rPr>
            </w:pPr>
            <w:r w:rsidRPr="0022607C">
              <w:rPr>
                <w:rFonts w:asciiTheme="majorHAnsi" w:hAnsiTheme="majorHAnsi" w:cstheme="majorHAnsi"/>
                <w:bCs w:val="0"/>
                <w:sz w:val="20"/>
              </w:rPr>
              <w:t>Total engaged stakeholders</w:t>
            </w:r>
          </w:p>
        </w:tc>
        <w:tc>
          <w:tcPr>
            <w:tcW w:w="5812" w:type="dxa"/>
          </w:tcPr>
          <w:p w14:paraId="74C0B8FF"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The number of unique registered users who have actively participated in Engagement Hub activities including completing a survey or quick poll, registered for an event, made a comment or reply on interactive mapping, interactive image, ideas wall, extended ideas wall, or a forum</w:t>
            </w:r>
          </w:p>
        </w:tc>
        <w:tc>
          <w:tcPr>
            <w:tcW w:w="1805" w:type="dxa"/>
          </w:tcPr>
          <w:p w14:paraId="2085F55E" w14:textId="77777777" w:rsidR="0022607C" w:rsidRPr="0022607C" w:rsidRDefault="0022607C" w:rsidP="0022607C">
            <w:pPr>
              <w:spacing w:before="120" w:after="12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sz w:val="20"/>
              </w:rPr>
            </w:pPr>
            <w:r w:rsidRPr="0022607C">
              <w:rPr>
                <w:rFonts w:asciiTheme="majorHAnsi" w:hAnsiTheme="majorHAnsi" w:cstheme="majorHAnsi"/>
                <w:b/>
                <w:sz w:val="20"/>
              </w:rPr>
              <w:t>9 customers/</w:t>
            </w:r>
            <w:r w:rsidRPr="0022607C">
              <w:rPr>
                <w:rFonts w:asciiTheme="majorHAnsi" w:hAnsiTheme="majorHAnsi" w:cstheme="majorHAnsi"/>
                <w:b/>
                <w:sz w:val="20"/>
              </w:rPr>
              <w:br/>
              <w:t>stakeholders</w:t>
            </w:r>
          </w:p>
        </w:tc>
      </w:tr>
    </w:tbl>
    <w:p w14:paraId="27F22BB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highlight w:val="yellow"/>
          <w:lang w:eastAsia="en-AU"/>
        </w:rPr>
      </w:pPr>
    </w:p>
    <w:p w14:paraId="108462C1"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03" w:name="_Toc111731007"/>
      <w:r w:rsidRPr="0022607C">
        <w:rPr>
          <w:rFonts w:asciiTheme="majorHAnsi" w:eastAsia="Times New Roman" w:hAnsiTheme="majorHAnsi" w:cstheme="majorHAnsi"/>
          <w:b/>
          <w:bCs/>
          <w:snapToGrid w:val="0"/>
          <w:color w:val="0070C0"/>
          <w:kern w:val="32"/>
          <w:sz w:val="28"/>
          <w:szCs w:val="32"/>
          <w:lang w:eastAsia="en-AU"/>
        </w:rPr>
        <w:t>Informing: PS2023 communications</w:t>
      </w:r>
      <w:bookmarkEnd w:id="103"/>
    </w:p>
    <w:p w14:paraId="41CD33F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 preparing its Engagement Framework and Request for Proposal for its PS2023 engagement SRW identified some requirements for communications collateral as follows:</w:t>
      </w:r>
    </w:p>
    <w:p w14:paraId="784F9139"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Generally informing customers about PS2023 (informing)</w:t>
      </w:r>
    </w:p>
    <w:p w14:paraId="1F8339A3"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Informing customers about specific PS2023 proposals (informing)</w:t>
      </w:r>
    </w:p>
    <w:p w14:paraId="0846D47F"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Informing customers about SRW’s engagement activities (informing)</w:t>
      </w:r>
    </w:p>
    <w:p w14:paraId="2052BB0B"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Seeking customer reactions to proposals, values and their desired outcomes (consulting and involving)</w:t>
      </w:r>
    </w:p>
    <w:p w14:paraId="20DE6399" w14:textId="77777777" w:rsidR="0022607C" w:rsidRPr="0022607C" w:rsidRDefault="0022607C" w:rsidP="00F459A2">
      <w:pPr>
        <w:numPr>
          <w:ilvl w:val="0"/>
          <w:numId w:val="51"/>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Facilitating specific engagement activities (e.g. agenda, posters and interactive presentations for real or virtual “open house” engagement activities)</w:t>
      </w:r>
    </w:p>
    <w:p w14:paraId="0E9FACD1"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 particular, collateral was required for diverse audiences from customers and other stakeholders to staff and the Board.  The BC Team worked closely with SRW to develop visually engaging and easily understandable communications materials customised for different audiences and purposes for each engagement phase and activity.</w:t>
      </w:r>
    </w:p>
    <w:p w14:paraId="1EB5854D" w14:textId="77777777" w:rsidR="0022607C" w:rsidRPr="0022607C" w:rsidRDefault="0022607C" w:rsidP="0022607C">
      <w:pPr>
        <w:spacing w:before="120" w:after="120" w:line="240" w:lineRule="auto"/>
        <w:jc w:val="both"/>
        <w:rPr>
          <w:rFonts w:asciiTheme="majorHAnsi" w:eastAsia="Times New Roman" w:hAnsiTheme="majorHAnsi" w:cstheme="majorHAnsi"/>
          <w:noProof/>
          <w:sz w:val="21"/>
          <w:szCs w:val="24"/>
          <w:lang w:eastAsia="en-AU"/>
        </w:rPr>
      </w:pPr>
      <w:r w:rsidRPr="0022607C">
        <w:rPr>
          <w:rFonts w:asciiTheme="majorHAnsi" w:eastAsia="Times New Roman" w:hAnsiTheme="majorHAnsi" w:cstheme="majorHAnsi"/>
          <w:sz w:val="21"/>
          <w:szCs w:val="24"/>
          <w:lang w:eastAsia="en-AU"/>
        </w:rPr>
        <w:t>As previously mentioned, the BC Team facilitated the establishment of the Engagement Hub for SRW to house and share PS2023 information (see Section 4).</w:t>
      </w:r>
      <w:r w:rsidRPr="0022607C">
        <w:rPr>
          <w:rFonts w:asciiTheme="majorHAnsi" w:eastAsia="Times New Roman" w:hAnsiTheme="majorHAnsi" w:cstheme="majorHAnsi"/>
          <w:noProof/>
          <w:sz w:val="21"/>
          <w:szCs w:val="24"/>
          <w:lang w:eastAsia="en-AU"/>
        </w:rPr>
        <w:t xml:space="preserve"> </w:t>
      </w:r>
    </w:p>
    <w:p w14:paraId="34C7975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various forms of communications materials produced for and by SRW are listed below and on the following pages.</w:t>
      </w:r>
    </w:p>
    <w:p w14:paraId="6806B40F"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4" w:name="_Toc111731008"/>
      <w:r w:rsidRPr="0022607C">
        <w:rPr>
          <w:rFonts w:asciiTheme="majorHAnsi" w:eastAsia="Times New Roman" w:hAnsiTheme="majorHAnsi" w:cstheme="majorHAnsi"/>
          <w:b/>
          <w:iCs/>
          <w:color w:val="0070C0"/>
          <w:kern w:val="32"/>
          <w:sz w:val="24"/>
          <w:szCs w:val="28"/>
          <w:lang w:eastAsia="en-AU"/>
        </w:rPr>
        <w:t>Fact sheets</w:t>
      </w:r>
      <w:bookmarkEnd w:id="104"/>
    </w:p>
    <w:p w14:paraId="6436852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BC Team worked closely with SRW throughout all Phases to produce Fact Sheets aimed at informing customers, the community and other stakeholders on various aspects of SRW’s PS2023 as detailed in Table 5-1.</w:t>
      </w:r>
    </w:p>
    <w:p w14:paraId="1A9F23FA"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 general, SRW and/or the BC Team would identify the need for a Fact Sheet.  SRW would provide the initial content which the BC Team would review with a “customer-friendly lens”, design and layout in a visually appealing format, and produce the final versions for SRW.</w:t>
      </w:r>
    </w:p>
    <w:p w14:paraId="6633FC7E" w14:textId="56FBE411"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3</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PS2023 fact sheets</w:t>
      </w:r>
    </w:p>
    <w:tbl>
      <w:tblPr>
        <w:tblStyle w:val="GridTable1Light-Accent6"/>
        <w:tblW w:w="0" w:type="auto"/>
        <w:tblLook w:val="04A0" w:firstRow="1" w:lastRow="0" w:firstColumn="1" w:lastColumn="0" w:noHBand="0" w:noVBand="1"/>
      </w:tblPr>
      <w:tblGrid>
        <w:gridCol w:w="1073"/>
        <w:gridCol w:w="1681"/>
        <w:gridCol w:w="3593"/>
        <w:gridCol w:w="3118"/>
      </w:tblGrid>
      <w:tr w:rsidR="0022607C" w:rsidRPr="0022607C" w14:paraId="2B803767"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3" w:type="dxa"/>
          </w:tcPr>
          <w:p w14:paraId="736A6355" w14:textId="77777777" w:rsidR="0022607C" w:rsidRPr="0022607C" w:rsidRDefault="0022607C" w:rsidP="0022607C">
            <w:pPr>
              <w:spacing w:before="60" w:after="60"/>
              <w:jc w:val="both"/>
              <w:rPr>
                <w:rFonts w:asciiTheme="majorHAnsi" w:hAnsiTheme="majorHAnsi" w:cstheme="majorHAnsi"/>
                <w:sz w:val="20"/>
                <w:szCs w:val="20"/>
              </w:rPr>
            </w:pPr>
            <w:r w:rsidRPr="0022607C">
              <w:rPr>
                <w:rFonts w:asciiTheme="majorHAnsi" w:hAnsiTheme="majorHAnsi" w:cstheme="majorHAnsi"/>
                <w:bCs w:val="0"/>
                <w:sz w:val="20"/>
                <w:szCs w:val="20"/>
              </w:rPr>
              <w:t>When published</w:t>
            </w:r>
          </w:p>
        </w:tc>
        <w:tc>
          <w:tcPr>
            <w:tcW w:w="1681" w:type="dxa"/>
          </w:tcPr>
          <w:p w14:paraId="5371B3DB"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Fact Sheet Title</w:t>
            </w:r>
          </w:p>
        </w:tc>
        <w:tc>
          <w:tcPr>
            <w:tcW w:w="3593" w:type="dxa"/>
          </w:tcPr>
          <w:p w14:paraId="4C0DBBB0"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Brief description</w:t>
            </w:r>
          </w:p>
        </w:tc>
        <w:tc>
          <w:tcPr>
            <w:tcW w:w="3118" w:type="dxa"/>
          </w:tcPr>
          <w:p w14:paraId="45E634B1" w14:textId="77777777" w:rsidR="0022607C" w:rsidRPr="0022607C" w:rsidRDefault="0022607C" w:rsidP="0022607C">
            <w:pPr>
              <w:spacing w:before="60" w:after="6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Distribution</w:t>
            </w:r>
          </w:p>
        </w:tc>
      </w:tr>
      <w:tr w:rsidR="0022607C" w:rsidRPr="0022607C" w14:paraId="6F360F98" w14:textId="77777777" w:rsidTr="00E50239">
        <w:tc>
          <w:tcPr>
            <w:cnfStyle w:val="001000000000" w:firstRow="0" w:lastRow="0" w:firstColumn="1" w:lastColumn="0" w:oddVBand="0" w:evenVBand="0" w:oddHBand="0" w:evenHBand="0" w:firstRowFirstColumn="0" w:firstRowLastColumn="0" w:lastRowFirstColumn="0" w:lastRowLastColumn="0"/>
            <w:tcW w:w="1073" w:type="dxa"/>
          </w:tcPr>
          <w:p w14:paraId="70DA40BC"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1</w:t>
            </w:r>
          </w:p>
        </w:tc>
        <w:tc>
          <w:tcPr>
            <w:tcW w:w="1681" w:type="dxa"/>
          </w:tcPr>
          <w:p w14:paraId="7FF24FB9"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Price Submission 2023-28</w:t>
            </w:r>
          </w:p>
        </w:tc>
        <w:tc>
          <w:tcPr>
            <w:tcW w:w="3593" w:type="dxa"/>
          </w:tcPr>
          <w:p w14:paraId="0DE96DE9"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One page fact sheet with timeline for each phase and a brief description of a Price Submission and SRW’s engagement plans</w:t>
            </w:r>
          </w:p>
        </w:tc>
        <w:tc>
          <w:tcPr>
            <w:tcW w:w="3118" w:type="dxa"/>
          </w:tcPr>
          <w:p w14:paraId="4F2A474E"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23FE5600"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CRG</w:t>
            </w:r>
          </w:p>
        </w:tc>
      </w:tr>
      <w:tr w:rsidR="0022607C" w:rsidRPr="0022607C" w14:paraId="447F2D80" w14:textId="77777777" w:rsidTr="00E50239">
        <w:tc>
          <w:tcPr>
            <w:cnfStyle w:val="001000000000" w:firstRow="0" w:lastRow="0" w:firstColumn="1" w:lastColumn="0" w:oddVBand="0" w:evenVBand="0" w:oddHBand="0" w:evenHBand="0" w:firstRowFirstColumn="0" w:firstRowLastColumn="0" w:lastRowFirstColumn="0" w:lastRowLastColumn="0"/>
            <w:tcW w:w="1073" w:type="dxa"/>
          </w:tcPr>
          <w:p w14:paraId="08013302"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1</w:t>
            </w:r>
          </w:p>
        </w:tc>
        <w:tc>
          <w:tcPr>
            <w:tcW w:w="1681" w:type="dxa"/>
          </w:tcPr>
          <w:p w14:paraId="310E7FB6"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Price Submission 2023-28</w:t>
            </w:r>
          </w:p>
        </w:tc>
        <w:tc>
          <w:tcPr>
            <w:tcW w:w="3593" w:type="dxa"/>
          </w:tcPr>
          <w:p w14:paraId="1446347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One page fact sheet with timeline for each phase and a brief description of a Price Submission and SRW’s engagement plans, a brief description of the Phase 1 customer survey and a QR code with a survey link</w:t>
            </w:r>
          </w:p>
        </w:tc>
        <w:tc>
          <w:tcPr>
            <w:tcW w:w="3118" w:type="dxa"/>
          </w:tcPr>
          <w:p w14:paraId="6458BBA2"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3B232B57"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Customer Bills</w:t>
            </w:r>
          </w:p>
          <w:p w14:paraId="4F427B40"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CRG</w:t>
            </w:r>
          </w:p>
        </w:tc>
      </w:tr>
      <w:tr w:rsidR="0022607C" w:rsidRPr="0022607C" w14:paraId="68C3366B" w14:textId="77777777" w:rsidTr="00E50239">
        <w:tc>
          <w:tcPr>
            <w:cnfStyle w:val="001000000000" w:firstRow="0" w:lastRow="0" w:firstColumn="1" w:lastColumn="0" w:oddVBand="0" w:evenVBand="0" w:oddHBand="0" w:evenHBand="0" w:firstRowFirstColumn="0" w:firstRowLastColumn="0" w:lastRowFirstColumn="0" w:lastRowLastColumn="0"/>
            <w:tcW w:w="1073" w:type="dxa"/>
          </w:tcPr>
          <w:p w14:paraId="5E016CE0"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1</w:t>
            </w:r>
          </w:p>
        </w:tc>
        <w:tc>
          <w:tcPr>
            <w:tcW w:w="1681" w:type="dxa"/>
          </w:tcPr>
          <w:p w14:paraId="77BAC45C"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PS2023 Engagement Plan overview</w:t>
            </w:r>
          </w:p>
        </w:tc>
        <w:tc>
          <w:tcPr>
            <w:tcW w:w="3593" w:type="dxa"/>
          </w:tcPr>
          <w:p w14:paraId="530BE858"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Two-page overview of SRW’s Engagement Plan describing SRW’s engagement activities by Phase</w:t>
            </w:r>
          </w:p>
        </w:tc>
        <w:tc>
          <w:tcPr>
            <w:tcW w:w="3118" w:type="dxa"/>
          </w:tcPr>
          <w:p w14:paraId="0ADD599B"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tc>
      </w:tr>
      <w:tr w:rsidR="0022607C" w:rsidRPr="0022607C" w14:paraId="02E42566" w14:textId="77777777" w:rsidTr="00E50239">
        <w:tc>
          <w:tcPr>
            <w:cnfStyle w:val="001000000000" w:firstRow="0" w:lastRow="0" w:firstColumn="1" w:lastColumn="0" w:oddVBand="0" w:evenVBand="0" w:oddHBand="0" w:evenHBand="0" w:firstRowFirstColumn="0" w:firstRowLastColumn="0" w:lastRowFirstColumn="0" w:lastRowLastColumn="0"/>
            <w:tcW w:w="1073" w:type="dxa"/>
          </w:tcPr>
          <w:p w14:paraId="240BA008"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2</w:t>
            </w:r>
          </w:p>
        </w:tc>
        <w:tc>
          <w:tcPr>
            <w:tcW w:w="1681" w:type="dxa"/>
          </w:tcPr>
          <w:p w14:paraId="6D0721BA"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Customer and Community Survey</w:t>
            </w:r>
          </w:p>
        </w:tc>
        <w:tc>
          <w:tcPr>
            <w:tcW w:w="3593" w:type="dxa"/>
          </w:tcPr>
          <w:p w14:paraId="45A5E012"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Two-page overview of the Phase 1 Customer and Community Survey and results</w:t>
            </w:r>
          </w:p>
        </w:tc>
        <w:tc>
          <w:tcPr>
            <w:tcW w:w="3118" w:type="dxa"/>
          </w:tcPr>
          <w:p w14:paraId="0791E3FD"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tc>
      </w:tr>
      <w:tr w:rsidR="0022607C" w:rsidRPr="0022607C" w14:paraId="3ACEC925" w14:textId="77777777" w:rsidTr="00E50239">
        <w:tc>
          <w:tcPr>
            <w:cnfStyle w:val="001000000000" w:firstRow="0" w:lastRow="0" w:firstColumn="1" w:lastColumn="0" w:oddVBand="0" w:evenVBand="0" w:oddHBand="0" w:evenHBand="0" w:firstRowFirstColumn="0" w:firstRowLastColumn="0" w:lastRowFirstColumn="0" w:lastRowLastColumn="0"/>
            <w:tcW w:w="1073" w:type="dxa"/>
          </w:tcPr>
          <w:p w14:paraId="057B6E49"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3</w:t>
            </w:r>
          </w:p>
        </w:tc>
        <w:tc>
          <w:tcPr>
            <w:tcW w:w="1681" w:type="dxa"/>
          </w:tcPr>
          <w:p w14:paraId="6B428AC9"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Building the price proposals </w:t>
            </w:r>
          </w:p>
        </w:tc>
        <w:tc>
          <w:tcPr>
            <w:tcW w:w="3593" w:type="dxa"/>
          </w:tcPr>
          <w:p w14:paraId="72D32E8D"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Three pages describing how SRW calculates its pricing proposals based on operating and capital expenditure costs </w:t>
            </w:r>
          </w:p>
        </w:tc>
        <w:tc>
          <w:tcPr>
            <w:tcW w:w="3118" w:type="dxa"/>
          </w:tcPr>
          <w:p w14:paraId="2AADDDB8"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6B1FB77B"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Hard copies available at Open House Sessions</w:t>
            </w:r>
          </w:p>
        </w:tc>
      </w:tr>
      <w:tr w:rsidR="0022607C" w:rsidRPr="0022607C" w14:paraId="54AB88A6"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2A0753CE" w14:textId="77777777" w:rsidR="0022607C" w:rsidRPr="0022607C" w:rsidRDefault="0022607C" w:rsidP="0022607C">
            <w:pPr>
              <w:spacing w:before="60" w:after="60"/>
              <w:jc w:val="both"/>
              <w:rPr>
                <w:rFonts w:asciiTheme="majorHAnsi" w:hAnsiTheme="majorHAnsi" w:cstheme="majorHAnsi"/>
                <w:sz w:val="20"/>
                <w:szCs w:val="20"/>
              </w:rPr>
            </w:pPr>
            <w:r w:rsidRPr="0022607C">
              <w:rPr>
                <w:rFonts w:asciiTheme="majorHAnsi" w:hAnsiTheme="majorHAnsi" w:cstheme="majorHAnsi"/>
                <w:bCs w:val="0"/>
                <w:sz w:val="20"/>
                <w:szCs w:val="20"/>
              </w:rPr>
              <w:t>Phase 3</w:t>
            </w:r>
          </w:p>
        </w:tc>
        <w:tc>
          <w:tcPr>
            <w:tcW w:w="1681" w:type="dxa"/>
          </w:tcPr>
          <w:p w14:paraId="7626C49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Proposed Customer Outcomes</w:t>
            </w:r>
          </w:p>
        </w:tc>
        <w:tc>
          <w:tcPr>
            <w:tcW w:w="3593" w:type="dxa"/>
          </w:tcPr>
          <w:p w14:paraId="48521035"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One page describing SRW’s proposed Customer Outcomes and how they were developed from customer views via SRW’s CCCs, SGRF and CRG, surveys and meetings</w:t>
            </w:r>
          </w:p>
        </w:tc>
        <w:tc>
          <w:tcPr>
            <w:tcW w:w="3118" w:type="dxa"/>
          </w:tcPr>
          <w:p w14:paraId="0F449241"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tc>
      </w:tr>
      <w:tr w:rsidR="0022607C" w:rsidRPr="0022607C" w14:paraId="0392A261"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53A63B9E" w14:textId="77777777" w:rsidR="0022607C" w:rsidRPr="0022607C" w:rsidRDefault="0022607C" w:rsidP="0022607C">
            <w:pPr>
              <w:spacing w:before="60" w:after="60"/>
              <w:jc w:val="both"/>
              <w:rPr>
                <w:rFonts w:asciiTheme="majorHAnsi" w:hAnsiTheme="majorHAnsi" w:cstheme="majorHAnsi"/>
                <w:sz w:val="20"/>
                <w:szCs w:val="20"/>
              </w:rPr>
            </w:pPr>
            <w:r w:rsidRPr="0022607C">
              <w:rPr>
                <w:rFonts w:asciiTheme="majorHAnsi" w:hAnsiTheme="majorHAnsi" w:cstheme="majorHAnsi"/>
                <w:bCs w:val="0"/>
                <w:sz w:val="20"/>
                <w:szCs w:val="20"/>
              </w:rPr>
              <w:t>Phase 3</w:t>
            </w:r>
          </w:p>
        </w:tc>
        <w:tc>
          <w:tcPr>
            <w:tcW w:w="1681" w:type="dxa"/>
          </w:tcPr>
          <w:p w14:paraId="2B4A0B25"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BMID Pricing Options</w:t>
            </w:r>
          </w:p>
        </w:tc>
        <w:tc>
          <w:tcPr>
            <w:tcW w:w="3593" w:type="dxa"/>
          </w:tcPr>
          <w:p w14:paraId="529A4FC0"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 pages providing an overview of proposed price increases and indicative bill impacts</w:t>
            </w:r>
          </w:p>
        </w:tc>
        <w:tc>
          <w:tcPr>
            <w:tcW w:w="3118" w:type="dxa"/>
          </w:tcPr>
          <w:p w14:paraId="04F25344"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5F711B5D"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Open-house session</w:t>
            </w:r>
          </w:p>
          <w:p w14:paraId="11339974"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Excerpts were included in presentation to the CRG, CCCs and SGRF</w:t>
            </w:r>
          </w:p>
        </w:tc>
      </w:tr>
      <w:tr w:rsidR="0022607C" w:rsidRPr="0022607C" w14:paraId="4A7B413B"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2B6C0F4C"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3</w:t>
            </w:r>
          </w:p>
        </w:tc>
        <w:tc>
          <w:tcPr>
            <w:tcW w:w="1681" w:type="dxa"/>
          </w:tcPr>
          <w:p w14:paraId="6B93A8F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MIA Pricing Options</w:t>
            </w:r>
          </w:p>
        </w:tc>
        <w:tc>
          <w:tcPr>
            <w:tcW w:w="3593" w:type="dxa"/>
          </w:tcPr>
          <w:p w14:paraId="1AC58A62"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 pages providing an overview of proposed price increases and indicative bill impacts</w:t>
            </w:r>
          </w:p>
        </w:tc>
        <w:tc>
          <w:tcPr>
            <w:tcW w:w="3118" w:type="dxa"/>
          </w:tcPr>
          <w:p w14:paraId="275AA141"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5AE8F14F"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Open-house session</w:t>
            </w:r>
          </w:p>
          <w:p w14:paraId="357E5478"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Excerpts were included in presentation to the CRG, CCCs and SGRF</w:t>
            </w:r>
          </w:p>
        </w:tc>
      </w:tr>
      <w:tr w:rsidR="0022607C" w:rsidRPr="0022607C" w14:paraId="5DA2508D"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758252C4"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3</w:t>
            </w:r>
          </w:p>
        </w:tc>
        <w:tc>
          <w:tcPr>
            <w:tcW w:w="1681" w:type="dxa"/>
          </w:tcPr>
          <w:p w14:paraId="23AE1D58"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WID Pricing Options</w:t>
            </w:r>
          </w:p>
        </w:tc>
        <w:tc>
          <w:tcPr>
            <w:tcW w:w="3593" w:type="dxa"/>
          </w:tcPr>
          <w:p w14:paraId="69A8816C"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 pages providing an overview of proposed price increases and indicative bill impacts</w:t>
            </w:r>
          </w:p>
        </w:tc>
        <w:tc>
          <w:tcPr>
            <w:tcW w:w="3118" w:type="dxa"/>
          </w:tcPr>
          <w:p w14:paraId="0079FEE1"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6333ADC4"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Open-house session</w:t>
            </w:r>
          </w:p>
          <w:p w14:paraId="509E229A"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Excerpts were included in presentation to the CRG, CCCs and SGRF</w:t>
            </w:r>
          </w:p>
        </w:tc>
      </w:tr>
      <w:tr w:rsidR="0022607C" w:rsidRPr="0022607C" w14:paraId="00111FE7"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36F90C90"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3</w:t>
            </w:r>
          </w:p>
        </w:tc>
        <w:tc>
          <w:tcPr>
            <w:tcW w:w="1681" w:type="dxa"/>
          </w:tcPr>
          <w:p w14:paraId="0B63B3E7"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G&amp;R Pricing Options</w:t>
            </w:r>
          </w:p>
        </w:tc>
        <w:tc>
          <w:tcPr>
            <w:tcW w:w="3593" w:type="dxa"/>
          </w:tcPr>
          <w:p w14:paraId="0AF95241"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Two pages providing an overview of proposed price increases and indicative bill impacts</w:t>
            </w:r>
          </w:p>
        </w:tc>
        <w:tc>
          <w:tcPr>
            <w:tcW w:w="3118" w:type="dxa"/>
          </w:tcPr>
          <w:p w14:paraId="19D536F8"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23AA9A24"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Open-house session</w:t>
            </w:r>
          </w:p>
          <w:p w14:paraId="62E82CF2"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Excerpts were included in presentation to the CRG, CCCs and SGRF</w:t>
            </w:r>
          </w:p>
        </w:tc>
      </w:tr>
      <w:tr w:rsidR="0022607C" w:rsidRPr="0022607C" w14:paraId="0496EDAB" w14:textId="77777777" w:rsidTr="00E50239">
        <w:trPr>
          <w:trHeight w:val="293"/>
        </w:trPr>
        <w:tc>
          <w:tcPr>
            <w:cnfStyle w:val="001000000000" w:firstRow="0" w:lastRow="0" w:firstColumn="1" w:lastColumn="0" w:oddVBand="0" w:evenVBand="0" w:oddHBand="0" w:evenHBand="0" w:firstRowFirstColumn="0" w:firstRowLastColumn="0" w:lastRowFirstColumn="0" w:lastRowLastColumn="0"/>
            <w:tcW w:w="1073" w:type="dxa"/>
          </w:tcPr>
          <w:p w14:paraId="2C01882F" w14:textId="77777777" w:rsidR="0022607C" w:rsidRPr="0022607C" w:rsidRDefault="0022607C" w:rsidP="0022607C">
            <w:pPr>
              <w:spacing w:before="60" w:after="60"/>
              <w:jc w:val="both"/>
              <w:rPr>
                <w:rFonts w:asciiTheme="majorHAnsi" w:hAnsiTheme="majorHAnsi" w:cstheme="majorHAnsi"/>
                <w:bCs w:val="0"/>
                <w:sz w:val="20"/>
                <w:szCs w:val="20"/>
              </w:rPr>
            </w:pPr>
            <w:r w:rsidRPr="0022607C">
              <w:rPr>
                <w:rFonts w:asciiTheme="majorHAnsi" w:hAnsiTheme="majorHAnsi" w:cstheme="majorHAnsi"/>
                <w:bCs w:val="0"/>
                <w:sz w:val="20"/>
                <w:szCs w:val="20"/>
              </w:rPr>
              <w:t>Phase 4</w:t>
            </w:r>
          </w:p>
        </w:tc>
        <w:tc>
          <w:tcPr>
            <w:tcW w:w="1681" w:type="dxa"/>
          </w:tcPr>
          <w:p w14:paraId="51D22D72"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Closing the loop: Price Submission 2023-2028</w:t>
            </w:r>
          </w:p>
        </w:tc>
        <w:tc>
          <w:tcPr>
            <w:tcW w:w="3593" w:type="dxa"/>
          </w:tcPr>
          <w:p w14:paraId="072642A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A 13-page document summarising SRW’s engagement, what it heard from customers and its proposed price-service outcomes </w:t>
            </w:r>
          </w:p>
        </w:tc>
        <w:tc>
          <w:tcPr>
            <w:tcW w:w="3118" w:type="dxa"/>
          </w:tcPr>
          <w:p w14:paraId="61D720FC" w14:textId="77777777" w:rsidR="0022607C" w:rsidRPr="0022607C" w:rsidRDefault="0022607C" w:rsidP="00F459A2">
            <w:pPr>
              <w:numPr>
                <w:ilvl w:val="0"/>
                <w:numId w:val="65"/>
              </w:numPr>
              <w:snapToGrid w:val="0"/>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15193F1D" w14:textId="77777777" w:rsidR="0022607C" w:rsidRPr="0022607C" w:rsidRDefault="0022607C" w:rsidP="00F459A2">
            <w:pPr>
              <w:numPr>
                <w:ilvl w:val="0"/>
                <w:numId w:val="65"/>
              </w:numPr>
              <w:snapToGrid w:val="0"/>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Stakeholders including CRG, CCCs and SGRF</w:t>
            </w:r>
          </w:p>
        </w:tc>
      </w:tr>
    </w:tbl>
    <w:p w14:paraId="2D285A17"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5" w:name="_Toc111731009"/>
      <w:r w:rsidRPr="0022607C">
        <w:rPr>
          <w:rFonts w:asciiTheme="majorHAnsi" w:eastAsia="Times New Roman" w:hAnsiTheme="majorHAnsi" w:cstheme="majorHAnsi"/>
          <w:b/>
          <w:iCs/>
          <w:color w:val="0070C0"/>
          <w:kern w:val="32"/>
          <w:sz w:val="24"/>
          <w:szCs w:val="28"/>
          <w:lang w:eastAsia="en-AU"/>
        </w:rPr>
        <w:t>Frequently Asked Questions (FAQs)</w:t>
      </w:r>
      <w:bookmarkEnd w:id="105"/>
    </w:p>
    <w:p w14:paraId="0014FB34" w14:textId="77777777" w:rsidR="0022607C" w:rsidRPr="0022607C" w:rsidRDefault="0022607C" w:rsidP="0022607C">
      <w:pPr>
        <w:spacing w:before="120" w:after="120" w:line="240" w:lineRule="auto"/>
        <w:jc w:val="both"/>
        <w:rPr>
          <w:rFonts w:asciiTheme="majorHAnsi" w:eastAsia="Times New Roman" w:hAnsiTheme="majorHAnsi" w:cstheme="majorHAnsi"/>
          <w:color w:val="000000"/>
          <w:sz w:val="21"/>
          <w:szCs w:val="24"/>
          <w:lang w:eastAsia="en-AU"/>
        </w:rPr>
      </w:pPr>
      <w:r w:rsidRPr="0022607C">
        <w:rPr>
          <w:rFonts w:asciiTheme="majorHAnsi" w:eastAsia="Times New Roman" w:hAnsiTheme="majorHAnsi" w:cstheme="majorHAnsi"/>
          <w:color w:val="000000"/>
          <w:sz w:val="21"/>
          <w:szCs w:val="24"/>
          <w:lang w:eastAsia="en-AU"/>
        </w:rPr>
        <w:t>SRW and the BC Team identified questions that customers were likely to ask, based on FAQs on SRW’s website, awareness of issues commonly raised by customers directly or through SRW’s CCCs, SGRF and social media and a review of FAQs on other water corporations’ websites.  SRW provided content to respond to the questions and the BC Team reviewed and collated them and added them to the Engagement Hub.  FAQs covered the following:</w:t>
      </w:r>
    </w:p>
    <w:p w14:paraId="3FF59B02"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General questions</w:t>
      </w:r>
    </w:p>
    <w:p w14:paraId="4C488082"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Current price submission</w:t>
      </w:r>
    </w:p>
    <w:p w14:paraId="1476C81B"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prices are set</w:t>
      </w:r>
    </w:p>
    <w:p w14:paraId="2BE77539"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happened last time?</w:t>
      </w:r>
    </w:p>
    <w:p w14:paraId="6988D522"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Engagement questions</w:t>
      </w:r>
    </w:p>
    <w:p w14:paraId="416579DB" w14:textId="77777777" w:rsidR="0022607C" w:rsidRPr="0022607C" w:rsidRDefault="0022607C" w:rsidP="00F459A2">
      <w:pPr>
        <w:numPr>
          <w:ilvl w:val="0"/>
          <w:numId w:val="52"/>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happens next</w:t>
      </w:r>
    </w:p>
    <w:p w14:paraId="6D008DB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full list is included in Appendix C.</w:t>
      </w:r>
    </w:p>
    <w:p w14:paraId="494A7AEE" w14:textId="77777777" w:rsidR="0022607C" w:rsidRPr="0022607C" w:rsidRDefault="0022607C" w:rsidP="0022607C">
      <w:pPr>
        <w:spacing w:after="0" w:line="240" w:lineRule="auto"/>
        <w:rPr>
          <w:rFonts w:asciiTheme="majorHAnsi" w:eastAsia="Times New Roman" w:hAnsiTheme="majorHAnsi" w:cstheme="majorHAnsi"/>
          <w:b/>
          <w:iCs/>
          <w:color w:val="0070C0"/>
          <w:kern w:val="32"/>
          <w:sz w:val="24"/>
          <w:szCs w:val="28"/>
          <w:lang w:eastAsia="en-AU"/>
        </w:rPr>
      </w:pPr>
      <w:r w:rsidRPr="0022607C">
        <w:rPr>
          <w:rFonts w:asciiTheme="majorHAnsi" w:eastAsia="Times New Roman" w:hAnsiTheme="majorHAnsi" w:cstheme="majorHAnsi"/>
          <w:color w:val="808080"/>
          <w:sz w:val="20"/>
          <w:szCs w:val="20"/>
          <w:lang w:eastAsia="en-GB"/>
        </w:rPr>
        <w:br w:type="page"/>
      </w:r>
    </w:p>
    <w:p w14:paraId="495ACC42"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6" w:name="_Toc111731010"/>
      <w:r w:rsidRPr="0022607C">
        <w:rPr>
          <w:rFonts w:asciiTheme="majorHAnsi" w:eastAsia="Times New Roman" w:hAnsiTheme="majorHAnsi" w:cstheme="majorHAnsi"/>
          <w:b/>
          <w:iCs/>
          <w:color w:val="0070C0"/>
          <w:kern w:val="32"/>
          <w:sz w:val="24"/>
          <w:szCs w:val="28"/>
          <w:lang w:eastAsia="en-AU"/>
        </w:rPr>
        <w:t>Social media posts</w:t>
      </w:r>
      <w:bookmarkEnd w:id="106"/>
    </w:p>
    <w:p w14:paraId="3B5AEAFA"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SRW’s social media posts were managed by SRW, they are listed in Table 5-2 for completeness.</w:t>
      </w:r>
    </w:p>
    <w:p w14:paraId="29F53AFC" w14:textId="74C37721"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4</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SRW’s PS2023 social media posts</w:t>
      </w:r>
    </w:p>
    <w:tbl>
      <w:tblPr>
        <w:tblStyle w:val="GridTable1Light-Accent6"/>
        <w:tblW w:w="0" w:type="auto"/>
        <w:tblLook w:val="04A0" w:firstRow="1" w:lastRow="0" w:firstColumn="1" w:lastColumn="0" w:noHBand="0" w:noVBand="1"/>
      </w:tblPr>
      <w:tblGrid>
        <w:gridCol w:w="1555"/>
        <w:gridCol w:w="1842"/>
        <w:gridCol w:w="1134"/>
        <w:gridCol w:w="4924"/>
      </w:tblGrid>
      <w:tr w:rsidR="0022607C" w:rsidRPr="0022607C" w14:paraId="17D10107"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FE497EF" w14:textId="77777777" w:rsidR="0022607C" w:rsidRPr="0022607C" w:rsidRDefault="0022607C" w:rsidP="0022607C">
            <w:pPr>
              <w:spacing w:before="60" w:after="60"/>
              <w:jc w:val="both"/>
              <w:rPr>
                <w:rFonts w:asciiTheme="majorHAnsi" w:hAnsiTheme="majorHAnsi" w:cstheme="majorHAnsi"/>
                <w:sz w:val="21"/>
                <w:szCs w:val="24"/>
              </w:rPr>
            </w:pPr>
            <w:r w:rsidRPr="0022607C">
              <w:rPr>
                <w:rFonts w:asciiTheme="majorHAnsi" w:hAnsiTheme="majorHAnsi" w:cstheme="majorHAnsi"/>
                <w:sz w:val="21"/>
                <w:szCs w:val="24"/>
              </w:rPr>
              <w:t>Phase</w:t>
            </w:r>
          </w:p>
        </w:tc>
        <w:tc>
          <w:tcPr>
            <w:tcW w:w="1842" w:type="dxa"/>
          </w:tcPr>
          <w:p w14:paraId="3FA5831E" w14:textId="77777777" w:rsidR="0022607C" w:rsidRPr="0022607C" w:rsidRDefault="0022607C" w:rsidP="0022607C">
            <w:pPr>
              <w:spacing w:before="60" w:after="6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Date</w:t>
            </w:r>
          </w:p>
        </w:tc>
        <w:tc>
          <w:tcPr>
            <w:tcW w:w="1134" w:type="dxa"/>
          </w:tcPr>
          <w:p w14:paraId="4BA3E0D4" w14:textId="77777777" w:rsidR="0022607C" w:rsidRPr="0022607C" w:rsidRDefault="0022607C" w:rsidP="0022607C">
            <w:pPr>
              <w:spacing w:before="60" w:after="6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Platform</w:t>
            </w:r>
          </w:p>
        </w:tc>
        <w:tc>
          <w:tcPr>
            <w:tcW w:w="4924" w:type="dxa"/>
          </w:tcPr>
          <w:p w14:paraId="68F4F111" w14:textId="77777777" w:rsidR="0022607C" w:rsidRPr="0022607C" w:rsidRDefault="0022607C" w:rsidP="0022607C">
            <w:pPr>
              <w:spacing w:before="60" w:after="6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Purpose</w:t>
            </w:r>
          </w:p>
        </w:tc>
      </w:tr>
      <w:tr w:rsidR="0022607C" w:rsidRPr="0022607C" w14:paraId="1DF02043"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val="restart"/>
          </w:tcPr>
          <w:p w14:paraId="482139F1"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1</w:t>
            </w:r>
          </w:p>
        </w:tc>
        <w:tc>
          <w:tcPr>
            <w:tcW w:w="1842" w:type="dxa"/>
          </w:tcPr>
          <w:p w14:paraId="3DB8A892"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26 October 2021</w:t>
            </w:r>
          </w:p>
        </w:tc>
        <w:tc>
          <w:tcPr>
            <w:tcW w:w="1134" w:type="dxa"/>
          </w:tcPr>
          <w:p w14:paraId="7027B098"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p w14:paraId="3DAEA2F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Twitter</w:t>
            </w:r>
          </w:p>
        </w:tc>
        <w:tc>
          <w:tcPr>
            <w:tcW w:w="4924" w:type="dxa"/>
          </w:tcPr>
          <w:p w14:paraId="6FAEBF5C"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Promote the Phase 1 survey, and the Engagement Hub</w:t>
            </w:r>
          </w:p>
        </w:tc>
      </w:tr>
      <w:tr w:rsidR="0022607C" w:rsidRPr="0022607C" w14:paraId="4D9362AC"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20127D4A"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005D3649"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4 November 2021</w:t>
            </w:r>
          </w:p>
        </w:tc>
        <w:tc>
          <w:tcPr>
            <w:tcW w:w="1134" w:type="dxa"/>
          </w:tcPr>
          <w:p w14:paraId="12F83D0E"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tc>
        <w:tc>
          <w:tcPr>
            <w:tcW w:w="4924" w:type="dxa"/>
          </w:tcPr>
          <w:p w14:paraId="584AEDD8"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Announcement of SRW’s PS2023 with a link to the Engagement Hub</w:t>
            </w:r>
          </w:p>
        </w:tc>
      </w:tr>
      <w:tr w:rsidR="0022607C" w:rsidRPr="0022607C" w14:paraId="6173AD7B"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2A3D3F6C"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0AB6CB09"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15 December 2021</w:t>
            </w:r>
          </w:p>
        </w:tc>
        <w:tc>
          <w:tcPr>
            <w:tcW w:w="1134" w:type="dxa"/>
          </w:tcPr>
          <w:p w14:paraId="2197BF9C"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p w14:paraId="559E8502"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Twitter</w:t>
            </w:r>
          </w:p>
        </w:tc>
        <w:tc>
          <w:tcPr>
            <w:tcW w:w="4924" w:type="dxa"/>
          </w:tcPr>
          <w:p w14:paraId="3D61868D"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“Your opinion matters” to promote the Phase 1 survey, and the Engagement Hub</w:t>
            </w:r>
          </w:p>
        </w:tc>
      </w:tr>
      <w:tr w:rsidR="0022607C" w:rsidRPr="0022607C" w14:paraId="1C9993AA"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2DD334DB"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1A9F81FD"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29 December 2021</w:t>
            </w:r>
          </w:p>
        </w:tc>
        <w:tc>
          <w:tcPr>
            <w:tcW w:w="1134" w:type="dxa"/>
          </w:tcPr>
          <w:p w14:paraId="744A84DF"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p w14:paraId="69D8678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Twitter</w:t>
            </w:r>
          </w:p>
        </w:tc>
        <w:tc>
          <w:tcPr>
            <w:tcW w:w="4924" w:type="dxa"/>
          </w:tcPr>
          <w:p w14:paraId="2E08A473"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“Your opinion matters” to promote the Phase 1 survey, and the Engagement Hub</w:t>
            </w:r>
          </w:p>
        </w:tc>
      </w:tr>
      <w:tr w:rsidR="0022607C" w:rsidRPr="0022607C" w14:paraId="78FB0B6B" w14:textId="77777777" w:rsidTr="00E50239">
        <w:tc>
          <w:tcPr>
            <w:cnfStyle w:val="001000000000" w:firstRow="0" w:lastRow="0" w:firstColumn="1" w:lastColumn="0" w:oddVBand="0" w:evenVBand="0" w:oddHBand="0" w:evenHBand="0" w:firstRowFirstColumn="0" w:firstRowLastColumn="0" w:lastRowFirstColumn="0" w:lastRowLastColumn="0"/>
            <w:tcW w:w="1555" w:type="dxa"/>
          </w:tcPr>
          <w:p w14:paraId="4AC2A9F6"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1-2</w:t>
            </w:r>
          </w:p>
        </w:tc>
        <w:tc>
          <w:tcPr>
            <w:tcW w:w="1842" w:type="dxa"/>
          </w:tcPr>
          <w:p w14:paraId="28FF2DF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24 March 2022</w:t>
            </w:r>
          </w:p>
        </w:tc>
        <w:tc>
          <w:tcPr>
            <w:tcW w:w="1134" w:type="dxa"/>
          </w:tcPr>
          <w:p w14:paraId="60933046"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p w14:paraId="09AFDB94"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Twitter</w:t>
            </w:r>
          </w:p>
        </w:tc>
        <w:tc>
          <w:tcPr>
            <w:tcW w:w="4924" w:type="dxa"/>
          </w:tcPr>
          <w:p w14:paraId="3A8770B1"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Communicating feedback from the Phase 1 survey and advertising next steps in SRW’s PS2023 process</w:t>
            </w:r>
          </w:p>
        </w:tc>
      </w:tr>
      <w:tr w:rsidR="0022607C" w:rsidRPr="0022607C" w14:paraId="48AE6966"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val="restart"/>
          </w:tcPr>
          <w:p w14:paraId="51F1EEE6"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3</w:t>
            </w:r>
          </w:p>
        </w:tc>
        <w:tc>
          <w:tcPr>
            <w:tcW w:w="1842" w:type="dxa"/>
          </w:tcPr>
          <w:p w14:paraId="4966BE1A"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10 May 2022</w:t>
            </w:r>
          </w:p>
        </w:tc>
        <w:tc>
          <w:tcPr>
            <w:tcW w:w="1134" w:type="dxa"/>
          </w:tcPr>
          <w:p w14:paraId="0597CF6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p w14:paraId="2BFC61BC"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Twitter</w:t>
            </w:r>
          </w:p>
        </w:tc>
        <w:tc>
          <w:tcPr>
            <w:tcW w:w="4924" w:type="dxa"/>
          </w:tcPr>
          <w:p w14:paraId="0C3E2F6F"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Promotion of SRW’s face-to-face and online community engagement activities to test SRW’s price-service proposals</w:t>
            </w:r>
          </w:p>
        </w:tc>
      </w:tr>
      <w:tr w:rsidR="0022607C" w:rsidRPr="0022607C" w14:paraId="47519E0B"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660E511C" w14:textId="77777777" w:rsidR="0022607C" w:rsidRPr="0022607C" w:rsidRDefault="0022607C" w:rsidP="0022607C">
            <w:pPr>
              <w:spacing w:before="60" w:after="60"/>
              <w:jc w:val="both"/>
              <w:rPr>
                <w:rFonts w:asciiTheme="majorHAnsi" w:hAnsiTheme="majorHAnsi" w:cstheme="majorHAnsi"/>
                <w:sz w:val="21"/>
                <w:szCs w:val="24"/>
              </w:rPr>
            </w:pPr>
          </w:p>
        </w:tc>
        <w:tc>
          <w:tcPr>
            <w:tcW w:w="1842" w:type="dxa"/>
          </w:tcPr>
          <w:p w14:paraId="4E4A7DF5"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12 May 2022</w:t>
            </w:r>
          </w:p>
        </w:tc>
        <w:tc>
          <w:tcPr>
            <w:tcW w:w="1134" w:type="dxa"/>
          </w:tcPr>
          <w:p w14:paraId="1ACEF13B"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tc>
        <w:tc>
          <w:tcPr>
            <w:tcW w:w="4924" w:type="dxa"/>
          </w:tcPr>
          <w:p w14:paraId="10091404"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Promotion of SRW’s face-to-face and online community engagement activities to test SRW’s price-service proposals</w:t>
            </w:r>
          </w:p>
        </w:tc>
      </w:tr>
      <w:tr w:rsidR="0022607C" w:rsidRPr="0022607C" w14:paraId="37F9A5F8"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2128D581" w14:textId="77777777" w:rsidR="0022607C" w:rsidRPr="0022607C" w:rsidRDefault="0022607C" w:rsidP="0022607C">
            <w:pPr>
              <w:spacing w:before="60" w:after="60"/>
              <w:jc w:val="both"/>
              <w:rPr>
                <w:rFonts w:asciiTheme="majorHAnsi" w:hAnsiTheme="majorHAnsi" w:cstheme="majorHAnsi"/>
                <w:sz w:val="21"/>
                <w:szCs w:val="24"/>
              </w:rPr>
            </w:pPr>
          </w:p>
        </w:tc>
        <w:tc>
          <w:tcPr>
            <w:tcW w:w="1842" w:type="dxa"/>
          </w:tcPr>
          <w:p w14:paraId="3693709C"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16 May 2022</w:t>
            </w:r>
          </w:p>
        </w:tc>
        <w:tc>
          <w:tcPr>
            <w:tcW w:w="1134" w:type="dxa"/>
          </w:tcPr>
          <w:p w14:paraId="5153D3BB"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Facebook</w:t>
            </w:r>
          </w:p>
        </w:tc>
        <w:tc>
          <w:tcPr>
            <w:tcW w:w="4924" w:type="dxa"/>
          </w:tcPr>
          <w:p w14:paraId="17EE9C94"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Announcing SRW’s customer consultation session in Bacchus Marsh</w:t>
            </w:r>
          </w:p>
        </w:tc>
      </w:tr>
    </w:tbl>
    <w:p w14:paraId="7F60EA8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7" w:name="_Toc111731011"/>
      <w:r w:rsidRPr="0022607C">
        <w:rPr>
          <w:rFonts w:asciiTheme="majorHAnsi" w:eastAsia="Times New Roman" w:hAnsiTheme="majorHAnsi" w:cstheme="majorHAnsi"/>
          <w:b/>
          <w:iCs/>
          <w:color w:val="0070C0"/>
          <w:kern w:val="32"/>
          <w:sz w:val="24"/>
          <w:szCs w:val="28"/>
          <w:lang w:eastAsia="en-AU"/>
        </w:rPr>
        <w:t>Blogs</w:t>
      </w:r>
      <w:bookmarkEnd w:id="107"/>
    </w:p>
    <w:p w14:paraId="4411B87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At key stages throughout SRW’s PS2023, SRW produced a blog which it posted on the Engagement Hub’s “Latest News” section which would trigger an email to registered customers to keep them informed of SRW’s activities.  SRW produced and posted the following blogs.</w:t>
      </w:r>
    </w:p>
    <w:p w14:paraId="76DED0CC" w14:textId="21E22540"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5</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SRW’s PS2023 Engagement Hub “Latest News” posts</w:t>
      </w:r>
    </w:p>
    <w:tbl>
      <w:tblPr>
        <w:tblStyle w:val="GridTable1Light-Accent6"/>
        <w:tblW w:w="9493" w:type="dxa"/>
        <w:tblLook w:val="04A0" w:firstRow="1" w:lastRow="0" w:firstColumn="1" w:lastColumn="0" w:noHBand="0" w:noVBand="1"/>
      </w:tblPr>
      <w:tblGrid>
        <w:gridCol w:w="1555"/>
        <w:gridCol w:w="1842"/>
        <w:gridCol w:w="6096"/>
      </w:tblGrid>
      <w:tr w:rsidR="0022607C" w:rsidRPr="0022607C" w14:paraId="2661796B"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CFD0FF4" w14:textId="77777777" w:rsidR="0022607C" w:rsidRPr="0022607C" w:rsidRDefault="0022607C" w:rsidP="0022607C">
            <w:pPr>
              <w:spacing w:before="60" w:after="60"/>
              <w:jc w:val="both"/>
              <w:rPr>
                <w:rFonts w:asciiTheme="majorHAnsi" w:hAnsiTheme="majorHAnsi" w:cstheme="majorHAnsi"/>
                <w:sz w:val="21"/>
                <w:szCs w:val="24"/>
              </w:rPr>
            </w:pPr>
            <w:r w:rsidRPr="0022607C">
              <w:rPr>
                <w:rFonts w:asciiTheme="majorHAnsi" w:hAnsiTheme="majorHAnsi" w:cstheme="majorHAnsi"/>
                <w:sz w:val="21"/>
                <w:szCs w:val="24"/>
              </w:rPr>
              <w:t>Phase</w:t>
            </w:r>
          </w:p>
        </w:tc>
        <w:tc>
          <w:tcPr>
            <w:tcW w:w="1842" w:type="dxa"/>
          </w:tcPr>
          <w:p w14:paraId="7359E891"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Date posted</w:t>
            </w:r>
          </w:p>
        </w:tc>
        <w:tc>
          <w:tcPr>
            <w:tcW w:w="6096" w:type="dxa"/>
          </w:tcPr>
          <w:p w14:paraId="5B3BF637" w14:textId="77777777" w:rsidR="0022607C" w:rsidRPr="0022607C" w:rsidRDefault="0022607C" w:rsidP="0022607C">
            <w:pPr>
              <w:spacing w:before="60" w:after="60"/>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Purpose</w:t>
            </w:r>
          </w:p>
        </w:tc>
      </w:tr>
      <w:tr w:rsidR="0022607C" w:rsidRPr="0022607C" w14:paraId="3DB55EDB"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val="restart"/>
          </w:tcPr>
          <w:p w14:paraId="047BC4C2"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1</w:t>
            </w:r>
          </w:p>
        </w:tc>
        <w:tc>
          <w:tcPr>
            <w:tcW w:w="1842" w:type="dxa"/>
          </w:tcPr>
          <w:p w14:paraId="1B37F38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20 September 2021</w:t>
            </w:r>
          </w:p>
        </w:tc>
        <w:tc>
          <w:tcPr>
            <w:tcW w:w="6096" w:type="dxa"/>
          </w:tcPr>
          <w:p w14:paraId="4C85A26F"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Promote PS2023 (and launch of the Engagement Hub)</w:t>
            </w:r>
          </w:p>
        </w:tc>
      </w:tr>
      <w:tr w:rsidR="0022607C" w:rsidRPr="0022607C" w14:paraId="422F03A9"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7204CBED"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3D10312B"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8 October 2021</w:t>
            </w:r>
          </w:p>
        </w:tc>
        <w:tc>
          <w:tcPr>
            <w:tcW w:w="6096" w:type="dxa"/>
          </w:tcPr>
          <w:p w14:paraId="313B1204"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Promote the Phase 1 survey</w:t>
            </w:r>
          </w:p>
        </w:tc>
      </w:tr>
      <w:tr w:rsidR="0022607C" w:rsidRPr="0022607C" w14:paraId="1AE1C84C"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20AC4CED"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0D0FF478"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02 March 2022</w:t>
            </w:r>
          </w:p>
        </w:tc>
        <w:tc>
          <w:tcPr>
            <w:tcW w:w="6096" w:type="dxa"/>
          </w:tcPr>
          <w:p w14:paraId="3822674D"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Inform completion of Phase 1 consultation</w:t>
            </w:r>
          </w:p>
        </w:tc>
      </w:tr>
      <w:tr w:rsidR="0022607C" w:rsidRPr="0022607C" w14:paraId="6E3AA568" w14:textId="77777777" w:rsidTr="00E50239">
        <w:tc>
          <w:tcPr>
            <w:cnfStyle w:val="001000000000" w:firstRow="0" w:lastRow="0" w:firstColumn="1" w:lastColumn="0" w:oddVBand="0" w:evenVBand="0" w:oddHBand="0" w:evenHBand="0" w:firstRowFirstColumn="0" w:firstRowLastColumn="0" w:lastRowFirstColumn="0" w:lastRowLastColumn="0"/>
            <w:tcW w:w="1555" w:type="dxa"/>
          </w:tcPr>
          <w:p w14:paraId="62CDBE7C"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1-2</w:t>
            </w:r>
          </w:p>
        </w:tc>
        <w:tc>
          <w:tcPr>
            <w:tcW w:w="1842" w:type="dxa"/>
          </w:tcPr>
          <w:p w14:paraId="0A1181B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25 March 2022</w:t>
            </w:r>
          </w:p>
        </w:tc>
        <w:tc>
          <w:tcPr>
            <w:tcW w:w="6096" w:type="dxa"/>
          </w:tcPr>
          <w:p w14:paraId="5CA98405"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Inform Phase 1 survey results</w:t>
            </w:r>
          </w:p>
        </w:tc>
      </w:tr>
      <w:tr w:rsidR="0022607C" w:rsidRPr="0022607C" w14:paraId="1991A6B8"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val="restart"/>
          </w:tcPr>
          <w:p w14:paraId="5AE86EB5" w14:textId="77777777" w:rsidR="0022607C" w:rsidRPr="0022607C" w:rsidRDefault="0022607C" w:rsidP="0022607C">
            <w:pPr>
              <w:spacing w:before="60" w:after="60"/>
              <w:jc w:val="both"/>
              <w:rPr>
                <w:rFonts w:asciiTheme="majorHAnsi" w:hAnsiTheme="majorHAnsi" w:cstheme="majorHAnsi"/>
                <w:bCs w:val="0"/>
                <w:sz w:val="21"/>
                <w:szCs w:val="24"/>
              </w:rPr>
            </w:pPr>
            <w:r w:rsidRPr="0022607C">
              <w:rPr>
                <w:rFonts w:asciiTheme="majorHAnsi" w:hAnsiTheme="majorHAnsi" w:cstheme="majorHAnsi"/>
                <w:bCs w:val="0"/>
                <w:sz w:val="21"/>
                <w:szCs w:val="24"/>
              </w:rPr>
              <w:t>Phase 3</w:t>
            </w:r>
          </w:p>
        </w:tc>
        <w:tc>
          <w:tcPr>
            <w:tcW w:w="1842" w:type="dxa"/>
          </w:tcPr>
          <w:p w14:paraId="21EBED3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06 May 2022</w:t>
            </w:r>
          </w:p>
        </w:tc>
        <w:tc>
          <w:tcPr>
            <w:tcW w:w="6096" w:type="dxa"/>
          </w:tcPr>
          <w:p w14:paraId="72F7700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Promote pricing proposal fact sheets</w:t>
            </w:r>
          </w:p>
        </w:tc>
      </w:tr>
      <w:tr w:rsidR="0022607C" w:rsidRPr="0022607C" w14:paraId="69353959" w14:textId="77777777" w:rsidTr="00E50239">
        <w:tc>
          <w:tcPr>
            <w:cnfStyle w:val="001000000000" w:firstRow="0" w:lastRow="0" w:firstColumn="1" w:lastColumn="0" w:oddVBand="0" w:evenVBand="0" w:oddHBand="0" w:evenHBand="0" w:firstRowFirstColumn="0" w:firstRowLastColumn="0" w:lastRowFirstColumn="0" w:lastRowLastColumn="0"/>
            <w:tcW w:w="1555" w:type="dxa"/>
            <w:vMerge/>
          </w:tcPr>
          <w:p w14:paraId="03B5A329" w14:textId="77777777" w:rsidR="0022607C" w:rsidRPr="0022607C" w:rsidRDefault="0022607C" w:rsidP="0022607C">
            <w:pPr>
              <w:spacing w:before="60" w:after="60"/>
              <w:jc w:val="both"/>
              <w:rPr>
                <w:rFonts w:asciiTheme="majorHAnsi" w:hAnsiTheme="majorHAnsi" w:cstheme="majorHAnsi"/>
                <w:bCs w:val="0"/>
                <w:sz w:val="21"/>
                <w:szCs w:val="24"/>
              </w:rPr>
            </w:pPr>
          </w:p>
        </w:tc>
        <w:tc>
          <w:tcPr>
            <w:tcW w:w="1842" w:type="dxa"/>
          </w:tcPr>
          <w:p w14:paraId="6A4105DA"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16 May 2022</w:t>
            </w:r>
          </w:p>
        </w:tc>
        <w:tc>
          <w:tcPr>
            <w:tcW w:w="6096" w:type="dxa"/>
          </w:tcPr>
          <w:p w14:paraId="5B8A719B"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szCs w:val="24"/>
              </w:rPr>
            </w:pPr>
            <w:r w:rsidRPr="0022607C">
              <w:rPr>
                <w:rFonts w:asciiTheme="majorHAnsi" w:hAnsiTheme="majorHAnsi" w:cstheme="majorHAnsi"/>
                <w:sz w:val="21"/>
                <w:szCs w:val="24"/>
              </w:rPr>
              <w:t>Promote Phase 2 survey</w:t>
            </w:r>
          </w:p>
        </w:tc>
      </w:tr>
    </w:tbl>
    <w:p w14:paraId="39E5F6B4"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8" w:name="_Toc111731012"/>
      <w:r w:rsidRPr="0022607C">
        <w:rPr>
          <w:rFonts w:asciiTheme="majorHAnsi" w:eastAsia="Times New Roman" w:hAnsiTheme="majorHAnsi" w:cstheme="majorHAnsi"/>
          <w:b/>
          <w:iCs/>
          <w:color w:val="0070C0"/>
          <w:kern w:val="32"/>
          <w:sz w:val="24"/>
          <w:szCs w:val="28"/>
          <w:lang w:eastAsia="en-AU"/>
        </w:rPr>
        <w:t>Videos</w:t>
      </w:r>
      <w:bookmarkEnd w:id="108"/>
    </w:p>
    <w:p w14:paraId="46363C6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support SRW’s Phase 3 engagement, Stanford Marketing (in a separate consultancy for SRW) produced four five-minute YouTube videos introduced by the SRW Managing Director and describing SRW’s pricing options with one video for each irrigation district (BMID, MIA and WID) and Groundwater and Rivers (G&amp;R) customers.</w:t>
      </w:r>
    </w:p>
    <w:p w14:paraId="29B7C2D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videos were fully narrated with a voiceover describing the pricing options for each district, to support engagement with stakeholders with low literacy and/or vision.</w:t>
      </w:r>
    </w:p>
    <w:p w14:paraId="09BA64E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videos were available on the Engagement Hub and were used at the open house sessions to provide customers with broad introductory information and an overview of the pricing proposals if customers preferred to watch and listen, rather than read.</w:t>
      </w:r>
    </w:p>
    <w:p w14:paraId="4EBDF7F7"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09" w:name="_Toc111731013"/>
      <w:r w:rsidRPr="0022607C">
        <w:rPr>
          <w:rFonts w:asciiTheme="majorHAnsi" w:eastAsia="Times New Roman" w:hAnsiTheme="majorHAnsi" w:cstheme="majorHAnsi"/>
          <w:b/>
          <w:iCs/>
          <w:color w:val="0070C0"/>
          <w:kern w:val="32"/>
          <w:sz w:val="24"/>
          <w:szCs w:val="28"/>
          <w:lang w:eastAsia="en-AU"/>
        </w:rPr>
        <w:t>Other communications</w:t>
      </w:r>
      <w:bookmarkEnd w:id="109"/>
    </w:p>
    <w:p w14:paraId="68DE96D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Additionally, SRW used the following communication channels to inform customers of its PS2023 engagement activities:</w:t>
      </w:r>
    </w:p>
    <w:p w14:paraId="3E4DCDB0"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Notices on the front page of its website (e.g., to promote the Phase 1 survey)</w:t>
      </w:r>
    </w:p>
    <w:p w14:paraId="49D89E05"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e-newsletter</w:t>
      </w:r>
    </w:p>
    <w:p w14:paraId="163311CA"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Information included with the October 2021 customer bill</w:t>
      </w:r>
    </w:p>
    <w:p w14:paraId="403E4268"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Word of mouth through SRW customer service and field staff</w:t>
      </w:r>
    </w:p>
    <w:p w14:paraId="2F866952"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Word of mouth to customers through CCC and SGRF members</w:t>
      </w:r>
    </w:p>
    <w:p w14:paraId="52834AF3" w14:textId="77777777" w:rsidR="0022607C" w:rsidRPr="0022607C" w:rsidRDefault="0022607C" w:rsidP="00F459A2">
      <w:pPr>
        <w:numPr>
          <w:ilvl w:val="0"/>
          <w:numId w:val="66"/>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Use of communication channels managed by others.  For example, notification of surveys on Agriculture Victoria’s weekly e-newsletter and dairy industry publications and e-newsletters</w:t>
      </w:r>
    </w:p>
    <w:p w14:paraId="11DF3627"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10" w:name="_Toc111731014"/>
      <w:r w:rsidRPr="0022607C">
        <w:rPr>
          <w:rFonts w:asciiTheme="majorHAnsi" w:eastAsia="Times New Roman" w:hAnsiTheme="majorHAnsi" w:cstheme="majorHAnsi"/>
          <w:b/>
          <w:bCs/>
          <w:snapToGrid w:val="0"/>
          <w:color w:val="0070C0"/>
          <w:kern w:val="32"/>
          <w:sz w:val="28"/>
          <w:szCs w:val="32"/>
          <w:lang w:eastAsia="en-AU"/>
        </w:rPr>
        <w:t>Survey consultations with customers and the wider community</w:t>
      </w:r>
      <w:bookmarkEnd w:id="110"/>
      <w:r w:rsidRPr="0022607C">
        <w:rPr>
          <w:rFonts w:asciiTheme="majorHAnsi" w:eastAsia="Times New Roman" w:hAnsiTheme="majorHAnsi" w:cstheme="majorHAnsi"/>
          <w:b/>
          <w:bCs/>
          <w:snapToGrid w:val="0"/>
          <w:color w:val="0070C0"/>
          <w:kern w:val="32"/>
          <w:sz w:val="28"/>
          <w:szCs w:val="32"/>
          <w:lang w:eastAsia="en-AU"/>
        </w:rPr>
        <w:t xml:space="preserve"> </w:t>
      </w:r>
    </w:p>
    <w:p w14:paraId="3B2D42E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Apart from SRW’s business as usual customer consultation and engagement activities,</w:t>
      </w:r>
      <w:r w:rsidRPr="0022607C">
        <w:rPr>
          <w:rFonts w:asciiTheme="majorHAnsi" w:eastAsia="Times New Roman" w:hAnsiTheme="majorHAnsi" w:cstheme="majorHAnsi"/>
          <w:sz w:val="21"/>
          <w:szCs w:val="24"/>
          <w:vertAlign w:val="superscript"/>
          <w:lang w:eastAsia="en-AU"/>
        </w:rPr>
        <w:footnoteReference w:id="19"/>
      </w:r>
      <w:r w:rsidRPr="0022607C">
        <w:rPr>
          <w:rFonts w:asciiTheme="majorHAnsi" w:eastAsia="Times New Roman" w:hAnsiTheme="majorHAnsi" w:cstheme="majorHAnsi"/>
          <w:sz w:val="21"/>
          <w:szCs w:val="24"/>
          <w:lang w:eastAsia="en-AU"/>
        </w:rPr>
        <w:t xml:space="preserve"> SRW’s specific PS2023 customer consultation activities occurred during Phases 1 and 3.  An overview of these surveys is included in this section, while a more detailed description of the surveys and their findings were separately reported to SRW and the wider community through information sheets.</w:t>
      </w:r>
    </w:p>
    <w:p w14:paraId="526C2508"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11" w:name="_Toc111731015"/>
      <w:r w:rsidRPr="0022607C">
        <w:rPr>
          <w:rFonts w:asciiTheme="majorHAnsi" w:eastAsia="Times New Roman" w:hAnsiTheme="majorHAnsi" w:cstheme="majorHAnsi"/>
          <w:b/>
          <w:iCs/>
          <w:color w:val="0070C0"/>
          <w:kern w:val="32"/>
          <w:sz w:val="24"/>
          <w:szCs w:val="28"/>
          <w:lang w:eastAsia="en-AU"/>
        </w:rPr>
        <w:t>Phase 1 customer and community survey</w:t>
      </w:r>
      <w:bookmarkEnd w:id="111"/>
    </w:p>
    <w:p w14:paraId="19D57595"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2" w:name="_Toc111731016"/>
      <w:r w:rsidRPr="0022607C">
        <w:rPr>
          <w:rFonts w:asciiTheme="majorHAnsi" w:eastAsia="Times New Roman" w:hAnsiTheme="majorHAnsi" w:cstheme="majorHAnsi"/>
          <w:b/>
          <w:bCs/>
          <w:color w:val="0070C0"/>
          <w:sz w:val="21"/>
          <w:szCs w:val="26"/>
          <w:lang w:eastAsia="en-AU"/>
        </w:rPr>
        <w:t>Survey purpose and objectives</w:t>
      </w:r>
      <w:bookmarkEnd w:id="112"/>
    </w:p>
    <w:p w14:paraId="2D0C882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The first survey was carried out for SRW to better understand the plans and long-term water needs of </w:t>
      </w:r>
      <w:r w:rsidRPr="0022607C">
        <w:rPr>
          <w:rFonts w:asciiTheme="majorHAnsi" w:eastAsia="Times New Roman" w:hAnsiTheme="majorHAnsi" w:cstheme="majorHAnsi"/>
          <w:b/>
          <w:bCs/>
          <w:color w:val="0070C0"/>
          <w:sz w:val="21"/>
          <w:szCs w:val="24"/>
          <w:lang w:eastAsia="en-AU"/>
        </w:rPr>
        <w:t>customers and the community</w:t>
      </w:r>
      <w:r w:rsidRPr="0022607C">
        <w:rPr>
          <w:rFonts w:asciiTheme="majorHAnsi" w:eastAsia="Times New Roman" w:hAnsiTheme="majorHAnsi" w:cstheme="majorHAnsi"/>
          <w:color w:val="0070C0"/>
          <w:sz w:val="21"/>
          <w:szCs w:val="24"/>
          <w:lang w:eastAsia="en-AU"/>
        </w:rPr>
        <w:t xml:space="preserve"> </w:t>
      </w:r>
      <w:r w:rsidRPr="0022607C">
        <w:rPr>
          <w:rFonts w:asciiTheme="majorHAnsi" w:eastAsia="Times New Roman" w:hAnsiTheme="majorHAnsi" w:cstheme="majorHAnsi"/>
          <w:sz w:val="21"/>
          <w:szCs w:val="24"/>
          <w:lang w:eastAsia="en-AU"/>
        </w:rPr>
        <w:t>to help it determine the most appropriate mix of services and prices that will deliver value for customers, the community, partners and stakeholders.</w:t>
      </w:r>
    </w:p>
    <w:p w14:paraId="54D034C1"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Building on the overarching purpose, the survey objectives were to:</w:t>
      </w:r>
    </w:p>
    <w:p w14:paraId="5284C23A" w14:textId="77777777" w:rsidR="0022607C" w:rsidRPr="0022607C" w:rsidRDefault="0022607C" w:rsidP="00F459A2">
      <w:pPr>
        <w:numPr>
          <w:ilvl w:val="0"/>
          <w:numId w:val="5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Profile SRW customers’ current activities and long-term plans to contextualise their current and future needs and expectations of SRW</w:t>
      </w:r>
    </w:p>
    <w:p w14:paraId="4A1C1D69" w14:textId="77777777" w:rsidR="0022607C" w:rsidRPr="0022607C" w:rsidRDefault="0022607C" w:rsidP="00F459A2">
      <w:pPr>
        <w:numPr>
          <w:ilvl w:val="0"/>
          <w:numId w:val="5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Understand customer and community current and longer-term needs and expectations of SRW to help identify SRW service offerings and priorities</w:t>
      </w:r>
    </w:p>
    <w:p w14:paraId="33A12607" w14:textId="77777777" w:rsidR="0022607C" w:rsidRPr="0022607C" w:rsidRDefault="0022607C" w:rsidP="00F459A2">
      <w:pPr>
        <w:numPr>
          <w:ilvl w:val="0"/>
          <w:numId w:val="5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Establish customer awareness, and value derived from PS2018 initiatives given some of these are ongoing and may need to be reprioritised</w:t>
      </w:r>
    </w:p>
    <w:p w14:paraId="483CAF10" w14:textId="77777777" w:rsidR="0022607C" w:rsidRPr="0022607C" w:rsidRDefault="0022607C" w:rsidP="00F459A2">
      <w:pPr>
        <w:numPr>
          <w:ilvl w:val="0"/>
          <w:numId w:val="53"/>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Establish customer and community interest in being kept informed about SRW’s Price Submission and the extent they wish to engage (e.g., receive information, access an online communications platform, participate in further research)</w:t>
      </w:r>
    </w:p>
    <w:p w14:paraId="5B14CE74"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3" w:name="_Toc111731017"/>
      <w:r w:rsidRPr="0022607C">
        <w:rPr>
          <w:rFonts w:asciiTheme="majorHAnsi" w:eastAsia="Times New Roman" w:hAnsiTheme="majorHAnsi" w:cstheme="majorHAnsi"/>
          <w:b/>
          <w:bCs/>
          <w:color w:val="0070C0"/>
          <w:sz w:val="21"/>
          <w:szCs w:val="26"/>
          <w:lang w:eastAsia="en-AU"/>
        </w:rPr>
        <w:t>Survey overview</w:t>
      </w:r>
      <w:bookmarkEnd w:id="113"/>
    </w:p>
    <w:p w14:paraId="4841299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All SRW customers and community members were eligible to participate in the survey.</w:t>
      </w:r>
    </w:p>
    <w:p w14:paraId="06E5131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work within its budget constraints and reach as broad and audience as possible,</w:t>
      </w:r>
      <w:r w:rsidRPr="0022607C">
        <w:rPr>
          <w:rFonts w:asciiTheme="majorHAnsi" w:eastAsia="Times New Roman" w:hAnsiTheme="majorHAnsi" w:cstheme="majorHAnsi"/>
          <w:sz w:val="21"/>
          <w:szCs w:val="24"/>
          <w:vertAlign w:val="superscript"/>
          <w:lang w:eastAsia="en-AU"/>
        </w:rPr>
        <w:footnoteReference w:id="20"/>
      </w:r>
      <w:r w:rsidRPr="0022607C">
        <w:rPr>
          <w:rFonts w:asciiTheme="majorHAnsi" w:eastAsia="Times New Roman" w:hAnsiTheme="majorHAnsi" w:cstheme="majorHAnsi"/>
          <w:sz w:val="21"/>
          <w:szCs w:val="24"/>
          <w:lang w:eastAsia="en-AU"/>
        </w:rPr>
        <w:t xml:space="preserve"> SRW opted for an online survey.</w:t>
      </w:r>
    </w:p>
    <w:p w14:paraId="1D1B458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online survey was initially open from 12 October 2021 to the end of November 2021, then due to the low response was extended to 4 January 2022.</w:t>
      </w:r>
    </w:p>
    <w:p w14:paraId="3A465D60"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Bartley Consulting managed the survey design, analysis and reporting of results for SRW, while SRW was responsible for the survey promotion.</w:t>
      </w:r>
    </w:p>
    <w:p w14:paraId="3878FADA"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4" w:name="_Toc111731018"/>
      <w:r w:rsidRPr="0022607C">
        <w:rPr>
          <w:rFonts w:asciiTheme="majorHAnsi" w:eastAsia="Times New Roman" w:hAnsiTheme="majorHAnsi" w:cstheme="majorHAnsi"/>
          <w:b/>
          <w:bCs/>
          <w:color w:val="0070C0"/>
          <w:sz w:val="21"/>
          <w:szCs w:val="26"/>
          <w:lang w:eastAsia="en-AU"/>
        </w:rPr>
        <w:t>SRW’s efforts to engage</w:t>
      </w:r>
      <w:bookmarkEnd w:id="114"/>
    </w:p>
    <w:p w14:paraId="143C41E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used multiple methods to promote the survey to customers over the three months that the survey was open, and these methods are listed below.  It is reasonable to conclude that all customers would have been made aware of the survey via one or more of the methods adopted by SRW to encourage customers to participate in the survey.</w:t>
      </w:r>
    </w:p>
    <w:p w14:paraId="66B92A6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used the following methods to promote the survey</w:t>
      </w:r>
    </w:p>
    <w:p w14:paraId="689CE2C5"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An SMS invitation containing a link to the survey</w:t>
      </w:r>
    </w:p>
    <w:p w14:paraId="65B49D98"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An email invitation to customers whose email address was registered with SRW</w:t>
      </w:r>
    </w:p>
    <w:p w14:paraId="5D0EBDFD"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val="en-US" w:eastAsia="en-AU"/>
        </w:rPr>
        <w:t>Direct communication through SRW’s CCCs and its SGRF, its CRG, encouraging them to promote the survey among their networks, such as dairy industry newsletters and statewide agricultural newsletters, to reach as broad an audience as possible</w:t>
      </w:r>
    </w:p>
    <w:p w14:paraId="199B70B9"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val="en-US" w:eastAsia="en-AU"/>
        </w:rPr>
        <w:t>SRW’s PS2023 Engagement Hub, and website</w:t>
      </w:r>
    </w:p>
    <w:p w14:paraId="7B402C90"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val="en-US" w:eastAsia="en-AU"/>
        </w:rPr>
        <w:t>Ongoing social media promotions (Facebook and Twitter)</w:t>
      </w:r>
    </w:p>
    <w:p w14:paraId="67FA9BD4"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link to the survey in SRW’s annual customer bill that reaches all customers (October 2021) round of customer bills</w:t>
      </w:r>
    </w:p>
    <w:p w14:paraId="1438F640"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QR code embedded in a mini poster at regional field days where SRW had a presence</w:t>
      </w:r>
    </w:p>
    <w:p w14:paraId="684BADBE" w14:textId="77777777" w:rsidR="0022607C" w:rsidRPr="0022607C" w:rsidRDefault="0022607C" w:rsidP="0022607C">
      <w:pPr>
        <w:spacing w:after="0" w:line="240" w:lineRule="auto"/>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Approximately 75% of SRW’s customers have provided SRW with an email address and/or a mobile phone number.  All customers would have received a bill for water in October 2021.</w:t>
      </w:r>
    </w:p>
    <w:p w14:paraId="3A555094"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5" w:name="_Toc111731019"/>
      <w:r w:rsidRPr="0022607C">
        <w:rPr>
          <w:rFonts w:asciiTheme="majorHAnsi" w:eastAsia="Times New Roman" w:hAnsiTheme="majorHAnsi" w:cstheme="majorHAnsi"/>
          <w:b/>
          <w:bCs/>
          <w:color w:val="0070C0"/>
          <w:sz w:val="21"/>
          <w:szCs w:val="26"/>
          <w:lang w:eastAsia="en-AU"/>
        </w:rPr>
        <w:t>Survey response</w:t>
      </w:r>
      <w:bookmarkEnd w:id="115"/>
    </w:p>
    <w:p w14:paraId="76010F9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Over the survey period 194 customers and wider community members responded to the survey. It took them an average of around eight minutes to complete.</w:t>
      </w:r>
    </w:p>
    <w:p w14:paraId="21BFD4D2"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118 customers and wider community members completed the survey in full, including 107 customers and 11 wider community members (64% of those who commenced the survey)</w:t>
      </w:r>
    </w:p>
    <w:p w14:paraId="5754425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Whilst the survey response is low relative to SRW’s customer numbers,</w:t>
      </w:r>
      <w:r w:rsidRPr="0022607C">
        <w:rPr>
          <w:rFonts w:asciiTheme="majorHAnsi" w:eastAsia="Times New Roman" w:hAnsiTheme="majorHAnsi" w:cstheme="majorHAnsi"/>
          <w:sz w:val="21"/>
          <w:szCs w:val="24"/>
          <w:vertAlign w:val="superscript"/>
          <w:lang w:eastAsia="en-AU"/>
        </w:rPr>
        <w:footnoteReference w:id="21"/>
      </w:r>
      <w:r w:rsidRPr="0022607C">
        <w:rPr>
          <w:rFonts w:asciiTheme="majorHAnsi" w:eastAsia="Times New Roman" w:hAnsiTheme="majorHAnsi" w:cstheme="majorHAnsi"/>
          <w:sz w:val="21"/>
          <w:szCs w:val="24"/>
          <w:lang w:eastAsia="en-AU"/>
        </w:rPr>
        <w:t xml:space="preserve"> as mentioned above SRW put considerable effort into informing customers of its PS2023 and opportunities for customers to engage, including promoting the survey.</w:t>
      </w:r>
    </w:p>
    <w:p w14:paraId="568223C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Whilst engagement fatigue</w:t>
      </w:r>
      <w:r w:rsidRPr="0022607C">
        <w:rPr>
          <w:rFonts w:asciiTheme="majorHAnsi" w:eastAsia="Times New Roman" w:hAnsiTheme="majorHAnsi" w:cstheme="majorHAnsi"/>
          <w:sz w:val="21"/>
          <w:szCs w:val="24"/>
          <w:vertAlign w:val="superscript"/>
          <w:lang w:eastAsia="en-AU"/>
        </w:rPr>
        <w:footnoteReference w:id="22"/>
      </w:r>
      <w:r w:rsidRPr="0022607C">
        <w:rPr>
          <w:rFonts w:asciiTheme="majorHAnsi" w:eastAsia="Times New Roman" w:hAnsiTheme="majorHAnsi" w:cstheme="majorHAnsi"/>
          <w:sz w:val="21"/>
          <w:szCs w:val="24"/>
          <w:lang w:eastAsia="en-AU"/>
        </w:rPr>
        <w:t xml:space="preserve"> may have contributed to the low response rate, it is reasonable to assume that most customers who wanted to contribute, or had strong views had a reasonable opportunity to do so via the survey.</w:t>
      </w:r>
    </w:p>
    <w:p w14:paraId="59A456A6"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6" w:name="_Toc111731020"/>
      <w:r w:rsidRPr="0022607C">
        <w:rPr>
          <w:rFonts w:asciiTheme="majorHAnsi" w:eastAsia="Times New Roman" w:hAnsiTheme="majorHAnsi" w:cstheme="majorHAnsi"/>
          <w:b/>
          <w:bCs/>
          <w:color w:val="0070C0"/>
          <w:sz w:val="21"/>
          <w:szCs w:val="26"/>
          <w:lang w:eastAsia="en-AU"/>
        </w:rPr>
        <w:t>Survey findings</w:t>
      </w:r>
      <w:bookmarkEnd w:id="116"/>
    </w:p>
    <w:p w14:paraId="109CFCB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key findings from this survey are as follows:</w:t>
      </w:r>
    </w:p>
    <w:p w14:paraId="7197CD39"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Water is important for SRW customers’ livelihood, especially among irrigation district customers</w:t>
      </w:r>
    </w:p>
    <w:p w14:paraId="67A8EE41"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Most customers (&gt;90%) expect to still be operating their properties in five years</w:t>
      </w:r>
    </w:p>
    <w:p w14:paraId="56C918D7" w14:textId="77777777" w:rsidR="0022607C" w:rsidRPr="0022607C" w:rsidRDefault="0022607C" w:rsidP="00F459A2">
      <w:pPr>
        <w:numPr>
          <w:ilvl w:val="1"/>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With most anticipating they will need the same volume of water or more water in the next five years (36% anticipating greater water needs)</w:t>
      </w:r>
    </w:p>
    <w:p w14:paraId="7BCAD927"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Access to water is a key challenge for SRW customers, coupled with climate change, profitability and affordability of water</w:t>
      </w:r>
    </w:p>
    <w:p w14:paraId="2FF9A056"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Most have been significantly affected by climate factors such as drought, as well as labour shortages</w:t>
      </w:r>
    </w:p>
    <w:p w14:paraId="1688BDC4"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While significant proportions of customers commend SRW for its communication, service provision and customer service others indicate SRW needs to reduce costs to customers and better manage their water supply and access</w:t>
      </w:r>
    </w:p>
    <w:p w14:paraId="16E4B65D"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Key customer priorities are ensuring fair and reasonable prices and charges for services as well as access to water:</w:t>
      </w:r>
    </w:p>
    <w:p w14:paraId="5F34BD10" w14:textId="77777777" w:rsidR="0022607C" w:rsidRPr="0022607C" w:rsidRDefault="0022607C" w:rsidP="00F459A2">
      <w:pPr>
        <w:numPr>
          <w:ilvl w:val="1"/>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focus for irrigation district customers is for SRW to ensure fair and reasonable prices</w:t>
      </w:r>
    </w:p>
    <w:p w14:paraId="05460042" w14:textId="77777777" w:rsidR="0022607C" w:rsidRPr="0022607C" w:rsidRDefault="0022607C" w:rsidP="00F459A2">
      <w:pPr>
        <w:numPr>
          <w:ilvl w:val="1"/>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focus for other customers is having a highly reliable water supply</w:t>
      </w:r>
    </w:p>
    <w:p w14:paraId="6984979A" w14:textId="77777777" w:rsidR="0022607C" w:rsidRPr="0022607C" w:rsidRDefault="0022607C" w:rsidP="0022607C">
      <w:pPr>
        <w:spacing w:before="120" w:after="120" w:line="240" w:lineRule="auto"/>
        <w:jc w:val="both"/>
        <w:rPr>
          <w:rFonts w:asciiTheme="majorHAnsi" w:eastAsia="Times New Roman" w:hAnsiTheme="majorHAnsi" w:cstheme="majorHAnsi"/>
          <w:color w:val="000000"/>
          <w:sz w:val="21"/>
          <w:szCs w:val="24"/>
          <w:lang w:eastAsia="en-AU"/>
        </w:rPr>
      </w:pPr>
      <w:r w:rsidRPr="0022607C">
        <w:rPr>
          <w:rFonts w:asciiTheme="majorHAnsi" w:eastAsia="Times New Roman" w:hAnsiTheme="majorHAnsi" w:cstheme="majorHAnsi"/>
          <w:color w:val="000000"/>
          <w:sz w:val="21"/>
          <w:szCs w:val="24"/>
          <w:lang w:eastAsia="en-AU"/>
        </w:rPr>
        <w:t>The relatively low response to this survey also highlighted challenges for SRW engaging with customers to ensure their needs and preferences were appropriately considered in PS2023, and the need to combine the findings from this survey with other evidence of customer and community preferences.</w:t>
      </w:r>
    </w:p>
    <w:p w14:paraId="1EB8CE8E"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7" w:name="_Toc111731021"/>
      <w:r w:rsidRPr="0022607C">
        <w:rPr>
          <w:rFonts w:asciiTheme="majorHAnsi" w:eastAsia="Times New Roman" w:hAnsiTheme="majorHAnsi" w:cstheme="majorHAnsi"/>
          <w:b/>
          <w:bCs/>
          <w:color w:val="0070C0"/>
          <w:sz w:val="21"/>
          <w:szCs w:val="26"/>
          <w:lang w:eastAsia="en-AU"/>
        </w:rPr>
        <w:t>How did SRW use the survey outcomes?</w:t>
      </w:r>
      <w:bookmarkEnd w:id="117"/>
    </w:p>
    <w:p w14:paraId="32D8EEB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Survey findings were reported through a two-page information sheet, shown in Figure 6-1.  This document was available to customers through the Engagement Hub and directly shared with the CCCs, SGRF and the CRG.  Survey findings were shared with the CRG to help the group understand the diversity of SRW’s customers, their needs and values and to use these insights to inform their own views when considering SRW’s pricing pathways against customer values.  SRW also directly used the survey feedback to help refine its understanding of customer values and develop initial price-service options.</w:t>
      </w:r>
    </w:p>
    <w:p w14:paraId="474B7145" w14:textId="2294488F"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6</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PS2023 Customer &amp; Community Survey summary of findings</w:t>
      </w:r>
    </w:p>
    <w:p w14:paraId="34454F24" w14:textId="77777777" w:rsidR="0022607C" w:rsidRPr="0022607C" w:rsidRDefault="0022607C" w:rsidP="0022607C">
      <w:pPr>
        <w:spacing w:before="120" w:after="120" w:line="240" w:lineRule="auto"/>
        <w:rPr>
          <w:rFonts w:asciiTheme="majorHAnsi" w:eastAsia="Times New Roman" w:hAnsiTheme="majorHAnsi" w:cstheme="majorHAnsi"/>
          <w:sz w:val="21"/>
          <w:szCs w:val="24"/>
          <w:lang w:eastAsia="en-AU"/>
        </w:rPr>
      </w:pPr>
      <w:r w:rsidRPr="0022607C">
        <w:rPr>
          <w:rFonts w:asciiTheme="majorHAnsi" w:eastAsia="Times New Roman" w:hAnsiTheme="majorHAnsi" w:cstheme="majorHAnsi"/>
          <w:noProof/>
          <w:sz w:val="21"/>
          <w:szCs w:val="24"/>
          <w:lang w:eastAsia="en-AU"/>
        </w:rPr>
        <w:drawing>
          <wp:inline distT="0" distB="0" distL="0" distR="0" wp14:anchorId="684CB900" wp14:editId="626212BC">
            <wp:extent cx="5448300" cy="3865273"/>
            <wp:effectExtent l="0" t="0" r="0"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8766" cy="3886887"/>
                    </a:xfrm>
                    <a:prstGeom prst="rect">
                      <a:avLst/>
                    </a:prstGeom>
                  </pic:spPr>
                </pic:pic>
              </a:graphicData>
            </a:graphic>
          </wp:inline>
        </w:drawing>
      </w:r>
    </w:p>
    <w:p w14:paraId="61F9E135"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18" w:name="_Toc111731022"/>
      <w:r w:rsidRPr="0022607C">
        <w:rPr>
          <w:rFonts w:asciiTheme="majorHAnsi" w:eastAsia="Times New Roman" w:hAnsiTheme="majorHAnsi" w:cstheme="majorHAnsi"/>
          <w:b/>
          <w:iCs/>
          <w:color w:val="0070C0"/>
          <w:kern w:val="32"/>
          <w:sz w:val="24"/>
          <w:szCs w:val="28"/>
          <w:lang w:eastAsia="en-AU"/>
        </w:rPr>
        <w:t>Phase 3 customer survey</w:t>
      </w:r>
      <w:bookmarkEnd w:id="118"/>
    </w:p>
    <w:p w14:paraId="4A4192E2"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19" w:name="_Toc111731023"/>
      <w:r w:rsidRPr="0022607C">
        <w:rPr>
          <w:rFonts w:asciiTheme="majorHAnsi" w:eastAsia="Times New Roman" w:hAnsiTheme="majorHAnsi" w:cstheme="majorHAnsi"/>
          <w:b/>
          <w:bCs/>
          <w:color w:val="0070C0"/>
          <w:sz w:val="21"/>
          <w:szCs w:val="26"/>
          <w:lang w:eastAsia="en-AU"/>
        </w:rPr>
        <w:t>Survey purpose</w:t>
      </w:r>
      <w:bookmarkEnd w:id="119"/>
    </w:p>
    <w:p w14:paraId="50ACBFC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Phase 3 survey focused on testing customers’ preferences and priorities in relation to SRW’s draft price proposals and service outcomes. The scenarios were developed from Phase 1 customer feedback and Phase 2 initial testing with SRW’s CRG, its CCC and SGRF members.</w:t>
      </w:r>
    </w:p>
    <w:p w14:paraId="0E45AFFA"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survey objectives were to:</w:t>
      </w:r>
    </w:p>
    <w:p w14:paraId="227CC145" w14:textId="77777777" w:rsidR="0022607C" w:rsidRPr="0022607C" w:rsidRDefault="0022607C" w:rsidP="00F459A2">
      <w:pPr>
        <w:numPr>
          <w:ilvl w:val="0"/>
          <w:numId w:val="5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Test customers’ support or otherwise for SRW’s proposed price increases (baseline or other options) according to their water source, i.e.:</w:t>
      </w:r>
    </w:p>
    <w:p w14:paraId="270F376E" w14:textId="77777777" w:rsidR="0022607C" w:rsidRPr="0022607C" w:rsidRDefault="0022607C" w:rsidP="00F459A2">
      <w:pPr>
        <w:numPr>
          <w:ilvl w:val="1"/>
          <w:numId w:val="5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Separately testing BMID, MIA, WID and G&amp;R customers preferences</w:t>
      </w:r>
    </w:p>
    <w:p w14:paraId="0DCE35C1" w14:textId="77777777" w:rsidR="0022607C" w:rsidRPr="0022607C" w:rsidRDefault="0022607C" w:rsidP="00F459A2">
      <w:pPr>
        <w:numPr>
          <w:ilvl w:val="0"/>
          <w:numId w:val="5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Establish the importance of SRW’s proposed core price/service outcomes with customers; and identify the areas SRW should focus on in line with each proposed outcome.</w:t>
      </w:r>
    </w:p>
    <w:p w14:paraId="3AF0E8D5"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20" w:name="_Toc111731024"/>
      <w:r w:rsidRPr="0022607C">
        <w:rPr>
          <w:rFonts w:asciiTheme="majorHAnsi" w:eastAsia="Times New Roman" w:hAnsiTheme="majorHAnsi" w:cstheme="majorHAnsi"/>
          <w:b/>
          <w:bCs/>
          <w:color w:val="0070C0"/>
          <w:sz w:val="21"/>
          <w:szCs w:val="26"/>
          <w:lang w:eastAsia="en-AU"/>
        </w:rPr>
        <w:t>Survey overview</w:t>
      </w:r>
      <w:bookmarkEnd w:id="120"/>
    </w:p>
    <w:p w14:paraId="4721044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This survey was aimed at SRW customers only.  All customers were eligible to participate in the survey.</w:t>
      </w:r>
    </w:p>
    <w:p w14:paraId="58AEDE6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As with the Phase 1 survey, to work within its budget constraints, SRW opted for an online survey.  An online survey also made sense as a means of gathering customer feedback in conjunction with SRW’s </w:t>
      </w:r>
      <w:r w:rsidRPr="0022607C">
        <w:rPr>
          <w:rFonts w:asciiTheme="majorHAnsi" w:eastAsia="Times New Roman" w:hAnsiTheme="majorHAnsi" w:cstheme="majorHAnsi"/>
          <w:sz w:val="21"/>
          <w:szCs w:val="24"/>
          <w:lang w:val="en-US" w:eastAsia="en-AU"/>
        </w:rPr>
        <w:t>face-to-face and online consultation sessions.</w:t>
      </w:r>
    </w:p>
    <w:p w14:paraId="47970CD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The online survey was open </w:t>
      </w:r>
      <w:r w:rsidRPr="0022607C">
        <w:rPr>
          <w:rFonts w:asciiTheme="majorHAnsi" w:eastAsia="Times New Roman" w:hAnsiTheme="majorHAnsi" w:cstheme="majorHAnsi"/>
          <w:sz w:val="21"/>
          <w:szCs w:val="24"/>
          <w:lang w:val="en-US" w:eastAsia="en-AU"/>
        </w:rPr>
        <w:t>from 12 May 2022 to 31 May 2022 inclusive</w:t>
      </w:r>
      <w:r w:rsidRPr="0022607C">
        <w:rPr>
          <w:rFonts w:asciiTheme="majorHAnsi" w:eastAsia="Times New Roman" w:hAnsiTheme="majorHAnsi" w:cstheme="majorHAnsi"/>
          <w:sz w:val="21"/>
          <w:szCs w:val="24"/>
          <w:lang w:eastAsia="en-AU"/>
        </w:rPr>
        <w:t>.</w:t>
      </w:r>
    </w:p>
    <w:p w14:paraId="08D4F59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Bartley Consulting managed the survey design, analysis and reporting of results for SRW, while SRW was responsible for the survey promotion.</w:t>
      </w:r>
    </w:p>
    <w:p w14:paraId="6CDD8481"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21" w:name="_Toc111731025"/>
      <w:r w:rsidRPr="0022607C">
        <w:rPr>
          <w:rFonts w:asciiTheme="majorHAnsi" w:eastAsia="Times New Roman" w:hAnsiTheme="majorHAnsi" w:cstheme="majorHAnsi"/>
          <w:b/>
          <w:bCs/>
          <w:color w:val="0070C0"/>
          <w:sz w:val="21"/>
          <w:szCs w:val="26"/>
          <w:lang w:eastAsia="en-AU"/>
        </w:rPr>
        <w:t>SRW’s efforts to engage</w:t>
      </w:r>
      <w:bookmarkEnd w:id="121"/>
    </w:p>
    <w:p w14:paraId="093137F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As with the survey conducted in Phase 1 of PS2023, SRW used a range of methods to maximise the opportunity for customers to provide feedback, including:</w:t>
      </w:r>
    </w:p>
    <w:p w14:paraId="403D8069"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Direct SMS invitations to all customers with a mobile number and/or an email address registered with SRW to participate in the survey (i.e., approximately 75% of SRW’s customers)</w:t>
      </w:r>
    </w:p>
    <w:p w14:paraId="12740906"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Its various Price Submission face-to-face and online consultation sessions</w:t>
      </w:r>
    </w:p>
    <w:p w14:paraId="088AEC99"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Through a QR code and survey link on its customer Engagement Hub</w:t>
      </w:r>
    </w:p>
    <w:p w14:paraId="54A34CA6"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Promotion to customers through CRG, CCC, and SGRF members</w:t>
      </w:r>
    </w:p>
    <w:p w14:paraId="17C05672"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Promotion through both unpaid and paid targeted social media posts and traditional media</w:t>
      </w:r>
    </w:p>
    <w:p w14:paraId="48C11A9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To ensure customers had sufficient information to provide considered feedback, SRW with assistance from the BC Team produced fact sheets and videos explaining its price service proposals in detail for each district and G&amp;R customers.  </w:t>
      </w:r>
      <w:r w:rsidRPr="0022607C">
        <w:rPr>
          <w:rFonts w:asciiTheme="majorHAnsi" w:eastAsia="Times New Roman" w:hAnsiTheme="majorHAnsi" w:cstheme="majorHAnsi"/>
          <w:sz w:val="21"/>
          <w:szCs w:val="24"/>
          <w:lang w:val="en-US" w:eastAsia="en-AU"/>
        </w:rPr>
        <w:t>The fact sheets and videos were uploaded onto SRW’s Engagement Hub and links to the fact sheets were embedded in the questionnaire.</w:t>
      </w:r>
    </w:p>
    <w:p w14:paraId="3326287D"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22" w:name="_Toc111731026"/>
      <w:r w:rsidRPr="0022607C">
        <w:rPr>
          <w:rFonts w:asciiTheme="majorHAnsi" w:eastAsia="Times New Roman" w:hAnsiTheme="majorHAnsi" w:cstheme="majorHAnsi"/>
          <w:b/>
          <w:bCs/>
          <w:color w:val="0070C0"/>
          <w:sz w:val="21"/>
          <w:szCs w:val="26"/>
          <w:lang w:eastAsia="en-AU"/>
        </w:rPr>
        <w:t>Survey response</w:t>
      </w:r>
      <w:bookmarkEnd w:id="122"/>
    </w:p>
    <w:p w14:paraId="59EC132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Despite SRW’s considerable effort to engage customers during this phase, the response rate was low.  Over the survey period, 132 individuals clicked on the survey link and the following irrigation and G&amp;R customers provided feedback on SRW’s pricing options:</w:t>
      </w:r>
    </w:p>
    <w:p w14:paraId="50A6E361"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5 BMID customers</w:t>
      </w:r>
    </w:p>
    <w:p w14:paraId="2D6DECE3"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27 MIA customers</w:t>
      </w:r>
    </w:p>
    <w:p w14:paraId="6D258279"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 xml:space="preserve">8 WID customers </w:t>
      </w:r>
    </w:p>
    <w:p w14:paraId="530B5D22" w14:textId="77777777" w:rsidR="0022607C" w:rsidRPr="0022607C" w:rsidRDefault="0022607C" w:rsidP="00F459A2">
      <w:pPr>
        <w:numPr>
          <w:ilvl w:val="0"/>
          <w:numId w:val="54"/>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53 G&amp;R customers (including 31 who are also district customers)</w:t>
      </w:r>
    </w:p>
    <w:p w14:paraId="7600C0E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Among the above customers, 73 customers provided top-line feedback on SRW’s proposed core price/service outcomes – and among this group of 73 customers, 42 provided more detailed feedback.</w:t>
      </w:r>
    </w:p>
    <w:p w14:paraId="15F48EA6"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23" w:name="_Toc111731027"/>
      <w:r w:rsidRPr="0022607C">
        <w:rPr>
          <w:rFonts w:asciiTheme="majorHAnsi" w:eastAsia="Times New Roman" w:hAnsiTheme="majorHAnsi" w:cstheme="majorHAnsi"/>
          <w:b/>
          <w:bCs/>
          <w:color w:val="0070C0"/>
          <w:sz w:val="21"/>
          <w:szCs w:val="26"/>
          <w:lang w:eastAsia="en-AU"/>
        </w:rPr>
        <w:t>Survey findings</w:t>
      </w:r>
      <w:bookmarkEnd w:id="123"/>
    </w:p>
    <w:p w14:paraId="6211232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key findings from the Phase 3 survey are as follows.</w:t>
      </w:r>
    </w:p>
    <w:p w14:paraId="467FBAB5" w14:textId="70BF6576"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6</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Summary of customers’ pricing-service preferences by customer group</w:t>
      </w:r>
    </w:p>
    <w:tbl>
      <w:tblPr>
        <w:tblStyle w:val="GridTable1Light-Accent51"/>
        <w:tblW w:w="9356" w:type="dxa"/>
        <w:tblLook w:val="0420" w:firstRow="1" w:lastRow="0" w:firstColumn="0" w:lastColumn="0" w:noHBand="0" w:noVBand="1"/>
      </w:tblPr>
      <w:tblGrid>
        <w:gridCol w:w="1754"/>
        <w:gridCol w:w="7602"/>
      </w:tblGrid>
      <w:tr w:rsidR="0022607C" w:rsidRPr="0022607C" w14:paraId="2DDCDA82" w14:textId="77777777" w:rsidTr="00E50239">
        <w:trPr>
          <w:cnfStyle w:val="100000000000" w:firstRow="1" w:lastRow="0" w:firstColumn="0" w:lastColumn="0" w:oddVBand="0" w:evenVBand="0" w:oddHBand="0" w:evenHBand="0" w:firstRowFirstColumn="0" w:firstRowLastColumn="0" w:lastRowFirstColumn="0" w:lastRowLastColumn="0"/>
          <w:trHeight w:val="426"/>
        </w:trPr>
        <w:tc>
          <w:tcPr>
            <w:tcW w:w="2120" w:type="dxa"/>
            <w:hideMark/>
          </w:tcPr>
          <w:p w14:paraId="2D2A9C87" w14:textId="77777777" w:rsidR="0022607C" w:rsidRPr="0022607C" w:rsidRDefault="0022607C" w:rsidP="0022607C">
            <w:pPr>
              <w:spacing w:before="60" w:after="60"/>
              <w:jc w:val="both"/>
              <w:rPr>
                <w:rFonts w:asciiTheme="majorHAnsi" w:hAnsiTheme="majorHAnsi" w:cstheme="majorHAnsi"/>
                <w:color w:val="0070C0"/>
              </w:rPr>
            </w:pPr>
            <w:r w:rsidRPr="0022607C">
              <w:rPr>
                <w:rFonts w:asciiTheme="majorHAnsi" w:hAnsiTheme="majorHAnsi" w:cstheme="majorHAnsi"/>
                <w:color w:val="0070C0"/>
                <w:lang w:val="en-US"/>
              </w:rPr>
              <w:t>Customer group</w:t>
            </w:r>
          </w:p>
        </w:tc>
        <w:tc>
          <w:tcPr>
            <w:tcW w:w="10460" w:type="dxa"/>
            <w:hideMark/>
          </w:tcPr>
          <w:p w14:paraId="56C3BAA9" w14:textId="77777777" w:rsidR="0022607C" w:rsidRPr="0022607C" w:rsidRDefault="0022607C" w:rsidP="0022607C">
            <w:pPr>
              <w:spacing w:before="60" w:after="60"/>
              <w:jc w:val="both"/>
              <w:rPr>
                <w:rFonts w:asciiTheme="majorHAnsi" w:hAnsiTheme="majorHAnsi" w:cstheme="majorHAnsi"/>
                <w:color w:val="0070C0"/>
              </w:rPr>
            </w:pPr>
            <w:r w:rsidRPr="0022607C">
              <w:rPr>
                <w:rFonts w:asciiTheme="majorHAnsi" w:hAnsiTheme="majorHAnsi" w:cstheme="majorHAnsi"/>
                <w:color w:val="0070C0"/>
                <w:lang w:val="en-US"/>
              </w:rPr>
              <w:t>On balance preferences</w:t>
            </w:r>
          </w:p>
        </w:tc>
      </w:tr>
      <w:tr w:rsidR="0022607C" w:rsidRPr="0022607C" w14:paraId="74AFCCFE" w14:textId="77777777" w:rsidTr="00E50239">
        <w:trPr>
          <w:trHeight w:val="736"/>
        </w:trPr>
        <w:tc>
          <w:tcPr>
            <w:tcW w:w="2120" w:type="dxa"/>
            <w:hideMark/>
          </w:tcPr>
          <w:p w14:paraId="0CB78366"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lang w:val="en-US"/>
              </w:rPr>
              <w:t>BMID (n=5)</w:t>
            </w:r>
          </w:p>
        </w:tc>
        <w:tc>
          <w:tcPr>
            <w:tcW w:w="10460" w:type="dxa"/>
            <w:hideMark/>
          </w:tcPr>
          <w:p w14:paraId="77388F2E" w14:textId="77777777" w:rsidR="0022607C" w:rsidRPr="0022607C" w:rsidRDefault="0022607C" w:rsidP="00F459A2">
            <w:pPr>
              <w:numPr>
                <w:ilvl w:val="0"/>
                <w:numId w:val="56"/>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SRW to reduce the proposed increase to CPI only</w:t>
            </w:r>
          </w:p>
          <w:p w14:paraId="4FD9E194" w14:textId="77777777" w:rsidR="0022607C" w:rsidRPr="0022607C" w:rsidRDefault="0022607C" w:rsidP="00F459A2">
            <w:pPr>
              <w:numPr>
                <w:ilvl w:val="0"/>
                <w:numId w:val="56"/>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 xml:space="preserve">Little support for SRW price rises to pay for further service improvements in the district </w:t>
            </w:r>
          </w:p>
        </w:tc>
      </w:tr>
      <w:tr w:rsidR="0022607C" w:rsidRPr="0022607C" w14:paraId="2826B26E" w14:textId="77777777" w:rsidTr="00E50239">
        <w:trPr>
          <w:trHeight w:val="736"/>
        </w:trPr>
        <w:tc>
          <w:tcPr>
            <w:tcW w:w="2120" w:type="dxa"/>
            <w:hideMark/>
          </w:tcPr>
          <w:p w14:paraId="17583180"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lang w:val="en-US"/>
              </w:rPr>
              <w:t>MID (n=27)</w:t>
            </w:r>
          </w:p>
        </w:tc>
        <w:tc>
          <w:tcPr>
            <w:tcW w:w="10460" w:type="dxa"/>
            <w:hideMark/>
          </w:tcPr>
          <w:p w14:paraId="2D6FAD7B" w14:textId="77777777" w:rsidR="0022607C" w:rsidRPr="0022607C" w:rsidRDefault="0022607C" w:rsidP="00F459A2">
            <w:pPr>
              <w:numPr>
                <w:ilvl w:val="0"/>
                <w:numId w:val="57"/>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SRW to aim for an average 1.3% per annum increase +CPI (based on options A, B and C combined)</w:t>
            </w:r>
          </w:p>
          <w:p w14:paraId="305F0114" w14:textId="77777777" w:rsidR="0022607C" w:rsidRPr="0022607C" w:rsidRDefault="0022607C" w:rsidP="00F459A2">
            <w:pPr>
              <w:numPr>
                <w:ilvl w:val="0"/>
                <w:numId w:val="57"/>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No preference for paying more to ensure ongoing operations and maintenance of the salinity mitigation program (50%/50% each way) (n=24)</w:t>
            </w:r>
          </w:p>
          <w:p w14:paraId="47B93B59" w14:textId="77777777" w:rsidR="0022607C" w:rsidRPr="0022607C" w:rsidRDefault="0022607C" w:rsidP="00F459A2">
            <w:pPr>
              <w:numPr>
                <w:ilvl w:val="0"/>
                <w:numId w:val="57"/>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Do not support SRW applying differential pricing whereby customers with modernised assets pay a premium for the benefits they receive (n=24)</w:t>
            </w:r>
          </w:p>
        </w:tc>
      </w:tr>
      <w:tr w:rsidR="0022607C" w:rsidRPr="0022607C" w14:paraId="4D1F9F7A" w14:textId="77777777" w:rsidTr="00E50239">
        <w:trPr>
          <w:trHeight w:val="736"/>
        </w:trPr>
        <w:tc>
          <w:tcPr>
            <w:tcW w:w="2120" w:type="dxa"/>
            <w:hideMark/>
          </w:tcPr>
          <w:p w14:paraId="6F97EB6B"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lang w:val="en-US"/>
              </w:rPr>
              <w:t>WID (n=8)</w:t>
            </w:r>
          </w:p>
        </w:tc>
        <w:tc>
          <w:tcPr>
            <w:tcW w:w="10460" w:type="dxa"/>
            <w:hideMark/>
          </w:tcPr>
          <w:p w14:paraId="322F5053" w14:textId="77777777" w:rsidR="0022607C" w:rsidRPr="0022607C" w:rsidRDefault="0022607C" w:rsidP="00F459A2">
            <w:pPr>
              <w:numPr>
                <w:ilvl w:val="0"/>
                <w:numId w:val="58"/>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SRW to aim for the proposed baseline average 1.5% per annum increase +CPI</w:t>
            </w:r>
          </w:p>
          <w:p w14:paraId="5C293BB8" w14:textId="77777777" w:rsidR="0022607C" w:rsidRPr="0022607C" w:rsidRDefault="0022607C" w:rsidP="00F459A2">
            <w:pPr>
              <w:numPr>
                <w:ilvl w:val="0"/>
                <w:numId w:val="58"/>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Support SRW combining the operation of river water and recycled water in the district</w:t>
            </w:r>
          </w:p>
          <w:p w14:paraId="34E4EB32" w14:textId="77777777" w:rsidR="0022607C" w:rsidRPr="0022607C" w:rsidRDefault="0022607C" w:rsidP="00F459A2">
            <w:pPr>
              <w:numPr>
                <w:ilvl w:val="0"/>
                <w:numId w:val="58"/>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 xml:space="preserve">Do not support paying more for improved drainage </w:t>
            </w:r>
          </w:p>
        </w:tc>
      </w:tr>
      <w:tr w:rsidR="0022607C" w:rsidRPr="0022607C" w14:paraId="3131F3A7" w14:textId="77777777" w:rsidTr="00E50239">
        <w:trPr>
          <w:trHeight w:val="736"/>
        </w:trPr>
        <w:tc>
          <w:tcPr>
            <w:tcW w:w="2120" w:type="dxa"/>
            <w:hideMark/>
          </w:tcPr>
          <w:p w14:paraId="5135DBA5"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lang w:val="en-US"/>
              </w:rPr>
              <w:t>G&amp;R (n=53)</w:t>
            </w:r>
          </w:p>
        </w:tc>
        <w:tc>
          <w:tcPr>
            <w:tcW w:w="10460" w:type="dxa"/>
            <w:hideMark/>
          </w:tcPr>
          <w:p w14:paraId="1A3817FE" w14:textId="77777777" w:rsidR="0022607C" w:rsidRPr="0022607C" w:rsidRDefault="0022607C" w:rsidP="00F459A2">
            <w:pPr>
              <w:numPr>
                <w:ilvl w:val="0"/>
                <w:numId w:val="59"/>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Divided support for SRW’s proposal to maintain current service levels, resulting in a CPI only increase (with many customers wanting no increase as per comments)</w:t>
            </w:r>
          </w:p>
          <w:p w14:paraId="74FD36F3" w14:textId="77777777" w:rsidR="0022607C" w:rsidRPr="0022607C" w:rsidRDefault="0022607C" w:rsidP="00F459A2">
            <w:pPr>
              <w:numPr>
                <w:ilvl w:val="0"/>
                <w:numId w:val="59"/>
              </w:numPr>
              <w:snapToGrid w:val="0"/>
              <w:spacing w:before="60" w:after="60"/>
              <w:ind w:left="344"/>
              <w:jc w:val="both"/>
              <w:rPr>
                <w:rFonts w:asciiTheme="majorHAnsi" w:hAnsiTheme="majorHAnsi" w:cstheme="majorHAnsi"/>
              </w:rPr>
            </w:pPr>
            <w:r w:rsidRPr="0022607C">
              <w:rPr>
                <w:rFonts w:asciiTheme="majorHAnsi" w:hAnsiTheme="majorHAnsi" w:cstheme="majorHAnsi"/>
                <w:lang w:val="en-US"/>
              </w:rPr>
              <w:t>Do not support higher application fees for complex applications</w:t>
            </w:r>
          </w:p>
        </w:tc>
      </w:tr>
    </w:tbl>
    <w:p w14:paraId="645D0C62"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24" w:name="_Toc111731028"/>
      <w:r w:rsidRPr="0022607C">
        <w:rPr>
          <w:rFonts w:asciiTheme="majorHAnsi" w:eastAsia="Times New Roman" w:hAnsiTheme="majorHAnsi" w:cstheme="majorHAnsi"/>
          <w:b/>
          <w:bCs/>
          <w:color w:val="0070C0"/>
          <w:sz w:val="21"/>
          <w:szCs w:val="26"/>
          <w:lang w:eastAsia="en-AU"/>
        </w:rPr>
        <w:t>How did SRW use the survey outcomes?</w:t>
      </w:r>
      <w:bookmarkEnd w:id="124"/>
    </w:p>
    <w:p w14:paraId="60B0E6B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outcomes from the Phase 3 survey, with CRG and other stakeholder feedback helped SRW finalise its pricing proposal ensuring its price-service proposals were consistent with customer needs and values.  SRW produced a table summarising its proposals, customer feedback and responses, which we have adapted and included below as Table 6-2.  This table demonstrates the link between SRW’s engagement and its proposals.</w:t>
      </w:r>
    </w:p>
    <w:p w14:paraId="7D8FCF8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For added transparency, SRW shared this feedback with the CRG in the final workshop.</w:t>
      </w:r>
    </w:p>
    <w:p w14:paraId="111927BE" w14:textId="41A054B4"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7</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Summary of customers’ pricing-service preferences by customer group</w:t>
      </w:r>
    </w:p>
    <w:tbl>
      <w:tblPr>
        <w:tblStyle w:val="GridTable1Light-Accent51"/>
        <w:tblW w:w="9498" w:type="dxa"/>
        <w:tblLook w:val="04A0" w:firstRow="1" w:lastRow="0" w:firstColumn="1" w:lastColumn="0" w:noHBand="0" w:noVBand="1"/>
      </w:tblPr>
      <w:tblGrid>
        <w:gridCol w:w="2552"/>
        <w:gridCol w:w="3118"/>
        <w:gridCol w:w="3828"/>
      </w:tblGrid>
      <w:tr w:rsidR="0022607C" w:rsidRPr="0022607C" w14:paraId="4A33A350"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52" w:type="dxa"/>
            <w:hideMark/>
          </w:tcPr>
          <w:p w14:paraId="0D165268" w14:textId="77777777" w:rsidR="0022607C" w:rsidRPr="0022607C" w:rsidRDefault="0022607C" w:rsidP="0022607C">
            <w:pPr>
              <w:spacing w:before="60" w:after="60"/>
              <w:rPr>
                <w:rFonts w:asciiTheme="majorHAnsi" w:hAnsiTheme="majorHAnsi" w:cstheme="majorHAnsi"/>
                <w:color w:val="0070C0"/>
                <w:lang w:val="en-US"/>
              </w:rPr>
            </w:pPr>
            <w:r w:rsidRPr="0022607C">
              <w:rPr>
                <w:rFonts w:asciiTheme="majorHAnsi" w:hAnsiTheme="majorHAnsi" w:cstheme="majorHAnsi"/>
                <w:color w:val="0070C0"/>
                <w:lang w:val="en-US"/>
              </w:rPr>
              <w:t>SRW asked customers if they supported…</w:t>
            </w:r>
          </w:p>
        </w:tc>
        <w:tc>
          <w:tcPr>
            <w:tcW w:w="3118" w:type="dxa"/>
            <w:hideMark/>
          </w:tcPr>
          <w:p w14:paraId="2C6423F8"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color w:val="0070C0"/>
                <w:lang w:val="en-US"/>
              </w:rPr>
              <w:t>Customers response</w:t>
            </w:r>
          </w:p>
        </w:tc>
        <w:tc>
          <w:tcPr>
            <w:tcW w:w="3828" w:type="dxa"/>
            <w:hideMark/>
          </w:tcPr>
          <w:p w14:paraId="18C49FD0"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color w:val="0070C0"/>
                <w:lang w:val="en-US"/>
              </w:rPr>
              <w:t>SRW is proposing …</w:t>
            </w:r>
          </w:p>
        </w:tc>
      </w:tr>
      <w:tr w:rsidR="0022607C" w:rsidRPr="0022607C" w14:paraId="75BEC1AB" w14:textId="77777777" w:rsidTr="00E50239">
        <w:tc>
          <w:tcPr>
            <w:cnfStyle w:val="001000000000" w:firstRow="0" w:lastRow="0" w:firstColumn="1" w:lastColumn="0" w:oddVBand="0" w:evenVBand="0" w:oddHBand="0" w:evenHBand="0" w:firstRowFirstColumn="0" w:firstRowLastColumn="0" w:lastRowFirstColumn="0" w:lastRowLastColumn="0"/>
            <w:tcW w:w="2552" w:type="dxa"/>
            <w:hideMark/>
          </w:tcPr>
          <w:p w14:paraId="3A0D091B"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 xml:space="preserve">G&amp;R </w:t>
            </w:r>
            <w:r w:rsidRPr="0022607C">
              <w:rPr>
                <w:rFonts w:asciiTheme="majorHAnsi" w:hAnsiTheme="majorHAnsi" w:cstheme="majorHAnsi"/>
              </w:rPr>
              <w:t>price increases of:</w:t>
            </w:r>
          </w:p>
          <w:p w14:paraId="212330DE"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CPI only</w:t>
            </w:r>
          </w:p>
        </w:tc>
        <w:tc>
          <w:tcPr>
            <w:tcW w:w="3118" w:type="dxa"/>
            <w:hideMark/>
          </w:tcPr>
          <w:p w14:paraId="5E16893E"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Responses varied, with some customers seeking price reductions or just a CPI increase</w:t>
            </w:r>
          </w:p>
        </w:tc>
        <w:tc>
          <w:tcPr>
            <w:tcW w:w="3828" w:type="dxa"/>
            <w:hideMark/>
          </w:tcPr>
          <w:p w14:paraId="219BEC23"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greater investment in compliance which can (in part) be offset by productivity savings, resulting in proposed price increases of CPI only per annum</w:t>
            </w:r>
          </w:p>
        </w:tc>
      </w:tr>
      <w:tr w:rsidR="0022607C" w:rsidRPr="0022607C" w14:paraId="4B978830" w14:textId="77777777" w:rsidTr="00E50239">
        <w:trPr>
          <w:trHeight w:val="457"/>
        </w:trPr>
        <w:tc>
          <w:tcPr>
            <w:cnfStyle w:val="001000000000" w:firstRow="0" w:lastRow="0" w:firstColumn="1" w:lastColumn="0" w:oddVBand="0" w:evenVBand="0" w:oddHBand="0" w:evenHBand="0" w:firstRowFirstColumn="0" w:firstRowLastColumn="0" w:lastRowFirstColumn="0" w:lastRowLastColumn="0"/>
            <w:tcW w:w="2552" w:type="dxa"/>
            <w:hideMark/>
          </w:tcPr>
          <w:p w14:paraId="3218BDD9"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 xml:space="preserve">BMID </w:t>
            </w:r>
            <w:r w:rsidRPr="0022607C">
              <w:rPr>
                <w:rFonts w:asciiTheme="majorHAnsi" w:hAnsiTheme="majorHAnsi" w:cstheme="majorHAnsi"/>
              </w:rPr>
              <w:t>price increases of:</w:t>
            </w:r>
          </w:p>
          <w:p w14:paraId="7A380A11"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0.0% – 0.2% + CPI pa</w:t>
            </w:r>
          </w:p>
        </w:tc>
        <w:tc>
          <w:tcPr>
            <w:tcW w:w="3118" w:type="dxa"/>
            <w:hideMark/>
          </w:tcPr>
          <w:p w14:paraId="52E71F04"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General opposition to any price increase</w:t>
            </w:r>
          </w:p>
        </w:tc>
        <w:tc>
          <w:tcPr>
            <w:tcW w:w="3828" w:type="dxa"/>
            <w:hideMark/>
          </w:tcPr>
          <w:p w14:paraId="079DCB93"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to fund past CAPEX which can (in part) be offset by productivity savings, resulting in proposed price increases of CPI only per annum.</w:t>
            </w:r>
          </w:p>
        </w:tc>
      </w:tr>
      <w:tr w:rsidR="0022607C" w:rsidRPr="0022607C" w14:paraId="1252F170" w14:textId="77777777" w:rsidTr="00E50239">
        <w:trPr>
          <w:trHeight w:val="703"/>
        </w:trPr>
        <w:tc>
          <w:tcPr>
            <w:cnfStyle w:val="001000000000" w:firstRow="0" w:lastRow="0" w:firstColumn="1" w:lastColumn="0" w:oddVBand="0" w:evenVBand="0" w:oddHBand="0" w:evenHBand="0" w:firstRowFirstColumn="0" w:firstRowLastColumn="0" w:lastRowFirstColumn="0" w:lastRowLastColumn="0"/>
            <w:tcW w:w="2552" w:type="dxa"/>
            <w:hideMark/>
          </w:tcPr>
          <w:p w14:paraId="0F5085B6"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 xml:space="preserve">WID </w:t>
            </w:r>
            <w:r w:rsidRPr="0022607C">
              <w:rPr>
                <w:rFonts w:asciiTheme="majorHAnsi" w:hAnsiTheme="majorHAnsi" w:cstheme="majorHAnsi"/>
              </w:rPr>
              <w:t>price increases of:</w:t>
            </w:r>
          </w:p>
          <w:p w14:paraId="1F265CA7"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0.3 to 1.7% + CPI pa.</w:t>
            </w:r>
          </w:p>
        </w:tc>
        <w:tc>
          <w:tcPr>
            <w:tcW w:w="3118" w:type="dxa"/>
            <w:hideMark/>
          </w:tcPr>
          <w:p w14:paraId="1DBD3BBA"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Strong support for options with a 1.0% to 1.3% price increase, although it is acknowledged that some did not support any increase.</w:t>
            </w:r>
          </w:p>
        </w:tc>
        <w:tc>
          <w:tcPr>
            <w:tcW w:w="3828" w:type="dxa"/>
            <w:hideMark/>
          </w:tcPr>
          <w:p w14:paraId="7FA905DD"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to fund past and future modernisation CAPEX which can (in part) be offset by productivity savings, resulting in proposed price increases of 1.0% + CPI per annum.</w:t>
            </w:r>
          </w:p>
        </w:tc>
      </w:tr>
      <w:tr w:rsidR="0022607C" w:rsidRPr="0022607C" w14:paraId="20FD1AAB" w14:textId="77777777" w:rsidTr="00E50239">
        <w:trPr>
          <w:trHeight w:val="769"/>
        </w:trPr>
        <w:tc>
          <w:tcPr>
            <w:cnfStyle w:val="001000000000" w:firstRow="0" w:lastRow="0" w:firstColumn="1" w:lastColumn="0" w:oddVBand="0" w:evenVBand="0" w:oddHBand="0" w:evenHBand="0" w:firstRowFirstColumn="0" w:firstRowLastColumn="0" w:lastRowFirstColumn="0" w:lastRowLastColumn="0"/>
            <w:tcW w:w="2552" w:type="dxa"/>
            <w:hideMark/>
          </w:tcPr>
          <w:p w14:paraId="13051CCC"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 xml:space="preserve">MID </w:t>
            </w:r>
            <w:r w:rsidRPr="0022607C">
              <w:rPr>
                <w:rFonts w:asciiTheme="majorHAnsi" w:hAnsiTheme="majorHAnsi" w:cstheme="majorHAnsi"/>
              </w:rPr>
              <w:t>price increases of:</w:t>
            </w:r>
          </w:p>
          <w:p w14:paraId="462E800C"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1.3 – 3.1% + CPI pa.</w:t>
            </w:r>
          </w:p>
        </w:tc>
        <w:tc>
          <w:tcPr>
            <w:tcW w:w="3118" w:type="dxa"/>
            <w:hideMark/>
          </w:tcPr>
          <w:p w14:paraId="00F32035"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Majority support for minimal price increases, but with notable (40% of survey respondents) support for increases over 2%.</w:t>
            </w:r>
          </w:p>
        </w:tc>
        <w:tc>
          <w:tcPr>
            <w:tcW w:w="3828" w:type="dxa"/>
            <w:hideMark/>
          </w:tcPr>
          <w:p w14:paraId="0A274E8D"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to fund past and future modernisation CAPEX which can (in part) be offset by productivity savings, resulting in proposed price increases of 1.5% + CPI per annum.</w:t>
            </w:r>
          </w:p>
        </w:tc>
      </w:tr>
      <w:tr w:rsidR="0022607C" w:rsidRPr="0022607C" w14:paraId="3FB5B5F2" w14:textId="77777777" w:rsidTr="00E50239">
        <w:trPr>
          <w:trHeight w:val="769"/>
        </w:trPr>
        <w:tc>
          <w:tcPr>
            <w:cnfStyle w:val="001000000000" w:firstRow="0" w:lastRow="0" w:firstColumn="1" w:lastColumn="0" w:oddVBand="0" w:evenVBand="0" w:oddHBand="0" w:evenHBand="0" w:firstRowFirstColumn="0" w:firstRowLastColumn="0" w:lastRowFirstColumn="0" w:lastRowLastColumn="0"/>
            <w:tcW w:w="2552" w:type="dxa"/>
          </w:tcPr>
          <w:p w14:paraId="28F4CDE1"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Latrobe BE</w:t>
            </w:r>
            <w:r w:rsidRPr="0022607C">
              <w:rPr>
                <w:rFonts w:asciiTheme="majorHAnsi" w:hAnsiTheme="majorHAnsi" w:cstheme="majorHAnsi"/>
              </w:rPr>
              <w:t xml:space="preserve"> price increases of:</w:t>
            </w:r>
          </w:p>
          <w:p w14:paraId="528AF1F6"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rPr>
              <w:t xml:space="preserve">1.5% (approx.) + CPI pa </w:t>
            </w:r>
          </w:p>
        </w:tc>
        <w:tc>
          <w:tcPr>
            <w:tcW w:w="3118" w:type="dxa"/>
          </w:tcPr>
          <w:p w14:paraId="37715BEC"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General support, knowing the increase is primarily to fund dam safety works.</w:t>
            </w:r>
          </w:p>
        </w:tc>
        <w:tc>
          <w:tcPr>
            <w:tcW w:w="3828" w:type="dxa"/>
          </w:tcPr>
          <w:p w14:paraId="12E03DF6"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to fund CAPEX but will consult in accordance with the BE instrument, expecting price increases of around 1.5% + CPI per annum.</w:t>
            </w:r>
          </w:p>
        </w:tc>
      </w:tr>
      <w:tr w:rsidR="0022607C" w:rsidRPr="0022607C" w14:paraId="4FCB30DA" w14:textId="77777777" w:rsidTr="00E50239">
        <w:trPr>
          <w:trHeight w:val="769"/>
        </w:trPr>
        <w:tc>
          <w:tcPr>
            <w:cnfStyle w:val="001000000000" w:firstRow="0" w:lastRow="0" w:firstColumn="1" w:lastColumn="0" w:oddVBand="0" w:evenVBand="0" w:oddHBand="0" w:evenHBand="0" w:firstRowFirstColumn="0" w:firstRowLastColumn="0" w:lastRowFirstColumn="0" w:lastRowLastColumn="0"/>
            <w:tcW w:w="2552" w:type="dxa"/>
          </w:tcPr>
          <w:p w14:paraId="3911EBDE" w14:textId="77777777" w:rsidR="0022607C" w:rsidRPr="0022607C" w:rsidRDefault="0022607C" w:rsidP="0022607C">
            <w:pPr>
              <w:spacing w:before="60" w:after="60"/>
              <w:jc w:val="both"/>
              <w:rPr>
                <w:rFonts w:asciiTheme="majorHAnsi" w:hAnsiTheme="majorHAnsi" w:cstheme="majorHAnsi"/>
              </w:rPr>
            </w:pPr>
            <w:r w:rsidRPr="0022607C">
              <w:rPr>
                <w:rFonts w:asciiTheme="majorHAnsi" w:hAnsiTheme="majorHAnsi" w:cstheme="majorHAnsi"/>
                <w:color w:val="0070C0"/>
              </w:rPr>
              <w:t>Werribee and Maribyrnong BE</w:t>
            </w:r>
            <w:r w:rsidRPr="0022607C">
              <w:rPr>
                <w:rFonts w:asciiTheme="majorHAnsi" w:hAnsiTheme="majorHAnsi" w:cstheme="majorHAnsi"/>
              </w:rPr>
              <w:t xml:space="preserve"> price increases of 1.9% (approx.) + CPI pa</w:t>
            </w:r>
          </w:p>
        </w:tc>
        <w:tc>
          <w:tcPr>
            <w:tcW w:w="3118" w:type="dxa"/>
          </w:tcPr>
          <w:p w14:paraId="7F926D26"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General support, knowing the increase is primarily to fund dam safety works.</w:t>
            </w:r>
          </w:p>
        </w:tc>
        <w:tc>
          <w:tcPr>
            <w:tcW w:w="3828" w:type="dxa"/>
          </w:tcPr>
          <w:p w14:paraId="2F725247" w14:textId="77777777" w:rsidR="0022607C" w:rsidRPr="0022607C" w:rsidRDefault="0022607C" w:rsidP="0022607C">
            <w:pPr>
              <w:spacing w:before="60" w:after="6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needs to fund CAPEX but will consult in accordance with the BE instrument, expecting price increases of around 1.9% + CPI per annum.</w:t>
            </w:r>
          </w:p>
        </w:tc>
      </w:tr>
    </w:tbl>
    <w:p w14:paraId="411E0AD7" w14:textId="77777777" w:rsidR="0022607C" w:rsidRPr="0022607C" w:rsidRDefault="0022607C" w:rsidP="0022607C">
      <w:pPr>
        <w:spacing w:before="120" w:after="120" w:line="240" w:lineRule="auto"/>
        <w:jc w:val="both"/>
        <w:rPr>
          <w:rFonts w:asciiTheme="majorHAnsi" w:eastAsia="Times New Roman" w:hAnsiTheme="majorHAnsi" w:cstheme="majorHAnsi"/>
          <w:sz w:val="20"/>
          <w:szCs w:val="20"/>
          <w:lang w:eastAsia="en-AU"/>
        </w:rPr>
      </w:pPr>
    </w:p>
    <w:p w14:paraId="3892A64F" w14:textId="77777777" w:rsidR="0022607C" w:rsidRPr="0022607C" w:rsidRDefault="0022607C" w:rsidP="0022607C">
      <w:pPr>
        <w:spacing w:after="0" w:line="240" w:lineRule="auto"/>
        <w:rPr>
          <w:rFonts w:asciiTheme="majorHAnsi" w:eastAsia="Times New Roman" w:hAnsiTheme="majorHAnsi" w:cstheme="majorHAnsi"/>
          <w:sz w:val="20"/>
          <w:szCs w:val="20"/>
          <w:lang w:eastAsia="en-AU"/>
        </w:rPr>
      </w:pPr>
      <w:r w:rsidRPr="0022607C">
        <w:rPr>
          <w:rFonts w:asciiTheme="majorHAnsi" w:eastAsia="Times New Roman" w:hAnsiTheme="majorHAnsi" w:cstheme="majorHAnsi"/>
          <w:color w:val="808080"/>
          <w:sz w:val="20"/>
          <w:szCs w:val="20"/>
          <w:lang w:eastAsia="en-GB"/>
        </w:rPr>
        <w:br w:type="page"/>
      </w:r>
    </w:p>
    <w:p w14:paraId="6D02F41F" w14:textId="77777777" w:rsidR="0022607C" w:rsidRPr="0022607C" w:rsidRDefault="0022607C" w:rsidP="0022607C">
      <w:pPr>
        <w:spacing w:before="120" w:after="120" w:line="240" w:lineRule="auto"/>
        <w:jc w:val="both"/>
        <w:rPr>
          <w:rFonts w:asciiTheme="majorHAnsi" w:eastAsia="Times New Roman" w:hAnsiTheme="majorHAnsi" w:cstheme="majorHAnsi"/>
          <w:sz w:val="20"/>
          <w:szCs w:val="20"/>
          <w:lang w:eastAsia="en-AU"/>
        </w:rPr>
      </w:pPr>
      <w:r w:rsidRPr="0022607C">
        <w:rPr>
          <w:rFonts w:asciiTheme="majorHAnsi" w:eastAsia="Times New Roman" w:hAnsiTheme="majorHAnsi" w:cstheme="majorHAnsi"/>
          <w:sz w:val="20"/>
          <w:szCs w:val="20"/>
          <w:lang w:eastAsia="en-AU"/>
        </w:rPr>
        <w:t>In relation to tariffs:</w:t>
      </w:r>
    </w:p>
    <w:p w14:paraId="255C37C8" w14:textId="1C86B9CF"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8</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Summary of customer preferences and SRW’s tariff responses</w:t>
      </w:r>
    </w:p>
    <w:tbl>
      <w:tblPr>
        <w:tblStyle w:val="GridTable1Light-Accent51"/>
        <w:tblW w:w="9498" w:type="dxa"/>
        <w:tblLook w:val="04A0" w:firstRow="1" w:lastRow="0" w:firstColumn="1" w:lastColumn="0" w:noHBand="0" w:noVBand="1"/>
      </w:tblPr>
      <w:tblGrid>
        <w:gridCol w:w="2694"/>
        <w:gridCol w:w="2976"/>
        <w:gridCol w:w="3828"/>
      </w:tblGrid>
      <w:tr w:rsidR="0022607C" w:rsidRPr="0022607C" w14:paraId="3BA0EEF8" w14:textId="77777777" w:rsidTr="00E5023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4" w:type="dxa"/>
            <w:hideMark/>
          </w:tcPr>
          <w:p w14:paraId="5DD4CA7F" w14:textId="77777777" w:rsidR="0022607C" w:rsidRPr="0022607C" w:rsidRDefault="0022607C" w:rsidP="0022607C">
            <w:pPr>
              <w:spacing w:before="60" w:after="60"/>
              <w:rPr>
                <w:rFonts w:asciiTheme="majorHAnsi" w:hAnsiTheme="majorHAnsi" w:cstheme="majorHAnsi"/>
                <w:color w:val="0070C0"/>
                <w:lang w:val="en-US"/>
              </w:rPr>
            </w:pPr>
            <w:r w:rsidRPr="0022607C">
              <w:rPr>
                <w:rFonts w:asciiTheme="majorHAnsi" w:hAnsiTheme="majorHAnsi" w:cstheme="majorHAnsi"/>
                <w:color w:val="0070C0"/>
                <w:lang w:val="en-US"/>
              </w:rPr>
              <w:t>SRW asked customers if they supported…</w:t>
            </w:r>
          </w:p>
        </w:tc>
        <w:tc>
          <w:tcPr>
            <w:tcW w:w="2976" w:type="dxa"/>
            <w:hideMark/>
          </w:tcPr>
          <w:p w14:paraId="476957FB"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color w:val="0070C0"/>
                <w:lang w:val="en-US"/>
              </w:rPr>
              <w:t>Customer response</w:t>
            </w:r>
          </w:p>
        </w:tc>
        <w:tc>
          <w:tcPr>
            <w:tcW w:w="3828" w:type="dxa"/>
            <w:hideMark/>
          </w:tcPr>
          <w:p w14:paraId="2F611CF7"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color w:val="0070C0"/>
                <w:lang w:val="en-US"/>
              </w:rPr>
              <w:t>SRW is proposing …</w:t>
            </w:r>
          </w:p>
        </w:tc>
      </w:tr>
      <w:tr w:rsidR="0022607C" w:rsidRPr="0022607C" w14:paraId="13DC34E7" w14:textId="77777777" w:rsidTr="00E50239">
        <w:tc>
          <w:tcPr>
            <w:cnfStyle w:val="001000000000" w:firstRow="0" w:lastRow="0" w:firstColumn="1" w:lastColumn="0" w:oddVBand="0" w:evenVBand="0" w:oddHBand="0" w:evenHBand="0" w:firstRowFirstColumn="0" w:firstRowLastColumn="0" w:lastRowFirstColumn="0" w:lastRowLastColumn="0"/>
            <w:tcW w:w="2694" w:type="dxa"/>
          </w:tcPr>
          <w:p w14:paraId="27FC85A0" w14:textId="77777777" w:rsidR="0022607C" w:rsidRPr="0022607C" w:rsidRDefault="0022607C" w:rsidP="0022607C">
            <w:pPr>
              <w:spacing w:before="60" w:after="60"/>
              <w:rPr>
                <w:rFonts w:asciiTheme="majorHAnsi" w:hAnsiTheme="majorHAnsi" w:cstheme="majorHAnsi"/>
                <w:color w:val="0070C0"/>
                <w:lang w:val="en-US"/>
              </w:rPr>
            </w:pPr>
            <w:r w:rsidRPr="0022607C">
              <w:rPr>
                <w:rFonts w:asciiTheme="majorHAnsi" w:hAnsiTheme="majorHAnsi" w:cstheme="majorHAnsi"/>
              </w:rPr>
              <w:t>Greater investment in MID salinity program</w:t>
            </w:r>
          </w:p>
        </w:tc>
        <w:tc>
          <w:tcPr>
            <w:tcW w:w="2976" w:type="dxa"/>
          </w:tcPr>
          <w:p w14:paraId="1D9F035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rPr>
              <w:t>Similar numbers favour/oppose greater investment in the salinity program across all engagement platforms</w:t>
            </w:r>
          </w:p>
        </w:tc>
        <w:tc>
          <w:tcPr>
            <w:tcW w:w="3828" w:type="dxa"/>
          </w:tcPr>
          <w:p w14:paraId="784F4377"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70C0"/>
                <w:lang w:val="en-US"/>
              </w:rPr>
            </w:pPr>
            <w:r w:rsidRPr="0022607C">
              <w:rPr>
                <w:rFonts w:asciiTheme="majorHAnsi" w:hAnsiTheme="majorHAnsi" w:cstheme="majorHAnsi"/>
              </w:rPr>
              <w:t>SRW’s proposal seeks to find the middle ground so it will continue to operate the program, but aim for greater efficiency</w:t>
            </w:r>
          </w:p>
        </w:tc>
      </w:tr>
      <w:tr w:rsidR="0022607C" w:rsidRPr="0022607C" w14:paraId="4BDA9C7E" w14:textId="77777777" w:rsidTr="00E50239">
        <w:tc>
          <w:tcPr>
            <w:cnfStyle w:val="001000000000" w:firstRow="0" w:lastRow="0" w:firstColumn="1" w:lastColumn="0" w:oddVBand="0" w:evenVBand="0" w:oddHBand="0" w:evenHBand="0" w:firstRowFirstColumn="0" w:firstRowLastColumn="0" w:lastRowFirstColumn="0" w:lastRowLastColumn="0"/>
            <w:tcW w:w="2694" w:type="dxa"/>
          </w:tcPr>
          <w:p w14:paraId="01E64163"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rPr>
              <w:t>Differential pricing where customers paid more for larger outlets</w:t>
            </w:r>
          </w:p>
        </w:tc>
        <w:tc>
          <w:tcPr>
            <w:tcW w:w="2976" w:type="dxa"/>
          </w:tcPr>
          <w:p w14:paraId="796720AB"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Mostly opposed to differential pricing</w:t>
            </w:r>
          </w:p>
        </w:tc>
        <w:tc>
          <w:tcPr>
            <w:tcW w:w="3828" w:type="dxa"/>
          </w:tcPr>
          <w:p w14:paraId="045D38B0"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believes the customer response may change as modernisation progresses</w:t>
            </w:r>
          </w:p>
          <w:p w14:paraId="07546606"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will maintain a uniform outlet price but explore differential pricing options for PS28</w:t>
            </w:r>
          </w:p>
        </w:tc>
      </w:tr>
      <w:tr w:rsidR="0022607C" w:rsidRPr="0022607C" w14:paraId="34AE6CE0" w14:textId="77777777" w:rsidTr="00E50239">
        <w:tc>
          <w:tcPr>
            <w:cnfStyle w:val="001000000000" w:firstRow="0" w:lastRow="0" w:firstColumn="1" w:lastColumn="0" w:oddVBand="0" w:evenVBand="0" w:oddHBand="0" w:evenHBand="0" w:firstRowFirstColumn="0" w:firstRowLastColumn="0" w:lastRowFirstColumn="0" w:lastRowLastColumn="0"/>
            <w:tcW w:w="2694" w:type="dxa"/>
          </w:tcPr>
          <w:p w14:paraId="1CB25CFA"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rPr>
              <w:t>Combine recycled and river water to a ‘single product’</w:t>
            </w:r>
          </w:p>
        </w:tc>
        <w:tc>
          <w:tcPr>
            <w:tcW w:w="2976" w:type="dxa"/>
          </w:tcPr>
          <w:p w14:paraId="01A5961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Through the surveys 75% supported merging the products. WBMCCC and individuals in attendance at open houses also supported this proposal</w:t>
            </w:r>
          </w:p>
        </w:tc>
        <w:tc>
          <w:tcPr>
            <w:tcW w:w="3828" w:type="dxa"/>
          </w:tcPr>
          <w:p w14:paraId="487B13AB"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will pursue managing recycled and river water as a single product</w:t>
            </w:r>
          </w:p>
        </w:tc>
      </w:tr>
      <w:tr w:rsidR="0022607C" w:rsidRPr="0022607C" w14:paraId="0BF6243B" w14:textId="77777777" w:rsidTr="00E50239">
        <w:tc>
          <w:tcPr>
            <w:cnfStyle w:val="001000000000" w:firstRow="0" w:lastRow="0" w:firstColumn="1" w:lastColumn="0" w:oddVBand="0" w:evenVBand="0" w:oddHBand="0" w:evenHBand="0" w:firstRowFirstColumn="0" w:firstRowLastColumn="0" w:lastRowFirstColumn="0" w:lastRowLastColumn="0"/>
            <w:tcW w:w="2694" w:type="dxa"/>
          </w:tcPr>
          <w:p w14:paraId="2293A5F1"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rPr>
              <w:t>Greater investment in WID drainage</w:t>
            </w:r>
          </w:p>
        </w:tc>
        <w:tc>
          <w:tcPr>
            <w:tcW w:w="2976" w:type="dxa"/>
          </w:tcPr>
          <w:p w14:paraId="1551DCDB"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Most opposed paying more for drainage services despite a request for improved drainage</w:t>
            </w:r>
          </w:p>
        </w:tc>
        <w:tc>
          <w:tcPr>
            <w:tcW w:w="3828" w:type="dxa"/>
          </w:tcPr>
          <w:p w14:paraId="009269EC"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SRW’s proposal seeks to find the middle ground so it will continue to maintain drains within existing budgets but for greater efficiency opportunities and partnerships with Melbourne Water, Councils, etc.</w:t>
            </w:r>
          </w:p>
        </w:tc>
      </w:tr>
      <w:tr w:rsidR="0022607C" w:rsidRPr="0022607C" w14:paraId="4E59303F" w14:textId="77777777" w:rsidTr="00E50239">
        <w:tc>
          <w:tcPr>
            <w:cnfStyle w:val="001000000000" w:firstRow="0" w:lastRow="0" w:firstColumn="1" w:lastColumn="0" w:oddVBand="0" w:evenVBand="0" w:oddHBand="0" w:evenHBand="0" w:firstRowFirstColumn="0" w:firstRowLastColumn="0" w:lastRowFirstColumn="0" w:lastRowLastColumn="0"/>
            <w:tcW w:w="2694" w:type="dxa"/>
          </w:tcPr>
          <w:p w14:paraId="7CD8A653" w14:textId="77777777" w:rsidR="0022607C" w:rsidRPr="0022607C" w:rsidRDefault="0022607C" w:rsidP="0022607C">
            <w:pPr>
              <w:spacing w:before="60" w:after="60"/>
              <w:rPr>
                <w:rFonts w:asciiTheme="majorHAnsi" w:hAnsiTheme="majorHAnsi" w:cstheme="majorHAnsi"/>
              </w:rPr>
            </w:pPr>
            <w:r w:rsidRPr="0022607C">
              <w:rPr>
                <w:rFonts w:asciiTheme="majorHAnsi" w:hAnsiTheme="majorHAnsi" w:cstheme="majorHAnsi"/>
              </w:rPr>
              <w:t>Higher application fees for more complex applications</w:t>
            </w:r>
          </w:p>
        </w:tc>
        <w:tc>
          <w:tcPr>
            <w:tcW w:w="2976" w:type="dxa"/>
          </w:tcPr>
          <w:p w14:paraId="1E71C10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Survey results suggested a slight majority oppose high fees for more complex applications, however deeper discussions with the CRG and SGRF members suggested a greater level of support</w:t>
            </w:r>
          </w:p>
        </w:tc>
        <w:tc>
          <w:tcPr>
            <w:tcW w:w="3828" w:type="dxa"/>
          </w:tcPr>
          <w:p w14:paraId="0D068641"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22607C">
              <w:rPr>
                <w:rFonts w:asciiTheme="majorHAnsi" w:hAnsiTheme="majorHAnsi" w:cstheme="majorHAnsi"/>
              </w:rPr>
              <w:t>SRW identified a cost/revenue discrepancy in its applications business.  It is proposing a different tariff mechanism to recover costs, and will monitor the cost of complex applications for consideration in its next Price Submission</w:t>
            </w:r>
          </w:p>
        </w:tc>
      </w:tr>
    </w:tbl>
    <w:p w14:paraId="4E9CC969" w14:textId="77777777" w:rsidR="0022607C" w:rsidRPr="0022607C" w:rsidRDefault="0022607C" w:rsidP="0022607C">
      <w:pPr>
        <w:snapToGrid w:val="0"/>
        <w:spacing w:after="0" w:line="240" w:lineRule="auto"/>
        <w:rPr>
          <w:rFonts w:asciiTheme="majorHAnsi" w:eastAsia="Times New Roman" w:hAnsiTheme="majorHAnsi" w:cstheme="majorHAnsi"/>
          <w:b/>
          <w:bCs/>
          <w:color w:val="808080"/>
          <w:sz w:val="20"/>
          <w:szCs w:val="20"/>
          <w:lang w:eastAsia="en-GB"/>
        </w:rPr>
      </w:pPr>
      <w:r w:rsidRPr="0022607C">
        <w:rPr>
          <w:rFonts w:asciiTheme="majorHAnsi" w:eastAsia="Times New Roman" w:hAnsiTheme="majorHAnsi" w:cstheme="majorHAnsi"/>
          <w:b/>
          <w:bCs/>
          <w:color w:val="808080"/>
          <w:sz w:val="20"/>
          <w:szCs w:val="20"/>
          <w:lang w:eastAsia="en-GB"/>
        </w:rPr>
        <w:br w:type="page"/>
      </w:r>
    </w:p>
    <w:p w14:paraId="6FE7A9E4"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25" w:name="_Toc111731029"/>
      <w:r w:rsidRPr="0022607C">
        <w:rPr>
          <w:rFonts w:asciiTheme="majorHAnsi" w:eastAsia="Times New Roman" w:hAnsiTheme="majorHAnsi" w:cstheme="majorHAnsi"/>
          <w:b/>
          <w:bCs/>
          <w:snapToGrid w:val="0"/>
          <w:color w:val="0070C0"/>
          <w:kern w:val="32"/>
          <w:sz w:val="28"/>
          <w:szCs w:val="32"/>
          <w:lang w:eastAsia="en-AU"/>
        </w:rPr>
        <w:t>Involving customers through the CRG</w:t>
      </w:r>
      <w:bookmarkEnd w:id="125"/>
    </w:p>
    <w:p w14:paraId="256D8D7C"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26" w:name="_Toc111731030"/>
      <w:r w:rsidRPr="0022607C">
        <w:rPr>
          <w:rFonts w:asciiTheme="majorHAnsi" w:eastAsia="Times New Roman" w:hAnsiTheme="majorHAnsi" w:cstheme="majorHAnsi"/>
          <w:b/>
          <w:iCs/>
          <w:color w:val="0070C0"/>
          <w:kern w:val="32"/>
          <w:sz w:val="24"/>
          <w:szCs w:val="28"/>
          <w:lang w:eastAsia="en-AU"/>
        </w:rPr>
        <w:t>CRG purpose</w:t>
      </w:r>
      <w:bookmarkEnd w:id="126"/>
    </w:p>
    <w:p w14:paraId="76D9990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key part of SRW’s engagement framework included the establishment of an independently facilitated Customer Reference Group.  The aim of this group was to:</w:t>
      </w:r>
    </w:p>
    <w:p w14:paraId="14D15ABF" w14:textId="77777777" w:rsidR="0022607C" w:rsidRPr="0022607C" w:rsidRDefault="0022607C" w:rsidP="0022607C">
      <w:pPr>
        <w:spacing w:before="120" w:after="120" w:line="240" w:lineRule="auto"/>
        <w:ind w:left="432"/>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i/>
          <w:iCs/>
          <w:sz w:val="21"/>
          <w:szCs w:val="24"/>
          <w:lang w:eastAsia="en-AU"/>
        </w:rPr>
        <w:t>“… build a deeper relationship and understanding with a representative group of customers through the process”</w:t>
      </w:r>
      <w:r w:rsidRPr="0022607C">
        <w:rPr>
          <w:rFonts w:asciiTheme="majorHAnsi" w:eastAsia="Times New Roman" w:hAnsiTheme="majorHAnsi" w:cstheme="majorHAnsi"/>
          <w:i/>
          <w:iCs/>
          <w:sz w:val="21"/>
          <w:szCs w:val="24"/>
          <w:vertAlign w:val="superscript"/>
          <w:lang w:eastAsia="en-AU"/>
        </w:rPr>
        <w:footnoteReference w:id="23"/>
      </w:r>
    </w:p>
    <w:p w14:paraId="3E930EC1"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Importantly, the CRG was formed to allow for direct and deep engagement with a small number of customers.  The group was committed to attending and worked well together, providing honest and direct feedback.  This feedback was valued by SRW which took on board comments and suggestions made by the CRG to shape the PS2023 process and outcomes.</w:t>
      </w:r>
    </w:p>
    <w:p w14:paraId="2AA9D2E3"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 September 2021 SRW, with input from the BC Team, prepared Terms of Reference (ToR) for the CRG, which further articulated the group’s purpose as follows:</w:t>
      </w:r>
      <w:r w:rsidRPr="0022607C">
        <w:rPr>
          <w:rFonts w:asciiTheme="majorHAnsi" w:eastAsia="Times New Roman" w:hAnsiTheme="majorHAnsi" w:cstheme="majorHAnsi"/>
          <w:sz w:val="21"/>
          <w:szCs w:val="24"/>
          <w:vertAlign w:val="superscript"/>
          <w:lang w:eastAsia="en-AU"/>
        </w:rPr>
        <w:footnoteReference w:id="24"/>
      </w:r>
    </w:p>
    <w:p w14:paraId="500C20F6" w14:textId="77777777" w:rsidR="0022607C" w:rsidRPr="0022607C" w:rsidRDefault="0022607C" w:rsidP="0022607C">
      <w:pPr>
        <w:spacing w:before="120" w:after="120" w:line="240" w:lineRule="auto"/>
        <w:ind w:left="993" w:hanging="273"/>
        <w:jc w:val="both"/>
        <w:rPr>
          <w:rFonts w:asciiTheme="majorHAnsi" w:eastAsia="Times New Roman" w:hAnsiTheme="majorHAnsi" w:cstheme="majorHAnsi"/>
          <w:i/>
          <w:iCs/>
          <w:sz w:val="21"/>
          <w:szCs w:val="24"/>
          <w:lang w:eastAsia="en-AU"/>
        </w:rPr>
      </w:pPr>
      <w:r w:rsidRPr="0022607C">
        <w:rPr>
          <w:rFonts w:asciiTheme="majorHAnsi" w:eastAsia="Times New Roman" w:hAnsiTheme="majorHAnsi" w:cstheme="majorHAnsi"/>
          <w:i/>
          <w:iCs/>
          <w:sz w:val="21"/>
          <w:szCs w:val="24"/>
          <w:lang w:eastAsia="en-AU"/>
        </w:rPr>
        <w:t>•</w:t>
      </w:r>
      <w:r w:rsidRPr="0022607C">
        <w:rPr>
          <w:rFonts w:asciiTheme="majorHAnsi" w:eastAsia="Times New Roman" w:hAnsiTheme="majorHAnsi" w:cstheme="majorHAnsi"/>
          <w:i/>
          <w:iCs/>
          <w:sz w:val="21"/>
          <w:szCs w:val="24"/>
          <w:lang w:eastAsia="en-AU"/>
        </w:rPr>
        <w:tab/>
        <w:t>To increase customer knowledge, insight and transparency into SRW’s Price Submission process; and</w:t>
      </w:r>
    </w:p>
    <w:p w14:paraId="7C5956AE" w14:textId="77777777" w:rsidR="0022607C" w:rsidRPr="0022607C" w:rsidRDefault="0022607C" w:rsidP="0022607C">
      <w:pPr>
        <w:spacing w:before="120" w:after="120" w:line="240" w:lineRule="auto"/>
        <w:ind w:left="993" w:hanging="273"/>
        <w:jc w:val="both"/>
        <w:rPr>
          <w:rFonts w:asciiTheme="majorHAnsi" w:eastAsia="Times New Roman" w:hAnsiTheme="majorHAnsi" w:cstheme="majorHAnsi"/>
          <w:i/>
          <w:iCs/>
          <w:sz w:val="21"/>
          <w:szCs w:val="24"/>
          <w:lang w:eastAsia="en-AU"/>
        </w:rPr>
      </w:pPr>
      <w:r w:rsidRPr="0022607C">
        <w:rPr>
          <w:rFonts w:asciiTheme="majorHAnsi" w:eastAsia="Times New Roman" w:hAnsiTheme="majorHAnsi" w:cstheme="majorHAnsi"/>
          <w:i/>
          <w:iCs/>
          <w:sz w:val="21"/>
          <w:szCs w:val="24"/>
          <w:lang w:eastAsia="en-AU"/>
        </w:rPr>
        <w:t>•</w:t>
      </w:r>
      <w:r w:rsidRPr="0022607C">
        <w:rPr>
          <w:rFonts w:asciiTheme="majorHAnsi" w:eastAsia="Times New Roman" w:hAnsiTheme="majorHAnsi" w:cstheme="majorHAnsi"/>
          <w:i/>
          <w:iCs/>
          <w:sz w:val="21"/>
          <w:szCs w:val="24"/>
          <w:lang w:eastAsia="en-AU"/>
        </w:rPr>
        <w:tab/>
        <w:t>To ensure SRW’s Price Submission decisions directly reflect well-considered customer views</w:t>
      </w:r>
    </w:p>
    <w:p w14:paraId="0A5F3ED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 establishing the CRG, SRW was seeking support from a customer representative group to help:</w:t>
      </w:r>
      <w:r w:rsidRPr="0022607C">
        <w:rPr>
          <w:rFonts w:asciiTheme="majorHAnsi" w:eastAsia="Times New Roman" w:hAnsiTheme="majorHAnsi" w:cstheme="majorHAnsi"/>
          <w:sz w:val="21"/>
          <w:szCs w:val="24"/>
          <w:vertAlign w:val="superscript"/>
          <w:lang w:eastAsia="en-AU"/>
        </w:rPr>
        <w:footnoteReference w:id="25"/>
      </w:r>
    </w:p>
    <w:p w14:paraId="02FA4155"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Identify, discuss and prioritise initiatives to support customer value</w:t>
      </w:r>
    </w:p>
    <w:p w14:paraId="55A90616"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Critically assess the benefits to customers of its proposals</w:t>
      </w:r>
    </w:p>
    <w:p w14:paraId="505B5A47"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Learn from members’ experiences about the value of water to those customers they represent</w:t>
      </w:r>
    </w:p>
    <w:p w14:paraId="5BA32FE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Through engagement with the CRG, SRW was aiming to:</w:t>
      </w:r>
      <w:r w:rsidRPr="0022607C">
        <w:rPr>
          <w:rFonts w:asciiTheme="majorHAnsi" w:eastAsia="Times New Roman" w:hAnsiTheme="majorHAnsi" w:cstheme="majorHAnsi"/>
          <w:sz w:val="21"/>
          <w:szCs w:val="24"/>
          <w:vertAlign w:val="superscript"/>
          <w:lang w:eastAsia="en-AU"/>
        </w:rPr>
        <w:t xml:space="preserve"> </w:t>
      </w:r>
      <w:r w:rsidRPr="0022607C">
        <w:rPr>
          <w:rFonts w:asciiTheme="majorHAnsi" w:eastAsia="Times New Roman" w:hAnsiTheme="majorHAnsi" w:cstheme="majorHAnsi"/>
          <w:sz w:val="21"/>
          <w:szCs w:val="24"/>
          <w:vertAlign w:val="superscript"/>
          <w:lang w:eastAsia="en-AU"/>
        </w:rPr>
        <w:footnoteReference w:id="26"/>
      </w:r>
    </w:p>
    <w:p w14:paraId="1E72AB02"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Ensure its Price Submission is supported by informed, considered, balanced ideas and feedback</w:t>
      </w:r>
    </w:p>
    <w:p w14:paraId="301734A2"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Ensure customer outcomes presented in the final Price Submission reflect customer sentiment</w:t>
      </w:r>
    </w:p>
    <w:p w14:paraId="054AFA94"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Have a deeper understanding of what its customers value and where SRW can add value</w:t>
      </w:r>
    </w:p>
    <w:p w14:paraId="287BBD6F"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Instil transparent price submission processes and decisions</w:t>
      </w:r>
    </w:p>
    <w:p w14:paraId="2E1F119C"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Establish an informed base of ‘thought leaders’ to help with its price submission</w:t>
      </w:r>
    </w:p>
    <w:p w14:paraId="78F34FAE"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27" w:name="_Toc111731031"/>
      <w:r w:rsidRPr="0022607C">
        <w:rPr>
          <w:rFonts w:asciiTheme="majorHAnsi" w:eastAsia="Times New Roman" w:hAnsiTheme="majorHAnsi" w:cstheme="majorHAnsi"/>
          <w:b/>
          <w:iCs/>
          <w:color w:val="0070C0"/>
          <w:kern w:val="32"/>
          <w:sz w:val="24"/>
          <w:szCs w:val="28"/>
          <w:lang w:eastAsia="en-AU"/>
        </w:rPr>
        <w:t>Recruitment</w:t>
      </w:r>
      <w:bookmarkEnd w:id="127"/>
    </w:p>
    <w:p w14:paraId="2944C76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recruited customers to join the CRG in October 2021.</w:t>
      </w:r>
    </w:p>
    <w:p w14:paraId="4EA2007F"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As outlined in the ToR SRW sought a “representative group of customers”, who could provide “well-considered” customer views.  To achieve a representative customer group SRW was keen to ensure as much diversity as possible among members in the group with respect to their:</w:t>
      </w:r>
    </w:p>
    <w:p w14:paraId="37F9F8AE"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Enterprise type (irrigator, stock and domestic user, environmental water interests) </w:t>
      </w:r>
    </w:p>
    <w:p w14:paraId="0BC5FE4F"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Water source (irrigation water, groundwater and rivers)</w:t>
      </w:r>
    </w:p>
    <w:p w14:paraId="45B9E109"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Location across SRW’s region (including representation from SRW’s three irrigation districts and G&amp;R customers)</w:t>
      </w:r>
    </w:p>
    <w:p w14:paraId="06FAE2ED"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Demographics (age, gender, life-stage)</w:t>
      </w:r>
    </w:p>
    <w:p w14:paraId="61E04A9A" w14:textId="77777777" w:rsidR="0022607C" w:rsidRPr="0022607C" w:rsidRDefault="0022607C" w:rsidP="00F459A2">
      <w:pPr>
        <w:numPr>
          <w:ilvl w:val="0"/>
          <w:numId w:val="45"/>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Formal and informal affiliations with different water user groups, and ability to draw on these affiliations to provide a broader perspective as a CRG member </w:t>
      </w:r>
    </w:p>
    <w:p w14:paraId="749AF21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achieve such diversity SRW aimed to recruit a group of up to sixteen customers and customer representatives including eight to ten customers.  A group this size would remain sufficiently large to provide a range of perspectives if some members were not able to attend all meetings, but small enough to allow for constructive discussion, as a whole or in subgroups during meetings.</w:t>
      </w:r>
    </w:p>
    <w:p w14:paraId="7746A87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initially identified potential members with the assistance of its regional field staff who were asked to nominate customers they considered would be interested, and able to provide useful, productive feedback.  This process generated a list of twenty-eight potential customers.  From this list SRW selected an initial sample of around eight to ten customers representing the diversity described above.</w:t>
      </w:r>
    </w:p>
    <w:p w14:paraId="6CB9889D" w14:textId="77777777" w:rsidR="0022607C" w:rsidRPr="0022607C" w:rsidRDefault="0022607C" w:rsidP="0022607C">
      <w:pPr>
        <w:spacing w:before="120" w:after="120" w:line="240" w:lineRule="auto"/>
        <w:jc w:val="both"/>
        <w:rPr>
          <w:rFonts w:asciiTheme="majorHAnsi" w:eastAsia="Times New Roman" w:hAnsiTheme="majorHAnsi" w:cstheme="majorHAnsi"/>
          <w:color w:val="000000"/>
          <w:lang w:eastAsia="en-AU"/>
        </w:rPr>
      </w:pPr>
      <w:r w:rsidRPr="0022607C">
        <w:rPr>
          <w:rFonts w:asciiTheme="majorHAnsi" w:eastAsia="Times New Roman" w:hAnsiTheme="majorHAnsi" w:cstheme="majorHAnsi"/>
          <w:sz w:val="21"/>
          <w:szCs w:val="24"/>
          <w:lang w:eastAsia="en-AU"/>
        </w:rPr>
        <w:t xml:space="preserve">SRW contacted this group by phone </w:t>
      </w:r>
      <w:r w:rsidRPr="0022607C">
        <w:rPr>
          <w:rFonts w:asciiTheme="majorHAnsi" w:eastAsia="Times New Roman" w:hAnsiTheme="majorHAnsi" w:cstheme="majorHAnsi"/>
          <w:color w:val="000000"/>
          <w:lang w:eastAsia="en-AU"/>
        </w:rPr>
        <w:t>seeking their expression of interest.  They were then emailed a PS2023 Fact Sheet (see Section 5-1) and a draft version of the ToR to provide clarity about the role and commitment required.  As not all members of the originally selected group accepted the invitation after considering the materials, SRW team members then worked through the list to achieve the required number and diversity of customers.</w:t>
      </w:r>
    </w:p>
    <w:p w14:paraId="24BACF78" w14:textId="77777777" w:rsidR="0022607C" w:rsidRPr="0022607C" w:rsidRDefault="0022607C" w:rsidP="0022607C">
      <w:pPr>
        <w:spacing w:before="120" w:after="120" w:line="240" w:lineRule="auto"/>
        <w:jc w:val="both"/>
        <w:rPr>
          <w:rFonts w:asciiTheme="majorHAnsi" w:eastAsia="Times New Roman" w:hAnsiTheme="majorHAnsi" w:cstheme="majorHAnsi"/>
          <w:color w:val="000000"/>
          <w:lang w:eastAsia="en-AU"/>
        </w:rPr>
      </w:pPr>
      <w:r w:rsidRPr="0022607C">
        <w:rPr>
          <w:rFonts w:asciiTheme="majorHAnsi" w:eastAsia="Times New Roman" w:hAnsiTheme="majorHAnsi" w:cstheme="majorHAnsi"/>
          <w:color w:val="000000"/>
          <w:lang w:eastAsia="en-AU"/>
        </w:rPr>
        <w:t>Additionally, SRW invited the following customer representative groups to nominate a representative to join the CRG to strengthen their engagement on SRW’s PS2023.</w:t>
      </w:r>
    </w:p>
    <w:p w14:paraId="2DB5FFBE"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Bacchus Marsh, Macalister and Werribee CCCs</w:t>
      </w:r>
    </w:p>
    <w:p w14:paraId="3A20EB00"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SGRF</w:t>
      </w:r>
    </w:p>
    <w:p w14:paraId="1BE423B6"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Victorian Farmers Federation</w:t>
      </w:r>
    </w:p>
    <w:p w14:paraId="1A3AC640"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Gippsland Food and Fibre</w:t>
      </w:r>
    </w:p>
    <w:p w14:paraId="5BD44384"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Food and Fibre Great South Coast</w:t>
      </w:r>
    </w:p>
    <w:p w14:paraId="792EF69E" w14:textId="77777777" w:rsidR="0022607C" w:rsidRPr="0022607C" w:rsidRDefault="0022607C" w:rsidP="00F459A2">
      <w:pPr>
        <w:numPr>
          <w:ilvl w:val="0"/>
          <w:numId w:val="47"/>
        </w:numPr>
        <w:snapToGrid w:val="0"/>
        <w:spacing w:before="120" w:after="120" w:line="240" w:lineRule="auto"/>
        <w:jc w:val="both"/>
        <w:rPr>
          <w:rFonts w:asciiTheme="majorHAnsi" w:eastAsia="Times New Roman" w:hAnsiTheme="majorHAnsi" w:cstheme="majorHAnsi"/>
          <w:color w:val="000000"/>
          <w:sz w:val="21"/>
          <w:szCs w:val="21"/>
          <w:lang w:eastAsia="en-AU"/>
        </w:rPr>
      </w:pPr>
      <w:r w:rsidRPr="0022607C">
        <w:rPr>
          <w:rFonts w:asciiTheme="majorHAnsi" w:eastAsia="Times New Roman" w:hAnsiTheme="majorHAnsi" w:cstheme="majorHAnsi"/>
          <w:color w:val="000000"/>
          <w:sz w:val="21"/>
          <w:szCs w:val="21"/>
          <w:lang w:eastAsia="en-AU"/>
        </w:rPr>
        <w:t>Rural Financial Counselling Services, Gippsland and Western Victoria</w:t>
      </w:r>
    </w:p>
    <w:p w14:paraId="19B7F92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noted it would separately engage with stakeholders such as government agencies, vulnerable customers, other water corporations, local government and Traditional Owners.</w:t>
      </w:r>
    </w:p>
    <w:p w14:paraId="41DEC482"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28" w:name="_Toc111731032"/>
      <w:r w:rsidRPr="0022607C">
        <w:rPr>
          <w:rFonts w:asciiTheme="majorHAnsi" w:eastAsia="Times New Roman" w:hAnsiTheme="majorHAnsi" w:cstheme="majorHAnsi"/>
          <w:b/>
          <w:iCs/>
          <w:color w:val="0070C0"/>
          <w:kern w:val="32"/>
          <w:sz w:val="24"/>
          <w:szCs w:val="28"/>
          <w:lang w:eastAsia="en-AU"/>
        </w:rPr>
        <w:t>CRG membership and representation</w:t>
      </w:r>
      <w:bookmarkEnd w:id="128"/>
    </w:p>
    <w:p w14:paraId="1A25798F" w14:textId="77777777" w:rsidR="0022607C" w:rsidRPr="0022607C" w:rsidRDefault="0022607C" w:rsidP="0022607C">
      <w:pPr>
        <w:spacing w:before="120" w:after="120" w:line="240" w:lineRule="auto"/>
        <w:jc w:val="both"/>
        <w:rPr>
          <w:rFonts w:asciiTheme="majorHAnsi" w:eastAsia="Times New Roman" w:hAnsiTheme="majorHAnsi" w:cstheme="majorHAnsi"/>
          <w:color w:val="000000"/>
          <w:lang w:eastAsia="en-AU"/>
        </w:rPr>
      </w:pPr>
      <w:r w:rsidRPr="0022607C">
        <w:rPr>
          <w:rFonts w:asciiTheme="majorHAnsi" w:eastAsia="Times New Roman" w:hAnsiTheme="majorHAnsi" w:cstheme="majorHAnsi"/>
          <w:color w:val="000000"/>
          <w:lang w:eastAsia="en-AU"/>
        </w:rPr>
        <w:t>Ultimately, the CRG comprised the following eight representatives:</w:t>
      </w:r>
    </w:p>
    <w:p w14:paraId="2AB51D9F" w14:textId="51C1C968" w:rsidR="0022607C" w:rsidRPr="0022607C" w:rsidRDefault="0022607C" w:rsidP="0022607C">
      <w:pPr>
        <w:keepNext/>
        <w:spacing w:before="120" w:after="120" w:line="240" w:lineRule="auto"/>
        <w:jc w:val="both"/>
        <w:rPr>
          <w:rFonts w:asciiTheme="majorHAnsi" w:eastAsia="Times New Roman" w:hAnsiTheme="majorHAnsi" w:cstheme="majorHAnsi"/>
          <w:b/>
          <w:bCs/>
          <w:color w:val="00000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9</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CRG membership</w:t>
      </w:r>
    </w:p>
    <w:tbl>
      <w:tblPr>
        <w:tblStyle w:val="GridTable1Light-Accent51"/>
        <w:tblW w:w="9493" w:type="dxa"/>
        <w:tblLook w:val="04A0" w:firstRow="1" w:lastRow="0" w:firstColumn="1" w:lastColumn="0" w:noHBand="0" w:noVBand="1"/>
      </w:tblPr>
      <w:tblGrid>
        <w:gridCol w:w="1555"/>
        <w:gridCol w:w="1559"/>
        <w:gridCol w:w="4394"/>
        <w:gridCol w:w="1985"/>
      </w:tblGrid>
      <w:tr w:rsidR="0022607C" w:rsidRPr="0022607C" w14:paraId="76A0A725"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hideMark/>
          </w:tcPr>
          <w:p w14:paraId="013E18DC" w14:textId="77777777" w:rsidR="0022607C" w:rsidRPr="0022607C" w:rsidRDefault="0022607C" w:rsidP="0022607C">
            <w:pPr>
              <w:spacing w:before="60" w:after="60"/>
              <w:rPr>
                <w:rFonts w:asciiTheme="majorHAnsi" w:hAnsiTheme="majorHAnsi" w:cstheme="majorHAnsi"/>
                <w:color w:val="0070C0"/>
                <w:sz w:val="18"/>
                <w:szCs w:val="21"/>
                <w:lang w:val="en-US"/>
              </w:rPr>
            </w:pPr>
            <w:r w:rsidRPr="0022607C">
              <w:rPr>
                <w:rFonts w:asciiTheme="majorHAnsi" w:hAnsiTheme="majorHAnsi" w:cstheme="majorHAnsi"/>
                <w:color w:val="0070C0"/>
                <w:sz w:val="18"/>
                <w:szCs w:val="21"/>
                <w:lang w:val="en-US"/>
              </w:rPr>
              <w:t>CRG member</w:t>
            </w:r>
          </w:p>
        </w:tc>
        <w:tc>
          <w:tcPr>
            <w:tcW w:w="1559" w:type="dxa"/>
            <w:hideMark/>
          </w:tcPr>
          <w:p w14:paraId="464C56F6"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18"/>
                <w:szCs w:val="21"/>
                <w:lang w:val="en-US"/>
              </w:rPr>
            </w:pPr>
            <w:r w:rsidRPr="0022607C">
              <w:rPr>
                <w:rFonts w:asciiTheme="majorHAnsi" w:hAnsiTheme="majorHAnsi" w:cstheme="majorHAnsi"/>
                <w:color w:val="0070C0"/>
                <w:sz w:val="18"/>
                <w:szCs w:val="21"/>
                <w:lang w:val="en-US"/>
              </w:rPr>
              <w:t>Region</w:t>
            </w:r>
          </w:p>
        </w:tc>
        <w:tc>
          <w:tcPr>
            <w:tcW w:w="4394" w:type="dxa"/>
            <w:hideMark/>
          </w:tcPr>
          <w:p w14:paraId="79B0E731"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18"/>
                <w:szCs w:val="21"/>
                <w:lang w:val="en-US"/>
              </w:rPr>
            </w:pPr>
            <w:r w:rsidRPr="0022607C">
              <w:rPr>
                <w:rFonts w:asciiTheme="majorHAnsi" w:hAnsiTheme="majorHAnsi" w:cstheme="majorHAnsi"/>
                <w:color w:val="0070C0"/>
                <w:sz w:val="18"/>
                <w:szCs w:val="21"/>
                <w:lang w:val="en-US"/>
              </w:rPr>
              <w:t>Affiliations</w:t>
            </w:r>
          </w:p>
        </w:tc>
        <w:tc>
          <w:tcPr>
            <w:tcW w:w="1985" w:type="dxa"/>
          </w:tcPr>
          <w:p w14:paraId="12A24794"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70C0"/>
                <w:sz w:val="18"/>
                <w:szCs w:val="21"/>
                <w:lang w:val="en-US"/>
              </w:rPr>
            </w:pPr>
            <w:r w:rsidRPr="0022607C">
              <w:rPr>
                <w:rFonts w:asciiTheme="majorHAnsi" w:hAnsiTheme="majorHAnsi" w:cstheme="majorHAnsi"/>
                <w:color w:val="0070C0"/>
                <w:sz w:val="18"/>
                <w:szCs w:val="21"/>
                <w:lang w:val="en-US"/>
              </w:rPr>
              <w:t>Interests</w:t>
            </w:r>
          </w:p>
        </w:tc>
      </w:tr>
      <w:tr w:rsidR="0022607C" w:rsidRPr="0022607C" w14:paraId="4A2BCD2C"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0C3920FE"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Raelene Hanratty</w:t>
            </w:r>
          </w:p>
        </w:tc>
        <w:tc>
          <w:tcPr>
            <w:tcW w:w="1559" w:type="dxa"/>
          </w:tcPr>
          <w:p w14:paraId="06B36F2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Gippsland</w:t>
            </w:r>
          </w:p>
        </w:tc>
        <w:tc>
          <w:tcPr>
            <w:tcW w:w="4394" w:type="dxa"/>
          </w:tcPr>
          <w:p w14:paraId="2CBB7AC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MCCC Chair, RFCS – Gippsland, Board member and Deputy Chair</w:t>
            </w:r>
          </w:p>
        </w:tc>
        <w:tc>
          <w:tcPr>
            <w:tcW w:w="1985" w:type="dxa"/>
          </w:tcPr>
          <w:p w14:paraId="2F617E02"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Dairy, MIA</w:t>
            </w:r>
          </w:p>
        </w:tc>
      </w:tr>
      <w:tr w:rsidR="0022607C" w:rsidRPr="0022607C" w14:paraId="65EEF171"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0D6ADE8A"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Erin Peelman</w:t>
            </w:r>
          </w:p>
        </w:tc>
        <w:tc>
          <w:tcPr>
            <w:tcW w:w="1559" w:type="dxa"/>
          </w:tcPr>
          <w:p w14:paraId="57E80788"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Werribee</w:t>
            </w:r>
          </w:p>
        </w:tc>
        <w:tc>
          <w:tcPr>
            <w:tcW w:w="4394" w:type="dxa"/>
          </w:tcPr>
          <w:p w14:paraId="7B75DD78"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WBM CCC Chair</w:t>
            </w:r>
          </w:p>
        </w:tc>
        <w:tc>
          <w:tcPr>
            <w:tcW w:w="1985" w:type="dxa"/>
          </w:tcPr>
          <w:p w14:paraId="73BE4877"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Horticulture, WID</w:t>
            </w:r>
          </w:p>
        </w:tc>
      </w:tr>
      <w:tr w:rsidR="0022607C" w:rsidRPr="0022607C" w14:paraId="74E31F1A"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1AB171C4"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 xml:space="preserve">Ross Ingram </w:t>
            </w:r>
          </w:p>
        </w:tc>
        <w:tc>
          <w:tcPr>
            <w:tcW w:w="1559" w:type="dxa"/>
          </w:tcPr>
          <w:p w14:paraId="24662D65"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East Gippsland</w:t>
            </w:r>
          </w:p>
        </w:tc>
        <w:tc>
          <w:tcPr>
            <w:tcW w:w="4394" w:type="dxa"/>
          </w:tcPr>
          <w:p w14:paraId="7EE83036"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SGRF Chair</w:t>
            </w:r>
          </w:p>
        </w:tc>
        <w:tc>
          <w:tcPr>
            <w:tcW w:w="1985" w:type="dxa"/>
          </w:tcPr>
          <w:p w14:paraId="2C8E947C"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Vegetable grower</w:t>
            </w:r>
          </w:p>
        </w:tc>
      </w:tr>
      <w:tr w:rsidR="0022607C" w:rsidRPr="0022607C" w14:paraId="037E6644"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482D2247"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Chris Schreurs</w:t>
            </w:r>
          </w:p>
        </w:tc>
        <w:tc>
          <w:tcPr>
            <w:tcW w:w="1559" w:type="dxa"/>
          </w:tcPr>
          <w:p w14:paraId="0688E51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South Gippsland</w:t>
            </w:r>
          </w:p>
        </w:tc>
        <w:tc>
          <w:tcPr>
            <w:tcW w:w="4394" w:type="dxa"/>
          </w:tcPr>
          <w:p w14:paraId="4CCA9C3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 xml:space="preserve">Grower </w:t>
            </w:r>
          </w:p>
        </w:tc>
        <w:tc>
          <w:tcPr>
            <w:tcW w:w="1985" w:type="dxa"/>
          </w:tcPr>
          <w:p w14:paraId="13D8E96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Vegetables</w:t>
            </w:r>
          </w:p>
        </w:tc>
      </w:tr>
      <w:tr w:rsidR="0022607C" w:rsidRPr="0022607C" w14:paraId="36AEBBEC"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2325F660"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 xml:space="preserve">John Said </w:t>
            </w:r>
          </w:p>
        </w:tc>
        <w:tc>
          <w:tcPr>
            <w:tcW w:w="1559" w:type="dxa"/>
          </w:tcPr>
          <w:p w14:paraId="02699925"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Werribee</w:t>
            </w:r>
          </w:p>
        </w:tc>
        <w:tc>
          <w:tcPr>
            <w:tcW w:w="4394" w:type="dxa"/>
          </w:tcPr>
          <w:p w14:paraId="2824D2D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Vegetable producer and industry representative</w:t>
            </w:r>
          </w:p>
        </w:tc>
        <w:tc>
          <w:tcPr>
            <w:tcW w:w="1985" w:type="dxa"/>
          </w:tcPr>
          <w:p w14:paraId="27BA71DC"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Horticulture</w:t>
            </w:r>
          </w:p>
        </w:tc>
      </w:tr>
      <w:tr w:rsidR="0022607C" w:rsidRPr="0022607C" w14:paraId="52A1DC09"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686C0CA5"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Peter Delahunty</w:t>
            </w:r>
          </w:p>
        </w:tc>
        <w:tc>
          <w:tcPr>
            <w:tcW w:w="1559" w:type="dxa"/>
          </w:tcPr>
          <w:p w14:paraId="142E13D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SW Victoria</w:t>
            </w:r>
          </w:p>
        </w:tc>
        <w:tc>
          <w:tcPr>
            <w:tcW w:w="4394" w:type="dxa"/>
          </w:tcPr>
          <w:p w14:paraId="46BB3F1F"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Dairy farmer, VFF Water Council</w:t>
            </w:r>
          </w:p>
        </w:tc>
        <w:tc>
          <w:tcPr>
            <w:tcW w:w="1985" w:type="dxa"/>
          </w:tcPr>
          <w:p w14:paraId="18716E51"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Vegetables</w:t>
            </w:r>
          </w:p>
        </w:tc>
      </w:tr>
      <w:tr w:rsidR="0022607C" w:rsidRPr="0022607C" w14:paraId="3C5315F6"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26833178"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Keith Chambers</w:t>
            </w:r>
          </w:p>
        </w:tc>
        <w:tc>
          <w:tcPr>
            <w:tcW w:w="1559" w:type="dxa"/>
          </w:tcPr>
          <w:p w14:paraId="120D8729"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Statewide</w:t>
            </w:r>
          </w:p>
        </w:tc>
        <w:tc>
          <w:tcPr>
            <w:tcW w:w="4394" w:type="dxa"/>
          </w:tcPr>
          <w:p w14:paraId="2C06FD12"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Victorian Environmental Water Holder</w:t>
            </w:r>
          </w:p>
        </w:tc>
        <w:tc>
          <w:tcPr>
            <w:tcW w:w="1985" w:type="dxa"/>
          </w:tcPr>
          <w:p w14:paraId="232778D4"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 xml:space="preserve">Environmental </w:t>
            </w:r>
          </w:p>
        </w:tc>
      </w:tr>
      <w:tr w:rsidR="0022607C" w:rsidRPr="0022607C" w14:paraId="0F2BD5D4" w14:textId="77777777" w:rsidTr="001A4A4E">
        <w:tc>
          <w:tcPr>
            <w:cnfStyle w:val="001000000000" w:firstRow="0" w:lastRow="0" w:firstColumn="1" w:lastColumn="0" w:oddVBand="0" w:evenVBand="0" w:oddHBand="0" w:evenHBand="0" w:firstRowFirstColumn="0" w:firstRowLastColumn="0" w:lastRowFirstColumn="0" w:lastRowLastColumn="0"/>
            <w:tcW w:w="1555" w:type="dxa"/>
          </w:tcPr>
          <w:p w14:paraId="5A7E5A01" w14:textId="77777777" w:rsidR="0022607C" w:rsidRPr="0022607C" w:rsidRDefault="0022607C" w:rsidP="0022607C">
            <w:pPr>
              <w:spacing w:before="60" w:after="60"/>
              <w:rPr>
                <w:rFonts w:asciiTheme="majorHAnsi" w:hAnsiTheme="majorHAnsi" w:cstheme="majorHAnsi"/>
                <w:sz w:val="18"/>
                <w:szCs w:val="21"/>
                <w:lang w:val="en-US"/>
              </w:rPr>
            </w:pPr>
            <w:r w:rsidRPr="0022607C">
              <w:rPr>
                <w:rFonts w:asciiTheme="majorHAnsi" w:hAnsiTheme="majorHAnsi" w:cstheme="majorHAnsi"/>
                <w:sz w:val="18"/>
                <w:szCs w:val="21"/>
                <w:lang w:val="en-US"/>
              </w:rPr>
              <w:t xml:space="preserve">Basil Ryan </w:t>
            </w:r>
          </w:p>
        </w:tc>
        <w:tc>
          <w:tcPr>
            <w:tcW w:w="1559" w:type="dxa"/>
          </w:tcPr>
          <w:p w14:paraId="3C4FB7D3"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SW Victoria</w:t>
            </w:r>
          </w:p>
        </w:tc>
        <w:tc>
          <w:tcPr>
            <w:tcW w:w="4394" w:type="dxa"/>
          </w:tcPr>
          <w:p w14:paraId="594BDCDD"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Water Committee Chair, Food &amp; Fibre Great South Coast</w:t>
            </w:r>
          </w:p>
        </w:tc>
        <w:tc>
          <w:tcPr>
            <w:tcW w:w="1985" w:type="dxa"/>
          </w:tcPr>
          <w:p w14:paraId="4E64E180" w14:textId="77777777" w:rsidR="0022607C" w:rsidRPr="0022607C" w:rsidRDefault="0022607C" w:rsidP="0022607C">
            <w:pPr>
              <w:spacing w:before="60" w:after="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US"/>
              </w:rPr>
            </w:pPr>
            <w:r w:rsidRPr="0022607C">
              <w:rPr>
                <w:rFonts w:asciiTheme="majorHAnsi" w:hAnsiTheme="majorHAnsi" w:cstheme="majorHAnsi"/>
                <w:sz w:val="18"/>
                <w:szCs w:val="21"/>
                <w:lang w:val="en-US"/>
              </w:rPr>
              <w:t>Industry association</w:t>
            </w:r>
          </w:p>
        </w:tc>
      </w:tr>
    </w:tbl>
    <w:p w14:paraId="1FB6CFD4" w14:textId="77777777" w:rsidR="0022607C" w:rsidRPr="0022607C" w:rsidRDefault="0022607C" w:rsidP="0022607C">
      <w:pPr>
        <w:spacing w:after="0" w:line="240" w:lineRule="auto"/>
        <w:rPr>
          <w:rFonts w:asciiTheme="majorHAnsi" w:eastAsia="Times New Roman" w:hAnsiTheme="majorHAnsi" w:cstheme="majorHAnsi"/>
          <w:color w:val="000000"/>
          <w:lang w:eastAsia="en-GB"/>
        </w:rPr>
      </w:pPr>
    </w:p>
    <w:p w14:paraId="434FB921" w14:textId="77777777" w:rsidR="0022607C" w:rsidRPr="0022607C" w:rsidRDefault="0022607C" w:rsidP="0022607C">
      <w:pPr>
        <w:spacing w:after="0" w:line="240" w:lineRule="auto"/>
        <w:rPr>
          <w:rFonts w:asciiTheme="majorHAnsi" w:eastAsia="Times New Roman" w:hAnsiTheme="majorHAnsi" w:cstheme="majorHAnsi"/>
          <w:color w:val="000000"/>
          <w:sz w:val="24"/>
          <w:szCs w:val="24"/>
          <w:lang w:eastAsia="en-GB"/>
        </w:rPr>
      </w:pPr>
      <w:r w:rsidRPr="0022607C">
        <w:rPr>
          <w:rFonts w:asciiTheme="majorHAnsi" w:eastAsia="Times New Roman" w:hAnsiTheme="majorHAnsi" w:cstheme="majorHAnsi"/>
          <w:color w:val="000000"/>
          <w:lang w:eastAsia="en-GB"/>
        </w:rPr>
        <w:t>Notwithstanding Raelene Hanratty’s role as an RFCS board member, SRW also approached the RFCS directly to provide a voice to customers who may be experiencing financial hardship.  However, the RFCS advised it did not have sufficient resources to commit a staff member to a role on the CRG.</w:t>
      </w:r>
    </w:p>
    <w:p w14:paraId="647DFAE8" w14:textId="77777777" w:rsidR="0022607C" w:rsidRPr="0022607C" w:rsidRDefault="0022607C" w:rsidP="0022607C">
      <w:pPr>
        <w:spacing w:after="0" w:line="240" w:lineRule="auto"/>
        <w:rPr>
          <w:rFonts w:asciiTheme="majorHAnsi" w:eastAsia="Times New Roman" w:hAnsiTheme="majorHAnsi" w:cstheme="majorHAnsi"/>
          <w:b/>
          <w:iCs/>
          <w:color w:val="0070C0"/>
          <w:kern w:val="32"/>
          <w:sz w:val="24"/>
          <w:szCs w:val="28"/>
          <w:lang w:eastAsia="en-AU"/>
        </w:rPr>
      </w:pPr>
      <w:r w:rsidRPr="0022607C">
        <w:rPr>
          <w:rFonts w:asciiTheme="majorHAnsi" w:eastAsia="Times New Roman" w:hAnsiTheme="majorHAnsi" w:cstheme="majorHAnsi"/>
          <w:color w:val="808080"/>
          <w:sz w:val="20"/>
          <w:szCs w:val="20"/>
          <w:lang w:eastAsia="en-GB"/>
        </w:rPr>
        <w:br w:type="page"/>
      </w:r>
    </w:p>
    <w:p w14:paraId="500F80E7"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29" w:name="_Toc111731033"/>
      <w:r w:rsidRPr="0022607C">
        <w:rPr>
          <w:rFonts w:asciiTheme="majorHAnsi" w:eastAsia="Times New Roman" w:hAnsiTheme="majorHAnsi" w:cstheme="majorHAnsi"/>
          <w:b/>
          <w:iCs/>
          <w:color w:val="0070C0"/>
          <w:kern w:val="32"/>
          <w:sz w:val="24"/>
          <w:szCs w:val="28"/>
          <w:lang w:eastAsia="en-AU"/>
        </w:rPr>
        <w:t>CRG meetings</w:t>
      </w:r>
      <w:bookmarkEnd w:id="129"/>
    </w:p>
    <w:p w14:paraId="7DD109F6"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30" w:name="_Toc111731034"/>
      <w:r w:rsidRPr="0022607C">
        <w:rPr>
          <w:rFonts w:asciiTheme="majorHAnsi" w:eastAsia="Times New Roman" w:hAnsiTheme="majorHAnsi" w:cstheme="majorHAnsi"/>
          <w:b/>
          <w:bCs/>
          <w:color w:val="0070C0"/>
          <w:sz w:val="21"/>
          <w:szCs w:val="26"/>
          <w:lang w:eastAsia="en-AU"/>
        </w:rPr>
        <w:t>Overview</w:t>
      </w:r>
      <w:bookmarkEnd w:id="130"/>
    </w:p>
    <w:p w14:paraId="57781FB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agendas were developed with specific tasks in mind and the level of engagement was clearly defined.  Each meeting was independently facilitated by a BC Team member.  The CRG met on five occasions.  All meetings ran to time and minutes were circulated in a timely manner.</w:t>
      </w:r>
    </w:p>
    <w:p w14:paraId="3665D1B3"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Due to COVID-19 restrictions meetings were conducted online (Zoom platform) initially and continued this way due to the geographic spread of participants.  If a CRG member was unable to attend, in some cases they offered a ‘proxy’.  </w:t>
      </w:r>
    </w:p>
    <w:p w14:paraId="7B2AA38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Attendance at meetings varied between four and eight members attending each meeting.  Apologies were noted and, in some cases, out of session discussions were conducted and fed into the meeting for consideration.</w:t>
      </w:r>
    </w:p>
    <w:p w14:paraId="2DD07AA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following table summarises the purpose of each meeting (informing, consulting, involving) and includes a brief description of the key agenda items.</w:t>
      </w:r>
    </w:p>
    <w:p w14:paraId="31FD9E26" w14:textId="70528D17" w:rsidR="0022607C" w:rsidRPr="0022607C" w:rsidRDefault="0022607C" w:rsidP="0022607C">
      <w:pPr>
        <w:keepNext/>
        <w:spacing w:before="120" w:after="120" w:line="240" w:lineRule="auto"/>
        <w:jc w:val="both"/>
        <w:rPr>
          <w:rFonts w:asciiTheme="majorHAnsi" w:eastAsia="Times New Roman" w:hAnsiTheme="majorHAnsi" w:cstheme="majorHAnsi"/>
          <w:b/>
          <w:bCs/>
          <w:color w:val="0F6FC6"/>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xml:space="preserve">: </w:t>
      </w:r>
      <w:r w:rsidRPr="0022607C">
        <w:rPr>
          <w:rFonts w:asciiTheme="majorHAnsi" w:eastAsia="Times New Roman" w:hAnsiTheme="majorHAnsi" w:cstheme="majorHAnsi"/>
          <w:b/>
          <w:bCs/>
          <w:color w:val="0F6FC6"/>
          <w:sz w:val="21"/>
          <w:szCs w:val="20"/>
          <w:lang w:eastAsia="en-AU"/>
        </w:rPr>
        <w:t xml:space="preserve"> CRG meetings for PS2023</w:t>
      </w:r>
    </w:p>
    <w:tbl>
      <w:tblPr>
        <w:tblStyle w:val="GridTable1Light-Accent6"/>
        <w:tblW w:w="0" w:type="auto"/>
        <w:tblLayout w:type="fixed"/>
        <w:tblLook w:val="04A0" w:firstRow="1" w:lastRow="0" w:firstColumn="1" w:lastColumn="0" w:noHBand="0" w:noVBand="1"/>
      </w:tblPr>
      <w:tblGrid>
        <w:gridCol w:w="704"/>
        <w:gridCol w:w="1134"/>
        <w:gridCol w:w="2825"/>
        <w:gridCol w:w="2401"/>
        <w:gridCol w:w="2401"/>
      </w:tblGrid>
      <w:tr w:rsidR="0022607C" w:rsidRPr="0022607C" w14:paraId="77BB651D"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14:paraId="69A8F6F6"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r w:rsidRPr="0022607C">
              <w:rPr>
                <w:rFonts w:asciiTheme="majorHAnsi" w:hAnsiTheme="majorHAnsi" w:cstheme="majorHAnsi"/>
                <w:sz w:val="18"/>
                <w:szCs w:val="21"/>
              </w:rPr>
              <w:t>Phase</w:t>
            </w:r>
          </w:p>
        </w:tc>
        <w:tc>
          <w:tcPr>
            <w:tcW w:w="1134" w:type="dxa"/>
          </w:tcPr>
          <w:p w14:paraId="12172F6F" w14:textId="77777777" w:rsidR="0022607C" w:rsidRPr="0022607C" w:rsidRDefault="0022607C" w:rsidP="0022607C">
            <w:pPr>
              <w:tabs>
                <w:tab w:val="left" w:pos="851"/>
              </w:tabs>
              <w:spacing w:before="60" w:after="6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Workshop</w:t>
            </w:r>
          </w:p>
        </w:tc>
        <w:tc>
          <w:tcPr>
            <w:tcW w:w="2825" w:type="dxa"/>
          </w:tcPr>
          <w:p w14:paraId="1E8376AA" w14:textId="77777777" w:rsidR="0022607C" w:rsidRPr="0022607C" w:rsidRDefault="0022607C" w:rsidP="0022607C">
            <w:pPr>
              <w:tabs>
                <w:tab w:val="left" w:pos="851"/>
              </w:tabs>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Informing</w:t>
            </w:r>
          </w:p>
        </w:tc>
        <w:tc>
          <w:tcPr>
            <w:tcW w:w="2401" w:type="dxa"/>
          </w:tcPr>
          <w:p w14:paraId="346C1A38" w14:textId="77777777" w:rsidR="0022607C" w:rsidRPr="0022607C" w:rsidRDefault="0022607C" w:rsidP="0022607C">
            <w:pPr>
              <w:tabs>
                <w:tab w:val="left" w:pos="851"/>
              </w:tabs>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Consulting</w:t>
            </w:r>
          </w:p>
        </w:tc>
        <w:tc>
          <w:tcPr>
            <w:tcW w:w="2401" w:type="dxa"/>
          </w:tcPr>
          <w:p w14:paraId="3236B49B" w14:textId="77777777" w:rsidR="0022607C" w:rsidRPr="0022607C" w:rsidRDefault="0022607C" w:rsidP="0022607C">
            <w:pPr>
              <w:tabs>
                <w:tab w:val="left" w:pos="851"/>
              </w:tabs>
              <w:spacing w:before="60" w:after="60"/>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Involving</w:t>
            </w:r>
          </w:p>
        </w:tc>
      </w:tr>
      <w:tr w:rsidR="0022607C" w:rsidRPr="0022607C" w14:paraId="22EE5A0E" w14:textId="77777777" w:rsidTr="001A4A4E">
        <w:tc>
          <w:tcPr>
            <w:cnfStyle w:val="001000000000" w:firstRow="0" w:lastRow="0" w:firstColumn="1" w:lastColumn="0" w:oddVBand="0" w:evenVBand="0" w:oddHBand="0" w:evenHBand="0" w:firstRowFirstColumn="0" w:firstRowLastColumn="0" w:lastRowFirstColumn="0" w:lastRowLastColumn="0"/>
            <w:tcW w:w="704" w:type="dxa"/>
            <w:vMerge w:val="restart"/>
          </w:tcPr>
          <w:p w14:paraId="6B22FC53"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r w:rsidRPr="0022607C">
              <w:rPr>
                <w:rFonts w:asciiTheme="majorHAnsi" w:hAnsiTheme="majorHAnsi" w:cstheme="majorHAnsi"/>
                <w:bCs w:val="0"/>
                <w:sz w:val="18"/>
                <w:szCs w:val="21"/>
              </w:rPr>
              <w:t>1</w:t>
            </w:r>
          </w:p>
        </w:tc>
        <w:tc>
          <w:tcPr>
            <w:tcW w:w="1134" w:type="dxa"/>
          </w:tcPr>
          <w:p w14:paraId="3836E07B" w14:textId="77777777" w:rsidR="0022607C" w:rsidRPr="0022607C" w:rsidRDefault="0022607C" w:rsidP="0022607C">
            <w:pPr>
              <w:tabs>
                <w:tab w:val="left" w:pos="851"/>
              </w:tabs>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1</w:t>
            </w:r>
          </w:p>
        </w:tc>
        <w:tc>
          <w:tcPr>
            <w:tcW w:w="2825" w:type="dxa"/>
          </w:tcPr>
          <w:p w14:paraId="2C4EB0EB"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Understand who is on the CRG</w:t>
            </w:r>
          </w:p>
          <w:p w14:paraId="61E5DFDE"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CRG role &amp; purpose, including Terms of Reference</w:t>
            </w:r>
          </w:p>
          <w:p w14:paraId="4ACA1FD7"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SRW PS2023 plans</w:t>
            </w:r>
          </w:p>
          <w:p w14:paraId="47344CED"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SRW PS2018 (what happened last time)</w:t>
            </w:r>
          </w:p>
        </w:tc>
        <w:tc>
          <w:tcPr>
            <w:tcW w:w="2401" w:type="dxa"/>
          </w:tcPr>
          <w:p w14:paraId="3C78076D"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CRG terms of reference</w:t>
            </w:r>
          </w:p>
          <w:p w14:paraId="63C1A694"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SRW proposed PS2023 engagement approach</w:t>
            </w:r>
          </w:p>
          <w:p w14:paraId="17206EA2"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Expectations of PS2023 engagement</w:t>
            </w:r>
          </w:p>
        </w:tc>
        <w:tc>
          <w:tcPr>
            <w:tcW w:w="2401" w:type="dxa"/>
          </w:tcPr>
          <w:p w14:paraId="524101C9" w14:textId="77777777" w:rsidR="0022607C" w:rsidRPr="0022607C" w:rsidRDefault="0022607C" w:rsidP="00F459A2">
            <w:pPr>
              <w:numPr>
                <w:ilvl w:val="0"/>
                <w:numId w:val="49"/>
              </w:numPr>
              <w:snapToGrid w:val="0"/>
              <w:spacing w:before="60" w:after="60"/>
              <w:ind w:left="339" w:hanging="339"/>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Not applicable for this Phase</w:t>
            </w:r>
          </w:p>
        </w:tc>
      </w:tr>
      <w:tr w:rsidR="0022607C" w:rsidRPr="0022607C" w14:paraId="502EA876" w14:textId="77777777" w:rsidTr="001A4A4E">
        <w:tc>
          <w:tcPr>
            <w:cnfStyle w:val="001000000000" w:firstRow="0" w:lastRow="0" w:firstColumn="1" w:lastColumn="0" w:oddVBand="0" w:evenVBand="0" w:oddHBand="0" w:evenHBand="0" w:firstRowFirstColumn="0" w:firstRowLastColumn="0" w:lastRowFirstColumn="0" w:lastRowLastColumn="0"/>
            <w:tcW w:w="704" w:type="dxa"/>
            <w:vMerge/>
          </w:tcPr>
          <w:p w14:paraId="2D01A35A"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p>
        </w:tc>
        <w:tc>
          <w:tcPr>
            <w:tcW w:w="1134" w:type="dxa"/>
          </w:tcPr>
          <w:p w14:paraId="32E48C7D" w14:textId="77777777" w:rsidR="0022607C" w:rsidRPr="0022607C" w:rsidRDefault="0022607C" w:rsidP="0022607C">
            <w:pPr>
              <w:tabs>
                <w:tab w:val="left" w:pos="851"/>
              </w:tabs>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2</w:t>
            </w:r>
          </w:p>
        </w:tc>
        <w:tc>
          <w:tcPr>
            <w:tcW w:w="2825" w:type="dxa"/>
          </w:tcPr>
          <w:p w14:paraId="04EE5442"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Feedback on customer survey (to date)</w:t>
            </w:r>
          </w:p>
          <w:p w14:paraId="462307F9"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The "givens"/ "known-knowns” for PS2023</w:t>
            </w:r>
          </w:p>
        </w:tc>
        <w:tc>
          <w:tcPr>
            <w:tcW w:w="2401" w:type="dxa"/>
          </w:tcPr>
          <w:p w14:paraId="48F5A470"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Explore what customers value about their SRW water supply and access, including the possibility of testing tariff options with customers more broadly</w:t>
            </w:r>
          </w:p>
        </w:tc>
        <w:tc>
          <w:tcPr>
            <w:tcW w:w="2401" w:type="dxa"/>
          </w:tcPr>
          <w:p w14:paraId="12B23362" w14:textId="77777777" w:rsidR="0022607C" w:rsidRPr="0022607C" w:rsidRDefault="0022607C" w:rsidP="00F459A2">
            <w:pPr>
              <w:numPr>
                <w:ilvl w:val="0"/>
                <w:numId w:val="60"/>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Agreeing on elements of customer value</w:t>
            </w:r>
          </w:p>
          <w:p w14:paraId="5969F025" w14:textId="77777777" w:rsidR="0022607C" w:rsidRPr="0022607C" w:rsidRDefault="0022607C" w:rsidP="00F459A2">
            <w:pPr>
              <w:numPr>
                <w:ilvl w:val="0"/>
                <w:numId w:val="60"/>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Request to CRG to promote the survey amongst fellow customers</w:t>
            </w:r>
          </w:p>
        </w:tc>
      </w:tr>
      <w:tr w:rsidR="0022607C" w:rsidRPr="0022607C" w14:paraId="5CD25AD1" w14:textId="77777777" w:rsidTr="001A4A4E">
        <w:tc>
          <w:tcPr>
            <w:cnfStyle w:val="001000000000" w:firstRow="0" w:lastRow="0" w:firstColumn="1" w:lastColumn="0" w:oddVBand="0" w:evenVBand="0" w:oddHBand="0" w:evenHBand="0" w:firstRowFirstColumn="0" w:firstRowLastColumn="0" w:lastRowFirstColumn="0" w:lastRowLastColumn="0"/>
            <w:tcW w:w="704" w:type="dxa"/>
          </w:tcPr>
          <w:p w14:paraId="29019BB9"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r w:rsidRPr="0022607C">
              <w:rPr>
                <w:rFonts w:asciiTheme="majorHAnsi" w:hAnsiTheme="majorHAnsi" w:cstheme="majorHAnsi"/>
                <w:bCs w:val="0"/>
                <w:sz w:val="18"/>
                <w:szCs w:val="21"/>
              </w:rPr>
              <w:t>2</w:t>
            </w:r>
          </w:p>
        </w:tc>
        <w:tc>
          <w:tcPr>
            <w:tcW w:w="1134" w:type="dxa"/>
          </w:tcPr>
          <w:p w14:paraId="3DBFCE6A" w14:textId="77777777" w:rsidR="0022607C" w:rsidRPr="0022607C" w:rsidRDefault="0022607C" w:rsidP="0022607C">
            <w:pPr>
              <w:tabs>
                <w:tab w:val="left" w:pos="851"/>
              </w:tabs>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3</w:t>
            </w:r>
          </w:p>
        </w:tc>
        <w:tc>
          <w:tcPr>
            <w:tcW w:w="2825" w:type="dxa"/>
          </w:tcPr>
          <w:p w14:paraId="025E99EB"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Present progress on pricing options</w:t>
            </w:r>
          </w:p>
        </w:tc>
        <w:tc>
          <w:tcPr>
            <w:tcW w:w="2401" w:type="dxa"/>
          </w:tcPr>
          <w:p w14:paraId="024384F2" w14:textId="77777777" w:rsidR="0022607C" w:rsidRPr="0022607C" w:rsidRDefault="0022607C" w:rsidP="00F459A2">
            <w:pPr>
              <w:numPr>
                <w:ilvl w:val="0"/>
                <w:numId w:val="61"/>
              </w:numPr>
              <w:tabs>
                <w:tab w:val="left" w:pos="355"/>
              </w:tabs>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Receive feedback on draft pricing options</w:t>
            </w:r>
          </w:p>
        </w:tc>
        <w:tc>
          <w:tcPr>
            <w:tcW w:w="2401" w:type="dxa"/>
          </w:tcPr>
          <w:p w14:paraId="734FF0B6" w14:textId="77777777" w:rsidR="0022607C" w:rsidRPr="0022607C" w:rsidRDefault="0022607C" w:rsidP="00F459A2">
            <w:pPr>
              <w:numPr>
                <w:ilvl w:val="0"/>
                <w:numId w:val="60"/>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Input into how pricing options could be taken to customers for feedback</w:t>
            </w:r>
          </w:p>
        </w:tc>
      </w:tr>
      <w:tr w:rsidR="0022607C" w:rsidRPr="0022607C" w14:paraId="5BA2EAF9" w14:textId="77777777" w:rsidTr="001A4A4E">
        <w:tc>
          <w:tcPr>
            <w:cnfStyle w:val="001000000000" w:firstRow="0" w:lastRow="0" w:firstColumn="1" w:lastColumn="0" w:oddVBand="0" w:evenVBand="0" w:oddHBand="0" w:evenHBand="0" w:firstRowFirstColumn="0" w:firstRowLastColumn="0" w:lastRowFirstColumn="0" w:lastRowLastColumn="0"/>
            <w:tcW w:w="704" w:type="dxa"/>
          </w:tcPr>
          <w:p w14:paraId="0CF2DB12"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r w:rsidRPr="0022607C">
              <w:rPr>
                <w:rFonts w:asciiTheme="majorHAnsi" w:hAnsiTheme="majorHAnsi" w:cstheme="majorHAnsi"/>
                <w:bCs w:val="0"/>
                <w:sz w:val="18"/>
                <w:szCs w:val="21"/>
              </w:rPr>
              <w:t>3</w:t>
            </w:r>
          </w:p>
        </w:tc>
        <w:tc>
          <w:tcPr>
            <w:tcW w:w="1134" w:type="dxa"/>
          </w:tcPr>
          <w:p w14:paraId="5BCAFE88" w14:textId="77777777" w:rsidR="0022607C" w:rsidRPr="0022607C" w:rsidRDefault="0022607C" w:rsidP="0022607C">
            <w:pPr>
              <w:tabs>
                <w:tab w:val="left" w:pos="851"/>
              </w:tabs>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4</w:t>
            </w:r>
          </w:p>
        </w:tc>
        <w:tc>
          <w:tcPr>
            <w:tcW w:w="2825" w:type="dxa"/>
          </w:tcPr>
          <w:p w14:paraId="15937BB4"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Present further progress on pricing options and the communication of these to customers</w:t>
            </w:r>
          </w:p>
          <w:p w14:paraId="55FD6921"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Update proposed customer engagement plan</w:t>
            </w:r>
          </w:p>
        </w:tc>
        <w:tc>
          <w:tcPr>
            <w:tcW w:w="2401" w:type="dxa"/>
          </w:tcPr>
          <w:p w14:paraId="75B6EE6D"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Receive feedback on draft pricing options</w:t>
            </w:r>
          </w:p>
        </w:tc>
        <w:tc>
          <w:tcPr>
            <w:tcW w:w="2401" w:type="dxa"/>
          </w:tcPr>
          <w:p w14:paraId="05E5CAD4" w14:textId="77777777" w:rsidR="0022607C" w:rsidRPr="0022607C" w:rsidRDefault="0022607C" w:rsidP="00F459A2">
            <w:pPr>
              <w:numPr>
                <w:ilvl w:val="0"/>
                <w:numId w:val="61"/>
              </w:numPr>
              <w:tabs>
                <w:tab w:val="left" w:pos="299"/>
              </w:tabs>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Input into broader customer engagement plan</w:t>
            </w:r>
          </w:p>
        </w:tc>
      </w:tr>
      <w:tr w:rsidR="0022607C" w:rsidRPr="0022607C" w14:paraId="1F741032" w14:textId="77777777" w:rsidTr="001A4A4E">
        <w:tc>
          <w:tcPr>
            <w:cnfStyle w:val="001000000000" w:firstRow="0" w:lastRow="0" w:firstColumn="1" w:lastColumn="0" w:oddVBand="0" w:evenVBand="0" w:oddHBand="0" w:evenHBand="0" w:firstRowFirstColumn="0" w:firstRowLastColumn="0" w:lastRowFirstColumn="0" w:lastRowLastColumn="0"/>
            <w:tcW w:w="704" w:type="dxa"/>
          </w:tcPr>
          <w:p w14:paraId="141D48FF" w14:textId="77777777" w:rsidR="0022607C" w:rsidRPr="0022607C" w:rsidRDefault="0022607C" w:rsidP="0022607C">
            <w:pPr>
              <w:tabs>
                <w:tab w:val="left" w:pos="851"/>
              </w:tabs>
              <w:spacing w:before="60" w:after="60"/>
              <w:jc w:val="center"/>
              <w:rPr>
                <w:rFonts w:asciiTheme="majorHAnsi" w:hAnsiTheme="majorHAnsi" w:cstheme="majorHAnsi"/>
                <w:sz w:val="18"/>
                <w:szCs w:val="21"/>
              </w:rPr>
            </w:pPr>
            <w:r w:rsidRPr="0022607C">
              <w:rPr>
                <w:rFonts w:asciiTheme="majorHAnsi" w:hAnsiTheme="majorHAnsi" w:cstheme="majorHAnsi"/>
                <w:bCs w:val="0"/>
                <w:sz w:val="18"/>
                <w:szCs w:val="21"/>
              </w:rPr>
              <w:t>4</w:t>
            </w:r>
          </w:p>
        </w:tc>
        <w:tc>
          <w:tcPr>
            <w:tcW w:w="1134" w:type="dxa"/>
          </w:tcPr>
          <w:p w14:paraId="42861FC0" w14:textId="77777777" w:rsidR="0022607C" w:rsidRPr="0022607C" w:rsidRDefault="0022607C" w:rsidP="0022607C">
            <w:pPr>
              <w:tabs>
                <w:tab w:val="left" w:pos="851"/>
              </w:tabs>
              <w:spacing w:before="60" w:after="60"/>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5</w:t>
            </w:r>
          </w:p>
        </w:tc>
        <w:tc>
          <w:tcPr>
            <w:tcW w:w="2825" w:type="dxa"/>
          </w:tcPr>
          <w:p w14:paraId="2E7CDCAC"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Reporting on Phase 3 community consultation</w:t>
            </w:r>
          </w:p>
          <w:p w14:paraId="072A76BF"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Delivery of pricing recommendations, performance measures and reasoning</w:t>
            </w:r>
          </w:p>
        </w:tc>
        <w:tc>
          <w:tcPr>
            <w:tcW w:w="2401" w:type="dxa"/>
          </w:tcPr>
          <w:p w14:paraId="031A4313"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Receive feedback on the pricing recommendation</w:t>
            </w:r>
          </w:p>
          <w:p w14:paraId="218BE088" w14:textId="77777777" w:rsidR="0022607C" w:rsidRPr="0022607C" w:rsidRDefault="0022607C" w:rsidP="00F459A2">
            <w:pPr>
              <w:numPr>
                <w:ilvl w:val="0"/>
                <w:numId w:val="49"/>
              </w:numPr>
              <w:snapToGrid w:val="0"/>
              <w:spacing w:before="60" w:after="60"/>
              <w:ind w:left="242" w:hanging="24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lang w:val="en-GB"/>
              </w:rPr>
            </w:pPr>
            <w:r w:rsidRPr="0022607C">
              <w:rPr>
                <w:rFonts w:asciiTheme="majorHAnsi" w:hAnsiTheme="majorHAnsi" w:cstheme="majorHAnsi"/>
                <w:sz w:val="18"/>
                <w:szCs w:val="21"/>
                <w:lang w:val="en-GB"/>
              </w:rPr>
              <w:t>Reflections on the CRG &amp; PS2023 process</w:t>
            </w:r>
          </w:p>
        </w:tc>
        <w:tc>
          <w:tcPr>
            <w:tcW w:w="2401" w:type="dxa"/>
          </w:tcPr>
          <w:p w14:paraId="0E3196D5" w14:textId="77777777" w:rsidR="0022607C" w:rsidRPr="0022607C" w:rsidRDefault="0022607C" w:rsidP="00F459A2">
            <w:pPr>
              <w:numPr>
                <w:ilvl w:val="0"/>
                <w:numId w:val="49"/>
              </w:numPr>
              <w:snapToGrid w:val="0"/>
              <w:spacing w:before="60" w:after="60"/>
              <w:ind w:left="202" w:hanging="202"/>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21"/>
              </w:rPr>
            </w:pPr>
            <w:r w:rsidRPr="0022607C">
              <w:rPr>
                <w:rFonts w:asciiTheme="majorHAnsi" w:hAnsiTheme="majorHAnsi" w:cstheme="majorHAnsi"/>
                <w:sz w:val="18"/>
                <w:szCs w:val="21"/>
              </w:rPr>
              <w:t>Key messages were received as to how to communicate the PS2023 outcomes to the broader customer base</w:t>
            </w:r>
          </w:p>
        </w:tc>
      </w:tr>
    </w:tbl>
    <w:p w14:paraId="429E0516"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31" w:name="_Toc111731035"/>
      <w:r w:rsidRPr="0022607C">
        <w:rPr>
          <w:rFonts w:asciiTheme="majorHAnsi" w:eastAsia="Times New Roman" w:hAnsiTheme="majorHAnsi" w:cstheme="majorHAnsi"/>
          <w:b/>
          <w:iCs/>
          <w:color w:val="0070C0"/>
          <w:kern w:val="32"/>
          <w:sz w:val="24"/>
          <w:szCs w:val="28"/>
          <w:lang w:eastAsia="en-AU"/>
        </w:rPr>
        <w:t>How did SRW use CRG feedback?</w:t>
      </w:r>
      <w:bookmarkEnd w:id="131"/>
    </w:p>
    <w:p w14:paraId="4335FC4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Feedback provided by the CRG was critical to SRW’s development of its price-service options, defining customer value and planning of broader customer engagement activities.  The CRG had a vital role testing the way SRW’s proposals and related messages were communicated to the broader customer base.  The clear and direct feedback provided from the CRG influenced communication materials and provided confidence for the project team to move into the next stages of development.</w:t>
      </w:r>
    </w:p>
    <w:p w14:paraId="091CF19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For example, CRG feedback directly resulted in changes to the way content was presented in SRW communications and the matters that SRW directly tested with its broader customer base. </w:t>
      </w:r>
    </w:p>
    <w:p w14:paraId="366DCD22"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32" w:name="_Toc111731036"/>
      <w:r w:rsidRPr="0022607C">
        <w:rPr>
          <w:rFonts w:asciiTheme="majorHAnsi" w:eastAsia="Times New Roman" w:hAnsiTheme="majorHAnsi" w:cstheme="majorHAnsi"/>
          <w:b/>
          <w:iCs/>
          <w:color w:val="0070C0"/>
          <w:kern w:val="32"/>
          <w:sz w:val="24"/>
          <w:szCs w:val="28"/>
          <w:lang w:eastAsia="en-AU"/>
        </w:rPr>
        <w:t>CRG members’ feedback on their role</w:t>
      </w:r>
      <w:bookmarkEnd w:id="132"/>
    </w:p>
    <w:p w14:paraId="2D635490"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At the final meeting, the BC Team facilitated an in-camera discussion with CRG members to gather their feedback on the involvement in the CRG. Those who were not present at the final meeting were invited to feedback by email.  All eight members provided feedback.  </w:t>
      </w:r>
    </w:p>
    <w:p w14:paraId="56AFEF8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Specifically, we asked members:</w:t>
      </w:r>
    </w:p>
    <w:p w14:paraId="3684F85E"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has stood out over the time you have been involved with the CRG?</w:t>
      </w:r>
    </w:p>
    <w:p w14:paraId="2638FE53"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Has anything not worked so well or frustrated you about the process?</w:t>
      </w:r>
    </w:p>
    <w:p w14:paraId="73817743"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were the key areas/parts of the Price Submission process that you feel you were able to influence?</w:t>
      </w:r>
    </w:p>
    <w:p w14:paraId="48C93F9F"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Would you recommend a similar consultative approach for SRW next time?  What would you do differently?</w:t>
      </w:r>
    </w:p>
    <w:p w14:paraId="6B9AA162"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Would you be involved in such a process again? Why?</w:t>
      </w:r>
    </w:p>
    <w:p w14:paraId="262E18A6"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Any other comments you would like to make about your involvement in the CRG?</w:t>
      </w:r>
    </w:p>
    <w:p w14:paraId="51746F72"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feedback from group members was constructive and will help to inform the method of engagement for future Price Submission processes.  The key points were:</w:t>
      </w:r>
    </w:p>
    <w:p w14:paraId="7AE44BC4"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CRG members valued the process and their involvement</w:t>
      </w:r>
    </w:p>
    <w:p w14:paraId="233B98DD"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CRG members felt SRW genuinely listened to them</w:t>
      </w:r>
    </w:p>
    <w:p w14:paraId="40641719"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They appreciated the group represented a diversity of SRW’s customers (geographically, water use etc.) and learnt about the issues faced in other SRW supply areas</w:t>
      </w:r>
    </w:p>
    <w:p w14:paraId="5AD6F87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However, they also agreed:</w:t>
      </w:r>
    </w:p>
    <w:p w14:paraId="0407CE85"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process was too long, while appreciating that SRW’s Price Submission was complex</w:t>
      </w:r>
    </w:p>
    <w:p w14:paraId="3A8A8880" w14:textId="77777777" w:rsidR="0022607C" w:rsidRPr="0022607C" w:rsidRDefault="0022607C" w:rsidP="00F459A2">
      <w:pPr>
        <w:numPr>
          <w:ilvl w:val="0"/>
          <w:numId w:val="74"/>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Limited input from Bacchus Marsh customers was particularly disappointing, despite efforts to engage with them</w:t>
      </w:r>
    </w:p>
    <w:p w14:paraId="6FA37B93"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We have included more detailed feedback from the CRG in Chapter 10 of this report where we reflect on SRW’s PS2023 engagement overall.</w:t>
      </w:r>
    </w:p>
    <w:p w14:paraId="6DC8B7E0"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33" w:name="_Toc111731037"/>
      <w:r w:rsidRPr="0022607C">
        <w:rPr>
          <w:rFonts w:asciiTheme="majorHAnsi" w:eastAsia="Times New Roman" w:hAnsiTheme="majorHAnsi" w:cstheme="majorHAnsi"/>
          <w:b/>
          <w:bCs/>
          <w:snapToGrid w:val="0"/>
          <w:color w:val="0070C0"/>
          <w:kern w:val="32"/>
          <w:sz w:val="28"/>
          <w:szCs w:val="32"/>
          <w:lang w:eastAsia="en-AU"/>
        </w:rPr>
        <w:t>Other engagement activities</w:t>
      </w:r>
      <w:bookmarkEnd w:id="133"/>
    </w:p>
    <w:p w14:paraId="484307C8"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inform its PS2023, SRW undertook various other engagement activities outside the BC Team’s scope of work.  These included:</w:t>
      </w:r>
    </w:p>
    <w:p w14:paraId="4E8E63CA"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Managing Director briefings to SRW shareholders and DELWP</w:t>
      </w:r>
    </w:p>
    <w:p w14:paraId="479717F2"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Regular briefings to and feedback from SRW’s CCCs and SGRF</w:t>
      </w:r>
    </w:p>
    <w:p w14:paraId="0A7E7768"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Correspondence to Traditional Owner groups advising them of PS2023 and subsequent meetings </w:t>
      </w:r>
      <w:r w:rsidRPr="0022607C">
        <w:rPr>
          <w:rFonts w:asciiTheme="majorHAnsi" w:eastAsia="Times New Roman" w:hAnsiTheme="majorHAnsi" w:cstheme="majorHAnsi"/>
          <w:sz w:val="21"/>
          <w:szCs w:val="21"/>
          <w:lang w:eastAsia="en-AU"/>
        </w:rPr>
        <w:t>with all Traditional Owner Groups in SRW’s region to obtain their feedback on PS2023</w:t>
      </w:r>
    </w:p>
    <w:p w14:paraId="30B7981D"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1"/>
          <w:lang w:eastAsia="en-AU"/>
        </w:rPr>
        <w:t>Five face-to-face open-house sessions and two on-line sessions to inform customers and test price-service proposals with them</w:t>
      </w:r>
    </w:p>
    <w:p w14:paraId="0E536761"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1"/>
          <w:lang w:eastAsia="en-AU"/>
        </w:rPr>
        <w:t>Meetings with bulk water customers and licenced urban water corporations</w:t>
      </w:r>
    </w:p>
    <w:p w14:paraId="30B1BBB9" w14:textId="77777777" w:rsidR="0022607C" w:rsidRPr="0022607C" w:rsidRDefault="0022607C" w:rsidP="00F459A2">
      <w:pPr>
        <w:numPr>
          <w:ilvl w:val="0"/>
          <w:numId w:val="5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Regular updates and feedback sessions with the SRW Board, SRW’s Strategic Leadership Team and staff in general</w:t>
      </w:r>
    </w:p>
    <w:p w14:paraId="2D7B66A0"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34" w:name="_Toc111731038"/>
      <w:r w:rsidRPr="0022607C">
        <w:rPr>
          <w:rFonts w:asciiTheme="majorHAnsi" w:eastAsia="Times New Roman" w:hAnsiTheme="majorHAnsi" w:cstheme="majorHAnsi"/>
          <w:b/>
          <w:bCs/>
          <w:snapToGrid w:val="0"/>
          <w:color w:val="0070C0"/>
          <w:kern w:val="32"/>
          <w:sz w:val="28"/>
          <w:szCs w:val="32"/>
          <w:lang w:eastAsia="en-AU"/>
        </w:rPr>
        <w:t>Summarising SRW’s phased approach</w:t>
      </w:r>
      <w:bookmarkEnd w:id="134"/>
    </w:p>
    <w:p w14:paraId="721CC75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As previously indicated, SRW’s overall engagement was divided into phases as illustrated in Figure 9-1.  This phased approach was clearly defined and communicated to stakeholders to ensure that they understood the approach and timeframes associated with the project.</w:t>
      </w:r>
    </w:p>
    <w:p w14:paraId="55192050" w14:textId="4966EC7F"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highlight w:val="yellow"/>
          <w:lang w:eastAsia="en-AU"/>
        </w:rPr>
      </w:pPr>
      <w:r w:rsidRPr="0022607C">
        <w:rPr>
          <w:rFonts w:asciiTheme="majorHAnsi" w:eastAsia="Times New Roman" w:hAnsiTheme="majorHAnsi" w:cstheme="majorHAnsi"/>
          <w:b/>
          <w:bCs/>
          <w:color w:val="0070C0"/>
          <w:sz w:val="21"/>
          <w:szCs w:val="20"/>
          <w:lang w:eastAsia="en-AU"/>
        </w:rPr>
        <w:t xml:space="preserve">Figure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Figure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7</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Overview of SRW’s communication and engagement phases</w:t>
      </w:r>
    </w:p>
    <w:p w14:paraId="3FF97BB2" w14:textId="77777777" w:rsidR="0022607C" w:rsidRPr="0022607C" w:rsidRDefault="0022607C" w:rsidP="0022607C">
      <w:pPr>
        <w:spacing w:before="120" w:after="120" w:line="240" w:lineRule="auto"/>
        <w:rPr>
          <w:rFonts w:asciiTheme="majorHAnsi" w:eastAsia="Times New Roman" w:hAnsiTheme="majorHAnsi" w:cstheme="majorHAnsi"/>
          <w:sz w:val="21"/>
          <w:szCs w:val="24"/>
          <w:lang w:eastAsia="en-AU"/>
        </w:rPr>
      </w:pPr>
      <w:r w:rsidRPr="0022607C">
        <w:rPr>
          <w:rFonts w:asciiTheme="majorHAnsi" w:eastAsia="Times New Roman" w:hAnsiTheme="majorHAnsi" w:cstheme="majorHAnsi"/>
          <w:noProof/>
          <w:sz w:val="21"/>
          <w:szCs w:val="24"/>
          <w:lang w:eastAsia="en-AU"/>
        </w:rPr>
        <w:drawing>
          <wp:inline distT="0" distB="0" distL="0" distR="0" wp14:anchorId="6775990D" wp14:editId="257D7100">
            <wp:extent cx="5610793" cy="5530850"/>
            <wp:effectExtent l="0" t="0" r="9525" b="0"/>
            <wp:docPr id="42" name="Picture 42"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imeline&#10;&#10;Description automatically generated"/>
                    <pic:cNvPicPr/>
                  </pic:nvPicPr>
                  <pic:blipFill>
                    <a:blip r:embed="rId59"/>
                    <a:stretch>
                      <a:fillRect/>
                    </a:stretch>
                  </pic:blipFill>
                  <pic:spPr>
                    <a:xfrm>
                      <a:off x="0" y="0"/>
                      <a:ext cx="5621904" cy="5541803"/>
                    </a:xfrm>
                    <a:prstGeom prst="rect">
                      <a:avLst/>
                    </a:prstGeom>
                  </pic:spPr>
                </pic:pic>
              </a:graphicData>
            </a:graphic>
          </wp:inline>
        </w:drawing>
      </w:r>
    </w:p>
    <w:p w14:paraId="610B4550"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35" w:name="_Toc111731039"/>
      <w:r w:rsidRPr="0022607C">
        <w:rPr>
          <w:rFonts w:asciiTheme="majorHAnsi" w:eastAsia="Times New Roman" w:hAnsiTheme="majorHAnsi" w:cstheme="majorHAnsi"/>
          <w:b/>
          <w:iCs/>
          <w:color w:val="0070C0"/>
          <w:kern w:val="32"/>
          <w:sz w:val="24"/>
          <w:szCs w:val="28"/>
          <w:lang w:eastAsia="en-AU"/>
        </w:rPr>
        <w:t>Phase 1: Informing and listening</w:t>
      </w:r>
      <w:bookmarkEnd w:id="135"/>
    </w:p>
    <w:p w14:paraId="086EEC40"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36" w:name="_Toc111731040"/>
      <w:r w:rsidRPr="0022607C">
        <w:rPr>
          <w:rFonts w:asciiTheme="majorHAnsi" w:eastAsia="Times New Roman" w:hAnsiTheme="majorHAnsi" w:cstheme="majorHAnsi"/>
          <w:b/>
          <w:bCs/>
          <w:color w:val="0070C0"/>
          <w:sz w:val="21"/>
          <w:szCs w:val="26"/>
          <w:lang w:eastAsia="en-AU"/>
        </w:rPr>
        <w:t>Purpose</w:t>
      </w:r>
      <w:bookmarkEnd w:id="136"/>
    </w:p>
    <w:p w14:paraId="226A131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Consistent with SRW’s engagement framework the focus of SRW’s engagement activities during Phase 1 was twofold:</w:t>
      </w:r>
    </w:p>
    <w:p w14:paraId="5A6B29E7" w14:textId="77777777" w:rsidR="0022607C" w:rsidRPr="0022607C" w:rsidRDefault="0022607C" w:rsidP="00F459A2">
      <w:pPr>
        <w:numPr>
          <w:ilvl w:val="0"/>
          <w:numId w:val="48"/>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inform customers and stakeholders of SRW’s PS2023 purpose and processes and how customers can input into SRW’s PS2023</w:t>
      </w:r>
    </w:p>
    <w:p w14:paraId="5C3366DF" w14:textId="77777777" w:rsidR="0022607C" w:rsidRPr="0022607C" w:rsidRDefault="0022607C" w:rsidP="00F459A2">
      <w:pPr>
        <w:numPr>
          <w:ilvl w:val="0"/>
          <w:numId w:val="48"/>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listen to customers and stakeholders to:</w:t>
      </w:r>
    </w:p>
    <w:p w14:paraId="3AFE5EB1" w14:textId="77777777" w:rsidR="0022607C" w:rsidRPr="0022607C" w:rsidRDefault="0022607C" w:rsidP="00F459A2">
      <w:pPr>
        <w:numPr>
          <w:ilvl w:val="1"/>
          <w:numId w:val="48"/>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Understand customer and community needs and preferences to help determine the most appropriate mix of services and prices that will deliver value for customers, the community and stakeholders</w:t>
      </w:r>
    </w:p>
    <w:p w14:paraId="4B83726F" w14:textId="77777777" w:rsidR="0022607C" w:rsidRPr="0022607C" w:rsidRDefault="0022607C" w:rsidP="00F459A2">
      <w:pPr>
        <w:numPr>
          <w:ilvl w:val="1"/>
          <w:numId w:val="48"/>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Establish customer and community interest in being kept informed about SRW’s PS2023 </w:t>
      </w:r>
      <w:r w:rsidRPr="0022607C">
        <w:rPr>
          <w:rFonts w:asciiTheme="majorHAnsi" w:eastAsia="Times New Roman" w:hAnsiTheme="majorHAnsi" w:cstheme="majorHAnsi"/>
          <w:sz w:val="21"/>
          <w:szCs w:val="24"/>
          <w:lang w:eastAsia="en-AU"/>
        </w:rPr>
        <w:br w:type="page"/>
      </w:r>
    </w:p>
    <w:p w14:paraId="0CC9E6C4"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37" w:name="_Toc111731041"/>
      <w:r w:rsidRPr="0022607C">
        <w:rPr>
          <w:rFonts w:asciiTheme="majorHAnsi" w:eastAsia="Times New Roman" w:hAnsiTheme="majorHAnsi" w:cstheme="majorHAnsi"/>
          <w:b/>
          <w:bCs/>
          <w:color w:val="0070C0"/>
          <w:sz w:val="21"/>
          <w:szCs w:val="26"/>
          <w:lang w:eastAsia="en-AU"/>
        </w:rPr>
        <w:t>Overview of Phase 1 engagement activities</w:t>
      </w:r>
      <w:bookmarkEnd w:id="137"/>
    </w:p>
    <w:p w14:paraId="38A6A9E5"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following table details SRW’s Phase 1 engagement activities, which were predominantly aimed at informing customers, the community and stakeholders, and consulting with them to understand their needs and preferences.</w:t>
      </w:r>
    </w:p>
    <w:p w14:paraId="6CD094F9" w14:textId="5C8CE474"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11</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Summary of SRW’s Phase 1 engagement activities</w:t>
      </w:r>
    </w:p>
    <w:tbl>
      <w:tblPr>
        <w:tblStyle w:val="GridTable1Light-Accent6"/>
        <w:tblW w:w="0" w:type="auto"/>
        <w:tblLook w:val="04A0" w:firstRow="1" w:lastRow="0" w:firstColumn="1" w:lastColumn="0" w:noHBand="0" w:noVBand="1"/>
      </w:tblPr>
      <w:tblGrid>
        <w:gridCol w:w="2122"/>
        <w:gridCol w:w="3439"/>
        <w:gridCol w:w="3439"/>
      </w:tblGrid>
      <w:tr w:rsidR="0022607C" w:rsidRPr="0022607C" w14:paraId="5B04A395"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8F00C0C" w14:textId="77777777" w:rsidR="0022607C" w:rsidRPr="0022607C" w:rsidRDefault="0022607C" w:rsidP="00F459A2">
            <w:pPr>
              <w:numPr>
                <w:ilvl w:val="0"/>
                <w:numId w:val="67"/>
              </w:numPr>
              <w:snapToGrid w:val="0"/>
              <w:spacing w:before="20" w:after="20"/>
              <w:ind w:left="0" w:firstLine="0"/>
              <w:rPr>
                <w:rFonts w:asciiTheme="majorHAnsi" w:hAnsiTheme="majorHAnsi" w:cstheme="majorHAnsi"/>
                <w:sz w:val="20"/>
                <w:szCs w:val="20"/>
              </w:rPr>
            </w:pPr>
            <w:r w:rsidRPr="0022607C">
              <w:rPr>
                <w:rFonts w:asciiTheme="majorHAnsi" w:hAnsiTheme="majorHAnsi" w:cstheme="majorHAnsi"/>
                <w:sz w:val="20"/>
                <w:szCs w:val="20"/>
              </w:rPr>
              <w:t>Group</w:t>
            </w:r>
          </w:p>
        </w:tc>
        <w:tc>
          <w:tcPr>
            <w:tcW w:w="3439" w:type="dxa"/>
          </w:tcPr>
          <w:p w14:paraId="4C0AD7F0" w14:textId="77777777" w:rsidR="0022607C" w:rsidRPr="0022607C" w:rsidRDefault="0022607C" w:rsidP="0022607C">
            <w:pPr>
              <w:spacing w:before="20" w:after="2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How SRW informed</w:t>
            </w:r>
          </w:p>
        </w:tc>
        <w:tc>
          <w:tcPr>
            <w:tcW w:w="3439" w:type="dxa"/>
          </w:tcPr>
          <w:p w14:paraId="570AF923" w14:textId="77777777" w:rsidR="0022607C" w:rsidRPr="0022607C" w:rsidRDefault="0022607C" w:rsidP="0022607C">
            <w:pPr>
              <w:spacing w:before="20" w:after="2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How SRW listened</w:t>
            </w:r>
          </w:p>
        </w:tc>
      </w:tr>
      <w:tr w:rsidR="0022607C" w:rsidRPr="0022607C" w14:paraId="4EE2E886"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5C046C3C"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General customer base</w:t>
            </w:r>
          </w:p>
        </w:tc>
        <w:tc>
          <w:tcPr>
            <w:tcW w:w="3439" w:type="dxa"/>
          </w:tcPr>
          <w:p w14:paraId="30B92339"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49890AF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w:t>
            </w:r>
          </w:p>
        </w:tc>
        <w:tc>
          <w:tcPr>
            <w:tcW w:w="3439" w:type="dxa"/>
          </w:tcPr>
          <w:p w14:paraId="2977581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PS2023 survey (consult)</w:t>
            </w:r>
          </w:p>
          <w:p w14:paraId="627C1FF5"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SRW Biennial Customer Satisfaction Survey (consult)</w:t>
            </w:r>
          </w:p>
        </w:tc>
      </w:tr>
      <w:tr w:rsidR="0022607C" w:rsidRPr="0022607C" w14:paraId="172A3BC2"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71FF3372"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CCCs/SG&amp;R Forum</w:t>
            </w:r>
          </w:p>
        </w:tc>
        <w:tc>
          <w:tcPr>
            <w:tcW w:w="3439" w:type="dxa"/>
          </w:tcPr>
          <w:p w14:paraId="6665834A"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w:t>
            </w:r>
          </w:p>
        </w:tc>
        <w:tc>
          <w:tcPr>
            <w:tcW w:w="3439" w:type="dxa"/>
          </w:tcPr>
          <w:p w14:paraId="5F6A96DB"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Meetings (consult and involve)</w:t>
            </w:r>
          </w:p>
        </w:tc>
      </w:tr>
      <w:tr w:rsidR="0022607C" w:rsidRPr="0022607C" w14:paraId="18FD3884"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4A43400B"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Independently facilitated CRG</w:t>
            </w:r>
          </w:p>
        </w:tc>
        <w:tc>
          <w:tcPr>
            <w:tcW w:w="3439" w:type="dxa"/>
          </w:tcPr>
          <w:p w14:paraId="10FCB32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w:t>
            </w:r>
          </w:p>
          <w:p w14:paraId="49727C45"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Workshops (2)</w:t>
            </w:r>
          </w:p>
        </w:tc>
        <w:tc>
          <w:tcPr>
            <w:tcW w:w="3439" w:type="dxa"/>
          </w:tcPr>
          <w:p w14:paraId="48164260"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Workshops (consult and involve)</w:t>
            </w:r>
          </w:p>
        </w:tc>
      </w:tr>
      <w:tr w:rsidR="0022607C" w:rsidRPr="0022607C" w14:paraId="240713D3"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456DD90C"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Partners and stakeholders</w:t>
            </w:r>
          </w:p>
        </w:tc>
        <w:tc>
          <w:tcPr>
            <w:tcW w:w="3439" w:type="dxa"/>
          </w:tcPr>
          <w:p w14:paraId="222C8AEF"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SRW MD email</w:t>
            </w:r>
          </w:p>
          <w:p w14:paraId="21DACA0B"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w:t>
            </w:r>
          </w:p>
          <w:p w14:paraId="6185CBF4"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Workshops</w:t>
            </w:r>
          </w:p>
        </w:tc>
        <w:tc>
          <w:tcPr>
            <w:tcW w:w="3439" w:type="dxa"/>
          </w:tcPr>
          <w:p w14:paraId="64EE462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Workshops (consult and involve)</w:t>
            </w:r>
          </w:p>
        </w:tc>
      </w:tr>
      <w:tr w:rsidR="0022607C" w:rsidRPr="0022607C" w14:paraId="3DBB806A"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3E905993"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Wider community</w:t>
            </w:r>
          </w:p>
        </w:tc>
        <w:tc>
          <w:tcPr>
            <w:tcW w:w="3439" w:type="dxa"/>
          </w:tcPr>
          <w:p w14:paraId="42C920AA"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Collateral to inform target audience distributed via SRW’s social media</w:t>
            </w:r>
          </w:p>
          <w:p w14:paraId="38F6DF71"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Use of targeted external partner newsletters</w:t>
            </w:r>
          </w:p>
        </w:tc>
        <w:tc>
          <w:tcPr>
            <w:tcW w:w="3439" w:type="dxa"/>
          </w:tcPr>
          <w:p w14:paraId="71E6C90A"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PS2023 Survey (consult)</w:t>
            </w:r>
          </w:p>
        </w:tc>
      </w:tr>
      <w:tr w:rsidR="0022607C" w:rsidRPr="0022607C" w14:paraId="2965ABA5"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5D3A3F0B"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SRW people</w:t>
            </w:r>
          </w:p>
        </w:tc>
        <w:tc>
          <w:tcPr>
            <w:tcW w:w="3439" w:type="dxa"/>
          </w:tcPr>
          <w:p w14:paraId="1E916F5A"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SRW’s usual internal communications methods</w:t>
            </w:r>
          </w:p>
          <w:p w14:paraId="4C6987D1"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Meetings, presentations, workshops </w:t>
            </w:r>
          </w:p>
        </w:tc>
        <w:tc>
          <w:tcPr>
            <w:tcW w:w="3439" w:type="dxa"/>
          </w:tcPr>
          <w:p w14:paraId="078C38A4"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Meetings, presentations, workshops (consult and involve)</w:t>
            </w:r>
          </w:p>
        </w:tc>
      </w:tr>
      <w:tr w:rsidR="0022607C" w:rsidRPr="0022607C" w14:paraId="6197211E"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3C769808"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SRW Board</w:t>
            </w:r>
          </w:p>
        </w:tc>
        <w:tc>
          <w:tcPr>
            <w:tcW w:w="3439" w:type="dxa"/>
          </w:tcPr>
          <w:p w14:paraId="2CB34280"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Presentations to Board</w:t>
            </w:r>
          </w:p>
        </w:tc>
        <w:tc>
          <w:tcPr>
            <w:tcW w:w="3439" w:type="dxa"/>
          </w:tcPr>
          <w:p w14:paraId="740AE8EF"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Board workshops (empower)</w:t>
            </w:r>
          </w:p>
        </w:tc>
      </w:tr>
    </w:tbl>
    <w:p w14:paraId="7DDE6552"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38" w:name="_Toc111731042"/>
      <w:r w:rsidRPr="0022607C">
        <w:rPr>
          <w:rFonts w:asciiTheme="majorHAnsi" w:eastAsia="Times New Roman" w:hAnsiTheme="majorHAnsi" w:cstheme="majorHAnsi"/>
          <w:b/>
          <w:iCs/>
          <w:color w:val="0070C0"/>
          <w:kern w:val="32"/>
          <w:sz w:val="24"/>
          <w:szCs w:val="28"/>
          <w:lang w:eastAsia="en-AU"/>
        </w:rPr>
        <w:t>Phase 2: Price-service design</w:t>
      </w:r>
      <w:bookmarkEnd w:id="138"/>
      <w:r w:rsidRPr="0022607C">
        <w:rPr>
          <w:rFonts w:asciiTheme="majorHAnsi" w:eastAsia="Times New Roman" w:hAnsiTheme="majorHAnsi" w:cstheme="majorHAnsi"/>
          <w:b/>
          <w:iCs/>
          <w:color w:val="0070C0"/>
          <w:kern w:val="32"/>
          <w:sz w:val="24"/>
          <w:szCs w:val="28"/>
          <w:lang w:eastAsia="en-AU"/>
        </w:rPr>
        <w:t xml:space="preserve"> </w:t>
      </w:r>
    </w:p>
    <w:p w14:paraId="57E1EA6E"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39" w:name="_Toc111731043"/>
      <w:r w:rsidRPr="0022607C">
        <w:rPr>
          <w:rFonts w:asciiTheme="majorHAnsi" w:eastAsia="Times New Roman" w:hAnsiTheme="majorHAnsi" w:cstheme="majorHAnsi"/>
          <w:b/>
          <w:bCs/>
          <w:color w:val="0070C0"/>
          <w:sz w:val="21"/>
          <w:szCs w:val="26"/>
          <w:lang w:eastAsia="en-AU"/>
        </w:rPr>
        <w:t>Overarching purpose</w:t>
      </w:r>
      <w:bookmarkEnd w:id="139"/>
    </w:p>
    <w:p w14:paraId="10EB70A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This was predominantly an internal phase for SRW in which feedback was collated from the customer survey, CRG and other sources to develop price and service options.  Initial testing was undertaken with the CRG, and to a lesser extent with CCCs to understand the broad acceptance of the options and explore ideas for Phase 3 engagement with SRW’s broader customer base.</w:t>
      </w:r>
    </w:p>
    <w:p w14:paraId="334E7A36"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40" w:name="_Toc111731044"/>
      <w:r w:rsidRPr="0022607C">
        <w:rPr>
          <w:rFonts w:asciiTheme="majorHAnsi" w:eastAsia="Times New Roman" w:hAnsiTheme="majorHAnsi" w:cstheme="majorHAnsi"/>
          <w:b/>
          <w:bCs/>
          <w:color w:val="0070C0"/>
          <w:sz w:val="21"/>
          <w:szCs w:val="26"/>
          <w:lang w:eastAsia="en-AU"/>
        </w:rPr>
        <w:t>CRG Workshop 3</w:t>
      </w:r>
      <w:bookmarkEnd w:id="140"/>
    </w:p>
    <w:p w14:paraId="64B3298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Workshop 3 took place in February 2022 with eight members in attendance on Zoom.  The group was supported by two SRW representatives and two BC Team members, a facilitator and note taker.</w:t>
      </w:r>
    </w:p>
    <w:p w14:paraId="484D1DEC" w14:textId="77777777" w:rsidR="0022607C" w:rsidRPr="0022607C" w:rsidRDefault="0022607C" w:rsidP="00F459A2">
      <w:pPr>
        <w:numPr>
          <w:ilvl w:val="0"/>
          <w:numId w:val="7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discuss and agree with the CRG (involve) SRW’s possible service outcomes</w:t>
      </w:r>
    </w:p>
    <w:p w14:paraId="5181C691" w14:textId="77777777" w:rsidR="0022607C" w:rsidRPr="0022607C" w:rsidRDefault="0022607C" w:rsidP="00F459A2">
      <w:pPr>
        <w:numPr>
          <w:ilvl w:val="0"/>
          <w:numId w:val="7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inform the CRG of SRW’s financial context</w:t>
      </w:r>
    </w:p>
    <w:p w14:paraId="7AAB8EBA" w14:textId="77777777" w:rsidR="0022607C" w:rsidRPr="0022607C" w:rsidRDefault="0022607C" w:rsidP="00F459A2">
      <w:pPr>
        <w:numPr>
          <w:ilvl w:val="0"/>
          <w:numId w:val="7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explore (involve) price/service options with the CRG</w:t>
      </w:r>
    </w:p>
    <w:p w14:paraId="228F5E8C" w14:textId="77777777" w:rsidR="0022607C" w:rsidRPr="0022607C" w:rsidRDefault="0022607C" w:rsidP="00F459A2">
      <w:pPr>
        <w:numPr>
          <w:ilvl w:val="0"/>
          <w:numId w:val="7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To explain (inform) the elements of the price/service options that are “negotiables” with customers</w:t>
      </w:r>
    </w:p>
    <w:p w14:paraId="712AE6C4" w14:textId="77777777" w:rsidR="0022607C" w:rsidRPr="0022607C" w:rsidRDefault="0022607C" w:rsidP="00F459A2">
      <w:pPr>
        <w:numPr>
          <w:ilvl w:val="0"/>
          <w:numId w:val="7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To consult with the CRG on suitable approaches for broader customer engagement on SRW’s pricing options </w:t>
      </w:r>
    </w:p>
    <w:p w14:paraId="15E3D91A" w14:textId="77777777" w:rsidR="0022607C" w:rsidRPr="0022607C" w:rsidRDefault="0022607C" w:rsidP="0022607C">
      <w:pPr>
        <w:spacing w:before="120" w:after="120" w:line="240" w:lineRule="auto"/>
        <w:jc w:val="both"/>
        <w:rPr>
          <w:rFonts w:asciiTheme="majorHAnsi" w:eastAsia="Times New Roman" w:hAnsiTheme="majorHAnsi" w:cstheme="majorHAnsi"/>
          <w:b/>
          <w:bCs/>
          <w:color w:val="0F6FC6"/>
          <w:sz w:val="21"/>
          <w:szCs w:val="24"/>
          <w:lang w:eastAsia="en-AU"/>
        </w:rPr>
      </w:pPr>
      <w:r w:rsidRPr="0022607C">
        <w:rPr>
          <w:rFonts w:asciiTheme="majorHAnsi" w:eastAsia="Times New Roman" w:hAnsiTheme="majorHAnsi" w:cstheme="majorHAnsi"/>
          <w:sz w:val="21"/>
          <w:szCs w:val="24"/>
          <w:lang w:eastAsia="en-AU"/>
        </w:rPr>
        <w:t>The CRG members had direct input into further clarifying the service outcomes.  They noted seven key points to build into the core elements of SRW’s pricing pathways and discussed in detail the trade-offs within the pricing pathways.  The CRG also contributed ideas on how to take this complex information to SRW’s wider customer base.</w:t>
      </w:r>
    </w:p>
    <w:p w14:paraId="610C8380"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41" w:name="_Toc111731045"/>
      <w:r w:rsidRPr="0022607C">
        <w:rPr>
          <w:rFonts w:asciiTheme="majorHAnsi" w:eastAsia="Times New Roman" w:hAnsiTheme="majorHAnsi" w:cstheme="majorHAnsi"/>
          <w:b/>
          <w:bCs/>
          <w:color w:val="0070C0"/>
          <w:sz w:val="21"/>
          <w:szCs w:val="26"/>
          <w:lang w:eastAsia="en-AU"/>
        </w:rPr>
        <w:t>CCC and SGRF and other stakeholder engagement</w:t>
      </w:r>
      <w:bookmarkEnd w:id="141"/>
    </w:p>
    <w:p w14:paraId="381DA329"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SRW also obtained input from CCC and SGRF members during scheduled meetings.  SRW provided CCC and SGRF members with updates on its Price Submission progress and sought their input as SRW developed its pricing pathways. </w:t>
      </w:r>
    </w:p>
    <w:p w14:paraId="640937AE"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42" w:name="_Toc111731046"/>
      <w:r w:rsidRPr="0022607C">
        <w:rPr>
          <w:rFonts w:asciiTheme="majorHAnsi" w:eastAsia="Times New Roman" w:hAnsiTheme="majorHAnsi" w:cstheme="majorHAnsi"/>
          <w:b/>
          <w:bCs/>
          <w:color w:val="0070C0"/>
          <w:sz w:val="21"/>
          <w:szCs w:val="26"/>
          <w:lang w:eastAsia="en-AU"/>
        </w:rPr>
        <w:t>Engagement Hub</w:t>
      </w:r>
      <w:bookmarkEnd w:id="142"/>
    </w:p>
    <w:p w14:paraId="50A9FB9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A Fact Sheet summarising the survey outcomes (Figure 6-1) was posted on the Engagement Hub to close the loop on Phase 1 as well as indicate priorities for the development of service outcomes and pricing pathways.</w:t>
      </w:r>
    </w:p>
    <w:p w14:paraId="24264AA4"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43" w:name="_Toc111731047"/>
      <w:r w:rsidRPr="0022607C">
        <w:rPr>
          <w:rFonts w:asciiTheme="majorHAnsi" w:eastAsia="Times New Roman" w:hAnsiTheme="majorHAnsi" w:cstheme="majorHAnsi"/>
          <w:b/>
          <w:bCs/>
          <w:color w:val="0070C0"/>
          <w:sz w:val="21"/>
          <w:szCs w:val="26"/>
          <w:lang w:eastAsia="en-AU"/>
        </w:rPr>
        <w:t>Communication materials</w:t>
      </w:r>
      <w:bookmarkEnd w:id="143"/>
    </w:p>
    <w:p w14:paraId="6C0A4D8B"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highlight w:val="lightGray"/>
          <w:lang w:eastAsia="en-AU"/>
        </w:rPr>
      </w:pPr>
      <w:r w:rsidRPr="0022607C">
        <w:rPr>
          <w:rFonts w:asciiTheme="majorHAnsi" w:eastAsia="Times New Roman" w:hAnsiTheme="majorHAnsi" w:cstheme="majorHAnsi"/>
          <w:sz w:val="21"/>
          <w:szCs w:val="24"/>
          <w:lang w:eastAsia="en-AU"/>
        </w:rPr>
        <w:t xml:space="preserve">The post survey fact sheet (Figure 6-1) explaining the survey outcomes and the development of slide decks to explain the service outcomes and pricing pathways within the meetings described above were the key communications materials developed during Phase 2. </w:t>
      </w:r>
    </w:p>
    <w:p w14:paraId="624DB0C6"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Times New Roman" w:hAnsiTheme="majorHAnsi" w:cstheme="majorHAnsi"/>
          <w:b/>
          <w:iCs/>
          <w:color w:val="0070C0"/>
          <w:kern w:val="32"/>
          <w:sz w:val="24"/>
          <w:szCs w:val="28"/>
          <w:lang w:eastAsia="en-AU"/>
        </w:rPr>
      </w:pPr>
      <w:bookmarkStart w:id="144" w:name="_Toc111731048"/>
      <w:r w:rsidRPr="0022607C">
        <w:rPr>
          <w:rFonts w:asciiTheme="majorHAnsi" w:eastAsia="Times New Roman" w:hAnsiTheme="majorHAnsi" w:cstheme="majorHAnsi"/>
          <w:b/>
          <w:iCs/>
          <w:color w:val="0070C0"/>
          <w:kern w:val="32"/>
          <w:sz w:val="24"/>
          <w:szCs w:val="28"/>
          <w:lang w:eastAsia="en-AU"/>
        </w:rPr>
        <w:t>Phase 3: Testing and prioritising</w:t>
      </w:r>
      <w:bookmarkEnd w:id="144"/>
    </w:p>
    <w:p w14:paraId="59838FB1"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45" w:name="_Toc111731049"/>
      <w:r w:rsidRPr="0022607C">
        <w:rPr>
          <w:rFonts w:asciiTheme="majorHAnsi" w:eastAsia="Times New Roman" w:hAnsiTheme="majorHAnsi" w:cstheme="majorHAnsi"/>
          <w:b/>
          <w:bCs/>
          <w:color w:val="0070C0"/>
          <w:sz w:val="21"/>
          <w:szCs w:val="26"/>
          <w:lang w:eastAsia="en-AU"/>
        </w:rPr>
        <w:t>Purpose</w:t>
      </w:r>
      <w:bookmarkEnd w:id="145"/>
    </w:p>
    <w:p w14:paraId="272C6B7E"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From Phase 2 feedback SRW developed pricing proposals and service outcome options.  The purpose of Phase 3 engagement activities was to seek customer and stakeholder feedback on those proposals.</w:t>
      </w:r>
    </w:p>
    <w:p w14:paraId="6E2493B7"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HGPMinchoE" w:hAnsiTheme="majorHAnsi" w:cstheme="majorHAnsi"/>
          <w:b/>
          <w:bCs/>
          <w:color w:val="0070C0"/>
          <w:sz w:val="21"/>
          <w:szCs w:val="26"/>
          <w:lang w:eastAsia="en-AU"/>
        </w:rPr>
      </w:pPr>
      <w:bookmarkStart w:id="146" w:name="_Toc111731050"/>
      <w:r w:rsidRPr="0022607C">
        <w:rPr>
          <w:rFonts w:asciiTheme="majorHAnsi" w:eastAsia="HGPMinchoE" w:hAnsiTheme="majorHAnsi" w:cstheme="majorHAnsi"/>
          <w:b/>
          <w:bCs/>
          <w:color w:val="0070C0"/>
          <w:sz w:val="21"/>
          <w:szCs w:val="26"/>
          <w:lang w:eastAsia="en-AU"/>
        </w:rPr>
        <w:t>Overview of Phase 3 engagement activities</w:t>
      </w:r>
      <w:bookmarkEnd w:id="146"/>
    </w:p>
    <w:p w14:paraId="0C43D69C"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This was the most intense phase of engagement for PS2023.  The following table outlines the groups targeted by SRW and how SRW informed them of its options and consulted with them /involved them to refine and finalise its price-service proposals.</w:t>
      </w:r>
    </w:p>
    <w:p w14:paraId="218CCD5B" w14:textId="003905E8"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12</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Summary of SRW’s Phase 3 engagement activities</w:t>
      </w:r>
    </w:p>
    <w:tbl>
      <w:tblPr>
        <w:tblStyle w:val="GridTable1Light-Accent6"/>
        <w:tblW w:w="0" w:type="auto"/>
        <w:tblLook w:val="04A0" w:firstRow="1" w:lastRow="0" w:firstColumn="1" w:lastColumn="0" w:noHBand="0" w:noVBand="1"/>
      </w:tblPr>
      <w:tblGrid>
        <w:gridCol w:w="2122"/>
        <w:gridCol w:w="3439"/>
        <w:gridCol w:w="3439"/>
      </w:tblGrid>
      <w:tr w:rsidR="0022607C" w:rsidRPr="0022607C" w14:paraId="6C63521A"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1AED5C1" w14:textId="77777777" w:rsidR="0022607C" w:rsidRPr="0022607C" w:rsidRDefault="0022607C" w:rsidP="00F459A2">
            <w:pPr>
              <w:numPr>
                <w:ilvl w:val="0"/>
                <w:numId w:val="67"/>
              </w:numPr>
              <w:snapToGrid w:val="0"/>
              <w:spacing w:before="60" w:after="60"/>
              <w:ind w:left="0" w:firstLine="0"/>
              <w:rPr>
                <w:rFonts w:asciiTheme="majorHAnsi" w:hAnsiTheme="majorHAnsi" w:cstheme="majorHAnsi"/>
                <w:sz w:val="20"/>
                <w:szCs w:val="20"/>
              </w:rPr>
            </w:pPr>
            <w:r w:rsidRPr="0022607C">
              <w:rPr>
                <w:rFonts w:asciiTheme="majorHAnsi" w:hAnsiTheme="majorHAnsi" w:cstheme="majorHAnsi"/>
                <w:sz w:val="20"/>
                <w:szCs w:val="20"/>
              </w:rPr>
              <w:t>Group</w:t>
            </w:r>
          </w:p>
        </w:tc>
        <w:tc>
          <w:tcPr>
            <w:tcW w:w="3439" w:type="dxa"/>
          </w:tcPr>
          <w:p w14:paraId="1B4B21B6"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How SRW informed</w:t>
            </w:r>
          </w:p>
        </w:tc>
        <w:tc>
          <w:tcPr>
            <w:tcW w:w="3439" w:type="dxa"/>
          </w:tcPr>
          <w:p w14:paraId="2C58F95E"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How SRW listened</w:t>
            </w:r>
          </w:p>
        </w:tc>
      </w:tr>
      <w:tr w:rsidR="0022607C" w:rsidRPr="0022607C" w14:paraId="32BB5B13"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3951B02C"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General customer base</w:t>
            </w:r>
          </w:p>
        </w:tc>
        <w:tc>
          <w:tcPr>
            <w:tcW w:w="3439" w:type="dxa"/>
          </w:tcPr>
          <w:p w14:paraId="0DE06439"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Engagement Hub</w:t>
            </w:r>
          </w:p>
          <w:p w14:paraId="7471A92F"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p w14:paraId="47745F0B"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Videos</w:t>
            </w:r>
          </w:p>
          <w:p w14:paraId="566F0349"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Updated FAQs</w:t>
            </w:r>
          </w:p>
        </w:tc>
        <w:tc>
          <w:tcPr>
            <w:tcW w:w="3439" w:type="dxa"/>
          </w:tcPr>
          <w:p w14:paraId="7BDDDCA2"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rPr>
            </w:pPr>
            <w:r w:rsidRPr="0022607C">
              <w:rPr>
                <w:rFonts w:asciiTheme="majorHAnsi" w:hAnsiTheme="majorHAnsi" w:cstheme="majorHAnsi"/>
                <w:sz w:val="20"/>
                <w:szCs w:val="20"/>
              </w:rPr>
              <w:t xml:space="preserve">PS2023 survey 2 (consult) </w:t>
            </w:r>
          </w:p>
          <w:p w14:paraId="0966403F"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1"/>
              </w:rPr>
            </w:pPr>
            <w:r w:rsidRPr="0022607C">
              <w:rPr>
                <w:rFonts w:asciiTheme="majorHAnsi" w:hAnsiTheme="majorHAnsi" w:cstheme="majorHAnsi"/>
                <w:sz w:val="21"/>
              </w:rPr>
              <w:t xml:space="preserve">5 face to face open house sessions across SRW’s region plus </w:t>
            </w:r>
            <w:r w:rsidRPr="0022607C">
              <w:rPr>
                <w:rFonts w:asciiTheme="majorHAnsi" w:eastAsia="HGPMinchoE" w:hAnsiTheme="majorHAnsi" w:cstheme="majorHAnsi"/>
                <w:sz w:val="21"/>
              </w:rPr>
              <w:t xml:space="preserve">2 online sessions </w:t>
            </w:r>
            <w:r w:rsidRPr="0022607C">
              <w:rPr>
                <w:rFonts w:asciiTheme="majorHAnsi" w:hAnsiTheme="majorHAnsi" w:cstheme="majorHAnsi"/>
                <w:sz w:val="21"/>
              </w:rPr>
              <w:t>to inform and consult directly with customers on SRW’s pricing and service options (inform and consult)</w:t>
            </w:r>
          </w:p>
        </w:tc>
      </w:tr>
      <w:tr w:rsidR="0022607C" w:rsidRPr="0022607C" w14:paraId="3539C2B4"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58A1A57E"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CCCs and SGRF</w:t>
            </w:r>
          </w:p>
        </w:tc>
        <w:tc>
          <w:tcPr>
            <w:tcW w:w="3439" w:type="dxa"/>
          </w:tcPr>
          <w:p w14:paraId="4C56B873"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p w14:paraId="35EF0046"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Presentations</w:t>
            </w:r>
          </w:p>
        </w:tc>
        <w:tc>
          <w:tcPr>
            <w:tcW w:w="3439" w:type="dxa"/>
          </w:tcPr>
          <w:p w14:paraId="2CEA57DF"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Meetings to review and refine pricing and service options (consult and involve)</w:t>
            </w:r>
          </w:p>
        </w:tc>
      </w:tr>
      <w:tr w:rsidR="0022607C" w:rsidRPr="0022607C" w14:paraId="211C9F39"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03EF522E"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Independently facilitated CRG</w:t>
            </w:r>
          </w:p>
        </w:tc>
        <w:tc>
          <w:tcPr>
            <w:tcW w:w="3439" w:type="dxa"/>
          </w:tcPr>
          <w:p w14:paraId="0F305993"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p w14:paraId="4CE90BFB"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 Presentations</w:t>
            </w:r>
          </w:p>
        </w:tc>
        <w:tc>
          <w:tcPr>
            <w:tcW w:w="3439" w:type="dxa"/>
          </w:tcPr>
          <w:p w14:paraId="237D8323"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Workshop to review and refine pricing and service options (consult and involve)</w:t>
            </w:r>
          </w:p>
        </w:tc>
      </w:tr>
      <w:tr w:rsidR="0022607C" w:rsidRPr="0022607C" w14:paraId="4F45C9F0"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62150873"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Partners and stakeholders</w:t>
            </w:r>
          </w:p>
        </w:tc>
        <w:tc>
          <w:tcPr>
            <w:tcW w:w="3439" w:type="dxa"/>
          </w:tcPr>
          <w:p w14:paraId="5BF20D33"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p w14:paraId="6FF14D2B"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Direct discussions</w:t>
            </w:r>
          </w:p>
        </w:tc>
        <w:tc>
          <w:tcPr>
            <w:tcW w:w="3439" w:type="dxa"/>
          </w:tcPr>
          <w:p w14:paraId="172A5D30"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Briefing to DELWP and the Minister for Water’s office</w:t>
            </w:r>
          </w:p>
        </w:tc>
      </w:tr>
      <w:tr w:rsidR="0022607C" w:rsidRPr="0022607C" w14:paraId="510D4D76"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4360CB5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Wider community</w:t>
            </w:r>
          </w:p>
        </w:tc>
        <w:tc>
          <w:tcPr>
            <w:tcW w:w="3439" w:type="dxa"/>
          </w:tcPr>
          <w:p w14:paraId="73648EB5" w14:textId="77777777" w:rsidR="0022607C" w:rsidRPr="0022607C" w:rsidRDefault="0022607C" w:rsidP="0022607C">
            <w:pPr>
              <w:spacing w:before="60" w:after="60"/>
              <w:ind w:left="502"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Collateral to inform target audience distributed via SRW’s social media</w:t>
            </w:r>
          </w:p>
          <w:p w14:paraId="73C39D01" w14:textId="77777777" w:rsidR="0022607C" w:rsidRPr="0022607C" w:rsidRDefault="0022607C" w:rsidP="0022607C">
            <w:pPr>
              <w:spacing w:before="60" w:after="60"/>
              <w:ind w:left="502"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Use of targeted external partner newsletters</w:t>
            </w:r>
          </w:p>
        </w:tc>
        <w:tc>
          <w:tcPr>
            <w:tcW w:w="3439" w:type="dxa"/>
          </w:tcPr>
          <w:p w14:paraId="326B14E4"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N/A</w:t>
            </w:r>
          </w:p>
        </w:tc>
      </w:tr>
      <w:tr w:rsidR="0022607C" w:rsidRPr="0022607C" w14:paraId="3F7F46EB"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06619185"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Traditional Owner groups</w:t>
            </w:r>
          </w:p>
        </w:tc>
        <w:tc>
          <w:tcPr>
            <w:tcW w:w="3439" w:type="dxa"/>
          </w:tcPr>
          <w:p w14:paraId="68185323" w14:textId="77777777" w:rsidR="0022607C" w:rsidRPr="0022607C" w:rsidRDefault="0022607C" w:rsidP="0022607C">
            <w:pPr>
              <w:spacing w:before="60" w:after="60"/>
              <w:ind w:left="318" w:hanging="318"/>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Letters to inform of PS2023 was sent to six groups </w:t>
            </w:r>
          </w:p>
        </w:tc>
        <w:tc>
          <w:tcPr>
            <w:tcW w:w="3439" w:type="dxa"/>
          </w:tcPr>
          <w:p w14:paraId="083A4BEC"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Discussion with GlaWAC to understand needs and values and tes</w:t>
            </w:r>
            <w:r w:rsidRPr="0022607C">
              <w:rPr>
                <w:rFonts w:asciiTheme="majorHAnsi" w:hAnsiTheme="majorHAnsi" w:cstheme="majorHAnsi"/>
                <w:b/>
                <w:sz w:val="20"/>
                <w:szCs w:val="20"/>
              </w:rPr>
              <w:t>t</w:t>
            </w:r>
            <w:r w:rsidRPr="0022607C">
              <w:rPr>
                <w:rFonts w:asciiTheme="majorHAnsi" w:hAnsiTheme="majorHAnsi" w:cstheme="majorHAnsi"/>
                <w:sz w:val="20"/>
                <w:szCs w:val="20"/>
              </w:rPr>
              <w:t xml:space="preserve"> price-service proposals</w:t>
            </w:r>
          </w:p>
        </w:tc>
      </w:tr>
      <w:tr w:rsidR="0022607C" w:rsidRPr="0022607C" w14:paraId="2C623308"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10D08954"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Bulk entitlement holders</w:t>
            </w:r>
          </w:p>
        </w:tc>
        <w:tc>
          <w:tcPr>
            <w:tcW w:w="3439" w:type="dxa"/>
          </w:tcPr>
          <w:p w14:paraId="2B311AD5"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tc>
        <w:tc>
          <w:tcPr>
            <w:tcW w:w="3439" w:type="dxa"/>
          </w:tcPr>
          <w:p w14:paraId="15DF2384"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Targeted discussions to </w:t>
            </w:r>
            <w:r w:rsidRPr="0022607C">
              <w:rPr>
                <w:rFonts w:asciiTheme="majorHAnsi" w:hAnsiTheme="majorHAnsi" w:cstheme="majorHAnsi"/>
                <w:b/>
                <w:sz w:val="20"/>
                <w:szCs w:val="20"/>
              </w:rPr>
              <w:t>understand</w:t>
            </w:r>
            <w:r w:rsidRPr="0022607C">
              <w:rPr>
                <w:rFonts w:asciiTheme="majorHAnsi" w:hAnsiTheme="majorHAnsi" w:cstheme="majorHAnsi"/>
                <w:sz w:val="20"/>
                <w:szCs w:val="20"/>
              </w:rPr>
              <w:t xml:space="preserve"> needs and values and </w:t>
            </w:r>
            <w:r w:rsidRPr="0022607C">
              <w:rPr>
                <w:rFonts w:asciiTheme="majorHAnsi" w:hAnsiTheme="majorHAnsi" w:cstheme="majorHAnsi"/>
                <w:b/>
                <w:sz w:val="20"/>
                <w:szCs w:val="20"/>
              </w:rPr>
              <w:t>test</w:t>
            </w:r>
            <w:r w:rsidRPr="0022607C">
              <w:rPr>
                <w:rFonts w:asciiTheme="majorHAnsi" w:hAnsiTheme="majorHAnsi" w:cstheme="majorHAnsi"/>
                <w:sz w:val="20"/>
                <w:szCs w:val="20"/>
              </w:rPr>
              <w:t xml:space="preserve"> price-service proposals</w:t>
            </w:r>
          </w:p>
        </w:tc>
      </w:tr>
      <w:tr w:rsidR="0022607C" w:rsidRPr="0022607C" w14:paraId="68907774"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4E4C7699"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 xml:space="preserve">Other water corporations </w:t>
            </w:r>
          </w:p>
        </w:tc>
        <w:tc>
          <w:tcPr>
            <w:tcW w:w="3439" w:type="dxa"/>
          </w:tcPr>
          <w:p w14:paraId="666EAA5D" w14:textId="77777777" w:rsidR="0022607C" w:rsidRPr="0022607C" w:rsidRDefault="0022607C" w:rsidP="0022607C">
            <w:pPr>
              <w:spacing w:before="60" w:after="60"/>
              <w:ind w:left="319" w:hanging="285"/>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Information sheets</w:t>
            </w:r>
          </w:p>
        </w:tc>
        <w:tc>
          <w:tcPr>
            <w:tcW w:w="3439" w:type="dxa"/>
          </w:tcPr>
          <w:p w14:paraId="3E8AA95F"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Targeted discussions to </w:t>
            </w:r>
            <w:r w:rsidRPr="0022607C">
              <w:rPr>
                <w:rFonts w:asciiTheme="majorHAnsi" w:hAnsiTheme="majorHAnsi" w:cstheme="majorHAnsi"/>
                <w:b/>
                <w:sz w:val="20"/>
                <w:szCs w:val="20"/>
              </w:rPr>
              <w:t>understand</w:t>
            </w:r>
            <w:r w:rsidRPr="0022607C">
              <w:rPr>
                <w:rFonts w:asciiTheme="majorHAnsi" w:hAnsiTheme="majorHAnsi" w:cstheme="majorHAnsi"/>
                <w:sz w:val="20"/>
                <w:szCs w:val="20"/>
              </w:rPr>
              <w:t xml:space="preserve"> needs and values and </w:t>
            </w:r>
            <w:r w:rsidRPr="0022607C">
              <w:rPr>
                <w:rFonts w:asciiTheme="majorHAnsi" w:hAnsiTheme="majorHAnsi" w:cstheme="majorHAnsi"/>
                <w:b/>
                <w:sz w:val="20"/>
                <w:szCs w:val="20"/>
              </w:rPr>
              <w:t>test</w:t>
            </w:r>
            <w:r w:rsidRPr="0022607C">
              <w:rPr>
                <w:rFonts w:asciiTheme="majorHAnsi" w:hAnsiTheme="majorHAnsi" w:cstheme="majorHAnsi"/>
                <w:sz w:val="20"/>
                <w:szCs w:val="20"/>
              </w:rPr>
              <w:t xml:space="preserve"> price-service proposals</w:t>
            </w:r>
          </w:p>
        </w:tc>
      </w:tr>
      <w:tr w:rsidR="0022607C" w:rsidRPr="0022607C" w14:paraId="421AA844"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09438419"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SRW people</w:t>
            </w:r>
          </w:p>
        </w:tc>
        <w:tc>
          <w:tcPr>
            <w:tcW w:w="3439" w:type="dxa"/>
          </w:tcPr>
          <w:p w14:paraId="7E2F5638"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SRW’s internal communications methods</w:t>
            </w:r>
          </w:p>
          <w:p w14:paraId="790BA9D0"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Meetings, presentations, workshops (consult and involve)</w:t>
            </w:r>
          </w:p>
        </w:tc>
        <w:tc>
          <w:tcPr>
            <w:tcW w:w="3439" w:type="dxa"/>
          </w:tcPr>
          <w:p w14:paraId="4F7E79FC"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Meetings, presentations, workshops (consult and involve)</w:t>
            </w:r>
          </w:p>
        </w:tc>
      </w:tr>
      <w:tr w:rsidR="0022607C" w:rsidRPr="0022607C" w14:paraId="1E414E45"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13B60BE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SRW Board</w:t>
            </w:r>
          </w:p>
        </w:tc>
        <w:tc>
          <w:tcPr>
            <w:tcW w:w="3439" w:type="dxa"/>
          </w:tcPr>
          <w:p w14:paraId="49F25BA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 xml:space="preserve">Presentations to Board to input into and approve pricing and service pathways </w:t>
            </w:r>
          </w:p>
        </w:tc>
        <w:tc>
          <w:tcPr>
            <w:tcW w:w="3439" w:type="dxa"/>
          </w:tcPr>
          <w:p w14:paraId="71B3EABD" w14:textId="77777777" w:rsidR="0022607C" w:rsidRPr="0022607C" w:rsidRDefault="0022607C" w:rsidP="0022607C">
            <w:pPr>
              <w:spacing w:before="60" w:after="60"/>
              <w:ind w:left="319" w:hanging="360"/>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22607C">
              <w:rPr>
                <w:rFonts w:asciiTheme="majorHAnsi" w:hAnsiTheme="majorHAnsi" w:cstheme="majorHAnsi"/>
                <w:sz w:val="20"/>
                <w:szCs w:val="20"/>
              </w:rPr>
              <w:t>Board workshops (empower)</w:t>
            </w:r>
          </w:p>
        </w:tc>
      </w:tr>
    </w:tbl>
    <w:p w14:paraId="4A647F6A"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HGPMinchoE" w:hAnsiTheme="majorHAnsi" w:cstheme="majorHAnsi"/>
          <w:b/>
          <w:iCs/>
          <w:color w:val="0070C0"/>
          <w:kern w:val="32"/>
          <w:sz w:val="24"/>
          <w:szCs w:val="28"/>
          <w:lang w:eastAsia="en-AU"/>
        </w:rPr>
      </w:pPr>
      <w:bookmarkStart w:id="147" w:name="_Toc111731051"/>
      <w:r w:rsidRPr="0022607C">
        <w:rPr>
          <w:rFonts w:asciiTheme="majorHAnsi" w:eastAsia="HGPMinchoE" w:hAnsiTheme="majorHAnsi" w:cstheme="majorHAnsi"/>
          <w:b/>
          <w:iCs/>
          <w:color w:val="0070C0"/>
          <w:kern w:val="32"/>
          <w:sz w:val="24"/>
          <w:szCs w:val="28"/>
          <w:lang w:eastAsia="en-AU"/>
        </w:rPr>
        <w:t>Phase 4: Reporting back</w:t>
      </w:r>
      <w:bookmarkEnd w:id="147"/>
    </w:p>
    <w:p w14:paraId="0C78D0E4"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HGPMinchoE" w:hAnsiTheme="majorHAnsi" w:cstheme="majorHAnsi"/>
          <w:b/>
          <w:bCs/>
          <w:color w:val="0070C0"/>
          <w:sz w:val="21"/>
          <w:szCs w:val="26"/>
          <w:lang w:eastAsia="en-AU"/>
        </w:rPr>
      </w:pPr>
      <w:bookmarkStart w:id="148" w:name="_Toc111731052"/>
      <w:r w:rsidRPr="0022607C">
        <w:rPr>
          <w:rFonts w:asciiTheme="majorHAnsi" w:eastAsia="HGPMinchoE" w:hAnsiTheme="majorHAnsi" w:cstheme="majorHAnsi"/>
          <w:b/>
          <w:bCs/>
          <w:color w:val="0070C0"/>
          <w:sz w:val="21"/>
          <w:szCs w:val="26"/>
          <w:lang w:eastAsia="en-AU"/>
        </w:rPr>
        <w:t>Purpose</w:t>
      </w:r>
      <w:bookmarkEnd w:id="148"/>
    </w:p>
    <w:p w14:paraId="11F263F8"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Phase 4 focused on informing customers, partners, stakeholders and others of the outcomes from the testing of pricing and service pathways and aimed to demonstrate how their input shaped SRW’s Price Submission.</w:t>
      </w:r>
    </w:p>
    <w:p w14:paraId="1AF1C9DB"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HGPMinchoE" w:hAnsiTheme="majorHAnsi" w:cstheme="majorHAnsi"/>
          <w:b/>
          <w:bCs/>
          <w:color w:val="0070C0"/>
          <w:sz w:val="21"/>
          <w:szCs w:val="26"/>
          <w:lang w:eastAsia="en-AU"/>
        </w:rPr>
      </w:pPr>
      <w:bookmarkStart w:id="149" w:name="_Toc111731053"/>
      <w:r w:rsidRPr="0022607C">
        <w:rPr>
          <w:rFonts w:asciiTheme="majorHAnsi" w:eastAsia="HGPMinchoE" w:hAnsiTheme="majorHAnsi" w:cstheme="majorHAnsi"/>
          <w:b/>
          <w:bCs/>
          <w:color w:val="0070C0"/>
          <w:sz w:val="21"/>
          <w:szCs w:val="26"/>
          <w:lang w:eastAsia="en-AU"/>
        </w:rPr>
        <w:t>Feedback to partners and stakeholders</w:t>
      </w:r>
      <w:bookmarkEnd w:id="149"/>
    </w:p>
    <w:p w14:paraId="48D9A934"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provided DELWP and other key stakeholders with a summary of its proposed PS2023 and other agencies in late June 2022.  This summary included:</w:t>
      </w:r>
    </w:p>
    <w:p w14:paraId="613D1724"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Headline annual price movements (excluding CPI).</w:t>
      </w:r>
    </w:p>
    <w:p w14:paraId="7FADA574"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Typical average bills for 2023-28.</w:t>
      </w:r>
    </w:p>
    <w:p w14:paraId="43B14A20"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Top ten major projects for the 2023-28 price period.</w:t>
      </w:r>
    </w:p>
    <w:p w14:paraId="0375988D"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Main findings from customer and community engagement.</w:t>
      </w:r>
    </w:p>
    <w:p w14:paraId="516A146A"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SRW’s proposed self-assessment PREMO rating.</w:t>
      </w:r>
    </w:p>
    <w:p w14:paraId="6D9E1360"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HGPMinchoE" w:hAnsiTheme="majorHAnsi" w:cstheme="majorHAnsi"/>
          <w:b/>
          <w:bCs/>
          <w:color w:val="0070C0"/>
          <w:sz w:val="21"/>
          <w:szCs w:val="26"/>
          <w:lang w:eastAsia="en-AU"/>
        </w:rPr>
      </w:pPr>
      <w:bookmarkStart w:id="150" w:name="_Toc111731054"/>
      <w:r w:rsidRPr="0022607C">
        <w:rPr>
          <w:rFonts w:asciiTheme="majorHAnsi" w:eastAsia="HGPMinchoE" w:hAnsiTheme="majorHAnsi" w:cstheme="majorHAnsi"/>
          <w:b/>
          <w:bCs/>
          <w:color w:val="0070C0"/>
          <w:sz w:val="21"/>
          <w:szCs w:val="26"/>
          <w:lang w:eastAsia="en-AU"/>
        </w:rPr>
        <w:t>CRG Workshop 5</w:t>
      </w:r>
      <w:bookmarkEnd w:id="150"/>
    </w:p>
    <w:p w14:paraId="645A4727"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HGPMinchoE" w:hAnsiTheme="majorHAnsi" w:cstheme="majorHAnsi"/>
          <w:sz w:val="21"/>
          <w:szCs w:val="24"/>
          <w:lang w:eastAsia="en-AU"/>
        </w:rPr>
        <w:t xml:space="preserve">At the final CRG meeting in July 2022 members were presented </w:t>
      </w:r>
      <w:r w:rsidRPr="0022607C">
        <w:rPr>
          <w:rFonts w:asciiTheme="majorHAnsi" w:eastAsia="Times New Roman" w:hAnsiTheme="majorHAnsi" w:cstheme="majorHAnsi"/>
          <w:sz w:val="21"/>
          <w:szCs w:val="24"/>
          <w:lang w:eastAsia="en-AU"/>
        </w:rPr>
        <w:t>with a summary of SRW’s proposed PS2023 and provided feedback on this.  Group members were also asked to comment on SRW’s draft ‘Closing the Loop: Price Submission 2023-28’ document which summarises customer and stakeholder feedback throughout the four phases of SRW’s PS2023 preparation, the outcomes from the engagement and SRW’s resulting commitments to customers.  CRG members did not have any comments on the document.</w:t>
      </w:r>
    </w:p>
    <w:p w14:paraId="766897FA"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Workshop 5 was also an opportunity for the SRW Managing Director to thank CRG members for their contribution and for members to reflect on their experience since the CRG first met in 2021.</w:t>
      </w:r>
    </w:p>
    <w:p w14:paraId="259B58D8" w14:textId="77777777" w:rsidR="0022607C" w:rsidRPr="0022607C" w:rsidRDefault="0022607C" w:rsidP="0022607C">
      <w:pPr>
        <w:keepNext/>
        <w:keepLines/>
        <w:pageBreakBefore/>
        <w:tabs>
          <w:tab w:val="num" w:pos="432"/>
        </w:tabs>
        <w:spacing w:before="240" w:after="240" w:line="240" w:lineRule="auto"/>
        <w:ind w:left="432" w:hanging="432"/>
        <w:outlineLvl w:val="0"/>
        <w:rPr>
          <w:rFonts w:asciiTheme="majorHAnsi" w:eastAsia="HGPMinchoE" w:hAnsiTheme="majorHAnsi" w:cstheme="majorHAnsi"/>
          <w:b/>
          <w:bCs/>
          <w:snapToGrid w:val="0"/>
          <w:color w:val="0070C0"/>
          <w:kern w:val="32"/>
          <w:sz w:val="28"/>
          <w:szCs w:val="32"/>
          <w:lang w:eastAsia="en-AU"/>
        </w:rPr>
      </w:pPr>
      <w:bookmarkStart w:id="151" w:name="_Toc111731055"/>
      <w:r w:rsidRPr="0022607C">
        <w:rPr>
          <w:rFonts w:asciiTheme="majorHAnsi" w:eastAsia="HGPMinchoE" w:hAnsiTheme="majorHAnsi" w:cstheme="majorHAnsi"/>
          <w:b/>
          <w:bCs/>
          <w:snapToGrid w:val="0"/>
          <w:color w:val="0070C0"/>
          <w:kern w:val="32"/>
          <w:sz w:val="28"/>
          <w:szCs w:val="32"/>
          <w:lang w:eastAsia="en-AU"/>
        </w:rPr>
        <w:t>Reflections</w:t>
      </w:r>
      <w:bookmarkEnd w:id="151"/>
    </w:p>
    <w:p w14:paraId="53AC163B"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In Section 7.6 we reported on the CRG’s feedback on their role.  In this Section we present more detailed feedback from CRG members, SRW and our own reflections.</w:t>
      </w:r>
    </w:p>
    <w:p w14:paraId="0BDDC561"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HGPMinchoE" w:hAnsiTheme="majorHAnsi" w:cstheme="majorHAnsi"/>
          <w:b/>
          <w:iCs/>
          <w:color w:val="0070C0"/>
          <w:kern w:val="32"/>
          <w:sz w:val="24"/>
          <w:szCs w:val="28"/>
          <w:lang w:eastAsia="en-AU"/>
        </w:rPr>
      </w:pPr>
      <w:bookmarkStart w:id="152" w:name="_Toc111731056"/>
      <w:r w:rsidRPr="0022607C">
        <w:rPr>
          <w:rFonts w:asciiTheme="majorHAnsi" w:eastAsia="HGPMinchoE" w:hAnsiTheme="majorHAnsi" w:cstheme="majorHAnsi"/>
          <w:b/>
          <w:iCs/>
          <w:color w:val="0070C0"/>
          <w:kern w:val="32"/>
          <w:sz w:val="24"/>
          <w:szCs w:val="28"/>
          <w:lang w:eastAsia="en-AU"/>
        </w:rPr>
        <w:t>CRG feedback</w:t>
      </w:r>
      <w:bookmarkEnd w:id="152"/>
    </w:p>
    <w:p w14:paraId="55E9DBF3"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53" w:name="_Toc111731057"/>
      <w:r w:rsidRPr="0022607C">
        <w:rPr>
          <w:rFonts w:asciiTheme="majorHAnsi" w:eastAsia="Times New Roman" w:hAnsiTheme="majorHAnsi" w:cstheme="majorHAnsi"/>
          <w:b/>
          <w:bCs/>
          <w:color w:val="0070C0"/>
          <w:sz w:val="21"/>
          <w:szCs w:val="26"/>
          <w:lang w:eastAsia="en-AU"/>
        </w:rPr>
        <w:t>Overall comments shared with the SRW team at the final meeting</w:t>
      </w:r>
      <w:bookmarkEnd w:id="153"/>
    </w:p>
    <w:p w14:paraId="07A7DE9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After the SRW Managing Director thanked CRG members, they used the opportunity to share their views with SRW.  The following quotes [with </w:t>
      </w:r>
      <w:r w:rsidRPr="0022607C">
        <w:rPr>
          <w:rFonts w:asciiTheme="majorHAnsi" w:eastAsia="Times New Roman" w:hAnsiTheme="majorHAnsi" w:cstheme="majorHAnsi"/>
          <w:b/>
          <w:bCs/>
          <w:sz w:val="21"/>
          <w:szCs w:val="24"/>
          <w:lang w:eastAsia="en-AU"/>
        </w:rPr>
        <w:t>emphasis added</w:t>
      </w:r>
      <w:r w:rsidRPr="0022607C">
        <w:rPr>
          <w:rFonts w:asciiTheme="majorHAnsi" w:eastAsia="Times New Roman" w:hAnsiTheme="majorHAnsi" w:cstheme="majorHAnsi"/>
          <w:sz w:val="21"/>
          <w:szCs w:val="24"/>
          <w:lang w:eastAsia="en-AU"/>
        </w:rPr>
        <w:t>] illustrate the positive feedback from participants.  Participants enjoyed the experience and recognised its value:</w:t>
      </w:r>
    </w:p>
    <w:p w14:paraId="4E12C3C8"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“It was a </w:t>
      </w:r>
      <w:r w:rsidRPr="0022607C">
        <w:rPr>
          <w:rFonts w:asciiTheme="majorHAnsi" w:eastAsia="HGPMinchoE" w:hAnsiTheme="majorHAnsi" w:cstheme="majorHAnsi"/>
          <w:b/>
          <w:bCs/>
          <w:i/>
          <w:iCs/>
          <w:sz w:val="21"/>
          <w:szCs w:val="24"/>
          <w:lang w:eastAsia="en-AU"/>
        </w:rPr>
        <w:t>worthwhile and positive exercise</w:t>
      </w:r>
      <w:r w:rsidRPr="0022607C">
        <w:rPr>
          <w:rFonts w:asciiTheme="majorHAnsi" w:eastAsia="HGPMinchoE" w:hAnsiTheme="majorHAnsi" w:cstheme="majorHAnsi"/>
          <w:i/>
          <w:iCs/>
          <w:sz w:val="21"/>
          <w:szCs w:val="24"/>
          <w:lang w:eastAsia="en-AU"/>
        </w:rPr>
        <w:t xml:space="preserve">, doing it through COVID was </w:t>
      </w:r>
      <w:r w:rsidRPr="0022607C">
        <w:rPr>
          <w:rFonts w:asciiTheme="majorHAnsi" w:eastAsia="HGPMinchoE" w:hAnsiTheme="majorHAnsi" w:cstheme="majorHAnsi"/>
          <w:b/>
          <w:bCs/>
          <w:i/>
          <w:iCs/>
          <w:sz w:val="21"/>
          <w:szCs w:val="24"/>
          <w:lang w:eastAsia="en-AU"/>
        </w:rPr>
        <w:t>interesting</w:t>
      </w:r>
      <w:r w:rsidRPr="0022607C">
        <w:rPr>
          <w:rFonts w:asciiTheme="majorHAnsi" w:eastAsia="HGPMinchoE" w:hAnsiTheme="majorHAnsi" w:cstheme="majorHAnsi"/>
          <w:i/>
          <w:iCs/>
          <w:sz w:val="21"/>
          <w:szCs w:val="24"/>
          <w:lang w:eastAsia="en-AU"/>
        </w:rPr>
        <w:t>.”</w:t>
      </w:r>
    </w:p>
    <w:p w14:paraId="40EDBEB3"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“The process was </w:t>
      </w:r>
      <w:r w:rsidRPr="0022607C">
        <w:rPr>
          <w:rFonts w:asciiTheme="majorHAnsi" w:eastAsia="HGPMinchoE" w:hAnsiTheme="majorHAnsi" w:cstheme="majorHAnsi"/>
          <w:b/>
          <w:bCs/>
          <w:i/>
          <w:iCs/>
          <w:sz w:val="21"/>
          <w:szCs w:val="24"/>
          <w:lang w:eastAsia="en-AU"/>
        </w:rPr>
        <w:t>extremely professional</w:t>
      </w:r>
      <w:r w:rsidRPr="0022607C">
        <w:rPr>
          <w:rFonts w:asciiTheme="majorHAnsi" w:eastAsia="HGPMinchoE" w:hAnsiTheme="majorHAnsi" w:cstheme="majorHAnsi"/>
          <w:i/>
          <w:iCs/>
          <w:sz w:val="21"/>
          <w:szCs w:val="24"/>
          <w:lang w:eastAsia="en-AU"/>
        </w:rPr>
        <w:t>.”</w:t>
      </w:r>
    </w:p>
    <w:p w14:paraId="7BB9BA35"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“Everyone seems to have got </w:t>
      </w:r>
      <w:r w:rsidRPr="0022607C">
        <w:rPr>
          <w:rFonts w:asciiTheme="majorHAnsi" w:eastAsia="HGPMinchoE" w:hAnsiTheme="majorHAnsi" w:cstheme="majorHAnsi"/>
          <w:b/>
          <w:bCs/>
          <w:i/>
          <w:iCs/>
          <w:sz w:val="21"/>
          <w:szCs w:val="24"/>
          <w:lang w:eastAsia="en-AU"/>
        </w:rPr>
        <w:t>some alignment, a great process</w:t>
      </w:r>
      <w:r w:rsidRPr="0022607C">
        <w:rPr>
          <w:rFonts w:asciiTheme="majorHAnsi" w:eastAsia="HGPMinchoE" w:hAnsiTheme="majorHAnsi" w:cstheme="majorHAnsi"/>
          <w:i/>
          <w:iCs/>
          <w:sz w:val="21"/>
          <w:szCs w:val="24"/>
          <w:lang w:eastAsia="en-AU"/>
        </w:rPr>
        <w:t xml:space="preserve"> and well done.”</w:t>
      </w:r>
    </w:p>
    <w:p w14:paraId="1F2973A6"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“It was </w:t>
      </w:r>
      <w:r w:rsidRPr="0022607C">
        <w:rPr>
          <w:rFonts w:asciiTheme="majorHAnsi" w:eastAsia="HGPMinchoE" w:hAnsiTheme="majorHAnsi" w:cstheme="majorHAnsi"/>
          <w:b/>
          <w:bCs/>
          <w:i/>
          <w:iCs/>
          <w:sz w:val="21"/>
          <w:szCs w:val="24"/>
          <w:lang w:eastAsia="en-AU"/>
        </w:rPr>
        <w:t>great to do this by Zoom</w:t>
      </w:r>
      <w:r w:rsidRPr="0022607C">
        <w:rPr>
          <w:rFonts w:asciiTheme="majorHAnsi" w:eastAsia="HGPMinchoE" w:hAnsiTheme="majorHAnsi" w:cstheme="majorHAnsi"/>
          <w:i/>
          <w:iCs/>
          <w:sz w:val="21"/>
          <w:szCs w:val="24"/>
          <w:lang w:eastAsia="en-AU"/>
        </w:rPr>
        <w:t>, we live hundreds of kilometres apart.”</w:t>
      </w:r>
    </w:p>
    <w:p w14:paraId="14466C77"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Importantly, members clearly valued the opportunity to learn from each other and appreciate different customers’ issues across SRW’s region:</w:t>
      </w:r>
    </w:p>
    <w:p w14:paraId="6CBBDDCE"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“It was </w:t>
      </w:r>
      <w:r w:rsidRPr="0022607C">
        <w:rPr>
          <w:rFonts w:asciiTheme="majorHAnsi" w:eastAsia="HGPMinchoE" w:hAnsiTheme="majorHAnsi" w:cstheme="majorHAnsi"/>
          <w:b/>
          <w:bCs/>
          <w:i/>
          <w:iCs/>
          <w:sz w:val="21"/>
          <w:szCs w:val="24"/>
          <w:lang w:eastAsia="en-AU"/>
        </w:rPr>
        <w:t>beneficial hearing what others in other regions are going through</w:t>
      </w:r>
      <w:r w:rsidRPr="0022607C">
        <w:rPr>
          <w:rFonts w:asciiTheme="majorHAnsi" w:eastAsia="HGPMinchoE" w:hAnsiTheme="majorHAnsi" w:cstheme="majorHAnsi"/>
          <w:i/>
          <w:iCs/>
          <w:sz w:val="21"/>
          <w:szCs w:val="24"/>
          <w:lang w:eastAsia="en-AU"/>
        </w:rPr>
        <w:t>, it was fantastic and thank you for organising it.”</w:t>
      </w:r>
    </w:p>
    <w:p w14:paraId="7E391A19"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“It has been </w:t>
      </w:r>
      <w:r w:rsidRPr="0022607C">
        <w:rPr>
          <w:rFonts w:asciiTheme="majorHAnsi" w:eastAsia="HGPMinchoE" w:hAnsiTheme="majorHAnsi" w:cstheme="majorHAnsi"/>
          <w:b/>
          <w:bCs/>
          <w:i/>
          <w:iCs/>
          <w:sz w:val="21"/>
          <w:szCs w:val="24"/>
          <w:lang w:eastAsia="en-AU"/>
        </w:rPr>
        <w:t>interesting learning from other people</w:t>
      </w:r>
      <w:r w:rsidRPr="0022607C">
        <w:rPr>
          <w:rFonts w:asciiTheme="majorHAnsi" w:eastAsia="HGPMinchoE" w:hAnsiTheme="majorHAnsi" w:cstheme="majorHAnsi"/>
          <w:i/>
          <w:iCs/>
          <w:sz w:val="21"/>
          <w:szCs w:val="24"/>
          <w:lang w:eastAsia="en-AU"/>
        </w:rPr>
        <w:t xml:space="preserve"> in different districts and understand the pain barriers.”</w:t>
      </w:r>
    </w:p>
    <w:p w14:paraId="6FAB316E"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“You have </w:t>
      </w:r>
      <w:r w:rsidRPr="0022607C">
        <w:rPr>
          <w:rFonts w:asciiTheme="majorHAnsi" w:eastAsia="HGPMinchoE" w:hAnsiTheme="majorHAnsi" w:cstheme="majorHAnsi"/>
          <w:b/>
          <w:bCs/>
          <w:i/>
          <w:iCs/>
          <w:sz w:val="21"/>
          <w:szCs w:val="24"/>
          <w:lang w:eastAsia="en-AU"/>
        </w:rPr>
        <w:t>done your best to engage as many as you could</w:t>
      </w:r>
      <w:r w:rsidRPr="0022607C">
        <w:rPr>
          <w:rFonts w:asciiTheme="majorHAnsi" w:eastAsia="HGPMinchoE" w:hAnsiTheme="majorHAnsi" w:cstheme="majorHAnsi"/>
          <w:i/>
          <w:iCs/>
          <w:sz w:val="21"/>
          <w:szCs w:val="24"/>
          <w:lang w:eastAsia="en-AU"/>
        </w:rPr>
        <w:t>, we can’t say you didn’t try.”</w:t>
      </w:r>
    </w:p>
    <w:p w14:paraId="15944F03"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“It has been an </w:t>
      </w:r>
      <w:r w:rsidRPr="0022607C">
        <w:rPr>
          <w:rFonts w:asciiTheme="majorHAnsi" w:eastAsia="HGPMinchoE" w:hAnsiTheme="majorHAnsi" w:cstheme="majorHAnsi"/>
          <w:b/>
          <w:bCs/>
          <w:i/>
          <w:iCs/>
          <w:sz w:val="21"/>
          <w:szCs w:val="24"/>
          <w:lang w:eastAsia="en-AU"/>
        </w:rPr>
        <w:t>interesting experience we are spread out and we are all different</w:t>
      </w:r>
      <w:r w:rsidRPr="0022607C">
        <w:rPr>
          <w:rFonts w:asciiTheme="majorHAnsi" w:eastAsia="HGPMinchoE" w:hAnsiTheme="majorHAnsi" w:cstheme="majorHAnsi"/>
          <w:i/>
          <w:iCs/>
          <w:sz w:val="21"/>
          <w:szCs w:val="24"/>
          <w:lang w:eastAsia="en-AU"/>
        </w:rPr>
        <w:t>.  It was great to have shared our thoughts with no backlash, in a “very safe space”– I’m probably going to miss.”</w:t>
      </w:r>
    </w:p>
    <w:p w14:paraId="75A7D7EA" w14:textId="77777777" w:rsidR="0022607C" w:rsidRPr="0022607C" w:rsidRDefault="0022607C" w:rsidP="00F459A2">
      <w:pPr>
        <w:numPr>
          <w:ilvl w:val="0"/>
          <w:numId w:val="71"/>
        </w:numPr>
        <w:snapToGrid w:val="0"/>
        <w:spacing w:before="120" w:after="120" w:line="240" w:lineRule="auto"/>
        <w:ind w:left="284" w:hanging="284"/>
        <w:jc w:val="both"/>
        <w:rPr>
          <w:rFonts w:asciiTheme="majorHAnsi" w:eastAsia="HGPMinchoE" w:hAnsiTheme="majorHAnsi" w:cstheme="majorHAnsi"/>
          <w:i/>
          <w:iCs/>
          <w:sz w:val="21"/>
          <w:szCs w:val="24"/>
          <w:lang w:eastAsia="en-AU"/>
        </w:rPr>
      </w:pPr>
      <w:r w:rsidRPr="0022607C">
        <w:rPr>
          <w:rFonts w:asciiTheme="majorHAnsi" w:eastAsia="HGPMinchoE" w:hAnsiTheme="majorHAnsi" w:cstheme="majorHAnsi"/>
          <w:i/>
          <w:iCs/>
          <w:sz w:val="21"/>
          <w:szCs w:val="24"/>
          <w:lang w:eastAsia="en-AU"/>
        </w:rPr>
        <w:t xml:space="preserve">“The discussions opened up </w:t>
      </w:r>
      <w:r w:rsidRPr="0022607C">
        <w:rPr>
          <w:rFonts w:asciiTheme="majorHAnsi" w:eastAsia="HGPMinchoE" w:hAnsiTheme="majorHAnsi" w:cstheme="majorHAnsi"/>
          <w:b/>
          <w:bCs/>
          <w:i/>
          <w:iCs/>
          <w:sz w:val="21"/>
          <w:szCs w:val="24"/>
          <w:lang w:eastAsia="en-AU"/>
        </w:rPr>
        <w:t>different conversations we hadn’t thought about in our districts</w:t>
      </w:r>
      <w:r w:rsidRPr="0022607C">
        <w:rPr>
          <w:rFonts w:asciiTheme="majorHAnsi" w:eastAsia="HGPMinchoE" w:hAnsiTheme="majorHAnsi" w:cstheme="majorHAnsi"/>
          <w:i/>
          <w:iCs/>
          <w:sz w:val="21"/>
          <w:szCs w:val="24"/>
          <w:lang w:eastAsia="en-AU"/>
        </w:rPr>
        <w:t>, that’s been beneficial – we have all been in the same loop – Great job guys.”</w:t>
      </w:r>
    </w:p>
    <w:p w14:paraId="43132431" w14:textId="77777777" w:rsidR="0022607C" w:rsidRPr="0022607C" w:rsidRDefault="0022607C" w:rsidP="0022607C">
      <w:pPr>
        <w:keepNext/>
        <w:numPr>
          <w:ilvl w:val="2"/>
          <w:numId w:val="0"/>
        </w:numPr>
        <w:tabs>
          <w:tab w:val="num" w:pos="862"/>
        </w:tabs>
        <w:spacing w:before="120" w:after="60" w:line="240" w:lineRule="auto"/>
        <w:ind w:left="709" w:hanging="720"/>
        <w:outlineLvl w:val="2"/>
        <w:rPr>
          <w:rFonts w:asciiTheme="majorHAnsi" w:eastAsia="Times New Roman" w:hAnsiTheme="majorHAnsi" w:cstheme="majorHAnsi"/>
          <w:b/>
          <w:bCs/>
          <w:color w:val="0070C0"/>
          <w:sz w:val="21"/>
          <w:szCs w:val="26"/>
          <w:lang w:eastAsia="en-AU"/>
        </w:rPr>
      </w:pPr>
      <w:bookmarkStart w:id="154" w:name="_Toc111731058"/>
      <w:r w:rsidRPr="0022607C">
        <w:rPr>
          <w:rFonts w:asciiTheme="majorHAnsi" w:eastAsia="Times New Roman" w:hAnsiTheme="majorHAnsi" w:cstheme="majorHAnsi"/>
          <w:b/>
          <w:bCs/>
          <w:color w:val="0070C0"/>
          <w:sz w:val="21"/>
          <w:szCs w:val="26"/>
          <w:lang w:eastAsia="en-AU"/>
        </w:rPr>
        <w:t>Overall comments shared with the SRW team at the final meeting</w:t>
      </w:r>
      <w:bookmarkEnd w:id="154"/>
    </w:p>
    <w:p w14:paraId="50605320"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last session in Meeting 5 was held in camera (i.e. SRW left the meeting so participants could provide candid feedback on their experience).  Additionally, we emailed CRG members who were not able to attend the final session for their feedback.  The feedback in this session summarises their feedback.</w:t>
      </w:r>
    </w:p>
    <w:p w14:paraId="1A61DEF9" w14:textId="77777777" w:rsidR="0022607C" w:rsidRPr="0022607C" w:rsidRDefault="0022607C" w:rsidP="0022607C">
      <w:pPr>
        <w:spacing w:before="240" w:after="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What has stood out over the time you have been involved with the CRG?</w:t>
      </w:r>
    </w:p>
    <w:p w14:paraId="37B3C2F6" w14:textId="7469E6FD" w:rsidR="0022607C" w:rsidRPr="0022607C" w:rsidRDefault="0022607C" w:rsidP="0022607C">
      <w:pPr>
        <w:keepNext/>
        <w:spacing w:before="120" w:after="120" w:line="240" w:lineRule="auto"/>
        <w:jc w:val="both"/>
        <w:rPr>
          <w:rFonts w:asciiTheme="majorHAnsi" w:eastAsia="Times New Roman" w:hAnsiTheme="majorHAnsi" w:cstheme="majorHAnsi"/>
          <w:b/>
          <w:bCs/>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13</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Features of members’ involvement</w:t>
      </w:r>
    </w:p>
    <w:tbl>
      <w:tblPr>
        <w:tblStyle w:val="GridTable1Light-Accent6"/>
        <w:tblW w:w="9493" w:type="dxa"/>
        <w:tblLook w:val="04A0" w:firstRow="1" w:lastRow="0" w:firstColumn="1" w:lastColumn="0" w:noHBand="0" w:noVBand="1"/>
      </w:tblPr>
      <w:tblGrid>
        <w:gridCol w:w="2547"/>
        <w:gridCol w:w="6946"/>
      </w:tblGrid>
      <w:tr w:rsidR="0022607C" w:rsidRPr="0022607C" w14:paraId="5AFFE8FE"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4B1C4E"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sz w:val="20"/>
                <w:szCs w:val="20"/>
                <w:lang w:eastAsia="en-GB"/>
              </w:rPr>
            </w:pPr>
            <w:r w:rsidRPr="0022607C">
              <w:rPr>
                <w:rFonts w:asciiTheme="majorHAnsi" w:hAnsiTheme="majorHAnsi" w:cstheme="majorHAnsi"/>
                <w:iCs/>
                <w:sz w:val="20"/>
                <w:szCs w:val="20"/>
                <w:lang w:eastAsia="en-GB"/>
              </w:rPr>
              <w:t>Theme</w:t>
            </w:r>
          </w:p>
        </w:tc>
        <w:tc>
          <w:tcPr>
            <w:tcW w:w="6946" w:type="dxa"/>
          </w:tcPr>
          <w:p w14:paraId="0A899403"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0"/>
                <w:szCs w:val="20"/>
                <w:lang w:eastAsia="en-GB"/>
              </w:rPr>
            </w:pPr>
            <w:r w:rsidRPr="0022607C">
              <w:rPr>
                <w:rFonts w:asciiTheme="majorHAnsi" w:hAnsiTheme="majorHAnsi" w:cstheme="majorHAnsi"/>
                <w:sz w:val="20"/>
                <w:szCs w:val="20"/>
                <w:lang w:eastAsia="en-GB"/>
              </w:rPr>
              <w:t>CRG quotes</w:t>
            </w:r>
          </w:p>
        </w:tc>
      </w:tr>
      <w:tr w:rsidR="0022607C" w:rsidRPr="0022607C" w14:paraId="5BB51C35"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269A3111"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SRW was open to feedback</w:t>
            </w:r>
          </w:p>
        </w:tc>
        <w:tc>
          <w:tcPr>
            <w:tcW w:w="6946" w:type="dxa"/>
          </w:tcPr>
          <w:p w14:paraId="0459160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ease with which information has been given and our ability to give feedback, we were all given the opportunity to respond</w:t>
            </w:r>
          </w:p>
          <w:p w14:paraId="68AE842C"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SRW were open to feedback and were genuinely interested in our feedback and hopefully that contributed to the outcome</w:t>
            </w:r>
          </w:p>
          <w:p w14:paraId="0A117B55"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 was especially pleased with SRW interest in CRG members opinions and engagement, this has not always been the case</w:t>
            </w:r>
          </w:p>
        </w:tc>
      </w:tr>
      <w:tr w:rsidR="0022607C" w:rsidRPr="0022607C" w14:paraId="3466761A"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4E07FD29"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Clarity and ease of the process</w:t>
            </w:r>
          </w:p>
        </w:tc>
        <w:tc>
          <w:tcPr>
            <w:tcW w:w="6946" w:type="dxa"/>
          </w:tcPr>
          <w:p w14:paraId="2387FAEB" w14:textId="77777777" w:rsidR="0022607C" w:rsidRPr="0022607C" w:rsidRDefault="0022607C" w:rsidP="00F459A2">
            <w:pPr>
              <w:framePr w:wrap="around" w:hAnchor="text"/>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overall effectiveness of the process</w:t>
            </w:r>
          </w:p>
          <w:p w14:paraId="32B1C7DD" w14:textId="77777777" w:rsidR="0022607C" w:rsidRPr="0022607C" w:rsidRDefault="0022607C" w:rsidP="00F459A2">
            <w:pPr>
              <w:framePr w:wrap="around" w:hAnchor="text"/>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process clearly spelt from the beginning; the objective was clear about developing a reviewed pricing strategy</w:t>
            </w:r>
          </w:p>
          <w:p w14:paraId="694D2F7E" w14:textId="77777777" w:rsidR="0022607C" w:rsidRPr="0022607C" w:rsidRDefault="0022607C" w:rsidP="00F459A2">
            <w:pPr>
              <w:framePr w:wrap="around" w:hAnchor="text"/>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community CRG members were a very reasonable group – raised issues but also listened to SRW feedback. That contributed to a smooth CRG that was able to progress through the discussion</w:t>
            </w:r>
          </w:p>
          <w:p w14:paraId="5123D62E" w14:textId="77777777" w:rsidR="0022607C" w:rsidRPr="0022607C" w:rsidRDefault="0022607C" w:rsidP="00F459A2">
            <w:pPr>
              <w:numPr>
                <w:ilvl w:val="0"/>
                <w:numId w:val="71"/>
              </w:numPr>
              <w:snapToGrid w:val="0"/>
              <w:spacing w:before="120" w:after="120"/>
              <w:ind w:left="284" w:hanging="284"/>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It kept progressing. We didn’t get too bogged down or stuck on issues</w:t>
            </w:r>
          </w:p>
          <w:p w14:paraId="66DC81A5" w14:textId="77777777" w:rsidR="0022607C" w:rsidRPr="0022607C" w:rsidRDefault="0022607C" w:rsidP="00F459A2">
            <w:pPr>
              <w:numPr>
                <w:ilvl w:val="0"/>
                <w:numId w:val="71"/>
              </w:numPr>
              <w:snapToGrid w:val="0"/>
              <w:spacing w:before="120" w:after="120"/>
              <w:ind w:left="284" w:hanging="284"/>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SRW information, facilitation etc was clear</w:t>
            </w:r>
          </w:p>
        </w:tc>
      </w:tr>
      <w:tr w:rsidR="0022607C" w:rsidRPr="0022607C" w14:paraId="32F2952E"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59CD9125"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Diversity of views</w:t>
            </w:r>
          </w:p>
        </w:tc>
        <w:tc>
          <w:tcPr>
            <w:tcW w:w="6946" w:type="dxa"/>
          </w:tcPr>
          <w:p w14:paraId="3E462025"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It was good that we are all from different districts and do things differently we are now all on the same page, whatever the process was to recruit the group, it’s a big tick, we got there</w:t>
            </w:r>
          </w:p>
          <w:p w14:paraId="234BEDE8"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diversity of irrigators from different parts of Victoria were able to put forward what they thought was important to them</w:t>
            </w:r>
          </w:p>
        </w:tc>
      </w:tr>
      <w:tr w:rsidR="0022607C" w:rsidRPr="0022607C" w14:paraId="007E1B5B"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1F51CC85"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Complexity of the Price Submission process</w:t>
            </w:r>
          </w:p>
        </w:tc>
        <w:tc>
          <w:tcPr>
            <w:tcW w:w="6946" w:type="dxa"/>
          </w:tcPr>
          <w:p w14:paraId="201FD6BF" w14:textId="77777777" w:rsidR="0022607C" w:rsidRPr="0022607C" w:rsidRDefault="0022607C" w:rsidP="00F459A2">
            <w:pPr>
              <w:framePr w:wrap="around" w:hAnchor="text"/>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 underestimated the complexity of it all given the different regions, different water and infrastructure</w:t>
            </w:r>
          </w:p>
        </w:tc>
      </w:tr>
      <w:tr w:rsidR="0022607C" w:rsidRPr="0022607C" w14:paraId="23D7EB0B"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00EC2DDB"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bCs w:val="0"/>
                <w:iCs/>
                <w:color w:val="000000"/>
                <w:sz w:val="20"/>
                <w:szCs w:val="20"/>
                <w:lang w:eastAsia="en-GB"/>
              </w:rPr>
            </w:pPr>
            <w:r w:rsidRPr="0022607C">
              <w:rPr>
                <w:rFonts w:asciiTheme="majorHAnsi" w:hAnsiTheme="majorHAnsi" w:cstheme="majorHAnsi"/>
                <w:bCs w:val="0"/>
                <w:iCs/>
                <w:color w:val="000000"/>
                <w:sz w:val="20"/>
                <w:szCs w:val="20"/>
                <w:lang w:eastAsia="en-GB"/>
              </w:rPr>
              <w:t>Reaching an outcome</w:t>
            </w:r>
          </w:p>
        </w:tc>
        <w:tc>
          <w:tcPr>
            <w:tcW w:w="6946" w:type="dxa"/>
          </w:tcPr>
          <w:p w14:paraId="7FA7DC15"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We understand you need to invest to keep a business viable – SRW is no different especially in high input areas (MID, BMID, WID)</w:t>
            </w:r>
          </w:p>
          <w:p w14:paraId="65B31FCD"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We have a price rise and we know how will it affect us</w:t>
            </w:r>
          </w:p>
        </w:tc>
      </w:tr>
      <w:tr w:rsidR="0022607C" w:rsidRPr="0022607C" w14:paraId="756DC0F6"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2D60CA3B"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Method of engagement</w:t>
            </w:r>
          </w:p>
        </w:tc>
        <w:tc>
          <w:tcPr>
            <w:tcW w:w="6946" w:type="dxa"/>
          </w:tcPr>
          <w:p w14:paraId="753B0CFA"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facilitation/SRW’s methods of engagement is also a reason for that effective working relationship</w:t>
            </w:r>
          </w:p>
        </w:tc>
      </w:tr>
    </w:tbl>
    <w:p w14:paraId="0E909E2C" w14:textId="77777777" w:rsidR="0022607C" w:rsidRPr="0022607C" w:rsidRDefault="0022607C" w:rsidP="0022607C">
      <w:pPr>
        <w:spacing w:before="240" w:after="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Has anything not worked so well or frustrated you about the process?</w:t>
      </w:r>
    </w:p>
    <w:p w14:paraId="5D10BAC0" w14:textId="4218CDC7"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14</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Issues with the process</w:t>
      </w:r>
    </w:p>
    <w:tbl>
      <w:tblPr>
        <w:tblStyle w:val="GridTable1Light-Accent6"/>
        <w:tblW w:w="9493" w:type="dxa"/>
        <w:tblLook w:val="04A0" w:firstRow="1" w:lastRow="0" w:firstColumn="1" w:lastColumn="0" w:noHBand="0" w:noVBand="1"/>
      </w:tblPr>
      <w:tblGrid>
        <w:gridCol w:w="2547"/>
        <w:gridCol w:w="6946"/>
      </w:tblGrid>
      <w:tr w:rsidR="0022607C" w:rsidRPr="0022607C" w14:paraId="175DBC0D"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5D93D80"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sz w:val="20"/>
                <w:szCs w:val="20"/>
                <w:lang w:eastAsia="en-GB"/>
              </w:rPr>
            </w:pPr>
            <w:r w:rsidRPr="0022607C">
              <w:rPr>
                <w:rFonts w:asciiTheme="majorHAnsi" w:hAnsiTheme="majorHAnsi" w:cstheme="majorHAnsi"/>
                <w:iCs/>
                <w:sz w:val="20"/>
                <w:szCs w:val="20"/>
                <w:lang w:eastAsia="en-GB"/>
              </w:rPr>
              <w:t>Theme</w:t>
            </w:r>
          </w:p>
        </w:tc>
        <w:tc>
          <w:tcPr>
            <w:tcW w:w="6946" w:type="dxa"/>
          </w:tcPr>
          <w:p w14:paraId="5A194AF7"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0"/>
                <w:szCs w:val="20"/>
                <w:lang w:eastAsia="en-GB"/>
              </w:rPr>
            </w:pPr>
            <w:r w:rsidRPr="0022607C">
              <w:rPr>
                <w:rFonts w:asciiTheme="majorHAnsi" w:hAnsiTheme="majorHAnsi" w:cstheme="majorHAnsi"/>
                <w:sz w:val="20"/>
                <w:szCs w:val="20"/>
                <w:lang w:eastAsia="en-GB"/>
              </w:rPr>
              <w:t>CRG quotes</w:t>
            </w:r>
          </w:p>
        </w:tc>
      </w:tr>
      <w:tr w:rsidR="0022607C" w:rsidRPr="0022607C" w14:paraId="241D12AE"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0203FBCB"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Lack of response from broader customer base</w:t>
            </w:r>
          </w:p>
        </w:tc>
        <w:tc>
          <w:tcPr>
            <w:tcW w:w="6946" w:type="dxa"/>
          </w:tcPr>
          <w:p w14:paraId="6DDF4FA5"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Frustrating we didn’t get the responses (from the broader customer base) that we needed and deserved. We’ve given up our time to help the PS along for all customers and people haven’t responded when given the opportunity.  I’m frustrated my community didn’t respond.</w:t>
            </w:r>
          </w:p>
          <w:p w14:paraId="2AFF4FED"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Farmers are known for not doing surveys and we get bombarded with surveys and they get ignored unfortunately</w:t>
            </w:r>
          </w:p>
          <w:p w14:paraId="1FA9FF8E"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It is getting harder to engage with community at every level</w:t>
            </w:r>
          </w:p>
          <w:p w14:paraId="57BDB6DD"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CRG reps covered a big area with lots of differences, and I probably didn’t see how/when/if SRW engaged at the more local level, noting it seemed the broader customer engagement was challenging.</w:t>
            </w:r>
          </w:p>
        </w:tc>
      </w:tr>
      <w:tr w:rsidR="0022607C" w:rsidRPr="0022607C" w14:paraId="03F42BB8"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0A626140"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The process took a long time</w:t>
            </w:r>
          </w:p>
        </w:tc>
        <w:tc>
          <w:tcPr>
            <w:tcW w:w="6946" w:type="dxa"/>
          </w:tcPr>
          <w:p w14:paraId="7B39850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process took a long time, bureaucracy. Government has to go through the consultations</w:t>
            </w:r>
          </w:p>
          <w:p w14:paraId="68B140E5"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process was a bit long – give us a list of the issues - less time on the background.  First two meetings could have been swallowed into one</w:t>
            </w:r>
          </w:p>
          <w:p w14:paraId="73138BFF"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Far too long - it didn’t need to be so long</w:t>
            </w:r>
          </w:p>
          <w:p w14:paraId="4FEEAAAD"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 was surprised that it took so long</w:t>
            </w:r>
          </w:p>
          <w:p w14:paraId="12167E33"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1"/>
                <w:szCs w:val="24"/>
              </w:rPr>
              <w:t>It seemed a little slow early, i.e. not much info the CRG was really inputting on at the first, maybe second(?) meeting I attended, but quickly got going into the detail. There is always a get up and going process though, so sometimes takes time.</w:t>
            </w:r>
          </w:p>
        </w:tc>
      </w:tr>
      <w:tr w:rsidR="0022607C" w:rsidRPr="0022607C" w14:paraId="284D290B"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493DE65E"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Longer lead time required to engage with other customers in CRG members networks</w:t>
            </w:r>
          </w:p>
        </w:tc>
        <w:tc>
          <w:tcPr>
            <w:tcW w:w="6946" w:type="dxa"/>
          </w:tcPr>
          <w:p w14:paraId="66BB8AA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We needed more time to engage our industry groups and customers.  The timing around Christmas to get the surveys out was tricky</w:t>
            </w:r>
          </w:p>
          <w:p w14:paraId="43C2EEBA"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We want to engage people before we do the survey, it’s important to get industry groups on board and have us review the survey questions, at least give us a chance to get people responding</w:t>
            </w:r>
          </w:p>
        </w:tc>
      </w:tr>
      <w:tr w:rsidR="0022607C" w:rsidRPr="0022607C" w14:paraId="5BA3C00E"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332C4BCF"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Online environment</w:t>
            </w:r>
          </w:p>
        </w:tc>
        <w:tc>
          <w:tcPr>
            <w:tcW w:w="6946" w:type="dxa"/>
          </w:tcPr>
          <w:p w14:paraId="4565229C"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 xml:space="preserve">The zoom meetings I find difficult because there is less interaction and hence debate and scrutiny </w:t>
            </w:r>
          </w:p>
          <w:p w14:paraId="53ED8F6A"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sz w:val="20"/>
                <w:szCs w:val="20"/>
              </w:rPr>
            </w:pPr>
            <w:r w:rsidRPr="0022607C">
              <w:rPr>
                <w:rFonts w:asciiTheme="majorHAnsi" w:eastAsia="HGPMinchoE" w:hAnsiTheme="majorHAnsi" w:cstheme="majorHAnsi"/>
                <w:sz w:val="20"/>
                <w:szCs w:val="20"/>
              </w:rPr>
              <w:t>NB: in overall comments the online meetings were noted as a strength</w:t>
            </w:r>
          </w:p>
        </w:tc>
      </w:tr>
    </w:tbl>
    <w:p w14:paraId="340BBE2A" w14:textId="77777777" w:rsidR="0022607C" w:rsidRPr="0022607C" w:rsidRDefault="0022607C" w:rsidP="0022607C">
      <w:pPr>
        <w:spacing w:before="240" w:after="0" w:line="240" w:lineRule="auto"/>
        <w:jc w:val="both"/>
        <w:rPr>
          <w:rFonts w:asciiTheme="majorHAnsi" w:eastAsia="Times New Roman" w:hAnsiTheme="majorHAnsi" w:cstheme="majorHAnsi"/>
          <w:b/>
          <w:bCs/>
          <w:sz w:val="21"/>
          <w:szCs w:val="24"/>
          <w:lang w:eastAsia="en-AU"/>
        </w:rPr>
      </w:pPr>
    </w:p>
    <w:p w14:paraId="418B2C5F" w14:textId="77777777" w:rsidR="0022607C" w:rsidRPr="0022607C" w:rsidRDefault="0022607C" w:rsidP="0022607C">
      <w:pPr>
        <w:spacing w:after="0" w:line="240" w:lineRule="auto"/>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color w:val="808080"/>
          <w:sz w:val="20"/>
          <w:szCs w:val="20"/>
          <w:lang w:eastAsia="en-GB"/>
        </w:rPr>
        <w:br w:type="page"/>
      </w:r>
    </w:p>
    <w:p w14:paraId="13320D8F" w14:textId="77777777" w:rsidR="0022607C" w:rsidRPr="0022607C" w:rsidRDefault="0022607C" w:rsidP="0022607C">
      <w:pPr>
        <w:spacing w:before="240" w:after="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What were the key areas/parts of the price submission process that you feel you were able to influence?</w:t>
      </w:r>
    </w:p>
    <w:p w14:paraId="023EE0A6" w14:textId="7EFD9650"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15</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Areas of influence</w:t>
      </w:r>
    </w:p>
    <w:tbl>
      <w:tblPr>
        <w:tblStyle w:val="GridTable1Light-Accent6"/>
        <w:tblW w:w="9493" w:type="dxa"/>
        <w:tblLook w:val="04A0" w:firstRow="1" w:lastRow="0" w:firstColumn="1" w:lastColumn="0" w:noHBand="0" w:noVBand="1"/>
      </w:tblPr>
      <w:tblGrid>
        <w:gridCol w:w="2547"/>
        <w:gridCol w:w="6946"/>
      </w:tblGrid>
      <w:tr w:rsidR="0022607C" w:rsidRPr="0022607C" w14:paraId="31A1BF90"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13CEE89"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sz w:val="20"/>
                <w:szCs w:val="20"/>
                <w:lang w:eastAsia="en-GB"/>
              </w:rPr>
            </w:pPr>
            <w:r w:rsidRPr="0022607C">
              <w:rPr>
                <w:rFonts w:asciiTheme="majorHAnsi" w:hAnsiTheme="majorHAnsi" w:cstheme="majorHAnsi"/>
                <w:iCs/>
                <w:sz w:val="20"/>
                <w:szCs w:val="20"/>
                <w:lang w:eastAsia="en-GB"/>
              </w:rPr>
              <w:t>Theme</w:t>
            </w:r>
          </w:p>
        </w:tc>
        <w:tc>
          <w:tcPr>
            <w:tcW w:w="6946" w:type="dxa"/>
          </w:tcPr>
          <w:p w14:paraId="5997DA62"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0"/>
                <w:szCs w:val="20"/>
                <w:lang w:eastAsia="en-GB"/>
              </w:rPr>
            </w:pPr>
            <w:r w:rsidRPr="0022607C">
              <w:rPr>
                <w:rFonts w:asciiTheme="majorHAnsi" w:hAnsiTheme="majorHAnsi" w:cstheme="majorHAnsi"/>
                <w:sz w:val="20"/>
                <w:szCs w:val="20"/>
                <w:lang w:eastAsia="en-GB"/>
              </w:rPr>
              <w:t>CRG quotes</w:t>
            </w:r>
          </w:p>
        </w:tc>
      </w:tr>
      <w:tr w:rsidR="0022607C" w:rsidRPr="0022607C" w14:paraId="62F71252"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253EC89D"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We influenced how information was presented to customers</w:t>
            </w:r>
          </w:p>
        </w:tc>
        <w:tc>
          <w:tcPr>
            <w:tcW w:w="6946" w:type="dxa"/>
          </w:tcPr>
          <w:p w14:paraId="74A2E594"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It was more about how you tell people than what you tell them</w:t>
            </w:r>
          </w:p>
          <w:p w14:paraId="284E67F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The way they influenced the presentations – I didn’t understand the water droplets graphic, they changed those</w:t>
            </w:r>
          </w:p>
        </w:tc>
      </w:tr>
      <w:tr w:rsidR="0022607C" w:rsidRPr="0022607C" w14:paraId="4A36E3A6"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3B86B858"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The outcome was predetermined</w:t>
            </w:r>
          </w:p>
        </w:tc>
        <w:tc>
          <w:tcPr>
            <w:tcW w:w="6946" w:type="dxa"/>
          </w:tcPr>
          <w:p w14:paraId="3A5AD8AB"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 xml:space="preserve">They had that predetermined to be honest </w:t>
            </w:r>
          </w:p>
        </w:tc>
      </w:tr>
      <w:tr w:rsidR="0022607C" w:rsidRPr="0022607C" w14:paraId="361A4EAD"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36C834BE"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Maintaining field staff</w:t>
            </w:r>
          </w:p>
        </w:tc>
        <w:tc>
          <w:tcPr>
            <w:tcW w:w="6946" w:type="dxa"/>
          </w:tcPr>
          <w:p w14:paraId="399C23E8"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Field staff are important in groundwater areas, I hope I influenced that</w:t>
            </w:r>
          </w:p>
        </w:tc>
      </w:tr>
      <w:tr w:rsidR="0022607C" w:rsidRPr="0022607C" w14:paraId="781B2BC4"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2A49230F"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Understanding each other’s requirements (SRW &amp; customers)</w:t>
            </w:r>
          </w:p>
        </w:tc>
        <w:tc>
          <w:tcPr>
            <w:tcW w:w="6946" w:type="dxa"/>
          </w:tcPr>
          <w:p w14:paraId="52D2B29E"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It’s a stuffed up [water] system but by understanding the system we can do some more work to help fix it</w:t>
            </w:r>
          </w:p>
        </w:tc>
      </w:tr>
    </w:tbl>
    <w:p w14:paraId="456AEC46" w14:textId="77777777" w:rsidR="0022607C" w:rsidRPr="0022607C" w:rsidRDefault="0022607C" w:rsidP="0022607C">
      <w:pPr>
        <w:spacing w:after="0" w:line="240" w:lineRule="auto"/>
        <w:rPr>
          <w:rFonts w:asciiTheme="majorHAnsi" w:eastAsia="Times New Roman" w:hAnsiTheme="majorHAnsi" w:cstheme="majorHAnsi"/>
          <w:color w:val="0F6FC6"/>
          <w:sz w:val="20"/>
          <w:szCs w:val="20"/>
          <w:lang w:eastAsia="en-AU"/>
        </w:rPr>
      </w:pPr>
    </w:p>
    <w:p w14:paraId="31F70CD3" w14:textId="77777777" w:rsidR="0022607C" w:rsidRPr="0022607C" w:rsidRDefault="0022607C" w:rsidP="0022607C">
      <w:pPr>
        <w:spacing w:before="240" w:after="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Would you recommend a similar consultative approach for SRW next time?  What would you do differently?</w:t>
      </w:r>
    </w:p>
    <w:p w14:paraId="6DB3DADC" w14:textId="323EA7B8"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16</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 Considerations for future Price Submissions</w:t>
      </w:r>
    </w:p>
    <w:tbl>
      <w:tblPr>
        <w:tblStyle w:val="GridTable1Light-Accent6"/>
        <w:tblW w:w="9493" w:type="dxa"/>
        <w:tblLook w:val="04A0" w:firstRow="1" w:lastRow="0" w:firstColumn="1" w:lastColumn="0" w:noHBand="0" w:noVBand="1"/>
      </w:tblPr>
      <w:tblGrid>
        <w:gridCol w:w="2547"/>
        <w:gridCol w:w="6946"/>
      </w:tblGrid>
      <w:tr w:rsidR="0022607C" w:rsidRPr="0022607C" w14:paraId="1CE6532B" w14:textId="77777777" w:rsidTr="001A4A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7E00C74" w14:textId="77777777" w:rsidR="0022607C" w:rsidRPr="0022607C" w:rsidRDefault="0022607C" w:rsidP="0022607C">
            <w:pPr>
              <w:overflowPunct w:val="0"/>
              <w:autoSpaceDE w:val="0"/>
              <w:autoSpaceDN w:val="0"/>
              <w:adjustRightInd w:val="0"/>
              <w:spacing w:before="60" w:after="60"/>
              <w:textAlignment w:val="baseline"/>
              <w:rPr>
                <w:rFonts w:asciiTheme="majorHAnsi" w:hAnsiTheme="majorHAnsi" w:cstheme="majorHAnsi"/>
                <w:iCs/>
                <w:sz w:val="20"/>
                <w:szCs w:val="20"/>
                <w:lang w:eastAsia="en-GB"/>
              </w:rPr>
            </w:pPr>
            <w:r w:rsidRPr="0022607C">
              <w:rPr>
                <w:rFonts w:asciiTheme="majorHAnsi" w:hAnsiTheme="majorHAnsi" w:cstheme="majorHAnsi"/>
                <w:iCs/>
                <w:sz w:val="20"/>
                <w:szCs w:val="20"/>
                <w:lang w:eastAsia="en-GB"/>
              </w:rPr>
              <w:t>Theme</w:t>
            </w:r>
          </w:p>
        </w:tc>
        <w:tc>
          <w:tcPr>
            <w:tcW w:w="6946" w:type="dxa"/>
          </w:tcPr>
          <w:p w14:paraId="594A9295" w14:textId="77777777" w:rsidR="0022607C" w:rsidRPr="0022607C" w:rsidRDefault="0022607C" w:rsidP="0022607C">
            <w:pPr>
              <w:spacing w:before="60" w:after="60"/>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0"/>
                <w:szCs w:val="20"/>
                <w:lang w:eastAsia="en-GB"/>
              </w:rPr>
            </w:pPr>
            <w:r w:rsidRPr="0022607C">
              <w:rPr>
                <w:rFonts w:asciiTheme="majorHAnsi" w:hAnsiTheme="majorHAnsi" w:cstheme="majorHAnsi"/>
                <w:sz w:val="20"/>
                <w:szCs w:val="20"/>
                <w:lang w:eastAsia="en-GB"/>
              </w:rPr>
              <w:t>CRG quotes</w:t>
            </w:r>
          </w:p>
        </w:tc>
      </w:tr>
      <w:tr w:rsidR="0022607C" w:rsidRPr="0022607C" w14:paraId="5B2BA481"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4B1167D2"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Yes, a streamlined version</w:t>
            </w:r>
          </w:p>
        </w:tc>
        <w:tc>
          <w:tcPr>
            <w:tcW w:w="6946" w:type="dxa"/>
          </w:tcPr>
          <w:p w14:paraId="75C8BCE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Yes but it was a contracted process, so shrink it</w:t>
            </w:r>
          </w:p>
          <w:p w14:paraId="3103CD0D"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I’m interested in the bottom line not the bureaucracy. I’m being selfish because I’m busy</w:t>
            </w:r>
          </w:p>
          <w:p w14:paraId="79DE2B2F"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 do appreciate the process and it achieved what it set out to do</w:t>
            </w:r>
          </w:p>
        </w:tc>
      </w:tr>
      <w:tr w:rsidR="0022607C" w:rsidRPr="0022607C" w14:paraId="3D14BCA8"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3452E193"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Engage earlier to prepare stakeholders</w:t>
            </w:r>
          </w:p>
        </w:tc>
        <w:tc>
          <w:tcPr>
            <w:tcW w:w="6946" w:type="dxa"/>
          </w:tcPr>
          <w:p w14:paraId="6AA48FC7"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Engage industry bodies earlier</w:t>
            </w:r>
          </w:p>
          <w:p w14:paraId="462CBB28"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CCC chairs - engage us earlier to talk to committee members – to reduce the intro sessions, rather than brainstorming the problems, more consultation with the committee</w:t>
            </w:r>
          </w:p>
        </w:tc>
      </w:tr>
      <w:tr w:rsidR="0022607C" w:rsidRPr="0022607C" w14:paraId="2A09FE7E"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5F964BAD"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Lack of engagement at Bacchus Marsh</w:t>
            </w:r>
          </w:p>
        </w:tc>
        <w:tc>
          <w:tcPr>
            <w:tcW w:w="6946" w:type="dxa"/>
          </w:tcPr>
          <w:p w14:paraId="23E2131A"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Did not do much for BM because they did not do the engagement – hard to know what to do</w:t>
            </w:r>
          </w:p>
          <w:p w14:paraId="33038B76"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Trust needed in BM</w:t>
            </w:r>
          </w:p>
        </w:tc>
      </w:tr>
      <w:tr w:rsidR="0022607C" w:rsidRPr="0022607C" w14:paraId="3EE94132" w14:textId="77777777" w:rsidTr="001A4A4E">
        <w:tc>
          <w:tcPr>
            <w:cnfStyle w:val="001000000000" w:firstRow="0" w:lastRow="0" w:firstColumn="1" w:lastColumn="0" w:oddVBand="0" w:evenVBand="0" w:oddHBand="0" w:evenHBand="0" w:firstRowFirstColumn="0" w:firstRowLastColumn="0" w:lastRowFirstColumn="0" w:lastRowLastColumn="0"/>
            <w:tcW w:w="2547" w:type="dxa"/>
          </w:tcPr>
          <w:p w14:paraId="5C74EC55" w14:textId="77777777" w:rsidR="0022607C" w:rsidRPr="0022607C" w:rsidRDefault="0022607C" w:rsidP="0022607C">
            <w:pPr>
              <w:spacing w:before="120" w:after="120"/>
              <w:rPr>
                <w:rFonts w:asciiTheme="majorHAnsi" w:eastAsia="HGPMinchoE" w:hAnsiTheme="majorHAnsi" w:cstheme="majorHAnsi"/>
                <w:bCs w:val="0"/>
                <w:sz w:val="20"/>
                <w:szCs w:val="20"/>
              </w:rPr>
            </w:pPr>
            <w:r w:rsidRPr="0022607C">
              <w:rPr>
                <w:rFonts w:asciiTheme="majorHAnsi" w:eastAsia="HGPMinchoE" w:hAnsiTheme="majorHAnsi" w:cstheme="majorHAnsi"/>
                <w:bCs w:val="0"/>
                <w:sz w:val="20"/>
                <w:szCs w:val="20"/>
              </w:rPr>
              <w:t>If it’s still relevant approach, things will change in 5 years</w:t>
            </w:r>
          </w:p>
        </w:tc>
        <w:tc>
          <w:tcPr>
            <w:tcW w:w="6946" w:type="dxa"/>
          </w:tcPr>
          <w:p w14:paraId="0C9B5A70" w14:textId="77777777" w:rsidR="0022607C" w:rsidRPr="0022607C" w:rsidRDefault="0022607C" w:rsidP="00F459A2">
            <w:pPr>
              <w:numPr>
                <w:ilvl w:val="0"/>
                <w:numId w:val="71"/>
              </w:numPr>
              <w:snapToGrid w:val="0"/>
              <w:spacing w:before="120" w:after="120"/>
              <w:ind w:left="284" w:hanging="284"/>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0"/>
                <w:szCs w:val="20"/>
              </w:rPr>
            </w:pPr>
            <w:r w:rsidRPr="0022607C">
              <w:rPr>
                <w:rFonts w:asciiTheme="majorHAnsi" w:eastAsia="HGPMinchoE" w:hAnsiTheme="majorHAnsi" w:cstheme="majorHAnsi"/>
                <w:i/>
                <w:iCs/>
                <w:sz w:val="20"/>
                <w:szCs w:val="20"/>
              </w:rPr>
              <w:t>Issues will change</w:t>
            </w:r>
          </w:p>
        </w:tc>
      </w:tr>
    </w:tbl>
    <w:p w14:paraId="1576F215"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HGPMinchoE" w:hAnsiTheme="majorHAnsi" w:cstheme="majorHAnsi"/>
          <w:b/>
          <w:iCs/>
          <w:color w:val="0070C0"/>
          <w:kern w:val="32"/>
          <w:sz w:val="24"/>
          <w:szCs w:val="28"/>
          <w:lang w:eastAsia="en-AU"/>
        </w:rPr>
      </w:pPr>
      <w:bookmarkStart w:id="155" w:name="_Toc111731059"/>
      <w:r w:rsidRPr="0022607C">
        <w:rPr>
          <w:rFonts w:asciiTheme="majorHAnsi" w:eastAsia="HGPMinchoE" w:hAnsiTheme="majorHAnsi" w:cstheme="majorHAnsi"/>
          <w:b/>
          <w:iCs/>
          <w:color w:val="0070C0"/>
          <w:kern w:val="32"/>
          <w:sz w:val="24"/>
          <w:szCs w:val="28"/>
          <w:lang w:eastAsia="en-AU"/>
        </w:rPr>
        <w:t>Feedback from SRW</w:t>
      </w:r>
      <w:bookmarkEnd w:id="155"/>
    </w:p>
    <w:p w14:paraId="0F31DE15"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asked the four SRW PS2023 people we worked with</w:t>
      </w:r>
      <w:r w:rsidRPr="0022607C">
        <w:rPr>
          <w:rFonts w:asciiTheme="majorHAnsi" w:eastAsia="HGPMinchoE" w:hAnsiTheme="majorHAnsi" w:cstheme="majorHAnsi"/>
          <w:sz w:val="21"/>
          <w:szCs w:val="24"/>
          <w:vertAlign w:val="superscript"/>
          <w:lang w:eastAsia="en-AU"/>
        </w:rPr>
        <w:footnoteReference w:id="27"/>
      </w:r>
      <w:r w:rsidRPr="0022607C">
        <w:rPr>
          <w:rFonts w:asciiTheme="majorHAnsi" w:eastAsia="HGPMinchoE" w:hAnsiTheme="majorHAnsi" w:cstheme="majorHAnsi"/>
          <w:sz w:val="21"/>
          <w:szCs w:val="24"/>
          <w:lang w:eastAsia="en-AU"/>
        </w:rPr>
        <w:t xml:space="preserve"> the following questions:</w:t>
      </w:r>
    </w:p>
    <w:p w14:paraId="072185ED"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What have been the strengths of your (SRW’s) approach?</w:t>
      </w:r>
    </w:p>
    <w:p w14:paraId="2C1B94B7"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What would you do differently next time around?</w:t>
      </w:r>
    </w:p>
    <w:p w14:paraId="3924EC20"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Have you achieved what you set out to achieve?</w:t>
      </w:r>
    </w:p>
    <w:p w14:paraId="58835194"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Do you have any other feedback?</w:t>
      </w:r>
    </w:p>
    <w:p w14:paraId="40DD7F52"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The key reflections we received are summarised in the following table:</w:t>
      </w:r>
    </w:p>
    <w:p w14:paraId="0C6A3D7E" w14:textId="1931B4C9" w:rsidR="0022607C" w:rsidRPr="0022607C" w:rsidRDefault="0022607C" w:rsidP="0022607C">
      <w:pPr>
        <w:keepNext/>
        <w:spacing w:before="120" w:after="120" w:line="240" w:lineRule="auto"/>
        <w:jc w:val="both"/>
        <w:rPr>
          <w:rFonts w:asciiTheme="majorHAnsi" w:eastAsia="Times New Roman" w:hAnsiTheme="majorHAnsi" w:cstheme="majorHAnsi"/>
          <w:b/>
          <w:bCs/>
          <w:color w:val="0070C0"/>
          <w:sz w:val="21"/>
          <w:szCs w:val="20"/>
          <w:lang w:eastAsia="en-AU"/>
        </w:rPr>
      </w:pPr>
      <w:r w:rsidRPr="0022607C">
        <w:rPr>
          <w:rFonts w:asciiTheme="majorHAnsi" w:eastAsia="Times New Roman" w:hAnsiTheme="majorHAnsi" w:cstheme="majorHAnsi"/>
          <w:b/>
          <w:bCs/>
          <w:color w:val="0070C0"/>
          <w:sz w:val="21"/>
          <w:szCs w:val="20"/>
          <w:lang w:eastAsia="en-AU"/>
        </w:rPr>
        <w:t xml:space="preserve">Table </w:t>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STYLEREF 1 \s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0</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noBreakHyphen/>
      </w:r>
      <w:r w:rsidRPr="0022607C">
        <w:rPr>
          <w:rFonts w:asciiTheme="majorHAnsi" w:eastAsia="Times New Roman" w:hAnsiTheme="majorHAnsi" w:cstheme="majorHAnsi"/>
          <w:b/>
          <w:bCs/>
          <w:color w:val="0070C0"/>
          <w:sz w:val="21"/>
          <w:szCs w:val="20"/>
          <w:lang w:eastAsia="en-AU"/>
        </w:rPr>
        <w:fldChar w:fldCharType="begin"/>
      </w:r>
      <w:r w:rsidRPr="0022607C">
        <w:rPr>
          <w:rFonts w:asciiTheme="majorHAnsi" w:eastAsia="Times New Roman" w:hAnsiTheme="majorHAnsi" w:cstheme="majorHAnsi"/>
          <w:b/>
          <w:bCs/>
          <w:color w:val="0070C0"/>
          <w:sz w:val="21"/>
          <w:szCs w:val="20"/>
          <w:lang w:eastAsia="en-AU"/>
        </w:rPr>
        <w:instrText xml:space="preserve"> SEQ Table \* ARABIC \s 1 </w:instrText>
      </w:r>
      <w:r w:rsidRPr="0022607C">
        <w:rPr>
          <w:rFonts w:asciiTheme="majorHAnsi" w:eastAsia="Times New Roman" w:hAnsiTheme="majorHAnsi" w:cstheme="majorHAnsi"/>
          <w:b/>
          <w:bCs/>
          <w:color w:val="0070C0"/>
          <w:sz w:val="21"/>
          <w:szCs w:val="20"/>
          <w:lang w:eastAsia="en-AU"/>
        </w:rPr>
        <w:fldChar w:fldCharType="separate"/>
      </w:r>
      <w:r w:rsidR="008126A8">
        <w:rPr>
          <w:rFonts w:asciiTheme="majorHAnsi" w:eastAsia="Times New Roman" w:hAnsiTheme="majorHAnsi" w:cstheme="majorHAnsi"/>
          <w:b/>
          <w:bCs/>
          <w:noProof/>
          <w:color w:val="0070C0"/>
          <w:sz w:val="21"/>
          <w:szCs w:val="20"/>
          <w:lang w:eastAsia="en-AU"/>
        </w:rPr>
        <w:t>17</w:t>
      </w:r>
      <w:r w:rsidRPr="0022607C">
        <w:rPr>
          <w:rFonts w:asciiTheme="majorHAnsi" w:eastAsia="Times New Roman" w:hAnsiTheme="majorHAnsi" w:cstheme="majorHAnsi"/>
          <w:b/>
          <w:bCs/>
          <w:noProof/>
          <w:color w:val="0070C0"/>
          <w:sz w:val="21"/>
          <w:szCs w:val="20"/>
          <w:lang w:eastAsia="en-AU"/>
        </w:rPr>
        <w:fldChar w:fldCharType="end"/>
      </w:r>
      <w:r w:rsidRPr="0022607C">
        <w:rPr>
          <w:rFonts w:asciiTheme="majorHAnsi" w:eastAsia="Times New Roman" w:hAnsiTheme="majorHAnsi" w:cstheme="majorHAnsi"/>
          <w:b/>
          <w:bCs/>
          <w:color w:val="0070C0"/>
          <w:sz w:val="21"/>
          <w:szCs w:val="20"/>
          <w:lang w:eastAsia="en-AU"/>
        </w:rPr>
        <w:t>5: SRW’s reflections on its PS2022 engagement</w:t>
      </w:r>
    </w:p>
    <w:tbl>
      <w:tblPr>
        <w:tblStyle w:val="GridTable1Light-Accent6"/>
        <w:tblW w:w="0" w:type="auto"/>
        <w:tblLook w:val="0480" w:firstRow="0" w:lastRow="0" w:firstColumn="1" w:lastColumn="0" w:noHBand="0" w:noVBand="1"/>
      </w:tblPr>
      <w:tblGrid>
        <w:gridCol w:w="2122"/>
        <w:gridCol w:w="7333"/>
      </w:tblGrid>
      <w:tr w:rsidR="0022607C" w:rsidRPr="0022607C" w14:paraId="4BC32C02"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62C5AFF0" w14:textId="77777777" w:rsidR="0022607C" w:rsidRPr="0022607C" w:rsidRDefault="0022607C" w:rsidP="0022607C">
            <w:pPr>
              <w:spacing w:before="120" w:after="120"/>
              <w:jc w:val="both"/>
              <w:rPr>
                <w:rFonts w:asciiTheme="majorHAnsi" w:eastAsia="HGPMinchoE" w:hAnsiTheme="majorHAnsi" w:cstheme="majorHAnsi"/>
                <w:sz w:val="21"/>
                <w:szCs w:val="24"/>
              </w:rPr>
            </w:pPr>
            <w:r w:rsidRPr="0022607C">
              <w:rPr>
                <w:rFonts w:asciiTheme="majorHAnsi" w:eastAsia="HGPMinchoE" w:hAnsiTheme="majorHAnsi" w:cstheme="majorHAnsi"/>
                <w:sz w:val="21"/>
                <w:szCs w:val="24"/>
              </w:rPr>
              <w:t>Theme</w:t>
            </w:r>
          </w:p>
        </w:tc>
        <w:tc>
          <w:tcPr>
            <w:tcW w:w="7333" w:type="dxa"/>
          </w:tcPr>
          <w:p w14:paraId="54FB679F"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rPr>
            </w:pPr>
            <w:r w:rsidRPr="0022607C">
              <w:rPr>
                <w:rFonts w:asciiTheme="majorHAnsi" w:hAnsiTheme="majorHAnsi" w:cstheme="majorHAnsi"/>
                <w:b/>
              </w:rPr>
              <w:t>Comments [emphasis added]</w:t>
            </w:r>
          </w:p>
        </w:tc>
      </w:tr>
      <w:tr w:rsidR="0022607C" w:rsidRPr="0022607C" w14:paraId="19C6F735"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197C1C20" w14:textId="77777777" w:rsidR="0022607C" w:rsidRPr="0022607C" w:rsidRDefault="0022607C" w:rsidP="0022607C">
            <w:pPr>
              <w:spacing w:before="120" w:after="120"/>
              <w:jc w:val="both"/>
              <w:rPr>
                <w:rFonts w:asciiTheme="majorHAnsi" w:eastAsia="HGPMinchoE" w:hAnsiTheme="majorHAnsi" w:cstheme="majorHAnsi"/>
                <w:bCs w:val="0"/>
                <w:sz w:val="21"/>
                <w:szCs w:val="24"/>
              </w:rPr>
            </w:pPr>
            <w:r w:rsidRPr="0022607C">
              <w:rPr>
                <w:rFonts w:asciiTheme="majorHAnsi" w:eastAsia="HGPMinchoE" w:hAnsiTheme="majorHAnsi" w:cstheme="majorHAnsi"/>
                <w:bCs w:val="0"/>
                <w:sz w:val="21"/>
                <w:szCs w:val="24"/>
              </w:rPr>
              <w:t>Strengths of approach</w:t>
            </w:r>
          </w:p>
        </w:tc>
        <w:tc>
          <w:tcPr>
            <w:tcW w:w="7333" w:type="dxa"/>
          </w:tcPr>
          <w:p w14:paraId="494FB178"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rPr>
            </w:pPr>
            <w:r w:rsidRPr="0022607C">
              <w:rPr>
                <w:rFonts w:asciiTheme="majorHAnsi" w:hAnsiTheme="majorHAnsi" w:cstheme="majorHAnsi"/>
                <w:b/>
                <w:color w:val="000000"/>
              </w:rPr>
              <w:t>Leveraging others’ knowledge and collaborating</w:t>
            </w:r>
          </w:p>
          <w:p w14:paraId="11582B21"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“The </w:t>
            </w:r>
            <w:r w:rsidRPr="0022607C">
              <w:rPr>
                <w:rFonts w:asciiTheme="majorHAnsi" w:hAnsiTheme="majorHAnsi" w:cstheme="majorHAnsi"/>
                <w:b/>
                <w:i/>
                <w:iCs/>
              </w:rPr>
              <w:t>collaborative approach</w:t>
            </w:r>
            <w:r w:rsidRPr="0022607C">
              <w:rPr>
                <w:rFonts w:asciiTheme="majorHAnsi" w:hAnsiTheme="majorHAnsi" w:cstheme="majorHAnsi"/>
                <w:i/>
                <w:iCs/>
              </w:rPr>
              <w:t xml:space="preserve"> </w:t>
            </w:r>
            <w:r w:rsidRPr="0022607C">
              <w:rPr>
                <w:rFonts w:asciiTheme="majorHAnsi" w:hAnsiTheme="majorHAnsi" w:cstheme="majorHAnsi"/>
                <w:i/>
                <w:iCs/>
                <w:color w:val="000000"/>
              </w:rPr>
              <w:t xml:space="preserve">with the BC team, this has allowed us to really </w:t>
            </w:r>
            <w:r w:rsidRPr="0022607C">
              <w:rPr>
                <w:rFonts w:asciiTheme="majorHAnsi" w:hAnsiTheme="majorHAnsi" w:cstheme="majorHAnsi"/>
                <w:b/>
                <w:i/>
                <w:iCs/>
              </w:rPr>
              <w:t>challenge our proposed approach</w:t>
            </w:r>
            <w:r w:rsidRPr="0022607C">
              <w:rPr>
                <w:rFonts w:asciiTheme="majorHAnsi" w:hAnsiTheme="majorHAnsi" w:cstheme="majorHAnsi"/>
                <w:i/>
                <w:iCs/>
              </w:rPr>
              <w:t xml:space="preserve"> </w:t>
            </w:r>
            <w:r w:rsidRPr="0022607C">
              <w:rPr>
                <w:rFonts w:asciiTheme="majorHAnsi" w:hAnsiTheme="majorHAnsi" w:cstheme="majorHAnsi"/>
                <w:i/>
                <w:iCs/>
                <w:color w:val="000000"/>
              </w:rPr>
              <w:t>and adapt and change to achieve better, more customer focussed processes and outcomes”</w:t>
            </w:r>
          </w:p>
          <w:p w14:paraId="7E7B3EFE"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“Another strength </w:t>
            </w:r>
            <w:r w:rsidRPr="0022607C">
              <w:rPr>
                <w:rFonts w:asciiTheme="majorHAnsi" w:hAnsiTheme="majorHAnsi" w:cstheme="majorHAnsi"/>
                <w:b/>
                <w:i/>
                <w:iCs/>
              </w:rPr>
              <w:t>is leveraging the knowledge</w:t>
            </w:r>
            <w:r w:rsidRPr="0022607C">
              <w:rPr>
                <w:rFonts w:asciiTheme="majorHAnsi" w:hAnsiTheme="majorHAnsi" w:cstheme="majorHAnsi"/>
                <w:i/>
                <w:iCs/>
                <w:color w:val="000000"/>
              </w:rPr>
              <w:t xml:space="preserve"> of our field staff and those closest to customers in the heavy engagement phase.”</w:t>
            </w:r>
          </w:p>
          <w:p w14:paraId="592C8458" w14:textId="77777777" w:rsidR="0022607C" w:rsidRPr="0022607C" w:rsidRDefault="0022607C" w:rsidP="0022607C">
            <w:pPr>
              <w:spacing w:before="120" w:after="120"/>
              <w:ind w:left="-42"/>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rPr>
            </w:pPr>
            <w:r w:rsidRPr="0022607C">
              <w:rPr>
                <w:rFonts w:asciiTheme="majorHAnsi" w:hAnsiTheme="majorHAnsi" w:cstheme="majorHAnsi"/>
                <w:b/>
                <w:color w:val="000000"/>
              </w:rPr>
              <w:t>Breadth of reach</w:t>
            </w:r>
          </w:p>
          <w:p w14:paraId="1BDDF75E"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“Incorporating as many </w:t>
            </w:r>
            <w:r w:rsidRPr="0022607C">
              <w:rPr>
                <w:rFonts w:asciiTheme="majorHAnsi" w:hAnsiTheme="majorHAnsi" w:cstheme="majorHAnsi"/>
                <w:b/>
                <w:i/>
                <w:iCs/>
              </w:rPr>
              <w:t>different channels for engagement to</w:t>
            </w:r>
            <w:r w:rsidRPr="0022607C">
              <w:rPr>
                <w:rFonts w:asciiTheme="majorHAnsi" w:hAnsiTheme="majorHAnsi" w:cstheme="majorHAnsi"/>
                <w:i/>
                <w:iCs/>
              </w:rPr>
              <w:t xml:space="preserve"> </w:t>
            </w:r>
            <w:r w:rsidRPr="0022607C">
              <w:rPr>
                <w:rFonts w:asciiTheme="majorHAnsi" w:hAnsiTheme="majorHAnsi" w:cstheme="majorHAnsi"/>
                <w:b/>
                <w:i/>
                <w:iCs/>
              </w:rPr>
              <w:t>maximise involvement</w:t>
            </w:r>
            <w:r w:rsidRPr="0022607C">
              <w:rPr>
                <w:rFonts w:asciiTheme="majorHAnsi" w:hAnsiTheme="majorHAnsi" w:cstheme="majorHAnsi"/>
                <w:i/>
                <w:iCs/>
              </w:rPr>
              <w:t xml:space="preserve"> </w:t>
            </w:r>
            <w:r w:rsidRPr="0022607C">
              <w:rPr>
                <w:rFonts w:asciiTheme="majorHAnsi" w:hAnsiTheme="majorHAnsi" w:cstheme="majorHAnsi"/>
                <w:i/>
                <w:iCs/>
                <w:color w:val="000000"/>
              </w:rPr>
              <w:t>as we can, not relying on existing channels as much”</w:t>
            </w:r>
          </w:p>
          <w:p w14:paraId="2D678AFF"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w:t>
            </w:r>
            <w:r w:rsidRPr="0022607C">
              <w:rPr>
                <w:rFonts w:asciiTheme="majorHAnsi" w:hAnsiTheme="majorHAnsi" w:cstheme="majorHAnsi"/>
                <w:b/>
                <w:i/>
                <w:iCs/>
              </w:rPr>
              <w:t>Capitalised on existing networks and channels</w:t>
            </w:r>
            <w:r w:rsidRPr="0022607C">
              <w:rPr>
                <w:rFonts w:asciiTheme="majorHAnsi" w:hAnsiTheme="majorHAnsi" w:cstheme="majorHAnsi"/>
                <w:i/>
                <w:iCs/>
                <w:color w:val="000000"/>
              </w:rPr>
              <w:t>, especially our existing CCCs and SGRF”</w:t>
            </w:r>
          </w:p>
          <w:p w14:paraId="784C14CD"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w:t>
            </w:r>
            <w:r w:rsidRPr="0022607C">
              <w:rPr>
                <w:rFonts w:asciiTheme="majorHAnsi" w:hAnsiTheme="majorHAnsi" w:cstheme="majorHAnsi"/>
                <w:b/>
                <w:i/>
                <w:iCs/>
              </w:rPr>
              <w:t>Bolstered our existing [networks] with the CRG</w:t>
            </w:r>
            <w:r w:rsidRPr="0022607C">
              <w:rPr>
                <w:rFonts w:asciiTheme="majorHAnsi" w:hAnsiTheme="majorHAnsi" w:cstheme="majorHAnsi"/>
                <w:i/>
                <w:iCs/>
                <w:color w:val="000000"/>
              </w:rPr>
              <w:t xml:space="preserve">. Really focussed on </w:t>
            </w:r>
            <w:r w:rsidRPr="0022607C">
              <w:rPr>
                <w:rFonts w:asciiTheme="majorHAnsi" w:hAnsiTheme="majorHAnsi" w:cstheme="majorHAnsi"/>
                <w:b/>
                <w:i/>
                <w:iCs/>
              </w:rPr>
              <w:t>getting information out to our broader customer base</w:t>
            </w:r>
            <w:r w:rsidRPr="0022607C">
              <w:rPr>
                <w:rFonts w:asciiTheme="majorHAnsi" w:hAnsiTheme="majorHAnsi" w:cstheme="majorHAnsi"/>
                <w:i/>
                <w:iCs/>
              </w:rPr>
              <w:t xml:space="preserve"> </w:t>
            </w:r>
            <w:r w:rsidRPr="0022607C">
              <w:rPr>
                <w:rFonts w:asciiTheme="majorHAnsi" w:hAnsiTheme="majorHAnsi" w:cstheme="majorHAnsi"/>
                <w:i/>
                <w:iCs/>
                <w:color w:val="000000"/>
              </w:rPr>
              <w:t>through socials, direct messaging etc.”</w:t>
            </w:r>
          </w:p>
        </w:tc>
      </w:tr>
      <w:tr w:rsidR="0022607C" w:rsidRPr="0022607C" w14:paraId="3B6A8D12"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0106741D" w14:textId="77777777" w:rsidR="0022607C" w:rsidRPr="0022607C" w:rsidRDefault="0022607C" w:rsidP="0022607C">
            <w:pPr>
              <w:spacing w:before="120" w:after="120"/>
              <w:jc w:val="both"/>
              <w:rPr>
                <w:rFonts w:asciiTheme="majorHAnsi" w:eastAsia="HGPMinchoE" w:hAnsiTheme="majorHAnsi" w:cstheme="majorHAnsi"/>
                <w:bCs w:val="0"/>
                <w:color w:val="000000"/>
                <w:sz w:val="21"/>
                <w:szCs w:val="24"/>
              </w:rPr>
            </w:pPr>
            <w:r w:rsidRPr="0022607C">
              <w:rPr>
                <w:rFonts w:asciiTheme="majorHAnsi" w:eastAsia="HGPMinchoE" w:hAnsiTheme="majorHAnsi" w:cstheme="majorHAnsi"/>
                <w:bCs w:val="0"/>
                <w:color w:val="000000"/>
                <w:sz w:val="21"/>
                <w:szCs w:val="24"/>
              </w:rPr>
              <w:t>Next time …</w:t>
            </w:r>
          </w:p>
        </w:tc>
        <w:tc>
          <w:tcPr>
            <w:tcW w:w="7333" w:type="dxa"/>
          </w:tcPr>
          <w:p w14:paraId="6FA1376D"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rPr>
            </w:pPr>
            <w:r w:rsidRPr="0022607C">
              <w:rPr>
                <w:rFonts w:asciiTheme="majorHAnsi" w:hAnsiTheme="majorHAnsi" w:cstheme="majorHAnsi"/>
                <w:b/>
                <w:color w:val="000000"/>
              </w:rPr>
              <w:t>Start earlier</w:t>
            </w:r>
          </w:p>
          <w:p w14:paraId="16D847F6"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“Perhaps </w:t>
            </w:r>
            <w:r w:rsidRPr="0022607C">
              <w:rPr>
                <w:rFonts w:asciiTheme="majorHAnsi" w:hAnsiTheme="majorHAnsi" w:cstheme="majorHAnsi"/>
                <w:b/>
                <w:i/>
                <w:iCs/>
              </w:rPr>
              <w:t>start some of the PS specific engagement even earlier</w:t>
            </w:r>
            <w:r w:rsidRPr="0022607C">
              <w:rPr>
                <w:rFonts w:asciiTheme="majorHAnsi" w:hAnsiTheme="majorHAnsi" w:cstheme="majorHAnsi"/>
                <w:i/>
                <w:iCs/>
              </w:rPr>
              <w:t xml:space="preserve"> </w:t>
            </w:r>
            <w:r w:rsidRPr="0022607C">
              <w:rPr>
                <w:rFonts w:asciiTheme="majorHAnsi" w:hAnsiTheme="majorHAnsi" w:cstheme="majorHAnsi"/>
                <w:i/>
                <w:iCs/>
                <w:color w:val="000000"/>
              </w:rPr>
              <w:t>in the lead-up to leverage things like field days, farmers markets or similar.”</w:t>
            </w:r>
          </w:p>
          <w:p w14:paraId="024D7506"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w:t>
            </w:r>
            <w:r w:rsidRPr="0022607C">
              <w:rPr>
                <w:rFonts w:asciiTheme="majorHAnsi" w:hAnsiTheme="majorHAnsi" w:cstheme="majorHAnsi"/>
                <w:b/>
                <w:i/>
                <w:iCs/>
              </w:rPr>
              <w:t>Start the process earlier</w:t>
            </w:r>
            <w:r w:rsidRPr="0022607C">
              <w:rPr>
                <w:rFonts w:asciiTheme="majorHAnsi" w:hAnsiTheme="majorHAnsi" w:cstheme="majorHAnsi"/>
                <w:color w:val="000000"/>
              </w:rPr>
              <w:t>”</w:t>
            </w:r>
          </w:p>
          <w:p w14:paraId="708F13AF"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w:t>
            </w:r>
            <w:r w:rsidRPr="0022607C">
              <w:rPr>
                <w:rFonts w:asciiTheme="majorHAnsi" w:hAnsiTheme="majorHAnsi" w:cstheme="majorHAnsi"/>
                <w:b/>
                <w:i/>
                <w:iCs/>
              </w:rPr>
              <w:t>Seek feedback</w:t>
            </w:r>
            <w:r w:rsidRPr="0022607C">
              <w:rPr>
                <w:rFonts w:asciiTheme="majorHAnsi" w:hAnsiTheme="majorHAnsi" w:cstheme="majorHAnsi"/>
                <w:i/>
                <w:iCs/>
              </w:rPr>
              <w:t xml:space="preserve"> </w:t>
            </w:r>
            <w:r w:rsidRPr="0022607C">
              <w:rPr>
                <w:rFonts w:asciiTheme="majorHAnsi" w:hAnsiTheme="majorHAnsi" w:cstheme="majorHAnsi"/>
                <w:i/>
                <w:iCs/>
                <w:color w:val="000000"/>
              </w:rPr>
              <w:t xml:space="preserve">on values etc </w:t>
            </w:r>
            <w:r w:rsidRPr="0022607C">
              <w:rPr>
                <w:rFonts w:asciiTheme="majorHAnsi" w:hAnsiTheme="majorHAnsi" w:cstheme="majorHAnsi"/>
                <w:b/>
                <w:i/>
                <w:iCs/>
              </w:rPr>
              <w:t>in the middle of the year</w:t>
            </w:r>
            <w:r w:rsidRPr="0022607C">
              <w:rPr>
                <w:rFonts w:asciiTheme="majorHAnsi" w:hAnsiTheme="majorHAnsi" w:cstheme="majorHAnsi"/>
                <w:i/>
                <w:iCs/>
              </w:rPr>
              <w:t xml:space="preserve"> </w:t>
            </w:r>
            <w:r w:rsidRPr="0022607C">
              <w:rPr>
                <w:rFonts w:asciiTheme="majorHAnsi" w:hAnsiTheme="majorHAnsi" w:cstheme="majorHAnsi"/>
                <w:i/>
                <w:iCs/>
                <w:color w:val="000000"/>
              </w:rPr>
              <w:t>so as to give us more time later to discuss options.”</w:t>
            </w:r>
          </w:p>
          <w:p w14:paraId="3BF31CBC"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rPr>
            </w:pPr>
            <w:r w:rsidRPr="0022607C">
              <w:rPr>
                <w:rFonts w:asciiTheme="majorHAnsi" w:hAnsiTheme="majorHAnsi" w:cstheme="majorHAnsi"/>
                <w:b/>
                <w:color w:val="000000"/>
              </w:rPr>
              <w:t>Continue to increase breadth and depth of engagement</w:t>
            </w:r>
          </w:p>
          <w:p w14:paraId="78A221F3"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“Try to </w:t>
            </w:r>
            <w:r w:rsidRPr="0022607C">
              <w:rPr>
                <w:rFonts w:asciiTheme="majorHAnsi" w:hAnsiTheme="majorHAnsi" w:cstheme="majorHAnsi"/>
                <w:b/>
                <w:i/>
                <w:iCs/>
              </w:rPr>
              <w:t>get out and about</w:t>
            </w:r>
            <w:r w:rsidRPr="0022607C">
              <w:rPr>
                <w:rFonts w:asciiTheme="majorHAnsi" w:hAnsiTheme="majorHAnsi" w:cstheme="majorHAnsi"/>
                <w:i/>
                <w:iCs/>
              </w:rPr>
              <w:t xml:space="preserve"> </w:t>
            </w:r>
            <w:r w:rsidRPr="0022607C">
              <w:rPr>
                <w:rFonts w:asciiTheme="majorHAnsi" w:hAnsiTheme="majorHAnsi" w:cstheme="majorHAnsi"/>
                <w:i/>
                <w:iCs/>
                <w:color w:val="000000"/>
              </w:rPr>
              <w:t>in the community a bit more.”</w:t>
            </w:r>
          </w:p>
          <w:p w14:paraId="7EFD5651"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“A bit </w:t>
            </w:r>
            <w:r w:rsidRPr="0022607C">
              <w:rPr>
                <w:rFonts w:asciiTheme="majorHAnsi" w:hAnsiTheme="majorHAnsi" w:cstheme="majorHAnsi"/>
                <w:b/>
                <w:i/>
                <w:iCs/>
              </w:rPr>
              <w:t>more time and focus on the BE holder</w:t>
            </w:r>
            <w:r w:rsidRPr="0022607C">
              <w:rPr>
                <w:rFonts w:asciiTheme="majorHAnsi" w:hAnsiTheme="majorHAnsi" w:cstheme="majorHAnsi"/>
                <w:i/>
                <w:iCs/>
                <w:color w:val="000000"/>
              </w:rPr>
              <w:t>s too – I think with our more focussed engagement approach throughout the period, next time will be a little different.”</w:t>
            </w:r>
          </w:p>
          <w:p w14:paraId="57E5691F"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“I would also </w:t>
            </w:r>
            <w:r w:rsidRPr="0022607C">
              <w:rPr>
                <w:rFonts w:asciiTheme="majorHAnsi" w:hAnsiTheme="majorHAnsi" w:cstheme="majorHAnsi"/>
                <w:b/>
                <w:i/>
                <w:iCs/>
              </w:rPr>
              <w:t>engage a bit more fulsomely</w:t>
            </w:r>
            <w:r w:rsidRPr="0022607C">
              <w:rPr>
                <w:rFonts w:asciiTheme="majorHAnsi" w:hAnsiTheme="majorHAnsi" w:cstheme="majorHAnsi"/>
                <w:i/>
                <w:iCs/>
                <w:color w:val="000000"/>
              </w:rPr>
              <w:t xml:space="preserve"> with our SLT, it has been pretty light touch for most and quite intense for others.”</w:t>
            </w:r>
          </w:p>
          <w:p w14:paraId="16FEA24E"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“Have </w:t>
            </w:r>
            <w:r w:rsidRPr="0022607C">
              <w:rPr>
                <w:rFonts w:asciiTheme="majorHAnsi" w:hAnsiTheme="majorHAnsi" w:cstheme="majorHAnsi"/>
                <w:b/>
                <w:i/>
                <w:iCs/>
              </w:rPr>
              <w:t>more conversations</w:t>
            </w:r>
            <w:r w:rsidRPr="0022607C">
              <w:rPr>
                <w:rFonts w:asciiTheme="majorHAnsi" w:hAnsiTheme="majorHAnsi" w:cstheme="majorHAnsi"/>
                <w:i/>
                <w:iCs/>
              </w:rPr>
              <w:t xml:space="preserve"> </w:t>
            </w:r>
            <w:r w:rsidRPr="0022607C">
              <w:rPr>
                <w:rFonts w:asciiTheme="majorHAnsi" w:hAnsiTheme="majorHAnsi" w:cstheme="majorHAnsi"/>
                <w:i/>
                <w:iCs/>
                <w:color w:val="000000"/>
              </w:rPr>
              <w:t>about willingness to pay, tariff options and trade offs.”</w:t>
            </w:r>
          </w:p>
          <w:p w14:paraId="41A54E39"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 xml:space="preserve">“Maybe a bit more time with the CRG </w:t>
            </w:r>
            <w:r w:rsidRPr="0022607C">
              <w:rPr>
                <w:rFonts w:asciiTheme="majorHAnsi" w:hAnsiTheme="majorHAnsi" w:cstheme="majorHAnsi"/>
                <w:b/>
                <w:i/>
                <w:iCs/>
              </w:rPr>
              <w:t>really testing ideas</w:t>
            </w:r>
            <w:r w:rsidRPr="0022607C">
              <w:rPr>
                <w:rFonts w:asciiTheme="majorHAnsi" w:hAnsiTheme="majorHAnsi" w:cstheme="majorHAnsi"/>
                <w:i/>
                <w:iCs/>
                <w:color w:val="000000"/>
              </w:rPr>
              <w:t>, but somewhat challenging with different customer groups.”</w:t>
            </w:r>
          </w:p>
          <w:p w14:paraId="7DB6A9E9"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b/>
                <w:color w:val="000000"/>
              </w:rPr>
              <w:t>Capitalise on knowledge gained from this Price Submission</w:t>
            </w:r>
          </w:p>
          <w:p w14:paraId="63A13B3D" w14:textId="77777777" w:rsidR="0022607C" w:rsidRPr="0022607C" w:rsidRDefault="0022607C" w:rsidP="00F459A2">
            <w:pPr>
              <w:numPr>
                <w:ilvl w:val="0"/>
                <w:numId w:val="73"/>
              </w:numPr>
              <w:snapToGrid w:val="0"/>
              <w:spacing w:before="120" w:after="120"/>
              <w:ind w:left="318"/>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i/>
                <w:iCs/>
                <w:color w:val="000000"/>
              </w:rPr>
            </w:pPr>
            <w:r w:rsidRPr="0022607C">
              <w:rPr>
                <w:rFonts w:asciiTheme="majorHAnsi" w:hAnsiTheme="majorHAnsi" w:cstheme="majorHAnsi"/>
                <w:i/>
                <w:iCs/>
                <w:color w:val="000000"/>
              </w:rPr>
              <w:t>“</w:t>
            </w:r>
            <w:r w:rsidRPr="0022607C">
              <w:rPr>
                <w:rFonts w:asciiTheme="majorHAnsi" w:hAnsiTheme="majorHAnsi" w:cstheme="majorHAnsi"/>
                <w:b/>
                <w:i/>
                <w:iCs/>
              </w:rPr>
              <w:t>Now that we have greater insight</w:t>
            </w:r>
            <w:r w:rsidRPr="0022607C">
              <w:rPr>
                <w:rFonts w:asciiTheme="majorHAnsi" w:hAnsiTheme="majorHAnsi" w:cstheme="majorHAnsi"/>
                <w:i/>
                <w:iCs/>
              </w:rPr>
              <w:t xml:space="preserve"> </w:t>
            </w:r>
            <w:r w:rsidRPr="0022607C">
              <w:rPr>
                <w:rFonts w:asciiTheme="majorHAnsi" w:hAnsiTheme="majorHAnsi" w:cstheme="majorHAnsi"/>
                <w:i/>
                <w:iCs/>
                <w:color w:val="000000"/>
              </w:rPr>
              <w:t>into what our customers respond to and what they want to interact with us, I’d focus our attention on those methods more.”</w:t>
            </w:r>
          </w:p>
        </w:tc>
      </w:tr>
      <w:tr w:rsidR="0022607C" w:rsidRPr="0022607C" w14:paraId="17EFAB88"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01B2B353" w14:textId="77777777" w:rsidR="0022607C" w:rsidRPr="0022607C" w:rsidRDefault="0022607C" w:rsidP="0022607C">
            <w:pPr>
              <w:spacing w:before="120" w:after="120"/>
              <w:rPr>
                <w:rFonts w:asciiTheme="majorHAnsi" w:eastAsia="HGPMinchoE" w:hAnsiTheme="majorHAnsi" w:cstheme="majorHAnsi"/>
                <w:bCs w:val="0"/>
                <w:sz w:val="21"/>
                <w:szCs w:val="24"/>
              </w:rPr>
            </w:pPr>
            <w:r w:rsidRPr="0022607C">
              <w:rPr>
                <w:rFonts w:asciiTheme="majorHAnsi" w:eastAsia="HGPMinchoE" w:hAnsiTheme="majorHAnsi" w:cstheme="majorHAnsi"/>
                <w:bCs w:val="0"/>
                <w:sz w:val="21"/>
                <w:szCs w:val="24"/>
              </w:rPr>
              <w:t>Achieved desired outcomes?</w:t>
            </w:r>
          </w:p>
        </w:tc>
        <w:tc>
          <w:tcPr>
            <w:tcW w:w="7333" w:type="dxa"/>
          </w:tcPr>
          <w:p w14:paraId="3F962B14"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color w:val="000000"/>
                <w:sz w:val="21"/>
                <w:szCs w:val="21"/>
              </w:rPr>
            </w:pPr>
            <w:r w:rsidRPr="0022607C">
              <w:rPr>
                <w:rFonts w:asciiTheme="majorHAnsi" w:hAnsiTheme="majorHAnsi" w:cstheme="majorHAnsi"/>
                <w:b/>
                <w:color w:val="000000"/>
                <w:sz w:val="21"/>
                <w:szCs w:val="21"/>
              </w:rPr>
              <w:t>Unanimously yes …</w:t>
            </w:r>
          </w:p>
          <w:p w14:paraId="7EFF7362"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“Yes, we went into this wanting to extend our reach, improve on our efforts in 2017 and test out new ways of engaging with customers (i.e. the Engagement Hub, using socials more) and we’ve done that.”</w:t>
            </w:r>
          </w:p>
          <w:p w14:paraId="28FA74A2"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“Yes, I think we have a good understanding of what our customers [want]. They are not uniform, there were differences of opinion, the challenge is how we cater for these differences.”</w:t>
            </w:r>
          </w:p>
          <w:p w14:paraId="2B593269"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sz w:val="21"/>
                <w:szCs w:val="24"/>
              </w:rPr>
            </w:pPr>
            <w:r w:rsidRPr="0022607C">
              <w:rPr>
                <w:rFonts w:asciiTheme="majorHAnsi" w:eastAsia="HGPMinchoE" w:hAnsiTheme="majorHAnsi" w:cstheme="majorHAnsi"/>
                <w:i/>
                <w:iCs/>
                <w:sz w:val="21"/>
                <w:szCs w:val="24"/>
              </w:rPr>
              <w:t>“Yes, we have managed to leverage existing committees and bolster further, we heard from a broader range of customers and have been able to tailor our submission to meet their expectations, in particular around drainage management and water quality in the west.”</w:t>
            </w:r>
          </w:p>
        </w:tc>
      </w:tr>
      <w:tr w:rsidR="0022607C" w:rsidRPr="0022607C" w14:paraId="4C6B2FC7" w14:textId="77777777" w:rsidTr="001A4A4E">
        <w:tc>
          <w:tcPr>
            <w:cnfStyle w:val="001000000000" w:firstRow="0" w:lastRow="0" w:firstColumn="1" w:lastColumn="0" w:oddVBand="0" w:evenVBand="0" w:oddHBand="0" w:evenHBand="0" w:firstRowFirstColumn="0" w:firstRowLastColumn="0" w:lastRowFirstColumn="0" w:lastRowLastColumn="0"/>
            <w:tcW w:w="2122" w:type="dxa"/>
          </w:tcPr>
          <w:p w14:paraId="60943B86" w14:textId="77777777" w:rsidR="0022607C" w:rsidRPr="0022607C" w:rsidRDefault="0022607C" w:rsidP="0022607C">
            <w:pPr>
              <w:spacing w:before="120" w:after="120"/>
              <w:jc w:val="both"/>
              <w:rPr>
                <w:rFonts w:asciiTheme="majorHAnsi" w:eastAsia="HGPMinchoE" w:hAnsiTheme="majorHAnsi" w:cstheme="majorHAnsi"/>
                <w:bCs w:val="0"/>
                <w:sz w:val="21"/>
                <w:szCs w:val="24"/>
              </w:rPr>
            </w:pPr>
            <w:r w:rsidRPr="0022607C">
              <w:rPr>
                <w:rFonts w:asciiTheme="majorHAnsi" w:eastAsia="HGPMinchoE" w:hAnsiTheme="majorHAnsi" w:cstheme="majorHAnsi"/>
                <w:bCs w:val="0"/>
                <w:sz w:val="21"/>
                <w:szCs w:val="24"/>
              </w:rPr>
              <w:t>Other feedback</w:t>
            </w:r>
          </w:p>
        </w:tc>
        <w:tc>
          <w:tcPr>
            <w:tcW w:w="7333" w:type="dxa"/>
          </w:tcPr>
          <w:p w14:paraId="31BC6995"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b/>
                <w:color w:val="000000"/>
                <w:sz w:val="21"/>
                <w:szCs w:val="24"/>
              </w:rPr>
            </w:pPr>
            <w:r w:rsidRPr="0022607C">
              <w:rPr>
                <w:rFonts w:asciiTheme="majorHAnsi" w:eastAsia="HGPMinchoE" w:hAnsiTheme="majorHAnsi" w:cstheme="majorHAnsi"/>
                <w:b/>
                <w:color w:val="000000"/>
                <w:sz w:val="21"/>
                <w:szCs w:val="24"/>
              </w:rPr>
              <w:t>The value of connections with customers</w:t>
            </w:r>
          </w:p>
          <w:p w14:paraId="242B542B"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“Ensuring that our program and approach is driven by our staff is so important to us, because </w:t>
            </w:r>
            <w:r w:rsidRPr="0022607C">
              <w:rPr>
                <w:rFonts w:asciiTheme="majorHAnsi" w:eastAsia="HGPMinchoE" w:hAnsiTheme="majorHAnsi" w:cstheme="majorHAnsi"/>
                <w:b/>
                <w:i/>
                <w:iCs/>
                <w:sz w:val="21"/>
                <w:szCs w:val="24"/>
              </w:rPr>
              <w:t xml:space="preserve">we value the connection we have built with our customers.” </w:t>
            </w:r>
          </w:p>
          <w:p w14:paraId="2D48C3B3"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“The members of the </w:t>
            </w:r>
            <w:r w:rsidRPr="0022607C">
              <w:rPr>
                <w:rFonts w:asciiTheme="majorHAnsi" w:eastAsia="HGPMinchoE" w:hAnsiTheme="majorHAnsi" w:cstheme="majorHAnsi"/>
                <w:b/>
                <w:i/>
                <w:iCs/>
                <w:sz w:val="21"/>
                <w:szCs w:val="24"/>
              </w:rPr>
              <w:t>CRG were such an invaluable source of knowledge and provided a great link to customers</w:t>
            </w:r>
            <w:r w:rsidRPr="0022607C">
              <w:rPr>
                <w:rFonts w:asciiTheme="majorHAnsi" w:eastAsia="HGPMinchoE" w:hAnsiTheme="majorHAnsi" w:cstheme="majorHAnsi"/>
                <w:i/>
                <w:iCs/>
                <w:sz w:val="21"/>
                <w:szCs w:val="24"/>
              </w:rPr>
              <w:t xml:space="preserve">.  They really went above and beyond the ask, and stepped up to </w:t>
            </w:r>
            <w:r w:rsidRPr="0022607C">
              <w:rPr>
                <w:rFonts w:asciiTheme="majorHAnsi" w:eastAsia="HGPMinchoE" w:hAnsiTheme="majorHAnsi" w:cstheme="majorHAnsi"/>
                <w:b/>
                <w:i/>
                <w:iCs/>
                <w:sz w:val="21"/>
                <w:szCs w:val="24"/>
              </w:rPr>
              <w:t>work alongside us in this process</w:t>
            </w:r>
            <w:r w:rsidRPr="0022607C">
              <w:rPr>
                <w:rFonts w:asciiTheme="majorHAnsi" w:eastAsia="HGPMinchoE" w:hAnsiTheme="majorHAnsi" w:cstheme="majorHAnsi"/>
                <w:i/>
                <w:iCs/>
                <w:sz w:val="21"/>
                <w:szCs w:val="24"/>
              </w:rPr>
              <w:t>, providing feedback, guidance, promoting our events and surveys etc.”</w:t>
            </w:r>
          </w:p>
          <w:p w14:paraId="5B8867D8"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b/>
                <w:color w:val="000000"/>
                <w:sz w:val="21"/>
                <w:szCs w:val="24"/>
              </w:rPr>
            </w:pPr>
            <w:r w:rsidRPr="0022607C">
              <w:rPr>
                <w:rFonts w:asciiTheme="majorHAnsi" w:eastAsia="HGPMinchoE" w:hAnsiTheme="majorHAnsi" w:cstheme="majorHAnsi"/>
                <w:b/>
                <w:color w:val="000000"/>
                <w:sz w:val="21"/>
                <w:szCs w:val="24"/>
              </w:rPr>
              <w:t>Teamwork</w:t>
            </w:r>
          </w:p>
          <w:p w14:paraId="1B049DB1"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“Working with the BC Team to really </w:t>
            </w:r>
            <w:r w:rsidRPr="0022607C">
              <w:rPr>
                <w:rFonts w:asciiTheme="majorHAnsi" w:eastAsia="HGPMinchoE" w:hAnsiTheme="majorHAnsi" w:cstheme="majorHAnsi"/>
                <w:b/>
                <w:i/>
                <w:iCs/>
                <w:sz w:val="21"/>
                <w:szCs w:val="24"/>
              </w:rPr>
              <w:t>enhance and challenge us was so beneficial</w:t>
            </w:r>
            <w:r w:rsidRPr="0022607C">
              <w:rPr>
                <w:rFonts w:asciiTheme="majorHAnsi" w:eastAsia="HGPMinchoE" w:hAnsiTheme="majorHAnsi" w:cstheme="majorHAnsi"/>
                <w:i/>
                <w:iCs/>
                <w:sz w:val="21"/>
                <w:szCs w:val="24"/>
              </w:rPr>
              <w:t>.”</w:t>
            </w:r>
          </w:p>
          <w:p w14:paraId="1B224913"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“Overall, I am really pleased with what we achieved. </w:t>
            </w:r>
            <w:r w:rsidRPr="0022607C">
              <w:rPr>
                <w:rFonts w:asciiTheme="majorHAnsi" w:eastAsia="HGPMinchoE" w:hAnsiTheme="majorHAnsi" w:cstheme="majorHAnsi"/>
                <w:b/>
                <w:i/>
                <w:iCs/>
                <w:sz w:val="21"/>
                <w:szCs w:val="24"/>
              </w:rPr>
              <w:t>The whole team, including BC Team really put in a lot of effort to get to our customers and provide information in a meaningful way</w:t>
            </w:r>
            <w:r w:rsidRPr="0022607C">
              <w:rPr>
                <w:rFonts w:asciiTheme="majorHAnsi" w:eastAsia="HGPMinchoE" w:hAnsiTheme="majorHAnsi" w:cstheme="majorHAnsi"/>
                <w:i/>
                <w:iCs/>
                <w:sz w:val="21"/>
                <w:szCs w:val="24"/>
              </w:rPr>
              <w:t>.”</w:t>
            </w:r>
          </w:p>
          <w:p w14:paraId="0D5A131B"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b/>
                <w:sz w:val="21"/>
                <w:szCs w:val="24"/>
              </w:rPr>
            </w:pPr>
            <w:r w:rsidRPr="0022607C">
              <w:rPr>
                <w:rFonts w:asciiTheme="majorHAnsi" w:eastAsia="HGPMinchoE" w:hAnsiTheme="majorHAnsi" w:cstheme="majorHAnsi"/>
                <w:b/>
                <w:sz w:val="21"/>
                <w:szCs w:val="24"/>
              </w:rPr>
              <w:t>Leveraging opportunities to engage</w:t>
            </w:r>
          </w:p>
          <w:p w14:paraId="539BA4EF"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“In addition to starting the process earlier, </w:t>
            </w:r>
            <w:r w:rsidRPr="0022607C">
              <w:rPr>
                <w:rFonts w:asciiTheme="majorHAnsi" w:eastAsia="HGPMinchoE" w:hAnsiTheme="majorHAnsi" w:cstheme="majorHAnsi"/>
                <w:b/>
                <w:i/>
                <w:iCs/>
                <w:sz w:val="21"/>
                <w:szCs w:val="24"/>
              </w:rPr>
              <w:t>look for opportunities to leverage more off other initiatives</w:t>
            </w:r>
            <w:r w:rsidRPr="0022607C">
              <w:rPr>
                <w:rFonts w:asciiTheme="majorHAnsi" w:eastAsia="HGPMinchoE" w:hAnsiTheme="majorHAnsi" w:cstheme="majorHAnsi"/>
                <w:i/>
                <w:iCs/>
                <w:sz w:val="21"/>
                <w:szCs w:val="24"/>
              </w:rPr>
              <w:t xml:space="preserve"> (e.g. CCC/forum, customer survey, field events etc).”</w:t>
            </w:r>
          </w:p>
          <w:p w14:paraId="15135286"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“COVID and the tyranny of distance were challenging but I think </w:t>
            </w:r>
            <w:r w:rsidRPr="0022607C">
              <w:rPr>
                <w:rFonts w:asciiTheme="majorHAnsi" w:eastAsia="HGPMinchoE" w:hAnsiTheme="majorHAnsi" w:cstheme="majorHAnsi"/>
                <w:b/>
                <w:i/>
                <w:iCs/>
                <w:sz w:val="21"/>
                <w:szCs w:val="24"/>
              </w:rPr>
              <w:t>our approach actually provided a lot more opportunities for customers to have been involved than if we had adopted a more face to face approach</w:t>
            </w:r>
            <w:r w:rsidRPr="0022607C">
              <w:rPr>
                <w:rFonts w:asciiTheme="majorHAnsi" w:eastAsia="HGPMinchoE" w:hAnsiTheme="majorHAnsi" w:cstheme="majorHAnsi"/>
                <w:i/>
                <w:iCs/>
                <w:sz w:val="21"/>
                <w:szCs w:val="24"/>
              </w:rPr>
              <w:t>.”</w:t>
            </w:r>
          </w:p>
          <w:p w14:paraId="21518F29"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“Our </w:t>
            </w:r>
            <w:r w:rsidRPr="0022607C">
              <w:rPr>
                <w:rFonts w:asciiTheme="majorHAnsi" w:eastAsia="HGPMinchoE" w:hAnsiTheme="majorHAnsi" w:cstheme="majorHAnsi"/>
                <w:b/>
                <w:i/>
                <w:iCs/>
                <w:sz w:val="21"/>
                <w:szCs w:val="24"/>
              </w:rPr>
              <w:t>customers are changing and are more used to technology – we should recognise this next time</w:t>
            </w:r>
            <w:r w:rsidRPr="0022607C">
              <w:rPr>
                <w:rFonts w:asciiTheme="majorHAnsi" w:eastAsia="HGPMinchoE" w:hAnsiTheme="majorHAnsi" w:cstheme="majorHAnsi"/>
                <w:i/>
                <w:iCs/>
                <w:sz w:val="21"/>
                <w:szCs w:val="24"/>
              </w:rPr>
              <w:t>.”</w:t>
            </w:r>
          </w:p>
          <w:p w14:paraId="50EDDF60"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b/>
                <w:color w:val="000000"/>
                <w:sz w:val="21"/>
                <w:szCs w:val="24"/>
              </w:rPr>
            </w:pPr>
            <w:r w:rsidRPr="0022607C">
              <w:rPr>
                <w:rFonts w:asciiTheme="majorHAnsi" w:eastAsia="HGPMinchoE" w:hAnsiTheme="majorHAnsi" w:cstheme="majorHAnsi"/>
                <w:b/>
                <w:color w:val="000000"/>
                <w:sz w:val="21"/>
                <w:szCs w:val="24"/>
              </w:rPr>
              <w:t>Need to continue engaging with customers</w:t>
            </w:r>
          </w:p>
          <w:p w14:paraId="509F4AA7"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i/>
                <w:iCs/>
                <w:sz w:val="21"/>
                <w:szCs w:val="24"/>
              </w:rPr>
            </w:pPr>
            <w:r w:rsidRPr="0022607C">
              <w:rPr>
                <w:rFonts w:asciiTheme="majorHAnsi" w:eastAsia="HGPMinchoE" w:hAnsiTheme="majorHAnsi" w:cstheme="majorHAnsi"/>
                <w:i/>
                <w:iCs/>
                <w:sz w:val="21"/>
                <w:szCs w:val="24"/>
              </w:rPr>
              <w:t xml:space="preserve">“Our engagement uncovered a few ‘niggles’, highlighting that </w:t>
            </w:r>
            <w:r w:rsidRPr="0022607C">
              <w:rPr>
                <w:rFonts w:asciiTheme="majorHAnsi" w:eastAsia="HGPMinchoE" w:hAnsiTheme="majorHAnsi" w:cstheme="majorHAnsi"/>
                <w:b/>
                <w:i/>
                <w:iCs/>
                <w:sz w:val="21"/>
                <w:szCs w:val="24"/>
              </w:rPr>
              <w:t>we need to listen and communicate with our customers on a more ongoing basis</w:t>
            </w:r>
            <w:r w:rsidRPr="0022607C">
              <w:rPr>
                <w:rFonts w:asciiTheme="majorHAnsi" w:eastAsia="HGPMinchoE" w:hAnsiTheme="majorHAnsi" w:cstheme="majorHAnsi"/>
                <w:i/>
                <w:iCs/>
                <w:sz w:val="21"/>
                <w:szCs w:val="24"/>
              </w:rPr>
              <w:t xml:space="preserve">. It also highlighted that many customers do not know what we do, can do and can’t do and in this context questioned why they should be ‘paying for water’.  Maybe </w:t>
            </w:r>
            <w:r w:rsidRPr="0022607C">
              <w:rPr>
                <w:rFonts w:asciiTheme="majorHAnsi" w:eastAsia="HGPMinchoE" w:hAnsiTheme="majorHAnsi" w:cstheme="majorHAnsi"/>
                <w:b/>
                <w:i/>
                <w:iCs/>
                <w:sz w:val="21"/>
                <w:szCs w:val="24"/>
              </w:rPr>
              <w:t>we need to invest more in discussing with our customers what we do</w:t>
            </w:r>
            <w:r w:rsidRPr="0022607C">
              <w:rPr>
                <w:rFonts w:asciiTheme="majorHAnsi" w:eastAsia="HGPMinchoE" w:hAnsiTheme="majorHAnsi" w:cstheme="majorHAnsi"/>
                <w:i/>
                <w:iCs/>
                <w:sz w:val="21"/>
                <w:szCs w:val="24"/>
              </w:rPr>
              <w:t>?”</w:t>
            </w:r>
          </w:p>
          <w:p w14:paraId="09FFCE46" w14:textId="77777777" w:rsidR="0022607C" w:rsidRPr="0022607C" w:rsidRDefault="0022607C" w:rsidP="0022607C">
            <w:pPr>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b/>
                <w:sz w:val="21"/>
                <w:szCs w:val="24"/>
              </w:rPr>
            </w:pPr>
            <w:r w:rsidRPr="0022607C">
              <w:rPr>
                <w:rFonts w:asciiTheme="majorHAnsi" w:eastAsia="HGPMinchoE" w:hAnsiTheme="majorHAnsi" w:cstheme="majorHAnsi"/>
                <w:b/>
                <w:sz w:val="21"/>
                <w:szCs w:val="24"/>
              </w:rPr>
              <w:t>Sense of achievement</w:t>
            </w:r>
          </w:p>
          <w:p w14:paraId="35991298" w14:textId="77777777" w:rsidR="0022607C" w:rsidRPr="0022607C" w:rsidRDefault="0022607C" w:rsidP="00F459A2">
            <w:pPr>
              <w:numPr>
                <w:ilvl w:val="0"/>
                <w:numId w:val="73"/>
              </w:numPr>
              <w:snapToGrid w:val="0"/>
              <w:spacing w:before="120" w:after="120"/>
              <w:jc w:val="both"/>
              <w:cnfStyle w:val="000000000000" w:firstRow="0" w:lastRow="0" w:firstColumn="0" w:lastColumn="0" w:oddVBand="0" w:evenVBand="0" w:oddHBand="0" w:evenHBand="0" w:firstRowFirstColumn="0" w:firstRowLastColumn="0" w:lastRowFirstColumn="0" w:lastRowLastColumn="0"/>
              <w:rPr>
                <w:rFonts w:asciiTheme="majorHAnsi" w:eastAsia="HGPMinchoE" w:hAnsiTheme="majorHAnsi" w:cstheme="majorHAnsi"/>
                <w:sz w:val="21"/>
                <w:szCs w:val="24"/>
              </w:rPr>
            </w:pPr>
            <w:r w:rsidRPr="0022607C">
              <w:rPr>
                <w:rFonts w:asciiTheme="majorHAnsi" w:eastAsia="HGPMinchoE" w:hAnsiTheme="majorHAnsi" w:cstheme="majorHAnsi"/>
                <w:i/>
                <w:iCs/>
                <w:sz w:val="21"/>
                <w:szCs w:val="24"/>
              </w:rPr>
              <w:t>“We can also look at what more we could have done, but if I go back to this time last year, I’m not sure I would have thought we’d get to this position!”</w:t>
            </w:r>
          </w:p>
        </w:tc>
      </w:tr>
    </w:tbl>
    <w:p w14:paraId="4714C7F9" w14:textId="77777777" w:rsidR="0022607C" w:rsidRPr="0022607C" w:rsidRDefault="0022607C" w:rsidP="0022607C">
      <w:pPr>
        <w:keepNext/>
        <w:numPr>
          <w:ilvl w:val="1"/>
          <w:numId w:val="0"/>
        </w:numPr>
        <w:tabs>
          <w:tab w:val="left" w:pos="709"/>
        </w:tabs>
        <w:spacing w:before="240" w:after="120" w:line="240" w:lineRule="auto"/>
        <w:ind w:left="567" w:hanging="576"/>
        <w:outlineLvl w:val="1"/>
        <w:rPr>
          <w:rFonts w:asciiTheme="majorHAnsi" w:eastAsia="HGPMinchoE" w:hAnsiTheme="majorHAnsi" w:cstheme="majorHAnsi"/>
          <w:b/>
          <w:iCs/>
          <w:color w:val="0070C0"/>
          <w:kern w:val="32"/>
          <w:sz w:val="24"/>
          <w:szCs w:val="28"/>
          <w:lang w:eastAsia="en-AU"/>
        </w:rPr>
      </w:pPr>
      <w:bookmarkStart w:id="156" w:name="_Toc111731060"/>
      <w:r w:rsidRPr="0022607C">
        <w:rPr>
          <w:rFonts w:asciiTheme="majorHAnsi" w:eastAsia="HGPMinchoE" w:hAnsiTheme="majorHAnsi" w:cstheme="majorHAnsi"/>
          <w:b/>
          <w:iCs/>
          <w:color w:val="0070C0"/>
          <w:kern w:val="32"/>
          <w:sz w:val="24"/>
          <w:szCs w:val="28"/>
          <w:lang w:eastAsia="en-AU"/>
        </w:rPr>
        <w:t>Feedback from BC Team</w:t>
      </w:r>
      <w:bookmarkEnd w:id="156"/>
    </w:p>
    <w:p w14:paraId="03487DC4"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Independent of SRW, the BC Team met to discuss their views of SRW’s PS2023 engagement and we offer the following reflections:</w:t>
      </w:r>
    </w:p>
    <w:p w14:paraId="0F0D87AC"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Planning</w:t>
      </w:r>
    </w:p>
    <w:p w14:paraId="151A7F32"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 xml:space="preserve">A strength of SRW’s PS2023 approach has been its early development of an engagement framework which framed its approach.  From our perspective the framework, followed by shared planning of engagement activities resulted in: </w:t>
      </w:r>
    </w:p>
    <w:p w14:paraId="348E6400"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Strong early engagement with the CRG</w:t>
      </w:r>
    </w:p>
    <w:p w14:paraId="559F2EBD"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SRW’s engagement adhering to its originally proposed schedule</w:t>
      </w:r>
    </w:p>
    <w:p w14:paraId="56D0E139"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Resourcing and budget</w:t>
      </w:r>
    </w:p>
    <w:p w14:paraId="265D3C5F"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 was constrained to a relatively modest budget for its price submission and we support prudent use of budget for such purposes</w:t>
      </w:r>
    </w:p>
    <w:p w14:paraId="61E1DB3B"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 xml:space="preserve">However, budget limitations impacted the methods that could be used to engage with SRW’s broader customer base in Phase 1 and Phase 3, limiting the choice of data collection methods to online surveys.  </w:t>
      </w:r>
    </w:p>
    <w:p w14:paraId="30A454A8"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Response rates to online surveys are generally quite low (less than 5% of those who are invited to participate), although an incentive can make a difference.</w:t>
      </w:r>
      <w:r w:rsidRPr="0022607C">
        <w:rPr>
          <w:rFonts w:asciiTheme="majorHAnsi" w:eastAsia="HGPMinchoE" w:hAnsiTheme="majorHAnsi" w:cstheme="majorHAnsi"/>
          <w:sz w:val="21"/>
          <w:szCs w:val="24"/>
          <w:vertAlign w:val="superscript"/>
          <w:lang w:eastAsia="en-AU"/>
        </w:rPr>
        <w:footnoteReference w:id="28"/>
      </w:r>
      <w:r w:rsidRPr="0022607C">
        <w:rPr>
          <w:rFonts w:asciiTheme="majorHAnsi" w:eastAsia="HGPMinchoE" w:hAnsiTheme="majorHAnsi" w:cstheme="majorHAnsi"/>
          <w:sz w:val="21"/>
          <w:szCs w:val="24"/>
          <w:lang w:eastAsia="en-AU"/>
        </w:rPr>
        <w:t xml:space="preserve"> </w:t>
      </w:r>
    </w:p>
    <w:p w14:paraId="2B506BED"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did explore the idea of coordinating the PS2023 customer surveys with SRW’s biennial customer satisfaction survey in which customers are interviewed by phone.</w:t>
      </w:r>
    </w:p>
    <w:p w14:paraId="47493418"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Phone surveys generally have a much higher response rate than online surveys and we would have liked to either append some core questions to the survey or with the customer’s permission collect their contact details to later invite them to participate in PS2023 surveys.</w:t>
      </w:r>
    </w:p>
    <w:p w14:paraId="5E60641E"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 therefore needs to consider these factors in any planning its engagement for future price submissions.</w:t>
      </w:r>
    </w:p>
    <w:p w14:paraId="32EDC637"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Engagement Hub</w:t>
      </w:r>
    </w:p>
    <w:p w14:paraId="66D9F45C"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While the Engagement Hub had significant potential to be used as an interactive engagement tool, its main use in relation to PS2023 was as an information tool.</w:t>
      </w:r>
    </w:p>
    <w:p w14:paraId="52805918"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As an information platform, information could be easily and quickly changed when needed.</w:t>
      </w:r>
    </w:p>
    <w:p w14:paraId="20E6C83C"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As mentioned in Section 4.5, the Engagement Hub has potential as an information source, given the number of page views and the reasonable number of unique visitors.  However, the statistics suggest that visitors are reluctant to register or engage further.</w:t>
      </w:r>
    </w:p>
    <w:p w14:paraId="509C6975"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do not think SRW should give up on an Engagement Hub just because of these statistics; for example, it may have significant value on a small projects in which customers have a strong vested interest to contribute.  However, we believe engagement should occur on customers’ terms, and for an Engagement Hub to truly succeed in its aim customers must have a genuine desire to engage with it beyond being a source of information.</w:t>
      </w:r>
    </w:p>
    <w:p w14:paraId="1B86882B"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If SRW chooses to make more use of the Engagement Hub in the future, we suggest the following:</w:t>
      </w:r>
    </w:p>
    <w:p w14:paraId="1322AB39"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Whilst the Engagement Hub site layout appeared functional and attractive to us, future use of the site would benefit from user feedback from users to assess its functionality from their perspective.</w:t>
      </w:r>
    </w:p>
    <w:p w14:paraId="340F55C4"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1"/>
          <w:lang w:eastAsia="en-AU"/>
        </w:rPr>
      </w:pPr>
      <w:r w:rsidRPr="0022607C">
        <w:rPr>
          <w:rFonts w:asciiTheme="majorHAnsi" w:eastAsia="HGPMinchoE" w:hAnsiTheme="majorHAnsi" w:cstheme="majorHAnsi"/>
          <w:sz w:val="21"/>
          <w:szCs w:val="21"/>
          <w:lang w:eastAsia="en-AU"/>
        </w:rPr>
        <w:t xml:space="preserve">Giving the Engagement Hub a greater strategic focus, e.g. by involving </w:t>
      </w:r>
      <w:r w:rsidRPr="0022607C">
        <w:rPr>
          <w:rFonts w:asciiTheme="majorHAnsi" w:eastAsia="Times New Roman" w:hAnsiTheme="majorHAnsi" w:cstheme="majorHAnsi"/>
          <w:color w:val="000000"/>
          <w:sz w:val="21"/>
          <w:szCs w:val="21"/>
          <w:lang w:eastAsia="en-GB"/>
        </w:rPr>
        <w:t>communications decision-makers and project teams from the outset to develop direction for use of the Engagement Hub as an integral component of project communications and engagement.</w:t>
      </w:r>
    </w:p>
    <w:p w14:paraId="4B5A128D"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Greater internal and external promotion of the platform to encourage people to visit it and register, for instance increased mention of the Engagement Hub on SRW’s social media.  We note SRW only posted on five occasions in the eight-month duration of the engagement.  We suggest social posts should have been a minimum of once a week on PS2023 with links to drive customers to the Engagement Hub.  Additionally, SRW could increase promotion of the Engagement Hub on its website, on bills, field days, events, word of mouth, etc.</w:t>
      </w:r>
    </w:p>
    <w:p w14:paraId="59867699"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 should allow more lead time between promotion of events and when they were scheduled to maximise opportunities to increase attendance.</w:t>
      </w:r>
    </w:p>
    <w:p w14:paraId="1680C172"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CRG</w:t>
      </w:r>
    </w:p>
    <w:p w14:paraId="648A0189" w14:textId="77777777" w:rsidR="0022607C" w:rsidRPr="0022607C" w:rsidRDefault="0022607C" w:rsidP="0022607C">
      <w:pPr>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Formation and composition of the CRG, for future CRGs</w:t>
      </w:r>
    </w:p>
    <w:p w14:paraId="1D69DDC8"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Is this the best engagement model for SRW? SRW should explore other engagement models (e.g. consider other water corporations’ approaches) to help it evaluate the suitability of its current approach.</w:t>
      </w:r>
    </w:p>
    <w:p w14:paraId="016E028C"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If SRW was to proceed with a reference group model for its next price submission it should recruit more widely, to ensure “a reasonable customer perspective” is maintained to counterbalance the perspectives of those who know the business well.</w:t>
      </w:r>
    </w:p>
    <w:p w14:paraId="746473DF"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have observed through our broader work increasing engagement fatigue (with many organisations seeking participants to engage on a range of issues sometimes asking too much or asking too often).  We are not criticising SRW for this but note it as a general issue that is adding to the challenge of recruiting people to participate in meaningful engagement activities.  To some extent this issue is addressed through appropriate remuneration</w:t>
      </w:r>
      <w:r w:rsidRPr="0022607C">
        <w:rPr>
          <w:rFonts w:asciiTheme="majorHAnsi" w:eastAsia="HGPMinchoE" w:hAnsiTheme="majorHAnsi" w:cstheme="majorHAnsi"/>
          <w:sz w:val="21"/>
          <w:szCs w:val="24"/>
          <w:vertAlign w:val="superscript"/>
          <w:lang w:eastAsia="en-AU"/>
        </w:rPr>
        <w:footnoteReference w:id="29"/>
      </w:r>
      <w:r w:rsidRPr="0022607C">
        <w:rPr>
          <w:rFonts w:asciiTheme="majorHAnsi" w:eastAsia="HGPMinchoE" w:hAnsiTheme="majorHAnsi" w:cstheme="majorHAnsi"/>
          <w:sz w:val="21"/>
          <w:szCs w:val="24"/>
          <w:lang w:eastAsia="en-AU"/>
        </w:rPr>
        <w:t xml:space="preserve"> and demonstrating value, but community capacity building is perhaps more important - increasing the pool of interested customers.</w:t>
      </w:r>
    </w:p>
    <w:p w14:paraId="4CBE2900" w14:textId="77777777" w:rsidR="0022607C" w:rsidRPr="0022607C" w:rsidRDefault="0022607C" w:rsidP="0022607C">
      <w:pPr>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CRG meeting arrangements</w:t>
      </w:r>
    </w:p>
    <w:p w14:paraId="3637B519"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question whether engagement could have been stronger if the CRG had been able to meet face to face.  However, we acknowledge the constraints of COVID particularly in 2021 and the challenge of bringing together a geographically dispersed group.</w:t>
      </w:r>
    </w:p>
    <w:p w14:paraId="122B6098"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If SRW was to adopt a similar model in the future, it could consider a hybrid approach, alternating the location of face-to-face meetings across its region and allowing those who live too far away to join remotely.</w:t>
      </w:r>
    </w:p>
    <w:p w14:paraId="252558E6" w14:textId="77777777" w:rsidR="0022607C" w:rsidRPr="0022607C" w:rsidRDefault="0022607C" w:rsidP="0022607C">
      <w:pPr>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SRW - CRG engagement</w:t>
      </w:r>
    </w:p>
    <w:p w14:paraId="24D03371"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SRW’s commitment to the CRG was strong and evident in:</w:t>
      </w:r>
    </w:p>
    <w:p w14:paraId="62523F41"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The MD’s attendance at key stages such as welcoming the group at the first meeting and thanking them at the end</w:t>
      </w:r>
    </w:p>
    <w:p w14:paraId="08518C37"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 xml:space="preserve">Senior management and SRW’s pricing specialist attended all meetings where they were required and we commend them for genuinely listening to the group, in contrast to other organisations’ engagement activities (outside the water sector) where we have observed management talking </w:t>
      </w:r>
      <w:r w:rsidRPr="0022607C">
        <w:rPr>
          <w:rFonts w:asciiTheme="majorHAnsi" w:eastAsia="HGPMinchoE" w:hAnsiTheme="majorHAnsi" w:cstheme="majorHAnsi"/>
          <w:i/>
          <w:iCs/>
          <w:sz w:val="21"/>
          <w:szCs w:val="24"/>
          <w:lang w:eastAsia="en-AU"/>
        </w:rPr>
        <w:t>at</w:t>
      </w:r>
      <w:r w:rsidRPr="0022607C">
        <w:rPr>
          <w:rFonts w:asciiTheme="majorHAnsi" w:eastAsia="HGPMinchoE" w:hAnsiTheme="majorHAnsi" w:cstheme="majorHAnsi"/>
          <w:sz w:val="21"/>
          <w:szCs w:val="24"/>
          <w:lang w:eastAsia="en-AU"/>
        </w:rPr>
        <w:t xml:space="preserve"> stakeholders in the belief they are genuinely engaging</w:t>
      </w:r>
    </w:p>
    <w:p w14:paraId="3B7CC72A"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Timely provision of meeting agendas and other information</w:t>
      </w:r>
    </w:p>
    <w:p w14:paraId="3CF15E0A"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Responsiveness to CRG members’ questions</w:t>
      </w:r>
    </w:p>
    <w:p w14:paraId="12B17FED"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Maintaining contact with CRG members between meetings and allowing proxies to attend as requested</w:t>
      </w:r>
    </w:p>
    <w:p w14:paraId="3E8555DA"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Adapting the agenda after Meeting 1 feedback that CRG members wanted a better balance between being informed and providing input to SRW’s PS2023</w:t>
      </w:r>
    </w:p>
    <w:p w14:paraId="1C3B7339"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We commend SRW on its acknowledgement of the need to convey sometimes complex information in an easy-to-understand customer friendly format.  SRW clearly demonstrated this to us in the evolution of its four pricing fact sheets which it initially presented to us as relatively technical documents, but through collaboration they became clear and easy to follow fact sheets for customers.  SRW also adapted this information to present as videos which allowed for different ways to consume the content</w:t>
      </w:r>
    </w:p>
    <w:p w14:paraId="2FC0222E"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The evolution of SRW’s PS2023 which is consistent with CRG feedback</w:t>
      </w:r>
    </w:p>
    <w:p w14:paraId="14EF6577"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BC Team and SRW working relationship</w:t>
      </w:r>
    </w:p>
    <w:p w14:paraId="3F144BF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Members of the BC Team agree it has been a pleasure to work with SRW on its PS2023:</w:t>
      </w:r>
    </w:p>
    <w:p w14:paraId="08B406E0"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We feel there is a </w:t>
      </w:r>
      <w:r w:rsidRPr="0022607C">
        <w:rPr>
          <w:rFonts w:asciiTheme="majorHAnsi" w:eastAsia="HGPMinchoE" w:hAnsiTheme="majorHAnsi" w:cstheme="majorHAnsi"/>
          <w:sz w:val="21"/>
          <w:szCs w:val="24"/>
          <w:lang w:eastAsia="en-AU"/>
        </w:rPr>
        <w:t>lot of trust and mutual respect between our team and SRW’s PS2023 team. This allowed for critical thinking and constructive discussions to occur in a supportive space which ultimately improved the engagement</w:t>
      </w:r>
    </w:p>
    <w:p w14:paraId="7D786A4E"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Each person’s role is well defined, and each member of the team has brought different skills and experiences to SRW’s PS2023 engagement, and we feel these skills have been valued by SRW</w:t>
      </w:r>
    </w:p>
    <w:p w14:paraId="0F93359D"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The two teams have met regularly online (on average fortnightly) since August 2021. We have set agendas and minutes are taken. The meeting atmosphere at all times has been professional yet warm and friendly</w:t>
      </w:r>
    </w:p>
    <w:p w14:paraId="1D7C8481" w14:textId="77777777" w:rsidR="0022607C" w:rsidRPr="0022607C" w:rsidRDefault="0022607C" w:rsidP="00F459A2">
      <w:pPr>
        <w:numPr>
          <w:ilvl w:val="0"/>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SRW arranged an online space for document sharing, which worked well as a resource library</w:t>
      </w:r>
    </w:p>
    <w:p w14:paraId="4CF412BE" w14:textId="77777777" w:rsidR="0022607C" w:rsidRPr="0022607C" w:rsidRDefault="0022607C" w:rsidP="00F459A2">
      <w:pPr>
        <w:numPr>
          <w:ilvl w:val="1"/>
          <w:numId w:val="68"/>
        </w:numPr>
        <w:snapToGrid w:val="0"/>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 xml:space="preserve">However, we made limited use of the shared space for working on documents, as we found it more efficient to work offline, or collaborate through Zoom </w:t>
      </w:r>
    </w:p>
    <w:p w14:paraId="4A7FE09C" w14:textId="77777777" w:rsidR="0022607C" w:rsidRPr="0022607C" w:rsidRDefault="0022607C" w:rsidP="00F459A2">
      <w:pPr>
        <w:numPr>
          <w:ilvl w:val="0"/>
          <w:numId w:val="69"/>
        </w:numPr>
        <w:snapToGrid w:val="0"/>
        <w:spacing w:before="120" w:after="120" w:line="240" w:lineRule="auto"/>
        <w:jc w:val="both"/>
        <w:rPr>
          <w:rFonts w:asciiTheme="majorHAnsi" w:eastAsia="HGPMinchoE" w:hAnsiTheme="majorHAnsi" w:cstheme="majorHAnsi"/>
          <w:b/>
          <w:bCs/>
          <w:color w:val="0070C0"/>
          <w:sz w:val="21"/>
          <w:szCs w:val="24"/>
          <w:lang w:eastAsia="en-AU"/>
        </w:rPr>
      </w:pPr>
      <w:r w:rsidRPr="0022607C">
        <w:rPr>
          <w:rFonts w:asciiTheme="majorHAnsi" w:eastAsia="HGPMinchoE" w:hAnsiTheme="majorHAnsi" w:cstheme="majorHAnsi"/>
          <w:b/>
          <w:bCs/>
          <w:color w:val="0070C0"/>
          <w:sz w:val="21"/>
          <w:szCs w:val="24"/>
          <w:lang w:eastAsia="en-AU"/>
        </w:rPr>
        <w:t>Streamlining engagement</w:t>
      </w:r>
    </w:p>
    <w:p w14:paraId="26D8957E"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Most Victorian water corporations undertake significant customer and stakeholder engagement to develop their Price Submissions.  Some consumer advocates, such as those representing customers experiencing vulnerability and some Traditional Owner groups are being asked to contribute to multiple Price Submissions.  Energy distributors also seek input from the same consumer representatives and stakeholder groups to inform their electricity distribution and gas access arrangement price reviews.  These demands place considerable financial pressure on their organisations’ resources and contribute to growing fatigue among consumer representatives and stakeholders.</w:t>
      </w:r>
    </w:p>
    <w:p w14:paraId="5DEBCDED"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For example, the RFCS was not able to resource a position on SRW’s SRG, yet they were happy to participate in in a shared interview to provide simultaneous feedback to South Gippsland Water and SRW.  This interview included a discussion on vulnerabilities in the South Gippsland region, issues affecting RFCS clients and how water corporations could better support customers experiencing vulnerability.[1]</w:t>
      </w:r>
    </w:p>
    <w:p w14:paraId="3A47DE0E"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lang w:eastAsia="en-AU"/>
        </w:rPr>
      </w:pPr>
      <w:r w:rsidRPr="0022607C">
        <w:rPr>
          <w:rFonts w:asciiTheme="majorHAnsi" w:eastAsia="HGPMinchoE" w:hAnsiTheme="majorHAnsi" w:cstheme="majorHAnsi"/>
          <w:sz w:val="21"/>
          <w:szCs w:val="24"/>
          <w:lang w:eastAsia="en-AU"/>
        </w:rPr>
        <w:t>Similarly, Catchment Management Authorities commonly have regular interaction with Traditional Owners and may be able to assist water corporations in their engagement with Traditional Owners.  Traditional Owners may also have an interest across more than one water corporation’s region and be more willing to engage by providing broad feedback that applies to multiple water corporations.</w:t>
      </w:r>
    </w:p>
    <w:p w14:paraId="721E9A92" w14:textId="77777777" w:rsidR="0022607C" w:rsidRPr="0022607C" w:rsidRDefault="0022607C" w:rsidP="0022607C">
      <w:pPr>
        <w:spacing w:before="120" w:after="120" w:line="240" w:lineRule="auto"/>
        <w:jc w:val="both"/>
        <w:rPr>
          <w:rFonts w:asciiTheme="majorHAnsi" w:eastAsia="HGPMinchoE" w:hAnsiTheme="majorHAnsi" w:cstheme="majorHAnsi"/>
          <w:sz w:val="21"/>
          <w:szCs w:val="24"/>
          <w:highlight w:val="lightGray"/>
          <w:lang w:eastAsia="en-AU"/>
        </w:rPr>
      </w:pPr>
      <w:r w:rsidRPr="0022607C">
        <w:rPr>
          <w:rFonts w:asciiTheme="majorHAnsi" w:eastAsia="HGPMinchoE" w:hAnsiTheme="majorHAnsi" w:cstheme="majorHAnsi"/>
          <w:sz w:val="21"/>
          <w:szCs w:val="24"/>
          <w:lang w:eastAsia="en-AU"/>
        </w:rPr>
        <w:t>To reduce the engagement burden on consumer representatives and stakeholders, we suggest water corporations need to work closely in planning their engagement and where possible collaborate to obtain feedback, and on the stakeholder’s own terms.</w:t>
      </w:r>
    </w:p>
    <w:p w14:paraId="1B1CCAED" w14:textId="77777777" w:rsidR="0022607C" w:rsidRPr="0022607C" w:rsidRDefault="0022607C" w:rsidP="0022607C">
      <w:pPr>
        <w:keepNext/>
        <w:keepLines/>
        <w:pageBreakBefore/>
        <w:spacing w:before="240" w:after="240" w:line="240" w:lineRule="auto"/>
        <w:outlineLvl w:val="0"/>
        <w:rPr>
          <w:rFonts w:asciiTheme="majorHAnsi" w:eastAsia="Times New Roman" w:hAnsiTheme="majorHAnsi" w:cstheme="majorHAnsi"/>
          <w:b/>
          <w:bCs/>
          <w:snapToGrid w:val="0"/>
          <w:color w:val="0070C0"/>
          <w:kern w:val="32"/>
          <w:sz w:val="28"/>
          <w:szCs w:val="32"/>
          <w:lang w:val="en-US" w:eastAsia="en-AU"/>
        </w:rPr>
      </w:pPr>
      <w:bookmarkStart w:id="157" w:name="_Toc111731061"/>
      <w:r w:rsidRPr="0022607C">
        <w:rPr>
          <w:rFonts w:asciiTheme="majorHAnsi" w:eastAsia="Times New Roman" w:hAnsiTheme="majorHAnsi" w:cstheme="majorHAnsi"/>
          <w:b/>
          <w:bCs/>
          <w:snapToGrid w:val="0"/>
          <w:color w:val="0070C0"/>
          <w:kern w:val="32"/>
          <w:sz w:val="28"/>
          <w:szCs w:val="32"/>
          <w:lang w:val="en-US" w:eastAsia="en-AU"/>
        </w:rPr>
        <w:t>Appendix A: PREMO framework</w:t>
      </w:r>
      <w:bookmarkEnd w:id="157"/>
    </w:p>
    <w:p w14:paraId="3AA1B18D"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The Essential Services Commission will assess SRW’s price submission based on the following five “PREMO” principles:</w:t>
      </w:r>
    </w:p>
    <w:p w14:paraId="682544B0" w14:textId="77777777" w:rsidR="0022607C" w:rsidRPr="0022607C" w:rsidRDefault="0022607C" w:rsidP="00F459A2">
      <w:pPr>
        <w:numPr>
          <w:ilvl w:val="0"/>
          <w:numId w:val="38"/>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b/>
          <w:bCs/>
          <w:color w:val="0070C0"/>
          <w:sz w:val="21"/>
          <w:szCs w:val="24"/>
          <w:lang w:val="en-US" w:eastAsia="en-AU"/>
        </w:rPr>
        <w:t>Performance</w:t>
      </w:r>
      <w:r w:rsidRPr="0022607C">
        <w:rPr>
          <w:rFonts w:asciiTheme="majorHAnsi" w:eastAsia="Times New Roman" w:hAnsiTheme="majorHAnsi" w:cstheme="majorHAnsi"/>
          <w:sz w:val="21"/>
          <w:szCs w:val="24"/>
          <w:lang w:val="en-US" w:eastAsia="en-AU"/>
        </w:rPr>
        <w:t xml:space="preserve"> – This assesses water business performance against the achievement of outcomes (the “O” in PREMO) proposed in previous price submissions.</w:t>
      </w:r>
    </w:p>
    <w:p w14:paraId="78C9054D" w14:textId="77777777" w:rsidR="0022607C" w:rsidRPr="0022607C" w:rsidRDefault="0022607C" w:rsidP="00F459A2">
      <w:pPr>
        <w:numPr>
          <w:ilvl w:val="0"/>
          <w:numId w:val="38"/>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b/>
          <w:bCs/>
          <w:color w:val="0070C0"/>
          <w:sz w:val="21"/>
          <w:szCs w:val="24"/>
          <w:lang w:val="en-US" w:eastAsia="en-AU"/>
        </w:rPr>
        <w:t xml:space="preserve">Risk </w:t>
      </w:r>
      <w:r w:rsidRPr="0022607C">
        <w:rPr>
          <w:rFonts w:asciiTheme="majorHAnsi" w:eastAsia="Times New Roman" w:hAnsiTheme="majorHAnsi" w:cstheme="majorHAnsi"/>
          <w:sz w:val="21"/>
          <w:szCs w:val="24"/>
          <w:lang w:val="en-US" w:eastAsia="en-AU"/>
        </w:rPr>
        <w:t>– This assesses whether expenditure proposals reflect a reasonable allocation of risks between customers and the water business, with a particular focus on avoiding gold plating.</w:t>
      </w:r>
    </w:p>
    <w:p w14:paraId="52DD545B" w14:textId="77777777" w:rsidR="0022607C" w:rsidRPr="0022607C" w:rsidRDefault="0022607C" w:rsidP="00F459A2">
      <w:pPr>
        <w:numPr>
          <w:ilvl w:val="0"/>
          <w:numId w:val="38"/>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b/>
          <w:bCs/>
          <w:color w:val="0070C0"/>
          <w:sz w:val="21"/>
          <w:szCs w:val="24"/>
          <w:lang w:val="en-US" w:eastAsia="en-AU"/>
        </w:rPr>
        <w:t>Engagement –</w:t>
      </w:r>
      <w:r w:rsidRPr="0022607C">
        <w:rPr>
          <w:rFonts w:asciiTheme="majorHAnsi" w:eastAsia="Times New Roman" w:hAnsiTheme="majorHAnsi" w:cstheme="majorHAnsi"/>
          <w:sz w:val="21"/>
          <w:szCs w:val="24"/>
          <w:lang w:val="en-US" w:eastAsia="en-AU"/>
        </w:rPr>
        <w:t xml:space="preserve"> This is a critical element of the framework.  The ESC expects earlier deeper and broader engagement to ensure proposed outcomes are comprehensively aligned to customer expectations.</w:t>
      </w:r>
    </w:p>
    <w:p w14:paraId="0FFA0ACB" w14:textId="77777777" w:rsidR="0022607C" w:rsidRPr="0022607C" w:rsidRDefault="0022607C" w:rsidP="00F459A2">
      <w:pPr>
        <w:numPr>
          <w:ilvl w:val="0"/>
          <w:numId w:val="38"/>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b/>
          <w:bCs/>
          <w:color w:val="0070C0"/>
          <w:sz w:val="21"/>
          <w:szCs w:val="24"/>
          <w:lang w:val="en-US" w:eastAsia="en-AU"/>
        </w:rPr>
        <w:t>Management accountability</w:t>
      </w:r>
      <w:r w:rsidRPr="0022607C">
        <w:rPr>
          <w:rFonts w:asciiTheme="majorHAnsi" w:eastAsia="Times New Roman" w:hAnsiTheme="majorHAnsi" w:cstheme="majorHAnsi"/>
          <w:color w:val="0070C0"/>
          <w:sz w:val="21"/>
          <w:szCs w:val="24"/>
          <w:lang w:val="en-US" w:eastAsia="en-AU"/>
        </w:rPr>
        <w:t xml:space="preserve"> </w:t>
      </w:r>
      <w:r w:rsidRPr="0022607C">
        <w:rPr>
          <w:rFonts w:asciiTheme="majorHAnsi" w:eastAsia="Times New Roman" w:hAnsiTheme="majorHAnsi" w:cstheme="majorHAnsi"/>
          <w:sz w:val="21"/>
          <w:szCs w:val="24"/>
          <w:lang w:val="en-US" w:eastAsia="en-AU"/>
        </w:rPr>
        <w:t>– This assesses the quality of submission, ownership, and commitment to customer value by management and appropriate justification and assurance.</w:t>
      </w:r>
    </w:p>
    <w:p w14:paraId="067CB829" w14:textId="77777777" w:rsidR="0022607C" w:rsidRPr="0022607C" w:rsidRDefault="0022607C" w:rsidP="00F459A2">
      <w:pPr>
        <w:numPr>
          <w:ilvl w:val="0"/>
          <w:numId w:val="38"/>
        </w:numPr>
        <w:snapToGrid w:val="0"/>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b/>
          <w:bCs/>
          <w:color w:val="0070C0"/>
          <w:sz w:val="21"/>
          <w:szCs w:val="24"/>
          <w:lang w:val="en-US" w:eastAsia="en-AU"/>
        </w:rPr>
        <w:t xml:space="preserve">Outcomes </w:t>
      </w:r>
      <w:r w:rsidRPr="0022607C">
        <w:rPr>
          <w:rFonts w:asciiTheme="majorHAnsi" w:eastAsia="Times New Roman" w:hAnsiTheme="majorHAnsi" w:cstheme="majorHAnsi"/>
          <w:sz w:val="21"/>
          <w:szCs w:val="24"/>
          <w:lang w:val="en-US" w:eastAsia="en-AU"/>
        </w:rPr>
        <w:t>– This assesses what customers value, aligned to expenditure forecasts.  The intent for these is to be set as stretch targets. These will form the basis for ongoing reporting to customers and drive assessment of the ‘P’ in PREMO for the subsequent price submission.</w:t>
      </w:r>
    </w:p>
    <w:p w14:paraId="79B1A906" w14:textId="77777777" w:rsidR="0022607C" w:rsidRPr="0022607C" w:rsidRDefault="0022607C" w:rsidP="0022607C">
      <w:pPr>
        <w:spacing w:before="120" w:after="120" w:line="240" w:lineRule="auto"/>
        <w:jc w:val="both"/>
        <w:rPr>
          <w:rFonts w:asciiTheme="majorHAnsi" w:eastAsia="Times New Roman" w:hAnsiTheme="majorHAnsi" w:cstheme="majorHAnsi"/>
          <w:sz w:val="21"/>
          <w:szCs w:val="24"/>
          <w:lang w:val="en-US" w:eastAsia="en-AU"/>
        </w:rPr>
      </w:pPr>
      <w:r w:rsidRPr="0022607C">
        <w:rPr>
          <w:rFonts w:asciiTheme="majorHAnsi" w:eastAsia="Times New Roman" w:hAnsiTheme="majorHAnsi" w:cstheme="majorHAnsi"/>
          <w:sz w:val="21"/>
          <w:szCs w:val="24"/>
          <w:lang w:val="en-US" w:eastAsia="en-AU"/>
        </w:rPr>
        <w:t>Each element of PREMO is rated as Basic, Standard, Advanced or Leading and the average score across all elements becomes the basis for ESC’s overall assessment.</w:t>
      </w:r>
    </w:p>
    <w:p w14:paraId="2FAE4ADC" w14:textId="77777777" w:rsidR="0022607C" w:rsidRPr="0022607C" w:rsidRDefault="0022607C" w:rsidP="0022607C">
      <w:pPr>
        <w:keepNext/>
        <w:keepLines/>
        <w:pageBreakBefore/>
        <w:spacing w:before="240" w:after="240" w:line="240" w:lineRule="auto"/>
        <w:outlineLvl w:val="0"/>
        <w:rPr>
          <w:rFonts w:asciiTheme="majorHAnsi" w:eastAsia="Times New Roman" w:hAnsiTheme="majorHAnsi" w:cstheme="majorHAnsi"/>
          <w:b/>
          <w:bCs/>
          <w:snapToGrid w:val="0"/>
          <w:color w:val="0070C0"/>
          <w:kern w:val="32"/>
          <w:sz w:val="28"/>
          <w:szCs w:val="32"/>
          <w:lang w:val="en-US" w:eastAsia="en-AU"/>
        </w:rPr>
      </w:pPr>
      <w:bookmarkStart w:id="158" w:name="_Toc111731062"/>
      <w:r w:rsidRPr="0022607C">
        <w:rPr>
          <w:rFonts w:asciiTheme="majorHAnsi" w:eastAsia="Times New Roman" w:hAnsiTheme="majorHAnsi" w:cstheme="majorHAnsi"/>
          <w:b/>
          <w:bCs/>
          <w:snapToGrid w:val="0"/>
          <w:color w:val="0070C0"/>
          <w:kern w:val="32"/>
          <w:sz w:val="28"/>
          <w:szCs w:val="32"/>
          <w:lang w:val="en-US" w:eastAsia="en-AU"/>
        </w:rPr>
        <w:t>Appendix B: PS2023 engagement principles</w:t>
      </w:r>
      <w:bookmarkEnd w:id="158"/>
    </w:p>
    <w:p w14:paraId="4C7AA12E" w14:textId="77777777" w:rsidR="0022607C" w:rsidRPr="0022607C" w:rsidRDefault="0022607C" w:rsidP="0022607C">
      <w:pPr>
        <w:tabs>
          <w:tab w:val="num" w:pos="359"/>
        </w:tabs>
        <w:snapToGrid w:val="0"/>
        <w:spacing w:before="120" w:after="120" w:line="240" w:lineRule="auto"/>
        <w:ind w:left="359" w:hanging="360"/>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 xml:space="preserve">SRW’s PS2023 engagement </w:t>
      </w:r>
      <w:r w:rsidRPr="0022607C">
        <w:rPr>
          <w:rFonts w:asciiTheme="majorHAnsi" w:eastAsia="Times New Roman" w:hAnsiTheme="majorHAnsi" w:cstheme="majorHAnsi"/>
          <w:b/>
          <w:bCs/>
          <w:color w:val="0070C0"/>
          <w:sz w:val="21"/>
          <w:szCs w:val="20"/>
          <w:lang w:eastAsia="en-GB"/>
        </w:rPr>
        <w:t>aligns with its strategic aspirations</w:t>
      </w:r>
      <w:r w:rsidRPr="0022607C">
        <w:rPr>
          <w:rFonts w:asciiTheme="majorHAnsi" w:eastAsia="Times New Roman" w:hAnsiTheme="majorHAnsi" w:cstheme="majorHAnsi"/>
          <w:color w:val="0070C0"/>
          <w:sz w:val="21"/>
          <w:szCs w:val="20"/>
          <w:lang w:eastAsia="en-GB"/>
        </w:rPr>
        <w:t xml:space="preserve"> </w:t>
      </w:r>
      <w:r w:rsidRPr="0022607C">
        <w:rPr>
          <w:rFonts w:asciiTheme="majorHAnsi" w:eastAsia="Times New Roman" w:hAnsiTheme="majorHAnsi" w:cstheme="majorHAnsi"/>
          <w:color w:val="000000"/>
          <w:sz w:val="21"/>
          <w:szCs w:val="20"/>
          <w:lang w:eastAsia="en-GB"/>
        </w:rPr>
        <w:t>and in particular:</w:t>
      </w:r>
    </w:p>
    <w:p w14:paraId="17863196"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Customers have choice and flexibility in how they engage on PS2023</w:t>
      </w:r>
    </w:p>
    <w:p w14:paraId="12291319"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actively listens, learns and acts on customers’ views</w:t>
      </w:r>
    </w:p>
    <w:p w14:paraId="4CCE641F"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SRW proactively makes improvements to benefit customers’ productivity</w:t>
      </w:r>
    </w:p>
    <w:p w14:paraId="24E3E263" w14:textId="77777777" w:rsidR="0022607C" w:rsidRPr="0022607C" w:rsidRDefault="0022607C" w:rsidP="0022607C">
      <w:pPr>
        <w:tabs>
          <w:tab w:val="num" w:pos="359"/>
        </w:tabs>
        <w:snapToGrid w:val="0"/>
        <w:spacing w:before="120" w:after="120" w:line="240" w:lineRule="auto"/>
        <w:ind w:left="357" w:hanging="357"/>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 xml:space="preserve">SRW applies </w:t>
      </w:r>
      <w:r w:rsidRPr="0022607C">
        <w:rPr>
          <w:rFonts w:asciiTheme="majorHAnsi" w:eastAsia="Times New Roman" w:hAnsiTheme="majorHAnsi" w:cstheme="majorHAnsi"/>
          <w:b/>
          <w:bCs/>
          <w:color w:val="0070C0"/>
          <w:sz w:val="21"/>
          <w:szCs w:val="20"/>
          <w:lang w:eastAsia="en-GB"/>
        </w:rPr>
        <w:t>best practice</w:t>
      </w:r>
      <w:r w:rsidRPr="0022607C">
        <w:rPr>
          <w:rFonts w:asciiTheme="majorHAnsi" w:eastAsia="Times New Roman" w:hAnsiTheme="majorHAnsi" w:cstheme="majorHAnsi"/>
          <w:color w:val="0070C0"/>
          <w:sz w:val="21"/>
          <w:szCs w:val="20"/>
          <w:lang w:eastAsia="en-GB"/>
        </w:rPr>
        <w:t xml:space="preserve"> </w:t>
      </w:r>
      <w:r w:rsidRPr="0022607C">
        <w:rPr>
          <w:rFonts w:asciiTheme="majorHAnsi" w:eastAsia="Times New Roman" w:hAnsiTheme="majorHAnsi" w:cstheme="majorHAnsi"/>
          <w:color w:val="000000"/>
          <w:sz w:val="21"/>
          <w:szCs w:val="20"/>
          <w:lang w:eastAsia="en-GB"/>
        </w:rPr>
        <w:t>engagement methods, informed by:</w:t>
      </w:r>
    </w:p>
    <w:p w14:paraId="5570C3BC"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The International Association for Public Participation (IAP2) quality assurance standard</w:t>
      </w:r>
      <w:r w:rsidRPr="0022607C">
        <w:rPr>
          <w:rFonts w:asciiTheme="majorHAnsi" w:eastAsia="Times New Roman" w:hAnsiTheme="majorHAnsi" w:cstheme="majorHAnsi"/>
          <w:sz w:val="21"/>
          <w:szCs w:val="24"/>
          <w:vertAlign w:val="superscript"/>
          <w:lang w:eastAsia="en-AU"/>
        </w:rPr>
        <w:footnoteReference w:id="30"/>
      </w:r>
      <w:r w:rsidRPr="0022607C">
        <w:rPr>
          <w:rFonts w:asciiTheme="majorHAnsi" w:eastAsia="Times New Roman" w:hAnsiTheme="majorHAnsi" w:cstheme="majorHAnsi"/>
          <w:sz w:val="21"/>
          <w:szCs w:val="24"/>
          <w:lang w:eastAsia="en-AU"/>
        </w:rPr>
        <w:t xml:space="preserve"> considers the ESC’s Water Pricing Framework and Approach and learnings from Farrier Swier’s 2019 independent review</w:t>
      </w:r>
      <w:r w:rsidRPr="0022607C">
        <w:rPr>
          <w:rFonts w:asciiTheme="majorHAnsi" w:eastAsia="Times New Roman" w:hAnsiTheme="majorHAnsi" w:cstheme="majorHAnsi"/>
          <w:sz w:val="21"/>
          <w:szCs w:val="24"/>
          <w:vertAlign w:val="superscript"/>
          <w:lang w:eastAsia="en-AU"/>
        </w:rPr>
        <w:footnoteReference w:id="31"/>
      </w:r>
    </w:p>
    <w:p w14:paraId="6211DFFB" w14:textId="77777777" w:rsidR="0022607C" w:rsidRPr="0022607C" w:rsidRDefault="0022607C" w:rsidP="0022607C">
      <w:pPr>
        <w:tabs>
          <w:tab w:val="num" w:pos="359"/>
        </w:tabs>
        <w:snapToGrid w:val="0"/>
        <w:spacing w:before="120" w:after="120" w:line="240" w:lineRule="auto"/>
        <w:ind w:left="357" w:hanging="357"/>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 xml:space="preserve">SRW’s engagement is </w:t>
      </w:r>
      <w:r w:rsidRPr="0022607C">
        <w:rPr>
          <w:rFonts w:asciiTheme="majorHAnsi" w:eastAsia="Times New Roman" w:hAnsiTheme="majorHAnsi" w:cstheme="majorHAnsi"/>
          <w:b/>
          <w:bCs/>
          <w:color w:val="0070C0"/>
          <w:sz w:val="21"/>
          <w:szCs w:val="20"/>
          <w:lang w:eastAsia="en-GB"/>
        </w:rPr>
        <w:t>inclusive engagement</w:t>
      </w:r>
      <w:r w:rsidRPr="0022607C">
        <w:rPr>
          <w:rFonts w:asciiTheme="majorHAnsi" w:eastAsia="Times New Roman" w:hAnsiTheme="majorHAnsi" w:cstheme="majorHAnsi"/>
          <w:color w:val="0070C0"/>
          <w:sz w:val="21"/>
          <w:szCs w:val="20"/>
          <w:lang w:eastAsia="en-GB"/>
        </w:rPr>
        <w:t xml:space="preserve"> </w:t>
      </w:r>
      <w:r w:rsidRPr="0022607C">
        <w:rPr>
          <w:rFonts w:asciiTheme="majorHAnsi" w:eastAsia="Times New Roman" w:hAnsiTheme="majorHAnsi" w:cstheme="majorHAnsi"/>
          <w:color w:val="000000"/>
          <w:sz w:val="21"/>
          <w:szCs w:val="20"/>
          <w:lang w:eastAsia="en-GB"/>
        </w:rPr>
        <w:t>such that customers, stakeholders and community can choose how and when they engage</w:t>
      </w:r>
    </w:p>
    <w:p w14:paraId="62CA9478" w14:textId="77777777" w:rsidR="0022607C" w:rsidRPr="0022607C" w:rsidRDefault="0022607C" w:rsidP="0022607C">
      <w:pPr>
        <w:tabs>
          <w:tab w:val="num" w:pos="360"/>
        </w:tabs>
        <w:snapToGrid w:val="0"/>
        <w:spacing w:before="120" w:after="120" w:line="240" w:lineRule="auto"/>
        <w:ind w:left="360" w:hanging="360"/>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 xml:space="preserve">SRW’s </w:t>
      </w:r>
      <w:r w:rsidRPr="0022607C">
        <w:rPr>
          <w:rFonts w:asciiTheme="majorHAnsi" w:eastAsia="Times New Roman" w:hAnsiTheme="majorHAnsi" w:cstheme="majorHAnsi"/>
          <w:b/>
          <w:bCs/>
          <w:color w:val="0070C0"/>
          <w:sz w:val="21"/>
          <w:szCs w:val="20"/>
          <w:lang w:eastAsia="en-GB"/>
        </w:rPr>
        <w:t>engagement is meaningful</w:t>
      </w:r>
    </w:p>
    <w:p w14:paraId="10AEBC34"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Customers, community partners and stakeholders derive value from engaging with SRW</w:t>
      </w:r>
    </w:p>
    <w:p w14:paraId="1A76CCFE"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Considers existing knowledge about customers’ needs and preferences to the current purpose to reduce the risk of over-engagement and fatigue</w:t>
      </w:r>
    </w:p>
    <w:p w14:paraId="5AA2E54B" w14:textId="77777777" w:rsidR="0022607C" w:rsidRPr="0022607C" w:rsidRDefault="0022607C" w:rsidP="00F459A2">
      <w:pPr>
        <w:numPr>
          <w:ilvl w:val="0"/>
          <w:numId w:val="40"/>
        </w:numPr>
        <w:snapToGrid w:val="0"/>
        <w:spacing w:before="120" w:after="120" w:line="240" w:lineRule="auto"/>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 xml:space="preserve">The extent that any assumed knowledge of customers’ needs and preferences needs to be tested or retested is assessed against the importance of updating that information to better inform SRW’s PS2023 </w:t>
      </w:r>
    </w:p>
    <w:p w14:paraId="364350DA" w14:textId="77777777" w:rsidR="0022607C" w:rsidRPr="0022607C" w:rsidRDefault="0022607C" w:rsidP="0022607C">
      <w:pPr>
        <w:tabs>
          <w:tab w:val="num" w:pos="360"/>
        </w:tabs>
        <w:snapToGrid w:val="0"/>
        <w:spacing w:before="120" w:after="120" w:line="240" w:lineRule="auto"/>
        <w:ind w:left="360" w:hanging="360"/>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 xml:space="preserve">SRW’s engagement processes and decisions emerging from its engagement activities are </w:t>
      </w:r>
      <w:r w:rsidRPr="0022607C">
        <w:rPr>
          <w:rFonts w:asciiTheme="majorHAnsi" w:eastAsia="Times New Roman" w:hAnsiTheme="majorHAnsi" w:cstheme="majorHAnsi"/>
          <w:b/>
          <w:bCs/>
          <w:color w:val="0070C0"/>
          <w:sz w:val="21"/>
          <w:szCs w:val="20"/>
          <w:lang w:eastAsia="en-GB"/>
        </w:rPr>
        <w:t>transparent and inclusive</w:t>
      </w:r>
    </w:p>
    <w:p w14:paraId="4F819688" w14:textId="77777777" w:rsidR="0022607C" w:rsidRPr="0022607C" w:rsidRDefault="0022607C" w:rsidP="0022607C">
      <w:pPr>
        <w:tabs>
          <w:tab w:val="num" w:pos="360"/>
        </w:tabs>
        <w:snapToGrid w:val="0"/>
        <w:spacing w:before="120" w:after="120" w:line="240" w:lineRule="auto"/>
        <w:ind w:left="360" w:hanging="360"/>
        <w:contextualSpacing/>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000000"/>
          <w:sz w:val="21"/>
          <w:szCs w:val="20"/>
          <w:lang w:eastAsia="en-GB"/>
        </w:rPr>
        <w:t>SRW’s engagement planning, facilitation and communications is based on a collaboration between SRW, its customers and its consultants who also have regard to the above principles</w:t>
      </w:r>
    </w:p>
    <w:p w14:paraId="3978C95B" w14:textId="77777777" w:rsidR="0022607C" w:rsidRPr="0022607C" w:rsidRDefault="0022607C" w:rsidP="0022607C">
      <w:pPr>
        <w:spacing w:after="0" w:line="240" w:lineRule="auto"/>
        <w:rPr>
          <w:rFonts w:asciiTheme="majorHAnsi" w:eastAsia="Times New Roman" w:hAnsiTheme="majorHAnsi" w:cstheme="majorHAnsi"/>
          <w:color w:val="000000"/>
          <w:sz w:val="21"/>
          <w:szCs w:val="20"/>
          <w:lang w:eastAsia="en-GB"/>
        </w:rPr>
      </w:pPr>
      <w:r w:rsidRPr="0022607C">
        <w:rPr>
          <w:rFonts w:asciiTheme="majorHAnsi" w:eastAsia="Times New Roman" w:hAnsiTheme="majorHAnsi" w:cstheme="majorHAnsi"/>
          <w:color w:val="808080"/>
          <w:sz w:val="20"/>
          <w:szCs w:val="20"/>
          <w:lang w:eastAsia="en-GB"/>
        </w:rPr>
        <w:br w:type="page"/>
      </w:r>
    </w:p>
    <w:p w14:paraId="69D17BC0" w14:textId="77777777" w:rsidR="0022607C" w:rsidRPr="0022607C" w:rsidRDefault="0022607C" w:rsidP="0022607C">
      <w:pPr>
        <w:keepNext/>
        <w:keepLines/>
        <w:pageBreakBefore/>
        <w:spacing w:before="240" w:after="240" w:line="240" w:lineRule="auto"/>
        <w:ind w:left="432" w:hanging="432"/>
        <w:outlineLvl w:val="0"/>
        <w:rPr>
          <w:rFonts w:asciiTheme="majorHAnsi" w:eastAsia="Times New Roman" w:hAnsiTheme="majorHAnsi" w:cstheme="majorHAnsi"/>
          <w:b/>
          <w:bCs/>
          <w:snapToGrid w:val="0"/>
          <w:color w:val="0070C0"/>
          <w:kern w:val="32"/>
          <w:sz w:val="28"/>
          <w:szCs w:val="32"/>
          <w:lang w:eastAsia="en-AU"/>
        </w:rPr>
      </w:pPr>
      <w:bookmarkStart w:id="159" w:name="_Toc111731063"/>
      <w:r w:rsidRPr="0022607C">
        <w:rPr>
          <w:rFonts w:asciiTheme="majorHAnsi" w:eastAsia="Times New Roman" w:hAnsiTheme="majorHAnsi" w:cstheme="majorHAnsi"/>
          <w:b/>
          <w:bCs/>
          <w:snapToGrid w:val="0"/>
          <w:color w:val="0070C0"/>
          <w:kern w:val="32"/>
          <w:sz w:val="28"/>
          <w:szCs w:val="32"/>
          <w:lang w:eastAsia="en-AU"/>
        </w:rPr>
        <w:t>Appendix C: Engagement Hub FAQs</w:t>
      </w:r>
      <w:bookmarkEnd w:id="159"/>
    </w:p>
    <w:p w14:paraId="248570D5"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General questions</w:t>
      </w:r>
    </w:p>
    <w:p w14:paraId="2E466D6D"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is SRW?</w:t>
      </w:r>
    </w:p>
    <w:p w14:paraId="5EE0C477"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do we do?</w:t>
      </w:r>
    </w:p>
    <w:p w14:paraId="6FDDE936"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Current price submission</w:t>
      </w:r>
    </w:p>
    <w:p w14:paraId="2F48B09C"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decides what is important?</w:t>
      </w:r>
    </w:p>
    <w:p w14:paraId="12AC0B0B"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Will prices go up this time?</w:t>
      </w:r>
    </w:p>
    <w:p w14:paraId="6D306B9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When does the new pricing come into effect?</w:t>
      </w:r>
    </w:p>
    <w:p w14:paraId="759BEAA6"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When do you start doing any proposed work or initiatives?</w:t>
      </w:r>
    </w:p>
    <w:p w14:paraId="7985D312"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long is the consultation period?</w:t>
      </w:r>
    </w:p>
    <w:p w14:paraId="1DFF419E"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How are prices set?</w:t>
      </w:r>
    </w:p>
    <w:p w14:paraId="64850969"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sets the water prices?</w:t>
      </w:r>
    </w:p>
    <w:p w14:paraId="5EC6F821"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is a Price Submission?</w:t>
      </w:r>
    </w:p>
    <w:p w14:paraId="1229F4EA"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is the Essential Services Commission?</w:t>
      </w:r>
    </w:p>
    <w:p w14:paraId="6EA5703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is PREMO?</w:t>
      </w:r>
    </w:p>
    <w:p w14:paraId="5BCE4166"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Why is this price submission happening now?</w:t>
      </w:r>
    </w:p>
    <w:p w14:paraId="12AFBD0D"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makes the final decision on the pricing?</w:t>
      </w:r>
    </w:p>
    <w:p w14:paraId="7AF44AC6"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else is involved in setting the price?</w:t>
      </w:r>
    </w:p>
    <w:p w14:paraId="08E590D5"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Does SRW charge the same price for all its customers</w:t>
      </w:r>
    </w:p>
    <w:p w14:paraId="69F1FB71"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What happened last time?</w:t>
      </w:r>
    </w:p>
    <w:p w14:paraId="03480382"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When was the last price submission done?</w:t>
      </w:r>
    </w:p>
    <w:p w14:paraId="7CBB437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much did prices go up last time?</w:t>
      </w:r>
    </w:p>
    <w:p w14:paraId="37179FF2"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improvements have been made in the last five years?</w:t>
      </w:r>
    </w:p>
    <w:p w14:paraId="205FD990"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paid for the improvements?</w:t>
      </w:r>
    </w:p>
    <w:p w14:paraId="182A2A34"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Engagement questions</w:t>
      </w:r>
    </w:p>
    <w:p w14:paraId="24A1CBE8"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Why are you engaging with customers?</w:t>
      </w:r>
    </w:p>
    <w:p w14:paraId="6E1853E7"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can we get involved?</w:t>
      </w:r>
    </w:p>
    <w:p w14:paraId="3657AFD7"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do we give feedback?</w:t>
      </w:r>
    </w:p>
    <w:p w14:paraId="5D01ACBC"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Will you take on board our feedback?</w:t>
      </w:r>
    </w:p>
    <w:p w14:paraId="244C9C2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How are you engaging with stakeholders?</w:t>
      </w:r>
    </w:p>
    <w:p w14:paraId="2A0EBD8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Who are the stakeholders?</w:t>
      </w:r>
    </w:p>
    <w:p w14:paraId="1289196B" w14:textId="77777777" w:rsidR="0022607C" w:rsidRPr="0022607C" w:rsidRDefault="0022607C" w:rsidP="0022607C">
      <w:pPr>
        <w:spacing w:before="120" w:after="120" w:line="240" w:lineRule="auto"/>
        <w:jc w:val="both"/>
        <w:rPr>
          <w:rFonts w:asciiTheme="majorHAnsi" w:eastAsia="Times New Roman" w:hAnsiTheme="majorHAnsi" w:cstheme="majorHAnsi"/>
          <w:b/>
          <w:bCs/>
          <w:sz w:val="21"/>
          <w:szCs w:val="24"/>
          <w:lang w:eastAsia="en-AU"/>
        </w:rPr>
      </w:pPr>
      <w:r w:rsidRPr="0022607C">
        <w:rPr>
          <w:rFonts w:asciiTheme="majorHAnsi" w:eastAsia="Times New Roman" w:hAnsiTheme="majorHAnsi" w:cstheme="majorHAnsi"/>
          <w:b/>
          <w:bCs/>
          <w:sz w:val="21"/>
          <w:szCs w:val="24"/>
          <w:lang w:eastAsia="en-AU"/>
        </w:rPr>
        <w:t>What happens next?</w:t>
      </w:r>
    </w:p>
    <w:p w14:paraId="30A0D4A5"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What happens after SRW lodges its plan with the ESC?</w:t>
      </w:r>
    </w:p>
    <w:p w14:paraId="250A8F51"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When will the determination/report be made?</w:t>
      </w:r>
    </w:p>
    <w:p w14:paraId="2128D3F2"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Will we be told when the report is available?</w:t>
      </w:r>
    </w:p>
    <w:p w14:paraId="3657A343"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Where will the report be so we can view it?</w:t>
      </w:r>
    </w:p>
    <w:p w14:paraId="5B1F0B98"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Can we object to the pricing?</w:t>
      </w:r>
    </w:p>
    <w:p w14:paraId="510CA048" w14:textId="77777777" w:rsidR="0022607C" w:rsidRPr="0022607C" w:rsidRDefault="0022607C" w:rsidP="00F459A2">
      <w:pPr>
        <w:numPr>
          <w:ilvl w:val="0"/>
          <w:numId w:val="52"/>
        </w:numPr>
        <w:snapToGrid w:val="0"/>
        <w:spacing w:before="60" w:after="60" w:line="240" w:lineRule="auto"/>
        <w:ind w:left="357" w:hanging="357"/>
        <w:jc w:val="both"/>
        <w:rPr>
          <w:rFonts w:asciiTheme="majorHAnsi" w:eastAsia="Times New Roman" w:hAnsiTheme="majorHAnsi" w:cstheme="majorHAnsi"/>
          <w:sz w:val="21"/>
          <w:szCs w:val="24"/>
          <w:lang w:eastAsia="en-AU"/>
        </w:rPr>
      </w:pPr>
      <w:r w:rsidRPr="0022607C">
        <w:rPr>
          <w:rFonts w:asciiTheme="majorHAnsi" w:eastAsia="Times New Roman" w:hAnsiTheme="majorHAnsi" w:cstheme="majorHAnsi"/>
          <w:sz w:val="21"/>
          <w:szCs w:val="24"/>
          <w:lang w:eastAsia="en-AU"/>
        </w:rPr>
        <w:t>When does the new pricing structure take effect?</w:t>
      </w:r>
    </w:p>
    <w:p w14:paraId="6C6DD0BB" w14:textId="77777777" w:rsidR="0022607C" w:rsidRPr="0022607C" w:rsidRDefault="0022607C" w:rsidP="0022607C">
      <w:pPr>
        <w:spacing w:before="120" w:after="120" w:line="240" w:lineRule="auto"/>
        <w:jc w:val="both"/>
        <w:rPr>
          <w:rFonts w:ascii="Calibri" w:eastAsia="Times New Roman" w:hAnsi="Calibri" w:cs="Times New Roman"/>
          <w:sz w:val="21"/>
          <w:szCs w:val="24"/>
          <w:lang w:eastAsia="en-AU"/>
        </w:rPr>
      </w:pPr>
    </w:p>
    <w:p w14:paraId="0F181503" w14:textId="77777777" w:rsidR="00522EEA" w:rsidRPr="00F36FED" w:rsidRDefault="00522EEA" w:rsidP="005B1AB4"/>
    <w:sectPr w:rsidR="00522EEA" w:rsidRPr="00F36FED">
      <w:pgSz w:w="11900" w:h="16840" w:code="9"/>
      <w:pgMar w:top="1440" w:right="985" w:bottom="879" w:left="1440" w:header="709" w:footer="26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85EFC8E" w14:textId="77777777" w:rsidR="00195F0B" w:rsidRDefault="00195F0B" w:rsidP="00B27080">
      <w:pPr>
        <w:spacing w:after="0" w:line="240" w:lineRule="auto"/>
      </w:pPr>
      <w:r>
        <w:separator/>
      </w:r>
    </w:p>
    <w:p w14:paraId="2F0BA1BD" w14:textId="77777777" w:rsidR="00195F0B" w:rsidRDefault="00195F0B"/>
  </w:endnote>
  <w:endnote w:type="continuationSeparator" w:id="0">
    <w:p w14:paraId="3773A983" w14:textId="77777777" w:rsidR="00195F0B" w:rsidRDefault="00195F0B" w:rsidP="00B27080">
      <w:pPr>
        <w:spacing w:after="0" w:line="240" w:lineRule="auto"/>
      </w:pPr>
      <w:r>
        <w:continuationSeparator/>
      </w:r>
    </w:p>
    <w:p w14:paraId="6B3AE72C" w14:textId="77777777" w:rsidR="00195F0B" w:rsidRDefault="00195F0B"/>
  </w:endnote>
  <w:endnote w:type="continuationNotice" w:id="1">
    <w:p w14:paraId="5B933366" w14:textId="77777777" w:rsidR="00195F0B" w:rsidRDefault="00195F0B">
      <w:pPr>
        <w:spacing w:after="0" w:line="240" w:lineRule="auto"/>
      </w:pPr>
    </w:p>
    <w:p w14:paraId="3927C000" w14:textId="77777777" w:rsidR="00195F0B" w:rsidRDefault="00195F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 w:name="New York">
    <w:panose1 w:val="02040503060506020304"/>
    <w:charset w:val="00"/>
    <w:family w:val="roman"/>
    <w:pitch w:val="variable"/>
    <w:sig w:usb0="00000003" w:usb1="00000000" w:usb2="00000000" w:usb3="00000000" w:csb0="00000001" w:csb1="00000000"/>
  </w:font>
  <w:font w:name="Mangal">
    <w:panose1 w:val="00000400000000000000"/>
    <w:charset w:val="00"/>
    <w:family w:val="roman"/>
    <w:pitch w:val="variable"/>
    <w:sig w:usb0="00008003" w:usb1="00000000" w:usb2="00000000" w:usb3="00000000" w:csb0="00000001" w:csb1="00000000"/>
  </w:font>
  <w:font w:name="Tms Rmn">
    <w:panose1 w:val="02020603040505020304"/>
    <w:charset w:val="00"/>
    <w:family w:val="roman"/>
    <w:pitch w:val="variable"/>
    <w:sig w:usb0="00000003" w:usb1="00000000" w:usb2="00000000" w:usb3="00000000" w:csb0="00000001" w:csb1="00000000"/>
  </w:font>
  <w:font w:name="HelveticaNeueLT-Light">
    <w:altName w:val="Arial"/>
    <w:panose1 w:val="00000000000000000000"/>
    <w:charset w:val="00"/>
    <w:family w:val="swiss"/>
    <w:notTrueType/>
    <w:pitch w:val="default"/>
    <w:sig w:usb0="00000003" w:usb1="00000000" w:usb2="00000000" w:usb3="00000000" w:csb0="00000001" w:csb1="00000000"/>
  </w:font>
  <w:font w:name="Myriad Pro">
    <w:altName w:val="Calibri"/>
    <w:panose1 w:val="00000000000000000000"/>
    <w:charset w:val="00"/>
    <w:family w:val="swiss"/>
    <w:notTrueType/>
    <w:pitch w:val="variable"/>
    <w:sig w:usb0="20000287" w:usb1="00000001" w:usb2="00000000" w:usb3="00000000" w:csb0="0000019F" w:csb1="00000000"/>
  </w:font>
  <w:font w:name="Garamond">
    <w:panose1 w:val="02020404030301010803"/>
    <w:charset w:val="00"/>
    <w:family w:val="roman"/>
    <w:pitch w:val="variable"/>
    <w:sig w:usb0="00000287" w:usb1="00000000" w:usb2="00000000" w:usb3="00000000" w:csb0="0000009F" w:csb1="00000000"/>
  </w:font>
  <w:font w:name="HGPMinchoE">
    <w:charset w:val="80"/>
    <w:family w:val="roman"/>
    <w:pitch w:val="variable"/>
    <w:sig w:usb0="E00002FF" w:usb1="2AC7EDFE" w:usb2="00000012"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CCE2EB" w14:textId="77777777" w:rsidR="007E0966" w:rsidRDefault="007E09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76724431"/>
      <w:docPartObj>
        <w:docPartGallery w:val="Page Numbers (Bottom of Page)"/>
        <w:docPartUnique/>
      </w:docPartObj>
    </w:sdtPr>
    <w:sdtEndPr>
      <w:rPr>
        <w:b w:val="0"/>
        <w:bCs/>
        <w:noProof/>
        <w:sz w:val="20"/>
        <w:szCs w:val="20"/>
      </w:rPr>
    </w:sdtEndPr>
    <w:sdtContent>
      <w:p w14:paraId="72583D70" w14:textId="77777777" w:rsidR="008E436B" w:rsidRDefault="008E436B" w:rsidP="008E436B">
        <w:pPr>
          <w:pStyle w:val="Footer"/>
          <w:jc w:val="right"/>
          <w:rPr>
            <w:b w:val="0"/>
            <w:bCs/>
            <w:noProof/>
            <w:sz w:val="20"/>
            <w:szCs w:val="20"/>
          </w:rPr>
        </w:pPr>
        <w:r w:rsidRPr="00630D51">
          <w:rPr>
            <w:b w:val="0"/>
            <w:bCs/>
            <w:sz w:val="20"/>
            <w:szCs w:val="20"/>
          </w:rPr>
          <w:fldChar w:fldCharType="begin"/>
        </w:r>
        <w:r w:rsidRPr="009344CF">
          <w:rPr>
            <w:color w:val="002B5C"/>
            <w:szCs w:val="24"/>
          </w:rPr>
          <w:instrText xml:space="preserve"> PAGE   \* MERGEFORMAT </w:instrText>
        </w:r>
        <w:r w:rsidRPr="00630D51">
          <w:rPr>
            <w:b w:val="0"/>
            <w:bCs/>
            <w:sz w:val="20"/>
            <w:szCs w:val="20"/>
          </w:rPr>
          <w:fldChar w:fldCharType="separate"/>
        </w:r>
        <w:r>
          <w:rPr>
            <w:b w:val="0"/>
            <w:bCs/>
            <w:sz w:val="20"/>
            <w:szCs w:val="20"/>
          </w:rPr>
          <w:t>14</w:t>
        </w:r>
        <w:r w:rsidRPr="00630D51">
          <w:rPr>
            <w:b w:val="0"/>
            <w:bCs/>
            <w:noProof/>
            <w:sz w:val="20"/>
            <w:szCs w:val="20"/>
          </w:rPr>
          <w:fldChar w:fldCharType="end"/>
        </w:r>
      </w:p>
    </w:sdtContent>
  </w:sdt>
  <w:p w14:paraId="44CB1A9A" w14:textId="08C763F7" w:rsidR="007A0087" w:rsidRPr="00630D51" w:rsidRDefault="007A0087" w:rsidP="008E436B">
    <w:pPr>
      <w:pStyle w:val="Footer"/>
      <w:jc w:val="center"/>
      <w:rPr>
        <w:b w:val="0"/>
        <w:bCs/>
        <w:sz w:val="20"/>
        <w:szCs w:val="20"/>
      </w:rPr>
    </w:pPr>
  </w:p>
  <w:p w14:paraId="41DA83CF" w14:textId="77777777" w:rsidR="00C215CB" w:rsidRDefault="00C215CB"/>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DD80EF" w14:textId="77777777" w:rsidR="007E0966" w:rsidRDefault="007E096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098329" w14:textId="77777777" w:rsidR="003E078D" w:rsidRDefault="003E078D">
    <w:pPr>
      <w:pStyle w:val="Footer"/>
    </w:pPr>
  </w:p>
  <w:p w14:paraId="38F9A0F9" w14:textId="77777777" w:rsidR="003E078D" w:rsidRDefault="003E078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D3FD08" w14:textId="77777777" w:rsidR="0022607C" w:rsidRPr="0022607C" w:rsidRDefault="0022607C">
    <w:pPr>
      <w:pStyle w:val="Footer"/>
      <w:pBdr>
        <w:top w:val="single" w:sz="12" w:space="2" w:color="0070C0"/>
      </w:pBdr>
      <w:tabs>
        <w:tab w:val="left" w:pos="0"/>
        <w:tab w:val="right" w:pos="14459"/>
      </w:tabs>
      <w:rPr>
        <w:rFonts w:cs="Calibri"/>
        <w:b w:val="0"/>
        <w:sz w:val="18"/>
      </w:rPr>
    </w:pPr>
    <w:r>
      <w:rPr>
        <w:noProof/>
        <w:sz w:val="16"/>
        <w:szCs w:val="21"/>
      </w:rPr>
      <w:t>02 Au</w:t>
    </w:r>
    <w:r w:rsidRPr="00400E23">
      <w:rPr>
        <w:noProof/>
        <w:sz w:val="16"/>
        <w:szCs w:val="21"/>
      </w:rPr>
      <w:t>gust 2022</w:t>
    </w:r>
    <w:r w:rsidRPr="0022607C">
      <w:rPr>
        <w:rFonts w:cs="Calibri"/>
      </w:rPr>
      <w:tab/>
    </w:r>
    <w:r w:rsidRPr="0022607C">
      <w:rPr>
        <w:rFonts w:cs="Calibri"/>
      </w:rPr>
      <w:tab/>
    </w:r>
    <w:r w:rsidRPr="0022607C">
      <w:rPr>
        <w:rFonts w:cs="Calibri"/>
        <w:sz w:val="20"/>
      </w:rPr>
      <w:t>Page</w:t>
    </w:r>
    <w:sdt>
      <w:sdtPr>
        <w:rPr>
          <w:rStyle w:val="PageNumber"/>
          <w:rFonts w:ascii="Calibri" w:hAnsi="Calibri" w:cs="Calibri"/>
        </w:rPr>
        <w:id w:val="-577819436"/>
        <w:docPartObj>
          <w:docPartGallery w:val="Page Numbers (Bottom of Page)"/>
          <w:docPartUnique/>
        </w:docPartObj>
      </w:sdtPr>
      <w:sdtContent>
        <w:r w:rsidRPr="0022607C">
          <w:rPr>
            <w:rStyle w:val="PageNumber"/>
            <w:rFonts w:ascii="Calibri" w:hAnsi="Calibri" w:cs="Calibri"/>
          </w:rPr>
          <w:t xml:space="preserve"> </w:t>
        </w:r>
        <w:r w:rsidRPr="0022607C">
          <w:rPr>
            <w:rStyle w:val="PageNumber"/>
            <w:rFonts w:ascii="Calibri" w:hAnsi="Calibri" w:cs="Calibri"/>
            <w:b/>
          </w:rPr>
          <w:fldChar w:fldCharType="begin"/>
        </w:r>
        <w:r w:rsidRPr="0022607C">
          <w:rPr>
            <w:rStyle w:val="PageNumber"/>
            <w:rFonts w:ascii="Calibri" w:hAnsi="Calibri" w:cs="Calibri"/>
            <w:b/>
          </w:rPr>
          <w:instrText xml:space="preserve"> PAGE </w:instrText>
        </w:r>
        <w:r w:rsidRPr="0022607C">
          <w:rPr>
            <w:rStyle w:val="PageNumber"/>
            <w:rFonts w:ascii="Calibri" w:hAnsi="Calibri" w:cs="Calibri"/>
            <w:b/>
          </w:rPr>
          <w:fldChar w:fldCharType="separate"/>
        </w:r>
        <w:r w:rsidRPr="0022607C">
          <w:rPr>
            <w:rStyle w:val="PageNumber"/>
            <w:rFonts w:ascii="Calibri" w:hAnsi="Calibri" w:cs="Calibri"/>
            <w:b/>
          </w:rPr>
          <w:t>2</w:t>
        </w:r>
        <w:r w:rsidRPr="0022607C">
          <w:rPr>
            <w:rStyle w:val="PageNumber"/>
            <w:rFonts w:ascii="Calibri" w:hAnsi="Calibri" w:cs="Calibri"/>
            <w:b/>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90AD6" w14:textId="77777777" w:rsidR="0022607C" w:rsidRDefault="0022607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98A7A3" w14:textId="77777777" w:rsidR="00195F0B" w:rsidRDefault="00195F0B" w:rsidP="00B27080">
      <w:pPr>
        <w:spacing w:after="0" w:line="240" w:lineRule="auto"/>
      </w:pPr>
      <w:r>
        <w:separator/>
      </w:r>
    </w:p>
    <w:p w14:paraId="2B641B6A" w14:textId="77777777" w:rsidR="00195F0B" w:rsidRDefault="00195F0B"/>
  </w:footnote>
  <w:footnote w:type="continuationSeparator" w:id="0">
    <w:p w14:paraId="574B2362" w14:textId="77777777" w:rsidR="00195F0B" w:rsidRDefault="00195F0B" w:rsidP="00B27080">
      <w:pPr>
        <w:spacing w:after="0" w:line="240" w:lineRule="auto"/>
      </w:pPr>
      <w:r>
        <w:continuationSeparator/>
      </w:r>
    </w:p>
    <w:p w14:paraId="78993FB0" w14:textId="77777777" w:rsidR="00195F0B" w:rsidRDefault="00195F0B"/>
  </w:footnote>
  <w:footnote w:type="continuationNotice" w:id="1">
    <w:p w14:paraId="254A6FB1" w14:textId="77777777" w:rsidR="00195F0B" w:rsidRDefault="00195F0B">
      <w:pPr>
        <w:spacing w:after="0" w:line="240" w:lineRule="auto"/>
      </w:pPr>
    </w:p>
    <w:p w14:paraId="33ABA3C8" w14:textId="77777777" w:rsidR="00195F0B" w:rsidRDefault="00195F0B"/>
  </w:footnote>
  <w:footnote w:id="2">
    <w:p w14:paraId="2A9A8F0B" w14:textId="4CF083F5" w:rsidR="00D220B6" w:rsidRDefault="00D220B6">
      <w:pPr>
        <w:pStyle w:val="FootnoteText"/>
      </w:pPr>
      <w:r>
        <w:rPr>
          <w:rStyle w:val="FootnoteReference"/>
        </w:rPr>
        <w:footnoteRef/>
      </w:r>
      <w:r>
        <w:t xml:space="preserve"> </w:t>
      </w:r>
      <w:r w:rsidR="009E7244" w:rsidRPr="00A85E63">
        <w:rPr>
          <w:sz w:val="18"/>
          <w:szCs w:val="18"/>
        </w:rPr>
        <w:t>Australian Government Department of Infrastructure; Regional Development and Cities, Cost Estimation Guidance – Guidance Note 3B – Deterministic Contingency Estimation; Version 1.0; August 2018.</w:t>
      </w:r>
    </w:p>
  </w:footnote>
  <w:footnote w:id="3">
    <w:p w14:paraId="5864C858" w14:textId="77777777" w:rsidR="0022607C" w:rsidRDefault="0022607C" w:rsidP="0022607C">
      <w:pPr>
        <w:pStyle w:val="FootnoteText"/>
      </w:pPr>
      <w:r>
        <w:rPr>
          <w:rStyle w:val="FootnoteReference"/>
        </w:rPr>
        <w:footnoteRef/>
      </w:r>
      <w:r>
        <w:t xml:space="preserve"> </w:t>
      </w:r>
      <w:r>
        <w:tab/>
        <w:t xml:space="preserve">SRW, 2021, </w:t>
      </w:r>
      <w:r w:rsidRPr="00FC5F75">
        <w:rPr>
          <w:i/>
          <w:iCs/>
        </w:rPr>
        <w:t>Request for Proposal: SRW Price Submission 2023-2028 Expert services: Engagement, facilitation and communications</w:t>
      </w:r>
      <w:r>
        <w:t>, p. 1.</w:t>
      </w:r>
    </w:p>
  </w:footnote>
  <w:footnote w:id="4">
    <w:p w14:paraId="2D66AC6A" w14:textId="77777777" w:rsidR="0022607C" w:rsidRDefault="0022607C" w:rsidP="0022607C">
      <w:pPr>
        <w:pStyle w:val="FootnoteText"/>
      </w:pPr>
      <w:r>
        <w:rPr>
          <w:rStyle w:val="FootnoteReference"/>
        </w:rPr>
        <w:footnoteRef/>
      </w:r>
      <w:r>
        <w:t xml:space="preserve"> </w:t>
      </w:r>
      <w:r>
        <w:tab/>
        <w:t xml:space="preserve">Essential Services Commission, October 2016, </w:t>
      </w:r>
      <w:r w:rsidRPr="7AF1ED9E">
        <w:rPr>
          <w:i/>
          <w:iCs/>
        </w:rPr>
        <w:t>Water Pricing Framework and Approach</w:t>
      </w:r>
      <w:r>
        <w:t xml:space="preserve"> </w:t>
      </w:r>
      <w:r w:rsidRPr="0010457E">
        <w:t>https://www.esc.vic.gov.au/sites/default/files/documents/Water-Pricing-Framework-and-Approach-Final-Paper-Oct-2016.pdf</w:t>
      </w:r>
      <w:r>
        <w:br/>
        <w:t>See also Appendix A.</w:t>
      </w:r>
    </w:p>
  </w:footnote>
  <w:footnote w:id="5">
    <w:p w14:paraId="56F12D2E" w14:textId="77777777" w:rsidR="0022607C" w:rsidRDefault="0022607C" w:rsidP="0022607C">
      <w:pPr>
        <w:pStyle w:val="FootnoteText"/>
      </w:pPr>
      <w:r>
        <w:rPr>
          <w:rStyle w:val="FootnoteReference"/>
        </w:rPr>
        <w:footnoteRef/>
      </w:r>
      <w:r>
        <w:t xml:space="preserve"> </w:t>
      </w:r>
      <w:r>
        <w:tab/>
      </w:r>
      <w:r w:rsidRPr="009552F7">
        <w:t xml:space="preserve">As mentioned by various water corporations during Essential Services Commission </w:t>
      </w:r>
      <w:r>
        <w:t>Price Sub</w:t>
      </w:r>
      <w:r w:rsidRPr="009552F7">
        <w:t>mission 2023 Guidance discussions in 2021.</w:t>
      </w:r>
    </w:p>
  </w:footnote>
  <w:footnote w:id="6">
    <w:p w14:paraId="7D5F3345" w14:textId="77777777" w:rsidR="0022607C" w:rsidRDefault="0022607C" w:rsidP="0022607C">
      <w:pPr>
        <w:pStyle w:val="FootnoteText"/>
      </w:pPr>
      <w:r>
        <w:rPr>
          <w:rStyle w:val="FootnoteReference"/>
        </w:rPr>
        <w:footnoteRef/>
      </w:r>
      <w:r>
        <w:t xml:space="preserve"> </w:t>
      </w:r>
      <w:r>
        <w:tab/>
        <w:t xml:space="preserve">DEWLP, </w:t>
      </w:r>
      <w:r w:rsidRPr="00CA75DD">
        <w:rPr>
          <w:i/>
          <w:iCs/>
        </w:rPr>
        <w:t>Southern Rural Water</w:t>
      </w:r>
      <w:r>
        <w:t xml:space="preserve">, available from </w:t>
      </w:r>
      <w:r w:rsidRPr="00C26F4B">
        <w:t>https://www.water.vic.gov.au/water-industry-and-customers/know-your-water-corporation/southern-rural-water</w:t>
      </w:r>
    </w:p>
  </w:footnote>
  <w:footnote w:id="7">
    <w:p w14:paraId="483EDE0B" w14:textId="77777777" w:rsidR="0022607C" w:rsidRDefault="0022607C" w:rsidP="0022607C">
      <w:pPr>
        <w:pStyle w:val="FootnoteText"/>
      </w:pPr>
      <w:r>
        <w:rPr>
          <w:rStyle w:val="FootnoteReference"/>
        </w:rPr>
        <w:footnoteRef/>
      </w:r>
      <w:r>
        <w:t xml:space="preserve"> </w:t>
      </w:r>
      <w:r>
        <w:tab/>
        <w:t xml:space="preserve">SRW, Corporate Strategy, available from </w:t>
      </w:r>
      <w:r w:rsidRPr="00086285">
        <w:t>http://www.srw.com.au/wp-content/uploads/2020/10/Corporate-Strategy.pdf</w:t>
      </w:r>
    </w:p>
  </w:footnote>
  <w:footnote w:id="8">
    <w:p w14:paraId="2ED92F21" w14:textId="77777777" w:rsidR="0022607C" w:rsidRDefault="0022607C" w:rsidP="0022607C">
      <w:pPr>
        <w:pStyle w:val="FootnoteText"/>
      </w:pPr>
      <w:r>
        <w:rPr>
          <w:rStyle w:val="FootnoteReference"/>
        </w:rPr>
        <w:footnoteRef/>
      </w:r>
      <w:r>
        <w:t xml:space="preserve"> </w:t>
      </w:r>
      <w:r>
        <w:tab/>
        <w:t>Ibid.</w:t>
      </w:r>
    </w:p>
  </w:footnote>
  <w:footnote w:id="9">
    <w:p w14:paraId="5CF1C460" w14:textId="77777777" w:rsidR="0022607C" w:rsidRPr="00400E23" w:rsidRDefault="0022607C" w:rsidP="0022607C">
      <w:pPr>
        <w:pStyle w:val="FootnoteText"/>
      </w:pPr>
      <w:r>
        <w:rPr>
          <w:rStyle w:val="FootnoteReference"/>
        </w:rPr>
        <w:footnoteRef/>
      </w:r>
      <w:r>
        <w:t xml:space="preserve"> </w:t>
      </w:r>
      <w:r>
        <w:tab/>
      </w:r>
      <w:r w:rsidRPr="00400E23">
        <w:t>Some water corporations are also SRW customers, but for most purposes including SRW’s PS2023 engagement, SRW considers them as partners.</w:t>
      </w:r>
    </w:p>
  </w:footnote>
  <w:footnote w:id="10">
    <w:p w14:paraId="42078A57" w14:textId="77777777" w:rsidR="0022607C" w:rsidRDefault="0022607C" w:rsidP="0022607C">
      <w:pPr>
        <w:pStyle w:val="FootnoteText"/>
      </w:pPr>
      <w:r>
        <w:rPr>
          <w:rStyle w:val="FootnoteReference"/>
        </w:rPr>
        <w:footnoteRef/>
      </w:r>
      <w:r>
        <w:t xml:space="preserve"> </w:t>
      </w:r>
      <w:r>
        <w:tab/>
        <w:t xml:space="preserve">As advised by SRW, in June 2022.  Note ‘customer’ in this context corresponds to an individual licence.  Some individuals hold multiple licences, and therefore SRW’s customer numbers are expressed in terms of individuals are less than the numbers shown in the table. </w:t>
      </w:r>
    </w:p>
  </w:footnote>
  <w:footnote w:id="11">
    <w:p w14:paraId="365301EC" w14:textId="77777777" w:rsidR="0022607C" w:rsidRDefault="0022607C" w:rsidP="0022607C">
      <w:pPr>
        <w:pStyle w:val="FootnoteText"/>
      </w:pPr>
      <w:r>
        <w:rPr>
          <w:rStyle w:val="FootnoteReference"/>
        </w:rPr>
        <w:footnoteRef/>
      </w:r>
      <w:r>
        <w:tab/>
        <w:t xml:space="preserve">Essential Services Commission, October 2016, </w:t>
      </w:r>
      <w:r w:rsidRPr="7AF1ED9E">
        <w:rPr>
          <w:i/>
          <w:iCs/>
        </w:rPr>
        <w:t>Water Pricing Framework and Approach</w:t>
      </w:r>
      <w:r>
        <w:t xml:space="preserve"> </w:t>
      </w:r>
      <w:r w:rsidRPr="0010457E">
        <w:t>https://www.esc.vic.gov.au/sites/default/files/documents/Water-Pricing-Framework-and-Approach-Final-Paper-Oct-2016.pdf</w:t>
      </w:r>
    </w:p>
  </w:footnote>
  <w:footnote w:id="12">
    <w:p w14:paraId="297D9E2A" w14:textId="77777777" w:rsidR="0022607C" w:rsidRDefault="0022607C" w:rsidP="0022607C">
      <w:pPr>
        <w:pStyle w:val="FootnoteText"/>
      </w:pPr>
      <w:r>
        <w:rPr>
          <w:rStyle w:val="FootnoteReference"/>
        </w:rPr>
        <w:footnoteRef/>
      </w:r>
      <w:r>
        <w:t xml:space="preserve"> </w:t>
      </w:r>
      <w:r>
        <w:tab/>
        <w:t xml:space="preserve">Essential Services Commission, </w:t>
      </w:r>
      <w:r w:rsidRPr="0010457E">
        <w:rPr>
          <w:i/>
          <w:iCs/>
        </w:rPr>
        <w:t>Southern Rural Water final decision, 2018 Water Price Review</w:t>
      </w:r>
      <w:r>
        <w:rPr>
          <w:i/>
          <w:iCs/>
        </w:rPr>
        <w:t>,</w:t>
      </w:r>
      <w:r>
        <w:t xml:space="preserve"> p. 25, </w:t>
      </w:r>
      <w:r w:rsidRPr="00CD3A6D">
        <w:t>https://www.esc.vic.gov.au/sites/default/files/documents/2018-water-price-review-southern-rural-water-final-decision-20180619-v2.pdf</w:t>
      </w:r>
    </w:p>
  </w:footnote>
  <w:footnote w:id="13">
    <w:p w14:paraId="53298C85" w14:textId="77777777" w:rsidR="0022607C" w:rsidRDefault="0022607C" w:rsidP="0022607C">
      <w:pPr>
        <w:pStyle w:val="FootnoteText"/>
      </w:pPr>
      <w:r>
        <w:rPr>
          <w:rStyle w:val="FootnoteReference"/>
        </w:rPr>
        <w:footnoteRef/>
      </w:r>
      <w:r>
        <w:t xml:space="preserve"> </w:t>
      </w:r>
      <w:r>
        <w:tab/>
        <w:t>Ibid., p. 26</w:t>
      </w:r>
    </w:p>
  </w:footnote>
  <w:footnote w:id="14">
    <w:p w14:paraId="7C00AD4B" w14:textId="77777777" w:rsidR="0022607C" w:rsidRDefault="0022607C" w:rsidP="0022607C">
      <w:pPr>
        <w:pStyle w:val="FootnoteText"/>
      </w:pPr>
      <w:r>
        <w:rPr>
          <w:rStyle w:val="FootnoteReference"/>
        </w:rPr>
        <w:footnoteRef/>
      </w:r>
      <w:r>
        <w:t xml:space="preserve"> </w:t>
      </w:r>
      <w:r>
        <w:tab/>
        <w:t>See Chapter 3.</w:t>
      </w:r>
    </w:p>
  </w:footnote>
  <w:footnote w:id="15">
    <w:p w14:paraId="4105146D" w14:textId="77777777" w:rsidR="0022607C" w:rsidRDefault="0022607C" w:rsidP="0022607C">
      <w:pPr>
        <w:pStyle w:val="FootnoteText"/>
      </w:pPr>
      <w:r>
        <w:rPr>
          <w:rStyle w:val="FootnoteReference"/>
        </w:rPr>
        <w:footnoteRef/>
      </w:r>
      <w:r>
        <w:t xml:space="preserve"> </w:t>
      </w:r>
      <w:r>
        <w:tab/>
        <w:t>SRW has a full-size version available on request.</w:t>
      </w:r>
    </w:p>
  </w:footnote>
  <w:footnote w:id="16">
    <w:p w14:paraId="7AED6EF0" w14:textId="77777777" w:rsidR="0022607C" w:rsidRDefault="0022607C" w:rsidP="0022607C">
      <w:pPr>
        <w:pStyle w:val="FootnoteText"/>
      </w:pPr>
      <w:r>
        <w:rPr>
          <w:rStyle w:val="FootnoteReference"/>
        </w:rPr>
        <w:footnoteRef/>
      </w:r>
      <w:r>
        <w:t xml:space="preserve"> </w:t>
      </w:r>
      <w:r>
        <w:tab/>
        <w:t>Following recruitment of the group and in discussions with Bartley Consulting, SRW amended its desired level of engagement to “involve”, which more realistically aligned with the CRG’s availability and expectations, especially given the technical nature of some information.</w:t>
      </w:r>
    </w:p>
  </w:footnote>
  <w:footnote w:id="17">
    <w:p w14:paraId="01C5E91F" w14:textId="77777777" w:rsidR="0022607C" w:rsidRDefault="0022607C" w:rsidP="0022607C">
      <w:pPr>
        <w:pStyle w:val="FootnoteText"/>
      </w:pPr>
      <w:r>
        <w:rPr>
          <w:rStyle w:val="FootnoteReference"/>
        </w:rPr>
        <w:footnoteRef/>
      </w:r>
      <w:r>
        <w:t xml:space="preserve"> </w:t>
      </w:r>
      <w:r>
        <w:tab/>
        <w:t>See Appendix B</w:t>
      </w:r>
    </w:p>
  </w:footnote>
  <w:footnote w:id="18">
    <w:p w14:paraId="208D0E86" w14:textId="77777777" w:rsidR="0022607C" w:rsidRDefault="0022607C" w:rsidP="0022607C">
      <w:pPr>
        <w:pStyle w:val="FootnoteText"/>
      </w:pPr>
      <w:r>
        <w:rPr>
          <w:rStyle w:val="FootnoteReference"/>
        </w:rPr>
        <w:footnoteRef/>
      </w:r>
      <w:r>
        <w:t xml:space="preserve"> </w:t>
      </w:r>
      <w:r>
        <w:tab/>
        <w:t xml:space="preserve">Currie Communications, </w:t>
      </w:r>
      <w:r w:rsidRPr="002F3387">
        <w:rPr>
          <w:i/>
          <w:iCs/>
        </w:rPr>
        <w:t xml:space="preserve">ESC </w:t>
      </w:r>
      <w:r>
        <w:rPr>
          <w:i/>
          <w:iCs/>
        </w:rPr>
        <w:t>Price Sub</w:t>
      </w:r>
      <w:r w:rsidRPr="002F3387">
        <w:rPr>
          <w:i/>
          <w:iCs/>
        </w:rPr>
        <w:t>mission – Customer Consultation Report</w:t>
      </w:r>
      <w:r>
        <w:t>, May 2017, unpublished report.</w:t>
      </w:r>
    </w:p>
  </w:footnote>
  <w:footnote w:id="19">
    <w:p w14:paraId="5E72F05D" w14:textId="77777777" w:rsidR="0022607C" w:rsidRDefault="0022607C" w:rsidP="0022607C">
      <w:pPr>
        <w:pStyle w:val="FootnoteText"/>
      </w:pPr>
      <w:r>
        <w:rPr>
          <w:rStyle w:val="FootnoteReference"/>
        </w:rPr>
        <w:footnoteRef/>
      </w:r>
      <w:r>
        <w:t xml:space="preserve"> </w:t>
      </w:r>
      <w:r>
        <w:tab/>
        <w:t>Such as SRW’s biennial customer survey which gauges customer satisfaction with water delivery, licensing and communication, Community Consultation Committee’s and other ad-hoc research.  Additional SRW’s BAU activities include: regular CCC and SGRF meetings, regional Board tours to meet customers and talk to customers, scheduled meetings with Bulk Entitlement holders, long standing one-to-one relationships between customers and operational staff; an in-house customer service team enabling customers to always interact directly with our staff; regular attendance at field days, where SRW staff can interact first hand with customers; and project specific customer engagement, e.g. on major modernisation, operational and strategic projects </w:t>
      </w:r>
    </w:p>
  </w:footnote>
  <w:footnote w:id="20">
    <w:p w14:paraId="7A7C0DC7" w14:textId="77777777" w:rsidR="0022607C" w:rsidRDefault="0022607C" w:rsidP="0022607C">
      <w:pPr>
        <w:pStyle w:val="FootnoteText"/>
      </w:pPr>
      <w:r>
        <w:rPr>
          <w:rStyle w:val="FootnoteReference"/>
        </w:rPr>
        <w:footnoteRef/>
      </w:r>
      <w:r>
        <w:t xml:space="preserve"> </w:t>
      </w:r>
      <w:r>
        <w:tab/>
        <w:t>Noting other methods, such as a telephone interview survey are considerably more expensive</w:t>
      </w:r>
    </w:p>
  </w:footnote>
  <w:footnote w:id="21">
    <w:p w14:paraId="04297E03" w14:textId="77777777" w:rsidR="0022607C" w:rsidRDefault="0022607C" w:rsidP="0022607C">
      <w:pPr>
        <w:pStyle w:val="FootnoteText"/>
      </w:pPr>
      <w:r>
        <w:rPr>
          <w:rStyle w:val="FootnoteReference"/>
        </w:rPr>
        <w:footnoteRef/>
      </w:r>
      <w:r>
        <w:t xml:space="preserve"> </w:t>
      </w:r>
      <w:r>
        <w:tab/>
        <w:t xml:space="preserve">SRW advised as of June </w:t>
      </w:r>
      <w:r w:rsidRPr="00A8212F">
        <w:t>2022 it had 10,147 customers (see also note 7).</w:t>
      </w:r>
    </w:p>
  </w:footnote>
  <w:footnote w:id="22">
    <w:p w14:paraId="46D3F029" w14:textId="77777777" w:rsidR="0022607C" w:rsidRDefault="0022607C" w:rsidP="0022607C">
      <w:pPr>
        <w:pStyle w:val="FootnoteText"/>
      </w:pPr>
      <w:r>
        <w:rPr>
          <w:rStyle w:val="FootnoteReference"/>
        </w:rPr>
        <w:footnoteRef/>
      </w:r>
      <w:r>
        <w:t xml:space="preserve"> </w:t>
      </w:r>
      <w:r>
        <w:tab/>
      </w:r>
      <w:r w:rsidRPr="009552F7">
        <w:t xml:space="preserve">As mentioned by various water corporations during Essential Services Commission </w:t>
      </w:r>
      <w:r>
        <w:t>Price Sub</w:t>
      </w:r>
      <w:r w:rsidRPr="009552F7">
        <w:t>mission 2023 Guidance discussions in 2021.</w:t>
      </w:r>
    </w:p>
  </w:footnote>
  <w:footnote w:id="23">
    <w:p w14:paraId="4BB14224" w14:textId="77777777" w:rsidR="0022607C" w:rsidRPr="00FC5F75" w:rsidRDefault="0022607C" w:rsidP="0022607C">
      <w:pPr>
        <w:pStyle w:val="FootnoteText"/>
      </w:pPr>
      <w:r>
        <w:rPr>
          <w:rStyle w:val="FootnoteReference"/>
        </w:rPr>
        <w:footnoteRef/>
      </w:r>
      <w:r>
        <w:t xml:space="preserve"> </w:t>
      </w:r>
      <w:r>
        <w:tab/>
        <w:t xml:space="preserve">SRW, 2021, </w:t>
      </w:r>
      <w:r w:rsidRPr="00FC5F75">
        <w:rPr>
          <w:i/>
          <w:iCs/>
        </w:rPr>
        <w:t>Request for Proposal: SRW Price Submission 2023-2028 Expert services: Engagement, facilitation and communications</w:t>
      </w:r>
      <w:r>
        <w:t>, p. 4.</w:t>
      </w:r>
    </w:p>
  </w:footnote>
  <w:footnote w:id="24">
    <w:p w14:paraId="6A433279" w14:textId="77777777" w:rsidR="0022607C" w:rsidRDefault="0022607C" w:rsidP="0022607C">
      <w:pPr>
        <w:pStyle w:val="FootnoteText"/>
      </w:pPr>
      <w:r>
        <w:rPr>
          <w:rStyle w:val="FootnoteReference"/>
        </w:rPr>
        <w:footnoteRef/>
      </w:r>
      <w:r>
        <w:t xml:space="preserve"> </w:t>
      </w:r>
      <w:r>
        <w:tab/>
        <w:t xml:space="preserve">SRW, 2021, </w:t>
      </w:r>
      <w:r w:rsidRPr="00DC765A">
        <w:rPr>
          <w:i/>
          <w:iCs/>
        </w:rPr>
        <w:t>Price Submission 2023 Customer Reference Group - Terms of Reference</w:t>
      </w:r>
      <w:r>
        <w:t>, p.1, unpublished document.</w:t>
      </w:r>
    </w:p>
  </w:footnote>
  <w:footnote w:id="25">
    <w:p w14:paraId="2EF42C2B" w14:textId="77777777" w:rsidR="0022607C" w:rsidRDefault="0022607C" w:rsidP="0022607C">
      <w:pPr>
        <w:pStyle w:val="FootnoteText"/>
      </w:pPr>
      <w:r>
        <w:rPr>
          <w:rStyle w:val="FootnoteReference"/>
        </w:rPr>
        <w:footnoteRef/>
      </w:r>
      <w:r>
        <w:t xml:space="preserve"> </w:t>
      </w:r>
      <w:r>
        <w:tab/>
        <w:t>Ibid.</w:t>
      </w:r>
    </w:p>
  </w:footnote>
  <w:footnote w:id="26">
    <w:p w14:paraId="684F29C9" w14:textId="77777777" w:rsidR="0022607C" w:rsidRDefault="0022607C" w:rsidP="0022607C">
      <w:pPr>
        <w:pStyle w:val="FootnoteText"/>
      </w:pPr>
      <w:r>
        <w:rPr>
          <w:rStyle w:val="FootnoteReference"/>
        </w:rPr>
        <w:footnoteRef/>
      </w:r>
      <w:r>
        <w:t xml:space="preserve"> </w:t>
      </w:r>
      <w:r>
        <w:tab/>
      </w:r>
      <w:r w:rsidRPr="00DA248A">
        <w:t>Ibid.</w:t>
      </w:r>
    </w:p>
  </w:footnote>
  <w:footnote w:id="27">
    <w:p w14:paraId="4002FEC1" w14:textId="77777777" w:rsidR="0022607C" w:rsidRDefault="0022607C" w:rsidP="0022607C">
      <w:pPr>
        <w:pStyle w:val="FootnoteText"/>
      </w:pPr>
      <w:r>
        <w:rPr>
          <w:rStyle w:val="FootnoteReference"/>
        </w:rPr>
        <w:footnoteRef/>
      </w:r>
      <w:r>
        <w:t xml:space="preserve"> </w:t>
      </w:r>
      <w:r>
        <w:tab/>
        <w:t>Including a one member who left the organisation in May 2022.</w:t>
      </w:r>
    </w:p>
  </w:footnote>
  <w:footnote w:id="28">
    <w:p w14:paraId="4DF3F9D2" w14:textId="77777777" w:rsidR="0022607C" w:rsidRDefault="0022607C" w:rsidP="0022607C">
      <w:pPr>
        <w:pStyle w:val="FootnoteText"/>
      </w:pPr>
      <w:r>
        <w:rPr>
          <w:rStyle w:val="FootnoteReference"/>
        </w:rPr>
        <w:footnoteRef/>
      </w:r>
      <w:r>
        <w:t xml:space="preserve"> </w:t>
      </w:r>
      <w:r>
        <w:tab/>
        <w:t>SRW was not keen to offer an incentive to customers to complete the survey and we respect SRW’s choice.</w:t>
      </w:r>
    </w:p>
  </w:footnote>
  <w:footnote w:id="29">
    <w:p w14:paraId="23C3C09D" w14:textId="77777777" w:rsidR="0022607C" w:rsidRDefault="0022607C" w:rsidP="0022607C">
      <w:pPr>
        <w:pStyle w:val="FootnoteText"/>
      </w:pPr>
      <w:r>
        <w:rPr>
          <w:rStyle w:val="FootnoteReference"/>
        </w:rPr>
        <w:footnoteRef/>
      </w:r>
      <w:r>
        <w:t xml:space="preserve"> </w:t>
      </w:r>
      <w:r>
        <w:tab/>
        <w:t>We note SRW offered to remunerate CRG participants, but most declined the offer.</w:t>
      </w:r>
    </w:p>
  </w:footnote>
  <w:footnote w:id="30">
    <w:p w14:paraId="27C0F9EA" w14:textId="77777777" w:rsidR="0022607C" w:rsidRDefault="0022607C" w:rsidP="0022607C">
      <w:pPr>
        <w:pStyle w:val="FootnoteText"/>
      </w:pPr>
      <w:r>
        <w:rPr>
          <w:rStyle w:val="FootnoteReference"/>
        </w:rPr>
        <w:footnoteRef/>
      </w:r>
      <w:r>
        <w:tab/>
        <w:t xml:space="preserve">International Association for Public Participation, </w:t>
      </w:r>
      <w:r w:rsidRPr="00055CBB">
        <w:rPr>
          <w:i/>
          <w:iCs/>
        </w:rPr>
        <w:t>Quality Assurance Standard for Community and Stakeholder Engagement</w:t>
      </w:r>
      <w:r>
        <w:t xml:space="preserve">, May 2015, </w:t>
      </w:r>
      <w:r w:rsidRPr="00055CBB">
        <w:t>https://iap2.org.au/wp-content/uploads/2019/07/IAP2_Quality_Assurance_Standard_2015.pdf</w:t>
      </w:r>
    </w:p>
  </w:footnote>
  <w:footnote w:id="31">
    <w:p w14:paraId="3140464C" w14:textId="77777777" w:rsidR="0022607C" w:rsidRDefault="0022607C" w:rsidP="0022607C">
      <w:pPr>
        <w:pStyle w:val="FootnoteText"/>
      </w:pPr>
      <w:r>
        <w:rPr>
          <w:rStyle w:val="FootnoteReference"/>
        </w:rPr>
        <w:footnoteRef/>
      </w:r>
      <w:r>
        <w:t xml:space="preserve"> </w:t>
      </w:r>
      <w:r>
        <w:tab/>
        <w:t xml:space="preserve">Farrier Swier, </w:t>
      </w:r>
      <w:r w:rsidRPr="005F1775">
        <w:rPr>
          <w:i/>
          <w:iCs/>
        </w:rPr>
        <w:t>Victoria’s Water Sector: The PREMO Model for Economic Regulation</w:t>
      </w:r>
      <w:r>
        <w:t>, March 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C36D7E" w14:textId="77777777" w:rsidR="007E0966" w:rsidRDefault="007E096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B35ED" w14:textId="167B37C2" w:rsidR="00141DEC" w:rsidRPr="00630D51" w:rsidRDefault="00141DEC" w:rsidP="00141DEC">
    <w:pPr>
      <w:pStyle w:val="Header"/>
      <w:jc w:val="right"/>
      <w:rPr>
        <w:sz w:val="20"/>
        <w:szCs w:val="20"/>
      </w:rPr>
    </w:pPr>
    <w:r w:rsidRPr="00630D51">
      <w:rPr>
        <w:sz w:val="20"/>
        <w:szCs w:val="20"/>
      </w:rPr>
      <w:t>Southern Rural Water</w:t>
    </w:r>
  </w:p>
  <w:p w14:paraId="734F5000" w14:textId="4DCD4052" w:rsidR="002E3560" w:rsidRPr="00630D51" w:rsidRDefault="00E167E3" w:rsidP="00141DEC">
    <w:pPr>
      <w:pStyle w:val="Header"/>
      <w:jc w:val="right"/>
      <w:rPr>
        <w:sz w:val="20"/>
        <w:szCs w:val="20"/>
      </w:rPr>
    </w:pPr>
    <w:r w:rsidRPr="00630D51">
      <w:rPr>
        <w:sz w:val="20"/>
        <w:szCs w:val="20"/>
      </w:rPr>
      <w:t>Price Submission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86C2B3" w14:textId="1016C0A8" w:rsidR="00FF1F00" w:rsidRDefault="00FF1F0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3EF689" w14:textId="12841E1B" w:rsidR="0022607C" w:rsidRPr="0022607C" w:rsidRDefault="0022607C">
    <w:pPr>
      <w:pStyle w:val="Header"/>
      <w:pBdr>
        <w:bottom w:val="single" w:sz="12" w:space="2" w:color="0070C0"/>
      </w:pBdr>
      <w:tabs>
        <w:tab w:val="right" w:pos="14317"/>
      </w:tabs>
      <w:rPr>
        <w:rFonts w:ascii="Calibri" w:hAnsi="Calibri" w:cs="Calibri"/>
        <w:color w:val="0070C0"/>
      </w:rPr>
    </w:pPr>
    <w:r w:rsidRPr="0022607C">
      <w:rPr>
        <w:rFonts w:ascii="Calibri" w:hAnsi="Calibri" w:cs="Calibri"/>
        <w:noProof/>
        <w:color w:val="0070C0"/>
      </w:rPr>
      <w:drawing>
        <wp:anchor distT="0" distB="0" distL="114300" distR="114300" simplePos="0" relativeHeight="251658242" behindDoc="0" locked="0" layoutInCell="1" allowOverlap="1" wp14:anchorId="7B7DC67C" wp14:editId="23347B50">
          <wp:simplePos x="0" y="0"/>
          <wp:positionH relativeFrom="column">
            <wp:posOffset>5006944</wp:posOffset>
          </wp:positionH>
          <wp:positionV relativeFrom="paragraph">
            <wp:posOffset>-111812</wp:posOffset>
          </wp:positionV>
          <wp:extent cx="1087200" cy="410400"/>
          <wp:effectExtent l="0" t="0" r="508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
                    <a:extLst>
                      <a:ext uri="{28A0092B-C50C-407E-A947-70E740481C1C}">
                        <a14:useLocalDpi xmlns:a14="http://schemas.microsoft.com/office/drawing/2010/main" val="0"/>
                      </a:ext>
                    </a:extLst>
                  </a:blip>
                  <a:stretch>
                    <a:fillRect/>
                  </a:stretch>
                </pic:blipFill>
                <pic:spPr>
                  <a:xfrm>
                    <a:off x="0" y="0"/>
                    <a:ext cx="1087200" cy="410400"/>
                  </a:xfrm>
                  <a:prstGeom prst="rect">
                    <a:avLst/>
                  </a:prstGeom>
                </pic:spPr>
              </pic:pic>
            </a:graphicData>
          </a:graphic>
          <wp14:sizeRelH relativeFrom="margin">
            <wp14:pctWidth>0</wp14:pctWidth>
          </wp14:sizeRelH>
          <wp14:sizeRelV relativeFrom="margin">
            <wp14:pctHeight>0</wp14:pctHeight>
          </wp14:sizeRelV>
        </wp:anchor>
      </w:drawing>
    </w:r>
    <w:r w:rsidRPr="004F34FE">
      <w:rPr>
        <w:noProof/>
        <w:color w:val="0070C0"/>
      </w:rPr>
      <w:drawing>
        <wp:anchor distT="0" distB="0" distL="114300" distR="114300" simplePos="0" relativeHeight="251658241" behindDoc="0" locked="0" layoutInCell="1" allowOverlap="1" wp14:anchorId="2F6B64A2" wp14:editId="46007A03">
          <wp:simplePos x="0" y="0"/>
          <wp:positionH relativeFrom="margin">
            <wp:posOffset>8829584</wp:posOffset>
          </wp:positionH>
          <wp:positionV relativeFrom="margin">
            <wp:posOffset>-622300</wp:posOffset>
          </wp:positionV>
          <wp:extent cx="641350" cy="284480"/>
          <wp:effectExtent l="0" t="0" r="6350" b="0"/>
          <wp:wrapSquare wrapText="bothSides"/>
          <wp:docPr id="47" name="Picture 4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Logo, company name&#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641350" cy="284480"/>
                  </a:xfrm>
                  <a:prstGeom prst="rect">
                    <a:avLst/>
                  </a:prstGeom>
                </pic:spPr>
              </pic:pic>
            </a:graphicData>
          </a:graphic>
        </wp:anchor>
      </w:drawing>
    </w:r>
    <w:r w:rsidRPr="004F34FE">
      <w:rPr>
        <w:noProof/>
        <w:color w:val="0070C0"/>
      </w:rPr>
      <mc:AlternateContent>
        <mc:Choice Requires="wps">
          <w:drawing>
            <wp:anchor distT="0" distB="0" distL="114300" distR="114300" simplePos="0" relativeHeight="251658240" behindDoc="1" locked="0" layoutInCell="0" allowOverlap="1" wp14:anchorId="1B5592CB" wp14:editId="3CED3716">
              <wp:simplePos x="0" y="0"/>
              <wp:positionH relativeFrom="margin">
                <wp:align>center</wp:align>
              </wp:positionH>
              <wp:positionV relativeFrom="margin">
                <wp:align>center</wp:align>
              </wp:positionV>
              <wp:extent cx="7453630" cy="621030"/>
              <wp:effectExtent l="0" t="0" r="0" b="0"/>
              <wp:wrapNone/>
              <wp:docPr id="35" name="WordArt 2" hidden="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rot="18900000">
                        <a:off x="0" y="0"/>
                        <a:ext cx="7453630" cy="6210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09D5A59C" w14:textId="77777777" w:rsidR="0022607C" w:rsidRDefault="0022607C">
                          <w:r>
                            <w:rPr>
                              <w:lang w:val="en-GB"/>
                            </w:rPr>
                            <w:t>DRAFT NOT PROOF READ</w:t>
                          </w:r>
                        </w:p>
                      </w:txbxContent>
                    </wps:txbx>
                    <wps:bodyPr wrap="square" numCol="1" fromWordArt="1">
                      <a:prstTxWarp prst="textPlain">
                        <a:avLst>
                          <a:gd name="adj" fmla="val 50000"/>
                        </a:avLst>
                      </a:prstTxWarp>
                      <a:noAutofit/>
                    </wps:bodyPr>
                  </wps:wsp>
                </a:graphicData>
              </a:graphic>
              <wp14:sizeRelH relativeFrom="page">
                <wp14:pctWidth>0</wp14:pctWidth>
              </wp14:sizeRelH>
              <wp14:sizeRelV relativeFrom="page">
                <wp14:pctHeight>0</wp14:pctHeight>
              </wp14:sizeRelV>
            </wp:anchor>
          </w:drawing>
        </mc:Choice>
        <mc:Fallback>
          <w:pict>
            <v:shapetype w14:anchorId="1B5592CB" id="_x0000_t202" coordsize="21600,21600" o:spt="202" path="m,l,21600r21600,l21600,xe">
              <v:stroke joinstyle="miter"/>
              <v:path gradientshapeok="t" o:connecttype="rect"/>
            </v:shapetype>
            <v:shape id="WordArt 2" o:spid="_x0000_s1027" type="#_x0000_t202" style="position:absolute;margin-left:0;margin-top:0;width:586.9pt;height:48.9pt;rotation:-45;z-index:-251658240;visibility:hidden;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" o:allowincell="f" filled="f" stroked="f">
              <v:stroke joinstyle="round"/>
              <v:path arrowok="t"/>
              <v:textbox>
                <w:txbxContent>
                  <w:p w14:paraId="09D5A59C" w14:textId="77777777" w:rsidR="0022607C" w:rsidRDefault="0022607C">
                    <w:r>
                      <w:rPr>
                        <w:lang w:val="en-GB"/>
                      </w:rPr>
                      <w:t>DRAFT NOT PROOF READ</w:t>
                    </w:r>
                  </w:p>
                </w:txbxContent>
              </v:textbox>
              <w10:wrap anchorx="margin" anchory="margin"/>
            </v:shape>
          </w:pict>
        </mc:Fallback>
      </mc:AlternateContent>
    </w:r>
    <w:r w:rsidRPr="0022607C">
      <w:rPr>
        <w:rFonts w:ascii="Calibri" w:hAnsi="Calibri" w:cs="Calibri"/>
        <w:color w:val="0070C0"/>
      </w:rPr>
      <w:t>Price Submission 2023 – Engagement Report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15BFC5" w14:textId="53E9A2D4" w:rsidR="0022607C" w:rsidRPr="0022607C" w:rsidRDefault="0022607C">
    <w:pPr>
      <w:pStyle w:val="Header"/>
      <w:rPr>
        <w:rFonts w:ascii="Calibri" w:hAnsi="Calibri" w:cs="Calibri"/>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0318167E"/>
    <w:lvl w:ilvl="0">
      <w:start w:val="1"/>
      <w:numFmt w:val="decimal"/>
      <w:pStyle w:val="ListNumber2"/>
      <w:lvlText w:val="%1."/>
      <w:lvlJc w:val="left"/>
      <w:pPr>
        <w:tabs>
          <w:tab w:val="num" w:pos="643"/>
        </w:tabs>
        <w:ind w:left="643" w:hanging="360"/>
      </w:pPr>
    </w:lvl>
  </w:abstractNum>
  <w:abstractNum w:abstractNumId="1" w15:restartNumberingAfterBreak="0">
    <w:nsid w:val="FFFFFF83"/>
    <w:multiLevelType w:val="singleLevel"/>
    <w:tmpl w:val="A8EE2506"/>
    <w:lvl w:ilvl="0">
      <w:start w:val="1"/>
      <w:numFmt w:val="bullet"/>
      <w:pStyle w:val="ListBullet2"/>
      <w:lvlText w:val=""/>
      <w:lvlJc w:val="left"/>
      <w:pPr>
        <w:ind w:left="643" w:hanging="360"/>
      </w:pPr>
      <w:rPr>
        <w:rFonts w:ascii="Symbol" w:hAnsi="Symbol" w:hint="default"/>
      </w:rPr>
    </w:lvl>
  </w:abstractNum>
  <w:abstractNum w:abstractNumId="2" w15:restartNumberingAfterBreak="0">
    <w:nsid w:val="FFFFFF89"/>
    <w:multiLevelType w:val="singleLevel"/>
    <w:tmpl w:val="0BECB8DC"/>
    <w:styleLink w:val="1ai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3BE4174"/>
    <w:multiLevelType w:val="hybridMultilevel"/>
    <w:tmpl w:val="66A41B3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5A95EAF"/>
    <w:multiLevelType w:val="multilevel"/>
    <w:tmpl w:val="0C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5EB302D"/>
    <w:multiLevelType w:val="hybridMultilevel"/>
    <w:tmpl w:val="207A3C24"/>
    <w:lvl w:ilvl="0" w:tplc="91E8F694">
      <w:start w:val="1"/>
      <w:numFmt w:val="bullet"/>
      <w:pStyle w:val="Bulletpointparagraph"/>
      <w:lvlText w:val=""/>
      <w:lvlJc w:val="left"/>
      <w:pPr>
        <w:ind w:left="720" w:hanging="360"/>
      </w:pPr>
      <w:rPr>
        <w:rFonts w:ascii="Symbol" w:hAnsi="Symbol" w:hint="default"/>
        <w:color w:val="00B1B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64F33ED"/>
    <w:multiLevelType w:val="hybridMultilevel"/>
    <w:tmpl w:val="76FAD88C"/>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6D247AA"/>
    <w:multiLevelType w:val="hybridMultilevel"/>
    <w:tmpl w:val="5B6822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15:restartNumberingAfterBreak="0">
    <w:nsid w:val="0ADD78C6"/>
    <w:multiLevelType w:val="hybridMultilevel"/>
    <w:tmpl w:val="389AE56A"/>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276834"/>
    <w:multiLevelType w:val="hybridMultilevel"/>
    <w:tmpl w:val="D4BCB730"/>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151A44"/>
    <w:multiLevelType w:val="hybridMultilevel"/>
    <w:tmpl w:val="C8FC1DB2"/>
    <w:lvl w:ilvl="0" w:tplc="A5702666">
      <w:start w:val="1"/>
      <w:numFmt w:val="bullet"/>
      <w:lvlText w:val="•"/>
      <w:lvlJc w:val="left"/>
      <w:pPr>
        <w:tabs>
          <w:tab w:val="num" w:pos="720"/>
        </w:tabs>
        <w:ind w:left="720" w:hanging="360"/>
      </w:pPr>
      <w:rPr>
        <w:rFonts w:ascii="Arial" w:hAnsi="Arial" w:hint="default"/>
      </w:rPr>
    </w:lvl>
    <w:lvl w:ilvl="1" w:tplc="7098DBFC" w:tentative="1">
      <w:start w:val="1"/>
      <w:numFmt w:val="bullet"/>
      <w:lvlText w:val="•"/>
      <w:lvlJc w:val="left"/>
      <w:pPr>
        <w:tabs>
          <w:tab w:val="num" w:pos="1440"/>
        </w:tabs>
        <w:ind w:left="1440" w:hanging="360"/>
      </w:pPr>
      <w:rPr>
        <w:rFonts w:ascii="Arial" w:hAnsi="Arial" w:hint="default"/>
      </w:rPr>
    </w:lvl>
    <w:lvl w:ilvl="2" w:tplc="0158FEBA" w:tentative="1">
      <w:start w:val="1"/>
      <w:numFmt w:val="bullet"/>
      <w:lvlText w:val="•"/>
      <w:lvlJc w:val="left"/>
      <w:pPr>
        <w:tabs>
          <w:tab w:val="num" w:pos="2160"/>
        </w:tabs>
        <w:ind w:left="2160" w:hanging="360"/>
      </w:pPr>
      <w:rPr>
        <w:rFonts w:ascii="Arial" w:hAnsi="Arial" w:hint="default"/>
      </w:rPr>
    </w:lvl>
    <w:lvl w:ilvl="3" w:tplc="BB1EDEB8" w:tentative="1">
      <w:start w:val="1"/>
      <w:numFmt w:val="bullet"/>
      <w:lvlText w:val="•"/>
      <w:lvlJc w:val="left"/>
      <w:pPr>
        <w:tabs>
          <w:tab w:val="num" w:pos="2880"/>
        </w:tabs>
        <w:ind w:left="2880" w:hanging="360"/>
      </w:pPr>
      <w:rPr>
        <w:rFonts w:ascii="Arial" w:hAnsi="Arial" w:hint="default"/>
      </w:rPr>
    </w:lvl>
    <w:lvl w:ilvl="4" w:tplc="E0441234" w:tentative="1">
      <w:start w:val="1"/>
      <w:numFmt w:val="bullet"/>
      <w:lvlText w:val="•"/>
      <w:lvlJc w:val="left"/>
      <w:pPr>
        <w:tabs>
          <w:tab w:val="num" w:pos="3600"/>
        </w:tabs>
        <w:ind w:left="3600" w:hanging="360"/>
      </w:pPr>
      <w:rPr>
        <w:rFonts w:ascii="Arial" w:hAnsi="Arial" w:hint="default"/>
      </w:rPr>
    </w:lvl>
    <w:lvl w:ilvl="5" w:tplc="AFD4EA74" w:tentative="1">
      <w:start w:val="1"/>
      <w:numFmt w:val="bullet"/>
      <w:lvlText w:val="•"/>
      <w:lvlJc w:val="left"/>
      <w:pPr>
        <w:tabs>
          <w:tab w:val="num" w:pos="4320"/>
        </w:tabs>
        <w:ind w:left="4320" w:hanging="360"/>
      </w:pPr>
      <w:rPr>
        <w:rFonts w:ascii="Arial" w:hAnsi="Arial" w:hint="default"/>
      </w:rPr>
    </w:lvl>
    <w:lvl w:ilvl="6" w:tplc="E47AC7BC" w:tentative="1">
      <w:start w:val="1"/>
      <w:numFmt w:val="bullet"/>
      <w:lvlText w:val="•"/>
      <w:lvlJc w:val="left"/>
      <w:pPr>
        <w:tabs>
          <w:tab w:val="num" w:pos="5040"/>
        </w:tabs>
        <w:ind w:left="5040" w:hanging="360"/>
      </w:pPr>
      <w:rPr>
        <w:rFonts w:ascii="Arial" w:hAnsi="Arial" w:hint="default"/>
      </w:rPr>
    </w:lvl>
    <w:lvl w:ilvl="7" w:tplc="EC0ADDC4" w:tentative="1">
      <w:start w:val="1"/>
      <w:numFmt w:val="bullet"/>
      <w:lvlText w:val="•"/>
      <w:lvlJc w:val="left"/>
      <w:pPr>
        <w:tabs>
          <w:tab w:val="num" w:pos="5760"/>
        </w:tabs>
        <w:ind w:left="5760" w:hanging="360"/>
      </w:pPr>
      <w:rPr>
        <w:rFonts w:ascii="Arial" w:hAnsi="Arial" w:hint="default"/>
      </w:rPr>
    </w:lvl>
    <w:lvl w:ilvl="8" w:tplc="49DE4CD8"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0D3C719A"/>
    <w:multiLevelType w:val="hybridMultilevel"/>
    <w:tmpl w:val="ED601070"/>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0DAC3F1A"/>
    <w:multiLevelType w:val="hybridMultilevel"/>
    <w:tmpl w:val="0BE01446"/>
    <w:lvl w:ilvl="0" w:tplc="0C4C3C2E">
      <w:start w:val="1"/>
      <w:numFmt w:val="bullet"/>
      <w:pStyle w:val="StyleListBulletBlackJustifiedBefore0p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1384992"/>
    <w:multiLevelType w:val="hybridMultilevel"/>
    <w:tmpl w:val="3FF6488C"/>
    <w:lvl w:ilvl="0" w:tplc="0C090001">
      <w:start w:val="1"/>
      <w:numFmt w:val="bullet"/>
      <w:lvlText w:val=""/>
      <w:lvlJc w:val="left"/>
      <w:pPr>
        <w:ind w:left="360" w:hanging="360"/>
      </w:pPr>
      <w:rPr>
        <w:rFonts w:ascii="Symbol" w:hAnsi="Symbol" w:hint="default"/>
        <w:b/>
        <w:i w:val="0"/>
        <w:color w:val="00B1B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4" w15:restartNumberingAfterBreak="0">
    <w:nsid w:val="13403CBB"/>
    <w:multiLevelType w:val="hybridMultilevel"/>
    <w:tmpl w:val="417A68A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151E653C"/>
    <w:multiLevelType w:val="hybridMultilevel"/>
    <w:tmpl w:val="133EA86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6" w15:restartNumberingAfterBreak="0">
    <w:nsid w:val="16EA483F"/>
    <w:multiLevelType w:val="hybridMultilevel"/>
    <w:tmpl w:val="B3AAFF7A"/>
    <w:lvl w:ilvl="0" w:tplc="4C06F95A">
      <w:start w:val="1"/>
      <w:numFmt w:val="bullet"/>
      <w:pStyle w:val="Tablebullet"/>
      <w:lvlText w:val=""/>
      <w:lvlJc w:val="left"/>
      <w:pPr>
        <w:ind w:left="502"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3D0B60"/>
    <w:multiLevelType w:val="hybridMultilevel"/>
    <w:tmpl w:val="218A2E56"/>
    <w:lvl w:ilvl="0" w:tplc="0C09000F">
      <w:start w:val="1"/>
      <w:numFmt w:val="decimal"/>
      <w:lvlText w:val="%1."/>
      <w:lvlJc w:val="left"/>
      <w:pPr>
        <w:ind w:left="360" w:hanging="360"/>
      </w:pPr>
      <w:rPr>
        <w:rFonts w:hint="default"/>
      </w:rPr>
    </w:lvl>
    <w:lvl w:ilvl="1" w:tplc="FFFFFFFF">
      <w:start w:val="1"/>
      <w:numFmt w:val="bullet"/>
      <w:lvlText w:val="o"/>
      <w:lvlJc w:val="left"/>
      <w:pPr>
        <w:ind w:left="1080" w:hanging="360"/>
      </w:pPr>
      <w:rPr>
        <w:rFonts w:ascii="Courier New" w:hAnsi="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8" w15:restartNumberingAfterBreak="0">
    <w:nsid w:val="1D5C0979"/>
    <w:multiLevelType w:val="hybridMultilevel"/>
    <w:tmpl w:val="1624D4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9" w15:restartNumberingAfterBreak="0">
    <w:nsid w:val="1DD05986"/>
    <w:multiLevelType w:val="hybridMultilevel"/>
    <w:tmpl w:val="498E59A0"/>
    <w:lvl w:ilvl="0" w:tplc="BC14CF5C">
      <w:start w:val="1"/>
      <w:numFmt w:val="decimal"/>
      <w:pStyle w:val="NumberedHeading3"/>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31C2788"/>
    <w:multiLevelType w:val="hybridMultilevel"/>
    <w:tmpl w:val="A878791A"/>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3484A06"/>
    <w:multiLevelType w:val="hybridMultilevel"/>
    <w:tmpl w:val="F5464346"/>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3F526C0"/>
    <w:multiLevelType w:val="hybridMultilevel"/>
    <w:tmpl w:val="96D0142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240B7C15"/>
    <w:multiLevelType w:val="hybridMultilevel"/>
    <w:tmpl w:val="9266D504"/>
    <w:lvl w:ilvl="0" w:tplc="0C090001">
      <w:start w:val="1"/>
      <w:numFmt w:val="bullet"/>
      <w:lvlText w:val=""/>
      <w:lvlJc w:val="left"/>
      <w:pPr>
        <w:ind w:left="720" w:hanging="360"/>
      </w:pPr>
      <w:rPr>
        <w:rFonts w:ascii="Symbol" w:hAnsi="Symbol" w:hint="default"/>
        <w:b/>
        <w:i w:val="0"/>
        <w:color w:val="00B1B0"/>
        <w:sz w:val="22"/>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246B5A91"/>
    <w:multiLevelType w:val="hybridMultilevel"/>
    <w:tmpl w:val="9038547C"/>
    <w:lvl w:ilvl="0" w:tplc="08724522">
      <w:start w:val="1"/>
      <w:numFmt w:val="decimal"/>
      <w:pStyle w:val="ListParagraph"/>
      <w:lvlText w:val="%1."/>
      <w:lvlJc w:val="left"/>
      <w:pPr>
        <w:ind w:left="360" w:hanging="360"/>
      </w:pPr>
      <w:rPr>
        <w:rFonts w:ascii="Arial" w:hAnsi="Arial" w:hint="default"/>
        <w:b/>
        <w:i w:val="0"/>
        <w:color w:val="00B1B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5" w15:restartNumberingAfterBreak="0">
    <w:nsid w:val="24FA4878"/>
    <w:multiLevelType w:val="hybridMultilevel"/>
    <w:tmpl w:val="08C00512"/>
    <w:lvl w:ilvl="0" w:tplc="0C090001">
      <w:start w:val="1"/>
      <w:numFmt w:val="bullet"/>
      <w:lvlText w:val=""/>
      <w:lvlJc w:val="left"/>
      <w:pPr>
        <w:ind w:left="1800" w:hanging="360"/>
      </w:pPr>
      <w:rPr>
        <w:rFonts w:ascii="Symbol" w:hAnsi="Symbol" w:hint="default"/>
        <w:b/>
        <w:i w:val="0"/>
        <w:color w:val="00B1B0"/>
        <w:sz w:val="22"/>
      </w:rPr>
    </w:lvl>
    <w:lvl w:ilvl="1" w:tplc="FFFFFFFF" w:tentative="1">
      <w:start w:val="1"/>
      <w:numFmt w:val="bullet"/>
      <w:lvlText w:val="o"/>
      <w:lvlJc w:val="left"/>
      <w:pPr>
        <w:ind w:left="2520" w:hanging="360"/>
      </w:pPr>
      <w:rPr>
        <w:rFonts w:ascii="Courier New" w:hAnsi="Courier New" w:cs="Courier New" w:hint="default"/>
      </w:rPr>
    </w:lvl>
    <w:lvl w:ilvl="2" w:tplc="FFFFFFFF" w:tentative="1">
      <w:start w:val="1"/>
      <w:numFmt w:val="bullet"/>
      <w:lvlText w:val=""/>
      <w:lvlJc w:val="left"/>
      <w:pPr>
        <w:ind w:left="3240" w:hanging="360"/>
      </w:pPr>
      <w:rPr>
        <w:rFonts w:ascii="Wingdings" w:hAnsi="Wingdings" w:hint="default"/>
      </w:rPr>
    </w:lvl>
    <w:lvl w:ilvl="3" w:tplc="FFFFFFFF" w:tentative="1">
      <w:start w:val="1"/>
      <w:numFmt w:val="bullet"/>
      <w:lvlText w:val=""/>
      <w:lvlJc w:val="left"/>
      <w:pPr>
        <w:ind w:left="3960" w:hanging="360"/>
      </w:pPr>
      <w:rPr>
        <w:rFonts w:ascii="Symbol" w:hAnsi="Symbol" w:hint="default"/>
      </w:rPr>
    </w:lvl>
    <w:lvl w:ilvl="4" w:tplc="FFFFFFFF" w:tentative="1">
      <w:start w:val="1"/>
      <w:numFmt w:val="bullet"/>
      <w:lvlText w:val="o"/>
      <w:lvlJc w:val="left"/>
      <w:pPr>
        <w:ind w:left="4680" w:hanging="360"/>
      </w:pPr>
      <w:rPr>
        <w:rFonts w:ascii="Courier New" w:hAnsi="Courier New" w:cs="Courier New" w:hint="default"/>
      </w:rPr>
    </w:lvl>
    <w:lvl w:ilvl="5" w:tplc="FFFFFFFF" w:tentative="1">
      <w:start w:val="1"/>
      <w:numFmt w:val="bullet"/>
      <w:lvlText w:val=""/>
      <w:lvlJc w:val="left"/>
      <w:pPr>
        <w:ind w:left="5400" w:hanging="360"/>
      </w:pPr>
      <w:rPr>
        <w:rFonts w:ascii="Wingdings" w:hAnsi="Wingdings" w:hint="default"/>
      </w:rPr>
    </w:lvl>
    <w:lvl w:ilvl="6" w:tplc="FFFFFFFF" w:tentative="1">
      <w:start w:val="1"/>
      <w:numFmt w:val="bullet"/>
      <w:lvlText w:val=""/>
      <w:lvlJc w:val="left"/>
      <w:pPr>
        <w:ind w:left="6120" w:hanging="360"/>
      </w:pPr>
      <w:rPr>
        <w:rFonts w:ascii="Symbol" w:hAnsi="Symbol" w:hint="default"/>
      </w:rPr>
    </w:lvl>
    <w:lvl w:ilvl="7" w:tplc="FFFFFFFF" w:tentative="1">
      <w:start w:val="1"/>
      <w:numFmt w:val="bullet"/>
      <w:lvlText w:val="o"/>
      <w:lvlJc w:val="left"/>
      <w:pPr>
        <w:ind w:left="6840" w:hanging="360"/>
      </w:pPr>
      <w:rPr>
        <w:rFonts w:ascii="Courier New" w:hAnsi="Courier New" w:cs="Courier New" w:hint="default"/>
      </w:rPr>
    </w:lvl>
    <w:lvl w:ilvl="8" w:tplc="FFFFFFFF" w:tentative="1">
      <w:start w:val="1"/>
      <w:numFmt w:val="bullet"/>
      <w:lvlText w:val=""/>
      <w:lvlJc w:val="left"/>
      <w:pPr>
        <w:ind w:left="7560" w:hanging="360"/>
      </w:pPr>
      <w:rPr>
        <w:rFonts w:ascii="Wingdings" w:hAnsi="Wingdings" w:hint="default"/>
      </w:rPr>
    </w:lvl>
  </w:abstractNum>
  <w:abstractNum w:abstractNumId="26" w15:restartNumberingAfterBreak="0">
    <w:nsid w:val="254C14AB"/>
    <w:multiLevelType w:val="hybridMultilevel"/>
    <w:tmpl w:val="28F234D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26110652"/>
    <w:multiLevelType w:val="hybridMultilevel"/>
    <w:tmpl w:val="5562104A"/>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26E73479"/>
    <w:multiLevelType w:val="hybridMultilevel"/>
    <w:tmpl w:val="8E7499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277F7719"/>
    <w:multiLevelType w:val="hybridMultilevel"/>
    <w:tmpl w:val="B2CE3AD2"/>
    <w:lvl w:ilvl="0" w:tplc="0BD8B428">
      <w:start w:val="1"/>
      <w:numFmt w:val="bullet"/>
      <w:pStyle w:val="ListBullet3"/>
      <w:lvlText w:val=""/>
      <w:lvlJc w:val="left"/>
      <w:pPr>
        <w:tabs>
          <w:tab w:val="num" w:pos="360"/>
        </w:tabs>
        <w:ind w:left="360" w:hanging="360"/>
      </w:pPr>
      <w:rPr>
        <w:rFonts w:ascii="Symbol" w:eastAsia="Times New Roman" w:hAnsi="Symbol" w:cs="Times New Roman" w:hint="default"/>
        <w:color w:val="auto"/>
      </w:rPr>
    </w:lvl>
    <w:lvl w:ilvl="1" w:tplc="DF8EEB62" w:tentative="1">
      <w:start w:val="1"/>
      <w:numFmt w:val="bullet"/>
      <w:pStyle w:val="ListBullet3"/>
      <w:lvlText w:val="o"/>
      <w:lvlJc w:val="left"/>
      <w:pPr>
        <w:tabs>
          <w:tab w:val="num" w:pos="1440"/>
        </w:tabs>
        <w:ind w:left="1440" w:hanging="360"/>
      </w:pPr>
      <w:rPr>
        <w:rFonts w:ascii="Courier New" w:hAnsi="Courier New" w:cs="Courier New" w:hint="default"/>
      </w:rPr>
    </w:lvl>
    <w:lvl w:ilvl="2" w:tplc="CB1EBAAE" w:tentative="1">
      <w:start w:val="1"/>
      <w:numFmt w:val="bullet"/>
      <w:lvlText w:val=""/>
      <w:lvlJc w:val="left"/>
      <w:pPr>
        <w:tabs>
          <w:tab w:val="num" w:pos="2160"/>
        </w:tabs>
        <w:ind w:left="2160" w:hanging="360"/>
      </w:pPr>
      <w:rPr>
        <w:rFonts w:ascii="Wingdings" w:hAnsi="Wingdings" w:hint="default"/>
      </w:rPr>
    </w:lvl>
    <w:lvl w:ilvl="3" w:tplc="29D8C78E" w:tentative="1">
      <w:start w:val="1"/>
      <w:numFmt w:val="bullet"/>
      <w:lvlText w:val=""/>
      <w:lvlJc w:val="left"/>
      <w:pPr>
        <w:tabs>
          <w:tab w:val="num" w:pos="2880"/>
        </w:tabs>
        <w:ind w:left="2880" w:hanging="360"/>
      </w:pPr>
      <w:rPr>
        <w:rFonts w:ascii="Symbol" w:hAnsi="Symbol" w:hint="default"/>
      </w:rPr>
    </w:lvl>
    <w:lvl w:ilvl="4" w:tplc="1798A164" w:tentative="1">
      <w:start w:val="1"/>
      <w:numFmt w:val="bullet"/>
      <w:lvlText w:val="o"/>
      <w:lvlJc w:val="left"/>
      <w:pPr>
        <w:tabs>
          <w:tab w:val="num" w:pos="3600"/>
        </w:tabs>
        <w:ind w:left="3600" w:hanging="360"/>
      </w:pPr>
      <w:rPr>
        <w:rFonts w:ascii="Courier New" w:hAnsi="Courier New" w:cs="Courier New" w:hint="default"/>
      </w:rPr>
    </w:lvl>
    <w:lvl w:ilvl="5" w:tplc="FF503C52" w:tentative="1">
      <w:start w:val="1"/>
      <w:numFmt w:val="bullet"/>
      <w:lvlText w:val=""/>
      <w:lvlJc w:val="left"/>
      <w:pPr>
        <w:tabs>
          <w:tab w:val="num" w:pos="4320"/>
        </w:tabs>
        <w:ind w:left="4320" w:hanging="360"/>
      </w:pPr>
      <w:rPr>
        <w:rFonts w:ascii="Wingdings" w:hAnsi="Wingdings" w:hint="default"/>
      </w:rPr>
    </w:lvl>
    <w:lvl w:ilvl="6" w:tplc="69A0BB36" w:tentative="1">
      <w:start w:val="1"/>
      <w:numFmt w:val="bullet"/>
      <w:lvlText w:val=""/>
      <w:lvlJc w:val="left"/>
      <w:pPr>
        <w:tabs>
          <w:tab w:val="num" w:pos="5040"/>
        </w:tabs>
        <w:ind w:left="5040" w:hanging="360"/>
      </w:pPr>
      <w:rPr>
        <w:rFonts w:ascii="Symbol" w:hAnsi="Symbol" w:hint="default"/>
      </w:rPr>
    </w:lvl>
    <w:lvl w:ilvl="7" w:tplc="9746DFAE" w:tentative="1">
      <w:start w:val="1"/>
      <w:numFmt w:val="bullet"/>
      <w:lvlText w:val="o"/>
      <w:lvlJc w:val="left"/>
      <w:pPr>
        <w:tabs>
          <w:tab w:val="num" w:pos="5760"/>
        </w:tabs>
        <w:ind w:left="5760" w:hanging="360"/>
      </w:pPr>
      <w:rPr>
        <w:rFonts w:ascii="Courier New" w:hAnsi="Courier New" w:cs="Courier New" w:hint="default"/>
      </w:rPr>
    </w:lvl>
    <w:lvl w:ilvl="8" w:tplc="C158F1AC"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285B74FD"/>
    <w:multiLevelType w:val="hybridMultilevel"/>
    <w:tmpl w:val="CE402B3A"/>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1" w15:restartNumberingAfterBreak="0">
    <w:nsid w:val="2AD904FF"/>
    <w:multiLevelType w:val="hybridMultilevel"/>
    <w:tmpl w:val="AC9A442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2" w15:restartNumberingAfterBreak="0">
    <w:nsid w:val="2B7C70EB"/>
    <w:multiLevelType w:val="hybridMultilevel"/>
    <w:tmpl w:val="6E4CBC9C"/>
    <w:lvl w:ilvl="0" w:tplc="AE72DDD0">
      <w:start w:val="1"/>
      <w:numFmt w:val="decimal"/>
      <w:pStyle w:val="1NumberedHeading"/>
      <w:lvlText w:val="%1."/>
      <w:lvlJc w:val="left"/>
      <w:pPr>
        <w:ind w:left="8583"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2D955918"/>
    <w:multiLevelType w:val="hybridMultilevel"/>
    <w:tmpl w:val="CCA43998"/>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2EA34E1D"/>
    <w:multiLevelType w:val="hybridMultilevel"/>
    <w:tmpl w:val="0CBAAC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33174970"/>
    <w:multiLevelType w:val="hybridMultilevel"/>
    <w:tmpl w:val="71402224"/>
    <w:lvl w:ilvl="0" w:tplc="0809000F">
      <w:start w:val="1"/>
      <w:numFmt w:val="decimal"/>
      <w:lvlText w:val="%1."/>
      <w:lvlJc w:val="left"/>
      <w:pPr>
        <w:ind w:left="360" w:hanging="360"/>
      </w:pPr>
      <w:rPr>
        <w:rFonts w:hint="default"/>
      </w:rPr>
    </w:lvl>
    <w:lvl w:ilvl="1" w:tplc="FFFFFFFF">
      <w:start w:val="1"/>
      <w:numFmt w:val="bullet"/>
      <w:lvlText w:val="o"/>
      <w:lvlJc w:val="left"/>
      <w:pPr>
        <w:ind w:left="360" w:hanging="360"/>
      </w:pPr>
      <w:rPr>
        <w:rFonts w:ascii="Courier New" w:hAnsi="Courier New" w:hint="default"/>
      </w:rPr>
    </w:lvl>
    <w:lvl w:ilvl="2" w:tplc="FFFFFFFF" w:tentative="1">
      <w:start w:val="1"/>
      <w:numFmt w:val="bullet"/>
      <w:lvlText w:val=""/>
      <w:lvlJc w:val="left"/>
      <w:pPr>
        <w:ind w:left="1080" w:hanging="360"/>
      </w:pPr>
      <w:rPr>
        <w:rFonts w:ascii="Wingdings" w:hAnsi="Wingdings" w:hint="default"/>
      </w:r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36" w15:restartNumberingAfterBreak="0">
    <w:nsid w:val="340B57D0"/>
    <w:multiLevelType w:val="hybridMultilevel"/>
    <w:tmpl w:val="366AF8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349E5138"/>
    <w:multiLevelType w:val="hybridMultilevel"/>
    <w:tmpl w:val="5F300DF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8" w15:restartNumberingAfterBreak="0">
    <w:nsid w:val="34B70A45"/>
    <w:multiLevelType w:val="hybridMultilevel"/>
    <w:tmpl w:val="A490DC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92C094A"/>
    <w:multiLevelType w:val="hybridMultilevel"/>
    <w:tmpl w:val="6CFC6A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3C386577"/>
    <w:multiLevelType w:val="hybridMultilevel"/>
    <w:tmpl w:val="DB7E2616"/>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3CDA42F8"/>
    <w:multiLevelType w:val="hybridMultilevel"/>
    <w:tmpl w:val="DB38842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3F2C4126"/>
    <w:multiLevelType w:val="hybridMultilevel"/>
    <w:tmpl w:val="4588E16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41702C5D"/>
    <w:multiLevelType w:val="hybridMultilevel"/>
    <w:tmpl w:val="669853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4" w15:restartNumberingAfterBreak="0">
    <w:nsid w:val="486D49B1"/>
    <w:multiLevelType w:val="hybridMultilevel"/>
    <w:tmpl w:val="96466820"/>
    <w:lvl w:ilvl="0" w:tplc="EB3CDDFA">
      <w:start w:val="1"/>
      <w:numFmt w:val="bullet"/>
      <w:lvlText w:val="•"/>
      <w:lvlJc w:val="left"/>
      <w:pPr>
        <w:tabs>
          <w:tab w:val="num" w:pos="360"/>
        </w:tabs>
        <w:ind w:left="360" w:hanging="360"/>
      </w:pPr>
      <w:rPr>
        <w:rFonts w:ascii="Times New Roman" w:hAnsi="Times New Roman" w:hint="default"/>
      </w:rPr>
    </w:lvl>
    <w:lvl w:ilvl="1" w:tplc="72F6D2AA">
      <w:numFmt w:val="bullet"/>
      <w:lvlText w:val="Ø"/>
      <w:lvlJc w:val="left"/>
      <w:pPr>
        <w:tabs>
          <w:tab w:val="num" w:pos="1080"/>
        </w:tabs>
        <w:ind w:left="1080" w:hanging="360"/>
      </w:pPr>
      <w:rPr>
        <w:rFonts w:ascii="Wingdings" w:hAnsi="Wingdings" w:hint="default"/>
      </w:rPr>
    </w:lvl>
    <w:lvl w:ilvl="2" w:tplc="516E785A">
      <w:start w:val="198"/>
      <w:numFmt w:val="bullet"/>
      <w:lvlText w:val="•"/>
      <w:lvlJc w:val="left"/>
      <w:pPr>
        <w:tabs>
          <w:tab w:val="num" w:pos="1800"/>
        </w:tabs>
        <w:ind w:left="1800" w:hanging="360"/>
      </w:pPr>
      <w:rPr>
        <w:rFonts w:ascii="Times New Roman" w:hAnsi="Times New Roman" w:hint="default"/>
      </w:rPr>
    </w:lvl>
    <w:lvl w:ilvl="3" w:tplc="9B2C4F48" w:tentative="1">
      <w:start w:val="1"/>
      <w:numFmt w:val="bullet"/>
      <w:lvlText w:val="•"/>
      <w:lvlJc w:val="left"/>
      <w:pPr>
        <w:tabs>
          <w:tab w:val="num" w:pos="2520"/>
        </w:tabs>
        <w:ind w:left="2520" w:hanging="360"/>
      </w:pPr>
      <w:rPr>
        <w:rFonts w:ascii="Times New Roman" w:hAnsi="Times New Roman" w:hint="default"/>
      </w:rPr>
    </w:lvl>
    <w:lvl w:ilvl="4" w:tplc="CBB6B192" w:tentative="1">
      <w:start w:val="1"/>
      <w:numFmt w:val="bullet"/>
      <w:lvlText w:val="•"/>
      <w:lvlJc w:val="left"/>
      <w:pPr>
        <w:tabs>
          <w:tab w:val="num" w:pos="3240"/>
        </w:tabs>
        <w:ind w:left="3240" w:hanging="360"/>
      </w:pPr>
      <w:rPr>
        <w:rFonts w:ascii="Times New Roman" w:hAnsi="Times New Roman" w:hint="default"/>
      </w:rPr>
    </w:lvl>
    <w:lvl w:ilvl="5" w:tplc="C0F87A12" w:tentative="1">
      <w:start w:val="1"/>
      <w:numFmt w:val="bullet"/>
      <w:lvlText w:val="•"/>
      <w:lvlJc w:val="left"/>
      <w:pPr>
        <w:tabs>
          <w:tab w:val="num" w:pos="3960"/>
        </w:tabs>
        <w:ind w:left="3960" w:hanging="360"/>
      </w:pPr>
      <w:rPr>
        <w:rFonts w:ascii="Times New Roman" w:hAnsi="Times New Roman" w:hint="default"/>
      </w:rPr>
    </w:lvl>
    <w:lvl w:ilvl="6" w:tplc="6F8CD63C" w:tentative="1">
      <w:start w:val="1"/>
      <w:numFmt w:val="bullet"/>
      <w:lvlText w:val="•"/>
      <w:lvlJc w:val="left"/>
      <w:pPr>
        <w:tabs>
          <w:tab w:val="num" w:pos="4680"/>
        </w:tabs>
        <w:ind w:left="4680" w:hanging="360"/>
      </w:pPr>
      <w:rPr>
        <w:rFonts w:ascii="Times New Roman" w:hAnsi="Times New Roman" w:hint="default"/>
      </w:rPr>
    </w:lvl>
    <w:lvl w:ilvl="7" w:tplc="60E239FA" w:tentative="1">
      <w:start w:val="1"/>
      <w:numFmt w:val="bullet"/>
      <w:lvlText w:val="•"/>
      <w:lvlJc w:val="left"/>
      <w:pPr>
        <w:tabs>
          <w:tab w:val="num" w:pos="5400"/>
        </w:tabs>
        <w:ind w:left="5400" w:hanging="360"/>
      </w:pPr>
      <w:rPr>
        <w:rFonts w:ascii="Times New Roman" w:hAnsi="Times New Roman" w:hint="default"/>
      </w:rPr>
    </w:lvl>
    <w:lvl w:ilvl="8" w:tplc="82D0E90C" w:tentative="1">
      <w:start w:val="1"/>
      <w:numFmt w:val="bullet"/>
      <w:lvlText w:val="•"/>
      <w:lvlJc w:val="left"/>
      <w:pPr>
        <w:tabs>
          <w:tab w:val="num" w:pos="6120"/>
        </w:tabs>
        <w:ind w:left="6120" w:hanging="360"/>
      </w:pPr>
      <w:rPr>
        <w:rFonts w:ascii="Times New Roman" w:hAnsi="Times New Roman" w:hint="default"/>
      </w:rPr>
    </w:lvl>
  </w:abstractNum>
  <w:abstractNum w:abstractNumId="45" w15:restartNumberingAfterBreak="0">
    <w:nsid w:val="4A445E3C"/>
    <w:multiLevelType w:val="hybridMultilevel"/>
    <w:tmpl w:val="C40A3C66"/>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4DA903C9"/>
    <w:multiLevelType w:val="hybridMultilevel"/>
    <w:tmpl w:val="CD468FFC"/>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4DDB0FAD"/>
    <w:multiLevelType w:val="singleLevel"/>
    <w:tmpl w:val="1F78B8C2"/>
    <w:lvl w:ilvl="0">
      <w:start w:val="1"/>
      <w:numFmt w:val="bullet"/>
      <w:pStyle w:val="NotesBulletIndent"/>
      <w:lvlText w:val=""/>
      <w:lvlJc w:val="left"/>
      <w:pPr>
        <w:tabs>
          <w:tab w:val="num" w:pos="360"/>
        </w:tabs>
        <w:ind w:left="360" w:hanging="360"/>
      </w:pPr>
      <w:rPr>
        <w:rFonts w:ascii="Wingdings" w:hAnsi="Wingdings" w:hint="default"/>
        <w:sz w:val="32"/>
      </w:rPr>
    </w:lvl>
  </w:abstractNum>
  <w:abstractNum w:abstractNumId="48" w15:restartNumberingAfterBreak="0">
    <w:nsid w:val="4FA52697"/>
    <w:multiLevelType w:val="hybridMultilevel"/>
    <w:tmpl w:val="616E576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9" w15:restartNumberingAfterBreak="0">
    <w:nsid w:val="517952E8"/>
    <w:multiLevelType w:val="hybridMultilevel"/>
    <w:tmpl w:val="85BA99EE"/>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52B819CC"/>
    <w:multiLevelType w:val="multilevel"/>
    <w:tmpl w:val="F73677BE"/>
    <w:lvl w:ilvl="0">
      <w:start w:val="1"/>
      <w:numFmt w:val="decimal"/>
      <w:lvlText w:val="2.%1"/>
      <w:lvlJc w:val="left"/>
      <w:pPr>
        <w:tabs>
          <w:tab w:val="num" w:pos="720"/>
        </w:tabs>
        <w:ind w:left="432" w:hanging="432"/>
      </w:pPr>
      <w:rPr>
        <w:rFonts w:hint="default"/>
      </w:rPr>
    </w:lvl>
    <w:lvl w:ilvl="1">
      <w:start w:val="1"/>
      <w:numFmt w:val="decimal"/>
      <w:pStyle w:val="StyleHeading2Before48ptAfter48pt1"/>
      <w:lvlText w:val="%1.%2"/>
      <w:lvlJc w:val="left"/>
      <w:pPr>
        <w:tabs>
          <w:tab w:val="num" w:pos="720"/>
        </w:tabs>
        <w:ind w:left="576" w:hanging="576"/>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51" w15:restartNumberingAfterBreak="0">
    <w:nsid w:val="54BA3E27"/>
    <w:multiLevelType w:val="hybridMultilevel"/>
    <w:tmpl w:val="1802866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584808E2"/>
    <w:multiLevelType w:val="hybridMultilevel"/>
    <w:tmpl w:val="0796549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3" w15:restartNumberingAfterBreak="0">
    <w:nsid w:val="589175AE"/>
    <w:multiLevelType w:val="hybridMultilevel"/>
    <w:tmpl w:val="D4766D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A5C3B65"/>
    <w:multiLevelType w:val="hybridMultilevel"/>
    <w:tmpl w:val="838AE9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B021BF5"/>
    <w:multiLevelType w:val="singleLevel"/>
    <w:tmpl w:val="5986E6EE"/>
    <w:lvl w:ilvl="0">
      <w:start w:val="1"/>
      <w:numFmt w:val="bullet"/>
      <w:pStyle w:val="Bulletindent"/>
      <w:lvlText w:val=""/>
      <w:lvlJc w:val="left"/>
      <w:pPr>
        <w:tabs>
          <w:tab w:val="num" w:pos="360"/>
        </w:tabs>
        <w:ind w:left="360" w:hanging="360"/>
      </w:pPr>
      <w:rPr>
        <w:rFonts w:ascii="Symbol" w:hAnsi="Symbol" w:hint="default"/>
      </w:rPr>
    </w:lvl>
  </w:abstractNum>
  <w:abstractNum w:abstractNumId="56" w15:restartNumberingAfterBreak="0">
    <w:nsid w:val="5BE104CC"/>
    <w:multiLevelType w:val="multilevel"/>
    <w:tmpl w:val="70CE20C6"/>
    <w:lvl w:ilvl="0">
      <w:start w:val="1"/>
      <w:numFmt w:val="bullet"/>
      <w:lvlText w:val=""/>
      <w:lvlJc w:val="left"/>
      <w:pPr>
        <w:tabs>
          <w:tab w:val="num" w:pos="0"/>
        </w:tabs>
        <w:ind w:left="0" w:hanging="360"/>
      </w:pPr>
      <w:rPr>
        <w:rFonts w:ascii="Symbol" w:hAnsi="Symbol" w:hint="default"/>
        <w:sz w:val="20"/>
      </w:rPr>
    </w:lvl>
    <w:lvl w:ilvl="1" w:tentative="1">
      <w:start w:val="1"/>
      <w:numFmt w:val="bullet"/>
      <w:lvlText w:val=""/>
      <w:lvlJc w:val="left"/>
      <w:pPr>
        <w:tabs>
          <w:tab w:val="num" w:pos="720"/>
        </w:tabs>
        <w:ind w:left="720" w:hanging="360"/>
      </w:pPr>
      <w:rPr>
        <w:rFonts w:ascii="Symbol" w:hAnsi="Symbol" w:hint="default"/>
        <w:sz w:val="20"/>
      </w:rPr>
    </w:lvl>
    <w:lvl w:ilvl="2" w:tentative="1">
      <w:start w:val="1"/>
      <w:numFmt w:val="bullet"/>
      <w:lvlText w:val=""/>
      <w:lvlJc w:val="left"/>
      <w:pPr>
        <w:tabs>
          <w:tab w:val="num" w:pos="1440"/>
        </w:tabs>
        <w:ind w:left="1440" w:hanging="360"/>
      </w:pPr>
      <w:rPr>
        <w:rFonts w:ascii="Symbol" w:hAnsi="Symbol" w:hint="default"/>
        <w:sz w:val="20"/>
      </w:rPr>
    </w:lvl>
    <w:lvl w:ilvl="3" w:tentative="1">
      <w:start w:val="1"/>
      <w:numFmt w:val="bullet"/>
      <w:lvlText w:val=""/>
      <w:lvlJc w:val="left"/>
      <w:pPr>
        <w:tabs>
          <w:tab w:val="num" w:pos="2160"/>
        </w:tabs>
        <w:ind w:left="2160" w:hanging="360"/>
      </w:pPr>
      <w:rPr>
        <w:rFonts w:ascii="Symbol" w:hAnsi="Symbol" w:hint="default"/>
        <w:sz w:val="20"/>
      </w:rPr>
    </w:lvl>
    <w:lvl w:ilvl="4" w:tentative="1">
      <w:start w:val="1"/>
      <w:numFmt w:val="bullet"/>
      <w:lvlText w:val=""/>
      <w:lvlJc w:val="left"/>
      <w:pPr>
        <w:tabs>
          <w:tab w:val="num" w:pos="2880"/>
        </w:tabs>
        <w:ind w:left="2880" w:hanging="360"/>
      </w:pPr>
      <w:rPr>
        <w:rFonts w:ascii="Symbol" w:hAnsi="Symbol" w:hint="default"/>
        <w:sz w:val="20"/>
      </w:rPr>
    </w:lvl>
    <w:lvl w:ilvl="5" w:tentative="1">
      <w:start w:val="1"/>
      <w:numFmt w:val="bullet"/>
      <w:lvlText w:val=""/>
      <w:lvlJc w:val="left"/>
      <w:pPr>
        <w:tabs>
          <w:tab w:val="num" w:pos="3600"/>
        </w:tabs>
        <w:ind w:left="3600" w:hanging="360"/>
      </w:pPr>
      <w:rPr>
        <w:rFonts w:ascii="Symbol" w:hAnsi="Symbol" w:hint="default"/>
        <w:sz w:val="20"/>
      </w:rPr>
    </w:lvl>
    <w:lvl w:ilvl="6" w:tentative="1">
      <w:start w:val="1"/>
      <w:numFmt w:val="bullet"/>
      <w:lvlText w:val=""/>
      <w:lvlJc w:val="left"/>
      <w:pPr>
        <w:tabs>
          <w:tab w:val="num" w:pos="4320"/>
        </w:tabs>
        <w:ind w:left="4320" w:hanging="360"/>
      </w:pPr>
      <w:rPr>
        <w:rFonts w:ascii="Symbol" w:hAnsi="Symbol" w:hint="default"/>
        <w:sz w:val="20"/>
      </w:rPr>
    </w:lvl>
    <w:lvl w:ilvl="7" w:tentative="1">
      <w:start w:val="1"/>
      <w:numFmt w:val="bullet"/>
      <w:lvlText w:val=""/>
      <w:lvlJc w:val="left"/>
      <w:pPr>
        <w:tabs>
          <w:tab w:val="num" w:pos="5040"/>
        </w:tabs>
        <w:ind w:left="5040" w:hanging="360"/>
      </w:pPr>
      <w:rPr>
        <w:rFonts w:ascii="Symbol" w:hAnsi="Symbol" w:hint="default"/>
        <w:sz w:val="20"/>
      </w:rPr>
    </w:lvl>
    <w:lvl w:ilvl="8" w:tentative="1">
      <w:start w:val="1"/>
      <w:numFmt w:val="bullet"/>
      <w:lvlText w:val=""/>
      <w:lvlJc w:val="left"/>
      <w:pPr>
        <w:tabs>
          <w:tab w:val="num" w:pos="5760"/>
        </w:tabs>
        <w:ind w:left="5760" w:hanging="360"/>
      </w:pPr>
      <w:rPr>
        <w:rFonts w:ascii="Symbol" w:hAnsi="Symbol" w:hint="default"/>
        <w:sz w:val="20"/>
      </w:rPr>
    </w:lvl>
  </w:abstractNum>
  <w:abstractNum w:abstractNumId="57" w15:restartNumberingAfterBreak="0">
    <w:nsid w:val="5C2669FC"/>
    <w:multiLevelType w:val="hybridMultilevel"/>
    <w:tmpl w:val="4BBAB2E0"/>
    <w:lvl w:ilvl="0" w:tplc="F2F2CF52">
      <w:start w:val="1"/>
      <w:numFmt w:val="bullet"/>
      <w:lvlText w:val="•"/>
      <w:lvlJc w:val="left"/>
      <w:pPr>
        <w:tabs>
          <w:tab w:val="num" w:pos="720"/>
        </w:tabs>
        <w:ind w:left="720" w:hanging="360"/>
      </w:pPr>
      <w:rPr>
        <w:rFonts w:ascii="Arial" w:hAnsi="Arial" w:hint="default"/>
      </w:rPr>
    </w:lvl>
    <w:lvl w:ilvl="1" w:tplc="1CBA4FFC" w:tentative="1">
      <w:start w:val="1"/>
      <w:numFmt w:val="bullet"/>
      <w:lvlText w:val="•"/>
      <w:lvlJc w:val="left"/>
      <w:pPr>
        <w:tabs>
          <w:tab w:val="num" w:pos="1440"/>
        </w:tabs>
        <w:ind w:left="1440" w:hanging="360"/>
      </w:pPr>
      <w:rPr>
        <w:rFonts w:ascii="Arial" w:hAnsi="Arial" w:hint="default"/>
      </w:rPr>
    </w:lvl>
    <w:lvl w:ilvl="2" w:tplc="0B306D44" w:tentative="1">
      <w:start w:val="1"/>
      <w:numFmt w:val="bullet"/>
      <w:lvlText w:val="•"/>
      <w:lvlJc w:val="left"/>
      <w:pPr>
        <w:tabs>
          <w:tab w:val="num" w:pos="2160"/>
        </w:tabs>
        <w:ind w:left="2160" w:hanging="360"/>
      </w:pPr>
      <w:rPr>
        <w:rFonts w:ascii="Arial" w:hAnsi="Arial" w:hint="default"/>
      </w:rPr>
    </w:lvl>
    <w:lvl w:ilvl="3" w:tplc="4814BF8E" w:tentative="1">
      <w:start w:val="1"/>
      <w:numFmt w:val="bullet"/>
      <w:lvlText w:val="•"/>
      <w:lvlJc w:val="left"/>
      <w:pPr>
        <w:tabs>
          <w:tab w:val="num" w:pos="2880"/>
        </w:tabs>
        <w:ind w:left="2880" w:hanging="360"/>
      </w:pPr>
      <w:rPr>
        <w:rFonts w:ascii="Arial" w:hAnsi="Arial" w:hint="default"/>
      </w:rPr>
    </w:lvl>
    <w:lvl w:ilvl="4" w:tplc="64BE2644" w:tentative="1">
      <w:start w:val="1"/>
      <w:numFmt w:val="bullet"/>
      <w:lvlText w:val="•"/>
      <w:lvlJc w:val="left"/>
      <w:pPr>
        <w:tabs>
          <w:tab w:val="num" w:pos="3600"/>
        </w:tabs>
        <w:ind w:left="3600" w:hanging="360"/>
      </w:pPr>
      <w:rPr>
        <w:rFonts w:ascii="Arial" w:hAnsi="Arial" w:hint="default"/>
      </w:rPr>
    </w:lvl>
    <w:lvl w:ilvl="5" w:tplc="60CCF2B6" w:tentative="1">
      <w:start w:val="1"/>
      <w:numFmt w:val="bullet"/>
      <w:lvlText w:val="•"/>
      <w:lvlJc w:val="left"/>
      <w:pPr>
        <w:tabs>
          <w:tab w:val="num" w:pos="4320"/>
        </w:tabs>
        <w:ind w:left="4320" w:hanging="360"/>
      </w:pPr>
      <w:rPr>
        <w:rFonts w:ascii="Arial" w:hAnsi="Arial" w:hint="default"/>
      </w:rPr>
    </w:lvl>
    <w:lvl w:ilvl="6" w:tplc="F4B0CEFA" w:tentative="1">
      <w:start w:val="1"/>
      <w:numFmt w:val="bullet"/>
      <w:lvlText w:val="•"/>
      <w:lvlJc w:val="left"/>
      <w:pPr>
        <w:tabs>
          <w:tab w:val="num" w:pos="5040"/>
        </w:tabs>
        <w:ind w:left="5040" w:hanging="360"/>
      </w:pPr>
      <w:rPr>
        <w:rFonts w:ascii="Arial" w:hAnsi="Arial" w:hint="default"/>
      </w:rPr>
    </w:lvl>
    <w:lvl w:ilvl="7" w:tplc="0A1ADFDE" w:tentative="1">
      <w:start w:val="1"/>
      <w:numFmt w:val="bullet"/>
      <w:lvlText w:val="•"/>
      <w:lvlJc w:val="left"/>
      <w:pPr>
        <w:tabs>
          <w:tab w:val="num" w:pos="5760"/>
        </w:tabs>
        <w:ind w:left="5760" w:hanging="360"/>
      </w:pPr>
      <w:rPr>
        <w:rFonts w:ascii="Arial" w:hAnsi="Arial" w:hint="default"/>
      </w:rPr>
    </w:lvl>
    <w:lvl w:ilvl="8" w:tplc="FFAE73E8"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5DAE328E"/>
    <w:multiLevelType w:val="hybridMultilevel"/>
    <w:tmpl w:val="5F1064B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9" w15:restartNumberingAfterBreak="0">
    <w:nsid w:val="60351030"/>
    <w:multiLevelType w:val="hybridMultilevel"/>
    <w:tmpl w:val="5AD61552"/>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2DB3D68"/>
    <w:multiLevelType w:val="hybridMultilevel"/>
    <w:tmpl w:val="CBC6FE0C"/>
    <w:lvl w:ilvl="0" w:tplc="21D42084">
      <w:start w:val="1"/>
      <w:numFmt w:val="bullet"/>
      <w:pStyle w:val="BulletText1"/>
      <w:lvlText w:val=""/>
      <w:lvlJc w:val="left"/>
      <w:pPr>
        <w:tabs>
          <w:tab w:val="num" w:pos="173"/>
        </w:tabs>
        <w:ind w:left="173" w:hanging="173"/>
      </w:pPr>
      <w:rPr>
        <w:rFonts w:ascii="Symbol" w:hAnsi="Symbol"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63BA31A3"/>
    <w:multiLevelType w:val="hybridMultilevel"/>
    <w:tmpl w:val="ECDC7100"/>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3E46FEA"/>
    <w:multiLevelType w:val="hybridMultilevel"/>
    <w:tmpl w:val="824627E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6A580022"/>
    <w:multiLevelType w:val="hybridMultilevel"/>
    <w:tmpl w:val="A170AD46"/>
    <w:lvl w:ilvl="0" w:tplc="01E4D6D4">
      <w:start w:val="1"/>
      <w:numFmt w:val="bullet"/>
      <w:lvlText w:val="•"/>
      <w:lvlJc w:val="left"/>
      <w:pPr>
        <w:tabs>
          <w:tab w:val="num" w:pos="720"/>
        </w:tabs>
        <w:ind w:left="720" w:hanging="360"/>
      </w:pPr>
      <w:rPr>
        <w:rFonts w:ascii="Arial" w:hAnsi="Arial" w:hint="default"/>
      </w:rPr>
    </w:lvl>
    <w:lvl w:ilvl="1" w:tplc="2E3055B6" w:tentative="1">
      <w:start w:val="1"/>
      <w:numFmt w:val="bullet"/>
      <w:lvlText w:val="•"/>
      <w:lvlJc w:val="left"/>
      <w:pPr>
        <w:tabs>
          <w:tab w:val="num" w:pos="1440"/>
        </w:tabs>
        <w:ind w:left="1440" w:hanging="360"/>
      </w:pPr>
      <w:rPr>
        <w:rFonts w:ascii="Arial" w:hAnsi="Arial" w:hint="default"/>
      </w:rPr>
    </w:lvl>
    <w:lvl w:ilvl="2" w:tplc="8200B38A" w:tentative="1">
      <w:start w:val="1"/>
      <w:numFmt w:val="bullet"/>
      <w:lvlText w:val="•"/>
      <w:lvlJc w:val="left"/>
      <w:pPr>
        <w:tabs>
          <w:tab w:val="num" w:pos="2160"/>
        </w:tabs>
        <w:ind w:left="2160" w:hanging="360"/>
      </w:pPr>
      <w:rPr>
        <w:rFonts w:ascii="Arial" w:hAnsi="Arial" w:hint="default"/>
      </w:rPr>
    </w:lvl>
    <w:lvl w:ilvl="3" w:tplc="239C6506" w:tentative="1">
      <w:start w:val="1"/>
      <w:numFmt w:val="bullet"/>
      <w:lvlText w:val="•"/>
      <w:lvlJc w:val="left"/>
      <w:pPr>
        <w:tabs>
          <w:tab w:val="num" w:pos="2880"/>
        </w:tabs>
        <w:ind w:left="2880" w:hanging="360"/>
      </w:pPr>
      <w:rPr>
        <w:rFonts w:ascii="Arial" w:hAnsi="Arial" w:hint="default"/>
      </w:rPr>
    </w:lvl>
    <w:lvl w:ilvl="4" w:tplc="01A69000" w:tentative="1">
      <w:start w:val="1"/>
      <w:numFmt w:val="bullet"/>
      <w:lvlText w:val="•"/>
      <w:lvlJc w:val="left"/>
      <w:pPr>
        <w:tabs>
          <w:tab w:val="num" w:pos="3600"/>
        </w:tabs>
        <w:ind w:left="3600" w:hanging="360"/>
      </w:pPr>
      <w:rPr>
        <w:rFonts w:ascii="Arial" w:hAnsi="Arial" w:hint="default"/>
      </w:rPr>
    </w:lvl>
    <w:lvl w:ilvl="5" w:tplc="BF7A4F12" w:tentative="1">
      <w:start w:val="1"/>
      <w:numFmt w:val="bullet"/>
      <w:lvlText w:val="•"/>
      <w:lvlJc w:val="left"/>
      <w:pPr>
        <w:tabs>
          <w:tab w:val="num" w:pos="4320"/>
        </w:tabs>
        <w:ind w:left="4320" w:hanging="360"/>
      </w:pPr>
      <w:rPr>
        <w:rFonts w:ascii="Arial" w:hAnsi="Arial" w:hint="default"/>
      </w:rPr>
    </w:lvl>
    <w:lvl w:ilvl="6" w:tplc="B6FA4030" w:tentative="1">
      <w:start w:val="1"/>
      <w:numFmt w:val="bullet"/>
      <w:lvlText w:val="•"/>
      <w:lvlJc w:val="left"/>
      <w:pPr>
        <w:tabs>
          <w:tab w:val="num" w:pos="5040"/>
        </w:tabs>
        <w:ind w:left="5040" w:hanging="360"/>
      </w:pPr>
      <w:rPr>
        <w:rFonts w:ascii="Arial" w:hAnsi="Arial" w:hint="default"/>
      </w:rPr>
    </w:lvl>
    <w:lvl w:ilvl="7" w:tplc="DE8EAE94" w:tentative="1">
      <w:start w:val="1"/>
      <w:numFmt w:val="bullet"/>
      <w:lvlText w:val="•"/>
      <w:lvlJc w:val="left"/>
      <w:pPr>
        <w:tabs>
          <w:tab w:val="num" w:pos="5760"/>
        </w:tabs>
        <w:ind w:left="5760" w:hanging="360"/>
      </w:pPr>
      <w:rPr>
        <w:rFonts w:ascii="Arial" w:hAnsi="Arial" w:hint="default"/>
      </w:rPr>
    </w:lvl>
    <w:lvl w:ilvl="8" w:tplc="D5A80908" w:tentative="1">
      <w:start w:val="1"/>
      <w:numFmt w:val="bullet"/>
      <w:lvlText w:val="•"/>
      <w:lvlJc w:val="left"/>
      <w:pPr>
        <w:tabs>
          <w:tab w:val="num" w:pos="6480"/>
        </w:tabs>
        <w:ind w:left="6480" w:hanging="360"/>
      </w:pPr>
      <w:rPr>
        <w:rFonts w:ascii="Arial" w:hAnsi="Arial" w:hint="default"/>
      </w:rPr>
    </w:lvl>
  </w:abstractNum>
  <w:abstractNum w:abstractNumId="64" w15:restartNumberingAfterBreak="0">
    <w:nsid w:val="6ADF46CA"/>
    <w:multiLevelType w:val="hybridMultilevel"/>
    <w:tmpl w:val="D3C6D37A"/>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5" w15:restartNumberingAfterBreak="0">
    <w:nsid w:val="71452925"/>
    <w:multiLevelType w:val="hybridMultilevel"/>
    <w:tmpl w:val="C706CCA6"/>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6" w15:restartNumberingAfterBreak="0">
    <w:nsid w:val="71EF3A70"/>
    <w:multiLevelType w:val="multilevel"/>
    <w:tmpl w:val="BA2CB2D2"/>
    <w:lvl w:ilvl="0">
      <w:start w:val="1"/>
      <w:numFmt w:val="decimal"/>
      <w:pStyle w:val="Style1"/>
      <w:lvlText w:val="%1."/>
      <w:lvlJc w:val="left"/>
      <w:pPr>
        <w:tabs>
          <w:tab w:val="num" w:pos="360"/>
        </w:tabs>
        <w:ind w:left="360" w:hanging="360"/>
      </w:pPr>
      <w:rPr>
        <w:rFonts w:ascii="Tahoma" w:hAnsi="Tahoma" w:hint="default"/>
        <w:b w:val="0"/>
        <w:i w:val="0"/>
        <w:sz w:val="20"/>
        <w:szCs w:val="20"/>
      </w:rPr>
    </w:lvl>
    <w:lvl w:ilvl="1">
      <w:start w:val="1"/>
      <w:numFmt w:val="decimal"/>
      <w:pStyle w:val="Style1"/>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67" w15:restartNumberingAfterBreak="0">
    <w:nsid w:val="76C12B65"/>
    <w:multiLevelType w:val="hybridMultilevel"/>
    <w:tmpl w:val="E30AB3A2"/>
    <w:lvl w:ilvl="0" w:tplc="E48A2F72">
      <w:start w:val="1"/>
      <w:numFmt w:val="bullet"/>
      <w:lvlText w:val="•"/>
      <w:lvlJc w:val="left"/>
      <w:pPr>
        <w:tabs>
          <w:tab w:val="num" w:pos="720"/>
        </w:tabs>
        <w:ind w:left="720" w:hanging="360"/>
      </w:pPr>
      <w:rPr>
        <w:rFonts w:ascii="Arial" w:hAnsi="Arial" w:hint="default"/>
      </w:rPr>
    </w:lvl>
    <w:lvl w:ilvl="1" w:tplc="811CB82A" w:tentative="1">
      <w:start w:val="1"/>
      <w:numFmt w:val="bullet"/>
      <w:lvlText w:val="•"/>
      <w:lvlJc w:val="left"/>
      <w:pPr>
        <w:tabs>
          <w:tab w:val="num" w:pos="1440"/>
        </w:tabs>
        <w:ind w:left="1440" w:hanging="360"/>
      </w:pPr>
      <w:rPr>
        <w:rFonts w:ascii="Arial" w:hAnsi="Arial" w:hint="default"/>
      </w:rPr>
    </w:lvl>
    <w:lvl w:ilvl="2" w:tplc="9858DE08" w:tentative="1">
      <w:start w:val="1"/>
      <w:numFmt w:val="bullet"/>
      <w:lvlText w:val="•"/>
      <w:lvlJc w:val="left"/>
      <w:pPr>
        <w:tabs>
          <w:tab w:val="num" w:pos="2160"/>
        </w:tabs>
        <w:ind w:left="2160" w:hanging="360"/>
      </w:pPr>
      <w:rPr>
        <w:rFonts w:ascii="Arial" w:hAnsi="Arial" w:hint="default"/>
      </w:rPr>
    </w:lvl>
    <w:lvl w:ilvl="3" w:tplc="7E38C14A" w:tentative="1">
      <w:start w:val="1"/>
      <w:numFmt w:val="bullet"/>
      <w:lvlText w:val="•"/>
      <w:lvlJc w:val="left"/>
      <w:pPr>
        <w:tabs>
          <w:tab w:val="num" w:pos="2880"/>
        </w:tabs>
        <w:ind w:left="2880" w:hanging="360"/>
      </w:pPr>
      <w:rPr>
        <w:rFonts w:ascii="Arial" w:hAnsi="Arial" w:hint="default"/>
      </w:rPr>
    </w:lvl>
    <w:lvl w:ilvl="4" w:tplc="AE5A4004" w:tentative="1">
      <w:start w:val="1"/>
      <w:numFmt w:val="bullet"/>
      <w:lvlText w:val="•"/>
      <w:lvlJc w:val="left"/>
      <w:pPr>
        <w:tabs>
          <w:tab w:val="num" w:pos="3600"/>
        </w:tabs>
        <w:ind w:left="3600" w:hanging="360"/>
      </w:pPr>
      <w:rPr>
        <w:rFonts w:ascii="Arial" w:hAnsi="Arial" w:hint="default"/>
      </w:rPr>
    </w:lvl>
    <w:lvl w:ilvl="5" w:tplc="3CE0D344" w:tentative="1">
      <w:start w:val="1"/>
      <w:numFmt w:val="bullet"/>
      <w:lvlText w:val="•"/>
      <w:lvlJc w:val="left"/>
      <w:pPr>
        <w:tabs>
          <w:tab w:val="num" w:pos="4320"/>
        </w:tabs>
        <w:ind w:left="4320" w:hanging="360"/>
      </w:pPr>
      <w:rPr>
        <w:rFonts w:ascii="Arial" w:hAnsi="Arial" w:hint="default"/>
      </w:rPr>
    </w:lvl>
    <w:lvl w:ilvl="6" w:tplc="85047B06" w:tentative="1">
      <w:start w:val="1"/>
      <w:numFmt w:val="bullet"/>
      <w:lvlText w:val="•"/>
      <w:lvlJc w:val="left"/>
      <w:pPr>
        <w:tabs>
          <w:tab w:val="num" w:pos="5040"/>
        </w:tabs>
        <w:ind w:left="5040" w:hanging="360"/>
      </w:pPr>
      <w:rPr>
        <w:rFonts w:ascii="Arial" w:hAnsi="Arial" w:hint="default"/>
      </w:rPr>
    </w:lvl>
    <w:lvl w:ilvl="7" w:tplc="2A6CB66E" w:tentative="1">
      <w:start w:val="1"/>
      <w:numFmt w:val="bullet"/>
      <w:lvlText w:val="•"/>
      <w:lvlJc w:val="left"/>
      <w:pPr>
        <w:tabs>
          <w:tab w:val="num" w:pos="5760"/>
        </w:tabs>
        <w:ind w:left="5760" w:hanging="360"/>
      </w:pPr>
      <w:rPr>
        <w:rFonts w:ascii="Arial" w:hAnsi="Arial" w:hint="default"/>
      </w:rPr>
    </w:lvl>
    <w:lvl w:ilvl="8" w:tplc="41641794" w:tentative="1">
      <w:start w:val="1"/>
      <w:numFmt w:val="bullet"/>
      <w:lvlText w:val="•"/>
      <w:lvlJc w:val="left"/>
      <w:pPr>
        <w:tabs>
          <w:tab w:val="num" w:pos="6480"/>
        </w:tabs>
        <w:ind w:left="6480" w:hanging="360"/>
      </w:pPr>
      <w:rPr>
        <w:rFonts w:ascii="Arial" w:hAnsi="Arial" w:hint="default"/>
      </w:rPr>
    </w:lvl>
  </w:abstractNum>
  <w:abstractNum w:abstractNumId="68" w15:restartNumberingAfterBreak="0">
    <w:nsid w:val="79C4214E"/>
    <w:multiLevelType w:val="hybridMultilevel"/>
    <w:tmpl w:val="EB40A15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9" w15:restartNumberingAfterBreak="0">
    <w:nsid w:val="7CBF0C51"/>
    <w:multiLevelType w:val="hybridMultilevel"/>
    <w:tmpl w:val="79BC8FD4"/>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0" w15:restartNumberingAfterBreak="0">
    <w:nsid w:val="7DCB1E03"/>
    <w:multiLevelType w:val="hybridMultilevel"/>
    <w:tmpl w:val="00668B66"/>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7EAC4E41"/>
    <w:multiLevelType w:val="hybridMultilevel"/>
    <w:tmpl w:val="AEC07BF2"/>
    <w:lvl w:ilvl="0" w:tplc="0C090001">
      <w:start w:val="1"/>
      <w:numFmt w:val="bullet"/>
      <w:lvlText w:val=""/>
      <w:lvlJc w:val="left"/>
      <w:pPr>
        <w:ind w:left="720" w:hanging="360"/>
      </w:pPr>
      <w:rPr>
        <w:rFonts w:ascii="Symbol" w:hAnsi="Symbol" w:hint="default"/>
        <w:b/>
        <w:i w:val="0"/>
        <w:color w:val="00B1B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2" w15:restartNumberingAfterBreak="0">
    <w:nsid w:val="7F8A15C2"/>
    <w:multiLevelType w:val="hybridMultilevel"/>
    <w:tmpl w:val="A31CDDEA"/>
    <w:lvl w:ilvl="0" w:tplc="08090001">
      <w:start w:val="1"/>
      <w:numFmt w:val="bullet"/>
      <w:lvlText w:val=""/>
      <w:lvlJc w:val="left"/>
      <w:pPr>
        <w:ind w:left="360" w:hanging="360"/>
      </w:pPr>
      <w:rPr>
        <w:rFonts w:ascii="Symbol" w:hAnsi="Symbol" w:hint="default"/>
      </w:rPr>
    </w:lvl>
    <w:lvl w:ilvl="1" w:tplc="0809000F">
      <w:start w:val="1"/>
      <w:numFmt w:val="decimal"/>
      <w:lvlText w:val="%2."/>
      <w:lvlJc w:val="left"/>
      <w:pPr>
        <w:ind w:left="1080" w:hanging="360"/>
      </w:pPr>
    </w:lvl>
    <w:lvl w:ilvl="2" w:tplc="58E84DB6">
      <w:numFmt w:val="bullet"/>
      <w:lvlText w:val="•"/>
      <w:lvlJc w:val="left"/>
      <w:pPr>
        <w:ind w:left="2160" w:hanging="720"/>
      </w:pPr>
      <w:rPr>
        <w:rFonts w:ascii="Calibri" w:eastAsia="Times New Roman" w:hAnsi="Calibri" w:cs="Calibri"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7FCB734D"/>
    <w:multiLevelType w:val="hybridMultilevel"/>
    <w:tmpl w:val="6854B648"/>
    <w:lvl w:ilvl="0" w:tplc="FFFFFFF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2072074708">
    <w:abstractNumId w:val="2"/>
  </w:num>
  <w:num w:numId="2" w16cid:durableId="589394874">
    <w:abstractNumId w:val="5"/>
  </w:num>
  <w:num w:numId="3" w16cid:durableId="1038116974">
    <w:abstractNumId w:val="19"/>
  </w:num>
  <w:num w:numId="4" w16cid:durableId="593437281">
    <w:abstractNumId w:val="24"/>
  </w:num>
  <w:num w:numId="5" w16cid:durableId="996615624">
    <w:abstractNumId w:val="13"/>
  </w:num>
  <w:num w:numId="6" w16cid:durableId="2086029709">
    <w:abstractNumId w:val="56"/>
  </w:num>
  <w:num w:numId="7" w16cid:durableId="748887333">
    <w:abstractNumId w:val="54"/>
  </w:num>
  <w:num w:numId="8" w16cid:durableId="1581407523">
    <w:abstractNumId w:val="45"/>
  </w:num>
  <w:num w:numId="9" w16cid:durableId="845172445">
    <w:abstractNumId w:val="43"/>
  </w:num>
  <w:num w:numId="10" w16cid:durableId="890535085">
    <w:abstractNumId w:val="41"/>
  </w:num>
  <w:num w:numId="11" w16cid:durableId="189345275">
    <w:abstractNumId w:val="25"/>
  </w:num>
  <w:num w:numId="12" w16cid:durableId="1070887043">
    <w:abstractNumId w:val="27"/>
  </w:num>
  <w:num w:numId="13" w16cid:durableId="800419162">
    <w:abstractNumId w:val="61"/>
  </w:num>
  <w:num w:numId="14" w16cid:durableId="1554611190">
    <w:abstractNumId w:val="49"/>
  </w:num>
  <w:num w:numId="15" w16cid:durableId="1926376095">
    <w:abstractNumId w:val="21"/>
  </w:num>
  <w:num w:numId="16" w16cid:durableId="775101390">
    <w:abstractNumId w:val="8"/>
  </w:num>
  <w:num w:numId="17" w16cid:durableId="1939635814">
    <w:abstractNumId w:val="70"/>
  </w:num>
  <w:num w:numId="18" w16cid:durableId="152961401">
    <w:abstractNumId w:val="9"/>
  </w:num>
  <w:num w:numId="19" w16cid:durableId="1797485333">
    <w:abstractNumId w:val="40"/>
  </w:num>
  <w:num w:numId="20" w16cid:durableId="1959027768">
    <w:abstractNumId w:val="6"/>
  </w:num>
  <w:num w:numId="21" w16cid:durableId="1958874461">
    <w:abstractNumId w:val="69"/>
  </w:num>
  <w:num w:numId="22" w16cid:durableId="1424298928">
    <w:abstractNumId w:val="59"/>
  </w:num>
  <w:num w:numId="23" w16cid:durableId="2027827781">
    <w:abstractNumId w:val="64"/>
  </w:num>
  <w:num w:numId="24" w16cid:durableId="840579788">
    <w:abstractNumId w:val="46"/>
  </w:num>
  <w:num w:numId="25" w16cid:durableId="1367101517">
    <w:abstractNumId w:val="11"/>
  </w:num>
  <w:num w:numId="26" w16cid:durableId="262302830">
    <w:abstractNumId w:val="32"/>
  </w:num>
  <w:num w:numId="27" w16cid:durableId="346445553">
    <w:abstractNumId w:val="20"/>
  </w:num>
  <w:num w:numId="28" w16cid:durableId="744958034">
    <w:abstractNumId w:val="71"/>
  </w:num>
  <w:num w:numId="29" w16cid:durableId="213545363">
    <w:abstractNumId w:val="23"/>
  </w:num>
  <w:num w:numId="30" w16cid:durableId="884215915">
    <w:abstractNumId w:val="4"/>
  </w:num>
  <w:num w:numId="31" w16cid:durableId="2144929694">
    <w:abstractNumId w:val="66"/>
  </w:num>
  <w:num w:numId="32" w16cid:durableId="2079983096">
    <w:abstractNumId w:val="50"/>
  </w:num>
  <w:num w:numId="33" w16cid:durableId="888035428">
    <w:abstractNumId w:val="55"/>
  </w:num>
  <w:num w:numId="34" w16cid:durableId="414132199">
    <w:abstractNumId w:val="1"/>
  </w:num>
  <w:num w:numId="35" w16cid:durableId="54593001">
    <w:abstractNumId w:val="29"/>
  </w:num>
  <w:num w:numId="36" w16cid:durableId="1930966505">
    <w:abstractNumId w:val="47"/>
  </w:num>
  <w:num w:numId="37" w16cid:durableId="1463380391">
    <w:abstractNumId w:val="12"/>
  </w:num>
  <w:num w:numId="38" w16cid:durableId="60103539">
    <w:abstractNumId w:val="44"/>
  </w:num>
  <w:num w:numId="39" w16cid:durableId="1389381391">
    <w:abstractNumId w:val="16"/>
  </w:num>
  <w:num w:numId="40" w16cid:durableId="1016006146">
    <w:abstractNumId w:val="53"/>
  </w:num>
  <w:num w:numId="41" w16cid:durableId="756363462">
    <w:abstractNumId w:val="60"/>
  </w:num>
  <w:num w:numId="42" w16cid:durableId="1428040889">
    <w:abstractNumId w:val="0"/>
  </w:num>
  <w:num w:numId="43" w16cid:durableId="120197593">
    <w:abstractNumId w:val="68"/>
  </w:num>
  <w:num w:numId="44" w16cid:durableId="1393579185">
    <w:abstractNumId w:val="72"/>
  </w:num>
  <w:num w:numId="45" w16cid:durableId="1637836160">
    <w:abstractNumId w:val="28"/>
  </w:num>
  <w:num w:numId="46" w16cid:durableId="478571876">
    <w:abstractNumId w:val="52"/>
  </w:num>
  <w:num w:numId="47" w16cid:durableId="1993757052">
    <w:abstractNumId w:val="36"/>
  </w:num>
  <w:num w:numId="48" w16cid:durableId="1392385935">
    <w:abstractNumId w:val="30"/>
  </w:num>
  <w:num w:numId="49" w16cid:durableId="1857646398">
    <w:abstractNumId w:val="26"/>
  </w:num>
  <w:num w:numId="50" w16cid:durableId="1641882296">
    <w:abstractNumId w:val="22"/>
  </w:num>
  <w:num w:numId="51" w16cid:durableId="676735130">
    <w:abstractNumId w:val="62"/>
  </w:num>
  <w:num w:numId="52" w16cid:durableId="1439522094">
    <w:abstractNumId w:val="51"/>
  </w:num>
  <w:num w:numId="53" w16cid:durableId="12541514">
    <w:abstractNumId w:val="35"/>
  </w:num>
  <w:num w:numId="54" w16cid:durableId="396049503">
    <w:abstractNumId w:val="65"/>
  </w:num>
  <w:num w:numId="55" w16cid:durableId="1091200693">
    <w:abstractNumId w:val="42"/>
  </w:num>
  <w:num w:numId="56" w16cid:durableId="127165047">
    <w:abstractNumId w:val="10"/>
  </w:num>
  <w:num w:numId="57" w16cid:durableId="1111365795">
    <w:abstractNumId w:val="63"/>
  </w:num>
  <w:num w:numId="58" w16cid:durableId="1359161101">
    <w:abstractNumId w:val="67"/>
  </w:num>
  <w:num w:numId="59" w16cid:durableId="1625190511">
    <w:abstractNumId w:val="57"/>
  </w:num>
  <w:num w:numId="60" w16cid:durableId="526873255">
    <w:abstractNumId w:val="33"/>
  </w:num>
  <w:num w:numId="61" w16cid:durableId="1077020993">
    <w:abstractNumId w:val="39"/>
  </w:num>
  <w:num w:numId="62" w16cid:durableId="1015965078">
    <w:abstractNumId w:val="14"/>
  </w:num>
  <w:num w:numId="63" w16cid:durableId="1887910837">
    <w:abstractNumId w:val="7"/>
  </w:num>
  <w:num w:numId="64" w16cid:durableId="1395085950">
    <w:abstractNumId w:val="31"/>
  </w:num>
  <w:num w:numId="65" w16cid:durableId="1780641134">
    <w:abstractNumId w:val="37"/>
  </w:num>
  <w:num w:numId="66" w16cid:durableId="1494301964">
    <w:abstractNumId w:val="34"/>
  </w:num>
  <w:num w:numId="67" w16cid:durableId="588083012">
    <w:abstractNumId w:val="18"/>
  </w:num>
  <w:num w:numId="68" w16cid:durableId="1401710465">
    <w:abstractNumId w:val="58"/>
  </w:num>
  <w:num w:numId="69" w16cid:durableId="500656521">
    <w:abstractNumId w:val="73"/>
  </w:num>
  <w:num w:numId="70" w16cid:durableId="1138379079">
    <w:abstractNumId w:val="17"/>
  </w:num>
  <w:num w:numId="71" w16cid:durableId="1953171089">
    <w:abstractNumId w:val="48"/>
  </w:num>
  <w:num w:numId="72" w16cid:durableId="572589823">
    <w:abstractNumId w:val="15"/>
  </w:num>
  <w:num w:numId="73" w16cid:durableId="157892600">
    <w:abstractNumId w:val="38"/>
  </w:num>
  <w:num w:numId="74" w16cid:durableId="1264723774">
    <w:abstractNumId w:val="3"/>
  </w:num>
  <w:numIdMacAtCleanup w:val="7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3E36"/>
    <w:rsid w:val="00000124"/>
    <w:rsid w:val="000001D4"/>
    <w:rsid w:val="000002C6"/>
    <w:rsid w:val="0000031C"/>
    <w:rsid w:val="00000331"/>
    <w:rsid w:val="000003A8"/>
    <w:rsid w:val="0000087E"/>
    <w:rsid w:val="00000C35"/>
    <w:rsid w:val="00000F58"/>
    <w:rsid w:val="00001164"/>
    <w:rsid w:val="000011FE"/>
    <w:rsid w:val="000012BB"/>
    <w:rsid w:val="000012C2"/>
    <w:rsid w:val="000015AD"/>
    <w:rsid w:val="000015D2"/>
    <w:rsid w:val="00001C4D"/>
    <w:rsid w:val="00001D83"/>
    <w:rsid w:val="000020D4"/>
    <w:rsid w:val="00002205"/>
    <w:rsid w:val="000024CA"/>
    <w:rsid w:val="00002561"/>
    <w:rsid w:val="000028B1"/>
    <w:rsid w:val="000029F4"/>
    <w:rsid w:val="00002BF1"/>
    <w:rsid w:val="00002C2D"/>
    <w:rsid w:val="00002CAE"/>
    <w:rsid w:val="00002DA1"/>
    <w:rsid w:val="00002EDD"/>
    <w:rsid w:val="0000318B"/>
    <w:rsid w:val="0000339A"/>
    <w:rsid w:val="0000345D"/>
    <w:rsid w:val="00003ADE"/>
    <w:rsid w:val="00003B6C"/>
    <w:rsid w:val="00003B75"/>
    <w:rsid w:val="00003B9B"/>
    <w:rsid w:val="00003CE4"/>
    <w:rsid w:val="00003DF9"/>
    <w:rsid w:val="00003F32"/>
    <w:rsid w:val="00003FEB"/>
    <w:rsid w:val="000047B7"/>
    <w:rsid w:val="00004C29"/>
    <w:rsid w:val="00004CD9"/>
    <w:rsid w:val="00004D24"/>
    <w:rsid w:val="00004DE1"/>
    <w:rsid w:val="00004F89"/>
    <w:rsid w:val="00004F91"/>
    <w:rsid w:val="00005076"/>
    <w:rsid w:val="000050D3"/>
    <w:rsid w:val="000050E7"/>
    <w:rsid w:val="0000515C"/>
    <w:rsid w:val="000051C6"/>
    <w:rsid w:val="0000568E"/>
    <w:rsid w:val="0000592B"/>
    <w:rsid w:val="000059D3"/>
    <w:rsid w:val="00005AB4"/>
    <w:rsid w:val="00005AE3"/>
    <w:rsid w:val="00005AF0"/>
    <w:rsid w:val="00005EDB"/>
    <w:rsid w:val="00006135"/>
    <w:rsid w:val="0000626E"/>
    <w:rsid w:val="000064EE"/>
    <w:rsid w:val="0000652E"/>
    <w:rsid w:val="0000655E"/>
    <w:rsid w:val="0000659B"/>
    <w:rsid w:val="000065AD"/>
    <w:rsid w:val="00006680"/>
    <w:rsid w:val="000069CF"/>
    <w:rsid w:val="000069F1"/>
    <w:rsid w:val="00006A48"/>
    <w:rsid w:val="00007050"/>
    <w:rsid w:val="00007199"/>
    <w:rsid w:val="0000722E"/>
    <w:rsid w:val="000074ED"/>
    <w:rsid w:val="000075E1"/>
    <w:rsid w:val="00007A6E"/>
    <w:rsid w:val="00007A8D"/>
    <w:rsid w:val="00007D66"/>
    <w:rsid w:val="00007E80"/>
    <w:rsid w:val="00007EE5"/>
    <w:rsid w:val="00010179"/>
    <w:rsid w:val="000102FC"/>
    <w:rsid w:val="00010392"/>
    <w:rsid w:val="000103E4"/>
    <w:rsid w:val="000105EF"/>
    <w:rsid w:val="00010872"/>
    <w:rsid w:val="0001088F"/>
    <w:rsid w:val="00010896"/>
    <w:rsid w:val="00010A3A"/>
    <w:rsid w:val="00010C7A"/>
    <w:rsid w:val="000110E4"/>
    <w:rsid w:val="0001114F"/>
    <w:rsid w:val="0001119B"/>
    <w:rsid w:val="0001138C"/>
    <w:rsid w:val="0001139F"/>
    <w:rsid w:val="00011518"/>
    <w:rsid w:val="00011616"/>
    <w:rsid w:val="00011743"/>
    <w:rsid w:val="00011897"/>
    <w:rsid w:val="000119E0"/>
    <w:rsid w:val="00011ADE"/>
    <w:rsid w:val="00011E87"/>
    <w:rsid w:val="00011FB5"/>
    <w:rsid w:val="00012566"/>
    <w:rsid w:val="0001264F"/>
    <w:rsid w:val="00012795"/>
    <w:rsid w:val="000129B5"/>
    <w:rsid w:val="00012A42"/>
    <w:rsid w:val="00012AFE"/>
    <w:rsid w:val="00012E14"/>
    <w:rsid w:val="00012EDB"/>
    <w:rsid w:val="00012F66"/>
    <w:rsid w:val="0001305E"/>
    <w:rsid w:val="000130EF"/>
    <w:rsid w:val="0001311D"/>
    <w:rsid w:val="00013135"/>
    <w:rsid w:val="0001323A"/>
    <w:rsid w:val="00013366"/>
    <w:rsid w:val="000133B0"/>
    <w:rsid w:val="000134E6"/>
    <w:rsid w:val="00013571"/>
    <w:rsid w:val="000136CF"/>
    <w:rsid w:val="00013707"/>
    <w:rsid w:val="00013732"/>
    <w:rsid w:val="00013796"/>
    <w:rsid w:val="00013962"/>
    <w:rsid w:val="00013B5B"/>
    <w:rsid w:val="00013BA3"/>
    <w:rsid w:val="00013D91"/>
    <w:rsid w:val="00013F2E"/>
    <w:rsid w:val="00013F70"/>
    <w:rsid w:val="00013FC0"/>
    <w:rsid w:val="000144A2"/>
    <w:rsid w:val="0001459C"/>
    <w:rsid w:val="000148E9"/>
    <w:rsid w:val="00014A57"/>
    <w:rsid w:val="00014D3D"/>
    <w:rsid w:val="00014F7D"/>
    <w:rsid w:val="00015162"/>
    <w:rsid w:val="00015177"/>
    <w:rsid w:val="00015263"/>
    <w:rsid w:val="000153A3"/>
    <w:rsid w:val="000153AB"/>
    <w:rsid w:val="00015400"/>
    <w:rsid w:val="0001542B"/>
    <w:rsid w:val="000156FA"/>
    <w:rsid w:val="00015724"/>
    <w:rsid w:val="000159B6"/>
    <w:rsid w:val="00015B4E"/>
    <w:rsid w:val="00015C96"/>
    <w:rsid w:val="00015D12"/>
    <w:rsid w:val="00015EAF"/>
    <w:rsid w:val="00015ECA"/>
    <w:rsid w:val="00015F0B"/>
    <w:rsid w:val="000160CF"/>
    <w:rsid w:val="00016139"/>
    <w:rsid w:val="0001615A"/>
    <w:rsid w:val="0001618D"/>
    <w:rsid w:val="00016252"/>
    <w:rsid w:val="000162DA"/>
    <w:rsid w:val="0001649E"/>
    <w:rsid w:val="00016686"/>
    <w:rsid w:val="00016DA8"/>
    <w:rsid w:val="00016E7E"/>
    <w:rsid w:val="00016E98"/>
    <w:rsid w:val="00016EF1"/>
    <w:rsid w:val="00017008"/>
    <w:rsid w:val="00017054"/>
    <w:rsid w:val="000170D8"/>
    <w:rsid w:val="0001724C"/>
    <w:rsid w:val="00017260"/>
    <w:rsid w:val="0001736D"/>
    <w:rsid w:val="0001744E"/>
    <w:rsid w:val="00017514"/>
    <w:rsid w:val="000178FB"/>
    <w:rsid w:val="00017A17"/>
    <w:rsid w:val="00017C58"/>
    <w:rsid w:val="00017D53"/>
    <w:rsid w:val="00017EFE"/>
    <w:rsid w:val="0002002F"/>
    <w:rsid w:val="0002023E"/>
    <w:rsid w:val="000203DA"/>
    <w:rsid w:val="00020499"/>
    <w:rsid w:val="000208E1"/>
    <w:rsid w:val="000209A6"/>
    <w:rsid w:val="000209ED"/>
    <w:rsid w:val="00020CD1"/>
    <w:rsid w:val="00020CF9"/>
    <w:rsid w:val="00020F2C"/>
    <w:rsid w:val="0002108C"/>
    <w:rsid w:val="0002111B"/>
    <w:rsid w:val="000212E0"/>
    <w:rsid w:val="00021366"/>
    <w:rsid w:val="0002145F"/>
    <w:rsid w:val="000216B3"/>
    <w:rsid w:val="00021971"/>
    <w:rsid w:val="00021BC5"/>
    <w:rsid w:val="00021BE2"/>
    <w:rsid w:val="00022414"/>
    <w:rsid w:val="0002244D"/>
    <w:rsid w:val="00022635"/>
    <w:rsid w:val="00022941"/>
    <w:rsid w:val="00022E6C"/>
    <w:rsid w:val="00022F25"/>
    <w:rsid w:val="00022F40"/>
    <w:rsid w:val="000230D2"/>
    <w:rsid w:val="0002312A"/>
    <w:rsid w:val="000233AC"/>
    <w:rsid w:val="000233E1"/>
    <w:rsid w:val="000233F4"/>
    <w:rsid w:val="0002347D"/>
    <w:rsid w:val="000234DE"/>
    <w:rsid w:val="000234F6"/>
    <w:rsid w:val="000237CC"/>
    <w:rsid w:val="00023862"/>
    <w:rsid w:val="00023913"/>
    <w:rsid w:val="00023957"/>
    <w:rsid w:val="00023963"/>
    <w:rsid w:val="00023A50"/>
    <w:rsid w:val="00023A80"/>
    <w:rsid w:val="00023A9E"/>
    <w:rsid w:val="00023C0C"/>
    <w:rsid w:val="00023C0E"/>
    <w:rsid w:val="00023C9D"/>
    <w:rsid w:val="00023DE6"/>
    <w:rsid w:val="0002414A"/>
    <w:rsid w:val="00024326"/>
    <w:rsid w:val="0002473E"/>
    <w:rsid w:val="00024A13"/>
    <w:rsid w:val="00024D15"/>
    <w:rsid w:val="00024F7E"/>
    <w:rsid w:val="00025094"/>
    <w:rsid w:val="000250A2"/>
    <w:rsid w:val="0002511F"/>
    <w:rsid w:val="000251E6"/>
    <w:rsid w:val="00025218"/>
    <w:rsid w:val="0002535F"/>
    <w:rsid w:val="00025374"/>
    <w:rsid w:val="000253B3"/>
    <w:rsid w:val="000254E5"/>
    <w:rsid w:val="00025926"/>
    <w:rsid w:val="000259DC"/>
    <w:rsid w:val="00025E25"/>
    <w:rsid w:val="00025E3D"/>
    <w:rsid w:val="0002610A"/>
    <w:rsid w:val="00026213"/>
    <w:rsid w:val="000263F5"/>
    <w:rsid w:val="0002645F"/>
    <w:rsid w:val="000264C3"/>
    <w:rsid w:val="00026669"/>
    <w:rsid w:val="00026761"/>
    <w:rsid w:val="000269B2"/>
    <w:rsid w:val="00026D07"/>
    <w:rsid w:val="00026F54"/>
    <w:rsid w:val="00026FA4"/>
    <w:rsid w:val="00027577"/>
    <w:rsid w:val="000276A0"/>
    <w:rsid w:val="00027947"/>
    <w:rsid w:val="00027D2B"/>
    <w:rsid w:val="00027E28"/>
    <w:rsid w:val="00027E51"/>
    <w:rsid w:val="00027F27"/>
    <w:rsid w:val="00027F9D"/>
    <w:rsid w:val="00027FA6"/>
    <w:rsid w:val="0003002A"/>
    <w:rsid w:val="000300C1"/>
    <w:rsid w:val="00030380"/>
    <w:rsid w:val="00030402"/>
    <w:rsid w:val="0003053A"/>
    <w:rsid w:val="00030755"/>
    <w:rsid w:val="000308FA"/>
    <w:rsid w:val="000309FC"/>
    <w:rsid w:val="00030B81"/>
    <w:rsid w:val="00030C8A"/>
    <w:rsid w:val="00030D49"/>
    <w:rsid w:val="00030E5C"/>
    <w:rsid w:val="00030E65"/>
    <w:rsid w:val="0003107F"/>
    <w:rsid w:val="000310A4"/>
    <w:rsid w:val="00031221"/>
    <w:rsid w:val="00031365"/>
    <w:rsid w:val="00031566"/>
    <w:rsid w:val="000317B9"/>
    <w:rsid w:val="000318B0"/>
    <w:rsid w:val="000318D0"/>
    <w:rsid w:val="00031A8C"/>
    <w:rsid w:val="00031C96"/>
    <w:rsid w:val="00031F2F"/>
    <w:rsid w:val="00032419"/>
    <w:rsid w:val="000325CE"/>
    <w:rsid w:val="00032889"/>
    <w:rsid w:val="0003295E"/>
    <w:rsid w:val="000329A1"/>
    <w:rsid w:val="000329AC"/>
    <w:rsid w:val="000329D2"/>
    <w:rsid w:val="00032B22"/>
    <w:rsid w:val="00032B62"/>
    <w:rsid w:val="00032B86"/>
    <w:rsid w:val="00032DD6"/>
    <w:rsid w:val="00032DDA"/>
    <w:rsid w:val="00032DF4"/>
    <w:rsid w:val="00032FF3"/>
    <w:rsid w:val="00033142"/>
    <w:rsid w:val="0003340D"/>
    <w:rsid w:val="000334EB"/>
    <w:rsid w:val="000336D0"/>
    <w:rsid w:val="0003370B"/>
    <w:rsid w:val="00033979"/>
    <w:rsid w:val="00033B04"/>
    <w:rsid w:val="00033F17"/>
    <w:rsid w:val="0003410D"/>
    <w:rsid w:val="00034199"/>
    <w:rsid w:val="000342CA"/>
    <w:rsid w:val="000345AB"/>
    <w:rsid w:val="000346C1"/>
    <w:rsid w:val="0003489C"/>
    <w:rsid w:val="000348B4"/>
    <w:rsid w:val="00034F34"/>
    <w:rsid w:val="00035171"/>
    <w:rsid w:val="000351BE"/>
    <w:rsid w:val="0003524E"/>
    <w:rsid w:val="000353D7"/>
    <w:rsid w:val="000355BB"/>
    <w:rsid w:val="000357CA"/>
    <w:rsid w:val="000359DB"/>
    <w:rsid w:val="00035AF6"/>
    <w:rsid w:val="00035B15"/>
    <w:rsid w:val="00035C7C"/>
    <w:rsid w:val="00035C83"/>
    <w:rsid w:val="00035CE6"/>
    <w:rsid w:val="00035E96"/>
    <w:rsid w:val="00035EA7"/>
    <w:rsid w:val="00035FA6"/>
    <w:rsid w:val="0003613C"/>
    <w:rsid w:val="00036439"/>
    <w:rsid w:val="000367E0"/>
    <w:rsid w:val="0003697D"/>
    <w:rsid w:val="00036B44"/>
    <w:rsid w:val="00036D10"/>
    <w:rsid w:val="00036EBA"/>
    <w:rsid w:val="00036F0F"/>
    <w:rsid w:val="00036F1C"/>
    <w:rsid w:val="00037124"/>
    <w:rsid w:val="0003715E"/>
    <w:rsid w:val="00037237"/>
    <w:rsid w:val="00037364"/>
    <w:rsid w:val="000375D4"/>
    <w:rsid w:val="0003790D"/>
    <w:rsid w:val="0003792B"/>
    <w:rsid w:val="00037EB9"/>
    <w:rsid w:val="00037F80"/>
    <w:rsid w:val="0004025E"/>
    <w:rsid w:val="00040540"/>
    <w:rsid w:val="0004070D"/>
    <w:rsid w:val="000408E8"/>
    <w:rsid w:val="000409BC"/>
    <w:rsid w:val="00040A49"/>
    <w:rsid w:val="00040AC7"/>
    <w:rsid w:val="00040B2C"/>
    <w:rsid w:val="00041069"/>
    <w:rsid w:val="000410D0"/>
    <w:rsid w:val="000410FA"/>
    <w:rsid w:val="000413EF"/>
    <w:rsid w:val="0004178A"/>
    <w:rsid w:val="0004195B"/>
    <w:rsid w:val="000419F5"/>
    <w:rsid w:val="00041EBF"/>
    <w:rsid w:val="00041EE3"/>
    <w:rsid w:val="00042042"/>
    <w:rsid w:val="000421D2"/>
    <w:rsid w:val="000422F8"/>
    <w:rsid w:val="00042602"/>
    <w:rsid w:val="00042896"/>
    <w:rsid w:val="00042A67"/>
    <w:rsid w:val="00042AB7"/>
    <w:rsid w:val="00042AF4"/>
    <w:rsid w:val="00042CC0"/>
    <w:rsid w:val="00042CD9"/>
    <w:rsid w:val="00042D06"/>
    <w:rsid w:val="000431B3"/>
    <w:rsid w:val="0004328A"/>
    <w:rsid w:val="000432F7"/>
    <w:rsid w:val="000434EC"/>
    <w:rsid w:val="00043548"/>
    <w:rsid w:val="0004365D"/>
    <w:rsid w:val="00043665"/>
    <w:rsid w:val="0004372E"/>
    <w:rsid w:val="00043826"/>
    <w:rsid w:val="000438BA"/>
    <w:rsid w:val="000439B1"/>
    <w:rsid w:val="00043A83"/>
    <w:rsid w:val="00043B22"/>
    <w:rsid w:val="00043FCB"/>
    <w:rsid w:val="0004402B"/>
    <w:rsid w:val="000440AB"/>
    <w:rsid w:val="000441E5"/>
    <w:rsid w:val="00044273"/>
    <w:rsid w:val="00044285"/>
    <w:rsid w:val="000442BF"/>
    <w:rsid w:val="00044306"/>
    <w:rsid w:val="0004448B"/>
    <w:rsid w:val="0004449E"/>
    <w:rsid w:val="0004449F"/>
    <w:rsid w:val="00044512"/>
    <w:rsid w:val="000447D5"/>
    <w:rsid w:val="0004493D"/>
    <w:rsid w:val="000449F8"/>
    <w:rsid w:val="00044B87"/>
    <w:rsid w:val="00044C1E"/>
    <w:rsid w:val="00044C28"/>
    <w:rsid w:val="00044DB4"/>
    <w:rsid w:val="0004513F"/>
    <w:rsid w:val="0004523E"/>
    <w:rsid w:val="00045250"/>
    <w:rsid w:val="0004536A"/>
    <w:rsid w:val="00045554"/>
    <w:rsid w:val="000455BB"/>
    <w:rsid w:val="000459A0"/>
    <w:rsid w:val="00045F84"/>
    <w:rsid w:val="00045FE8"/>
    <w:rsid w:val="00046075"/>
    <w:rsid w:val="000463BF"/>
    <w:rsid w:val="0004659E"/>
    <w:rsid w:val="00046631"/>
    <w:rsid w:val="00046637"/>
    <w:rsid w:val="00046748"/>
    <w:rsid w:val="00046838"/>
    <w:rsid w:val="000469E7"/>
    <w:rsid w:val="00046DBA"/>
    <w:rsid w:val="00047015"/>
    <w:rsid w:val="00047171"/>
    <w:rsid w:val="000472DB"/>
    <w:rsid w:val="000473C3"/>
    <w:rsid w:val="0004793C"/>
    <w:rsid w:val="00047CA6"/>
    <w:rsid w:val="000501B1"/>
    <w:rsid w:val="00050277"/>
    <w:rsid w:val="0005038D"/>
    <w:rsid w:val="0005040A"/>
    <w:rsid w:val="00050509"/>
    <w:rsid w:val="00050534"/>
    <w:rsid w:val="00050652"/>
    <w:rsid w:val="000507B4"/>
    <w:rsid w:val="00050CE3"/>
    <w:rsid w:val="000510CA"/>
    <w:rsid w:val="000510FE"/>
    <w:rsid w:val="0005117F"/>
    <w:rsid w:val="00051310"/>
    <w:rsid w:val="00051713"/>
    <w:rsid w:val="000517DC"/>
    <w:rsid w:val="00051ACA"/>
    <w:rsid w:val="00051AE3"/>
    <w:rsid w:val="00051BE5"/>
    <w:rsid w:val="00051BFB"/>
    <w:rsid w:val="00051C17"/>
    <w:rsid w:val="00051C1A"/>
    <w:rsid w:val="00051CEE"/>
    <w:rsid w:val="00051DE7"/>
    <w:rsid w:val="00051E44"/>
    <w:rsid w:val="00051EA8"/>
    <w:rsid w:val="0005217D"/>
    <w:rsid w:val="000525C8"/>
    <w:rsid w:val="000525E6"/>
    <w:rsid w:val="00052683"/>
    <w:rsid w:val="000526AA"/>
    <w:rsid w:val="00052769"/>
    <w:rsid w:val="00052958"/>
    <w:rsid w:val="00053161"/>
    <w:rsid w:val="000535D1"/>
    <w:rsid w:val="000536E1"/>
    <w:rsid w:val="00053F3D"/>
    <w:rsid w:val="00053F4A"/>
    <w:rsid w:val="0005401E"/>
    <w:rsid w:val="000540CA"/>
    <w:rsid w:val="000540D9"/>
    <w:rsid w:val="000541C8"/>
    <w:rsid w:val="00054373"/>
    <w:rsid w:val="0005453F"/>
    <w:rsid w:val="000545F7"/>
    <w:rsid w:val="0005496B"/>
    <w:rsid w:val="00054B01"/>
    <w:rsid w:val="00054BBA"/>
    <w:rsid w:val="00054C69"/>
    <w:rsid w:val="00054CCB"/>
    <w:rsid w:val="00054D48"/>
    <w:rsid w:val="00054E4A"/>
    <w:rsid w:val="000551E0"/>
    <w:rsid w:val="00055245"/>
    <w:rsid w:val="000552FF"/>
    <w:rsid w:val="0005553B"/>
    <w:rsid w:val="00055604"/>
    <w:rsid w:val="0005577A"/>
    <w:rsid w:val="0005586D"/>
    <w:rsid w:val="00055A00"/>
    <w:rsid w:val="00055C53"/>
    <w:rsid w:val="00055C84"/>
    <w:rsid w:val="00055D07"/>
    <w:rsid w:val="00055D63"/>
    <w:rsid w:val="00055D73"/>
    <w:rsid w:val="00055E90"/>
    <w:rsid w:val="0005629E"/>
    <w:rsid w:val="00056488"/>
    <w:rsid w:val="000565D1"/>
    <w:rsid w:val="00056B56"/>
    <w:rsid w:val="00056B68"/>
    <w:rsid w:val="00056E96"/>
    <w:rsid w:val="00056EF3"/>
    <w:rsid w:val="0005702E"/>
    <w:rsid w:val="00057460"/>
    <w:rsid w:val="00057778"/>
    <w:rsid w:val="000579B5"/>
    <w:rsid w:val="00057CFC"/>
    <w:rsid w:val="00057E0D"/>
    <w:rsid w:val="00057E35"/>
    <w:rsid w:val="00057EB8"/>
    <w:rsid w:val="00060126"/>
    <w:rsid w:val="00060269"/>
    <w:rsid w:val="00060360"/>
    <w:rsid w:val="000603E9"/>
    <w:rsid w:val="00060716"/>
    <w:rsid w:val="00060794"/>
    <w:rsid w:val="00060884"/>
    <w:rsid w:val="000608BB"/>
    <w:rsid w:val="0006092D"/>
    <w:rsid w:val="00060987"/>
    <w:rsid w:val="000609D0"/>
    <w:rsid w:val="00060CA5"/>
    <w:rsid w:val="00060FFE"/>
    <w:rsid w:val="00061165"/>
    <w:rsid w:val="0006117B"/>
    <w:rsid w:val="0006157D"/>
    <w:rsid w:val="00061B40"/>
    <w:rsid w:val="00061E27"/>
    <w:rsid w:val="00061E76"/>
    <w:rsid w:val="00061F1A"/>
    <w:rsid w:val="000621E3"/>
    <w:rsid w:val="000624CE"/>
    <w:rsid w:val="00062574"/>
    <w:rsid w:val="000625D8"/>
    <w:rsid w:val="00062699"/>
    <w:rsid w:val="00062999"/>
    <w:rsid w:val="0006299E"/>
    <w:rsid w:val="00062D34"/>
    <w:rsid w:val="00062E68"/>
    <w:rsid w:val="00062E87"/>
    <w:rsid w:val="00062EB5"/>
    <w:rsid w:val="00063031"/>
    <w:rsid w:val="000630BC"/>
    <w:rsid w:val="00063153"/>
    <w:rsid w:val="000631B9"/>
    <w:rsid w:val="000632EF"/>
    <w:rsid w:val="000633A4"/>
    <w:rsid w:val="000638A5"/>
    <w:rsid w:val="00063ADB"/>
    <w:rsid w:val="00063B85"/>
    <w:rsid w:val="00063BE1"/>
    <w:rsid w:val="00063C86"/>
    <w:rsid w:val="000640C0"/>
    <w:rsid w:val="00064192"/>
    <w:rsid w:val="00064416"/>
    <w:rsid w:val="000644F1"/>
    <w:rsid w:val="00064715"/>
    <w:rsid w:val="00064866"/>
    <w:rsid w:val="000648C4"/>
    <w:rsid w:val="0006491D"/>
    <w:rsid w:val="00064B53"/>
    <w:rsid w:val="00064CA6"/>
    <w:rsid w:val="00064D10"/>
    <w:rsid w:val="00064E89"/>
    <w:rsid w:val="000651D2"/>
    <w:rsid w:val="00065418"/>
    <w:rsid w:val="0006586D"/>
    <w:rsid w:val="000658E1"/>
    <w:rsid w:val="000659F8"/>
    <w:rsid w:val="00065B77"/>
    <w:rsid w:val="00065BD1"/>
    <w:rsid w:val="00065CA0"/>
    <w:rsid w:val="00065D7B"/>
    <w:rsid w:val="00065E1C"/>
    <w:rsid w:val="00066057"/>
    <w:rsid w:val="0006611D"/>
    <w:rsid w:val="00066317"/>
    <w:rsid w:val="000667EF"/>
    <w:rsid w:val="000668CB"/>
    <w:rsid w:val="00066A41"/>
    <w:rsid w:val="00066A82"/>
    <w:rsid w:val="00066ABB"/>
    <w:rsid w:val="00066C2E"/>
    <w:rsid w:val="00066C71"/>
    <w:rsid w:val="00066CD7"/>
    <w:rsid w:val="00066D7C"/>
    <w:rsid w:val="00067338"/>
    <w:rsid w:val="000675E4"/>
    <w:rsid w:val="00067961"/>
    <w:rsid w:val="00067971"/>
    <w:rsid w:val="000679D4"/>
    <w:rsid w:val="00067CA1"/>
    <w:rsid w:val="00067D34"/>
    <w:rsid w:val="00070115"/>
    <w:rsid w:val="0007039D"/>
    <w:rsid w:val="00070628"/>
    <w:rsid w:val="0007089B"/>
    <w:rsid w:val="000708A8"/>
    <w:rsid w:val="00070988"/>
    <w:rsid w:val="000709B4"/>
    <w:rsid w:val="00070AF3"/>
    <w:rsid w:val="00070CCA"/>
    <w:rsid w:val="00070F7F"/>
    <w:rsid w:val="00070FD1"/>
    <w:rsid w:val="0007158D"/>
    <w:rsid w:val="0007168C"/>
    <w:rsid w:val="00071771"/>
    <w:rsid w:val="0007186D"/>
    <w:rsid w:val="00071881"/>
    <w:rsid w:val="00071923"/>
    <w:rsid w:val="00071ACC"/>
    <w:rsid w:val="00071BA8"/>
    <w:rsid w:val="00071D67"/>
    <w:rsid w:val="00071DD2"/>
    <w:rsid w:val="00071F77"/>
    <w:rsid w:val="00071F84"/>
    <w:rsid w:val="00072116"/>
    <w:rsid w:val="0007214B"/>
    <w:rsid w:val="000722B0"/>
    <w:rsid w:val="000722EA"/>
    <w:rsid w:val="00072352"/>
    <w:rsid w:val="0007268E"/>
    <w:rsid w:val="00072695"/>
    <w:rsid w:val="000726BF"/>
    <w:rsid w:val="00072742"/>
    <w:rsid w:val="0007274B"/>
    <w:rsid w:val="00072762"/>
    <w:rsid w:val="000728DA"/>
    <w:rsid w:val="0007292B"/>
    <w:rsid w:val="00072CF3"/>
    <w:rsid w:val="000730BC"/>
    <w:rsid w:val="00073403"/>
    <w:rsid w:val="000735B2"/>
    <w:rsid w:val="000735EA"/>
    <w:rsid w:val="00073725"/>
    <w:rsid w:val="0007373A"/>
    <w:rsid w:val="000737A2"/>
    <w:rsid w:val="000737E3"/>
    <w:rsid w:val="00073892"/>
    <w:rsid w:val="000738D8"/>
    <w:rsid w:val="00073947"/>
    <w:rsid w:val="0007396D"/>
    <w:rsid w:val="00073B3C"/>
    <w:rsid w:val="00073FB2"/>
    <w:rsid w:val="000746F8"/>
    <w:rsid w:val="000749A0"/>
    <w:rsid w:val="00074BED"/>
    <w:rsid w:val="00074C9D"/>
    <w:rsid w:val="00074D71"/>
    <w:rsid w:val="00074D90"/>
    <w:rsid w:val="00074E00"/>
    <w:rsid w:val="00074FDA"/>
    <w:rsid w:val="0007504E"/>
    <w:rsid w:val="000751D3"/>
    <w:rsid w:val="00075642"/>
    <w:rsid w:val="00075659"/>
    <w:rsid w:val="00075712"/>
    <w:rsid w:val="000758BD"/>
    <w:rsid w:val="00075A5D"/>
    <w:rsid w:val="00075E30"/>
    <w:rsid w:val="00075E5C"/>
    <w:rsid w:val="00075EA8"/>
    <w:rsid w:val="00075EAE"/>
    <w:rsid w:val="00076014"/>
    <w:rsid w:val="000762AC"/>
    <w:rsid w:val="00076407"/>
    <w:rsid w:val="000767DB"/>
    <w:rsid w:val="000769C2"/>
    <w:rsid w:val="00076A28"/>
    <w:rsid w:val="00076C7B"/>
    <w:rsid w:val="000771E3"/>
    <w:rsid w:val="00077338"/>
    <w:rsid w:val="000773FC"/>
    <w:rsid w:val="00077AB9"/>
    <w:rsid w:val="00077ACD"/>
    <w:rsid w:val="00077C4D"/>
    <w:rsid w:val="00077E80"/>
    <w:rsid w:val="00077F54"/>
    <w:rsid w:val="00080451"/>
    <w:rsid w:val="000804D4"/>
    <w:rsid w:val="00080674"/>
    <w:rsid w:val="0008090C"/>
    <w:rsid w:val="00080AA8"/>
    <w:rsid w:val="00080C27"/>
    <w:rsid w:val="00080CA9"/>
    <w:rsid w:val="00080DB1"/>
    <w:rsid w:val="00080EC6"/>
    <w:rsid w:val="00080F3B"/>
    <w:rsid w:val="000812F6"/>
    <w:rsid w:val="000813EC"/>
    <w:rsid w:val="0008156D"/>
    <w:rsid w:val="000817F2"/>
    <w:rsid w:val="0008195A"/>
    <w:rsid w:val="00081A95"/>
    <w:rsid w:val="00081BC9"/>
    <w:rsid w:val="00081CBA"/>
    <w:rsid w:val="0008266A"/>
    <w:rsid w:val="00082A04"/>
    <w:rsid w:val="00082C1A"/>
    <w:rsid w:val="00082E51"/>
    <w:rsid w:val="000830C6"/>
    <w:rsid w:val="000834B6"/>
    <w:rsid w:val="00083775"/>
    <w:rsid w:val="000837DE"/>
    <w:rsid w:val="000838BE"/>
    <w:rsid w:val="000838CF"/>
    <w:rsid w:val="00083915"/>
    <w:rsid w:val="00083983"/>
    <w:rsid w:val="00083B07"/>
    <w:rsid w:val="00083DDC"/>
    <w:rsid w:val="000842FA"/>
    <w:rsid w:val="00084417"/>
    <w:rsid w:val="000845C8"/>
    <w:rsid w:val="000848CA"/>
    <w:rsid w:val="00084B2F"/>
    <w:rsid w:val="00084C33"/>
    <w:rsid w:val="00084D69"/>
    <w:rsid w:val="0008555B"/>
    <w:rsid w:val="000855C5"/>
    <w:rsid w:val="000855F4"/>
    <w:rsid w:val="000858A8"/>
    <w:rsid w:val="0008599A"/>
    <w:rsid w:val="00085B59"/>
    <w:rsid w:val="00085CED"/>
    <w:rsid w:val="00085E33"/>
    <w:rsid w:val="00085E81"/>
    <w:rsid w:val="00085E9B"/>
    <w:rsid w:val="000860E9"/>
    <w:rsid w:val="000863F0"/>
    <w:rsid w:val="000869AE"/>
    <w:rsid w:val="00086A35"/>
    <w:rsid w:val="00086BE3"/>
    <w:rsid w:val="00086C19"/>
    <w:rsid w:val="00086DB5"/>
    <w:rsid w:val="00086EC1"/>
    <w:rsid w:val="00087064"/>
    <w:rsid w:val="00087575"/>
    <w:rsid w:val="00087776"/>
    <w:rsid w:val="000877A5"/>
    <w:rsid w:val="0008782C"/>
    <w:rsid w:val="00087A66"/>
    <w:rsid w:val="00087DCE"/>
    <w:rsid w:val="00087E1C"/>
    <w:rsid w:val="00087F33"/>
    <w:rsid w:val="000902AA"/>
    <w:rsid w:val="0009048E"/>
    <w:rsid w:val="0009054B"/>
    <w:rsid w:val="00090626"/>
    <w:rsid w:val="0009063F"/>
    <w:rsid w:val="000910B9"/>
    <w:rsid w:val="00091121"/>
    <w:rsid w:val="000911B3"/>
    <w:rsid w:val="00091427"/>
    <w:rsid w:val="00091513"/>
    <w:rsid w:val="00091A63"/>
    <w:rsid w:val="00091C0B"/>
    <w:rsid w:val="00091C7D"/>
    <w:rsid w:val="00091E58"/>
    <w:rsid w:val="00091EE3"/>
    <w:rsid w:val="00091F83"/>
    <w:rsid w:val="0009240E"/>
    <w:rsid w:val="00092427"/>
    <w:rsid w:val="00092454"/>
    <w:rsid w:val="000929B8"/>
    <w:rsid w:val="000929FF"/>
    <w:rsid w:val="00092D15"/>
    <w:rsid w:val="00092EAC"/>
    <w:rsid w:val="00092FCC"/>
    <w:rsid w:val="00093113"/>
    <w:rsid w:val="00093332"/>
    <w:rsid w:val="000934F3"/>
    <w:rsid w:val="000934F4"/>
    <w:rsid w:val="00093618"/>
    <w:rsid w:val="000938CE"/>
    <w:rsid w:val="00093A86"/>
    <w:rsid w:val="00093B76"/>
    <w:rsid w:val="00093B7F"/>
    <w:rsid w:val="00093C47"/>
    <w:rsid w:val="000944C6"/>
    <w:rsid w:val="00094A01"/>
    <w:rsid w:val="00094CA9"/>
    <w:rsid w:val="00094D74"/>
    <w:rsid w:val="00094E93"/>
    <w:rsid w:val="00094F55"/>
    <w:rsid w:val="00095002"/>
    <w:rsid w:val="0009501B"/>
    <w:rsid w:val="00095090"/>
    <w:rsid w:val="000952F2"/>
    <w:rsid w:val="000956BE"/>
    <w:rsid w:val="00095A36"/>
    <w:rsid w:val="00095A6A"/>
    <w:rsid w:val="00095BD8"/>
    <w:rsid w:val="00095C29"/>
    <w:rsid w:val="00095DBC"/>
    <w:rsid w:val="00095F6F"/>
    <w:rsid w:val="00095FD3"/>
    <w:rsid w:val="0009605C"/>
    <w:rsid w:val="00096063"/>
    <w:rsid w:val="00096238"/>
    <w:rsid w:val="00096626"/>
    <w:rsid w:val="0009668C"/>
    <w:rsid w:val="000967C9"/>
    <w:rsid w:val="000967EB"/>
    <w:rsid w:val="00096A62"/>
    <w:rsid w:val="00096C03"/>
    <w:rsid w:val="00096C4A"/>
    <w:rsid w:val="00096C75"/>
    <w:rsid w:val="00096EDE"/>
    <w:rsid w:val="00097141"/>
    <w:rsid w:val="000972E1"/>
    <w:rsid w:val="000976DF"/>
    <w:rsid w:val="0009776B"/>
    <w:rsid w:val="0009783A"/>
    <w:rsid w:val="000979F9"/>
    <w:rsid w:val="00097C4A"/>
    <w:rsid w:val="00097C4F"/>
    <w:rsid w:val="00097D13"/>
    <w:rsid w:val="000A0095"/>
    <w:rsid w:val="000A00F6"/>
    <w:rsid w:val="000A0164"/>
    <w:rsid w:val="000A02F0"/>
    <w:rsid w:val="000A0324"/>
    <w:rsid w:val="000A034C"/>
    <w:rsid w:val="000A03BC"/>
    <w:rsid w:val="000A0525"/>
    <w:rsid w:val="000A0666"/>
    <w:rsid w:val="000A09D9"/>
    <w:rsid w:val="000A0AD4"/>
    <w:rsid w:val="000A0BF2"/>
    <w:rsid w:val="000A0C17"/>
    <w:rsid w:val="000A0E00"/>
    <w:rsid w:val="000A0E66"/>
    <w:rsid w:val="000A11F9"/>
    <w:rsid w:val="000A13B4"/>
    <w:rsid w:val="000A1407"/>
    <w:rsid w:val="000A14FC"/>
    <w:rsid w:val="000A15D6"/>
    <w:rsid w:val="000A162E"/>
    <w:rsid w:val="000A1707"/>
    <w:rsid w:val="000A18C8"/>
    <w:rsid w:val="000A1A3E"/>
    <w:rsid w:val="000A1A50"/>
    <w:rsid w:val="000A1CE2"/>
    <w:rsid w:val="000A1D74"/>
    <w:rsid w:val="000A1E0A"/>
    <w:rsid w:val="000A1E57"/>
    <w:rsid w:val="000A1F25"/>
    <w:rsid w:val="000A200E"/>
    <w:rsid w:val="000A2130"/>
    <w:rsid w:val="000A2174"/>
    <w:rsid w:val="000A21ED"/>
    <w:rsid w:val="000A2277"/>
    <w:rsid w:val="000A229E"/>
    <w:rsid w:val="000A247B"/>
    <w:rsid w:val="000A252A"/>
    <w:rsid w:val="000A25EA"/>
    <w:rsid w:val="000A263C"/>
    <w:rsid w:val="000A2741"/>
    <w:rsid w:val="000A2761"/>
    <w:rsid w:val="000A28D4"/>
    <w:rsid w:val="000A2AB5"/>
    <w:rsid w:val="000A2ACF"/>
    <w:rsid w:val="000A2AF3"/>
    <w:rsid w:val="000A2B4C"/>
    <w:rsid w:val="000A2D15"/>
    <w:rsid w:val="000A2D4A"/>
    <w:rsid w:val="000A2DFB"/>
    <w:rsid w:val="000A2E47"/>
    <w:rsid w:val="000A2F5C"/>
    <w:rsid w:val="000A2F9D"/>
    <w:rsid w:val="000A30F5"/>
    <w:rsid w:val="000A31C1"/>
    <w:rsid w:val="000A3222"/>
    <w:rsid w:val="000A35D5"/>
    <w:rsid w:val="000A3667"/>
    <w:rsid w:val="000A390C"/>
    <w:rsid w:val="000A3A1F"/>
    <w:rsid w:val="000A3C39"/>
    <w:rsid w:val="000A3F55"/>
    <w:rsid w:val="000A3F66"/>
    <w:rsid w:val="000A3FB3"/>
    <w:rsid w:val="000A3FF7"/>
    <w:rsid w:val="000A43D6"/>
    <w:rsid w:val="000A441F"/>
    <w:rsid w:val="000A4468"/>
    <w:rsid w:val="000A4497"/>
    <w:rsid w:val="000A4517"/>
    <w:rsid w:val="000A4892"/>
    <w:rsid w:val="000A48F4"/>
    <w:rsid w:val="000A4A8C"/>
    <w:rsid w:val="000A52B4"/>
    <w:rsid w:val="000A559F"/>
    <w:rsid w:val="000A5FC2"/>
    <w:rsid w:val="000A6046"/>
    <w:rsid w:val="000A612D"/>
    <w:rsid w:val="000A62A3"/>
    <w:rsid w:val="000A63AC"/>
    <w:rsid w:val="000A67A3"/>
    <w:rsid w:val="000A69E9"/>
    <w:rsid w:val="000A6ABF"/>
    <w:rsid w:val="000A6DE6"/>
    <w:rsid w:val="000A6F65"/>
    <w:rsid w:val="000A726A"/>
    <w:rsid w:val="000A7611"/>
    <w:rsid w:val="000A76B5"/>
    <w:rsid w:val="000A798B"/>
    <w:rsid w:val="000A79C4"/>
    <w:rsid w:val="000A7A37"/>
    <w:rsid w:val="000A7EC8"/>
    <w:rsid w:val="000A7F1A"/>
    <w:rsid w:val="000A7F33"/>
    <w:rsid w:val="000A7F3F"/>
    <w:rsid w:val="000B00E8"/>
    <w:rsid w:val="000B0336"/>
    <w:rsid w:val="000B05ED"/>
    <w:rsid w:val="000B0845"/>
    <w:rsid w:val="000B0C92"/>
    <w:rsid w:val="000B0F21"/>
    <w:rsid w:val="000B0F5C"/>
    <w:rsid w:val="000B0FE2"/>
    <w:rsid w:val="000B0FEE"/>
    <w:rsid w:val="000B1289"/>
    <w:rsid w:val="000B12C1"/>
    <w:rsid w:val="000B14AF"/>
    <w:rsid w:val="000B1514"/>
    <w:rsid w:val="000B15AA"/>
    <w:rsid w:val="000B17B4"/>
    <w:rsid w:val="000B17F2"/>
    <w:rsid w:val="000B192A"/>
    <w:rsid w:val="000B19E1"/>
    <w:rsid w:val="000B1A9B"/>
    <w:rsid w:val="000B1AC4"/>
    <w:rsid w:val="000B1AE1"/>
    <w:rsid w:val="000B1C15"/>
    <w:rsid w:val="000B1EEF"/>
    <w:rsid w:val="000B2041"/>
    <w:rsid w:val="000B210D"/>
    <w:rsid w:val="000B2136"/>
    <w:rsid w:val="000B2171"/>
    <w:rsid w:val="000B2199"/>
    <w:rsid w:val="000B22E4"/>
    <w:rsid w:val="000B23E8"/>
    <w:rsid w:val="000B23F3"/>
    <w:rsid w:val="000B244A"/>
    <w:rsid w:val="000B2771"/>
    <w:rsid w:val="000B2A19"/>
    <w:rsid w:val="000B2B17"/>
    <w:rsid w:val="000B2F7C"/>
    <w:rsid w:val="000B2FE6"/>
    <w:rsid w:val="000B3114"/>
    <w:rsid w:val="000B32C1"/>
    <w:rsid w:val="000B32E0"/>
    <w:rsid w:val="000B33EA"/>
    <w:rsid w:val="000B3413"/>
    <w:rsid w:val="000B3538"/>
    <w:rsid w:val="000B355A"/>
    <w:rsid w:val="000B3577"/>
    <w:rsid w:val="000B3725"/>
    <w:rsid w:val="000B38D4"/>
    <w:rsid w:val="000B3B69"/>
    <w:rsid w:val="000B3BC4"/>
    <w:rsid w:val="000B3BDE"/>
    <w:rsid w:val="000B3D56"/>
    <w:rsid w:val="000B4015"/>
    <w:rsid w:val="000B420C"/>
    <w:rsid w:val="000B462F"/>
    <w:rsid w:val="000B4925"/>
    <w:rsid w:val="000B4972"/>
    <w:rsid w:val="000B4B91"/>
    <w:rsid w:val="000B4BAE"/>
    <w:rsid w:val="000B4FC3"/>
    <w:rsid w:val="000B51BA"/>
    <w:rsid w:val="000B52CF"/>
    <w:rsid w:val="000B538F"/>
    <w:rsid w:val="000B5549"/>
    <w:rsid w:val="000B561C"/>
    <w:rsid w:val="000B570A"/>
    <w:rsid w:val="000B57BA"/>
    <w:rsid w:val="000B5AA6"/>
    <w:rsid w:val="000B5CEC"/>
    <w:rsid w:val="000B5E44"/>
    <w:rsid w:val="000B6040"/>
    <w:rsid w:val="000B60AB"/>
    <w:rsid w:val="000B6456"/>
    <w:rsid w:val="000B6787"/>
    <w:rsid w:val="000B6879"/>
    <w:rsid w:val="000B69AB"/>
    <w:rsid w:val="000B6BC9"/>
    <w:rsid w:val="000B6EA9"/>
    <w:rsid w:val="000B6F8E"/>
    <w:rsid w:val="000B7166"/>
    <w:rsid w:val="000B7651"/>
    <w:rsid w:val="000B7659"/>
    <w:rsid w:val="000B774F"/>
    <w:rsid w:val="000B7E51"/>
    <w:rsid w:val="000C005A"/>
    <w:rsid w:val="000C0212"/>
    <w:rsid w:val="000C06CD"/>
    <w:rsid w:val="000C0716"/>
    <w:rsid w:val="000C09C1"/>
    <w:rsid w:val="000C0A94"/>
    <w:rsid w:val="000C0DCB"/>
    <w:rsid w:val="000C0EFE"/>
    <w:rsid w:val="000C10FE"/>
    <w:rsid w:val="000C1121"/>
    <w:rsid w:val="000C1359"/>
    <w:rsid w:val="000C1431"/>
    <w:rsid w:val="000C18A7"/>
    <w:rsid w:val="000C19B2"/>
    <w:rsid w:val="000C1ACC"/>
    <w:rsid w:val="000C1AE0"/>
    <w:rsid w:val="000C1AF1"/>
    <w:rsid w:val="000C1B1F"/>
    <w:rsid w:val="000C1C01"/>
    <w:rsid w:val="000C1C1A"/>
    <w:rsid w:val="000C1DC5"/>
    <w:rsid w:val="000C1EA8"/>
    <w:rsid w:val="000C1F1F"/>
    <w:rsid w:val="000C22FB"/>
    <w:rsid w:val="000C2374"/>
    <w:rsid w:val="000C284E"/>
    <w:rsid w:val="000C2AE4"/>
    <w:rsid w:val="000C2B38"/>
    <w:rsid w:val="000C2B40"/>
    <w:rsid w:val="000C2DBD"/>
    <w:rsid w:val="000C2F69"/>
    <w:rsid w:val="000C2FC4"/>
    <w:rsid w:val="000C3067"/>
    <w:rsid w:val="000C31B4"/>
    <w:rsid w:val="000C33C1"/>
    <w:rsid w:val="000C3506"/>
    <w:rsid w:val="000C358F"/>
    <w:rsid w:val="000C3A7E"/>
    <w:rsid w:val="000C3CA8"/>
    <w:rsid w:val="000C3DD5"/>
    <w:rsid w:val="000C3F7C"/>
    <w:rsid w:val="000C41BE"/>
    <w:rsid w:val="000C444C"/>
    <w:rsid w:val="000C4713"/>
    <w:rsid w:val="000C47C5"/>
    <w:rsid w:val="000C487E"/>
    <w:rsid w:val="000C492F"/>
    <w:rsid w:val="000C49C6"/>
    <w:rsid w:val="000C4B1B"/>
    <w:rsid w:val="000C4BA0"/>
    <w:rsid w:val="000C4D20"/>
    <w:rsid w:val="000C5149"/>
    <w:rsid w:val="000C51AC"/>
    <w:rsid w:val="000C5259"/>
    <w:rsid w:val="000C61F0"/>
    <w:rsid w:val="000C623F"/>
    <w:rsid w:val="000C684E"/>
    <w:rsid w:val="000C6AAC"/>
    <w:rsid w:val="000C6B60"/>
    <w:rsid w:val="000C6CCB"/>
    <w:rsid w:val="000C6E35"/>
    <w:rsid w:val="000C7105"/>
    <w:rsid w:val="000C7197"/>
    <w:rsid w:val="000C7276"/>
    <w:rsid w:val="000C7471"/>
    <w:rsid w:val="000C75CD"/>
    <w:rsid w:val="000C76CC"/>
    <w:rsid w:val="000C773F"/>
    <w:rsid w:val="000C78B0"/>
    <w:rsid w:val="000C79AB"/>
    <w:rsid w:val="000C79AF"/>
    <w:rsid w:val="000C7DD9"/>
    <w:rsid w:val="000C7EB9"/>
    <w:rsid w:val="000C7F18"/>
    <w:rsid w:val="000D0035"/>
    <w:rsid w:val="000D005F"/>
    <w:rsid w:val="000D011B"/>
    <w:rsid w:val="000D0296"/>
    <w:rsid w:val="000D04A6"/>
    <w:rsid w:val="000D0543"/>
    <w:rsid w:val="000D0652"/>
    <w:rsid w:val="000D07B7"/>
    <w:rsid w:val="000D0AC3"/>
    <w:rsid w:val="000D0C96"/>
    <w:rsid w:val="000D0CB8"/>
    <w:rsid w:val="000D0DA6"/>
    <w:rsid w:val="000D109E"/>
    <w:rsid w:val="000D1158"/>
    <w:rsid w:val="000D117C"/>
    <w:rsid w:val="000D1513"/>
    <w:rsid w:val="000D1671"/>
    <w:rsid w:val="000D17A8"/>
    <w:rsid w:val="000D18D3"/>
    <w:rsid w:val="000D19E8"/>
    <w:rsid w:val="000D1A44"/>
    <w:rsid w:val="000D1ADC"/>
    <w:rsid w:val="000D1B8B"/>
    <w:rsid w:val="000D1DC7"/>
    <w:rsid w:val="000D1FF8"/>
    <w:rsid w:val="000D204F"/>
    <w:rsid w:val="000D21B9"/>
    <w:rsid w:val="000D221D"/>
    <w:rsid w:val="000D225F"/>
    <w:rsid w:val="000D2288"/>
    <w:rsid w:val="000D23E7"/>
    <w:rsid w:val="000D2581"/>
    <w:rsid w:val="000D2942"/>
    <w:rsid w:val="000D2AC2"/>
    <w:rsid w:val="000D2B36"/>
    <w:rsid w:val="000D2BA9"/>
    <w:rsid w:val="000D2C26"/>
    <w:rsid w:val="000D2D2C"/>
    <w:rsid w:val="000D2DE0"/>
    <w:rsid w:val="000D2FB6"/>
    <w:rsid w:val="000D30D4"/>
    <w:rsid w:val="000D314B"/>
    <w:rsid w:val="000D3316"/>
    <w:rsid w:val="000D33B6"/>
    <w:rsid w:val="000D33EA"/>
    <w:rsid w:val="000D362D"/>
    <w:rsid w:val="000D3657"/>
    <w:rsid w:val="000D3740"/>
    <w:rsid w:val="000D38F7"/>
    <w:rsid w:val="000D3A2A"/>
    <w:rsid w:val="000D3B06"/>
    <w:rsid w:val="000D3B4D"/>
    <w:rsid w:val="000D3C31"/>
    <w:rsid w:val="000D3D79"/>
    <w:rsid w:val="000D3F55"/>
    <w:rsid w:val="000D4046"/>
    <w:rsid w:val="000D41D7"/>
    <w:rsid w:val="000D4215"/>
    <w:rsid w:val="000D428A"/>
    <w:rsid w:val="000D4361"/>
    <w:rsid w:val="000D45B3"/>
    <w:rsid w:val="000D45F8"/>
    <w:rsid w:val="000D4836"/>
    <w:rsid w:val="000D4AA4"/>
    <w:rsid w:val="000D4AF9"/>
    <w:rsid w:val="000D4BA7"/>
    <w:rsid w:val="000D4C7E"/>
    <w:rsid w:val="000D4E93"/>
    <w:rsid w:val="000D4ED6"/>
    <w:rsid w:val="000D4F05"/>
    <w:rsid w:val="000D4F50"/>
    <w:rsid w:val="000D4F73"/>
    <w:rsid w:val="000D5021"/>
    <w:rsid w:val="000D50F8"/>
    <w:rsid w:val="000D525E"/>
    <w:rsid w:val="000D5384"/>
    <w:rsid w:val="000D5412"/>
    <w:rsid w:val="000D5802"/>
    <w:rsid w:val="000D5B69"/>
    <w:rsid w:val="000D5E5D"/>
    <w:rsid w:val="000D5F48"/>
    <w:rsid w:val="000D5FBC"/>
    <w:rsid w:val="000D5FF8"/>
    <w:rsid w:val="000D624A"/>
    <w:rsid w:val="000D6683"/>
    <w:rsid w:val="000D6903"/>
    <w:rsid w:val="000D691E"/>
    <w:rsid w:val="000D6966"/>
    <w:rsid w:val="000D6AC6"/>
    <w:rsid w:val="000D6CAE"/>
    <w:rsid w:val="000D6D12"/>
    <w:rsid w:val="000D6D5A"/>
    <w:rsid w:val="000D6D83"/>
    <w:rsid w:val="000D6D95"/>
    <w:rsid w:val="000D6E26"/>
    <w:rsid w:val="000D6E35"/>
    <w:rsid w:val="000D6E3A"/>
    <w:rsid w:val="000D6E9D"/>
    <w:rsid w:val="000D6EDB"/>
    <w:rsid w:val="000D6EF2"/>
    <w:rsid w:val="000D7378"/>
    <w:rsid w:val="000D7435"/>
    <w:rsid w:val="000D7513"/>
    <w:rsid w:val="000D7591"/>
    <w:rsid w:val="000D7765"/>
    <w:rsid w:val="000D789E"/>
    <w:rsid w:val="000D78B7"/>
    <w:rsid w:val="000D7A34"/>
    <w:rsid w:val="000D7B88"/>
    <w:rsid w:val="000D7C60"/>
    <w:rsid w:val="000D7DC6"/>
    <w:rsid w:val="000D7EEC"/>
    <w:rsid w:val="000E0101"/>
    <w:rsid w:val="000E019D"/>
    <w:rsid w:val="000E02AE"/>
    <w:rsid w:val="000E02DF"/>
    <w:rsid w:val="000E0371"/>
    <w:rsid w:val="000E03A4"/>
    <w:rsid w:val="000E05BE"/>
    <w:rsid w:val="000E0787"/>
    <w:rsid w:val="000E0ADC"/>
    <w:rsid w:val="000E0D3C"/>
    <w:rsid w:val="000E0DF1"/>
    <w:rsid w:val="000E0E7A"/>
    <w:rsid w:val="000E1292"/>
    <w:rsid w:val="000E1504"/>
    <w:rsid w:val="000E1538"/>
    <w:rsid w:val="000E16CE"/>
    <w:rsid w:val="000E1819"/>
    <w:rsid w:val="000E1B22"/>
    <w:rsid w:val="000E1B38"/>
    <w:rsid w:val="000E1BFD"/>
    <w:rsid w:val="000E2013"/>
    <w:rsid w:val="000E20CD"/>
    <w:rsid w:val="000E2261"/>
    <w:rsid w:val="000E229E"/>
    <w:rsid w:val="000E24D4"/>
    <w:rsid w:val="000E2538"/>
    <w:rsid w:val="000E25DC"/>
    <w:rsid w:val="000E2859"/>
    <w:rsid w:val="000E2964"/>
    <w:rsid w:val="000E2AD0"/>
    <w:rsid w:val="000E2AE7"/>
    <w:rsid w:val="000E2C0C"/>
    <w:rsid w:val="000E2DC6"/>
    <w:rsid w:val="000E2E04"/>
    <w:rsid w:val="000E2E0F"/>
    <w:rsid w:val="000E2F5D"/>
    <w:rsid w:val="000E3078"/>
    <w:rsid w:val="000E30FA"/>
    <w:rsid w:val="000E33CD"/>
    <w:rsid w:val="000E3442"/>
    <w:rsid w:val="000E3463"/>
    <w:rsid w:val="000E35E8"/>
    <w:rsid w:val="000E36BA"/>
    <w:rsid w:val="000E37BB"/>
    <w:rsid w:val="000E38B6"/>
    <w:rsid w:val="000E38FC"/>
    <w:rsid w:val="000E3907"/>
    <w:rsid w:val="000E3C94"/>
    <w:rsid w:val="000E3D17"/>
    <w:rsid w:val="000E40DF"/>
    <w:rsid w:val="000E4216"/>
    <w:rsid w:val="000E428D"/>
    <w:rsid w:val="000E4368"/>
    <w:rsid w:val="000E442F"/>
    <w:rsid w:val="000E444D"/>
    <w:rsid w:val="000E45B2"/>
    <w:rsid w:val="000E4611"/>
    <w:rsid w:val="000E47F7"/>
    <w:rsid w:val="000E48BF"/>
    <w:rsid w:val="000E4967"/>
    <w:rsid w:val="000E4B8D"/>
    <w:rsid w:val="000E4D0A"/>
    <w:rsid w:val="000E4E06"/>
    <w:rsid w:val="000E4EF5"/>
    <w:rsid w:val="000E4F61"/>
    <w:rsid w:val="000E5306"/>
    <w:rsid w:val="000E541D"/>
    <w:rsid w:val="000E55E4"/>
    <w:rsid w:val="000E58BC"/>
    <w:rsid w:val="000E5954"/>
    <w:rsid w:val="000E5A36"/>
    <w:rsid w:val="000E5C53"/>
    <w:rsid w:val="000E5D3D"/>
    <w:rsid w:val="000E6050"/>
    <w:rsid w:val="000E6418"/>
    <w:rsid w:val="000E64C2"/>
    <w:rsid w:val="000E6680"/>
    <w:rsid w:val="000E6733"/>
    <w:rsid w:val="000E6786"/>
    <w:rsid w:val="000E6CB6"/>
    <w:rsid w:val="000E70AB"/>
    <w:rsid w:val="000E71D5"/>
    <w:rsid w:val="000E72EF"/>
    <w:rsid w:val="000E753F"/>
    <w:rsid w:val="000E7BC2"/>
    <w:rsid w:val="000F011C"/>
    <w:rsid w:val="000F02F0"/>
    <w:rsid w:val="000F0339"/>
    <w:rsid w:val="000F039D"/>
    <w:rsid w:val="000F0450"/>
    <w:rsid w:val="000F046C"/>
    <w:rsid w:val="000F078A"/>
    <w:rsid w:val="000F086C"/>
    <w:rsid w:val="000F0887"/>
    <w:rsid w:val="000F08D1"/>
    <w:rsid w:val="000F0ACA"/>
    <w:rsid w:val="000F0B09"/>
    <w:rsid w:val="000F0BD7"/>
    <w:rsid w:val="000F0BFB"/>
    <w:rsid w:val="000F0D35"/>
    <w:rsid w:val="000F0DF9"/>
    <w:rsid w:val="000F0EEB"/>
    <w:rsid w:val="000F0FCC"/>
    <w:rsid w:val="000F122D"/>
    <w:rsid w:val="000F1293"/>
    <w:rsid w:val="000F1445"/>
    <w:rsid w:val="000F16F5"/>
    <w:rsid w:val="000F1EC5"/>
    <w:rsid w:val="000F1F3A"/>
    <w:rsid w:val="000F1F3D"/>
    <w:rsid w:val="000F1F94"/>
    <w:rsid w:val="000F2197"/>
    <w:rsid w:val="000F21B1"/>
    <w:rsid w:val="000F233C"/>
    <w:rsid w:val="000F25C3"/>
    <w:rsid w:val="000F2925"/>
    <w:rsid w:val="000F2B24"/>
    <w:rsid w:val="000F2B60"/>
    <w:rsid w:val="000F2C87"/>
    <w:rsid w:val="000F2F6C"/>
    <w:rsid w:val="000F317D"/>
    <w:rsid w:val="000F3219"/>
    <w:rsid w:val="000F358F"/>
    <w:rsid w:val="000F35EA"/>
    <w:rsid w:val="000F36E0"/>
    <w:rsid w:val="000F3842"/>
    <w:rsid w:val="000F3A3B"/>
    <w:rsid w:val="000F3AE6"/>
    <w:rsid w:val="000F40C5"/>
    <w:rsid w:val="000F4130"/>
    <w:rsid w:val="000F4204"/>
    <w:rsid w:val="000F4303"/>
    <w:rsid w:val="000F4327"/>
    <w:rsid w:val="000F4603"/>
    <w:rsid w:val="000F4679"/>
    <w:rsid w:val="000F475C"/>
    <w:rsid w:val="000F48E7"/>
    <w:rsid w:val="000F493E"/>
    <w:rsid w:val="000F4980"/>
    <w:rsid w:val="000F4AB2"/>
    <w:rsid w:val="000F4B7D"/>
    <w:rsid w:val="000F4C72"/>
    <w:rsid w:val="000F4D5C"/>
    <w:rsid w:val="000F4EDB"/>
    <w:rsid w:val="000F50BD"/>
    <w:rsid w:val="000F5238"/>
    <w:rsid w:val="000F52BF"/>
    <w:rsid w:val="000F5335"/>
    <w:rsid w:val="000F5348"/>
    <w:rsid w:val="000F57D7"/>
    <w:rsid w:val="000F57DA"/>
    <w:rsid w:val="000F59C4"/>
    <w:rsid w:val="000F5A2C"/>
    <w:rsid w:val="000F5BF9"/>
    <w:rsid w:val="000F5CA5"/>
    <w:rsid w:val="000F5D2F"/>
    <w:rsid w:val="000F5E96"/>
    <w:rsid w:val="000F5F83"/>
    <w:rsid w:val="000F6159"/>
    <w:rsid w:val="000F6204"/>
    <w:rsid w:val="000F6331"/>
    <w:rsid w:val="000F633C"/>
    <w:rsid w:val="000F66EE"/>
    <w:rsid w:val="000F6883"/>
    <w:rsid w:val="000F6ABD"/>
    <w:rsid w:val="000F6AC3"/>
    <w:rsid w:val="000F6DE0"/>
    <w:rsid w:val="000F6FA1"/>
    <w:rsid w:val="000F717C"/>
    <w:rsid w:val="000F72A4"/>
    <w:rsid w:val="000F732C"/>
    <w:rsid w:val="000F734E"/>
    <w:rsid w:val="000F7355"/>
    <w:rsid w:val="000F73F9"/>
    <w:rsid w:val="000F7442"/>
    <w:rsid w:val="000F752B"/>
    <w:rsid w:val="000F7751"/>
    <w:rsid w:val="000F7A79"/>
    <w:rsid w:val="000F7C95"/>
    <w:rsid w:val="000F7D50"/>
    <w:rsid w:val="000F7D7B"/>
    <w:rsid w:val="000F7DAC"/>
    <w:rsid w:val="000F7EAC"/>
    <w:rsid w:val="000F7F46"/>
    <w:rsid w:val="000F7F99"/>
    <w:rsid w:val="00100027"/>
    <w:rsid w:val="00100210"/>
    <w:rsid w:val="00100333"/>
    <w:rsid w:val="00100382"/>
    <w:rsid w:val="0010044D"/>
    <w:rsid w:val="001004E3"/>
    <w:rsid w:val="00100552"/>
    <w:rsid w:val="001007F9"/>
    <w:rsid w:val="001009E7"/>
    <w:rsid w:val="00100FF0"/>
    <w:rsid w:val="00101059"/>
    <w:rsid w:val="0010138B"/>
    <w:rsid w:val="001013E7"/>
    <w:rsid w:val="00101418"/>
    <w:rsid w:val="00101628"/>
    <w:rsid w:val="0010163B"/>
    <w:rsid w:val="0010189A"/>
    <w:rsid w:val="001018BA"/>
    <w:rsid w:val="00101AC1"/>
    <w:rsid w:val="00101C93"/>
    <w:rsid w:val="00101FBD"/>
    <w:rsid w:val="0010209E"/>
    <w:rsid w:val="00102298"/>
    <w:rsid w:val="00102847"/>
    <w:rsid w:val="00102A86"/>
    <w:rsid w:val="00102B14"/>
    <w:rsid w:val="00102BE4"/>
    <w:rsid w:val="00102D37"/>
    <w:rsid w:val="00102DBA"/>
    <w:rsid w:val="001030CC"/>
    <w:rsid w:val="00103279"/>
    <w:rsid w:val="00103572"/>
    <w:rsid w:val="0010372D"/>
    <w:rsid w:val="001037D4"/>
    <w:rsid w:val="00103B33"/>
    <w:rsid w:val="00103C26"/>
    <w:rsid w:val="00103F76"/>
    <w:rsid w:val="00103F8E"/>
    <w:rsid w:val="0010413A"/>
    <w:rsid w:val="00104240"/>
    <w:rsid w:val="00104380"/>
    <w:rsid w:val="00104435"/>
    <w:rsid w:val="00104513"/>
    <w:rsid w:val="0010493D"/>
    <w:rsid w:val="00104A45"/>
    <w:rsid w:val="0010528F"/>
    <w:rsid w:val="00105425"/>
    <w:rsid w:val="0010577A"/>
    <w:rsid w:val="00105B57"/>
    <w:rsid w:val="00105DE1"/>
    <w:rsid w:val="00105E55"/>
    <w:rsid w:val="00105E67"/>
    <w:rsid w:val="0010600D"/>
    <w:rsid w:val="001060A1"/>
    <w:rsid w:val="00106167"/>
    <w:rsid w:val="001061D3"/>
    <w:rsid w:val="0010637C"/>
    <w:rsid w:val="001063C2"/>
    <w:rsid w:val="00106462"/>
    <w:rsid w:val="001065AC"/>
    <w:rsid w:val="001068A8"/>
    <w:rsid w:val="001068ED"/>
    <w:rsid w:val="00106C9F"/>
    <w:rsid w:val="001070AF"/>
    <w:rsid w:val="00107158"/>
    <w:rsid w:val="00107219"/>
    <w:rsid w:val="001074BB"/>
    <w:rsid w:val="0010750D"/>
    <w:rsid w:val="001076E5"/>
    <w:rsid w:val="00107840"/>
    <w:rsid w:val="00107876"/>
    <w:rsid w:val="001078AB"/>
    <w:rsid w:val="00107A25"/>
    <w:rsid w:val="00107A5C"/>
    <w:rsid w:val="00107D87"/>
    <w:rsid w:val="00107E64"/>
    <w:rsid w:val="00107F63"/>
    <w:rsid w:val="00107FBF"/>
    <w:rsid w:val="00110034"/>
    <w:rsid w:val="001100EA"/>
    <w:rsid w:val="0011010B"/>
    <w:rsid w:val="0011023E"/>
    <w:rsid w:val="00110445"/>
    <w:rsid w:val="001106A1"/>
    <w:rsid w:val="001106D3"/>
    <w:rsid w:val="0011074D"/>
    <w:rsid w:val="0011088F"/>
    <w:rsid w:val="00110B25"/>
    <w:rsid w:val="00110DD1"/>
    <w:rsid w:val="00110F75"/>
    <w:rsid w:val="0011118F"/>
    <w:rsid w:val="00111293"/>
    <w:rsid w:val="001112A7"/>
    <w:rsid w:val="00111762"/>
    <w:rsid w:val="0011186A"/>
    <w:rsid w:val="00111F3A"/>
    <w:rsid w:val="0011207C"/>
    <w:rsid w:val="0011219A"/>
    <w:rsid w:val="001123ED"/>
    <w:rsid w:val="0011253A"/>
    <w:rsid w:val="00112705"/>
    <w:rsid w:val="0011270B"/>
    <w:rsid w:val="001129ED"/>
    <w:rsid w:val="00112A49"/>
    <w:rsid w:val="00112AED"/>
    <w:rsid w:val="00112B58"/>
    <w:rsid w:val="00112D84"/>
    <w:rsid w:val="0011369A"/>
    <w:rsid w:val="00113801"/>
    <w:rsid w:val="00113807"/>
    <w:rsid w:val="0011389F"/>
    <w:rsid w:val="00113B23"/>
    <w:rsid w:val="00113BEC"/>
    <w:rsid w:val="00113D11"/>
    <w:rsid w:val="00113FF6"/>
    <w:rsid w:val="00114085"/>
    <w:rsid w:val="0011435F"/>
    <w:rsid w:val="0011465D"/>
    <w:rsid w:val="00114869"/>
    <w:rsid w:val="00114D7D"/>
    <w:rsid w:val="00114E40"/>
    <w:rsid w:val="00114EBE"/>
    <w:rsid w:val="00114EC9"/>
    <w:rsid w:val="001151E6"/>
    <w:rsid w:val="00115654"/>
    <w:rsid w:val="00115782"/>
    <w:rsid w:val="00115B6C"/>
    <w:rsid w:val="00115C54"/>
    <w:rsid w:val="00115FA7"/>
    <w:rsid w:val="00115FFC"/>
    <w:rsid w:val="0011607A"/>
    <w:rsid w:val="0011642F"/>
    <w:rsid w:val="001167C1"/>
    <w:rsid w:val="0011695E"/>
    <w:rsid w:val="00116A85"/>
    <w:rsid w:val="00116AF0"/>
    <w:rsid w:val="00116EA3"/>
    <w:rsid w:val="00116ED2"/>
    <w:rsid w:val="00117045"/>
    <w:rsid w:val="001171D9"/>
    <w:rsid w:val="00117229"/>
    <w:rsid w:val="001173A5"/>
    <w:rsid w:val="001173D9"/>
    <w:rsid w:val="00117410"/>
    <w:rsid w:val="0011760F"/>
    <w:rsid w:val="00117907"/>
    <w:rsid w:val="0011791F"/>
    <w:rsid w:val="00117937"/>
    <w:rsid w:val="0011798A"/>
    <w:rsid w:val="00117A75"/>
    <w:rsid w:val="00117B65"/>
    <w:rsid w:val="00117D97"/>
    <w:rsid w:val="00120117"/>
    <w:rsid w:val="00120167"/>
    <w:rsid w:val="0012026A"/>
    <w:rsid w:val="00120294"/>
    <w:rsid w:val="00120629"/>
    <w:rsid w:val="0012070B"/>
    <w:rsid w:val="00120C11"/>
    <w:rsid w:val="00121395"/>
    <w:rsid w:val="001213B1"/>
    <w:rsid w:val="00121435"/>
    <w:rsid w:val="001216C0"/>
    <w:rsid w:val="00121AC0"/>
    <w:rsid w:val="00121B08"/>
    <w:rsid w:val="00121B39"/>
    <w:rsid w:val="00121BB7"/>
    <w:rsid w:val="00121BD4"/>
    <w:rsid w:val="00121C93"/>
    <w:rsid w:val="00121E0B"/>
    <w:rsid w:val="00121F27"/>
    <w:rsid w:val="00121F41"/>
    <w:rsid w:val="0012201F"/>
    <w:rsid w:val="00122137"/>
    <w:rsid w:val="00122237"/>
    <w:rsid w:val="0012243A"/>
    <w:rsid w:val="001224D0"/>
    <w:rsid w:val="001224E1"/>
    <w:rsid w:val="001225A0"/>
    <w:rsid w:val="00122936"/>
    <w:rsid w:val="00122938"/>
    <w:rsid w:val="00122A5E"/>
    <w:rsid w:val="00122AB5"/>
    <w:rsid w:val="00122D30"/>
    <w:rsid w:val="001231C2"/>
    <w:rsid w:val="001231E5"/>
    <w:rsid w:val="001233DE"/>
    <w:rsid w:val="0012358B"/>
    <w:rsid w:val="001235B3"/>
    <w:rsid w:val="00123A18"/>
    <w:rsid w:val="00123C11"/>
    <w:rsid w:val="00123D44"/>
    <w:rsid w:val="0012401F"/>
    <w:rsid w:val="00124261"/>
    <w:rsid w:val="00124410"/>
    <w:rsid w:val="0012441F"/>
    <w:rsid w:val="00124498"/>
    <w:rsid w:val="0012453C"/>
    <w:rsid w:val="001245BE"/>
    <w:rsid w:val="001246B0"/>
    <w:rsid w:val="00124854"/>
    <w:rsid w:val="00124947"/>
    <w:rsid w:val="0012499F"/>
    <w:rsid w:val="00124A12"/>
    <w:rsid w:val="00124AF1"/>
    <w:rsid w:val="00124B0F"/>
    <w:rsid w:val="001251DA"/>
    <w:rsid w:val="0012545A"/>
    <w:rsid w:val="001255E4"/>
    <w:rsid w:val="00125908"/>
    <w:rsid w:val="001260AE"/>
    <w:rsid w:val="00126518"/>
    <w:rsid w:val="0012676E"/>
    <w:rsid w:val="001268E4"/>
    <w:rsid w:val="001269AD"/>
    <w:rsid w:val="00126AC6"/>
    <w:rsid w:val="00126C74"/>
    <w:rsid w:val="00126D08"/>
    <w:rsid w:val="00126EC5"/>
    <w:rsid w:val="00127056"/>
    <w:rsid w:val="0012740C"/>
    <w:rsid w:val="0012750A"/>
    <w:rsid w:val="001275F9"/>
    <w:rsid w:val="001276E3"/>
    <w:rsid w:val="001278CE"/>
    <w:rsid w:val="001278E5"/>
    <w:rsid w:val="00127A2E"/>
    <w:rsid w:val="00127B45"/>
    <w:rsid w:val="00127D45"/>
    <w:rsid w:val="00130220"/>
    <w:rsid w:val="00130248"/>
    <w:rsid w:val="001305BA"/>
    <w:rsid w:val="001305FC"/>
    <w:rsid w:val="001308E3"/>
    <w:rsid w:val="0013090E"/>
    <w:rsid w:val="00130995"/>
    <w:rsid w:val="00130A86"/>
    <w:rsid w:val="00130AC7"/>
    <w:rsid w:val="00130AF0"/>
    <w:rsid w:val="00130FA2"/>
    <w:rsid w:val="0013120D"/>
    <w:rsid w:val="001316A5"/>
    <w:rsid w:val="001316D7"/>
    <w:rsid w:val="0013197E"/>
    <w:rsid w:val="00131B89"/>
    <w:rsid w:val="00131C85"/>
    <w:rsid w:val="00131C9A"/>
    <w:rsid w:val="00131FDC"/>
    <w:rsid w:val="00132117"/>
    <w:rsid w:val="0013231A"/>
    <w:rsid w:val="001323D5"/>
    <w:rsid w:val="0013268B"/>
    <w:rsid w:val="00132692"/>
    <w:rsid w:val="00132764"/>
    <w:rsid w:val="001329E2"/>
    <w:rsid w:val="00132A66"/>
    <w:rsid w:val="00132B6A"/>
    <w:rsid w:val="00132FC5"/>
    <w:rsid w:val="001331EA"/>
    <w:rsid w:val="00133594"/>
    <w:rsid w:val="00133605"/>
    <w:rsid w:val="00133AF5"/>
    <w:rsid w:val="00133B16"/>
    <w:rsid w:val="00133D91"/>
    <w:rsid w:val="00133DAF"/>
    <w:rsid w:val="00133F5A"/>
    <w:rsid w:val="00133FFF"/>
    <w:rsid w:val="001340F1"/>
    <w:rsid w:val="00134175"/>
    <w:rsid w:val="0013424D"/>
    <w:rsid w:val="0013433E"/>
    <w:rsid w:val="001347A9"/>
    <w:rsid w:val="00134808"/>
    <w:rsid w:val="00134846"/>
    <w:rsid w:val="001348AB"/>
    <w:rsid w:val="00134936"/>
    <w:rsid w:val="00134BC7"/>
    <w:rsid w:val="001351B1"/>
    <w:rsid w:val="00135579"/>
    <w:rsid w:val="00135A82"/>
    <w:rsid w:val="00135DEB"/>
    <w:rsid w:val="001360E7"/>
    <w:rsid w:val="0013639F"/>
    <w:rsid w:val="00136498"/>
    <w:rsid w:val="001366D3"/>
    <w:rsid w:val="001367D4"/>
    <w:rsid w:val="00136867"/>
    <w:rsid w:val="001369DF"/>
    <w:rsid w:val="001369F4"/>
    <w:rsid w:val="00136DBA"/>
    <w:rsid w:val="00136EE4"/>
    <w:rsid w:val="00136F67"/>
    <w:rsid w:val="0013719C"/>
    <w:rsid w:val="0013727E"/>
    <w:rsid w:val="0013737D"/>
    <w:rsid w:val="0013761C"/>
    <w:rsid w:val="00137802"/>
    <w:rsid w:val="00137BFB"/>
    <w:rsid w:val="0014005A"/>
    <w:rsid w:val="001400AD"/>
    <w:rsid w:val="0014010A"/>
    <w:rsid w:val="00140313"/>
    <w:rsid w:val="001403CC"/>
    <w:rsid w:val="00140591"/>
    <w:rsid w:val="001409EA"/>
    <w:rsid w:val="00140D24"/>
    <w:rsid w:val="00140FB3"/>
    <w:rsid w:val="001411BE"/>
    <w:rsid w:val="0014154F"/>
    <w:rsid w:val="00141594"/>
    <w:rsid w:val="001418B8"/>
    <w:rsid w:val="001419D1"/>
    <w:rsid w:val="00141AB3"/>
    <w:rsid w:val="00141BCC"/>
    <w:rsid w:val="00141BE1"/>
    <w:rsid w:val="00141C2B"/>
    <w:rsid w:val="00141C38"/>
    <w:rsid w:val="00141CFA"/>
    <w:rsid w:val="00141DEC"/>
    <w:rsid w:val="00141DF7"/>
    <w:rsid w:val="00141EF8"/>
    <w:rsid w:val="00141F80"/>
    <w:rsid w:val="00141FB5"/>
    <w:rsid w:val="00142075"/>
    <w:rsid w:val="001426DF"/>
    <w:rsid w:val="00142712"/>
    <w:rsid w:val="00142751"/>
    <w:rsid w:val="00142B13"/>
    <w:rsid w:val="00142C85"/>
    <w:rsid w:val="00142DB1"/>
    <w:rsid w:val="00142ED1"/>
    <w:rsid w:val="00143184"/>
    <w:rsid w:val="00143347"/>
    <w:rsid w:val="001437DF"/>
    <w:rsid w:val="00143AEC"/>
    <w:rsid w:val="00143B44"/>
    <w:rsid w:val="00143CF3"/>
    <w:rsid w:val="0014434E"/>
    <w:rsid w:val="00144435"/>
    <w:rsid w:val="001444C2"/>
    <w:rsid w:val="001445E7"/>
    <w:rsid w:val="00144635"/>
    <w:rsid w:val="00144AB7"/>
    <w:rsid w:val="00144BA0"/>
    <w:rsid w:val="00144BE9"/>
    <w:rsid w:val="001451B1"/>
    <w:rsid w:val="0014574F"/>
    <w:rsid w:val="00145899"/>
    <w:rsid w:val="0014592C"/>
    <w:rsid w:val="00145BAA"/>
    <w:rsid w:val="00145CC3"/>
    <w:rsid w:val="00145D38"/>
    <w:rsid w:val="0014604F"/>
    <w:rsid w:val="0014609F"/>
    <w:rsid w:val="0014628E"/>
    <w:rsid w:val="00146733"/>
    <w:rsid w:val="00146980"/>
    <w:rsid w:val="00147120"/>
    <w:rsid w:val="00147284"/>
    <w:rsid w:val="001473D5"/>
    <w:rsid w:val="00147407"/>
    <w:rsid w:val="0014756E"/>
    <w:rsid w:val="0014771D"/>
    <w:rsid w:val="0014789E"/>
    <w:rsid w:val="001478A6"/>
    <w:rsid w:val="0014798E"/>
    <w:rsid w:val="001479C1"/>
    <w:rsid w:val="00147AA5"/>
    <w:rsid w:val="00147ACD"/>
    <w:rsid w:val="00147BB2"/>
    <w:rsid w:val="00147FA1"/>
    <w:rsid w:val="00147FCA"/>
    <w:rsid w:val="001502A5"/>
    <w:rsid w:val="0015036E"/>
    <w:rsid w:val="00150429"/>
    <w:rsid w:val="001505FB"/>
    <w:rsid w:val="001506BA"/>
    <w:rsid w:val="001506DB"/>
    <w:rsid w:val="0015072C"/>
    <w:rsid w:val="001507DA"/>
    <w:rsid w:val="0015089B"/>
    <w:rsid w:val="001509C6"/>
    <w:rsid w:val="00150CEC"/>
    <w:rsid w:val="00150D7A"/>
    <w:rsid w:val="00150DD6"/>
    <w:rsid w:val="00150F51"/>
    <w:rsid w:val="00151221"/>
    <w:rsid w:val="00151261"/>
    <w:rsid w:val="001512D6"/>
    <w:rsid w:val="0015150B"/>
    <w:rsid w:val="00151590"/>
    <w:rsid w:val="0015162D"/>
    <w:rsid w:val="001516D0"/>
    <w:rsid w:val="00151955"/>
    <w:rsid w:val="00151A44"/>
    <w:rsid w:val="00151BAE"/>
    <w:rsid w:val="00151C57"/>
    <w:rsid w:val="00151CD9"/>
    <w:rsid w:val="00151D0C"/>
    <w:rsid w:val="00151E84"/>
    <w:rsid w:val="0015211D"/>
    <w:rsid w:val="001521C2"/>
    <w:rsid w:val="001523F4"/>
    <w:rsid w:val="0015240E"/>
    <w:rsid w:val="001528A7"/>
    <w:rsid w:val="00152A83"/>
    <w:rsid w:val="00152A85"/>
    <w:rsid w:val="00152C08"/>
    <w:rsid w:val="00152C8B"/>
    <w:rsid w:val="00152EDC"/>
    <w:rsid w:val="00153026"/>
    <w:rsid w:val="00153097"/>
    <w:rsid w:val="001530DD"/>
    <w:rsid w:val="0015319B"/>
    <w:rsid w:val="00153205"/>
    <w:rsid w:val="001533F0"/>
    <w:rsid w:val="0015345E"/>
    <w:rsid w:val="00153565"/>
    <w:rsid w:val="001536C7"/>
    <w:rsid w:val="00153748"/>
    <w:rsid w:val="00153AAC"/>
    <w:rsid w:val="00153BA0"/>
    <w:rsid w:val="0015400C"/>
    <w:rsid w:val="001543A8"/>
    <w:rsid w:val="001543BA"/>
    <w:rsid w:val="00154824"/>
    <w:rsid w:val="0015482D"/>
    <w:rsid w:val="00154B04"/>
    <w:rsid w:val="00154CA6"/>
    <w:rsid w:val="00154E6A"/>
    <w:rsid w:val="0015504C"/>
    <w:rsid w:val="0015522A"/>
    <w:rsid w:val="0015525C"/>
    <w:rsid w:val="00155354"/>
    <w:rsid w:val="00155364"/>
    <w:rsid w:val="001553A0"/>
    <w:rsid w:val="001553F1"/>
    <w:rsid w:val="00155649"/>
    <w:rsid w:val="001557A4"/>
    <w:rsid w:val="001557A5"/>
    <w:rsid w:val="00155995"/>
    <w:rsid w:val="00155A0E"/>
    <w:rsid w:val="00156129"/>
    <w:rsid w:val="00156284"/>
    <w:rsid w:val="00156541"/>
    <w:rsid w:val="00156699"/>
    <w:rsid w:val="00156706"/>
    <w:rsid w:val="001567C6"/>
    <w:rsid w:val="00156980"/>
    <w:rsid w:val="00156A6D"/>
    <w:rsid w:val="00156D7B"/>
    <w:rsid w:val="00156EE9"/>
    <w:rsid w:val="0015701C"/>
    <w:rsid w:val="00157102"/>
    <w:rsid w:val="00157103"/>
    <w:rsid w:val="001573F0"/>
    <w:rsid w:val="0015750F"/>
    <w:rsid w:val="0015778E"/>
    <w:rsid w:val="001579E9"/>
    <w:rsid w:val="00157C7C"/>
    <w:rsid w:val="00157C99"/>
    <w:rsid w:val="00157F05"/>
    <w:rsid w:val="001601B0"/>
    <w:rsid w:val="001602C5"/>
    <w:rsid w:val="001603AE"/>
    <w:rsid w:val="001604D2"/>
    <w:rsid w:val="0016061F"/>
    <w:rsid w:val="001607C9"/>
    <w:rsid w:val="001608F3"/>
    <w:rsid w:val="0016097F"/>
    <w:rsid w:val="001609EA"/>
    <w:rsid w:val="00160A3B"/>
    <w:rsid w:val="00160C8D"/>
    <w:rsid w:val="00160D74"/>
    <w:rsid w:val="00160E53"/>
    <w:rsid w:val="00160EC3"/>
    <w:rsid w:val="00160F41"/>
    <w:rsid w:val="00160FE5"/>
    <w:rsid w:val="00161221"/>
    <w:rsid w:val="00161432"/>
    <w:rsid w:val="0016151D"/>
    <w:rsid w:val="0016159A"/>
    <w:rsid w:val="001616F3"/>
    <w:rsid w:val="00161762"/>
    <w:rsid w:val="001618AB"/>
    <w:rsid w:val="001618DE"/>
    <w:rsid w:val="00161999"/>
    <w:rsid w:val="001622F9"/>
    <w:rsid w:val="001625EB"/>
    <w:rsid w:val="001626B4"/>
    <w:rsid w:val="001626F0"/>
    <w:rsid w:val="00162CA8"/>
    <w:rsid w:val="00162D24"/>
    <w:rsid w:val="00162D76"/>
    <w:rsid w:val="00162EA1"/>
    <w:rsid w:val="00162FB6"/>
    <w:rsid w:val="001631D7"/>
    <w:rsid w:val="00163A38"/>
    <w:rsid w:val="00163A41"/>
    <w:rsid w:val="00163A52"/>
    <w:rsid w:val="00163BAE"/>
    <w:rsid w:val="00163C83"/>
    <w:rsid w:val="00163C92"/>
    <w:rsid w:val="00163FFC"/>
    <w:rsid w:val="00164017"/>
    <w:rsid w:val="001640C1"/>
    <w:rsid w:val="0016413E"/>
    <w:rsid w:val="00164180"/>
    <w:rsid w:val="0016419A"/>
    <w:rsid w:val="001641D7"/>
    <w:rsid w:val="0016430C"/>
    <w:rsid w:val="0016471B"/>
    <w:rsid w:val="00164741"/>
    <w:rsid w:val="0016474C"/>
    <w:rsid w:val="00164994"/>
    <w:rsid w:val="00164B47"/>
    <w:rsid w:val="00164DE7"/>
    <w:rsid w:val="001653D5"/>
    <w:rsid w:val="00165775"/>
    <w:rsid w:val="001657A6"/>
    <w:rsid w:val="00165955"/>
    <w:rsid w:val="00165DEA"/>
    <w:rsid w:val="00165E64"/>
    <w:rsid w:val="00165E90"/>
    <w:rsid w:val="00165EE5"/>
    <w:rsid w:val="00165F5B"/>
    <w:rsid w:val="001660BC"/>
    <w:rsid w:val="001665A2"/>
    <w:rsid w:val="001668B5"/>
    <w:rsid w:val="001668C0"/>
    <w:rsid w:val="00166B4D"/>
    <w:rsid w:val="00166DF1"/>
    <w:rsid w:val="001671AD"/>
    <w:rsid w:val="0016736A"/>
    <w:rsid w:val="0016745F"/>
    <w:rsid w:val="00167522"/>
    <w:rsid w:val="00167586"/>
    <w:rsid w:val="001676FA"/>
    <w:rsid w:val="0016780E"/>
    <w:rsid w:val="0016787C"/>
    <w:rsid w:val="00167A37"/>
    <w:rsid w:val="00167A4B"/>
    <w:rsid w:val="00167AF9"/>
    <w:rsid w:val="00167D3C"/>
    <w:rsid w:val="00167FBE"/>
    <w:rsid w:val="00167FE0"/>
    <w:rsid w:val="0016BB83"/>
    <w:rsid w:val="00170247"/>
    <w:rsid w:val="0017054E"/>
    <w:rsid w:val="001705DB"/>
    <w:rsid w:val="0017069B"/>
    <w:rsid w:val="00170798"/>
    <w:rsid w:val="001708B2"/>
    <w:rsid w:val="00170954"/>
    <w:rsid w:val="0017099A"/>
    <w:rsid w:val="00170A27"/>
    <w:rsid w:val="00170BC1"/>
    <w:rsid w:val="00170C70"/>
    <w:rsid w:val="00170DE7"/>
    <w:rsid w:val="00170EB7"/>
    <w:rsid w:val="00170FC2"/>
    <w:rsid w:val="00171058"/>
    <w:rsid w:val="001710CC"/>
    <w:rsid w:val="00171249"/>
    <w:rsid w:val="001713E1"/>
    <w:rsid w:val="00171439"/>
    <w:rsid w:val="00171446"/>
    <w:rsid w:val="00171469"/>
    <w:rsid w:val="001714E9"/>
    <w:rsid w:val="00171640"/>
    <w:rsid w:val="001717D0"/>
    <w:rsid w:val="00171850"/>
    <w:rsid w:val="001718EA"/>
    <w:rsid w:val="00171B3A"/>
    <w:rsid w:val="00171B6F"/>
    <w:rsid w:val="00171BA4"/>
    <w:rsid w:val="00171C3D"/>
    <w:rsid w:val="00171CCC"/>
    <w:rsid w:val="00172038"/>
    <w:rsid w:val="001720B4"/>
    <w:rsid w:val="001720D5"/>
    <w:rsid w:val="00172145"/>
    <w:rsid w:val="001724AF"/>
    <w:rsid w:val="00172599"/>
    <w:rsid w:val="00172664"/>
    <w:rsid w:val="001726FA"/>
    <w:rsid w:val="00172847"/>
    <w:rsid w:val="001728F4"/>
    <w:rsid w:val="00172CB9"/>
    <w:rsid w:val="0017312E"/>
    <w:rsid w:val="0017329A"/>
    <w:rsid w:val="00173358"/>
    <w:rsid w:val="00173720"/>
    <w:rsid w:val="00173AB2"/>
    <w:rsid w:val="00173ABF"/>
    <w:rsid w:val="00173AEB"/>
    <w:rsid w:val="00173B28"/>
    <w:rsid w:val="00173CD9"/>
    <w:rsid w:val="00173CE3"/>
    <w:rsid w:val="00173DCA"/>
    <w:rsid w:val="00173E83"/>
    <w:rsid w:val="00173E90"/>
    <w:rsid w:val="00173ED6"/>
    <w:rsid w:val="00173F0D"/>
    <w:rsid w:val="00173F6E"/>
    <w:rsid w:val="00173FBB"/>
    <w:rsid w:val="001743AF"/>
    <w:rsid w:val="00174563"/>
    <w:rsid w:val="001746DD"/>
    <w:rsid w:val="00174DE9"/>
    <w:rsid w:val="0017504C"/>
    <w:rsid w:val="0017517B"/>
    <w:rsid w:val="00175205"/>
    <w:rsid w:val="00175384"/>
    <w:rsid w:val="0017539B"/>
    <w:rsid w:val="00175AFC"/>
    <w:rsid w:val="00175CF4"/>
    <w:rsid w:val="00175F3D"/>
    <w:rsid w:val="00176077"/>
    <w:rsid w:val="001762E8"/>
    <w:rsid w:val="001765FE"/>
    <w:rsid w:val="0017669F"/>
    <w:rsid w:val="001766A6"/>
    <w:rsid w:val="001766C0"/>
    <w:rsid w:val="001767A2"/>
    <w:rsid w:val="001768BE"/>
    <w:rsid w:val="00176956"/>
    <w:rsid w:val="00176E66"/>
    <w:rsid w:val="00176FEF"/>
    <w:rsid w:val="0017710E"/>
    <w:rsid w:val="00177112"/>
    <w:rsid w:val="00177328"/>
    <w:rsid w:val="00177396"/>
    <w:rsid w:val="001777F0"/>
    <w:rsid w:val="0017799F"/>
    <w:rsid w:val="00177B45"/>
    <w:rsid w:val="00177F45"/>
    <w:rsid w:val="001800FC"/>
    <w:rsid w:val="001801C2"/>
    <w:rsid w:val="0018031D"/>
    <w:rsid w:val="001805BF"/>
    <w:rsid w:val="001805D5"/>
    <w:rsid w:val="001805FF"/>
    <w:rsid w:val="00180697"/>
    <w:rsid w:val="00180819"/>
    <w:rsid w:val="0018081F"/>
    <w:rsid w:val="00180982"/>
    <w:rsid w:val="00180DC7"/>
    <w:rsid w:val="00180EC4"/>
    <w:rsid w:val="001811E2"/>
    <w:rsid w:val="00181684"/>
    <w:rsid w:val="00181715"/>
    <w:rsid w:val="00181973"/>
    <w:rsid w:val="00181A7A"/>
    <w:rsid w:val="00181AE7"/>
    <w:rsid w:val="00181B44"/>
    <w:rsid w:val="00181B94"/>
    <w:rsid w:val="00181DAE"/>
    <w:rsid w:val="00181F30"/>
    <w:rsid w:val="00181F6C"/>
    <w:rsid w:val="00181FF4"/>
    <w:rsid w:val="00182020"/>
    <w:rsid w:val="001822A1"/>
    <w:rsid w:val="0018248F"/>
    <w:rsid w:val="0018249C"/>
    <w:rsid w:val="0018249E"/>
    <w:rsid w:val="00182579"/>
    <w:rsid w:val="00182672"/>
    <w:rsid w:val="001826D6"/>
    <w:rsid w:val="00182744"/>
    <w:rsid w:val="001828EE"/>
    <w:rsid w:val="00182D90"/>
    <w:rsid w:val="00182FFD"/>
    <w:rsid w:val="00183319"/>
    <w:rsid w:val="00183484"/>
    <w:rsid w:val="0018358C"/>
    <w:rsid w:val="0018374F"/>
    <w:rsid w:val="001839EF"/>
    <w:rsid w:val="00183B3C"/>
    <w:rsid w:val="00183B44"/>
    <w:rsid w:val="00183CCD"/>
    <w:rsid w:val="00183E74"/>
    <w:rsid w:val="0018406B"/>
    <w:rsid w:val="001840C9"/>
    <w:rsid w:val="00184226"/>
    <w:rsid w:val="0018436F"/>
    <w:rsid w:val="001847FE"/>
    <w:rsid w:val="00184973"/>
    <w:rsid w:val="00184D32"/>
    <w:rsid w:val="00184DFF"/>
    <w:rsid w:val="00184EAE"/>
    <w:rsid w:val="00184F7D"/>
    <w:rsid w:val="00185089"/>
    <w:rsid w:val="0018528F"/>
    <w:rsid w:val="001854C9"/>
    <w:rsid w:val="001856ED"/>
    <w:rsid w:val="00185834"/>
    <w:rsid w:val="001858E2"/>
    <w:rsid w:val="00185967"/>
    <w:rsid w:val="001859F5"/>
    <w:rsid w:val="00185BED"/>
    <w:rsid w:val="00185EE0"/>
    <w:rsid w:val="00185FD4"/>
    <w:rsid w:val="00186025"/>
    <w:rsid w:val="0018607F"/>
    <w:rsid w:val="00186162"/>
    <w:rsid w:val="00186514"/>
    <w:rsid w:val="001865E2"/>
    <w:rsid w:val="0018680B"/>
    <w:rsid w:val="0018682B"/>
    <w:rsid w:val="00186CF2"/>
    <w:rsid w:val="00186E7B"/>
    <w:rsid w:val="00186F82"/>
    <w:rsid w:val="00187213"/>
    <w:rsid w:val="00187230"/>
    <w:rsid w:val="00187236"/>
    <w:rsid w:val="001872F9"/>
    <w:rsid w:val="00187346"/>
    <w:rsid w:val="001876CB"/>
    <w:rsid w:val="001877F3"/>
    <w:rsid w:val="00187A88"/>
    <w:rsid w:val="00187EE6"/>
    <w:rsid w:val="001906B7"/>
    <w:rsid w:val="001909C0"/>
    <w:rsid w:val="001909C5"/>
    <w:rsid w:val="00190B4F"/>
    <w:rsid w:val="00190B9D"/>
    <w:rsid w:val="00190DC8"/>
    <w:rsid w:val="00190F8C"/>
    <w:rsid w:val="00191090"/>
    <w:rsid w:val="001911EE"/>
    <w:rsid w:val="001911F1"/>
    <w:rsid w:val="001911F6"/>
    <w:rsid w:val="00191459"/>
    <w:rsid w:val="00191569"/>
    <w:rsid w:val="00191AF0"/>
    <w:rsid w:val="00191BF4"/>
    <w:rsid w:val="00191CE5"/>
    <w:rsid w:val="00191E0A"/>
    <w:rsid w:val="001920BB"/>
    <w:rsid w:val="0019225C"/>
    <w:rsid w:val="001923F5"/>
    <w:rsid w:val="0019254D"/>
    <w:rsid w:val="0019265B"/>
    <w:rsid w:val="001926FB"/>
    <w:rsid w:val="00192925"/>
    <w:rsid w:val="001929F0"/>
    <w:rsid w:val="00192CA9"/>
    <w:rsid w:val="00192D61"/>
    <w:rsid w:val="00192E00"/>
    <w:rsid w:val="00192EFF"/>
    <w:rsid w:val="00192F02"/>
    <w:rsid w:val="00192F41"/>
    <w:rsid w:val="001931F3"/>
    <w:rsid w:val="00193550"/>
    <w:rsid w:val="00193612"/>
    <w:rsid w:val="00193896"/>
    <w:rsid w:val="001938B5"/>
    <w:rsid w:val="0019390D"/>
    <w:rsid w:val="0019390F"/>
    <w:rsid w:val="0019393F"/>
    <w:rsid w:val="001939BB"/>
    <w:rsid w:val="00193ACF"/>
    <w:rsid w:val="00193E1A"/>
    <w:rsid w:val="00193EC8"/>
    <w:rsid w:val="00194253"/>
    <w:rsid w:val="00194469"/>
    <w:rsid w:val="0019455B"/>
    <w:rsid w:val="0019457D"/>
    <w:rsid w:val="0019462D"/>
    <w:rsid w:val="0019479A"/>
    <w:rsid w:val="001947CC"/>
    <w:rsid w:val="00194A81"/>
    <w:rsid w:val="00194ADB"/>
    <w:rsid w:val="00194BB9"/>
    <w:rsid w:val="00194D2A"/>
    <w:rsid w:val="00194D52"/>
    <w:rsid w:val="0019502C"/>
    <w:rsid w:val="00195087"/>
    <w:rsid w:val="001950E1"/>
    <w:rsid w:val="0019548A"/>
    <w:rsid w:val="001954E9"/>
    <w:rsid w:val="0019551A"/>
    <w:rsid w:val="001955D7"/>
    <w:rsid w:val="0019573F"/>
    <w:rsid w:val="00195884"/>
    <w:rsid w:val="00195C18"/>
    <w:rsid w:val="00195D16"/>
    <w:rsid w:val="00195DCC"/>
    <w:rsid w:val="00195E57"/>
    <w:rsid w:val="00195EFB"/>
    <w:rsid w:val="00195F0B"/>
    <w:rsid w:val="0019604C"/>
    <w:rsid w:val="0019606D"/>
    <w:rsid w:val="001963E2"/>
    <w:rsid w:val="001964C4"/>
    <w:rsid w:val="0019659E"/>
    <w:rsid w:val="001965B8"/>
    <w:rsid w:val="00196655"/>
    <w:rsid w:val="00196658"/>
    <w:rsid w:val="00196B99"/>
    <w:rsid w:val="00196C6C"/>
    <w:rsid w:val="00196CFC"/>
    <w:rsid w:val="00196D56"/>
    <w:rsid w:val="00196F48"/>
    <w:rsid w:val="0019720D"/>
    <w:rsid w:val="00197340"/>
    <w:rsid w:val="001977AC"/>
    <w:rsid w:val="0019797A"/>
    <w:rsid w:val="00197E63"/>
    <w:rsid w:val="001A00F5"/>
    <w:rsid w:val="001A0170"/>
    <w:rsid w:val="001A0199"/>
    <w:rsid w:val="001A040E"/>
    <w:rsid w:val="001A041D"/>
    <w:rsid w:val="001A0508"/>
    <w:rsid w:val="001A08DC"/>
    <w:rsid w:val="001A08E2"/>
    <w:rsid w:val="001A0B6E"/>
    <w:rsid w:val="001A0D54"/>
    <w:rsid w:val="001A1063"/>
    <w:rsid w:val="001A113D"/>
    <w:rsid w:val="001A1187"/>
    <w:rsid w:val="001A14FA"/>
    <w:rsid w:val="001A1704"/>
    <w:rsid w:val="001A1789"/>
    <w:rsid w:val="001A1828"/>
    <w:rsid w:val="001A1A0A"/>
    <w:rsid w:val="001A1C38"/>
    <w:rsid w:val="001A1CE8"/>
    <w:rsid w:val="001A20F2"/>
    <w:rsid w:val="001A22D9"/>
    <w:rsid w:val="001A234C"/>
    <w:rsid w:val="001A28FC"/>
    <w:rsid w:val="001A2A1C"/>
    <w:rsid w:val="001A2B4F"/>
    <w:rsid w:val="001A2DE5"/>
    <w:rsid w:val="001A2DF9"/>
    <w:rsid w:val="001A317A"/>
    <w:rsid w:val="001A3586"/>
    <w:rsid w:val="001A3B4B"/>
    <w:rsid w:val="001A3BB2"/>
    <w:rsid w:val="001A3CAA"/>
    <w:rsid w:val="001A455F"/>
    <w:rsid w:val="001A4707"/>
    <w:rsid w:val="001A4A4E"/>
    <w:rsid w:val="001A4A59"/>
    <w:rsid w:val="001A4A87"/>
    <w:rsid w:val="001A4B66"/>
    <w:rsid w:val="001A4C60"/>
    <w:rsid w:val="001A4CF4"/>
    <w:rsid w:val="001A4D17"/>
    <w:rsid w:val="001A4EEC"/>
    <w:rsid w:val="001A4F15"/>
    <w:rsid w:val="001A5164"/>
    <w:rsid w:val="001A5349"/>
    <w:rsid w:val="001A5383"/>
    <w:rsid w:val="001A54E3"/>
    <w:rsid w:val="001A59FA"/>
    <w:rsid w:val="001A5CA6"/>
    <w:rsid w:val="001A5D22"/>
    <w:rsid w:val="001A5D73"/>
    <w:rsid w:val="001A5F39"/>
    <w:rsid w:val="001A5F6E"/>
    <w:rsid w:val="001A60D3"/>
    <w:rsid w:val="001A6215"/>
    <w:rsid w:val="001A647C"/>
    <w:rsid w:val="001A656F"/>
    <w:rsid w:val="001A69DF"/>
    <w:rsid w:val="001A6A76"/>
    <w:rsid w:val="001A6C33"/>
    <w:rsid w:val="001A6C69"/>
    <w:rsid w:val="001A6CE3"/>
    <w:rsid w:val="001A6D19"/>
    <w:rsid w:val="001A6D23"/>
    <w:rsid w:val="001A6E50"/>
    <w:rsid w:val="001A6E8E"/>
    <w:rsid w:val="001A70A0"/>
    <w:rsid w:val="001A7126"/>
    <w:rsid w:val="001A748A"/>
    <w:rsid w:val="001A7558"/>
    <w:rsid w:val="001A7ACD"/>
    <w:rsid w:val="001A7AE9"/>
    <w:rsid w:val="001A7C0D"/>
    <w:rsid w:val="001A7CFA"/>
    <w:rsid w:val="001A7D04"/>
    <w:rsid w:val="001A7E04"/>
    <w:rsid w:val="001A7E05"/>
    <w:rsid w:val="001A7F0F"/>
    <w:rsid w:val="001A7F1E"/>
    <w:rsid w:val="001B018F"/>
    <w:rsid w:val="001B0204"/>
    <w:rsid w:val="001B0A1B"/>
    <w:rsid w:val="001B0ABE"/>
    <w:rsid w:val="001B0CFB"/>
    <w:rsid w:val="001B0F75"/>
    <w:rsid w:val="001B1271"/>
    <w:rsid w:val="001B1497"/>
    <w:rsid w:val="001B1517"/>
    <w:rsid w:val="001B1A23"/>
    <w:rsid w:val="001B1B68"/>
    <w:rsid w:val="001B1C77"/>
    <w:rsid w:val="001B1E0F"/>
    <w:rsid w:val="001B1F75"/>
    <w:rsid w:val="001B1FD4"/>
    <w:rsid w:val="001B22A9"/>
    <w:rsid w:val="001B24DF"/>
    <w:rsid w:val="001B26E0"/>
    <w:rsid w:val="001B2A2B"/>
    <w:rsid w:val="001B3173"/>
    <w:rsid w:val="001B332A"/>
    <w:rsid w:val="001B33B4"/>
    <w:rsid w:val="001B35D8"/>
    <w:rsid w:val="001B38A8"/>
    <w:rsid w:val="001B3995"/>
    <w:rsid w:val="001B3C45"/>
    <w:rsid w:val="001B3E36"/>
    <w:rsid w:val="001B3E89"/>
    <w:rsid w:val="001B3F9A"/>
    <w:rsid w:val="001B3FF7"/>
    <w:rsid w:val="001B40A9"/>
    <w:rsid w:val="001B4150"/>
    <w:rsid w:val="001B4169"/>
    <w:rsid w:val="001B4373"/>
    <w:rsid w:val="001B4662"/>
    <w:rsid w:val="001B47B0"/>
    <w:rsid w:val="001B5079"/>
    <w:rsid w:val="001B55F0"/>
    <w:rsid w:val="001B567C"/>
    <w:rsid w:val="001B575E"/>
    <w:rsid w:val="001B58C6"/>
    <w:rsid w:val="001B5A74"/>
    <w:rsid w:val="001B5C59"/>
    <w:rsid w:val="001B6184"/>
    <w:rsid w:val="001B61E9"/>
    <w:rsid w:val="001B6336"/>
    <w:rsid w:val="001B663C"/>
    <w:rsid w:val="001B6C1E"/>
    <w:rsid w:val="001B6C53"/>
    <w:rsid w:val="001B6FA1"/>
    <w:rsid w:val="001B7165"/>
    <w:rsid w:val="001B71B5"/>
    <w:rsid w:val="001B7362"/>
    <w:rsid w:val="001B739B"/>
    <w:rsid w:val="001B74C8"/>
    <w:rsid w:val="001B7845"/>
    <w:rsid w:val="001B7933"/>
    <w:rsid w:val="001B7959"/>
    <w:rsid w:val="001B7B38"/>
    <w:rsid w:val="001B7BA5"/>
    <w:rsid w:val="001B7D2B"/>
    <w:rsid w:val="001B7FD6"/>
    <w:rsid w:val="001C00D6"/>
    <w:rsid w:val="001C01B9"/>
    <w:rsid w:val="001C035A"/>
    <w:rsid w:val="001C06E4"/>
    <w:rsid w:val="001C0755"/>
    <w:rsid w:val="001C07F6"/>
    <w:rsid w:val="001C0948"/>
    <w:rsid w:val="001C0CA9"/>
    <w:rsid w:val="001C0E8C"/>
    <w:rsid w:val="001C0EC3"/>
    <w:rsid w:val="001C0EDA"/>
    <w:rsid w:val="001C1204"/>
    <w:rsid w:val="001C1357"/>
    <w:rsid w:val="001C139A"/>
    <w:rsid w:val="001C13C9"/>
    <w:rsid w:val="001C1555"/>
    <w:rsid w:val="001C15AE"/>
    <w:rsid w:val="001C17BF"/>
    <w:rsid w:val="001C19CD"/>
    <w:rsid w:val="001C1B0B"/>
    <w:rsid w:val="001C1B44"/>
    <w:rsid w:val="001C1B94"/>
    <w:rsid w:val="001C1C46"/>
    <w:rsid w:val="001C1DDF"/>
    <w:rsid w:val="001C21B0"/>
    <w:rsid w:val="001C2265"/>
    <w:rsid w:val="001C23C2"/>
    <w:rsid w:val="001C24C9"/>
    <w:rsid w:val="001C26BC"/>
    <w:rsid w:val="001C270A"/>
    <w:rsid w:val="001C287A"/>
    <w:rsid w:val="001C29BC"/>
    <w:rsid w:val="001C2A89"/>
    <w:rsid w:val="001C2E88"/>
    <w:rsid w:val="001C2F01"/>
    <w:rsid w:val="001C2F4B"/>
    <w:rsid w:val="001C3359"/>
    <w:rsid w:val="001C34F9"/>
    <w:rsid w:val="001C38A8"/>
    <w:rsid w:val="001C3B14"/>
    <w:rsid w:val="001C3D95"/>
    <w:rsid w:val="001C3DB0"/>
    <w:rsid w:val="001C3DB4"/>
    <w:rsid w:val="001C4073"/>
    <w:rsid w:val="001C4097"/>
    <w:rsid w:val="001C40E4"/>
    <w:rsid w:val="001C4157"/>
    <w:rsid w:val="001C427F"/>
    <w:rsid w:val="001C43C1"/>
    <w:rsid w:val="001C442E"/>
    <w:rsid w:val="001C446F"/>
    <w:rsid w:val="001C47D5"/>
    <w:rsid w:val="001C4868"/>
    <w:rsid w:val="001C4930"/>
    <w:rsid w:val="001C4992"/>
    <w:rsid w:val="001C4A08"/>
    <w:rsid w:val="001C4A28"/>
    <w:rsid w:val="001C4A6B"/>
    <w:rsid w:val="001C4B3E"/>
    <w:rsid w:val="001C4C3B"/>
    <w:rsid w:val="001C4FC4"/>
    <w:rsid w:val="001C512E"/>
    <w:rsid w:val="001C53B3"/>
    <w:rsid w:val="001C5436"/>
    <w:rsid w:val="001C54F4"/>
    <w:rsid w:val="001C5737"/>
    <w:rsid w:val="001C5A95"/>
    <w:rsid w:val="001C5AAE"/>
    <w:rsid w:val="001C5E51"/>
    <w:rsid w:val="001C5E86"/>
    <w:rsid w:val="001C62E9"/>
    <w:rsid w:val="001C644E"/>
    <w:rsid w:val="001C663E"/>
    <w:rsid w:val="001C6698"/>
    <w:rsid w:val="001C684E"/>
    <w:rsid w:val="001C6D0C"/>
    <w:rsid w:val="001C6E68"/>
    <w:rsid w:val="001C6FD5"/>
    <w:rsid w:val="001C7119"/>
    <w:rsid w:val="001C7123"/>
    <w:rsid w:val="001C719D"/>
    <w:rsid w:val="001C73DE"/>
    <w:rsid w:val="001C7424"/>
    <w:rsid w:val="001C755D"/>
    <w:rsid w:val="001C7568"/>
    <w:rsid w:val="001C765C"/>
    <w:rsid w:val="001C79EB"/>
    <w:rsid w:val="001D00D5"/>
    <w:rsid w:val="001D0170"/>
    <w:rsid w:val="001D0255"/>
    <w:rsid w:val="001D02B6"/>
    <w:rsid w:val="001D02DD"/>
    <w:rsid w:val="001D02FC"/>
    <w:rsid w:val="001D03F5"/>
    <w:rsid w:val="001D0677"/>
    <w:rsid w:val="001D0783"/>
    <w:rsid w:val="001D07C6"/>
    <w:rsid w:val="001D0813"/>
    <w:rsid w:val="001D0947"/>
    <w:rsid w:val="001D0D2D"/>
    <w:rsid w:val="001D0D8A"/>
    <w:rsid w:val="001D0DEE"/>
    <w:rsid w:val="001D0E6B"/>
    <w:rsid w:val="001D0E8C"/>
    <w:rsid w:val="001D0E97"/>
    <w:rsid w:val="001D114B"/>
    <w:rsid w:val="001D116E"/>
    <w:rsid w:val="001D12A5"/>
    <w:rsid w:val="001D1730"/>
    <w:rsid w:val="001D1A85"/>
    <w:rsid w:val="001D208B"/>
    <w:rsid w:val="001D213B"/>
    <w:rsid w:val="001D22E6"/>
    <w:rsid w:val="001D2501"/>
    <w:rsid w:val="001D2533"/>
    <w:rsid w:val="001D2607"/>
    <w:rsid w:val="001D2616"/>
    <w:rsid w:val="001D261D"/>
    <w:rsid w:val="001D26DD"/>
    <w:rsid w:val="001D2746"/>
    <w:rsid w:val="001D2875"/>
    <w:rsid w:val="001D29F3"/>
    <w:rsid w:val="001D2A7A"/>
    <w:rsid w:val="001D3037"/>
    <w:rsid w:val="001D33A1"/>
    <w:rsid w:val="001D357B"/>
    <w:rsid w:val="001D365D"/>
    <w:rsid w:val="001D3CFF"/>
    <w:rsid w:val="001D3DD1"/>
    <w:rsid w:val="001D3E59"/>
    <w:rsid w:val="001D3F7C"/>
    <w:rsid w:val="001D40EA"/>
    <w:rsid w:val="001D41AF"/>
    <w:rsid w:val="001D42A5"/>
    <w:rsid w:val="001D42ED"/>
    <w:rsid w:val="001D42F2"/>
    <w:rsid w:val="001D4757"/>
    <w:rsid w:val="001D480B"/>
    <w:rsid w:val="001D48B4"/>
    <w:rsid w:val="001D4988"/>
    <w:rsid w:val="001D49DA"/>
    <w:rsid w:val="001D4A06"/>
    <w:rsid w:val="001D4EA6"/>
    <w:rsid w:val="001D5047"/>
    <w:rsid w:val="001D505D"/>
    <w:rsid w:val="001D5112"/>
    <w:rsid w:val="001D5175"/>
    <w:rsid w:val="001D52EC"/>
    <w:rsid w:val="001D530B"/>
    <w:rsid w:val="001D53EF"/>
    <w:rsid w:val="001D5410"/>
    <w:rsid w:val="001D556C"/>
    <w:rsid w:val="001D587F"/>
    <w:rsid w:val="001D5A8F"/>
    <w:rsid w:val="001D5AFD"/>
    <w:rsid w:val="001D5CA0"/>
    <w:rsid w:val="001D5E39"/>
    <w:rsid w:val="001D5EB7"/>
    <w:rsid w:val="001D5ECD"/>
    <w:rsid w:val="001D5F9D"/>
    <w:rsid w:val="001D5FD7"/>
    <w:rsid w:val="001D6159"/>
    <w:rsid w:val="001D6232"/>
    <w:rsid w:val="001D630D"/>
    <w:rsid w:val="001D63C1"/>
    <w:rsid w:val="001D69AB"/>
    <w:rsid w:val="001D6B15"/>
    <w:rsid w:val="001D6B76"/>
    <w:rsid w:val="001D6D39"/>
    <w:rsid w:val="001D6D45"/>
    <w:rsid w:val="001D6D84"/>
    <w:rsid w:val="001D6DD7"/>
    <w:rsid w:val="001D6FAD"/>
    <w:rsid w:val="001D704B"/>
    <w:rsid w:val="001D7101"/>
    <w:rsid w:val="001D71DA"/>
    <w:rsid w:val="001D735F"/>
    <w:rsid w:val="001D7382"/>
    <w:rsid w:val="001D7420"/>
    <w:rsid w:val="001D7A13"/>
    <w:rsid w:val="001D7C76"/>
    <w:rsid w:val="001D7E24"/>
    <w:rsid w:val="001D7E8A"/>
    <w:rsid w:val="001E0055"/>
    <w:rsid w:val="001E00F1"/>
    <w:rsid w:val="001E01F5"/>
    <w:rsid w:val="001E0224"/>
    <w:rsid w:val="001E0282"/>
    <w:rsid w:val="001E02E1"/>
    <w:rsid w:val="001E0380"/>
    <w:rsid w:val="001E04FD"/>
    <w:rsid w:val="001E0778"/>
    <w:rsid w:val="001E07FF"/>
    <w:rsid w:val="001E0859"/>
    <w:rsid w:val="001E0E5F"/>
    <w:rsid w:val="001E0E83"/>
    <w:rsid w:val="001E0ED5"/>
    <w:rsid w:val="001E1079"/>
    <w:rsid w:val="001E11D3"/>
    <w:rsid w:val="001E157C"/>
    <w:rsid w:val="001E1876"/>
    <w:rsid w:val="001E198F"/>
    <w:rsid w:val="001E1A38"/>
    <w:rsid w:val="001E1C37"/>
    <w:rsid w:val="001E1CFE"/>
    <w:rsid w:val="001E1DAB"/>
    <w:rsid w:val="001E2086"/>
    <w:rsid w:val="001E2341"/>
    <w:rsid w:val="001E23F8"/>
    <w:rsid w:val="001E2476"/>
    <w:rsid w:val="001E2676"/>
    <w:rsid w:val="001E27A4"/>
    <w:rsid w:val="001E289A"/>
    <w:rsid w:val="001E2A00"/>
    <w:rsid w:val="001E2A10"/>
    <w:rsid w:val="001E2B05"/>
    <w:rsid w:val="001E2BCE"/>
    <w:rsid w:val="001E2C0E"/>
    <w:rsid w:val="001E2C32"/>
    <w:rsid w:val="001E2CE9"/>
    <w:rsid w:val="001E2CEE"/>
    <w:rsid w:val="001E2E22"/>
    <w:rsid w:val="001E2F1D"/>
    <w:rsid w:val="001E2F50"/>
    <w:rsid w:val="001E2FCF"/>
    <w:rsid w:val="001E3072"/>
    <w:rsid w:val="001E31BC"/>
    <w:rsid w:val="001E341E"/>
    <w:rsid w:val="001E3945"/>
    <w:rsid w:val="001E39A5"/>
    <w:rsid w:val="001E3F12"/>
    <w:rsid w:val="001E4117"/>
    <w:rsid w:val="001E4285"/>
    <w:rsid w:val="001E43B7"/>
    <w:rsid w:val="001E4694"/>
    <w:rsid w:val="001E49D0"/>
    <w:rsid w:val="001E4A88"/>
    <w:rsid w:val="001E4BB4"/>
    <w:rsid w:val="001E4D1D"/>
    <w:rsid w:val="001E4E69"/>
    <w:rsid w:val="001E4F40"/>
    <w:rsid w:val="001E4F95"/>
    <w:rsid w:val="001E4FC6"/>
    <w:rsid w:val="001E4FF8"/>
    <w:rsid w:val="001E529D"/>
    <w:rsid w:val="001E53D0"/>
    <w:rsid w:val="001E54F5"/>
    <w:rsid w:val="001E56FA"/>
    <w:rsid w:val="001E5776"/>
    <w:rsid w:val="001E58C8"/>
    <w:rsid w:val="001E5917"/>
    <w:rsid w:val="001E5923"/>
    <w:rsid w:val="001E593F"/>
    <w:rsid w:val="001E5A3D"/>
    <w:rsid w:val="001E5ABB"/>
    <w:rsid w:val="001E5B28"/>
    <w:rsid w:val="001E5BD5"/>
    <w:rsid w:val="001E64DD"/>
    <w:rsid w:val="001E65DB"/>
    <w:rsid w:val="001E6774"/>
    <w:rsid w:val="001E6858"/>
    <w:rsid w:val="001E68FB"/>
    <w:rsid w:val="001E6AF0"/>
    <w:rsid w:val="001E6C13"/>
    <w:rsid w:val="001E6EA8"/>
    <w:rsid w:val="001E6FB4"/>
    <w:rsid w:val="001E7032"/>
    <w:rsid w:val="001E70F6"/>
    <w:rsid w:val="001E7391"/>
    <w:rsid w:val="001E7417"/>
    <w:rsid w:val="001E76BE"/>
    <w:rsid w:val="001E779B"/>
    <w:rsid w:val="001E780C"/>
    <w:rsid w:val="001E79AF"/>
    <w:rsid w:val="001E7DDB"/>
    <w:rsid w:val="001E7EB6"/>
    <w:rsid w:val="001E7ED2"/>
    <w:rsid w:val="001E7F3A"/>
    <w:rsid w:val="001E7FA1"/>
    <w:rsid w:val="001F0024"/>
    <w:rsid w:val="001F0270"/>
    <w:rsid w:val="001F06FD"/>
    <w:rsid w:val="001F08F0"/>
    <w:rsid w:val="001F0901"/>
    <w:rsid w:val="001F0ACA"/>
    <w:rsid w:val="001F0C9C"/>
    <w:rsid w:val="001F0D2C"/>
    <w:rsid w:val="001F0D8B"/>
    <w:rsid w:val="001F0DE1"/>
    <w:rsid w:val="001F1297"/>
    <w:rsid w:val="001F143B"/>
    <w:rsid w:val="001F16C3"/>
    <w:rsid w:val="001F16E2"/>
    <w:rsid w:val="001F17CD"/>
    <w:rsid w:val="001F1AB1"/>
    <w:rsid w:val="001F1C64"/>
    <w:rsid w:val="001F20F0"/>
    <w:rsid w:val="001F2100"/>
    <w:rsid w:val="001F2318"/>
    <w:rsid w:val="001F23CB"/>
    <w:rsid w:val="001F256E"/>
    <w:rsid w:val="001F2731"/>
    <w:rsid w:val="001F27BE"/>
    <w:rsid w:val="001F2A5B"/>
    <w:rsid w:val="001F2F22"/>
    <w:rsid w:val="001F327E"/>
    <w:rsid w:val="001F3297"/>
    <w:rsid w:val="001F3322"/>
    <w:rsid w:val="001F3334"/>
    <w:rsid w:val="001F3376"/>
    <w:rsid w:val="001F341E"/>
    <w:rsid w:val="001F3421"/>
    <w:rsid w:val="001F3475"/>
    <w:rsid w:val="001F358D"/>
    <w:rsid w:val="001F361D"/>
    <w:rsid w:val="001F36CE"/>
    <w:rsid w:val="001F3AD0"/>
    <w:rsid w:val="001F3D1E"/>
    <w:rsid w:val="001F3D9F"/>
    <w:rsid w:val="001F3DFD"/>
    <w:rsid w:val="001F3E9A"/>
    <w:rsid w:val="001F3F99"/>
    <w:rsid w:val="001F4007"/>
    <w:rsid w:val="001F4137"/>
    <w:rsid w:val="001F4168"/>
    <w:rsid w:val="001F47D1"/>
    <w:rsid w:val="001F50EB"/>
    <w:rsid w:val="001F5261"/>
    <w:rsid w:val="001F52B4"/>
    <w:rsid w:val="001F5473"/>
    <w:rsid w:val="001F5515"/>
    <w:rsid w:val="001F56DE"/>
    <w:rsid w:val="001F5A40"/>
    <w:rsid w:val="001F5EC2"/>
    <w:rsid w:val="001F5F56"/>
    <w:rsid w:val="001F629D"/>
    <w:rsid w:val="001F62F5"/>
    <w:rsid w:val="001F6390"/>
    <w:rsid w:val="001F67EF"/>
    <w:rsid w:val="001F6980"/>
    <w:rsid w:val="001F6C62"/>
    <w:rsid w:val="001F6CA4"/>
    <w:rsid w:val="001F6D40"/>
    <w:rsid w:val="001F6EE5"/>
    <w:rsid w:val="001F6EF1"/>
    <w:rsid w:val="001F7045"/>
    <w:rsid w:val="001F7287"/>
    <w:rsid w:val="001F73FB"/>
    <w:rsid w:val="001F75CC"/>
    <w:rsid w:val="001F7845"/>
    <w:rsid w:val="001F7AA6"/>
    <w:rsid w:val="001F7DD7"/>
    <w:rsid w:val="001F7FE9"/>
    <w:rsid w:val="0020024E"/>
    <w:rsid w:val="00200271"/>
    <w:rsid w:val="00200408"/>
    <w:rsid w:val="0020078F"/>
    <w:rsid w:val="0020086C"/>
    <w:rsid w:val="002009A0"/>
    <w:rsid w:val="00200A0A"/>
    <w:rsid w:val="00200AB9"/>
    <w:rsid w:val="00200CAB"/>
    <w:rsid w:val="00200F3A"/>
    <w:rsid w:val="00200F5D"/>
    <w:rsid w:val="00201311"/>
    <w:rsid w:val="00201380"/>
    <w:rsid w:val="0020138E"/>
    <w:rsid w:val="0020147F"/>
    <w:rsid w:val="002017CB"/>
    <w:rsid w:val="002017E5"/>
    <w:rsid w:val="0020182A"/>
    <w:rsid w:val="00201A6A"/>
    <w:rsid w:val="00201C65"/>
    <w:rsid w:val="00201D06"/>
    <w:rsid w:val="00201DD3"/>
    <w:rsid w:val="00201FCD"/>
    <w:rsid w:val="00202039"/>
    <w:rsid w:val="00202138"/>
    <w:rsid w:val="002021A5"/>
    <w:rsid w:val="0020292E"/>
    <w:rsid w:val="00202A0C"/>
    <w:rsid w:val="00202AAA"/>
    <w:rsid w:val="00202B94"/>
    <w:rsid w:val="00202BFF"/>
    <w:rsid w:val="00202CDB"/>
    <w:rsid w:val="00202CF1"/>
    <w:rsid w:val="00202F6D"/>
    <w:rsid w:val="00203273"/>
    <w:rsid w:val="002033A8"/>
    <w:rsid w:val="002034FB"/>
    <w:rsid w:val="00203637"/>
    <w:rsid w:val="0020392A"/>
    <w:rsid w:val="00203A52"/>
    <w:rsid w:val="00203AC7"/>
    <w:rsid w:val="00203C40"/>
    <w:rsid w:val="00203F15"/>
    <w:rsid w:val="00204048"/>
    <w:rsid w:val="002040C4"/>
    <w:rsid w:val="002040C9"/>
    <w:rsid w:val="00204153"/>
    <w:rsid w:val="0020444C"/>
    <w:rsid w:val="00204544"/>
    <w:rsid w:val="002046E5"/>
    <w:rsid w:val="002047CE"/>
    <w:rsid w:val="00204923"/>
    <w:rsid w:val="00204D93"/>
    <w:rsid w:val="00204EC8"/>
    <w:rsid w:val="00204EDD"/>
    <w:rsid w:val="00204F22"/>
    <w:rsid w:val="00204FA4"/>
    <w:rsid w:val="00204FD1"/>
    <w:rsid w:val="00205158"/>
    <w:rsid w:val="002051C6"/>
    <w:rsid w:val="002054B6"/>
    <w:rsid w:val="00205947"/>
    <w:rsid w:val="00205A9B"/>
    <w:rsid w:val="00205BB3"/>
    <w:rsid w:val="00205CB8"/>
    <w:rsid w:val="00205D53"/>
    <w:rsid w:val="00205D6B"/>
    <w:rsid w:val="00205D8F"/>
    <w:rsid w:val="00205E6E"/>
    <w:rsid w:val="00205F55"/>
    <w:rsid w:val="00206126"/>
    <w:rsid w:val="002061CD"/>
    <w:rsid w:val="00206217"/>
    <w:rsid w:val="002063C8"/>
    <w:rsid w:val="002064B0"/>
    <w:rsid w:val="002065E0"/>
    <w:rsid w:val="00206635"/>
    <w:rsid w:val="0020693C"/>
    <w:rsid w:val="002069ED"/>
    <w:rsid w:val="00206CA3"/>
    <w:rsid w:val="00207088"/>
    <w:rsid w:val="0020708B"/>
    <w:rsid w:val="0020710A"/>
    <w:rsid w:val="0020736C"/>
    <w:rsid w:val="0020742A"/>
    <w:rsid w:val="00207590"/>
    <w:rsid w:val="002076D8"/>
    <w:rsid w:val="002076DD"/>
    <w:rsid w:val="00207863"/>
    <w:rsid w:val="00207900"/>
    <w:rsid w:val="002079B3"/>
    <w:rsid w:val="00207D32"/>
    <w:rsid w:val="00207D7B"/>
    <w:rsid w:val="00207D88"/>
    <w:rsid w:val="00207EBA"/>
    <w:rsid w:val="00207F34"/>
    <w:rsid w:val="00207F8E"/>
    <w:rsid w:val="00210352"/>
    <w:rsid w:val="0021038B"/>
    <w:rsid w:val="00210584"/>
    <w:rsid w:val="00210725"/>
    <w:rsid w:val="00210938"/>
    <w:rsid w:val="002109CD"/>
    <w:rsid w:val="00210A39"/>
    <w:rsid w:val="00210B8E"/>
    <w:rsid w:val="00211423"/>
    <w:rsid w:val="00211465"/>
    <w:rsid w:val="0021182B"/>
    <w:rsid w:val="00211B09"/>
    <w:rsid w:val="00211B18"/>
    <w:rsid w:val="00211EB8"/>
    <w:rsid w:val="002120FC"/>
    <w:rsid w:val="00212301"/>
    <w:rsid w:val="00212317"/>
    <w:rsid w:val="00212526"/>
    <w:rsid w:val="002125D7"/>
    <w:rsid w:val="002127A2"/>
    <w:rsid w:val="00212B19"/>
    <w:rsid w:val="00212DD9"/>
    <w:rsid w:val="00212E26"/>
    <w:rsid w:val="00212FF1"/>
    <w:rsid w:val="002131CA"/>
    <w:rsid w:val="00213223"/>
    <w:rsid w:val="0021324E"/>
    <w:rsid w:val="002132CC"/>
    <w:rsid w:val="002132E6"/>
    <w:rsid w:val="0021331C"/>
    <w:rsid w:val="00213459"/>
    <w:rsid w:val="002134F6"/>
    <w:rsid w:val="00213574"/>
    <w:rsid w:val="0021364B"/>
    <w:rsid w:val="002136EA"/>
    <w:rsid w:val="00213830"/>
    <w:rsid w:val="002139A4"/>
    <w:rsid w:val="00213C68"/>
    <w:rsid w:val="00213D42"/>
    <w:rsid w:val="00213F24"/>
    <w:rsid w:val="00214173"/>
    <w:rsid w:val="002143E6"/>
    <w:rsid w:val="002144CE"/>
    <w:rsid w:val="002145B0"/>
    <w:rsid w:val="002145EC"/>
    <w:rsid w:val="00214715"/>
    <w:rsid w:val="00214A22"/>
    <w:rsid w:val="00214A27"/>
    <w:rsid w:val="00214A38"/>
    <w:rsid w:val="00214A7F"/>
    <w:rsid w:val="00214C39"/>
    <w:rsid w:val="00214C51"/>
    <w:rsid w:val="00214EB3"/>
    <w:rsid w:val="0021522D"/>
    <w:rsid w:val="0021535F"/>
    <w:rsid w:val="00215363"/>
    <w:rsid w:val="0021554B"/>
    <w:rsid w:val="002155B5"/>
    <w:rsid w:val="002155C3"/>
    <w:rsid w:val="0021577A"/>
    <w:rsid w:val="00215B10"/>
    <w:rsid w:val="00215BCD"/>
    <w:rsid w:val="00215FE1"/>
    <w:rsid w:val="00216074"/>
    <w:rsid w:val="002160A9"/>
    <w:rsid w:val="00216698"/>
    <w:rsid w:val="002166F5"/>
    <w:rsid w:val="00216950"/>
    <w:rsid w:val="00216A15"/>
    <w:rsid w:val="00216A28"/>
    <w:rsid w:val="00216A8E"/>
    <w:rsid w:val="00216B19"/>
    <w:rsid w:val="00216E0B"/>
    <w:rsid w:val="00216E53"/>
    <w:rsid w:val="00216F8E"/>
    <w:rsid w:val="002170B3"/>
    <w:rsid w:val="002170CB"/>
    <w:rsid w:val="002172B3"/>
    <w:rsid w:val="002172FB"/>
    <w:rsid w:val="002175D0"/>
    <w:rsid w:val="002176C4"/>
    <w:rsid w:val="002177EA"/>
    <w:rsid w:val="002178B9"/>
    <w:rsid w:val="00217962"/>
    <w:rsid w:val="00217A52"/>
    <w:rsid w:val="00217EAE"/>
    <w:rsid w:val="00217EE2"/>
    <w:rsid w:val="0022003A"/>
    <w:rsid w:val="002202FA"/>
    <w:rsid w:val="002203FE"/>
    <w:rsid w:val="002204BB"/>
    <w:rsid w:val="002205A3"/>
    <w:rsid w:val="00220651"/>
    <w:rsid w:val="00220681"/>
    <w:rsid w:val="00220773"/>
    <w:rsid w:val="002207C4"/>
    <w:rsid w:val="002207DD"/>
    <w:rsid w:val="002207F3"/>
    <w:rsid w:val="00220BBA"/>
    <w:rsid w:val="00220BDE"/>
    <w:rsid w:val="00220C5F"/>
    <w:rsid w:val="00220D33"/>
    <w:rsid w:val="00220EAB"/>
    <w:rsid w:val="0022140D"/>
    <w:rsid w:val="002216A6"/>
    <w:rsid w:val="002216C6"/>
    <w:rsid w:val="002217F2"/>
    <w:rsid w:val="00221FE8"/>
    <w:rsid w:val="002222F6"/>
    <w:rsid w:val="00222369"/>
    <w:rsid w:val="00222606"/>
    <w:rsid w:val="00222625"/>
    <w:rsid w:val="002228DA"/>
    <w:rsid w:val="00222AFE"/>
    <w:rsid w:val="00222E93"/>
    <w:rsid w:val="002232C2"/>
    <w:rsid w:val="002232EB"/>
    <w:rsid w:val="00223462"/>
    <w:rsid w:val="00223551"/>
    <w:rsid w:val="00223654"/>
    <w:rsid w:val="00223AAA"/>
    <w:rsid w:val="00223B33"/>
    <w:rsid w:val="00223B54"/>
    <w:rsid w:val="00223CEB"/>
    <w:rsid w:val="00223D7B"/>
    <w:rsid w:val="00223DB0"/>
    <w:rsid w:val="00223FC7"/>
    <w:rsid w:val="00224038"/>
    <w:rsid w:val="00224190"/>
    <w:rsid w:val="002241FD"/>
    <w:rsid w:val="002242CA"/>
    <w:rsid w:val="00224820"/>
    <w:rsid w:val="00224900"/>
    <w:rsid w:val="00224956"/>
    <w:rsid w:val="0022495B"/>
    <w:rsid w:val="0022499F"/>
    <w:rsid w:val="00224C4E"/>
    <w:rsid w:val="00224D7D"/>
    <w:rsid w:val="00224E2A"/>
    <w:rsid w:val="00225110"/>
    <w:rsid w:val="002251A0"/>
    <w:rsid w:val="002252C4"/>
    <w:rsid w:val="002252CB"/>
    <w:rsid w:val="00225359"/>
    <w:rsid w:val="002253AC"/>
    <w:rsid w:val="002256EF"/>
    <w:rsid w:val="00225927"/>
    <w:rsid w:val="00225956"/>
    <w:rsid w:val="00225A31"/>
    <w:rsid w:val="00225A3E"/>
    <w:rsid w:val="00225A71"/>
    <w:rsid w:val="00225ACD"/>
    <w:rsid w:val="00225AE9"/>
    <w:rsid w:val="00225D42"/>
    <w:rsid w:val="00225FCB"/>
    <w:rsid w:val="0022600D"/>
    <w:rsid w:val="0022607C"/>
    <w:rsid w:val="00226160"/>
    <w:rsid w:val="0022618D"/>
    <w:rsid w:val="00226233"/>
    <w:rsid w:val="0022632B"/>
    <w:rsid w:val="00226A17"/>
    <w:rsid w:val="00226ADF"/>
    <w:rsid w:val="00226C0B"/>
    <w:rsid w:val="00227220"/>
    <w:rsid w:val="0022731F"/>
    <w:rsid w:val="002274DD"/>
    <w:rsid w:val="002275BF"/>
    <w:rsid w:val="00227A9E"/>
    <w:rsid w:val="00227C2A"/>
    <w:rsid w:val="00230104"/>
    <w:rsid w:val="00230270"/>
    <w:rsid w:val="00230380"/>
    <w:rsid w:val="002303AA"/>
    <w:rsid w:val="00230450"/>
    <w:rsid w:val="00230731"/>
    <w:rsid w:val="00230772"/>
    <w:rsid w:val="002307FA"/>
    <w:rsid w:val="00230A62"/>
    <w:rsid w:val="00230EC5"/>
    <w:rsid w:val="00231121"/>
    <w:rsid w:val="0023127D"/>
    <w:rsid w:val="00231A4A"/>
    <w:rsid w:val="00231C21"/>
    <w:rsid w:val="00231C3D"/>
    <w:rsid w:val="00231C4E"/>
    <w:rsid w:val="00231D56"/>
    <w:rsid w:val="00231E81"/>
    <w:rsid w:val="002320DF"/>
    <w:rsid w:val="0023233C"/>
    <w:rsid w:val="002323C6"/>
    <w:rsid w:val="002326B4"/>
    <w:rsid w:val="00232994"/>
    <w:rsid w:val="00232A0B"/>
    <w:rsid w:val="00232CE5"/>
    <w:rsid w:val="00232E6D"/>
    <w:rsid w:val="00232E8C"/>
    <w:rsid w:val="00233267"/>
    <w:rsid w:val="0023397F"/>
    <w:rsid w:val="002339AA"/>
    <w:rsid w:val="00233CD9"/>
    <w:rsid w:val="00233EA8"/>
    <w:rsid w:val="00233EAE"/>
    <w:rsid w:val="002340F9"/>
    <w:rsid w:val="00234160"/>
    <w:rsid w:val="00234248"/>
    <w:rsid w:val="00234297"/>
    <w:rsid w:val="00234520"/>
    <w:rsid w:val="00234860"/>
    <w:rsid w:val="002349AA"/>
    <w:rsid w:val="00234AA2"/>
    <w:rsid w:val="00234E55"/>
    <w:rsid w:val="00234EBC"/>
    <w:rsid w:val="00234F3B"/>
    <w:rsid w:val="00235028"/>
    <w:rsid w:val="00235164"/>
    <w:rsid w:val="002351D5"/>
    <w:rsid w:val="0023587E"/>
    <w:rsid w:val="0023590F"/>
    <w:rsid w:val="00235935"/>
    <w:rsid w:val="002359C3"/>
    <w:rsid w:val="00235A77"/>
    <w:rsid w:val="00235D97"/>
    <w:rsid w:val="00236151"/>
    <w:rsid w:val="002361BD"/>
    <w:rsid w:val="002361CD"/>
    <w:rsid w:val="0023642E"/>
    <w:rsid w:val="002365C5"/>
    <w:rsid w:val="00236716"/>
    <w:rsid w:val="002367D2"/>
    <w:rsid w:val="002368C4"/>
    <w:rsid w:val="0023690D"/>
    <w:rsid w:val="002369E8"/>
    <w:rsid w:val="00236A3C"/>
    <w:rsid w:val="00236A74"/>
    <w:rsid w:val="00236AE4"/>
    <w:rsid w:val="00236B9C"/>
    <w:rsid w:val="00236D1E"/>
    <w:rsid w:val="00236E88"/>
    <w:rsid w:val="00236E99"/>
    <w:rsid w:val="00236FF9"/>
    <w:rsid w:val="00237093"/>
    <w:rsid w:val="002371E5"/>
    <w:rsid w:val="002372A9"/>
    <w:rsid w:val="002374DC"/>
    <w:rsid w:val="0023785D"/>
    <w:rsid w:val="00237995"/>
    <w:rsid w:val="002379D7"/>
    <w:rsid w:val="00237A14"/>
    <w:rsid w:val="00237A7E"/>
    <w:rsid w:val="00237AB7"/>
    <w:rsid w:val="00237AD3"/>
    <w:rsid w:val="00237BAB"/>
    <w:rsid w:val="00237BE2"/>
    <w:rsid w:val="00237C52"/>
    <w:rsid w:val="00237D4B"/>
    <w:rsid w:val="00237D5D"/>
    <w:rsid w:val="00237EB0"/>
    <w:rsid w:val="00237ECD"/>
    <w:rsid w:val="00237F67"/>
    <w:rsid w:val="00240102"/>
    <w:rsid w:val="0024053E"/>
    <w:rsid w:val="002405A1"/>
    <w:rsid w:val="0024077C"/>
    <w:rsid w:val="00240826"/>
    <w:rsid w:val="002408A0"/>
    <w:rsid w:val="00240A29"/>
    <w:rsid w:val="00240EBA"/>
    <w:rsid w:val="002411D6"/>
    <w:rsid w:val="00241257"/>
    <w:rsid w:val="002412DE"/>
    <w:rsid w:val="002412F5"/>
    <w:rsid w:val="002414A7"/>
    <w:rsid w:val="002415FE"/>
    <w:rsid w:val="0024164B"/>
    <w:rsid w:val="00241685"/>
    <w:rsid w:val="00241957"/>
    <w:rsid w:val="00241BF2"/>
    <w:rsid w:val="00241DF5"/>
    <w:rsid w:val="00242348"/>
    <w:rsid w:val="002425A6"/>
    <w:rsid w:val="0024275D"/>
    <w:rsid w:val="002427C2"/>
    <w:rsid w:val="00242A9C"/>
    <w:rsid w:val="00242ACB"/>
    <w:rsid w:val="00242C98"/>
    <w:rsid w:val="00242CA6"/>
    <w:rsid w:val="00242CEA"/>
    <w:rsid w:val="00242F2D"/>
    <w:rsid w:val="00242F75"/>
    <w:rsid w:val="00243220"/>
    <w:rsid w:val="002432E0"/>
    <w:rsid w:val="002437CA"/>
    <w:rsid w:val="002437FA"/>
    <w:rsid w:val="00243BB3"/>
    <w:rsid w:val="00243CCD"/>
    <w:rsid w:val="00243D47"/>
    <w:rsid w:val="00243F8C"/>
    <w:rsid w:val="00244015"/>
    <w:rsid w:val="00244444"/>
    <w:rsid w:val="00244D48"/>
    <w:rsid w:val="00244E21"/>
    <w:rsid w:val="00244E8A"/>
    <w:rsid w:val="00244F97"/>
    <w:rsid w:val="00245180"/>
    <w:rsid w:val="002451DD"/>
    <w:rsid w:val="00245283"/>
    <w:rsid w:val="00245770"/>
    <w:rsid w:val="00245798"/>
    <w:rsid w:val="0024580A"/>
    <w:rsid w:val="00245A65"/>
    <w:rsid w:val="00245AD1"/>
    <w:rsid w:val="002461A0"/>
    <w:rsid w:val="0024624C"/>
    <w:rsid w:val="0024666E"/>
    <w:rsid w:val="00246825"/>
    <w:rsid w:val="002468BB"/>
    <w:rsid w:val="002470BF"/>
    <w:rsid w:val="0024710E"/>
    <w:rsid w:val="002474B1"/>
    <w:rsid w:val="002476D2"/>
    <w:rsid w:val="00247AC2"/>
    <w:rsid w:val="00247B80"/>
    <w:rsid w:val="00247DCC"/>
    <w:rsid w:val="00247FFC"/>
    <w:rsid w:val="00250546"/>
    <w:rsid w:val="00250845"/>
    <w:rsid w:val="00250977"/>
    <w:rsid w:val="00250A48"/>
    <w:rsid w:val="00250C25"/>
    <w:rsid w:val="00250DC4"/>
    <w:rsid w:val="00250FB9"/>
    <w:rsid w:val="00251282"/>
    <w:rsid w:val="00251450"/>
    <w:rsid w:val="00251802"/>
    <w:rsid w:val="00251ACC"/>
    <w:rsid w:val="00251D06"/>
    <w:rsid w:val="00252091"/>
    <w:rsid w:val="0025273F"/>
    <w:rsid w:val="00252839"/>
    <w:rsid w:val="0025292E"/>
    <w:rsid w:val="002529F0"/>
    <w:rsid w:val="00252BBC"/>
    <w:rsid w:val="00252BC4"/>
    <w:rsid w:val="00252C2E"/>
    <w:rsid w:val="00252E3A"/>
    <w:rsid w:val="00252E6A"/>
    <w:rsid w:val="00252E6D"/>
    <w:rsid w:val="002533BC"/>
    <w:rsid w:val="0025352D"/>
    <w:rsid w:val="00253591"/>
    <w:rsid w:val="002535CE"/>
    <w:rsid w:val="002535F5"/>
    <w:rsid w:val="002538C2"/>
    <w:rsid w:val="0025391C"/>
    <w:rsid w:val="00253A01"/>
    <w:rsid w:val="00254168"/>
    <w:rsid w:val="0025423B"/>
    <w:rsid w:val="002542C2"/>
    <w:rsid w:val="002544B0"/>
    <w:rsid w:val="00254592"/>
    <w:rsid w:val="00254656"/>
    <w:rsid w:val="002546F9"/>
    <w:rsid w:val="00254B4A"/>
    <w:rsid w:val="00254D80"/>
    <w:rsid w:val="00254EA8"/>
    <w:rsid w:val="002550CC"/>
    <w:rsid w:val="0025526F"/>
    <w:rsid w:val="002552E5"/>
    <w:rsid w:val="0025564E"/>
    <w:rsid w:val="00255659"/>
    <w:rsid w:val="00255877"/>
    <w:rsid w:val="00255C2C"/>
    <w:rsid w:val="00255E2F"/>
    <w:rsid w:val="00255F5C"/>
    <w:rsid w:val="002560FF"/>
    <w:rsid w:val="00256121"/>
    <w:rsid w:val="002562E1"/>
    <w:rsid w:val="00256435"/>
    <w:rsid w:val="002565C6"/>
    <w:rsid w:val="0025665A"/>
    <w:rsid w:val="00256709"/>
    <w:rsid w:val="00256726"/>
    <w:rsid w:val="0025691A"/>
    <w:rsid w:val="00256987"/>
    <w:rsid w:val="00256C52"/>
    <w:rsid w:val="00256E18"/>
    <w:rsid w:val="00256EFC"/>
    <w:rsid w:val="00256F99"/>
    <w:rsid w:val="00256FEA"/>
    <w:rsid w:val="00257128"/>
    <w:rsid w:val="00257177"/>
    <w:rsid w:val="0025720F"/>
    <w:rsid w:val="0025722A"/>
    <w:rsid w:val="002572EF"/>
    <w:rsid w:val="0025733A"/>
    <w:rsid w:val="00257345"/>
    <w:rsid w:val="00257409"/>
    <w:rsid w:val="00257469"/>
    <w:rsid w:val="00257574"/>
    <w:rsid w:val="0025757F"/>
    <w:rsid w:val="002575BE"/>
    <w:rsid w:val="002576D9"/>
    <w:rsid w:val="00257805"/>
    <w:rsid w:val="00257806"/>
    <w:rsid w:val="00257968"/>
    <w:rsid w:val="00257B3B"/>
    <w:rsid w:val="00257B7D"/>
    <w:rsid w:val="00257B9E"/>
    <w:rsid w:val="00257BA2"/>
    <w:rsid w:val="00257D7A"/>
    <w:rsid w:val="00257FDA"/>
    <w:rsid w:val="0026016E"/>
    <w:rsid w:val="00260223"/>
    <w:rsid w:val="0026043F"/>
    <w:rsid w:val="0026044C"/>
    <w:rsid w:val="00260681"/>
    <w:rsid w:val="00260ABE"/>
    <w:rsid w:val="00260DD7"/>
    <w:rsid w:val="00260FD2"/>
    <w:rsid w:val="00261161"/>
    <w:rsid w:val="00261162"/>
    <w:rsid w:val="002611FA"/>
    <w:rsid w:val="00261293"/>
    <w:rsid w:val="0026132B"/>
    <w:rsid w:val="00261402"/>
    <w:rsid w:val="00261507"/>
    <w:rsid w:val="00261656"/>
    <w:rsid w:val="0026165F"/>
    <w:rsid w:val="002619C6"/>
    <w:rsid w:val="00261A48"/>
    <w:rsid w:val="00261B5C"/>
    <w:rsid w:val="00261F91"/>
    <w:rsid w:val="002621BC"/>
    <w:rsid w:val="0026238D"/>
    <w:rsid w:val="00262499"/>
    <w:rsid w:val="002624A0"/>
    <w:rsid w:val="002628FC"/>
    <w:rsid w:val="0026299D"/>
    <w:rsid w:val="00262A6D"/>
    <w:rsid w:val="00262A7F"/>
    <w:rsid w:val="00262DCF"/>
    <w:rsid w:val="00262E05"/>
    <w:rsid w:val="00262E9E"/>
    <w:rsid w:val="00262FD7"/>
    <w:rsid w:val="002630AC"/>
    <w:rsid w:val="00263152"/>
    <w:rsid w:val="00263384"/>
    <w:rsid w:val="002634AC"/>
    <w:rsid w:val="00263525"/>
    <w:rsid w:val="00263602"/>
    <w:rsid w:val="00263783"/>
    <w:rsid w:val="0026382B"/>
    <w:rsid w:val="0026382F"/>
    <w:rsid w:val="002638C4"/>
    <w:rsid w:val="00263C3D"/>
    <w:rsid w:val="00263CAB"/>
    <w:rsid w:val="00263F2F"/>
    <w:rsid w:val="0026430E"/>
    <w:rsid w:val="0026469A"/>
    <w:rsid w:val="00264868"/>
    <w:rsid w:val="002648ED"/>
    <w:rsid w:val="002648F2"/>
    <w:rsid w:val="00264922"/>
    <w:rsid w:val="00264E1B"/>
    <w:rsid w:val="00264FE1"/>
    <w:rsid w:val="002650CA"/>
    <w:rsid w:val="002651BC"/>
    <w:rsid w:val="002651DB"/>
    <w:rsid w:val="002653B0"/>
    <w:rsid w:val="00265618"/>
    <w:rsid w:val="002657BB"/>
    <w:rsid w:val="002658F9"/>
    <w:rsid w:val="00265980"/>
    <w:rsid w:val="002659C6"/>
    <w:rsid w:val="00265EF5"/>
    <w:rsid w:val="00265FB4"/>
    <w:rsid w:val="00266163"/>
    <w:rsid w:val="0026628D"/>
    <w:rsid w:val="002663B6"/>
    <w:rsid w:val="002665BB"/>
    <w:rsid w:val="0026688F"/>
    <w:rsid w:val="00266958"/>
    <w:rsid w:val="00266C89"/>
    <w:rsid w:val="00266E1B"/>
    <w:rsid w:val="0026721C"/>
    <w:rsid w:val="002673F8"/>
    <w:rsid w:val="00267530"/>
    <w:rsid w:val="002676F7"/>
    <w:rsid w:val="0026775E"/>
    <w:rsid w:val="00267811"/>
    <w:rsid w:val="00267832"/>
    <w:rsid w:val="00267874"/>
    <w:rsid w:val="00267A3F"/>
    <w:rsid w:val="00267A65"/>
    <w:rsid w:val="00267D7B"/>
    <w:rsid w:val="00267DA2"/>
    <w:rsid w:val="00267FAE"/>
    <w:rsid w:val="0027006B"/>
    <w:rsid w:val="00270194"/>
    <w:rsid w:val="0027026C"/>
    <w:rsid w:val="00270584"/>
    <w:rsid w:val="002706E7"/>
    <w:rsid w:val="00270781"/>
    <w:rsid w:val="00270911"/>
    <w:rsid w:val="002709F0"/>
    <w:rsid w:val="00270B44"/>
    <w:rsid w:val="00270DA1"/>
    <w:rsid w:val="00270E11"/>
    <w:rsid w:val="00270F03"/>
    <w:rsid w:val="002711CB"/>
    <w:rsid w:val="00271412"/>
    <w:rsid w:val="00271444"/>
    <w:rsid w:val="002714DE"/>
    <w:rsid w:val="0027167C"/>
    <w:rsid w:val="00271812"/>
    <w:rsid w:val="00271BA9"/>
    <w:rsid w:val="00271C32"/>
    <w:rsid w:val="00271CEE"/>
    <w:rsid w:val="00272320"/>
    <w:rsid w:val="002727B9"/>
    <w:rsid w:val="002727FE"/>
    <w:rsid w:val="00272872"/>
    <w:rsid w:val="0027289E"/>
    <w:rsid w:val="00272A28"/>
    <w:rsid w:val="00272AF1"/>
    <w:rsid w:val="00272BFA"/>
    <w:rsid w:val="00272CDB"/>
    <w:rsid w:val="00272D50"/>
    <w:rsid w:val="00272D54"/>
    <w:rsid w:val="00272D9C"/>
    <w:rsid w:val="00272E86"/>
    <w:rsid w:val="0027309C"/>
    <w:rsid w:val="002730D5"/>
    <w:rsid w:val="00273200"/>
    <w:rsid w:val="00273707"/>
    <w:rsid w:val="0027372A"/>
    <w:rsid w:val="002739E9"/>
    <w:rsid w:val="00273AB7"/>
    <w:rsid w:val="00273AD8"/>
    <w:rsid w:val="00273E71"/>
    <w:rsid w:val="002740D9"/>
    <w:rsid w:val="0027430F"/>
    <w:rsid w:val="00274670"/>
    <w:rsid w:val="00274680"/>
    <w:rsid w:val="0027487D"/>
    <w:rsid w:val="00274B75"/>
    <w:rsid w:val="00274D35"/>
    <w:rsid w:val="00275143"/>
    <w:rsid w:val="00275208"/>
    <w:rsid w:val="002752A3"/>
    <w:rsid w:val="0027562F"/>
    <w:rsid w:val="00275713"/>
    <w:rsid w:val="0027576C"/>
    <w:rsid w:val="002757B5"/>
    <w:rsid w:val="00275842"/>
    <w:rsid w:val="00275868"/>
    <w:rsid w:val="0027591E"/>
    <w:rsid w:val="00275C88"/>
    <w:rsid w:val="00275DA7"/>
    <w:rsid w:val="00275E57"/>
    <w:rsid w:val="002760C9"/>
    <w:rsid w:val="0027617E"/>
    <w:rsid w:val="002764FA"/>
    <w:rsid w:val="00276893"/>
    <w:rsid w:val="0027694A"/>
    <w:rsid w:val="00276C4F"/>
    <w:rsid w:val="00276F68"/>
    <w:rsid w:val="002772D9"/>
    <w:rsid w:val="00277334"/>
    <w:rsid w:val="00277470"/>
    <w:rsid w:val="0027771E"/>
    <w:rsid w:val="00277786"/>
    <w:rsid w:val="002777F2"/>
    <w:rsid w:val="00277BF3"/>
    <w:rsid w:val="00277E5B"/>
    <w:rsid w:val="002801C7"/>
    <w:rsid w:val="00280302"/>
    <w:rsid w:val="0028032B"/>
    <w:rsid w:val="00280386"/>
    <w:rsid w:val="002804ED"/>
    <w:rsid w:val="002805AA"/>
    <w:rsid w:val="00280924"/>
    <w:rsid w:val="0028097C"/>
    <w:rsid w:val="00280A09"/>
    <w:rsid w:val="00280A70"/>
    <w:rsid w:val="00280BEF"/>
    <w:rsid w:val="00281580"/>
    <w:rsid w:val="0028162F"/>
    <w:rsid w:val="002816A4"/>
    <w:rsid w:val="00281881"/>
    <w:rsid w:val="00281B7A"/>
    <w:rsid w:val="00281B9A"/>
    <w:rsid w:val="00281CA8"/>
    <w:rsid w:val="00281D6B"/>
    <w:rsid w:val="00281DEF"/>
    <w:rsid w:val="00281EFF"/>
    <w:rsid w:val="002821A5"/>
    <w:rsid w:val="002822DA"/>
    <w:rsid w:val="0028246E"/>
    <w:rsid w:val="00282624"/>
    <w:rsid w:val="002826AC"/>
    <w:rsid w:val="0028282E"/>
    <w:rsid w:val="00282A8C"/>
    <w:rsid w:val="00282C20"/>
    <w:rsid w:val="00282C22"/>
    <w:rsid w:val="00282CDF"/>
    <w:rsid w:val="00282E47"/>
    <w:rsid w:val="00282E4D"/>
    <w:rsid w:val="00283000"/>
    <w:rsid w:val="00283034"/>
    <w:rsid w:val="00283051"/>
    <w:rsid w:val="002830B3"/>
    <w:rsid w:val="00283357"/>
    <w:rsid w:val="0028388D"/>
    <w:rsid w:val="002839E5"/>
    <w:rsid w:val="00283B9C"/>
    <w:rsid w:val="00283C5B"/>
    <w:rsid w:val="00283EC8"/>
    <w:rsid w:val="00283FA3"/>
    <w:rsid w:val="00284029"/>
    <w:rsid w:val="002840A5"/>
    <w:rsid w:val="00284206"/>
    <w:rsid w:val="002842A3"/>
    <w:rsid w:val="002842E4"/>
    <w:rsid w:val="002848C6"/>
    <w:rsid w:val="00284A33"/>
    <w:rsid w:val="00284D0E"/>
    <w:rsid w:val="00284E05"/>
    <w:rsid w:val="00284E0E"/>
    <w:rsid w:val="0028509D"/>
    <w:rsid w:val="002858A2"/>
    <w:rsid w:val="002858FF"/>
    <w:rsid w:val="002859CE"/>
    <w:rsid w:val="00285B9E"/>
    <w:rsid w:val="00285BF9"/>
    <w:rsid w:val="00286043"/>
    <w:rsid w:val="00286084"/>
    <w:rsid w:val="0028611A"/>
    <w:rsid w:val="00286159"/>
    <w:rsid w:val="002863D7"/>
    <w:rsid w:val="002867EB"/>
    <w:rsid w:val="0028681C"/>
    <w:rsid w:val="002869A5"/>
    <w:rsid w:val="00286D72"/>
    <w:rsid w:val="0028708B"/>
    <w:rsid w:val="0028762E"/>
    <w:rsid w:val="00287AC5"/>
    <w:rsid w:val="00287D6D"/>
    <w:rsid w:val="00287EAB"/>
    <w:rsid w:val="00287FC6"/>
    <w:rsid w:val="00290131"/>
    <w:rsid w:val="00290507"/>
    <w:rsid w:val="002905D3"/>
    <w:rsid w:val="00290A31"/>
    <w:rsid w:val="00290AC1"/>
    <w:rsid w:val="00290C9E"/>
    <w:rsid w:val="00290E46"/>
    <w:rsid w:val="00291145"/>
    <w:rsid w:val="002914AB"/>
    <w:rsid w:val="0029174E"/>
    <w:rsid w:val="002919E3"/>
    <w:rsid w:val="00291C70"/>
    <w:rsid w:val="00291E81"/>
    <w:rsid w:val="00291F63"/>
    <w:rsid w:val="0029208D"/>
    <w:rsid w:val="00292117"/>
    <w:rsid w:val="00292186"/>
    <w:rsid w:val="0029248E"/>
    <w:rsid w:val="00292760"/>
    <w:rsid w:val="00292784"/>
    <w:rsid w:val="002928C0"/>
    <w:rsid w:val="00292917"/>
    <w:rsid w:val="0029294B"/>
    <w:rsid w:val="00292960"/>
    <w:rsid w:val="00292B27"/>
    <w:rsid w:val="00292D88"/>
    <w:rsid w:val="00292E93"/>
    <w:rsid w:val="0029325C"/>
    <w:rsid w:val="0029357A"/>
    <w:rsid w:val="0029374D"/>
    <w:rsid w:val="0029377F"/>
    <w:rsid w:val="00293814"/>
    <w:rsid w:val="00293902"/>
    <w:rsid w:val="0029399C"/>
    <w:rsid w:val="00293A6A"/>
    <w:rsid w:val="00293C9D"/>
    <w:rsid w:val="00293D2B"/>
    <w:rsid w:val="00293E66"/>
    <w:rsid w:val="002940DD"/>
    <w:rsid w:val="002942C7"/>
    <w:rsid w:val="0029480A"/>
    <w:rsid w:val="0029480B"/>
    <w:rsid w:val="002948C5"/>
    <w:rsid w:val="00294A1F"/>
    <w:rsid w:val="00294BB4"/>
    <w:rsid w:val="00294C06"/>
    <w:rsid w:val="00294D33"/>
    <w:rsid w:val="00294E4A"/>
    <w:rsid w:val="00294FBA"/>
    <w:rsid w:val="00294FC9"/>
    <w:rsid w:val="00295276"/>
    <w:rsid w:val="00295305"/>
    <w:rsid w:val="0029553A"/>
    <w:rsid w:val="002955C0"/>
    <w:rsid w:val="00295828"/>
    <w:rsid w:val="002958DB"/>
    <w:rsid w:val="00295A5F"/>
    <w:rsid w:val="00295ADA"/>
    <w:rsid w:val="00295C01"/>
    <w:rsid w:val="00295C75"/>
    <w:rsid w:val="00295C87"/>
    <w:rsid w:val="00295F45"/>
    <w:rsid w:val="002960AC"/>
    <w:rsid w:val="002960E3"/>
    <w:rsid w:val="0029617F"/>
    <w:rsid w:val="0029620C"/>
    <w:rsid w:val="002962BD"/>
    <w:rsid w:val="002962C7"/>
    <w:rsid w:val="002962F3"/>
    <w:rsid w:val="0029664C"/>
    <w:rsid w:val="002966CB"/>
    <w:rsid w:val="00296711"/>
    <w:rsid w:val="00296742"/>
    <w:rsid w:val="002967F4"/>
    <w:rsid w:val="0029684C"/>
    <w:rsid w:val="0029688B"/>
    <w:rsid w:val="002968EB"/>
    <w:rsid w:val="002969D4"/>
    <w:rsid w:val="00296B3F"/>
    <w:rsid w:val="00296B45"/>
    <w:rsid w:val="00296B86"/>
    <w:rsid w:val="00296BD9"/>
    <w:rsid w:val="00296F3A"/>
    <w:rsid w:val="002970D2"/>
    <w:rsid w:val="002972D6"/>
    <w:rsid w:val="002973F5"/>
    <w:rsid w:val="00297A79"/>
    <w:rsid w:val="00297B38"/>
    <w:rsid w:val="00297B45"/>
    <w:rsid w:val="00297D53"/>
    <w:rsid w:val="00297DF9"/>
    <w:rsid w:val="002A0129"/>
    <w:rsid w:val="002A0184"/>
    <w:rsid w:val="002A0375"/>
    <w:rsid w:val="002A051F"/>
    <w:rsid w:val="002A0603"/>
    <w:rsid w:val="002A0794"/>
    <w:rsid w:val="002A0971"/>
    <w:rsid w:val="002A0BA8"/>
    <w:rsid w:val="002A0BDE"/>
    <w:rsid w:val="002A0E7E"/>
    <w:rsid w:val="002A12E7"/>
    <w:rsid w:val="002A15DB"/>
    <w:rsid w:val="002A165C"/>
    <w:rsid w:val="002A16F2"/>
    <w:rsid w:val="002A17F2"/>
    <w:rsid w:val="002A187D"/>
    <w:rsid w:val="002A195C"/>
    <w:rsid w:val="002A1BE0"/>
    <w:rsid w:val="002A1C73"/>
    <w:rsid w:val="002A1CCC"/>
    <w:rsid w:val="002A1E55"/>
    <w:rsid w:val="002A1EA9"/>
    <w:rsid w:val="002A1FBC"/>
    <w:rsid w:val="002A215B"/>
    <w:rsid w:val="002A22C4"/>
    <w:rsid w:val="002A2333"/>
    <w:rsid w:val="002A25EB"/>
    <w:rsid w:val="002A2887"/>
    <w:rsid w:val="002A2B08"/>
    <w:rsid w:val="002A2BDB"/>
    <w:rsid w:val="002A2DEF"/>
    <w:rsid w:val="002A2E49"/>
    <w:rsid w:val="002A2FCD"/>
    <w:rsid w:val="002A2FDD"/>
    <w:rsid w:val="002A3044"/>
    <w:rsid w:val="002A30E8"/>
    <w:rsid w:val="002A31E9"/>
    <w:rsid w:val="002A3203"/>
    <w:rsid w:val="002A32D2"/>
    <w:rsid w:val="002A3498"/>
    <w:rsid w:val="002A34D3"/>
    <w:rsid w:val="002A3538"/>
    <w:rsid w:val="002A3D86"/>
    <w:rsid w:val="002A3E2D"/>
    <w:rsid w:val="002A3E99"/>
    <w:rsid w:val="002A40B1"/>
    <w:rsid w:val="002A4137"/>
    <w:rsid w:val="002A43F8"/>
    <w:rsid w:val="002A440C"/>
    <w:rsid w:val="002A4477"/>
    <w:rsid w:val="002A4482"/>
    <w:rsid w:val="002A4489"/>
    <w:rsid w:val="002A4734"/>
    <w:rsid w:val="002A4ADC"/>
    <w:rsid w:val="002A4AF1"/>
    <w:rsid w:val="002A4BBD"/>
    <w:rsid w:val="002A4CA6"/>
    <w:rsid w:val="002A53D2"/>
    <w:rsid w:val="002A5434"/>
    <w:rsid w:val="002A563F"/>
    <w:rsid w:val="002A580B"/>
    <w:rsid w:val="002A58B8"/>
    <w:rsid w:val="002A5B1B"/>
    <w:rsid w:val="002A5BB3"/>
    <w:rsid w:val="002A5DA3"/>
    <w:rsid w:val="002A5F29"/>
    <w:rsid w:val="002A5FFA"/>
    <w:rsid w:val="002A6480"/>
    <w:rsid w:val="002A658E"/>
    <w:rsid w:val="002A65F0"/>
    <w:rsid w:val="002A6A77"/>
    <w:rsid w:val="002A6AC0"/>
    <w:rsid w:val="002A6CA4"/>
    <w:rsid w:val="002A6DEC"/>
    <w:rsid w:val="002A723C"/>
    <w:rsid w:val="002A7326"/>
    <w:rsid w:val="002A74C1"/>
    <w:rsid w:val="002A7682"/>
    <w:rsid w:val="002A7877"/>
    <w:rsid w:val="002A79A4"/>
    <w:rsid w:val="002A7D0C"/>
    <w:rsid w:val="002A7D23"/>
    <w:rsid w:val="002A7EEC"/>
    <w:rsid w:val="002B0070"/>
    <w:rsid w:val="002B00C0"/>
    <w:rsid w:val="002B01D8"/>
    <w:rsid w:val="002B0276"/>
    <w:rsid w:val="002B0300"/>
    <w:rsid w:val="002B0379"/>
    <w:rsid w:val="002B07F3"/>
    <w:rsid w:val="002B0917"/>
    <w:rsid w:val="002B0E12"/>
    <w:rsid w:val="002B0F3F"/>
    <w:rsid w:val="002B1156"/>
    <w:rsid w:val="002B1375"/>
    <w:rsid w:val="002B163C"/>
    <w:rsid w:val="002B1649"/>
    <w:rsid w:val="002B1664"/>
    <w:rsid w:val="002B184A"/>
    <w:rsid w:val="002B1883"/>
    <w:rsid w:val="002B19F1"/>
    <w:rsid w:val="002B1B0E"/>
    <w:rsid w:val="002B1D22"/>
    <w:rsid w:val="002B1D44"/>
    <w:rsid w:val="002B2046"/>
    <w:rsid w:val="002B20D7"/>
    <w:rsid w:val="002B219C"/>
    <w:rsid w:val="002B23E9"/>
    <w:rsid w:val="002B2942"/>
    <w:rsid w:val="002B29C8"/>
    <w:rsid w:val="002B2A95"/>
    <w:rsid w:val="002B2D9B"/>
    <w:rsid w:val="002B2EDE"/>
    <w:rsid w:val="002B2FBA"/>
    <w:rsid w:val="002B3107"/>
    <w:rsid w:val="002B3A97"/>
    <w:rsid w:val="002B3ACF"/>
    <w:rsid w:val="002B3CA7"/>
    <w:rsid w:val="002B3F12"/>
    <w:rsid w:val="002B3F41"/>
    <w:rsid w:val="002B3F99"/>
    <w:rsid w:val="002B3F9C"/>
    <w:rsid w:val="002B44BE"/>
    <w:rsid w:val="002B45AF"/>
    <w:rsid w:val="002B4A4D"/>
    <w:rsid w:val="002B4BD8"/>
    <w:rsid w:val="002B4EA4"/>
    <w:rsid w:val="002B50A3"/>
    <w:rsid w:val="002B513D"/>
    <w:rsid w:val="002B515C"/>
    <w:rsid w:val="002B5700"/>
    <w:rsid w:val="002B5AED"/>
    <w:rsid w:val="002B5B61"/>
    <w:rsid w:val="002B5F98"/>
    <w:rsid w:val="002B612D"/>
    <w:rsid w:val="002B64A0"/>
    <w:rsid w:val="002B66A6"/>
    <w:rsid w:val="002B67E7"/>
    <w:rsid w:val="002B6A96"/>
    <w:rsid w:val="002B6AE9"/>
    <w:rsid w:val="002B6CAF"/>
    <w:rsid w:val="002B6EFA"/>
    <w:rsid w:val="002B72FD"/>
    <w:rsid w:val="002B7328"/>
    <w:rsid w:val="002B73E4"/>
    <w:rsid w:val="002B742C"/>
    <w:rsid w:val="002B772C"/>
    <w:rsid w:val="002B77AD"/>
    <w:rsid w:val="002B7941"/>
    <w:rsid w:val="002B7A1E"/>
    <w:rsid w:val="002B7C54"/>
    <w:rsid w:val="002B7C88"/>
    <w:rsid w:val="002B7CF9"/>
    <w:rsid w:val="002B7D22"/>
    <w:rsid w:val="002B7D36"/>
    <w:rsid w:val="002B7DF7"/>
    <w:rsid w:val="002B7F2A"/>
    <w:rsid w:val="002B7FB8"/>
    <w:rsid w:val="002C0185"/>
    <w:rsid w:val="002C023F"/>
    <w:rsid w:val="002C02CB"/>
    <w:rsid w:val="002C072B"/>
    <w:rsid w:val="002C079F"/>
    <w:rsid w:val="002C0827"/>
    <w:rsid w:val="002C099E"/>
    <w:rsid w:val="002C0ABE"/>
    <w:rsid w:val="002C0BD8"/>
    <w:rsid w:val="002C106D"/>
    <w:rsid w:val="002C130A"/>
    <w:rsid w:val="002C137D"/>
    <w:rsid w:val="002C14B7"/>
    <w:rsid w:val="002C14E5"/>
    <w:rsid w:val="002C14F7"/>
    <w:rsid w:val="002C15B9"/>
    <w:rsid w:val="002C16CA"/>
    <w:rsid w:val="002C175C"/>
    <w:rsid w:val="002C1887"/>
    <w:rsid w:val="002C19DA"/>
    <w:rsid w:val="002C1CAD"/>
    <w:rsid w:val="002C2209"/>
    <w:rsid w:val="002C2242"/>
    <w:rsid w:val="002C247E"/>
    <w:rsid w:val="002C24B5"/>
    <w:rsid w:val="002C2949"/>
    <w:rsid w:val="002C2B4E"/>
    <w:rsid w:val="002C2E3D"/>
    <w:rsid w:val="002C2E82"/>
    <w:rsid w:val="002C316B"/>
    <w:rsid w:val="002C349B"/>
    <w:rsid w:val="002C34BF"/>
    <w:rsid w:val="002C366B"/>
    <w:rsid w:val="002C3ADC"/>
    <w:rsid w:val="002C40E1"/>
    <w:rsid w:val="002C4229"/>
    <w:rsid w:val="002C460B"/>
    <w:rsid w:val="002C4694"/>
    <w:rsid w:val="002C47F1"/>
    <w:rsid w:val="002C4A00"/>
    <w:rsid w:val="002C4C5E"/>
    <w:rsid w:val="002C4F4E"/>
    <w:rsid w:val="002C51D3"/>
    <w:rsid w:val="002C53B8"/>
    <w:rsid w:val="002C5A2F"/>
    <w:rsid w:val="002C5AAD"/>
    <w:rsid w:val="002C5C07"/>
    <w:rsid w:val="002C5E0A"/>
    <w:rsid w:val="002C5E54"/>
    <w:rsid w:val="002C6032"/>
    <w:rsid w:val="002C62A5"/>
    <w:rsid w:val="002C63D8"/>
    <w:rsid w:val="002C6542"/>
    <w:rsid w:val="002C6574"/>
    <w:rsid w:val="002C657F"/>
    <w:rsid w:val="002C679D"/>
    <w:rsid w:val="002C6859"/>
    <w:rsid w:val="002C6B03"/>
    <w:rsid w:val="002C6B4E"/>
    <w:rsid w:val="002C6C98"/>
    <w:rsid w:val="002C6CCE"/>
    <w:rsid w:val="002C6D38"/>
    <w:rsid w:val="002C6E5E"/>
    <w:rsid w:val="002C6FA2"/>
    <w:rsid w:val="002C744D"/>
    <w:rsid w:val="002C7796"/>
    <w:rsid w:val="002C7822"/>
    <w:rsid w:val="002C7A46"/>
    <w:rsid w:val="002C7C5C"/>
    <w:rsid w:val="002C7D0C"/>
    <w:rsid w:val="002D004C"/>
    <w:rsid w:val="002D0072"/>
    <w:rsid w:val="002D00F1"/>
    <w:rsid w:val="002D0113"/>
    <w:rsid w:val="002D0464"/>
    <w:rsid w:val="002D0A9B"/>
    <w:rsid w:val="002D0BB8"/>
    <w:rsid w:val="002D0DDF"/>
    <w:rsid w:val="002D10F6"/>
    <w:rsid w:val="002D1106"/>
    <w:rsid w:val="002D11BF"/>
    <w:rsid w:val="002D1285"/>
    <w:rsid w:val="002D1482"/>
    <w:rsid w:val="002D1557"/>
    <w:rsid w:val="002D165F"/>
    <w:rsid w:val="002D16C1"/>
    <w:rsid w:val="002D172E"/>
    <w:rsid w:val="002D1D26"/>
    <w:rsid w:val="002D1F76"/>
    <w:rsid w:val="002D209F"/>
    <w:rsid w:val="002D2147"/>
    <w:rsid w:val="002D22FC"/>
    <w:rsid w:val="002D2471"/>
    <w:rsid w:val="002D25BD"/>
    <w:rsid w:val="002D2662"/>
    <w:rsid w:val="002D2A12"/>
    <w:rsid w:val="002D2B34"/>
    <w:rsid w:val="002D3079"/>
    <w:rsid w:val="002D3214"/>
    <w:rsid w:val="002D35B4"/>
    <w:rsid w:val="002D36C9"/>
    <w:rsid w:val="002D38B5"/>
    <w:rsid w:val="002D3926"/>
    <w:rsid w:val="002D3CA2"/>
    <w:rsid w:val="002D3CB1"/>
    <w:rsid w:val="002D3D0E"/>
    <w:rsid w:val="002D3D29"/>
    <w:rsid w:val="002D40E2"/>
    <w:rsid w:val="002D4608"/>
    <w:rsid w:val="002D464C"/>
    <w:rsid w:val="002D4731"/>
    <w:rsid w:val="002D476E"/>
    <w:rsid w:val="002D47A5"/>
    <w:rsid w:val="002D4905"/>
    <w:rsid w:val="002D493A"/>
    <w:rsid w:val="002D4CCE"/>
    <w:rsid w:val="002D4CDF"/>
    <w:rsid w:val="002D4D08"/>
    <w:rsid w:val="002D4D4B"/>
    <w:rsid w:val="002D4F19"/>
    <w:rsid w:val="002D4FDA"/>
    <w:rsid w:val="002D514F"/>
    <w:rsid w:val="002D51D6"/>
    <w:rsid w:val="002D5231"/>
    <w:rsid w:val="002D5273"/>
    <w:rsid w:val="002D5366"/>
    <w:rsid w:val="002D53E6"/>
    <w:rsid w:val="002D55FD"/>
    <w:rsid w:val="002D5760"/>
    <w:rsid w:val="002D5AAB"/>
    <w:rsid w:val="002D5E9B"/>
    <w:rsid w:val="002D60F5"/>
    <w:rsid w:val="002D616D"/>
    <w:rsid w:val="002D63F4"/>
    <w:rsid w:val="002D64C7"/>
    <w:rsid w:val="002D6564"/>
    <w:rsid w:val="002D66BD"/>
    <w:rsid w:val="002D6807"/>
    <w:rsid w:val="002D6922"/>
    <w:rsid w:val="002D69C2"/>
    <w:rsid w:val="002D6A20"/>
    <w:rsid w:val="002D6B84"/>
    <w:rsid w:val="002D6D71"/>
    <w:rsid w:val="002D7470"/>
    <w:rsid w:val="002D7591"/>
    <w:rsid w:val="002D76B5"/>
    <w:rsid w:val="002D7797"/>
    <w:rsid w:val="002D799C"/>
    <w:rsid w:val="002D7C6C"/>
    <w:rsid w:val="002D7C91"/>
    <w:rsid w:val="002D7D3E"/>
    <w:rsid w:val="002D7D70"/>
    <w:rsid w:val="002D7E30"/>
    <w:rsid w:val="002D7EB7"/>
    <w:rsid w:val="002D7F2D"/>
    <w:rsid w:val="002E0033"/>
    <w:rsid w:val="002E046C"/>
    <w:rsid w:val="002E099B"/>
    <w:rsid w:val="002E0AC2"/>
    <w:rsid w:val="002E0E5A"/>
    <w:rsid w:val="002E0E7D"/>
    <w:rsid w:val="002E1182"/>
    <w:rsid w:val="002E11BA"/>
    <w:rsid w:val="002E11F6"/>
    <w:rsid w:val="002E1271"/>
    <w:rsid w:val="002E1304"/>
    <w:rsid w:val="002E1328"/>
    <w:rsid w:val="002E1356"/>
    <w:rsid w:val="002E136A"/>
    <w:rsid w:val="002E1424"/>
    <w:rsid w:val="002E15B6"/>
    <w:rsid w:val="002E164F"/>
    <w:rsid w:val="002E1C2D"/>
    <w:rsid w:val="002E1D71"/>
    <w:rsid w:val="002E1EA5"/>
    <w:rsid w:val="002E221E"/>
    <w:rsid w:val="002E2364"/>
    <w:rsid w:val="002E238D"/>
    <w:rsid w:val="002E23AF"/>
    <w:rsid w:val="002E2460"/>
    <w:rsid w:val="002E25B9"/>
    <w:rsid w:val="002E25E6"/>
    <w:rsid w:val="002E2657"/>
    <w:rsid w:val="002E2670"/>
    <w:rsid w:val="002E26FD"/>
    <w:rsid w:val="002E29EC"/>
    <w:rsid w:val="002E2E28"/>
    <w:rsid w:val="002E2F85"/>
    <w:rsid w:val="002E30FF"/>
    <w:rsid w:val="002E3560"/>
    <w:rsid w:val="002E36C0"/>
    <w:rsid w:val="002E3798"/>
    <w:rsid w:val="002E3ABA"/>
    <w:rsid w:val="002E3C59"/>
    <w:rsid w:val="002E3E66"/>
    <w:rsid w:val="002E3F0A"/>
    <w:rsid w:val="002E4124"/>
    <w:rsid w:val="002E417A"/>
    <w:rsid w:val="002E432E"/>
    <w:rsid w:val="002E44DB"/>
    <w:rsid w:val="002E4526"/>
    <w:rsid w:val="002E46BF"/>
    <w:rsid w:val="002E48D7"/>
    <w:rsid w:val="002E4B33"/>
    <w:rsid w:val="002E4D14"/>
    <w:rsid w:val="002E4E8D"/>
    <w:rsid w:val="002E4FB8"/>
    <w:rsid w:val="002E4FBC"/>
    <w:rsid w:val="002E4FF9"/>
    <w:rsid w:val="002E51FF"/>
    <w:rsid w:val="002E5636"/>
    <w:rsid w:val="002E57E5"/>
    <w:rsid w:val="002E5818"/>
    <w:rsid w:val="002E5D78"/>
    <w:rsid w:val="002E6173"/>
    <w:rsid w:val="002E61B4"/>
    <w:rsid w:val="002E62B6"/>
    <w:rsid w:val="002E632F"/>
    <w:rsid w:val="002E6657"/>
    <w:rsid w:val="002E6662"/>
    <w:rsid w:val="002E6771"/>
    <w:rsid w:val="002E67C4"/>
    <w:rsid w:val="002E68E5"/>
    <w:rsid w:val="002E6BB3"/>
    <w:rsid w:val="002E6CAB"/>
    <w:rsid w:val="002E6CE2"/>
    <w:rsid w:val="002E6D85"/>
    <w:rsid w:val="002E6E2A"/>
    <w:rsid w:val="002E6E94"/>
    <w:rsid w:val="002E71A9"/>
    <w:rsid w:val="002E71D4"/>
    <w:rsid w:val="002E731B"/>
    <w:rsid w:val="002E7460"/>
    <w:rsid w:val="002E74A3"/>
    <w:rsid w:val="002E7599"/>
    <w:rsid w:val="002E759E"/>
    <w:rsid w:val="002E75FA"/>
    <w:rsid w:val="002E77E3"/>
    <w:rsid w:val="002E788E"/>
    <w:rsid w:val="002E789D"/>
    <w:rsid w:val="002E78E8"/>
    <w:rsid w:val="002E7BAC"/>
    <w:rsid w:val="002E7CC5"/>
    <w:rsid w:val="002E7E18"/>
    <w:rsid w:val="002E7EAB"/>
    <w:rsid w:val="002F01A3"/>
    <w:rsid w:val="002F0445"/>
    <w:rsid w:val="002F0619"/>
    <w:rsid w:val="002F06F8"/>
    <w:rsid w:val="002F094E"/>
    <w:rsid w:val="002F0C83"/>
    <w:rsid w:val="002F0E53"/>
    <w:rsid w:val="002F0E6B"/>
    <w:rsid w:val="002F0E83"/>
    <w:rsid w:val="002F0ECA"/>
    <w:rsid w:val="002F0FB0"/>
    <w:rsid w:val="002F1000"/>
    <w:rsid w:val="002F104C"/>
    <w:rsid w:val="002F10A8"/>
    <w:rsid w:val="002F1124"/>
    <w:rsid w:val="002F1358"/>
    <w:rsid w:val="002F15EE"/>
    <w:rsid w:val="002F1722"/>
    <w:rsid w:val="002F1BC8"/>
    <w:rsid w:val="002F1BD6"/>
    <w:rsid w:val="002F1BF1"/>
    <w:rsid w:val="002F1E63"/>
    <w:rsid w:val="002F1FC8"/>
    <w:rsid w:val="002F2872"/>
    <w:rsid w:val="002F2F12"/>
    <w:rsid w:val="002F2F6A"/>
    <w:rsid w:val="002F2FA6"/>
    <w:rsid w:val="002F305E"/>
    <w:rsid w:val="002F31E4"/>
    <w:rsid w:val="002F3208"/>
    <w:rsid w:val="002F3209"/>
    <w:rsid w:val="002F36DA"/>
    <w:rsid w:val="002F3813"/>
    <w:rsid w:val="002F3C2C"/>
    <w:rsid w:val="002F3C3A"/>
    <w:rsid w:val="002F3DF3"/>
    <w:rsid w:val="002F3E53"/>
    <w:rsid w:val="002F3F49"/>
    <w:rsid w:val="002F40F6"/>
    <w:rsid w:val="002F43EE"/>
    <w:rsid w:val="002F43FA"/>
    <w:rsid w:val="002F44ED"/>
    <w:rsid w:val="002F4579"/>
    <w:rsid w:val="002F461B"/>
    <w:rsid w:val="002F48F8"/>
    <w:rsid w:val="002F49F0"/>
    <w:rsid w:val="002F4BD5"/>
    <w:rsid w:val="002F4D53"/>
    <w:rsid w:val="002F4DAA"/>
    <w:rsid w:val="002F503A"/>
    <w:rsid w:val="002F51A1"/>
    <w:rsid w:val="002F51CD"/>
    <w:rsid w:val="002F5231"/>
    <w:rsid w:val="002F535F"/>
    <w:rsid w:val="002F557E"/>
    <w:rsid w:val="002F557F"/>
    <w:rsid w:val="002F594E"/>
    <w:rsid w:val="002F5A96"/>
    <w:rsid w:val="002F5BB6"/>
    <w:rsid w:val="002F5C81"/>
    <w:rsid w:val="002F5D63"/>
    <w:rsid w:val="002F5D8F"/>
    <w:rsid w:val="002F5E04"/>
    <w:rsid w:val="002F5F86"/>
    <w:rsid w:val="002F5FF6"/>
    <w:rsid w:val="002F667C"/>
    <w:rsid w:val="002F668E"/>
    <w:rsid w:val="002F6751"/>
    <w:rsid w:val="002F6E52"/>
    <w:rsid w:val="002F6E7C"/>
    <w:rsid w:val="002F70EF"/>
    <w:rsid w:val="002F75F2"/>
    <w:rsid w:val="002F773C"/>
    <w:rsid w:val="002F779A"/>
    <w:rsid w:val="002F7823"/>
    <w:rsid w:val="002F7922"/>
    <w:rsid w:val="002F7BDD"/>
    <w:rsid w:val="002F7BEA"/>
    <w:rsid w:val="002F7E08"/>
    <w:rsid w:val="002F7FBA"/>
    <w:rsid w:val="002F7FE6"/>
    <w:rsid w:val="003000BE"/>
    <w:rsid w:val="00300262"/>
    <w:rsid w:val="0030058C"/>
    <w:rsid w:val="0030080A"/>
    <w:rsid w:val="003009CD"/>
    <w:rsid w:val="00300BBD"/>
    <w:rsid w:val="00300C4F"/>
    <w:rsid w:val="00300C83"/>
    <w:rsid w:val="00300EF4"/>
    <w:rsid w:val="0030105A"/>
    <w:rsid w:val="00301213"/>
    <w:rsid w:val="00301350"/>
    <w:rsid w:val="003014AA"/>
    <w:rsid w:val="003015A1"/>
    <w:rsid w:val="003015D8"/>
    <w:rsid w:val="00301995"/>
    <w:rsid w:val="00301AE0"/>
    <w:rsid w:val="00301EA0"/>
    <w:rsid w:val="00302022"/>
    <w:rsid w:val="00302389"/>
    <w:rsid w:val="003024B6"/>
    <w:rsid w:val="0030258E"/>
    <w:rsid w:val="003027A6"/>
    <w:rsid w:val="0030282A"/>
    <w:rsid w:val="0030296B"/>
    <w:rsid w:val="00302AAC"/>
    <w:rsid w:val="00302B41"/>
    <w:rsid w:val="00302B9B"/>
    <w:rsid w:val="00302BEE"/>
    <w:rsid w:val="00302CFF"/>
    <w:rsid w:val="00302D20"/>
    <w:rsid w:val="00302E61"/>
    <w:rsid w:val="00302EE6"/>
    <w:rsid w:val="00302F33"/>
    <w:rsid w:val="00303000"/>
    <w:rsid w:val="0030332F"/>
    <w:rsid w:val="00303355"/>
    <w:rsid w:val="003033B7"/>
    <w:rsid w:val="0030358F"/>
    <w:rsid w:val="003035E1"/>
    <w:rsid w:val="003038C5"/>
    <w:rsid w:val="00303A64"/>
    <w:rsid w:val="00303D83"/>
    <w:rsid w:val="00303FCD"/>
    <w:rsid w:val="003041B8"/>
    <w:rsid w:val="00304285"/>
    <w:rsid w:val="0030447B"/>
    <w:rsid w:val="00304498"/>
    <w:rsid w:val="003044F1"/>
    <w:rsid w:val="00304565"/>
    <w:rsid w:val="00304590"/>
    <w:rsid w:val="00304623"/>
    <w:rsid w:val="00304EC3"/>
    <w:rsid w:val="00304FE0"/>
    <w:rsid w:val="00304FF2"/>
    <w:rsid w:val="00305316"/>
    <w:rsid w:val="00305668"/>
    <w:rsid w:val="00306013"/>
    <w:rsid w:val="00306688"/>
    <w:rsid w:val="003067E5"/>
    <w:rsid w:val="00306895"/>
    <w:rsid w:val="00306912"/>
    <w:rsid w:val="00306B2F"/>
    <w:rsid w:val="00306D26"/>
    <w:rsid w:val="00306D6A"/>
    <w:rsid w:val="00306F12"/>
    <w:rsid w:val="00307197"/>
    <w:rsid w:val="00307277"/>
    <w:rsid w:val="003072A9"/>
    <w:rsid w:val="0030735D"/>
    <w:rsid w:val="00307394"/>
    <w:rsid w:val="003073AD"/>
    <w:rsid w:val="00307543"/>
    <w:rsid w:val="003077FA"/>
    <w:rsid w:val="00307A05"/>
    <w:rsid w:val="00307B02"/>
    <w:rsid w:val="00307BD4"/>
    <w:rsid w:val="00307C01"/>
    <w:rsid w:val="00307C44"/>
    <w:rsid w:val="00307CA8"/>
    <w:rsid w:val="00307CD8"/>
    <w:rsid w:val="00307E3B"/>
    <w:rsid w:val="0031022B"/>
    <w:rsid w:val="0031052C"/>
    <w:rsid w:val="00310A84"/>
    <w:rsid w:val="00310C92"/>
    <w:rsid w:val="00310CDC"/>
    <w:rsid w:val="00310D40"/>
    <w:rsid w:val="00310D6F"/>
    <w:rsid w:val="0031104F"/>
    <w:rsid w:val="0031125D"/>
    <w:rsid w:val="003112BF"/>
    <w:rsid w:val="00311329"/>
    <w:rsid w:val="003116BE"/>
    <w:rsid w:val="0031178B"/>
    <w:rsid w:val="00311964"/>
    <w:rsid w:val="00311B95"/>
    <w:rsid w:val="00311DC0"/>
    <w:rsid w:val="00311EE4"/>
    <w:rsid w:val="00311F3D"/>
    <w:rsid w:val="00311FA7"/>
    <w:rsid w:val="00312068"/>
    <w:rsid w:val="00312164"/>
    <w:rsid w:val="003121A0"/>
    <w:rsid w:val="0031220A"/>
    <w:rsid w:val="00312630"/>
    <w:rsid w:val="0031286A"/>
    <w:rsid w:val="00312AF4"/>
    <w:rsid w:val="00312DCF"/>
    <w:rsid w:val="0031308B"/>
    <w:rsid w:val="0031311F"/>
    <w:rsid w:val="0031345F"/>
    <w:rsid w:val="00313481"/>
    <w:rsid w:val="003134C7"/>
    <w:rsid w:val="003135E4"/>
    <w:rsid w:val="0031389F"/>
    <w:rsid w:val="00313CB5"/>
    <w:rsid w:val="00313D29"/>
    <w:rsid w:val="00313D6C"/>
    <w:rsid w:val="00313DCF"/>
    <w:rsid w:val="00314111"/>
    <w:rsid w:val="00314262"/>
    <w:rsid w:val="003142FE"/>
    <w:rsid w:val="0031437D"/>
    <w:rsid w:val="00314898"/>
    <w:rsid w:val="003149F9"/>
    <w:rsid w:val="00314A6F"/>
    <w:rsid w:val="00314D85"/>
    <w:rsid w:val="00314E4C"/>
    <w:rsid w:val="00314E94"/>
    <w:rsid w:val="00314FB5"/>
    <w:rsid w:val="0031516E"/>
    <w:rsid w:val="003151F7"/>
    <w:rsid w:val="00315215"/>
    <w:rsid w:val="003152B5"/>
    <w:rsid w:val="003152D2"/>
    <w:rsid w:val="00315380"/>
    <w:rsid w:val="00315607"/>
    <w:rsid w:val="00315764"/>
    <w:rsid w:val="00315888"/>
    <w:rsid w:val="00315E62"/>
    <w:rsid w:val="003160B4"/>
    <w:rsid w:val="0031611F"/>
    <w:rsid w:val="00316475"/>
    <w:rsid w:val="00316476"/>
    <w:rsid w:val="0031666E"/>
    <w:rsid w:val="0031670C"/>
    <w:rsid w:val="003169B3"/>
    <w:rsid w:val="00316D31"/>
    <w:rsid w:val="00317021"/>
    <w:rsid w:val="00317202"/>
    <w:rsid w:val="00317210"/>
    <w:rsid w:val="003174C5"/>
    <w:rsid w:val="0031753D"/>
    <w:rsid w:val="003176A1"/>
    <w:rsid w:val="003179DB"/>
    <w:rsid w:val="00317C86"/>
    <w:rsid w:val="00320001"/>
    <w:rsid w:val="003201CD"/>
    <w:rsid w:val="003202BA"/>
    <w:rsid w:val="0032037C"/>
    <w:rsid w:val="003203AF"/>
    <w:rsid w:val="00320548"/>
    <w:rsid w:val="0032055B"/>
    <w:rsid w:val="00320724"/>
    <w:rsid w:val="003207B2"/>
    <w:rsid w:val="003207F8"/>
    <w:rsid w:val="0032082D"/>
    <w:rsid w:val="00320877"/>
    <w:rsid w:val="00320A67"/>
    <w:rsid w:val="00320BA7"/>
    <w:rsid w:val="00320BB5"/>
    <w:rsid w:val="00320CF1"/>
    <w:rsid w:val="00321110"/>
    <w:rsid w:val="00321160"/>
    <w:rsid w:val="003212B0"/>
    <w:rsid w:val="003215E6"/>
    <w:rsid w:val="00321850"/>
    <w:rsid w:val="003219CE"/>
    <w:rsid w:val="00321A18"/>
    <w:rsid w:val="00321BD8"/>
    <w:rsid w:val="00321C8A"/>
    <w:rsid w:val="00322043"/>
    <w:rsid w:val="003220C0"/>
    <w:rsid w:val="00322167"/>
    <w:rsid w:val="0032237E"/>
    <w:rsid w:val="00322414"/>
    <w:rsid w:val="003226E8"/>
    <w:rsid w:val="00322794"/>
    <w:rsid w:val="003227C5"/>
    <w:rsid w:val="003227E0"/>
    <w:rsid w:val="00322C30"/>
    <w:rsid w:val="00322D2F"/>
    <w:rsid w:val="00322E8A"/>
    <w:rsid w:val="00323068"/>
    <w:rsid w:val="003233AC"/>
    <w:rsid w:val="003234E9"/>
    <w:rsid w:val="00323659"/>
    <w:rsid w:val="003237E3"/>
    <w:rsid w:val="00323C31"/>
    <w:rsid w:val="00323F87"/>
    <w:rsid w:val="00324031"/>
    <w:rsid w:val="003242CA"/>
    <w:rsid w:val="0032447B"/>
    <w:rsid w:val="00324795"/>
    <w:rsid w:val="00324799"/>
    <w:rsid w:val="00324907"/>
    <w:rsid w:val="00324AC1"/>
    <w:rsid w:val="00324BD8"/>
    <w:rsid w:val="00324DA8"/>
    <w:rsid w:val="00324E60"/>
    <w:rsid w:val="00324EFF"/>
    <w:rsid w:val="0032514F"/>
    <w:rsid w:val="00325220"/>
    <w:rsid w:val="003254A0"/>
    <w:rsid w:val="003254CF"/>
    <w:rsid w:val="00325595"/>
    <w:rsid w:val="00325638"/>
    <w:rsid w:val="003258D1"/>
    <w:rsid w:val="0032599F"/>
    <w:rsid w:val="003259F0"/>
    <w:rsid w:val="00325AAC"/>
    <w:rsid w:val="00326019"/>
    <w:rsid w:val="00326106"/>
    <w:rsid w:val="00326143"/>
    <w:rsid w:val="003262C4"/>
    <w:rsid w:val="0032635D"/>
    <w:rsid w:val="0032641B"/>
    <w:rsid w:val="00326778"/>
    <w:rsid w:val="003269C8"/>
    <w:rsid w:val="00326D8B"/>
    <w:rsid w:val="00326EF0"/>
    <w:rsid w:val="003272C7"/>
    <w:rsid w:val="003273CF"/>
    <w:rsid w:val="003273D0"/>
    <w:rsid w:val="00327691"/>
    <w:rsid w:val="00327AB9"/>
    <w:rsid w:val="00327F42"/>
    <w:rsid w:val="0033007A"/>
    <w:rsid w:val="0033014D"/>
    <w:rsid w:val="00330338"/>
    <w:rsid w:val="003304DA"/>
    <w:rsid w:val="0033053D"/>
    <w:rsid w:val="00330821"/>
    <w:rsid w:val="00330928"/>
    <w:rsid w:val="003309F8"/>
    <w:rsid w:val="00330DB6"/>
    <w:rsid w:val="00330E4D"/>
    <w:rsid w:val="00330F14"/>
    <w:rsid w:val="00330F70"/>
    <w:rsid w:val="0033102E"/>
    <w:rsid w:val="003310A8"/>
    <w:rsid w:val="00331113"/>
    <w:rsid w:val="00331277"/>
    <w:rsid w:val="00331278"/>
    <w:rsid w:val="0033130B"/>
    <w:rsid w:val="0033133C"/>
    <w:rsid w:val="00331437"/>
    <w:rsid w:val="0033195C"/>
    <w:rsid w:val="00331A2E"/>
    <w:rsid w:val="00331B42"/>
    <w:rsid w:val="00331C59"/>
    <w:rsid w:val="00331CE1"/>
    <w:rsid w:val="00331D67"/>
    <w:rsid w:val="00331F39"/>
    <w:rsid w:val="00331FCA"/>
    <w:rsid w:val="003320C1"/>
    <w:rsid w:val="003322D3"/>
    <w:rsid w:val="00332B72"/>
    <w:rsid w:val="00332D15"/>
    <w:rsid w:val="003330F6"/>
    <w:rsid w:val="003331C5"/>
    <w:rsid w:val="00333385"/>
    <w:rsid w:val="00333686"/>
    <w:rsid w:val="003339ED"/>
    <w:rsid w:val="00333AE7"/>
    <w:rsid w:val="00333C7D"/>
    <w:rsid w:val="00333D2D"/>
    <w:rsid w:val="00333D53"/>
    <w:rsid w:val="00333F69"/>
    <w:rsid w:val="003341A4"/>
    <w:rsid w:val="003341BE"/>
    <w:rsid w:val="003342DB"/>
    <w:rsid w:val="00334322"/>
    <w:rsid w:val="00334423"/>
    <w:rsid w:val="0033459E"/>
    <w:rsid w:val="003345D7"/>
    <w:rsid w:val="0033463D"/>
    <w:rsid w:val="003346C2"/>
    <w:rsid w:val="00334794"/>
    <w:rsid w:val="00334AA3"/>
    <w:rsid w:val="00334B36"/>
    <w:rsid w:val="00334B81"/>
    <w:rsid w:val="00334BB1"/>
    <w:rsid w:val="00334C4A"/>
    <w:rsid w:val="00334C97"/>
    <w:rsid w:val="003350DA"/>
    <w:rsid w:val="00335360"/>
    <w:rsid w:val="0033537F"/>
    <w:rsid w:val="003357B4"/>
    <w:rsid w:val="003358F3"/>
    <w:rsid w:val="00335B62"/>
    <w:rsid w:val="00335C1E"/>
    <w:rsid w:val="00335EBA"/>
    <w:rsid w:val="00335F08"/>
    <w:rsid w:val="00336021"/>
    <w:rsid w:val="003360FD"/>
    <w:rsid w:val="00336164"/>
    <w:rsid w:val="00336291"/>
    <w:rsid w:val="003364A4"/>
    <w:rsid w:val="0033657B"/>
    <w:rsid w:val="003365C6"/>
    <w:rsid w:val="00336767"/>
    <w:rsid w:val="0033679F"/>
    <w:rsid w:val="00336868"/>
    <w:rsid w:val="00336882"/>
    <w:rsid w:val="00336F2C"/>
    <w:rsid w:val="00337076"/>
    <w:rsid w:val="00337134"/>
    <w:rsid w:val="0033719F"/>
    <w:rsid w:val="003371AC"/>
    <w:rsid w:val="003371D1"/>
    <w:rsid w:val="003378B6"/>
    <w:rsid w:val="00337C8D"/>
    <w:rsid w:val="00337DCC"/>
    <w:rsid w:val="00337E56"/>
    <w:rsid w:val="0034008A"/>
    <w:rsid w:val="00340145"/>
    <w:rsid w:val="003402D3"/>
    <w:rsid w:val="00340511"/>
    <w:rsid w:val="00340536"/>
    <w:rsid w:val="00340623"/>
    <w:rsid w:val="00340694"/>
    <w:rsid w:val="00340712"/>
    <w:rsid w:val="00340882"/>
    <w:rsid w:val="00340A01"/>
    <w:rsid w:val="00340C1C"/>
    <w:rsid w:val="00340E36"/>
    <w:rsid w:val="00340F65"/>
    <w:rsid w:val="0034126A"/>
    <w:rsid w:val="003412EC"/>
    <w:rsid w:val="0034130C"/>
    <w:rsid w:val="0034132B"/>
    <w:rsid w:val="003413C3"/>
    <w:rsid w:val="003413D6"/>
    <w:rsid w:val="00341526"/>
    <w:rsid w:val="003415AD"/>
    <w:rsid w:val="003416D0"/>
    <w:rsid w:val="00341A53"/>
    <w:rsid w:val="00341BEF"/>
    <w:rsid w:val="00341C89"/>
    <w:rsid w:val="00341CDE"/>
    <w:rsid w:val="00341F74"/>
    <w:rsid w:val="00342030"/>
    <w:rsid w:val="0034205D"/>
    <w:rsid w:val="00342289"/>
    <w:rsid w:val="0034235E"/>
    <w:rsid w:val="003426D5"/>
    <w:rsid w:val="003427DB"/>
    <w:rsid w:val="003428B2"/>
    <w:rsid w:val="00342985"/>
    <w:rsid w:val="003429B3"/>
    <w:rsid w:val="00342D5D"/>
    <w:rsid w:val="00342EAB"/>
    <w:rsid w:val="00342F02"/>
    <w:rsid w:val="003430EE"/>
    <w:rsid w:val="00343237"/>
    <w:rsid w:val="00343672"/>
    <w:rsid w:val="0034377E"/>
    <w:rsid w:val="003437DE"/>
    <w:rsid w:val="003438B4"/>
    <w:rsid w:val="003438E7"/>
    <w:rsid w:val="00343FCA"/>
    <w:rsid w:val="0034410E"/>
    <w:rsid w:val="003441E0"/>
    <w:rsid w:val="003442F5"/>
    <w:rsid w:val="00344685"/>
    <w:rsid w:val="0034470E"/>
    <w:rsid w:val="0034484A"/>
    <w:rsid w:val="00344AB3"/>
    <w:rsid w:val="00344B33"/>
    <w:rsid w:val="00345083"/>
    <w:rsid w:val="00345094"/>
    <w:rsid w:val="00345103"/>
    <w:rsid w:val="00345186"/>
    <w:rsid w:val="003451A8"/>
    <w:rsid w:val="003454DC"/>
    <w:rsid w:val="003454FF"/>
    <w:rsid w:val="00345618"/>
    <w:rsid w:val="00345878"/>
    <w:rsid w:val="00345B0A"/>
    <w:rsid w:val="00345BA6"/>
    <w:rsid w:val="00345C2D"/>
    <w:rsid w:val="00345E96"/>
    <w:rsid w:val="00345FF7"/>
    <w:rsid w:val="00346062"/>
    <w:rsid w:val="00346076"/>
    <w:rsid w:val="003460A2"/>
    <w:rsid w:val="00346184"/>
    <w:rsid w:val="003462AD"/>
    <w:rsid w:val="00346569"/>
    <w:rsid w:val="0034663A"/>
    <w:rsid w:val="00346649"/>
    <w:rsid w:val="003467CC"/>
    <w:rsid w:val="00346912"/>
    <w:rsid w:val="003469BA"/>
    <w:rsid w:val="00346DDE"/>
    <w:rsid w:val="00346F9F"/>
    <w:rsid w:val="00346FD2"/>
    <w:rsid w:val="0034729E"/>
    <w:rsid w:val="00347513"/>
    <w:rsid w:val="0034779C"/>
    <w:rsid w:val="003477C0"/>
    <w:rsid w:val="00347804"/>
    <w:rsid w:val="00347B1E"/>
    <w:rsid w:val="00347BA2"/>
    <w:rsid w:val="00347D30"/>
    <w:rsid w:val="00347E19"/>
    <w:rsid w:val="00347ECA"/>
    <w:rsid w:val="00347FC8"/>
    <w:rsid w:val="00350126"/>
    <w:rsid w:val="00350168"/>
    <w:rsid w:val="003501BA"/>
    <w:rsid w:val="0035040D"/>
    <w:rsid w:val="003507C7"/>
    <w:rsid w:val="00350A4D"/>
    <w:rsid w:val="00350CCF"/>
    <w:rsid w:val="00350D8D"/>
    <w:rsid w:val="00350E73"/>
    <w:rsid w:val="0035101B"/>
    <w:rsid w:val="0035133A"/>
    <w:rsid w:val="0035139B"/>
    <w:rsid w:val="003515A9"/>
    <w:rsid w:val="003516F8"/>
    <w:rsid w:val="0035180E"/>
    <w:rsid w:val="00351DA1"/>
    <w:rsid w:val="00351DAD"/>
    <w:rsid w:val="00352148"/>
    <w:rsid w:val="00352249"/>
    <w:rsid w:val="00352409"/>
    <w:rsid w:val="00352486"/>
    <w:rsid w:val="00352A47"/>
    <w:rsid w:val="00352CFF"/>
    <w:rsid w:val="00352DA7"/>
    <w:rsid w:val="00352F95"/>
    <w:rsid w:val="003531EC"/>
    <w:rsid w:val="00353584"/>
    <w:rsid w:val="003538C7"/>
    <w:rsid w:val="0035392F"/>
    <w:rsid w:val="00353A9E"/>
    <w:rsid w:val="00353AAF"/>
    <w:rsid w:val="00353E2B"/>
    <w:rsid w:val="00354021"/>
    <w:rsid w:val="003540A8"/>
    <w:rsid w:val="003540B3"/>
    <w:rsid w:val="003542B3"/>
    <w:rsid w:val="003542C7"/>
    <w:rsid w:val="003543B5"/>
    <w:rsid w:val="00354848"/>
    <w:rsid w:val="00354A20"/>
    <w:rsid w:val="00354A28"/>
    <w:rsid w:val="00354AB3"/>
    <w:rsid w:val="00354B65"/>
    <w:rsid w:val="00354C93"/>
    <w:rsid w:val="00354C97"/>
    <w:rsid w:val="00354E4F"/>
    <w:rsid w:val="003551E3"/>
    <w:rsid w:val="00355504"/>
    <w:rsid w:val="00355508"/>
    <w:rsid w:val="00355553"/>
    <w:rsid w:val="003555C5"/>
    <w:rsid w:val="003555D0"/>
    <w:rsid w:val="00355632"/>
    <w:rsid w:val="00355671"/>
    <w:rsid w:val="003556EA"/>
    <w:rsid w:val="00355706"/>
    <w:rsid w:val="00355A22"/>
    <w:rsid w:val="00355CD2"/>
    <w:rsid w:val="00355E63"/>
    <w:rsid w:val="00355F45"/>
    <w:rsid w:val="00355F5E"/>
    <w:rsid w:val="00355F8D"/>
    <w:rsid w:val="00356234"/>
    <w:rsid w:val="00356441"/>
    <w:rsid w:val="003565AF"/>
    <w:rsid w:val="00356AD8"/>
    <w:rsid w:val="00356BFF"/>
    <w:rsid w:val="00356CB5"/>
    <w:rsid w:val="00356CCC"/>
    <w:rsid w:val="003578A6"/>
    <w:rsid w:val="00357AFC"/>
    <w:rsid w:val="00357C59"/>
    <w:rsid w:val="0036018D"/>
    <w:rsid w:val="00360320"/>
    <w:rsid w:val="003603EF"/>
    <w:rsid w:val="0036064B"/>
    <w:rsid w:val="003606E8"/>
    <w:rsid w:val="0036079B"/>
    <w:rsid w:val="003607EE"/>
    <w:rsid w:val="00360960"/>
    <w:rsid w:val="00360AC2"/>
    <w:rsid w:val="00360BA0"/>
    <w:rsid w:val="00360E77"/>
    <w:rsid w:val="00361092"/>
    <w:rsid w:val="003611CC"/>
    <w:rsid w:val="00361427"/>
    <w:rsid w:val="0036181C"/>
    <w:rsid w:val="00361955"/>
    <w:rsid w:val="0036197D"/>
    <w:rsid w:val="00361BCC"/>
    <w:rsid w:val="00361DE4"/>
    <w:rsid w:val="00361E86"/>
    <w:rsid w:val="00361F80"/>
    <w:rsid w:val="0036226A"/>
    <w:rsid w:val="00362382"/>
    <w:rsid w:val="0036262B"/>
    <w:rsid w:val="003626A6"/>
    <w:rsid w:val="003627C8"/>
    <w:rsid w:val="0036280B"/>
    <w:rsid w:val="00362D62"/>
    <w:rsid w:val="00362E96"/>
    <w:rsid w:val="00362FAD"/>
    <w:rsid w:val="003630C8"/>
    <w:rsid w:val="003631E5"/>
    <w:rsid w:val="00363286"/>
    <w:rsid w:val="00363547"/>
    <w:rsid w:val="003635E5"/>
    <w:rsid w:val="003635F5"/>
    <w:rsid w:val="003638F1"/>
    <w:rsid w:val="0036391D"/>
    <w:rsid w:val="00363A03"/>
    <w:rsid w:val="00363C05"/>
    <w:rsid w:val="00364016"/>
    <w:rsid w:val="003641B3"/>
    <w:rsid w:val="0036421C"/>
    <w:rsid w:val="003643FE"/>
    <w:rsid w:val="0036447D"/>
    <w:rsid w:val="0036453D"/>
    <w:rsid w:val="003646F9"/>
    <w:rsid w:val="00364B91"/>
    <w:rsid w:val="00364C48"/>
    <w:rsid w:val="00364D26"/>
    <w:rsid w:val="00364DCD"/>
    <w:rsid w:val="00364E57"/>
    <w:rsid w:val="00364F06"/>
    <w:rsid w:val="00364F59"/>
    <w:rsid w:val="003650DA"/>
    <w:rsid w:val="0036541B"/>
    <w:rsid w:val="0036594D"/>
    <w:rsid w:val="00365A00"/>
    <w:rsid w:val="00365D64"/>
    <w:rsid w:val="00365DB2"/>
    <w:rsid w:val="00366052"/>
    <w:rsid w:val="003661DB"/>
    <w:rsid w:val="0036627D"/>
    <w:rsid w:val="0036638B"/>
    <w:rsid w:val="00366423"/>
    <w:rsid w:val="0036650C"/>
    <w:rsid w:val="00366AC3"/>
    <w:rsid w:val="003675B6"/>
    <w:rsid w:val="00367714"/>
    <w:rsid w:val="0036778C"/>
    <w:rsid w:val="003679F0"/>
    <w:rsid w:val="00367A16"/>
    <w:rsid w:val="00367A69"/>
    <w:rsid w:val="00367B45"/>
    <w:rsid w:val="00367C13"/>
    <w:rsid w:val="00367D40"/>
    <w:rsid w:val="00367D54"/>
    <w:rsid w:val="00367E06"/>
    <w:rsid w:val="003700B8"/>
    <w:rsid w:val="00370736"/>
    <w:rsid w:val="003708CC"/>
    <w:rsid w:val="00370A54"/>
    <w:rsid w:val="00370A92"/>
    <w:rsid w:val="00370B10"/>
    <w:rsid w:val="00370EF3"/>
    <w:rsid w:val="003711C5"/>
    <w:rsid w:val="003712D5"/>
    <w:rsid w:val="00371483"/>
    <w:rsid w:val="003716F8"/>
    <w:rsid w:val="003719ED"/>
    <w:rsid w:val="00371A01"/>
    <w:rsid w:val="00371AB1"/>
    <w:rsid w:val="00371ACF"/>
    <w:rsid w:val="00371BF5"/>
    <w:rsid w:val="00371D7B"/>
    <w:rsid w:val="00371FF3"/>
    <w:rsid w:val="00372097"/>
    <w:rsid w:val="003721D7"/>
    <w:rsid w:val="0037225A"/>
    <w:rsid w:val="003722EE"/>
    <w:rsid w:val="00372392"/>
    <w:rsid w:val="00372421"/>
    <w:rsid w:val="00372A86"/>
    <w:rsid w:val="00372D65"/>
    <w:rsid w:val="00372EDA"/>
    <w:rsid w:val="00372FF7"/>
    <w:rsid w:val="00373000"/>
    <w:rsid w:val="00373470"/>
    <w:rsid w:val="00373B29"/>
    <w:rsid w:val="00373C89"/>
    <w:rsid w:val="00373CA9"/>
    <w:rsid w:val="00373D4E"/>
    <w:rsid w:val="00373F7C"/>
    <w:rsid w:val="00373F8E"/>
    <w:rsid w:val="003742CE"/>
    <w:rsid w:val="003744A4"/>
    <w:rsid w:val="00374510"/>
    <w:rsid w:val="0037466B"/>
    <w:rsid w:val="003746FB"/>
    <w:rsid w:val="00374788"/>
    <w:rsid w:val="00374996"/>
    <w:rsid w:val="00374E01"/>
    <w:rsid w:val="00374F0A"/>
    <w:rsid w:val="00374F59"/>
    <w:rsid w:val="003750E1"/>
    <w:rsid w:val="0037513E"/>
    <w:rsid w:val="0037523E"/>
    <w:rsid w:val="003757E5"/>
    <w:rsid w:val="003758F5"/>
    <w:rsid w:val="0037597C"/>
    <w:rsid w:val="00375AC9"/>
    <w:rsid w:val="00375CD5"/>
    <w:rsid w:val="00375EA2"/>
    <w:rsid w:val="00375F16"/>
    <w:rsid w:val="003762D1"/>
    <w:rsid w:val="00376391"/>
    <w:rsid w:val="00376562"/>
    <w:rsid w:val="003766DF"/>
    <w:rsid w:val="00376944"/>
    <w:rsid w:val="00376A98"/>
    <w:rsid w:val="00376BA1"/>
    <w:rsid w:val="00376C2C"/>
    <w:rsid w:val="00376E51"/>
    <w:rsid w:val="00376E7C"/>
    <w:rsid w:val="00376FF0"/>
    <w:rsid w:val="00377219"/>
    <w:rsid w:val="003772B6"/>
    <w:rsid w:val="00377456"/>
    <w:rsid w:val="003776A3"/>
    <w:rsid w:val="00377756"/>
    <w:rsid w:val="0037777C"/>
    <w:rsid w:val="00377891"/>
    <w:rsid w:val="0037789D"/>
    <w:rsid w:val="00377A39"/>
    <w:rsid w:val="00377DCC"/>
    <w:rsid w:val="00377EE9"/>
    <w:rsid w:val="00380073"/>
    <w:rsid w:val="00380092"/>
    <w:rsid w:val="00380239"/>
    <w:rsid w:val="0038028D"/>
    <w:rsid w:val="003809A7"/>
    <w:rsid w:val="00380B22"/>
    <w:rsid w:val="00380B8A"/>
    <w:rsid w:val="00380D4E"/>
    <w:rsid w:val="00380EBA"/>
    <w:rsid w:val="00380F35"/>
    <w:rsid w:val="003811E3"/>
    <w:rsid w:val="003813AE"/>
    <w:rsid w:val="003813B0"/>
    <w:rsid w:val="003814C6"/>
    <w:rsid w:val="00381523"/>
    <w:rsid w:val="003818B2"/>
    <w:rsid w:val="003818B9"/>
    <w:rsid w:val="00381BE0"/>
    <w:rsid w:val="00381CCD"/>
    <w:rsid w:val="00381F36"/>
    <w:rsid w:val="00381F83"/>
    <w:rsid w:val="003821B9"/>
    <w:rsid w:val="00382259"/>
    <w:rsid w:val="00382777"/>
    <w:rsid w:val="003827CD"/>
    <w:rsid w:val="003827D4"/>
    <w:rsid w:val="0038293E"/>
    <w:rsid w:val="00382DB8"/>
    <w:rsid w:val="00382F5F"/>
    <w:rsid w:val="003830BF"/>
    <w:rsid w:val="0038320A"/>
    <w:rsid w:val="00383257"/>
    <w:rsid w:val="0038354C"/>
    <w:rsid w:val="00383581"/>
    <w:rsid w:val="003835B3"/>
    <w:rsid w:val="003835D1"/>
    <w:rsid w:val="0038372F"/>
    <w:rsid w:val="0038374F"/>
    <w:rsid w:val="003837A4"/>
    <w:rsid w:val="00383819"/>
    <w:rsid w:val="00383876"/>
    <w:rsid w:val="0038389B"/>
    <w:rsid w:val="00383A7E"/>
    <w:rsid w:val="00383B0E"/>
    <w:rsid w:val="00383CB6"/>
    <w:rsid w:val="00383D72"/>
    <w:rsid w:val="00383E29"/>
    <w:rsid w:val="00383F10"/>
    <w:rsid w:val="0038430E"/>
    <w:rsid w:val="00384439"/>
    <w:rsid w:val="00384689"/>
    <w:rsid w:val="0038475F"/>
    <w:rsid w:val="00384790"/>
    <w:rsid w:val="00384D13"/>
    <w:rsid w:val="00384DEF"/>
    <w:rsid w:val="00384E81"/>
    <w:rsid w:val="00384E90"/>
    <w:rsid w:val="00384F9C"/>
    <w:rsid w:val="00385064"/>
    <w:rsid w:val="0038589B"/>
    <w:rsid w:val="003859F7"/>
    <w:rsid w:val="00385C40"/>
    <w:rsid w:val="00385C5C"/>
    <w:rsid w:val="00385FB3"/>
    <w:rsid w:val="00386049"/>
    <w:rsid w:val="00386172"/>
    <w:rsid w:val="0038629F"/>
    <w:rsid w:val="003864D5"/>
    <w:rsid w:val="00386643"/>
    <w:rsid w:val="003869D4"/>
    <w:rsid w:val="003869FA"/>
    <w:rsid w:val="00386A8D"/>
    <w:rsid w:val="00386C81"/>
    <w:rsid w:val="00386FD9"/>
    <w:rsid w:val="003871C7"/>
    <w:rsid w:val="0038724D"/>
    <w:rsid w:val="00387345"/>
    <w:rsid w:val="003874C2"/>
    <w:rsid w:val="00387517"/>
    <w:rsid w:val="00387565"/>
    <w:rsid w:val="003878BF"/>
    <w:rsid w:val="00387B6C"/>
    <w:rsid w:val="00387CB2"/>
    <w:rsid w:val="00387D71"/>
    <w:rsid w:val="00387DEF"/>
    <w:rsid w:val="00387E5A"/>
    <w:rsid w:val="00387E7D"/>
    <w:rsid w:val="00387F9D"/>
    <w:rsid w:val="003902E6"/>
    <w:rsid w:val="00390393"/>
    <w:rsid w:val="0039042E"/>
    <w:rsid w:val="00390716"/>
    <w:rsid w:val="003908C0"/>
    <w:rsid w:val="00390AD4"/>
    <w:rsid w:val="00390C6A"/>
    <w:rsid w:val="00390E34"/>
    <w:rsid w:val="00390FC8"/>
    <w:rsid w:val="003910A8"/>
    <w:rsid w:val="00391360"/>
    <w:rsid w:val="00391552"/>
    <w:rsid w:val="0039155E"/>
    <w:rsid w:val="003918BB"/>
    <w:rsid w:val="00391ACF"/>
    <w:rsid w:val="00391B2F"/>
    <w:rsid w:val="00391D47"/>
    <w:rsid w:val="00391DD7"/>
    <w:rsid w:val="00391F78"/>
    <w:rsid w:val="003920F0"/>
    <w:rsid w:val="003924DF"/>
    <w:rsid w:val="00392522"/>
    <w:rsid w:val="00392546"/>
    <w:rsid w:val="0039254E"/>
    <w:rsid w:val="0039258C"/>
    <w:rsid w:val="00392609"/>
    <w:rsid w:val="0039261A"/>
    <w:rsid w:val="003926BA"/>
    <w:rsid w:val="00392765"/>
    <w:rsid w:val="003927F9"/>
    <w:rsid w:val="00392B99"/>
    <w:rsid w:val="00392D32"/>
    <w:rsid w:val="00392E63"/>
    <w:rsid w:val="00393429"/>
    <w:rsid w:val="00393619"/>
    <w:rsid w:val="00393663"/>
    <w:rsid w:val="00393697"/>
    <w:rsid w:val="0039394A"/>
    <w:rsid w:val="00393996"/>
    <w:rsid w:val="003939F4"/>
    <w:rsid w:val="00393C42"/>
    <w:rsid w:val="00393DB7"/>
    <w:rsid w:val="00393E8D"/>
    <w:rsid w:val="0039406C"/>
    <w:rsid w:val="00394177"/>
    <w:rsid w:val="0039439C"/>
    <w:rsid w:val="003943D3"/>
    <w:rsid w:val="003944F9"/>
    <w:rsid w:val="003944FE"/>
    <w:rsid w:val="003945E1"/>
    <w:rsid w:val="0039461D"/>
    <w:rsid w:val="0039498C"/>
    <w:rsid w:val="00394B96"/>
    <w:rsid w:val="003951AC"/>
    <w:rsid w:val="00395261"/>
    <w:rsid w:val="00395719"/>
    <w:rsid w:val="0039590F"/>
    <w:rsid w:val="00395952"/>
    <w:rsid w:val="00395A73"/>
    <w:rsid w:val="00395B68"/>
    <w:rsid w:val="00395B6F"/>
    <w:rsid w:val="00395B99"/>
    <w:rsid w:val="00395D01"/>
    <w:rsid w:val="00395DB4"/>
    <w:rsid w:val="00395FA6"/>
    <w:rsid w:val="003960F6"/>
    <w:rsid w:val="003961FF"/>
    <w:rsid w:val="003962A1"/>
    <w:rsid w:val="00396451"/>
    <w:rsid w:val="0039678D"/>
    <w:rsid w:val="0039693D"/>
    <w:rsid w:val="00396A29"/>
    <w:rsid w:val="00396A68"/>
    <w:rsid w:val="00396C0B"/>
    <w:rsid w:val="00396D27"/>
    <w:rsid w:val="00396DB2"/>
    <w:rsid w:val="0039712C"/>
    <w:rsid w:val="00397287"/>
    <w:rsid w:val="00397356"/>
    <w:rsid w:val="00397446"/>
    <w:rsid w:val="0039748D"/>
    <w:rsid w:val="003974C9"/>
    <w:rsid w:val="00397539"/>
    <w:rsid w:val="003975C8"/>
    <w:rsid w:val="00397B0E"/>
    <w:rsid w:val="00397B13"/>
    <w:rsid w:val="00397DC3"/>
    <w:rsid w:val="00397DC4"/>
    <w:rsid w:val="00397E88"/>
    <w:rsid w:val="00397F37"/>
    <w:rsid w:val="003A003F"/>
    <w:rsid w:val="003A0433"/>
    <w:rsid w:val="003A0503"/>
    <w:rsid w:val="003A078E"/>
    <w:rsid w:val="003A086B"/>
    <w:rsid w:val="003A094F"/>
    <w:rsid w:val="003A0A00"/>
    <w:rsid w:val="003A0AD2"/>
    <w:rsid w:val="003A0C9B"/>
    <w:rsid w:val="003A1216"/>
    <w:rsid w:val="003A128E"/>
    <w:rsid w:val="003A160E"/>
    <w:rsid w:val="003A1639"/>
    <w:rsid w:val="003A18C9"/>
    <w:rsid w:val="003A19DC"/>
    <w:rsid w:val="003A1A58"/>
    <w:rsid w:val="003A1DF6"/>
    <w:rsid w:val="003A1E3B"/>
    <w:rsid w:val="003A1FE2"/>
    <w:rsid w:val="003A2524"/>
    <w:rsid w:val="003A294D"/>
    <w:rsid w:val="003A29C7"/>
    <w:rsid w:val="003A2C5B"/>
    <w:rsid w:val="003A2C9B"/>
    <w:rsid w:val="003A2DD7"/>
    <w:rsid w:val="003A2E08"/>
    <w:rsid w:val="003A2F17"/>
    <w:rsid w:val="003A32CC"/>
    <w:rsid w:val="003A33D8"/>
    <w:rsid w:val="003A34E1"/>
    <w:rsid w:val="003A34FF"/>
    <w:rsid w:val="003A3596"/>
    <w:rsid w:val="003A3A62"/>
    <w:rsid w:val="003A3A7F"/>
    <w:rsid w:val="003A3ABD"/>
    <w:rsid w:val="003A3BF3"/>
    <w:rsid w:val="003A444B"/>
    <w:rsid w:val="003A44F6"/>
    <w:rsid w:val="003A4718"/>
    <w:rsid w:val="003A47D2"/>
    <w:rsid w:val="003A47ED"/>
    <w:rsid w:val="003A4809"/>
    <w:rsid w:val="003A4B61"/>
    <w:rsid w:val="003A4EDE"/>
    <w:rsid w:val="003A5107"/>
    <w:rsid w:val="003A51F8"/>
    <w:rsid w:val="003A5650"/>
    <w:rsid w:val="003A56DC"/>
    <w:rsid w:val="003A591F"/>
    <w:rsid w:val="003A5C80"/>
    <w:rsid w:val="003A5E21"/>
    <w:rsid w:val="003A5FE2"/>
    <w:rsid w:val="003A5FF2"/>
    <w:rsid w:val="003A60AD"/>
    <w:rsid w:val="003A63A0"/>
    <w:rsid w:val="003A646F"/>
    <w:rsid w:val="003A647C"/>
    <w:rsid w:val="003A64B9"/>
    <w:rsid w:val="003A664D"/>
    <w:rsid w:val="003A6AFD"/>
    <w:rsid w:val="003A6B15"/>
    <w:rsid w:val="003A6F63"/>
    <w:rsid w:val="003A7007"/>
    <w:rsid w:val="003A7377"/>
    <w:rsid w:val="003A73AE"/>
    <w:rsid w:val="003A777C"/>
    <w:rsid w:val="003A77A5"/>
    <w:rsid w:val="003A78E9"/>
    <w:rsid w:val="003A7926"/>
    <w:rsid w:val="003A7E16"/>
    <w:rsid w:val="003A7E2A"/>
    <w:rsid w:val="003A7E66"/>
    <w:rsid w:val="003A7FCD"/>
    <w:rsid w:val="003AFDAB"/>
    <w:rsid w:val="003B0017"/>
    <w:rsid w:val="003B0099"/>
    <w:rsid w:val="003B0363"/>
    <w:rsid w:val="003B04CF"/>
    <w:rsid w:val="003B0506"/>
    <w:rsid w:val="003B05E4"/>
    <w:rsid w:val="003B077E"/>
    <w:rsid w:val="003B07B3"/>
    <w:rsid w:val="003B0D59"/>
    <w:rsid w:val="003B0E3C"/>
    <w:rsid w:val="003B0F91"/>
    <w:rsid w:val="003B0FE4"/>
    <w:rsid w:val="003B10F7"/>
    <w:rsid w:val="003B1125"/>
    <w:rsid w:val="003B12B3"/>
    <w:rsid w:val="003B1368"/>
    <w:rsid w:val="003B14AC"/>
    <w:rsid w:val="003B14B5"/>
    <w:rsid w:val="003B1553"/>
    <w:rsid w:val="003B174E"/>
    <w:rsid w:val="003B1999"/>
    <w:rsid w:val="003B1A9D"/>
    <w:rsid w:val="003B2387"/>
    <w:rsid w:val="003B24EF"/>
    <w:rsid w:val="003B265A"/>
    <w:rsid w:val="003B2684"/>
    <w:rsid w:val="003B2789"/>
    <w:rsid w:val="003B2A3E"/>
    <w:rsid w:val="003B2BEA"/>
    <w:rsid w:val="003B2C28"/>
    <w:rsid w:val="003B2C48"/>
    <w:rsid w:val="003B2CC8"/>
    <w:rsid w:val="003B2E0A"/>
    <w:rsid w:val="003B2FE4"/>
    <w:rsid w:val="003B3126"/>
    <w:rsid w:val="003B31AC"/>
    <w:rsid w:val="003B3497"/>
    <w:rsid w:val="003B3498"/>
    <w:rsid w:val="003B3550"/>
    <w:rsid w:val="003B3591"/>
    <w:rsid w:val="003B36CB"/>
    <w:rsid w:val="003B3AB5"/>
    <w:rsid w:val="003B3B16"/>
    <w:rsid w:val="003B3BFF"/>
    <w:rsid w:val="003B3C00"/>
    <w:rsid w:val="003B3C12"/>
    <w:rsid w:val="003B3D09"/>
    <w:rsid w:val="003B3D12"/>
    <w:rsid w:val="003B3E7A"/>
    <w:rsid w:val="003B428E"/>
    <w:rsid w:val="003B4337"/>
    <w:rsid w:val="003B4392"/>
    <w:rsid w:val="003B446C"/>
    <w:rsid w:val="003B4B56"/>
    <w:rsid w:val="003B4C49"/>
    <w:rsid w:val="003B4DFD"/>
    <w:rsid w:val="003B4F08"/>
    <w:rsid w:val="003B4FAD"/>
    <w:rsid w:val="003B5152"/>
    <w:rsid w:val="003B51CE"/>
    <w:rsid w:val="003B54B8"/>
    <w:rsid w:val="003B55A9"/>
    <w:rsid w:val="003B574C"/>
    <w:rsid w:val="003B57F9"/>
    <w:rsid w:val="003B5985"/>
    <w:rsid w:val="003B59CB"/>
    <w:rsid w:val="003B5DD6"/>
    <w:rsid w:val="003B5FDE"/>
    <w:rsid w:val="003B60AC"/>
    <w:rsid w:val="003B60CA"/>
    <w:rsid w:val="003B6306"/>
    <w:rsid w:val="003B6836"/>
    <w:rsid w:val="003B6A7B"/>
    <w:rsid w:val="003B6A85"/>
    <w:rsid w:val="003B6C85"/>
    <w:rsid w:val="003B6CA3"/>
    <w:rsid w:val="003B6FDF"/>
    <w:rsid w:val="003B7114"/>
    <w:rsid w:val="003B724C"/>
    <w:rsid w:val="003B735D"/>
    <w:rsid w:val="003B746B"/>
    <w:rsid w:val="003B76D9"/>
    <w:rsid w:val="003B779D"/>
    <w:rsid w:val="003B77FB"/>
    <w:rsid w:val="003B784C"/>
    <w:rsid w:val="003B78B9"/>
    <w:rsid w:val="003B7D5D"/>
    <w:rsid w:val="003B7DA7"/>
    <w:rsid w:val="003B7E69"/>
    <w:rsid w:val="003C07B8"/>
    <w:rsid w:val="003C07E0"/>
    <w:rsid w:val="003C0C12"/>
    <w:rsid w:val="003C0D0D"/>
    <w:rsid w:val="003C0F27"/>
    <w:rsid w:val="003C0F3F"/>
    <w:rsid w:val="003C1100"/>
    <w:rsid w:val="003C11CF"/>
    <w:rsid w:val="003C1593"/>
    <w:rsid w:val="003C1662"/>
    <w:rsid w:val="003C1DD0"/>
    <w:rsid w:val="003C1F31"/>
    <w:rsid w:val="003C227E"/>
    <w:rsid w:val="003C2415"/>
    <w:rsid w:val="003C26C4"/>
    <w:rsid w:val="003C288C"/>
    <w:rsid w:val="003C2E1C"/>
    <w:rsid w:val="003C2F93"/>
    <w:rsid w:val="003C313F"/>
    <w:rsid w:val="003C361F"/>
    <w:rsid w:val="003C379A"/>
    <w:rsid w:val="003C3879"/>
    <w:rsid w:val="003C3950"/>
    <w:rsid w:val="003C3960"/>
    <w:rsid w:val="003C39E7"/>
    <w:rsid w:val="003C3D39"/>
    <w:rsid w:val="003C3E69"/>
    <w:rsid w:val="003C3F3C"/>
    <w:rsid w:val="003C3F7D"/>
    <w:rsid w:val="003C4136"/>
    <w:rsid w:val="003C41C0"/>
    <w:rsid w:val="003C43D9"/>
    <w:rsid w:val="003C453D"/>
    <w:rsid w:val="003C471B"/>
    <w:rsid w:val="003C4903"/>
    <w:rsid w:val="003C4947"/>
    <w:rsid w:val="003C49F8"/>
    <w:rsid w:val="003C4AAF"/>
    <w:rsid w:val="003C4C6A"/>
    <w:rsid w:val="003C4CDD"/>
    <w:rsid w:val="003C4EAA"/>
    <w:rsid w:val="003C4EC4"/>
    <w:rsid w:val="003C528C"/>
    <w:rsid w:val="003C5389"/>
    <w:rsid w:val="003C54D5"/>
    <w:rsid w:val="003C5632"/>
    <w:rsid w:val="003C573A"/>
    <w:rsid w:val="003C57C0"/>
    <w:rsid w:val="003C57CF"/>
    <w:rsid w:val="003C5AB0"/>
    <w:rsid w:val="003C5BFE"/>
    <w:rsid w:val="003C5E90"/>
    <w:rsid w:val="003C6134"/>
    <w:rsid w:val="003C63D3"/>
    <w:rsid w:val="003C6614"/>
    <w:rsid w:val="003C6616"/>
    <w:rsid w:val="003C6915"/>
    <w:rsid w:val="003C6C9F"/>
    <w:rsid w:val="003C6EDB"/>
    <w:rsid w:val="003C7020"/>
    <w:rsid w:val="003C71E7"/>
    <w:rsid w:val="003C7246"/>
    <w:rsid w:val="003C72BB"/>
    <w:rsid w:val="003C7AAB"/>
    <w:rsid w:val="003C7D41"/>
    <w:rsid w:val="003C7D4C"/>
    <w:rsid w:val="003D03C8"/>
    <w:rsid w:val="003D0557"/>
    <w:rsid w:val="003D058D"/>
    <w:rsid w:val="003D05BF"/>
    <w:rsid w:val="003D0C3B"/>
    <w:rsid w:val="003D0C53"/>
    <w:rsid w:val="003D0C75"/>
    <w:rsid w:val="003D0D81"/>
    <w:rsid w:val="003D0D8D"/>
    <w:rsid w:val="003D0EAC"/>
    <w:rsid w:val="003D0F43"/>
    <w:rsid w:val="003D10B1"/>
    <w:rsid w:val="003D10CB"/>
    <w:rsid w:val="003D1246"/>
    <w:rsid w:val="003D1333"/>
    <w:rsid w:val="003D153D"/>
    <w:rsid w:val="003D18B8"/>
    <w:rsid w:val="003D1A07"/>
    <w:rsid w:val="003D1AB2"/>
    <w:rsid w:val="003D1C21"/>
    <w:rsid w:val="003D1D6F"/>
    <w:rsid w:val="003D1E45"/>
    <w:rsid w:val="003D1ECF"/>
    <w:rsid w:val="003D2039"/>
    <w:rsid w:val="003D2088"/>
    <w:rsid w:val="003D225E"/>
    <w:rsid w:val="003D24A2"/>
    <w:rsid w:val="003D2758"/>
    <w:rsid w:val="003D27C5"/>
    <w:rsid w:val="003D2ABE"/>
    <w:rsid w:val="003D2C0B"/>
    <w:rsid w:val="003D2F28"/>
    <w:rsid w:val="003D3031"/>
    <w:rsid w:val="003D31AE"/>
    <w:rsid w:val="003D32FD"/>
    <w:rsid w:val="003D3377"/>
    <w:rsid w:val="003D35B4"/>
    <w:rsid w:val="003D35DC"/>
    <w:rsid w:val="003D3650"/>
    <w:rsid w:val="003D3855"/>
    <w:rsid w:val="003D3859"/>
    <w:rsid w:val="003D3B88"/>
    <w:rsid w:val="003D3C55"/>
    <w:rsid w:val="003D3D7E"/>
    <w:rsid w:val="003D3F71"/>
    <w:rsid w:val="003D4018"/>
    <w:rsid w:val="003D40A9"/>
    <w:rsid w:val="003D412F"/>
    <w:rsid w:val="003D418E"/>
    <w:rsid w:val="003D41F0"/>
    <w:rsid w:val="003D4618"/>
    <w:rsid w:val="003D47B8"/>
    <w:rsid w:val="003D497F"/>
    <w:rsid w:val="003D4B02"/>
    <w:rsid w:val="003D4CA2"/>
    <w:rsid w:val="003D5311"/>
    <w:rsid w:val="003D5613"/>
    <w:rsid w:val="003D5649"/>
    <w:rsid w:val="003D5750"/>
    <w:rsid w:val="003D57AE"/>
    <w:rsid w:val="003D57C5"/>
    <w:rsid w:val="003D57D2"/>
    <w:rsid w:val="003D59A9"/>
    <w:rsid w:val="003D5A11"/>
    <w:rsid w:val="003D5AD9"/>
    <w:rsid w:val="003D5BD9"/>
    <w:rsid w:val="003D5BFF"/>
    <w:rsid w:val="003D5D4F"/>
    <w:rsid w:val="003D5DAD"/>
    <w:rsid w:val="003D60D7"/>
    <w:rsid w:val="003D611C"/>
    <w:rsid w:val="003D620E"/>
    <w:rsid w:val="003D623D"/>
    <w:rsid w:val="003D62F2"/>
    <w:rsid w:val="003D6449"/>
    <w:rsid w:val="003D65F4"/>
    <w:rsid w:val="003D6795"/>
    <w:rsid w:val="003D681B"/>
    <w:rsid w:val="003D6921"/>
    <w:rsid w:val="003D6B01"/>
    <w:rsid w:val="003D6DD0"/>
    <w:rsid w:val="003D7094"/>
    <w:rsid w:val="003D712D"/>
    <w:rsid w:val="003D7466"/>
    <w:rsid w:val="003D7A24"/>
    <w:rsid w:val="003D7B54"/>
    <w:rsid w:val="003D7C06"/>
    <w:rsid w:val="003D7ED9"/>
    <w:rsid w:val="003E0130"/>
    <w:rsid w:val="003E0263"/>
    <w:rsid w:val="003E0329"/>
    <w:rsid w:val="003E0763"/>
    <w:rsid w:val="003E078D"/>
    <w:rsid w:val="003E082E"/>
    <w:rsid w:val="003E0852"/>
    <w:rsid w:val="003E08D7"/>
    <w:rsid w:val="003E0B21"/>
    <w:rsid w:val="003E0B94"/>
    <w:rsid w:val="003E0DC5"/>
    <w:rsid w:val="003E0F09"/>
    <w:rsid w:val="003E0F43"/>
    <w:rsid w:val="003E1069"/>
    <w:rsid w:val="003E10B1"/>
    <w:rsid w:val="003E10FD"/>
    <w:rsid w:val="003E1552"/>
    <w:rsid w:val="003E1813"/>
    <w:rsid w:val="003E1D63"/>
    <w:rsid w:val="003E1D89"/>
    <w:rsid w:val="003E218E"/>
    <w:rsid w:val="003E230E"/>
    <w:rsid w:val="003E25ED"/>
    <w:rsid w:val="003E25F9"/>
    <w:rsid w:val="003E2895"/>
    <w:rsid w:val="003E2A47"/>
    <w:rsid w:val="003E2F5E"/>
    <w:rsid w:val="003E3195"/>
    <w:rsid w:val="003E329A"/>
    <w:rsid w:val="003E3609"/>
    <w:rsid w:val="003E372C"/>
    <w:rsid w:val="003E390A"/>
    <w:rsid w:val="003E3976"/>
    <w:rsid w:val="003E3A7C"/>
    <w:rsid w:val="003E3CEC"/>
    <w:rsid w:val="003E3DC5"/>
    <w:rsid w:val="003E3F29"/>
    <w:rsid w:val="003E4082"/>
    <w:rsid w:val="003E4108"/>
    <w:rsid w:val="003E44D4"/>
    <w:rsid w:val="003E4A93"/>
    <w:rsid w:val="003E4BAD"/>
    <w:rsid w:val="003E4D32"/>
    <w:rsid w:val="003E4F66"/>
    <w:rsid w:val="003E4FFE"/>
    <w:rsid w:val="003E5033"/>
    <w:rsid w:val="003E529F"/>
    <w:rsid w:val="003E539B"/>
    <w:rsid w:val="003E55D0"/>
    <w:rsid w:val="003E5A87"/>
    <w:rsid w:val="003E5E95"/>
    <w:rsid w:val="003E5FC4"/>
    <w:rsid w:val="003E6084"/>
    <w:rsid w:val="003E6176"/>
    <w:rsid w:val="003E6822"/>
    <w:rsid w:val="003E6AC3"/>
    <w:rsid w:val="003E7003"/>
    <w:rsid w:val="003E7267"/>
    <w:rsid w:val="003E7311"/>
    <w:rsid w:val="003E77A1"/>
    <w:rsid w:val="003E78BF"/>
    <w:rsid w:val="003E7950"/>
    <w:rsid w:val="003E79B9"/>
    <w:rsid w:val="003F0076"/>
    <w:rsid w:val="003F0486"/>
    <w:rsid w:val="003F04BB"/>
    <w:rsid w:val="003F0538"/>
    <w:rsid w:val="003F05E8"/>
    <w:rsid w:val="003F06F6"/>
    <w:rsid w:val="003F07EB"/>
    <w:rsid w:val="003F0A12"/>
    <w:rsid w:val="003F0C01"/>
    <w:rsid w:val="003F0D22"/>
    <w:rsid w:val="003F0D38"/>
    <w:rsid w:val="003F0EC5"/>
    <w:rsid w:val="003F191C"/>
    <w:rsid w:val="003F1951"/>
    <w:rsid w:val="003F1A6F"/>
    <w:rsid w:val="003F1A72"/>
    <w:rsid w:val="003F1C5F"/>
    <w:rsid w:val="003F1D7E"/>
    <w:rsid w:val="003F1E62"/>
    <w:rsid w:val="003F2009"/>
    <w:rsid w:val="003F203E"/>
    <w:rsid w:val="003F2340"/>
    <w:rsid w:val="003F24DA"/>
    <w:rsid w:val="003F29A8"/>
    <w:rsid w:val="003F29F7"/>
    <w:rsid w:val="003F2A38"/>
    <w:rsid w:val="003F2CBB"/>
    <w:rsid w:val="003F2CE6"/>
    <w:rsid w:val="003F30FD"/>
    <w:rsid w:val="003F3149"/>
    <w:rsid w:val="003F3521"/>
    <w:rsid w:val="003F388D"/>
    <w:rsid w:val="003F38E2"/>
    <w:rsid w:val="003F3959"/>
    <w:rsid w:val="003F3A24"/>
    <w:rsid w:val="003F3A6C"/>
    <w:rsid w:val="003F3BF4"/>
    <w:rsid w:val="003F3C04"/>
    <w:rsid w:val="003F3E5D"/>
    <w:rsid w:val="003F3F67"/>
    <w:rsid w:val="003F3F97"/>
    <w:rsid w:val="003F4400"/>
    <w:rsid w:val="003F4422"/>
    <w:rsid w:val="003F4458"/>
    <w:rsid w:val="003F44A7"/>
    <w:rsid w:val="003F44E8"/>
    <w:rsid w:val="003F4A7C"/>
    <w:rsid w:val="003F4B58"/>
    <w:rsid w:val="003F4B9B"/>
    <w:rsid w:val="003F4EFF"/>
    <w:rsid w:val="003F4F84"/>
    <w:rsid w:val="003F4FE5"/>
    <w:rsid w:val="003F5090"/>
    <w:rsid w:val="003F509B"/>
    <w:rsid w:val="003F50BE"/>
    <w:rsid w:val="003F517F"/>
    <w:rsid w:val="003F52B0"/>
    <w:rsid w:val="003F54D2"/>
    <w:rsid w:val="003F5527"/>
    <w:rsid w:val="003F563B"/>
    <w:rsid w:val="003F5644"/>
    <w:rsid w:val="003F582B"/>
    <w:rsid w:val="003F5956"/>
    <w:rsid w:val="003F59C3"/>
    <w:rsid w:val="003F5A5F"/>
    <w:rsid w:val="003F5E38"/>
    <w:rsid w:val="003F5F9D"/>
    <w:rsid w:val="003F60D3"/>
    <w:rsid w:val="003F64D2"/>
    <w:rsid w:val="003F666B"/>
    <w:rsid w:val="003F67A4"/>
    <w:rsid w:val="003F6AC4"/>
    <w:rsid w:val="003F6AE6"/>
    <w:rsid w:val="003F6B4E"/>
    <w:rsid w:val="003F6C96"/>
    <w:rsid w:val="003F6EF1"/>
    <w:rsid w:val="003F703C"/>
    <w:rsid w:val="003F7083"/>
    <w:rsid w:val="003F70C1"/>
    <w:rsid w:val="003F71DF"/>
    <w:rsid w:val="003F72B9"/>
    <w:rsid w:val="003F73C6"/>
    <w:rsid w:val="003F7527"/>
    <w:rsid w:val="003F76E6"/>
    <w:rsid w:val="003F7B39"/>
    <w:rsid w:val="003F7E3E"/>
    <w:rsid w:val="003F7EA8"/>
    <w:rsid w:val="003F7EE0"/>
    <w:rsid w:val="003F7FE0"/>
    <w:rsid w:val="00400168"/>
    <w:rsid w:val="0040021E"/>
    <w:rsid w:val="0040035F"/>
    <w:rsid w:val="00400378"/>
    <w:rsid w:val="004004B2"/>
    <w:rsid w:val="0040050B"/>
    <w:rsid w:val="00400722"/>
    <w:rsid w:val="00400B21"/>
    <w:rsid w:val="00400E62"/>
    <w:rsid w:val="00400E91"/>
    <w:rsid w:val="004010F8"/>
    <w:rsid w:val="004011A0"/>
    <w:rsid w:val="004015F5"/>
    <w:rsid w:val="0040164F"/>
    <w:rsid w:val="00401657"/>
    <w:rsid w:val="004019A1"/>
    <w:rsid w:val="00401A37"/>
    <w:rsid w:val="00402184"/>
    <w:rsid w:val="00402297"/>
    <w:rsid w:val="004022B5"/>
    <w:rsid w:val="00402358"/>
    <w:rsid w:val="00402641"/>
    <w:rsid w:val="004026DF"/>
    <w:rsid w:val="00402710"/>
    <w:rsid w:val="0040295C"/>
    <w:rsid w:val="00402982"/>
    <w:rsid w:val="004029A6"/>
    <w:rsid w:val="00402ADC"/>
    <w:rsid w:val="00402DAE"/>
    <w:rsid w:val="00402F95"/>
    <w:rsid w:val="004030F4"/>
    <w:rsid w:val="004031F3"/>
    <w:rsid w:val="004032AB"/>
    <w:rsid w:val="0040345C"/>
    <w:rsid w:val="004036A2"/>
    <w:rsid w:val="004037D5"/>
    <w:rsid w:val="004039D7"/>
    <w:rsid w:val="00403BFC"/>
    <w:rsid w:val="00403C3B"/>
    <w:rsid w:val="00403CD5"/>
    <w:rsid w:val="00403DC2"/>
    <w:rsid w:val="00404151"/>
    <w:rsid w:val="004041C7"/>
    <w:rsid w:val="00404434"/>
    <w:rsid w:val="0040451D"/>
    <w:rsid w:val="004045AD"/>
    <w:rsid w:val="004046C7"/>
    <w:rsid w:val="00404997"/>
    <w:rsid w:val="004049AB"/>
    <w:rsid w:val="00404C86"/>
    <w:rsid w:val="00404D65"/>
    <w:rsid w:val="00404EE5"/>
    <w:rsid w:val="00404F0F"/>
    <w:rsid w:val="00404F47"/>
    <w:rsid w:val="00404F77"/>
    <w:rsid w:val="00404FF6"/>
    <w:rsid w:val="00405025"/>
    <w:rsid w:val="00405560"/>
    <w:rsid w:val="00405797"/>
    <w:rsid w:val="00405837"/>
    <w:rsid w:val="00405C96"/>
    <w:rsid w:val="00405FBD"/>
    <w:rsid w:val="00406223"/>
    <w:rsid w:val="00406571"/>
    <w:rsid w:val="0040665E"/>
    <w:rsid w:val="004067A8"/>
    <w:rsid w:val="00406B13"/>
    <w:rsid w:val="00406B57"/>
    <w:rsid w:val="00406B91"/>
    <w:rsid w:val="00406BE0"/>
    <w:rsid w:val="00406EA8"/>
    <w:rsid w:val="004072C9"/>
    <w:rsid w:val="00407594"/>
    <w:rsid w:val="0040773F"/>
    <w:rsid w:val="004077D1"/>
    <w:rsid w:val="00407867"/>
    <w:rsid w:val="004079DB"/>
    <w:rsid w:val="00407E04"/>
    <w:rsid w:val="00407ECA"/>
    <w:rsid w:val="00407FAB"/>
    <w:rsid w:val="00410065"/>
    <w:rsid w:val="00410133"/>
    <w:rsid w:val="004101F2"/>
    <w:rsid w:val="00410208"/>
    <w:rsid w:val="00410431"/>
    <w:rsid w:val="004105CD"/>
    <w:rsid w:val="00410610"/>
    <w:rsid w:val="00410650"/>
    <w:rsid w:val="004107D4"/>
    <w:rsid w:val="004107D7"/>
    <w:rsid w:val="00410829"/>
    <w:rsid w:val="0041097D"/>
    <w:rsid w:val="004109BA"/>
    <w:rsid w:val="004109EB"/>
    <w:rsid w:val="00410BA6"/>
    <w:rsid w:val="00410C01"/>
    <w:rsid w:val="00410D12"/>
    <w:rsid w:val="0041121A"/>
    <w:rsid w:val="0041128B"/>
    <w:rsid w:val="004112B4"/>
    <w:rsid w:val="00411348"/>
    <w:rsid w:val="0041140E"/>
    <w:rsid w:val="00411779"/>
    <w:rsid w:val="0041186A"/>
    <w:rsid w:val="004118E2"/>
    <w:rsid w:val="00411BFD"/>
    <w:rsid w:val="00411C13"/>
    <w:rsid w:val="00411C4A"/>
    <w:rsid w:val="00412006"/>
    <w:rsid w:val="00412160"/>
    <w:rsid w:val="004121FD"/>
    <w:rsid w:val="0041237A"/>
    <w:rsid w:val="004126C7"/>
    <w:rsid w:val="004128FF"/>
    <w:rsid w:val="0041296C"/>
    <w:rsid w:val="00412B82"/>
    <w:rsid w:val="00412C8A"/>
    <w:rsid w:val="00412CF0"/>
    <w:rsid w:val="00412D05"/>
    <w:rsid w:val="00412E6E"/>
    <w:rsid w:val="00412F8C"/>
    <w:rsid w:val="0041308E"/>
    <w:rsid w:val="0041310D"/>
    <w:rsid w:val="0041311E"/>
    <w:rsid w:val="00413389"/>
    <w:rsid w:val="00413392"/>
    <w:rsid w:val="004134A2"/>
    <w:rsid w:val="00413517"/>
    <w:rsid w:val="004137E0"/>
    <w:rsid w:val="00413969"/>
    <w:rsid w:val="004139A3"/>
    <w:rsid w:val="00413D2F"/>
    <w:rsid w:val="00413EF9"/>
    <w:rsid w:val="00413F96"/>
    <w:rsid w:val="004141D2"/>
    <w:rsid w:val="0041426E"/>
    <w:rsid w:val="0041479B"/>
    <w:rsid w:val="004148CE"/>
    <w:rsid w:val="00414979"/>
    <w:rsid w:val="00414AC8"/>
    <w:rsid w:val="00414BDA"/>
    <w:rsid w:val="00414C66"/>
    <w:rsid w:val="00414E01"/>
    <w:rsid w:val="00414F13"/>
    <w:rsid w:val="004151E6"/>
    <w:rsid w:val="004152AD"/>
    <w:rsid w:val="004154CB"/>
    <w:rsid w:val="0041562F"/>
    <w:rsid w:val="004156F3"/>
    <w:rsid w:val="0041570E"/>
    <w:rsid w:val="00415768"/>
    <w:rsid w:val="004157BE"/>
    <w:rsid w:val="004157C6"/>
    <w:rsid w:val="004158EE"/>
    <w:rsid w:val="00415CA7"/>
    <w:rsid w:val="00415CA9"/>
    <w:rsid w:val="004163D6"/>
    <w:rsid w:val="004163E7"/>
    <w:rsid w:val="00416547"/>
    <w:rsid w:val="0041668F"/>
    <w:rsid w:val="004166F9"/>
    <w:rsid w:val="00416722"/>
    <w:rsid w:val="00416815"/>
    <w:rsid w:val="0041688F"/>
    <w:rsid w:val="00416B00"/>
    <w:rsid w:val="00416B75"/>
    <w:rsid w:val="00416C89"/>
    <w:rsid w:val="00416D1E"/>
    <w:rsid w:val="00416DFF"/>
    <w:rsid w:val="00416EE6"/>
    <w:rsid w:val="00417020"/>
    <w:rsid w:val="0041705F"/>
    <w:rsid w:val="004175F7"/>
    <w:rsid w:val="00417787"/>
    <w:rsid w:val="00417819"/>
    <w:rsid w:val="00417A4A"/>
    <w:rsid w:val="00417ABC"/>
    <w:rsid w:val="00417D04"/>
    <w:rsid w:val="00420134"/>
    <w:rsid w:val="00420152"/>
    <w:rsid w:val="00420392"/>
    <w:rsid w:val="004205F3"/>
    <w:rsid w:val="0042062F"/>
    <w:rsid w:val="00420763"/>
    <w:rsid w:val="00420826"/>
    <w:rsid w:val="00420B97"/>
    <w:rsid w:val="00420BE0"/>
    <w:rsid w:val="00420DA3"/>
    <w:rsid w:val="00420F6E"/>
    <w:rsid w:val="00421061"/>
    <w:rsid w:val="00421081"/>
    <w:rsid w:val="004213A5"/>
    <w:rsid w:val="00421866"/>
    <w:rsid w:val="00421883"/>
    <w:rsid w:val="004218D4"/>
    <w:rsid w:val="00421B90"/>
    <w:rsid w:val="00421D87"/>
    <w:rsid w:val="004222C6"/>
    <w:rsid w:val="00422594"/>
    <w:rsid w:val="00422698"/>
    <w:rsid w:val="0042273A"/>
    <w:rsid w:val="00422828"/>
    <w:rsid w:val="004228C9"/>
    <w:rsid w:val="004229D1"/>
    <w:rsid w:val="004229F9"/>
    <w:rsid w:val="00422BFD"/>
    <w:rsid w:val="00422CD4"/>
    <w:rsid w:val="00422FB8"/>
    <w:rsid w:val="00423013"/>
    <w:rsid w:val="0042302D"/>
    <w:rsid w:val="0042312D"/>
    <w:rsid w:val="004231D2"/>
    <w:rsid w:val="00423225"/>
    <w:rsid w:val="004232D4"/>
    <w:rsid w:val="004237AA"/>
    <w:rsid w:val="0042382B"/>
    <w:rsid w:val="004239A6"/>
    <w:rsid w:val="00423A32"/>
    <w:rsid w:val="00423C30"/>
    <w:rsid w:val="004243E8"/>
    <w:rsid w:val="00424492"/>
    <w:rsid w:val="004246F5"/>
    <w:rsid w:val="004248C0"/>
    <w:rsid w:val="004249CA"/>
    <w:rsid w:val="004249EC"/>
    <w:rsid w:val="00424CC6"/>
    <w:rsid w:val="00424FB6"/>
    <w:rsid w:val="004250C0"/>
    <w:rsid w:val="00425201"/>
    <w:rsid w:val="00425365"/>
    <w:rsid w:val="0042538F"/>
    <w:rsid w:val="00425434"/>
    <w:rsid w:val="00425671"/>
    <w:rsid w:val="00425773"/>
    <w:rsid w:val="004259EA"/>
    <w:rsid w:val="00425CAB"/>
    <w:rsid w:val="00425E5A"/>
    <w:rsid w:val="00425EA1"/>
    <w:rsid w:val="00426715"/>
    <w:rsid w:val="004268C9"/>
    <w:rsid w:val="004268E7"/>
    <w:rsid w:val="00426B30"/>
    <w:rsid w:val="00426C01"/>
    <w:rsid w:val="00426E5C"/>
    <w:rsid w:val="0042716E"/>
    <w:rsid w:val="004271FA"/>
    <w:rsid w:val="004273EC"/>
    <w:rsid w:val="0042744F"/>
    <w:rsid w:val="0042767E"/>
    <w:rsid w:val="004279E1"/>
    <w:rsid w:val="00427A52"/>
    <w:rsid w:val="00427D20"/>
    <w:rsid w:val="00427DE8"/>
    <w:rsid w:val="00427F52"/>
    <w:rsid w:val="004301E7"/>
    <w:rsid w:val="00430315"/>
    <w:rsid w:val="004303E1"/>
    <w:rsid w:val="0043040C"/>
    <w:rsid w:val="0043045B"/>
    <w:rsid w:val="0043048E"/>
    <w:rsid w:val="004304D2"/>
    <w:rsid w:val="00430899"/>
    <w:rsid w:val="00430924"/>
    <w:rsid w:val="004309CB"/>
    <w:rsid w:val="004309CF"/>
    <w:rsid w:val="00430B45"/>
    <w:rsid w:val="00430C9A"/>
    <w:rsid w:val="00430D3E"/>
    <w:rsid w:val="00430EE8"/>
    <w:rsid w:val="0043130F"/>
    <w:rsid w:val="00431649"/>
    <w:rsid w:val="004317E3"/>
    <w:rsid w:val="00431A2F"/>
    <w:rsid w:val="00431B56"/>
    <w:rsid w:val="00431B9C"/>
    <w:rsid w:val="00431DFA"/>
    <w:rsid w:val="00431E1C"/>
    <w:rsid w:val="00431EA3"/>
    <w:rsid w:val="0043238C"/>
    <w:rsid w:val="004323B5"/>
    <w:rsid w:val="00432511"/>
    <w:rsid w:val="004325BD"/>
    <w:rsid w:val="00432734"/>
    <w:rsid w:val="00432820"/>
    <w:rsid w:val="0043290C"/>
    <w:rsid w:val="00432980"/>
    <w:rsid w:val="00432BED"/>
    <w:rsid w:val="00432DDC"/>
    <w:rsid w:val="00432F96"/>
    <w:rsid w:val="00433168"/>
    <w:rsid w:val="0043323F"/>
    <w:rsid w:val="004332E1"/>
    <w:rsid w:val="0043331C"/>
    <w:rsid w:val="00433365"/>
    <w:rsid w:val="0043339A"/>
    <w:rsid w:val="0043348D"/>
    <w:rsid w:val="0043349D"/>
    <w:rsid w:val="0043364A"/>
    <w:rsid w:val="00433AC1"/>
    <w:rsid w:val="00433C9C"/>
    <w:rsid w:val="00433D31"/>
    <w:rsid w:val="0043429E"/>
    <w:rsid w:val="00434377"/>
    <w:rsid w:val="0043451E"/>
    <w:rsid w:val="00434745"/>
    <w:rsid w:val="00434BEB"/>
    <w:rsid w:val="00434C64"/>
    <w:rsid w:val="00434D3D"/>
    <w:rsid w:val="00435109"/>
    <w:rsid w:val="0043513C"/>
    <w:rsid w:val="004352A2"/>
    <w:rsid w:val="00435428"/>
    <w:rsid w:val="00435437"/>
    <w:rsid w:val="0043555C"/>
    <w:rsid w:val="00435629"/>
    <w:rsid w:val="00435904"/>
    <w:rsid w:val="0043592D"/>
    <w:rsid w:val="00435982"/>
    <w:rsid w:val="00435B1E"/>
    <w:rsid w:val="00435B60"/>
    <w:rsid w:val="00435B7D"/>
    <w:rsid w:val="00435C06"/>
    <w:rsid w:val="00435CC6"/>
    <w:rsid w:val="004362C3"/>
    <w:rsid w:val="00436338"/>
    <w:rsid w:val="004363E1"/>
    <w:rsid w:val="0043652B"/>
    <w:rsid w:val="00436559"/>
    <w:rsid w:val="00436627"/>
    <w:rsid w:val="0043677B"/>
    <w:rsid w:val="00436B75"/>
    <w:rsid w:val="00436C9E"/>
    <w:rsid w:val="00436E28"/>
    <w:rsid w:val="00436E7F"/>
    <w:rsid w:val="00436F90"/>
    <w:rsid w:val="0043731B"/>
    <w:rsid w:val="004376AA"/>
    <w:rsid w:val="004376FB"/>
    <w:rsid w:val="0043776B"/>
    <w:rsid w:val="004377C5"/>
    <w:rsid w:val="00437BF9"/>
    <w:rsid w:val="00437C3A"/>
    <w:rsid w:val="00437F54"/>
    <w:rsid w:val="00437FFA"/>
    <w:rsid w:val="0044002C"/>
    <w:rsid w:val="004401B6"/>
    <w:rsid w:val="0044031A"/>
    <w:rsid w:val="004404FD"/>
    <w:rsid w:val="00440518"/>
    <w:rsid w:val="00440548"/>
    <w:rsid w:val="004405B0"/>
    <w:rsid w:val="004405E6"/>
    <w:rsid w:val="004406FE"/>
    <w:rsid w:val="00440799"/>
    <w:rsid w:val="0044080F"/>
    <w:rsid w:val="00440C15"/>
    <w:rsid w:val="00440C18"/>
    <w:rsid w:val="00440EBA"/>
    <w:rsid w:val="004413A8"/>
    <w:rsid w:val="0044149D"/>
    <w:rsid w:val="00441525"/>
    <w:rsid w:val="004415CB"/>
    <w:rsid w:val="0044164C"/>
    <w:rsid w:val="004418A3"/>
    <w:rsid w:val="004418BE"/>
    <w:rsid w:val="004421EF"/>
    <w:rsid w:val="0044239B"/>
    <w:rsid w:val="00442405"/>
    <w:rsid w:val="00442474"/>
    <w:rsid w:val="00442484"/>
    <w:rsid w:val="004424F5"/>
    <w:rsid w:val="004426AD"/>
    <w:rsid w:val="00442805"/>
    <w:rsid w:val="00442882"/>
    <w:rsid w:val="004429E5"/>
    <w:rsid w:val="00442A15"/>
    <w:rsid w:val="00442B10"/>
    <w:rsid w:val="00442DB7"/>
    <w:rsid w:val="00442E68"/>
    <w:rsid w:val="00443096"/>
    <w:rsid w:val="00443834"/>
    <w:rsid w:val="004438E7"/>
    <w:rsid w:val="004439E9"/>
    <w:rsid w:val="00443A39"/>
    <w:rsid w:val="00443A85"/>
    <w:rsid w:val="00443CFF"/>
    <w:rsid w:val="00443F1A"/>
    <w:rsid w:val="00444378"/>
    <w:rsid w:val="00444394"/>
    <w:rsid w:val="004443DC"/>
    <w:rsid w:val="00444439"/>
    <w:rsid w:val="00444466"/>
    <w:rsid w:val="0044454B"/>
    <w:rsid w:val="004445DD"/>
    <w:rsid w:val="00444821"/>
    <w:rsid w:val="00444AD2"/>
    <w:rsid w:val="00444B34"/>
    <w:rsid w:val="00444C0C"/>
    <w:rsid w:val="0044508C"/>
    <w:rsid w:val="004450B8"/>
    <w:rsid w:val="004451E4"/>
    <w:rsid w:val="0044527C"/>
    <w:rsid w:val="004456F9"/>
    <w:rsid w:val="0044577F"/>
    <w:rsid w:val="00445AC2"/>
    <w:rsid w:val="00445AE4"/>
    <w:rsid w:val="00445D1A"/>
    <w:rsid w:val="00445E19"/>
    <w:rsid w:val="00445E8F"/>
    <w:rsid w:val="00445F5B"/>
    <w:rsid w:val="00446037"/>
    <w:rsid w:val="004461FB"/>
    <w:rsid w:val="00446404"/>
    <w:rsid w:val="0044691B"/>
    <w:rsid w:val="0044696D"/>
    <w:rsid w:val="00446A22"/>
    <w:rsid w:val="00446E1C"/>
    <w:rsid w:val="00446F1E"/>
    <w:rsid w:val="00446F2D"/>
    <w:rsid w:val="004470B1"/>
    <w:rsid w:val="00447359"/>
    <w:rsid w:val="00447475"/>
    <w:rsid w:val="0044763A"/>
    <w:rsid w:val="00447804"/>
    <w:rsid w:val="00447B3D"/>
    <w:rsid w:val="00447D4C"/>
    <w:rsid w:val="004504C8"/>
    <w:rsid w:val="004508D0"/>
    <w:rsid w:val="0045097A"/>
    <w:rsid w:val="00450C36"/>
    <w:rsid w:val="0045101F"/>
    <w:rsid w:val="0045114E"/>
    <w:rsid w:val="004512CD"/>
    <w:rsid w:val="004513F2"/>
    <w:rsid w:val="00451C7A"/>
    <w:rsid w:val="00451D13"/>
    <w:rsid w:val="00451D4C"/>
    <w:rsid w:val="0045209A"/>
    <w:rsid w:val="004520F9"/>
    <w:rsid w:val="00452246"/>
    <w:rsid w:val="004522A3"/>
    <w:rsid w:val="004525E7"/>
    <w:rsid w:val="00452719"/>
    <w:rsid w:val="004527E7"/>
    <w:rsid w:val="004528E0"/>
    <w:rsid w:val="00452C40"/>
    <w:rsid w:val="00452D31"/>
    <w:rsid w:val="00452DFC"/>
    <w:rsid w:val="0045308A"/>
    <w:rsid w:val="0045337C"/>
    <w:rsid w:val="00453561"/>
    <w:rsid w:val="00453708"/>
    <w:rsid w:val="00453716"/>
    <w:rsid w:val="00453800"/>
    <w:rsid w:val="00453804"/>
    <w:rsid w:val="004538A9"/>
    <w:rsid w:val="00453A40"/>
    <w:rsid w:val="00453E3F"/>
    <w:rsid w:val="00453EDF"/>
    <w:rsid w:val="00453F3B"/>
    <w:rsid w:val="00454057"/>
    <w:rsid w:val="0045413B"/>
    <w:rsid w:val="004541DC"/>
    <w:rsid w:val="00454247"/>
    <w:rsid w:val="00454290"/>
    <w:rsid w:val="00454409"/>
    <w:rsid w:val="00454526"/>
    <w:rsid w:val="00454805"/>
    <w:rsid w:val="0045480A"/>
    <w:rsid w:val="004548C9"/>
    <w:rsid w:val="004548F5"/>
    <w:rsid w:val="00454959"/>
    <w:rsid w:val="00454C60"/>
    <w:rsid w:val="00454EB0"/>
    <w:rsid w:val="004556A7"/>
    <w:rsid w:val="004557F3"/>
    <w:rsid w:val="004559D6"/>
    <w:rsid w:val="00455C7A"/>
    <w:rsid w:val="00455EE9"/>
    <w:rsid w:val="0045602A"/>
    <w:rsid w:val="00456212"/>
    <w:rsid w:val="004562A4"/>
    <w:rsid w:val="0045697B"/>
    <w:rsid w:val="00456CF0"/>
    <w:rsid w:val="00456D50"/>
    <w:rsid w:val="00456FC7"/>
    <w:rsid w:val="0045707C"/>
    <w:rsid w:val="00457181"/>
    <w:rsid w:val="004572D3"/>
    <w:rsid w:val="00457306"/>
    <w:rsid w:val="0045752F"/>
    <w:rsid w:val="0045756D"/>
    <w:rsid w:val="004578BF"/>
    <w:rsid w:val="004578F8"/>
    <w:rsid w:val="00457ABA"/>
    <w:rsid w:val="00457CA3"/>
    <w:rsid w:val="00457D33"/>
    <w:rsid w:val="00460014"/>
    <w:rsid w:val="0046011D"/>
    <w:rsid w:val="0046012C"/>
    <w:rsid w:val="00460582"/>
    <w:rsid w:val="00460650"/>
    <w:rsid w:val="00460734"/>
    <w:rsid w:val="0046074F"/>
    <w:rsid w:val="0046079A"/>
    <w:rsid w:val="00460851"/>
    <w:rsid w:val="00460863"/>
    <w:rsid w:val="00460983"/>
    <w:rsid w:val="00460A0B"/>
    <w:rsid w:val="00460A73"/>
    <w:rsid w:val="00460AA5"/>
    <w:rsid w:val="00460CDB"/>
    <w:rsid w:val="00460DBC"/>
    <w:rsid w:val="00460DFD"/>
    <w:rsid w:val="004610B8"/>
    <w:rsid w:val="00461156"/>
    <w:rsid w:val="00461290"/>
    <w:rsid w:val="004613E6"/>
    <w:rsid w:val="004614B3"/>
    <w:rsid w:val="004615AC"/>
    <w:rsid w:val="00461659"/>
    <w:rsid w:val="0046167B"/>
    <w:rsid w:val="004617A9"/>
    <w:rsid w:val="00461A42"/>
    <w:rsid w:val="00461B2C"/>
    <w:rsid w:val="00461B5D"/>
    <w:rsid w:val="00461BBD"/>
    <w:rsid w:val="00461BD3"/>
    <w:rsid w:val="00461CBD"/>
    <w:rsid w:val="00461D30"/>
    <w:rsid w:val="00461E67"/>
    <w:rsid w:val="00461E97"/>
    <w:rsid w:val="00461F8B"/>
    <w:rsid w:val="00461FAD"/>
    <w:rsid w:val="00462060"/>
    <w:rsid w:val="004621CF"/>
    <w:rsid w:val="00462257"/>
    <w:rsid w:val="004622B2"/>
    <w:rsid w:val="00462325"/>
    <w:rsid w:val="004624B4"/>
    <w:rsid w:val="00462620"/>
    <w:rsid w:val="004629AE"/>
    <w:rsid w:val="00462A78"/>
    <w:rsid w:val="00462AC0"/>
    <w:rsid w:val="00462DF0"/>
    <w:rsid w:val="00462F9B"/>
    <w:rsid w:val="0046309D"/>
    <w:rsid w:val="00463243"/>
    <w:rsid w:val="004632C5"/>
    <w:rsid w:val="004632CA"/>
    <w:rsid w:val="004632F5"/>
    <w:rsid w:val="00463344"/>
    <w:rsid w:val="0046359B"/>
    <w:rsid w:val="0046365F"/>
    <w:rsid w:val="00463951"/>
    <w:rsid w:val="00463A25"/>
    <w:rsid w:val="00463CA1"/>
    <w:rsid w:val="00463F83"/>
    <w:rsid w:val="0046402B"/>
    <w:rsid w:val="00464487"/>
    <w:rsid w:val="00464A23"/>
    <w:rsid w:val="00464A9D"/>
    <w:rsid w:val="00464C14"/>
    <w:rsid w:val="0046505E"/>
    <w:rsid w:val="004650B9"/>
    <w:rsid w:val="0046518D"/>
    <w:rsid w:val="00465368"/>
    <w:rsid w:val="00465566"/>
    <w:rsid w:val="004658BB"/>
    <w:rsid w:val="0046591A"/>
    <w:rsid w:val="00465920"/>
    <w:rsid w:val="00465989"/>
    <w:rsid w:val="00465A2E"/>
    <w:rsid w:val="00465B3C"/>
    <w:rsid w:val="00465CEA"/>
    <w:rsid w:val="00465E95"/>
    <w:rsid w:val="004667C3"/>
    <w:rsid w:val="0046691B"/>
    <w:rsid w:val="00466A79"/>
    <w:rsid w:val="00466B02"/>
    <w:rsid w:val="00466C45"/>
    <w:rsid w:val="00466E33"/>
    <w:rsid w:val="00466E59"/>
    <w:rsid w:val="00466F78"/>
    <w:rsid w:val="00466FD4"/>
    <w:rsid w:val="00467072"/>
    <w:rsid w:val="004670C8"/>
    <w:rsid w:val="0046725F"/>
    <w:rsid w:val="0046766F"/>
    <w:rsid w:val="00467794"/>
    <w:rsid w:val="004677C6"/>
    <w:rsid w:val="0047056D"/>
    <w:rsid w:val="004705AA"/>
    <w:rsid w:val="0047069F"/>
    <w:rsid w:val="0047072F"/>
    <w:rsid w:val="00470B7A"/>
    <w:rsid w:val="00470E10"/>
    <w:rsid w:val="00470F53"/>
    <w:rsid w:val="0047105E"/>
    <w:rsid w:val="004711E5"/>
    <w:rsid w:val="00471356"/>
    <w:rsid w:val="00471496"/>
    <w:rsid w:val="00471517"/>
    <w:rsid w:val="004715FA"/>
    <w:rsid w:val="0047171C"/>
    <w:rsid w:val="00471883"/>
    <w:rsid w:val="00471D33"/>
    <w:rsid w:val="00472194"/>
    <w:rsid w:val="004721E1"/>
    <w:rsid w:val="0047230A"/>
    <w:rsid w:val="00472311"/>
    <w:rsid w:val="0047280F"/>
    <w:rsid w:val="00472B37"/>
    <w:rsid w:val="00472E22"/>
    <w:rsid w:val="00472EB2"/>
    <w:rsid w:val="00472ECC"/>
    <w:rsid w:val="00473188"/>
    <w:rsid w:val="0047350E"/>
    <w:rsid w:val="00473896"/>
    <w:rsid w:val="0047399F"/>
    <w:rsid w:val="00473AD5"/>
    <w:rsid w:val="00473C13"/>
    <w:rsid w:val="00473DDD"/>
    <w:rsid w:val="00473EAB"/>
    <w:rsid w:val="004746E1"/>
    <w:rsid w:val="00474840"/>
    <w:rsid w:val="00474A4A"/>
    <w:rsid w:val="00474B57"/>
    <w:rsid w:val="00474D2B"/>
    <w:rsid w:val="00474E3E"/>
    <w:rsid w:val="00474E4C"/>
    <w:rsid w:val="00474F9A"/>
    <w:rsid w:val="0047509B"/>
    <w:rsid w:val="00475122"/>
    <w:rsid w:val="00475256"/>
    <w:rsid w:val="00475383"/>
    <w:rsid w:val="004753D1"/>
    <w:rsid w:val="0047540E"/>
    <w:rsid w:val="00475438"/>
    <w:rsid w:val="00475477"/>
    <w:rsid w:val="0047554C"/>
    <w:rsid w:val="00475616"/>
    <w:rsid w:val="0047577C"/>
    <w:rsid w:val="0047578D"/>
    <w:rsid w:val="00475B7C"/>
    <w:rsid w:val="00475D10"/>
    <w:rsid w:val="00475D59"/>
    <w:rsid w:val="00475EB2"/>
    <w:rsid w:val="00475EF8"/>
    <w:rsid w:val="00475F29"/>
    <w:rsid w:val="004761E4"/>
    <w:rsid w:val="004762D9"/>
    <w:rsid w:val="00476582"/>
    <w:rsid w:val="00476B63"/>
    <w:rsid w:val="00476FAB"/>
    <w:rsid w:val="00477217"/>
    <w:rsid w:val="004776B4"/>
    <w:rsid w:val="00477A39"/>
    <w:rsid w:val="00477C2F"/>
    <w:rsid w:val="00477DC5"/>
    <w:rsid w:val="004800D8"/>
    <w:rsid w:val="00480882"/>
    <w:rsid w:val="00480A91"/>
    <w:rsid w:val="00480AC4"/>
    <w:rsid w:val="00480C51"/>
    <w:rsid w:val="00480CE1"/>
    <w:rsid w:val="00481415"/>
    <w:rsid w:val="0048151C"/>
    <w:rsid w:val="004816BE"/>
    <w:rsid w:val="0048188C"/>
    <w:rsid w:val="00481A99"/>
    <w:rsid w:val="00481AED"/>
    <w:rsid w:val="00481E70"/>
    <w:rsid w:val="00481EB2"/>
    <w:rsid w:val="00481FA0"/>
    <w:rsid w:val="00482117"/>
    <w:rsid w:val="00482335"/>
    <w:rsid w:val="004824CA"/>
    <w:rsid w:val="00482645"/>
    <w:rsid w:val="00482809"/>
    <w:rsid w:val="004828CF"/>
    <w:rsid w:val="00482959"/>
    <w:rsid w:val="00482AA3"/>
    <w:rsid w:val="00482B5F"/>
    <w:rsid w:val="00482B65"/>
    <w:rsid w:val="00482DB4"/>
    <w:rsid w:val="00482EAD"/>
    <w:rsid w:val="0048316B"/>
    <w:rsid w:val="00483475"/>
    <w:rsid w:val="00483680"/>
    <w:rsid w:val="00483846"/>
    <w:rsid w:val="00483938"/>
    <w:rsid w:val="00483A1C"/>
    <w:rsid w:val="00483B5E"/>
    <w:rsid w:val="00483F2B"/>
    <w:rsid w:val="00484184"/>
    <w:rsid w:val="004843D4"/>
    <w:rsid w:val="00484559"/>
    <w:rsid w:val="0048467B"/>
    <w:rsid w:val="00484780"/>
    <w:rsid w:val="00484827"/>
    <w:rsid w:val="00484A9C"/>
    <w:rsid w:val="00484F9C"/>
    <w:rsid w:val="004852AF"/>
    <w:rsid w:val="004853F5"/>
    <w:rsid w:val="004856AF"/>
    <w:rsid w:val="00485742"/>
    <w:rsid w:val="00485857"/>
    <w:rsid w:val="00485931"/>
    <w:rsid w:val="00485AC1"/>
    <w:rsid w:val="00485CC9"/>
    <w:rsid w:val="00485CEB"/>
    <w:rsid w:val="00485EE8"/>
    <w:rsid w:val="00486349"/>
    <w:rsid w:val="00486846"/>
    <w:rsid w:val="00486980"/>
    <w:rsid w:val="00486B5E"/>
    <w:rsid w:val="00486BE8"/>
    <w:rsid w:val="00486EB7"/>
    <w:rsid w:val="00486F14"/>
    <w:rsid w:val="00487144"/>
    <w:rsid w:val="004873E8"/>
    <w:rsid w:val="004876F8"/>
    <w:rsid w:val="00487783"/>
    <w:rsid w:val="004878C6"/>
    <w:rsid w:val="00487C74"/>
    <w:rsid w:val="00487DB5"/>
    <w:rsid w:val="00487DF7"/>
    <w:rsid w:val="00487E09"/>
    <w:rsid w:val="00487E42"/>
    <w:rsid w:val="0049014C"/>
    <w:rsid w:val="0049025B"/>
    <w:rsid w:val="0049049D"/>
    <w:rsid w:val="0049070C"/>
    <w:rsid w:val="00490718"/>
    <w:rsid w:val="00490796"/>
    <w:rsid w:val="0049099C"/>
    <w:rsid w:val="00490A53"/>
    <w:rsid w:val="00490AE8"/>
    <w:rsid w:val="00490C25"/>
    <w:rsid w:val="00490F31"/>
    <w:rsid w:val="0049105D"/>
    <w:rsid w:val="0049111E"/>
    <w:rsid w:val="00491142"/>
    <w:rsid w:val="0049154D"/>
    <w:rsid w:val="00491572"/>
    <w:rsid w:val="004915CD"/>
    <w:rsid w:val="004915EB"/>
    <w:rsid w:val="00491729"/>
    <w:rsid w:val="00491816"/>
    <w:rsid w:val="0049182C"/>
    <w:rsid w:val="00491A01"/>
    <w:rsid w:val="00491B09"/>
    <w:rsid w:val="00491D83"/>
    <w:rsid w:val="00491E9A"/>
    <w:rsid w:val="00491F00"/>
    <w:rsid w:val="004923BC"/>
    <w:rsid w:val="00492594"/>
    <w:rsid w:val="0049288F"/>
    <w:rsid w:val="0049295A"/>
    <w:rsid w:val="00492A82"/>
    <w:rsid w:val="00492BA6"/>
    <w:rsid w:val="00492D3A"/>
    <w:rsid w:val="00492FBB"/>
    <w:rsid w:val="004931D5"/>
    <w:rsid w:val="004931EE"/>
    <w:rsid w:val="004932F3"/>
    <w:rsid w:val="0049358B"/>
    <w:rsid w:val="0049365E"/>
    <w:rsid w:val="004936A2"/>
    <w:rsid w:val="0049381C"/>
    <w:rsid w:val="00493B25"/>
    <w:rsid w:val="00493D26"/>
    <w:rsid w:val="00493E1E"/>
    <w:rsid w:val="00493E49"/>
    <w:rsid w:val="00493E82"/>
    <w:rsid w:val="00493EE2"/>
    <w:rsid w:val="00493EF3"/>
    <w:rsid w:val="00493F5D"/>
    <w:rsid w:val="004942FF"/>
    <w:rsid w:val="004943C1"/>
    <w:rsid w:val="0049442C"/>
    <w:rsid w:val="00494592"/>
    <w:rsid w:val="00494B7F"/>
    <w:rsid w:val="00494C88"/>
    <w:rsid w:val="004950EE"/>
    <w:rsid w:val="004954A2"/>
    <w:rsid w:val="00495771"/>
    <w:rsid w:val="00495D2A"/>
    <w:rsid w:val="00495E61"/>
    <w:rsid w:val="00495F0D"/>
    <w:rsid w:val="00495F59"/>
    <w:rsid w:val="004960E9"/>
    <w:rsid w:val="004967A3"/>
    <w:rsid w:val="004967B2"/>
    <w:rsid w:val="00496866"/>
    <w:rsid w:val="00496946"/>
    <w:rsid w:val="00496C01"/>
    <w:rsid w:val="00497017"/>
    <w:rsid w:val="00497666"/>
    <w:rsid w:val="00497733"/>
    <w:rsid w:val="004978A5"/>
    <w:rsid w:val="004979A2"/>
    <w:rsid w:val="00497AAD"/>
    <w:rsid w:val="00497C3A"/>
    <w:rsid w:val="00497D7F"/>
    <w:rsid w:val="00497F3C"/>
    <w:rsid w:val="00497F46"/>
    <w:rsid w:val="004A0375"/>
    <w:rsid w:val="004A03CB"/>
    <w:rsid w:val="004A04E4"/>
    <w:rsid w:val="004A0502"/>
    <w:rsid w:val="004A05E3"/>
    <w:rsid w:val="004A0713"/>
    <w:rsid w:val="004A072A"/>
    <w:rsid w:val="004A083F"/>
    <w:rsid w:val="004A0B8C"/>
    <w:rsid w:val="004A0E30"/>
    <w:rsid w:val="004A0E7F"/>
    <w:rsid w:val="004A104E"/>
    <w:rsid w:val="004A11CE"/>
    <w:rsid w:val="004A12AF"/>
    <w:rsid w:val="004A1509"/>
    <w:rsid w:val="004A152B"/>
    <w:rsid w:val="004A1867"/>
    <w:rsid w:val="004A192C"/>
    <w:rsid w:val="004A1B49"/>
    <w:rsid w:val="004A1C25"/>
    <w:rsid w:val="004A1C98"/>
    <w:rsid w:val="004A1CCE"/>
    <w:rsid w:val="004A1D21"/>
    <w:rsid w:val="004A1E22"/>
    <w:rsid w:val="004A20F6"/>
    <w:rsid w:val="004A23B3"/>
    <w:rsid w:val="004A24C0"/>
    <w:rsid w:val="004A2517"/>
    <w:rsid w:val="004A25EE"/>
    <w:rsid w:val="004A26F3"/>
    <w:rsid w:val="004A2736"/>
    <w:rsid w:val="004A2810"/>
    <w:rsid w:val="004A283F"/>
    <w:rsid w:val="004A2877"/>
    <w:rsid w:val="004A29BE"/>
    <w:rsid w:val="004A2A62"/>
    <w:rsid w:val="004A2CA0"/>
    <w:rsid w:val="004A2F69"/>
    <w:rsid w:val="004A3002"/>
    <w:rsid w:val="004A304B"/>
    <w:rsid w:val="004A3338"/>
    <w:rsid w:val="004A3424"/>
    <w:rsid w:val="004A351D"/>
    <w:rsid w:val="004A39F3"/>
    <w:rsid w:val="004A3B3B"/>
    <w:rsid w:val="004A3C3C"/>
    <w:rsid w:val="004A3E36"/>
    <w:rsid w:val="004A3ED7"/>
    <w:rsid w:val="004A414D"/>
    <w:rsid w:val="004A41D9"/>
    <w:rsid w:val="004A4247"/>
    <w:rsid w:val="004A42F5"/>
    <w:rsid w:val="004A42F8"/>
    <w:rsid w:val="004A4547"/>
    <w:rsid w:val="004A4914"/>
    <w:rsid w:val="004A4A08"/>
    <w:rsid w:val="004A4D82"/>
    <w:rsid w:val="004A4DE4"/>
    <w:rsid w:val="004A4F3E"/>
    <w:rsid w:val="004A4FD2"/>
    <w:rsid w:val="004A52A8"/>
    <w:rsid w:val="004A592F"/>
    <w:rsid w:val="004A5CF2"/>
    <w:rsid w:val="004A5E1E"/>
    <w:rsid w:val="004A5ECA"/>
    <w:rsid w:val="004A6016"/>
    <w:rsid w:val="004A6155"/>
    <w:rsid w:val="004A618B"/>
    <w:rsid w:val="004A622F"/>
    <w:rsid w:val="004A6387"/>
    <w:rsid w:val="004A63EC"/>
    <w:rsid w:val="004A662E"/>
    <w:rsid w:val="004A6698"/>
    <w:rsid w:val="004A683C"/>
    <w:rsid w:val="004A69DC"/>
    <w:rsid w:val="004A6BC0"/>
    <w:rsid w:val="004A6BC5"/>
    <w:rsid w:val="004A6D91"/>
    <w:rsid w:val="004A6DE8"/>
    <w:rsid w:val="004A6FF6"/>
    <w:rsid w:val="004A6FFC"/>
    <w:rsid w:val="004A7019"/>
    <w:rsid w:val="004A727F"/>
    <w:rsid w:val="004A73BB"/>
    <w:rsid w:val="004A7447"/>
    <w:rsid w:val="004A7645"/>
    <w:rsid w:val="004A7818"/>
    <w:rsid w:val="004A7CF6"/>
    <w:rsid w:val="004A7D34"/>
    <w:rsid w:val="004B0044"/>
    <w:rsid w:val="004B010C"/>
    <w:rsid w:val="004B017A"/>
    <w:rsid w:val="004B0335"/>
    <w:rsid w:val="004B0584"/>
    <w:rsid w:val="004B0814"/>
    <w:rsid w:val="004B08A9"/>
    <w:rsid w:val="004B0BAA"/>
    <w:rsid w:val="004B0D2E"/>
    <w:rsid w:val="004B0D84"/>
    <w:rsid w:val="004B1029"/>
    <w:rsid w:val="004B1114"/>
    <w:rsid w:val="004B11E8"/>
    <w:rsid w:val="004B13A0"/>
    <w:rsid w:val="004B13AB"/>
    <w:rsid w:val="004B13DA"/>
    <w:rsid w:val="004B14C4"/>
    <w:rsid w:val="004B16CF"/>
    <w:rsid w:val="004B17FC"/>
    <w:rsid w:val="004B1803"/>
    <w:rsid w:val="004B18AA"/>
    <w:rsid w:val="004B1B1A"/>
    <w:rsid w:val="004B1C06"/>
    <w:rsid w:val="004B1D67"/>
    <w:rsid w:val="004B214F"/>
    <w:rsid w:val="004B2176"/>
    <w:rsid w:val="004B22AB"/>
    <w:rsid w:val="004B2332"/>
    <w:rsid w:val="004B264D"/>
    <w:rsid w:val="004B2708"/>
    <w:rsid w:val="004B284E"/>
    <w:rsid w:val="004B2882"/>
    <w:rsid w:val="004B2AE6"/>
    <w:rsid w:val="004B2CD2"/>
    <w:rsid w:val="004B2D6C"/>
    <w:rsid w:val="004B3043"/>
    <w:rsid w:val="004B3247"/>
    <w:rsid w:val="004B34DE"/>
    <w:rsid w:val="004B3786"/>
    <w:rsid w:val="004B3C44"/>
    <w:rsid w:val="004B3CB7"/>
    <w:rsid w:val="004B3CE4"/>
    <w:rsid w:val="004B3D7A"/>
    <w:rsid w:val="004B4183"/>
    <w:rsid w:val="004B42BA"/>
    <w:rsid w:val="004B449E"/>
    <w:rsid w:val="004B44E1"/>
    <w:rsid w:val="004B452E"/>
    <w:rsid w:val="004B4AE5"/>
    <w:rsid w:val="004B4D72"/>
    <w:rsid w:val="004B4E05"/>
    <w:rsid w:val="004B50C6"/>
    <w:rsid w:val="004B521F"/>
    <w:rsid w:val="004B550E"/>
    <w:rsid w:val="004B582A"/>
    <w:rsid w:val="004B5885"/>
    <w:rsid w:val="004B59AC"/>
    <w:rsid w:val="004B59C2"/>
    <w:rsid w:val="004B602A"/>
    <w:rsid w:val="004B605D"/>
    <w:rsid w:val="004B61D4"/>
    <w:rsid w:val="004B622E"/>
    <w:rsid w:val="004B62F3"/>
    <w:rsid w:val="004B6454"/>
    <w:rsid w:val="004B64E3"/>
    <w:rsid w:val="004B662E"/>
    <w:rsid w:val="004B6804"/>
    <w:rsid w:val="004B680A"/>
    <w:rsid w:val="004B681C"/>
    <w:rsid w:val="004B68A2"/>
    <w:rsid w:val="004B6A81"/>
    <w:rsid w:val="004B6AF2"/>
    <w:rsid w:val="004B6B60"/>
    <w:rsid w:val="004B6BFB"/>
    <w:rsid w:val="004B6D20"/>
    <w:rsid w:val="004B73C1"/>
    <w:rsid w:val="004B743A"/>
    <w:rsid w:val="004B7798"/>
    <w:rsid w:val="004B77BE"/>
    <w:rsid w:val="004B79BF"/>
    <w:rsid w:val="004C0138"/>
    <w:rsid w:val="004C0335"/>
    <w:rsid w:val="004C0462"/>
    <w:rsid w:val="004C0650"/>
    <w:rsid w:val="004C06BF"/>
    <w:rsid w:val="004C08C3"/>
    <w:rsid w:val="004C08DB"/>
    <w:rsid w:val="004C08E6"/>
    <w:rsid w:val="004C0DC4"/>
    <w:rsid w:val="004C0F2E"/>
    <w:rsid w:val="004C115A"/>
    <w:rsid w:val="004C1200"/>
    <w:rsid w:val="004C125E"/>
    <w:rsid w:val="004C1273"/>
    <w:rsid w:val="004C12D3"/>
    <w:rsid w:val="004C1395"/>
    <w:rsid w:val="004C140B"/>
    <w:rsid w:val="004C150F"/>
    <w:rsid w:val="004C18B6"/>
    <w:rsid w:val="004C1D67"/>
    <w:rsid w:val="004C1F20"/>
    <w:rsid w:val="004C1FB8"/>
    <w:rsid w:val="004C2208"/>
    <w:rsid w:val="004C237E"/>
    <w:rsid w:val="004C247E"/>
    <w:rsid w:val="004C2664"/>
    <w:rsid w:val="004C27BF"/>
    <w:rsid w:val="004C28FF"/>
    <w:rsid w:val="004C2914"/>
    <w:rsid w:val="004C2A05"/>
    <w:rsid w:val="004C2B11"/>
    <w:rsid w:val="004C2B23"/>
    <w:rsid w:val="004C2B5D"/>
    <w:rsid w:val="004C2B7A"/>
    <w:rsid w:val="004C2C27"/>
    <w:rsid w:val="004C2F90"/>
    <w:rsid w:val="004C2FCC"/>
    <w:rsid w:val="004C3155"/>
    <w:rsid w:val="004C327B"/>
    <w:rsid w:val="004C333E"/>
    <w:rsid w:val="004C348C"/>
    <w:rsid w:val="004C34BF"/>
    <w:rsid w:val="004C399D"/>
    <w:rsid w:val="004C3A89"/>
    <w:rsid w:val="004C3AB6"/>
    <w:rsid w:val="004C3C07"/>
    <w:rsid w:val="004C3D11"/>
    <w:rsid w:val="004C3EBB"/>
    <w:rsid w:val="004C3FB6"/>
    <w:rsid w:val="004C4042"/>
    <w:rsid w:val="004C417F"/>
    <w:rsid w:val="004C41D5"/>
    <w:rsid w:val="004C47B5"/>
    <w:rsid w:val="004C4A0D"/>
    <w:rsid w:val="004C4A2E"/>
    <w:rsid w:val="004C4C65"/>
    <w:rsid w:val="004C575B"/>
    <w:rsid w:val="004C57F9"/>
    <w:rsid w:val="004C5B0B"/>
    <w:rsid w:val="004C608D"/>
    <w:rsid w:val="004C6165"/>
    <w:rsid w:val="004C61BB"/>
    <w:rsid w:val="004C6527"/>
    <w:rsid w:val="004C6721"/>
    <w:rsid w:val="004C6722"/>
    <w:rsid w:val="004C6911"/>
    <w:rsid w:val="004C6A26"/>
    <w:rsid w:val="004C6A38"/>
    <w:rsid w:val="004C6AB1"/>
    <w:rsid w:val="004C70FA"/>
    <w:rsid w:val="004C77ED"/>
    <w:rsid w:val="004C7BB4"/>
    <w:rsid w:val="004C7BBB"/>
    <w:rsid w:val="004C7C41"/>
    <w:rsid w:val="004C7F87"/>
    <w:rsid w:val="004C7FD1"/>
    <w:rsid w:val="004D0305"/>
    <w:rsid w:val="004D03BC"/>
    <w:rsid w:val="004D04E7"/>
    <w:rsid w:val="004D063E"/>
    <w:rsid w:val="004D0690"/>
    <w:rsid w:val="004D0773"/>
    <w:rsid w:val="004D0A4B"/>
    <w:rsid w:val="004D0DB7"/>
    <w:rsid w:val="004D0EA0"/>
    <w:rsid w:val="004D0F32"/>
    <w:rsid w:val="004D0FC0"/>
    <w:rsid w:val="004D1034"/>
    <w:rsid w:val="004D10DC"/>
    <w:rsid w:val="004D11EA"/>
    <w:rsid w:val="004D11F3"/>
    <w:rsid w:val="004D1213"/>
    <w:rsid w:val="004D1388"/>
    <w:rsid w:val="004D1549"/>
    <w:rsid w:val="004D1568"/>
    <w:rsid w:val="004D1599"/>
    <w:rsid w:val="004D163E"/>
    <w:rsid w:val="004D17B9"/>
    <w:rsid w:val="004D17BE"/>
    <w:rsid w:val="004D1999"/>
    <w:rsid w:val="004D1B03"/>
    <w:rsid w:val="004D1CD3"/>
    <w:rsid w:val="004D20E7"/>
    <w:rsid w:val="004D211C"/>
    <w:rsid w:val="004D2346"/>
    <w:rsid w:val="004D24A0"/>
    <w:rsid w:val="004D25C1"/>
    <w:rsid w:val="004D262C"/>
    <w:rsid w:val="004D2816"/>
    <w:rsid w:val="004D2FA3"/>
    <w:rsid w:val="004D3472"/>
    <w:rsid w:val="004D365A"/>
    <w:rsid w:val="004D37BD"/>
    <w:rsid w:val="004D3A53"/>
    <w:rsid w:val="004D3AAA"/>
    <w:rsid w:val="004D3BD0"/>
    <w:rsid w:val="004D3BF4"/>
    <w:rsid w:val="004D3DEA"/>
    <w:rsid w:val="004D3F02"/>
    <w:rsid w:val="004D3FB2"/>
    <w:rsid w:val="004D3FF5"/>
    <w:rsid w:val="004D40C8"/>
    <w:rsid w:val="004D40EA"/>
    <w:rsid w:val="004D410F"/>
    <w:rsid w:val="004D422B"/>
    <w:rsid w:val="004D43C6"/>
    <w:rsid w:val="004D4559"/>
    <w:rsid w:val="004D461D"/>
    <w:rsid w:val="004D4675"/>
    <w:rsid w:val="004D489A"/>
    <w:rsid w:val="004D4A05"/>
    <w:rsid w:val="004D4B84"/>
    <w:rsid w:val="004D4D5D"/>
    <w:rsid w:val="004D510B"/>
    <w:rsid w:val="004D5212"/>
    <w:rsid w:val="004D5429"/>
    <w:rsid w:val="004D5781"/>
    <w:rsid w:val="004D5931"/>
    <w:rsid w:val="004D5948"/>
    <w:rsid w:val="004D5A89"/>
    <w:rsid w:val="004D5AF1"/>
    <w:rsid w:val="004D600E"/>
    <w:rsid w:val="004D6266"/>
    <w:rsid w:val="004D62BF"/>
    <w:rsid w:val="004D6332"/>
    <w:rsid w:val="004D63BC"/>
    <w:rsid w:val="004D63F3"/>
    <w:rsid w:val="004D6464"/>
    <w:rsid w:val="004D64CD"/>
    <w:rsid w:val="004D6555"/>
    <w:rsid w:val="004D6767"/>
    <w:rsid w:val="004D69E6"/>
    <w:rsid w:val="004D6AF5"/>
    <w:rsid w:val="004D6D3D"/>
    <w:rsid w:val="004D6FBA"/>
    <w:rsid w:val="004D7186"/>
    <w:rsid w:val="004D722F"/>
    <w:rsid w:val="004D75E4"/>
    <w:rsid w:val="004D75FD"/>
    <w:rsid w:val="004D76F2"/>
    <w:rsid w:val="004D7EF3"/>
    <w:rsid w:val="004D7F58"/>
    <w:rsid w:val="004D7FDF"/>
    <w:rsid w:val="004E0460"/>
    <w:rsid w:val="004E0517"/>
    <w:rsid w:val="004E05D6"/>
    <w:rsid w:val="004E07A4"/>
    <w:rsid w:val="004E0A45"/>
    <w:rsid w:val="004E0A8B"/>
    <w:rsid w:val="004E0B33"/>
    <w:rsid w:val="004E0D79"/>
    <w:rsid w:val="004E0F26"/>
    <w:rsid w:val="004E10AF"/>
    <w:rsid w:val="004E11D9"/>
    <w:rsid w:val="004E1435"/>
    <w:rsid w:val="004E1456"/>
    <w:rsid w:val="004E1B2E"/>
    <w:rsid w:val="004E1D68"/>
    <w:rsid w:val="004E2187"/>
    <w:rsid w:val="004E22AC"/>
    <w:rsid w:val="004E23D2"/>
    <w:rsid w:val="004E2561"/>
    <w:rsid w:val="004E2725"/>
    <w:rsid w:val="004E29A3"/>
    <w:rsid w:val="004E2B23"/>
    <w:rsid w:val="004E2D1B"/>
    <w:rsid w:val="004E2E06"/>
    <w:rsid w:val="004E3033"/>
    <w:rsid w:val="004E32D0"/>
    <w:rsid w:val="004E36E0"/>
    <w:rsid w:val="004E378B"/>
    <w:rsid w:val="004E39A9"/>
    <w:rsid w:val="004E3A07"/>
    <w:rsid w:val="004E3CAA"/>
    <w:rsid w:val="004E3DC0"/>
    <w:rsid w:val="004E3E97"/>
    <w:rsid w:val="004E4223"/>
    <w:rsid w:val="004E42F7"/>
    <w:rsid w:val="004E4329"/>
    <w:rsid w:val="004E4517"/>
    <w:rsid w:val="004E4689"/>
    <w:rsid w:val="004E4753"/>
    <w:rsid w:val="004E48CA"/>
    <w:rsid w:val="004E49E5"/>
    <w:rsid w:val="004E4A93"/>
    <w:rsid w:val="004E4ADC"/>
    <w:rsid w:val="004E4D0D"/>
    <w:rsid w:val="004E4F5E"/>
    <w:rsid w:val="004E4FC3"/>
    <w:rsid w:val="004E5029"/>
    <w:rsid w:val="004E504D"/>
    <w:rsid w:val="004E5269"/>
    <w:rsid w:val="004E53A2"/>
    <w:rsid w:val="004E53F3"/>
    <w:rsid w:val="004E55EA"/>
    <w:rsid w:val="004E55FD"/>
    <w:rsid w:val="004E5A79"/>
    <w:rsid w:val="004E5C83"/>
    <w:rsid w:val="004E5CC1"/>
    <w:rsid w:val="004E5CF2"/>
    <w:rsid w:val="004E6131"/>
    <w:rsid w:val="004E62A4"/>
    <w:rsid w:val="004E62AB"/>
    <w:rsid w:val="004E6366"/>
    <w:rsid w:val="004E64C2"/>
    <w:rsid w:val="004E663B"/>
    <w:rsid w:val="004E6665"/>
    <w:rsid w:val="004E66AB"/>
    <w:rsid w:val="004E66EA"/>
    <w:rsid w:val="004E689D"/>
    <w:rsid w:val="004E6937"/>
    <w:rsid w:val="004E69B8"/>
    <w:rsid w:val="004E69D7"/>
    <w:rsid w:val="004E69EC"/>
    <w:rsid w:val="004E6A29"/>
    <w:rsid w:val="004E6B11"/>
    <w:rsid w:val="004E6B21"/>
    <w:rsid w:val="004E6BC0"/>
    <w:rsid w:val="004E6DCF"/>
    <w:rsid w:val="004E6E3A"/>
    <w:rsid w:val="004E6E6B"/>
    <w:rsid w:val="004E6F9F"/>
    <w:rsid w:val="004E7360"/>
    <w:rsid w:val="004E747B"/>
    <w:rsid w:val="004E7486"/>
    <w:rsid w:val="004E79E5"/>
    <w:rsid w:val="004E7C1C"/>
    <w:rsid w:val="004E7CC8"/>
    <w:rsid w:val="004E7CFB"/>
    <w:rsid w:val="004E7F3A"/>
    <w:rsid w:val="004F002A"/>
    <w:rsid w:val="004F0231"/>
    <w:rsid w:val="004F031E"/>
    <w:rsid w:val="004F0328"/>
    <w:rsid w:val="004F0753"/>
    <w:rsid w:val="004F07C1"/>
    <w:rsid w:val="004F086C"/>
    <w:rsid w:val="004F0937"/>
    <w:rsid w:val="004F0A1E"/>
    <w:rsid w:val="004F0D80"/>
    <w:rsid w:val="004F1088"/>
    <w:rsid w:val="004F12C3"/>
    <w:rsid w:val="004F1370"/>
    <w:rsid w:val="004F14D2"/>
    <w:rsid w:val="004F15F0"/>
    <w:rsid w:val="004F16F4"/>
    <w:rsid w:val="004F17C6"/>
    <w:rsid w:val="004F195A"/>
    <w:rsid w:val="004F1A8C"/>
    <w:rsid w:val="004F1B1E"/>
    <w:rsid w:val="004F1F6E"/>
    <w:rsid w:val="004F25CB"/>
    <w:rsid w:val="004F2BD0"/>
    <w:rsid w:val="004F2D33"/>
    <w:rsid w:val="004F2ED5"/>
    <w:rsid w:val="004F3203"/>
    <w:rsid w:val="004F321A"/>
    <w:rsid w:val="004F32F6"/>
    <w:rsid w:val="004F33E5"/>
    <w:rsid w:val="004F3582"/>
    <w:rsid w:val="004F358F"/>
    <w:rsid w:val="004F372A"/>
    <w:rsid w:val="004F372D"/>
    <w:rsid w:val="004F3B15"/>
    <w:rsid w:val="004F3B44"/>
    <w:rsid w:val="004F3C85"/>
    <w:rsid w:val="004F3E6B"/>
    <w:rsid w:val="004F3F1F"/>
    <w:rsid w:val="004F4142"/>
    <w:rsid w:val="004F43F8"/>
    <w:rsid w:val="004F498D"/>
    <w:rsid w:val="004F4B27"/>
    <w:rsid w:val="004F4C88"/>
    <w:rsid w:val="004F4D8B"/>
    <w:rsid w:val="004F5039"/>
    <w:rsid w:val="004F53D2"/>
    <w:rsid w:val="004F555E"/>
    <w:rsid w:val="004F578C"/>
    <w:rsid w:val="004F57FA"/>
    <w:rsid w:val="004F580D"/>
    <w:rsid w:val="004F581B"/>
    <w:rsid w:val="004F5A8E"/>
    <w:rsid w:val="004F5B88"/>
    <w:rsid w:val="004F5E7A"/>
    <w:rsid w:val="004F5E8F"/>
    <w:rsid w:val="004F5FA6"/>
    <w:rsid w:val="004F6101"/>
    <w:rsid w:val="004F6173"/>
    <w:rsid w:val="004F6178"/>
    <w:rsid w:val="004F6942"/>
    <w:rsid w:val="004F6B8F"/>
    <w:rsid w:val="004F6BEC"/>
    <w:rsid w:val="004F6C07"/>
    <w:rsid w:val="004F6D01"/>
    <w:rsid w:val="004F6DEA"/>
    <w:rsid w:val="004F6FC0"/>
    <w:rsid w:val="004F7379"/>
    <w:rsid w:val="004F74BB"/>
    <w:rsid w:val="004F7511"/>
    <w:rsid w:val="004F75B1"/>
    <w:rsid w:val="004F796B"/>
    <w:rsid w:val="004F7A17"/>
    <w:rsid w:val="004F7A58"/>
    <w:rsid w:val="004F7A8C"/>
    <w:rsid w:val="004F7B0A"/>
    <w:rsid w:val="004F7F21"/>
    <w:rsid w:val="00500379"/>
    <w:rsid w:val="005003EE"/>
    <w:rsid w:val="00500953"/>
    <w:rsid w:val="005009ED"/>
    <w:rsid w:val="00500B9B"/>
    <w:rsid w:val="00500BE6"/>
    <w:rsid w:val="00500CC6"/>
    <w:rsid w:val="00501050"/>
    <w:rsid w:val="005017C5"/>
    <w:rsid w:val="00501937"/>
    <w:rsid w:val="0050193F"/>
    <w:rsid w:val="00501AD1"/>
    <w:rsid w:val="00501BE0"/>
    <w:rsid w:val="00501CB2"/>
    <w:rsid w:val="00501CEF"/>
    <w:rsid w:val="00501E5C"/>
    <w:rsid w:val="005020EC"/>
    <w:rsid w:val="00502143"/>
    <w:rsid w:val="00502250"/>
    <w:rsid w:val="0050226E"/>
    <w:rsid w:val="0050231C"/>
    <w:rsid w:val="0050271A"/>
    <w:rsid w:val="005027E4"/>
    <w:rsid w:val="00502A4F"/>
    <w:rsid w:val="00502A8E"/>
    <w:rsid w:val="00502D2C"/>
    <w:rsid w:val="00502D50"/>
    <w:rsid w:val="00503046"/>
    <w:rsid w:val="005034CA"/>
    <w:rsid w:val="00503832"/>
    <w:rsid w:val="0050398C"/>
    <w:rsid w:val="00503A09"/>
    <w:rsid w:val="00503A2A"/>
    <w:rsid w:val="00503C17"/>
    <w:rsid w:val="00503DF3"/>
    <w:rsid w:val="00503E41"/>
    <w:rsid w:val="00503F29"/>
    <w:rsid w:val="00503F86"/>
    <w:rsid w:val="00503FDC"/>
    <w:rsid w:val="00504689"/>
    <w:rsid w:val="00504861"/>
    <w:rsid w:val="00504B4F"/>
    <w:rsid w:val="00504B54"/>
    <w:rsid w:val="00504C82"/>
    <w:rsid w:val="00504F16"/>
    <w:rsid w:val="00505015"/>
    <w:rsid w:val="005050BF"/>
    <w:rsid w:val="0050517B"/>
    <w:rsid w:val="00505322"/>
    <w:rsid w:val="00505505"/>
    <w:rsid w:val="00505617"/>
    <w:rsid w:val="00505638"/>
    <w:rsid w:val="0050576C"/>
    <w:rsid w:val="00505CAA"/>
    <w:rsid w:val="00505D14"/>
    <w:rsid w:val="00505E23"/>
    <w:rsid w:val="00506030"/>
    <w:rsid w:val="00506233"/>
    <w:rsid w:val="00506849"/>
    <w:rsid w:val="005069EA"/>
    <w:rsid w:val="00506C58"/>
    <w:rsid w:val="00506F8A"/>
    <w:rsid w:val="00506FBA"/>
    <w:rsid w:val="0050756B"/>
    <w:rsid w:val="0050768A"/>
    <w:rsid w:val="00507698"/>
    <w:rsid w:val="005077F3"/>
    <w:rsid w:val="00507800"/>
    <w:rsid w:val="0050783F"/>
    <w:rsid w:val="00507A79"/>
    <w:rsid w:val="00507C4B"/>
    <w:rsid w:val="00507D5D"/>
    <w:rsid w:val="00507E1C"/>
    <w:rsid w:val="00507E88"/>
    <w:rsid w:val="00510338"/>
    <w:rsid w:val="00510657"/>
    <w:rsid w:val="0051071D"/>
    <w:rsid w:val="005107C7"/>
    <w:rsid w:val="00510A13"/>
    <w:rsid w:val="00510A73"/>
    <w:rsid w:val="00510E51"/>
    <w:rsid w:val="00511084"/>
    <w:rsid w:val="0051126F"/>
    <w:rsid w:val="00511344"/>
    <w:rsid w:val="0051147A"/>
    <w:rsid w:val="00511737"/>
    <w:rsid w:val="00511761"/>
    <w:rsid w:val="00511DC7"/>
    <w:rsid w:val="005128AA"/>
    <w:rsid w:val="00512A37"/>
    <w:rsid w:val="00512D79"/>
    <w:rsid w:val="00512DC5"/>
    <w:rsid w:val="00512FF4"/>
    <w:rsid w:val="00513005"/>
    <w:rsid w:val="0051304E"/>
    <w:rsid w:val="0051307A"/>
    <w:rsid w:val="0051309F"/>
    <w:rsid w:val="005130E4"/>
    <w:rsid w:val="00513476"/>
    <w:rsid w:val="005134E5"/>
    <w:rsid w:val="0051396A"/>
    <w:rsid w:val="005139DE"/>
    <w:rsid w:val="00513BE3"/>
    <w:rsid w:val="00513DEF"/>
    <w:rsid w:val="00513E63"/>
    <w:rsid w:val="00513E8D"/>
    <w:rsid w:val="005141B4"/>
    <w:rsid w:val="005142EA"/>
    <w:rsid w:val="0051431F"/>
    <w:rsid w:val="00514575"/>
    <w:rsid w:val="0051468B"/>
    <w:rsid w:val="005146EC"/>
    <w:rsid w:val="00514809"/>
    <w:rsid w:val="005148DC"/>
    <w:rsid w:val="005148F9"/>
    <w:rsid w:val="005149D6"/>
    <w:rsid w:val="00514A0B"/>
    <w:rsid w:val="00514B1E"/>
    <w:rsid w:val="00514B5E"/>
    <w:rsid w:val="00514F9D"/>
    <w:rsid w:val="00515064"/>
    <w:rsid w:val="005150F4"/>
    <w:rsid w:val="00515522"/>
    <w:rsid w:val="0051566F"/>
    <w:rsid w:val="00515833"/>
    <w:rsid w:val="00515C3E"/>
    <w:rsid w:val="00515CB5"/>
    <w:rsid w:val="005161B4"/>
    <w:rsid w:val="005164A9"/>
    <w:rsid w:val="005164E1"/>
    <w:rsid w:val="00516570"/>
    <w:rsid w:val="005168CC"/>
    <w:rsid w:val="00516E1B"/>
    <w:rsid w:val="00516F28"/>
    <w:rsid w:val="0051703E"/>
    <w:rsid w:val="0051709D"/>
    <w:rsid w:val="005170E5"/>
    <w:rsid w:val="00517136"/>
    <w:rsid w:val="00517344"/>
    <w:rsid w:val="005173A9"/>
    <w:rsid w:val="00517B9B"/>
    <w:rsid w:val="00517C79"/>
    <w:rsid w:val="00517CC3"/>
    <w:rsid w:val="00517D3F"/>
    <w:rsid w:val="00517D94"/>
    <w:rsid w:val="00517DBE"/>
    <w:rsid w:val="00517DF0"/>
    <w:rsid w:val="00517DF4"/>
    <w:rsid w:val="00517EFB"/>
    <w:rsid w:val="00517F7B"/>
    <w:rsid w:val="00520042"/>
    <w:rsid w:val="005201CD"/>
    <w:rsid w:val="00520317"/>
    <w:rsid w:val="0052042D"/>
    <w:rsid w:val="005205DF"/>
    <w:rsid w:val="00520A1F"/>
    <w:rsid w:val="00520A40"/>
    <w:rsid w:val="00520CDF"/>
    <w:rsid w:val="00520FE0"/>
    <w:rsid w:val="0052106D"/>
    <w:rsid w:val="0052137A"/>
    <w:rsid w:val="005213F1"/>
    <w:rsid w:val="00521512"/>
    <w:rsid w:val="0052161A"/>
    <w:rsid w:val="00521872"/>
    <w:rsid w:val="005219C5"/>
    <w:rsid w:val="00521A1A"/>
    <w:rsid w:val="00521A7F"/>
    <w:rsid w:val="00521BC1"/>
    <w:rsid w:val="005221BA"/>
    <w:rsid w:val="00522557"/>
    <w:rsid w:val="005226F4"/>
    <w:rsid w:val="005227A8"/>
    <w:rsid w:val="005228B6"/>
    <w:rsid w:val="00522AD3"/>
    <w:rsid w:val="00522CC2"/>
    <w:rsid w:val="00522D52"/>
    <w:rsid w:val="00522DD6"/>
    <w:rsid w:val="00522EB1"/>
    <w:rsid w:val="00522EEA"/>
    <w:rsid w:val="005230A4"/>
    <w:rsid w:val="00523134"/>
    <w:rsid w:val="00523226"/>
    <w:rsid w:val="00523528"/>
    <w:rsid w:val="005235FE"/>
    <w:rsid w:val="0052370B"/>
    <w:rsid w:val="00523E97"/>
    <w:rsid w:val="005240D1"/>
    <w:rsid w:val="005240F3"/>
    <w:rsid w:val="0052418E"/>
    <w:rsid w:val="00524217"/>
    <w:rsid w:val="00524721"/>
    <w:rsid w:val="00524859"/>
    <w:rsid w:val="005249AC"/>
    <w:rsid w:val="00524BFA"/>
    <w:rsid w:val="00524C5A"/>
    <w:rsid w:val="00524C73"/>
    <w:rsid w:val="00524CC0"/>
    <w:rsid w:val="00524D5A"/>
    <w:rsid w:val="00524D64"/>
    <w:rsid w:val="00524F5E"/>
    <w:rsid w:val="0052522D"/>
    <w:rsid w:val="00525578"/>
    <w:rsid w:val="005259FD"/>
    <w:rsid w:val="00525B2A"/>
    <w:rsid w:val="00525B4C"/>
    <w:rsid w:val="00525C1A"/>
    <w:rsid w:val="00525CB9"/>
    <w:rsid w:val="00525F58"/>
    <w:rsid w:val="00525FE2"/>
    <w:rsid w:val="00526378"/>
    <w:rsid w:val="00526590"/>
    <w:rsid w:val="005267B6"/>
    <w:rsid w:val="00526AA4"/>
    <w:rsid w:val="00526AE0"/>
    <w:rsid w:val="00526B53"/>
    <w:rsid w:val="00526CE2"/>
    <w:rsid w:val="00526D34"/>
    <w:rsid w:val="00526ECA"/>
    <w:rsid w:val="00526F55"/>
    <w:rsid w:val="00527075"/>
    <w:rsid w:val="005270B1"/>
    <w:rsid w:val="00527317"/>
    <w:rsid w:val="005273B3"/>
    <w:rsid w:val="00527850"/>
    <w:rsid w:val="00527991"/>
    <w:rsid w:val="00527A9E"/>
    <w:rsid w:val="00527B15"/>
    <w:rsid w:val="00527B1E"/>
    <w:rsid w:val="00527DE8"/>
    <w:rsid w:val="00527EFB"/>
    <w:rsid w:val="00527FF1"/>
    <w:rsid w:val="0053002B"/>
    <w:rsid w:val="00530733"/>
    <w:rsid w:val="005307B3"/>
    <w:rsid w:val="00530965"/>
    <w:rsid w:val="005309E5"/>
    <w:rsid w:val="00530B0B"/>
    <w:rsid w:val="00530BDA"/>
    <w:rsid w:val="00530D90"/>
    <w:rsid w:val="00530EF3"/>
    <w:rsid w:val="0053122B"/>
    <w:rsid w:val="0053163F"/>
    <w:rsid w:val="0053198D"/>
    <w:rsid w:val="00531BE2"/>
    <w:rsid w:val="00531CE9"/>
    <w:rsid w:val="00531DB3"/>
    <w:rsid w:val="00531E6C"/>
    <w:rsid w:val="005320FB"/>
    <w:rsid w:val="00532398"/>
    <w:rsid w:val="0053271E"/>
    <w:rsid w:val="00532753"/>
    <w:rsid w:val="005327D5"/>
    <w:rsid w:val="005329E0"/>
    <w:rsid w:val="00532A0F"/>
    <w:rsid w:val="00532AE0"/>
    <w:rsid w:val="00532CA1"/>
    <w:rsid w:val="00532D68"/>
    <w:rsid w:val="00532FCB"/>
    <w:rsid w:val="005336ED"/>
    <w:rsid w:val="00533866"/>
    <w:rsid w:val="00533890"/>
    <w:rsid w:val="005338E6"/>
    <w:rsid w:val="00533A4D"/>
    <w:rsid w:val="00533A69"/>
    <w:rsid w:val="00533AD9"/>
    <w:rsid w:val="00533B11"/>
    <w:rsid w:val="00533B5D"/>
    <w:rsid w:val="00533BAD"/>
    <w:rsid w:val="00533DA2"/>
    <w:rsid w:val="00533ED4"/>
    <w:rsid w:val="00533F21"/>
    <w:rsid w:val="005341C8"/>
    <w:rsid w:val="0053420D"/>
    <w:rsid w:val="00534233"/>
    <w:rsid w:val="00534357"/>
    <w:rsid w:val="00534449"/>
    <w:rsid w:val="005344DA"/>
    <w:rsid w:val="00534558"/>
    <w:rsid w:val="005345BF"/>
    <w:rsid w:val="005346D9"/>
    <w:rsid w:val="0053485C"/>
    <w:rsid w:val="00534AB2"/>
    <w:rsid w:val="00534B3F"/>
    <w:rsid w:val="00534BA6"/>
    <w:rsid w:val="00534C5D"/>
    <w:rsid w:val="00534F32"/>
    <w:rsid w:val="00534FDB"/>
    <w:rsid w:val="005350B6"/>
    <w:rsid w:val="00535181"/>
    <w:rsid w:val="00535359"/>
    <w:rsid w:val="005353EB"/>
    <w:rsid w:val="00535404"/>
    <w:rsid w:val="00535412"/>
    <w:rsid w:val="0053545F"/>
    <w:rsid w:val="005357AD"/>
    <w:rsid w:val="00535933"/>
    <w:rsid w:val="005359F0"/>
    <w:rsid w:val="00535A9C"/>
    <w:rsid w:val="0053600B"/>
    <w:rsid w:val="0053642E"/>
    <w:rsid w:val="005364FA"/>
    <w:rsid w:val="0053673A"/>
    <w:rsid w:val="00536B7A"/>
    <w:rsid w:val="00536BB0"/>
    <w:rsid w:val="00536C86"/>
    <w:rsid w:val="005370DE"/>
    <w:rsid w:val="00537544"/>
    <w:rsid w:val="00537647"/>
    <w:rsid w:val="00537670"/>
    <w:rsid w:val="00537A7A"/>
    <w:rsid w:val="00537F1F"/>
    <w:rsid w:val="005400F1"/>
    <w:rsid w:val="00540333"/>
    <w:rsid w:val="00540523"/>
    <w:rsid w:val="0054078A"/>
    <w:rsid w:val="00540795"/>
    <w:rsid w:val="005408E7"/>
    <w:rsid w:val="00540ADE"/>
    <w:rsid w:val="00540AE1"/>
    <w:rsid w:val="00540D71"/>
    <w:rsid w:val="00540D9D"/>
    <w:rsid w:val="00540E1C"/>
    <w:rsid w:val="00540E23"/>
    <w:rsid w:val="00540EBD"/>
    <w:rsid w:val="00540F8B"/>
    <w:rsid w:val="00541259"/>
    <w:rsid w:val="005413D6"/>
    <w:rsid w:val="00541421"/>
    <w:rsid w:val="005416F4"/>
    <w:rsid w:val="00541B15"/>
    <w:rsid w:val="00541E85"/>
    <w:rsid w:val="00541F01"/>
    <w:rsid w:val="0054213A"/>
    <w:rsid w:val="005421B2"/>
    <w:rsid w:val="00542542"/>
    <w:rsid w:val="005425E5"/>
    <w:rsid w:val="00542820"/>
    <w:rsid w:val="00542952"/>
    <w:rsid w:val="00542AE0"/>
    <w:rsid w:val="00542B73"/>
    <w:rsid w:val="00542C16"/>
    <w:rsid w:val="00542C4C"/>
    <w:rsid w:val="00542C5B"/>
    <w:rsid w:val="00542D90"/>
    <w:rsid w:val="00542DB7"/>
    <w:rsid w:val="00542F03"/>
    <w:rsid w:val="00542FEA"/>
    <w:rsid w:val="00542FF2"/>
    <w:rsid w:val="005430C9"/>
    <w:rsid w:val="005431CD"/>
    <w:rsid w:val="005432C4"/>
    <w:rsid w:val="00543318"/>
    <w:rsid w:val="00543375"/>
    <w:rsid w:val="00543457"/>
    <w:rsid w:val="00543A29"/>
    <w:rsid w:val="00543EE6"/>
    <w:rsid w:val="00543EEA"/>
    <w:rsid w:val="005440FE"/>
    <w:rsid w:val="00544366"/>
    <w:rsid w:val="0054448A"/>
    <w:rsid w:val="005447CF"/>
    <w:rsid w:val="0054480D"/>
    <w:rsid w:val="0054483F"/>
    <w:rsid w:val="00544A88"/>
    <w:rsid w:val="00544C99"/>
    <w:rsid w:val="00544D42"/>
    <w:rsid w:val="00544D73"/>
    <w:rsid w:val="00544E35"/>
    <w:rsid w:val="00544FC9"/>
    <w:rsid w:val="0054524F"/>
    <w:rsid w:val="00545361"/>
    <w:rsid w:val="00545411"/>
    <w:rsid w:val="00545436"/>
    <w:rsid w:val="00545906"/>
    <w:rsid w:val="00545999"/>
    <w:rsid w:val="00545AEE"/>
    <w:rsid w:val="00545BC5"/>
    <w:rsid w:val="00545E78"/>
    <w:rsid w:val="005460F2"/>
    <w:rsid w:val="00546195"/>
    <w:rsid w:val="005463E3"/>
    <w:rsid w:val="00546613"/>
    <w:rsid w:val="00546966"/>
    <w:rsid w:val="00546A3D"/>
    <w:rsid w:val="00546AA6"/>
    <w:rsid w:val="00546C8A"/>
    <w:rsid w:val="00547185"/>
    <w:rsid w:val="00547230"/>
    <w:rsid w:val="005473C8"/>
    <w:rsid w:val="00547818"/>
    <w:rsid w:val="0054786C"/>
    <w:rsid w:val="005478CB"/>
    <w:rsid w:val="0054794F"/>
    <w:rsid w:val="005479A2"/>
    <w:rsid w:val="00550327"/>
    <w:rsid w:val="005503D5"/>
    <w:rsid w:val="0055050E"/>
    <w:rsid w:val="00550636"/>
    <w:rsid w:val="0055093D"/>
    <w:rsid w:val="00550A9F"/>
    <w:rsid w:val="00550AC9"/>
    <w:rsid w:val="005512E9"/>
    <w:rsid w:val="005515D4"/>
    <w:rsid w:val="0055179F"/>
    <w:rsid w:val="005517F1"/>
    <w:rsid w:val="00551896"/>
    <w:rsid w:val="00551AD4"/>
    <w:rsid w:val="00551B56"/>
    <w:rsid w:val="00551B9B"/>
    <w:rsid w:val="00551BC6"/>
    <w:rsid w:val="00551CEF"/>
    <w:rsid w:val="00552191"/>
    <w:rsid w:val="0055233F"/>
    <w:rsid w:val="00552498"/>
    <w:rsid w:val="0055285E"/>
    <w:rsid w:val="0055296A"/>
    <w:rsid w:val="00552973"/>
    <w:rsid w:val="00552BF6"/>
    <w:rsid w:val="00552D93"/>
    <w:rsid w:val="00552D97"/>
    <w:rsid w:val="00553013"/>
    <w:rsid w:val="0055303B"/>
    <w:rsid w:val="00553275"/>
    <w:rsid w:val="005532E8"/>
    <w:rsid w:val="00553364"/>
    <w:rsid w:val="0055336F"/>
    <w:rsid w:val="0055364B"/>
    <w:rsid w:val="005537C2"/>
    <w:rsid w:val="0055381E"/>
    <w:rsid w:val="005538E6"/>
    <w:rsid w:val="00553934"/>
    <w:rsid w:val="00553951"/>
    <w:rsid w:val="00553A3E"/>
    <w:rsid w:val="00553B0B"/>
    <w:rsid w:val="00553C67"/>
    <w:rsid w:val="00553CFE"/>
    <w:rsid w:val="00553D3C"/>
    <w:rsid w:val="00553D6E"/>
    <w:rsid w:val="00553E7A"/>
    <w:rsid w:val="00553ED8"/>
    <w:rsid w:val="00553F5D"/>
    <w:rsid w:val="00553F89"/>
    <w:rsid w:val="005547AC"/>
    <w:rsid w:val="005547CF"/>
    <w:rsid w:val="00554A04"/>
    <w:rsid w:val="00554B19"/>
    <w:rsid w:val="00554D97"/>
    <w:rsid w:val="005554CE"/>
    <w:rsid w:val="0055566D"/>
    <w:rsid w:val="00555872"/>
    <w:rsid w:val="00555A7C"/>
    <w:rsid w:val="00555C81"/>
    <w:rsid w:val="00555D70"/>
    <w:rsid w:val="00555EB4"/>
    <w:rsid w:val="00555EDB"/>
    <w:rsid w:val="00555F47"/>
    <w:rsid w:val="00555F6F"/>
    <w:rsid w:val="00556019"/>
    <w:rsid w:val="00556223"/>
    <w:rsid w:val="0055636D"/>
    <w:rsid w:val="005563F2"/>
    <w:rsid w:val="005564E1"/>
    <w:rsid w:val="00556B8C"/>
    <w:rsid w:val="00556DB1"/>
    <w:rsid w:val="00557436"/>
    <w:rsid w:val="0055751E"/>
    <w:rsid w:val="0055762A"/>
    <w:rsid w:val="005576F2"/>
    <w:rsid w:val="00557804"/>
    <w:rsid w:val="00557A01"/>
    <w:rsid w:val="00557C72"/>
    <w:rsid w:val="00557C86"/>
    <w:rsid w:val="00557D33"/>
    <w:rsid w:val="0056026D"/>
    <w:rsid w:val="00560271"/>
    <w:rsid w:val="005602ED"/>
    <w:rsid w:val="0056092C"/>
    <w:rsid w:val="00560961"/>
    <w:rsid w:val="00560AB0"/>
    <w:rsid w:val="00560B4C"/>
    <w:rsid w:val="00560C11"/>
    <w:rsid w:val="00560DFA"/>
    <w:rsid w:val="0056108B"/>
    <w:rsid w:val="005610D7"/>
    <w:rsid w:val="005611CB"/>
    <w:rsid w:val="00561381"/>
    <w:rsid w:val="0056139F"/>
    <w:rsid w:val="005617FD"/>
    <w:rsid w:val="00561B01"/>
    <w:rsid w:val="00561BDB"/>
    <w:rsid w:val="00561D56"/>
    <w:rsid w:val="00561E07"/>
    <w:rsid w:val="005621C7"/>
    <w:rsid w:val="005624C1"/>
    <w:rsid w:val="00562588"/>
    <w:rsid w:val="005628C3"/>
    <w:rsid w:val="005629B5"/>
    <w:rsid w:val="00562C73"/>
    <w:rsid w:val="00562F17"/>
    <w:rsid w:val="00562FF3"/>
    <w:rsid w:val="005630A1"/>
    <w:rsid w:val="00563367"/>
    <w:rsid w:val="005635E9"/>
    <w:rsid w:val="005635EE"/>
    <w:rsid w:val="00563A1A"/>
    <w:rsid w:val="00563B15"/>
    <w:rsid w:val="00563D4A"/>
    <w:rsid w:val="00563D75"/>
    <w:rsid w:val="00563F11"/>
    <w:rsid w:val="00563F5D"/>
    <w:rsid w:val="005641B4"/>
    <w:rsid w:val="005642C1"/>
    <w:rsid w:val="00564676"/>
    <w:rsid w:val="00564689"/>
    <w:rsid w:val="0056470E"/>
    <w:rsid w:val="00564787"/>
    <w:rsid w:val="00564795"/>
    <w:rsid w:val="00564931"/>
    <w:rsid w:val="005649FB"/>
    <w:rsid w:val="00564BB3"/>
    <w:rsid w:val="00564BF2"/>
    <w:rsid w:val="00564CDA"/>
    <w:rsid w:val="00564E06"/>
    <w:rsid w:val="00564E7B"/>
    <w:rsid w:val="005653C7"/>
    <w:rsid w:val="0056541E"/>
    <w:rsid w:val="005656BE"/>
    <w:rsid w:val="005658EF"/>
    <w:rsid w:val="00565971"/>
    <w:rsid w:val="00565B2C"/>
    <w:rsid w:val="00565B3D"/>
    <w:rsid w:val="0056600C"/>
    <w:rsid w:val="0056607D"/>
    <w:rsid w:val="005660C9"/>
    <w:rsid w:val="00566251"/>
    <w:rsid w:val="0056632D"/>
    <w:rsid w:val="00566AFD"/>
    <w:rsid w:val="00566C36"/>
    <w:rsid w:val="00566E5F"/>
    <w:rsid w:val="00567002"/>
    <w:rsid w:val="005672D9"/>
    <w:rsid w:val="00567580"/>
    <w:rsid w:val="005676EB"/>
    <w:rsid w:val="005678EA"/>
    <w:rsid w:val="00567934"/>
    <w:rsid w:val="00567F9F"/>
    <w:rsid w:val="00567FCD"/>
    <w:rsid w:val="00567FE6"/>
    <w:rsid w:val="00570478"/>
    <w:rsid w:val="005705A0"/>
    <w:rsid w:val="00570621"/>
    <w:rsid w:val="005708F0"/>
    <w:rsid w:val="00570901"/>
    <w:rsid w:val="00570B4D"/>
    <w:rsid w:val="00570BF5"/>
    <w:rsid w:val="00570C06"/>
    <w:rsid w:val="00570CC4"/>
    <w:rsid w:val="00570D17"/>
    <w:rsid w:val="00570D8B"/>
    <w:rsid w:val="00570F47"/>
    <w:rsid w:val="00570F79"/>
    <w:rsid w:val="00570FB3"/>
    <w:rsid w:val="005711B0"/>
    <w:rsid w:val="005711B6"/>
    <w:rsid w:val="0057121C"/>
    <w:rsid w:val="00571335"/>
    <w:rsid w:val="00571475"/>
    <w:rsid w:val="0057163D"/>
    <w:rsid w:val="00571973"/>
    <w:rsid w:val="005719F7"/>
    <w:rsid w:val="00571AF0"/>
    <w:rsid w:val="00571B08"/>
    <w:rsid w:val="00571B9E"/>
    <w:rsid w:val="00571F52"/>
    <w:rsid w:val="005720E6"/>
    <w:rsid w:val="00572157"/>
    <w:rsid w:val="005721E0"/>
    <w:rsid w:val="005721EF"/>
    <w:rsid w:val="005722C1"/>
    <w:rsid w:val="00572550"/>
    <w:rsid w:val="005728EA"/>
    <w:rsid w:val="00572937"/>
    <w:rsid w:val="00572BCA"/>
    <w:rsid w:val="00572BD2"/>
    <w:rsid w:val="00572BEE"/>
    <w:rsid w:val="00572E84"/>
    <w:rsid w:val="00572FBB"/>
    <w:rsid w:val="00573062"/>
    <w:rsid w:val="00573231"/>
    <w:rsid w:val="00573298"/>
    <w:rsid w:val="005733C9"/>
    <w:rsid w:val="00573536"/>
    <w:rsid w:val="00573582"/>
    <w:rsid w:val="0057372C"/>
    <w:rsid w:val="0057380A"/>
    <w:rsid w:val="00573A2A"/>
    <w:rsid w:val="00573AC1"/>
    <w:rsid w:val="00573C76"/>
    <w:rsid w:val="00573D04"/>
    <w:rsid w:val="00574289"/>
    <w:rsid w:val="005742CD"/>
    <w:rsid w:val="0057435E"/>
    <w:rsid w:val="005746D5"/>
    <w:rsid w:val="005747C6"/>
    <w:rsid w:val="00574849"/>
    <w:rsid w:val="00574924"/>
    <w:rsid w:val="00574C46"/>
    <w:rsid w:val="00574CE5"/>
    <w:rsid w:val="00574D73"/>
    <w:rsid w:val="005751FD"/>
    <w:rsid w:val="005752AB"/>
    <w:rsid w:val="005753C4"/>
    <w:rsid w:val="0057557E"/>
    <w:rsid w:val="00575667"/>
    <w:rsid w:val="00575687"/>
    <w:rsid w:val="00575712"/>
    <w:rsid w:val="0057576C"/>
    <w:rsid w:val="00575B72"/>
    <w:rsid w:val="00575BC5"/>
    <w:rsid w:val="00575D63"/>
    <w:rsid w:val="00575DC8"/>
    <w:rsid w:val="00575F6B"/>
    <w:rsid w:val="00576251"/>
    <w:rsid w:val="0057655B"/>
    <w:rsid w:val="00576704"/>
    <w:rsid w:val="00576994"/>
    <w:rsid w:val="00576A59"/>
    <w:rsid w:val="00576BD7"/>
    <w:rsid w:val="00576CBF"/>
    <w:rsid w:val="00576DBC"/>
    <w:rsid w:val="00576EF8"/>
    <w:rsid w:val="0057746B"/>
    <w:rsid w:val="005775B2"/>
    <w:rsid w:val="005776E2"/>
    <w:rsid w:val="005776EB"/>
    <w:rsid w:val="00577778"/>
    <w:rsid w:val="00577942"/>
    <w:rsid w:val="00577B7F"/>
    <w:rsid w:val="00580515"/>
    <w:rsid w:val="005805F7"/>
    <w:rsid w:val="00580662"/>
    <w:rsid w:val="00580A4B"/>
    <w:rsid w:val="00580ADB"/>
    <w:rsid w:val="00581226"/>
    <w:rsid w:val="00581280"/>
    <w:rsid w:val="005813C0"/>
    <w:rsid w:val="005816A6"/>
    <w:rsid w:val="005819F6"/>
    <w:rsid w:val="00581A04"/>
    <w:rsid w:val="00581AEF"/>
    <w:rsid w:val="00581BDC"/>
    <w:rsid w:val="00581EE1"/>
    <w:rsid w:val="00581EF8"/>
    <w:rsid w:val="00581FC6"/>
    <w:rsid w:val="00582352"/>
    <w:rsid w:val="00582379"/>
    <w:rsid w:val="005824F9"/>
    <w:rsid w:val="00582569"/>
    <w:rsid w:val="005825EE"/>
    <w:rsid w:val="0058288C"/>
    <w:rsid w:val="005828D0"/>
    <w:rsid w:val="00582921"/>
    <w:rsid w:val="00582E2A"/>
    <w:rsid w:val="0058303F"/>
    <w:rsid w:val="005830C4"/>
    <w:rsid w:val="00583386"/>
    <w:rsid w:val="005834BA"/>
    <w:rsid w:val="00583573"/>
    <w:rsid w:val="005835A8"/>
    <w:rsid w:val="0058381A"/>
    <w:rsid w:val="005839D5"/>
    <w:rsid w:val="005839FC"/>
    <w:rsid w:val="00583DED"/>
    <w:rsid w:val="00583FD3"/>
    <w:rsid w:val="00584198"/>
    <w:rsid w:val="00584266"/>
    <w:rsid w:val="00584578"/>
    <w:rsid w:val="00584633"/>
    <w:rsid w:val="005847B8"/>
    <w:rsid w:val="005848CF"/>
    <w:rsid w:val="00584DB0"/>
    <w:rsid w:val="00584E91"/>
    <w:rsid w:val="005851D8"/>
    <w:rsid w:val="005853F0"/>
    <w:rsid w:val="0058552C"/>
    <w:rsid w:val="00585570"/>
    <w:rsid w:val="005857B7"/>
    <w:rsid w:val="005858A1"/>
    <w:rsid w:val="00585985"/>
    <w:rsid w:val="00585BE2"/>
    <w:rsid w:val="00585D0D"/>
    <w:rsid w:val="00585D4D"/>
    <w:rsid w:val="00585D64"/>
    <w:rsid w:val="00586293"/>
    <w:rsid w:val="0058644F"/>
    <w:rsid w:val="00586683"/>
    <w:rsid w:val="00586F1B"/>
    <w:rsid w:val="0058714C"/>
    <w:rsid w:val="005875D2"/>
    <w:rsid w:val="0058766B"/>
    <w:rsid w:val="00587702"/>
    <w:rsid w:val="00587788"/>
    <w:rsid w:val="005877AF"/>
    <w:rsid w:val="00587A2E"/>
    <w:rsid w:val="00587C25"/>
    <w:rsid w:val="00587C4D"/>
    <w:rsid w:val="00587FF9"/>
    <w:rsid w:val="00590153"/>
    <w:rsid w:val="0059022F"/>
    <w:rsid w:val="00590340"/>
    <w:rsid w:val="005903EE"/>
    <w:rsid w:val="00590441"/>
    <w:rsid w:val="00590541"/>
    <w:rsid w:val="005905A5"/>
    <w:rsid w:val="005906EB"/>
    <w:rsid w:val="0059083A"/>
    <w:rsid w:val="00590875"/>
    <w:rsid w:val="00590893"/>
    <w:rsid w:val="0059097A"/>
    <w:rsid w:val="00590A0A"/>
    <w:rsid w:val="00590A52"/>
    <w:rsid w:val="00590AB9"/>
    <w:rsid w:val="00590C07"/>
    <w:rsid w:val="00590EB7"/>
    <w:rsid w:val="00591023"/>
    <w:rsid w:val="00591070"/>
    <w:rsid w:val="005910C2"/>
    <w:rsid w:val="005913C9"/>
    <w:rsid w:val="0059194C"/>
    <w:rsid w:val="005919B5"/>
    <w:rsid w:val="00591C30"/>
    <w:rsid w:val="00591D5F"/>
    <w:rsid w:val="00591E07"/>
    <w:rsid w:val="00592168"/>
    <w:rsid w:val="00592216"/>
    <w:rsid w:val="0059243F"/>
    <w:rsid w:val="0059254B"/>
    <w:rsid w:val="00592550"/>
    <w:rsid w:val="0059257C"/>
    <w:rsid w:val="0059264F"/>
    <w:rsid w:val="00592711"/>
    <w:rsid w:val="00592AF8"/>
    <w:rsid w:val="00592C6D"/>
    <w:rsid w:val="00592F9B"/>
    <w:rsid w:val="00593164"/>
    <w:rsid w:val="0059329B"/>
    <w:rsid w:val="005932D0"/>
    <w:rsid w:val="005932F6"/>
    <w:rsid w:val="0059344C"/>
    <w:rsid w:val="00593465"/>
    <w:rsid w:val="00593696"/>
    <w:rsid w:val="0059380C"/>
    <w:rsid w:val="005938A0"/>
    <w:rsid w:val="00593923"/>
    <w:rsid w:val="00593C04"/>
    <w:rsid w:val="00593EEA"/>
    <w:rsid w:val="00593F0B"/>
    <w:rsid w:val="00593FD3"/>
    <w:rsid w:val="00594002"/>
    <w:rsid w:val="0059408D"/>
    <w:rsid w:val="00594208"/>
    <w:rsid w:val="00594375"/>
    <w:rsid w:val="005944C3"/>
    <w:rsid w:val="005947F0"/>
    <w:rsid w:val="005948AF"/>
    <w:rsid w:val="00594915"/>
    <w:rsid w:val="00594AB8"/>
    <w:rsid w:val="00594C70"/>
    <w:rsid w:val="00594E13"/>
    <w:rsid w:val="00594F49"/>
    <w:rsid w:val="00595096"/>
    <w:rsid w:val="005955C5"/>
    <w:rsid w:val="0059560D"/>
    <w:rsid w:val="0059576E"/>
    <w:rsid w:val="00595866"/>
    <w:rsid w:val="00595976"/>
    <w:rsid w:val="00595CA6"/>
    <w:rsid w:val="00595DDC"/>
    <w:rsid w:val="00595E5D"/>
    <w:rsid w:val="00595E9A"/>
    <w:rsid w:val="00595F0A"/>
    <w:rsid w:val="005961BC"/>
    <w:rsid w:val="00596281"/>
    <w:rsid w:val="005964C2"/>
    <w:rsid w:val="00596579"/>
    <w:rsid w:val="00596653"/>
    <w:rsid w:val="00596A51"/>
    <w:rsid w:val="00596A61"/>
    <w:rsid w:val="00596BCD"/>
    <w:rsid w:val="00596D66"/>
    <w:rsid w:val="00596E2B"/>
    <w:rsid w:val="005973DE"/>
    <w:rsid w:val="0059750B"/>
    <w:rsid w:val="005976B0"/>
    <w:rsid w:val="0059773D"/>
    <w:rsid w:val="00597AFF"/>
    <w:rsid w:val="00597D7D"/>
    <w:rsid w:val="00597E3C"/>
    <w:rsid w:val="00597FB1"/>
    <w:rsid w:val="005A0024"/>
    <w:rsid w:val="005A0202"/>
    <w:rsid w:val="005A0210"/>
    <w:rsid w:val="005A02EC"/>
    <w:rsid w:val="005A041F"/>
    <w:rsid w:val="005A0810"/>
    <w:rsid w:val="005A083F"/>
    <w:rsid w:val="005A0A67"/>
    <w:rsid w:val="005A0CC2"/>
    <w:rsid w:val="005A0CCA"/>
    <w:rsid w:val="005A0CE7"/>
    <w:rsid w:val="005A0D61"/>
    <w:rsid w:val="005A0DE3"/>
    <w:rsid w:val="005A0DF7"/>
    <w:rsid w:val="005A0F0A"/>
    <w:rsid w:val="005A11B7"/>
    <w:rsid w:val="005A14EB"/>
    <w:rsid w:val="005A1726"/>
    <w:rsid w:val="005A173D"/>
    <w:rsid w:val="005A198C"/>
    <w:rsid w:val="005A1B75"/>
    <w:rsid w:val="005A1D8A"/>
    <w:rsid w:val="005A22B2"/>
    <w:rsid w:val="005A2926"/>
    <w:rsid w:val="005A29BB"/>
    <w:rsid w:val="005A2A3E"/>
    <w:rsid w:val="005A2DE1"/>
    <w:rsid w:val="005A2E24"/>
    <w:rsid w:val="005A2E7B"/>
    <w:rsid w:val="005A2EB3"/>
    <w:rsid w:val="005A2F1E"/>
    <w:rsid w:val="005A2FC8"/>
    <w:rsid w:val="005A2FE4"/>
    <w:rsid w:val="005A3121"/>
    <w:rsid w:val="005A313C"/>
    <w:rsid w:val="005A32E0"/>
    <w:rsid w:val="005A354A"/>
    <w:rsid w:val="005A3576"/>
    <w:rsid w:val="005A3690"/>
    <w:rsid w:val="005A3EF9"/>
    <w:rsid w:val="005A402F"/>
    <w:rsid w:val="005A4241"/>
    <w:rsid w:val="005A4339"/>
    <w:rsid w:val="005A43A4"/>
    <w:rsid w:val="005A43D2"/>
    <w:rsid w:val="005A45B4"/>
    <w:rsid w:val="005A46EA"/>
    <w:rsid w:val="005A4A16"/>
    <w:rsid w:val="005A4A56"/>
    <w:rsid w:val="005A5037"/>
    <w:rsid w:val="005A51FF"/>
    <w:rsid w:val="005A5635"/>
    <w:rsid w:val="005A58A2"/>
    <w:rsid w:val="005A5933"/>
    <w:rsid w:val="005A5958"/>
    <w:rsid w:val="005A5A2F"/>
    <w:rsid w:val="005A5FF6"/>
    <w:rsid w:val="005A6021"/>
    <w:rsid w:val="005A6127"/>
    <w:rsid w:val="005A6502"/>
    <w:rsid w:val="005A6527"/>
    <w:rsid w:val="005A672A"/>
    <w:rsid w:val="005A6739"/>
    <w:rsid w:val="005A6A2C"/>
    <w:rsid w:val="005A6D85"/>
    <w:rsid w:val="005A6F38"/>
    <w:rsid w:val="005A7261"/>
    <w:rsid w:val="005A72F1"/>
    <w:rsid w:val="005A7529"/>
    <w:rsid w:val="005A7FEF"/>
    <w:rsid w:val="005B0111"/>
    <w:rsid w:val="005B0170"/>
    <w:rsid w:val="005B02F3"/>
    <w:rsid w:val="005B05B5"/>
    <w:rsid w:val="005B05F3"/>
    <w:rsid w:val="005B0639"/>
    <w:rsid w:val="005B0815"/>
    <w:rsid w:val="005B0867"/>
    <w:rsid w:val="005B0878"/>
    <w:rsid w:val="005B08AF"/>
    <w:rsid w:val="005B0A9B"/>
    <w:rsid w:val="005B0D79"/>
    <w:rsid w:val="005B0E5A"/>
    <w:rsid w:val="005B0ED4"/>
    <w:rsid w:val="005B0F22"/>
    <w:rsid w:val="005B0FCA"/>
    <w:rsid w:val="005B1069"/>
    <w:rsid w:val="005B1130"/>
    <w:rsid w:val="005B1247"/>
    <w:rsid w:val="005B1534"/>
    <w:rsid w:val="005B1A01"/>
    <w:rsid w:val="005B1A19"/>
    <w:rsid w:val="005B1A78"/>
    <w:rsid w:val="005B1AB4"/>
    <w:rsid w:val="005B1BD3"/>
    <w:rsid w:val="005B1D12"/>
    <w:rsid w:val="005B1E65"/>
    <w:rsid w:val="005B2062"/>
    <w:rsid w:val="005B2089"/>
    <w:rsid w:val="005B2405"/>
    <w:rsid w:val="005B248D"/>
    <w:rsid w:val="005B2595"/>
    <w:rsid w:val="005B2707"/>
    <w:rsid w:val="005B2836"/>
    <w:rsid w:val="005B28F2"/>
    <w:rsid w:val="005B29B9"/>
    <w:rsid w:val="005B2BEF"/>
    <w:rsid w:val="005B302D"/>
    <w:rsid w:val="005B319E"/>
    <w:rsid w:val="005B31A0"/>
    <w:rsid w:val="005B31C9"/>
    <w:rsid w:val="005B3263"/>
    <w:rsid w:val="005B3688"/>
    <w:rsid w:val="005B37E1"/>
    <w:rsid w:val="005B38B2"/>
    <w:rsid w:val="005B3965"/>
    <w:rsid w:val="005B3AB0"/>
    <w:rsid w:val="005B3C0B"/>
    <w:rsid w:val="005B3CC6"/>
    <w:rsid w:val="005B41A9"/>
    <w:rsid w:val="005B43C8"/>
    <w:rsid w:val="005B45C9"/>
    <w:rsid w:val="005B4604"/>
    <w:rsid w:val="005B4605"/>
    <w:rsid w:val="005B46A7"/>
    <w:rsid w:val="005B4B45"/>
    <w:rsid w:val="005B4CF2"/>
    <w:rsid w:val="005B4DAE"/>
    <w:rsid w:val="005B4EE5"/>
    <w:rsid w:val="005B5269"/>
    <w:rsid w:val="005B5534"/>
    <w:rsid w:val="005B558C"/>
    <w:rsid w:val="005B580B"/>
    <w:rsid w:val="005B5D46"/>
    <w:rsid w:val="005B5ED8"/>
    <w:rsid w:val="005B5F54"/>
    <w:rsid w:val="005B60CB"/>
    <w:rsid w:val="005B624C"/>
    <w:rsid w:val="005B6352"/>
    <w:rsid w:val="005B63BA"/>
    <w:rsid w:val="005B64A2"/>
    <w:rsid w:val="005B652E"/>
    <w:rsid w:val="005B6565"/>
    <w:rsid w:val="005B660F"/>
    <w:rsid w:val="005B66C1"/>
    <w:rsid w:val="005B6A54"/>
    <w:rsid w:val="005B6AFF"/>
    <w:rsid w:val="005B6CC0"/>
    <w:rsid w:val="005B6D1E"/>
    <w:rsid w:val="005B6F27"/>
    <w:rsid w:val="005B6FA4"/>
    <w:rsid w:val="005B71DE"/>
    <w:rsid w:val="005B778C"/>
    <w:rsid w:val="005B77B6"/>
    <w:rsid w:val="005B7802"/>
    <w:rsid w:val="005B7A78"/>
    <w:rsid w:val="005B7AD4"/>
    <w:rsid w:val="005B7B39"/>
    <w:rsid w:val="005B7E2B"/>
    <w:rsid w:val="005C00B6"/>
    <w:rsid w:val="005C04FF"/>
    <w:rsid w:val="005C05B9"/>
    <w:rsid w:val="005C0937"/>
    <w:rsid w:val="005C0BC7"/>
    <w:rsid w:val="005C0E6B"/>
    <w:rsid w:val="005C0F40"/>
    <w:rsid w:val="005C1243"/>
    <w:rsid w:val="005C12AA"/>
    <w:rsid w:val="005C1588"/>
    <w:rsid w:val="005C17D1"/>
    <w:rsid w:val="005C17FE"/>
    <w:rsid w:val="005C18CC"/>
    <w:rsid w:val="005C19FA"/>
    <w:rsid w:val="005C1C2A"/>
    <w:rsid w:val="005C1C4D"/>
    <w:rsid w:val="005C1EB4"/>
    <w:rsid w:val="005C1ECA"/>
    <w:rsid w:val="005C20CA"/>
    <w:rsid w:val="005C242B"/>
    <w:rsid w:val="005C25A2"/>
    <w:rsid w:val="005C26D2"/>
    <w:rsid w:val="005C2798"/>
    <w:rsid w:val="005C2A82"/>
    <w:rsid w:val="005C2BE0"/>
    <w:rsid w:val="005C2F2D"/>
    <w:rsid w:val="005C2F72"/>
    <w:rsid w:val="005C2F76"/>
    <w:rsid w:val="005C3046"/>
    <w:rsid w:val="005C3076"/>
    <w:rsid w:val="005C32AE"/>
    <w:rsid w:val="005C3323"/>
    <w:rsid w:val="005C3402"/>
    <w:rsid w:val="005C375E"/>
    <w:rsid w:val="005C3861"/>
    <w:rsid w:val="005C38D5"/>
    <w:rsid w:val="005C3CFC"/>
    <w:rsid w:val="005C3F2B"/>
    <w:rsid w:val="005C3F69"/>
    <w:rsid w:val="005C40FA"/>
    <w:rsid w:val="005C4174"/>
    <w:rsid w:val="005C4250"/>
    <w:rsid w:val="005C429E"/>
    <w:rsid w:val="005C42D2"/>
    <w:rsid w:val="005C4324"/>
    <w:rsid w:val="005C44B1"/>
    <w:rsid w:val="005C44B8"/>
    <w:rsid w:val="005C4579"/>
    <w:rsid w:val="005C4588"/>
    <w:rsid w:val="005C48BD"/>
    <w:rsid w:val="005C48C9"/>
    <w:rsid w:val="005C495E"/>
    <w:rsid w:val="005C4AE0"/>
    <w:rsid w:val="005C4B29"/>
    <w:rsid w:val="005C4D87"/>
    <w:rsid w:val="005C4DD2"/>
    <w:rsid w:val="005C4E4D"/>
    <w:rsid w:val="005C4F9B"/>
    <w:rsid w:val="005C516F"/>
    <w:rsid w:val="005C51E6"/>
    <w:rsid w:val="005C524C"/>
    <w:rsid w:val="005C52EE"/>
    <w:rsid w:val="005C535A"/>
    <w:rsid w:val="005C5514"/>
    <w:rsid w:val="005C554C"/>
    <w:rsid w:val="005C5566"/>
    <w:rsid w:val="005C573B"/>
    <w:rsid w:val="005C5745"/>
    <w:rsid w:val="005C5EAC"/>
    <w:rsid w:val="005C5F4A"/>
    <w:rsid w:val="005C5FA2"/>
    <w:rsid w:val="005C5FF3"/>
    <w:rsid w:val="005C6061"/>
    <w:rsid w:val="005C6114"/>
    <w:rsid w:val="005C616B"/>
    <w:rsid w:val="005C652E"/>
    <w:rsid w:val="005C6613"/>
    <w:rsid w:val="005C6CF2"/>
    <w:rsid w:val="005C6E3A"/>
    <w:rsid w:val="005C72A7"/>
    <w:rsid w:val="005C7450"/>
    <w:rsid w:val="005C75CE"/>
    <w:rsid w:val="005C77C8"/>
    <w:rsid w:val="005C7A1B"/>
    <w:rsid w:val="005C7E44"/>
    <w:rsid w:val="005C7F91"/>
    <w:rsid w:val="005C7FE7"/>
    <w:rsid w:val="005D02F3"/>
    <w:rsid w:val="005D03A0"/>
    <w:rsid w:val="005D0535"/>
    <w:rsid w:val="005D05A7"/>
    <w:rsid w:val="005D09EC"/>
    <w:rsid w:val="005D0BF7"/>
    <w:rsid w:val="005D0D40"/>
    <w:rsid w:val="005D102B"/>
    <w:rsid w:val="005D108B"/>
    <w:rsid w:val="005D1136"/>
    <w:rsid w:val="005D11BE"/>
    <w:rsid w:val="005D1312"/>
    <w:rsid w:val="005D13B8"/>
    <w:rsid w:val="005D1450"/>
    <w:rsid w:val="005D1618"/>
    <w:rsid w:val="005D174B"/>
    <w:rsid w:val="005D1770"/>
    <w:rsid w:val="005D19E9"/>
    <w:rsid w:val="005D1A5D"/>
    <w:rsid w:val="005D1BC3"/>
    <w:rsid w:val="005D1CC5"/>
    <w:rsid w:val="005D1F7C"/>
    <w:rsid w:val="005D22CF"/>
    <w:rsid w:val="005D22F3"/>
    <w:rsid w:val="005D2423"/>
    <w:rsid w:val="005D24E8"/>
    <w:rsid w:val="005D25CB"/>
    <w:rsid w:val="005D2683"/>
    <w:rsid w:val="005D26B4"/>
    <w:rsid w:val="005D26CD"/>
    <w:rsid w:val="005D2756"/>
    <w:rsid w:val="005D2A1A"/>
    <w:rsid w:val="005D2BC2"/>
    <w:rsid w:val="005D2C56"/>
    <w:rsid w:val="005D2C63"/>
    <w:rsid w:val="005D2D38"/>
    <w:rsid w:val="005D2E0F"/>
    <w:rsid w:val="005D316A"/>
    <w:rsid w:val="005D31FB"/>
    <w:rsid w:val="005D3342"/>
    <w:rsid w:val="005D3402"/>
    <w:rsid w:val="005D3830"/>
    <w:rsid w:val="005D39C5"/>
    <w:rsid w:val="005D3BE5"/>
    <w:rsid w:val="005D3CF7"/>
    <w:rsid w:val="005D3E9F"/>
    <w:rsid w:val="005D3F55"/>
    <w:rsid w:val="005D40B6"/>
    <w:rsid w:val="005D4272"/>
    <w:rsid w:val="005D42C8"/>
    <w:rsid w:val="005D441C"/>
    <w:rsid w:val="005D4473"/>
    <w:rsid w:val="005D44EB"/>
    <w:rsid w:val="005D44F9"/>
    <w:rsid w:val="005D4670"/>
    <w:rsid w:val="005D4840"/>
    <w:rsid w:val="005D4981"/>
    <w:rsid w:val="005D498D"/>
    <w:rsid w:val="005D4A67"/>
    <w:rsid w:val="005D4D3E"/>
    <w:rsid w:val="005D4F4C"/>
    <w:rsid w:val="005D52DD"/>
    <w:rsid w:val="005D5768"/>
    <w:rsid w:val="005D57B6"/>
    <w:rsid w:val="005D57DB"/>
    <w:rsid w:val="005D58BF"/>
    <w:rsid w:val="005D5AB7"/>
    <w:rsid w:val="005D5B5E"/>
    <w:rsid w:val="005D5EC3"/>
    <w:rsid w:val="005D61D4"/>
    <w:rsid w:val="005D644C"/>
    <w:rsid w:val="005D67B5"/>
    <w:rsid w:val="005D685F"/>
    <w:rsid w:val="005D6C88"/>
    <w:rsid w:val="005D6CF5"/>
    <w:rsid w:val="005D6E2C"/>
    <w:rsid w:val="005D6ED0"/>
    <w:rsid w:val="005D7469"/>
    <w:rsid w:val="005D74C1"/>
    <w:rsid w:val="005D74D2"/>
    <w:rsid w:val="005D75F4"/>
    <w:rsid w:val="005D77B9"/>
    <w:rsid w:val="005D784C"/>
    <w:rsid w:val="005D7B6F"/>
    <w:rsid w:val="005E00D1"/>
    <w:rsid w:val="005E0239"/>
    <w:rsid w:val="005E026E"/>
    <w:rsid w:val="005E06B4"/>
    <w:rsid w:val="005E0751"/>
    <w:rsid w:val="005E07D6"/>
    <w:rsid w:val="005E0A7E"/>
    <w:rsid w:val="005E0C4F"/>
    <w:rsid w:val="005E0D3E"/>
    <w:rsid w:val="005E1149"/>
    <w:rsid w:val="005E14E6"/>
    <w:rsid w:val="005E1594"/>
    <w:rsid w:val="005E15BB"/>
    <w:rsid w:val="005E1622"/>
    <w:rsid w:val="005E1633"/>
    <w:rsid w:val="005E1770"/>
    <w:rsid w:val="005E1815"/>
    <w:rsid w:val="005E18FE"/>
    <w:rsid w:val="005E1A21"/>
    <w:rsid w:val="005E1A43"/>
    <w:rsid w:val="005E1D76"/>
    <w:rsid w:val="005E1DD6"/>
    <w:rsid w:val="005E1E0A"/>
    <w:rsid w:val="005E1ECD"/>
    <w:rsid w:val="005E2129"/>
    <w:rsid w:val="005E2461"/>
    <w:rsid w:val="005E2626"/>
    <w:rsid w:val="005E26C6"/>
    <w:rsid w:val="005E2798"/>
    <w:rsid w:val="005E2852"/>
    <w:rsid w:val="005E29C9"/>
    <w:rsid w:val="005E2C42"/>
    <w:rsid w:val="005E30A4"/>
    <w:rsid w:val="005E30C6"/>
    <w:rsid w:val="005E30CD"/>
    <w:rsid w:val="005E31AB"/>
    <w:rsid w:val="005E3343"/>
    <w:rsid w:val="005E34A0"/>
    <w:rsid w:val="005E34A5"/>
    <w:rsid w:val="005E3658"/>
    <w:rsid w:val="005E36FD"/>
    <w:rsid w:val="005E370C"/>
    <w:rsid w:val="005E3742"/>
    <w:rsid w:val="005E3778"/>
    <w:rsid w:val="005E37A6"/>
    <w:rsid w:val="005E3855"/>
    <w:rsid w:val="005E3861"/>
    <w:rsid w:val="005E3BD4"/>
    <w:rsid w:val="005E3D72"/>
    <w:rsid w:val="005E3F15"/>
    <w:rsid w:val="005E3F61"/>
    <w:rsid w:val="005E3F8F"/>
    <w:rsid w:val="005E416F"/>
    <w:rsid w:val="005E44F3"/>
    <w:rsid w:val="005E4ED8"/>
    <w:rsid w:val="005E4EED"/>
    <w:rsid w:val="005E4F86"/>
    <w:rsid w:val="005E5276"/>
    <w:rsid w:val="005E52B3"/>
    <w:rsid w:val="005E5342"/>
    <w:rsid w:val="005E53AE"/>
    <w:rsid w:val="005E547C"/>
    <w:rsid w:val="005E572F"/>
    <w:rsid w:val="005E59DE"/>
    <w:rsid w:val="005E5A01"/>
    <w:rsid w:val="005E5A8E"/>
    <w:rsid w:val="005E5BEE"/>
    <w:rsid w:val="005E613E"/>
    <w:rsid w:val="005E63DA"/>
    <w:rsid w:val="005E64A4"/>
    <w:rsid w:val="005E6574"/>
    <w:rsid w:val="005E66E0"/>
    <w:rsid w:val="005E6725"/>
    <w:rsid w:val="005E67F3"/>
    <w:rsid w:val="005E6865"/>
    <w:rsid w:val="005E688F"/>
    <w:rsid w:val="005E6929"/>
    <w:rsid w:val="005E6930"/>
    <w:rsid w:val="005E6C14"/>
    <w:rsid w:val="005E6C5C"/>
    <w:rsid w:val="005E6D2C"/>
    <w:rsid w:val="005E6F67"/>
    <w:rsid w:val="005E70D6"/>
    <w:rsid w:val="005E7265"/>
    <w:rsid w:val="005E7508"/>
    <w:rsid w:val="005E754C"/>
    <w:rsid w:val="005E75A0"/>
    <w:rsid w:val="005E7785"/>
    <w:rsid w:val="005E782E"/>
    <w:rsid w:val="005E78B9"/>
    <w:rsid w:val="005E797B"/>
    <w:rsid w:val="005E7B38"/>
    <w:rsid w:val="005E7C2E"/>
    <w:rsid w:val="005E7C3F"/>
    <w:rsid w:val="005E7CEA"/>
    <w:rsid w:val="005E7DBE"/>
    <w:rsid w:val="005E7E16"/>
    <w:rsid w:val="005E7E5E"/>
    <w:rsid w:val="005F0050"/>
    <w:rsid w:val="005F0091"/>
    <w:rsid w:val="005F012B"/>
    <w:rsid w:val="005F0304"/>
    <w:rsid w:val="005F0446"/>
    <w:rsid w:val="005F0463"/>
    <w:rsid w:val="005F08B5"/>
    <w:rsid w:val="005F08D8"/>
    <w:rsid w:val="005F08F9"/>
    <w:rsid w:val="005F0A44"/>
    <w:rsid w:val="005F0AC0"/>
    <w:rsid w:val="005F0AE4"/>
    <w:rsid w:val="005F0BE5"/>
    <w:rsid w:val="005F0D9F"/>
    <w:rsid w:val="005F0DE8"/>
    <w:rsid w:val="005F0E04"/>
    <w:rsid w:val="005F11BE"/>
    <w:rsid w:val="005F11CA"/>
    <w:rsid w:val="005F12CC"/>
    <w:rsid w:val="005F1322"/>
    <w:rsid w:val="005F1353"/>
    <w:rsid w:val="005F144D"/>
    <w:rsid w:val="005F1550"/>
    <w:rsid w:val="005F1757"/>
    <w:rsid w:val="005F1776"/>
    <w:rsid w:val="005F1EA1"/>
    <w:rsid w:val="005F2102"/>
    <w:rsid w:val="005F2220"/>
    <w:rsid w:val="005F22B0"/>
    <w:rsid w:val="005F24A2"/>
    <w:rsid w:val="005F25F2"/>
    <w:rsid w:val="005F268D"/>
    <w:rsid w:val="005F2DC1"/>
    <w:rsid w:val="005F2DCC"/>
    <w:rsid w:val="005F2F44"/>
    <w:rsid w:val="005F32EE"/>
    <w:rsid w:val="005F3387"/>
    <w:rsid w:val="005F3460"/>
    <w:rsid w:val="005F3903"/>
    <w:rsid w:val="005F3915"/>
    <w:rsid w:val="005F4065"/>
    <w:rsid w:val="005F42C3"/>
    <w:rsid w:val="005F4417"/>
    <w:rsid w:val="005F44A5"/>
    <w:rsid w:val="005F462F"/>
    <w:rsid w:val="005F46BE"/>
    <w:rsid w:val="005F4704"/>
    <w:rsid w:val="005F4869"/>
    <w:rsid w:val="005F4E54"/>
    <w:rsid w:val="005F4E8D"/>
    <w:rsid w:val="005F5115"/>
    <w:rsid w:val="005F5398"/>
    <w:rsid w:val="005F5511"/>
    <w:rsid w:val="005F5522"/>
    <w:rsid w:val="005F55FD"/>
    <w:rsid w:val="005F5702"/>
    <w:rsid w:val="005F57E0"/>
    <w:rsid w:val="005F588C"/>
    <w:rsid w:val="005F5894"/>
    <w:rsid w:val="005F590A"/>
    <w:rsid w:val="005F5E88"/>
    <w:rsid w:val="005F60FA"/>
    <w:rsid w:val="005F6293"/>
    <w:rsid w:val="005F6366"/>
    <w:rsid w:val="005F640C"/>
    <w:rsid w:val="005F64F0"/>
    <w:rsid w:val="005F65CB"/>
    <w:rsid w:val="005F66B5"/>
    <w:rsid w:val="005F691F"/>
    <w:rsid w:val="005F694D"/>
    <w:rsid w:val="005F6AB1"/>
    <w:rsid w:val="005F6C0A"/>
    <w:rsid w:val="005F6EE7"/>
    <w:rsid w:val="005F70E8"/>
    <w:rsid w:val="005F71E1"/>
    <w:rsid w:val="005F72D6"/>
    <w:rsid w:val="005F733F"/>
    <w:rsid w:val="005F7370"/>
    <w:rsid w:val="005F7583"/>
    <w:rsid w:val="005F765F"/>
    <w:rsid w:val="005F78C9"/>
    <w:rsid w:val="005F7919"/>
    <w:rsid w:val="005F7BBD"/>
    <w:rsid w:val="005F7D7D"/>
    <w:rsid w:val="005F7DC7"/>
    <w:rsid w:val="005F9486"/>
    <w:rsid w:val="00600203"/>
    <w:rsid w:val="00600301"/>
    <w:rsid w:val="006003DB"/>
    <w:rsid w:val="0060047B"/>
    <w:rsid w:val="006004DD"/>
    <w:rsid w:val="006005E9"/>
    <w:rsid w:val="006007E3"/>
    <w:rsid w:val="00600E1B"/>
    <w:rsid w:val="006010FD"/>
    <w:rsid w:val="00601476"/>
    <w:rsid w:val="006018DF"/>
    <w:rsid w:val="00601AC6"/>
    <w:rsid w:val="00601C55"/>
    <w:rsid w:val="00601CFB"/>
    <w:rsid w:val="00602241"/>
    <w:rsid w:val="00602441"/>
    <w:rsid w:val="00602BA3"/>
    <w:rsid w:val="00602CF1"/>
    <w:rsid w:val="00602E41"/>
    <w:rsid w:val="00603215"/>
    <w:rsid w:val="00603384"/>
    <w:rsid w:val="00603498"/>
    <w:rsid w:val="0060353A"/>
    <w:rsid w:val="006035B6"/>
    <w:rsid w:val="006035B8"/>
    <w:rsid w:val="0060365E"/>
    <w:rsid w:val="00603908"/>
    <w:rsid w:val="00603C91"/>
    <w:rsid w:val="00604007"/>
    <w:rsid w:val="006041B9"/>
    <w:rsid w:val="006045EF"/>
    <w:rsid w:val="006046CB"/>
    <w:rsid w:val="006047C0"/>
    <w:rsid w:val="00604CF0"/>
    <w:rsid w:val="00604F5D"/>
    <w:rsid w:val="00605055"/>
    <w:rsid w:val="006054D8"/>
    <w:rsid w:val="006055E3"/>
    <w:rsid w:val="0060593B"/>
    <w:rsid w:val="00605E25"/>
    <w:rsid w:val="00606331"/>
    <w:rsid w:val="006064D5"/>
    <w:rsid w:val="006064E7"/>
    <w:rsid w:val="006066C0"/>
    <w:rsid w:val="006067A5"/>
    <w:rsid w:val="00606906"/>
    <w:rsid w:val="00606B8D"/>
    <w:rsid w:val="00606DA7"/>
    <w:rsid w:val="00607004"/>
    <w:rsid w:val="0060710D"/>
    <w:rsid w:val="00607117"/>
    <w:rsid w:val="006071AB"/>
    <w:rsid w:val="006071D0"/>
    <w:rsid w:val="0060736E"/>
    <w:rsid w:val="006073B8"/>
    <w:rsid w:val="00607522"/>
    <w:rsid w:val="006075A2"/>
    <w:rsid w:val="006075F9"/>
    <w:rsid w:val="00607732"/>
    <w:rsid w:val="0060776A"/>
    <w:rsid w:val="006077A5"/>
    <w:rsid w:val="006078FC"/>
    <w:rsid w:val="00607C96"/>
    <w:rsid w:val="00607E3F"/>
    <w:rsid w:val="006104AB"/>
    <w:rsid w:val="00610518"/>
    <w:rsid w:val="006105BE"/>
    <w:rsid w:val="006105CC"/>
    <w:rsid w:val="0061068D"/>
    <w:rsid w:val="006106D3"/>
    <w:rsid w:val="0061072F"/>
    <w:rsid w:val="006109D9"/>
    <w:rsid w:val="00610A10"/>
    <w:rsid w:val="00610A55"/>
    <w:rsid w:val="00610B3C"/>
    <w:rsid w:val="00610BA8"/>
    <w:rsid w:val="00610C51"/>
    <w:rsid w:val="00610CCA"/>
    <w:rsid w:val="00610E0C"/>
    <w:rsid w:val="0061112B"/>
    <w:rsid w:val="00611178"/>
    <w:rsid w:val="0061141F"/>
    <w:rsid w:val="00611771"/>
    <w:rsid w:val="00611C82"/>
    <w:rsid w:val="0061213B"/>
    <w:rsid w:val="006121B7"/>
    <w:rsid w:val="006122B6"/>
    <w:rsid w:val="0061230D"/>
    <w:rsid w:val="006123E6"/>
    <w:rsid w:val="00612593"/>
    <w:rsid w:val="00612893"/>
    <w:rsid w:val="00612AEA"/>
    <w:rsid w:val="00612B7B"/>
    <w:rsid w:val="00612C93"/>
    <w:rsid w:val="00612D97"/>
    <w:rsid w:val="00613127"/>
    <w:rsid w:val="0061346B"/>
    <w:rsid w:val="006135B6"/>
    <w:rsid w:val="00613758"/>
    <w:rsid w:val="00613982"/>
    <w:rsid w:val="00613AA3"/>
    <w:rsid w:val="00613B95"/>
    <w:rsid w:val="00613BF1"/>
    <w:rsid w:val="00613DC8"/>
    <w:rsid w:val="0061424C"/>
    <w:rsid w:val="00614CAF"/>
    <w:rsid w:val="00614D13"/>
    <w:rsid w:val="00614D87"/>
    <w:rsid w:val="00614F7A"/>
    <w:rsid w:val="00615118"/>
    <w:rsid w:val="006152B5"/>
    <w:rsid w:val="006155DA"/>
    <w:rsid w:val="0061593C"/>
    <w:rsid w:val="00615ED0"/>
    <w:rsid w:val="00615EE4"/>
    <w:rsid w:val="00615F5B"/>
    <w:rsid w:val="006162E5"/>
    <w:rsid w:val="006165E8"/>
    <w:rsid w:val="006166EA"/>
    <w:rsid w:val="00616D71"/>
    <w:rsid w:val="00616E89"/>
    <w:rsid w:val="00616F1A"/>
    <w:rsid w:val="006171FE"/>
    <w:rsid w:val="00617210"/>
    <w:rsid w:val="00617456"/>
    <w:rsid w:val="0061758F"/>
    <w:rsid w:val="006175F1"/>
    <w:rsid w:val="00617770"/>
    <w:rsid w:val="00617A54"/>
    <w:rsid w:val="00617A5A"/>
    <w:rsid w:val="00617B1E"/>
    <w:rsid w:val="00617F8B"/>
    <w:rsid w:val="0062021B"/>
    <w:rsid w:val="00620761"/>
    <w:rsid w:val="0062079A"/>
    <w:rsid w:val="006208B9"/>
    <w:rsid w:val="006208DF"/>
    <w:rsid w:val="00620A97"/>
    <w:rsid w:val="00620D66"/>
    <w:rsid w:val="00620EAD"/>
    <w:rsid w:val="00620EDD"/>
    <w:rsid w:val="00620F72"/>
    <w:rsid w:val="0062107D"/>
    <w:rsid w:val="00621123"/>
    <w:rsid w:val="006211E8"/>
    <w:rsid w:val="006211E9"/>
    <w:rsid w:val="006214F4"/>
    <w:rsid w:val="00621776"/>
    <w:rsid w:val="006217A0"/>
    <w:rsid w:val="006217CE"/>
    <w:rsid w:val="00621843"/>
    <w:rsid w:val="006219CA"/>
    <w:rsid w:val="006219D6"/>
    <w:rsid w:val="00621AE1"/>
    <w:rsid w:val="00621B6D"/>
    <w:rsid w:val="00621B87"/>
    <w:rsid w:val="00621C49"/>
    <w:rsid w:val="00621C51"/>
    <w:rsid w:val="006220F6"/>
    <w:rsid w:val="00622238"/>
    <w:rsid w:val="00622408"/>
    <w:rsid w:val="00622534"/>
    <w:rsid w:val="00622881"/>
    <w:rsid w:val="006229F6"/>
    <w:rsid w:val="00622A8B"/>
    <w:rsid w:val="00622DB7"/>
    <w:rsid w:val="00622E28"/>
    <w:rsid w:val="00622F6D"/>
    <w:rsid w:val="00622FB2"/>
    <w:rsid w:val="00623235"/>
    <w:rsid w:val="0062324D"/>
    <w:rsid w:val="00623275"/>
    <w:rsid w:val="006233AD"/>
    <w:rsid w:val="00623555"/>
    <w:rsid w:val="00623681"/>
    <w:rsid w:val="006238AE"/>
    <w:rsid w:val="00623AC6"/>
    <w:rsid w:val="00623CAD"/>
    <w:rsid w:val="006241AF"/>
    <w:rsid w:val="00624201"/>
    <w:rsid w:val="006243D8"/>
    <w:rsid w:val="0062453F"/>
    <w:rsid w:val="00624593"/>
    <w:rsid w:val="006246B8"/>
    <w:rsid w:val="006246D8"/>
    <w:rsid w:val="00624A54"/>
    <w:rsid w:val="00624E90"/>
    <w:rsid w:val="00625069"/>
    <w:rsid w:val="006251FB"/>
    <w:rsid w:val="006251FE"/>
    <w:rsid w:val="00625602"/>
    <w:rsid w:val="0062587F"/>
    <w:rsid w:val="00625AA3"/>
    <w:rsid w:val="00625D80"/>
    <w:rsid w:val="00625E1B"/>
    <w:rsid w:val="00625EF6"/>
    <w:rsid w:val="00625F59"/>
    <w:rsid w:val="00626312"/>
    <w:rsid w:val="00626496"/>
    <w:rsid w:val="006265E1"/>
    <w:rsid w:val="00626667"/>
    <w:rsid w:val="006266CD"/>
    <w:rsid w:val="0062674B"/>
    <w:rsid w:val="00626894"/>
    <w:rsid w:val="00626A60"/>
    <w:rsid w:val="00626C0D"/>
    <w:rsid w:val="00626E51"/>
    <w:rsid w:val="00626E73"/>
    <w:rsid w:val="00626EA9"/>
    <w:rsid w:val="00626EFD"/>
    <w:rsid w:val="00626FE8"/>
    <w:rsid w:val="0062708F"/>
    <w:rsid w:val="0062732A"/>
    <w:rsid w:val="0062740D"/>
    <w:rsid w:val="0062741E"/>
    <w:rsid w:val="006276A5"/>
    <w:rsid w:val="006276E5"/>
    <w:rsid w:val="0062771E"/>
    <w:rsid w:val="006277D5"/>
    <w:rsid w:val="00627969"/>
    <w:rsid w:val="006279EF"/>
    <w:rsid w:val="00627A80"/>
    <w:rsid w:val="00627D62"/>
    <w:rsid w:val="00627E4F"/>
    <w:rsid w:val="00627EF3"/>
    <w:rsid w:val="006301E1"/>
    <w:rsid w:val="0063027E"/>
    <w:rsid w:val="00630295"/>
    <w:rsid w:val="006303F1"/>
    <w:rsid w:val="006304B6"/>
    <w:rsid w:val="0063069A"/>
    <w:rsid w:val="00630A45"/>
    <w:rsid w:val="00630A57"/>
    <w:rsid w:val="00630AAC"/>
    <w:rsid w:val="00630D51"/>
    <w:rsid w:val="00630E24"/>
    <w:rsid w:val="00630F52"/>
    <w:rsid w:val="0063100B"/>
    <w:rsid w:val="00631181"/>
    <w:rsid w:val="006313BC"/>
    <w:rsid w:val="00631414"/>
    <w:rsid w:val="006315B1"/>
    <w:rsid w:val="006317B6"/>
    <w:rsid w:val="00631849"/>
    <w:rsid w:val="00631BFD"/>
    <w:rsid w:val="00631D00"/>
    <w:rsid w:val="00631D39"/>
    <w:rsid w:val="00631E11"/>
    <w:rsid w:val="00631F07"/>
    <w:rsid w:val="00631F55"/>
    <w:rsid w:val="00632085"/>
    <w:rsid w:val="00632147"/>
    <w:rsid w:val="00632198"/>
    <w:rsid w:val="0063228A"/>
    <w:rsid w:val="006322BB"/>
    <w:rsid w:val="006325AD"/>
    <w:rsid w:val="00632702"/>
    <w:rsid w:val="006327DC"/>
    <w:rsid w:val="00632C09"/>
    <w:rsid w:val="00632DB6"/>
    <w:rsid w:val="00632EF4"/>
    <w:rsid w:val="00633015"/>
    <w:rsid w:val="006335B6"/>
    <w:rsid w:val="006339B0"/>
    <w:rsid w:val="00633B93"/>
    <w:rsid w:val="00633C8B"/>
    <w:rsid w:val="00633CC6"/>
    <w:rsid w:val="00633FCC"/>
    <w:rsid w:val="00634015"/>
    <w:rsid w:val="00634024"/>
    <w:rsid w:val="00634094"/>
    <w:rsid w:val="006342E0"/>
    <w:rsid w:val="00634480"/>
    <w:rsid w:val="006344F2"/>
    <w:rsid w:val="006347A9"/>
    <w:rsid w:val="006347C3"/>
    <w:rsid w:val="006347CC"/>
    <w:rsid w:val="00634E40"/>
    <w:rsid w:val="00634EB9"/>
    <w:rsid w:val="00634F03"/>
    <w:rsid w:val="0063501E"/>
    <w:rsid w:val="006354D5"/>
    <w:rsid w:val="006356F9"/>
    <w:rsid w:val="00635711"/>
    <w:rsid w:val="00635999"/>
    <w:rsid w:val="00635C31"/>
    <w:rsid w:val="00635E02"/>
    <w:rsid w:val="00636420"/>
    <w:rsid w:val="006364C9"/>
    <w:rsid w:val="006365FD"/>
    <w:rsid w:val="00636752"/>
    <w:rsid w:val="00636897"/>
    <w:rsid w:val="006369BC"/>
    <w:rsid w:val="00636AF9"/>
    <w:rsid w:val="00636B96"/>
    <w:rsid w:val="00636F91"/>
    <w:rsid w:val="006370F0"/>
    <w:rsid w:val="006373E5"/>
    <w:rsid w:val="0063741A"/>
    <w:rsid w:val="00637459"/>
    <w:rsid w:val="00637565"/>
    <w:rsid w:val="006376C6"/>
    <w:rsid w:val="0063772A"/>
    <w:rsid w:val="00637777"/>
    <w:rsid w:val="00637B0F"/>
    <w:rsid w:val="00637C50"/>
    <w:rsid w:val="00637C88"/>
    <w:rsid w:val="00637E4E"/>
    <w:rsid w:val="0064029A"/>
    <w:rsid w:val="006402A2"/>
    <w:rsid w:val="006403D1"/>
    <w:rsid w:val="0064079D"/>
    <w:rsid w:val="0064082F"/>
    <w:rsid w:val="0064088B"/>
    <w:rsid w:val="006408E4"/>
    <w:rsid w:val="00640A11"/>
    <w:rsid w:val="00640C84"/>
    <w:rsid w:val="00640FE6"/>
    <w:rsid w:val="006411D0"/>
    <w:rsid w:val="006411E5"/>
    <w:rsid w:val="00641798"/>
    <w:rsid w:val="00641B56"/>
    <w:rsid w:val="00641D6A"/>
    <w:rsid w:val="00641DBD"/>
    <w:rsid w:val="00641DCA"/>
    <w:rsid w:val="00641DF3"/>
    <w:rsid w:val="00641F15"/>
    <w:rsid w:val="00641F72"/>
    <w:rsid w:val="00642061"/>
    <w:rsid w:val="00642186"/>
    <w:rsid w:val="0064219A"/>
    <w:rsid w:val="006421E1"/>
    <w:rsid w:val="00642451"/>
    <w:rsid w:val="006425C9"/>
    <w:rsid w:val="00642801"/>
    <w:rsid w:val="00642A50"/>
    <w:rsid w:val="00642A9A"/>
    <w:rsid w:val="00642B75"/>
    <w:rsid w:val="00642BE0"/>
    <w:rsid w:val="00642F4F"/>
    <w:rsid w:val="00643007"/>
    <w:rsid w:val="00643056"/>
    <w:rsid w:val="006430E8"/>
    <w:rsid w:val="006432E2"/>
    <w:rsid w:val="00643333"/>
    <w:rsid w:val="00643334"/>
    <w:rsid w:val="006436BD"/>
    <w:rsid w:val="00643786"/>
    <w:rsid w:val="0064378F"/>
    <w:rsid w:val="00643A3B"/>
    <w:rsid w:val="00643AAB"/>
    <w:rsid w:val="00643CEE"/>
    <w:rsid w:val="00643EF5"/>
    <w:rsid w:val="00644155"/>
    <w:rsid w:val="006442C7"/>
    <w:rsid w:val="0064457A"/>
    <w:rsid w:val="00644693"/>
    <w:rsid w:val="006447C7"/>
    <w:rsid w:val="006447E4"/>
    <w:rsid w:val="006447F2"/>
    <w:rsid w:val="00644986"/>
    <w:rsid w:val="00644B9B"/>
    <w:rsid w:val="00644CE1"/>
    <w:rsid w:val="00644D63"/>
    <w:rsid w:val="00644EB3"/>
    <w:rsid w:val="00644F59"/>
    <w:rsid w:val="00644F7F"/>
    <w:rsid w:val="0064533A"/>
    <w:rsid w:val="0064534E"/>
    <w:rsid w:val="006453D2"/>
    <w:rsid w:val="00645482"/>
    <w:rsid w:val="00645572"/>
    <w:rsid w:val="00645659"/>
    <w:rsid w:val="006456D6"/>
    <w:rsid w:val="0064578A"/>
    <w:rsid w:val="00645799"/>
    <w:rsid w:val="00645892"/>
    <w:rsid w:val="00645FB2"/>
    <w:rsid w:val="00645FC6"/>
    <w:rsid w:val="00646234"/>
    <w:rsid w:val="006462EF"/>
    <w:rsid w:val="00646542"/>
    <w:rsid w:val="00646661"/>
    <w:rsid w:val="0064667F"/>
    <w:rsid w:val="0064684B"/>
    <w:rsid w:val="00646C37"/>
    <w:rsid w:val="00646C4C"/>
    <w:rsid w:val="00646DBA"/>
    <w:rsid w:val="00646E59"/>
    <w:rsid w:val="00646EA6"/>
    <w:rsid w:val="00646EB3"/>
    <w:rsid w:val="00646F68"/>
    <w:rsid w:val="0064729F"/>
    <w:rsid w:val="006472C6"/>
    <w:rsid w:val="006474DD"/>
    <w:rsid w:val="0064753D"/>
    <w:rsid w:val="00647565"/>
    <w:rsid w:val="006475C4"/>
    <w:rsid w:val="00647767"/>
    <w:rsid w:val="00647D1E"/>
    <w:rsid w:val="00647FD9"/>
    <w:rsid w:val="00650277"/>
    <w:rsid w:val="006503C0"/>
    <w:rsid w:val="00650846"/>
    <w:rsid w:val="00650DAF"/>
    <w:rsid w:val="00650E48"/>
    <w:rsid w:val="00650EE5"/>
    <w:rsid w:val="00650EEF"/>
    <w:rsid w:val="006511A9"/>
    <w:rsid w:val="00651526"/>
    <w:rsid w:val="00651834"/>
    <w:rsid w:val="0065184E"/>
    <w:rsid w:val="006518E1"/>
    <w:rsid w:val="00651973"/>
    <w:rsid w:val="0065197D"/>
    <w:rsid w:val="00651A3A"/>
    <w:rsid w:val="00651A73"/>
    <w:rsid w:val="00651AAA"/>
    <w:rsid w:val="00651C27"/>
    <w:rsid w:val="00652130"/>
    <w:rsid w:val="0065214B"/>
    <w:rsid w:val="00652236"/>
    <w:rsid w:val="006522C7"/>
    <w:rsid w:val="006522CB"/>
    <w:rsid w:val="00652391"/>
    <w:rsid w:val="006525E7"/>
    <w:rsid w:val="006526F4"/>
    <w:rsid w:val="00652C7E"/>
    <w:rsid w:val="00652D7A"/>
    <w:rsid w:val="00652F38"/>
    <w:rsid w:val="00653214"/>
    <w:rsid w:val="0065326C"/>
    <w:rsid w:val="0065327E"/>
    <w:rsid w:val="006532E8"/>
    <w:rsid w:val="0065331A"/>
    <w:rsid w:val="00653488"/>
    <w:rsid w:val="00653522"/>
    <w:rsid w:val="006535E2"/>
    <w:rsid w:val="006535FD"/>
    <w:rsid w:val="0065361E"/>
    <w:rsid w:val="00653642"/>
    <w:rsid w:val="00653672"/>
    <w:rsid w:val="00653780"/>
    <w:rsid w:val="0065395F"/>
    <w:rsid w:val="006539A5"/>
    <w:rsid w:val="006539A7"/>
    <w:rsid w:val="00653A98"/>
    <w:rsid w:val="00653B69"/>
    <w:rsid w:val="00653B78"/>
    <w:rsid w:val="00653D5E"/>
    <w:rsid w:val="00653E5F"/>
    <w:rsid w:val="00653EEB"/>
    <w:rsid w:val="006541F5"/>
    <w:rsid w:val="006544A8"/>
    <w:rsid w:val="00654815"/>
    <w:rsid w:val="006548B8"/>
    <w:rsid w:val="0065490C"/>
    <w:rsid w:val="00654A56"/>
    <w:rsid w:val="00654AC3"/>
    <w:rsid w:val="00654D09"/>
    <w:rsid w:val="00654E35"/>
    <w:rsid w:val="0065582F"/>
    <w:rsid w:val="00655C95"/>
    <w:rsid w:val="00655DB3"/>
    <w:rsid w:val="00656092"/>
    <w:rsid w:val="00656347"/>
    <w:rsid w:val="0065675E"/>
    <w:rsid w:val="00656853"/>
    <w:rsid w:val="00656B01"/>
    <w:rsid w:val="00656B30"/>
    <w:rsid w:val="00656BED"/>
    <w:rsid w:val="00656C75"/>
    <w:rsid w:val="006571C6"/>
    <w:rsid w:val="006571FB"/>
    <w:rsid w:val="0065757B"/>
    <w:rsid w:val="0065767E"/>
    <w:rsid w:val="00657802"/>
    <w:rsid w:val="006579A2"/>
    <w:rsid w:val="00657A1A"/>
    <w:rsid w:val="00657B0C"/>
    <w:rsid w:val="00657CFA"/>
    <w:rsid w:val="00657D23"/>
    <w:rsid w:val="006600F8"/>
    <w:rsid w:val="00660195"/>
    <w:rsid w:val="006602E4"/>
    <w:rsid w:val="00660316"/>
    <w:rsid w:val="00660339"/>
    <w:rsid w:val="00660413"/>
    <w:rsid w:val="006605B9"/>
    <w:rsid w:val="006605D9"/>
    <w:rsid w:val="00660793"/>
    <w:rsid w:val="00660846"/>
    <w:rsid w:val="00660BFB"/>
    <w:rsid w:val="00660C72"/>
    <w:rsid w:val="006611E5"/>
    <w:rsid w:val="00661296"/>
    <w:rsid w:val="0066130A"/>
    <w:rsid w:val="0066139C"/>
    <w:rsid w:val="006615EA"/>
    <w:rsid w:val="0066167A"/>
    <w:rsid w:val="0066182C"/>
    <w:rsid w:val="0066189B"/>
    <w:rsid w:val="006618CA"/>
    <w:rsid w:val="00661A42"/>
    <w:rsid w:val="00661BCA"/>
    <w:rsid w:val="00661CAD"/>
    <w:rsid w:val="00661FBE"/>
    <w:rsid w:val="00662121"/>
    <w:rsid w:val="0066283F"/>
    <w:rsid w:val="00662F59"/>
    <w:rsid w:val="00663168"/>
    <w:rsid w:val="006632B0"/>
    <w:rsid w:val="006632F9"/>
    <w:rsid w:val="006633F6"/>
    <w:rsid w:val="006635DF"/>
    <w:rsid w:val="0066362A"/>
    <w:rsid w:val="00663651"/>
    <w:rsid w:val="00663695"/>
    <w:rsid w:val="006636B3"/>
    <w:rsid w:val="00663E22"/>
    <w:rsid w:val="00663EE2"/>
    <w:rsid w:val="00663FE4"/>
    <w:rsid w:val="0066404E"/>
    <w:rsid w:val="00664110"/>
    <w:rsid w:val="00664141"/>
    <w:rsid w:val="006643AC"/>
    <w:rsid w:val="006644E2"/>
    <w:rsid w:val="00664808"/>
    <w:rsid w:val="00664CD4"/>
    <w:rsid w:val="00665356"/>
    <w:rsid w:val="006653AB"/>
    <w:rsid w:val="006653D9"/>
    <w:rsid w:val="006653E7"/>
    <w:rsid w:val="00665441"/>
    <w:rsid w:val="0066549B"/>
    <w:rsid w:val="00665545"/>
    <w:rsid w:val="00665A0A"/>
    <w:rsid w:val="00665AAE"/>
    <w:rsid w:val="00665CED"/>
    <w:rsid w:val="00665F17"/>
    <w:rsid w:val="00665FA7"/>
    <w:rsid w:val="006660A2"/>
    <w:rsid w:val="0066625C"/>
    <w:rsid w:val="00666334"/>
    <w:rsid w:val="00666C69"/>
    <w:rsid w:val="00666CE0"/>
    <w:rsid w:val="00666D2B"/>
    <w:rsid w:val="00666D30"/>
    <w:rsid w:val="006670B3"/>
    <w:rsid w:val="006673A0"/>
    <w:rsid w:val="006673C1"/>
    <w:rsid w:val="006676AA"/>
    <w:rsid w:val="006676F2"/>
    <w:rsid w:val="00667770"/>
    <w:rsid w:val="006678A7"/>
    <w:rsid w:val="00667A5D"/>
    <w:rsid w:val="00667A98"/>
    <w:rsid w:val="00667B3E"/>
    <w:rsid w:val="00667B95"/>
    <w:rsid w:val="00667E18"/>
    <w:rsid w:val="00667E99"/>
    <w:rsid w:val="00670042"/>
    <w:rsid w:val="006701C9"/>
    <w:rsid w:val="00670249"/>
    <w:rsid w:val="0067069D"/>
    <w:rsid w:val="0067094F"/>
    <w:rsid w:val="00670991"/>
    <w:rsid w:val="006709A3"/>
    <w:rsid w:val="00670F0B"/>
    <w:rsid w:val="006710EE"/>
    <w:rsid w:val="0067130D"/>
    <w:rsid w:val="0067131D"/>
    <w:rsid w:val="00671362"/>
    <w:rsid w:val="00671484"/>
    <w:rsid w:val="00671494"/>
    <w:rsid w:val="00671583"/>
    <w:rsid w:val="006715BA"/>
    <w:rsid w:val="00671681"/>
    <w:rsid w:val="00671F12"/>
    <w:rsid w:val="00671F3A"/>
    <w:rsid w:val="00671F77"/>
    <w:rsid w:val="00672333"/>
    <w:rsid w:val="006723CF"/>
    <w:rsid w:val="00672406"/>
    <w:rsid w:val="006724D5"/>
    <w:rsid w:val="006725F9"/>
    <w:rsid w:val="00672645"/>
    <w:rsid w:val="00672687"/>
    <w:rsid w:val="00672892"/>
    <w:rsid w:val="00672C9D"/>
    <w:rsid w:val="00672CD7"/>
    <w:rsid w:val="00672F07"/>
    <w:rsid w:val="00672F80"/>
    <w:rsid w:val="0067329D"/>
    <w:rsid w:val="006732CA"/>
    <w:rsid w:val="00673391"/>
    <w:rsid w:val="006733E4"/>
    <w:rsid w:val="00673548"/>
    <w:rsid w:val="00673647"/>
    <w:rsid w:val="0067364E"/>
    <w:rsid w:val="006736C5"/>
    <w:rsid w:val="0067377A"/>
    <w:rsid w:val="006737F8"/>
    <w:rsid w:val="006738D4"/>
    <w:rsid w:val="00673B88"/>
    <w:rsid w:val="00673C86"/>
    <w:rsid w:val="006740C4"/>
    <w:rsid w:val="00674649"/>
    <w:rsid w:val="006747E9"/>
    <w:rsid w:val="00674818"/>
    <w:rsid w:val="00674A7B"/>
    <w:rsid w:val="00674AE3"/>
    <w:rsid w:val="00674CCC"/>
    <w:rsid w:val="00674CDF"/>
    <w:rsid w:val="00674E7E"/>
    <w:rsid w:val="00674EEC"/>
    <w:rsid w:val="00674F43"/>
    <w:rsid w:val="006750CD"/>
    <w:rsid w:val="00675176"/>
    <w:rsid w:val="0067520E"/>
    <w:rsid w:val="0067542C"/>
    <w:rsid w:val="0067553E"/>
    <w:rsid w:val="0067579D"/>
    <w:rsid w:val="006758DC"/>
    <w:rsid w:val="00675B90"/>
    <w:rsid w:val="00675B92"/>
    <w:rsid w:val="00675DF4"/>
    <w:rsid w:val="00675E8C"/>
    <w:rsid w:val="0067610E"/>
    <w:rsid w:val="00676268"/>
    <w:rsid w:val="0067627F"/>
    <w:rsid w:val="0067638C"/>
    <w:rsid w:val="00676437"/>
    <w:rsid w:val="00676474"/>
    <w:rsid w:val="00676586"/>
    <w:rsid w:val="00676652"/>
    <w:rsid w:val="00676755"/>
    <w:rsid w:val="0067678A"/>
    <w:rsid w:val="0067679A"/>
    <w:rsid w:val="00676969"/>
    <w:rsid w:val="00676977"/>
    <w:rsid w:val="006771DA"/>
    <w:rsid w:val="006774FB"/>
    <w:rsid w:val="00677569"/>
    <w:rsid w:val="00677BE4"/>
    <w:rsid w:val="00677D71"/>
    <w:rsid w:val="00677EB0"/>
    <w:rsid w:val="00680012"/>
    <w:rsid w:val="00680089"/>
    <w:rsid w:val="006800EB"/>
    <w:rsid w:val="0068016C"/>
    <w:rsid w:val="00680273"/>
    <w:rsid w:val="00680ABA"/>
    <w:rsid w:val="00680ADB"/>
    <w:rsid w:val="00680F72"/>
    <w:rsid w:val="0068116C"/>
    <w:rsid w:val="00681507"/>
    <w:rsid w:val="006815C1"/>
    <w:rsid w:val="0068162D"/>
    <w:rsid w:val="0068162F"/>
    <w:rsid w:val="00681840"/>
    <w:rsid w:val="00681BCB"/>
    <w:rsid w:val="00681C43"/>
    <w:rsid w:val="00681C47"/>
    <w:rsid w:val="00681C89"/>
    <w:rsid w:val="00681D07"/>
    <w:rsid w:val="00682252"/>
    <w:rsid w:val="00682461"/>
    <w:rsid w:val="00682465"/>
    <w:rsid w:val="00682507"/>
    <w:rsid w:val="006825AE"/>
    <w:rsid w:val="006825C1"/>
    <w:rsid w:val="00682730"/>
    <w:rsid w:val="006828A0"/>
    <w:rsid w:val="0068293C"/>
    <w:rsid w:val="00682B26"/>
    <w:rsid w:val="00682BE1"/>
    <w:rsid w:val="00682C61"/>
    <w:rsid w:val="00682E13"/>
    <w:rsid w:val="00682E4B"/>
    <w:rsid w:val="00682FAE"/>
    <w:rsid w:val="00683020"/>
    <w:rsid w:val="006831B3"/>
    <w:rsid w:val="0068336D"/>
    <w:rsid w:val="006833D3"/>
    <w:rsid w:val="0068345D"/>
    <w:rsid w:val="0068364C"/>
    <w:rsid w:val="006836EF"/>
    <w:rsid w:val="006838A7"/>
    <w:rsid w:val="00683C19"/>
    <w:rsid w:val="00683C4E"/>
    <w:rsid w:val="00683D47"/>
    <w:rsid w:val="00683E43"/>
    <w:rsid w:val="00684269"/>
    <w:rsid w:val="0068436F"/>
    <w:rsid w:val="006847CA"/>
    <w:rsid w:val="0068480E"/>
    <w:rsid w:val="006849AF"/>
    <w:rsid w:val="00684A45"/>
    <w:rsid w:val="00684D62"/>
    <w:rsid w:val="00684F90"/>
    <w:rsid w:val="0068504D"/>
    <w:rsid w:val="0068516E"/>
    <w:rsid w:val="0068523B"/>
    <w:rsid w:val="0068553C"/>
    <w:rsid w:val="006855D4"/>
    <w:rsid w:val="006855F4"/>
    <w:rsid w:val="0068560E"/>
    <w:rsid w:val="006857D1"/>
    <w:rsid w:val="006858DA"/>
    <w:rsid w:val="0068591C"/>
    <w:rsid w:val="006859E9"/>
    <w:rsid w:val="00685D5B"/>
    <w:rsid w:val="00685E92"/>
    <w:rsid w:val="00685FC8"/>
    <w:rsid w:val="00686193"/>
    <w:rsid w:val="0068624E"/>
    <w:rsid w:val="00686487"/>
    <w:rsid w:val="00686BBC"/>
    <w:rsid w:val="00686C00"/>
    <w:rsid w:val="00686D2B"/>
    <w:rsid w:val="00686FBE"/>
    <w:rsid w:val="0068705D"/>
    <w:rsid w:val="00687219"/>
    <w:rsid w:val="006872A5"/>
    <w:rsid w:val="0068772E"/>
    <w:rsid w:val="00687782"/>
    <w:rsid w:val="0068787F"/>
    <w:rsid w:val="00687A21"/>
    <w:rsid w:val="00687D08"/>
    <w:rsid w:val="00687E53"/>
    <w:rsid w:val="0069005C"/>
    <w:rsid w:val="00690367"/>
    <w:rsid w:val="00690466"/>
    <w:rsid w:val="00690524"/>
    <w:rsid w:val="0069095E"/>
    <w:rsid w:val="00690A01"/>
    <w:rsid w:val="00690A72"/>
    <w:rsid w:val="00690B7B"/>
    <w:rsid w:val="00690BAF"/>
    <w:rsid w:val="00690CC0"/>
    <w:rsid w:val="00690EDC"/>
    <w:rsid w:val="00690EF9"/>
    <w:rsid w:val="00690FBD"/>
    <w:rsid w:val="00691070"/>
    <w:rsid w:val="00691118"/>
    <w:rsid w:val="0069111A"/>
    <w:rsid w:val="0069116D"/>
    <w:rsid w:val="00691213"/>
    <w:rsid w:val="00691224"/>
    <w:rsid w:val="006913C4"/>
    <w:rsid w:val="00691575"/>
    <w:rsid w:val="006915FA"/>
    <w:rsid w:val="00691877"/>
    <w:rsid w:val="006918B5"/>
    <w:rsid w:val="0069190F"/>
    <w:rsid w:val="0069198E"/>
    <w:rsid w:val="00691C30"/>
    <w:rsid w:val="00691D93"/>
    <w:rsid w:val="006920FB"/>
    <w:rsid w:val="00692304"/>
    <w:rsid w:val="00692361"/>
    <w:rsid w:val="006925C9"/>
    <w:rsid w:val="006925FA"/>
    <w:rsid w:val="006926F8"/>
    <w:rsid w:val="00692799"/>
    <w:rsid w:val="006929F0"/>
    <w:rsid w:val="00692D23"/>
    <w:rsid w:val="00692D4D"/>
    <w:rsid w:val="00692D71"/>
    <w:rsid w:val="00692E75"/>
    <w:rsid w:val="006930CE"/>
    <w:rsid w:val="006930F3"/>
    <w:rsid w:val="00693481"/>
    <w:rsid w:val="006936F7"/>
    <w:rsid w:val="006939D8"/>
    <w:rsid w:val="00693D55"/>
    <w:rsid w:val="00693DFC"/>
    <w:rsid w:val="00693E0F"/>
    <w:rsid w:val="00694178"/>
    <w:rsid w:val="006941E7"/>
    <w:rsid w:val="00694258"/>
    <w:rsid w:val="006942CA"/>
    <w:rsid w:val="006947F3"/>
    <w:rsid w:val="00694916"/>
    <w:rsid w:val="00694B6A"/>
    <w:rsid w:val="00694BF9"/>
    <w:rsid w:val="00694D1F"/>
    <w:rsid w:val="00694EDE"/>
    <w:rsid w:val="006951B6"/>
    <w:rsid w:val="00695319"/>
    <w:rsid w:val="006954F0"/>
    <w:rsid w:val="0069572A"/>
    <w:rsid w:val="006957C1"/>
    <w:rsid w:val="006957F2"/>
    <w:rsid w:val="006957FD"/>
    <w:rsid w:val="00695873"/>
    <w:rsid w:val="0069596F"/>
    <w:rsid w:val="00695BDA"/>
    <w:rsid w:val="00695F47"/>
    <w:rsid w:val="00695F8E"/>
    <w:rsid w:val="00696183"/>
    <w:rsid w:val="006961E8"/>
    <w:rsid w:val="00696431"/>
    <w:rsid w:val="006966DF"/>
    <w:rsid w:val="0069683B"/>
    <w:rsid w:val="00696A19"/>
    <w:rsid w:val="00696AC2"/>
    <w:rsid w:val="00696AFE"/>
    <w:rsid w:val="00696BEE"/>
    <w:rsid w:val="00696CC5"/>
    <w:rsid w:val="00696EB9"/>
    <w:rsid w:val="00696FD7"/>
    <w:rsid w:val="00696FFD"/>
    <w:rsid w:val="00697234"/>
    <w:rsid w:val="006972C4"/>
    <w:rsid w:val="006975C5"/>
    <w:rsid w:val="00697652"/>
    <w:rsid w:val="006978A3"/>
    <w:rsid w:val="00697BB0"/>
    <w:rsid w:val="00697E8E"/>
    <w:rsid w:val="00697EAF"/>
    <w:rsid w:val="006A0130"/>
    <w:rsid w:val="006A0153"/>
    <w:rsid w:val="006A0538"/>
    <w:rsid w:val="006A078F"/>
    <w:rsid w:val="006A0798"/>
    <w:rsid w:val="006A0A1E"/>
    <w:rsid w:val="006A0A6F"/>
    <w:rsid w:val="006A0AD9"/>
    <w:rsid w:val="006A0BA4"/>
    <w:rsid w:val="006A0C5D"/>
    <w:rsid w:val="006A0D29"/>
    <w:rsid w:val="006A0E17"/>
    <w:rsid w:val="006A0F49"/>
    <w:rsid w:val="006A0F4E"/>
    <w:rsid w:val="006A11C6"/>
    <w:rsid w:val="006A130F"/>
    <w:rsid w:val="006A1336"/>
    <w:rsid w:val="006A146D"/>
    <w:rsid w:val="006A1592"/>
    <w:rsid w:val="006A15C9"/>
    <w:rsid w:val="006A1B7B"/>
    <w:rsid w:val="006A22BC"/>
    <w:rsid w:val="006A26D6"/>
    <w:rsid w:val="006A2962"/>
    <w:rsid w:val="006A2AEF"/>
    <w:rsid w:val="006A2C7D"/>
    <w:rsid w:val="006A2EE6"/>
    <w:rsid w:val="006A312F"/>
    <w:rsid w:val="006A319F"/>
    <w:rsid w:val="006A32DF"/>
    <w:rsid w:val="006A36C5"/>
    <w:rsid w:val="006A3727"/>
    <w:rsid w:val="006A390B"/>
    <w:rsid w:val="006A392C"/>
    <w:rsid w:val="006A3969"/>
    <w:rsid w:val="006A3B36"/>
    <w:rsid w:val="006A3D6E"/>
    <w:rsid w:val="006A3F62"/>
    <w:rsid w:val="006A407C"/>
    <w:rsid w:val="006A40E4"/>
    <w:rsid w:val="006A418A"/>
    <w:rsid w:val="006A435C"/>
    <w:rsid w:val="006A43C4"/>
    <w:rsid w:val="006A44F1"/>
    <w:rsid w:val="006A45C9"/>
    <w:rsid w:val="006A4834"/>
    <w:rsid w:val="006A4900"/>
    <w:rsid w:val="006A4CBC"/>
    <w:rsid w:val="006A4F39"/>
    <w:rsid w:val="006A4F9B"/>
    <w:rsid w:val="006A51F1"/>
    <w:rsid w:val="006A534B"/>
    <w:rsid w:val="006A5731"/>
    <w:rsid w:val="006A5740"/>
    <w:rsid w:val="006A5853"/>
    <w:rsid w:val="006A5A33"/>
    <w:rsid w:val="006A5A9F"/>
    <w:rsid w:val="006A5C22"/>
    <w:rsid w:val="006A605D"/>
    <w:rsid w:val="006A61B8"/>
    <w:rsid w:val="006A6301"/>
    <w:rsid w:val="006A633B"/>
    <w:rsid w:val="006A64C0"/>
    <w:rsid w:val="006A64C8"/>
    <w:rsid w:val="006A650A"/>
    <w:rsid w:val="006A65ED"/>
    <w:rsid w:val="006A66EB"/>
    <w:rsid w:val="006A6BDB"/>
    <w:rsid w:val="006A6C95"/>
    <w:rsid w:val="006A70A2"/>
    <w:rsid w:val="006A70BD"/>
    <w:rsid w:val="006A70F3"/>
    <w:rsid w:val="006A7176"/>
    <w:rsid w:val="006A737E"/>
    <w:rsid w:val="006A7452"/>
    <w:rsid w:val="006A7651"/>
    <w:rsid w:val="006A7772"/>
    <w:rsid w:val="006A7778"/>
    <w:rsid w:val="006A786C"/>
    <w:rsid w:val="006A78F9"/>
    <w:rsid w:val="006A7970"/>
    <w:rsid w:val="006A7A92"/>
    <w:rsid w:val="006A7BC9"/>
    <w:rsid w:val="006A7C65"/>
    <w:rsid w:val="006A7E96"/>
    <w:rsid w:val="006B0007"/>
    <w:rsid w:val="006B03B8"/>
    <w:rsid w:val="006B051D"/>
    <w:rsid w:val="006B05EC"/>
    <w:rsid w:val="006B063D"/>
    <w:rsid w:val="006B06D5"/>
    <w:rsid w:val="006B0838"/>
    <w:rsid w:val="006B09E8"/>
    <w:rsid w:val="006B0AB4"/>
    <w:rsid w:val="006B0B1C"/>
    <w:rsid w:val="006B0D94"/>
    <w:rsid w:val="006B0E60"/>
    <w:rsid w:val="006B0F24"/>
    <w:rsid w:val="006B10DC"/>
    <w:rsid w:val="006B12FE"/>
    <w:rsid w:val="006B132C"/>
    <w:rsid w:val="006B1444"/>
    <w:rsid w:val="006B14A8"/>
    <w:rsid w:val="006B14CB"/>
    <w:rsid w:val="006B16D1"/>
    <w:rsid w:val="006B1702"/>
    <w:rsid w:val="006B1703"/>
    <w:rsid w:val="006B1811"/>
    <w:rsid w:val="006B18DB"/>
    <w:rsid w:val="006B1928"/>
    <w:rsid w:val="006B222E"/>
    <w:rsid w:val="006B2319"/>
    <w:rsid w:val="006B23C9"/>
    <w:rsid w:val="006B24A9"/>
    <w:rsid w:val="006B2584"/>
    <w:rsid w:val="006B28AB"/>
    <w:rsid w:val="006B29B3"/>
    <w:rsid w:val="006B2EDC"/>
    <w:rsid w:val="006B3034"/>
    <w:rsid w:val="006B3069"/>
    <w:rsid w:val="006B3489"/>
    <w:rsid w:val="006B3522"/>
    <w:rsid w:val="006B3563"/>
    <w:rsid w:val="006B3633"/>
    <w:rsid w:val="006B36DF"/>
    <w:rsid w:val="006B3837"/>
    <w:rsid w:val="006B39F4"/>
    <w:rsid w:val="006B3A27"/>
    <w:rsid w:val="006B3C23"/>
    <w:rsid w:val="006B3C97"/>
    <w:rsid w:val="006B3CD4"/>
    <w:rsid w:val="006B3D1C"/>
    <w:rsid w:val="006B3F59"/>
    <w:rsid w:val="006B3F7A"/>
    <w:rsid w:val="006B418F"/>
    <w:rsid w:val="006B420F"/>
    <w:rsid w:val="006B4455"/>
    <w:rsid w:val="006B4C1D"/>
    <w:rsid w:val="006B501E"/>
    <w:rsid w:val="006B51EA"/>
    <w:rsid w:val="006B5448"/>
    <w:rsid w:val="006B5580"/>
    <w:rsid w:val="006B5A80"/>
    <w:rsid w:val="006B5AAD"/>
    <w:rsid w:val="006B5C1F"/>
    <w:rsid w:val="006B5D8A"/>
    <w:rsid w:val="006B5DBA"/>
    <w:rsid w:val="006B5DCC"/>
    <w:rsid w:val="006B6361"/>
    <w:rsid w:val="006B63EE"/>
    <w:rsid w:val="006B6786"/>
    <w:rsid w:val="006B678A"/>
    <w:rsid w:val="006B69D1"/>
    <w:rsid w:val="006B6D72"/>
    <w:rsid w:val="006B6D85"/>
    <w:rsid w:val="006B6E18"/>
    <w:rsid w:val="006B6F32"/>
    <w:rsid w:val="006B7017"/>
    <w:rsid w:val="006B7257"/>
    <w:rsid w:val="006B727D"/>
    <w:rsid w:val="006B72A5"/>
    <w:rsid w:val="006B7320"/>
    <w:rsid w:val="006B73FD"/>
    <w:rsid w:val="006B7437"/>
    <w:rsid w:val="006B75B9"/>
    <w:rsid w:val="006B764E"/>
    <w:rsid w:val="006B775D"/>
    <w:rsid w:val="006B78FF"/>
    <w:rsid w:val="006B7B72"/>
    <w:rsid w:val="006B7BD2"/>
    <w:rsid w:val="006B7CB6"/>
    <w:rsid w:val="006C037F"/>
    <w:rsid w:val="006C048D"/>
    <w:rsid w:val="006C04D8"/>
    <w:rsid w:val="006C04F4"/>
    <w:rsid w:val="006C05E6"/>
    <w:rsid w:val="006C0603"/>
    <w:rsid w:val="006C0682"/>
    <w:rsid w:val="006C071A"/>
    <w:rsid w:val="006C088D"/>
    <w:rsid w:val="006C08D2"/>
    <w:rsid w:val="006C0973"/>
    <w:rsid w:val="006C09B4"/>
    <w:rsid w:val="006C0ABA"/>
    <w:rsid w:val="006C0B53"/>
    <w:rsid w:val="006C0BE7"/>
    <w:rsid w:val="006C0F6C"/>
    <w:rsid w:val="006C10E3"/>
    <w:rsid w:val="006C114C"/>
    <w:rsid w:val="006C12AF"/>
    <w:rsid w:val="006C167F"/>
    <w:rsid w:val="006C16AB"/>
    <w:rsid w:val="006C1712"/>
    <w:rsid w:val="006C18FA"/>
    <w:rsid w:val="006C1A38"/>
    <w:rsid w:val="006C1D91"/>
    <w:rsid w:val="006C1F9C"/>
    <w:rsid w:val="006C1FBE"/>
    <w:rsid w:val="006C2025"/>
    <w:rsid w:val="006C20A0"/>
    <w:rsid w:val="006C2192"/>
    <w:rsid w:val="006C2313"/>
    <w:rsid w:val="006C23EA"/>
    <w:rsid w:val="006C2561"/>
    <w:rsid w:val="006C25BD"/>
    <w:rsid w:val="006C2789"/>
    <w:rsid w:val="006C278F"/>
    <w:rsid w:val="006C2877"/>
    <w:rsid w:val="006C2970"/>
    <w:rsid w:val="006C2A94"/>
    <w:rsid w:val="006C2D88"/>
    <w:rsid w:val="006C2DBB"/>
    <w:rsid w:val="006C2E9F"/>
    <w:rsid w:val="006C2F1C"/>
    <w:rsid w:val="006C30B2"/>
    <w:rsid w:val="006C327F"/>
    <w:rsid w:val="006C33CF"/>
    <w:rsid w:val="006C3697"/>
    <w:rsid w:val="006C36A4"/>
    <w:rsid w:val="006C375B"/>
    <w:rsid w:val="006C394B"/>
    <w:rsid w:val="006C39F6"/>
    <w:rsid w:val="006C3CEA"/>
    <w:rsid w:val="006C3D09"/>
    <w:rsid w:val="006C3DC1"/>
    <w:rsid w:val="006C3E28"/>
    <w:rsid w:val="006C3EEF"/>
    <w:rsid w:val="006C3F2D"/>
    <w:rsid w:val="006C4030"/>
    <w:rsid w:val="006C4290"/>
    <w:rsid w:val="006C44A5"/>
    <w:rsid w:val="006C452B"/>
    <w:rsid w:val="006C47E3"/>
    <w:rsid w:val="006C491B"/>
    <w:rsid w:val="006C4A20"/>
    <w:rsid w:val="006C4B98"/>
    <w:rsid w:val="006C4C0B"/>
    <w:rsid w:val="006C4CB2"/>
    <w:rsid w:val="006C4FD2"/>
    <w:rsid w:val="006C550E"/>
    <w:rsid w:val="006C5635"/>
    <w:rsid w:val="006C567A"/>
    <w:rsid w:val="006C58BB"/>
    <w:rsid w:val="006C58F7"/>
    <w:rsid w:val="006C59A9"/>
    <w:rsid w:val="006C5B82"/>
    <w:rsid w:val="006C5E62"/>
    <w:rsid w:val="006C5EB7"/>
    <w:rsid w:val="006C609F"/>
    <w:rsid w:val="006C60F6"/>
    <w:rsid w:val="006C6349"/>
    <w:rsid w:val="006C64A7"/>
    <w:rsid w:val="006C64AB"/>
    <w:rsid w:val="006C6718"/>
    <w:rsid w:val="006C6744"/>
    <w:rsid w:val="006C6851"/>
    <w:rsid w:val="006C6C6F"/>
    <w:rsid w:val="006C6CCB"/>
    <w:rsid w:val="006C6D43"/>
    <w:rsid w:val="006C6EB8"/>
    <w:rsid w:val="006C6F61"/>
    <w:rsid w:val="006C7360"/>
    <w:rsid w:val="006C7565"/>
    <w:rsid w:val="006C75D9"/>
    <w:rsid w:val="006C760A"/>
    <w:rsid w:val="006C76FB"/>
    <w:rsid w:val="006C7808"/>
    <w:rsid w:val="006C78BD"/>
    <w:rsid w:val="006C7B11"/>
    <w:rsid w:val="006C7EBA"/>
    <w:rsid w:val="006C7F77"/>
    <w:rsid w:val="006D0252"/>
    <w:rsid w:val="006D0506"/>
    <w:rsid w:val="006D0508"/>
    <w:rsid w:val="006D0604"/>
    <w:rsid w:val="006D0718"/>
    <w:rsid w:val="006D094D"/>
    <w:rsid w:val="006D09A0"/>
    <w:rsid w:val="006D0B96"/>
    <w:rsid w:val="006D0BE1"/>
    <w:rsid w:val="006D0D7D"/>
    <w:rsid w:val="006D0E4A"/>
    <w:rsid w:val="006D0F24"/>
    <w:rsid w:val="006D0F94"/>
    <w:rsid w:val="006D10F1"/>
    <w:rsid w:val="006D1346"/>
    <w:rsid w:val="006D1460"/>
    <w:rsid w:val="006D1539"/>
    <w:rsid w:val="006D177B"/>
    <w:rsid w:val="006D181A"/>
    <w:rsid w:val="006D18AC"/>
    <w:rsid w:val="006D18CE"/>
    <w:rsid w:val="006D18F2"/>
    <w:rsid w:val="006D190E"/>
    <w:rsid w:val="006D1A12"/>
    <w:rsid w:val="006D1A74"/>
    <w:rsid w:val="006D1BBB"/>
    <w:rsid w:val="006D1F0C"/>
    <w:rsid w:val="006D2162"/>
    <w:rsid w:val="006D2278"/>
    <w:rsid w:val="006D22A1"/>
    <w:rsid w:val="006D249D"/>
    <w:rsid w:val="006D25C1"/>
    <w:rsid w:val="006D26CE"/>
    <w:rsid w:val="006D2C00"/>
    <w:rsid w:val="006D2F87"/>
    <w:rsid w:val="006D3189"/>
    <w:rsid w:val="006D3554"/>
    <w:rsid w:val="006D372F"/>
    <w:rsid w:val="006D3830"/>
    <w:rsid w:val="006D3885"/>
    <w:rsid w:val="006D3DFC"/>
    <w:rsid w:val="006D3EEF"/>
    <w:rsid w:val="006D4034"/>
    <w:rsid w:val="006D465F"/>
    <w:rsid w:val="006D46EE"/>
    <w:rsid w:val="006D49A1"/>
    <w:rsid w:val="006D4A7C"/>
    <w:rsid w:val="006D4AC5"/>
    <w:rsid w:val="006D4D5C"/>
    <w:rsid w:val="006D4DB0"/>
    <w:rsid w:val="006D5249"/>
    <w:rsid w:val="006D52A6"/>
    <w:rsid w:val="006D58B2"/>
    <w:rsid w:val="006D58CF"/>
    <w:rsid w:val="006D5957"/>
    <w:rsid w:val="006D59AE"/>
    <w:rsid w:val="006D5B4C"/>
    <w:rsid w:val="006D5C09"/>
    <w:rsid w:val="006D5D61"/>
    <w:rsid w:val="006D5E60"/>
    <w:rsid w:val="006D5F48"/>
    <w:rsid w:val="006D5FD9"/>
    <w:rsid w:val="006D6014"/>
    <w:rsid w:val="006D630E"/>
    <w:rsid w:val="006D6763"/>
    <w:rsid w:val="006D6A82"/>
    <w:rsid w:val="006D6AB0"/>
    <w:rsid w:val="006D6CE9"/>
    <w:rsid w:val="006D6E87"/>
    <w:rsid w:val="006D6EEF"/>
    <w:rsid w:val="006D6EF9"/>
    <w:rsid w:val="006D6F08"/>
    <w:rsid w:val="006D736C"/>
    <w:rsid w:val="006D746E"/>
    <w:rsid w:val="006D7607"/>
    <w:rsid w:val="006D7B12"/>
    <w:rsid w:val="006D7DA8"/>
    <w:rsid w:val="006D7E68"/>
    <w:rsid w:val="006E0031"/>
    <w:rsid w:val="006E0245"/>
    <w:rsid w:val="006E04BA"/>
    <w:rsid w:val="006E05CF"/>
    <w:rsid w:val="006E0AD1"/>
    <w:rsid w:val="006E0B52"/>
    <w:rsid w:val="006E0B9E"/>
    <w:rsid w:val="006E0C71"/>
    <w:rsid w:val="006E0C91"/>
    <w:rsid w:val="006E0CF3"/>
    <w:rsid w:val="006E0D10"/>
    <w:rsid w:val="006E0D67"/>
    <w:rsid w:val="006E0E61"/>
    <w:rsid w:val="006E0EF0"/>
    <w:rsid w:val="006E0F8A"/>
    <w:rsid w:val="006E1176"/>
    <w:rsid w:val="006E11C0"/>
    <w:rsid w:val="006E1283"/>
    <w:rsid w:val="006E1919"/>
    <w:rsid w:val="006E1992"/>
    <w:rsid w:val="006E199F"/>
    <w:rsid w:val="006E1C17"/>
    <w:rsid w:val="006E1D57"/>
    <w:rsid w:val="006E1D8B"/>
    <w:rsid w:val="006E2088"/>
    <w:rsid w:val="006E210F"/>
    <w:rsid w:val="006E2867"/>
    <w:rsid w:val="006E2A25"/>
    <w:rsid w:val="006E2B30"/>
    <w:rsid w:val="006E2C97"/>
    <w:rsid w:val="006E2D50"/>
    <w:rsid w:val="006E2F46"/>
    <w:rsid w:val="006E2F7F"/>
    <w:rsid w:val="006E32C2"/>
    <w:rsid w:val="006E3470"/>
    <w:rsid w:val="006E3665"/>
    <w:rsid w:val="006E3A10"/>
    <w:rsid w:val="006E3C05"/>
    <w:rsid w:val="006E3C8F"/>
    <w:rsid w:val="006E3CAC"/>
    <w:rsid w:val="006E3FBF"/>
    <w:rsid w:val="006E4821"/>
    <w:rsid w:val="006E4F86"/>
    <w:rsid w:val="006E55A4"/>
    <w:rsid w:val="006E5711"/>
    <w:rsid w:val="006E5841"/>
    <w:rsid w:val="006E5C7E"/>
    <w:rsid w:val="006E5CB5"/>
    <w:rsid w:val="006E5D13"/>
    <w:rsid w:val="006E5DA1"/>
    <w:rsid w:val="006E5ED9"/>
    <w:rsid w:val="006E5FD0"/>
    <w:rsid w:val="006E6049"/>
    <w:rsid w:val="006E6423"/>
    <w:rsid w:val="006E6703"/>
    <w:rsid w:val="006E682F"/>
    <w:rsid w:val="006E6837"/>
    <w:rsid w:val="006E68A0"/>
    <w:rsid w:val="006E6930"/>
    <w:rsid w:val="006E6A4C"/>
    <w:rsid w:val="006E6D39"/>
    <w:rsid w:val="006E6D3E"/>
    <w:rsid w:val="006E6E10"/>
    <w:rsid w:val="006E70AD"/>
    <w:rsid w:val="006E7302"/>
    <w:rsid w:val="006E737E"/>
    <w:rsid w:val="006E76DD"/>
    <w:rsid w:val="006E778E"/>
    <w:rsid w:val="006E7C71"/>
    <w:rsid w:val="006E7CA1"/>
    <w:rsid w:val="006E7EB3"/>
    <w:rsid w:val="006E7F14"/>
    <w:rsid w:val="006F0270"/>
    <w:rsid w:val="006F02F4"/>
    <w:rsid w:val="006F0424"/>
    <w:rsid w:val="006F054D"/>
    <w:rsid w:val="006F07E8"/>
    <w:rsid w:val="006F0929"/>
    <w:rsid w:val="006F0964"/>
    <w:rsid w:val="006F0CC8"/>
    <w:rsid w:val="006F0D11"/>
    <w:rsid w:val="006F0D2F"/>
    <w:rsid w:val="006F121C"/>
    <w:rsid w:val="006F146F"/>
    <w:rsid w:val="006F18B0"/>
    <w:rsid w:val="006F1A70"/>
    <w:rsid w:val="006F1AD4"/>
    <w:rsid w:val="006F1D70"/>
    <w:rsid w:val="006F1EF5"/>
    <w:rsid w:val="006F20A7"/>
    <w:rsid w:val="006F23FE"/>
    <w:rsid w:val="006F2608"/>
    <w:rsid w:val="006F2BE7"/>
    <w:rsid w:val="006F2D1E"/>
    <w:rsid w:val="006F2F7A"/>
    <w:rsid w:val="006F3001"/>
    <w:rsid w:val="006F335A"/>
    <w:rsid w:val="006F34E1"/>
    <w:rsid w:val="006F36A7"/>
    <w:rsid w:val="006F3778"/>
    <w:rsid w:val="006F37F9"/>
    <w:rsid w:val="006F38D8"/>
    <w:rsid w:val="006F3908"/>
    <w:rsid w:val="006F3936"/>
    <w:rsid w:val="006F397C"/>
    <w:rsid w:val="006F3A36"/>
    <w:rsid w:val="006F3D89"/>
    <w:rsid w:val="006F3E4E"/>
    <w:rsid w:val="006F3E51"/>
    <w:rsid w:val="006F3EA2"/>
    <w:rsid w:val="006F3ECB"/>
    <w:rsid w:val="006F403A"/>
    <w:rsid w:val="006F4069"/>
    <w:rsid w:val="006F4158"/>
    <w:rsid w:val="006F4208"/>
    <w:rsid w:val="006F43B7"/>
    <w:rsid w:val="006F43E1"/>
    <w:rsid w:val="006F44BE"/>
    <w:rsid w:val="006F44F6"/>
    <w:rsid w:val="006F4857"/>
    <w:rsid w:val="006F48D6"/>
    <w:rsid w:val="006F4F29"/>
    <w:rsid w:val="006F50D1"/>
    <w:rsid w:val="006F5263"/>
    <w:rsid w:val="006F56F5"/>
    <w:rsid w:val="006F5E66"/>
    <w:rsid w:val="006F604A"/>
    <w:rsid w:val="006F6363"/>
    <w:rsid w:val="006F64F6"/>
    <w:rsid w:val="006F66C7"/>
    <w:rsid w:val="006F66E1"/>
    <w:rsid w:val="006F68C9"/>
    <w:rsid w:val="006F68F2"/>
    <w:rsid w:val="006F6B89"/>
    <w:rsid w:val="006F6BB3"/>
    <w:rsid w:val="006F6C05"/>
    <w:rsid w:val="006F6DFD"/>
    <w:rsid w:val="006F6E09"/>
    <w:rsid w:val="006F6E51"/>
    <w:rsid w:val="006F749E"/>
    <w:rsid w:val="006F76DC"/>
    <w:rsid w:val="006F7786"/>
    <w:rsid w:val="006F77B3"/>
    <w:rsid w:val="006F7CCB"/>
    <w:rsid w:val="00700164"/>
    <w:rsid w:val="0070016B"/>
    <w:rsid w:val="00700446"/>
    <w:rsid w:val="0070048D"/>
    <w:rsid w:val="00700591"/>
    <w:rsid w:val="0070098F"/>
    <w:rsid w:val="00700B45"/>
    <w:rsid w:val="00700C0D"/>
    <w:rsid w:val="00700CE7"/>
    <w:rsid w:val="00700D1D"/>
    <w:rsid w:val="00700E81"/>
    <w:rsid w:val="007010C1"/>
    <w:rsid w:val="007011CE"/>
    <w:rsid w:val="007012CC"/>
    <w:rsid w:val="00701316"/>
    <w:rsid w:val="00701631"/>
    <w:rsid w:val="007016F3"/>
    <w:rsid w:val="00701C45"/>
    <w:rsid w:val="0070221D"/>
    <w:rsid w:val="007022AC"/>
    <w:rsid w:val="00702449"/>
    <w:rsid w:val="007026DA"/>
    <w:rsid w:val="007027BF"/>
    <w:rsid w:val="00702B49"/>
    <w:rsid w:val="00702D8D"/>
    <w:rsid w:val="00702DA0"/>
    <w:rsid w:val="00702E70"/>
    <w:rsid w:val="00702F22"/>
    <w:rsid w:val="00702F27"/>
    <w:rsid w:val="00703035"/>
    <w:rsid w:val="007030B7"/>
    <w:rsid w:val="00703140"/>
    <w:rsid w:val="007031B3"/>
    <w:rsid w:val="00703302"/>
    <w:rsid w:val="00703BD9"/>
    <w:rsid w:val="00703D3A"/>
    <w:rsid w:val="00703D44"/>
    <w:rsid w:val="00703DAA"/>
    <w:rsid w:val="00703E23"/>
    <w:rsid w:val="00703ED5"/>
    <w:rsid w:val="00704010"/>
    <w:rsid w:val="0070406B"/>
    <w:rsid w:val="007040EA"/>
    <w:rsid w:val="00704195"/>
    <w:rsid w:val="007042FD"/>
    <w:rsid w:val="007043C2"/>
    <w:rsid w:val="00704476"/>
    <w:rsid w:val="00704496"/>
    <w:rsid w:val="00704AD0"/>
    <w:rsid w:val="00704E1B"/>
    <w:rsid w:val="00704F8E"/>
    <w:rsid w:val="00704FB4"/>
    <w:rsid w:val="00704FE9"/>
    <w:rsid w:val="00705714"/>
    <w:rsid w:val="00705717"/>
    <w:rsid w:val="007057C5"/>
    <w:rsid w:val="007058EA"/>
    <w:rsid w:val="00705A02"/>
    <w:rsid w:val="00705A1B"/>
    <w:rsid w:val="00705A55"/>
    <w:rsid w:val="00705B3E"/>
    <w:rsid w:val="00705C7C"/>
    <w:rsid w:val="00705F46"/>
    <w:rsid w:val="007062C5"/>
    <w:rsid w:val="007064E4"/>
    <w:rsid w:val="0070682F"/>
    <w:rsid w:val="007068A4"/>
    <w:rsid w:val="00706C79"/>
    <w:rsid w:val="00706D15"/>
    <w:rsid w:val="00706DF0"/>
    <w:rsid w:val="00706EAC"/>
    <w:rsid w:val="0070730B"/>
    <w:rsid w:val="0070786F"/>
    <w:rsid w:val="00707F2D"/>
    <w:rsid w:val="00707FD7"/>
    <w:rsid w:val="00710082"/>
    <w:rsid w:val="0071014F"/>
    <w:rsid w:val="00710385"/>
    <w:rsid w:val="00710437"/>
    <w:rsid w:val="00710583"/>
    <w:rsid w:val="00710694"/>
    <w:rsid w:val="0071072C"/>
    <w:rsid w:val="007108AD"/>
    <w:rsid w:val="007109EB"/>
    <w:rsid w:val="00710AAE"/>
    <w:rsid w:val="00710AD1"/>
    <w:rsid w:val="00710B8E"/>
    <w:rsid w:val="00710BF5"/>
    <w:rsid w:val="007112E5"/>
    <w:rsid w:val="00711350"/>
    <w:rsid w:val="00711567"/>
    <w:rsid w:val="007115E1"/>
    <w:rsid w:val="00711666"/>
    <w:rsid w:val="00711861"/>
    <w:rsid w:val="007118A2"/>
    <w:rsid w:val="007119B5"/>
    <w:rsid w:val="00711B77"/>
    <w:rsid w:val="00711D47"/>
    <w:rsid w:val="00711D8E"/>
    <w:rsid w:val="00711E42"/>
    <w:rsid w:val="00711F36"/>
    <w:rsid w:val="00711FD1"/>
    <w:rsid w:val="00712003"/>
    <w:rsid w:val="0071207A"/>
    <w:rsid w:val="0071209A"/>
    <w:rsid w:val="0071213D"/>
    <w:rsid w:val="00712538"/>
    <w:rsid w:val="0071280D"/>
    <w:rsid w:val="00712AC5"/>
    <w:rsid w:val="00712BCE"/>
    <w:rsid w:val="00712D9E"/>
    <w:rsid w:val="00712FC1"/>
    <w:rsid w:val="0071316D"/>
    <w:rsid w:val="00713211"/>
    <w:rsid w:val="007133D9"/>
    <w:rsid w:val="00713442"/>
    <w:rsid w:val="007135E1"/>
    <w:rsid w:val="00713879"/>
    <w:rsid w:val="007139ED"/>
    <w:rsid w:val="00713E03"/>
    <w:rsid w:val="0071418A"/>
    <w:rsid w:val="00714360"/>
    <w:rsid w:val="0071458E"/>
    <w:rsid w:val="0071477A"/>
    <w:rsid w:val="007147E9"/>
    <w:rsid w:val="0071488C"/>
    <w:rsid w:val="00714968"/>
    <w:rsid w:val="00714DF9"/>
    <w:rsid w:val="00714F10"/>
    <w:rsid w:val="00714FDA"/>
    <w:rsid w:val="007150AF"/>
    <w:rsid w:val="00715167"/>
    <w:rsid w:val="007156CB"/>
    <w:rsid w:val="00715730"/>
    <w:rsid w:val="007158C6"/>
    <w:rsid w:val="00715AD5"/>
    <w:rsid w:val="00715B2C"/>
    <w:rsid w:val="00715D26"/>
    <w:rsid w:val="00715DCC"/>
    <w:rsid w:val="0071606F"/>
    <w:rsid w:val="007161D9"/>
    <w:rsid w:val="00716384"/>
    <w:rsid w:val="007167EF"/>
    <w:rsid w:val="00716B3E"/>
    <w:rsid w:val="00716B7B"/>
    <w:rsid w:val="00716D34"/>
    <w:rsid w:val="00716E13"/>
    <w:rsid w:val="00716FE7"/>
    <w:rsid w:val="00717163"/>
    <w:rsid w:val="007173FA"/>
    <w:rsid w:val="0071760C"/>
    <w:rsid w:val="00717695"/>
    <w:rsid w:val="0071789B"/>
    <w:rsid w:val="00717922"/>
    <w:rsid w:val="00717925"/>
    <w:rsid w:val="00717937"/>
    <w:rsid w:val="00717973"/>
    <w:rsid w:val="00717D5F"/>
    <w:rsid w:val="0072011F"/>
    <w:rsid w:val="00720450"/>
    <w:rsid w:val="007204C5"/>
    <w:rsid w:val="007205A1"/>
    <w:rsid w:val="00720825"/>
    <w:rsid w:val="0072084B"/>
    <w:rsid w:val="007208C9"/>
    <w:rsid w:val="00720B1F"/>
    <w:rsid w:val="00720D85"/>
    <w:rsid w:val="00720E6A"/>
    <w:rsid w:val="00720F72"/>
    <w:rsid w:val="00720FC6"/>
    <w:rsid w:val="00720FFF"/>
    <w:rsid w:val="007211F0"/>
    <w:rsid w:val="007212AE"/>
    <w:rsid w:val="00721364"/>
    <w:rsid w:val="0072153D"/>
    <w:rsid w:val="00721541"/>
    <w:rsid w:val="00721605"/>
    <w:rsid w:val="0072182D"/>
    <w:rsid w:val="00721972"/>
    <w:rsid w:val="00721AB1"/>
    <w:rsid w:val="00721CB5"/>
    <w:rsid w:val="00721D3F"/>
    <w:rsid w:val="00721DE1"/>
    <w:rsid w:val="00721E45"/>
    <w:rsid w:val="00721E8A"/>
    <w:rsid w:val="00721F1E"/>
    <w:rsid w:val="00721F24"/>
    <w:rsid w:val="0072201B"/>
    <w:rsid w:val="00722028"/>
    <w:rsid w:val="007220FD"/>
    <w:rsid w:val="007226D8"/>
    <w:rsid w:val="00722850"/>
    <w:rsid w:val="0072294E"/>
    <w:rsid w:val="00722A77"/>
    <w:rsid w:val="00722E80"/>
    <w:rsid w:val="00722F00"/>
    <w:rsid w:val="00722F84"/>
    <w:rsid w:val="0072308C"/>
    <w:rsid w:val="0072310C"/>
    <w:rsid w:val="0072315B"/>
    <w:rsid w:val="0072319F"/>
    <w:rsid w:val="00723229"/>
    <w:rsid w:val="00723357"/>
    <w:rsid w:val="007234B6"/>
    <w:rsid w:val="00723598"/>
    <w:rsid w:val="007236EF"/>
    <w:rsid w:val="00723E3E"/>
    <w:rsid w:val="0072440E"/>
    <w:rsid w:val="00724563"/>
    <w:rsid w:val="007248B2"/>
    <w:rsid w:val="007248CD"/>
    <w:rsid w:val="00724E19"/>
    <w:rsid w:val="00725109"/>
    <w:rsid w:val="0072544D"/>
    <w:rsid w:val="007254C3"/>
    <w:rsid w:val="0072572F"/>
    <w:rsid w:val="0072581F"/>
    <w:rsid w:val="0072588F"/>
    <w:rsid w:val="007259BA"/>
    <w:rsid w:val="00725A20"/>
    <w:rsid w:val="00725B19"/>
    <w:rsid w:val="00725B21"/>
    <w:rsid w:val="00725BD1"/>
    <w:rsid w:val="00725EC1"/>
    <w:rsid w:val="00725FE6"/>
    <w:rsid w:val="00726300"/>
    <w:rsid w:val="0072630C"/>
    <w:rsid w:val="007266CA"/>
    <w:rsid w:val="0072680C"/>
    <w:rsid w:val="00726849"/>
    <w:rsid w:val="0072686F"/>
    <w:rsid w:val="00726E4C"/>
    <w:rsid w:val="00726E60"/>
    <w:rsid w:val="00726EBA"/>
    <w:rsid w:val="00726F16"/>
    <w:rsid w:val="00726F89"/>
    <w:rsid w:val="00727120"/>
    <w:rsid w:val="007271E4"/>
    <w:rsid w:val="00727245"/>
    <w:rsid w:val="007272F5"/>
    <w:rsid w:val="007273AA"/>
    <w:rsid w:val="007273E0"/>
    <w:rsid w:val="00727672"/>
    <w:rsid w:val="0072776B"/>
    <w:rsid w:val="007278DC"/>
    <w:rsid w:val="00727C40"/>
    <w:rsid w:val="00727DF5"/>
    <w:rsid w:val="00727F62"/>
    <w:rsid w:val="0073003C"/>
    <w:rsid w:val="007300B3"/>
    <w:rsid w:val="007300E4"/>
    <w:rsid w:val="00730158"/>
    <w:rsid w:val="0073016D"/>
    <w:rsid w:val="00730339"/>
    <w:rsid w:val="007303E9"/>
    <w:rsid w:val="00730405"/>
    <w:rsid w:val="007304EC"/>
    <w:rsid w:val="00730561"/>
    <w:rsid w:val="0073064C"/>
    <w:rsid w:val="007307DD"/>
    <w:rsid w:val="007307F8"/>
    <w:rsid w:val="0073092F"/>
    <w:rsid w:val="00730981"/>
    <w:rsid w:val="00730B30"/>
    <w:rsid w:val="00730BFA"/>
    <w:rsid w:val="00730D6F"/>
    <w:rsid w:val="00730E69"/>
    <w:rsid w:val="00730EAD"/>
    <w:rsid w:val="00730F0C"/>
    <w:rsid w:val="00730F70"/>
    <w:rsid w:val="00731070"/>
    <w:rsid w:val="00731251"/>
    <w:rsid w:val="0073133F"/>
    <w:rsid w:val="00731365"/>
    <w:rsid w:val="007313F8"/>
    <w:rsid w:val="007315A7"/>
    <w:rsid w:val="00731645"/>
    <w:rsid w:val="00731649"/>
    <w:rsid w:val="00731763"/>
    <w:rsid w:val="007318DC"/>
    <w:rsid w:val="00731976"/>
    <w:rsid w:val="007319DF"/>
    <w:rsid w:val="0073201A"/>
    <w:rsid w:val="007322E1"/>
    <w:rsid w:val="0073270F"/>
    <w:rsid w:val="00732799"/>
    <w:rsid w:val="007327E7"/>
    <w:rsid w:val="007329AD"/>
    <w:rsid w:val="00732A83"/>
    <w:rsid w:val="00732C2E"/>
    <w:rsid w:val="00732CE2"/>
    <w:rsid w:val="00732D41"/>
    <w:rsid w:val="00732D77"/>
    <w:rsid w:val="00732D99"/>
    <w:rsid w:val="00732ED2"/>
    <w:rsid w:val="00732EF2"/>
    <w:rsid w:val="00733271"/>
    <w:rsid w:val="00733365"/>
    <w:rsid w:val="00733506"/>
    <w:rsid w:val="0073353C"/>
    <w:rsid w:val="00733551"/>
    <w:rsid w:val="00733A6A"/>
    <w:rsid w:val="00733A79"/>
    <w:rsid w:val="00733B88"/>
    <w:rsid w:val="00733BC2"/>
    <w:rsid w:val="00733CE8"/>
    <w:rsid w:val="00733D21"/>
    <w:rsid w:val="00733E48"/>
    <w:rsid w:val="00733EC8"/>
    <w:rsid w:val="00733F79"/>
    <w:rsid w:val="007341E2"/>
    <w:rsid w:val="007341EA"/>
    <w:rsid w:val="00734271"/>
    <w:rsid w:val="00734622"/>
    <w:rsid w:val="007348AF"/>
    <w:rsid w:val="00734922"/>
    <w:rsid w:val="00734A1B"/>
    <w:rsid w:val="00734BD2"/>
    <w:rsid w:val="00734ECF"/>
    <w:rsid w:val="0073505D"/>
    <w:rsid w:val="0073509E"/>
    <w:rsid w:val="0073519F"/>
    <w:rsid w:val="007352A8"/>
    <w:rsid w:val="00735326"/>
    <w:rsid w:val="00735395"/>
    <w:rsid w:val="007353B9"/>
    <w:rsid w:val="0073584B"/>
    <w:rsid w:val="007359B0"/>
    <w:rsid w:val="00735AB1"/>
    <w:rsid w:val="00735AF4"/>
    <w:rsid w:val="00735B34"/>
    <w:rsid w:val="00735D7C"/>
    <w:rsid w:val="00735E3E"/>
    <w:rsid w:val="00735F9F"/>
    <w:rsid w:val="007361B9"/>
    <w:rsid w:val="007362C3"/>
    <w:rsid w:val="00736344"/>
    <w:rsid w:val="00736349"/>
    <w:rsid w:val="00736363"/>
    <w:rsid w:val="0073659E"/>
    <w:rsid w:val="007369D0"/>
    <w:rsid w:val="00736A07"/>
    <w:rsid w:val="00736C33"/>
    <w:rsid w:val="00736D8C"/>
    <w:rsid w:val="00736DCB"/>
    <w:rsid w:val="00736E27"/>
    <w:rsid w:val="00736E87"/>
    <w:rsid w:val="00736EA4"/>
    <w:rsid w:val="00736EBF"/>
    <w:rsid w:val="00736F02"/>
    <w:rsid w:val="00736F9B"/>
    <w:rsid w:val="00737047"/>
    <w:rsid w:val="0073708E"/>
    <w:rsid w:val="0073738A"/>
    <w:rsid w:val="00737438"/>
    <w:rsid w:val="0073750C"/>
    <w:rsid w:val="007375A5"/>
    <w:rsid w:val="007375C9"/>
    <w:rsid w:val="00737A56"/>
    <w:rsid w:val="00737BE2"/>
    <w:rsid w:val="00737C8E"/>
    <w:rsid w:val="00737E3E"/>
    <w:rsid w:val="00737FA1"/>
    <w:rsid w:val="0074011E"/>
    <w:rsid w:val="00740434"/>
    <w:rsid w:val="0074044E"/>
    <w:rsid w:val="00740623"/>
    <w:rsid w:val="007406FE"/>
    <w:rsid w:val="007407EC"/>
    <w:rsid w:val="00740AF0"/>
    <w:rsid w:val="00740BDC"/>
    <w:rsid w:val="00740D0D"/>
    <w:rsid w:val="00740D58"/>
    <w:rsid w:val="0074103C"/>
    <w:rsid w:val="0074112A"/>
    <w:rsid w:val="007411DB"/>
    <w:rsid w:val="00741262"/>
    <w:rsid w:val="00741378"/>
    <w:rsid w:val="00741545"/>
    <w:rsid w:val="00741A35"/>
    <w:rsid w:val="00741B2C"/>
    <w:rsid w:val="00741CDC"/>
    <w:rsid w:val="00741D3F"/>
    <w:rsid w:val="00741D64"/>
    <w:rsid w:val="00741E88"/>
    <w:rsid w:val="00741EC2"/>
    <w:rsid w:val="00741ECF"/>
    <w:rsid w:val="00741F69"/>
    <w:rsid w:val="00741FBA"/>
    <w:rsid w:val="00742045"/>
    <w:rsid w:val="0074215B"/>
    <w:rsid w:val="007421F9"/>
    <w:rsid w:val="00742323"/>
    <w:rsid w:val="00742401"/>
    <w:rsid w:val="007424C3"/>
    <w:rsid w:val="007425C2"/>
    <w:rsid w:val="00742675"/>
    <w:rsid w:val="007428D9"/>
    <w:rsid w:val="0074295C"/>
    <w:rsid w:val="007429CB"/>
    <w:rsid w:val="00742A98"/>
    <w:rsid w:val="00742ABD"/>
    <w:rsid w:val="00742C7F"/>
    <w:rsid w:val="00742D14"/>
    <w:rsid w:val="00742FE5"/>
    <w:rsid w:val="00743175"/>
    <w:rsid w:val="007431FA"/>
    <w:rsid w:val="00743A07"/>
    <w:rsid w:val="00743BB5"/>
    <w:rsid w:val="00743BCA"/>
    <w:rsid w:val="00743C20"/>
    <w:rsid w:val="007440C1"/>
    <w:rsid w:val="007440EE"/>
    <w:rsid w:val="00744585"/>
    <w:rsid w:val="0074464D"/>
    <w:rsid w:val="00744667"/>
    <w:rsid w:val="007447A3"/>
    <w:rsid w:val="00744C18"/>
    <w:rsid w:val="00744CEA"/>
    <w:rsid w:val="00744F0A"/>
    <w:rsid w:val="00745147"/>
    <w:rsid w:val="0074514C"/>
    <w:rsid w:val="007453F2"/>
    <w:rsid w:val="0074574D"/>
    <w:rsid w:val="00745965"/>
    <w:rsid w:val="00745EFE"/>
    <w:rsid w:val="00746104"/>
    <w:rsid w:val="007461AD"/>
    <w:rsid w:val="00746394"/>
    <w:rsid w:val="007464A4"/>
    <w:rsid w:val="0074650B"/>
    <w:rsid w:val="00746707"/>
    <w:rsid w:val="00746967"/>
    <w:rsid w:val="00746B73"/>
    <w:rsid w:val="0074701C"/>
    <w:rsid w:val="00747108"/>
    <w:rsid w:val="00747224"/>
    <w:rsid w:val="00747480"/>
    <w:rsid w:val="007474BB"/>
    <w:rsid w:val="0074779C"/>
    <w:rsid w:val="00747A68"/>
    <w:rsid w:val="00747BBC"/>
    <w:rsid w:val="00747BE1"/>
    <w:rsid w:val="00747BEE"/>
    <w:rsid w:val="00747E34"/>
    <w:rsid w:val="00747E4E"/>
    <w:rsid w:val="00747F4A"/>
    <w:rsid w:val="0075000C"/>
    <w:rsid w:val="00750132"/>
    <w:rsid w:val="007501E5"/>
    <w:rsid w:val="0075038E"/>
    <w:rsid w:val="007503B2"/>
    <w:rsid w:val="007504EF"/>
    <w:rsid w:val="00750652"/>
    <w:rsid w:val="00750812"/>
    <w:rsid w:val="00750867"/>
    <w:rsid w:val="007508B4"/>
    <w:rsid w:val="007508BC"/>
    <w:rsid w:val="00750947"/>
    <w:rsid w:val="00750A59"/>
    <w:rsid w:val="00750D50"/>
    <w:rsid w:val="00750D8E"/>
    <w:rsid w:val="00750DD5"/>
    <w:rsid w:val="00750E1F"/>
    <w:rsid w:val="00751020"/>
    <w:rsid w:val="00751246"/>
    <w:rsid w:val="007515D4"/>
    <w:rsid w:val="007518B9"/>
    <w:rsid w:val="007518BA"/>
    <w:rsid w:val="00751BC2"/>
    <w:rsid w:val="00751DE3"/>
    <w:rsid w:val="00751F0F"/>
    <w:rsid w:val="00751F66"/>
    <w:rsid w:val="00752338"/>
    <w:rsid w:val="0075261E"/>
    <w:rsid w:val="00752692"/>
    <w:rsid w:val="007526C8"/>
    <w:rsid w:val="00752857"/>
    <w:rsid w:val="00752B0C"/>
    <w:rsid w:val="00752BED"/>
    <w:rsid w:val="00752C98"/>
    <w:rsid w:val="00752CFF"/>
    <w:rsid w:val="00752D23"/>
    <w:rsid w:val="00752E27"/>
    <w:rsid w:val="007530B1"/>
    <w:rsid w:val="0075316D"/>
    <w:rsid w:val="0075327C"/>
    <w:rsid w:val="007532F7"/>
    <w:rsid w:val="007534D2"/>
    <w:rsid w:val="00753774"/>
    <w:rsid w:val="0075385A"/>
    <w:rsid w:val="0075388A"/>
    <w:rsid w:val="00753896"/>
    <w:rsid w:val="00753961"/>
    <w:rsid w:val="00753B15"/>
    <w:rsid w:val="00753B60"/>
    <w:rsid w:val="00753C12"/>
    <w:rsid w:val="00753C1F"/>
    <w:rsid w:val="00753D26"/>
    <w:rsid w:val="007545EC"/>
    <w:rsid w:val="00754631"/>
    <w:rsid w:val="00754778"/>
    <w:rsid w:val="00754862"/>
    <w:rsid w:val="007548E8"/>
    <w:rsid w:val="00754A48"/>
    <w:rsid w:val="00754C53"/>
    <w:rsid w:val="00754C60"/>
    <w:rsid w:val="00754C88"/>
    <w:rsid w:val="00754DA9"/>
    <w:rsid w:val="00755071"/>
    <w:rsid w:val="007551ED"/>
    <w:rsid w:val="00755291"/>
    <w:rsid w:val="007553B0"/>
    <w:rsid w:val="00755548"/>
    <w:rsid w:val="007556D8"/>
    <w:rsid w:val="00755766"/>
    <w:rsid w:val="00755790"/>
    <w:rsid w:val="007558CB"/>
    <w:rsid w:val="00755AAB"/>
    <w:rsid w:val="00755AB7"/>
    <w:rsid w:val="00755C17"/>
    <w:rsid w:val="00755C82"/>
    <w:rsid w:val="00755CDC"/>
    <w:rsid w:val="00755E5B"/>
    <w:rsid w:val="007560D5"/>
    <w:rsid w:val="0075614B"/>
    <w:rsid w:val="007563CD"/>
    <w:rsid w:val="0075653B"/>
    <w:rsid w:val="007566DE"/>
    <w:rsid w:val="0075670B"/>
    <w:rsid w:val="00756DFC"/>
    <w:rsid w:val="00756EB0"/>
    <w:rsid w:val="00757312"/>
    <w:rsid w:val="0075751D"/>
    <w:rsid w:val="007578F8"/>
    <w:rsid w:val="007579C2"/>
    <w:rsid w:val="00757AFB"/>
    <w:rsid w:val="00757B55"/>
    <w:rsid w:val="00757C70"/>
    <w:rsid w:val="00757C89"/>
    <w:rsid w:val="00757CB1"/>
    <w:rsid w:val="00757CFA"/>
    <w:rsid w:val="00757F3E"/>
    <w:rsid w:val="00757FF5"/>
    <w:rsid w:val="00760217"/>
    <w:rsid w:val="00760325"/>
    <w:rsid w:val="00760658"/>
    <w:rsid w:val="007607A0"/>
    <w:rsid w:val="0076093C"/>
    <w:rsid w:val="00760C73"/>
    <w:rsid w:val="00760C94"/>
    <w:rsid w:val="00760CB7"/>
    <w:rsid w:val="00760E0D"/>
    <w:rsid w:val="00760E19"/>
    <w:rsid w:val="00761048"/>
    <w:rsid w:val="00761440"/>
    <w:rsid w:val="0076148A"/>
    <w:rsid w:val="00761557"/>
    <w:rsid w:val="007615CA"/>
    <w:rsid w:val="007615E1"/>
    <w:rsid w:val="007616AB"/>
    <w:rsid w:val="007616E4"/>
    <w:rsid w:val="0076172C"/>
    <w:rsid w:val="00761C7C"/>
    <w:rsid w:val="00761CC0"/>
    <w:rsid w:val="00761E32"/>
    <w:rsid w:val="00761F9F"/>
    <w:rsid w:val="0076205C"/>
    <w:rsid w:val="00762666"/>
    <w:rsid w:val="00762769"/>
    <w:rsid w:val="0076286F"/>
    <w:rsid w:val="00762B75"/>
    <w:rsid w:val="00762D78"/>
    <w:rsid w:val="00762E21"/>
    <w:rsid w:val="0076303E"/>
    <w:rsid w:val="007630BF"/>
    <w:rsid w:val="00763336"/>
    <w:rsid w:val="0076345F"/>
    <w:rsid w:val="007634D1"/>
    <w:rsid w:val="007635D8"/>
    <w:rsid w:val="007635F8"/>
    <w:rsid w:val="0076363D"/>
    <w:rsid w:val="0076369E"/>
    <w:rsid w:val="007636DB"/>
    <w:rsid w:val="00763800"/>
    <w:rsid w:val="00763867"/>
    <w:rsid w:val="00763901"/>
    <w:rsid w:val="00763931"/>
    <w:rsid w:val="00763A0B"/>
    <w:rsid w:val="00763CA3"/>
    <w:rsid w:val="00763CF0"/>
    <w:rsid w:val="0076405D"/>
    <w:rsid w:val="007641BD"/>
    <w:rsid w:val="007641F0"/>
    <w:rsid w:val="0076420D"/>
    <w:rsid w:val="007644E0"/>
    <w:rsid w:val="0076474C"/>
    <w:rsid w:val="007648F9"/>
    <w:rsid w:val="00764C60"/>
    <w:rsid w:val="00764D9D"/>
    <w:rsid w:val="00764DE6"/>
    <w:rsid w:val="00765139"/>
    <w:rsid w:val="0076516D"/>
    <w:rsid w:val="0076522C"/>
    <w:rsid w:val="00765314"/>
    <w:rsid w:val="00765654"/>
    <w:rsid w:val="00765938"/>
    <w:rsid w:val="00765B68"/>
    <w:rsid w:val="00765BC3"/>
    <w:rsid w:val="00765BE7"/>
    <w:rsid w:val="00765C7D"/>
    <w:rsid w:val="00765EAD"/>
    <w:rsid w:val="00765F2C"/>
    <w:rsid w:val="007660E3"/>
    <w:rsid w:val="00766182"/>
    <w:rsid w:val="007662ED"/>
    <w:rsid w:val="00766361"/>
    <w:rsid w:val="007665D8"/>
    <w:rsid w:val="007666B5"/>
    <w:rsid w:val="0076679F"/>
    <w:rsid w:val="00766C7A"/>
    <w:rsid w:val="00766F38"/>
    <w:rsid w:val="00767338"/>
    <w:rsid w:val="007675DA"/>
    <w:rsid w:val="0076762E"/>
    <w:rsid w:val="007676AD"/>
    <w:rsid w:val="007677B4"/>
    <w:rsid w:val="007678C3"/>
    <w:rsid w:val="00767D83"/>
    <w:rsid w:val="00767EA2"/>
    <w:rsid w:val="00767EDD"/>
    <w:rsid w:val="007700DF"/>
    <w:rsid w:val="00770114"/>
    <w:rsid w:val="007701AC"/>
    <w:rsid w:val="0077021A"/>
    <w:rsid w:val="007704AE"/>
    <w:rsid w:val="0077052B"/>
    <w:rsid w:val="007705BD"/>
    <w:rsid w:val="00770DCC"/>
    <w:rsid w:val="00770E12"/>
    <w:rsid w:val="00770E4D"/>
    <w:rsid w:val="00770F90"/>
    <w:rsid w:val="0077102B"/>
    <w:rsid w:val="007712E1"/>
    <w:rsid w:val="007713D8"/>
    <w:rsid w:val="0077162B"/>
    <w:rsid w:val="007718D7"/>
    <w:rsid w:val="00771ABC"/>
    <w:rsid w:val="00771B5B"/>
    <w:rsid w:val="00771C39"/>
    <w:rsid w:val="00771D80"/>
    <w:rsid w:val="00771EB5"/>
    <w:rsid w:val="007722D1"/>
    <w:rsid w:val="007726A8"/>
    <w:rsid w:val="00772870"/>
    <w:rsid w:val="00772872"/>
    <w:rsid w:val="00772A46"/>
    <w:rsid w:val="00772C75"/>
    <w:rsid w:val="00772F09"/>
    <w:rsid w:val="00772F98"/>
    <w:rsid w:val="0077322E"/>
    <w:rsid w:val="0077326C"/>
    <w:rsid w:val="007732E6"/>
    <w:rsid w:val="00773312"/>
    <w:rsid w:val="00773452"/>
    <w:rsid w:val="007734B2"/>
    <w:rsid w:val="007737D8"/>
    <w:rsid w:val="00773910"/>
    <w:rsid w:val="00773C2E"/>
    <w:rsid w:val="00773D98"/>
    <w:rsid w:val="007744AB"/>
    <w:rsid w:val="0077464D"/>
    <w:rsid w:val="007746F8"/>
    <w:rsid w:val="00774793"/>
    <w:rsid w:val="007749FC"/>
    <w:rsid w:val="00774B8C"/>
    <w:rsid w:val="00774C1D"/>
    <w:rsid w:val="00774CE6"/>
    <w:rsid w:val="00774D21"/>
    <w:rsid w:val="00774D93"/>
    <w:rsid w:val="00774F9C"/>
    <w:rsid w:val="00774F9E"/>
    <w:rsid w:val="0077511C"/>
    <w:rsid w:val="007753B5"/>
    <w:rsid w:val="0077555C"/>
    <w:rsid w:val="007757CC"/>
    <w:rsid w:val="007758C5"/>
    <w:rsid w:val="007759D8"/>
    <w:rsid w:val="00775A3F"/>
    <w:rsid w:val="00775B5E"/>
    <w:rsid w:val="00775C06"/>
    <w:rsid w:val="00775CB0"/>
    <w:rsid w:val="007765C4"/>
    <w:rsid w:val="00776A22"/>
    <w:rsid w:val="00776F1B"/>
    <w:rsid w:val="007770A2"/>
    <w:rsid w:val="007770F3"/>
    <w:rsid w:val="0077717A"/>
    <w:rsid w:val="00777184"/>
    <w:rsid w:val="00777208"/>
    <w:rsid w:val="007772E0"/>
    <w:rsid w:val="007774D7"/>
    <w:rsid w:val="00777614"/>
    <w:rsid w:val="007776F2"/>
    <w:rsid w:val="007779AF"/>
    <w:rsid w:val="007779F0"/>
    <w:rsid w:val="00777C6D"/>
    <w:rsid w:val="00777D00"/>
    <w:rsid w:val="00777DA1"/>
    <w:rsid w:val="007802D4"/>
    <w:rsid w:val="007803DB"/>
    <w:rsid w:val="0078078E"/>
    <w:rsid w:val="007807C2"/>
    <w:rsid w:val="00780939"/>
    <w:rsid w:val="00780F1D"/>
    <w:rsid w:val="0078122A"/>
    <w:rsid w:val="007812CC"/>
    <w:rsid w:val="00781312"/>
    <w:rsid w:val="00781344"/>
    <w:rsid w:val="007817DB"/>
    <w:rsid w:val="007819B4"/>
    <w:rsid w:val="00781C0F"/>
    <w:rsid w:val="00781C5A"/>
    <w:rsid w:val="00781D04"/>
    <w:rsid w:val="00781F9A"/>
    <w:rsid w:val="0078212F"/>
    <w:rsid w:val="007821DC"/>
    <w:rsid w:val="0078233A"/>
    <w:rsid w:val="007826D7"/>
    <w:rsid w:val="007826F2"/>
    <w:rsid w:val="00782A16"/>
    <w:rsid w:val="00782C5C"/>
    <w:rsid w:val="00782CBB"/>
    <w:rsid w:val="00782CD9"/>
    <w:rsid w:val="00782DA0"/>
    <w:rsid w:val="00782E2E"/>
    <w:rsid w:val="00783034"/>
    <w:rsid w:val="00783227"/>
    <w:rsid w:val="00783376"/>
    <w:rsid w:val="007839ED"/>
    <w:rsid w:val="00783AC3"/>
    <w:rsid w:val="00783D1F"/>
    <w:rsid w:val="007841B9"/>
    <w:rsid w:val="00784216"/>
    <w:rsid w:val="007842A7"/>
    <w:rsid w:val="00784558"/>
    <w:rsid w:val="00784760"/>
    <w:rsid w:val="00784860"/>
    <w:rsid w:val="007848AE"/>
    <w:rsid w:val="00784F35"/>
    <w:rsid w:val="00784FCC"/>
    <w:rsid w:val="0078503A"/>
    <w:rsid w:val="00785143"/>
    <w:rsid w:val="0078515C"/>
    <w:rsid w:val="007851FF"/>
    <w:rsid w:val="00785286"/>
    <w:rsid w:val="007854C4"/>
    <w:rsid w:val="007854FA"/>
    <w:rsid w:val="007855C5"/>
    <w:rsid w:val="007855F8"/>
    <w:rsid w:val="00785870"/>
    <w:rsid w:val="00785935"/>
    <w:rsid w:val="00785939"/>
    <w:rsid w:val="0078595E"/>
    <w:rsid w:val="00785AE0"/>
    <w:rsid w:val="0078606D"/>
    <w:rsid w:val="00786199"/>
    <w:rsid w:val="007863FE"/>
    <w:rsid w:val="007865C1"/>
    <w:rsid w:val="007865D2"/>
    <w:rsid w:val="00786785"/>
    <w:rsid w:val="00786BC7"/>
    <w:rsid w:val="00786CA6"/>
    <w:rsid w:val="00786D29"/>
    <w:rsid w:val="00786E62"/>
    <w:rsid w:val="00786F83"/>
    <w:rsid w:val="007875CB"/>
    <w:rsid w:val="00787684"/>
    <w:rsid w:val="00787691"/>
    <w:rsid w:val="007877C0"/>
    <w:rsid w:val="007879F6"/>
    <w:rsid w:val="00787AC2"/>
    <w:rsid w:val="00787D18"/>
    <w:rsid w:val="00787F1F"/>
    <w:rsid w:val="0079024C"/>
    <w:rsid w:val="00790781"/>
    <w:rsid w:val="007908FC"/>
    <w:rsid w:val="00790A52"/>
    <w:rsid w:val="00790DCC"/>
    <w:rsid w:val="0079114C"/>
    <w:rsid w:val="0079159D"/>
    <w:rsid w:val="00791772"/>
    <w:rsid w:val="007919EA"/>
    <w:rsid w:val="00791A60"/>
    <w:rsid w:val="00791B2A"/>
    <w:rsid w:val="00791F66"/>
    <w:rsid w:val="00792302"/>
    <w:rsid w:val="0079242D"/>
    <w:rsid w:val="0079260E"/>
    <w:rsid w:val="007927E5"/>
    <w:rsid w:val="00792CD9"/>
    <w:rsid w:val="0079300A"/>
    <w:rsid w:val="0079305A"/>
    <w:rsid w:val="00793108"/>
    <w:rsid w:val="00793342"/>
    <w:rsid w:val="0079342B"/>
    <w:rsid w:val="0079361E"/>
    <w:rsid w:val="007936FE"/>
    <w:rsid w:val="007937D0"/>
    <w:rsid w:val="0079385F"/>
    <w:rsid w:val="0079390E"/>
    <w:rsid w:val="00793A3C"/>
    <w:rsid w:val="00793C9E"/>
    <w:rsid w:val="00793EA9"/>
    <w:rsid w:val="00793F8C"/>
    <w:rsid w:val="00794130"/>
    <w:rsid w:val="00794363"/>
    <w:rsid w:val="00794463"/>
    <w:rsid w:val="0079450A"/>
    <w:rsid w:val="00794530"/>
    <w:rsid w:val="00794583"/>
    <w:rsid w:val="00794895"/>
    <w:rsid w:val="00794B90"/>
    <w:rsid w:val="00794CD0"/>
    <w:rsid w:val="00794DCD"/>
    <w:rsid w:val="00794E6E"/>
    <w:rsid w:val="0079507B"/>
    <w:rsid w:val="00795109"/>
    <w:rsid w:val="007951F3"/>
    <w:rsid w:val="007958CA"/>
    <w:rsid w:val="007958EB"/>
    <w:rsid w:val="00795921"/>
    <w:rsid w:val="00795948"/>
    <w:rsid w:val="00795FDB"/>
    <w:rsid w:val="007960AC"/>
    <w:rsid w:val="007961B6"/>
    <w:rsid w:val="0079661A"/>
    <w:rsid w:val="007968D9"/>
    <w:rsid w:val="00796A49"/>
    <w:rsid w:val="00796F77"/>
    <w:rsid w:val="007971B0"/>
    <w:rsid w:val="007971E6"/>
    <w:rsid w:val="007972AC"/>
    <w:rsid w:val="00797493"/>
    <w:rsid w:val="00797582"/>
    <w:rsid w:val="0079759A"/>
    <w:rsid w:val="00797A80"/>
    <w:rsid w:val="00797CC2"/>
    <w:rsid w:val="00797CD4"/>
    <w:rsid w:val="00797D18"/>
    <w:rsid w:val="00797DE9"/>
    <w:rsid w:val="007A005E"/>
    <w:rsid w:val="007A0087"/>
    <w:rsid w:val="007A026C"/>
    <w:rsid w:val="007A02F8"/>
    <w:rsid w:val="007A03F1"/>
    <w:rsid w:val="007A0DE6"/>
    <w:rsid w:val="007A0EC9"/>
    <w:rsid w:val="007A1115"/>
    <w:rsid w:val="007A134E"/>
    <w:rsid w:val="007A13EF"/>
    <w:rsid w:val="007A16F1"/>
    <w:rsid w:val="007A17BF"/>
    <w:rsid w:val="007A17D4"/>
    <w:rsid w:val="007A1874"/>
    <w:rsid w:val="007A18D6"/>
    <w:rsid w:val="007A1956"/>
    <w:rsid w:val="007A19C9"/>
    <w:rsid w:val="007A19FF"/>
    <w:rsid w:val="007A1B98"/>
    <w:rsid w:val="007A1BE2"/>
    <w:rsid w:val="007A1EA2"/>
    <w:rsid w:val="007A2154"/>
    <w:rsid w:val="007A227B"/>
    <w:rsid w:val="007A2406"/>
    <w:rsid w:val="007A2814"/>
    <w:rsid w:val="007A2865"/>
    <w:rsid w:val="007A28D9"/>
    <w:rsid w:val="007A297D"/>
    <w:rsid w:val="007A2DAD"/>
    <w:rsid w:val="007A2EB2"/>
    <w:rsid w:val="007A360E"/>
    <w:rsid w:val="007A37C1"/>
    <w:rsid w:val="007A3884"/>
    <w:rsid w:val="007A3893"/>
    <w:rsid w:val="007A3B00"/>
    <w:rsid w:val="007A3B41"/>
    <w:rsid w:val="007A3F1B"/>
    <w:rsid w:val="007A3F39"/>
    <w:rsid w:val="007A407F"/>
    <w:rsid w:val="007A4083"/>
    <w:rsid w:val="007A46DD"/>
    <w:rsid w:val="007A4870"/>
    <w:rsid w:val="007A4C51"/>
    <w:rsid w:val="007A4E3A"/>
    <w:rsid w:val="007A4FB7"/>
    <w:rsid w:val="007A5051"/>
    <w:rsid w:val="007A5114"/>
    <w:rsid w:val="007A53A7"/>
    <w:rsid w:val="007A56FF"/>
    <w:rsid w:val="007A593B"/>
    <w:rsid w:val="007A5A9F"/>
    <w:rsid w:val="007A5AB1"/>
    <w:rsid w:val="007A5BD2"/>
    <w:rsid w:val="007A5D25"/>
    <w:rsid w:val="007A5E91"/>
    <w:rsid w:val="007A5FA7"/>
    <w:rsid w:val="007A5FB6"/>
    <w:rsid w:val="007A5FFD"/>
    <w:rsid w:val="007A60BD"/>
    <w:rsid w:val="007A620E"/>
    <w:rsid w:val="007A63DF"/>
    <w:rsid w:val="007A64C8"/>
    <w:rsid w:val="007A65AC"/>
    <w:rsid w:val="007A661F"/>
    <w:rsid w:val="007A696E"/>
    <w:rsid w:val="007A699A"/>
    <w:rsid w:val="007A6B64"/>
    <w:rsid w:val="007A6D09"/>
    <w:rsid w:val="007A6D39"/>
    <w:rsid w:val="007A6DBA"/>
    <w:rsid w:val="007A7113"/>
    <w:rsid w:val="007A728D"/>
    <w:rsid w:val="007A734A"/>
    <w:rsid w:val="007A76E3"/>
    <w:rsid w:val="007A7904"/>
    <w:rsid w:val="007A7986"/>
    <w:rsid w:val="007A7CA4"/>
    <w:rsid w:val="007B01E9"/>
    <w:rsid w:val="007B0228"/>
    <w:rsid w:val="007B0298"/>
    <w:rsid w:val="007B03C3"/>
    <w:rsid w:val="007B054B"/>
    <w:rsid w:val="007B05B4"/>
    <w:rsid w:val="007B06A9"/>
    <w:rsid w:val="007B08F6"/>
    <w:rsid w:val="007B0A13"/>
    <w:rsid w:val="007B0A4F"/>
    <w:rsid w:val="007B0B31"/>
    <w:rsid w:val="007B0BA1"/>
    <w:rsid w:val="007B0E18"/>
    <w:rsid w:val="007B0E3F"/>
    <w:rsid w:val="007B0F7B"/>
    <w:rsid w:val="007B104B"/>
    <w:rsid w:val="007B10A2"/>
    <w:rsid w:val="007B11CC"/>
    <w:rsid w:val="007B155C"/>
    <w:rsid w:val="007B15E3"/>
    <w:rsid w:val="007B173F"/>
    <w:rsid w:val="007B1C19"/>
    <w:rsid w:val="007B1C83"/>
    <w:rsid w:val="007B1E0C"/>
    <w:rsid w:val="007B20AE"/>
    <w:rsid w:val="007B20CC"/>
    <w:rsid w:val="007B2276"/>
    <w:rsid w:val="007B228E"/>
    <w:rsid w:val="007B22F1"/>
    <w:rsid w:val="007B2632"/>
    <w:rsid w:val="007B2867"/>
    <w:rsid w:val="007B28AB"/>
    <w:rsid w:val="007B2A67"/>
    <w:rsid w:val="007B2C3F"/>
    <w:rsid w:val="007B2CE2"/>
    <w:rsid w:val="007B2DC5"/>
    <w:rsid w:val="007B3036"/>
    <w:rsid w:val="007B30E7"/>
    <w:rsid w:val="007B337F"/>
    <w:rsid w:val="007B345E"/>
    <w:rsid w:val="007B3623"/>
    <w:rsid w:val="007B38EC"/>
    <w:rsid w:val="007B3A00"/>
    <w:rsid w:val="007B3A2E"/>
    <w:rsid w:val="007B3A74"/>
    <w:rsid w:val="007B3A8C"/>
    <w:rsid w:val="007B3C26"/>
    <w:rsid w:val="007B3D27"/>
    <w:rsid w:val="007B3D84"/>
    <w:rsid w:val="007B402E"/>
    <w:rsid w:val="007B410E"/>
    <w:rsid w:val="007B411A"/>
    <w:rsid w:val="007B4166"/>
    <w:rsid w:val="007B4357"/>
    <w:rsid w:val="007B452C"/>
    <w:rsid w:val="007B4577"/>
    <w:rsid w:val="007B46E0"/>
    <w:rsid w:val="007B4882"/>
    <w:rsid w:val="007B4A8C"/>
    <w:rsid w:val="007B4CF0"/>
    <w:rsid w:val="007B4DC8"/>
    <w:rsid w:val="007B4EFF"/>
    <w:rsid w:val="007B4F92"/>
    <w:rsid w:val="007B520B"/>
    <w:rsid w:val="007B5238"/>
    <w:rsid w:val="007B532A"/>
    <w:rsid w:val="007B5580"/>
    <w:rsid w:val="007B57A0"/>
    <w:rsid w:val="007B588C"/>
    <w:rsid w:val="007B5932"/>
    <w:rsid w:val="007B5970"/>
    <w:rsid w:val="007B5B29"/>
    <w:rsid w:val="007B5BC2"/>
    <w:rsid w:val="007B6046"/>
    <w:rsid w:val="007B61D0"/>
    <w:rsid w:val="007B61E5"/>
    <w:rsid w:val="007B6644"/>
    <w:rsid w:val="007B680D"/>
    <w:rsid w:val="007B69BA"/>
    <w:rsid w:val="007B69F0"/>
    <w:rsid w:val="007B6A16"/>
    <w:rsid w:val="007B7293"/>
    <w:rsid w:val="007B7419"/>
    <w:rsid w:val="007B7468"/>
    <w:rsid w:val="007B7576"/>
    <w:rsid w:val="007B7597"/>
    <w:rsid w:val="007B7880"/>
    <w:rsid w:val="007B79DE"/>
    <w:rsid w:val="007B7A21"/>
    <w:rsid w:val="007B7ADB"/>
    <w:rsid w:val="007B7B1B"/>
    <w:rsid w:val="007B7BE3"/>
    <w:rsid w:val="007B7C75"/>
    <w:rsid w:val="007B7D15"/>
    <w:rsid w:val="007B7E27"/>
    <w:rsid w:val="007B7ECD"/>
    <w:rsid w:val="007C0190"/>
    <w:rsid w:val="007C02FC"/>
    <w:rsid w:val="007C0632"/>
    <w:rsid w:val="007C0C14"/>
    <w:rsid w:val="007C0F18"/>
    <w:rsid w:val="007C0FA0"/>
    <w:rsid w:val="007C10EE"/>
    <w:rsid w:val="007C13EC"/>
    <w:rsid w:val="007C1691"/>
    <w:rsid w:val="007C18DD"/>
    <w:rsid w:val="007C19DF"/>
    <w:rsid w:val="007C1A83"/>
    <w:rsid w:val="007C1B19"/>
    <w:rsid w:val="007C1C82"/>
    <w:rsid w:val="007C1F4A"/>
    <w:rsid w:val="007C21AE"/>
    <w:rsid w:val="007C2326"/>
    <w:rsid w:val="007C2383"/>
    <w:rsid w:val="007C260F"/>
    <w:rsid w:val="007C2695"/>
    <w:rsid w:val="007C26FA"/>
    <w:rsid w:val="007C2881"/>
    <w:rsid w:val="007C2AD9"/>
    <w:rsid w:val="007C2D18"/>
    <w:rsid w:val="007C2D8F"/>
    <w:rsid w:val="007C2DE4"/>
    <w:rsid w:val="007C3036"/>
    <w:rsid w:val="007C30DC"/>
    <w:rsid w:val="007C3241"/>
    <w:rsid w:val="007C3245"/>
    <w:rsid w:val="007C3254"/>
    <w:rsid w:val="007C343D"/>
    <w:rsid w:val="007C3605"/>
    <w:rsid w:val="007C3799"/>
    <w:rsid w:val="007C3819"/>
    <w:rsid w:val="007C3828"/>
    <w:rsid w:val="007C39D5"/>
    <w:rsid w:val="007C3A9F"/>
    <w:rsid w:val="007C3AA9"/>
    <w:rsid w:val="007C3ABB"/>
    <w:rsid w:val="007C3B63"/>
    <w:rsid w:val="007C3D4A"/>
    <w:rsid w:val="007C3DB9"/>
    <w:rsid w:val="007C3E65"/>
    <w:rsid w:val="007C3EBA"/>
    <w:rsid w:val="007C4220"/>
    <w:rsid w:val="007C42E1"/>
    <w:rsid w:val="007C4484"/>
    <w:rsid w:val="007C448E"/>
    <w:rsid w:val="007C4791"/>
    <w:rsid w:val="007C4CCA"/>
    <w:rsid w:val="007C4DDB"/>
    <w:rsid w:val="007C4F80"/>
    <w:rsid w:val="007C504F"/>
    <w:rsid w:val="007C5114"/>
    <w:rsid w:val="007C5141"/>
    <w:rsid w:val="007C55E3"/>
    <w:rsid w:val="007C5685"/>
    <w:rsid w:val="007C5872"/>
    <w:rsid w:val="007C5DE6"/>
    <w:rsid w:val="007C624D"/>
    <w:rsid w:val="007C62BE"/>
    <w:rsid w:val="007C63E8"/>
    <w:rsid w:val="007C63F9"/>
    <w:rsid w:val="007C64BE"/>
    <w:rsid w:val="007C651E"/>
    <w:rsid w:val="007C65E2"/>
    <w:rsid w:val="007C662C"/>
    <w:rsid w:val="007C684B"/>
    <w:rsid w:val="007C6A37"/>
    <w:rsid w:val="007C6B97"/>
    <w:rsid w:val="007C6BE9"/>
    <w:rsid w:val="007C6E89"/>
    <w:rsid w:val="007C6FD9"/>
    <w:rsid w:val="007C708E"/>
    <w:rsid w:val="007C71DD"/>
    <w:rsid w:val="007C731C"/>
    <w:rsid w:val="007C7776"/>
    <w:rsid w:val="007C799B"/>
    <w:rsid w:val="007C7A3F"/>
    <w:rsid w:val="007C7A46"/>
    <w:rsid w:val="007C7BBB"/>
    <w:rsid w:val="007C7CE8"/>
    <w:rsid w:val="007C7DFC"/>
    <w:rsid w:val="007C7E52"/>
    <w:rsid w:val="007D010E"/>
    <w:rsid w:val="007D0149"/>
    <w:rsid w:val="007D01A1"/>
    <w:rsid w:val="007D01DD"/>
    <w:rsid w:val="007D021F"/>
    <w:rsid w:val="007D0309"/>
    <w:rsid w:val="007D0518"/>
    <w:rsid w:val="007D0520"/>
    <w:rsid w:val="007D061C"/>
    <w:rsid w:val="007D0837"/>
    <w:rsid w:val="007D09F3"/>
    <w:rsid w:val="007D0C08"/>
    <w:rsid w:val="007D0EB7"/>
    <w:rsid w:val="007D0F57"/>
    <w:rsid w:val="007D10D5"/>
    <w:rsid w:val="007D1101"/>
    <w:rsid w:val="007D13EA"/>
    <w:rsid w:val="007D18E1"/>
    <w:rsid w:val="007D193B"/>
    <w:rsid w:val="007D1A01"/>
    <w:rsid w:val="007D1CAA"/>
    <w:rsid w:val="007D1D4B"/>
    <w:rsid w:val="007D1ED9"/>
    <w:rsid w:val="007D1F03"/>
    <w:rsid w:val="007D23E2"/>
    <w:rsid w:val="007D25E0"/>
    <w:rsid w:val="007D2603"/>
    <w:rsid w:val="007D27F0"/>
    <w:rsid w:val="007D2863"/>
    <w:rsid w:val="007D2A46"/>
    <w:rsid w:val="007D2A6C"/>
    <w:rsid w:val="007D2C39"/>
    <w:rsid w:val="007D2FE1"/>
    <w:rsid w:val="007D363E"/>
    <w:rsid w:val="007D369B"/>
    <w:rsid w:val="007D3730"/>
    <w:rsid w:val="007D3962"/>
    <w:rsid w:val="007D398F"/>
    <w:rsid w:val="007D3E5B"/>
    <w:rsid w:val="007D47F1"/>
    <w:rsid w:val="007D4834"/>
    <w:rsid w:val="007D4855"/>
    <w:rsid w:val="007D4911"/>
    <w:rsid w:val="007D4B41"/>
    <w:rsid w:val="007D4C41"/>
    <w:rsid w:val="007D4D65"/>
    <w:rsid w:val="007D4E18"/>
    <w:rsid w:val="007D4F79"/>
    <w:rsid w:val="007D56ED"/>
    <w:rsid w:val="007D592C"/>
    <w:rsid w:val="007D59C7"/>
    <w:rsid w:val="007D5E8E"/>
    <w:rsid w:val="007D6004"/>
    <w:rsid w:val="007D606A"/>
    <w:rsid w:val="007D60E9"/>
    <w:rsid w:val="007D66D2"/>
    <w:rsid w:val="007D678B"/>
    <w:rsid w:val="007D67D3"/>
    <w:rsid w:val="007D68EA"/>
    <w:rsid w:val="007D6AAC"/>
    <w:rsid w:val="007D6C08"/>
    <w:rsid w:val="007D6C2C"/>
    <w:rsid w:val="007D6DB1"/>
    <w:rsid w:val="007D7511"/>
    <w:rsid w:val="007D7603"/>
    <w:rsid w:val="007D7B3E"/>
    <w:rsid w:val="007D7FAD"/>
    <w:rsid w:val="007E011B"/>
    <w:rsid w:val="007E015B"/>
    <w:rsid w:val="007E0450"/>
    <w:rsid w:val="007E05A9"/>
    <w:rsid w:val="007E06FB"/>
    <w:rsid w:val="007E07C5"/>
    <w:rsid w:val="007E08E3"/>
    <w:rsid w:val="007E0966"/>
    <w:rsid w:val="007E0B48"/>
    <w:rsid w:val="007E0C54"/>
    <w:rsid w:val="007E0E59"/>
    <w:rsid w:val="007E0F59"/>
    <w:rsid w:val="007E0FF1"/>
    <w:rsid w:val="007E1115"/>
    <w:rsid w:val="007E129A"/>
    <w:rsid w:val="007E134C"/>
    <w:rsid w:val="007E1400"/>
    <w:rsid w:val="007E151B"/>
    <w:rsid w:val="007E17DD"/>
    <w:rsid w:val="007E1AD1"/>
    <w:rsid w:val="007E1C03"/>
    <w:rsid w:val="007E244B"/>
    <w:rsid w:val="007E2659"/>
    <w:rsid w:val="007E27FA"/>
    <w:rsid w:val="007E2805"/>
    <w:rsid w:val="007E28EB"/>
    <w:rsid w:val="007E2A71"/>
    <w:rsid w:val="007E2F17"/>
    <w:rsid w:val="007E2F65"/>
    <w:rsid w:val="007E300D"/>
    <w:rsid w:val="007E36AA"/>
    <w:rsid w:val="007E3760"/>
    <w:rsid w:val="007E3A18"/>
    <w:rsid w:val="007E3AEF"/>
    <w:rsid w:val="007E3CA9"/>
    <w:rsid w:val="007E3E09"/>
    <w:rsid w:val="007E3ED8"/>
    <w:rsid w:val="007E3F50"/>
    <w:rsid w:val="007E41EC"/>
    <w:rsid w:val="007E42F6"/>
    <w:rsid w:val="007E43B0"/>
    <w:rsid w:val="007E43E1"/>
    <w:rsid w:val="007E4655"/>
    <w:rsid w:val="007E4806"/>
    <w:rsid w:val="007E4825"/>
    <w:rsid w:val="007E4985"/>
    <w:rsid w:val="007E49BB"/>
    <w:rsid w:val="007E4CDB"/>
    <w:rsid w:val="007E4D04"/>
    <w:rsid w:val="007E5004"/>
    <w:rsid w:val="007E5069"/>
    <w:rsid w:val="007E50CA"/>
    <w:rsid w:val="007E5145"/>
    <w:rsid w:val="007E52A2"/>
    <w:rsid w:val="007E551A"/>
    <w:rsid w:val="007E581E"/>
    <w:rsid w:val="007E5A86"/>
    <w:rsid w:val="007E5C37"/>
    <w:rsid w:val="007E5CC5"/>
    <w:rsid w:val="007E5EB3"/>
    <w:rsid w:val="007E6028"/>
    <w:rsid w:val="007E6120"/>
    <w:rsid w:val="007E61D8"/>
    <w:rsid w:val="007E620E"/>
    <w:rsid w:val="007E6253"/>
    <w:rsid w:val="007E64C5"/>
    <w:rsid w:val="007E65B8"/>
    <w:rsid w:val="007E6691"/>
    <w:rsid w:val="007E6927"/>
    <w:rsid w:val="007E692B"/>
    <w:rsid w:val="007E6DCD"/>
    <w:rsid w:val="007E6DD5"/>
    <w:rsid w:val="007E6FAF"/>
    <w:rsid w:val="007E7271"/>
    <w:rsid w:val="007E7610"/>
    <w:rsid w:val="007E7811"/>
    <w:rsid w:val="007F03A1"/>
    <w:rsid w:val="007F03E6"/>
    <w:rsid w:val="007F05D3"/>
    <w:rsid w:val="007F062D"/>
    <w:rsid w:val="007F063C"/>
    <w:rsid w:val="007F0905"/>
    <w:rsid w:val="007F09A4"/>
    <w:rsid w:val="007F0B89"/>
    <w:rsid w:val="007F0CA2"/>
    <w:rsid w:val="007F0D32"/>
    <w:rsid w:val="007F0DA0"/>
    <w:rsid w:val="007F0E8D"/>
    <w:rsid w:val="007F11C9"/>
    <w:rsid w:val="007F13C1"/>
    <w:rsid w:val="007F15B9"/>
    <w:rsid w:val="007F16E2"/>
    <w:rsid w:val="007F237E"/>
    <w:rsid w:val="007F254D"/>
    <w:rsid w:val="007F280E"/>
    <w:rsid w:val="007F2843"/>
    <w:rsid w:val="007F285A"/>
    <w:rsid w:val="007F289C"/>
    <w:rsid w:val="007F296B"/>
    <w:rsid w:val="007F2CFA"/>
    <w:rsid w:val="007F2E5E"/>
    <w:rsid w:val="007F2EF4"/>
    <w:rsid w:val="007F3AB1"/>
    <w:rsid w:val="007F3ADD"/>
    <w:rsid w:val="007F3C4B"/>
    <w:rsid w:val="007F3C97"/>
    <w:rsid w:val="007F3DE1"/>
    <w:rsid w:val="007F3F65"/>
    <w:rsid w:val="007F414D"/>
    <w:rsid w:val="007F431E"/>
    <w:rsid w:val="007F438E"/>
    <w:rsid w:val="007F4406"/>
    <w:rsid w:val="007F4469"/>
    <w:rsid w:val="007F49E1"/>
    <w:rsid w:val="007F4C42"/>
    <w:rsid w:val="007F4E86"/>
    <w:rsid w:val="007F5198"/>
    <w:rsid w:val="007F5352"/>
    <w:rsid w:val="007F53CB"/>
    <w:rsid w:val="007F54A7"/>
    <w:rsid w:val="007F59E7"/>
    <w:rsid w:val="007F5D10"/>
    <w:rsid w:val="007F5FEB"/>
    <w:rsid w:val="007F6017"/>
    <w:rsid w:val="007F6135"/>
    <w:rsid w:val="007F62EC"/>
    <w:rsid w:val="007F664E"/>
    <w:rsid w:val="007F678B"/>
    <w:rsid w:val="007F679C"/>
    <w:rsid w:val="007F67B9"/>
    <w:rsid w:val="007F6842"/>
    <w:rsid w:val="007F6AFA"/>
    <w:rsid w:val="007F6DAE"/>
    <w:rsid w:val="007F7552"/>
    <w:rsid w:val="007F7553"/>
    <w:rsid w:val="007F7635"/>
    <w:rsid w:val="007F775A"/>
    <w:rsid w:val="007F77D3"/>
    <w:rsid w:val="007F77FF"/>
    <w:rsid w:val="007F79B8"/>
    <w:rsid w:val="007F7AB7"/>
    <w:rsid w:val="007F7AF5"/>
    <w:rsid w:val="007F7B04"/>
    <w:rsid w:val="007F7B6D"/>
    <w:rsid w:val="007F7D16"/>
    <w:rsid w:val="007F7E47"/>
    <w:rsid w:val="008001E5"/>
    <w:rsid w:val="00800369"/>
    <w:rsid w:val="0080036D"/>
    <w:rsid w:val="00800513"/>
    <w:rsid w:val="008005C1"/>
    <w:rsid w:val="00800878"/>
    <w:rsid w:val="00800A1E"/>
    <w:rsid w:val="00800F01"/>
    <w:rsid w:val="00801172"/>
    <w:rsid w:val="008012C3"/>
    <w:rsid w:val="0080152D"/>
    <w:rsid w:val="008015BB"/>
    <w:rsid w:val="008017BE"/>
    <w:rsid w:val="0080187B"/>
    <w:rsid w:val="00801E41"/>
    <w:rsid w:val="008023C3"/>
    <w:rsid w:val="008025C2"/>
    <w:rsid w:val="008026E4"/>
    <w:rsid w:val="00802730"/>
    <w:rsid w:val="0080287A"/>
    <w:rsid w:val="008028E5"/>
    <w:rsid w:val="0080298F"/>
    <w:rsid w:val="00802C8A"/>
    <w:rsid w:val="00803045"/>
    <w:rsid w:val="008033A5"/>
    <w:rsid w:val="0080368D"/>
    <w:rsid w:val="008036BE"/>
    <w:rsid w:val="00803743"/>
    <w:rsid w:val="00803A34"/>
    <w:rsid w:val="00803AC6"/>
    <w:rsid w:val="00803EB6"/>
    <w:rsid w:val="00803FB5"/>
    <w:rsid w:val="00804293"/>
    <w:rsid w:val="008042BF"/>
    <w:rsid w:val="00804A67"/>
    <w:rsid w:val="00804A6A"/>
    <w:rsid w:val="00804C62"/>
    <w:rsid w:val="00804D4E"/>
    <w:rsid w:val="00804E85"/>
    <w:rsid w:val="00804EC9"/>
    <w:rsid w:val="00804EE1"/>
    <w:rsid w:val="00805028"/>
    <w:rsid w:val="00805073"/>
    <w:rsid w:val="008050A1"/>
    <w:rsid w:val="0080535B"/>
    <w:rsid w:val="0080562F"/>
    <w:rsid w:val="008056CF"/>
    <w:rsid w:val="0080578E"/>
    <w:rsid w:val="00805CD7"/>
    <w:rsid w:val="00806270"/>
    <w:rsid w:val="008062CE"/>
    <w:rsid w:val="00806561"/>
    <w:rsid w:val="008065F4"/>
    <w:rsid w:val="00806775"/>
    <w:rsid w:val="008067C3"/>
    <w:rsid w:val="008069C1"/>
    <w:rsid w:val="00806A0A"/>
    <w:rsid w:val="00806B0F"/>
    <w:rsid w:val="00806D98"/>
    <w:rsid w:val="00806F35"/>
    <w:rsid w:val="00806FAA"/>
    <w:rsid w:val="00807041"/>
    <w:rsid w:val="00807485"/>
    <w:rsid w:val="0080752E"/>
    <w:rsid w:val="008078C2"/>
    <w:rsid w:val="00807976"/>
    <w:rsid w:val="00807A9C"/>
    <w:rsid w:val="00807B21"/>
    <w:rsid w:val="00807B89"/>
    <w:rsid w:val="00807BA4"/>
    <w:rsid w:val="00807BC3"/>
    <w:rsid w:val="00807D3E"/>
    <w:rsid w:val="00807DBD"/>
    <w:rsid w:val="00807FDF"/>
    <w:rsid w:val="008101CB"/>
    <w:rsid w:val="0081022A"/>
    <w:rsid w:val="00810246"/>
    <w:rsid w:val="0081031D"/>
    <w:rsid w:val="008104F3"/>
    <w:rsid w:val="00810566"/>
    <w:rsid w:val="008106E7"/>
    <w:rsid w:val="00810753"/>
    <w:rsid w:val="008108C4"/>
    <w:rsid w:val="00810B2A"/>
    <w:rsid w:val="00810EC3"/>
    <w:rsid w:val="0081123A"/>
    <w:rsid w:val="008113AD"/>
    <w:rsid w:val="00811750"/>
    <w:rsid w:val="00811921"/>
    <w:rsid w:val="00811935"/>
    <w:rsid w:val="00811E53"/>
    <w:rsid w:val="0081215A"/>
    <w:rsid w:val="00812409"/>
    <w:rsid w:val="0081265F"/>
    <w:rsid w:val="008126A8"/>
    <w:rsid w:val="008126B0"/>
    <w:rsid w:val="008126D8"/>
    <w:rsid w:val="0081271A"/>
    <w:rsid w:val="00812E41"/>
    <w:rsid w:val="00812E82"/>
    <w:rsid w:val="008131E1"/>
    <w:rsid w:val="0081339D"/>
    <w:rsid w:val="00813504"/>
    <w:rsid w:val="008135A5"/>
    <w:rsid w:val="0081363E"/>
    <w:rsid w:val="008137E3"/>
    <w:rsid w:val="0081381A"/>
    <w:rsid w:val="00813833"/>
    <w:rsid w:val="0081385A"/>
    <w:rsid w:val="00813863"/>
    <w:rsid w:val="00813ABA"/>
    <w:rsid w:val="00813F2C"/>
    <w:rsid w:val="00814357"/>
    <w:rsid w:val="008143BF"/>
    <w:rsid w:val="00814444"/>
    <w:rsid w:val="00814534"/>
    <w:rsid w:val="0081454C"/>
    <w:rsid w:val="0081458A"/>
    <w:rsid w:val="0081466A"/>
    <w:rsid w:val="008147F5"/>
    <w:rsid w:val="0081485E"/>
    <w:rsid w:val="0081486C"/>
    <w:rsid w:val="0081499D"/>
    <w:rsid w:val="00814AD5"/>
    <w:rsid w:val="00814DD0"/>
    <w:rsid w:val="00815034"/>
    <w:rsid w:val="008151FB"/>
    <w:rsid w:val="0081526A"/>
    <w:rsid w:val="0081552C"/>
    <w:rsid w:val="008156F6"/>
    <w:rsid w:val="00815719"/>
    <w:rsid w:val="00815788"/>
    <w:rsid w:val="0081591F"/>
    <w:rsid w:val="00815BE2"/>
    <w:rsid w:val="00815F9F"/>
    <w:rsid w:val="008161E7"/>
    <w:rsid w:val="0081628A"/>
    <w:rsid w:val="008162FA"/>
    <w:rsid w:val="008163E0"/>
    <w:rsid w:val="008167AF"/>
    <w:rsid w:val="0081695C"/>
    <w:rsid w:val="00816AEC"/>
    <w:rsid w:val="00816F70"/>
    <w:rsid w:val="00816F7B"/>
    <w:rsid w:val="008174A6"/>
    <w:rsid w:val="008174D8"/>
    <w:rsid w:val="0081751A"/>
    <w:rsid w:val="0081764F"/>
    <w:rsid w:val="00817789"/>
    <w:rsid w:val="00817794"/>
    <w:rsid w:val="0081782D"/>
    <w:rsid w:val="00817874"/>
    <w:rsid w:val="00817A5C"/>
    <w:rsid w:val="00817CB4"/>
    <w:rsid w:val="00817EB5"/>
    <w:rsid w:val="00817FED"/>
    <w:rsid w:val="008201E9"/>
    <w:rsid w:val="00820327"/>
    <w:rsid w:val="008204C0"/>
    <w:rsid w:val="00820540"/>
    <w:rsid w:val="008205BE"/>
    <w:rsid w:val="00820927"/>
    <w:rsid w:val="00820A85"/>
    <w:rsid w:val="00820BCE"/>
    <w:rsid w:val="00820C73"/>
    <w:rsid w:val="00820C80"/>
    <w:rsid w:val="00820CFD"/>
    <w:rsid w:val="00820D4C"/>
    <w:rsid w:val="008210EA"/>
    <w:rsid w:val="00821286"/>
    <w:rsid w:val="00821331"/>
    <w:rsid w:val="00821A22"/>
    <w:rsid w:val="00821CCE"/>
    <w:rsid w:val="00821DC8"/>
    <w:rsid w:val="00821EE4"/>
    <w:rsid w:val="00821F1C"/>
    <w:rsid w:val="00821F53"/>
    <w:rsid w:val="00822188"/>
    <w:rsid w:val="00822189"/>
    <w:rsid w:val="0082240B"/>
    <w:rsid w:val="008224E0"/>
    <w:rsid w:val="0082253C"/>
    <w:rsid w:val="00822585"/>
    <w:rsid w:val="008226E3"/>
    <w:rsid w:val="008228C8"/>
    <w:rsid w:val="00822A82"/>
    <w:rsid w:val="00822BA9"/>
    <w:rsid w:val="00822C35"/>
    <w:rsid w:val="00822CE1"/>
    <w:rsid w:val="00822D62"/>
    <w:rsid w:val="00822E4F"/>
    <w:rsid w:val="00822E7C"/>
    <w:rsid w:val="008231EB"/>
    <w:rsid w:val="0082330A"/>
    <w:rsid w:val="00823350"/>
    <w:rsid w:val="008234C2"/>
    <w:rsid w:val="00823677"/>
    <w:rsid w:val="008236A6"/>
    <w:rsid w:val="00823A17"/>
    <w:rsid w:val="00823C81"/>
    <w:rsid w:val="00823D1F"/>
    <w:rsid w:val="00823D84"/>
    <w:rsid w:val="00824120"/>
    <w:rsid w:val="00824179"/>
    <w:rsid w:val="008242F0"/>
    <w:rsid w:val="008243FF"/>
    <w:rsid w:val="008245FA"/>
    <w:rsid w:val="008246E0"/>
    <w:rsid w:val="008248AC"/>
    <w:rsid w:val="00824952"/>
    <w:rsid w:val="00824B57"/>
    <w:rsid w:val="00824C11"/>
    <w:rsid w:val="00824C77"/>
    <w:rsid w:val="00824D29"/>
    <w:rsid w:val="00824DD8"/>
    <w:rsid w:val="00825075"/>
    <w:rsid w:val="008251D2"/>
    <w:rsid w:val="008255E4"/>
    <w:rsid w:val="00825899"/>
    <w:rsid w:val="00825938"/>
    <w:rsid w:val="00825A4F"/>
    <w:rsid w:val="00825A63"/>
    <w:rsid w:val="00825C35"/>
    <w:rsid w:val="00825C75"/>
    <w:rsid w:val="00825E55"/>
    <w:rsid w:val="00826159"/>
    <w:rsid w:val="0082619D"/>
    <w:rsid w:val="008264BE"/>
    <w:rsid w:val="008264CC"/>
    <w:rsid w:val="00826692"/>
    <w:rsid w:val="008266AC"/>
    <w:rsid w:val="00826D3C"/>
    <w:rsid w:val="00826E2A"/>
    <w:rsid w:val="008270DA"/>
    <w:rsid w:val="008271BF"/>
    <w:rsid w:val="00827278"/>
    <w:rsid w:val="00827414"/>
    <w:rsid w:val="008274CA"/>
    <w:rsid w:val="008275AD"/>
    <w:rsid w:val="00827A00"/>
    <w:rsid w:val="00827E03"/>
    <w:rsid w:val="00827F93"/>
    <w:rsid w:val="008300DF"/>
    <w:rsid w:val="008306F7"/>
    <w:rsid w:val="00830A53"/>
    <w:rsid w:val="00830AE2"/>
    <w:rsid w:val="00830BE3"/>
    <w:rsid w:val="00830C06"/>
    <w:rsid w:val="00830E2C"/>
    <w:rsid w:val="00830FF2"/>
    <w:rsid w:val="00830FF8"/>
    <w:rsid w:val="0083101E"/>
    <w:rsid w:val="00831261"/>
    <w:rsid w:val="008312F9"/>
    <w:rsid w:val="00831484"/>
    <w:rsid w:val="008314CF"/>
    <w:rsid w:val="00831522"/>
    <w:rsid w:val="00831B55"/>
    <w:rsid w:val="00831B57"/>
    <w:rsid w:val="00831E25"/>
    <w:rsid w:val="00831F20"/>
    <w:rsid w:val="008320AC"/>
    <w:rsid w:val="00832152"/>
    <w:rsid w:val="00832427"/>
    <w:rsid w:val="008324F3"/>
    <w:rsid w:val="008325B8"/>
    <w:rsid w:val="008325C1"/>
    <w:rsid w:val="008328CC"/>
    <w:rsid w:val="00832C0C"/>
    <w:rsid w:val="00832DF4"/>
    <w:rsid w:val="00832F42"/>
    <w:rsid w:val="00833083"/>
    <w:rsid w:val="00833241"/>
    <w:rsid w:val="008333A3"/>
    <w:rsid w:val="0083357D"/>
    <w:rsid w:val="0083368D"/>
    <w:rsid w:val="00833CA7"/>
    <w:rsid w:val="00833D82"/>
    <w:rsid w:val="00833E05"/>
    <w:rsid w:val="00833F01"/>
    <w:rsid w:val="00833F11"/>
    <w:rsid w:val="00833F93"/>
    <w:rsid w:val="00833FBA"/>
    <w:rsid w:val="008340E7"/>
    <w:rsid w:val="0083433F"/>
    <w:rsid w:val="00834401"/>
    <w:rsid w:val="00834800"/>
    <w:rsid w:val="008349B0"/>
    <w:rsid w:val="008349E3"/>
    <w:rsid w:val="00834AE9"/>
    <w:rsid w:val="00834C08"/>
    <w:rsid w:val="00834C17"/>
    <w:rsid w:val="00834C2B"/>
    <w:rsid w:val="00834E16"/>
    <w:rsid w:val="00834F9B"/>
    <w:rsid w:val="00834FBA"/>
    <w:rsid w:val="00835818"/>
    <w:rsid w:val="008358C7"/>
    <w:rsid w:val="0083599F"/>
    <w:rsid w:val="00835AA7"/>
    <w:rsid w:val="00835DC5"/>
    <w:rsid w:val="00835EDA"/>
    <w:rsid w:val="00835FC9"/>
    <w:rsid w:val="008360E4"/>
    <w:rsid w:val="00836350"/>
    <w:rsid w:val="008366E0"/>
    <w:rsid w:val="0083689E"/>
    <w:rsid w:val="008369C1"/>
    <w:rsid w:val="00836A81"/>
    <w:rsid w:val="00836B9D"/>
    <w:rsid w:val="00836D9F"/>
    <w:rsid w:val="00836FD1"/>
    <w:rsid w:val="008370FE"/>
    <w:rsid w:val="0083720E"/>
    <w:rsid w:val="0083750F"/>
    <w:rsid w:val="0083761D"/>
    <w:rsid w:val="0083769B"/>
    <w:rsid w:val="0083770E"/>
    <w:rsid w:val="0083785B"/>
    <w:rsid w:val="00837A1F"/>
    <w:rsid w:val="00837BB2"/>
    <w:rsid w:val="00837E44"/>
    <w:rsid w:val="00837E5B"/>
    <w:rsid w:val="00837F83"/>
    <w:rsid w:val="0084000A"/>
    <w:rsid w:val="00840146"/>
    <w:rsid w:val="00840180"/>
    <w:rsid w:val="008401C8"/>
    <w:rsid w:val="00840230"/>
    <w:rsid w:val="00840338"/>
    <w:rsid w:val="008403E3"/>
    <w:rsid w:val="00840726"/>
    <w:rsid w:val="00840855"/>
    <w:rsid w:val="0084090F"/>
    <w:rsid w:val="00840B43"/>
    <w:rsid w:val="00840CE8"/>
    <w:rsid w:val="00841233"/>
    <w:rsid w:val="008412CE"/>
    <w:rsid w:val="00841511"/>
    <w:rsid w:val="00841739"/>
    <w:rsid w:val="00841C05"/>
    <w:rsid w:val="00841D6C"/>
    <w:rsid w:val="00841E5C"/>
    <w:rsid w:val="00842195"/>
    <w:rsid w:val="00842225"/>
    <w:rsid w:val="00842404"/>
    <w:rsid w:val="00842463"/>
    <w:rsid w:val="0084261A"/>
    <w:rsid w:val="008428A7"/>
    <w:rsid w:val="008429C3"/>
    <w:rsid w:val="00842C44"/>
    <w:rsid w:val="00842C5F"/>
    <w:rsid w:val="00842EFE"/>
    <w:rsid w:val="0084300A"/>
    <w:rsid w:val="008430BB"/>
    <w:rsid w:val="0084349D"/>
    <w:rsid w:val="00843530"/>
    <w:rsid w:val="008438C0"/>
    <w:rsid w:val="00843951"/>
    <w:rsid w:val="00843A3B"/>
    <w:rsid w:val="00843DEE"/>
    <w:rsid w:val="00843EE8"/>
    <w:rsid w:val="008440B3"/>
    <w:rsid w:val="0084462E"/>
    <w:rsid w:val="008446EB"/>
    <w:rsid w:val="00844748"/>
    <w:rsid w:val="00844DBA"/>
    <w:rsid w:val="00845111"/>
    <w:rsid w:val="008452F6"/>
    <w:rsid w:val="008453A9"/>
    <w:rsid w:val="00845795"/>
    <w:rsid w:val="0084585D"/>
    <w:rsid w:val="00845929"/>
    <w:rsid w:val="00845BE5"/>
    <w:rsid w:val="00845F32"/>
    <w:rsid w:val="00845FA9"/>
    <w:rsid w:val="00845FCB"/>
    <w:rsid w:val="00846049"/>
    <w:rsid w:val="0084609B"/>
    <w:rsid w:val="00846108"/>
    <w:rsid w:val="008462BB"/>
    <w:rsid w:val="00846343"/>
    <w:rsid w:val="008463C8"/>
    <w:rsid w:val="00846750"/>
    <w:rsid w:val="008467D9"/>
    <w:rsid w:val="00846992"/>
    <w:rsid w:val="00846A0B"/>
    <w:rsid w:val="00846C7D"/>
    <w:rsid w:val="00846E5A"/>
    <w:rsid w:val="00846F87"/>
    <w:rsid w:val="00847252"/>
    <w:rsid w:val="008473D6"/>
    <w:rsid w:val="008474E6"/>
    <w:rsid w:val="00847A4B"/>
    <w:rsid w:val="00847DF8"/>
    <w:rsid w:val="00850077"/>
    <w:rsid w:val="008501EE"/>
    <w:rsid w:val="008506F6"/>
    <w:rsid w:val="00850752"/>
    <w:rsid w:val="00850815"/>
    <w:rsid w:val="008508ED"/>
    <w:rsid w:val="0085098B"/>
    <w:rsid w:val="00850C10"/>
    <w:rsid w:val="00850C9C"/>
    <w:rsid w:val="00850D17"/>
    <w:rsid w:val="00850D2A"/>
    <w:rsid w:val="00850DFC"/>
    <w:rsid w:val="00850E44"/>
    <w:rsid w:val="0085105A"/>
    <w:rsid w:val="00851142"/>
    <w:rsid w:val="00851215"/>
    <w:rsid w:val="008512E3"/>
    <w:rsid w:val="00851399"/>
    <w:rsid w:val="008513DD"/>
    <w:rsid w:val="00851450"/>
    <w:rsid w:val="008514C2"/>
    <w:rsid w:val="008515B2"/>
    <w:rsid w:val="0085184A"/>
    <w:rsid w:val="00851854"/>
    <w:rsid w:val="00851956"/>
    <w:rsid w:val="00851CBA"/>
    <w:rsid w:val="00851D3B"/>
    <w:rsid w:val="00851FA4"/>
    <w:rsid w:val="0085203E"/>
    <w:rsid w:val="008521C9"/>
    <w:rsid w:val="008523EB"/>
    <w:rsid w:val="00852505"/>
    <w:rsid w:val="008525AC"/>
    <w:rsid w:val="008525F8"/>
    <w:rsid w:val="00852685"/>
    <w:rsid w:val="008527CF"/>
    <w:rsid w:val="00852851"/>
    <w:rsid w:val="00852924"/>
    <w:rsid w:val="00852AB1"/>
    <w:rsid w:val="00852D61"/>
    <w:rsid w:val="00852E63"/>
    <w:rsid w:val="00853117"/>
    <w:rsid w:val="0085311F"/>
    <w:rsid w:val="00853124"/>
    <w:rsid w:val="00853143"/>
    <w:rsid w:val="008531EF"/>
    <w:rsid w:val="00853387"/>
    <w:rsid w:val="008533D4"/>
    <w:rsid w:val="00853578"/>
    <w:rsid w:val="0085366C"/>
    <w:rsid w:val="008537FD"/>
    <w:rsid w:val="00853EFA"/>
    <w:rsid w:val="008540E4"/>
    <w:rsid w:val="00854152"/>
    <w:rsid w:val="0085421F"/>
    <w:rsid w:val="00854A21"/>
    <w:rsid w:val="00854B18"/>
    <w:rsid w:val="00854BC1"/>
    <w:rsid w:val="00854C4B"/>
    <w:rsid w:val="00855080"/>
    <w:rsid w:val="00855BAA"/>
    <w:rsid w:val="00855CF7"/>
    <w:rsid w:val="00855E1A"/>
    <w:rsid w:val="0085625E"/>
    <w:rsid w:val="0085627A"/>
    <w:rsid w:val="008562DD"/>
    <w:rsid w:val="008564E1"/>
    <w:rsid w:val="008564F3"/>
    <w:rsid w:val="008565E4"/>
    <w:rsid w:val="0085678F"/>
    <w:rsid w:val="00856808"/>
    <w:rsid w:val="00856A45"/>
    <w:rsid w:val="00856ADA"/>
    <w:rsid w:val="00856BEE"/>
    <w:rsid w:val="00856C29"/>
    <w:rsid w:val="00856C4F"/>
    <w:rsid w:val="00856D55"/>
    <w:rsid w:val="00856F71"/>
    <w:rsid w:val="00857315"/>
    <w:rsid w:val="00857872"/>
    <w:rsid w:val="0085789D"/>
    <w:rsid w:val="00857AF9"/>
    <w:rsid w:val="00857B09"/>
    <w:rsid w:val="00857CA7"/>
    <w:rsid w:val="00857D76"/>
    <w:rsid w:val="00857DD8"/>
    <w:rsid w:val="00857FF8"/>
    <w:rsid w:val="00860035"/>
    <w:rsid w:val="00860044"/>
    <w:rsid w:val="00860512"/>
    <w:rsid w:val="00860524"/>
    <w:rsid w:val="008606F0"/>
    <w:rsid w:val="00860943"/>
    <w:rsid w:val="008609B9"/>
    <w:rsid w:val="00860CAC"/>
    <w:rsid w:val="00860FB1"/>
    <w:rsid w:val="00861343"/>
    <w:rsid w:val="008614DB"/>
    <w:rsid w:val="008614E9"/>
    <w:rsid w:val="0086158F"/>
    <w:rsid w:val="008617D6"/>
    <w:rsid w:val="00861806"/>
    <w:rsid w:val="00861843"/>
    <w:rsid w:val="00861936"/>
    <w:rsid w:val="00861AC1"/>
    <w:rsid w:val="00861C9C"/>
    <w:rsid w:val="00861E49"/>
    <w:rsid w:val="00861E80"/>
    <w:rsid w:val="008620DB"/>
    <w:rsid w:val="008624CA"/>
    <w:rsid w:val="008626A5"/>
    <w:rsid w:val="008626F2"/>
    <w:rsid w:val="00862842"/>
    <w:rsid w:val="00862849"/>
    <w:rsid w:val="008629A3"/>
    <w:rsid w:val="00862B4E"/>
    <w:rsid w:val="00862CA6"/>
    <w:rsid w:val="00862CEA"/>
    <w:rsid w:val="00862D48"/>
    <w:rsid w:val="00862E84"/>
    <w:rsid w:val="0086313A"/>
    <w:rsid w:val="00863231"/>
    <w:rsid w:val="0086328A"/>
    <w:rsid w:val="008633FA"/>
    <w:rsid w:val="008634C5"/>
    <w:rsid w:val="008636D9"/>
    <w:rsid w:val="0086377B"/>
    <w:rsid w:val="00863843"/>
    <w:rsid w:val="0086388C"/>
    <w:rsid w:val="008638A1"/>
    <w:rsid w:val="00863A22"/>
    <w:rsid w:val="00863A75"/>
    <w:rsid w:val="00863ABC"/>
    <w:rsid w:val="00863EFE"/>
    <w:rsid w:val="00863F37"/>
    <w:rsid w:val="00863FEC"/>
    <w:rsid w:val="00864004"/>
    <w:rsid w:val="00864369"/>
    <w:rsid w:val="008643C4"/>
    <w:rsid w:val="00864552"/>
    <w:rsid w:val="00864678"/>
    <w:rsid w:val="00864816"/>
    <w:rsid w:val="00864866"/>
    <w:rsid w:val="008649F4"/>
    <w:rsid w:val="00864AEC"/>
    <w:rsid w:val="00864EDA"/>
    <w:rsid w:val="00864F87"/>
    <w:rsid w:val="00864FF3"/>
    <w:rsid w:val="00864FFC"/>
    <w:rsid w:val="00865124"/>
    <w:rsid w:val="0086537A"/>
    <w:rsid w:val="00865464"/>
    <w:rsid w:val="00865473"/>
    <w:rsid w:val="0086553A"/>
    <w:rsid w:val="008658B9"/>
    <w:rsid w:val="00865A01"/>
    <w:rsid w:val="00865A07"/>
    <w:rsid w:val="00865AA1"/>
    <w:rsid w:val="00865AA5"/>
    <w:rsid w:val="00865B72"/>
    <w:rsid w:val="00865ED1"/>
    <w:rsid w:val="0086601C"/>
    <w:rsid w:val="00866157"/>
    <w:rsid w:val="00866193"/>
    <w:rsid w:val="008662BF"/>
    <w:rsid w:val="00866402"/>
    <w:rsid w:val="00866444"/>
    <w:rsid w:val="00866498"/>
    <w:rsid w:val="00866811"/>
    <w:rsid w:val="00866CB0"/>
    <w:rsid w:val="00866E3E"/>
    <w:rsid w:val="00866F73"/>
    <w:rsid w:val="008670B2"/>
    <w:rsid w:val="0086720B"/>
    <w:rsid w:val="008674E4"/>
    <w:rsid w:val="00867500"/>
    <w:rsid w:val="00867735"/>
    <w:rsid w:val="008679C6"/>
    <w:rsid w:val="00867C4B"/>
    <w:rsid w:val="00867CD2"/>
    <w:rsid w:val="00867E64"/>
    <w:rsid w:val="0087003B"/>
    <w:rsid w:val="008700A1"/>
    <w:rsid w:val="008704EB"/>
    <w:rsid w:val="00870876"/>
    <w:rsid w:val="008708FD"/>
    <w:rsid w:val="008709FC"/>
    <w:rsid w:val="00870C49"/>
    <w:rsid w:val="00870F24"/>
    <w:rsid w:val="00871023"/>
    <w:rsid w:val="0087126D"/>
    <w:rsid w:val="0087137B"/>
    <w:rsid w:val="0087210E"/>
    <w:rsid w:val="00872173"/>
    <w:rsid w:val="00872280"/>
    <w:rsid w:val="008722F5"/>
    <w:rsid w:val="00872310"/>
    <w:rsid w:val="008725E0"/>
    <w:rsid w:val="008729B4"/>
    <w:rsid w:val="00872A18"/>
    <w:rsid w:val="00872A26"/>
    <w:rsid w:val="00872D49"/>
    <w:rsid w:val="00872F0C"/>
    <w:rsid w:val="00872FF5"/>
    <w:rsid w:val="008734BE"/>
    <w:rsid w:val="0087357E"/>
    <w:rsid w:val="0087359A"/>
    <w:rsid w:val="00873617"/>
    <w:rsid w:val="0087385E"/>
    <w:rsid w:val="00873982"/>
    <w:rsid w:val="00873B09"/>
    <w:rsid w:val="00873BEA"/>
    <w:rsid w:val="00873C1A"/>
    <w:rsid w:val="00873C35"/>
    <w:rsid w:val="00873C7E"/>
    <w:rsid w:val="00873DC9"/>
    <w:rsid w:val="008743EF"/>
    <w:rsid w:val="00874704"/>
    <w:rsid w:val="00874A4F"/>
    <w:rsid w:val="00874A9A"/>
    <w:rsid w:val="00874BAA"/>
    <w:rsid w:val="00874D5C"/>
    <w:rsid w:val="00874DC5"/>
    <w:rsid w:val="00874E12"/>
    <w:rsid w:val="00874E61"/>
    <w:rsid w:val="00874EB7"/>
    <w:rsid w:val="00874EC1"/>
    <w:rsid w:val="0087511D"/>
    <w:rsid w:val="0087512D"/>
    <w:rsid w:val="008752EA"/>
    <w:rsid w:val="008755CA"/>
    <w:rsid w:val="00875810"/>
    <w:rsid w:val="008758EC"/>
    <w:rsid w:val="00875A54"/>
    <w:rsid w:val="00875FE6"/>
    <w:rsid w:val="008760E6"/>
    <w:rsid w:val="008763B7"/>
    <w:rsid w:val="008765D9"/>
    <w:rsid w:val="0087682E"/>
    <w:rsid w:val="00876AC5"/>
    <w:rsid w:val="00876E64"/>
    <w:rsid w:val="00876F87"/>
    <w:rsid w:val="008770E3"/>
    <w:rsid w:val="00877274"/>
    <w:rsid w:val="0087741A"/>
    <w:rsid w:val="00877426"/>
    <w:rsid w:val="00877434"/>
    <w:rsid w:val="00877D72"/>
    <w:rsid w:val="008801E4"/>
    <w:rsid w:val="00880249"/>
    <w:rsid w:val="00880329"/>
    <w:rsid w:val="00880371"/>
    <w:rsid w:val="0088063E"/>
    <w:rsid w:val="00880A80"/>
    <w:rsid w:val="00880B13"/>
    <w:rsid w:val="0088139D"/>
    <w:rsid w:val="00881760"/>
    <w:rsid w:val="0088185E"/>
    <w:rsid w:val="00881920"/>
    <w:rsid w:val="008819AF"/>
    <w:rsid w:val="00881A48"/>
    <w:rsid w:val="00881BFB"/>
    <w:rsid w:val="00881CC8"/>
    <w:rsid w:val="00881E85"/>
    <w:rsid w:val="00882094"/>
    <w:rsid w:val="00882169"/>
    <w:rsid w:val="00882224"/>
    <w:rsid w:val="0088227F"/>
    <w:rsid w:val="00882405"/>
    <w:rsid w:val="00882495"/>
    <w:rsid w:val="008824BC"/>
    <w:rsid w:val="00882618"/>
    <w:rsid w:val="00882CE7"/>
    <w:rsid w:val="00882E65"/>
    <w:rsid w:val="0088300C"/>
    <w:rsid w:val="0088306C"/>
    <w:rsid w:val="0088341E"/>
    <w:rsid w:val="0088344E"/>
    <w:rsid w:val="008834F4"/>
    <w:rsid w:val="00883517"/>
    <w:rsid w:val="00883A37"/>
    <w:rsid w:val="00883B0B"/>
    <w:rsid w:val="00883CAC"/>
    <w:rsid w:val="00883E1E"/>
    <w:rsid w:val="00883E87"/>
    <w:rsid w:val="00883EC3"/>
    <w:rsid w:val="00883EFE"/>
    <w:rsid w:val="008840E7"/>
    <w:rsid w:val="0088418E"/>
    <w:rsid w:val="008842FD"/>
    <w:rsid w:val="00884480"/>
    <w:rsid w:val="008844DF"/>
    <w:rsid w:val="008849BE"/>
    <w:rsid w:val="00884A25"/>
    <w:rsid w:val="00884E41"/>
    <w:rsid w:val="00884EB8"/>
    <w:rsid w:val="0088501F"/>
    <w:rsid w:val="00885035"/>
    <w:rsid w:val="00885176"/>
    <w:rsid w:val="00885264"/>
    <w:rsid w:val="008852E6"/>
    <w:rsid w:val="0088535B"/>
    <w:rsid w:val="0088538C"/>
    <w:rsid w:val="008853C8"/>
    <w:rsid w:val="0088545D"/>
    <w:rsid w:val="0088556A"/>
    <w:rsid w:val="00885987"/>
    <w:rsid w:val="00885D3C"/>
    <w:rsid w:val="00885DD3"/>
    <w:rsid w:val="00885FAE"/>
    <w:rsid w:val="008861A6"/>
    <w:rsid w:val="008861BB"/>
    <w:rsid w:val="008865A0"/>
    <w:rsid w:val="00886680"/>
    <w:rsid w:val="008866C0"/>
    <w:rsid w:val="00886A17"/>
    <w:rsid w:val="00886A22"/>
    <w:rsid w:val="00886B1D"/>
    <w:rsid w:val="00887084"/>
    <w:rsid w:val="00887319"/>
    <w:rsid w:val="0088735F"/>
    <w:rsid w:val="0088743F"/>
    <w:rsid w:val="00887673"/>
    <w:rsid w:val="00887B50"/>
    <w:rsid w:val="00887CD3"/>
    <w:rsid w:val="00887D2C"/>
    <w:rsid w:val="00887DCD"/>
    <w:rsid w:val="00890017"/>
    <w:rsid w:val="0089006A"/>
    <w:rsid w:val="00890247"/>
    <w:rsid w:val="00890261"/>
    <w:rsid w:val="008904F0"/>
    <w:rsid w:val="00890782"/>
    <w:rsid w:val="008907D9"/>
    <w:rsid w:val="0089096F"/>
    <w:rsid w:val="0089099A"/>
    <w:rsid w:val="00890D71"/>
    <w:rsid w:val="00891067"/>
    <w:rsid w:val="00891169"/>
    <w:rsid w:val="008912C9"/>
    <w:rsid w:val="00891442"/>
    <w:rsid w:val="008914D4"/>
    <w:rsid w:val="008918AD"/>
    <w:rsid w:val="00891972"/>
    <w:rsid w:val="00891B18"/>
    <w:rsid w:val="00891CE7"/>
    <w:rsid w:val="00891EC7"/>
    <w:rsid w:val="00891F94"/>
    <w:rsid w:val="008921A4"/>
    <w:rsid w:val="008923CA"/>
    <w:rsid w:val="0089241A"/>
    <w:rsid w:val="0089258C"/>
    <w:rsid w:val="0089259E"/>
    <w:rsid w:val="00892853"/>
    <w:rsid w:val="008928BD"/>
    <w:rsid w:val="00892D3E"/>
    <w:rsid w:val="00892D8F"/>
    <w:rsid w:val="00892E32"/>
    <w:rsid w:val="00892E3D"/>
    <w:rsid w:val="0089303D"/>
    <w:rsid w:val="00893051"/>
    <w:rsid w:val="00893160"/>
    <w:rsid w:val="008931A8"/>
    <w:rsid w:val="008934B1"/>
    <w:rsid w:val="008934E6"/>
    <w:rsid w:val="00893559"/>
    <w:rsid w:val="00893707"/>
    <w:rsid w:val="0089375F"/>
    <w:rsid w:val="00893826"/>
    <w:rsid w:val="0089383C"/>
    <w:rsid w:val="00893F2A"/>
    <w:rsid w:val="00893F55"/>
    <w:rsid w:val="00894121"/>
    <w:rsid w:val="0089415A"/>
    <w:rsid w:val="0089432C"/>
    <w:rsid w:val="00894585"/>
    <w:rsid w:val="008946A8"/>
    <w:rsid w:val="008948DA"/>
    <w:rsid w:val="00894A2B"/>
    <w:rsid w:val="00895082"/>
    <w:rsid w:val="008952B4"/>
    <w:rsid w:val="00895572"/>
    <w:rsid w:val="00895752"/>
    <w:rsid w:val="00895880"/>
    <w:rsid w:val="008958FC"/>
    <w:rsid w:val="00895947"/>
    <w:rsid w:val="008959BC"/>
    <w:rsid w:val="00895B4B"/>
    <w:rsid w:val="00895BCA"/>
    <w:rsid w:val="00895CFC"/>
    <w:rsid w:val="00895D8D"/>
    <w:rsid w:val="00895E99"/>
    <w:rsid w:val="00895EAB"/>
    <w:rsid w:val="008962E3"/>
    <w:rsid w:val="00896552"/>
    <w:rsid w:val="00896644"/>
    <w:rsid w:val="00896A0E"/>
    <w:rsid w:val="00896A27"/>
    <w:rsid w:val="00896BA6"/>
    <w:rsid w:val="00896FE0"/>
    <w:rsid w:val="0089702F"/>
    <w:rsid w:val="008972F5"/>
    <w:rsid w:val="00897385"/>
    <w:rsid w:val="008974B0"/>
    <w:rsid w:val="00897578"/>
    <w:rsid w:val="008976F7"/>
    <w:rsid w:val="00897832"/>
    <w:rsid w:val="0089783A"/>
    <w:rsid w:val="008979E8"/>
    <w:rsid w:val="00897A32"/>
    <w:rsid w:val="00897A52"/>
    <w:rsid w:val="00897D5C"/>
    <w:rsid w:val="00897E22"/>
    <w:rsid w:val="00897E5E"/>
    <w:rsid w:val="00897E80"/>
    <w:rsid w:val="00897ED7"/>
    <w:rsid w:val="00897F0A"/>
    <w:rsid w:val="008A0144"/>
    <w:rsid w:val="008A0273"/>
    <w:rsid w:val="008A0412"/>
    <w:rsid w:val="008A047C"/>
    <w:rsid w:val="008A0599"/>
    <w:rsid w:val="008A063D"/>
    <w:rsid w:val="008A064E"/>
    <w:rsid w:val="008A0696"/>
    <w:rsid w:val="008A0A0A"/>
    <w:rsid w:val="008A0A0F"/>
    <w:rsid w:val="008A0A95"/>
    <w:rsid w:val="008A0AC5"/>
    <w:rsid w:val="008A0B4A"/>
    <w:rsid w:val="008A11AE"/>
    <w:rsid w:val="008A1571"/>
    <w:rsid w:val="008A1740"/>
    <w:rsid w:val="008A1B7D"/>
    <w:rsid w:val="008A1D14"/>
    <w:rsid w:val="008A1E9A"/>
    <w:rsid w:val="008A1FA7"/>
    <w:rsid w:val="008A23FF"/>
    <w:rsid w:val="008A255A"/>
    <w:rsid w:val="008A25FD"/>
    <w:rsid w:val="008A2702"/>
    <w:rsid w:val="008A2844"/>
    <w:rsid w:val="008A2B5D"/>
    <w:rsid w:val="008A2C4B"/>
    <w:rsid w:val="008A2D1A"/>
    <w:rsid w:val="008A3150"/>
    <w:rsid w:val="008A31A0"/>
    <w:rsid w:val="008A3233"/>
    <w:rsid w:val="008A3268"/>
    <w:rsid w:val="008A33CF"/>
    <w:rsid w:val="008A34D3"/>
    <w:rsid w:val="008A35C1"/>
    <w:rsid w:val="008A391E"/>
    <w:rsid w:val="008A3B38"/>
    <w:rsid w:val="008A3B40"/>
    <w:rsid w:val="008A3C1A"/>
    <w:rsid w:val="008A40EA"/>
    <w:rsid w:val="008A4116"/>
    <w:rsid w:val="008A4229"/>
    <w:rsid w:val="008A426A"/>
    <w:rsid w:val="008A484A"/>
    <w:rsid w:val="008A4963"/>
    <w:rsid w:val="008A4C07"/>
    <w:rsid w:val="008A50E0"/>
    <w:rsid w:val="008A5434"/>
    <w:rsid w:val="008A5526"/>
    <w:rsid w:val="008A59D3"/>
    <w:rsid w:val="008A5E0F"/>
    <w:rsid w:val="008A62B9"/>
    <w:rsid w:val="008A63A3"/>
    <w:rsid w:val="008A6418"/>
    <w:rsid w:val="008A657D"/>
    <w:rsid w:val="008A689B"/>
    <w:rsid w:val="008A7586"/>
    <w:rsid w:val="008A75C6"/>
    <w:rsid w:val="008A77EA"/>
    <w:rsid w:val="008A78BD"/>
    <w:rsid w:val="008A7C3B"/>
    <w:rsid w:val="008A7CA6"/>
    <w:rsid w:val="008B003E"/>
    <w:rsid w:val="008B0700"/>
    <w:rsid w:val="008B0AA7"/>
    <w:rsid w:val="008B0DB4"/>
    <w:rsid w:val="008B0DB9"/>
    <w:rsid w:val="008B0DC8"/>
    <w:rsid w:val="008B10A1"/>
    <w:rsid w:val="008B110B"/>
    <w:rsid w:val="008B12F2"/>
    <w:rsid w:val="008B14D8"/>
    <w:rsid w:val="008B1608"/>
    <w:rsid w:val="008B172A"/>
    <w:rsid w:val="008B177C"/>
    <w:rsid w:val="008B1ACE"/>
    <w:rsid w:val="008B1AD3"/>
    <w:rsid w:val="008B1DC0"/>
    <w:rsid w:val="008B1ECA"/>
    <w:rsid w:val="008B2121"/>
    <w:rsid w:val="008B224C"/>
    <w:rsid w:val="008B283C"/>
    <w:rsid w:val="008B2A8E"/>
    <w:rsid w:val="008B2D53"/>
    <w:rsid w:val="008B2F2E"/>
    <w:rsid w:val="008B30BA"/>
    <w:rsid w:val="008B310F"/>
    <w:rsid w:val="008B3753"/>
    <w:rsid w:val="008B3A0A"/>
    <w:rsid w:val="008B3A1C"/>
    <w:rsid w:val="008B3AB5"/>
    <w:rsid w:val="008B3B5D"/>
    <w:rsid w:val="008B3D47"/>
    <w:rsid w:val="008B3E20"/>
    <w:rsid w:val="008B3EC9"/>
    <w:rsid w:val="008B3ED3"/>
    <w:rsid w:val="008B3FE8"/>
    <w:rsid w:val="008B417B"/>
    <w:rsid w:val="008B41D6"/>
    <w:rsid w:val="008B4225"/>
    <w:rsid w:val="008B4229"/>
    <w:rsid w:val="008B4267"/>
    <w:rsid w:val="008B42E6"/>
    <w:rsid w:val="008B42FE"/>
    <w:rsid w:val="008B46F5"/>
    <w:rsid w:val="008B4A92"/>
    <w:rsid w:val="008B4C86"/>
    <w:rsid w:val="008B4D80"/>
    <w:rsid w:val="008B4F4B"/>
    <w:rsid w:val="008B5069"/>
    <w:rsid w:val="008B5315"/>
    <w:rsid w:val="008B5814"/>
    <w:rsid w:val="008B5A50"/>
    <w:rsid w:val="008B5A9A"/>
    <w:rsid w:val="008B5AAB"/>
    <w:rsid w:val="008B63B0"/>
    <w:rsid w:val="008B63B9"/>
    <w:rsid w:val="008B67C5"/>
    <w:rsid w:val="008B6922"/>
    <w:rsid w:val="008B692F"/>
    <w:rsid w:val="008B6AA4"/>
    <w:rsid w:val="008B6B8A"/>
    <w:rsid w:val="008B6DEC"/>
    <w:rsid w:val="008B7217"/>
    <w:rsid w:val="008B72DC"/>
    <w:rsid w:val="008B771F"/>
    <w:rsid w:val="008B7791"/>
    <w:rsid w:val="008B78D6"/>
    <w:rsid w:val="008B796D"/>
    <w:rsid w:val="008B7B64"/>
    <w:rsid w:val="008B7C54"/>
    <w:rsid w:val="008B7E84"/>
    <w:rsid w:val="008B7E94"/>
    <w:rsid w:val="008C0346"/>
    <w:rsid w:val="008C0731"/>
    <w:rsid w:val="008C0773"/>
    <w:rsid w:val="008C0ADF"/>
    <w:rsid w:val="008C0E07"/>
    <w:rsid w:val="008C152E"/>
    <w:rsid w:val="008C1BFF"/>
    <w:rsid w:val="008C1DD6"/>
    <w:rsid w:val="008C1E3D"/>
    <w:rsid w:val="008C1FA1"/>
    <w:rsid w:val="008C20F7"/>
    <w:rsid w:val="008C21D1"/>
    <w:rsid w:val="008C22B7"/>
    <w:rsid w:val="008C2AD4"/>
    <w:rsid w:val="008C2ECE"/>
    <w:rsid w:val="008C2F46"/>
    <w:rsid w:val="008C3122"/>
    <w:rsid w:val="008C33E3"/>
    <w:rsid w:val="008C347B"/>
    <w:rsid w:val="008C3621"/>
    <w:rsid w:val="008C366A"/>
    <w:rsid w:val="008C36FF"/>
    <w:rsid w:val="008C37A6"/>
    <w:rsid w:val="008C3972"/>
    <w:rsid w:val="008C397E"/>
    <w:rsid w:val="008C3BF9"/>
    <w:rsid w:val="008C3D2E"/>
    <w:rsid w:val="008C3D83"/>
    <w:rsid w:val="008C3E60"/>
    <w:rsid w:val="008C3E9C"/>
    <w:rsid w:val="008C4069"/>
    <w:rsid w:val="008C425E"/>
    <w:rsid w:val="008C4301"/>
    <w:rsid w:val="008C43BB"/>
    <w:rsid w:val="008C4407"/>
    <w:rsid w:val="008C48A4"/>
    <w:rsid w:val="008C498A"/>
    <w:rsid w:val="008C4A68"/>
    <w:rsid w:val="008C4BA1"/>
    <w:rsid w:val="008C4C8E"/>
    <w:rsid w:val="008C4F5C"/>
    <w:rsid w:val="008C55DC"/>
    <w:rsid w:val="008C5AAF"/>
    <w:rsid w:val="008C5B8B"/>
    <w:rsid w:val="008C5D9C"/>
    <w:rsid w:val="008C605C"/>
    <w:rsid w:val="008C6063"/>
    <w:rsid w:val="008C6095"/>
    <w:rsid w:val="008C6263"/>
    <w:rsid w:val="008C6364"/>
    <w:rsid w:val="008C63C5"/>
    <w:rsid w:val="008C6444"/>
    <w:rsid w:val="008C64AA"/>
    <w:rsid w:val="008C64E4"/>
    <w:rsid w:val="008C683F"/>
    <w:rsid w:val="008C69CB"/>
    <w:rsid w:val="008C6AB2"/>
    <w:rsid w:val="008C6E24"/>
    <w:rsid w:val="008C6F27"/>
    <w:rsid w:val="008C6FA5"/>
    <w:rsid w:val="008C7036"/>
    <w:rsid w:val="008C769E"/>
    <w:rsid w:val="008C7A5E"/>
    <w:rsid w:val="008C7A9F"/>
    <w:rsid w:val="008C7ABA"/>
    <w:rsid w:val="008C7D32"/>
    <w:rsid w:val="008C7E78"/>
    <w:rsid w:val="008C7F93"/>
    <w:rsid w:val="008D0270"/>
    <w:rsid w:val="008D02E6"/>
    <w:rsid w:val="008D0389"/>
    <w:rsid w:val="008D0549"/>
    <w:rsid w:val="008D08FD"/>
    <w:rsid w:val="008D0B2F"/>
    <w:rsid w:val="008D0C16"/>
    <w:rsid w:val="008D0C89"/>
    <w:rsid w:val="008D121B"/>
    <w:rsid w:val="008D123E"/>
    <w:rsid w:val="008D1310"/>
    <w:rsid w:val="008D147F"/>
    <w:rsid w:val="008D15C3"/>
    <w:rsid w:val="008D16FE"/>
    <w:rsid w:val="008D18D1"/>
    <w:rsid w:val="008D1980"/>
    <w:rsid w:val="008D1AC8"/>
    <w:rsid w:val="008D1B83"/>
    <w:rsid w:val="008D1C13"/>
    <w:rsid w:val="008D1D64"/>
    <w:rsid w:val="008D1F7C"/>
    <w:rsid w:val="008D22E6"/>
    <w:rsid w:val="008D2746"/>
    <w:rsid w:val="008D2904"/>
    <w:rsid w:val="008D296D"/>
    <w:rsid w:val="008D29CC"/>
    <w:rsid w:val="008D2B3C"/>
    <w:rsid w:val="008D2D3F"/>
    <w:rsid w:val="008D2E4A"/>
    <w:rsid w:val="008D309E"/>
    <w:rsid w:val="008D31B3"/>
    <w:rsid w:val="008D3323"/>
    <w:rsid w:val="008D34D3"/>
    <w:rsid w:val="008D34D8"/>
    <w:rsid w:val="008D35F9"/>
    <w:rsid w:val="008D35FD"/>
    <w:rsid w:val="008D370D"/>
    <w:rsid w:val="008D370E"/>
    <w:rsid w:val="008D3C59"/>
    <w:rsid w:val="008D3C71"/>
    <w:rsid w:val="008D3CEA"/>
    <w:rsid w:val="008D3D13"/>
    <w:rsid w:val="008D3D36"/>
    <w:rsid w:val="008D3E7A"/>
    <w:rsid w:val="008D416B"/>
    <w:rsid w:val="008D4216"/>
    <w:rsid w:val="008D4308"/>
    <w:rsid w:val="008D430D"/>
    <w:rsid w:val="008D4377"/>
    <w:rsid w:val="008D454A"/>
    <w:rsid w:val="008D45BB"/>
    <w:rsid w:val="008D4A06"/>
    <w:rsid w:val="008D4F1E"/>
    <w:rsid w:val="008D4FA9"/>
    <w:rsid w:val="008D4FC9"/>
    <w:rsid w:val="008D511F"/>
    <w:rsid w:val="008D52A4"/>
    <w:rsid w:val="008D5564"/>
    <w:rsid w:val="008D55FF"/>
    <w:rsid w:val="008D5764"/>
    <w:rsid w:val="008D59B8"/>
    <w:rsid w:val="008D5A23"/>
    <w:rsid w:val="008D5C09"/>
    <w:rsid w:val="008D5C3E"/>
    <w:rsid w:val="008D5D68"/>
    <w:rsid w:val="008D6135"/>
    <w:rsid w:val="008D6147"/>
    <w:rsid w:val="008D6332"/>
    <w:rsid w:val="008D644F"/>
    <w:rsid w:val="008D648A"/>
    <w:rsid w:val="008D671A"/>
    <w:rsid w:val="008D682A"/>
    <w:rsid w:val="008D68A3"/>
    <w:rsid w:val="008D691C"/>
    <w:rsid w:val="008D6C36"/>
    <w:rsid w:val="008D718A"/>
    <w:rsid w:val="008D740E"/>
    <w:rsid w:val="008D741F"/>
    <w:rsid w:val="008D7534"/>
    <w:rsid w:val="008D75B7"/>
    <w:rsid w:val="008D76ED"/>
    <w:rsid w:val="008D7AC0"/>
    <w:rsid w:val="008D7AFA"/>
    <w:rsid w:val="008D7D20"/>
    <w:rsid w:val="008D7DD2"/>
    <w:rsid w:val="008E00C4"/>
    <w:rsid w:val="008E014B"/>
    <w:rsid w:val="008E01CF"/>
    <w:rsid w:val="008E03D8"/>
    <w:rsid w:val="008E07B5"/>
    <w:rsid w:val="008E087E"/>
    <w:rsid w:val="008E0AED"/>
    <w:rsid w:val="008E0B10"/>
    <w:rsid w:val="008E0C58"/>
    <w:rsid w:val="008E0E9F"/>
    <w:rsid w:val="008E0F6F"/>
    <w:rsid w:val="008E1156"/>
    <w:rsid w:val="008E137E"/>
    <w:rsid w:val="008E13D0"/>
    <w:rsid w:val="008E16BD"/>
    <w:rsid w:val="008E19CD"/>
    <w:rsid w:val="008E1AC2"/>
    <w:rsid w:val="008E1C0F"/>
    <w:rsid w:val="008E2138"/>
    <w:rsid w:val="008E2235"/>
    <w:rsid w:val="008E2291"/>
    <w:rsid w:val="008E235A"/>
    <w:rsid w:val="008E2555"/>
    <w:rsid w:val="008E25B2"/>
    <w:rsid w:val="008E26D1"/>
    <w:rsid w:val="008E2931"/>
    <w:rsid w:val="008E2AAA"/>
    <w:rsid w:val="008E2B38"/>
    <w:rsid w:val="008E2B67"/>
    <w:rsid w:val="008E2B78"/>
    <w:rsid w:val="008E2C32"/>
    <w:rsid w:val="008E2EE8"/>
    <w:rsid w:val="008E30AE"/>
    <w:rsid w:val="008E3200"/>
    <w:rsid w:val="008E33A7"/>
    <w:rsid w:val="008E34A9"/>
    <w:rsid w:val="008E3651"/>
    <w:rsid w:val="008E36CD"/>
    <w:rsid w:val="008E3ABD"/>
    <w:rsid w:val="008E3BDB"/>
    <w:rsid w:val="008E3DA0"/>
    <w:rsid w:val="008E3F36"/>
    <w:rsid w:val="008E3F9B"/>
    <w:rsid w:val="008E41C1"/>
    <w:rsid w:val="008E42E8"/>
    <w:rsid w:val="008E436B"/>
    <w:rsid w:val="008E442B"/>
    <w:rsid w:val="008E459A"/>
    <w:rsid w:val="008E4B8F"/>
    <w:rsid w:val="008E4BB0"/>
    <w:rsid w:val="008E4E76"/>
    <w:rsid w:val="008E5029"/>
    <w:rsid w:val="008E518E"/>
    <w:rsid w:val="008E519D"/>
    <w:rsid w:val="008E542A"/>
    <w:rsid w:val="008E5468"/>
    <w:rsid w:val="008E54FB"/>
    <w:rsid w:val="008E5513"/>
    <w:rsid w:val="008E553E"/>
    <w:rsid w:val="008E59E3"/>
    <w:rsid w:val="008E5ACF"/>
    <w:rsid w:val="008E5B28"/>
    <w:rsid w:val="008E5D3D"/>
    <w:rsid w:val="008E5D9A"/>
    <w:rsid w:val="008E5DDC"/>
    <w:rsid w:val="008E5E29"/>
    <w:rsid w:val="008E6217"/>
    <w:rsid w:val="008E6479"/>
    <w:rsid w:val="008E6800"/>
    <w:rsid w:val="008E68B1"/>
    <w:rsid w:val="008E6937"/>
    <w:rsid w:val="008E69A4"/>
    <w:rsid w:val="008E6A67"/>
    <w:rsid w:val="008E6E27"/>
    <w:rsid w:val="008E6EB0"/>
    <w:rsid w:val="008E6EB4"/>
    <w:rsid w:val="008E6FB2"/>
    <w:rsid w:val="008E6FC9"/>
    <w:rsid w:val="008E6FD2"/>
    <w:rsid w:val="008E6FD7"/>
    <w:rsid w:val="008E721B"/>
    <w:rsid w:val="008E723A"/>
    <w:rsid w:val="008E7385"/>
    <w:rsid w:val="008E7426"/>
    <w:rsid w:val="008E7578"/>
    <w:rsid w:val="008E75D2"/>
    <w:rsid w:val="008E78EB"/>
    <w:rsid w:val="008E796D"/>
    <w:rsid w:val="008F00B0"/>
    <w:rsid w:val="008F03F8"/>
    <w:rsid w:val="008F0630"/>
    <w:rsid w:val="008F08B4"/>
    <w:rsid w:val="008F08D8"/>
    <w:rsid w:val="008F0D3B"/>
    <w:rsid w:val="008F0EB9"/>
    <w:rsid w:val="008F0F1F"/>
    <w:rsid w:val="008F0F32"/>
    <w:rsid w:val="008F105B"/>
    <w:rsid w:val="008F1073"/>
    <w:rsid w:val="008F1250"/>
    <w:rsid w:val="008F13E4"/>
    <w:rsid w:val="008F148F"/>
    <w:rsid w:val="008F154C"/>
    <w:rsid w:val="008F1910"/>
    <w:rsid w:val="008F1939"/>
    <w:rsid w:val="008F1B38"/>
    <w:rsid w:val="008F1D82"/>
    <w:rsid w:val="008F1E30"/>
    <w:rsid w:val="008F1EE3"/>
    <w:rsid w:val="008F1FBF"/>
    <w:rsid w:val="008F23AB"/>
    <w:rsid w:val="008F268A"/>
    <w:rsid w:val="008F2737"/>
    <w:rsid w:val="008F278A"/>
    <w:rsid w:val="008F29D9"/>
    <w:rsid w:val="008F2C14"/>
    <w:rsid w:val="008F2C4A"/>
    <w:rsid w:val="008F2F33"/>
    <w:rsid w:val="008F30AE"/>
    <w:rsid w:val="008F322A"/>
    <w:rsid w:val="008F33B3"/>
    <w:rsid w:val="008F3811"/>
    <w:rsid w:val="008F3821"/>
    <w:rsid w:val="008F3A0C"/>
    <w:rsid w:val="008F3AAF"/>
    <w:rsid w:val="008F3CBF"/>
    <w:rsid w:val="008F3E21"/>
    <w:rsid w:val="008F3FAD"/>
    <w:rsid w:val="008F4097"/>
    <w:rsid w:val="008F4213"/>
    <w:rsid w:val="008F437B"/>
    <w:rsid w:val="008F437D"/>
    <w:rsid w:val="008F43EA"/>
    <w:rsid w:val="008F45AD"/>
    <w:rsid w:val="008F462C"/>
    <w:rsid w:val="008F47DC"/>
    <w:rsid w:val="008F4810"/>
    <w:rsid w:val="008F4999"/>
    <w:rsid w:val="008F4BE9"/>
    <w:rsid w:val="008F4E04"/>
    <w:rsid w:val="008F4EF6"/>
    <w:rsid w:val="008F4F1D"/>
    <w:rsid w:val="008F51ED"/>
    <w:rsid w:val="008F52B0"/>
    <w:rsid w:val="008F53A7"/>
    <w:rsid w:val="008F54EA"/>
    <w:rsid w:val="008F5711"/>
    <w:rsid w:val="008F5E6A"/>
    <w:rsid w:val="008F6060"/>
    <w:rsid w:val="008F64B5"/>
    <w:rsid w:val="008F6674"/>
    <w:rsid w:val="008F66B0"/>
    <w:rsid w:val="008F66D1"/>
    <w:rsid w:val="008F6755"/>
    <w:rsid w:val="008F68AE"/>
    <w:rsid w:val="008F6DAD"/>
    <w:rsid w:val="008F6E1B"/>
    <w:rsid w:val="008F7007"/>
    <w:rsid w:val="008F70C3"/>
    <w:rsid w:val="008F76B4"/>
    <w:rsid w:val="008F7722"/>
    <w:rsid w:val="008F772A"/>
    <w:rsid w:val="008F78A1"/>
    <w:rsid w:val="008F7A3F"/>
    <w:rsid w:val="008F7AF4"/>
    <w:rsid w:val="008F7C58"/>
    <w:rsid w:val="008F7CCD"/>
    <w:rsid w:val="008F7DF5"/>
    <w:rsid w:val="008F7F6A"/>
    <w:rsid w:val="009005C3"/>
    <w:rsid w:val="0090075E"/>
    <w:rsid w:val="00900A4C"/>
    <w:rsid w:val="009010EE"/>
    <w:rsid w:val="0090119A"/>
    <w:rsid w:val="009012FD"/>
    <w:rsid w:val="0090149E"/>
    <w:rsid w:val="00901727"/>
    <w:rsid w:val="009017B2"/>
    <w:rsid w:val="009018E4"/>
    <w:rsid w:val="0090190B"/>
    <w:rsid w:val="00901913"/>
    <w:rsid w:val="00901B24"/>
    <w:rsid w:val="00901BFB"/>
    <w:rsid w:val="00901DDE"/>
    <w:rsid w:val="00901EEF"/>
    <w:rsid w:val="00902291"/>
    <w:rsid w:val="00902623"/>
    <w:rsid w:val="0090267A"/>
    <w:rsid w:val="009026FB"/>
    <w:rsid w:val="009029D1"/>
    <w:rsid w:val="00902BBD"/>
    <w:rsid w:val="00902D28"/>
    <w:rsid w:val="0090310F"/>
    <w:rsid w:val="0090333F"/>
    <w:rsid w:val="009035A3"/>
    <w:rsid w:val="0090361F"/>
    <w:rsid w:val="00903643"/>
    <w:rsid w:val="00903678"/>
    <w:rsid w:val="00903804"/>
    <w:rsid w:val="009039AB"/>
    <w:rsid w:val="00903A71"/>
    <w:rsid w:val="00903D74"/>
    <w:rsid w:val="00903DE7"/>
    <w:rsid w:val="00903E9B"/>
    <w:rsid w:val="00903FEE"/>
    <w:rsid w:val="0090412C"/>
    <w:rsid w:val="00904193"/>
    <w:rsid w:val="009041B6"/>
    <w:rsid w:val="0090437D"/>
    <w:rsid w:val="009044B4"/>
    <w:rsid w:val="009045C4"/>
    <w:rsid w:val="00904601"/>
    <w:rsid w:val="00904663"/>
    <w:rsid w:val="009046A9"/>
    <w:rsid w:val="00904753"/>
    <w:rsid w:val="00904AC6"/>
    <w:rsid w:val="00904D7B"/>
    <w:rsid w:val="00904FBE"/>
    <w:rsid w:val="009053B7"/>
    <w:rsid w:val="009056A0"/>
    <w:rsid w:val="009058D2"/>
    <w:rsid w:val="009059D2"/>
    <w:rsid w:val="00905A42"/>
    <w:rsid w:val="00905CEC"/>
    <w:rsid w:val="00905F96"/>
    <w:rsid w:val="0090609E"/>
    <w:rsid w:val="009062C5"/>
    <w:rsid w:val="00906410"/>
    <w:rsid w:val="009064CF"/>
    <w:rsid w:val="009066E3"/>
    <w:rsid w:val="00906781"/>
    <w:rsid w:val="009068C6"/>
    <w:rsid w:val="00906EE6"/>
    <w:rsid w:val="00907043"/>
    <w:rsid w:val="009070C5"/>
    <w:rsid w:val="009071DC"/>
    <w:rsid w:val="00907278"/>
    <w:rsid w:val="00907548"/>
    <w:rsid w:val="009076A8"/>
    <w:rsid w:val="009077DB"/>
    <w:rsid w:val="0090788D"/>
    <w:rsid w:val="00907917"/>
    <w:rsid w:val="0090798A"/>
    <w:rsid w:val="00907A25"/>
    <w:rsid w:val="00907B42"/>
    <w:rsid w:val="00907CBA"/>
    <w:rsid w:val="00907CBC"/>
    <w:rsid w:val="00907CF6"/>
    <w:rsid w:val="00907D3D"/>
    <w:rsid w:val="00907DDA"/>
    <w:rsid w:val="00907F52"/>
    <w:rsid w:val="00910171"/>
    <w:rsid w:val="0091020E"/>
    <w:rsid w:val="009102D3"/>
    <w:rsid w:val="00910D3F"/>
    <w:rsid w:val="00910D60"/>
    <w:rsid w:val="00910D63"/>
    <w:rsid w:val="00910E8B"/>
    <w:rsid w:val="00910EAF"/>
    <w:rsid w:val="00910FB8"/>
    <w:rsid w:val="009112C0"/>
    <w:rsid w:val="00911483"/>
    <w:rsid w:val="0091148C"/>
    <w:rsid w:val="009114C6"/>
    <w:rsid w:val="009115AF"/>
    <w:rsid w:val="009118A4"/>
    <w:rsid w:val="00911AB8"/>
    <w:rsid w:val="00911CB8"/>
    <w:rsid w:val="00911D77"/>
    <w:rsid w:val="00911E47"/>
    <w:rsid w:val="00911F53"/>
    <w:rsid w:val="009125A6"/>
    <w:rsid w:val="009129D6"/>
    <w:rsid w:val="00912A9D"/>
    <w:rsid w:val="00912B54"/>
    <w:rsid w:val="00912D52"/>
    <w:rsid w:val="00912E8C"/>
    <w:rsid w:val="009131C7"/>
    <w:rsid w:val="009132E4"/>
    <w:rsid w:val="00913559"/>
    <w:rsid w:val="00913653"/>
    <w:rsid w:val="00913660"/>
    <w:rsid w:val="00913677"/>
    <w:rsid w:val="009136D6"/>
    <w:rsid w:val="00913842"/>
    <w:rsid w:val="00913AE4"/>
    <w:rsid w:val="00913B7E"/>
    <w:rsid w:val="00913BA2"/>
    <w:rsid w:val="00913F78"/>
    <w:rsid w:val="00914265"/>
    <w:rsid w:val="009144A6"/>
    <w:rsid w:val="00914581"/>
    <w:rsid w:val="0091472A"/>
    <w:rsid w:val="00914875"/>
    <w:rsid w:val="009148B6"/>
    <w:rsid w:val="00914A14"/>
    <w:rsid w:val="00914BD2"/>
    <w:rsid w:val="00914C20"/>
    <w:rsid w:val="00914ECA"/>
    <w:rsid w:val="00914F08"/>
    <w:rsid w:val="00914F5F"/>
    <w:rsid w:val="00914F6A"/>
    <w:rsid w:val="00915057"/>
    <w:rsid w:val="0091507C"/>
    <w:rsid w:val="009150E0"/>
    <w:rsid w:val="00915178"/>
    <w:rsid w:val="009151B0"/>
    <w:rsid w:val="009151F2"/>
    <w:rsid w:val="0091526C"/>
    <w:rsid w:val="009152D4"/>
    <w:rsid w:val="00915587"/>
    <w:rsid w:val="00915870"/>
    <w:rsid w:val="00915978"/>
    <w:rsid w:val="00915AA3"/>
    <w:rsid w:val="00915D0E"/>
    <w:rsid w:val="00915E0D"/>
    <w:rsid w:val="0091620B"/>
    <w:rsid w:val="00916289"/>
    <w:rsid w:val="00916296"/>
    <w:rsid w:val="00916402"/>
    <w:rsid w:val="00916438"/>
    <w:rsid w:val="009167D2"/>
    <w:rsid w:val="009168B4"/>
    <w:rsid w:val="00916AD1"/>
    <w:rsid w:val="00917350"/>
    <w:rsid w:val="00917591"/>
    <w:rsid w:val="009177CA"/>
    <w:rsid w:val="00917864"/>
    <w:rsid w:val="009179CD"/>
    <w:rsid w:val="00917BD4"/>
    <w:rsid w:val="00917C85"/>
    <w:rsid w:val="00917D82"/>
    <w:rsid w:val="00917ECB"/>
    <w:rsid w:val="009200E4"/>
    <w:rsid w:val="00920134"/>
    <w:rsid w:val="009201FF"/>
    <w:rsid w:val="0092021E"/>
    <w:rsid w:val="0092025F"/>
    <w:rsid w:val="009202BA"/>
    <w:rsid w:val="00920327"/>
    <w:rsid w:val="0092042D"/>
    <w:rsid w:val="00920455"/>
    <w:rsid w:val="009204D4"/>
    <w:rsid w:val="00920537"/>
    <w:rsid w:val="00920A95"/>
    <w:rsid w:val="00920CC2"/>
    <w:rsid w:val="00920CF1"/>
    <w:rsid w:val="00920F27"/>
    <w:rsid w:val="00920FE5"/>
    <w:rsid w:val="009210A6"/>
    <w:rsid w:val="00921415"/>
    <w:rsid w:val="00921442"/>
    <w:rsid w:val="00921667"/>
    <w:rsid w:val="00921669"/>
    <w:rsid w:val="00921819"/>
    <w:rsid w:val="00921875"/>
    <w:rsid w:val="009218E9"/>
    <w:rsid w:val="00921C29"/>
    <w:rsid w:val="00921F48"/>
    <w:rsid w:val="00921FB0"/>
    <w:rsid w:val="009222BB"/>
    <w:rsid w:val="009224C4"/>
    <w:rsid w:val="0092271C"/>
    <w:rsid w:val="009227C6"/>
    <w:rsid w:val="00922AC8"/>
    <w:rsid w:val="00922B43"/>
    <w:rsid w:val="00922E20"/>
    <w:rsid w:val="00922E3A"/>
    <w:rsid w:val="00923168"/>
    <w:rsid w:val="009233EA"/>
    <w:rsid w:val="009234BB"/>
    <w:rsid w:val="00923D83"/>
    <w:rsid w:val="00923E14"/>
    <w:rsid w:val="00923E44"/>
    <w:rsid w:val="00923FD1"/>
    <w:rsid w:val="00924108"/>
    <w:rsid w:val="009241B4"/>
    <w:rsid w:val="009244D2"/>
    <w:rsid w:val="0092458C"/>
    <w:rsid w:val="009245CA"/>
    <w:rsid w:val="00924786"/>
    <w:rsid w:val="009247FB"/>
    <w:rsid w:val="009249C7"/>
    <w:rsid w:val="00924FF9"/>
    <w:rsid w:val="00925166"/>
    <w:rsid w:val="00925372"/>
    <w:rsid w:val="00925568"/>
    <w:rsid w:val="009255D7"/>
    <w:rsid w:val="0092562F"/>
    <w:rsid w:val="00925662"/>
    <w:rsid w:val="00925689"/>
    <w:rsid w:val="009256A3"/>
    <w:rsid w:val="009258C0"/>
    <w:rsid w:val="00925912"/>
    <w:rsid w:val="00925952"/>
    <w:rsid w:val="00925A1A"/>
    <w:rsid w:val="00925C1D"/>
    <w:rsid w:val="00925D1B"/>
    <w:rsid w:val="00925F37"/>
    <w:rsid w:val="00926105"/>
    <w:rsid w:val="0092619F"/>
    <w:rsid w:val="009264D2"/>
    <w:rsid w:val="0092673A"/>
    <w:rsid w:val="009269F5"/>
    <w:rsid w:val="00926B6E"/>
    <w:rsid w:val="00926B86"/>
    <w:rsid w:val="00927028"/>
    <w:rsid w:val="009270B5"/>
    <w:rsid w:val="009272BA"/>
    <w:rsid w:val="00927310"/>
    <w:rsid w:val="00927478"/>
    <w:rsid w:val="009275A8"/>
    <w:rsid w:val="00927606"/>
    <w:rsid w:val="009276F3"/>
    <w:rsid w:val="00927810"/>
    <w:rsid w:val="0092786C"/>
    <w:rsid w:val="00927959"/>
    <w:rsid w:val="00927AD7"/>
    <w:rsid w:val="00927B5D"/>
    <w:rsid w:val="00927BA7"/>
    <w:rsid w:val="00927D3F"/>
    <w:rsid w:val="00927E18"/>
    <w:rsid w:val="00927F44"/>
    <w:rsid w:val="00930181"/>
    <w:rsid w:val="009301E3"/>
    <w:rsid w:val="009304AF"/>
    <w:rsid w:val="009304F1"/>
    <w:rsid w:val="00930604"/>
    <w:rsid w:val="00930665"/>
    <w:rsid w:val="009307A4"/>
    <w:rsid w:val="00930A6F"/>
    <w:rsid w:val="00930CFC"/>
    <w:rsid w:val="009312D9"/>
    <w:rsid w:val="00931310"/>
    <w:rsid w:val="0093161B"/>
    <w:rsid w:val="00931710"/>
    <w:rsid w:val="009317D6"/>
    <w:rsid w:val="00931820"/>
    <w:rsid w:val="0093197D"/>
    <w:rsid w:val="00931B0E"/>
    <w:rsid w:val="00931D37"/>
    <w:rsid w:val="00931D7E"/>
    <w:rsid w:val="00931D8C"/>
    <w:rsid w:val="00931E16"/>
    <w:rsid w:val="00931F56"/>
    <w:rsid w:val="00931F7E"/>
    <w:rsid w:val="009320D3"/>
    <w:rsid w:val="0093231D"/>
    <w:rsid w:val="009325A1"/>
    <w:rsid w:val="009328BD"/>
    <w:rsid w:val="00932984"/>
    <w:rsid w:val="00932DA3"/>
    <w:rsid w:val="00932EDA"/>
    <w:rsid w:val="00932F4F"/>
    <w:rsid w:val="0093325B"/>
    <w:rsid w:val="009332E6"/>
    <w:rsid w:val="0093335F"/>
    <w:rsid w:val="009333EE"/>
    <w:rsid w:val="0093351D"/>
    <w:rsid w:val="009336C6"/>
    <w:rsid w:val="009338C4"/>
    <w:rsid w:val="00933959"/>
    <w:rsid w:val="00933A21"/>
    <w:rsid w:val="00933ADF"/>
    <w:rsid w:val="00933C8C"/>
    <w:rsid w:val="00933EDB"/>
    <w:rsid w:val="00934276"/>
    <w:rsid w:val="009343A2"/>
    <w:rsid w:val="009344CF"/>
    <w:rsid w:val="009344DD"/>
    <w:rsid w:val="00934516"/>
    <w:rsid w:val="00934591"/>
    <w:rsid w:val="009345E2"/>
    <w:rsid w:val="00934697"/>
    <w:rsid w:val="00934780"/>
    <w:rsid w:val="00934845"/>
    <w:rsid w:val="00934A07"/>
    <w:rsid w:val="00934BE9"/>
    <w:rsid w:val="00934C98"/>
    <w:rsid w:val="009352C4"/>
    <w:rsid w:val="009352F7"/>
    <w:rsid w:val="00935401"/>
    <w:rsid w:val="00935683"/>
    <w:rsid w:val="00935A1A"/>
    <w:rsid w:val="0093600B"/>
    <w:rsid w:val="009361FD"/>
    <w:rsid w:val="00936221"/>
    <w:rsid w:val="00936289"/>
    <w:rsid w:val="00936414"/>
    <w:rsid w:val="0093641D"/>
    <w:rsid w:val="00936424"/>
    <w:rsid w:val="00936465"/>
    <w:rsid w:val="0093673F"/>
    <w:rsid w:val="00936896"/>
    <w:rsid w:val="009369FF"/>
    <w:rsid w:val="00936B69"/>
    <w:rsid w:val="00936E62"/>
    <w:rsid w:val="00936EEE"/>
    <w:rsid w:val="00936F05"/>
    <w:rsid w:val="0093702B"/>
    <w:rsid w:val="0093719C"/>
    <w:rsid w:val="0093728B"/>
    <w:rsid w:val="009373E1"/>
    <w:rsid w:val="0093771F"/>
    <w:rsid w:val="0093773B"/>
    <w:rsid w:val="00937CD2"/>
    <w:rsid w:val="00937E6E"/>
    <w:rsid w:val="0094007D"/>
    <w:rsid w:val="00940138"/>
    <w:rsid w:val="009401C5"/>
    <w:rsid w:val="009402AF"/>
    <w:rsid w:val="009403BF"/>
    <w:rsid w:val="009405DA"/>
    <w:rsid w:val="00940696"/>
    <w:rsid w:val="00940750"/>
    <w:rsid w:val="00940BE0"/>
    <w:rsid w:val="00940CCE"/>
    <w:rsid w:val="00940D6E"/>
    <w:rsid w:val="00940D9C"/>
    <w:rsid w:val="00940F09"/>
    <w:rsid w:val="00940F13"/>
    <w:rsid w:val="00941296"/>
    <w:rsid w:val="00941358"/>
    <w:rsid w:val="00941548"/>
    <w:rsid w:val="009415DE"/>
    <w:rsid w:val="009416D6"/>
    <w:rsid w:val="00941826"/>
    <w:rsid w:val="00941E39"/>
    <w:rsid w:val="0094212E"/>
    <w:rsid w:val="00942347"/>
    <w:rsid w:val="0094247F"/>
    <w:rsid w:val="00942818"/>
    <w:rsid w:val="00942A75"/>
    <w:rsid w:val="00942B44"/>
    <w:rsid w:val="00942B67"/>
    <w:rsid w:val="00942B6C"/>
    <w:rsid w:val="00942DAD"/>
    <w:rsid w:val="00942E8D"/>
    <w:rsid w:val="00942E96"/>
    <w:rsid w:val="00943026"/>
    <w:rsid w:val="009430C1"/>
    <w:rsid w:val="009431C2"/>
    <w:rsid w:val="0094322F"/>
    <w:rsid w:val="00943278"/>
    <w:rsid w:val="0094336E"/>
    <w:rsid w:val="00943579"/>
    <w:rsid w:val="009437F0"/>
    <w:rsid w:val="00943927"/>
    <w:rsid w:val="00943AA9"/>
    <w:rsid w:val="00943C31"/>
    <w:rsid w:val="00943D08"/>
    <w:rsid w:val="00943D37"/>
    <w:rsid w:val="00943ED3"/>
    <w:rsid w:val="00943F9E"/>
    <w:rsid w:val="00944236"/>
    <w:rsid w:val="009443D5"/>
    <w:rsid w:val="009443D6"/>
    <w:rsid w:val="00944539"/>
    <w:rsid w:val="009446EF"/>
    <w:rsid w:val="009449CA"/>
    <w:rsid w:val="00944B74"/>
    <w:rsid w:val="00944BA2"/>
    <w:rsid w:val="00944D05"/>
    <w:rsid w:val="00944D23"/>
    <w:rsid w:val="00944D67"/>
    <w:rsid w:val="00945073"/>
    <w:rsid w:val="0094517D"/>
    <w:rsid w:val="009451B2"/>
    <w:rsid w:val="00945413"/>
    <w:rsid w:val="00945689"/>
    <w:rsid w:val="009456E6"/>
    <w:rsid w:val="00945717"/>
    <w:rsid w:val="00945BDE"/>
    <w:rsid w:val="00945CFA"/>
    <w:rsid w:val="00945D08"/>
    <w:rsid w:val="00945EC5"/>
    <w:rsid w:val="00945F25"/>
    <w:rsid w:val="00946343"/>
    <w:rsid w:val="00946566"/>
    <w:rsid w:val="00946AEC"/>
    <w:rsid w:val="00946BCC"/>
    <w:rsid w:val="009470B7"/>
    <w:rsid w:val="00947148"/>
    <w:rsid w:val="009474A1"/>
    <w:rsid w:val="009475B3"/>
    <w:rsid w:val="009479B9"/>
    <w:rsid w:val="00947EF3"/>
    <w:rsid w:val="00950322"/>
    <w:rsid w:val="009508AD"/>
    <w:rsid w:val="00950B25"/>
    <w:rsid w:val="00950BFB"/>
    <w:rsid w:val="00950D81"/>
    <w:rsid w:val="009510B8"/>
    <w:rsid w:val="009512AA"/>
    <w:rsid w:val="0095134C"/>
    <w:rsid w:val="009515B4"/>
    <w:rsid w:val="00951686"/>
    <w:rsid w:val="00951795"/>
    <w:rsid w:val="0095192C"/>
    <w:rsid w:val="00951A07"/>
    <w:rsid w:val="00951B96"/>
    <w:rsid w:val="00951EFA"/>
    <w:rsid w:val="00952213"/>
    <w:rsid w:val="0095228B"/>
    <w:rsid w:val="0095232C"/>
    <w:rsid w:val="009523CB"/>
    <w:rsid w:val="0095240C"/>
    <w:rsid w:val="009524FC"/>
    <w:rsid w:val="00952512"/>
    <w:rsid w:val="009528E1"/>
    <w:rsid w:val="00952A61"/>
    <w:rsid w:val="00952DC0"/>
    <w:rsid w:val="00952EB4"/>
    <w:rsid w:val="009530E9"/>
    <w:rsid w:val="009533DE"/>
    <w:rsid w:val="009536C6"/>
    <w:rsid w:val="00953CAD"/>
    <w:rsid w:val="00953D4A"/>
    <w:rsid w:val="00953D6E"/>
    <w:rsid w:val="00953F0C"/>
    <w:rsid w:val="00953FE6"/>
    <w:rsid w:val="009541D5"/>
    <w:rsid w:val="009541E2"/>
    <w:rsid w:val="009543BC"/>
    <w:rsid w:val="0095441D"/>
    <w:rsid w:val="00954531"/>
    <w:rsid w:val="00954543"/>
    <w:rsid w:val="0095468A"/>
    <w:rsid w:val="00954710"/>
    <w:rsid w:val="009547C9"/>
    <w:rsid w:val="00954825"/>
    <w:rsid w:val="00954FF7"/>
    <w:rsid w:val="0095500A"/>
    <w:rsid w:val="00955017"/>
    <w:rsid w:val="009550A4"/>
    <w:rsid w:val="009552F0"/>
    <w:rsid w:val="0095531C"/>
    <w:rsid w:val="0095537F"/>
    <w:rsid w:val="009554B6"/>
    <w:rsid w:val="0095550F"/>
    <w:rsid w:val="0095564A"/>
    <w:rsid w:val="00955902"/>
    <w:rsid w:val="00955E98"/>
    <w:rsid w:val="0095643E"/>
    <w:rsid w:val="009564A0"/>
    <w:rsid w:val="0095664E"/>
    <w:rsid w:val="009567CF"/>
    <w:rsid w:val="009567F8"/>
    <w:rsid w:val="00956844"/>
    <w:rsid w:val="00956F83"/>
    <w:rsid w:val="00957270"/>
    <w:rsid w:val="009572DC"/>
    <w:rsid w:val="00957538"/>
    <w:rsid w:val="009577AA"/>
    <w:rsid w:val="009578AB"/>
    <w:rsid w:val="009578BF"/>
    <w:rsid w:val="00957950"/>
    <w:rsid w:val="00957B41"/>
    <w:rsid w:val="00960013"/>
    <w:rsid w:val="00960056"/>
    <w:rsid w:val="00960147"/>
    <w:rsid w:val="009601BD"/>
    <w:rsid w:val="00960381"/>
    <w:rsid w:val="009604BB"/>
    <w:rsid w:val="00960745"/>
    <w:rsid w:val="009607FA"/>
    <w:rsid w:val="00960834"/>
    <w:rsid w:val="00960A3F"/>
    <w:rsid w:val="00960B5C"/>
    <w:rsid w:val="00960BE8"/>
    <w:rsid w:val="00960C10"/>
    <w:rsid w:val="00960D7B"/>
    <w:rsid w:val="00960DA8"/>
    <w:rsid w:val="00960E4C"/>
    <w:rsid w:val="00960E6B"/>
    <w:rsid w:val="00960EC7"/>
    <w:rsid w:val="00960F2E"/>
    <w:rsid w:val="00961339"/>
    <w:rsid w:val="009615E8"/>
    <w:rsid w:val="0096161D"/>
    <w:rsid w:val="00961744"/>
    <w:rsid w:val="009618EC"/>
    <w:rsid w:val="00961D34"/>
    <w:rsid w:val="00961DAB"/>
    <w:rsid w:val="00961F4A"/>
    <w:rsid w:val="0096284F"/>
    <w:rsid w:val="00962A40"/>
    <w:rsid w:val="00962A80"/>
    <w:rsid w:val="009630FC"/>
    <w:rsid w:val="00963171"/>
    <w:rsid w:val="00963178"/>
    <w:rsid w:val="009631E2"/>
    <w:rsid w:val="0096334F"/>
    <w:rsid w:val="00963367"/>
    <w:rsid w:val="009634AB"/>
    <w:rsid w:val="0096391E"/>
    <w:rsid w:val="00963D47"/>
    <w:rsid w:val="00963E12"/>
    <w:rsid w:val="00963EC3"/>
    <w:rsid w:val="00963FE2"/>
    <w:rsid w:val="00964101"/>
    <w:rsid w:val="0096456B"/>
    <w:rsid w:val="00964634"/>
    <w:rsid w:val="00964746"/>
    <w:rsid w:val="009648C0"/>
    <w:rsid w:val="00964AF7"/>
    <w:rsid w:val="00964B7F"/>
    <w:rsid w:val="00964BE2"/>
    <w:rsid w:val="00964DBA"/>
    <w:rsid w:val="009651BE"/>
    <w:rsid w:val="009656A3"/>
    <w:rsid w:val="0096581C"/>
    <w:rsid w:val="00965878"/>
    <w:rsid w:val="009658E9"/>
    <w:rsid w:val="00965940"/>
    <w:rsid w:val="00965A72"/>
    <w:rsid w:val="00965EA8"/>
    <w:rsid w:val="00965FC0"/>
    <w:rsid w:val="00966141"/>
    <w:rsid w:val="00966362"/>
    <w:rsid w:val="0096650C"/>
    <w:rsid w:val="009665FF"/>
    <w:rsid w:val="00966763"/>
    <w:rsid w:val="009667E1"/>
    <w:rsid w:val="00966A9B"/>
    <w:rsid w:val="00966B78"/>
    <w:rsid w:val="00966D7F"/>
    <w:rsid w:val="00966E89"/>
    <w:rsid w:val="00966EA2"/>
    <w:rsid w:val="009672CE"/>
    <w:rsid w:val="00967386"/>
    <w:rsid w:val="0096755D"/>
    <w:rsid w:val="00967569"/>
    <w:rsid w:val="0096785E"/>
    <w:rsid w:val="009678E4"/>
    <w:rsid w:val="0096797F"/>
    <w:rsid w:val="009679DB"/>
    <w:rsid w:val="00967ACD"/>
    <w:rsid w:val="00967B8B"/>
    <w:rsid w:val="00967C40"/>
    <w:rsid w:val="00967EC6"/>
    <w:rsid w:val="009701FF"/>
    <w:rsid w:val="0097045E"/>
    <w:rsid w:val="009705FD"/>
    <w:rsid w:val="00970668"/>
    <w:rsid w:val="009706BA"/>
    <w:rsid w:val="00970A92"/>
    <w:rsid w:val="00970C2F"/>
    <w:rsid w:val="00970C80"/>
    <w:rsid w:val="00970E91"/>
    <w:rsid w:val="0097108D"/>
    <w:rsid w:val="009711C0"/>
    <w:rsid w:val="00971322"/>
    <w:rsid w:val="00971426"/>
    <w:rsid w:val="0097157E"/>
    <w:rsid w:val="0097168A"/>
    <w:rsid w:val="009716C3"/>
    <w:rsid w:val="009716E6"/>
    <w:rsid w:val="009717A6"/>
    <w:rsid w:val="00971858"/>
    <w:rsid w:val="009718AB"/>
    <w:rsid w:val="00971AEE"/>
    <w:rsid w:val="00971D21"/>
    <w:rsid w:val="00971D6B"/>
    <w:rsid w:val="00971D8F"/>
    <w:rsid w:val="00971DD3"/>
    <w:rsid w:val="00971DF2"/>
    <w:rsid w:val="00972006"/>
    <w:rsid w:val="009723EF"/>
    <w:rsid w:val="00972534"/>
    <w:rsid w:val="009725C9"/>
    <w:rsid w:val="00972603"/>
    <w:rsid w:val="0097261F"/>
    <w:rsid w:val="00972BDE"/>
    <w:rsid w:val="00972C05"/>
    <w:rsid w:val="00972C7F"/>
    <w:rsid w:val="00972D49"/>
    <w:rsid w:val="00972E77"/>
    <w:rsid w:val="00973146"/>
    <w:rsid w:val="009731F8"/>
    <w:rsid w:val="009732F4"/>
    <w:rsid w:val="009733C2"/>
    <w:rsid w:val="00973942"/>
    <w:rsid w:val="00973A91"/>
    <w:rsid w:val="00973BD2"/>
    <w:rsid w:val="00973BEB"/>
    <w:rsid w:val="00973F9B"/>
    <w:rsid w:val="00973FA0"/>
    <w:rsid w:val="00974031"/>
    <w:rsid w:val="00974275"/>
    <w:rsid w:val="00974378"/>
    <w:rsid w:val="00974858"/>
    <w:rsid w:val="00974865"/>
    <w:rsid w:val="00974992"/>
    <w:rsid w:val="00974C8E"/>
    <w:rsid w:val="00974FFC"/>
    <w:rsid w:val="00975046"/>
    <w:rsid w:val="00975383"/>
    <w:rsid w:val="00975577"/>
    <w:rsid w:val="009756EA"/>
    <w:rsid w:val="0097572A"/>
    <w:rsid w:val="009758CE"/>
    <w:rsid w:val="009758D6"/>
    <w:rsid w:val="00975C42"/>
    <w:rsid w:val="00975D34"/>
    <w:rsid w:val="00975EEB"/>
    <w:rsid w:val="00975EFF"/>
    <w:rsid w:val="00975FC2"/>
    <w:rsid w:val="0097647B"/>
    <w:rsid w:val="009765F3"/>
    <w:rsid w:val="0097665A"/>
    <w:rsid w:val="00976722"/>
    <w:rsid w:val="009767A0"/>
    <w:rsid w:val="00976C05"/>
    <w:rsid w:val="00976C3B"/>
    <w:rsid w:val="009772D7"/>
    <w:rsid w:val="0097747E"/>
    <w:rsid w:val="009774FE"/>
    <w:rsid w:val="009776E4"/>
    <w:rsid w:val="0097772C"/>
    <w:rsid w:val="009778D3"/>
    <w:rsid w:val="009778E2"/>
    <w:rsid w:val="00977A86"/>
    <w:rsid w:val="00977AB5"/>
    <w:rsid w:val="0098032B"/>
    <w:rsid w:val="009804FB"/>
    <w:rsid w:val="00980500"/>
    <w:rsid w:val="0098071A"/>
    <w:rsid w:val="009807C5"/>
    <w:rsid w:val="00980B08"/>
    <w:rsid w:val="00980E8E"/>
    <w:rsid w:val="0098102B"/>
    <w:rsid w:val="009813E2"/>
    <w:rsid w:val="00981506"/>
    <w:rsid w:val="00981618"/>
    <w:rsid w:val="00981740"/>
    <w:rsid w:val="0098190C"/>
    <w:rsid w:val="0098191C"/>
    <w:rsid w:val="00981A5E"/>
    <w:rsid w:val="00981AC6"/>
    <w:rsid w:val="00981B79"/>
    <w:rsid w:val="00981C27"/>
    <w:rsid w:val="00981C4E"/>
    <w:rsid w:val="00981C54"/>
    <w:rsid w:val="00981CC6"/>
    <w:rsid w:val="00981F86"/>
    <w:rsid w:val="009821EA"/>
    <w:rsid w:val="009823AD"/>
    <w:rsid w:val="00982650"/>
    <w:rsid w:val="0098289E"/>
    <w:rsid w:val="00982B4E"/>
    <w:rsid w:val="00982B7E"/>
    <w:rsid w:val="00982B9E"/>
    <w:rsid w:val="00982CD9"/>
    <w:rsid w:val="00982F22"/>
    <w:rsid w:val="00983040"/>
    <w:rsid w:val="009830BE"/>
    <w:rsid w:val="009831F0"/>
    <w:rsid w:val="00983253"/>
    <w:rsid w:val="009833EA"/>
    <w:rsid w:val="00983415"/>
    <w:rsid w:val="00983441"/>
    <w:rsid w:val="009838A4"/>
    <w:rsid w:val="009838B2"/>
    <w:rsid w:val="00983975"/>
    <w:rsid w:val="009839C2"/>
    <w:rsid w:val="00983A9B"/>
    <w:rsid w:val="00983B64"/>
    <w:rsid w:val="00983C05"/>
    <w:rsid w:val="00983C34"/>
    <w:rsid w:val="00983D87"/>
    <w:rsid w:val="00983D88"/>
    <w:rsid w:val="00983F02"/>
    <w:rsid w:val="00983F63"/>
    <w:rsid w:val="009841CC"/>
    <w:rsid w:val="0098428E"/>
    <w:rsid w:val="0098444C"/>
    <w:rsid w:val="00984584"/>
    <w:rsid w:val="00984785"/>
    <w:rsid w:val="00984828"/>
    <w:rsid w:val="00984A5D"/>
    <w:rsid w:val="00984B3E"/>
    <w:rsid w:val="00984BA8"/>
    <w:rsid w:val="00984BC9"/>
    <w:rsid w:val="0098505F"/>
    <w:rsid w:val="00985245"/>
    <w:rsid w:val="00985357"/>
    <w:rsid w:val="00985700"/>
    <w:rsid w:val="0098579A"/>
    <w:rsid w:val="009857AC"/>
    <w:rsid w:val="009857B3"/>
    <w:rsid w:val="00985A85"/>
    <w:rsid w:val="00985A88"/>
    <w:rsid w:val="00985B4D"/>
    <w:rsid w:val="00985BDE"/>
    <w:rsid w:val="00985CF8"/>
    <w:rsid w:val="00985E82"/>
    <w:rsid w:val="00985E9A"/>
    <w:rsid w:val="00985EC9"/>
    <w:rsid w:val="00985EE5"/>
    <w:rsid w:val="00986295"/>
    <w:rsid w:val="0098660D"/>
    <w:rsid w:val="00986798"/>
    <w:rsid w:val="00986CB1"/>
    <w:rsid w:val="00986DC3"/>
    <w:rsid w:val="009870F0"/>
    <w:rsid w:val="0098713F"/>
    <w:rsid w:val="009874D5"/>
    <w:rsid w:val="0098753E"/>
    <w:rsid w:val="009878C4"/>
    <w:rsid w:val="00987ACC"/>
    <w:rsid w:val="00987D3B"/>
    <w:rsid w:val="00987D84"/>
    <w:rsid w:val="00987EF6"/>
    <w:rsid w:val="009902A8"/>
    <w:rsid w:val="00990568"/>
    <w:rsid w:val="009905F4"/>
    <w:rsid w:val="009907EA"/>
    <w:rsid w:val="009908CA"/>
    <w:rsid w:val="00990A88"/>
    <w:rsid w:val="00990D29"/>
    <w:rsid w:val="00990DC1"/>
    <w:rsid w:val="00990DDD"/>
    <w:rsid w:val="00990E63"/>
    <w:rsid w:val="00990F48"/>
    <w:rsid w:val="00991117"/>
    <w:rsid w:val="009915A5"/>
    <w:rsid w:val="009916BB"/>
    <w:rsid w:val="0099188B"/>
    <w:rsid w:val="009918D3"/>
    <w:rsid w:val="00991A3A"/>
    <w:rsid w:val="00991B57"/>
    <w:rsid w:val="00991C98"/>
    <w:rsid w:val="00991E43"/>
    <w:rsid w:val="00991F70"/>
    <w:rsid w:val="009921DB"/>
    <w:rsid w:val="009922C1"/>
    <w:rsid w:val="00992311"/>
    <w:rsid w:val="00992344"/>
    <w:rsid w:val="00992708"/>
    <w:rsid w:val="00992799"/>
    <w:rsid w:val="00992C97"/>
    <w:rsid w:val="00992DA7"/>
    <w:rsid w:val="00992F01"/>
    <w:rsid w:val="009930DF"/>
    <w:rsid w:val="009932C4"/>
    <w:rsid w:val="00993395"/>
    <w:rsid w:val="00993399"/>
    <w:rsid w:val="0099339D"/>
    <w:rsid w:val="00993418"/>
    <w:rsid w:val="0099368D"/>
    <w:rsid w:val="00993710"/>
    <w:rsid w:val="00993874"/>
    <w:rsid w:val="009939E8"/>
    <w:rsid w:val="00993A24"/>
    <w:rsid w:val="00993C75"/>
    <w:rsid w:val="00993D1B"/>
    <w:rsid w:val="00993F3C"/>
    <w:rsid w:val="00993F3F"/>
    <w:rsid w:val="00993F97"/>
    <w:rsid w:val="00994038"/>
    <w:rsid w:val="0099411C"/>
    <w:rsid w:val="0099423E"/>
    <w:rsid w:val="00994264"/>
    <w:rsid w:val="0099431B"/>
    <w:rsid w:val="0099460A"/>
    <w:rsid w:val="009948B7"/>
    <w:rsid w:val="00994ECF"/>
    <w:rsid w:val="0099516A"/>
    <w:rsid w:val="0099519A"/>
    <w:rsid w:val="009951A5"/>
    <w:rsid w:val="009957DC"/>
    <w:rsid w:val="00995869"/>
    <w:rsid w:val="00995906"/>
    <w:rsid w:val="009959C7"/>
    <w:rsid w:val="00995AD0"/>
    <w:rsid w:val="00995EFF"/>
    <w:rsid w:val="009960AE"/>
    <w:rsid w:val="00996325"/>
    <w:rsid w:val="0099651E"/>
    <w:rsid w:val="00996628"/>
    <w:rsid w:val="009967DF"/>
    <w:rsid w:val="00996807"/>
    <w:rsid w:val="0099698F"/>
    <w:rsid w:val="0099714F"/>
    <w:rsid w:val="00997157"/>
    <w:rsid w:val="009976DF"/>
    <w:rsid w:val="00997844"/>
    <w:rsid w:val="00997865"/>
    <w:rsid w:val="00997918"/>
    <w:rsid w:val="00997C69"/>
    <w:rsid w:val="00997C7A"/>
    <w:rsid w:val="00997EB8"/>
    <w:rsid w:val="009A059F"/>
    <w:rsid w:val="009A0672"/>
    <w:rsid w:val="009A08A4"/>
    <w:rsid w:val="009A08F9"/>
    <w:rsid w:val="009A091B"/>
    <w:rsid w:val="009A09D7"/>
    <w:rsid w:val="009A09F1"/>
    <w:rsid w:val="009A0DD5"/>
    <w:rsid w:val="009A1299"/>
    <w:rsid w:val="009A19FD"/>
    <w:rsid w:val="009A1E69"/>
    <w:rsid w:val="009A1E95"/>
    <w:rsid w:val="009A1F80"/>
    <w:rsid w:val="009A1FDB"/>
    <w:rsid w:val="009A2419"/>
    <w:rsid w:val="009A26E3"/>
    <w:rsid w:val="009A2AC7"/>
    <w:rsid w:val="009A2D72"/>
    <w:rsid w:val="009A2E27"/>
    <w:rsid w:val="009A2EED"/>
    <w:rsid w:val="009A2F0B"/>
    <w:rsid w:val="009A3202"/>
    <w:rsid w:val="009A324C"/>
    <w:rsid w:val="009A3424"/>
    <w:rsid w:val="009A35EE"/>
    <w:rsid w:val="009A3604"/>
    <w:rsid w:val="009A3772"/>
    <w:rsid w:val="009A3790"/>
    <w:rsid w:val="009A3800"/>
    <w:rsid w:val="009A3951"/>
    <w:rsid w:val="009A3B26"/>
    <w:rsid w:val="009A3DCF"/>
    <w:rsid w:val="009A3E2A"/>
    <w:rsid w:val="009A3F54"/>
    <w:rsid w:val="009A400C"/>
    <w:rsid w:val="009A40A6"/>
    <w:rsid w:val="009A4333"/>
    <w:rsid w:val="009A4500"/>
    <w:rsid w:val="009A4564"/>
    <w:rsid w:val="009A4583"/>
    <w:rsid w:val="009A46B3"/>
    <w:rsid w:val="009A482D"/>
    <w:rsid w:val="009A4950"/>
    <w:rsid w:val="009A4B7F"/>
    <w:rsid w:val="009A4D26"/>
    <w:rsid w:val="009A4D96"/>
    <w:rsid w:val="009A50FE"/>
    <w:rsid w:val="009A525B"/>
    <w:rsid w:val="009A5366"/>
    <w:rsid w:val="009A53E3"/>
    <w:rsid w:val="009A53ED"/>
    <w:rsid w:val="009A59C7"/>
    <w:rsid w:val="009A5B3F"/>
    <w:rsid w:val="009A6268"/>
    <w:rsid w:val="009A6357"/>
    <w:rsid w:val="009A6515"/>
    <w:rsid w:val="009A654A"/>
    <w:rsid w:val="009A680B"/>
    <w:rsid w:val="009A686E"/>
    <w:rsid w:val="009A698B"/>
    <w:rsid w:val="009A6BA4"/>
    <w:rsid w:val="009A6C2D"/>
    <w:rsid w:val="009A6E5C"/>
    <w:rsid w:val="009A7005"/>
    <w:rsid w:val="009A70E1"/>
    <w:rsid w:val="009A7209"/>
    <w:rsid w:val="009A7572"/>
    <w:rsid w:val="009A773A"/>
    <w:rsid w:val="009A7760"/>
    <w:rsid w:val="009A7774"/>
    <w:rsid w:val="009A7846"/>
    <w:rsid w:val="009A7A35"/>
    <w:rsid w:val="009A7DD2"/>
    <w:rsid w:val="009A7EEB"/>
    <w:rsid w:val="009B0212"/>
    <w:rsid w:val="009B03FE"/>
    <w:rsid w:val="009B0490"/>
    <w:rsid w:val="009B0828"/>
    <w:rsid w:val="009B08B2"/>
    <w:rsid w:val="009B08BA"/>
    <w:rsid w:val="009B090C"/>
    <w:rsid w:val="009B09C0"/>
    <w:rsid w:val="009B0E52"/>
    <w:rsid w:val="009B0EEC"/>
    <w:rsid w:val="009B1399"/>
    <w:rsid w:val="009B14EB"/>
    <w:rsid w:val="009B1522"/>
    <w:rsid w:val="009B1829"/>
    <w:rsid w:val="009B19FD"/>
    <w:rsid w:val="009B1AAB"/>
    <w:rsid w:val="009B1C1F"/>
    <w:rsid w:val="009B1E07"/>
    <w:rsid w:val="009B1EF5"/>
    <w:rsid w:val="009B246D"/>
    <w:rsid w:val="009B26A2"/>
    <w:rsid w:val="009B2A7B"/>
    <w:rsid w:val="009B2C83"/>
    <w:rsid w:val="009B2D6B"/>
    <w:rsid w:val="009B2D77"/>
    <w:rsid w:val="009B2E85"/>
    <w:rsid w:val="009B30E8"/>
    <w:rsid w:val="009B3278"/>
    <w:rsid w:val="009B32B9"/>
    <w:rsid w:val="009B3331"/>
    <w:rsid w:val="009B3498"/>
    <w:rsid w:val="009B35AA"/>
    <w:rsid w:val="009B3631"/>
    <w:rsid w:val="009B3701"/>
    <w:rsid w:val="009B37BE"/>
    <w:rsid w:val="009B3A95"/>
    <w:rsid w:val="009B3CE3"/>
    <w:rsid w:val="009B3DE6"/>
    <w:rsid w:val="009B40AA"/>
    <w:rsid w:val="009B44FA"/>
    <w:rsid w:val="009B45A4"/>
    <w:rsid w:val="009B4698"/>
    <w:rsid w:val="009B47CA"/>
    <w:rsid w:val="009B486C"/>
    <w:rsid w:val="009B4996"/>
    <w:rsid w:val="009B4AC7"/>
    <w:rsid w:val="009B4C3B"/>
    <w:rsid w:val="009B4D60"/>
    <w:rsid w:val="009B4F84"/>
    <w:rsid w:val="009B4FCA"/>
    <w:rsid w:val="009B50CB"/>
    <w:rsid w:val="009B52A5"/>
    <w:rsid w:val="009B5647"/>
    <w:rsid w:val="009B592E"/>
    <w:rsid w:val="009B595B"/>
    <w:rsid w:val="009B5CE8"/>
    <w:rsid w:val="009B5F21"/>
    <w:rsid w:val="009B64CB"/>
    <w:rsid w:val="009B653C"/>
    <w:rsid w:val="009B675C"/>
    <w:rsid w:val="009B67C2"/>
    <w:rsid w:val="009B68E8"/>
    <w:rsid w:val="009B6A36"/>
    <w:rsid w:val="009B6D7D"/>
    <w:rsid w:val="009B6FB2"/>
    <w:rsid w:val="009B6FE8"/>
    <w:rsid w:val="009B723E"/>
    <w:rsid w:val="009B731C"/>
    <w:rsid w:val="009B73A9"/>
    <w:rsid w:val="009B7406"/>
    <w:rsid w:val="009B7475"/>
    <w:rsid w:val="009B7512"/>
    <w:rsid w:val="009B7521"/>
    <w:rsid w:val="009B75B5"/>
    <w:rsid w:val="009B76B9"/>
    <w:rsid w:val="009B78CB"/>
    <w:rsid w:val="009B7A33"/>
    <w:rsid w:val="009B7B5D"/>
    <w:rsid w:val="009B7BBF"/>
    <w:rsid w:val="009B7CF3"/>
    <w:rsid w:val="009B7CF4"/>
    <w:rsid w:val="009C0013"/>
    <w:rsid w:val="009C0615"/>
    <w:rsid w:val="009C07C5"/>
    <w:rsid w:val="009C0916"/>
    <w:rsid w:val="009C0922"/>
    <w:rsid w:val="009C09E4"/>
    <w:rsid w:val="009C0A1A"/>
    <w:rsid w:val="009C0A47"/>
    <w:rsid w:val="009C0AE8"/>
    <w:rsid w:val="009C0C90"/>
    <w:rsid w:val="009C0CE9"/>
    <w:rsid w:val="009C0E5F"/>
    <w:rsid w:val="009C0E91"/>
    <w:rsid w:val="009C10CE"/>
    <w:rsid w:val="009C10F5"/>
    <w:rsid w:val="009C12DF"/>
    <w:rsid w:val="009C137A"/>
    <w:rsid w:val="009C13C8"/>
    <w:rsid w:val="009C1922"/>
    <w:rsid w:val="009C19FC"/>
    <w:rsid w:val="009C1C47"/>
    <w:rsid w:val="009C21CA"/>
    <w:rsid w:val="009C22AA"/>
    <w:rsid w:val="009C22CF"/>
    <w:rsid w:val="009C2394"/>
    <w:rsid w:val="009C23DE"/>
    <w:rsid w:val="009C27C2"/>
    <w:rsid w:val="009C2B50"/>
    <w:rsid w:val="009C2BB3"/>
    <w:rsid w:val="009C2BBF"/>
    <w:rsid w:val="009C2C8D"/>
    <w:rsid w:val="009C3042"/>
    <w:rsid w:val="009C3064"/>
    <w:rsid w:val="009C36BA"/>
    <w:rsid w:val="009C3B23"/>
    <w:rsid w:val="009C3C34"/>
    <w:rsid w:val="009C3E86"/>
    <w:rsid w:val="009C3EFE"/>
    <w:rsid w:val="009C4403"/>
    <w:rsid w:val="009C44C4"/>
    <w:rsid w:val="009C457E"/>
    <w:rsid w:val="009C463E"/>
    <w:rsid w:val="009C4725"/>
    <w:rsid w:val="009C4739"/>
    <w:rsid w:val="009C483F"/>
    <w:rsid w:val="009C4932"/>
    <w:rsid w:val="009C4BC8"/>
    <w:rsid w:val="009C4D09"/>
    <w:rsid w:val="009C4FC9"/>
    <w:rsid w:val="009C50E3"/>
    <w:rsid w:val="009C5334"/>
    <w:rsid w:val="009C5408"/>
    <w:rsid w:val="009C5479"/>
    <w:rsid w:val="009C55B8"/>
    <w:rsid w:val="009C58AE"/>
    <w:rsid w:val="009C58B2"/>
    <w:rsid w:val="009C5E6F"/>
    <w:rsid w:val="009C5F93"/>
    <w:rsid w:val="009C6190"/>
    <w:rsid w:val="009C62AA"/>
    <w:rsid w:val="009C64E1"/>
    <w:rsid w:val="009C6A84"/>
    <w:rsid w:val="009C6B8E"/>
    <w:rsid w:val="009C6FE6"/>
    <w:rsid w:val="009C761B"/>
    <w:rsid w:val="009C779B"/>
    <w:rsid w:val="009C7811"/>
    <w:rsid w:val="009C783E"/>
    <w:rsid w:val="009C7AC6"/>
    <w:rsid w:val="009C7B66"/>
    <w:rsid w:val="009D005D"/>
    <w:rsid w:val="009D0236"/>
    <w:rsid w:val="009D0313"/>
    <w:rsid w:val="009D0388"/>
    <w:rsid w:val="009D08F5"/>
    <w:rsid w:val="009D099B"/>
    <w:rsid w:val="009D0A01"/>
    <w:rsid w:val="009D0B70"/>
    <w:rsid w:val="009D0C0D"/>
    <w:rsid w:val="009D0D8F"/>
    <w:rsid w:val="009D0E52"/>
    <w:rsid w:val="009D1123"/>
    <w:rsid w:val="009D1433"/>
    <w:rsid w:val="009D143E"/>
    <w:rsid w:val="009D190D"/>
    <w:rsid w:val="009D1962"/>
    <w:rsid w:val="009D19DC"/>
    <w:rsid w:val="009D1E9A"/>
    <w:rsid w:val="009D1EA6"/>
    <w:rsid w:val="009D1F66"/>
    <w:rsid w:val="009D20F5"/>
    <w:rsid w:val="009D21AB"/>
    <w:rsid w:val="009D2214"/>
    <w:rsid w:val="009D22EA"/>
    <w:rsid w:val="009D22F6"/>
    <w:rsid w:val="009D2490"/>
    <w:rsid w:val="009D253D"/>
    <w:rsid w:val="009D2680"/>
    <w:rsid w:val="009D291F"/>
    <w:rsid w:val="009D2B50"/>
    <w:rsid w:val="009D2BA2"/>
    <w:rsid w:val="009D2D20"/>
    <w:rsid w:val="009D2D48"/>
    <w:rsid w:val="009D3100"/>
    <w:rsid w:val="009D318A"/>
    <w:rsid w:val="009D3401"/>
    <w:rsid w:val="009D3480"/>
    <w:rsid w:val="009D35BE"/>
    <w:rsid w:val="009D3829"/>
    <w:rsid w:val="009D38B3"/>
    <w:rsid w:val="009D3B18"/>
    <w:rsid w:val="009D3E58"/>
    <w:rsid w:val="009D3F01"/>
    <w:rsid w:val="009D4030"/>
    <w:rsid w:val="009D4098"/>
    <w:rsid w:val="009D40C6"/>
    <w:rsid w:val="009D4172"/>
    <w:rsid w:val="009D43C2"/>
    <w:rsid w:val="009D440E"/>
    <w:rsid w:val="009D4710"/>
    <w:rsid w:val="009D4919"/>
    <w:rsid w:val="009D4C13"/>
    <w:rsid w:val="009D4E21"/>
    <w:rsid w:val="009D5000"/>
    <w:rsid w:val="009D505E"/>
    <w:rsid w:val="009D5296"/>
    <w:rsid w:val="009D553D"/>
    <w:rsid w:val="009D5570"/>
    <w:rsid w:val="009D55D8"/>
    <w:rsid w:val="009D5C41"/>
    <w:rsid w:val="009D5C4F"/>
    <w:rsid w:val="009D5D46"/>
    <w:rsid w:val="009D5D4D"/>
    <w:rsid w:val="009D600E"/>
    <w:rsid w:val="009D60BE"/>
    <w:rsid w:val="009D622B"/>
    <w:rsid w:val="009D623F"/>
    <w:rsid w:val="009D638E"/>
    <w:rsid w:val="009D65EE"/>
    <w:rsid w:val="009D6656"/>
    <w:rsid w:val="009D67AD"/>
    <w:rsid w:val="009D680B"/>
    <w:rsid w:val="009D6816"/>
    <w:rsid w:val="009D696D"/>
    <w:rsid w:val="009D6974"/>
    <w:rsid w:val="009D6DB8"/>
    <w:rsid w:val="009D6DF6"/>
    <w:rsid w:val="009D700E"/>
    <w:rsid w:val="009D7047"/>
    <w:rsid w:val="009D7084"/>
    <w:rsid w:val="009D711C"/>
    <w:rsid w:val="009D7404"/>
    <w:rsid w:val="009D745C"/>
    <w:rsid w:val="009D758F"/>
    <w:rsid w:val="009D7607"/>
    <w:rsid w:val="009D7A4C"/>
    <w:rsid w:val="009D7A7F"/>
    <w:rsid w:val="009D7AB9"/>
    <w:rsid w:val="009D7C18"/>
    <w:rsid w:val="009D7C59"/>
    <w:rsid w:val="009D7E40"/>
    <w:rsid w:val="009D7E97"/>
    <w:rsid w:val="009E000C"/>
    <w:rsid w:val="009E0765"/>
    <w:rsid w:val="009E0970"/>
    <w:rsid w:val="009E0B1E"/>
    <w:rsid w:val="009E0B9F"/>
    <w:rsid w:val="009E0D73"/>
    <w:rsid w:val="009E0DF9"/>
    <w:rsid w:val="009E0F36"/>
    <w:rsid w:val="009E1056"/>
    <w:rsid w:val="009E1161"/>
    <w:rsid w:val="009E13AC"/>
    <w:rsid w:val="009E1AA1"/>
    <w:rsid w:val="009E1F36"/>
    <w:rsid w:val="009E1FF3"/>
    <w:rsid w:val="009E1FFD"/>
    <w:rsid w:val="009E200C"/>
    <w:rsid w:val="009E25CA"/>
    <w:rsid w:val="009E2610"/>
    <w:rsid w:val="009E27A2"/>
    <w:rsid w:val="009E2B64"/>
    <w:rsid w:val="009E2BAF"/>
    <w:rsid w:val="009E2C38"/>
    <w:rsid w:val="009E2C8B"/>
    <w:rsid w:val="009E2D0F"/>
    <w:rsid w:val="009E32FF"/>
    <w:rsid w:val="009E3342"/>
    <w:rsid w:val="009E3459"/>
    <w:rsid w:val="009E3706"/>
    <w:rsid w:val="009E3CA1"/>
    <w:rsid w:val="009E435E"/>
    <w:rsid w:val="009E4866"/>
    <w:rsid w:val="009E4A96"/>
    <w:rsid w:val="009E4AF4"/>
    <w:rsid w:val="009E4B7E"/>
    <w:rsid w:val="009E4C12"/>
    <w:rsid w:val="009E4F03"/>
    <w:rsid w:val="009E506C"/>
    <w:rsid w:val="009E509F"/>
    <w:rsid w:val="009E52C8"/>
    <w:rsid w:val="009E552D"/>
    <w:rsid w:val="009E5870"/>
    <w:rsid w:val="009E59DF"/>
    <w:rsid w:val="009E5B59"/>
    <w:rsid w:val="009E5BAB"/>
    <w:rsid w:val="009E5BF1"/>
    <w:rsid w:val="009E5E33"/>
    <w:rsid w:val="009E5E56"/>
    <w:rsid w:val="009E5EBC"/>
    <w:rsid w:val="009E5F3B"/>
    <w:rsid w:val="009E5F80"/>
    <w:rsid w:val="009E61F5"/>
    <w:rsid w:val="009E6311"/>
    <w:rsid w:val="009E638F"/>
    <w:rsid w:val="009E649F"/>
    <w:rsid w:val="009E6611"/>
    <w:rsid w:val="009E68E6"/>
    <w:rsid w:val="009E6A09"/>
    <w:rsid w:val="009E6CC1"/>
    <w:rsid w:val="009E6DEC"/>
    <w:rsid w:val="009E6EC9"/>
    <w:rsid w:val="009E7244"/>
    <w:rsid w:val="009E72E4"/>
    <w:rsid w:val="009E7368"/>
    <w:rsid w:val="009E7515"/>
    <w:rsid w:val="009E782B"/>
    <w:rsid w:val="009E788A"/>
    <w:rsid w:val="009E7998"/>
    <w:rsid w:val="009E79EB"/>
    <w:rsid w:val="009E7AB1"/>
    <w:rsid w:val="009E7C17"/>
    <w:rsid w:val="009E7C8D"/>
    <w:rsid w:val="009E7EFD"/>
    <w:rsid w:val="009F0099"/>
    <w:rsid w:val="009F08AF"/>
    <w:rsid w:val="009F08C1"/>
    <w:rsid w:val="009F09B2"/>
    <w:rsid w:val="009F0AC5"/>
    <w:rsid w:val="009F0CC4"/>
    <w:rsid w:val="009F0F48"/>
    <w:rsid w:val="009F0F9F"/>
    <w:rsid w:val="009F0FC7"/>
    <w:rsid w:val="009F1242"/>
    <w:rsid w:val="009F13D7"/>
    <w:rsid w:val="009F1890"/>
    <w:rsid w:val="009F19F2"/>
    <w:rsid w:val="009F1E34"/>
    <w:rsid w:val="009F1F82"/>
    <w:rsid w:val="009F21FF"/>
    <w:rsid w:val="009F2254"/>
    <w:rsid w:val="009F227F"/>
    <w:rsid w:val="009F22B6"/>
    <w:rsid w:val="009F2312"/>
    <w:rsid w:val="009F24AC"/>
    <w:rsid w:val="009F27B3"/>
    <w:rsid w:val="009F284D"/>
    <w:rsid w:val="009F285B"/>
    <w:rsid w:val="009F2922"/>
    <w:rsid w:val="009F2D6A"/>
    <w:rsid w:val="009F2E02"/>
    <w:rsid w:val="009F2E55"/>
    <w:rsid w:val="009F2EC7"/>
    <w:rsid w:val="009F2EDE"/>
    <w:rsid w:val="009F2F80"/>
    <w:rsid w:val="009F3215"/>
    <w:rsid w:val="009F338F"/>
    <w:rsid w:val="009F34EE"/>
    <w:rsid w:val="009F34FE"/>
    <w:rsid w:val="009F35C6"/>
    <w:rsid w:val="009F36CB"/>
    <w:rsid w:val="009F36D2"/>
    <w:rsid w:val="009F36DB"/>
    <w:rsid w:val="009F36F4"/>
    <w:rsid w:val="009F392E"/>
    <w:rsid w:val="009F39C7"/>
    <w:rsid w:val="009F3A92"/>
    <w:rsid w:val="009F3B15"/>
    <w:rsid w:val="009F3CC0"/>
    <w:rsid w:val="009F3DAD"/>
    <w:rsid w:val="009F3DC3"/>
    <w:rsid w:val="009F3F9C"/>
    <w:rsid w:val="009F4191"/>
    <w:rsid w:val="009F4248"/>
    <w:rsid w:val="009F42A8"/>
    <w:rsid w:val="009F42B8"/>
    <w:rsid w:val="009F4481"/>
    <w:rsid w:val="009F456A"/>
    <w:rsid w:val="009F4595"/>
    <w:rsid w:val="009F47A1"/>
    <w:rsid w:val="009F49E6"/>
    <w:rsid w:val="009F4C65"/>
    <w:rsid w:val="009F4D6F"/>
    <w:rsid w:val="009F4DEE"/>
    <w:rsid w:val="009F501D"/>
    <w:rsid w:val="009F52C7"/>
    <w:rsid w:val="009F5324"/>
    <w:rsid w:val="009F53B3"/>
    <w:rsid w:val="009F5457"/>
    <w:rsid w:val="009F555F"/>
    <w:rsid w:val="009F5629"/>
    <w:rsid w:val="009F589E"/>
    <w:rsid w:val="009F58C1"/>
    <w:rsid w:val="009F5956"/>
    <w:rsid w:val="009F5C42"/>
    <w:rsid w:val="009F5E95"/>
    <w:rsid w:val="009F5E9A"/>
    <w:rsid w:val="009F5EE7"/>
    <w:rsid w:val="009F5F3E"/>
    <w:rsid w:val="009F6165"/>
    <w:rsid w:val="009F64E9"/>
    <w:rsid w:val="009F68D1"/>
    <w:rsid w:val="009F68E2"/>
    <w:rsid w:val="009F68EE"/>
    <w:rsid w:val="009F6BEF"/>
    <w:rsid w:val="009F7002"/>
    <w:rsid w:val="009F709C"/>
    <w:rsid w:val="009F71ED"/>
    <w:rsid w:val="009F766A"/>
    <w:rsid w:val="00A00182"/>
    <w:rsid w:val="00A001D9"/>
    <w:rsid w:val="00A00253"/>
    <w:rsid w:val="00A003B6"/>
    <w:rsid w:val="00A005B3"/>
    <w:rsid w:val="00A00922"/>
    <w:rsid w:val="00A00BB4"/>
    <w:rsid w:val="00A00BBA"/>
    <w:rsid w:val="00A00BD1"/>
    <w:rsid w:val="00A00DA6"/>
    <w:rsid w:val="00A00DE2"/>
    <w:rsid w:val="00A00F28"/>
    <w:rsid w:val="00A00FC6"/>
    <w:rsid w:val="00A0101C"/>
    <w:rsid w:val="00A0114D"/>
    <w:rsid w:val="00A0122E"/>
    <w:rsid w:val="00A01240"/>
    <w:rsid w:val="00A0137F"/>
    <w:rsid w:val="00A0151A"/>
    <w:rsid w:val="00A018B8"/>
    <w:rsid w:val="00A01BB4"/>
    <w:rsid w:val="00A01E46"/>
    <w:rsid w:val="00A01EF8"/>
    <w:rsid w:val="00A01F32"/>
    <w:rsid w:val="00A01F3F"/>
    <w:rsid w:val="00A0217B"/>
    <w:rsid w:val="00A02207"/>
    <w:rsid w:val="00A02385"/>
    <w:rsid w:val="00A023CF"/>
    <w:rsid w:val="00A02528"/>
    <w:rsid w:val="00A02648"/>
    <w:rsid w:val="00A026AE"/>
    <w:rsid w:val="00A02926"/>
    <w:rsid w:val="00A02B67"/>
    <w:rsid w:val="00A02B88"/>
    <w:rsid w:val="00A02C40"/>
    <w:rsid w:val="00A02D8B"/>
    <w:rsid w:val="00A03074"/>
    <w:rsid w:val="00A030D1"/>
    <w:rsid w:val="00A0329F"/>
    <w:rsid w:val="00A032E9"/>
    <w:rsid w:val="00A0333E"/>
    <w:rsid w:val="00A0338E"/>
    <w:rsid w:val="00A039DF"/>
    <w:rsid w:val="00A03A82"/>
    <w:rsid w:val="00A03A8C"/>
    <w:rsid w:val="00A03B19"/>
    <w:rsid w:val="00A040DC"/>
    <w:rsid w:val="00A0425C"/>
    <w:rsid w:val="00A04502"/>
    <w:rsid w:val="00A04821"/>
    <w:rsid w:val="00A04ADE"/>
    <w:rsid w:val="00A04C54"/>
    <w:rsid w:val="00A04CA5"/>
    <w:rsid w:val="00A04F5B"/>
    <w:rsid w:val="00A05123"/>
    <w:rsid w:val="00A05146"/>
    <w:rsid w:val="00A05155"/>
    <w:rsid w:val="00A05197"/>
    <w:rsid w:val="00A051D5"/>
    <w:rsid w:val="00A052AC"/>
    <w:rsid w:val="00A05334"/>
    <w:rsid w:val="00A0534D"/>
    <w:rsid w:val="00A05758"/>
    <w:rsid w:val="00A057B0"/>
    <w:rsid w:val="00A058EF"/>
    <w:rsid w:val="00A05915"/>
    <w:rsid w:val="00A05966"/>
    <w:rsid w:val="00A05A18"/>
    <w:rsid w:val="00A05F04"/>
    <w:rsid w:val="00A06160"/>
    <w:rsid w:val="00A06376"/>
    <w:rsid w:val="00A064A4"/>
    <w:rsid w:val="00A06A66"/>
    <w:rsid w:val="00A06B95"/>
    <w:rsid w:val="00A06C78"/>
    <w:rsid w:val="00A06D75"/>
    <w:rsid w:val="00A070F9"/>
    <w:rsid w:val="00A072E5"/>
    <w:rsid w:val="00A075BA"/>
    <w:rsid w:val="00A078F7"/>
    <w:rsid w:val="00A078F9"/>
    <w:rsid w:val="00A0793D"/>
    <w:rsid w:val="00A07AF6"/>
    <w:rsid w:val="00A07C74"/>
    <w:rsid w:val="00A07E0F"/>
    <w:rsid w:val="00A07F1D"/>
    <w:rsid w:val="00A07FEE"/>
    <w:rsid w:val="00A10024"/>
    <w:rsid w:val="00A101D1"/>
    <w:rsid w:val="00A10449"/>
    <w:rsid w:val="00A10AA3"/>
    <w:rsid w:val="00A10B32"/>
    <w:rsid w:val="00A10B95"/>
    <w:rsid w:val="00A10BD1"/>
    <w:rsid w:val="00A10D63"/>
    <w:rsid w:val="00A10DED"/>
    <w:rsid w:val="00A10FC2"/>
    <w:rsid w:val="00A10FC3"/>
    <w:rsid w:val="00A10FDA"/>
    <w:rsid w:val="00A110C2"/>
    <w:rsid w:val="00A1153B"/>
    <w:rsid w:val="00A11608"/>
    <w:rsid w:val="00A11C11"/>
    <w:rsid w:val="00A11CBA"/>
    <w:rsid w:val="00A120EE"/>
    <w:rsid w:val="00A1222D"/>
    <w:rsid w:val="00A123C0"/>
    <w:rsid w:val="00A12487"/>
    <w:rsid w:val="00A1248E"/>
    <w:rsid w:val="00A125AB"/>
    <w:rsid w:val="00A125DB"/>
    <w:rsid w:val="00A1271B"/>
    <w:rsid w:val="00A1275A"/>
    <w:rsid w:val="00A12B5E"/>
    <w:rsid w:val="00A12BEF"/>
    <w:rsid w:val="00A12C4F"/>
    <w:rsid w:val="00A12D0B"/>
    <w:rsid w:val="00A12E0D"/>
    <w:rsid w:val="00A12EDE"/>
    <w:rsid w:val="00A13047"/>
    <w:rsid w:val="00A1379C"/>
    <w:rsid w:val="00A1387B"/>
    <w:rsid w:val="00A13D62"/>
    <w:rsid w:val="00A13DD3"/>
    <w:rsid w:val="00A13DFB"/>
    <w:rsid w:val="00A13FB2"/>
    <w:rsid w:val="00A13FB8"/>
    <w:rsid w:val="00A140D7"/>
    <w:rsid w:val="00A14499"/>
    <w:rsid w:val="00A1450B"/>
    <w:rsid w:val="00A145F4"/>
    <w:rsid w:val="00A14706"/>
    <w:rsid w:val="00A14710"/>
    <w:rsid w:val="00A1478F"/>
    <w:rsid w:val="00A14BBD"/>
    <w:rsid w:val="00A14DF3"/>
    <w:rsid w:val="00A14E98"/>
    <w:rsid w:val="00A14F3D"/>
    <w:rsid w:val="00A15113"/>
    <w:rsid w:val="00A152E2"/>
    <w:rsid w:val="00A15914"/>
    <w:rsid w:val="00A15E20"/>
    <w:rsid w:val="00A15F22"/>
    <w:rsid w:val="00A15F3B"/>
    <w:rsid w:val="00A1601C"/>
    <w:rsid w:val="00A1603E"/>
    <w:rsid w:val="00A1623B"/>
    <w:rsid w:val="00A16369"/>
    <w:rsid w:val="00A165BC"/>
    <w:rsid w:val="00A16D67"/>
    <w:rsid w:val="00A16E04"/>
    <w:rsid w:val="00A16ECB"/>
    <w:rsid w:val="00A17031"/>
    <w:rsid w:val="00A171FF"/>
    <w:rsid w:val="00A1730C"/>
    <w:rsid w:val="00A174C6"/>
    <w:rsid w:val="00A17690"/>
    <w:rsid w:val="00A17699"/>
    <w:rsid w:val="00A177E3"/>
    <w:rsid w:val="00A179E3"/>
    <w:rsid w:val="00A17A21"/>
    <w:rsid w:val="00A17AE1"/>
    <w:rsid w:val="00A17B6F"/>
    <w:rsid w:val="00A17C9C"/>
    <w:rsid w:val="00A17D06"/>
    <w:rsid w:val="00A17D18"/>
    <w:rsid w:val="00A17E69"/>
    <w:rsid w:val="00A17F92"/>
    <w:rsid w:val="00A20037"/>
    <w:rsid w:val="00A2013E"/>
    <w:rsid w:val="00A20211"/>
    <w:rsid w:val="00A20733"/>
    <w:rsid w:val="00A208E8"/>
    <w:rsid w:val="00A20D6C"/>
    <w:rsid w:val="00A20EC4"/>
    <w:rsid w:val="00A2120A"/>
    <w:rsid w:val="00A21A07"/>
    <w:rsid w:val="00A21EEA"/>
    <w:rsid w:val="00A221C7"/>
    <w:rsid w:val="00A22382"/>
    <w:rsid w:val="00A224BC"/>
    <w:rsid w:val="00A226D6"/>
    <w:rsid w:val="00A22819"/>
    <w:rsid w:val="00A2291E"/>
    <w:rsid w:val="00A22959"/>
    <w:rsid w:val="00A22A4B"/>
    <w:rsid w:val="00A22B33"/>
    <w:rsid w:val="00A22EE8"/>
    <w:rsid w:val="00A22F22"/>
    <w:rsid w:val="00A2325A"/>
    <w:rsid w:val="00A232EF"/>
    <w:rsid w:val="00A23380"/>
    <w:rsid w:val="00A23890"/>
    <w:rsid w:val="00A23909"/>
    <w:rsid w:val="00A23981"/>
    <w:rsid w:val="00A23A5A"/>
    <w:rsid w:val="00A23B9F"/>
    <w:rsid w:val="00A23C93"/>
    <w:rsid w:val="00A23CF1"/>
    <w:rsid w:val="00A23DF1"/>
    <w:rsid w:val="00A2451A"/>
    <w:rsid w:val="00A248E8"/>
    <w:rsid w:val="00A249E2"/>
    <w:rsid w:val="00A24B53"/>
    <w:rsid w:val="00A24ED5"/>
    <w:rsid w:val="00A25297"/>
    <w:rsid w:val="00A25305"/>
    <w:rsid w:val="00A258E0"/>
    <w:rsid w:val="00A25983"/>
    <w:rsid w:val="00A25A60"/>
    <w:rsid w:val="00A25BBD"/>
    <w:rsid w:val="00A25C9C"/>
    <w:rsid w:val="00A25CA8"/>
    <w:rsid w:val="00A2644B"/>
    <w:rsid w:val="00A265D4"/>
    <w:rsid w:val="00A265FC"/>
    <w:rsid w:val="00A266E7"/>
    <w:rsid w:val="00A26738"/>
    <w:rsid w:val="00A26A45"/>
    <w:rsid w:val="00A26BFB"/>
    <w:rsid w:val="00A26EA0"/>
    <w:rsid w:val="00A2714A"/>
    <w:rsid w:val="00A27217"/>
    <w:rsid w:val="00A273B5"/>
    <w:rsid w:val="00A27460"/>
    <w:rsid w:val="00A2749D"/>
    <w:rsid w:val="00A274BD"/>
    <w:rsid w:val="00A27567"/>
    <w:rsid w:val="00A2766E"/>
    <w:rsid w:val="00A279F8"/>
    <w:rsid w:val="00A27A85"/>
    <w:rsid w:val="00A27ACC"/>
    <w:rsid w:val="00A27C2D"/>
    <w:rsid w:val="00A27E4B"/>
    <w:rsid w:val="00A27E9D"/>
    <w:rsid w:val="00A302B0"/>
    <w:rsid w:val="00A3035B"/>
    <w:rsid w:val="00A30443"/>
    <w:rsid w:val="00A304A8"/>
    <w:rsid w:val="00A305A2"/>
    <w:rsid w:val="00A3072A"/>
    <w:rsid w:val="00A30A2D"/>
    <w:rsid w:val="00A30A60"/>
    <w:rsid w:val="00A30B35"/>
    <w:rsid w:val="00A30B4A"/>
    <w:rsid w:val="00A30CED"/>
    <w:rsid w:val="00A30F35"/>
    <w:rsid w:val="00A30FF4"/>
    <w:rsid w:val="00A311A8"/>
    <w:rsid w:val="00A3128E"/>
    <w:rsid w:val="00A313A3"/>
    <w:rsid w:val="00A31412"/>
    <w:rsid w:val="00A314B8"/>
    <w:rsid w:val="00A31529"/>
    <w:rsid w:val="00A315EE"/>
    <w:rsid w:val="00A318B5"/>
    <w:rsid w:val="00A31BB9"/>
    <w:rsid w:val="00A31D7B"/>
    <w:rsid w:val="00A31E47"/>
    <w:rsid w:val="00A31F6B"/>
    <w:rsid w:val="00A320FA"/>
    <w:rsid w:val="00A3215A"/>
    <w:rsid w:val="00A321E1"/>
    <w:rsid w:val="00A322AC"/>
    <w:rsid w:val="00A32320"/>
    <w:rsid w:val="00A32339"/>
    <w:rsid w:val="00A32484"/>
    <w:rsid w:val="00A328E5"/>
    <w:rsid w:val="00A32C9F"/>
    <w:rsid w:val="00A32D88"/>
    <w:rsid w:val="00A32DC5"/>
    <w:rsid w:val="00A32F8E"/>
    <w:rsid w:val="00A330D5"/>
    <w:rsid w:val="00A33203"/>
    <w:rsid w:val="00A3343A"/>
    <w:rsid w:val="00A33820"/>
    <w:rsid w:val="00A33CBE"/>
    <w:rsid w:val="00A33CCE"/>
    <w:rsid w:val="00A34208"/>
    <w:rsid w:val="00A34466"/>
    <w:rsid w:val="00A344E9"/>
    <w:rsid w:val="00A34575"/>
    <w:rsid w:val="00A34646"/>
    <w:rsid w:val="00A34770"/>
    <w:rsid w:val="00A3488C"/>
    <w:rsid w:val="00A3491B"/>
    <w:rsid w:val="00A3491D"/>
    <w:rsid w:val="00A34936"/>
    <w:rsid w:val="00A34AA1"/>
    <w:rsid w:val="00A34B92"/>
    <w:rsid w:val="00A34DEE"/>
    <w:rsid w:val="00A350E2"/>
    <w:rsid w:val="00A3526B"/>
    <w:rsid w:val="00A3530A"/>
    <w:rsid w:val="00A353F1"/>
    <w:rsid w:val="00A35482"/>
    <w:rsid w:val="00A35A96"/>
    <w:rsid w:val="00A35ABE"/>
    <w:rsid w:val="00A35BAD"/>
    <w:rsid w:val="00A35D45"/>
    <w:rsid w:val="00A35DF1"/>
    <w:rsid w:val="00A36327"/>
    <w:rsid w:val="00A364B1"/>
    <w:rsid w:val="00A36554"/>
    <w:rsid w:val="00A366CB"/>
    <w:rsid w:val="00A366DD"/>
    <w:rsid w:val="00A366EE"/>
    <w:rsid w:val="00A36823"/>
    <w:rsid w:val="00A36868"/>
    <w:rsid w:val="00A369B7"/>
    <w:rsid w:val="00A36A1C"/>
    <w:rsid w:val="00A36D23"/>
    <w:rsid w:val="00A36DC0"/>
    <w:rsid w:val="00A36FF3"/>
    <w:rsid w:val="00A37013"/>
    <w:rsid w:val="00A37186"/>
    <w:rsid w:val="00A37433"/>
    <w:rsid w:val="00A3760B"/>
    <w:rsid w:val="00A37639"/>
    <w:rsid w:val="00A37650"/>
    <w:rsid w:val="00A37A00"/>
    <w:rsid w:val="00A37ACF"/>
    <w:rsid w:val="00A37B79"/>
    <w:rsid w:val="00A37D33"/>
    <w:rsid w:val="00A37D40"/>
    <w:rsid w:val="00A4000A"/>
    <w:rsid w:val="00A401CD"/>
    <w:rsid w:val="00A40227"/>
    <w:rsid w:val="00A40281"/>
    <w:rsid w:val="00A4030A"/>
    <w:rsid w:val="00A40441"/>
    <w:rsid w:val="00A406AC"/>
    <w:rsid w:val="00A406DB"/>
    <w:rsid w:val="00A408C7"/>
    <w:rsid w:val="00A40C19"/>
    <w:rsid w:val="00A40F6F"/>
    <w:rsid w:val="00A412FD"/>
    <w:rsid w:val="00A4144E"/>
    <w:rsid w:val="00A415A3"/>
    <w:rsid w:val="00A4164C"/>
    <w:rsid w:val="00A419CE"/>
    <w:rsid w:val="00A41AC9"/>
    <w:rsid w:val="00A41D8A"/>
    <w:rsid w:val="00A41F4D"/>
    <w:rsid w:val="00A42076"/>
    <w:rsid w:val="00A420A0"/>
    <w:rsid w:val="00A42271"/>
    <w:rsid w:val="00A42432"/>
    <w:rsid w:val="00A42722"/>
    <w:rsid w:val="00A42963"/>
    <w:rsid w:val="00A42B4B"/>
    <w:rsid w:val="00A42E4C"/>
    <w:rsid w:val="00A42EF8"/>
    <w:rsid w:val="00A43549"/>
    <w:rsid w:val="00A43613"/>
    <w:rsid w:val="00A438AA"/>
    <w:rsid w:val="00A43C97"/>
    <w:rsid w:val="00A43D2C"/>
    <w:rsid w:val="00A44005"/>
    <w:rsid w:val="00A44041"/>
    <w:rsid w:val="00A44142"/>
    <w:rsid w:val="00A44252"/>
    <w:rsid w:val="00A4438C"/>
    <w:rsid w:val="00A447B1"/>
    <w:rsid w:val="00A448EF"/>
    <w:rsid w:val="00A449AF"/>
    <w:rsid w:val="00A44A49"/>
    <w:rsid w:val="00A44A4B"/>
    <w:rsid w:val="00A44C46"/>
    <w:rsid w:val="00A45336"/>
    <w:rsid w:val="00A453E5"/>
    <w:rsid w:val="00A4577E"/>
    <w:rsid w:val="00A457D9"/>
    <w:rsid w:val="00A459FB"/>
    <w:rsid w:val="00A45B19"/>
    <w:rsid w:val="00A45C2F"/>
    <w:rsid w:val="00A45C42"/>
    <w:rsid w:val="00A45DF3"/>
    <w:rsid w:val="00A4615B"/>
    <w:rsid w:val="00A4621A"/>
    <w:rsid w:val="00A46254"/>
    <w:rsid w:val="00A463B5"/>
    <w:rsid w:val="00A4667D"/>
    <w:rsid w:val="00A4698D"/>
    <w:rsid w:val="00A46BF6"/>
    <w:rsid w:val="00A46C6F"/>
    <w:rsid w:val="00A46C9F"/>
    <w:rsid w:val="00A46CBC"/>
    <w:rsid w:val="00A46FF4"/>
    <w:rsid w:val="00A472D0"/>
    <w:rsid w:val="00A4753F"/>
    <w:rsid w:val="00A475F4"/>
    <w:rsid w:val="00A475FD"/>
    <w:rsid w:val="00A477CC"/>
    <w:rsid w:val="00A50366"/>
    <w:rsid w:val="00A506E6"/>
    <w:rsid w:val="00A508CC"/>
    <w:rsid w:val="00A509EC"/>
    <w:rsid w:val="00A50BEA"/>
    <w:rsid w:val="00A50CCE"/>
    <w:rsid w:val="00A50DDD"/>
    <w:rsid w:val="00A50F89"/>
    <w:rsid w:val="00A51317"/>
    <w:rsid w:val="00A51362"/>
    <w:rsid w:val="00A51AFB"/>
    <w:rsid w:val="00A51E15"/>
    <w:rsid w:val="00A51F69"/>
    <w:rsid w:val="00A52015"/>
    <w:rsid w:val="00A52075"/>
    <w:rsid w:val="00A52117"/>
    <w:rsid w:val="00A5228F"/>
    <w:rsid w:val="00A524F8"/>
    <w:rsid w:val="00A527DD"/>
    <w:rsid w:val="00A52E34"/>
    <w:rsid w:val="00A52F61"/>
    <w:rsid w:val="00A53124"/>
    <w:rsid w:val="00A5325E"/>
    <w:rsid w:val="00A5336A"/>
    <w:rsid w:val="00A5364F"/>
    <w:rsid w:val="00A53700"/>
    <w:rsid w:val="00A538DC"/>
    <w:rsid w:val="00A539DE"/>
    <w:rsid w:val="00A53B22"/>
    <w:rsid w:val="00A53D39"/>
    <w:rsid w:val="00A53D54"/>
    <w:rsid w:val="00A53D70"/>
    <w:rsid w:val="00A53DD4"/>
    <w:rsid w:val="00A53EE9"/>
    <w:rsid w:val="00A53FF9"/>
    <w:rsid w:val="00A54473"/>
    <w:rsid w:val="00A5456E"/>
    <w:rsid w:val="00A54578"/>
    <w:rsid w:val="00A545AF"/>
    <w:rsid w:val="00A54932"/>
    <w:rsid w:val="00A550F0"/>
    <w:rsid w:val="00A5523C"/>
    <w:rsid w:val="00A55424"/>
    <w:rsid w:val="00A554E0"/>
    <w:rsid w:val="00A556A8"/>
    <w:rsid w:val="00A557BC"/>
    <w:rsid w:val="00A55845"/>
    <w:rsid w:val="00A558BA"/>
    <w:rsid w:val="00A55AC5"/>
    <w:rsid w:val="00A55B90"/>
    <w:rsid w:val="00A55BD4"/>
    <w:rsid w:val="00A55C8A"/>
    <w:rsid w:val="00A55D0E"/>
    <w:rsid w:val="00A55F5D"/>
    <w:rsid w:val="00A56081"/>
    <w:rsid w:val="00A56553"/>
    <w:rsid w:val="00A565FC"/>
    <w:rsid w:val="00A567DD"/>
    <w:rsid w:val="00A56B6C"/>
    <w:rsid w:val="00A56C2F"/>
    <w:rsid w:val="00A56DAE"/>
    <w:rsid w:val="00A56EF1"/>
    <w:rsid w:val="00A56FBD"/>
    <w:rsid w:val="00A570D5"/>
    <w:rsid w:val="00A574B9"/>
    <w:rsid w:val="00A574EC"/>
    <w:rsid w:val="00A5779A"/>
    <w:rsid w:val="00A57B0C"/>
    <w:rsid w:val="00A57B8F"/>
    <w:rsid w:val="00A57BF9"/>
    <w:rsid w:val="00A57C02"/>
    <w:rsid w:val="00A57C78"/>
    <w:rsid w:val="00A57CC8"/>
    <w:rsid w:val="00A57D41"/>
    <w:rsid w:val="00A57D8C"/>
    <w:rsid w:val="00A57EF0"/>
    <w:rsid w:val="00A57F6C"/>
    <w:rsid w:val="00A60181"/>
    <w:rsid w:val="00A60205"/>
    <w:rsid w:val="00A602E6"/>
    <w:rsid w:val="00A60394"/>
    <w:rsid w:val="00A60575"/>
    <w:rsid w:val="00A605D9"/>
    <w:rsid w:val="00A6096F"/>
    <w:rsid w:val="00A60A70"/>
    <w:rsid w:val="00A60A8E"/>
    <w:rsid w:val="00A60AEA"/>
    <w:rsid w:val="00A60CC8"/>
    <w:rsid w:val="00A613B5"/>
    <w:rsid w:val="00A61535"/>
    <w:rsid w:val="00A619B9"/>
    <w:rsid w:val="00A61BDD"/>
    <w:rsid w:val="00A61C04"/>
    <w:rsid w:val="00A61EC7"/>
    <w:rsid w:val="00A61FC6"/>
    <w:rsid w:val="00A620E5"/>
    <w:rsid w:val="00A62185"/>
    <w:rsid w:val="00A6224C"/>
    <w:rsid w:val="00A62556"/>
    <w:rsid w:val="00A627B9"/>
    <w:rsid w:val="00A627BE"/>
    <w:rsid w:val="00A627E6"/>
    <w:rsid w:val="00A6291B"/>
    <w:rsid w:val="00A62999"/>
    <w:rsid w:val="00A62A33"/>
    <w:rsid w:val="00A62A37"/>
    <w:rsid w:val="00A62B01"/>
    <w:rsid w:val="00A62B90"/>
    <w:rsid w:val="00A62CD3"/>
    <w:rsid w:val="00A62CD5"/>
    <w:rsid w:val="00A630E3"/>
    <w:rsid w:val="00A632B0"/>
    <w:rsid w:val="00A633A1"/>
    <w:rsid w:val="00A63603"/>
    <w:rsid w:val="00A63646"/>
    <w:rsid w:val="00A63670"/>
    <w:rsid w:val="00A63C52"/>
    <w:rsid w:val="00A63E62"/>
    <w:rsid w:val="00A63F76"/>
    <w:rsid w:val="00A6403D"/>
    <w:rsid w:val="00A6423A"/>
    <w:rsid w:val="00A643D0"/>
    <w:rsid w:val="00A64550"/>
    <w:rsid w:val="00A6459D"/>
    <w:rsid w:val="00A646E6"/>
    <w:rsid w:val="00A648D8"/>
    <w:rsid w:val="00A64938"/>
    <w:rsid w:val="00A65240"/>
    <w:rsid w:val="00A6524E"/>
    <w:rsid w:val="00A6528A"/>
    <w:rsid w:val="00A652C8"/>
    <w:rsid w:val="00A65499"/>
    <w:rsid w:val="00A65528"/>
    <w:rsid w:val="00A655E0"/>
    <w:rsid w:val="00A657BA"/>
    <w:rsid w:val="00A65804"/>
    <w:rsid w:val="00A6582C"/>
    <w:rsid w:val="00A65AC4"/>
    <w:rsid w:val="00A66162"/>
    <w:rsid w:val="00A6632C"/>
    <w:rsid w:val="00A665F6"/>
    <w:rsid w:val="00A66B32"/>
    <w:rsid w:val="00A66C99"/>
    <w:rsid w:val="00A671D0"/>
    <w:rsid w:val="00A672AB"/>
    <w:rsid w:val="00A6733B"/>
    <w:rsid w:val="00A6755B"/>
    <w:rsid w:val="00A67A4C"/>
    <w:rsid w:val="00A67BCE"/>
    <w:rsid w:val="00A67D10"/>
    <w:rsid w:val="00A67DF8"/>
    <w:rsid w:val="00A67EBF"/>
    <w:rsid w:val="00A67F93"/>
    <w:rsid w:val="00A67FEB"/>
    <w:rsid w:val="00A7006C"/>
    <w:rsid w:val="00A70161"/>
    <w:rsid w:val="00A7035D"/>
    <w:rsid w:val="00A70467"/>
    <w:rsid w:val="00A70526"/>
    <w:rsid w:val="00A706E6"/>
    <w:rsid w:val="00A707C0"/>
    <w:rsid w:val="00A70A1A"/>
    <w:rsid w:val="00A70A99"/>
    <w:rsid w:val="00A70B49"/>
    <w:rsid w:val="00A70D36"/>
    <w:rsid w:val="00A70D4B"/>
    <w:rsid w:val="00A70F4C"/>
    <w:rsid w:val="00A70FF6"/>
    <w:rsid w:val="00A71056"/>
    <w:rsid w:val="00A710C2"/>
    <w:rsid w:val="00A71122"/>
    <w:rsid w:val="00A7115E"/>
    <w:rsid w:val="00A71238"/>
    <w:rsid w:val="00A71350"/>
    <w:rsid w:val="00A7145E"/>
    <w:rsid w:val="00A71473"/>
    <w:rsid w:val="00A7148E"/>
    <w:rsid w:val="00A71538"/>
    <w:rsid w:val="00A7153C"/>
    <w:rsid w:val="00A7165C"/>
    <w:rsid w:val="00A716B6"/>
    <w:rsid w:val="00A71702"/>
    <w:rsid w:val="00A7178A"/>
    <w:rsid w:val="00A717D1"/>
    <w:rsid w:val="00A7196C"/>
    <w:rsid w:val="00A719E0"/>
    <w:rsid w:val="00A71B90"/>
    <w:rsid w:val="00A72264"/>
    <w:rsid w:val="00A72428"/>
    <w:rsid w:val="00A7246B"/>
    <w:rsid w:val="00A72533"/>
    <w:rsid w:val="00A7262F"/>
    <w:rsid w:val="00A72663"/>
    <w:rsid w:val="00A728DB"/>
    <w:rsid w:val="00A72ACB"/>
    <w:rsid w:val="00A72C47"/>
    <w:rsid w:val="00A72EEF"/>
    <w:rsid w:val="00A7365F"/>
    <w:rsid w:val="00A7367C"/>
    <w:rsid w:val="00A73B6E"/>
    <w:rsid w:val="00A73BA5"/>
    <w:rsid w:val="00A73C60"/>
    <w:rsid w:val="00A73DB8"/>
    <w:rsid w:val="00A73E2D"/>
    <w:rsid w:val="00A73E38"/>
    <w:rsid w:val="00A73E47"/>
    <w:rsid w:val="00A73F92"/>
    <w:rsid w:val="00A73FE4"/>
    <w:rsid w:val="00A7444D"/>
    <w:rsid w:val="00A74556"/>
    <w:rsid w:val="00A746B8"/>
    <w:rsid w:val="00A74705"/>
    <w:rsid w:val="00A7476C"/>
    <w:rsid w:val="00A7478B"/>
    <w:rsid w:val="00A74906"/>
    <w:rsid w:val="00A74974"/>
    <w:rsid w:val="00A74B5D"/>
    <w:rsid w:val="00A74D4F"/>
    <w:rsid w:val="00A7501C"/>
    <w:rsid w:val="00A75316"/>
    <w:rsid w:val="00A753A0"/>
    <w:rsid w:val="00A75526"/>
    <w:rsid w:val="00A75649"/>
    <w:rsid w:val="00A756C5"/>
    <w:rsid w:val="00A757C0"/>
    <w:rsid w:val="00A759AA"/>
    <w:rsid w:val="00A75B3C"/>
    <w:rsid w:val="00A75D1F"/>
    <w:rsid w:val="00A75DF2"/>
    <w:rsid w:val="00A75E9A"/>
    <w:rsid w:val="00A7610A"/>
    <w:rsid w:val="00A7616E"/>
    <w:rsid w:val="00A76171"/>
    <w:rsid w:val="00A76269"/>
    <w:rsid w:val="00A763B7"/>
    <w:rsid w:val="00A76A1D"/>
    <w:rsid w:val="00A76D7A"/>
    <w:rsid w:val="00A76F86"/>
    <w:rsid w:val="00A76FE1"/>
    <w:rsid w:val="00A771CD"/>
    <w:rsid w:val="00A774AA"/>
    <w:rsid w:val="00A77608"/>
    <w:rsid w:val="00A77A3D"/>
    <w:rsid w:val="00A77B10"/>
    <w:rsid w:val="00A77B3E"/>
    <w:rsid w:val="00A77C74"/>
    <w:rsid w:val="00A77D93"/>
    <w:rsid w:val="00A77EC9"/>
    <w:rsid w:val="00A8037F"/>
    <w:rsid w:val="00A804B2"/>
    <w:rsid w:val="00A805E9"/>
    <w:rsid w:val="00A80609"/>
    <w:rsid w:val="00A8064D"/>
    <w:rsid w:val="00A806B4"/>
    <w:rsid w:val="00A807AB"/>
    <w:rsid w:val="00A80826"/>
    <w:rsid w:val="00A8098A"/>
    <w:rsid w:val="00A80B29"/>
    <w:rsid w:val="00A80BFF"/>
    <w:rsid w:val="00A80E10"/>
    <w:rsid w:val="00A80E55"/>
    <w:rsid w:val="00A813AD"/>
    <w:rsid w:val="00A81984"/>
    <w:rsid w:val="00A819AA"/>
    <w:rsid w:val="00A819D0"/>
    <w:rsid w:val="00A81A3A"/>
    <w:rsid w:val="00A81C87"/>
    <w:rsid w:val="00A8201F"/>
    <w:rsid w:val="00A82082"/>
    <w:rsid w:val="00A82171"/>
    <w:rsid w:val="00A82186"/>
    <w:rsid w:val="00A825CE"/>
    <w:rsid w:val="00A8269B"/>
    <w:rsid w:val="00A826F8"/>
    <w:rsid w:val="00A8276D"/>
    <w:rsid w:val="00A82859"/>
    <w:rsid w:val="00A8288C"/>
    <w:rsid w:val="00A8297C"/>
    <w:rsid w:val="00A82997"/>
    <w:rsid w:val="00A82DA6"/>
    <w:rsid w:val="00A82E36"/>
    <w:rsid w:val="00A82ECE"/>
    <w:rsid w:val="00A83242"/>
    <w:rsid w:val="00A833E6"/>
    <w:rsid w:val="00A83768"/>
    <w:rsid w:val="00A8395C"/>
    <w:rsid w:val="00A83D42"/>
    <w:rsid w:val="00A83EE2"/>
    <w:rsid w:val="00A83EEA"/>
    <w:rsid w:val="00A841EA"/>
    <w:rsid w:val="00A8421B"/>
    <w:rsid w:val="00A842AA"/>
    <w:rsid w:val="00A842FF"/>
    <w:rsid w:val="00A8452C"/>
    <w:rsid w:val="00A845BB"/>
    <w:rsid w:val="00A84701"/>
    <w:rsid w:val="00A84782"/>
    <w:rsid w:val="00A84858"/>
    <w:rsid w:val="00A849A2"/>
    <w:rsid w:val="00A84B40"/>
    <w:rsid w:val="00A84C54"/>
    <w:rsid w:val="00A84F67"/>
    <w:rsid w:val="00A850AA"/>
    <w:rsid w:val="00A850E6"/>
    <w:rsid w:val="00A8526D"/>
    <w:rsid w:val="00A85306"/>
    <w:rsid w:val="00A85495"/>
    <w:rsid w:val="00A85548"/>
    <w:rsid w:val="00A8582D"/>
    <w:rsid w:val="00A85AB5"/>
    <w:rsid w:val="00A85ACB"/>
    <w:rsid w:val="00A85D6D"/>
    <w:rsid w:val="00A85E63"/>
    <w:rsid w:val="00A85F1C"/>
    <w:rsid w:val="00A860C3"/>
    <w:rsid w:val="00A86111"/>
    <w:rsid w:val="00A8611E"/>
    <w:rsid w:val="00A86222"/>
    <w:rsid w:val="00A864E1"/>
    <w:rsid w:val="00A866E7"/>
    <w:rsid w:val="00A8692E"/>
    <w:rsid w:val="00A86984"/>
    <w:rsid w:val="00A8706F"/>
    <w:rsid w:val="00A8708C"/>
    <w:rsid w:val="00A87119"/>
    <w:rsid w:val="00A87496"/>
    <w:rsid w:val="00A87633"/>
    <w:rsid w:val="00A87B42"/>
    <w:rsid w:val="00A87CF9"/>
    <w:rsid w:val="00A87DD8"/>
    <w:rsid w:val="00A87E6C"/>
    <w:rsid w:val="00A87F57"/>
    <w:rsid w:val="00A90132"/>
    <w:rsid w:val="00A90326"/>
    <w:rsid w:val="00A905A4"/>
    <w:rsid w:val="00A90732"/>
    <w:rsid w:val="00A90A72"/>
    <w:rsid w:val="00A90B1C"/>
    <w:rsid w:val="00A90C94"/>
    <w:rsid w:val="00A90F66"/>
    <w:rsid w:val="00A910F3"/>
    <w:rsid w:val="00A911EA"/>
    <w:rsid w:val="00A9132A"/>
    <w:rsid w:val="00A91336"/>
    <w:rsid w:val="00A91407"/>
    <w:rsid w:val="00A91432"/>
    <w:rsid w:val="00A91444"/>
    <w:rsid w:val="00A91535"/>
    <w:rsid w:val="00A9165C"/>
    <w:rsid w:val="00A917B3"/>
    <w:rsid w:val="00A91955"/>
    <w:rsid w:val="00A9198F"/>
    <w:rsid w:val="00A91B5A"/>
    <w:rsid w:val="00A91D09"/>
    <w:rsid w:val="00A91D63"/>
    <w:rsid w:val="00A91EFC"/>
    <w:rsid w:val="00A91FD5"/>
    <w:rsid w:val="00A9207E"/>
    <w:rsid w:val="00A92638"/>
    <w:rsid w:val="00A926C0"/>
    <w:rsid w:val="00A927D7"/>
    <w:rsid w:val="00A927F5"/>
    <w:rsid w:val="00A929AA"/>
    <w:rsid w:val="00A92C65"/>
    <w:rsid w:val="00A92DF0"/>
    <w:rsid w:val="00A92EBF"/>
    <w:rsid w:val="00A9319B"/>
    <w:rsid w:val="00A93266"/>
    <w:rsid w:val="00A93968"/>
    <w:rsid w:val="00A93987"/>
    <w:rsid w:val="00A93BCC"/>
    <w:rsid w:val="00A93C75"/>
    <w:rsid w:val="00A93DC3"/>
    <w:rsid w:val="00A93EAC"/>
    <w:rsid w:val="00A93F27"/>
    <w:rsid w:val="00A94101"/>
    <w:rsid w:val="00A9444C"/>
    <w:rsid w:val="00A944DE"/>
    <w:rsid w:val="00A9455A"/>
    <w:rsid w:val="00A946CC"/>
    <w:rsid w:val="00A94B4C"/>
    <w:rsid w:val="00A95547"/>
    <w:rsid w:val="00A95631"/>
    <w:rsid w:val="00A957B1"/>
    <w:rsid w:val="00A9592B"/>
    <w:rsid w:val="00A9594D"/>
    <w:rsid w:val="00A959A7"/>
    <w:rsid w:val="00A95A0B"/>
    <w:rsid w:val="00A95ACF"/>
    <w:rsid w:val="00A95B58"/>
    <w:rsid w:val="00A95BE7"/>
    <w:rsid w:val="00A95E1F"/>
    <w:rsid w:val="00A95FEF"/>
    <w:rsid w:val="00A96039"/>
    <w:rsid w:val="00A962A7"/>
    <w:rsid w:val="00A96462"/>
    <w:rsid w:val="00A964D5"/>
    <w:rsid w:val="00A9692D"/>
    <w:rsid w:val="00A9695B"/>
    <w:rsid w:val="00A96B58"/>
    <w:rsid w:val="00A96BA1"/>
    <w:rsid w:val="00A96FA1"/>
    <w:rsid w:val="00A97528"/>
    <w:rsid w:val="00A97A55"/>
    <w:rsid w:val="00A97B81"/>
    <w:rsid w:val="00A97BB6"/>
    <w:rsid w:val="00A97BE1"/>
    <w:rsid w:val="00A97F8E"/>
    <w:rsid w:val="00AA0019"/>
    <w:rsid w:val="00AA01FC"/>
    <w:rsid w:val="00AA0326"/>
    <w:rsid w:val="00AA06CD"/>
    <w:rsid w:val="00AA09C9"/>
    <w:rsid w:val="00AA0B7C"/>
    <w:rsid w:val="00AA0BE9"/>
    <w:rsid w:val="00AA0C49"/>
    <w:rsid w:val="00AA0F3A"/>
    <w:rsid w:val="00AA0FAA"/>
    <w:rsid w:val="00AA10A5"/>
    <w:rsid w:val="00AA10FD"/>
    <w:rsid w:val="00AA1262"/>
    <w:rsid w:val="00AA126F"/>
    <w:rsid w:val="00AA144A"/>
    <w:rsid w:val="00AA1616"/>
    <w:rsid w:val="00AA16BC"/>
    <w:rsid w:val="00AA1941"/>
    <w:rsid w:val="00AA1AAB"/>
    <w:rsid w:val="00AA1B60"/>
    <w:rsid w:val="00AA1B70"/>
    <w:rsid w:val="00AA1CF0"/>
    <w:rsid w:val="00AA1DE3"/>
    <w:rsid w:val="00AA1E31"/>
    <w:rsid w:val="00AA2619"/>
    <w:rsid w:val="00AA27F9"/>
    <w:rsid w:val="00AA295F"/>
    <w:rsid w:val="00AA2B72"/>
    <w:rsid w:val="00AA2C1C"/>
    <w:rsid w:val="00AA3455"/>
    <w:rsid w:val="00AA3469"/>
    <w:rsid w:val="00AA34CA"/>
    <w:rsid w:val="00AA35D6"/>
    <w:rsid w:val="00AA36BA"/>
    <w:rsid w:val="00AA3720"/>
    <w:rsid w:val="00AA37F8"/>
    <w:rsid w:val="00AA3915"/>
    <w:rsid w:val="00AA39BE"/>
    <w:rsid w:val="00AA3BAA"/>
    <w:rsid w:val="00AA3C8F"/>
    <w:rsid w:val="00AA3CE0"/>
    <w:rsid w:val="00AA3EB4"/>
    <w:rsid w:val="00AA3F07"/>
    <w:rsid w:val="00AA3F76"/>
    <w:rsid w:val="00AA3F99"/>
    <w:rsid w:val="00AA4024"/>
    <w:rsid w:val="00AA40B8"/>
    <w:rsid w:val="00AA40D5"/>
    <w:rsid w:val="00AA40EC"/>
    <w:rsid w:val="00AA42BA"/>
    <w:rsid w:val="00AA440D"/>
    <w:rsid w:val="00AA4439"/>
    <w:rsid w:val="00AA4857"/>
    <w:rsid w:val="00AA4AC5"/>
    <w:rsid w:val="00AA4B48"/>
    <w:rsid w:val="00AA4B92"/>
    <w:rsid w:val="00AA4D37"/>
    <w:rsid w:val="00AA5133"/>
    <w:rsid w:val="00AA51F7"/>
    <w:rsid w:val="00AA54D0"/>
    <w:rsid w:val="00AA56AD"/>
    <w:rsid w:val="00AA59AB"/>
    <w:rsid w:val="00AA5AAC"/>
    <w:rsid w:val="00AA5B00"/>
    <w:rsid w:val="00AA5DE4"/>
    <w:rsid w:val="00AA5DFD"/>
    <w:rsid w:val="00AA5E51"/>
    <w:rsid w:val="00AA5FF8"/>
    <w:rsid w:val="00AA60D2"/>
    <w:rsid w:val="00AA60D5"/>
    <w:rsid w:val="00AA6183"/>
    <w:rsid w:val="00AA62EF"/>
    <w:rsid w:val="00AA6324"/>
    <w:rsid w:val="00AA64BC"/>
    <w:rsid w:val="00AA665A"/>
    <w:rsid w:val="00AA68F9"/>
    <w:rsid w:val="00AA6B79"/>
    <w:rsid w:val="00AA6BE2"/>
    <w:rsid w:val="00AA722A"/>
    <w:rsid w:val="00AA7232"/>
    <w:rsid w:val="00AA73EB"/>
    <w:rsid w:val="00AA7530"/>
    <w:rsid w:val="00AA7708"/>
    <w:rsid w:val="00AA7C13"/>
    <w:rsid w:val="00AA7DA2"/>
    <w:rsid w:val="00AA7E3D"/>
    <w:rsid w:val="00AA7F61"/>
    <w:rsid w:val="00AA7F88"/>
    <w:rsid w:val="00AB03C8"/>
    <w:rsid w:val="00AB0488"/>
    <w:rsid w:val="00AB0674"/>
    <w:rsid w:val="00AB0D45"/>
    <w:rsid w:val="00AB0E40"/>
    <w:rsid w:val="00AB1354"/>
    <w:rsid w:val="00AB16B5"/>
    <w:rsid w:val="00AB1D12"/>
    <w:rsid w:val="00AB20EA"/>
    <w:rsid w:val="00AB2135"/>
    <w:rsid w:val="00AB2297"/>
    <w:rsid w:val="00AB2307"/>
    <w:rsid w:val="00AB2449"/>
    <w:rsid w:val="00AB2A82"/>
    <w:rsid w:val="00AB2BB8"/>
    <w:rsid w:val="00AB2CA9"/>
    <w:rsid w:val="00AB2CF9"/>
    <w:rsid w:val="00AB2DCE"/>
    <w:rsid w:val="00AB2E17"/>
    <w:rsid w:val="00AB2F29"/>
    <w:rsid w:val="00AB30CD"/>
    <w:rsid w:val="00AB32E1"/>
    <w:rsid w:val="00AB335B"/>
    <w:rsid w:val="00AB388A"/>
    <w:rsid w:val="00AB38BC"/>
    <w:rsid w:val="00AB38DF"/>
    <w:rsid w:val="00AB38FB"/>
    <w:rsid w:val="00AB3AFE"/>
    <w:rsid w:val="00AB3C15"/>
    <w:rsid w:val="00AB3C18"/>
    <w:rsid w:val="00AB3EDE"/>
    <w:rsid w:val="00AB3F40"/>
    <w:rsid w:val="00AB40B6"/>
    <w:rsid w:val="00AB40BA"/>
    <w:rsid w:val="00AB414C"/>
    <w:rsid w:val="00AB451C"/>
    <w:rsid w:val="00AB4611"/>
    <w:rsid w:val="00AB48B3"/>
    <w:rsid w:val="00AB4A0E"/>
    <w:rsid w:val="00AB4C3B"/>
    <w:rsid w:val="00AB4E1E"/>
    <w:rsid w:val="00AB4EAC"/>
    <w:rsid w:val="00AB504C"/>
    <w:rsid w:val="00AB531F"/>
    <w:rsid w:val="00AB54ED"/>
    <w:rsid w:val="00AB56AB"/>
    <w:rsid w:val="00AB572A"/>
    <w:rsid w:val="00AB5C67"/>
    <w:rsid w:val="00AB5CF3"/>
    <w:rsid w:val="00AB621F"/>
    <w:rsid w:val="00AB65C7"/>
    <w:rsid w:val="00AB667B"/>
    <w:rsid w:val="00AB6953"/>
    <w:rsid w:val="00AB6C3C"/>
    <w:rsid w:val="00AB6E34"/>
    <w:rsid w:val="00AB6E3C"/>
    <w:rsid w:val="00AB7106"/>
    <w:rsid w:val="00AB76BE"/>
    <w:rsid w:val="00AB7D39"/>
    <w:rsid w:val="00AB7D89"/>
    <w:rsid w:val="00AB7E6D"/>
    <w:rsid w:val="00AC004D"/>
    <w:rsid w:val="00AC021C"/>
    <w:rsid w:val="00AC0314"/>
    <w:rsid w:val="00AC0446"/>
    <w:rsid w:val="00AC078D"/>
    <w:rsid w:val="00AC0B24"/>
    <w:rsid w:val="00AC0B64"/>
    <w:rsid w:val="00AC0D28"/>
    <w:rsid w:val="00AC1139"/>
    <w:rsid w:val="00AC12D9"/>
    <w:rsid w:val="00AC15D2"/>
    <w:rsid w:val="00AC1603"/>
    <w:rsid w:val="00AC17C0"/>
    <w:rsid w:val="00AC1914"/>
    <w:rsid w:val="00AC1A95"/>
    <w:rsid w:val="00AC1CDC"/>
    <w:rsid w:val="00AC1D11"/>
    <w:rsid w:val="00AC2014"/>
    <w:rsid w:val="00AC2314"/>
    <w:rsid w:val="00AC2432"/>
    <w:rsid w:val="00AC2444"/>
    <w:rsid w:val="00AC24CF"/>
    <w:rsid w:val="00AC260D"/>
    <w:rsid w:val="00AC27A0"/>
    <w:rsid w:val="00AC28B5"/>
    <w:rsid w:val="00AC2D5F"/>
    <w:rsid w:val="00AC2D73"/>
    <w:rsid w:val="00AC2DF2"/>
    <w:rsid w:val="00AC2F75"/>
    <w:rsid w:val="00AC31D3"/>
    <w:rsid w:val="00AC34F3"/>
    <w:rsid w:val="00AC35FA"/>
    <w:rsid w:val="00AC3781"/>
    <w:rsid w:val="00AC392B"/>
    <w:rsid w:val="00AC3956"/>
    <w:rsid w:val="00AC399E"/>
    <w:rsid w:val="00AC3AC8"/>
    <w:rsid w:val="00AC3C26"/>
    <w:rsid w:val="00AC3E50"/>
    <w:rsid w:val="00AC3F67"/>
    <w:rsid w:val="00AC40DF"/>
    <w:rsid w:val="00AC4285"/>
    <w:rsid w:val="00AC4385"/>
    <w:rsid w:val="00AC4840"/>
    <w:rsid w:val="00AC4865"/>
    <w:rsid w:val="00AC4BF3"/>
    <w:rsid w:val="00AC4E0D"/>
    <w:rsid w:val="00AC4E69"/>
    <w:rsid w:val="00AC5844"/>
    <w:rsid w:val="00AC5886"/>
    <w:rsid w:val="00AC59FB"/>
    <w:rsid w:val="00AC5EFC"/>
    <w:rsid w:val="00AC5F54"/>
    <w:rsid w:val="00AC6021"/>
    <w:rsid w:val="00AC63F0"/>
    <w:rsid w:val="00AC6790"/>
    <w:rsid w:val="00AC69D2"/>
    <w:rsid w:val="00AC6C51"/>
    <w:rsid w:val="00AC6E8C"/>
    <w:rsid w:val="00AC6EEE"/>
    <w:rsid w:val="00AC7075"/>
    <w:rsid w:val="00AC7202"/>
    <w:rsid w:val="00AC72A1"/>
    <w:rsid w:val="00AC72F1"/>
    <w:rsid w:val="00AC7582"/>
    <w:rsid w:val="00AC7791"/>
    <w:rsid w:val="00AC78C6"/>
    <w:rsid w:val="00AC7B51"/>
    <w:rsid w:val="00AC7CEB"/>
    <w:rsid w:val="00AC7F8A"/>
    <w:rsid w:val="00AC7F94"/>
    <w:rsid w:val="00AC7FCC"/>
    <w:rsid w:val="00AD0099"/>
    <w:rsid w:val="00AD0127"/>
    <w:rsid w:val="00AD0362"/>
    <w:rsid w:val="00AD036F"/>
    <w:rsid w:val="00AD04F9"/>
    <w:rsid w:val="00AD0507"/>
    <w:rsid w:val="00AD0550"/>
    <w:rsid w:val="00AD0616"/>
    <w:rsid w:val="00AD0646"/>
    <w:rsid w:val="00AD06E5"/>
    <w:rsid w:val="00AD0AA8"/>
    <w:rsid w:val="00AD0ABC"/>
    <w:rsid w:val="00AD0B33"/>
    <w:rsid w:val="00AD0E00"/>
    <w:rsid w:val="00AD0E41"/>
    <w:rsid w:val="00AD0EDE"/>
    <w:rsid w:val="00AD126B"/>
    <w:rsid w:val="00AD1334"/>
    <w:rsid w:val="00AD13D7"/>
    <w:rsid w:val="00AD13E6"/>
    <w:rsid w:val="00AD1591"/>
    <w:rsid w:val="00AD179A"/>
    <w:rsid w:val="00AD1C38"/>
    <w:rsid w:val="00AD1D07"/>
    <w:rsid w:val="00AD1DF2"/>
    <w:rsid w:val="00AD1E1B"/>
    <w:rsid w:val="00AD1EAF"/>
    <w:rsid w:val="00AD2264"/>
    <w:rsid w:val="00AD2744"/>
    <w:rsid w:val="00AD2824"/>
    <w:rsid w:val="00AD2920"/>
    <w:rsid w:val="00AD2D21"/>
    <w:rsid w:val="00AD2E19"/>
    <w:rsid w:val="00AD2E53"/>
    <w:rsid w:val="00AD2EBB"/>
    <w:rsid w:val="00AD2F33"/>
    <w:rsid w:val="00AD3031"/>
    <w:rsid w:val="00AD379B"/>
    <w:rsid w:val="00AD3B73"/>
    <w:rsid w:val="00AD3E98"/>
    <w:rsid w:val="00AD3F35"/>
    <w:rsid w:val="00AD3FF3"/>
    <w:rsid w:val="00AD3FF8"/>
    <w:rsid w:val="00AD4259"/>
    <w:rsid w:val="00AD42E8"/>
    <w:rsid w:val="00AD4492"/>
    <w:rsid w:val="00AD4573"/>
    <w:rsid w:val="00AD45D0"/>
    <w:rsid w:val="00AD47AC"/>
    <w:rsid w:val="00AD4861"/>
    <w:rsid w:val="00AD4893"/>
    <w:rsid w:val="00AD4EAE"/>
    <w:rsid w:val="00AD4EB4"/>
    <w:rsid w:val="00AD4EEA"/>
    <w:rsid w:val="00AD4F69"/>
    <w:rsid w:val="00AD52D2"/>
    <w:rsid w:val="00AD5609"/>
    <w:rsid w:val="00AD5740"/>
    <w:rsid w:val="00AD585F"/>
    <w:rsid w:val="00AD5D48"/>
    <w:rsid w:val="00AD5EB3"/>
    <w:rsid w:val="00AD5FC6"/>
    <w:rsid w:val="00AD6004"/>
    <w:rsid w:val="00AD63B0"/>
    <w:rsid w:val="00AD6950"/>
    <w:rsid w:val="00AD6B4E"/>
    <w:rsid w:val="00AD6C1F"/>
    <w:rsid w:val="00AD6CBA"/>
    <w:rsid w:val="00AD726B"/>
    <w:rsid w:val="00AD747B"/>
    <w:rsid w:val="00AD74DC"/>
    <w:rsid w:val="00AD74F0"/>
    <w:rsid w:val="00AD7874"/>
    <w:rsid w:val="00AD7973"/>
    <w:rsid w:val="00AD7985"/>
    <w:rsid w:val="00AD7C41"/>
    <w:rsid w:val="00AD7D0F"/>
    <w:rsid w:val="00AD7D37"/>
    <w:rsid w:val="00AD7D9A"/>
    <w:rsid w:val="00AD7FF7"/>
    <w:rsid w:val="00AE01C0"/>
    <w:rsid w:val="00AE03D6"/>
    <w:rsid w:val="00AE03E2"/>
    <w:rsid w:val="00AE0497"/>
    <w:rsid w:val="00AE052D"/>
    <w:rsid w:val="00AE0821"/>
    <w:rsid w:val="00AE0A65"/>
    <w:rsid w:val="00AE0DF4"/>
    <w:rsid w:val="00AE0FE3"/>
    <w:rsid w:val="00AE10C6"/>
    <w:rsid w:val="00AE115A"/>
    <w:rsid w:val="00AE16DB"/>
    <w:rsid w:val="00AE17E8"/>
    <w:rsid w:val="00AE18AC"/>
    <w:rsid w:val="00AE1BD8"/>
    <w:rsid w:val="00AE1BE8"/>
    <w:rsid w:val="00AE1E2B"/>
    <w:rsid w:val="00AE2246"/>
    <w:rsid w:val="00AE233F"/>
    <w:rsid w:val="00AE2658"/>
    <w:rsid w:val="00AE2834"/>
    <w:rsid w:val="00AE2AD9"/>
    <w:rsid w:val="00AE3060"/>
    <w:rsid w:val="00AE335D"/>
    <w:rsid w:val="00AE3388"/>
    <w:rsid w:val="00AE364E"/>
    <w:rsid w:val="00AE367B"/>
    <w:rsid w:val="00AE3B34"/>
    <w:rsid w:val="00AE3DA0"/>
    <w:rsid w:val="00AE408D"/>
    <w:rsid w:val="00AE43AD"/>
    <w:rsid w:val="00AE43B6"/>
    <w:rsid w:val="00AE45E0"/>
    <w:rsid w:val="00AE4B05"/>
    <w:rsid w:val="00AE4C2E"/>
    <w:rsid w:val="00AE4DD8"/>
    <w:rsid w:val="00AE4F44"/>
    <w:rsid w:val="00AE538C"/>
    <w:rsid w:val="00AE54A6"/>
    <w:rsid w:val="00AE54FD"/>
    <w:rsid w:val="00AE57CA"/>
    <w:rsid w:val="00AE57EB"/>
    <w:rsid w:val="00AE59C5"/>
    <w:rsid w:val="00AE5A7F"/>
    <w:rsid w:val="00AE5AAC"/>
    <w:rsid w:val="00AE5E5D"/>
    <w:rsid w:val="00AE5F9C"/>
    <w:rsid w:val="00AE6001"/>
    <w:rsid w:val="00AE63AD"/>
    <w:rsid w:val="00AE66B9"/>
    <w:rsid w:val="00AE695F"/>
    <w:rsid w:val="00AE6AFF"/>
    <w:rsid w:val="00AE6BD7"/>
    <w:rsid w:val="00AE6CB4"/>
    <w:rsid w:val="00AE6F14"/>
    <w:rsid w:val="00AE70E6"/>
    <w:rsid w:val="00AE7147"/>
    <w:rsid w:val="00AE736D"/>
    <w:rsid w:val="00AE7590"/>
    <w:rsid w:val="00AE7702"/>
    <w:rsid w:val="00AE7814"/>
    <w:rsid w:val="00AE78DE"/>
    <w:rsid w:val="00AE7A5F"/>
    <w:rsid w:val="00AE7C1D"/>
    <w:rsid w:val="00AE7DB3"/>
    <w:rsid w:val="00AF0018"/>
    <w:rsid w:val="00AF0062"/>
    <w:rsid w:val="00AF03C8"/>
    <w:rsid w:val="00AF04FA"/>
    <w:rsid w:val="00AF054B"/>
    <w:rsid w:val="00AF0635"/>
    <w:rsid w:val="00AF098A"/>
    <w:rsid w:val="00AF0A35"/>
    <w:rsid w:val="00AF0A88"/>
    <w:rsid w:val="00AF0CB0"/>
    <w:rsid w:val="00AF0CF2"/>
    <w:rsid w:val="00AF0CFB"/>
    <w:rsid w:val="00AF1385"/>
    <w:rsid w:val="00AF1510"/>
    <w:rsid w:val="00AF1745"/>
    <w:rsid w:val="00AF1A1C"/>
    <w:rsid w:val="00AF1B78"/>
    <w:rsid w:val="00AF22F1"/>
    <w:rsid w:val="00AF234C"/>
    <w:rsid w:val="00AF23AF"/>
    <w:rsid w:val="00AF255C"/>
    <w:rsid w:val="00AF25B0"/>
    <w:rsid w:val="00AF28CE"/>
    <w:rsid w:val="00AF2927"/>
    <w:rsid w:val="00AF2A4B"/>
    <w:rsid w:val="00AF2C61"/>
    <w:rsid w:val="00AF2E0C"/>
    <w:rsid w:val="00AF2E1A"/>
    <w:rsid w:val="00AF2EB6"/>
    <w:rsid w:val="00AF30FE"/>
    <w:rsid w:val="00AF3141"/>
    <w:rsid w:val="00AF3229"/>
    <w:rsid w:val="00AF3371"/>
    <w:rsid w:val="00AF3463"/>
    <w:rsid w:val="00AF3466"/>
    <w:rsid w:val="00AF35CB"/>
    <w:rsid w:val="00AF3640"/>
    <w:rsid w:val="00AF3745"/>
    <w:rsid w:val="00AF386F"/>
    <w:rsid w:val="00AF38D8"/>
    <w:rsid w:val="00AF39FD"/>
    <w:rsid w:val="00AF3B0B"/>
    <w:rsid w:val="00AF3C10"/>
    <w:rsid w:val="00AF3E37"/>
    <w:rsid w:val="00AF3EE5"/>
    <w:rsid w:val="00AF4201"/>
    <w:rsid w:val="00AF4468"/>
    <w:rsid w:val="00AF4B77"/>
    <w:rsid w:val="00AF4CC9"/>
    <w:rsid w:val="00AF4FED"/>
    <w:rsid w:val="00AF5232"/>
    <w:rsid w:val="00AF532B"/>
    <w:rsid w:val="00AF5447"/>
    <w:rsid w:val="00AF5595"/>
    <w:rsid w:val="00AF5712"/>
    <w:rsid w:val="00AF57C5"/>
    <w:rsid w:val="00AF58FA"/>
    <w:rsid w:val="00AF5957"/>
    <w:rsid w:val="00AF5A22"/>
    <w:rsid w:val="00AF5C30"/>
    <w:rsid w:val="00AF5C55"/>
    <w:rsid w:val="00AF5E0B"/>
    <w:rsid w:val="00AF5E46"/>
    <w:rsid w:val="00AF5EF7"/>
    <w:rsid w:val="00AF60F3"/>
    <w:rsid w:val="00AF6371"/>
    <w:rsid w:val="00AF63D4"/>
    <w:rsid w:val="00AF6479"/>
    <w:rsid w:val="00AF64FD"/>
    <w:rsid w:val="00AF6583"/>
    <w:rsid w:val="00AF66AD"/>
    <w:rsid w:val="00AF6835"/>
    <w:rsid w:val="00AF6D23"/>
    <w:rsid w:val="00AF6EEA"/>
    <w:rsid w:val="00AF70B9"/>
    <w:rsid w:val="00AF74E2"/>
    <w:rsid w:val="00AF77F3"/>
    <w:rsid w:val="00AF7C53"/>
    <w:rsid w:val="00AF7F14"/>
    <w:rsid w:val="00AF7FAA"/>
    <w:rsid w:val="00B00256"/>
    <w:rsid w:val="00B00260"/>
    <w:rsid w:val="00B00358"/>
    <w:rsid w:val="00B004C7"/>
    <w:rsid w:val="00B004F9"/>
    <w:rsid w:val="00B00505"/>
    <w:rsid w:val="00B0086C"/>
    <w:rsid w:val="00B0091E"/>
    <w:rsid w:val="00B0092D"/>
    <w:rsid w:val="00B00955"/>
    <w:rsid w:val="00B00B4C"/>
    <w:rsid w:val="00B00C24"/>
    <w:rsid w:val="00B00E18"/>
    <w:rsid w:val="00B010B0"/>
    <w:rsid w:val="00B01241"/>
    <w:rsid w:val="00B01726"/>
    <w:rsid w:val="00B0197D"/>
    <w:rsid w:val="00B019D6"/>
    <w:rsid w:val="00B01A1D"/>
    <w:rsid w:val="00B01BE4"/>
    <w:rsid w:val="00B01E43"/>
    <w:rsid w:val="00B02147"/>
    <w:rsid w:val="00B02251"/>
    <w:rsid w:val="00B024D3"/>
    <w:rsid w:val="00B027DD"/>
    <w:rsid w:val="00B02856"/>
    <w:rsid w:val="00B02BCD"/>
    <w:rsid w:val="00B02E01"/>
    <w:rsid w:val="00B02E8E"/>
    <w:rsid w:val="00B02EB9"/>
    <w:rsid w:val="00B030E5"/>
    <w:rsid w:val="00B030F8"/>
    <w:rsid w:val="00B0324D"/>
    <w:rsid w:val="00B036F3"/>
    <w:rsid w:val="00B03810"/>
    <w:rsid w:val="00B038A5"/>
    <w:rsid w:val="00B0390C"/>
    <w:rsid w:val="00B0394B"/>
    <w:rsid w:val="00B03CDD"/>
    <w:rsid w:val="00B03D25"/>
    <w:rsid w:val="00B03D52"/>
    <w:rsid w:val="00B03DB7"/>
    <w:rsid w:val="00B03E70"/>
    <w:rsid w:val="00B0429A"/>
    <w:rsid w:val="00B042DD"/>
    <w:rsid w:val="00B04310"/>
    <w:rsid w:val="00B045F0"/>
    <w:rsid w:val="00B0482D"/>
    <w:rsid w:val="00B04A47"/>
    <w:rsid w:val="00B04B88"/>
    <w:rsid w:val="00B04BE0"/>
    <w:rsid w:val="00B04CEE"/>
    <w:rsid w:val="00B04CFC"/>
    <w:rsid w:val="00B04FF2"/>
    <w:rsid w:val="00B04FFF"/>
    <w:rsid w:val="00B050CC"/>
    <w:rsid w:val="00B052A1"/>
    <w:rsid w:val="00B057D9"/>
    <w:rsid w:val="00B059A5"/>
    <w:rsid w:val="00B05B97"/>
    <w:rsid w:val="00B05D2E"/>
    <w:rsid w:val="00B060A6"/>
    <w:rsid w:val="00B06242"/>
    <w:rsid w:val="00B06415"/>
    <w:rsid w:val="00B0643F"/>
    <w:rsid w:val="00B06679"/>
    <w:rsid w:val="00B0680D"/>
    <w:rsid w:val="00B0683A"/>
    <w:rsid w:val="00B06C85"/>
    <w:rsid w:val="00B06CC3"/>
    <w:rsid w:val="00B06D3C"/>
    <w:rsid w:val="00B0703A"/>
    <w:rsid w:val="00B074F0"/>
    <w:rsid w:val="00B079A0"/>
    <w:rsid w:val="00B079CF"/>
    <w:rsid w:val="00B07B9C"/>
    <w:rsid w:val="00B07C46"/>
    <w:rsid w:val="00B07C61"/>
    <w:rsid w:val="00B07EBF"/>
    <w:rsid w:val="00B07ED5"/>
    <w:rsid w:val="00B101B2"/>
    <w:rsid w:val="00B1022C"/>
    <w:rsid w:val="00B10302"/>
    <w:rsid w:val="00B10363"/>
    <w:rsid w:val="00B1051C"/>
    <w:rsid w:val="00B1092E"/>
    <w:rsid w:val="00B1094C"/>
    <w:rsid w:val="00B10955"/>
    <w:rsid w:val="00B10962"/>
    <w:rsid w:val="00B10A63"/>
    <w:rsid w:val="00B10C68"/>
    <w:rsid w:val="00B10CB2"/>
    <w:rsid w:val="00B10CD6"/>
    <w:rsid w:val="00B10E70"/>
    <w:rsid w:val="00B1151A"/>
    <w:rsid w:val="00B115E7"/>
    <w:rsid w:val="00B116F3"/>
    <w:rsid w:val="00B119BA"/>
    <w:rsid w:val="00B11BCF"/>
    <w:rsid w:val="00B11BDB"/>
    <w:rsid w:val="00B12020"/>
    <w:rsid w:val="00B12264"/>
    <w:rsid w:val="00B127C6"/>
    <w:rsid w:val="00B129F2"/>
    <w:rsid w:val="00B12F57"/>
    <w:rsid w:val="00B13228"/>
    <w:rsid w:val="00B13234"/>
    <w:rsid w:val="00B13323"/>
    <w:rsid w:val="00B1338D"/>
    <w:rsid w:val="00B1340D"/>
    <w:rsid w:val="00B1347F"/>
    <w:rsid w:val="00B1355D"/>
    <w:rsid w:val="00B136AF"/>
    <w:rsid w:val="00B137BD"/>
    <w:rsid w:val="00B13F80"/>
    <w:rsid w:val="00B13FDD"/>
    <w:rsid w:val="00B14133"/>
    <w:rsid w:val="00B1424E"/>
    <w:rsid w:val="00B142BA"/>
    <w:rsid w:val="00B142C0"/>
    <w:rsid w:val="00B144CB"/>
    <w:rsid w:val="00B146AE"/>
    <w:rsid w:val="00B14DB4"/>
    <w:rsid w:val="00B14E76"/>
    <w:rsid w:val="00B14F68"/>
    <w:rsid w:val="00B15334"/>
    <w:rsid w:val="00B1539A"/>
    <w:rsid w:val="00B1539D"/>
    <w:rsid w:val="00B153A8"/>
    <w:rsid w:val="00B153F3"/>
    <w:rsid w:val="00B15835"/>
    <w:rsid w:val="00B15887"/>
    <w:rsid w:val="00B15911"/>
    <w:rsid w:val="00B15B9F"/>
    <w:rsid w:val="00B15D15"/>
    <w:rsid w:val="00B16071"/>
    <w:rsid w:val="00B16151"/>
    <w:rsid w:val="00B162A9"/>
    <w:rsid w:val="00B16395"/>
    <w:rsid w:val="00B163CD"/>
    <w:rsid w:val="00B16469"/>
    <w:rsid w:val="00B16680"/>
    <w:rsid w:val="00B166AE"/>
    <w:rsid w:val="00B1674E"/>
    <w:rsid w:val="00B167DE"/>
    <w:rsid w:val="00B167F9"/>
    <w:rsid w:val="00B16B04"/>
    <w:rsid w:val="00B16BCE"/>
    <w:rsid w:val="00B16CCE"/>
    <w:rsid w:val="00B16D5F"/>
    <w:rsid w:val="00B16F59"/>
    <w:rsid w:val="00B16FFE"/>
    <w:rsid w:val="00B1716E"/>
    <w:rsid w:val="00B173B8"/>
    <w:rsid w:val="00B1741F"/>
    <w:rsid w:val="00B176DD"/>
    <w:rsid w:val="00B177F0"/>
    <w:rsid w:val="00B1782A"/>
    <w:rsid w:val="00B17912"/>
    <w:rsid w:val="00B17969"/>
    <w:rsid w:val="00B179AF"/>
    <w:rsid w:val="00B17A98"/>
    <w:rsid w:val="00B17FF8"/>
    <w:rsid w:val="00B2005C"/>
    <w:rsid w:val="00B201AC"/>
    <w:rsid w:val="00B202CA"/>
    <w:rsid w:val="00B20415"/>
    <w:rsid w:val="00B20760"/>
    <w:rsid w:val="00B207E8"/>
    <w:rsid w:val="00B2089D"/>
    <w:rsid w:val="00B208DB"/>
    <w:rsid w:val="00B20939"/>
    <w:rsid w:val="00B20AE0"/>
    <w:rsid w:val="00B20DE9"/>
    <w:rsid w:val="00B20EF0"/>
    <w:rsid w:val="00B21228"/>
    <w:rsid w:val="00B2123D"/>
    <w:rsid w:val="00B212D8"/>
    <w:rsid w:val="00B2149A"/>
    <w:rsid w:val="00B2150F"/>
    <w:rsid w:val="00B215AD"/>
    <w:rsid w:val="00B21873"/>
    <w:rsid w:val="00B21E34"/>
    <w:rsid w:val="00B2207C"/>
    <w:rsid w:val="00B22270"/>
    <w:rsid w:val="00B22579"/>
    <w:rsid w:val="00B22677"/>
    <w:rsid w:val="00B228A3"/>
    <w:rsid w:val="00B228B8"/>
    <w:rsid w:val="00B22BE7"/>
    <w:rsid w:val="00B22F4D"/>
    <w:rsid w:val="00B22FAC"/>
    <w:rsid w:val="00B23141"/>
    <w:rsid w:val="00B23260"/>
    <w:rsid w:val="00B232D1"/>
    <w:rsid w:val="00B232E2"/>
    <w:rsid w:val="00B2335E"/>
    <w:rsid w:val="00B23361"/>
    <w:rsid w:val="00B2343E"/>
    <w:rsid w:val="00B23635"/>
    <w:rsid w:val="00B2363F"/>
    <w:rsid w:val="00B23A8C"/>
    <w:rsid w:val="00B23E7B"/>
    <w:rsid w:val="00B24296"/>
    <w:rsid w:val="00B242AE"/>
    <w:rsid w:val="00B243F0"/>
    <w:rsid w:val="00B244B5"/>
    <w:rsid w:val="00B246A6"/>
    <w:rsid w:val="00B2479F"/>
    <w:rsid w:val="00B247BB"/>
    <w:rsid w:val="00B2497E"/>
    <w:rsid w:val="00B24A10"/>
    <w:rsid w:val="00B24B4C"/>
    <w:rsid w:val="00B24E35"/>
    <w:rsid w:val="00B25411"/>
    <w:rsid w:val="00B25505"/>
    <w:rsid w:val="00B25669"/>
    <w:rsid w:val="00B257AA"/>
    <w:rsid w:val="00B259CF"/>
    <w:rsid w:val="00B25B6C"/>
    <w:rsid w:val="00B26101"/>
    <w:rsid w:val="00B26290"/>
    <w:rsid w:val="00B262A1"/>
    <w:rsid w:val="00B263B6"/>
    <w:rsid w:val="00B2679C"/>
    <w:rsid w:val="00B26AEE"/>
    <w:rsid w:val="00B26C25"/>
    <w:rsid w:val="00B26C5F"/>
    <w:rsid w:val="00B26F4A"/>
    <w:rsid w:val="00B2700C"/>
    <w:rsid w:val="00B27080"/>
    <w:rsid w:val="00B27715"/>
    <w:rsid w:val="00B27990"/>
    <w:rsid w:val="00B27A4F"/>
    <w:rsid w:val="00B27B36"/>
    <w:rsid w:val="00B27C07"/>
    <w:rsid w:val="00B27C36"/>
    <w:rsid w:val="00B27E87"/>
    <w:rsid w:val="00B30013"/>
    <w:rsid w:val="00B3017C"/>
    <w:rsid w:val="00B3053A"/>
    <w:rsid w:val="00B30755"/>
    <w:rsid w:val="00B30933"/>
    <w:rsid w:val="00B30AF0"/>
    <w:rsid w:val="00B30BFE"/>
    <w:rsid w:val="00B30C28"/>
    <w:rsid w:val="00B30CF4"/>
    <w:rsid w:val="00B30D66"/>
    <w:rsid w:val="00B30E03"/>
    <w:rsid w:val="00B3101C"/>
    <w:rsid w:val="00B31218"/>
    <w:rsid w:val="00B31276"/>
    <w:rsid w:val="00B314EF"/>
    <w:rsid w:val="00B31B45"/>
    <w:rsid w:val="00B31B88"/>
    <w:rsid w:val="00B31C59"/>
    <w:rsid w:val="00B31E66"/>
    <w:rsid w:val="00B31F68"/>
    <w:rsid w:val="00B3216F"/>
    <w:rsid w:val="00B322D0"/>
    <w:rsid w:val="00B32418"/>
    <w:rsid w:val="00B3254C"/>
    <w:rsid w:val="00B32746"/>
    <w:rsid w:val="00B327E3"/>
    <w:rsid w:val="00B32924"/>
    <w:rsid w:val="00B32EE8"/>
    <w:rsid w:val="00B33093"/>
    <w:rsid w:val="00B3338C"/>
    <w:rsid w:val="00B337D5"/>
    <w:rsid w:val="00B33B22"/>
    <w:rsid w:val="00B33BE5"/>
    <w:rsid w:val="00B33C32"/>
    <w:rsid w:val="00B33E48"/>
    <w:rsid w:val="00B33FD2"/>
    <w:rsid w:val="00B33FD6"/>
    <w:rsid w:val="00B34006"/>
    <w:rsid w:val="00B34037"/>
    <w:rsid w:val="00B34598"/>
    <w:rsid w:val="00B34752"/>
    <w:rsid w:val="00B347A7"/>
    <w:rsid w:val="00B348D3"/>
    <w:rsid w:val="00B34A09"/>
    <w:rsid w:val="00B34A45"/>
    <w:rsid w:val="00B34C02"/>
    <w:rsid w:val="00B34DE0"/>
    <w:rsid w:val="00B34EE6"/>
    <w:rsid w:val="00B34F2A"/>
    <w:rsid w:val="00B34FC8"/>
    <w:rsid w:val="00B35010"/>
    <w:rsid w:val="00B35279"/>
    <w:rsid w:val="00B35301"/>
    <w:rsid w:val="00B35578"/>
    <w:rsid w:val="00B35CCD"/>
    <w:rsid w:val="00B35F26"/>
    <w:rsid w:val="00B36206"/>
    <w:rsid w:val="00B362BF"/>
    <w:rsid w:val="00B365F7"/>
    <w:rsid w:val="00B3660D"/>
    <w:rsid w:val="00B366EA"/>
    <w:rsid w:val="00B36A8A"/>
    <w:rsid w:val="00B36D8E"/>
    <w:rsid w:val="00B36DB7"/>
    <w:rsid w:val="00B370BF"/>
    <w:rsid w:val="00B37144"/>
    <w:rsid w:val="00B371A0"/>
    <w:rsid w:val="00B371DD"/>
    <w:rsid w:val="00B373D4"/>
    <w:rsid w:val="00B37433"/>
    <w:rsid w:val="00B3752A"/>
    <w:rsid w:val="00B3766B"/>
    <w:rsid w:val="00B37823"/>
    <w:rsid w:val="00B37AF9"/>
    <w:rsid w:val="00B37C12"/>
    <w:rsid w:val="00B37EDC"/>
    <w:rsid w:val="00B37F76"/>
    <w:rsid w:val="00B37FF2"/>
    <w:rsid w:val="00B40004"/>
    <w:rsid w:val="00B40088"/>
    <w:rsid w:val="00B401B1"/>
    <w:rsid w:val="00B401D7"/>
    <w:rsid w:val="00B40211"/>
    <w:rsid w:val="00B40642"/>
    <w:rsid w:val="00B40823"/>
    <w:rsid w:val="00B40871"/>
    <w:rsid w:val="00B40A6F"/>
    <w:rsid w:val="00B40AC8"/>
    <w:rsid w:val="00B40ADA"/>
    <w:rsid w:val="00B40AEC"/>
    <w:rsid w:val="00B40B3E"/>
    <w:rsid w:val="00B40ED0"/>
    <w:rsid w:val="00B40F44"/>
    <w:rsid w:val="00B40FCD"/>
    <w:rsid w:val="00B41058"/>
    <w:rsid w:val="00B41172"/>
    <w:rsid w:val="00B4138E"/>
    <w:rsid w:val="00B41580"/>
    <w:rsid w:val="00B4159B"/>
    <w:rsid w:val="00B41701"/>
    <w:rsid w:val="00B41C58"/>
    <w:rsid w:val="00B41C6C"/>
    <w:rsid w:val="00B41E19"/>
    <w:rsid w:val="00B41E41"/>
    <w:rsid w:val="00B41EA4"/>
    <w:rsid w:val="00B41F99"/>
    <w:rsid w:val="00B41FB3"/>
    <w:rsid w:val="00B4203B"/>
    <w:rsid w:val="00B42060"/>
    <w:rsid w:val="00B42517"/>
    <w:rsid w:val="00B425F7"/>
    <w:rsid w:val="00B42636"/>
    <w:rsid w:val="00B42805"/>
    <w:rsid w:val="00B42B1E"/>
    <w:rsid w:val="00B42B66"/>
    <w:rsid w:val="00B42DEF"/>
    <w:rsid w:val="00B42E4D"/>
    <w:rsid w:val="00B433F5"/>
    <w:rsid w:val="00B4374D"/>
    <w:rsid w:val="00B43845"/>
    <w:rsid w:val="00B43C65"/>
    <w:rsid w:val="00B43D55"/>
    <w:rsid w:val="00B43D78"/>
    <w:rsid w:val="00B43DF6"/>
    <w:rsid w:val="00B43EEC"/>
    <w:rsid w:val="00B44397"/>
    <w:rsid w:val="00B4444F"/>
    <w:rsid w:val="00B444F9"/>
    <w:rsid w:val="00B44677"/>
    <w:rsid w:val="00B446EC"/>
    <w:rsid w:val="00B44733"/>
    <w:rsid w:val="00B44829"/>
    <w:rsid w:val="00B448B7"/>
    <w:rsid w:val="00B44943"/>
    <w:rsid w:val="00B449F5"/>
    <w:rsid w:val="00B449FB"/>
    <w:rsid w:val="00B44BAE"/>
    <w:rsid w:val="00B44C96"/>
    <w:rsid w:val="00B44CBB"/>
    <w:rsid w:val="00B44DAA"/>
    <w:rsid w:val="00B44EBF"/>
    <w:rsid w:val="00B44F09"/>
    <w:rsid w:val="00B44F4E"/>
    <w:rsid w:val="00B45008"/>
    <w:rsid w:val="00B4528C"/>
    <w:rsid w:val="00B45504"/>
    <w:rsid w:val="00B456D6"/>
    <w:rsid w:val="00B45767"/>
    <w:rsid w:val="00B458D5"/>
    <w:rsid w:val="00B45B49"/>
    <w:rsid w:val="00B45BA1"/>
    <w:rsid w:val="00B45CBF"/>
    <w:rsid w:val="00B45D07"/>
    <w:rsid w:val="00B45D42"/>
    <w:rsid w:val="00B45E94"/>
    <w:rsid w:val="00B45EF8"/>
    <w:rsid w:val="00B46071"/>
    <w:rsid w:val="00B460B1"/>
    <w:rsid w:val="00B4637A"/>
    <w:rsid w:val="00B463B0"/>
    <w:rsid w:val="00B4696D"/>
    <w:rsid w:val="00B46991"/>
    <w:rsid w:val="00B46B13"/>
    <w:rsid w:val="00B46D0B"/>
    <w:rsid w:val="00B47059"/>
    <w:rsid w:val="00B4747C"/>
    <w:rsid w:val="00B47702"/>
    <w:rsid w:val="00B47714"/>
    <w:rsid w:val="00B477A8"/>
    <w:rsid w:val="00B47B9D"/>
    <w:rsid w:val="00B47D1B"/>
    <w:rsid w:val="00B47E34"/>
    <w:rsid w:val="00B47E5D"/>
    <w:rsid w:val="00B50337"/>
    <w:rsid w:val="00B50489"/>
    <w:rsid w:val="00B5060B"/>
    <w:rsid w:val="00B50657"/>
    <w:rsid w:val="00B5089F"/>
    <w:rsid w:val="00B50975"/>
    <w:rsid w:val="00B50DA0"/>
    <w:rsid w:val="00B50E38"/>
    <w:rsid w:val="00B513E8"/>
    <w:rsid w:val="00B516FE"/>
    <w:rsid w:val="00B517BE"/>
    <w:rsid w:val="00B51810"/>
    <w:rsid w:val="00B51CB2"/>
    <w:rsid w:val="00B51DDB"/>
    <w:rsid w:val="00B51E28"/>
    <w:rsid w:val="00B51E95"/>
    <w:rsid w:val="00B5204A"/>
    <w:rsid w:val="00B52070"/>
    <w:rsid w:val="00B520AD"/>
    <w:rsid w:val="00B52328"/>
    <w:rsid w:val="00B52531"/>
    <w:rsid w:val="00B5272B"/>
    <w:rsid w:val="00B52B03"/>
    <w:rsid w:val="00B52BB1"/>
    <w:rsid w:val="00B52F89"/>
    <w:rsid w:val="00B52FB9"/>
    <w:rsid w:val="00B532E2"/>
    <w:rsid w:val="00B535F6"/>
    <w:rsid w:val="00B53668"/>
    <w:rsid w:val="00B53BD3"/>
    <w:rsid w:val="00B53D32"/>
    <w:rsid w:val="00B53E31"/>
    <w:rsid w:val="00B53E57"/>
    <w:rsid w:val="00B53EC0"/>
    <w:rsid w:val="00B53F72"/>
    <w:rsid w:val="00B53F9D"/>
    <w:rsid w:val="00B5409F"/>
    <w:rsid w:val="00B5419C"/>
    <w:rsid w:val="00B5457F"/>
    <w:rsid w:val="00B546F5"/>
    <w:rsid w:val="00B54847"/>
    <w:rsid w:val="00B5489F"/>
    <w:rsid w:val="00B54B63"/>
    <w:rsid w:val="00B54BE3"/>
    <w:rsid w:val="00B54C1A"/>
    <w:rsid w:val="00B54CF3"/>
    <w:rsid w:val="00B54E04"/>
    <w:rsid w:val="00B54E21"/>
    <w:rsid w:val="00B54E5E"/>
    <w:rsid w:val="00B54EA5"/>
    <w:rsid w:val="00B54F27"/>
    <w:rsid w:val="00B54F36"/>
    <w:rsid w:val="00B554A9"/>
    <w:rsid w:val="00B55673"/>
    <w:rsid w:val="00B5579C"/>
    <w:rsid w:val="00B557FE"/>
    <w:rsid w:val="00B55A38"/>
    <w:rsid w:val="00B55C03"/>
    <w:rsid w:val="00B55C12"/>
    <w:rsid w:val="00B5609C"/>
    <w:rsid w:val="00B56174"/>
    <w:rsid w:val="00B56247"/>
    <w:rsid w:val="00B56261"/>
    <w:rsid w:val="00B56268"/>
    <w:rsid w:val="00B56410"/>
    <w:rsid w:val="00B566A3"/>
    <w:rsid w:val="00B56856"/>
    <w:rsid w:val="00B5685F"/>
    <w:rsid w:val="00B569C4"/>
    <w:rsid w:val="00B56AC5"/>
    <w:rsid w:val="00B56B0A"/>
    <w:rsid w:val="00B56BD7"/>
    <w:rsid w:val="00B56DFB"/>
    <w:rsid w:val="00B5701F"/>
    <w:rsid w:val="00B5704B"/>
    <w:rsid w:val="00B570AA"/>
    <w:rsid w:val="00B57110"/>
    <w:rsid w:val="00B5729E"/>
    <w:rsid w:val="00B57555"/>
    <w:rsid w:val="00B57BD6"/>
    <w:rsid w:val="00B57CF8"/>
    <w:rsid w:val="00B57DEB"/>
    <w:rsid w:val="00B57EA0"/>
    <w:rsid w:val="00B57ECB"/>
    <w:rsid w:val="00B57F3C"/>
    <w:rsid w:val="00B60020"/>
    <w:rsid w:val="00B600E1"/>
    <w:rsid w:val="00B6016E"/>
    <w:rsid w:val="00B60425"/>
    <w:rsid w:val="00B606CD"/>
    <w:rsid w:val="00B607E2"/>
    <w:rsid w:val="00B6086C"/>
    <w:rsid w:val="00B60899"/>
    <w:rsid w:val="00B60A06"/>
    <w:rsid w:val="00B60A2B"/>
    <w:rsid w:val="00B60E78"/>
    <w:rsid w:val="00B61194"/>
    <w:rsid w:val="00B61442"/>
    <w:rsid w:val="00B614F8"/>
    <w:rsid w:val="00B6150F"/>
    <w:rsid w:val="00B61593"/>
    <w:rsid w:val="00B616EA"/>
    <w:rsid w:val="00B61925"/>
    <w:rsid w:val="00B61A08"/>
    <w:rsid w:val="00B61A64"/>
    <w:rsid w:val="00B61B5B"/>
    <w:rsid w:val="00B61BD7"/>
    <w:rsid w:val="00B61C19"/>
    <w:rsid w:val="00B61C60"/>
    <w:rsid w:val="00B61DA0"/>
    <w:rsid w:val="00B61EEC"/>
    <w:rsid w:val="00B61F76"/>
    <w:rsid w:val="00B6207D"/>
    <w:rsid w:val="00B62249"/>
    <w:rsid w:val="00B62590"/>
    <w:rsid w:val="00B6263F"/>
    <w:rsid w:val="00B62661"/>
    <w:rsid w:val="00B628C2"/>
    <w:rsid w:val="00B62BC9"/>
    <w:rsid w:val="00B62F22"/>
    <w:rsid w:val="00B62F37"/>
    <w:rsid w:val="00B62FD3"/>
    <w:rsid w:val="00B63396"/>
    <w:rsid w:val="00B638F0"/>
    <w:rsid w:val="00B63B50"/>
    <w:rsid w:val="00B63C36"/>
    <w:rsid w:val="00B63C8B"/>
    <w:rsid w:val="00B63CD5"/>
    <w:rsid w:val="00B64195"/>
    <w:rsid w:val="00B64210"/>
    <w:rsid w:val="00B64236"/>
    <w:rsid w:val="00B642C9"/>
    <w:rsid w:val="00B643B6"/>
    <w:rsid w:val="00B644E0"/>
    <w:rsid w:val="00B645E6"/>
    <w:rsid w:val="00B6464F"/>
    <w:rsid w:val="00B64784"/>
    <w:rsid w:val="00B64AFE"/>
    <w:rsid w:val="00B64EFA"/>
    <w:rsid w:val="00B651D6"/>
    <w:rsid w:val="00B65378"/>
    <w:rsid w:val="00B653EC"/>
    <w:rsid w:val="00B65410"/>
    <w:rsid w:val="00B655B1"/>
    <w:rsid w:val="00B65768"/>
    <w:rsid w:val="00B657CD"/>
    <w:rsid w:val="00B65823"/>
    <w:rsid w:val="00B65916"/>
    <w:rsid w:val="00B65956"/>
    <w:rsid w:val="00B659E5"/>
    <w:rsid w:val="00B65E6B"/>
    <w:rsid w:val="00B66137"/>
    <w:rsid w:val="00B661F6"/>
    <w:rsid w:val="00B6655C"/>
    <w:rsid w:val="00B66745"/>
    <w:rsid w:val="00B66887"/>
    <w:rsid w:val="00B66DA6"/>
    <w:rsid w:val="00B66EFC"/>
    <w:rsid w:val="00B670D9"/>
    <w:rsid w:val="00B670F8"/>
    <w:rsid w:val="00B6710D"/>
    <w:rsid w:val="00B6718B"/>
    <w:rsid w:val="00B671F2"/>
    <w:rsid w:val="00B673FB"/>
    <w:rsid w:val="00B67664"/>
    <w:rsid w:val="00B677B3"/>
    <w:rsid w:val="00B679C0"/>
    <w:rsid w:val="00B67A90"/>
    <w:rsid w:val="00B67AE1"/>
    <w:rsid w:val="00B67B3E"/>
    <w:rsid w:val="00B67BAD"/>
    <w:rsid w:val="00B67C51"/>
    <w:rsid w:val="00B67CA3"/>
    <w:rsid w:val="00B67CDF"/>
    <w:rsid w:val="00B67E97"/>
    <w:rsid w:val="00B67FC7"/>
    <w:rsid w:val="00B700AD"/>
    <w:rsid w:val="00B7025C"/>
    <w:rsid w:val="00B70340"/>
    <w:rsid w:val="00B70849"/>
    <w:rsid w:val="00B70AA0"/>
    <w:rsid w:val="00B70C9D"/>
    <w:rsid w:val="00B70FE7"/>
    <w:rsid w:val="00B71245"/>
    <w:rsid w:val="00B71454"/>
    <w:rsid w:val="00B714C3"/>
    <w:rsid w:val="00B715D2"/>
    <w:rsid w:val="00B71762"/>
    <w:rsid w:val="00B718BA"/>
    <w:rsid w:val="00B719C8"/>
    <w:rsid w:val="00B71A4E"/>
    <w:rsid w:val="00B71D57"/>
    <w:rsid w:val="00B71DB3"/>
    <w:rsid w:val="00B71E15"/>
    <w:rsid w:val="00B7208C"/>
    <w:rsid w:val="00B72092"/>
    <w:rsid w:val="00B720E8"/>
    <w:rsid w:val="00B72264"/>
    <w:rsid w:val="00B7233E"/>
    <w:rsid w:val="00B724B8"/>
    <w:rsid w:val="00B725D0"/>
    <w:rsid w:val="00B727B5"/>
    <w:rsid w:val="00B72823"/>
    <w:rsid w:val="00B72B6B"/>
    <w:rsid w:val="00B72C41"/>
    <w:rsid w:val="00B72C7E"/>
    <w:rsid w:val="00B72EE9"/>
    <w:rsid w:val="00B72F0C"/>
    <w:rsid w:val="00B732F5"/>
    <w:rsid w:val="00B73343"/>
    <w:rsid w:val="00B734A2"/>
    <w:rsid w:val="00B7359F"/>
    <w:rsid w:val="00B7364A"/>
    <w:rsid w:val="00B737A7"/>
    <w:rsid w:val="00B737D5"/>
    <w:rsid w:val="00B73927"/>
    <w:rsid w:val="00B73B25"/>
    <w:rsid w:val="00B73E07"/>
    <w:rsid w:val="00B73F90"/>
    <w:rsid w:val="00B742E4"/>
    <w:rsid w:val="00B74439"/>
    <w:rsid w:val="00B74602"/>
    <w:rsid w:val="00B749F3"/>
    <w:rsid w:val="00B74B20"/>
    <w:rsid w:val="00B74D11"/>
    <w:rsid w:val="00B74EE0"/>
    <w:rsid w:val="00B74FEB"/>
    <w:rsid w:val="00B7500C"/>
    <w:rsid w:val="00B751DE"/>
    <w:rsid w:val="00B754A5"/>
    <w:rsid w:val="00B758AB"/>
    <w:rsid w:val="00B75974"/>
    <w:rsid w:val="00B75E6B"/>
    <w:rsid w:val="00B75F03"/>
    <w:rsid w:val="00B76090"/>
    <w:rsid w:val="00B760C5"/>
    <w:rsid w:val="00B762F7"/>
    <w:rsid w:val="00B767F0"/>
    <w:rsid w:val="00B7684C"/>
    <w:rsid w:val="00B76917"/>
    <w:rsid w:val="00B76945"/>
    <w:rsid w:val="00B7694D"/>
    <w:rsid w:val="00B77565"/>
    <w:rsid w:val="00B77870"/>
    <w:rsid w:val="00B77AAE"/>
    <w:rsid w:val="00B77B1C"/>
    <w:rsid w:val="00B77B33"/>
    <w:rsid w:val="00B77C69"/>
    <w:rsid w:val="00B77D81"/>
    <w:rsid w:val="00B77E7E"/>
    <w:rsid w:val="00B800D5"/>
    <w:rsid w:val="00B80179"/>
    <w:rsid w:val="00B80191"/>
    <w:rsid w:val="00B801C2"/>
    <w:rsid w:val="00B8049F"/>
    <w:rsid w:val="00B80815"/>
    <w:rsid w:val="00B80AB7"/>
    <w:rsid w:val="00B80AF9"/>
    <w:rsid w:val="00B80D09"/>
    <w:rsid w:val="00B80E2C"/>
    <w:rsid w:val="00B80E7A"/>
    <w:rsid w:val="00B80FC6"/>
    <w:rsid w:val="00B80FF4"/>
    <w:rsid w:val="00B8106F"/>
    <w:rsid w:val="00B810D1"/>
    <w:rsid w:val="00B811AD"/>
    <w:rsid w:val="00B813A7"/>
    <w:rsid w:val="00B81535"/>
    <w:rsid w:val="00B815EA"/>
    <w:rsid w:val="00B81618"/>
    <w:rsid w:val="00B8170E"/>
    <w:rsid w:val="00B818EC"/>
    <w:rsid w:val="00B81950"/>
    <w:rsid w:val="00B81A3A"/>
    <w:rsid w:val="00B81ADA"/>
    <w:rsid w:val="00B81C07"/>
    <w:rsid w:val="00B81D47"/>
    <w:rsid w:val="00B81EE0"/>
    <w:rsid w:val="00B8219A"/>
    <w:rsid w:val="00B823E9"/>
    <w:rsid w:val="00B82593"/>
    <w:rsid w:val="00B82595"/>
    <w:rsid w:val="00B825AE"/>
    <w:rsid w:val="00B826D5"/>
    <w:rsid w:val="00B827A7"/>
    <w:rsid w:val="00B82805"/>
    <w:rsid w:val="00B82859"/>
    <w:rsid w:val="00B82C03"/>
    <w:rsid w:val="00B82C2A"/>
    <w:rsid w:val="00B83466"/>
    <w:rsid w:val="00B834DE"/>
    <w:rsid w:val="00B83C23"/>
    <w:rsid w:val="00B83C73"/>
    <w:rsid w:val="00B83F0E"/>
    <w:rsid w:val="00B840FA"/>
    <w:rsid w:val="00B84140"/>
    <w:rsid w:val="00B8415B"/>
    <w:rsid w:val="00B84378"/>
    <w:rsid w:val="00B84823"/>
    <w:rsid w:val="00B849DA"/>
    <w:rsid w:val="00B84A6B"/>
    <w:rsid w:val="00B84AD6"/>
    <w:rsid w:val="00B84AEC"/>
    <w:rsid w:val="00B84C63"/>
    <w:rsid w:val="00B84D82"/>
    <w:rsid w:val="00B8517A"/>
    <w:rsid w:val="00B8521F"/>
    <w:rsid w:val="00B853BB"/>
    <w:rsid w:val="00B854F5"/>
    <w:rsid w:val="00B85AFA"/>
    <w:rsid w:val="00B85B7B"/>
    <w:rsid w:val="00B85BFF"/>
    <w:rsid w:val="00B85CE3"/>
    <w:rsid w:val="00B85E41"/>
    <w:rsid w:val="00B86219"/>
    <w:rsid w:val="00B86268"/>
    <w:rsid w:val="00B865B8"/>
    <w:rsid w:val="00B86747"/>
    <w:rsid w:val="00B86BB7"/>
    <w:rsid w:val="00B86E52"/>
    <w:rsid w:val="00B86ECF"/>
    <w:rsid w:val="00B86ED0"/>
    <w:rsid w:val="00B86EF9"/>
    <w:rsid w:val="00B86F7D"/>
    <w:rsid w:val="00B871CE"/>
    <w:rsid w:val="00B87664"/>
    <w:rsid w:val="00B87791"/>
    <w:rsid w:val="00B877B3"/>
    <w:rsid w:val="00B878FA"/>
    <w:rsid w:val="00B879B7"/>
    <w:rsid w:val="00B87A84"/>
    <w:rsid w:val="00B87BF8"/>
    <w:rsid w:val="00B87C32"/>
    <w:rsid w:val="00B87C4F"/>
    <w:rsid w:val="00B87E6A"/>
    <w:rsid w:val="00B90640"/>
    <w:rsid w:val="00B90781"/>
    <w:rsid w:val="00B908EA"/>
    <w:rsid w:val="00B90989"/>
    <w:rsid w:val="00B90990"/>
    <w:rsid w:val="00B90A74"/>
    <w:rsid w:val="00B90BA3"/>
    <w:rsid w:val="00B90C99"/>
    <w:rsid w:val="00B90DA5"/>
    <w:rsid w:val="00B90E15"/>
    <w:rsid w:val="00B90EAD"/>
    <w:rsid w:val="00B90EB7"/>
    <w:rsid w:val="00B91007"/>
    <w:rsid w:val="00B9100D"/>
    <w:rsid w:val="00B91050"/>
    <w:rsid w:val="00B9114A"/>
    <w:rsid w:val="00B912BC"/>
    <w:rsid w:val="00B91417"/>
    <w:rsid w:val="00B91499"/>
    <w:rsid w:val="00B91558"/>
    <w:rsid w:val="00B917C7"/>
    <w:rsid w:val="00B9187A"/>
    <w:rsid w:val="00B91ACA"/>
    <w:rsid w:val="00B91F3A"/>
    <w:rsid w:val="00B92199"/>
    <w:rsid w:val="00B92236"/>
    <w:rsid w:val="00B92344"/>
    <w:rsid w:val="00B92380"/>
    <w:rsid w:val="00B92425"/>
    <w:rsid w:val="00B925DB"/>
    <w:rsid w:val="00B927D6"/>
    <w:rsid w:val="00B9285C"/>
    <w:rsid w:val="00B92B49"/>
    <w:rsid w:val="00B93012"/>
    <w:rsid w:val="00B931C8"/>
    <w:rsid w:val="00B931D3"/>
    <w:rsid w:val="00B932D2"/>
    <w:rsid w:val="00B938BF"/>
    <w:rsid w:val="00B93B67"/>
    <w:rsid w:val="00B93CD8"/>
    <w:rsid w:val="00B93F0D"/>
    <w:rsid w:val="00B9411B"/>
    <w:rsid w:val="00B94139"/>
    <w:rsid w:val="00B942C2"/>
    <w:rsid w:val="00B944B3"/>
    <w:rsid w:val="00B9465E"/>
    <w:rsid w:val="00B94836"/>
    <w:rsid w:val="00B9497E"/>
    <w:rsid w:val="00B949CD"/>
    <w:rsid w:val="00B94CFE"/>
    <w:rsid w:val="00B9597B"/>
    <w:rsid w:val="00B95A33"/>
    <w:rsid w:val="00B95D66"/>
    <w:rsid w:val="00B96106"/>
    <w:rsid w:val="00B963D0"/>
    <w:rsid w:val="00B96503"/>
    <w:rsid w:val="00B96811"/>
    <w:rsid w:val="00B968A5"/>
    <w:rsid w:val="00B96906"/>
    <w:rsid w:val="00B969B9"/>
    <w:rsid w:val="00B96DBD"/>
    <w:rsid w:val="00B9714E"/>
    <w:rsid w:val="00B97233"/>
    <w:rsid w:val="00B9724A"/>
    <w:rsid w:val="00B9740A"/>
    <w:rsid w:val="00B975C3"/>
    <w:rsid w:val="00B9788D"/>
    <w:rsid w:val="00B97C01"/>
    <w:rsid w:val="00B97FAB"/>
    <w:rsid w:val="00BA0015"/>
    <w:rsid w:val="00BA0046"/>
    <w:rsid w:val="00BA005A"/>
    <w:rsid w:val="00BA01FC"/>
    <w:rsid w:val="00BA04C9"/>
    <w:rsid w:val="00BA05C7"/>
    <w:rsid w:val="00BA0797"/>
    <w:rsid w:val="00BA0811"/>
    <w:rsid w:val="00BA0A48"/>
    <w:rsid w:val="00BA0A7F"/>
    <w:rsid w:val="00BA0F6A"/>
    <w:rsid w:val="00BA0FA8"/>
    <w:rsid w:val="00BA1149"/>
    <w:rsid w:val="00BA12EB"/>
    <w:rsid w:val="00BA13B0"/>
    <w:rsid w:val="00BA13CD"/>
    <w:rsid w:val="00BA14F2"/>
    <w:rsid w:val="00BA1581"/>
    <w:rsid w:val="00BA1643"/>
    <w:rsid w:val="00BA16A5"/>
    <w:rsid w:val="00BA16B2"/>
    <w:rsid w:val="00BA1873"/>
    <w:rsid w:val="00BA1ABE"/>
    <w:rsid w:val="00BA1CBD"/>
    <w:rsid w:val="00BA1D30"/>
    <w:rsid w:val="00BA1DD5"/>
    <w:rsid w:val="00BA1F49"/>
    <w:rsid w:val="00BA22D3"/>
    <w:rsid w:val="00BA2A32"/>
    <w:rsid w:val="00BA2A9D"/>
    <w:rsid w:val="00BA2B3D"/>
    <w:rsid w:val="00BA2B68"/>
    <w:rsid w:val="00BA2CBF"/>
    <w:rsid w:val="00BA2D5A"/>
    <w:rsid w:val="00BA2DCA"/>
    <w:rsid w:val="00BA3057"/>
    <w:rsid w:val="00BA31DB"/>
    <w:rsid w:val="00BA3286"/>
    <w:rsid w:val="00BA32DF"/>
    <w:rsid w:val="00BA3322"/>
    <w:rsid w:val="00BA3330"/>
    <w:rsid w:val="00BA346E"/>
    <w:rsid w:val="00BA3682"/>
    <w:rsid w:val="00BA37F4"/>
    <w:rsid w:val="00BA385F"/>
    <w:rsid w:val="00BA401B"/>
    <w:rsid w:val="00BA407C"/>
    <w:rsid w:val="00BA416F"/>
    <w:rsid w:val="00BA441A"/>
    <w:rsid w:val="00BA447C"/>
    <w:rsid w:val="00BA4542"/>
    <w:rsid w:val="00BA47E6"/>
    <w:rsid w:val="00BA492C"/>
    <w:rsid w:val="00BA49F3"/>
    <w:rsid w:val="00BA4EDB"/>
    <w:rsid w:val="00BA505B"/>
    <w:rsid w:val="00BA55A7"/>
    <w:rsid w:val="00BA58C7"/>
    <w:rsid w:val="00BA5910"/>
    <w:rsid w:val="00BA5AFD"/>
    <w:rsid w:val="00BA5D40"/>
    <w:rsid w:val="00BA5F4F"/>
    <w:rsid w:val="00BA60E7"/>
    <w:rsid w:val="00BA60FE"/>
    <w:rsid w:val="00BA6143"/>
    <w:rsid w:val="00BA61FD"/>
    <w:rsid w:val="00BA62FC"/>
    <w:rsid w:val="00BA67D1"/>
    <w:rsid w:val="00BA69BD"/>
    <w:rsid w:val="00BA6B77"/>
    <w:rsid w:val="00BA6BF1"/>
    <w:rsid w:val="00BA6E9D"/>
    <w:rsid w:val="00BA7319"/>
    <w:rsid w:val="00BA7473"/>
    <w:rsid w:val="00BA753C"/>
    <w:rsid w:val="00BA76A0"/>
    <w:rsid w:val="00BA76E1"/>
    <w:rsid w:val="00BA79C0"/>
    <w:rsid w:val="00BA7B58"/>
    <w:rsid w:val="00BA7B63"/>
    <w:rsid w:val="00BA7D1C"/>
    <w:rsid w:val="00BB0035"/>
    <w:rsid w:val="00BB01FE"/>
    <w:rsid w:val="00BB06E7"/>
    <w:rsid w:val="00BB0EE5"/>
    <w:rsid w:val="00BB0F40"/>
    <w:rsid w:val="00BB1323"/>
    <w:rsid w:val="00BB15DB"/>
    <w:rsid w:val="00BB1987"/>
    <w:rsid w:val="00BB19D8"/>
    <w:rsid w:val="00BB1C83"/>
    <w:rsid w:val="00BB2323"/>
    <w:rsid w:val="00BB282F"/>
    <w:rsid w:val="00BB2FDD"/>
    <w:rsid w:val="00BB3149"/>
    <w:rsid w:val="00BB3171"/>
    <w:rsid w:val="00BB320F"/>
    <w:rsid w:val="00BB344B"/>
    <w:rsid w:val="00BB3457"/>
    <w:rsid w:val="00BB39C6"/>
    <w:rsid w:val="00BB3B6E"/>
    <w:rsid w:val="00BB3E17"/>
    <w:rsid w:val="00BB3EA0"/>
    <w:rsid w:val="00BB4205"/>
    <w:rsid w:val="00BB4398"/>
    <w:rsid w:val="00BB469D"/>
    <w:rsid w:val="00BB46E6"/>
    <w:rsid w:val="00BB4A5A"/>
    <w:rsid w:val="00BB4FD3"/>
    <w:rsid w:val="00BB5062"/>
    <w:rsid w:val="00BB5283"/>
    <w:rsid w:val="00BB54D9"/>
    <w:rsid w:val="00BB5542"/>
    <w:rsid w:val="00BB5611"/>
    <w:rsid w:val="00BB577B"/>
    <w:rsid w:val="00BB596B"/>
    <w:rsid w:val="00BB59A4"/>
    <w:rsid w:val="00BB5BC1"/>
    <w:rsid w:val="00BB60CA"/>
    <w:rsid w:val="00BB61FF"/>
    <w:rsid w:val="00BB62F2"/>
    <w:rsid w:val="00BB6759"/>
    <w:rsid w:val="00BB6799"/>
    <w:rsid w:val="00BB6A97"/>
    <w:rsid w:val="00BB6BA2"/>
    <w:rsid w:val="00BB6C83"/>
    <w:rsid w:val="00BB71AC"/>
    <w:rsid w:val="00BB71CD"/>
    <w:rsid w:val="00BB7273"/>
    <w:rsid w:val="00BB72CD"/>
    <w:rsid w:val="00BB7394"/>
    <w:rsid w:val="00BB73A4"/>
    <w:rsid w:val="00BB73D7"/>
    <w:rsid w:val="00BB775D"/>
    <w:rsid w:val="00BB77A6"/>
    <w:rsid w:val="00BB7815"/>
    <w:rsid w:val="00BB7856"/>
    <w:rsid w:val="00BB7A72"/>
    <w:rsid w:val="00BB7B14"/>
    <w:rsid w:val="00BB7BEC"/>
    <w:rsid w:val="00BB7D94"/>
    <w:rsid w:val="00BB7F17"/>
    <w:rsid w:val="00BC00A9"/>
    <w:rsid w:val="00BC01D3"/>
    <w:rsid w:val="00BC022E"/>
    <w:rsid w:val="00BC03B6"/>
    <w:rsid w:val="00BC049B"/>
    <w:rsid w:val="00BC04C4"/>
    <w:rsid w:val="00BC0978"/>
    <w:rsid w:val="00BC09BC"/>
    <w:rsid w:val="00BC0AA8"/>
    <w:rsid w:val="00BC0C4A"/>
    <w:rsid w:val="00BC0ECA"/>
    <w:rsid w:val="00BC0FD8"/>
    <w:rsid w:val="00BC1139"/>
    <w:rsid w:val="00BC1263"/>
    <w:rsid w:val="00BC16C9"/>
    <w:rsid w:val="00BC1A2E"/>
    <w:rsid w:val="00BC2457"/>
    <w:rsid w:val="00BC2AC4"/>
    <w:rsid w:val="00BC2B8A"/>
    <w:rsid w:val="00BC2B92"/>
    <w:rsid w:val="00BC2FAA"/>
    <w:rsid w:val="00BC315F"/>
    <w:rsid w:val="00BC3361"/>
    <w:rsid w:val="00BC376C"/>
    <w:rsid w:val="00BC38E3"/>
    <w:rsid w:val="00BC3A06"/>
    <w:rsid w:val="00BC3AD6"/>
    <w:rsid w:val="00BC3B66"/>
    <w:rsid w:val="00BC3C3A"/>
    <w:rsid w:val="00BC42CD"/>
    <w:rsid w:val="00BC4515"/>
    <w:rsid w:val="00BC4614"/>
    <w:rsid w:val="00BC4853"/>
    <w:rsid w:val="00BC489E"/>
    <w:rsid w:val="00BC4AB9"/>
    <w:rsid w:val="00BC4B2C"/>
    <w:rsid w:val="00BC4B8A"/>
    <w:rsid w:val="00BC513A"/>
    <w:rsid w:val="00BC5447"/>
    <w:rsid w:val="00BC5499"/>
    <w:rsid w:val="00BC5604"/>
    <w:rsid w:val="00BC57B2"/>
    <w:rsid w:val="00BC5D1B"/>
    <w:rsid w:val="00BC5E27"/>
    <w:rsid w:val="00BC5FB1"/>
    <w:rsid w:val="00BC6041"/>
    <w:rsid w:val="00BC61FB"/>
    <w:rsid w:val="00BC63BF"/>
    <w:rsid w:val="00BC63F4"/>
    <w:rsid w:val="00BC6935"/>
    <w:rsid w:val="00BC693C"/>
    <w:rsid w:val="00BC6B69"/>
    <w:rsid w:val="00BC6B87"/>
    <w:rsid w:val="00BC6D0E"/>
    <w:rsid w:val="00BC6FBF"/>
    <w:rsid w:val="00BC6FC9"/>
    <w:rsid w:val="00BC7207"/>
    <w:rsid w:val="00BC73A2"/>
    <w:rsid w:val="00BC7430"/>
    <w:rsid w:val="00BC76D1"/>
    <w:rsid w:val="00BC792C"/>
    <w:rsid w:val="00BC7AAA"/>
    <w:rsid w:val="00BC7C6E"/>
    <w:rsid w:val="00BC7CAC"/>
    <w:rsid w:val="00BC7CAD"/>
    <w:rsid w:val="00BC7D19"/>
    <w:rsid w:val="00BD00C1"/>
    <w:rsid w:val="00BD011B"/>
    <w:rsid w:val="00BD01F2"/>
    <w:rsid w:val="00BD02B7"/>
    <w:rsid w:val="00BD0504"/>
    <w:rsid w:val="00BD0565"/>
    <w:rsid w:val="00BD0628"/>
    <w:rsid w:val="00BD0900"/>
    <w:rsid w:val="00BD0905"/>
    <w:rsid w:val="00BD0D54"/>
    <w:rsid w:val="00BD0D58"/>
    <w:rsid w:val="00BD0EB4"/>
    <w:rsid w:val="00BD0FCE"/>
    <w:rsid w:val="00BD10F1"/>
    <w:rsid w:val="00BD110D"/>
    <w:rsid w:val="00BD137D"/>
    <w:rsid w:val="00BD140D"/>
    <w:rsid w:val="00BD1539"/>
    <w:rsid w:val="00BD1816"/>
    <w:rsid w:val="00BD184A"/>
    <w:rsid w:val="00BD19FF"/>
    <w:rsid w:val="00BD1B54"/>
    <w:rsid w:val="00BD1BD4"/>
    <w:rsid w:val="00BD1DB9"/>
    <w:rsid w:val="00BD1DDE"/>
    <w:rsid w:val="00BD1F5B"/>
    <w:rsid w:val="00BD1F8B"/>
    <w:rsid w:val="00BD208D"/>
    <w:rsid w:val="00BD2115"/>
    <w:rsid w:val="00BD228E"/>
    <w:rsid w:val="00BD22C6"/>
    <w:rsid w:val="00BD2303"/>
    <w:rsid w:val="00BD2319"/>
    <w:rsid w:val="00BD2793"/>
    <w:rsid w:val="00BD29F9"/>
    <w:rsid w:val="00BD2E26"/>
    <w:rsid w:val="00BD3384"/>
    <w:rsid w:val="00BD35FB"/>
    <w:rsid w:val="00BD3745"/>
    <w:rsid w:val="00BD3A11"/>
    <w:rsid w:val="00BD3ACE"/>
    <w:rsid w:val="00BD3CF9"/>
    <w:rsid w:val="00BD3D0A"/>
    <w:rsid w:val="00BD4088"/>
    <w:rsid w:val="00BD4143"/>
    <w:rsid w:val="00BD433B"/>
    <w:rsid w:val="00BD457D"/>
    <w:rsid w:val="00BD471E"/>
    <w:rsid w:val="00BD4897"/>
    <w:rsid w:val="00BD4966"/>
    <w:rsid w:val="00BD4AC6"/>
    <w:rsid w:val="00BD5050"/>
    <w:rsid w:val="00BD50B5"/>
    <w:rsid w:val="00BD5191"/>
    <w:rsid w:val="00BD557A"/>
    <w:rsid w:val="00BD57DD"/>
    <w:rsid w:val="00BD590D"/>
    <w:rsid w:val="00BD5917"/>
    <w:rsid w:val="00BD5948"/>
    <w:rsid w:val="00BD5AFC"/>
    <w:rsid w:val="00BD5D96"/>
    <w:rsid w:val="00BD5E11"/>
    <w:rsid w:val="00BD5E24"/>
    <w:rsid w:val="00BD61B2"/>
    <w:rsid w:val="00BD6222"/>
    <w:rsid w:val="00BD62DB"/>
    <w:rsid w:val="00BD6607"/>
    <w:rsid w:val="00BD66FE"/>
    <w:rsid w:val="00BD6A08"/>
    <w:rsid w:val="00BD6B58"/>
    <w:rsid w:val="00BD6B93"/>
    <w:rsid w:val="00BD6BA6"/>
    <w:rsid w:val="00BD6FA4"/>
    <w:rsid w:val="00BD7364"/>
    <w:rsid w:val="00BD736E"/>
    <w:rsid w:val="00BD7450"/>
    <w:rsid w:val="00BD7461"/>
    <w:rsid w:val="00BD7549"/>
    <w:rsid w:val="00BD76A0"/>
    <w:rsid w:val="00BD7752"/>
    <w:rsid w:val="00BD793F"/>
    <w:rsid w:val="00BD7981"/>
    <w:rsid w:val="00BD7AB0"/>
    <w:rsid w:val="00BD7C11"/>
    <w:rsid w:val="00BD7C6E"/>
    <w:rsid w:val="00BD7CF9"/>
    <w:rsid w:val="00BD7EF3"/>
    <w:rsid w:val="00BD7F71"/>
    <w:rsid w:val="00BE0404"/>
    <w:rsid w:val="00BE0458"/>
    <w:rsid w:val="00BE05C2"/>
    <w:rsid w:val="00BE0945"/>
    <w:rsid w:val="00BE0DB0"/>
    <w:rsid w:val="00BE0E7D"/>
    <w:rsid w:val="00BE0E87"/>
    <w:rsid w:val="00BE0F75"/>
    <w:rsid w:val="00BE0FF8"/>
    <w:rsid w:val="00BE1227"/>
    <w:rsid w:val="00BE1451"/>
    <w:rsid w:val="00BE1554"/>
    <w:rsid w:val="00BE172D"/>
    <w:rsid w:val="00BE18C1"/>
    <w:rsid w:val="00BE19A8"/>
    <w:rsid w:val="00BE1B43"/>
    <w:rsid w:val="00BE1F6D"/>
    <w:rsid w:val="00BE2215"/>
    <w:rsid w:val="00BE2230"/>
    <w:rsid w:val="00BE2357"/>
    <w:rsid w:val="00BE2449"/>
    <w:rsid w:val="00BE2B9D"/>
    <w:rsid w:val="00BE2D33"/>
    <w:rsid w:val="00BE2F2E"/>
    <w:rsid w:val="00BE302B"/>
    <w:rsid w:val="00BE322E"/>
    <w:rsid w:val="00BE324F"/>
    <w:rsid w:val="00BE34F0"/>
    <w:rsid w:val="00BE373C"/>
    <w:rsid w:val="00BE3C3F"/>
    <w:rsid w:val="00BE3D05"/>
    <w:rsid w:val="00BE3D96"/>
    <w:rsid w:val="00BE3E69"/>
    <w:rsid w:val="00BE4044"/>
    <w:rsid w:val="00BE4275"/>
    <w:rsid w:val="00BE450B"/>
    <w:rsid w:val="00BE459D"/>
    <w:rsid w:val="00BE4887"/>
    <w:rsid w:val="00BE4974"/>
    <w:rsid w:val="00BE4993"/>
    <w:rsid w:val="00BE4C9C"/>
    <w:rsid w:val="00BE50A9"/>
    <w:rsid w:val="00BE516F"/>
    <w:rsid w:val="00BE5185"/>
    <w:rsid w:val="00BE5241"/>
    <w:rsid w:val="00BE53B3"/>
    <w:rsid w:val="00BE5B23"/>
    <w:rsid w:val="00BE5C9A"/>
    <w:rsid w:val="00BE5DEA"/>
    <w:rsid w:val="00BE5E42"/>
    <w:rsid w:val="00BE5FF3"/>
    <w:rsid w:val="00BE6110"/>
    <w:rsid w:val="00BE6120"/>
    <w:rsid w:val="00BE62D0"/>
    <w:rsid w:val="00BE62E1"/>
    <w:rsid w:val="00BE6301"/>
    <w:rsid w:val="00BE642E"/>
    <w:rsid w:val="00BE69B8"/>
    <w:rsid w:val="00BE6A43"/>
    <w:rsid w:val="00BE6BFC"/>
    <w:rsid w:val="00BE6C85"/>
    <w:rsid w:val="00BE707C"/>
    <w:rsid w:val="00BE70A8"/>
    <w:rsid w:val="00BE70D0"/>
    <w:rsid w:val="00BE72CB"/>
    <w:rsid w:val="00BE74FF"/>
    <w:rsid w:val="00BE77CF"/>
    <w:rsid w:val="00BE77D9"/>
    <w:rsid w:val="00BE78C0"/>
    <w:rsid w:val="00BE79A6"/>
    <w:rsid w:val="00BE7A9B"/>
    <w:rsid w:val="00BE7AFB"/>
    <w:rsid w:val="00BE7ECB"/>
    <w:rsid w:val="00BE7F6B"/>
    <w:rsid w:val="00BF0169"/>
    <w:rsid w:val="00BF0246"/>
    <w:rsid w:val="00BF03DF"/>
    <w:rsid w:val="00BF055F"/>
    <w:rsid w:val="00BF059E"/>
    <w:rsid w:val="00BF0E69"/>
    <w:rsid w:val="00BF11D4"/>
    <w:rsid w:val="00BF141C"/>
    <w:rsid w:val="00BF1BDB"/>
    <w:rsid w:val="00BF1CAE"/>
    <w:rsid w:val="00BF1D7D"/>
    <w:rsid w:val="00BF1FD2"/>
    <w:rsid w:val="00BF2069"/>
    <w:rsid w:val="00BF213D"/>
    <w:rsid w:val="00BF22F9"/>
    <w:rsid w:val="00BF230A"/>
    <w:rsid w:val="00BF2455"/>
    <w:rsid w:val="00BF2499"/>
    <w:rsid w:val="00BF26F9"/>
    <w:rsid w:val="00BF27AE"/>
    <w:rsid w:val="00BF294A"/>
    <w:rsid w:val="00BF29A6"/>
    <w:rsid w:val="00BF2A21"/>
    <w:rsid w:val="00BF2B21"/>
    <w:rsid w:val="00BF2BEF"/>
    <w:rsid w:val="00BF2C2C"/>
    <w:rsid w:val="00BF2D6A"/>
    <w:rsid w:val="00BF2E99"/>
    <w:rsid w:val="00BF2F55"/>
    <w:rsid w:val="00BF30C7"/>
    <w:rsid w:val="00BF329C"/>
    <w:rsid w:val="00BF332C"/>
    <w:rsid w:val="00BF33A7"/>
    <w:rsid w:val="00BF35F4"/>
    <w:rsid w:val="00BF36F6"/>
    <w:rsid w:val="00BF3938"/>
    <w:rsid w:val="00BF3B80"/>
    <w:rsid w:val="00BF3C34"/>
    <w:rsid w:val="00BF3C46"/>
    <w:rsid w:val="00BF3C71"/>
    <w:rsid w:val="00BF3ECD"/>
    <w:rsid w:val="00BF4019"/>
    <w:rsid w:val="00BF4030"/>
    <w:rsid w:val="00BF403D"/>
    <w:rsid w:val="00BF4217"/>
    <w:rsid w:val="00BF4283"/>
    <w:rsid w:val="00BF431F"/>
    <w:rsid w:val="00BF44AB"/>
    <w:rsid w:val="00BF45FA"/>
    <w:rsid w:val="00BF4685"/>
    <w:rsid w:val="00BF4716"/>
    <w:rsid w:val="00BF480C"/>
    <w:rsid w:val="00BF4E2A"/>
    <w:rsid w:val="00BF4E6F"/>
    <w:rsid w:val="00BF4FE3"/>
    <w:rsid w:val="00BF529C"/>
    <w:rsid w:val="00BF5320"/>
    <w:rsid w:val="00BF54BB"/>
    <w:rsid w:val="00BF54E0"/>
    <w:rsid w:val="00BF5586"/>
    <w:rsid w:val="00BF577C"/>
    <w:rsid w:val="00BF58FB"/>
    <w:rsid w:val="00BF590D"/>
    <w:rsid w:val="00BF590E"/>
    <w:rsid w:val="00BF5A3F"/>
    <w:rsid w:val="00BF5AB3"/>
    <w:rsid w:val="00BF5DAA"/>
    <w:rsid w:val="00BF5DDA"/>
    <w:rsid w:val="00BF6480"/>
    <w:rsid w:val="00BF666F"/>
    <w:rsid w:val="00BF6A59"/>
    <w:rsid w:val="00BF6B37"/>
    <w:rsid w:val="00BF6E3A"/>
    <w:rsid w:val="00BF70D3"/>
    <w:rsid w:val="00BF70FA"/>
    <w:rsid w:val="00BF725C"/>
    <w:rsid w:val="00BF7302"/>
    <w:rsid w:val="00BF7574"/>
    <w:rsid w:val="00BF7AED"/>
    <w:rsid w:val="00BF7B6C"/>
    <w:rsid w:val="00BF7B9D"/>
    <w:rsid w:val="00BF7C8C"/>
    <w:rsid w:val="00BF7CA0"/>
    <w:rsid w:val="00BF7DBC"/>
    <w:rsid w:val="00BF7E71"/>
    <w:rsid w:val="00C00085"/>
    <w:rsid w:val="00C00110"/>
    <w:rsid w:val="00C0017D"/>
    <w:rsid w:val="00C002F5"/>
    <w:rsid w:val="00C003E4"/>
    <w:rsid w:val="00C00402"/>
    <w:rsid w:val="00C00AD9"/>
    <w:rsid w:val="00C00AE2"/>
    <w:rsid w:val="00C00CE1"/>
    <w:rsid w:val="00C00DE0"/>
    <w:rsid w:val="00C014C6"/>
    <w:rsid w:val="00C015D8"/>
    <w:rsid w:val="00C01867"/>
    <w:rsid w:val="00C01C8F"/>
    <w:rsid w:val="00C01DCE"/>
    <w:rsid w:val="00C01EA7"/>
    <w:rsid w:val="00C01F53"/>
    <w:rsid w:val="00C01FE3"/>
    <w:rsid w:val="00C0221C"/>
    <w:rsid w:val="00C0225C"/>
    <w:rsid w:val="00C02487"/>
    <w:rsid w:val="00C02602"/>
    <w:rsid w:val="00C02627"/>
    <w:rsid w:val="00C02829"/>
    <w:rsid w:val="00C0295F"/>
    <w:rsid w:val="00C029FE"/>
    <w:rsid w:val="00C02B35"/>
    <w:rsid w:val="00C02BCE"/>
    <w:rsid w:val="00C02D0C"/>
    <w:rsid w:val="00C02D89"/>
    <w:rsid w:val="00C02D9B"/>
    <w:rsid w:val="00C02DCC"/>
    <w:rsid w:val="00C02F97"/>
    <w:rsid w:val="00C02FCD"/>
    <w:rsid w:val="00C0300F"/>
    <w:rsid w:val="00C0325E"/>
    <w:rsid w:val="00C034FD"/>
    <w:rsid w:val="00C03596"/>
    <w:rsid w:val="00C0376A"/>
    <w:rsid w:val="00C0394A"/>
    <w:rsid w:val="00C03A0F"/>
    <w:rsid w:val="00C03C2C"/>
    <w:rsid w:val="00C03C54"/>
    <w:rsid w:val="00C03C59"/>
    <w:rsid w:val="00C03F33"/>
    <w:rsid w:val="00C03F81"/>
    <w:rsid w:val="00C04055"/>
    <w:rsid w:val="00C042F6"/>
    <w:rsid w:val="00C04375"/>
    <w:rsid w:val="00C0442B"/>
    <w:rsid w:val="00C04471"/>
    <w:rsid w:val="00C044DC"/>
    <w:rsid w:val="00C04643"/>
    <w:rsid w:val="00C0488E"/>
    <w:rsid w:val="00C04902"/>
    <w:rsid w:val="00C0496B"/>
    <w:rsid w:val="00C04CF4"/>
    <w:rsid w:val="00C04DF5"/>
    <w:rsid w:val="00C04F91"/>
    <w:rsid w:val="00C04FC9"/>
    <w:rsid w:val="00C05183"/>
    <w:rsid w:val="00C0522D"/>
    <w:rsid w:val="00C05507"/>
    <w:rsid w:val="00C0568F"/>
    <w:rsid w:val="00C05817"/>
    <w:rsid w:val="00C05B80"/>
    <w:rsid w:val="00C05BC3"/>
    <w:rsid w:val="00C05C97"/>
    <w:rsid w:val="00C05D80"/>
    <w:rsid w:val="00C05FFE"/>
    <w:rsid w:val="00C0601A"/>
    <w:rsid w:val="00C060B2"/>
    <w:rsid w:val="00C061FB"/>
    <w:rsid w:val="00C06336"/>
    <w:rsid w:val="00C064A2"/>
    <w:rsid w:val="00C065CC"/>
    <w:rsid w:val="00C06D09"/>
    <w:rsid w:val="00C06D38"/>
    <w:rsid w:val="00C06E20"/>
    <w:rsid w:val="00C06E25"/>
    <w:rsid w:val="00C06E76"/>
    <w:rsid w:val="00C06E97"/>
    <w:rsid w:val="00C07550"/>
    <w:rsid w:val="00C07584"/>
    <w:rsid w:val="00C0765B"/>
    <w:rsid w:val="00C0772C"/>
    <w:rsid w:val="00C07741"/>
    <w:rsid w:val="00C07814"/>
    <w:rsid w:val="00C079C3"/>
    <w:rsid w:val="00C07A41"/>
    <w:rsid w:val="00C07C3A"/>
    <w:rsid w:val="00C07CCC"/>
    <w:rsid w:val="00C07D2E"/>
    <w:rsid w:val="00C07E14"/>
    <w:rsid w:val="00C07EF1"/>
    <w:rsid w:val="00C101EB"/>
    <w:rsid w:val="00C102F3"/>
    <w:rsid w:val="00C104CD"/>
    <w:rsid w:val="00C10570"/>
    <w:rsid w:val="00C10588"/>
    <w:rsid w:val="00C108FC"/>
    <w:rsid w:val="00C109BB"/>
    <w:rsid w:val="00C10C4E"/>
    <w:rsid w:val="00C110AB"/>
    <w:rsid w:val="00C11365"/>
    <w:rsid w:val="00C113BA"/>
    <w:rsid w:val="00C113F3"/>
    <w:rsid w:val="00C11531"/>
    <w:rsid w:val="00C115E0"/>
    <w:rsid w:val="00C115EA"/>
    <w:rsid w:val="00C11965"/>
    <w:rsid w:val="00C11BDD"/>
    <w:rsid w:val="00C11C4D"/>
    <w:rsid w:val="00C11C73"/>
    <w:rsid w:val="00C11CEE"/>
    <w:rsid w:val="00C11D2A"/>
    <w:rsid w:val="00C12229"/>
    <w:rsid w:val="00C12532"/>
    <w:rsid w:val="00C12592"/>
    <w:rsid w:val="00C126BB"/>
    <w:rsid w:val="00C12861"/>
    <w:rsid w:val="00C128D6"/>
    <w:rsid w:val="00C12CB7"/>
    <w:rsid w:val="00C12EAF"/>
    <w:rsid w:val="00C12F88"/>
    <w:rsid w:val="00C1310B"/>
    <w:rsid w:val="00C1336F"/>
    <w:rsid w:val="00C13400"/>
    <w:rsid w:val="00C13673"/>
    <w:rsid w:val="00C13730"/>
    <w:rsid w:val="00C13888"/>
    <w:rsid w:val="00C13A75"/>
    <w:rsid w:val="00C13BCB"/>
    <w:rsid w:val="00C13C5F"/>
    <w:rsid w:val="00C13CA6"/>
    <w:rsid w:val="00C13CD8"/>
    <w:rsid w:val="00C14372"/>
    <w:rsid w:val="00C1467D"/>
    <w:rsid w:val="00C14977"/>
    <w:rsid w:val="00C14A99"/>
    <w:rsid w:val="00C14B60"/>
    <w:rsid w:val="00C14B90"/>
    <w:rsid w:val="00C14C63"/>
    <w:rsid w:val="00C14CBD"/>
    <w:rsid w:val="00C14E3A"/>
    <w:rsid w:val="00C14EE9"/>
    <w:rsid w:val="00C14FE9"/>
    <w:rsid w:val="00C151DD"/>
    <w:rsid w:val="00C15209"/>
    <w:rsid w:val="00C15259"/>
    <w:rsid w:val="00C153D1"/>
    <w:rsid w:val="00C1567E"/>
    <w:rsid w:val="00C15732"/>
    <w:rsid w:val="00C15D00"/>
    <w:rsid w:val="00C15E2A"/>
    <w:rsid w:val="00C15FF4"/>
    <w:rsid w:val="00C16131"/>
    <w:rsid w:val="00C16340"/>
    <w:rsid w:val="00C16403"/>
    <w:rsid w:val="00C16483"/>
    <w:rsid w:val="00C16649"/>
    <w:rsid w:val="00C1694C"/>
    <w:rsid w:val="00C16E82"/>
    <w:rsid w:val="00C1721B"/>
    <w:rsid w:val="00C17703"/>
    <w:rsid w:val="00C17922"/>
    <w:rsid w:val="00C17A38"/>
    <w:rsid w:val="00C17BA3"/>
    <w:rsid w:val="00C17E72"/>
    <w:rsid w:val="00C2012B"/>
    <w:rsid w:val="00C2028D"/>
    <w:rsid w:val="00C2029E"/>
    <w:rsid w:val="00C203DB"/>
    <w:rsid w:val="00C204F6"/>
    <w:rsid w:val="00C205F1"/>
    <w:rsid w:val="00C20643"/>
    <w:rsid w:val="00C208ED"/>
    <w:rsid w:val="00C20C8C"/>
    <w:rsid w:val="00C20E73"/>
    <w:rsid w:val="00C20ECA"/>
    <w:rsid w:val="00C20FC8"/>
    <w:rsid w:val="00C212DA"/>
    <w:rsid w:val="00C2134C"/>
    <w:rsid w:val="00C21537"/>
    <w:rsid w:val="00C21572"/>
    <w:rsid w:val="00C215CB"/>
    <w:rsid w:val="00C215CE"/>
    <w:rsid w:val="00C21632"/>
    <w:rsid w:val="00C2171A"/>
    <w:rsid w:val="00C217D5"/>
    <w:rsid w:val="00C2182D"/>
    <w:rsid w:val="00C2195B"/>
    <w:rsid w:val="00C219B9"/>
    <w:rsid w:val="00C21D21"/>
    <w:rsid w:val="00C21DCB"/>
    <w:rsid w:val="00C21E95"/>
    <w:rsid w:val="00C21F5B"/>
    <w:rsid w:val="00C22009"/>
    <w:rsid w:val="00C22025"/>
    <w:rsid w:val="00C22154"/>
    <w:rsid w:val="00C22163"/>
    <w:rsid w:val="00C222A8"/>
    <w:rsid w:val="00C22404"/>
    <w:rsid w:val="00C224D7"/>
    <w:rsid w:val="00C224F6"/>
    <w:rsid w:val="00C22576"/>
    <w:rsid w:val="00C2276F"/>
    <w:rsid w:val="00C228F1"/>
    <w:rsid w:val="00C22A22"/>
    <w:rsid w:val="00C22A3E"/>
    <w:rsid w:val="00C22C69"/>
    <w:rsid w:val="00C234C1"/>
    <w:rsid w:val="00C235BA"/>
    <w:rsid w:val="00C24181"/>
    <w:rsid w:val="00C244A3"/>
    <w:rsid w:val="00C246A9"/>
    <w:rsid w:val="00C246CC"/>
    <w:rsid w:val="00C249BB"/>
    <w:rsid w:val="00C249BD"/>
    <w:rsid w:val="00C249F3"/>
    <w:rsid w:val="00C24A7E"/>
    <w:rsid w:val="00C2508D"/>
    <w:rsid w:val="00C250D8"/>
    <w:rsid w:val="00C2526F"/>
    <w:rsid w:val="00C255D5"/>
    <w:rsid w:val="00C25859"/>
    <w:rsid w:val="00C25923"/>
    <w:rsid w:val="00C25A4B"/>
    <w:rsid w:val="00C25B03"/>
    <w:rsid w:val="00C25EDA"/>
    <w:rsid w:val="00C26293"/>
    <w:rsid w:val="00C26418"/>
    <w:rsid w:val="00C264E5"/>
    <w:rsid w:val="00C266EF"/>
    <w:rsid w:val="00C26828"/>
    <w:rsid w:val="00C26AC5"/>
    <w:rsid w:val="00C26BD4"/>
    <w:rsid w:val="00C26D3B"/>
    <w:rsid w:val="00C26D94"/>
    <w:rsid w:val="00C26EDE"/>
    <w:rsid w:val="00C2704A"/>
    <w:rsid w:val="00C27442"/>
    <w:rsid w:val="00C2763F"/>
    <w:rsid w:val="00C27C90"/>
    <w:rsid w:val="00C27D43"/>
    <w:rsid w:val="00C27DCC"/>
    <w:rsid w:val="00C27F82"/>
    <w:rsid w:val="00C27FDD"/>
    <w:rsid w:val="00C30334"/>
    <w:rsid w:val="00C3045C"/>
    <w:rsid w:val="00C30806"/>
    <w:rsid w:val="00C308F0"/>
    <w:rsid w:val="00C309A2"/>
    <w:rsid w:val="00C30A26"/>
    <w:rsid w:val="00C30ADD"/>
    <w:rsid w:val="00C30B37"/>
    <w:rsid w:val="00C30F6A"/>
    <w:rsid w:val="00C311A9"/>
    <w:rsid w:val="00C31269"/>
    <w:rsid w:val="00C314B0"/>
    <w:rsid w:val="00C315BB"/>
    <w:rsid w:val="00C31671"/>
    <w:rsid w:val="00C31A26"/>
    <w:rsid w:val="00C31C0D"/>
    <w:rsid w:val="00C31C3E"/>
    <w:rsid w:val="00C31CF7"/>
    <w:rsid w:val="00C31E6D"/>
    <w:rsid w:val="00C31F32"/>
    <w:rsid w:val="00C32006"/>
    <w:rsid w:val="00C3209B"/>
    <w:rsid w:val="00C3213A"/>
    <w:rsid w:val="00C322FF"/>
    <w:rsid w:val="00C32480"/>
    <w:rsid w:val="00C32750"/>
    <w:rsid w:val="00C328F8"/>
    <w:rsid w:val="00C329A9"/>
    <w:rsid w:val="00C32A4D"/>
    <w:rsid w:val="00C32B51"/>
    <w:rsid w:val="00C32C10"/>
    <w:rsid w:val="00C32D8A"/>
    <w:rsid w:val="00C32E16"/>
    <w:rsid w:val="00C32EBD"/>
    <w:rsid w:val="00C33004"/>
    <w:rsid w:val="00C33365"/>
    <w:rsid w:val="00C3339D"/>
    <w:rsid w:val="00C334C8"/>
    <w:rsid w:val="00C33511"/>
    <w:rsid w:val="00C3373E"/>
    <w:rsid w:val="00C338FD"/>
    <w:rsid w:val="00C33926"/>
    <w:rsid w:val="00C33B3C"/>
    <w:rsid w:val="00C33C2A"/>
    <w:rsid w:val="00C33E26"/>
    <w:rsid w:val="00C33E62"/>
    <w:rsid w:val="00C33F6D"/>
    <w:rsid w:val="00C33FF6"/>
    <w:rsid w:val="00C34109"/>
    <w:rsid w:val="00C34116"/>
    <w:rsid w:val="00C3425A"/>
    <w:rsid w:val="00C342BC"/>
    <w:rsid w:val="00C342DB"/>
    <w:rsid w:val="00C345B8"/>
    <w:rsid w:val="00C3461B"/>
    <w:rsid w:val="00C34758"/>
    <w:rsid w:val="00C34861"/>
    <w:rsid w:val="00C348A3"/>
    <w:rsid w:val="00C348CF"/>
    <w:rsid w:val="00C34FEA"/>
    <w:rsid w:val="00C352CC"/>
    <w:rsid w:val="00C3586F"/>
    <w:rsid w:val="00C35BCE"/>
    <w:rsid w:val="00C35CE1"/>
    <w:rsid w:val="00C35F2B"/>
    <w:rsid w:val="00C3606F"/>
    <w:rsid w:val="00C360AD"/>
    <w:rsid w:val="00C360B2"/>
    <w:rsid w:val="00C360FA"/>
    <w:rsid w:val="00C361AA"/>
    <w:rsid w:val="00C361D9"/>
    <w:rsid w:val="00C362B5"/>
    <w:rsid w:val="00C364AE"/>
    <w:rsid w:val="00C36770"/>
    <w:rsid w:val="00C368D7"/>
    <w:rsid w:val="00C36950"/>
    <w:rsid w:val="00C36A0F"/>
    <w:rsid w:val="00C36E33"/>
    <w:rsid w:val="00C3726D"/>
    <w:rsid w:val="00C374EC"/>
    <w:rsid w:val="00C375FB"/>
    <w:rsid w:val="00C378F3"/>
    <w:rsid w:val="00C37978"/>
    <w:rsid w:val="00C379DA"/>
    <w:rsid w:val="00C37A4D"/>
    <w:rsid w:val="00C37B56"/>
    <w:rsid w:val="00C37CA4"/>
    <w:rsid w:val="00C37D1B"/>
    <w:rsid w:val="00C400C9"/>
    <w:rsid w:val="00C40353"/>
    <w:rsid w:val="00C40397"/>
    <w:rsid w:val="00C403FF"/>
    <w:rsid w:val="00C40664"/>
    <w:rsid w:val="00C406CE"/>
    <w:rsid w:val="00C40707"/>
    <w:rsid w:val="00C4087D"/>
    <w:rsid w:val="00C40A7F"/>
    <w:rsid w:val="00C40B80"/>
    <w:rsid w:val="00C40BF4"/>
    <w:rsid w:val="00C40D4E"/>
    <w:rsid w:val="00C40DC1"/>
    <w:rsid w:val="00C41169"/>
    <w:rsid w:val="00C4125A"/>
    <w:rsid w:val="00C41319"/>
    <w:rsid w:val="00C4136E"/>
    <w:rsid w:val="00C416CC"/>
    <w:rsid w:val="00C41C73"/>
    <w:rsid w:val="00C41F9A"/>
    <w:rsid w:val="00C4206A"/>
    <w:rsid w:val="00C42228"/>
    <w:rsid w:val="00C422A0"/>
    <w:rsid w:val="00C42319"/>
    <w:rsid w:val="00C42487"/>
    <w:rsid w:val="00C4253F"/>
    <w:rsid w:val="00C42893"/>
    <w:rsid w:val="00C42900"/>
    <w:rsid w:val="00C42955"/>
    <w:rsid w:val="00C42BFB"/>
    <w:rsid w:val="00C42DC7"/>
    <w:rsid w:val="00C42EB2"/>
    <w:rsid w:val="00C42EF4"/>
    <w:rsid w:val="00C43135"/>
    <w:rsid w:val="00C43353"/>
    <w:rsid w:val="00C43515"/>
    <w:rsid w:val="00C4365C"/>
    <w:rsid w:val="00C436CF"/>
    <w:rsid w:val="00C437D9"/>
    <w:rsid w:val="00C437E0"/>
    <w:rsid w:val="00C43AF5"/>
    <w:rsid w:val="00C44064"/>
    <w:rsid w:val="00C4424F"/>
    <w:rsid w:val="00C447AE"/>
    <w:rsid w:val="00C447CC"/>
    <w:rsid w:val="00C448E9"/>
    <w:rsid w:val="00C449A6"/>
    <w:rsid w:val="00C45425"/>
    <w:rsid w:val="00C455AD"/>
    <w:rsid w:val="00C457D0"/>
    <w:rsid w:val="00C45818"/>
    <w:rsid w:val="00C45972"/>
    <w:rsid w:val="00C459AE"/>
    <w:rsid w:val="00C45A14"/>
    <w:rsid w:val="00C45BB2"/>
    <w:rsid w:val="00C45C4C"/>
    <w:rsid w:val="00C45DF3"/>
    <w:rsid w:val="00C4605E"/>
    <w:rsid w:val="00C460B6"/>
    <w:rsid w:val="00C460F1"/>
    <w:rsid w:val="00C4659B"/>
    <w:rsid w:val="00C467AF"/>
    <w:rsid w:val="00C467CA"/>
    <w:rsid w:val="00C4681C"/>
    <w:rsid w:val="00C4687D"/>
    <w:rsid w:val="00C468E0"/>
    <w:rsid w:val="00C469FC"/>
    <w:rsid w:val="00C46DC2"/>
    <w:rsid w:val="00C46E3A"/>
    <w:rsid w:val="00C46EE1"/>
    <w:rsid w:val="00C47025"/>
    <w:rsid w:val="00C4739D"/>
    <w:rsid w:val="00C473FE"/>
    <w:rsid w:val="00C47547"/>
    <w:rsid w:val="00C5005E"/>
    <w:rsid w:val="00C5008F"/>
    <w:rsid w:val="00C500F6"/>
    <w:rsid w:val="00C50553"/>
    <w:rsid w:val="00C5057E"/>
    <w:rsid w:val="00C50674"/>
    <w:rsid w:val="00C5069B"/>
    <w:rsid w:val="00C50893"/>
    <w:rsid w:val="00C50B25"/>
    <w:rsid w:val="00C50CF6"/>
    <w:rsid w:val="00C50EBE"/>
    <w:rsid w:val="00C51054"/>
    <w:rsid w:val="00C51097"/>
    <w:rsid w:val="00C5111F"/>
    <w:rsid w:val="00C5121E"/>
    <w:rsid w:val="00C51385"/>
    <w:rsid w:val="00C51B2C"/>
    <w:rsid w:val="00C51FDD"/>
    <w:rsid w:val="00C520D7"/>
    <w:rsid w:val="00C522E4"/>
    <w:rsid w:val="00C523DA"/>
    <w:rsid w:val="00C524FA"/>
    <w:rsid w:val="00C52652"/>
    <w:rsid w:val="00C526ED"/>
    <w:rsid w:val="00C5271B"/>
    <w:rsid w:val="00C5277B"/>
    <w:rsid w:val="00C52C00"/>
    <w:rsid w:val="00C52CB3"/>
    <w:rsid w:val="00C52EDD"/>
    <w:rsid w:val="00C52FDC"/>
    <w:rsid w:val="00C530A4"/>
    <w:rsid w:val="00C5330A"/>
    <w:rsid w:val="00C53429"/>
    <w:rsid w:val="00C5373B"/>
    <w:rsid w:val="00C53864"/>
    <w:rsid w:val="00C539B6"/>
    <w:rsid w:val="00C53A65"/>
    <w:rsid w:val="00C541B2"/>
    <w:rsid w:val="00C544B2"/>
    <w:rsid w:val="00C5450F"/>
    <w:rsid w:val="00C5464A"/>
    <w:rsid w:val="00C54679"/>
    <w:rsid w:val="00C54B82"/>
    <w:rsid w:val="00C54BF3"/>
    <w:rsid w:val="00C54CBD"/>
    <w:rsid w:val="00C54CD6"/>
    <w:rsid w:val="00C552C5"/>
    <w:rsid w:val="00C553BC"/>
    <w:rsid w:val="00C55443"/>
    <w:rsid w:val="00C55492"/>
    <w:rsid w:val="00C55614"/>
    <w:rsid w:val="00C55786"/>
    <w:rsid w:val="00C55E61"/>
    <w:rsid w:val="00C55EBA"/>
    <w:rsid w:val="00C55F76"/>
    <w:rsid w:val="00C56309"/>
    <w:rsid w:val="00C5656D"/>
    <w:rsid w:val="00C56823"/>
    <w:rsid w:val="00C56A5A"/>
    <w:rsid w:val="00C56B26"/>
    <w:rsid w:val="00C5725F"/>
    <w:rsid w:val="00C57308"/>
    <w:rsid w:val="00C575DE"/>
    <w:rsid w:val="00C57839"/>
    <w:rsid w:val="00C579AC"/>
    <w:rsid w:val="00C57BBF"/>
    <w:rsid w:val="00C57BCD"/>
    <w:rsid w:val="00C6027D"/>
    <w:rsid w:val="00C60529"/>
    <w:rsid w:val="00C60AA6"/>
    <w:rsid w:val="00C60C3A"/>
    <w:rsid w:val="00C60D4C"/>
    <w:rsid w:val="00C60D7B"/>
    <w:rsid w:val="00C60ED9"/>
    <w:rsid w:val="00C60F1E"/>
    <w:rsid w:val="00C61068"/>
    <w:rsid w:val="00C612FE"/>
    <w:rsid w:val="00C61510"/>
    <w:rsid w:val="00C6180A"/>
    <w:rsid w:val="00C618AC"/>
    <w:rsid w:val="00C61900"/>
    <w:rsid w:val="00C61902"/>
    <w:rsid w:val="00C61B4A"/>
    <w:rsid w:val="00C61F6C"/>
    <w:rsid w:val="00C6213E"/>
    <w:rsid w:val="00C6229D"/>
    <w:rsid w:val="00C626DA"/>
    <w:rsid w:val="00C6290E"/>
    <w:rsid w:val="00C6297B"/>
    <w:rsid w:val="00C629DB"/>
    <w:rsid w:val="00C629E7"/>
    <w:rsid w:val="00C62C20"/>
    <w:rsid w:val="00C62C50"/>
    <w:rsid w:val="00C62C82"/>
    <w:rsid w:val="00C630EF"/>
    <w:rsid w:val="00C632D4"/>
    <w:rsid w:val="00C63B5A"/>
    <w:rsid w:val="00C63D90"/>
    <w:rsid w:val="00C63D9D"/>
    <w:rsid w:val="00C640C9"/>
    <w:rsid w:val="00C6411E"/>
    <w:rsid w:val="00C64148"/>
    <w:rsid w:val="00C6420D"/>
    <w:rsid w:val="00C6442A"/>
    <w:rsid w:val="00C64816"/>
    <w:rsid w:val="00C64891"/>
    <w:rsid w:val="00C64971"/>
    <w:rsid w:val="00C6499C"/>
    <w:rsid w:val="00C64B35"/>
    <w:rsid w:val="00C64B5D"/>
    <w:rsid w:val="00C64C00"/>
    <w:rsid w:val="00C6517F"/>
    <w:rsid w:val="00C652A6"/>
    <w:rsid w:val="00C654F4"/>
    <w:rsid w:val="00C6572E"/>
    <w:rsid w:val="00C65A31"/>
    <w:rsid w:val="00C65A58"/>
    <w:rsid w:val="00C65EB7"/>
    <w:rsid w:val="00C6600F"/>
    <w:rsid w:val="00C661CB"/>
    <w:rsid w:val="00C66377"/>
    <w:rsid w:val="00C6645F"/>
    <w:rsid w:val="00C664AD"/>
    <w:rsid w:val="00C664D9"/>
    <w:rsid w:val="00C66771"/>
    <w:rsid w:val="00C668E3"/>
    <w:rsid w:val="00C66B1E"/>
    <w:rsid w:val="00C66B2A"/>
    <w:rsid w:val="00C66C99"/>
    <w:rsid w:val="00C66D69"/>
    <w:rsid w:val="00C66E8C"/>
    <w:rsid w:val="00C671C2"/>
    <w:rsid w:val="00C67556"/>
    <w:rsid w:val="00C67559"/>
    <w:rsid w:val="00C6764E"/>
    <w:rsid w:val="00C677C1"/>
    <w:rsid w:val="00C677C2"/>
    <w:rsid w:val="00C67867"/>
    <w:rsid w:val="00C67AA5"/>
    <w:rsid w:val="00C67B24"/>
    <w:rsid w:val="00C67D49"/>
    <w:rsid w:val="00C67E31"/>
    <w:rsid w:val="00C67E9D"/>
    <w:rsid w:val="00C70089"/>
    <w:rsid w:val="00C7010A"/>
    <w:rsid w:val="00C70259"/>
    <w:rsid w:val="00C702DC"/>
    <w:rsid w:val="00C70381"/>
    <w:rsid w:val="00C70628"/>
    <w:rsid w:val="00C70712"/>
    <w:rsid w:val="00C70ECC"/>
    <w:rsid w:val="00C71230"/>
    <w:rsid w:val="00C714CE"/>
    <w:rsid w:val="00C719A7"/>
    <w:rsid w:val="00C721CB"/>
    <w:rsid w:val="00C72209"/>
    <w:rsid w:val="00C726CC"/>
    <w:rsid w:val="00C729C5"/>
    <w:rsid w:val="00C72A49"/>
    <w:rsid w:val="00C72B76"/>
    <w:rsid w:val="00C7309E"/>
    <w:rsid w:val="00C730E0"/>
    <w:rsid w:val="00C7316D"/>
    <w:rsid w:val="00C732C2"/>
    <w:rsid w:val="00C73419"/>
    <w:rsid w:val="00C739F8"/>
    <w:rsid w:val="00C73A23"/>
    <w:rsid w:val="00C73A59"/>
    <w:rsid w:val="00C73BD3"/>
    <w:rsid w:val="00C73C70"/>
    <w:rsid w:val="00C74053"/>
    <w:rsid w:val="00C740FD"/>
    <w:rsid w:val="00C742A2"/>
    <w:rsid w:val="00C74425"/>
    <w:rsid w:val="00C7475A"/>
    <w:rsid w:val="00C74861"/>
    <w:rsid w:val="00C74930"/>
    <w:rsid w:val="00C74A29"/>
    <w:rsid w:val="00C74CEE"/>
    <w:rsid w:val="00C74E40"/>
    <w:rsid w:val="00C753C9"/>
    <w:rsid w:val="00C75548"/>
    <w:rsid w:val="00C756B6"/>
    <w:rsid w:val="00C756EA"/>
    <w:rsid w:val="00C7570A"/>
    <w:rsid w:val="00C75726"/>
    <w:rsid w:val="00C7580B"/>
    <w:rsid w:val="00C75830"/>
    <w:rsid w:val="00C75850"/>
    <w:rsid w:val="00C75DE3"/>
    <w:rsid w:val="00C760D8"/>
    <w:rsid w:val="00C760F8"/>
    <w:rsid w:val="00C765A0"/>
    <w:rsid w:val="00C7674A"/>
    <w:rsid w:val="00C76800"/>
    <w:rsid w:val="00C76FB3"/>
    <w:rsid w:val="00C77046"/>
    <w:rsid w:val="00C77237"/>
    <w:rsid w:val="00C772D2"/>
    <w:rsid w:val="00C77449"/>
    <w:rsid w:val="00C77714"/>
    <w:rsid w:val="00C777FF"/>
    <w:rsid w:val="00C77B36"/>
    <w:rsid w:val="00C77D51"/>
    <w:rsid w:val="00C77DC0"/>
    <w:rsid w:val="00C77E1B"/>
    <w:rsid w:val="00C77F63"/>
    <w:rsid w:val="00C8047F"/>
    <w:rsid w:val="00C80690"/>
    <w:rsid w:val="00C80765"/>
    <w:rsid w:val="00C8096D"/>
    <w:rsid w:val="00C80A3B"/>
    <w:rsid w:val="00C80B28"/>
    <w:rsid w:val="00C80B43"/>
    <w:rsid w:val="00C80C93"/>
    <w:rsid w:val="00C80E43"/>
    <w:rsid w:val="00C81021"/>
    <w:rsid w:val="00C8126E"/>
    <w:rsid w:val="00C812A6"/>
    <w:rsid w:val="00C8137E"/>
    <w:rsid w:val="00C813EA"/>
    <w:rsid w:val="00C814DE"/>
    <w:rsid w:val="00C814FF"/>
    <w:rsid w:val="00C817C4"/>
    <w:rsid w:val="00C819E7"/>
    <w:rsid w:val="00C81AE4"/>
    <w:rsid w:val="00C81B0E"/>
    <w:rsid w:val="00C81B60"/>
    <w:rsid w:val="00C81BC9"/>
    <w:rsid w:val="00C81C1F"/>
    <w:rsid w:val="00C81E09"/>
    <w:rsid w:val="00C8210A"/>
    <w:rsid w:val="00C821D6"/>
    <w:rsid w:val="00C8235A"/>
    <w:rsid w:val="00C8267B"/>
    <w:rsid w:val="00C82995"/>
    <w:rsid w:val="00C82C6B"/>
    <w:rsid w:val="00C82CC0"/>
    <w:rsid w:val="00C82DF7"/>
    <w:rsid w:val="00C832A6"/>
    <w:rsid w:val="00C833B5"/>
    <w:rsid w:val="00C83427"/>
    <w:rsid w:val="00C8344B"/>
    <w:rsid w:val="00C835A1"/>
    <w:rsid w:val="00C83635"/>
    <w:rsid w:val="00C836B0"/>
    <w:rsid w:val="00C83853"/>
    <w:rsid w:val="00C839CA"/>
    <w:rsid w:val="00C839FB"/>
    <w:rsid w:val="00C83FBC"/>
    <w:rsid w:val="00C84061"/>
    <w:rsid w:val="00C84120"/>
    <w:rsid w:val="00C84385"/>
    <w:rsid w:val="00C843AD"/>
    <w:rsid w:val="00C844D7"/>
    <w:rsid w:val="00C84562"/>
    <w:rsid w:val="00C845E4"/>
    <w:rsid w:val="00C84688"/>
    <w:rsid w:val="00C84947"/>
    <w:rsid w:val="00C84B92"/>
    <w:rsid w:val="00C84D14"/>
    <w:rsid w:val="00C8531F"/>
    <w:rsid w:val="00C856AA"/>
    <w:rsid w:val="00C856DB"/>
    <w:rsid w:val="00C857EB"/>
    <w:rsid w:val="00C85A65"/>
    <w:rsid w:val="00C85AB2"/>
    <w:rsid w:val="00C85D59"/>
    <w:rsid w:val="00C85EA8"/>
    <w:rsid w:val="00C85EE4"/>
    <w:rsid w:val="00C863D7"/>
    <w:rsid w:val="00C8646F"/>
    <w:rsid w:val="00C864E4"/>
    <w:rsid w:val="00C869B7"/>
    <w:rsid w:val="00C869E6"/>
    <w:rsid w:val="00C86AF6"/>
    <w:rsid w:val="00C86D50"/>
    <w:rsid w:val="00C86F2D"/>
    <w:rsid w:val="00C87120"/>
    <w:rsid w:val="00C8730D"/>
    <w:rsid w:val="00C87578"/>
    <w:rsid w:val="00C8768A"/>
    <w:rsid w:val="00C878DA"/>
    <w:rsid w:val="00C878E8"/>
    <w:rsid w:val="00C8790B"/>
    <w:rsid w:val="00C87D37"/>
    <w:rsid w:val="00C87E84"/>
    <w:rsid w:val="00C87F7E"/>
    <w:rsid w:val="00C9002E"/>
    <w:rsid w:val="00C9010D"/>
    <w:rsid w:val="00C9045D"/>
    <w:rsid w:val="00C907A9"/>
    <w:rsid w:val="00C90A32"/>
    <w:rsid w:val="00C90BA6"/>
    <w:rsid w:val="00C90D0B"/>
    <w:rsid w:val="00C90D28"/>
    <w:rsid w:val="00C90F54"/>
    <w:rsid w:val="00C90F86"/>
    <w:rsid w:val="00C910ED"/>
    <w:rsid w:val="00C9120D"/>
    <w:rsid w:val="00C914D9"/>
    <w:rsid w:val="00C91AA7"/>
    <w:rsid w:val="00C91B47"/>
    <w:rsid w:val="00C91E0E"/>
    <w:rsid w:val="00C9251C"/>
    <w:rsid w:val="00C92790"/>
    <w:rsid w:val="00C927B3"/>
    <w:rsid w:val="00C929C8"/>
    <w:rsid w:val="00C92B6C"/>
    <w:rsid w:val="00C92C38"/>
    <w:rsid w:val="00C92DA4"/>
    <w:rsid w:val="00C92E8D"/>
    <w:rsid w:val="00C92FB9"/>
    <w:rsid w:val="00C92FCB"/>
    <w:rsid w:val="00C93090"/>
    <w:rsid w:val="00C931CB"/>
    <w:rsid w:val="00C9330A"/>
    <w:rsid w:val="00C93367"/>
    <w:rsid w:val="00C93800"/>
    <w:rsid w:val="00C940CE"/>
    <w:rsid w:val="00C94432"/>
    <w:rsid w:val="00C944D9"/>
    <w:rsid w:val="00C945C1"/>
    <w:rsid w:val="00C945F0"/>
    <w:rsid w:val="00C94884"/>
    <w:rsid w:val="00C94B61"/>
    <w:rsid w:val="00C94DA1"/>
    <w:rsid w:val="00C94E26"/>
    <w:rsid w:val="00C94EAC"/>
    <w:rsid w:val="00C94EFF"/>
    <w:rsid w:val="00C94F47"/>
    <w:rsid w:val="00C94FD0"/>
    <w:rsid w:val="00C95019"/>
    <w:rsid w:val="00C950F4"/>
    <w:rsid w:val="00C951AB"/>
    <w:rsid w:val="00C9557F"/>
    <w:rsid w:val="00C955EC"/>
    <w:rsid w:val="00C95647"/>
    <w:rsid w:val="00C957CE"/>
    <w:rsid w:val="00C95AD9"/>
    <w:rsid w:val="00C95E77"/>
    <w:rsid w:val="00C95E80"/>
    <w:rsid w:val="00C96250"/>
    <w:rsid w:val="00C962DC"/>
    <w:rsid w:val="00C963B0"/>
    <w:rsid w:val="00C9642B"/>
    <w:rsid w:val="00C96471"/>
    <w:rsid w:val="00C9690E"/>
    <w:rsid w:val="00C96987"/>
    <w:rsid w:val="00C96B1F"/>
    <w:rsid w:val="00C97114"/>
    <w:rsid w:val="00C97358"/>
    <w:rsid w:val="00C97657"/>
    <w:rsid w:val="00C9766B"/>
    <w:rsid w:val="00C977B3"/>
    <w:rsid w:val="00C97897"/>
    <w:rsid w:val="00C97B48"/>
    <w:rsid w:val="00C97B53"/>
    <w:rsid w:val="00C97E8C"/>
    <w:rsid w:val="00C97F66"/>
    <w:rsid w:val="00CA0158"/>
    <w:rsid w:val="00CA0241"/>
    <w:rsid w:val="00CA0309"/>
    <w:rsid w:val="00CA0318"/>
    <w:rsid w:val="00CA0508"/>
    <w:rsid w:val="00CA0586"/>
    <w:rsid w:val="00CA08B3"/>
    <w:rsid w:val="00CA08F1"/>
    <w:rsid w:val="00CA09EA"/>
    <w:rsid w:val="00CA0E96"/>
    <w:rsid w:val="00CA1401"/>
    <w:rsid w:val="00CA166B"/>
    <w:rsid w:val="00CA16A4"/>
    <w:rsid w:val="00CA1750"/>
    <w:rsid w:val="00CA1906"/>
    <w:rsid w:val="00CA1972"/>
    <w:rsid w:val="00CA1D7C"/>
    <w:rsid w:val="00CA1EFC"/>
    <w:rsid w:val="00CA2026"/>
    <w:rsid w:val="00CA227A"/>
    <w:rsid w:val="00CA27EF"/>
    <w:rsid w:val="00CA2998"/>
    <w:rsid w:val="00CA2A1E"/>
    <w:rsid w:val="00CA2B14"/>
    <w:rsid w:val="00CA2C78"/>
    <w:rsid w:val="00CA2D65"/>
    <w:rsid w:val="00CA2F35"/>
    <w:rsid w:val="00CA3198"/>
    <w:rsid w:val="00CA31EC"/>
    <w:rsid w:val="00CA33F4"/>
    <w:rsid w:val="00CA3431"/>
    <w:rsid w:val="00CA34D7"/>
    <w:rsid w:val="00CA358B"/>
    <w:rsid w:val="00CA35AA"/>
    <w:rsid w:val="00CA3611"/>
    <w:rsid w:val="00CA3A6A"/>
    <w:rsid w:val="00CA3A72"/>
    <w:rsid w:val="00CA3C87"/>
    <w:rsid w:val="00CA3D75"/>
    <w:rsid w:val="00CA3DCD"/>
    <w:rsid w:val="00CA4129"/>
    <w:rsid w:val="00CA4173"/>
    <w:rsid w:val="00CA417D"/>
    <w:rsid w:val="00CA431D"/>
    <w:rsid w:val="00CA4481"/>
    <w:rsid w:val="00CA44BE"/>
    <w:rsid w:val="00CA44D5"/>
    <w:rsid w:val="00CA45AF"/>
    <w:rsid w:val="00CA46D4"/>
    <w:rsid w:val="00CA4861"/>
    <w:rsid w:val="00CA48DB"/>
    <w:rsid w:val="00CA4C12"/>
    <w:rsid w:val="00CA4C67"/>
    <w:rsid w:val="00CA4F46"/>
    <w:rsid w:val="00CA4F77"/>
    <w:rsid w:val="00CA5074"/>
    <w:rsid w:val="00CA51A1"/>
    <w:rsid w:val="00CA52F8"/>
    <w:rsid w:val="00CA5381"/>
    <w:rsid w:val="00CA54A7"/>
    <w:rsid w:val="00CA54C4"/>
    <w:rsid w:val="00CA5648"/>
    <w:rsid w:val="00CA5885"/>
    <w:rsid w:val="00CA5A8D"/>
    <w:rsid w:val="00CA5F48"/>
    <w:rsid w:val="00CA62B7"/>
    <w:rsid w:val="00CA6417"/>
    <w:rsid w:val="00CA64A6"/>
    <w:rsid w:val="00CA65C8"/>
    <w:rsid w:val="00CA669B"/>
    <w:rsid w:val="00CA68FD"/>
    <w:rsid w:val="00CA6CE7"/>
    <w:rsid w:val="00CA6F55"/>
    <w:rsid w:val="00CA6FEB"/>
    <w:rsid w:val="00CA72A7"/>
    <w:rsid w:val="00CA748A"/>
    <w:rsid w:val="00CA7521"/>
    <w:rsid w:val="00CA77AE"/>
    <w:rsid w:val="00CA7A73"/>
    <w:rsid w:val="00CA7ADA"/>
    <w:rsid w:val="00CA7B15"/>
    <w:rsid w:val="00CA7DD9"/>
    <w:rsid w:val="00CA7E58"/>
    <w:rsid w:val="00CA7F09"/>
    <w:rsid w:val="00CB021F"/>
    <w:rsid w:val="00CB0345"/>
    <w:rsid w:val="00CB0353"/>
    <w:rsid w:val="00CB0979"/>
    <w:rsid w:val="00CB09F2"/>
    <w:rsid w:val="00CB0AD3"/>
    <w:rsid w:val="00CB0C32"/>
    <w:rsid w:val="00CB0CDC"/>
    <w:rsid w:val="00CB0DAB"/>
    <w:rsid w:val="00CB0DEE"/>
    <w:rsid w:val="00CB0E95"/>
    <w:rsid w:val="00CB0F63"/>
    <w:rsid w:val="00CB0F94"/>
    <w:rsid w:val="00CB10CF"/>
    <w:rsid w:val="00CB10F3"/>
    <w:rsid w:val="00CB11E9"/>
    <w:rsid w:val="00CB1366"/>
    <w:rsid w:val="00CB13B5"/>
    <w:rsid w:val="00CB1818"/>
    <w:rsid w:val="00CB1ACA"/>
    <w:rsid w:val="00CB1B4E"/>
    <w:rsid w:val="00CB1B6F"/>
    <w:rsid w:val="00CB1C8F"/>
    <w:rsid w:val="00CB1E11"/>
    <w:rsid w:val="00CB1FE4"/>
    <w:rsid w:val="00CB2011"/>
    <w:rsid w:val="00CB24C0"/>
    <w:rsid w:val="00CB24E5"/>
    <w:rsid w:val="00CB28B0"/>
    <w:rsid w:val="00CB2A88"/>
    <w:rsid w:val="00CB2E83"/>
    <w:rsid w:val="00CB3016"/>
    <w:rsid w:val="00CB3272"/>
    <w:rsid w:val="00CB3513"/>
    <w:rsid w:val="00CB3556"/>
    <w:rsid w:val="00CB35FA"/>
    <w:rsid w:val="00CB36D0"/>
    <w:rsid w:val="00CB3A92"/>
    <w:rsid w:val="00CB3ABA"/>
    <w:rsid w:val="00CB3B4D"/>
    <w:rsid w:val="00CB3CB9"/>
    <w:rsid w:val="00CB3DDB"/>
    <w:rsid w:val="00CB3F12"/>
    <w:rsid w:val="00CB4188"/>
    <w:rsid w:val="00CB4693"/>
    <w:rsid w:val="00CB488D"/>
    <w:rsid w:val="00CB4915"/>
    <w:rsid w:val="00CB49F1"/>
    <w:rsid w:val="00CB4B8A"/>
    <w:rsid w:val="00CB5074"/>
    <w:rsid w:val="00CB50E9"/>
    <w:rsid w:val="00CB52E3"/>
    <w:rsid w:val="00CB5344"/>
    <w:rsid w:val="00CB575A"/>
    <w:rsid w:val="00CB584C"/>
    <w:rsid w:val="00CB5B03"/>
    <w:rsid w:val="00CB5B5F"/>
    <w:rsid w:val="00CB5B8D"/>
    <w:rsid w:val="00CB5FB7"/>
    <w:rsid w:val="00CB61B8"/>
    <w:rsid w:val="00CB633C"/>
    <w:rsid w:val="00CB6463"/>
    <w:rsid w:val="00CB6594"/>
    <w:rsid w:val="00CB6643"/>
    <w:rsid w:val="00CB6862"/>
    <w:rsid w:val="00CB689B"/>
    <w:rsid w:val="00CB68A6"/>
    <w:rsid w:val="00CB6C88"/>
    <w:rsid w:val="00CB6E92"/>
    <w:rsid w:val="00CB6EBB"/>
    <w:rsid w:val="00CB6EDB"/>
    <w:rsid w:val="00CB7284"/>
    <w:rsid w:val="00CB72D2"/>
    <w:rsid w:val="00CB77C8"/>
    <w:rsid w:val="00CB7DD7"/>
    <w:rsid w:val="00CC0137"/>
    <w:rsid w:val="00CC01F6"/>
    <w:rsid w:val="00CC0242"/>
    <w:rsid w:val="00CC0358"/>
    <w:rsid w:val="00CC0366"/>
    <w:rsid w:val="00CC0674"/>
    <w:rsid w:val="00CC08A4"/>
    <w:rsid w:val="00CC0A72"/>
    <w:rsid w:val="00CC0A9E"/>
    <w:rsid w:val="00CC0C7A"/>
    <w:rsid w:val="00CC0CBD"/>
    <w:rsid w:val="00CC0DA3"/>
    <w:rsid w:val="00CC0FAF"/>
    <w:rsid w:val="00CC1282"/>
    <w:rsid w:val="00CC13BF"/>
    <w:rsid w:val="00CC13CF"/>
    <w:rsid w:val="00CC16F6"/>
    <w:rsid w:val="00CC18F5"/>
    <w:rsid w:val="00CC1B35"/>
    <w:rsid w:val="00CC1E6F"/>
    <w:rsid w:val="00CC1ED1"/>
    <w:rsid w:val="00CC1F61"/>
    <w:rsid w:val="00CC2130"/>
    <w:rsid w:val="00CC22FE"/>
    <w:rsid w:val="00CC23A4"/>
    <w:rsid w:val="00CC2527"/>
    <w:rsid w:val="00CC25A3"/>
    <w:rsid w:val="00CC284D"/>
    <w:rsid w:val="00CC28DD"/>
    <w:rsid w:val="00CC2B8D"/>
    <w:rsid w:val="00CC2B99"/>
    <w:rsid w:val="00CC2BA9"/>
    <w:rsid w:val="00CC2D8C"/>
    <w:rsid w:val="00CC2EB0"/>
    <w:rsid w:val="00CC2F25"/>
    <w:rsid w:val="00CC306B"/>
    <w:rsid w:val="00CC31E4"/>
    <w:rsid w:val="00CC3336"/>
    <w:rsid w:val="00CC3419"/>
    <w:rsid w:val="00CC3504"/>
    <w:rsid w:val="00CC3644"/>
    <w:rsid w:val="00CC3AD3"/>
    <w:rsid w:val="00CC3BD9"/>
    <w:rsid w:val="00CC3D1B"/>
    <w:rsid w:val="00CC3DE8"/>
    <w:rsid w:val="00CC4119"/>
    <w:rsid w:val="00CC41DE"/>
    <w:rsid w:val="00CC44E5"/>
    <w:rsid w:val="00CC45D7"/>
    <w:rsid w:val="00CC4746"/>
    <w:rsid w:val="00CC47BA"/>
    <w:rsid w:val="00CC4851"/>
    <w:rsid w:val="00CC48E1"/>
    <w:rsid w:val="00CC48F6"/>
    <w:rsid w:val="00CC4A00"/>
    <w:rsid w:val="00CC4AA5"/>
    <w:rsid w:val="00CC4ACA"/>
    <w:rsid w:val="00CC4DBB"/>
    <w:rsid w:val="00CC4E12"/>
    <w:rsid w:val="00CC5252"/>
    <w:rsid w:val="00CC527F"/>
    <w:rsid w:val="00CC5381"/>
    <w:rsid w:val="00CC5C3E"/>
    <w:rsid w:val="00CC5F73"/>
    <w:rsid w:val="00CC6208"/>
    <w:rsid w:val="00CC63A2"/>
    <w:rsid w:val="00CC63D9"/>
    <w:rsid w:val="00CC6447"/>
    <w:rsid w:val="00CC64A6"/>
    <w:rsid w:val="00CC6587"/>
    <w:rsid w:val="00CC6949"/>
    <w:rsid w:val="00CC69A2"/>
    <w:rsid w:val="00CC6B0D"/>
    <w:rsid w:val="00CC6C87"/>
    <w:rsid w:val="00CC6D8F"/>
    <w:rsid w:val="00CC6E7B"/>
    <w:rsid w:val="00CC7230"/>
    <w:rsid w:val="00CC72A4"/>
    <w:rsid w:val="00CC7668"/>
    <w:rsid w:val="00CC7717"/>
    <w:rsid w:val="00CC7948"/>
    <w:rsid w:val="00CC79C0"/>
    <w:rsid w:val="00CC7ADE"/>
    <w:rsid w:val="00CC7BCC"/>
    <w:rsid w:val="00CC7D5E"/>
    <w:rsid w:val="00CD007B"/>
    <w:rsid w:val="00CD00AE"/>
    <w:rsid w:val="00CD019A"/>
    <w:rsid w:val="00CD021F"/>
    <w:rsid w:val="00CD023E"/>
    <w:rsid w:val="00CD0430"/>
    <w:rsid w:val="00CD048A"/>
    <w:rsid w:val="00CD0703"/>
    <w:rsid w:val="00CD0793"/>
    <w:rsid w:val="00CD07E7"/>
    <w:rsid w:val="00CD0845"/>
    <w:rsid w:val="00CD0AC3"/>
    <w:rsid w:val="00CD0F19"/>
    <w:rsid w:val="00CD1038"/>
    <w:rsid w:val="00CD1108"/>
    <w:rsid w:val="00CD1116"/>
    <w:rsid w:val="00CD11BA"/>
    <w:rsid w:val="00CD1437"/>
    <w:rsid w:val="00CD16BD"/>
    <w:rsid w:val="00CD1770"/>
    <w:rsid w:val="00CD1ABC"/>
    <w:rsid w:val="00CD1B75"/>
    <w:rsid w:val="00CD1C16"/>
    <w:rsid w:val="00CD1D45"/>
    <w:rsid w:val="00CD1D92"/>
    <w:rsid w:val="00CD1E52"/>
    <w:rsid w:val="00CD1EB1"/>
    <w:rsid w:val="00CD2191"/>
    <w:rsid w:val="00CD21E5"/>
    <w:rsid w:val="00CD2306"/>
    <w:rsid w:val="00CD23BA"/>
    <w:rsid w:val="00CD23E6"/>
    <w:rsid w:val="00CD2466"/>
    <w:rsid w:val="00CD2530"/>
    <w:rsid w:val="00CD25F6"/>
    <w:rsid w:val="00CD26BB"/>
    <w:rsid w:val="00CD2A32"/>
    <w:rsid w:val="00CD2A8A"/>
    <w:rsid w:val="00CD2C9E"/>
    <w:rsid w:val="00CD2D8C"/>
    <w:rsid w:val="00CD2E64"/>
    <w:rsid w:val="00CD2EE3"/>
    <w:rsid w:val="00CD3215"/>
    <w:rsid w:val="00CD327F"/>
    <w:rsid w:val="00CD3419"/>
    <w:rsid w:val="00CD38E9"/>
    <w:rsid w:val="00CD3FD5"/>
    <w:rsid w:val="00CD402E"/>
    <w:rsid w:val="00CD437C"/>
    <w:rsid w:val="00CD4802"/>
    <w:rsid w:val="00CD4D2A"/>
    <w:rsid w:val="00CD54CF"/>
    <w:rsid w:val="00CD5697"/>
    <w:rsid w:val="00CD5719"/>
    <w:rsid w:val="00CD590D"/>
    <w:rsid w:val="00CD5B8F"/>
    <w:rsid w:val="00CD5CEA"/>
    <w:rsid w:val="00CD5DCF"/>
    <w:rsid w:val="00CD60A6"/>
    <w:rsid w:val="00CD6211"/>
    <w:rsid w:val="00CD66CC"/>
    <w:rsid w:val="00CD66EE"/>
    <w:rsid w:val="00CD66F6"/>
    <w:rsid w:val="00CD69F0"/>
    <w:rsid w:val="00CD6A55"/>
    <w:rsid w:val="00CD6ADD"/>
    <w:rsid w:val="00CD6BB2"/>
    <w:rsid w:val="00CD6FD5"/>
    <w:rsid w:val="00CD70C2"/>
    <w:rsid w:val="00CD716E"/>
    <w:rsid w:val="00CD73A3"/>
    <w:rsid w:val="00CD76AF"/>
    <w:rsid w:val="00CD76CB"/>
    <w:rsid w:val="00CD78BB"/>
    <w:rsid w:val="00CD799C"/>
    <w:rsid w:val="00CD7AE3"/>
    <w:rsid w:val="00CD7B56"/>
    <w:rsid w:val="00CD7BF0"/>
    <w:rsid w:val="00CD7DD5"/>
    <w:rsid w:val="00CE00C7"/>
    <w:rsid w:val="00CE02B2"/>
    <w:rsid w:val="00CE03E5"/>
    <w:rsid w:val="00CE0A80"/>
    <w:rsid w:val="00CE0B29"/>
    <w:rsid w:val="00CE0EE4"/>
    <w:rsid w:val="00CE0F75"/>
    <w:rsid w:val="00CE12A8"/>
    <w:rsid w:val="00CE12B5"/>
    <w:rsid w:val="00CE13B4"/>
    <w:rsid w:val="00CE19A3"/>
    <w:rsid w:val="00CE1AB0"/>
    <w:rsid w:val="00CE1ABF"/>
    <w:rsid w:val="00CE1C7B"/>
    <w:rsid w:val="00CE1E25"/>
    <w:rsid w:val="00CE1EF8"/>
    <w:rsid w:val="00CE2271"/>
    <w:rsid w:val="00CE22EC"/>
    <w:rsid w:val="00CE24D2"/>
    <w:rsid w:val="00CE252B"/>
    <w:rsid w:val="00CE2673"/>
    <w:rsid w:val="00CE2DAF"/>
    <w:rsid w:val="00CE2DF0"/>
    <w:rsid w:val="00CE2F22"/>
    <w:rsid w:val="00CE31A7"/>
    <w:rsid w:val="00CE31FB"/>
    <w:rsid w:val="00CE3A30"/>
    <w:rsid w:val="00CE3B36"/>
    <w:rsid w:val="00CE3B5F"/>
    <w:rsid w:val="00CE3BD6"/>
    <w:rsid w:val="00CE3C25"/>
    <w:rsid w:val="00CE409B"/>
    <w:rsid w:val="00CE40DC"/>
    <w:rsid w:val="00CE4233"/>
    <w:rsid w:val="00CE4371"/>
    <w:rsid w:val="00CE4448"/>
    <w:rsid w:val="00CE46D3"/>
    <w:rsid w:val="00CE4876"/>
    <w:rsid w:val="00CE48E1"/>
    <w:rsid w:val="00CE4912"/>
    <w:rsid w:val="00CE4961"/>
    <w:rsid w:val="00CE4993"/>
    <w:rsid w:val="00CE4B9B"/>
    <w:rsid w:val="00CE4BD4"/>
    <w:rsid w:val="00CE4CF9"/>
    <w:rsid w:val="00CE4F55"/>
    <w:rsid w:val="00CE516F"/>
    <w:rsid w:val="00CE54C1"/>
    <w:rsid w:val="00CE54CD"/>
    <w:rsid w:val="00CE55A0"/>
    <w:rsid w:val="00CE57E4"/>
    <w:rsid w:val="00CE583A"/>
    <w:rsid w:val="00CE59B4"/>
    <w:rsid w:val="00CE5A0B"/>
    <w:rsid w:val="00CE5A12"/>
    <w:rsid w:val="00CE6343"/>
    <w:rsid w:val="00CE6777"/>
    <w:rsid w:val="00CE68F9"/>
    <w:rsid w:val="00CE694D"/>
    <w:rsid w:val="00CE69A2"/>
    <w:rsid w:val="00CE6A40"/>
    <w:rsid w:val="00CE6BEB"/>
    <w:rsid w:val="00CE6C2F"/>
    <w:rsid w:val="00CE6D1D"/>
    <w:rsid w:val="00CE6E7B"/>
    <w:rsid w:val="00CE7314"/>
    <w:rsid w:val="00CE763A"/>
    <w:rsid w:val="00CE7642"/>
    <w:rsid w:val="00CE79DE"/>
    <w:rsid w:val="00CE7BA6"/>
    <w:rsid w:val="00CE7D38"/>
    <w:rsid w:val="00CE7DD8"/>
    <w:rsid w:val="00CE7DDB"/>
    <w:rsid w:val="00CE7E90"/>
    <w:rsid w:val="00CE7EE2"/>
    <w:rsid w:val="00CE7F4C"/>
    <w:rsid w:val="00CF016E"/>
    <w:rsid w:val="00CF03A1"/>
    <w:rsid w:val="00CF04DC"/>
    <w:rsid w:val="00CF0618"/>
    <w:rsid w:val="00CF068A"/>
    <w:rsid w:val="00CF0E0A"/>
    <w:rsid w:val="00CF0E47"/>
    <w:rsid w:val="00CF0E9A"/>
    <w:rsid w:val="00CF0E9E"/>
    <w:rsid w:val="00CF0EF8"/>
    <w:rsid w:val="00CF0F27"/>
    <w:rsid w:val="00CF1023"/>
    <w:rsid w:val="00CF1064"/>
    <w:rsid w:val="00CF13A5"/>
    <w:rsid w:val="00CF15F6"/>
    <w:rsid w:val="00CF1627"/>
    <w:rsid w:val="00CF1782"/>
    <w:rsid w:val="00CF18F0"/>
    <w:rsid w:val="00CF1CE2"/>
    <w:rsid w:val="00CF1E77"/>
    <w:rsid w:val="00CF1E88"/>
    <w:rsid w:val="00CF1FEE"/>
    <w:rsid w:val="00CF228A"/>
    <w:rsid w:val="00CF2379"/>
    <w:rsid w:val="00CF23CE"/>
    <w:rsid w:val="00CF2590"/>
    <w:rsid w:val="00CF2720"/>
    <w:rsid w:val="00CF2735"/>
    <w:rsid w:val="00CF2CCD"/>
    <w:rsid w:val="00CF2E1A"/>
    <w:rsid w:val="00CF300A"/>
    <w:rsid w:val="00CF315F"/>
    <w:rsid w:val="00CF316C"/>
    <w:rsid w:val="00CF338A"/>
    <w:rsid w:val="00CF3506"/>
    <w:rsid w:val="00CF3516"/>
    <w:rsid w:val="00CF359C"/>
    <w:rsid w:val="00CF3760"/>
    <w:rsid w:val="00CF3A17"/>
    <w:rsid w:val="00CF3C32"/>
    <w:rsid w:val="00CF3ECD"/>
    <w:rsid w:val="00CF3F0E"/>
    <w:rsid w:val="00CF418F"/>
    <w:rsid w:val="00CF41CA"/>
    <w:rsid w:val="00CF41D6"/>
    <w:rsid w:val="00CF4267"/>
    <w:rsid w:val="00CF42D7"/>
    <w:rsid w:val="00CF4321"/>
    <w:rsid w:val="00CF4457"/>
    <w:rsid w:val="00CF46C5"/>
    <w:rsid w:val="00CF475F"/>
    <w:rsid w:val="00CF47D7"/>
    <w:rsid w:val="00CF4C96"/>
    <w:rsid w:val="00CF4F10"/>
    <w:rsid w:val="00CF4F4E"/>
    <w:rsid w:val="00CF506C"/>
    <w:rsid w:val="00CF50FE"/>
    <w:rsid w:val="00CF5630"/>
    <w:rsid w:val="00CF5733"/>
    <w:rsid w:val="00CF57C2"/>
    <w:rsid w:val="00CF585C"/>
    <w:rsid w:val="00CF586C"/>
    <w:rsid w:val="00CF599A"/>
    <w:rsid w:val="00CF5AF8"/>
    <w:rsid w:val="00CF5CDC"/>
    <w:rsid w:val="00CF6089"/>
    <w:rsid w:val="00CF631A"/>
    <w:rsid w:val="00CF6682"/>
    <w:rsid w:val="00CF66F3"/>
    <w:rsid w:val="00CF6710"/>
    <w:rsid w:val="00CF6780"/>
    <w:rsid w:val="00CF67DC"/>
    <w:rsid w:val="00CF6996"/>
    <w:rsid w:val="00CF6DF6"/>
    <w:rsid w:val="00CF73F5"/>
    <w:rsid w:val="00CF7683"/>
    <w:rsid w:val="00CF76F2"/>
    <w:rsid w:val="00CF7A00"/>
    <w:rsid w:val="00CF7BDC"/>
    <w:rsid w:val="00CF7C47"/>
    <w:rsid w:val="00CF7CF8"/>
    <w:rsid w:val="00D00085"/>
    <w:rsid w:val="00D000FC"/>
    <w:rsid w:val="00D003B9"/>
    <w:rsid w:val="00D01071"/>
    <w:rsid w:val="00D0108C"/>
    <w:rsid w:val="00D010EE"/>
    <w:rsid w:val="00D01112"/>
    <w:rsid w:val="00D01114"/>
    <w:rsid w:val="00D012BC"/>
    <w:rsid w:val="00D01429"/>
    <w:rsid w:val="00D0147D"/>
    <w:rsid w:val="00D014A4"/>
    <w:rsid w:val="00D01520"/>
    <w:rsid w:val="00D01AB7"/>
    <w:rsid w:val="00D01BC7"/>
    <w:rsid w:val="00D01F78"/>
    <w:rsid w:val="00D02022"/>
    <w:rsid w:val="00D02030"/>
    <w:rsid w:val="00D0213D"/>
    <w:rsid w:val="00D02300"/>
    <w:rsid w:val="00D029AB"/>
    <w:rsid w:val="00D02CED"/>
    <w:rsid w:val="00D02E4D"/>
    <w:rsid w:val="00D03042"/>
    <w:rsid w:val="00D03194"/>
    <w:rsid w:val="00D031D8"/>
    <w:rsid w:val="00D0333F"/>
    <w:rsid w:val="00D033FA"/>
    <w:rsid w:val="00D0352E"/>
    <w:rsid w:val="00D0353F"/>
    <w:rsid w:val="00D03578"/>
    <w:rsid w:val="00D03599"/>
    <w:rsid w:val="00D03797"/>
    <w:rsid w:val="00D037D5"/>
    <w:rsid w:val="00D03B1C"/>
    <w:rsid w:val="00D03FEE"/>
    <w:rsid w:val="00D0412A"/>
    <w:rsid w:val="00D0412E"/>
    <w:rsid w:val="00D04259"/>
    <w:rsid w:val="00D042D8"/>
    <w:rsid w:val="00D04437"/>
    <w:rsid w:val="00D044C8"/>
    <w:rsid w:val="00D04509"/>
    <w:rsid w:val="00D0453B"/>
    <w:rsid w:val="00D04542"/>
    <w:rsid w:val="00D04641"/>
    <w:rsid w:val="00D04680"/>
    <w:rsid w:val="00D046A9"/>
    <w:rsid w:val="00D046AA"/>
    <w:rsid w:val="00D04A73"/>
    <w:rsid w:val="00D04BA8"/>
    <w:rsid w:val="00D04C49"/>
    <w:rsid w:val="00D04D92"/>
    <w:rsid w:val="00D04DDC"/>
    <w:rsid w:val="00D04EDF"/>
    <w:rsid w:val="00D04F29"/>
    <w:rsid w:val="00D051D8"/>
    <w:rsid w:val="00D052A6"/>
    <w:rsid w:val="00D05309"/>
    <w:rsid w:val="00D055F1"/>
    <w:rsid w:val="00D05656"/>
    <w:rsid w:val="00D05968"/>
    <w:rsid w:val="00D05C7D"/>
    <w:rsid w:val="00D05DA8"/>
    <w:rsid w:val="00D06171"/>
    <w:rsid w:val="00D06543"/>
    <w:rsid w:val="00D0656E"/>
    <w:rsid w:val="00D0688C"/>
    <w:rsid w:val="00D06C13"/>
    <w:rsid w:val="00D06C21"/>
    <w:rsid w:val="00D06C99"/>
    <w:rsid w:val="00D06D07"/>
    <w:rsid w:val="00D06D45"/>
    <w:rsid w:val="00D06DD4"/>
    <w:rsid w:val="00D06E17"/>
    <w:rsid w:val="00D06E4A"/>
    <w:rsid w:val="00D0701F"/>
    <w:rsid w:val="00D070B4"/>
    <w:rsid w:val="00D07122"/>
    <w:rsid w:val="00D0727E"/>
    <w:rsid w:val="00D0749D"/>
    <w:rsid w:val="00D07A2D"/>
    <w:rsid w:val="00D07BC2"/>
    <w:rsid w:val="00D07DFB"/>
    <w:rsid w:val="00D1035D"/>
    <w:rsid w:val="00D1087E"/>
    <w:rsid w:val="00D1091C"/>
    <w:rsid w:val="00D1092E"/>
    <w:rsid w:val="00D10BB8"/>
    <w:rsid w:val="00D10E02"/>
    <w:rsid w:val="00D10F33"/>
    <w:rsid w:val="00D11098"/>
    <w:rsid w:val="00D112D3"/>
    <w:rsid w:val="00D115A8"/>
    <w:rsid w:val="00D11619"/>
    <w:rsid w:val="00D116C7"/>
    <w:rsid w:val="00D11846"/>
    <w:rsid w:val="00D118EA"/>
    <w:rsid w:val="00D1195D"/>
    <w:rsid w:val="00D11973"/>
    <w:rsid w:val="00D11B1D"/>
    <w:rsid w:val="00D11C3F"/>
    <w:rsid w:val="00D11C60"/>
    <w:rsid w:val="00D11D6E"/>
    <w:rsid w:val="00D11F05"/>
    <w:rsid w:val="00D11F7A"/>
    <w:rsid w:val="00D12013"/>
    <w:rsid w:val="00D125E6"/>
    <w:rsid w:val="00D12670"/>
    <w:rsid w:val="00D126DF"/>
    <w:rsid w:val="00D12734"/>
    <w:rsid w:val="00D127FC"/>
    <w:rsid w:val="00D12960"/>
    <w:rsid w:val="00D12AFA"/>
    <w:rsid w:val="00D12C99"/>
    <w:rsid w:val="00D12EAD"/>
    <w:rsid w:val="00D12EB1"/>
    <w:rsid w:val="00D131D3"/>
    <w:rsid w:val="00D134AE"/>
    <w:rsid w:val="00D1398F"/>
    <w:rsid w:val="00D13BA0"/>
    <w:rsid w:val="00D13CF2"/>
    <w:rsid w:val="00D13E91"/>
    <w:rsid w:val="00D143FE"/>
    <w:rsid w:val="00D14687"/>
    <w:rsid w:val="00D14810"/>
    <w:rsid w:val="00D148EA"/>
    <w:rsid w:val="00D14957"/>
    <w:rsid w:val="00D14AA3"/>
    <w:rsid w:val="00D14B96"/>
    <w:rsid w:val="00D14E0A"/>
    <w:rsid w:val="00D14E58"/>
    <w:rsid w:val="00D14F1D"/>
    <w:rsid w:val="00D150F2"/>
    <w:rsid w:val="00D1526D"/>
    <w:rsid w:val="00D15296"/>
    <w:rsid w:val="00D15390"/>
    <w:rsid w:val="00D153CF"/>
    <w:rsid w:val="00D154CF"/>
    <w:rsid w:val="00D15627"/>
    <w:rsid w:val="00D15691"/>
    <w:rsid w:val="00D156ED"/>
    <w:rsid w:val="00D1590A"/>
    <w:rsid w:val="00D15952"/>
    <w:rsid w:val="00D15C97"/>
    <w:rsid w:val="00D16161"/>
    <w:rsid w:val="00D161C2"/>
    <w:rsid w:val="00D16318"/>
    <w:rsid w:val="00D1654C"/>
    <w:rsid w:val="00D165DD"/>
    <w:rsid w:val="00D1672E"/>
    <w:rsid w:val="00D1673D"/>
    <w:rsid w:val="00D168FC"/>
    <w:rsid w:val="00D16CF0"/>
    <w:rsid w:val="00D16D8F"/>
    <w:rsid w:val="00D16E34"/>
    <w:rsid w:val="00D16EA2"/>
    <w:rsid w:val="00D171DA"/>
    <w:rsid w:val="00D1727D"/>
    <w:rsid w:val="00D17280"/>
    <w:rsid w:val="00D1731F"/>
    <w:rsid w:val="00D173FA"/>
    <w:rsid w:val="00D17589"/>
    <w:rsid w:val="00D17B38"/>
    <w:rsid w:val="00D17BD9"/>
    <w:rsid w:val="00D17EAB"/>
    <w:rsid w:val="00D17F14"/>
    <w:rsid w:val="00D201FB"/>
    <w:rsid w:val="00D20276"/>
    <w:rsid w:val="00D20290"/>
    <w:rsid w:val="00D20363"/>
    <w:rsid w:val="00D20377"/>
    <w:rsid w:val="00D20386"/>
    <w:rsid w:val="00D203F2"/>
    <w:rsid w:val="00D206CF"/>
    <w:rsid w:val="00D2084E"/>
    <w:rsid w:val="00D20850"/>
    <w:rsid w:val="00D20B36"/>
    <w:rsid w:val="00D20B3D"/>
    <w:rsid w:val="00D20B44"/>
    <w:rsid w:val="00D20CC0"/>
    <w:rsid w:val="00D20E1F"/>
    <w:rsid w:val="00D20FA9"/>
    <w:rsid w:val="00D20FFF"/>
    <w:rsid w:val="00D21283"/>
    <w:rsid w:val="00D214BC"/>
    <w:rsid w:val="00D217E8"/>
    <w:rsid w:val="00D21980"/>
    <w:rsid w:val="00D219DE"/>
    <w:rsid w:val="00D21B57"/>
    <w:rsid w:val="00D21D5F"/>
    <w:rsid w:val="00D21E16"/>
    <w:rsid w:val="00D220B6"/>
    <w:rsid w:val="00D22100"/>
    <w:rsid w:val="00D222DD"/>
    <w:rsid w:val="00D223F5"/>
    <w:rsid w:val="00D2247E"/>
    <w:rsid w:val="00D22DA7"/>
    <w:rsid w:val="00D22DF5"/>
    <w:rsid w:val="00D22E32"/>
    <w:rsid w:val="00D22FCA"/>
    <w:rsid w:val="00D230B0"/>
    <w:rsid w:val="00D231E8"/>
    <w:rsid w:val="00D23428"/>
    <w:rsid w:val="00D234F8"/>
    <w:rsid w:val="00D238C8"/>
    <w:rsid w:val="00D23984"/>
    <w:rsid w:val="00D239E6"/>
    <w:rsid w:val="00D23AC2"/>
    <w:rsid w:val="00D23B77"/>
    <w:rsid w:val="00D23CF4"/>
    <w:rsid w:val="00D2403A"/>
    <w:rsid w:val="00D240ED"/>
    <w:rsid w:val="00D241C9"/>
    <w:rsid w:val="00D241EC"/>
    <w:rsid w:val="00D24296"/>
    <w:rsid w:val="00D24647"/>
    <w:rsid w:val="00D24787"/>
    <w:rsid w:val="00D24794"/>
    <w:rsid w:val="00D24986"/>
    <w:rsid w:val="00D24A17"/>
    <w:rsid w:val="00D24B47"/>
    <w:rsid w:val="00D24B60"/>
    <w:rsid w:val="00D24BDE"/>
    <w:rsid w:val="00D24C81"/>
    <w:rsid w:val="00D24C89"/>
    <w:rsid w:val="00D24D0C"/>
    <w:rsid w:val="00D252E0"/>
    <w:rsid w:val="00D252E3"/>
    <w:rsid w:val="00D2539A"/>
    <w:rsid w:val="00D2549F"/>
    <w:rsid w:val="00D25614"/>
    <w:rsid w:val="00D2578C"/>
    <w:rsid w:val="00D2596D"/>
    <w:rsid w:val="00D25A92"/>
    <w:rsid w:val="00D25CA4"/>
    <w:rsid w:val="00D25D98"/>
    <w:rsid w:val="00D26017"/>
    <w:rsid w:val="00D260D1"/>
    <w:rsid w:val="00D2636D"/>
    <w:rsid w:val="00D2639D"/>
    <w:rsid w:val="00D26716"/>
    <w:rsid w:val="00D268AE"/>
    <w:rsid w:val="00D26936"/>
    <w:rsid w:val="00D26DD1"/>
    <w:rsid w:val="00D26FCA"/>
    <w:rsid w:val="00D276A0"/>
    <w:rsid w:val="00D276E9"/>
    <w:rsid w:val="00D27925"/>
    <w:rsid w:val="00D27AE9"/>
    <w:rsid w:val="00D27C82"/>
    <w:rsid w:val="00D27FA1"/>
    <w:rsid w:val="00D3027B"/>
    <w:rsid w:val="00D305DC"/>
    <w:rsid w:val="00D30B57"/>
    <w:rsid w:val="00D30C2C"/>
    <w:rsid w:val="00D30F83"/>
    <w:rsid w:val="00D31040"/>
    <w:rsid w:val="00D3130C"/>
    <w:rsid w:val="00D31459"/>
    <w:rsid w:val="00D314EC"/>
    <w:rsid w:val="00D31574"/>
    <w:rsid w:val="00D3164B"/>
    <w:rsid w:val="00D31746"/>
    <w:rsid w:val="00D319E8"/>
    <w:rsid w:val="00D319FD"/>
    <w:rsid w:val="00D31A07"/>
    <w:rsid w:val="00D31D8B"/>
    <w:rsid w:val="00D31F33"/>
    <w:rsid w:val="00D32087"/>
    <w:rsid w:val="00D320F5"/>
    <w:rsid w:val="00D3212D"/>
    <w:rsid w:val="00D322BD"/>
    <w:rsid w:val="00D323DE"/>
    <w:rsid w:val="00D326C2"/>
    <w:rsid w:val="00D326DC"/>
    <w:rsid w:val="00D327B1"/>
    <w:rsid w:val="00D329C7"/>
    <w:rsid w:val="00D32A09"/>
    <w:rsid w:val="00D32BFF"/>
    <w:rsid w:val="00D32CF2"/>
    <w:rsid w:val="00D32E92"/>
    <w:rsid w:val="00D32F70"/>
    <w:rsid w:val="00D33269"/>
    <w:rsid w:val="00D33539"/>
    <w:rsid w:val="00D33600"/>
    <w:rsid w:val="00D33697"/>
    <w:rsid w:val="00D33CC2"/>
    <w:rsid w:val="00D33E57"/>
    <w:rsid w:val="00D33FB7"/>
    <w:rsid w:val="00D33FC1"/>
    <w:rsid w:val="00D340ED"/>
    <w:rsid w:val="00D3426F"/>
    <w:rsid w:val="00D34309"/>
    <w:rsid w:val="00D346D1"/>
    <w:rsid w:val="00D3472C"/>
    <w:rsid w:val="00D34760"/>
    <w:rsid w:val="00D347A2"/>
    <w:rsid w:val="00D3486C"/>
    <w:rsid w:val="00D34937"/>
    <w:rsid w:val="00D34A55"/>
    <w:rsid w:val="00D34D6F"/>
    <w:rsid w:val="00D3530C"/>
    <w:rsid w:val="00D35313"/>
    <w:rsid w:val="00D35971"/>
    <w:rsid w:val="00D35B5E"/>
    <w:rsid w:val="00D35BF3"/>
    <w:rsid w:val="00D35CE3"/>
    <w:rsid w:val="00D35CE6"/>
    <w:rsid w:val="00D35CF5"/>
    <w:rsid w:val="00D35E4A"/>
    <w:rsid w:val="00D35F0E"/>
    <w:rsid w:val="00D36362"/>
    <w:rsid w:val="00D36563"/>
    <w:rsid w:val="00D3663D"/>
    <w:rsid w:val="00D366EE"/>
    <w:rsid w:val="00D368D1"/>
    <w:rsid w:val="00D36944"/>
    <w:rsid w:val="00D3697A"/>
    <w:rsid w:val="00D36A23"/>
    <w:rsid w:val="00D36C8E"/>
    <w:rsid w:val="00D36D43"/>
    <w:rsid w:val="00D36E80"/>
    <w:rsid w:val="00D37134"/>
    <w:rsid w:val="00D371DC"/>
    <w:rsid w:val="00D3726E"/>
    <w:rsid w:val="00D37491"/>
    <w:rsid w:val="00D375A7"/>
    <w:rsid w:val="00D376B6"/>
    <w:rsid w:val="00D376FD"/>
    <w:rsid w:val="00D37789"/>
    <w:rsid w:val="00D37824"/>
    <w:rsid w:val="00D379C2"/>
    <w:rsid w:val="00D37B1D"/>
    <w:rsid w:val="00D37C42"/>
    <w:rsid w:val="00D37C6E"/>
    <w:rsid w:val="00D37C9C"/>
    <w:rsid w:val="00D37E86"/>
    <w:rsid w:val="00D404E2"/>
    <w:rsid w:val="00D40726"/>
    <w:rsid w:val="00D40A73"/>
    <w:rsid w:val="00D40A9F"/>
    <w:rsid w:val="00D40CBA"/>
    <w:rsid w:val="00D40CBE"/>
    <w:rsid w:val="00D40CF6"/>
    <w:rsid w:val="00D40ED6"/>
    <w:rsid w:val="00D40FF1"/>
    <w:rsid w:val="00D411B5"/>
    <w:rsid w:val="00D412A2"/>
    <w:rsid w:val="00D41377"/>
    <w:rsid w:val="00D41387"/>
    <w:rsid w:val="00D413F7"/>
    <w:rsid w:val="00D4175A"/>
    <w:rsid w:val="00D417BF"/>
    <w:rsid w:val="00D41ADA"/>
    <w:rsid w:val="00D41B05"/>
    <w:rsid w:val="00D41B16"/>
    <w:rsid w:val="00D41CAF"/>
    <w:rsid w:val="00D41F98"/>
    <w:rsid w:val="00D422A6"/>
    <w:rsid w:val="00D422D2"/>
    <w:rsid w:val="00D425E1"/>
    <w:rsid w:val="00D427B4"/>
    <w:rsid w:val="00D42CE6"/>
    <w:rsid w:val="00D431EF"/>
    <w:rsid w:val="00D43399"/>
    <w:rsid w:val="00D433B1"/>
    <w:rsid w:val="00D43472"/>
    <w:rsid w:val="00D43595"/>
    <w:rsid w:val="00D436E4"/>
    <w:rsid w:val="00D4384F"/>
    <w:rsid w:val="00D439C9"/>
    <w:rsid w:val="00D43AF5"/>
    <w:rsid w:val="00D43B2B"/>
    <w:rsid w:val="00D43B40"/>
    <w:rsid w:val="00D43B4B"/>
    <w:rsid w:val="00D43B7F"/>
    <w:rsid w:val="00D43C71"/>
    <w:rsid w:val="00D43C85"/>
    <w:rsid w:val="00D43DE3"/>
    <w:rsid w:val="00D44035"/>
    <w:rsid w:val="00D440C6"/>
    <w:rsid w:val="00D4418F"/>
    <w:rsid w:val="00D44498"/>
    <w:rsid w:val="00D44574"/>
    <w:rsid w:val="00D445AD"/>
    <w:rsid w:val="00D445B4"/>
    <w:rsid w:val="00D4467D"/>
    <w:rsid w:val="00D4471C"/>
    <w:rsid w:val="00D447E0"/>
    <w:rsid w:val="00D4483E"/>
    <w:rsid w:val="00D44888"/>
    <w:rsid w:val="00D448B8"/>
    <w:rsid w:val="00D4497E"/>
    <w:rsid w:val="00D44ADA"/>
    <w:rsid w:val="00D44B23"/>
    <w:rsid w:val="00D44C3B"/>
    <w:rsid w:val="00D44C74"/>
    <w:rsid w:val="00D4506A"/>
    <w:rsid w:val="00D453A6"/>
    <w:rsid w:val="00D453CB"/>
    <w:rsid w:val="00D453DC"/>
    <w:rsid w:val="00D45410"/>
    <w:rsid w:val="00D45558"/>
    <w:rsid w:val="00D455F1"/>
    <w:rsid w:val="00D459DB"/>
    <w:rsid w:val="00D45A6B"/>
    <w:rsid w:val="00D45B3F"/>
    <w:rsid w:val="00D45BD4"/>
    <w:rsid w:val="00D45C33"/>
    <w:rsid w:val="00D45F49"/>
    <w:rsid w:val="00D45F99"/>
    <w:rsid w:val="00D46230"/>
    <w:rsid w:val="00D463E7"/>
    <w:rsid w:val="00D46544"/>
    <w:rsid w:val="00D4657D"/>
    <w:rsid w:val="00D46771"/>
    <w:rsid w:val="00D46849"/>
    <w:rsid w:val="00D468A9"/>
    <w:rsid w:val="00D46981"/>
    <w:rsid w:val="00D46A35"/>
    <w:rsid w:val="00D46D81"/>
    <w:rsid w:val="00D46FF5"/>
    <w:rsid w:val="00D4703A"/>
    <w:rsid w:val="00D4705F"/>
    <w:rsid w:val="00D470E4"/>
    <w:rsid w:val="00D4723A"/>
    <w:rsid w:val="00D4727F"/>
    <w:rsid w:val="00D4762C"/>
    <w:rsid w:val="00D47944"/>
    <w:rsid w:val="00D4794A"/>
    <w:rsid w:val="00D47A88"/>
    <w:rsid w:val="00D47C38"/>
    <w:rsid w:val="00D47D89"/>
    <w:rsid w:val="00D47E95"/>
    <w:rsid w:val="00D47EFE"/>
    <w:rsid w:val="00D50146"/>
    <w:rsid w:val="00D5028C"/>
    <w:rsid w:val="00D50376"/>
    <w:rsid w:val="00D5040D"/>
    <w:rsid w:val="00D505A8"/>
    <w:rsid w:val="00D505B2"/>
    <w:rsid w:val="00D505F4"/>
    <w:rsid w:val="00D5067C"/>
    <w:rsid w:val="00D50833"/>
    <w:rsid w:val="00D50A0C"/>
    <w:rsid w:val="00D50B03"/>
    <w:rsid w:val="00D51172"/>
    <w:rsid w:val="00D51491"/>
    <w:rsid w:val="00D515D5"/>
    <w:rsid w:val="00D51D95"/>
    <w:rsid w:val="00D51EBD"/>
    <w:rsid w:val="00D520BE"/>
    <w:rsid w:val="00D522B3"/>
    <w:rsid w:val="00D523E5"/>
    <w:rsid w:val="00D52664"/>
    <w:rsid w:val="00D528C5"/>
    <w:rsid w:val="00D52A4C"/>
    <w:rsid w:val="00D52F08"/>
    <w:rsid w:val="00D530CA"/>
    <w:rsid w:val="00D532E1"/>
    <w:rsid w:val="00D535A5"/>
    <w:rsid w:val="00D536D7"/>
    <w:rsid w:val="00D539C3"/>
    <w:rsid w:val="00D53A90"/>
    <w:rsid w:val="00D53AC4"/>
    <w:rsid w:val="00D53B59"/>
    <w:rsid w:val="00D53E17"/>
    <w:rsid w:val="00D53E2F"/>
    <w:rsid w:val="00D53E89"/>
    <w:rsid w:val="00D54003"/>
    <w:rsid w:val="00D54349"/>
    <w:rsid w:val="00D543AD"/>
    <w:rsid w:val="00D543FF"/>
    <w:rsid w:val="00D54461"/>
    <w:rsid w:val="00D544ED"/>
    <w:rsid w:val="00D54500"/>
    <w:rsid w:val="00D549B8"/>
    <w:rsid w:val="00D54B50"/>
    <w:rsid w:val="00D54BC1"/>
    <w:rsid w:val="00D54D38"/>
    <w:rsid w:val="00D54E33"/>
    <w:rsid w:val="00D5501C"/>
    <w:rsid w:val="00D55146"/>
    <w:rsid w:val="00D55B0D"/>
    <w:rsid w:val="00D55B67"/>
    <w:rsid w:val="00D55CC1"/>
    <w:rsid w:val="00D55EC6"/>
    <w:rsid w:val="00D55FE1"/>
    <w:rsid w:val="00D56000"/>
    <w:rsid w:val="00D5617E"/>
    <w:rsid w:val="00D5634B"/>
    <w:rsid w:val="00D566BF"/>
    <w:rsid w:val="00D5679A"/>
    <w:rsid w:val="00D5690C"/>
    <w:rsid w:val="00D56BAA"/>
    <w:rsid w:val="00D56E26"/>
    <w:rsid w:val="00D56E2D"/>
    <w:rsid w:val="00D56EC4"/>
    <w:rsid w:val="00D56F7F"/>
    <w:rsid w:val="00D57165"/>
    <w:rsid w:val="00D57295"/>
    <w:rsid w:val="00D572E3"/>
    <w:rsid w:val="00D573A0"/>
    <w:rsid w:val="00D5744A"/>
    <w:rsid w:val="00D57933"/>
    <w:rsid w:val="00D57B27"/>
    <w:rsid w:val="00D57E99"/>
    <w:rsid w:val="00D57EF8"/>
    <w:rsid w:val="00D57F7D"/>
    <w:rsid w:val="00D5D971"/>
    <w:rsid w:val="00D60185"/>
    <w:rsid w:val="00D601B6"/>
    <w:rsid w:val="00D601C6"/>
    <w:rsid w:val="00D60267"/>
    <w:rsid w:val="00D602FA"/>
    <w:rsid w:val="00D60413"/>
    <w:rsid w:val="00D60754"/>
    <w:rsid w:val="00D609A1"/>
    <w:rsid w:val="00D60A82"/>
    <w:rsid w:val="00D60D61"/>
    <w:rsid w:val="00D60DD6"/>
    <w:rsid w:val="00D60FC4"/>
    <w:rsid w:val="00D6100F"/>
    <w:rsid w:val="00D611DF"/>
    <w:rsid w:val="00D61379"/>
    <w:rsid w:val="00D613EF"/>
    <w:rsid w:val="00D61486"/>
    <w:rsid w:val="00D61490"/>
    <w:rsid w:val="00D614D8"/>
    <w:rsid w:val="00D6178B"/>
    <w:rsid w:val="00D6180A"/>
    <w:rsid w:val="00D6183E"/>
    <w:rsid w:val="00D618C7"/>
    <w:rsid w:val="00D61969"/>
    <w:rsid w:val="00D61B3F"/>
    <w:rsid w:val="00D61B40"/>
    <w:rsid w:val="00D61BED"/>
    <w:rsid w:val="00D62391"/>
    <w:rsid w:val="00D623A8"/>
    <w:rsid w:val="00D623CF"/>
    <w:rsid w:val="00D62472"/>
    <w:rsid w:val="00D62481"/>
    <w:rsid w:val="00D62562"/>
    <w:rsid w:val="00D6266A"/>
    <w:rsid w:val="00D6276C"/>
    <w:rsid w:val="00D627E1"/>
    <w:rsid w:val="00D62815"/>
    <w:rsid w:val="00D6282E"/>
    <w:rsid w:val="00D62842"/>
    <w:rsid w:val="00D62859"/>
    <w:rsid w:val="00D62A7B"/>
    <w:rsid w:val="00D62BA9"/>
    <w:rsid w:val="00D62BBE"/>
    <w:rsid w:val="00D62E31"/>
    <w:rsid w:val="00D63149"/>
    <w:rsid w:val="00D6332F"/>
    <w:rsid w:val="00D6345E"/>
    <w:rsid w:val="00D63498"/>
    <w:rsid w:val="00D63794"/>
    <w:rsid w:val="00D63BAC"/>
    <w:rsid w:val="00D63C37"/>
    <w:rsid w:val="00D63D76"/>
    <w:rsid w:val="00D63E54"/>
    <w:rsid w:val="00D63EA3"/>
    <w:rsid w:val="00D64033"/>
    <w:rsid w:val="00D64045"/>
    <w:rsid w:val="00D643E3"/>
    <w:rsid w:val="00D6477D"/>
    <w:rsid w:val="00D64868"/>
    <w:rsid w:val="00D64873"/>
    <w:rsid w:val="00D64994"/>
    <w:rsid w:val="00D64D2F"/>
    <w:rsid w:val="00D64D95"/>
    <w:rsid w:val="00D64E45"/>
    <w:rsid w:val="00D64FB5"/>
    <w:rsid w:val="00D6502E"/>
    <w:rsid w:val="00D6527C"/>
    <w:rsid w:val="00D654AB"/>
    <w:rsid w:val="00D65539"/>
    <w:rsid w:val="00D6560B"/>
    <w:rsid w:val="00D658AB"/>
    <w:rsid w:val="00D658D0"/>
    <w:rsid w:val="00D65CEC"/>
    <w:rsid w:val="00D66257"/>
    <w:rsid w:val="00D66835"/>
    <w:rsid w:val="00D66897"/>
    <w:rsid w:val="00D668BC"/>
    <w:rsid w:val="00D668E4"/>
    <w:rsid w:val="00D66B8E"/>
    <w:rsid w:val="00D66CC6"/>
    <w:rsid w:val="00D66EA5"/>
    <w:rsid w:val="00D66F41"/>
    <w:rsid w:val="00D66FB6"/>
    <w:rsid w:val="00D67117"/>
    <w:rsid w:val="00D671EE"/>
    <w:rsid w:val="00D678D5"/>
    <w:rsid w:val="00D6792E"/>
    <w:rsid w:val="00D67944"/>
    <w:rsid w:val="00D679DA"/>
    <w:rsid w:val="00D67B77"/>
    <w:rsid w:val="00D67C6B"/>
    <w:rsid w:val="00D67F54"/>
    <w:rsid w:val="00D67FCE"/>
    <w:rsid w:val="00D70268"/>
    <w:rsid w:val="00D70297"/>
    <w:rsid w:val="00D702DD"/>
    <w:rsid w:val="00D70324"/>
    <w:rsid w:val="00D7044A"/>
    <w:rsid w:val="00D70526"/>
    <w:rsid w:val="00D7075A"/>
    <w:rsid w:val="00D70BE2"/>
    <w:rsid w:val="00D70D5E"/>
    <w:rsid w:val="00D70E1C"/>
    <w:rsid w:val="00D70EA6"/>
    <w:rsid w:val="00D7112B"/>
    <w:rsid w:val="00D7143F"/>
    <w:rsid w:val="00D7164C"/>
    <w:rsid w:val="00D71765"/>
    <w:rsid w:val="00D71ABE"/>
    <w:rsid w:val="00D71B0C"/>
    <w:rsid w:val="00D71DCD"/>
    <w:rsid w:val="00D7212E"/>
    <w:rsid w:val="00D72396"/>
    <w:rsid w:val="00D723C6"/>
    <w:rsid w:val="00D724DC"/>
    <w:rsid w:val="00D724ED"/>
    <w:rsid w:val="00D72653"/>
    <w:rsid w:val="00D7271D"/>
    <w:rsid w:val="00D72A45"/>
    <w:rsid w:val="00D72D52"/>
    <w:rsid w:val="00D730EE"/>
    <w:rsid w:val="00D7326E"/>
    <w:rsid w:val="00D732E8"/>
    <w:rsid w:val="00D73316"/>
    <w:rsid w:val="00D739BD"/>
    <w:rsid w:val="00D73BE3"/>
    <w:rsid w:val="00D73C54"/>
    <w:rsid w:val="00D73D48"/>
    <w:rsid w:val="00D73F45"/>
    <w:rsid w:val="00D73F7E"/>
    <w:rsid w:val="00D741E6"/>
    <w:rsid w:val="00D742DE"/>
    <w:rsid w:val="00D74419"/>
    <w:rsid w:val="00D74515"/>
    <w:rsid w:val="00D74661"/>
    <w:rsid w:val="00D746C1"/>
    <w:rsid w:val="00D747DD"/>
    <w:rsid w:val="00D74878"/>
    <w:rsid w:val="00D74A46"/>
    <w:rsid w:val="00D74C54"/>
    <w:rsid w:val="00D75202"/>
    <w:rsid w:val="00D7529D"/>
    <w:rsid w:val="00D75497"/>
    <w:rsid w:val="00D75897"/>
    <w:rsid w:val="00D75A9E"/>
    <w:rsid w:val="00D75EC6"/>
    <w:rsid w:val="00D76013"/>
    <w:rsid w:val="00D760B5"/>
    <w:rsid w:val="00D76361"/>
    <w:rsid w:val="00D763F6"/>
    <w:rsid w:val="00D765F7"/>
    <w:rsid w:val="00D76615"/>
    <w:rsid w:val="00D76A7A"/>
    <w:rsid w:val="00D76BC6"/>
    <w:rsid w:val="00D76C5E"/>
    <w:rsid w:val="00D76C83"/>
    <w:rsid w:val="00D76E87"/>
    <w:rsid w:val="00D76FA1"/>
    <w:rsid w:val="00D77279"/>
    <w:rsid w:val="00D77371"/>
    <w:rsid w:val="00D77535"/>
    <w:rsid w:val="00D77575"/>
    <w:rsid w:val="00D775AC"/>
    <w:rsid w:val="00D77609"/>
    <w:rsid w:val="00D77863"/>
    <w:rsid w:val="00D778F6"/>
    <w:rsid w:val="00D77A20"/>
    <w:rsid w:val="00D77A22"/>
    <w:rsid w:val="00D77AE5"/>
    <w:rsid w:val="00D77ED8"/>
    <w:rsid w:val="00D77EDB"/>
    <w:rsid w:val="00D8077F"/>
    <w:rsid w:val="00D808A8"/>
    <w:rsid w:val="00D808FD"/>
    <w:rsid w:val="00D80920"/>
    <w:rsid w:val="00D80DD7"/>
    <w:rsid w:val="00D80DE5"/>
    <w:rsid w:val="00D810B0"/>
    <w:rsid w:val="00D811BA"/>
    <w:rsid w:val="00D811E9"/>
    <w:rsid w:val="00D81428"/>
    <w:rsid w:val="00D81493"/>
    <w:rsid w:val="00D81677"/>
    <w:rsid w:val="00D8170B"/>
    <w:rsid w:val="00D81763"/>
    <w:rsid w:val="00D81B0C"/>
    <w:rsid w:val="00D81D0E"/>
    <w:rsid w:val="00D81E8B"/>
    <w:rsid w:val="00D82594"/>
    <w:rsid w:val="00D825AB"/>
    <w:rsid w:val="00D82A37"/>
    <w:rsid w:val="00D82FEA"/>
    <w:rsid w:val="00D8304A"/>
    <w:rsid w:val="00D8382F"/>
    <w:rsid w:val="00D83846"/>
    <w:rsid w:val="00D83CA0"/>
    <w:rsid w:val="00D83E26"/>
    <w:rsid w:val="00D83FA3"/>
    <w:rsid w:val="00D843B8"/>
    <w:rsid w:val="00D84445"/>
    <w:rsid w:val="00D849C6"/>
    <w:rsid w:val="00D84E44"/>
    <w:rsid w:val="00D8518D"/>
    <w:rsid w:val="00D8536C"/>
    <w:rsid w:val="00D85473"/>
    <w:rsid w:val="00D8568C"/>
    <w:rsid w:val="00D85874"/>
    <w:rsid w:val="00D858E3"/>
    <w:rsid w:val="00D85B92"/>
    <w:rsid w:val="00D85D1B"/>
    <w:rsid w:val="00D85E17"/>
    <w:rsid w:val="00D85E61"/>
    <w:rsid w:val="00D86031"/>
    <w:rsid w:val="00D86049"/>
    <w:rsid w:val="00D8621D"/>
    <w:rsid w:val="00D86416"/>
    <w:rsid w:val="00D865F4"/>
    <w:rsid w:val="00D866B4"/>
    <w:rsid w:val="00D869B3"/>
    <w:rsid w:val="00D86A01"/>
    <w:rsid w:val="00D86A52"/>
    <w:rsid w:val="00D86B57"/>
    <w:rsid w:val="00D86C72"/>
    <w:rsid w:val="00D86ED6"/>
    <w:rsid w:val="00D86FA9"/>
    <w:rsid w:val="00D8707D"/>
    <w:rsid w:val="00D8719C"/>
    <w:rsid w:val="00D87741"/>
    <w:rsid w:val="00D87775"/>
    <w:rsid w:val="00D8783A"/>
    <w:rsid w:val="00D878C1"/>
    <w:rsid w:val="00D878F8"/>
    <w:rsid w:val="00D87AD4"/>
    <w:rsid w:val="00D87B4C"/>
    <w:rsid w:val="00D87D8E"/>
    <w:rsid w:val="00D87F05"/>
    <w:rsid w:val="00D87F41"/>
    <w:rsid w:val="00D901A3"/>
    <w:rsid w:val="00D902D6"/>
    <w:rsid w:val="00D903CA"/>
    <w:rsid w:val="00D903DE"/>
    <w:rsid w:val="00D905C4"/>
    <w:rsid w:val="00D9063E"/>
    <w:rsid w:val="00D9087A"/>
    <w:rsid w:val="00D90B72"/>
    <w:rsid w:val="00D90F0C"/>
    <w:rsid w:val="00D9113A"/>
    <w:rsid w:val="00D91443"/>
    <w:rsid w:val="00D9146D"/>
    <w:rsid w:val="00D915E0"/>
    <w:rsid w:val="00D91695"/>
    <w:rsid w:val="00D917C7"/>
    <w:rsid w:val="00D9180C"/>
    <w:rsid w:val="00D9189D"/>
    <w:rsid w:val="00D91B4D"/>
    <w:rsid w:val="00D91D11"/>
    <w:rsid w:val="00D91EE0"/>
    <w:rsid w:val="00D92248"/>
    <w:rsid w:val="00D9251B"/>
    <w:rsid w:val="00D927D6"/>
    <w:rsid w:val="00D92B9E"/>
    <w:rsid w:val="00D92C14"/>
    <w:rsid w:val="00D92E10"/>
    <w:rsid w:val="00D92E93"/>
    <w:rsid w:val="00D93103"/>
    <w:rsid w:val="00D931D2"/>
    <w:rsid w:val="00D9342A"/>
    <w:rsid w:val="00D93672"/>
    <w:rsid w:val="00D93783"/>
    <w:rsid w:val="00D93850"/>
    <w:rsid w:val="00D9386C"/>
    <w:rsid w:val="00D9390A"/>
    <w:rsid w:val="00D93B2D"/>
    <w:rsid w:val="00D93FB5"/>
    <w:rsid w:val="00D941F5"/>
    <w:rsid w:val="00D94346"/>
    <w:rsid w:val="00D94484"/>
    <w:rsid w:val="00D946EC"/>
    <w:rsid w:val="00D94825"/>
    <w:rsid w:val="00D94AB6"/>
    <w:rsid w:val="00D94B8A"/>
    <w:rsid w:val="00D94C64"/>
    <w:rsid w:val="00D94DF7"/>
    <w:rsid w:val="00D94F20"/>
    <w:rsid w:val="00D955A9"/>
    <w:rsid w:val="00D956DE"/>
    <w:rsid w:val="00D95809"/>
    <w:rsid w:val="00D95817"/>
    <w:rsid w:val="00D95905"/>
    <w:rsid w:val="00D959A5"/>
    <w:rsid w:val="00D95DDD"/>
    <w:rsid w:val="00D95E0A"/>
    <w:rsid w:val="00D95EAE"/>
    <w:rsid w:val="00D95EC0"/>
    <w:rsid w:val="00D9600E"/>
    <w:rsid w:val="00D96150"/>
    <w:rsid w:val="00D96201"/>
    <w:rsid w:val="00D9623C"/>
    <w:rsid w:val="00D96386"/>
    <w:rsid w:val="00D96485"/>
    <w:rsid w:val="00D965CF"/>
    <w:rsid w:val="00D9678E"/>
    <w:rsid w:val="00D96CC9"/>
    <w:rsid w:val="00D96DAC"/>
    <w:rsid w:val="00D96E07"/>
    <w:rsid w:val="00D96E9C"/>
    <w:rsid w:val="00D9702C"/>
    <w:rsid w:val="00D97062"/>
    <w:rsid w:val="00D9747A"/>
    <w:rsid w:val="00D97484"/>
    <w:rsid w:val="00D97546"/>
    <w:rsid w:val="00D975B3"/>
    <w:rsid w:val="00D9776C"/>
    <w:rsid w:val="00D97C39"/>
    <w:rsid w:val="00D97C67"/>
    <w:rsid w:val="00D97D83"/>
    <w:rsid w:val="00D97E8A"/>
    <w:rsid w:val="00DA00EA"/>
    <w:rsid w:val="00DA036C"/>
    <w:rsid w:val="00DA04A4"/>
    <w:rsid w:val="00DA05D6"/>
    <w:rsid w:val="00DA0858"/>
    <w:rsid w:val="00DA0B64"/>
    <w:rsid w:val="00DA0DF2"/>
    <w:rsid w:val="00DA14B6"/>
    <w:rsid w:val="00DA184A"/>
    <w:rsid w:val="00DA1CB2"/>
    <w:rsid w:val="00DA1E56"/>
    <w:rsid w:val="00DA1EBF"/>
    <w:rsid w:val="00DA1F73"/>
    <w:rsid w:val="00DA2060"/>
    <w:rsid w:val="00DA213F"/>
    <w:rsid w:val="00DA219D"/>
    <w:rsid w:val="00DA24D0"/>
    <w:rsid w:val="00DA2623"/>
    <w:rsid w:val="00DA275A"/>
    <w:rsid w:val="00DA2B26"/>
    <w:rsid w:val="00DA2D10"/>
    <w:rsid w:val="00DA2E73"/>
    <w:rsid w:val="00DA2EB1"/>
    <w:rsid w:val="00DA31F4"/>
    <w:rsid w:val="00DA322A"/>
    <w:rsid w:val="00DA3344"/>
    <w:rsid w:val="00DA36F9"/>
    <w:rsid w:val="00DA37CC"/>
    <w:rsid w:val="00DA38BC"/>
    <w:rsid w:val="00DA3927"/>
    <w:rsid w:val="00DA3A69"/>
    <w:rsid w:val="00DA3CCB"/>
    <w:rsid w:val="00DA3F79"/>
    <w:rsid w:val="00DA4019"/>
    <w:rsid w:val="00DA406E"/>
    <w:rsid w:val="00DA419A"/>
    <w:rsid w:val="00DA4233"/>
    <w:rsid w:val="00DA4289"/>
    <w:rsid w:val="00DA4326"/>
    <w:rsid w:val="00DA4857"/>
    <w:rsid w:val="00DA48FB"/>
    <w:rsid w:val="00DA4BF6"/>
    <w:rsid w:val="00DA4C4D"/>
    <w:rsid w:val="00DA4CF8"/>
    <w:rsid w:val="00DA535A"/>
    <w:rsid w:val="00DA5407"/>
    <w:rsid w:val="00DA548B"/>
    <w:rsid w:val="00DA54EC"/>
    <w:rsid w:val="00DA569B"/>
    <w:rsid w:val="00DA57D3"/>
    <w:rsid w:val="00DA585D"/>
    <w:rsid w:val="00DA58A2"/>
    <w:rsid w:val="00DA6181"/>
    <w:rsid w:val="00DA621E"/>
    <w:rsid w:val="00DA622E"/>
    <w:rsid w:val="00DA63C6"/>
    <w:rsid w:val="00DA6455"/>
    <w:rsid w:val="00DA64F3"/>
    <w:rsid w:val="00DA6578"/>
    <w:rsid w:val="00DA6C89"/>
    <w:rsid w:val="00DA6DBE"/>
    <w:rsid w:val="00DA6F09"/>
    <w:rsid w:val="00DA6F80"/>
    <w:rsid w:val="00DA7110"/>
    <w:rsid w:val="00DA715A"/>
    <w:rsid w:val="00DA721F"/>
    <w:rsid w:val="00DA777E"/>
    <w:rsid w:val="00DA7792"/>
    <w:rsid w:val="00DA7A42"/>
    <w:rsid w:val="00DA7C23"/>
    <w:rsid w:val="00DA7C9F"/>
    <w:rsid w:val="00DA7DB6"/>
    <w:rsid w:val="00DA7E8E"/>
    <w:rsid w:val="00DA7ED9"/>
    <w:rsid w:val="00DA7FA6"/>
    <w:rsid w:val="00DB029D"/>
    <w:rsid w:val="00DB0329"/>
    <w:rsid w:val="00DB0441"/>
    <w:rsid w:val="00DB04DC"/>
    <w:rsid w:val="00DB0537"/>
    <w:rsid w:val="00DB05EC"/>
    <w:rsid w:val="00DB0665"/>
    <w:rsid w:val="00DB08A4"/>
    <w:rsid w:val="00DB09EA"/>
    <w:rsid w:val="00DB0CD5"/>
    <w:rsid w:val="00DB0D0E"/>
    <w:rsid w:val="00DB0D7F"/>
    <w:rsid w:val="00DB0E56"/>
    <w:rsid w:val="00DB0F62"/>
    <w:rsid w:val="00DB1031"/>
    <w:rsid w:val="00DB1083"/>
    <w:rsid w:val="00DB1133"/>
    <w:rsid w:val="00DB118D"/>
    <w:rsid w:val="00DB1218"/>
    <w:rsid w:val="00DB1250"/>
    <w:rsid w:val="00DB12AC"/>
    <w:rsid w:val="00DB130E"/>
    <w:rsid w:val="00DB14C8"/>
    <w:rsid w:val="00DB160D"/>
    <w:rsid w:val="00DB18C2"/>
    <w:rsid w:val="00DB1931"/>
    <w:rsid w:val="00DB19A3"/>
    <w:rsid w:val="00DB1AB6"/>
    <w:rsid w:val="00DB1B44"/>
    <w:rsid w:val="00DB1BB5"/>
    <w:rsid w:val="00DB1BF6"/>
    <w:rsid w:val="00DB1CE3"/>
    <w:rsid w:val="00DB1DA8"/>
    <w:rsid w:val="00DB1E4A"/>
    <w:rsid w:val="00DB208D"/>
    <w:rsid w:val="00DB218C"/>
    <w:rsid w:val="00DB226C"/>
    <w:rsid w:val="00DB26E5"/>
    <w:rsid w:val="00DB2D61"/>
    <w:rsid w:val="00DB330F"/>
    <w:rsid w:val="00DB369D"/>
    <w:rsid w:val="00DB391A"/>
    <w:rsid w:val="00DB39AE"/>
    <w:rsid w:val="00DB3A01"/>
    <w:rsid w:val="00DB3A7B"/>
    <w:rsid w:val="00DB3BC5"/>
    <w:rsid w:val="00DB3C66"/>
    <w:rsid w:val="00DB3C84"/>
    <w:rsid w:val="00DB3D66"/>
    <w:rsid w:val="00DB40B6"/>
    <w:rsid w:val="00DB41B2"/>
    <w:rsid w:val="00DB4747"/>
    <w:rsid w:val="00DB4877"/>
    <w:rsid w:val="00DB4BD5"/>
    <w:rsid w:val="00DB4C22"/>
    <w:rsid w:val="00DB4C38"/>
    <w:rsid w:val="00DB4D0D"/>
    <w:rsid w:val="00DB4D48"/>
    <w:rsid w:val="00DB4D57"/>
    <w:rsid w:val="00DB4D82"/>
    <w:rsid w:val="00DB4D85"/>
    <w:rsid w:val="00DB4DB9"/>
    <w:rsid w:val="00DB4DCD"/>
    <w:rsid w:val="00DB5031"/>
    <w:rsid w:val="00DB541C"/>
    <w:rsid w:val="00DB5B06"/>
    <w:rsid w:val="00DB5F29"/>
    <w:rsid w:val="00DB6239"/>
    <w:rsid w:val="00DB647F"/>
    <w:rsid w:val="00DB64D3"/>
    <w:rsid w:val="00DB6A76"/>
    <w:rsid w:val="00DB6B81"/>
    <w:rsid w:val="00DB6E3D"/>
    <w:rsid w:val="00DB6EA5"/>
    <w:rsid w:val="00DB6EAC"/>
    <w:rsid w:val="00DB6ED7"/>
    <w:rsid w:val="00DB6FDE"/>
    <w:rsid w:val="00DB707A"/>
    <w:rsid w:val="00DB71C1"/>
    <w:rsid w:val="00DB7330"/>
    <w:rsid w:val="00DB7339"/>
    <w:rsid w:val="00DB7781"/>
    <w:rsid w:val="00DB77BA"/>
    <w:rsid w:val="00DB7C3B"/>
    <w:rsid w:val="00DB7C55"/>
    <w:rsid w:val="00DB7C5F"/>
    <w:rsid w:val="00DB7CA4"/>
    <w:rsid w:val="00DB7D16"/>
    <w:rsid w:val="00DC0101"/>
    <w:rsid w:val="00DC024C"/>
    <w:rsid w:val="00DC0260"/>
    <w:rsid w:val="00DC02FE"/>
    <w:rsid w:val="00DC056C"/>
    <w:rsid w:val="00DC0903"/>
    <w:rsid w:val="00DC0A47"/>
    <w:rsid w:val="00DC0C0A"/>
    <w:rsid w:val="00DC0C68"/>
    <w:rsid w:val="00DC0C83"/>
    <w:rsid w:val="00DC0DCC"/>
    <w:rsid w:val="00DC10C2"/>
    <w:rsid w:val="00DC1228"/>
    <w:rsid w:val="00DC12EA"/>
    <w:rsid w:val="00DC13FF"/>
    <w:rsid w:val="00DC173D"/>
    <w:rsid w:val="00DC18ED"/>
    <w:rsid w:val="00DC1AF2"/>
    <w:rsid w:val="00DC1B21"/>
    <w:rsid w:val="00DC1B72"/>
    <w:rsid w:val="00DC1B7C"/>
    <w:rsid w:val="00DC1C6B"/>
    <w:rsid w:val="00DC1D44"/>
    <w:rsid w:val="00DC1F34"/>
    <w:rsid w:val="00DC1F79"/>
    <w:rsid w:val="00DC205E"/>
    <w:rsid w:val="00DC2169"/>
    <w:rsid w:val="00DC223D"/>
    <w:rsid w:val="00DC24DE"/>
    <w:rsid w:val="00DC2524"/>
    <w:rsid w:val="00DC2614"/>
    <w:rsid w:val="00DC295B"/>
    <w:rsid w:val="00DC2A42"/>
    <w:rsid w:val="00DC2CD1"/>
    <w:rsid w:val="00DC2D26"/>
    <w:rsid w:val="00DC2D63"/>
    <w:rsid w:val="00DC2F49"/>
    <w:rsid w:val="00DC37C0"/>
    <w:rsid w:val="00DC3813"/>
    <w:rsid w:val="00DC385D"/>
    <w:rsid w:val="00DC3C70"/>
    <w:rsid w:val="00DC3C86"/>
    <w:rsid w:val="00DC3D3E"/>
    <w:rsid w:val="00DC4021"/>
    <w:rsid w:val="00DC4128"/>
    <w:rsid w:val="00DC4138"/>
    <w:rsid w:val="00DC427A"/>
    <w:rsid w:val="00DC42B1"/>
    <w:rsid w:val="00DC44B2"/>
    <w:rsid w:val="00DC4564"/>
    <w:rsid w:val="00DC4601"/>
    <w:rsid w:val="00DC46E8"/>
    <w:rsid w:val="00DC4845"/>
    <w:rsid w:val="00DC4AD7"/>
    <w:rsid w:val="00DC4AF4"/>
    <w:rsid w:val="00DC4B8D"/>
    <w:rsid w:val="00DC4D9B"/>
    <w:rsid w:val="00DC4E1B"/>
    <w:rsid w:val="00DC4F2A"/>
    <w:rsid w:val="00DC4FE5"/>
    <w:rsid w:val="00DC54D8"/>
    <w:rsid w:val="00DC554E"/>
    <w:rsid w:val="00DC55E3"/>
    <w:rsid w:val="00DC5686"/>
    <w:rsid w:val="00DC59E1"/>
    <w:rsid w:val="00DC5B8F"/>
    <w:rsid w:val="00DC5E0C"/>
    <w:rsid w:val="00DC5F17"/>
    <w:rsid w:val="00DC6033"/>
    <w:rsid w:val="00DC6137"/>
    <w:rsid w:val="00DC681D"/>
    <w:rsid w:val="00DC68F2"/>
    <w:rsid w:val="00DC69EB"/>
    <w:rsid w:val="00DC6AEF"/>
    <w:rsid w:val="00DC6D22"/>
    <w:rsid w:val="00DC6D33"/>
    <w:rsid w:val="00DC6F98"/>
    <w:rsid w:val="00DC706B"/>
    <w:rsid w:val="00DC70BB"/>
    <w:rsid w:val="00DC7377"/>
    <w:rsid w:val="00DC7559"/>
    <w:rsid w:val="00DC7715"/>
    <w:rsid w:val="00DC772A"/>
    <w:rsid w:val="00DC7774"/>
    <w:rsid w:val="00DC7AEC"/>
    <w:rsid w:val="00DC7B09"/>
    <w:rsid w:val="00DC7D10"/>
    <w:rsid w:val="00DC7FF6"/>
    <w:rsid w:val="00DD02E9"/>
    <w:rsid w:val="00DD0383"/>
    <w:rsid w:val="00DD03EE"/>
    <w:rsid w:val="00DD0524"/>
    <w:rsid w:val="00DD0C5C"/>
    <w:rsid w:val="00DD0D2D"/>
    <w:rsid w:val="00DD0D39"/>
    <w:rsid w:val="00DD0D8B"/>
    <w:rsid w:val="00DD0E58"/>
    <w:rsid w:val="00DD0F87"/>
    <w:rsid w:val="00DD1160"/>
    <w:rsid w:val="00DD143E"/>
    <w:rsid w:val="00DD1475"/>
    <w:rsid w:val="00DD15F6"/>
    <w:rsid w:val="00DD1650"/>
    <w:rsid w:val="00DD16F6"/>
    <w:rsid w:val="00DD186C"/>
    <w:rsid w:val="00DD187A"/>
    <w:rsid w:val="00DD18E8"/>
    <w:rsid w:val="00DD199F"/>
    <w:rsid w:val="00DD1AC1"/>
    <w:rsid w:val="00DD1C49"/>
    <w:rsid w:val="00DD1E90"/>
    <w:rsid w:val="00DD1EFF"/>
    <w:rsid w:val="00DD2682"/>
    <w:rsid w:val="00DD2827"/>
    <w:rsid w:val="00DD2921"/>
    <w:rsid w:val="00DD299D"/>
    <w:rsid w:val="00DD2A18"/>
    <w:rsid w:val="00DD2B26"/>
    <w:rsid w:val="00DD2BEE"/>
    <w:rsid w:val="00DD2DC1"/>
    <w:rsid w:val="00DD2E7D"/>
    <w:rsid w:val="00DD2F54"/>
    <w:rsid w:val="00DD2F9A"/>
    <w:rsid w:val="00DD3235"/>
    <w:rsid w:val="00DD3293"/>
    <w:rsid w:val="00DD3745"/>
    <w:rsid w:val="00DD37DF"/>
    <w:rsid w:val="00DD3883"/>
    <w:rsid w:val="00DD3993"/>
    <w:rsid w:val="00DD3C82"/>
    <w:rsid w:val="00DD3D19"/>
    <w:rsid w:val="00DD4070"/>
    <w:rsid w:val="00DD44E5"/>
    <w:rsid w:val="00DD4859"/>
    <w:rsid w:val="00DD485A"/>
    <w:rsid w:val="00DD4987"/>
    <w:rsid w:val="00DD4A69"/>
    <w:rsid w:val="00DD4AC3"/>
    <w:rsid w:val="00DD4BBF"/>
    <w:rsid w:val="00DD4D3E"/>
    <w:rsid w:val="00DD4DB8"/>
    <w:rsid w:val="00DD4E01"/>
    <w:rsid w:val="00DD4EB1"/>
    <w:rsid w:val="00DD5067"/>
    <w:rsid w:val="00DD51D6"/>
    <w:rsid w:val="00DD580D"/>
    <w:rsid w:val="00DD5880"/>
    <w:rsid w:val="00DD5C3A"/>
    <w:rsid w:val="00DD5DF3"/>
    <w:rsid w:val="00DD5FEF"/>
    <w:rsid w:val="00DD624F"/>
    <w:rsid w:val="00DD62F5"/>
    <w:rsid w:val="00DD630F"/>
    <w:rsid w:val="00DD6438"/>
    <w:rsid w:val="00DD691D"/>
    <w:rsid w:val="00DD6922"/>
    <w:rsid w:val="00DD6B54"/>
    <w:rsid w:val="00DD6CBD"/>
    <w:rsid w:val="00DD6D46"/>
    <w:rsid w:val="00DD6F40"/>
    <w:rsid w:val="00DD71F2"/>
    <w:rsid w:val="00DD732C"/>
    <w:rsid w:val="00DD73A6"/>
    <w:rsid w:val="00DD769D"/>
    <w:rsid w:val="00DD7793"/>
    <w:rsid w:val="00DD79E4"/>
    <w:rsid w:val="00DD7C4B"/>
    <w:rsid w:val="00DD7E69"/>
    <w:rsid w:val="00DE0071"/>
    <w:rsid w:val="00DE00A9"/>
    <w:rsid w:val="00DE03EB"/>
    <w:rsid w:val="00DE0543"/>
    <w:rsid w:val="00DE0AF5"/>
    <w:rsid w:val="00DE0CE0"/>
    <w:rsid w:val="00DE0F76"/>
    <w:rsid w:val="00DE10A2"/>
    <w:rsid w:val="00DE111D"/>
    <w:rsid w:val="00DE1131"/>
    <w:rsid w:val="00DE1255"/>
    <w:rsid w:val="00DE12FB"/>
    <w:rsid w:val="00DE132F"/>
    <w:rsid w:val="00DE159F"/>
    <w:rsid w:val="00DE166E"/>
    <w:rsid w:val="00DE16C6"/>
    <w:rsid w:val="00DE172E"/>
    <w:rsid w:val="00DE1789"/>
    <w:rsid w:val="00DE1843"/>
    <w:rsid w:val="00DE1891"/>
    <w:rsid w:val="00DE1A9E"/>
    <w:rsid w:val="00DE1AEA"/>
    <w:rsid w:val="00DE1B12"/>
    <w:rsid w:val="00DE1D60"/>
    <w:rsid w:val="00DE1DA7"/>
    <w:rsid w:val="00DE2303"/>
    <w:rsid w:val="00DE2521"/>
    <w:rsid w:val="00DE2686"/>
    <w:rsid w:val="00DE26B1"/>
    <w:rsid w:val="00DE26DC"/>
    <w:rsid w:val="00DE2908"/>
    <w:rsid w:val="00DE299F"/>
    <w:rsid w:val="00DE2A08"/>
    <w:rsid w:val="00DE2AC3"/>
    <w:rsid w:val="00DE2B02"/>
    <w:rsid w:val="00DE2B50"/>
    <w:rsid w:val="00DE2E01"/>
    <w:rsid w:val="00DE31C1"/>
    <w:rsid w:val="00DE32CD"/>
    <w:rsid w:val="00DE334C"/>
    <w:rsid w:val="00DE33D4"/>
    <w:rsid w:val="00DE34BC"/>
    <w:rsid w:val="00DE36A8"/>
    <w:rsid w:val="00DE3C4F"/>
    <w:rsid w:val="00DE3CA8"/>
    <w:rsid w:val="00DE3D35"/>
    <w:rsid w:val="00DE41C4"/>
    <w:rsid w:val="00DE41F1"/>
    <w:rsid w:val="00DE44A3"/>
    <w:rsid w:val="00DE46AC"/>
    <w:rsid w:val="00DE47E1"/>
    <w:rsid w:val="00DE4815"/>
    <w:rsid w:val="00DE49EB"/>
    <w:rsid w:val="00DE4E6A"/>
    <w:rsid w:val="00DE53C9"/>
    <w:rsid w:val="00DE550C"/>
    <w:rsid w:val="00DE574B"/>
    <w:rsid w:val="00DE57D9"/>
    <w:rsid w:val="00DE5AE9"/>
    <w:rsid w:val="00DE5E02"/>
    <w:rsid w:val="00DE5E6D"/>
    <w:rsid w:val="00DE5F64"/>
    <w:rsid w:val="00DE5F68"/>
    <w:rsid w:val="00DE60FE"/>
    <w:rsid w:val="00DE61D5"/>
    <w:rsid w:val="00DE62E7"/>
    <w:rsid w:val="00DE6311"/>
    <w:rsid w:val="00DE6477"/>
    <w:rsid w:val="00DE66E3"/>
    <w:rsid w:val="00DE66E7"/>
    <w:rsid w:val="00DE66F8"/>
    <w:rsid w:val="00DE6706"/>
    <w:rsid w:val="00DE677A"/>
    <w:rsid w:val="00DE6BA9"/>
    <w:rsid w:val="00DE6DDC"/>
    <w:rsid w:val="00DE7057"/>
    <w:rsid w:val="00DE7118"/>
    <w:rsid w:val="00DE7451"/>
    <w:rsid w:val="00DE76BD"/>
    <w:rsid w:val="00DE7816"/>
    <w:rsid w:val="00DF0247"/>
    <w:rsid w:val="00DF029E"/>
    <w:rsid w:val="00DF02E6"/>
    <w:rsid w:val="00DF0819"/>
    <w:rsid w:val="00DF097B"/>
    <w:rsid w:val="00DF0AB1"/>
    <w:rsid w:val="00DF0C7A"/>
    <w:rsid w:val="00DF0CD8"/>
    <w:rsid w:val="00DF0E0E"/>
    <w:rsid w:val="00DF0EF2"/>
    <w:rsid w:val="00DF0FDF"/>
    <w:rsid w:val="00DF100D"/>
    <w:rsid w:val="00DF1247"/>
    <w:rsid w:val="00DF1268"/>
    <w:rsid w:val="00DF1346"/>
    <w:rsid w:val="00DF13C5"/>
    <w:rsid w:val="00DF15C7"/>
    <w:rsid w:val="00DF15EA"/>
    <w:rsid w:val="00DF1773"/>
    <w:rsid w:val="00DF1845"/>
    <w:rsid w:val="00DF1C91"/>
    <w:rsid w:val="00DF1EF5"/>
    <w:rsid w:val="00DF1F97"/>
    <w:rsid w:val="00DF22E7"/>
    <w:rsid w:val="00DF2491"/>
    <w:rsid w:val="00DF298B"/>
    <w:rsid w:val="00DF2AC8"/>
    <w:rsid w:val="00DF32AD"/>
    <w:rsid w:val="00DF350A"/>
    <w:rsid w:val="00DF3745"/>
    <w:rsid w:val="00DF392E"/>
    <w:rsid w:val="00DF3CBA"/>
    <w:rsid w:val="00DF3EF8"/>
    <w:rsid w:val="00DF3F28"/>
    <w:rsid w:val="00DF4014"/>
    <w:rsid w:val="00DF4214"/>
    <w:rsid w:val="00DF4380"/>
    <w:rsid w:val="00DF43B1"/>
    <w:rsid w:val="00DF460D"/>
    <w:rsid w:val="00DF468A"/>
    <w:rsid w:val="00DF49E6"/>
    <w:rsid w:val="00DF4BCE"/>
    <w:rsid w:val="00DF4C30"/>
    <w:rsid w:val="00DF4CFB"/>
    <w:rsid w:val="00DF4D24"/>
    <w:rsid w:val="00DF4D33"/>
    <w:rsid w:val="00DF4E42"/>
    <w:rsid w:val="00DF508D"/>
    <w:rsid w:val="00DF5285"/>
    <w:rsid w:val="00DF52A7"/>
    <w:rsid w:val="00DF54EB"/>
    <w:rsid w:val="00DF5544"/>
    <w:rsid w:val="00DF5834"/>
    <w:rsid w:val="00DF5943"/>
    <w:rsid w:val="00DF5974"/>
    <w:rsid w:val="00DF5ACE"/>
    <w:rsid w:val="00DF5B4A"/>
    <w:rsid w:val="00DF5B81"/>
    <w:rsid w:val="00DF5BD1"/>
    <w:rsid w:val="00DF5CF2"/>
    <w:rsid w:val="00DF5DC4"/>
    <w:rsid w:val="00DF610D"/>
    <w:rsid w:val="00DF6367"/>
    <w:rsid w:val="00DF6409"/>
    <w:rsid w:val="00DF65BF"/>
    <w:rsid w:val="00DF672C"/>
    <w:rsid w:val="00DF6872"/>
    <w:rsid w:val="00DF687B"/>
    <w:rsid w:val="00DF68C7"/>
    <w:rsid w:val="00DF6A2D"/>
    <w:rsid w:val="00DF6DFB"/>
    <w:rsid w:val="00DF6ECA"/>
    <w:rsid w:val="00DF6F93"/>
    <w:rsid w:val="00DF7059"/>
    <w:rsid w:val="00DF719D"/>
    <w:rsid w:val="00DF73EE"/>
    <w:rsid w:val="00DF7789"/>
    <w:rsid w:val="00DF78D0"/>
    <w:rsid w:val="00E000B4"/>
    <w:rsid w:val="00E0013F"/>
    <w:rsid w:val="00E00190"/>
    <w:rsid w:val="00E003FF"/>
    <w:rsid w:val="00E006E6"/>
    <w:rsid w:val="00E00810"/>
    <w:rsid w:val="00E009C9"/>
    <w:rsid w:val="00E00A00"/>
    <w:rsid w:val="00E00DF4"/>
    <w:rsid w:val="00E00F9B"/>
    <w:rsid w:val="00E00FF7"/>
    <w:rsid w:val="00E01144"/>
    <w:rsid w:val="00E011B5"/>
    <w:rsid w:val="00E011B8"/>
    <w:rsid w:val="00E013C9"/>
    <w:rsid w:val="00E01DB6"/>
    <w:rsid w:val="00E01DEE"/>
    <w:rsid w:val="00E01E00"/>
    <w:rsid w:val="00E01FB5"/>
    <w:rsid w:val="00E01FD0"/>
    <w:rsid w:val="00E021E4"/>
    <w:rsid w:val="00E02487"/>
    <w:rsid w:val="00E02611"/>
    <w:rsid w:val="00E0272D"/>
    <w:rsid w:val="00E0290E"/>
    <w:rsid w:val="00E02A3E"/>
    <w:rsid w:val="00E02B20"/>
    <w:rsid w:val="00E02B29"/>
    <w:rsid w:val="00E02F0C"/>
    <w:rsid w:val="00E0326D"/>
    <w:rsid w:val="00E034A8"/>
    <w:rsid w:val="00E034C9"/>
    <w:rsid w:val="00E034DD"/>
    <w:rsid w:val="00E03593"/>
    <w:rsid w:val="00E035D9"/>
    <w:rsid w:val="00E037DD"/>
    <w:rsid w:val="00E03994"/>
    <w:rsid w:val="00E039E5"/>
    <w:rsid w:val="00E039F2"/>
    <w:rsid w:val="00E03A2E"/>
    <w:rsid w:val="00E03DAF"/>
    <w:rsid w:val="00E03E25"/>
    <w:rsid w:val="00E04121"/>
    <w:rsid w:val="00E04437"/>
    <w:rsid w:val="00E045A0"/>
    <w:rsid w:val="00E04762"/>
    <w:rsid w:val="00E04892"/>
    <w:rsid w:val="00E04930"/>
    <w:rsid w:val="00E0493B"/>
    <w:rsid w:val="00E04942"/>
    <w:rsid w:val="00E04A22"/>
    <w:rsid w:val="00E04BCE"/>
    <w:rsid w:val="00E04CC1"/>
    <w:rsid w:val="00E04D77"/>
    <w:rsid w:val="00E04E05"/>
    <w:rsid w:val="00E04E30"/>
    <w:rsid w:val="00E04E5E"/>
    <w:rsid w:val="00E04FA4"/>
    <w:rsid w:val="00E04FD2"/>
    <w:rsid w:val="00E0512D"/>
    <w:rsid w:val="00E05482"/>
    <w:rsid w:val="00E056A4"/>
    <w:rsid w:val="00E05872"/>
    <w:rsid w:val="00E05901"/>
    <w:rsid w:val="00E05963"/>
    <w:rsid w:val="00E059A1"/>
    <w:rsid w:val="00E05C08"/>
    <w:rsid w:val="00E05C46"/>
    <w:rsid w:val="00E05D49"/>
    <w:rsid w:val="00E05F11"/>
    <w:rsid w:val="00E060A7"/>
    <w:rsid w:val="00E060BD"/>
    <w:rsid w:val="00E060D1"/>
    <w:rsid w:val="00E06302"/>
    <w:rsid w:val="00E0647C"/>
    <w:rsid w:val="00E064D9"/>
    <w:rsid w:val="00E065CA"/>
    <w:rsid w:val="00E066AF"/>
    <w:rsid w:val="00E06924"/>
    <w:rsid w:val="00E06982"/>
    <w:rsid w:val="00E06A0A"/>
    <w:rsid w:val="00E06A61"/>
    <w:rsid w:val="00E06AF7"/>
    <w:rsid w:val="00E06E6D"/>
    <w:rsid w:val="00E06EFD"/>
    <w:rsid w:val="00E06F6D"/>
    <w:rsid w:val="00E0721A"/>
    <w:rsid w:val="00E07313"/>
    <w:rsid w:val="00E075FD"/>
    <w:rsid w:val="00E0766E"/>
    <w:rsid w:val="00E076DB"/>
    <w:rsid w:val="00E0782D"/>
    <w:rsid w:val="00E079B8"/>
    <w:rsid w:val="00E079C7"/>
    <w:rsid w:val="00E07AA2"/>
    <w:rsid w:val="00E07AF2"/>
    <w:rsid w:val="00E07D1D"/>
    <w:rsid w:val="00E07EF7"/>
    <w:rsid w:val="00E07FAE"/>
    <w:rsid w:val="00E07FD0"/>
    <w:rsid w:val="00E102D3"/>
    <w:rsid w:val="00E1054B"/>
    <w:rsid w:val="00E108D8"/>
    <w:rsid w:val="00E1091B"/>
    <w:rsid w:val="00E10A21"/>
    <w:rsid w:val="00E10B2E"/>
    <w:rsid w:val="00E10C3D"/>
    <w:rsid w:val="00E10C6C"/>
    <w:rsid w:val="00E10E1E"/>
    <w:rsid w:val="00E10F58"/>
    <w:rsid w:val="00E1100A"/>
    <w:rsid w:val="00E112EF"/>
    <w:rsid w:val="00E11598"/>
    <w:rsid w:val="00E117E3"/>
    <w:rsid w:val="00E11A1B"/>
    <w:rsid w:val="00E11B6C"/>
    <w:rsid w:val="00E11D62"/>
    <w:rsid w:val="00E11DA7"/>
    <w:rsid w:val="00E123F6"/>
    <w:rsid w:val="00E124DF"/>
    <w:rsid w:val="00E1263A"/>
    <w:rsid w:val="00E1263E"/>
    <w:rsid w:val="00E1267D"/>
    <w:rsid w:val="00E1267E"/>
    <w:rsid w:val="00E1273B"/>
    <w:rsid w:val="00E12A97"/>
    <w:rsid w:val="00E12AAC"/>
    <w:rsid w:val="00E12B38"/>
    <w:rsid w:val="00E12DF8"/>
    <w:rsid w:val="00E12EA0"/>
    <w:rsid w:val="00E130F8"/>
    <w:rsid w:val="00E13253"/>
    <w:rsid w:val="00E1327B"/>
    <w:rsid w:val="00E13386"/>
    <w:rsid w:val="00E134BC"/>
    <w:rsid w:val="00E135C5"/>
    <w:rsid w:val="00E13955"/>
    <w:rsid w:val="00E13A1A"/>
    <w:rsid w:val="00E13AC6"/>
    <w:rsid w:val="00E13B25"/>
    <w:rsid w:val="00E13E9C"/>
    <w:rsid w:val="00E13EBC"/>
    <w:rsid w:val="00E13FFF"/>
    <w:rsid w:val="00E141D9"/>
    <w:rsid w:val="00E143F5"/>
    <w:rsid w:val="00E147E6"/>
    <w:rsid w:val="00E14B28"/>
    <w:rsid w:val="00E14BEB"/>
    <w:rsid w:val="00E14C96"/>
    <w:rsid w:val="00E14E01"/>
    <w:rsid w:val="00E15027"/>
    <w:rsid w:val="00E15185"/>
    <w:rsid w:val="00E1549E"/>
    <w:rsid w:val="00E15666"/>
    <w:rsid w:val="00E156B6"/>
    <w:rsid w:val="00E15806"/>
    <w:rsid w:val="00E158B4"/>
    <w:rsid w:val="00E15B55"/>
    <w:rsid w:val="00E15C28"/>
    <w:rsid w:val="00E15E84"/>
    <w:rsid w:val="00E15F91"/>
    <w:rsid w:val="00E16138"/>
    <w:rsid w:val="00E162C8"/>
    <w:rsid w:val="00E16689"/>
    <w:rsid w:val="00E167E3"/>
    <w:rsid w:val="00E16A6C"/>
    <w:rsid w:val="00E16B16"/>
    <w:rsid w:val="00E16DCD"/>
    <w:rsid w:val="00E16F7F"/>
    <w:rsid w:val="00E174EE"/>
    <w:rsid w:val="00E17ACF"/>
    <w:rsid w:val="00E2025A"/>
    <w:rsid w:val="00E20364"/>
    <w:rsid w:val="00E20461"/>
    <w:rsid w:val="00E2046B"/>
    <w:rsid w:val="00E2067E"/>
    <w:rsid w:val="00E2073F"/>
    <w:rsid w:val="00E207C7"/>
    <w:rsid w:val="00E207F2"/>
    <w:rsid w:val="00E209B6"/>
    <w:rsid w:val="00E20D71"/>
    <w:rsid w:val="00E20EB2"/>
    <w:rsid w:val="00E20FB5"/>
    <w:rsid w:val="00E21078"/>
    <w:rsid w:val="00E212E3"/>
    <w:rsid w:val="00E2140A"/>
    <w:rsid w:val="00E215FB"/>
    <w:rsid w:val="00E21831"/>
    <w:rsid w:val="00E21D1F"/>
    <w:rsid w:val="00E21E20"/>
    <w:rsid w:val="00E22004"/>
    <w:rsid w:val="00E22052"/>
    <w:rsid w:val="00E2257E"/>
    <w:rsid w:val="00E2262B"/>
    <w:rsid w:val="00E2286E"/>
    <w:rsid w:val="00E228AB"/>
    <w:rsid w:val="00E229ED"/>
    <w:rsid w:val="00E22AC0"/>
    <w:rsid w:val="00E22ADF"/>
    <w:rsid w:val="00E231D4"/>
    <w:rsid w:val="00E233D7"/>
    <w:rsid w:val="00E234F5"/>
    <w:rsid w:val="00E235A6"/>
    <w:rsid w:val="00E23865"/>
    <w:rsid w:val="00E239A0"/>
    <w:rsid w:val="00E23A8E"/>
    <w:rsid w:val="00E23B00"/>
    <w:rsid w:val="00E23B1D"/>
    <w:rsid w:val="00E23CB5"/>
    <w:rsid w:val="00E23DED"/>
    <w:rsid w:val="00E23E51"/>
    <w:rsid w:val="00E23F5F"/>
    <w:rsid w:val="00E23FD0"/>
    <w:rsid w:val="00E24025"/>
    <w:rsid w:val="00E2402A"/>
    <w:rsid w:val="00E2409F"/>
    <w:rsid w:val="00E241A3"/>
    <w:rsid w:val="00E24230"/>
    <w:rsid w:val="00E2437A"/>
    <w:rsid w:val="00E246D6"/>
    <w:rsid w:val="00E247B5"/>
    <w:rsid w:val="00E24828"/>
    <w:rsid w:val="00E249E3"/>
    <w:rsid w:val="00E24BEE"/>
    <w:rsid w:val="00E24CF6"/>
    <w:rsid w:val="00E24E3B"/>
    <w:rsid w:val="00E2500F"/>
    <w:rsid w:val="00E25102"/>
    <w:rsid w:val="00E25254"/>
    <w:rsid w:val="00E2549C"/>
    <w:rsid w:val="00E2568E"/>
    <w:rsid w:val="00E257C3"/>
    <w:rsid w:val="00E25936"/>
    <w:rsid w:val="00E259EF"/>
    <w:rsid w:val="00E25BEE"/>
    <w:rsid w:val="00E25C08"/>
    <w:rsid w:val="00E25D4E"/>
    <w:rsid w:val="00E26011"/>
    <w:rsid w:val="00E26090"/>
    <w:rsid w:val="00E2617A"/>
    <w:rsid w:val="00E2657A"/>
    <w:rsid w:val="00E2667C"/>
    <w:rsid w:val="00E2672D"/>
    <w:rsid w:val="00E26747"/>
    <w:rsid w:val="00E2679E"/>
    <w:rsid w:val="00E267AC"/>
    <w:rsid w:val="00E26895"/>
    <w:rsid w:val="00E26989"/>
    <w:rsid w:val="00E26C24"/>
    <w:rsid w:val="00E26CC7"/>
    <w:rsid w:val="00E26DB4"/>
    <w:rsid w:val="00E26DE6"/>
    <w:rsid w:val="00E270A8"/>
    <w:rsid w:val="00E2710C"/>
    <w:rsid w:val="00E27522"/>
    <w:rsid w:val="00E2779C"/>
    <w:rsid w:val="00E277DA"/>
    <w:rsid w:val="00E27BD3"/>
    <w:rsid w:val="00E27CBC"/>
    <w:rsid w:val="00E27D38"/>
    <w:rsid w:val="00E27F6D"/>
    <w:rsid w:val="00E27F9A"/>
    <w:rsid w:val="00E27FCC"/>
    <w:rsid w:val="00E30088"/>
    <w:rsid w:val="00E30A5F"/>
    <w:rsid w:val="00E30CBD"/>
    <w:rsid w:val="00E30D27"/>
    <w:rsid w:val="00E30ED3"/>
    <w:rsid w:val="00E30F92"/>
    <w:rsid w:val="00E311D7"/>
    <w:rsid w:val="00E311ED"/>
    <w:rsid w:val="00E31212"/>
    <w:rsid w:val="00E3123F"/>
    <w:rsid w:val="00E31332"/>
    <w:rsid w:val="00E31375"/>
    <w:rsid w:val="00E3142D"/>
    <w:rsid w:val="00E31490"/>
    <w:rsid w:val="00E314CE"/>
    <w:rsid w:val="00E317D3"/>
    <w:rsid w:val="00E31832"/>
    <w:rsid w:val="00E31836"/>
    <w:rsid w:val="00E3185A"/>
    <w:rsid w:val="00E3191B"/>
    <w:rsid w:val="00E319F4"/>
    <w:rsid w:val="00E31B6F"/>
    <w:rsid w:val="00E31C61"/>
    <w:rsid w:val="00E31E71"/>
    <w:rsid w:val="00E31F90"/>
    <w:rsid w:val="00E321A6"/>
    <w:rsid w:val="00E32242"/>
    <w:rsid w:val="00E323B8"/>
    <w:rsid w:val="00E3244E"/>
    <w:rsid w:val="00E326A4"/>
    <w:rsid w:val="00E3283B"/>
    <w:rsid w:val="00E328C8"/>
    <w:rsid w:val="00E3294E"/>
    <w:rsid w:val="00E32960"/>
    <w:rsid w:val="00E32D69"/>
    <w:rsid w:val="00E32E48"/>
    <w:rsid w:val="00E32E71"/>
    <w:rsid w:val="00E3313F"/>
    <w:rsid w:val="00E331BF"/>
    <w:rsid w:val="00E33381"/>
    <w:rsid w:val="00E3343B"/>
    <w:rsid w:val="00E33449"/>
    <w:rsid w:val="00E33583"/>
    <w:rsid w:val="00E33616"/>
    <w:rsid w:val="00E3364A"/>
    <w:rsid w:val="00E3392E"/>
    <w:rsid w:val="00E339C2"/>
    <w:rsid w:val="00E33A1A"/>
    <w:rsid w:val="00E3406D"/>
    <w:rsid w:val="00E34140"/>
    <w:rsid w:val="00E34261"/>
    <w:rsid w:val="00E342FC"/>
    <w:rsid w:val="00E34393"/>
    <w:rsid w:val="00E343AD"/>
    <w:rsid w:val="00E343E0"/>
    <w:rsid w:val="00E343F1"/>
    <w:rsid w:val="00E3440B"/>
    <w:rsid w:val="00E3455B"/>
    <w:rsid w:val="00E34644"/>
    <w:rsid w:val="00E34662"/>
    <w:rsid w:val="00E34695"/>
    <w:rsid w:val="00E34771"/>
    <w:rsid w:val="00E347C7"/>
    <w:rsid w:val="00E34A80"/>
    <w:rsid w:val="00E34E35"/>
    <w:rsid w:val="00E34E4F"/>
    <w:rsid w:val="00E3510A"/>
    <w:rsid w:val="00E3526C"/>
    <w:rsid w:val="00E35555"/>
    <w:rsid w:val="00E355EF"/>
    <w:rsid w:val="00E356C4"/>
    <w:rsid w:val="00E35712"/>
    <w:rsid w:val="00E3595B"/>
    <w:rsid w:val="00E35961"/>
    <w:rsid w:val="00E35BAA"/>
    <w:rsid w:val="00E36226"/>
    <w:rsid w:val="00E363A0"/>
    <w:rsid w:val="00E36506"/>
    <w:rsid w:val="00E36545"/>
    <w:rsid w:val="00E36615"/>
    <w:rsid w:val="00E366C9"/>
    <w:rsid w:val="00E3677E"/>
    <w:rsid w:val="00E3681C"/>
    <w:rsid w:val="00E36A33"/>
    <w:rsid w:val="00E37340"/>
    <w:rsid w:val="00E37364"/>
    <w:rsid w:val="00E3746D"/>
    <w:rsid w:val="00E3754F"/>
    <w:rsid w:val="00E3760C"/>
    <w:rsid w:val="00E3769F"/>
    <w:rsid w:val="00E37729"/>
    <w:rsid w:val="00E37759"/>
    <w:rsid w:val="00E377ED"/>
    <w:rsid w:val="00E378F0"/>
    <w:rsid w:val="00E379E8"/>
    <w:rsid w:val="00E37E47"/>
    <w:rsid w:val="00E37FBC"/>
    <w:rsid w:val="00E40100"/>
    <w:rsid w:val="00E40132"/>
    <w:rsid w:val="00E4028C"/>
    <w:rsid w:val="00E402B1"/>
    <w:rsid w:val="00E40338"/>
    <w:rsid w:val="00E404B7"/>
    <w:rsid w:val="00E40539"/>
    <w:rsid w:val="00E409BA"/>
    <w:rsid w:val="00E409E0"/>
    <w:rsid w:val="00E40AA7"/>
    <w:rsid w:val="00E40ADA"/>
    <w:rsid w:val="00E40B69"/>
    <w:rsid w:val="00E40BF2"/>
    <w:rsid w:val="00E40D17"/>
    <w:rsid w:val="00E41571"/>
    <w:rsid w:val="00E41596"/>
    <w:rsid w:val="00E41E10"/>
    <w:rsid w:val="00E42226"/>
    <w:rsid w:val="00E423BC"/>
    <w:rsid w:val="00E4259D"/>
    <w:rsid w:val="00E4263D"/>
    <w:rsid w:val="00E426A2"/>
    <w:rsid w:val="00E429BF"/>
    <w:rsid w:val="00E42B5A"/>
    <w:rsid w:val="00E42C97"/>
    <w:rsid w:val="00E42D6A"/>
    <w:rsid w:val="00E42F1F"/>
    <w:rsid w:val="00E4309C"/>
    <w:rsid w:val="00E4317D"/>
    <w:rsid w:val="00E4334D"/>
    <w:rsid w:val="00E4362A"/>
    <w:rsid w:val="00E4373C"/>
    <w:rsid w:val="00E43821"/>
    <w:rsid w:val="00E439AF"/>
    <w:rsid w:val="00E43A4D"/>
    <w:rsid w:val="00E43C0D"/>
    <w:rsid w:val="00E43E09"/>
    <w:rsid w:val="00E43EE9"/>
    <w:rsid w:val="00E43F68"/>
    <w:rsid w:val="00E4422B"/>
    <w:rsid w:val="00E443F0"/>
    <w:rsid w:val="00E44578"/>
    <w:rsid w:val="00E445A6"/>
    <w:rsid w:val="00E44702"/>
    <w:rsid w:val="00E44749"/>
    <w:rsid w:val="00E44782"/>
    <w:rsid w:val="00E44A2E"/>
    <w:rsid w:val="00E44AF6"/>
    <w:rsid w:val="00E44F2F"/>
    <w:rsid w:val="00E451F8"/>
    <w:rsid w:val="00E4522C"/>
    <w:rsid w:val="00E45612"/>
    <w:rsid w:val="00E4574A"/>
    <w:rsid w:val="00E457C6"/>
    <w:rsid w:val="00E45A31"/>
    <w:rsid w:val="00E45B8A"/>
    <w:rsid w:val="00E45C4F"/>
    <w:rsid w:val="00E45C87"/>
    <w:rsid w:val="00E45D6E"/>
    <w:rsid w:val="00E45DDC"/>
    <w:rsid w:val="00E46006"/>
    <w:rsid w:val="00E4626C"/>
    <w:rsid w:val="00E46292"/>
    <w:rsid w:val="00E46559"/>
    <w:rsid w:val="00E46795"/>
    <w:rsid w:val="00E468DC"/>
    <w:rsid w:val="00E46B2F"/>
    <w:rsid w:val="00E46DDE"/>
    <w:rsid w:val="00E4735F"/>
    <w:rsid w:val="00E47370"/>
    <w:rsid w:val="00E473F7"/>
    <w:rsid w:val="00E47467"/>
    <w:rsid w:val="00E474C8"/>
    <w:rsid w:val="00E4765A"/>
    <w:rsid w:val="00E4788D"/>
    <w:rsid w:val="00E47A56"/>
    <w:rsid w:val="00E47A86"/>
    <w:rsid w:val="00E47AF6"/>
    <w:rsid w:val="00E47B26"/>
    <w:rsid w:val="00E47DC0"/>
    <w:rsid w:val="00E47EF5"/>
    <w:rsid w:val="00E47FB0"/>
    <w:rsid w:val="00E5000B"/>
    <w:rsid w:val="00E5017D"/>
    <w:rsid w:val="00E501EC"/>
    <w:rsid w:val="00E50239"/>
    <w:rsid w:val="00E503DE"/>
    <w:rsid w:val="00E504DE"/>
    <w:rsid w:val="00E5055E"/>
    <w:rsid w:val="00E505F4"/>
    <w:rsid w:val="00E50704"/>
    <w:rsid w:val="00E507B8"/>
    <w:rsid w:val="00E50A22"/>
    <w:rsid w:val="00E50CD5"/>
    <w:rsid w:val="00E50DFB"/>
    <w:rsid w:val="00E50F40"/>
    <w:rsid w:val="00E50F6F"/>
    <w:rsid w:val="00E510EC"/>
    <w:rsid w:val="00E51179"/>
    <w:rsid w:val="00E51381"/>
    <w:rsid w:val="00E513AD"/>
    <w:rsid w:val="00E5161F"/>
    <w:rsid w:val="00E51739"/>
    <w:rsid w:val="00E518EF"/>
    <w:rsid w:val="00E5190E"/>
    <w:rsid w:val="00E51A5A"/>
    <w:rsid w:val="00E51C44"/>
    <w:rsid w:val="00E51CED"/>
    <w:rsid w:val="00E51D40"/>
    <w:rsid w:val="00E51DFF"/>
    <w:rsid w:val="00E51E39"/>
    <w:rsid w:val="00E523A7"/>
    <w:rsid w:val="00E52BF2"/>
    <w:rsid w:val="00E52DBB"/>
    <w:rsid w:val="00E52EEB"/>
    <w:rsid w:val="00E52F54"/>
    <w:rsid w:val="00E52FF2"/>
    <w:rsid w:val="00E5315D"/>
    <w:rsid w:val="00E5320C"/>
    <w:rsid w:val="00E5347B"/>
    <w:rsid w:val="00E534F7"/>
    <w:rsid w:val="00E53518"/>
    <w:rsid w:val="00E53568"/>
    <w:rsid w:val="00E5369E"/>
    <w:rsid w:val="00E536FB"/>
    <w:rsid w:val="00E538C9"/>
    <w:rsid w:val="00E53915"/>
    <w:rsid w:val="00E5397B"/>
    <w:rsid w:val="00E539F0"/>
    <w:rsid w:val="00E539FB"/>
    <w:rsid w:val="00E53B50"/>
    <w:rsid w:val="00E53B5B"/>
    <w:rsid w:val="00E53BA7"/>
    <w:rsid w:val="00E53C1A"/>
    <w:rsid w:val="00E53CFD"/>
    <w:rsid w:val="00E53D75"/>
    <w:rsid w:val="00E53DA0"/>
    <w:rsid w:val="00E53F02"/>
    <w:rsid w:val="00E54002"/>
    <w:rsid w:val="00E54117"/>
    <w:rsid w:val="00E54164"/>
    <w:rsid w:val="00E54166"/>
    <w:rsid w:val="00E54697"/>
    <w:rsid w:val="00E54880"/>
    <w:rsid w:val="00E548D3"/>
    <w:rsid w:val="00E54E46"/>
    <w:rsid w:val="00E54E5D"/>
    <w:rsid w:val="00E54E73"/>
    <w:rsid w:val="00E5518C"/>
    <w:rsid w:val="00E551E7"/>
    <w:rsid w:val="00E55654"/>
    <w:rsid w:val="00E5586F"/>
    <w:rsid w:val="00E558CC"/>
    <w:rsid w:val="00E5597D"/>
    <w:rsid w:val="00E55A8B"/>
    <w:rsid w:val="00E55B83"/>
    <w:rsid w:val="00E561BB"/>
    <w:rsid w:val="00E562B1"/>
    <w:rsid w:val="00E56333"/>
    <w:rsid w:val="00E563F1"/>
    <w:rsid w:val="00E56DE7"/>
    <w:rsid w:val="00E56E1F"/>
    <w:rsid w:val="00E5704F"/>
    <w:rsid w:val="00E571B4"/>
    <w:rsid w:val="00E5720D"/>
    <w:rsid w:val="00E5723F"/>
    <w:rsid w:val="00E573C0"/>
    <w:rsid w:val="00E57493"/>
    <w:rsid w:val="00E574DC"/>
    <w:rsid w:val="00E57830"/>
    <w:rsid w:val="00E57923"/>
    <w:rsid w:val="00E57A5E"/>
    <w:rsid w:val="00E57B63"/>
    <w:rsid w:val="00E57BC0"/>
    <w:rsid w:val="00E57E38"/>
    <w:rsid w:val="00E57E45"/>
    <w:rsid w:val="00E57FEC"/>
    <w:rsid w:val="00E602B0"/>
    <w:rsid w:val="00E6034B"/>
    <w:rsid w:val="00E606EC"/>
    <w:rsid w:val="00E60834"/>
    <w:rsid w:val="00E60A69"/>
    <w:rsid w:val="00E60AB6"/>
    <w:rsid w:val="00E60F65"/>
    <w:rsid w:val="00E61275"/>
    <w:rsid w:val="00E6138D"/>
    <w:rsid w:val="00E613F9"/>
    <w:rsid w:val="00E61401"/>
    <w:rsid w:val="00E614D2"/>
    <w:rsid w:val="00E61721"/>
    <w:rsid w:val="00E6186D"/>
    <w:rsid w:val="00E61912"/>
    <w:rsid w:val="00E61A44"/>
    <w:rsid w:val="00E61ABF"/>
    <w:rsid w:val="00E61BAB"/>
    <w:rsid w:val="00E61C17"/>
    <w:rsid w:val="00E61C24"/>
    <w:rsid w:val="00E61D98"/>
    <w:rsid w:val="00E6226D"/>
    <w:rsid w:val="00E626B8"/>
    <w:rsid w:val="00E626F8"/>
    <w:rsid w:val="00E62E27"/>
    <w:rsid w:val="00E63181"/>
    <w:rsid w:val="00E63347"/>
    <w:rsid w:val="00E633E8"/>
    <w:rsid w:val="00E634E1"/>
    <w:rsid w:val="00E63507"/>
    <w:rsid w:val="00E63589"/>
    <w:rsid w:val="00E636E0"/>
    <w:rsid w:val="00E63886"/>
    <w:rsid w:val="00E63B5E"/>
    <w:rsid w:val="00E63C6F"/>
    <w:rsid w:val="00E63EAA"/>
    <w:rsid w:val="00E64218"/>
    <w:rsid w:val="00E64481"/>
    <w:rsid w:val="00E645D1"/>
    <w:rsid w:val="00E6466D"/>
    <w:rsid w:val="00E6476B"/>
    <w:rsid w:val="00E64778"/>
    <w:rsid w:val="00E64881"/>
    <w:rsid w:val="00E649F9"/>
    <w:rsid w:val="00E64C5A"/>
    <w:rsid w:val="00E64F1B"/>
    <w:rsid w:val="00E64FCC"/>
    <w:rsid w:val="00E65041"/>
    <w:rsid w:val="00E651B4"/>
    <w:rsid w:val="00E6539E"/>
    <w:rsid w:val="00E65414"/>
    <w:rsid w:val="00E654DA"/>
    <w:rsid w:val="00E655A7"/>
    <w:rsid w:val="00E6585A"/>
    <w:rsid w:val="00E65AF3"/>
    <w:rsid w:val="00E65C6E"/>
    <w:rsid w:val="00E65CE4"/>
    <w:rsid w:val="00E65EFC"/>
    <w:rsid w:val="00E662FC"/>
    <w:rsid w:val="00E66581"/>
    <w:rsid w:val="00E66601"/>
    <w:rsid w:val="00E6668B"/>
    <w:rsid w:val="00E66A15"/>
    <w:rsid w:val="00E66B43"/>
    <w:rsid w:val="00E66D96"/>
    <w:rsid w:val="00E66E34"/>
    <w:rsid w:val="00E66ED0"/>
    <w:rsid w:val="00E66FF7"/>
    <w:rsid w:val="00E670FE"/>
    <w:rsid w:val="00E6710D"/>
    <w:rsid w:val="00E67159"/>
    <w:rsid w:val="00E6715A"/>
    <w:rsid w:val="00E6742C"/>
    <w:rsid w:val="00E675A8"/>
    <w:rsid w:val="00E675C8"/>
    <w:rsid w:val="00E67828"/>
    <w:rsid w:val="00E67D88"/>
    <w:rsid w:val="00E702A4"/>
    <w:rsid w:val="00E703B8"/>
    <w:rsid w:val="00E7042F"/>
    <w:rsid w:val="00E7044C"/>
    <w:rsid w:val="00E7056A"/>
    <w:rsid w:val="00E705AB"/>
    <w:rsid w:val="00E706FA"/>
    <w:rsid w:val="00E70836"/>
    <w:rsid w:val="00E7087D"/>
    <w:rsid w:val="00E70C74"/>
    <w:rsid w:val="00E70CBE"/>
    <w:rsid w:val="00E70ECC"/>
    <w:rsid w:val="00E70F38"/>
    <w:rsid w:val="00E71103"/>
    <w:rsid w:val="00E71287"/>
    <w:rsid w:val="00E7159F"/>
    <w:rsid w:val="00E715B1"/>
    <w:rsid w:val="00E71746"/>
    <w:rsid w:val="00E71750"/>
    <w:rsid w:val="00E71818"/>
    <w:rsid w:val="00E71A43"/>
    <w:rsid w:val="00E71D71"/>
    <w:rsid w:val="00E721A7"/>
    <w:rsid w:val="00E72468"/>
    <w:rsid w:val="00E7253E"/>
    <w:rsid w:val="00E7266B"/>
    <w:rsid w:val="00E72AAC"/>
    <w:rsid w:val="00E72CB6"/>
    <w:rsid w:val="00E72EF7"/>
    <w:rsid w:val="00E72F78"/>
    <w:rsid w:val="00E73009"/>
    <w:rsid w:val="00E7302A"/>
    <w:rsid w:val="00E73432"/>
    <w:rsid w:val="00E73859"/>
    <w:rsid w:val="00E738BC"/>
    <w:rsid w:val="00E73B24"/>
    <w:rsid w:val="00E73D8B"/>
    <w:rsid w:val="00E73DE8"/>
    <w:rsid w:val="00E73F2F"/>
    <w:rsid w:val="00E73FD5"/>
    <w:rsid w:val="00E7451D"/>
    <w:rsid w:val="00E7466F"/>
    <w:rsid w:val="00E74678"/>
    <w:rsid w:val="00E74688"/>
    <w:rsid w:val="00E74926"/>
    <w:rsid w:val="00E74A50"/>
    <w:rsid w:val="00E74A62"/>
    <w:rsid w:val="00E74B4A"/>
    <w:rsid w:val="00E74DC3"/>
    <w:rsid w:val="00E750F7"/>
    <w:rsid w:val="00E751A3"/>
    <w:rsid w:val="00E751E5"/>
    <w:rsid w:val="00E75289"/>
    <w:rsid w:val="00E754CC"/>
    <w:rsid w:val="00E75665"/>
    <w:rsid w:val="00E75948"/>
    <w:rsid w:val="00E759DF"/>
    <w:rsid w:val="00E75A7F"/>
    <w:rsid w:val="00E75B4E"/>
    <w:rsid w:val="00E75C92"/>
    <w:rsid w:val="00E75E5B"/>
    <w:rsid w:val="00E75EC3"/>
    <w:rsid w:val="00E75FCD"/>
    <w:rsid w:val="00E75FF0"/>
    <w:rsid w:val="00E7607D"/>
    <w:rsid w:val="00E760AC"/>
    <w:rsid w:val="00E760F2"/>
    <w:rsid w:val="00E76224"/>
    <w:rsid w:val="00E76573"/>
    <w:rsid w:val="00E7669E"/>
    <w:rsid w:val="00E76B3E"/>
    <w:rsid w:val="00E76B69"/>
    <w:rsid w:val="00E76C09"/>
    <w:rsid w:val="00E76C28"/>
    <w:rsid w:val="00E76CB4"/>
    <w:rsid w:val="00E76D9A"/>
    <w:rsid w:val="00E76FA4"/>
    <w:rsid w:val="00E77176"/>
    <w:rsid w:val="00E771A1"/>
    <w:rsid w:val="00E7724A"/>
    <w:rsid w:val="00E77266"/>
    <w:rsid w:val="00E7752A"/>
    <w:rsid w:val="00E77626"/>
    <w:rsid w:val="00E77862"/>
    <w:rsid w:val="00E77AAE"/>
    <w:rsid w:val="00E77ACB"/>
    <w:rsid w:val="00E77BD8"/>
    <w:rsid w:val="00E77E3D"/>
    <w:rsid w:val="00E77E57"/>
    <w:rsid w:val="00E8078F"/>
    <w:rsid w:val="00E807FF"/>
    <w:rsid w:val="00E80987"/>
    <w:rsid w:val="00E809E9"/>
    <w:rsid w:val="00E80A2A"/>
    <w:rsid w:val="00E80A65"/>
    <w:rsid w:val="00E80AC7"/>
    <w:rsid w:val="00E80D36"/>
    <w:rsid w:val="00E80DCA"/>
    <w:rsid w:val="00E80EA2"/>
    <w:rsid w:val="00E80EAA"/>
    <w:rsid w:val="00E80EBD"/>
    <w:rsid w:val="00E80FD9"/>
    <w:rsid w:val="00E8120C"/>
    <w:rsid w:val="00E8120E"/>
    <w:rsid w:val="00E8126D"/>
    <w:rsid w:val="00E813B3"/>
    <w:rsid w:val="00E81482"/>
    <w:rsid w:val="00E81552"/>
    <w:rsid w:val="00E816ED"/>
    <w:rsid w:val="00E816F7"/>
    <w:rsid w:val="00E817BB"/>
    <w:rsid w:val="00E8188E"/>
    <w:rsid w:val="00E81E87"/>
    <w:rsid w:val="00E81F2B"/>
    <w:rsid w:val="00E82233"/>
    <w:rsid w:val="00E826E9"/>
    <w:rsid w:val="00E827FE"/>
    <w:rsid w:val="00E82AD2"/>
    <w:rsid w:val="00E82C7E"/>
    <w:rsid w:val="00E82CBA"/>
    <w:rsid w:val="00E82D46"/>
    <w:rsid w:val="00E82DCC"/>
    <w:rsid w:val="00E82FA2"/>
    <w:rsid w:val="00E83066"/>
    <w:rsid w:val="00E8309C"/>
    <w:rsid w:val="00E83375"/>
    <w:rsid w:val="00E83478"/>
    <w:rsid w:val="00E83591"/>
    <w:rsid w:val="00E8367E"/>
    <w:rsid w:val="00E83EAD"/>
    <w:rsid w:val="00E83ECD"/>
    <w:rsid w:val="00E83F76"/>
    <w:rsid w:val="00E83FA6"/>
    <w:rsid w:val="00E8416F"/>
    <w:rsid w:val="00E84193"/>
    <w:rsid w:val="00E8420B"/>
    <w:rsid w:val="00E84327"/>
    <w:rsid w:val="00E84379"/>
    <w:rsid w:val="00E846D3"/>
    <w:rsid w:val="00E848D5"/>
    <w:rsid w:val="00E848EB"/>
    <w:rsid w:val="00E84AE1"/>
    <w:rsid w:val="00E84B10"/>
    <w:rsid w:val="00E84D78"/>
    <w:rsid w:val="00E853B1"/>
    <w:rsid w:val="00E853E6"/>
    <w:rsid w:val="00E855B2"/>
    <w:rsid w:val="00E85663"/>
    <w:rsid w:val="00E85673"/>
    <w:rsid w:val="00E8567F"/>
    <w:rsid w:val="00E85692"/>
    <w:rsid w:val="00E857FD"/>
    <w:rsid w:val="00E85A03"/>
    <w:rsid w:val="00E85A2B"/>
    <w:rsid w:val="00E85E35"/>
    <w:rsid w:val="00E86069"/>
    <w:rsid w:val="00E8614A"/>
    <w:rsid w:val="00E862FB"/>
    <w:rsid w:val="00E8632D"/>
    <w:rsid w:val="00E867B0"/>
    <w:rsid w:val="00E867D3"/>
    <w:rsid w:val="00E86938"/>
    <w:rsid w:val="00E86AAE"/>
    <w:rsid w:val="00E86DD3"/>
    <w:rsid w:val="00E86F79"/>
    <w:rsid w:val="00E86F7C"/>
    <w:rsid w:val="00E8716A"/>
    <w:rsid w:val="00E87278"/>
    <w:rsid w:val="00E87491"/>
    <w:rsid w:val="00E8751C"/>
    <w:rsid w:val="00E87A60"/>
    <w:rsid w:val="00E87A91"/>
    <w:rsid w:val="00E87B11"/>
    <w:rsid w:val="00E87C11"/>
    <w:rsid w:val="00E87C30"/>
    <w:rsid w:val="00E87C57"/>
    <w:rsid w:val="00E87D73"/>
    <w:rsid w:val="00E87F24"/>
    <w:rsid w:val="00E87F65"/>
    <w:rsid w:val="00E900B9"/>
    <w:rsid w:val="00E90137"/>
    <w:rsid w:val="00E901AF"/>
    <w:rsid w:val="00E90328"/>
    <w:rsid w:val="00E90818"/>
    <w:rsid w:val="00E9082C"/>
    <w:rsid w:val="00E90B9A"/>
    <w:rsid w:val="00E90E08"/>
    <w:rsid w:val="00E90E7E"/>
    <w:rsid w:val="00E90EF9"/>
    <w:rsid w:val="00E911E4"/>
    <w:rsid w:val="00E9120B"/>
    <w:rsid w:val="00E914B5"/>
    <w:rsid w:val="00E91C8C"/>
    <w:rsid w:val="00E91E65"/>
    <w:rsid w:val="00E91FD7"/>
    <w:rsid w:val="00E92083"/>
    <w:rsid w:val="00E920DE"/>
    <w:rsid w:val="00E92138"/>
    <w:rsid w:val="00E92433"/>
    <w:rsid w:val="00E9244B"/>
    <w:rsid w:val="00E9287C"/>
    <w:rsid w:val="00E928BE"/>
    <w:rsid w:val="00E929E1"/>
    <w:rsid w:val="00E92B15"/>
    <w:rsid w:val="00E9331B"/>
    <w:rsid w:val="00E9352E"/>
    <w:rsid w:val="00E93579"/>
    <w:rsid w:val="00E93686"/>
    <w:rsid w:val="00E93765"/>
    <w:rsid w:val="00E9376F"/>
    <w:rsid w:val="00E937F4"/>
    <w:rsid w:val="00E938BD"/>
    <w:rsid w:val="00E93A1D"/>
    <w:rsid w:val="00E93A4D"/>
    <w:rsid w:val="00E93B2E"/>
    <w:rsid w:val="00E93B59"/>
    <w:rsid w:val="00E93D27"/>
    <w:rsid w:val="00E93F36"/>
    <w:rsid w:val="00E93F6A"/>
    <w:rsid w:val="00E940C6"/>
    <w:rsid w:val="00E940E5"/>
    <w:rsid w:val="00E94138"/>
    <w:rsid w:val="00E941A6"/>
    <w:rsid w:val="00E94268"/>
    <w:rsid w:val="00E9434F"/>
    <w:rsid w:val="00E94CBC"/>
    <w:rsid w:val="00E94D56"/>
    <w:rsid w:val="00E94F84"/>
    <w:rsid w:val="00E9519D"/>
    <w:rsid w:val="00E951CA"/>
    <w:rsid w:val="00E95287"/>
    <w:rsid w:val="00E952A3"/>
    <w:rsid w:val="00E95565"/>
    <w:rsid w:val="00E95581"/>
    <w:rsid w:val="00E95B8F"/>
    <w:rsid w:val="00E95D21"/>
    <w:rsid w:val="00E96196"/>
    <w:rsid w:val="00E961D2"/>
    <w:rsid w:val="00E96281"/>
    <w:rsid w:val="00E9635E"/>
    <w:rsid w:val="00E96851"/>
    <w:rsid w:val="00E96957"/>
    <w:rsid w:val="00E96A26"/>
    <w:rsid w:val="00E96DF0"/>
    <w:rsid w:val="00E96F23"/>
    <w:rsid w:val="00E970B3"/>
    <w:rsid w:val="00E970DB"/>
    <w:rsid w:val="00E971BB"/>
    <w:rsid w:val="00E9733D"/>
    <w:rsid w:val="00E973C3"/>
    <w:rsid w:val="00E97469"/>
    <w:rsid w:val="00E97707"/>
    <w:rsid w:val="00E9771C"/>
    <w:rsid w:val="00E977C7"/>
    <w:rsid w:val="00E97B37"/>
    <w:rsid w:val="00E97C63"/>
    <w:rsid w:val="00E97D4D"/>
    <w:rsid w:val="00E97DD8"/>
    <w:rsid w:val="00EA005F"/>
    <w:rsid w:val="00EA03A2"/>
    <w:rsid w:val="00EA053E"/>
    <w:rsid w:val="00EA0734"/>
    <w:rsid w:val="00EA079A"/>
    <w:rsid w:val="00EA07A9"/>
    <w:rsid w:val="00EA090D"/>
    <w:rsid w:val="00EA0A03"/>
    <w:rsid w:val="00EA0A6E"/>
    <w:rsid w:val="00EA0BB1"/>
    <w:rsid w:val="00EA0BC6"/>
    <w:rsid w:val="00EA0CA9"/>
    <w:rsid w:val="00EA0E9E"/>
    <w:rsid w:val="00EA0F94"/>
    <w:rsid w:val="00EA10B1"/>
    <w:rsid w:val="00EA1737"/>
    <w:rsid w:val="00EA1846"/>
    <w:rsid w:val="00EA1850"/>
    <w:rsid w:val="00EA1AAC"/>
    <w:rsid w:val="00EA1CAF"/>
    <w:rsid w:val="00EA1D88"/>
    <w:rsid w:val="00EA1F48"/>
    <w:rsid w:val="00EA22E1"/>
    <w:rsid w:val="00EA244A"/>
    <w:rsid w:val="00EA257B"/>
    <w:rsid w:val="00EA269C"/>
    <w:rsid w:val="00EA2891"/>
    <w:rsid w:val="00EA29BC"/>
    <w:rsid w:val="00EA2C64"/>
    <w:rsid w:val="00EA2CD2"/>
    <w:rsid w:val="00EA2D58"/>
    <w:rsid w:val="00EA2E3E"/>
    <w:rsid w:val="00EA32DE"/>
    <w:rsid w:val="00EA3A4E"/>
    <w:rsid w:val="00EA3C9F"/>
    <w:rsid w:val="00EA3EF5"/>
    <w:rsid w:val="00EA40BC"/>
    <w:rsid w:val="00EA41C1"/>
    <w:rsid w:val="00EA43DD"/>
    <w:rsid w:val="00EA44E0"/>
    <w:rsid w:val="00EA4793"/>
    <w:rsid w:val="00EA47A7"/>
    <w:rsid w:val="00EA4879"/>
    <w:rsid w:val="00EA4AA8"/>
    <w:rsid w:val="00EA4B25"/>
    <w:rsid w:val="00EA4BA3"/>
    <w:rsid w:val="00EA4EA5"/>
    <w:rsid w:val="00EA4EAC"/>
    <w:rsid w:val="00EA4ED3"/>
    <w:rsid w:val="00EA4F8F"/>
    <w:rsid w:val="00EA52C0"/>
    <w:rsid w:val="00EA5462"/>
    <w:rsid w:val="00EA559D"/>
    <w:rsid w:val="00EA56B9"/>
    <w:rsid w:val="00EA5702"/>
    <w:rsid w:val="00EA5750"/>
    <w:rsid w:val="00EA585B"/>
    <w:rsid w:val="00EA590B"/>
    <w:rsid w:val="00EA5936"/>
    <w:rsid w:val="00EA596F"/>
    <w:rsid w:val="00EA59AD"/>
    <w:rsid w:val="00EA5C54"/>
    <w:rsid w:val="00EA5EB8"/>
    <w:rsid w:val="00EA609D"/>
    <w:rsid w:val="00EA61DE"/>
    <w:rsid w:val="00EA66E2"/>
    <w:rsid w:val="00EA66F5"/>
    <w:rsid w:val="00EA66FE"/>
    <w:rsid w:val="00EA6A77"/>
    <w:rsid w:val="00EA6B35"/>
    <w:rsid w:val="00EA6C0A"/>
    <w:rsid w:val="00EA6E85"/>
    <w:rsid w:val="00EA6EB2"/>
    <w:rsid w:val="00EA6FD2"/>
    <w:rsid w:val="00EA72EE"/>
    <w:rsid w:val="00EA7351"/>
    <w:rsid w:val="00EA7367"/>
    <w:rsid w:val="00EA7458"/>
    <w:rsid w:val="00EA74F4"/>
    <w:rsid w:val="00EA75FA"/>
    <w:rsid w:val="00EA75FF"/>
    <w:rsid w:val="00EA761A"/>
    <w:rsid w:val="00EA7685"/>
    <w:rsid w:val="00EA790F"/>
    <w:rsid w:val="00EA79D5"/>
    <w:rsid w:val="00EA7A45"/>
    <w:rsid w:val="00EA7D3E"/>
    <w:rsid w:val="00EA7DD8"/>
    <w:rsid w:val="00EA7E59"/>
    <w:rsid w:val="00EA7E66"/>
    <w:rsid w:val="00EB0221"/>
    <w:rsid w:val="00EB0384"/>
    <w:rsid w:val="00EB0470"/>
    <w:rsid w:val="00EB051E"/>
    <w:rsid w:val="00EB06FD"/>
    <w:rsid w:val="00EB094A"/>
    <w:rsid w:val="00EB09BB"/>
    <w:rsid w:val="00EB0A31"/>
    <w:rsid w:val="00EB0B1C"/>
    <w:rsid w:val="00EB0BF6"/>
    <w:rsid w:val="00EB0CC1"/>
    <w:rsid w:val="00EB0D2F"/>
    <w:rsid w:val="00EB132E"/>
    <w:rsid w:val="00EB13C5"/>
    <w:rsid w:val="00EB155D"/>
    <w:rsid w:val="00EB15D9"/>
    <w:rsid w:val="00EB17B5"/>
    <w:rsid w:val="00EB1A09"/>
    <w:rsid w:val="00EB1FFC"/>
    <w:rsid w:val="00EB229E"/>
    <w:rsid w:val="00EB2336"/>
    <w:rsid w:val="00EB2A4A"/>
    <w:rsid w:val="00EB2B0A"/>
    <w:rsid w:val="00EB2B85"/>
    <w:rsid w:val="00EB32A6"/>
    <w:rsid w:val="00EB33B8"/>
    <w:rsid w:val="00EB36F2"/>
    <w:rsid w:val="00EB3735"/>
    <w:rsid w:val="00EB3821"/>
    <w:rsid w:val="00EB38EC"/>
    <w:rsid w:val="00EB3967"/>
    <w:rsid w:val="00EB3E02"/>
    <w:rsid w:val="00EB401F"/>
    <w:rsid w:val="00EB42A6"/>
    <w:rsid w:val="00EB444E"/>
    <w:rsid w:val="00EB44AA"/>
    <w:rsid w:val="00EB44CE"/>
    <w:rsid w:val="00EB464A"/>
    <w:rsid w:val="00EB46D3"/>
    <w:rsid w:val="00EB4B6D"/>
    <w:rsid w:val="00EB4FA4"/>
    <w:rsid w:val="00EB505D"/>
    <w:rsid w:val="00EB5135"/>
    <w:rsid w:val="00EB5326"/>
    <w:rsid w:val="00EB5531"/>
    <w:rsid w:val="00EB568D"/>
    <w:rsid w:val="00EB56F1"/>
    <w:rsid w:val="00EB5850"/>
    <w:rsid w:val="00EB58DE"/>
    <w:rsid w:val="00EB5AAC"/>
    <w:rsid w:val="00EB5ACA"/>
    <w:rsid w:val="00EB5B81"/>
    <w:rsid w:val="00EB5C39"/>
    <w:rsid w:val="00EB5D21"/>
    <w:rsid w:val="00EB5D45"/>
    <w:rsid w:val="00EB5E54"/>
    <w:rsid w:val="00EB5E58"/>
    <w:rsid w:val="00EB5F80"/>
    <w:rsid w:val="00EB6200"/>
    <w:rsid w:val="00EB6255"/>
    <w:rsid w:val="00EB6323"/>
    <w:rsid w:val="00EB6385"/>
    <w:rsid w:val="00EB63CC"/>
    <w:rsid w:val="00EB6489"/>
    <w:rsid w:val="00EB688D"/>
    <w:rsid w:val="00EB6A8E"/>
    <w:rsid w:val="00EB6C93"/>
    <w:rsid w:val="00EB6F38"/>
    <w:rsid w:val="00EB73C9"/>
    <w:rsid w:val="00EB75AB"/>
    <w:rsid w:val="00EB7685"/>
    <w:rsid w:val="00EB769B"/>
    <w:rsid w:val="00EB79E4"/>
    <w:rsid w:val="00EB7AD8"/>
    <w:rsid w:val="00EB7C41"/>
    <w:rsid w:val="00EB7CBA"/>
    <w:rsid w:val="00EB7F52"/>
    <w:rsid w:val="00EC030D"/>
    <w:rsid w:val="00EC040A"/>
    <w:rsid w:val="00EC044A"/>
    <w:rsid w:val="00EC04A0"/>
    <w:rsid w:val="00EC0584"/>
    <w:rsid w:val="00EC05F7"/>
    <w:rsid w:val="00EC0673"/>
    <w:rsid w:val="00EC06E0"/>
    <w:rsid w:val="00EC07F0"/>
    <w:rsid w:val="00EC0B51"/>
    <w:rsid w:val="00EC0BBC"/>
    <w:rsid w:val="00EC0C15"/>
    <w:rsid w:val="00EC0C9A"/>
    <w:rsid w:val="00EC0FE3"/>
    <w:rsid w:val="00EC1087"/>
    <w:rsid w:val="00EC12C2"/>
    <w:rsid w:val="00EC163E"/>
    <w:rsid w:val="00EC17AA"/>
    <w:rsid w:val="00EC189A"/>
    <w:rsid w:val="00EC1B07"/>
    <w:rsid w:val="00EC1D5D"/>
    <w:rsid w:val="00EC208D"/>
    <w:rsid w:val="00EC222B"/>
    <w:rsid w:val="00EC2294"/>
    <w:rsid w:val="00EC2709"/>
    <w:rsid w:val="00EC2C62"/>
    <w:rsid w:val="00EC2CFD"/>
    <w:rsid w:val="00EC2D0E"/>
    <w:rsid w:val="00EC3100"/>
    <w:rsid w:val="00EC3133"/>
    <w:rsid w:val="00EC31A2"/>
    <w:rsid w:val="00EC33C4"/>
    <w:rsid w:val="00EC3427"/>
    <w:rsid w:val="00EC3502"/>
    <w:rsid w:val="00EC3836"/>
    <w:rsid w:val="00EC38B7"/>
    <w:rsid w:val="00EC3A81"/>
    <w:rsid w:val="00EC4308"/>
    <w:rsid w:val="00EC43DF"/>
    <w:rsid w:val="00EC442F"/>
    <w:rsid w:val="00EC4546"/>
    <w:rsid w:val="00EC46B1"/>
    <w:rsid w:val="00EC4861"/>
    <w:rsid w:val="00EC4977"/>
    <w:rsid w:val="00EC4DF9"/>
    <w:rsid w:val="00EC4E25"/>
    <w:rsid w:val="00EC4FC0"/>
    <w:rsid w:val="00EC509B"/>
    <w:rsid w:val="00EC50F5"/>
    <w:rsid w:val="00EC53BA"/>
    <w:rsid w:val="00EC5410"/>
    <w:rsid w:val="00EC5611"/>
    <w:rsid w:val="00EC582F"/>
    <w:rsid w:val="00EC583E"/>
    <w:rsid w:val="00EC5A63"/>
    <w:rsid w:val="00EC5B51"/>
    <w:rsid w:val="00EC5B7A"/>
    <w:rsid w:val="00EC5C07"/>
    <w:rsid w:val="00EC5C9F"/>
    <w:rsid w:val="00EC5CA7"/>
    <w:rsid w:val="00EC5D0D"/>
    <w:rsid w:val="00EC5F5B"/>
    <w:rsid w:val="00EC6014"/>
    <w:rsid w:val="00EC61B9"/>
    <w:rsid w:val="00EC6217"/>
    <w:rsid w:val="00EC62D2"/>
    <w:rsid w:val="00EC63E4"/>
    <w:rsid w:val="00EC6445"/>
    <w:rsid w:val="00EC659B"/>
    <w:rsid w:val="00EC65F2"/>
    <w:rsid w:val="00EC66EE"/>
    <w:rsid w:val="00EC6A96"/>
    <w:rsid w:val="00EC6AAD"/>
    <w:rsid w:val="00EC6B22"/>
    <w:rsid w:val="00EC6B82"/>
    <w:rsid w:val="00EC6D6F"/>
    <w:rsid w:val="00EC6EC0"/>
    <w:rsid w:val="00EC7189"/>
    <w:rsid w:val="00EC743B"/>
    <w:rsid w:val="00EC765B"/>
    <w:rsid w:val="00EC767E"/>
    <w:rsid w:val="00EC76EA"/>
    <w:rsid w:val="00EC7915"/>
    <w:rsid w:val="00EC7AAA"/>
    <w:rsid w:val="00EC7BAA"/>
    <w:rsid w:val="00EC7BC8"/>
    <w:rsid w:val="00EC7C3D"/>
    <w:rsid w:val="00EC7D6B"/>
    <w:rsid w:val="00EC7DB8"/>
    <w:rsid w:val="00EC7E19"/>
    <w:rsid w:val="00EC7E74"/>
    <w:rsid w:val="00EC7F2D"/>
    <w:rsid w:val="00EC7F83"/>
    <w:rsid w:val="00ED0123"/>
    <w:rsid w:val="00ED0344"/>
    <w:rsid w:val="00ED08BC"/>
    <w:rsid w:val="00ED0932"/>
    <w:rsid w:val="00ED0B7D"/>
    <w:rsid w:val="00ED0D7B"/>
    <w:rsid w:val="00ED0DED"/>
    <w:rsid w:val="00ED0FB4"/>
    <w:rsid w:val="00ED0FB7"/>
    <w:rsid w:val="00ED1036"/>
    <w:rsid w:val="00ED119A"/>
    <w:rsid w:val="00ED11B4"/>
    <w:rsid w:val="00ED1348"/>
    <w:rsid w:val="00ED1BC2"/>
    <w:rsid w:val="00ED2376"/>
    <w:rsid w:val="00ED248D"/>
    <w:rsid w:val="00ED27E0"/>
    <w:rsid w:val="00ED2873"/>
    <w:rsid w:val="00ED2A12"/>
    <w:rsid w:val="00ED2C87"/>
    <w:rsid w:val="00ED2D2B"/>
    <w:rsid w:val="00ED2D34"/>
    <w:rsid w:val="00ED2DEB"/>
    <w:rsid w:val="00ED315E"/>
    <w:rsid w:val="00ED317C"/>
    <w:rsid w:val="00ED3268"/>
    <w:rsid w:val="00ED3493"/>
    <w:rsid w:val="00ED34DA"/>
    <w:rsid w:val="00ED38D8"/>
    <w:rsid w:val="00ED3EAD"/>
    <w:rsid w:val="00ED40EA"/>
    <w:rsid w:val="00ED43E8"/>
    <w:rsid w:val="00ED442D"/>
    <w:rsid w:val="00ED4521"/>
    <w:rsid w:val="00ED4717"/>
    <w:rsid w:val="00ED4B50"/>
    <w:rsid w:val="00ED4C9A"/>
    <w:rsid w:val="00ED4DB0"/>
    <w:rsid w:val="00ED4E82"/>
    <w:rsid w:val="00ED4F08"/>
    <w:rsid w:val="00ED4FFB"/>
    <w:rsid w:val="00ED5094"/>
    <w:rsid w:val="00ED50AA"/>
    <w:rsid w:val="00ED50CA"/>
    <w:rsid w:val="00ED50EE"/>
    <w:rsid w:val="00ED521F"/>
    <w:rsid w:val="00ED5351"/>
    <w:rsid w:val="00ED5779"/>
    <w:rsid w:val="00ED581B"/>
    <w:rsid w:val="00ED5B2B"/>
    <w:rsid w:val="00ED5DA1"/>
    <w:rsid w:val="00ED63BE"/>
    <w:rsid w:val="00ED6404"/>
    <w:rsid w:val="00ED647A"/>
    <w:rsid w:val="00ED6644"/>
    <w:rsid w:val="00ED681D"/>
    <w:rsid w:val="00ED6B22"/>
    <w:rsid w:val="00ED6C7B"/>
    <w:rsid w:val="00ED6C98"/>
    <w:rsid w:val="00ED6E9B"/>
    <w:rsid w:val="00ED6EEE"/>
    <w:rsid w:val="00ED706E"/>
    <w:rsid w:val="00ED70B0"/>
    <w:rsid w:val="00ED74DD"/>
    <w:rsid w:val="00ED7B36"/>
    <w:rsid w:val="00EE02DB"/>
    <w:rsid w:val="00EE0386"/>
    <w:rsid w:val="00EE0551"/>
    <w:rsid w:val="00EE05A0"/>
    <w:rsid w:val="00EE05E5"/>
    <w:rsid w:val="00EE089D"/>
    <w:rsid w:val="00EE092E"/>
    <w:rsid w:val="00EE0A9B"/>
    <w:rsid w:val="00EE0D89"/>
    <w:rsid w:val="00EE11F2"/>
    <w:rsid w:val="00EE133E"/>
    <w:rsid w:val="00EE1418"/>
    <w:rsid w:val="00EE165E"/>
    <w:rsid w:val="00EE1E77"/>
    <w:rsid w:val="00EE1F97"/>
    <w:rsid w:val="00EE23DB"/>
    <w:rsid w:val="00EE24CA"/>
    <w:rsid w:val="00EE2722"/>
    <w:rsid w:val="00EE27A0"/>
    <w:rsid w:val="00EE27CF"/>
    <w:rsid w:val="00EE286F"/>
    <w:rsid w:val="00EE2AF0"/>
    <w:rsid w:val="00EE2B2A"/>
    <w:rsid w:val="00EE2BC1"/>
    <w:rsid w:val="00EE2C1C"/>
    <w:rsid w:val="00EE2CF2"/>
    <w:rsid w:val="00EE2E5D"/>
    <w:rsid w:val="00EE2FC7"/>
    <w:rsid w:val="00EE31C7"/>
    <w:rsid w:val="00EE328F"/>
    <w:rsid w:val="00EE3367"/>
    <w:rsid w:val="00EE3588"/>
    <w:rsid w:val="00EE3646"/>
    <w:rsid w:val="00EE3962"/>
    <w:rsid w:val="00EE3A49"/>
    <w:rsid w:val="00EE3B16"/>
    <w:rsid w:val="00EE3BA3"/>
    <w:rsid w:val="00EE3C53"/>
    <w:rsid w:val="00EE3CBF"/>
    <w:rsid w:val="00EE3D85"/>
    <w:rsid w:val="00EE3DDB"/>
    <w:rsid w:val="00EE3E53"/>
    <w:rsid w:val="00EE411C"/>
    <w:rsid w:val="00EE429B"/>
    <w:rsid w:val="00EE4390"/>
    <w:rsid w:val="00EE47A9"/>
    <w:rsid w:val="00EE47AA"/>
    <w:rsid w:val="00EE47B8"/>
    <w:rsid w:val="00EE491F"/>
    <w:rsid w:val="00EE4942"/>
    <w:rsid w:val="00EE499B"/>
    <w:rsid w:val="00EE4A25"/>
    <w:rsid w:val="00EE4AF0"/>
    <w:rsid w:val="00EE4BB8"/>
    <w:rsid w:val="00EE4DD2"/>
    <w:rsid w:val="00EE575E"/>
    <w:rsid w:val="00EE57AB"/>
    <w:rsid w:val="00EE5A64"/>
    <w:rsid w:val="00EE5D2C"/>
    <w:rsid w:val="00EE5E0D"/>
    <w:rsid w:val="00EE5EE6"/>
    <w:rsid w:val="00EE65E4"/>
    <w:rsid w:val="00EE6710"/>
    <w:rsid w:val="00EE6899"/>
    <w:rsid w:val="00EE69A9"/>
    <w:rsid w:val="00EE6B7F"/>
    <w:rsid w:val="00EE6F2A"/>
    <w:rsid w:val="00EE70C3"/>
    <w:rsid w:val="00EE716C"/>
    <w:rsid w:val="00EE7243"/>
    <w:rsid w:val="00EE7273"/>
    <w:rsid w:val="00EE73F2"/>
    <w:rsid w:val="00EE752C"/>
    <w:rsid w:val="00EE7542"/>
    <w:rsid w:val="00EE7640"/>
    <w:rsid w:val="00EE789E"/>
    <w:rsid w:val="00EE7927"/>
    <w:rsid w:val="00EE7C67"/>
    <w:rsid w:val="00EE7E35"/>
    <w:rsid w:val="00EE7E56"/>
    <w:rsid w:val="00EF005C"/>
    <w:rsid w:val="00EF0150"/>
    <w:rsid w:val="00EF017D"/>
    <w:rsid w:val="00EF0321"/>
    <w:rsid w:val="00EF0759"/>
    <w:rsid w:val="00EF0B0C"/>
    <w:rsid w:val="00EF0B61"/>
    <w:rsid w:val="00EF0D0A"/>
    <w:rsid w:val="00EF0D52"/>
    <w:rsid w:val="00EF0DE6"/>
    <w:rsid w:val="00EF0E85"/>
    <w:rsid w:val="00EF1341"/>
    <w:rsid w:val="00EF1621"/>
    <w:rsid w:val="00EF16C0"/>
    <w:rsid w:val="00EF180B"/>
    <w:rsid w:val="00EF1933"/>
    <w:rsid w:val="00EF1B16"/>
    <w:rsid w:val="00EF1CD9"/>
    <w:rsid w:val="00EF20AD"/>
    <w:rsid w:val="00EF20DC"/>
    <w:rsid w:val="00EF2154"/>
    <w:rsid w:val="00EF22BA"/>
    <w:rsid w:val="00EF253F"/>
    <w:rsid w:val="00EF26B8"/>
    <w:rsid w:val="00EF2724"/>
    <w:rsid w:val="00EF28C1"/>
    <w:rsid w:val="00EF2A51"/>
    <w:rsid w:val="00EF2AB3"/>
    <w:rsid w:val="00EF2B6D"/>
    <w:rsid w:val="00EF2D18"/>
    <w:rsid w:val="00EF2E38"/>
    <w:rsid w:val="00EF2F3A"/>
    <w:rsid w:val="00EF309F"/>
    <w:rsid w:val="00EF3199"/>
    <w:rsid w:val="00EF3248"/>
    <w:rsid w:val="00EF333C"/>
    <w:rsid w:val="00EF34C3"/>
    <w:rsid w:val="00EF350C"/>
    <w:rsid w:val="00EF3563"/>
    <w:rsid w:val="00EF3765"/>
    <w:rsid w:val="00EF3A21"/>
    <w:rsid w:val="00EF3B7F"/>
    <w:rsid w:val="00EF3B81"/>
    <w:rsid w:val="00EF3CE5"/>
    <w:rsid w:val="00EF3CFC"/>
    <w:rsid w:val="00EF3D65"/>
    <w:rsid w:val="00EF409F"/>
    <w:rsid w:val="00EF452A"/>
    <w:rsid w:val="00EF459A"/>
    <w:rsid w:val="00EF45F6"/>
    <w:rsid w:val="00EF48AE"/>
    <w:rsid w:val="00EF4B7D"/>
    <w:rsid w:val="00EF4C44"/>
    <w:rsid w:val="00EF4D80"/>
    <w:rsid w:val="00EF4DDD"/>
    <w:rsid w:val="00EF4F53"/>
    <w:rsid w:val="00EF5FAC"/>
    <w:rsid w:val="00EF6021"/>
    <w:rsid w:val="00EF60A0"/>
    <w:rsid w:val="00EF6537"/>
    <w:rsid w:val="00EF65F9"/>
    <w:rsid w:val="00EF660D"/>
    <w:rsid w:val="00EF6A74"/>
    <w:rsid w:val="00EF6B08"/>
    <w:rsid w:val="00EF6E54"/>
    <w:rsid w:val="00EF6EEB"/>
    <w:rsid w:val="00EF703C"/>
    <w:rsid w:val="00EF7126"/>
    <w:rsid w:val="00EF729E"/>
    <w:rsid w:val="00EF7647"/>
    <w:rsid w:val="00EF76FC"/>
    <w:rsid w:val="00EF7733"/>
    <w:rsid w:val="00EF78AE"/>
    <w:rsid w:val="00EF7A85"/>
    <w:rsid w:val="00EF7C1F"/>
    <w:rsid w:val="00EF7C5C"/>
    <w:rsid w:val="00EF7D51"/>
    <w:rsid w:val="00EF7DE6"/>
    <w:rsid w:val="00F0003E"/>
    <w:rsid w:val="00F00179"/>
    <w:rsid w:val="00F0017A"/>
    <w:rsid w:val="00F00198"/>
    <w:rsid w:val="00F002C1"/>
    <w:rsid w:val="00F0033A"/>
    <w:rsid w:val="00F00362"/>
    <w:rsid w:val="00F00522"/>
    <w:rsid w:val="00F00B5D"/>
    <w:rsid w:val="00F00B93"/>
    <w:rsid w:val="00F00BEB"/>
    <w:rsid w:val="00F0103E"/>
    <w:rsid w:val="00F012DE"/>
    <w:rsid w:val="00F01385"/>
    <w:rsid w:val="00F01527"/>
    <w:rsid w:val="00F016B4"/>
    <w:rsid w:val="00F01734"/>
    <w:rsid w:val="00F017A8"/>
    <w:rsid w:val="00F0182B"/>
    <w:rsid w:val="00F018F4"/>
    <w:rsid w:val="00F01FA8"/>
    <w:rsid w:val="00F01FCC"/>
    <w:rsid w:val="00F024C1"/>
    <w:rsid w:val="00F024FC"/>
    <w:rsid w:val="00F02590"/>
    <w:rsid w:val="00F027A5"/>
    <w:rsid w:val="00F02B17"/>
    <w:rsid w:val="00F02C09"/>
    <w:rsid w:val="00F02D0E"/>
    <w:rsid w:val="00F02D26"/>
    <w:rsid w:val="00F02DDC"/>
    <w:rsid w:val="00F02FB6"/>
    <w:rsid w:val="00F033C3"/>
    <w:rsid w:val="00F037C3"/>
    <w:rsid w:val="00F03ACC"/>
    <w:rsid w:val="00F03C1A"/>
    <w:rsid w:val="00F03D84"/>
    <w:rsid w:val="00F03E0B"/>
    <w:rsid w:val="00F03F22"/>
    <w:rsid w:val="00F03F65"/>
    <w:rsid w:val="00F03F6D"/>
    <w:rsid w:val="00F04188"/>
    <w:rsid w:val="00F0453A"/>
    <w:rsid w:val="00F0461D"/>
    <w:rsid w:val="00F04785"/>
    <w:rsid w:val="00F04809"/>
    <w:rsid w:val="00F048CC"/>
    <w:rsid w:val="00F0491B"/>
    <w:rsid w:val="00F0493B"/>
    <w:rsid w:val="00F04B9F"/>
    <w:rsid w:val="00F04CDF"/>
    <w:rsid w:val="00F05104"/>
    <w:rsid w:val="00F05388"/>
    <w:rsid w:val="00F056FE"/>
    <w:rsid w:val="00F05913"/>
    <w:rsid w:val="00F05BAB"/>
    <w:rsid w:val="00F05DE8"/>
    <w:rsid w:val="00F05DFF"/>
    <w:rsid w:val="00F05FF7"/>
    <w:rsid w:val="00F06010"/>
    <w:rsid w:val="00F06144"/>
    <w:rsid w:val="00F0614E"/>
    <w:rsid w:val="00F0620F"/>
    <w:rsid w:val="00F06349"/>
    <w:rsid w:val="00F063A2"/>
    <w:rsid w:val="00F0642E"/>
    <w:rsid w:val="00F06475"/>
    <w:rsid w:val="00F066DD"/>
    <w:rsid w:val="00F06AFC"/>
    <w:rsid w:val="00F06C15"/>
    <w:rsid w:val="00F06C54"/>
    <w:rsid w:val="00F06D58"/>
    <w:rsid w:val="00F06E98"/>
    <w:rsid w:val="00F06FA7"/>
    <w:rsid w:val="00F074B7"/>
    <w:rsid w:val="00F07627"/>
    <w:rsid w:val="00F07815"/>
    <w:rsid w:val="00F07B61"/>
    <w:rsid w:val="00F07FF0"/>
    <w:rsid w:val="00F10045"/>
    <w:rsid w:val="00F101EA"/>
    <w:rsid w:val="00F102DE"/>
    <w:rsid w:val="00F10451"/>
    <w:rsid w:val="00F10470"/>
    <w:rsid w:val="00F105BF"/>
    <w:rsid w:val="00F10727"/>
    <w:rsid w:val="00F10773"/>
    <w:rsid w:val="00F107A4"/>
    <w:rsid w:val="00F10976"/>
    <w:rsid w:val="00F1098A"/>
    <w:rsid w:val="00F10BF4"/>
    <w:rsid w:val="00F10CB1"/>
    <w:rsid w:val="00F10CD6"/>
    <w:rsid w:val="00F11088"/>
    <w:rsid w:val="00F1125E"/>
    <w:rsid w:val="00F11632"/>
    <w:rsid w:val="00F11963"/>
    <w:rsid w:val="00F1199D"/>
    <w:rsid w:val="00F11AD6"/>
    <w:rsid w:val="00F11C68"/>
    <w:rsid w:val="00F11D28"/>
    <w:rsid w:val="00F11DB4"/>
    <w:rsid w:val="00F11E64"/>
    <w:rsid w:val="00F12431"/>
    <w:rsid w:val="00F12669"/>
    <w:rsid w:val="00F12AA6"/>
    <w:rsid w:val="00F12ACE"/>
    <w:rsid w:val="00F12BDC"/>
    <w:rsid w:val="00F1331A"/>
    <w:rsid w:val="00F134AB"/>
    <w:rsid w:val="00F135DB"/>
    <w:rsid w:val="00F13782"/>
    <w:rsid w:val="00F13833"/>
    <w:rsid w:val="00F13CBD"/>
    <w:rsid w:val="00F13E5D"/>
    <w:rsid w:val="00F13EBC"/>
    <w:rsid w:val="00F13F9F"/>
    <w:rsid w:val="00F144B7"/>
    <w:rsid w:val="00F1450E"/>
    <w:rsid w:val="00F14777"/>
    <w:rsid w:val="00F147D8"/>
    <w:rsid w:val="00F14A17"/>
    <w:rsid w:val="00F14B8E"/>
    <w:rsid w:val="00F14BF6"/>
    <w:rsid w:val="00F14DFE"/>
    <w:rsid w:val="00F1500B"/>
    <w:rsid w:val="00F15098"/>
    <w:rsid w:val="00F1516A"/>
    <w:rsid w:val="00F15281"/>
    <w:rsid w:val="00F1528A"/>
    <w:rsid w:val="00F15740"/>
    <w:rsid w:val="00F1582A"/>
    <w:rsid w:val="00F1585E"/>
    <w:rsid w:val="00F159C9"/>
    <w:rsid w:val="00F159E1"/>
    <w:rsid w:val="00F15A76"/>
    <w:rsid w:val="00F15B08"/>
    <w:rsid w:val="00F15B21"/>
    <w:rsid w:val="00F15CEB"/>
    <w:rsid w:val="00F15F56"/>
    <w:rsid w:val="00F16106"/>
    <w:rsid w:val="00F16138"/>
    <w:rsid w:val="00F16185"/>
    <w:rsid w:val="00F16581"/>
    <w:rsid w:val="00F16785"/>
    <w:rsid w:val="00F1694C"/>
    <w:rsid w:val="00F169E0"/>
    <w:rsid w:val="00F16A3E"/>
    <w:rsid w:val="00F16A86"/>
    <w:rsid w:val="00F16A8A"/>
    <w:rsid w:val="00F16B72"/>
    <w:rsid w:val="00F16B78"/>
    <w:rsid w:val="00F17226"/>
    <w:rsid w:val="00F173F4"/>
    <w:rsid w:val="00F175AF"/>
    <w:rsid w:val="00F177A0"/>
    <w:rsid w:val="00F17874"/>
    <w:rsid w:val="00F17BDF"/>
    <w:rsid w:val="00F17CDF"/>
    <w:rsid w:val="00F17DA6"/>
    <w:rsid w:val="00F17DBC"/>
    <w:rsid w:val="00F17E12"/>
    <w:rsid w:val="00F17E39"/>
    <w:rsid w:val="00F17E91"/>
    <w:rsid w:val="00F200B4"/>
    <w:rsid w:val="00F20105"/>
    <w:rsid w:val="00F2043E"/>
    <w:rsid w:val="00F204B5"/>
    <w:rsid w:val="00F205DA"/>
    <w:rsid w:val="00F20827"/>
    <w:rsid w:val="00F2087B"/>
    <w:rsid w:val="00F20A57"/>
    <w:rsid w:val="00F20BBF"/>
    <w:rsid w:val="00F20D07"/>
    <w:rsid w:val="00F2100C"/>
    <w:rsid w:val="00F21171"/>
    <w:rsid w:val="00F2150B"/>
    <w:rsid w:val="00F2174F"/>
    <w:rsid w:val="00F21807"/>
    <w:rsid w:val="00F2183A"/>
    <w:rsid w:val="00F21A45"/>
    <w:rsid w:val="00F21CC4"/>
    <w:rsid w:val="00F21CE1"/>
    <w:rsid w:val="00F21EB2"/>
    <w:rsid w:val="00F2203D"/>
    <w:rsid w:val="00F2223C"/>
    <w:rsid w:val="00F222E7"/>
    <w:rsid w:val="00F22431"/>
    <w:rsid w:val="00F227E5"/>
    <w:rsid w:val="00F229DC"/>
    <w:rsid w:val="00F22BE9"/>
    <w:rsid w:val="00F22CD7"/>
    <w:rsid w:val="00F22E41"/>
    <w:rsid w:val="00F22EE9"/>
    <w:rsid w:val="00F22FA5"/>
    <w:rsid w:val="00F2314F"/>
    <w:rsid w:val="00F235CF"/>
    <w:rsid w:val="00F23722"/>
    <w:rsid w:val="00F23896"/>
    <w:rsid w:val="00F238E0"/>
    <w:rsid w:val="00F23AF5"/>
    <w:rsid w:val="00F23EC0"/>
    <w:rsid w:val="00F240D1"/>
    <w:rsid w:val="00F24258"/>
    <w:rsid w:val="00F24416"/>
    <w:rsid w:val="00F244DD"/>
    <w:rsid w:val="00F2452B"/>
    <w:rsid w:val="00F245AB"/>
    <w:rsid w:val="00F245C9"/>
    <w:rsid w:val="00F249B6"/>
    <w:rsid w:val="00F24AAC"/>
    <w:rsid w:val="00F24AAF"/>
    <w:rsid w:val="00F2535E"/>
    <w:rsid w:val="00F25696"/>
    <w:rsid w:val="00F2576D"/>
    <w:rsid w:val="00F25968"/>
    <w:rsid w:val="00F25A12"/>
    <w:rsid w:val="00F25C0D"/>
    <w:rsid w:val="00F25C6A"/>
    <w:rsid w:val="00F25FC6"/>
    <w:rsid w:val="00F25FDB"/>
    <w:rsid w:val="00F2604B"/>
    <w:rsid w:val="00F2638E"/>
    <w:rsid w:val="00F263C6"/>
    <w:rsid w:val="00F267B3"/>
    <w:rsid w:val="00F26823"/>
    <w:rsid w:val="00F26995"/>
    <w:rsid w:val="00F269B2"/>
    <w:rsid w:val="00F26A03"/>
    <w:rsid w:val="00F26A44"/>
    <w:rsid w:val="00F26A77"/>
    <w:rsid w:val="00F26EA9"/>
    <w:rsid w:val="00F26F7B"/>
    <w:rsid w:val="00F270F3"/>
    <w:rsid w:val="00F27248"/>
    <w:rsid w:val="00F273B8"/>
    <w:rsid w:val="00F27412"/>
    <w:rsid w:val="00F2743E"/>
    <w:rsid w:val="00F27459"/>
    <w:rsid w:val="00F274B7"/>
    <w:rsid w:val="00F2763A"/>
    <w:rsid w:val="00F27744"/>
    <w:rsid w:val="00F27753"/>
    <w:rsid w:val="00F2796F"/>
    <w:rsid w:val="00F27974"/>
    <w:rsid w:val="00F279E2"/>
    <w:rsid w:val="00F279F2"/>
    <w:rsid w:val="00F27AA1"/>
    <w:rsid w:val="00F27D0D"/>
    <w:rsid w:val="00F3005C"/>
    <w:rsid w:val="00F300AD"/>
    <w:rsid w:val="00F304C7"/>
    <w:rsid w:val="00F3074A"/>
    <w:rsid w:val="00F3085C"/>
    <w:rsid w:val="00F3093D"/>
    <w:rsid w:val="00F30BDA"/>
    <w:rsid w:val="00F30CA4"/>
    <w:rsid w:val="00F30D8C"/>
    <w:rsid w:val="00F30DC9"/>
    <w:rsid w:val="00F30FA9"/>
    <w:rsid w:val="00F3108D"/>
    <w:rsid w:val="00F310A0"/>
    <w:rsid w:val="00F310AA"/>
    <w:rsid w:val="00F3112C"/>
    <w:rsid w:val="00F3116C"/>
    <w:rsid w:val="00F31170"/>
    <w:rsid w:val="00F31568"/>
    <w:rsid w:val="00F31593"/>
    <w:rsid w:val="00F31685"/>
    <w:rsid w:val="00F3171F"/>
    <w:rsid w:val="00F318AF"/>
    <w:rsid w:val="00F31ABA"/>
    <w:rsid w:val="00F31AFB"/>
    <w:rsid w:val="00F31C85"/>
    <w:rsid w:val="00F31D74"/>
    <w:rsid w:val="00F31FA8"/>
    <w:rsid w:val="00F3217A"/>
    <w:rsid w:val="00F32199"/>
    <w:rsid w:val="00F324E1"/>
    <w:rsid w:val="00F324F9"/>
    <w:rsid w:val="00F32798"/>
    <w:rsid w:val="00F32837"/>
    <w:rsid w:val="00F3283D"/>
    <w:rsid w:val="00F32859"/>
    <w:rsid w:val="00F329B9"/>
    <w:rsid w:val="00F32B75"/>
    <w:rsid w:val="00F32C4C"/>
    <w:rsid w:val="00F32DF3"/>
    <w:rsid w:val="00F32FC2"/>
    <w:rsid w:val="00F33060"/>
    <w:rsid w:val="00F33150"/>
    <w:rsid w:val="00F332CD"/>
    <w:rsid w:val="00F33393"/>
    <w:rsid w:val="00F3349B"/>
    <w:rsid w:val="00F3358D"/>
    <w:rsid w:val="00F339BA"/>
    <w:rsid w:val="00F33BAE"/>
    <w:rsid w:val="00F33DFE"/>
    <w:rsid w:val="00F33EBD"/>
    <w:rsid w:val="00F34126"/>
    <w:rsid w:val="00F34132"/>
    <w:rsid w:val="00F342AE"/>
    <w:rsid w:val="00F34344"/>
    <w:rsid w:val="00F34361"/>
    <w:rsid w:val="00F34689"/>
    <w:rsid w:val="00F346A7"/>
    <w:rsid w:val="00F347D7"/>
    <w:rsid w:val="00F34C1D"/>
    <w:rsid w:val="00F34C51"/>
    <w:rsid w:val="00F34DF6"/>
    <w:rsid w:val="00F34EE7"/>
    <w:rsid w:val="00F3500C"/>
    <w:rsid w:val="00F35398"/>
    <w:rsid w:val="00F35561"/>
    <w:rsid w:val="00F3577E"/>
    <w:rsid w:val="00F358BF"/>
    <w:rsid w:val="00F35942"/>
    <w:rsid w:val="00F35AE5"/>
    <w:rsid w:val="00F35B70"/>
    <w:rsid w:val="00F35D40"/>
    <w:rsid w:val="00F35E65"/>
    <w:rsid w:val="00F36177"/>
    <w:rsid w:val="00F361B6"/>
    <w:rsid w:val="00F362DC"/>
    <w:rsid w:val="00F362DE"/>
    <w:rsid w:val="00F3639C"/>
    <w:rsid w:val="00F364BD"/>
    <w:rsid w:val="00F3653D"/>
    <w:rsid w:val="00F36A83"/>
    <w:rsid w:val="00F36C54"/>
    <w:rsid w:val="00F36C6E"/>
    <w:rsid w:val="00F36CFE"/>
    <w:rsid w:val="00F36DE4"/>
    <w:rsid w:val="00F36ECE"/>
    <w:rsid w:val="00F36FED"/>
    <w:rsid w:val="00F36FF7"/>
    <w:rsid w:val="00F3705D"/>
    <w:rsid w:val="00F371A1"/>
    <w:rsid w:val="00F372E2"/>
    <w:rsid w:val="00F37352"/>
    <w:rsid w:val="00F37392"/>
    <w:rsid w:val="00F374EC"/>
    <w:rsid w:val="00F375B2"/>
    <w:rsid w:val="00F376A3"/>
    <w:rsid w:val="00F378A7"/>
    <w:rsid w:val="00F37ABF"/>
    <w:rsid w:val="00F37D62"/>
    <w:rsid w:val="00F37EBB"/>
    <w:rsid w:val="00F4000B"/>
    <w:rsid w:val="00F40047"/>
    <w:rsid w:val="00F40071"/>
    <w:rsid w:val="00F401F2"/>
    <w:rsid w:val="00F40324"/>
    <w:rsid w:val="00F404FB"/>
    <w:rsid w:val="00F404FC"/>
    <w:rsid w:val="00F40707"/>
    <w:rsid w:val="00F4074D"/>
    <w:rsid w:val="00F40842"/>
    <w:rsid w:val="00F40BCB"/>
    <w:rsid w:val="00F40D01"/>
    <w:rsid w:val="00F40D36"/>
    <w:rsid w:val="00F40D99"/>
    <w:rsid w:val="00F410B6"/>
    <w:rsid w:val="00F410EE"/>
    <w:rsid w:val="00F41330"/>
    <w:rsid w:val="00F4134E"/>
    <w:rsid w:val="00F413BE"/>
    <w:rsid w:val="00F417B4"/>
    <w:rsid w:val="00F418AF"/>
    <w:rsid w:val="00F41912"/>
    <w:rsid w:val="00F41945"/>
    <w:rsid w:val="00F41A2C"/>
    <w:rsid w:val="00F41B07"/>
    <w:rsid w:val="00F41B8E"/>
    <w:rsid w:val="00F41CA1"/>
    <w:rsid w:val="00F4203F"/>
    <w:rsid w:val="00F422F6"/>
    <w:rsid w:val="00F42775"/>
    <w:rsid w:val="00F42807"/>
    <w:rsid w:val="00F429B6"/>
    <w:rsid w:val="00F42A46"/>
    <w:rsid w:val="00F42ABF"/>
    <w:rsid w:val="00F42C2C"/>
    <w:rsid w:val="00F42C8C"/>
    <w:rsid w:val="00F43084"/>
    <w:rsid w:val="00F430C9"/>
    <w:rsid w:val="00F4320A"/>
    <w:rsid w:val="00F432D6"/>
    <w:rsid w:val="00F4332B"/>
    <w:rsid w:val="00F43381"/>
    <w:rsid w:val="00F439FA"/>
    <w:rsid w:val="00F43A55"/>
    <w:rsid w:val="00F43A8F"/>
    <w:rsid w:val="00F43FE0"/>
    <w:rsid w:val="00F44107"/>
    <w:rsid w:val="00F441D1"/>
    <w:rsid w:val="00F44207"/>
    <w:rsid w:val="00F4454B"/>
    <w:rsid w:val="00F44632"/>
    <w:rsid w:val="00F44759"/>
    <w:rsid w:val="00F448A3"/>
    <w:rsid w:val="00F448E3"/>
    <w:rsid w:val="00F44973"/>
    <w:rsid w:val="00F44C91"/>
    <w:rsid w:val="00F44CA3"/>
    <w:rsid w:val="00F4530B"/>
    <w:rsid w:val="00F4544F"/>
    <w:rsid w:val="00F4567E"/>
    <w:rsid w:val="00F459A2"/>
    <w:rsid w:val="00F45AB8"/>
    <w:rsid w:val="00F45D6B"/>
    <w:rsid w:val="00F45DAA"/>
    <w:rsid w:val="00F45DCF"/>
    <w:rsid w:val="00F45E36"/>
    <w:rsid w:val="00F45EA1"/>
    <w:rsid w:val="00F45F2E"/>
    <w:rsid w:val="00F46101"/>
    <w:rsid w:val="00F46505"/>
    <w:rsid w:val="00F46546"/>
    <w:rsid w:val="00F465BC"/>
    <w:rsid w:val="00F465F8"/>
    <w:rsid w:val="00F47007"/>
    <w:rsid w:val="00F47077"/>
    <w:rsid w:val="00F471EB"/>
    <w:rsid w:val="00F472F4"/>
    <w:rsid w:val="00F47366"/>
    <w:rsid w:val="00F4743C"/>
    <w:rsid w:val="00F47452"/>
    <w:rsid w:val="00F47658"/>
    <w:rsid w:val="00F477C7"/>
    <w:rsid w:val="00F4790D"/>
    <w:rsid w:val="00F47A6C"/>
    <w:rsid w:val="00F47AA0"/>
    <w:rsid w:val="00F47C26"/>
    <w:rsid w:val="00F47CA2"/>
    <w:rsid w:val="00F47E18"/>
    <w:rsid w:val="00F47FED"/>
    <w:rsid w:val="00F50235"/>
    <w:rsid w:val="00F50555"/>
    <w:rsid w:val="00F505C1"/>
    <w:rsid w:val="00F509CA"/>
    <w:rsid w:val="00F50D8A"/>
    <w:rsid w:val="00F5111E"/>
    <w:rsid w:val="00F51244"/>
    <w:rsid w:val="00F512F7"/>
    <w:rsid w:val="00F513B7"/>
    <w:rsid w:val="00F51B59"/>
    <w:rsid w:val="00F51B9A"/>
    <w:rsid w:val="00F51D7E"/>
    <w:rsid w:val="00F51DC1"/>
    <w:rsid w:val="00F51E3E"/>
    <w:rsid w:val="00F51F3D"/>
    <w:rsid w:val="00F51F8D"/>
    <w:rsid w:val="00F5227E"/>
    <w:rsid w:val="00F52367"/>
    <w:rsid w:val="00F52461"/>
    <w:rsid w:val="00F52746"/>
    <w:rsid w:val="00F52B04"/>
    <w:rsid w:val="00F52B0B"/>
    <w:rsid w:val="00F52C41"/>
    <w:rsid w:val="00F53062"/>
    <w:rsid w:val="00F53393"/>
    <w:rsid w:val="00F534FD"/>
    <w:rsid w:val="00F536FF"/>
    <w:rsid w:val="00F53A6C"/>
    <w:rsid w:val="00F53CCD"/>
    <w:rsid w:val="00F53EAA"/>
    <w:rsid w:val="00F54187"/>
    <w:rsid w:val="00F544DE"/>
    <w:rsid w:val="00F54623"/>
    <w:rsid w:val="00F5497A"/>
    <w:rsid w:val="00F54D11"/>
    <w:rsid w:val="00F54D23"/>
    <w:rsid w:val="00F54DB4"/>
    <w:rsid w:val="00F54E8C"/>
    <w:rsid w:val="00F54ECC"/>
    <w:rsid w:val="00F54F02"/>
    <w:rsid w:val="00F54F5E"/>
    <w:rsid w:val="00F54FE3"/>
    <w:rsid w:val="00F550E3"/>
    <w:rsid w:val="00F5510E"/>
    <w:rsid w:val="00F551C6"/>
    <w:rsid w:val="00F555AF"/>
    <w:rsid w:val="00F55876"/>
    <w:rsid w:val="00F5589F"/>
    <w:rsid w:val="00F559E6"/>
    <w:rsid w:val="00F55A52"/>
    <w:rsid w:val="00F55B24"/>
    <w:rsid w:val="00F55B42"/>
    <w:rsid w:val="00F55BE6"/>
    <w:rsid w:val="00F55D13"/>
    <w:rsid w:val="00F56253"/>
    <w:rsid w:val="00F562E8"/>
    <w:rsid w:val="00F563D5"/>
    <w:rsid w:val="00F5648E"/>
    <w:rsid w:val="00F5651C"/>
    <w:rsid w:val="00F56720"/>
    <w:rsid w:val="00F56CB0"/>
    <w:rsid w:val="00F56E67"/>
    <w:rsid w:val="00F56E81"/>
    <w:rsid w:val="00F56FE9"/>
    <w:rsid w:val="00F570AC"/>
    <w:rsid w:val="00F572D4"/>
    <w:rsid w:val="00F57360"/>
    <w:rsid w:val="00F5742A"/>
    <w:rsid w:val="00F574A9"/>
    <w:rsid w:val="00F5754C"/>
    <w:rsid w:val="00F57867"/>
    <w:rsid w:val="00F578D2"/>
    <w:rsid w:val="00F57AB3"/>
    <w:rsid w:val="00F57B4A"/>
    <w:rsid w:val="00F57E09"/>
    <w:rsid w:val="00F57EB7"/>
    <w:rsid w:val="00F57F65"/>
    <w:rsid w:val="00F60128"/>
    <w:rsid w:val="00F6013D"/>
    <w:rsid w:val="00F60211"/>
    <w:rsid w:val="00F60374"/>
    <w:rsid w:val="00F60505"/>
    <w:rsid w:val="00F605AA"/>
    <w:rsid w:val="00F607F2"/>
    <w:rsid w:val="00F60844"/>
    <w:rsid w:val="00F608BF"/>
    <w:rsid w:val="00F60950"/>
    <w:rsid w:val="00F60A05"/>
    <w:rsid w:val="00F60B34"/>
    <w:rsid w:val="00F60B5F"/>
    <w:rsid w:val="00F60D1C"/>
    <w:rsid w:val="00F60D84"/>
    <w:rsid w:val="00F60DC8"/>
    <w:rsid w:val="00F60F0A"/>
    <w:rsid w:val="00F61388"/>
    <w:rsid w:val="00F61558"/>
    <w:rsid w:val="00F615C2"/>
    <w:rsid w:val="00F6165E"/>
    <w:rsid w:val="00F6171F"/>
    <w:rsid w:val="00F61825"/>
    <w:rsid w:val="00F6183F"/>
    <w:rsid w:val="00F61845"/>
    <w:rsid w:val="00F61A65"/>
    <w:rsid w:val="00F61AF0"/>
    <w:rsid w:val="00F61C86"/>
    <w:rsid w:val="00F61D8A"/>
    <w:rsid w:val="00F61E8D"/>
    <w:rsid w:val="00F61F69"/>
    <w:rsid w:val="00F6202B"/>
    <w:rsid w:val="00F62422"/>
    <w:rsid w:val="00F62532"/>
    <w:rsid w:val="00F62542"/>
    <w:rsid w:val="00F62A32"/>
    <w:rsid w:val="00F62A51"/>
    <w:rsid w:val="00F62B19"/>
    <w:rsid w:val="00F62C80"/>
    <w:rsid w:val="00F62D0A"/>
    <w:rsid w:val="00F62EAE"/>
    <w:rsid w:val="00F62F9A"/>
    <w:rsid w:val="00F6319B"/>
    <w:rsid w:val="00F632AA"/>
    <w:rsid w:val="00F634B5"/>
    <w:rsid w:val="00F63A30"/>
    <w:rsid w:val="00F63B03"/>
    <w:rsid w:val="00F63B31"/>
    <w:rsid w:val="00F63C3B"/>
    <w:rsid w:val="00F63CE6"/>
    <w:rsid w:val="00F640AB"/>
    <w:rsid w:val="00F641D9"/>
    <w:rsid w:val="00F6429B"/>
    <w:rsid w:val="00F645B9"/>
    <w:rsid w:val="00F645D2"/>
    <w:rsid w:val="00F646D9"/>
    <w:rsid w:val="00F646DF"/>
    <w:rsid w:val="00F646F9"/>
    <w:rsid w:val="00F64874"/>
    <w:rsid w:val="00F64BB6"/>
    <w:rsid w:val="00F64DBA"/>
    <w:rsid w:val="00F64EA9"/>
    <w:rsid w:val="00F64FF2"/>
    <w:rsid w:val="00F65175"/>
    <w:rsid w:val="00F6523B"/>
    <w:rsid w:val="00F65253"/>
    <w:rsid w:val="00F655C0"/>
    <w:rsid w:val="00F6560F"/>
    <w:rsid w:val="00F658B0"/>
    <w:rsid w:val="00F65991"/>
    <w:rsid w:val="00F659B5"/>
    <w:rsid w:val="00F65D79"/>
    <w:rsid w:val="00F65E27"/>
    <w:rsid w:val="00F65F86"/>
    <w:rsid w:val="00F6614F"/>
    <w:rsid w:val="00F66208"/>
    <w:rsid w:val="00F662B8"/>
    <w:rsid w:val="00F662D2"/>
    <w:rsid w:val="00F664EA"/>
    <w:rsid w:val="00F6699D"/>
    <w:rsid w:val="00F66BB2"/>
    <w:rsid w:val="00F66BCD"/>
    <w:rsid w:val="00F66C10"/>
    <w:rsid w:val="00F66D5A"/>
    <w:rsid w:val="00F66DC3"/>
    <w:rsid w:val="00F6730D"/>
    <w:rsid w:val="00F67590"/>
    <w:rsid w:val="00F67B57"/>
    <w:rsid w:val="00F701B8"/>
    <w:rsid w:val="00F701E9"/>
    <w:rsid w:val="00F70339"/>
    <w:rsid w:val="00F7051E"/>
    <w:rsid w:val="00F70C9B"/>
    <w:rsid w:val="00F70F50"/>
    <w:rsid w:val="00F710A6"/>
    <w:rsid w:val="00F710AC"/>
    <w:rsid w:val="00F71230"/>
    <w:rsid w:val="00F7125E"/>
    <w:rsid w:val="00F715E7"/>
    <w:rsid w:val="00F71804"/>
    <w:rsid w:val="00F718B1"/>
    <w:rsid w:val="00F71A48"/>
    <w:rsid w:val="00F71C5F"/>
    <w:rsid w:val="00F71F14"/>
    <w:rsid w:val="00F720E1"/>
    <w:rsid w:val="00F72179"/>
    <w:rsid w:val="00F7262A"/>
    <w:rsid w:val="00F728C9"/>
    <w:rsid w:val="00F72938"/>
    <w:rsid w:val="00F72A25"/>
    <w:rsid w:val="00F72CAA"/>
    <w:rsid w:val="00F72D36"/>
    <w:rsid w:val="00F72FDC"/>
    <w:rsid w:val="00F7301D"/>
    <w:rsid w:val="00F73026"/>
    <w:rsid w:val="00F73297"/>
    <w:rsid w:val="00F7370A"/>
    <w:rsid w:val="00F73840"/>
    <w:rsid w:val="00F73952"/>
    <w:rsid w:val="00F73954"/>
    <w:rsid w:val="00F739C5"/>
    <w:rsid w:val="00F739F4"/>
    <w:rsid w:val="00F73BC3"/>
    <w:rsid w:val="00F73BE2"/>
    <w:rsid w:val="00F73BF8"/>
    <w:rsid w:val="00F74010"/>
    <w:rsid w:val="00F740A0"/>
    <w:rsid w:val="00F74260"/>
    <w:rsid w:val="00F742D8"/>
    <w:rsid w:val="00F7443D"/>
    <w:rsid w:val="00F7453C"/>
    <w:rsid w:val="00F746C1"/>
    <w:rsid w:val="00F748D3"/>
    <w:rsid w:val="00F74AC7"/>
    <w:rsid w:val="00F74DDD"/>
    <w:rsid w:val="00F74E47"/>
    <w:rsid w:val="00F75592"/>
    <w:rsid w:val="00F755E8"/>
    <w:rsid w:val="00F7566D"/>
    <w:rsid w:val="00F7589E"/>
    <w:rsid w:val="00F758EA"/>
    <w:rsid w:val="00F75A24"/>
    <w:rsid w:val="00F75A27"/>
    <w:rsid w:val="00F75AF7"/>
    <w:rsid w:val="00F75BE9"/>
    <w:rsid w:val="00F75E00"/>
    <w:rsid w:val="00F76056"/>
    <w:rsid w:val="00F76060"/>
    <w:rsid w:val="00F760B5"/>
    <w:rsid w:val="00F761AA"/>
    <w:rsid w:val="00F762A7"/>
    <w:rsid w:val="00F764DC"/>
    <w:rsid w:val="00F76525"/>
    <w:rsid w:val="00F76719"/>
    <w:rsid w:val="00F7682E"/>
    <w:rsid w:val="00F76834"/>
    <w:rsid w:val="00F76836"/>
    <w:rsid w:val="00F76E75"/>
    <w:rsid w:val="00F7715D"/>
    <w:rsid w:val="00F77494"/>
    <w:rsid w:val="00F7769C"/>
    <w:rsid w:val="00F77847"/>
    <w:rsid w:val="00F77BC6"/>
    <w:rsid w:val="00F77BCC"/>
    <w:rsid w:val="00F77C13"/>
    <w:rsid w:val="00F77C15"/>
    <w:rsid w:val="00F77CB4"/>
    <w:rsid w:val="00F77E3D"/>
    <w:rsid w:val="00F77EBB"/>
    <w:rsid w:val="00F77FDD"/>
    <w:rsid w:val="00F80115"/>
    <w:rsid w:val="00F80221"/>
    <w:rsid w:val="00F80409"/>
    <w:rsid w:val="00F80758"/>
    <w:rsid w:val="00F8075C"/>
    <w:rsid w:val="00F80792"/>
    <w:rsid w:val="00F80805"/>
    <w:rsid w:val="00F80A13"/>
    <w:rsid w:val="00F81247"/>
    <w:rsid w:val="00F81342"/>
    <w:rsid w:val="00F81356"/>
    <w:rsid w:val="00F813AF"/>
    <w:rsid w:val="00F816F6"/>
    <w:rsid w:val="00F81784"/>
    <w:rsid w:val="00F81830"/>
    <w:rsid w:val="00F818D3"/>
    <w:rsid w:val="00F81946"/>
    <w:rsid w:val="00F81953"/>
    <w:rsid w:val="00F8198C"/>
    <w:rsid w:val="00F81C03"/>
    <w:rsid w:val="00F81DA9"/>
    <w:rsid w:val="00F82275"/>
    <w:rsid w:val="00F82394"/>
    <w:rsid w:val="00F823BB"/>
    <w:rsid w:val="00F824FF"/>
    <w:rsid w:val="00F828AD"/>
    <w:rsid w:val="00F82A8A"/>
    <w:rsid w:val="00F82C57"/>
    <w:rsid w:val="00F82EA5"/>
    <w:rsid w:val="00F83365"/>
    <w:rsid w:val="00F83898"/>
    <w:rsid w:val="00F838FB"/>
    <w:rsid w:val="00F83901"/>
    <w:rsid w:val="00F83A74"/>
    <w:rsid w:val="00F83CAE"/>
    <w:rsid w:val="00F83D59"/>
    <w:rsid w:val="00F83EE8"/>
    <w:rsid w:val="00F840D5"/>
    <w:rsid w:val="00F84145"/>
    <w:rsid w:val="00F8466D"/>
    <w:rsid w:val="00F84762"/>
    <w:rsid w:val="00F8483B"/>
    <w:rsid w:val="00F84AAA"/>
    <w:rsid w:val="00F84C87"/>
    <w:rsid w:val="00F84CC3"/>
    <w:rsid w:val="00F84E22"/>
    <w:rsid w:val="00F84F19"/>
    <w:rsid w:val="00F85177"/>
    <w:rsid w:val="00F851F3"/>
    <w:rsid w:val="00F85330"/>
    <w:rsid w:val="00F85685"/>
    <w:rsid w:val="00F86058"/>
    <w:rsid w:val="00F866E4"/>
    <w:rsid w:val="00F86788"/>
    <w:rsid w:val="00F86833"/>
    <w:rsid w:val="00F86C73"/>
    <w:rsid w:val="00F86C95"/>
    <w:rsid w:val="00F86F83"/>
    <w:rsid w:val="00F8701A"/>
    <w:rsid w:val="00F875FA"/>
    <w:rsid w:val="00F87621"/>
    <w:rsid w:val="00F876CA"/>
    <w:rsid w:val="00F878F4"/>
    <w:rsid w:val="00F87B07"/>
    <w:rsid w:val="00F87C71"/>
    <w:rsid w:val="00F87D71"/>
    <w:rsid w:val="00F90016"/>
    <w:rsid w:val="00F90155"/>
    <w:rsid w:val="00F90202"/>
    <w:rsid w:val="00F90305"/>
    <w:rsid w:val="00F90411"/>
    <w:rsid w:val="00F9047F"/>
    <w:rsid w:val="00F905DC"/>
    <w:rsid w:val="00F907DB"/>
    <w:rsid w:val="00F908EB"/>
    <w:rsid w:val="00F90954"/>
    <w:rsid w:val="00F90A11"/>
    <w:rsid w:val="00F90B04"/>
    <w:rsid w:val="00F90CB0"/>
    <w:rsid w:val="00F90E25"/>
    <w:rsid w:val="00F90F1F"/>
    <w:rsid w:val="00F9113A"/>
    <w:rsid w:val="00F91196"/>
    <w:rsid w:val="00F911F6"/>
    <w:rsid w:val="00F91293"/>
    <w:rsid w:val="00F913C9"/>
    <w:rsid w:val="00F91683"/>
    <w:rsid w:val="00F918C5"/>
    <w:rsid w:val="00F91AD9"/>
    <w:rsid w:val="00F91AE8"/>
    <w:rsid w:val="00F91B0E"/>
    <w:rsid w:val="00F91F5A"/>
    <w:rsid w:val="00F920D8"/>
    <w:rsid w:val="00F9210C"/>
    <w:rsid w:val="00F9211E"/>
    <w:rsid w:val="00F921EC"/>
    <w:rsid w:val="00F92361"/>
    <w:rsid w:val="00F92408"/>
    <w:rsid w:val="00F92562"/>
    <w:rsid w:val="00F925F7"/>
    <w:rsid w:val="00F927ED"/>
    <w:rsid w:val="00F92806"/>
    <w:rsid w:val="00F92992"/>
    <w:rsid w:val="00F92B4E"/>
    <w:rsid w:val="00F92E18"/>
    <w:rsid w:val="00F92EF7"/>
    <w:rsid w:val="00F92EFC"/>
    <w:rsid w:val="00F9300A"/>
    <w:rsid w:val="00F93078"/>
    <w:rsid w:val="00F93764"/>
    <w:rsid w:val="00F93B14"/>
    <w:rsid w:val="00F94055"/>
    <w:rsid w:val="00F94323"/>
    <w:rsid w:val="00F94513"/>
    <w:rsid w:val="00F948EE"/>
    <w:rsid w:val="00F94B69"/>
    <w:rsid w:val="00F94BBC"/>
    <w:rsid w:val="00F94CD8"/>
    <w:rsid w:val="00F94D2B"/>
    <w:rsid w:val="00F94D4E"/>
    <w:rsid w:val="00F94E98"/>
    <w:rsid w:val="00F95031"/>
    <w:rsid w:val="00F9512E"/>
    <w:rsid w:val="00F9537F"/>
    <w:rsid w:val="00F9548A"/>
    <w:rsid w:val="00F954C8"/>
    <w:rsid w:val="00F954E7"/>
    <w:rsid w:val="00F95537"/>
    <w:rsid w:val="00F9578E"/>
    <w:rsid w:val="00F958D7"/>
    <w:rsid w:val="00F959DD"/>
    <w:rsid w:val="00F95B00"/>
    <w:rsid w:val="00F95C18"/>
    <w:rsid w:val="00F95DDC"/>
    <w:rsid w:val="00F95FD8"/>
    <w:rsid w:val="00F96037"/>
    <w:rsid w:val="00F96139"/>
    <w:rsid w:val="00F96228"/>
    <w:rsid w:val="00F962BE"/>
    <w:rsid w:val="00F962FF"/>
    <w:rsid w:val="00F96361"/>
    <w:rsid w:val="00F963CB"/>
    <w:rsid w:val="00F96484"/>
    <w:rsid w:val="00F966C2"/>
    <w:rsid w:val="00F969ED"/>
    <w:rsid w:val="00F96BBB"/>
    <w:rsid w:val="00F96BE2"/>
    <w:rsid w:val="00F96BE6"/>
    <w:rsid w:val="00F9703D"/>
    <w:rsid w:val="00F970FB"/>
    <w:rsid w:val="00F97216"/>
    <w:rsid w:val="00F97613"/>
    <w:rsid w:val="00F97617"/>
    <w:rsid w:val="00F97715"/>
    <w:rsid w:val="00F977C1"/>
    <w:rsid w:val="00F9798A"/>
    <w:rsid w:val="00F97B74"/>
    <w:rsid w:val="00F97D0F"/>
    <w:rsid w:val="00FA01B5"/>
    <w:rsid w:val="00FA0297"/>
    <w:rsid w:val="00FA04DB"/>
    <w:rsid w:val="00FA0501"/>
    <w:rsid w:val="00FA08BB"/>
    <w:rsid w:val="00FA092E"/>
    <w:rsid w:val="00FA0A02"/>
    <w:rsid w:val="00FA1022"/>
    <w:rsid w:val="00FA136A"/>
    <w:rsid w:val="00FA1560"/>
    <w:rsid w:val="00FA183D"/>
    <w:rsid w:val="00FA18F0"/>
    <w:rsid w:val="00FA18FB"/>
    <w:rsid w:val="00FA1982"/>
    <w:rsid w:val="00FA19A0"/>
    <w:rsid w:val="00FA1B6C"/>
    <w:rsid w:val="00FA1C4C"/>
    <w:rsid w:val="00FA1FCB"/>
    <w:rsid w:val="00FA23C8"/>
    <w:rsid w:val="00FA24E8"/>
    <w:rsid w:val="00FA2564"/>
    <w:rsid w:val="00FA2981"/>
    <w:rsid w:val="00FA29D2"/>
    <w:rsid w:val="00FA29E5"/>
    <w:rsid w:val="00FA2AA6"/>
    <w:rsid w:val="00FA2D38"/>
    <w:rsid w:val="00FA2D86"/>
    <w:rsid w:val="00FA3191"/>
    <w:rsid w:val="00FA3195"/>
    <w:rsid w:val="00FA3557"/>
    <w:rsid w:val="00FA3749"/>
    <w:rsid w:val="00FA3781"/>
    <w:rsid w:val="00FA39B2"/>
    <w:rsid w:val="00FA3B71"/>
    <w:rsid w:val="00FA3BA7"/>
    <w:rsid w:val="00FA3CF9"/>
    <w:rsid w:val="00FA3E62"/>
    <w:rsid w:val="00FA3EBD"/>
    <w:rsid w:val="00FA4139"/>
    <w:rsid w:val="00FA422B"/>
    <w:rsid w:val="00FA44F2"/>
    <w:rsid w:val="00FA4528"/>
    <w:rsid w:val="00FA461D"/>
    <w:rsid w:val="00FA46BD"/>
    <w:rsid w:val="00FA483B"/>
    <w:rsid w:val="00FA4C00"/>
    <w:rsid w:val="00FA52E3"/>
    <w:rsid w:val="00FA52F6"/>
    <w:rsid w:val="00FA53C8"/>
    <w:rsid w:val="00FA558D"/>
    <w:rsid w:val="00FA580F"/>
    <w:rsid w:val="00FA5851"/>
    <w:rsid w:val="00FA5872"/>
    <w:rsid w:val="00FA5AB5"/>
    <w:rsid w:val="00FA5BD7"/>
    <w:rsid w:val="00FA5CA5"/>
    <w:rsid w:val="00FA5E96"/>
    <w:rsid w:val="00FA5F97"/>
    <w:rsid w:val="00FA60D5"/>
    <w:rsid w:val="00FA6164"/>
    <w:rsid w:val="00FA61D1"/>
    <w:rsid w:val="00FA626D"/>
    <w:rsid w:val="00FA6530"/>
    <w:rsid w:val="00FA6575"/>
    <w:rsid w:val="00FA672B"/>
    <w:rsid w:val="00FA67EE"/>
    <w:rsid w:val="00FA6895"/>
    <w:rsid w:val="00FA69D3"/>
    <w:rsid w:val="00FA6DAA"/>
    <w:rsid w:val="00FA6F6A"/>
    <w:rsid w:val="00FA70BB"/>
    <w:rsid w:val="00FA71A4"/>
    <w:rsid w:val="00FA73F2"/>
    <w:rsid w:val="00FA748D"/>
    <w:rsid w:val="00FA769E"/>
    <w:rsid w:val="00FA7727"/>
    <w:rsid w:val="00FA7844"/>
    <w:rsid w:val="00FA792F"/>
    <w:rsid w:val="00FA79E1"/>
    <w:rsid w:val="00FA7A44"/>
    <w:rsid w:val="00FA7A47"/>
    <w:rsid w:val="00FA7AEC"/>
    <w:rsid w:val="00FA7AF3"/>
    <w:rsid w:val="00FA7B37"/>
    <w:rsid w:val="00FA7BC0"/>
    <w:rsid w:val="00FA7E9A"/>
    <w:rsid w:val="00FA7FD9"/>
    <w:rsid w:val="00FB0303"/>
    <w:rsid w:val="00FB03F1"/>
    <w:rsid w:val="00FB046E"/>
    <w:rsid w:val="00FB0ECF"/>
    <w:rsid w:val="00FB0EF9"/>
    <w:rsid w:val="00FB1125"/>
    <w:rsid w:val="00FB1190"/>
    <w:rsid w:val="00FB1685"/>
    <w:rsid w:val="00FB1734"/>
    <w:rsid w:val="00FB18A4"/>
    <w:rsid w:val="00FB18EC"/>
    <w:rsid w:val="00FB1A44"/>
    <w:rsid w:val="00FB1C5B"/>
    <w:rsid w:val="00FB1E1B"/>
    <w:rsid w:val="00FB1EC7"/>
    <w:rsid w:val="00FB1FA0"/>
    <w:rsid w:val="00FB2151"/>
    <w:rsid w:val="00FB2191"/>
    <w:rsid w:val="00FB229B"/>
    <w:rsid w:val="00FB2411"/>
    <w:rsid w:val="00FB26B9"/>
    <w:rsid w:val="00FB2785"/>
    <w:rsid w:val="00FB2AEA"/>
    <w:rsid w:val="00FB2BBD"/>
    <w:rsid w:val="00FB2D53"/>
    <w:rsid w:val="00FB2DA5"/>
    <w:rsid w:val="00FB2FE2"/>
    <w:rsid w:val="00FB30BD"/>
    <w:rsid w:val="00FB328B"/>
    <w:rsid w:val="00FB355D"/>
    <w:rsid w:val="00FB3738"/>
    <w:rsid w:val="00FB396C"/>
    <w:rsid w:val="00FB3A08"/>
    <w:rsid w:val="00FB3B0F"/>
    <w:rsid w:val="00FB3D94"/>
    <w:rsid w:val="00FB3E8A"/>
    <w:rsid w:val="00FB3FBB"/>
    <w:rsid w:val="00FB4014"/>
    <w:rsid w:val="00FB40B3"/>
    <w:rsid w:val="00FB43A4"/>
    <w:rsid w:val="00FB4466"/>
    <w:rsid w:val="00FB4639"/>
    <w:rsid w:val="00FB47CE"/>
    <w:rsid w:val="00FB47E9"/>
    <w:rsid w:val="00FB4988"/>
    <w:rsid w:val="00FB4FBC"/>
    <w:rsid w:val="00FB51A4"/>
    <w:rsid w:val="00FB524E"/>
    <w:rsid w:val="00FB53A5"/>
    <w:rsid w:val="00FB53BD"/>
    <w:rsid w:val="00FB5452"/>
    <w:rsid w:val="00FB54C0"/>
    <w:rsid w:val="00FB5789"/>
    <w:rsid w:val="00FB57FB"/>
    <w:rsid w:val="00FB58C2"/>
    <w:rsid w:val="00FB58F1"/>
    <w:rsid w:val="00FB5B63"/>
    <w:rsid w:val="00FB5C2B"/>
    <w:rsid w:val="00FB5CAC"/>
    <w:rsid w:val="00FB5D3B"/>
    <w:rsid w:val="00FB5EE1"/>
    <w:rsid w:val="00FB6024"/>
    <w:rsid w:val="00FB6237"/>
    <w:rsid w:val="00FB63FF"/>
    <w:rsid w:val="00FB6727"/>
    <w:rsid w:val="00FB674B"/>
    <w:rsid w:val="00FB693D"/>
    <w:rsid w:val="00FB6A42"/>
    <w:rsid w:val="00FB6A54"/>
    <w:rsid w:val="00FB6A8A"/>
    <w:rsid w:val="00FB6ADD"/>
    <w:rsid w:val="00FB6B1E"/>
    <w:rsid w:val="00FB6B86"/>
    <w:rsid w:val="00FB6FEA"/>
    <w:rsid w:val="00FB7315"/>
    <w:rsid w:val="00FB7537"/>
    <w:rsid w:val="00FB7804"/>
    <w:rsid w:val="00FB781B"/>
    <w:rsid w:val="00FB7A4D"/>
    <w:rsid w:val="00FB7AEF"/>
    <w:rsid w:val="00FB7DAB"/>
    <w:rsid w:val="00FB7F02"/>
    <w:rsid w:val="00FC02FA"/>
    <w:rsid w:val="00FC0504"/>
    <w:rsid w:val="00FC05F0"/>
    <w:rsid w:val="00FC0779"/>
    <w:rsid w:val="00FC0AFE"/>
    <w:rsid w:val="00FC0BC6"/>
    <w:rsid w:val="00FC0C39"/>
    <w:rsid w:val="00FC0D2C"/>
    <w:rsid w:val="00FC0F3B"/>
    <w:rsid w:val="00FC0FA7"/>
    <w:rsid w:val="00FC1174"/>
    <w:rsid w:val="00FC16A9"/>
    <w:rsid w:val="00FC16BD"/>
    <w:rsid w:val="00FC17B9"/>
    <w:rsid w:val="00FC18A7"/>
    <w:rsid w:val="00FC1A9C"/>
    <w:rsid w:val="00FC1BEA"/>
    <w:rsid w:val="00FC1BFF"/>
    <w:rsid w:val="00FC1D9D"/>
    <w:rsid w:val="00FC207C"/>
    <w:rsid w:val="00FC21C3"/>
    <w:rsid w:val="00FC230A"/>
    <w:rsid w:val="00FC2756"/>
    <w:rsid w:val="00FC27D9"/>
    <w:rsid w:val="00FC2DBC"/>
    <w:rsid w:val="00FC3025"/>
    <w:rsid w:val="00FC3087"/>
    <w:rsid w:val="00FC328A"/>
    <w:rsid w:val="00FC3304"/>
    <w:rsid w:val="00FC34EC"/>
    <w:rsid w:val="00FC369B"/>
    <w:rsid w:val="00FC370F"/>
    <w:rsid w:val="00FC372A"/>
    <w:rsid w:val="00FC3923"/>
    <w:rsid w:val="00FC3A98"/>
    <w:rsid w:val="00FC3BDD"/>
    <w:rsid w:val="00FC3BEC"/>
    <w:rsid w:val="00FC3E31"/>
    <w:rsid w:val="00FC3E6E"/>
    <w:rsid w:val="00FC4204"/>
    <w:rsid w:val="00FC4D0D"/>
    <w:rsid w:val="00FC4DC8"/>
    <w:rsid w:val="00FC5072"/>
    <w:rsid w:val="00FC5160"/>
    <w:rsid w:val="00FC51D0"/>
    <w:rsid w:val="00FC543A"/>
    <w:rsid w:val="00FC5471"/>
    <w:rsid w:val="00FC5476"/>
    <w:rsid w:val="00FC54A2"/>
    <w:rsid w:val="00FC5545"/>
    <w:rsid w:val="00FC55C8"/>
    <w:rsid w:val="00FC5606"/>
    <w:rsid w:val="00FC5757"/>
    <w:rsid w:val="00FC5D5B"/>
    <w:rsid w:val="00FC5DF1"/>
    <w:rsid w:val="00FC5E26"/>
    <w:rsid w:val="00FC5EBA"/>
    <w:rsid w:val="00FC613B"/>
    <w:rsid w:val="00FC6398"/>
    <w:rsid w:val="00FC667F"/>
    <w:rsid w:val="00FC68D5"/>
    <w:rsid w:val="00FC68E1"/>
    <w:rsid w:val="00FC6A41"/>
    <w:rsid w:val="00FC6CEE"/>
    <w:rsid w:val="00FC6D23"/>
    <w:rsid w:val="00FC700C"/>
    <w:rsid w:val="00FC7041"/>
    <w:rsid w:val="00FC724C"/>
    <w:rsid w:val="00FC72A3"/>
    <w:rsid w:val="00FC7303"/>
    <w:rsid w:val="00FC740A"/>
    <w:rsid w:val="00FC7494"/>
    <w:rsid w:val="00FC74DF"/>
    <w:rsid w:val="00FC76E4"/>
    <w:rsid w:val="00FC7739"/>
    <w:rsid w:val="00FC781B"/>
    <w:rsid w:val="00FC7928"/>
    <w:rsid w:val="00FC7970"/>
    <w:rsid w:val="00FC79A9"/>
    <w:rsid w:val="00FC7C69"/>
    <w:rsid w:val="00FC7CC0"/>
    <w:rsid w:val="00FC7D31"/>
    <w:rsid w:val="00FC7F20"/>
    <w:rsid w:val="00FD0019"/>
    <w:rsid w:val="00FD0039"/>
    <w:rsid w:val="00FD02B1"/>
    <w:rsid w:val="00FD033B"/>
    <w:rsid w:val="00FD0356"/>
    <w:rsid w:val="00FD05B3"/>
    <w:rsid w:val="00FD05F2"/>
    <w:rsid w:val="00FD06B7"/>
    <w:rsid w:val="00FD077F"/>
    <w:rsid w:val="00FD0986"/>
    <w:rsid w:val="00FD0A42"/>
    <w:rsid w:val="00FD0C17"/>
    <w:rsid w:val="00FD0D05"/>
    <w:rsid w:val="00FD0E6D"/>
    <w:rsid w:val="00FD1151"/>
    <w:rsid w:val="00FD11C6"/>
    <w:rsid w:val="00FD1395"/>
    <w:rsid w:val="00FD13C5"/>
    <w:rsid w:val="00FD13E6"/>
    <w:rsid w:val="00FD15D0"/>
    <w:rsid w:val="00FD16EE"/>
    <w:rsid w:val="00FD1950"/>
    <w:rsid w:val="00FD1A1B"/>
    <w:rsid w:val="00FD1BD3"/>
    <w:rsid w:val="00FD2014"/>
    <w:rsid w:val="00FD2066"/>
    <w:rsid w:val="00FD2101"/>
    <w:rsid w:val="00FD2576"/>
    <w:rsid w:val="00FD277B"/>
    <w:rsid w:val="00FD29CF"/>
    <w:rsid w:val="00FD2B62"/>
    <w:rsid w:val="00FD2CED"/>
    <w:rsid w:val="00FD2F03"/>
    <w:rsid w:val="00FD30F5"/>
    <w:rsid w:val="00FD3232"/>
    <w:rsid w:val="00FD3300"/>
    <w:rsid w:val="00FD37E5"/>
    <w:rsid w:val="00FD3885"/>
    <w:rsid w:val="00FD3975"/>
    <w:rsid w:val="00FD3C5C"/>
    <w:rsid w:val="00FD3C65"/>
    <w:rsid w:val="00FD3CED"/>
    <w:rsid w:val="00FD3D6D"/>
    <w:rsid w:val="00FD3DB3"/>
    <w:rsid w:val="00FD3E10"/>
    <w:rsid w:val="00FD41B9"/>
    <w:rsid w:val="00FD4237"/>
    <w:rsid w:val="00FD4550"/>
    <w:rsid w:val="00FD46F5"/>
    <w:rsid w:val="00FD48CD"/>
    <w:rsid w:val="00FD4A70"/>
    <w:rsid w:val="00FD4BBD"/>
    <w:rsid w:val="00FD4CD6"/>
    <w:rsid w:val="00FD4CFA"/>
    <w:rsid w:val="00FD51E3"/>
    <w:rsid w:val="00FD5373"/>
    <w:rsid w:val="00FD53E7"/>
    <w:rsid w:val="00FD5448"/>
    <w:rsid w:val="00FD5C31"/>
    <w:rsid w:val="00FD6043"/>
    <w:rsid w:val="00FD61B5"/>
    <w:rsid w:val="00FD6379"/>
    <w:rsid w:val="00FD691F"/>
    <w:rsid w:val="00FD69C9"/>
    <w:rsid w:val="00FD6BBE"/>
    <w:rsid w:val="00FD6E06"/>
    <w:rsid w:val="00FD6FFF"/>
    <w:rsid w:val="00FD7051"/>
    <w:rsid w:val="00FD7220"/>
    <w:rsid w:val="00FD7408"/>
    <w:rsid w:val="00FD7438"/>
    <w:rsid w:val="00FD74B9"/>
    <w:rsid w:val="00FD762B"/>
    <w:rsid w:val="00FD77DD"/>
    <w:rsid w:val="00FD7A89"/>
    <w:rsid w:val="00FD7BB4"/>
    <w:rsid w:val="00FD7BED"/>
    <w:rsid w:val="00FD7BEF"/>
    <w:rsid w:val="00FD7C83"/>
    <w:rsid w:val="00FD7D20"/>
    <w:rsid w:val="00FD7DBE"/>
    <w:rsid w:val="00FD7E1F"/>
    <w:rsid w:val="00FD7FE3"/>
    <w:rsid w:val="00FE021A"/>
    <w:rsid w:val="00FE0352"/>
    <w:rsid w:val="00FE0469"/>
    <w:rsid w:val="00FE0476"/>
    <w:rsid w:val="00FE04BF"/>
    <w:rsid w:val="00FE08AB"/>
    <w:rsid w:val="00FE0942"/>
    <w:rsid w:val="00FE0AED"/>
    <w:rsid w:val="00FE0B0D"/>
    <w:rsid w:val="00FE0DB0"/>
    <w:rsid w:val="00FE0E01"/>
    <w:rsid w:val="00FE0F87"/>
    <w:rsid w:val="00FE109F"/>
    <w:rsid w:val="00FE15BC"/>
    <w:rsid w:val="00FE1600"/>
    <w:rsid w:val="00FE16B0"/>
    <w:rsid w:val="00FE2042"/>
    <w:rsid w:val="00FE20F6"/>
    <w:rsid w:val="00FE2190"/>
    <w:rsid w:val="00FE21B1"/>
    <w:rsid w:val="00FE21CA"/>
    <w:rsid w:val="00FE22A6"/>
    <w:rsid w:val="00FE2328"/>
    <w:rsid w:val="00FE2356"/>
    <w:rsid w:val="00FE278E"/>
    <w:rsid w:val="00FE2874"/>
    <w:rsid w:val="00FE2948"/>
    <w:rsid w:val="00FE2AE1"/>
    <w:rsid w:val="00FE2D9A"/>
    <w:rsid w:val="00FE2D9E"/>
    <w:rsid w:val="00FE2ED8"/>
    <w:rsid w:val="00FE2F58"/>
    <w:rsid w:val="00FE3260"/>
    <w:rsid w:val="00FE3484"/>
    <w:rsid w:val="00FE35F0"/>
    <w:rsid w:val="00FE379C"/>
    <w:rsid w:val="00FE399F"/>
    <w:rsid w:val="00FE3AAB"/>
    <w:rsid w:val="00FE3ABB"/>
    <w:rsid w:val="00FE3AD6"/>
    <w:rsid w:val="00FE3B41"/>
    <w:rsid w:val="00FE3D43"/>
    <w:rsid w:val="00FE3FBD"/>
    <w:rsid w:val="00FE4368"/>
    <w:rsid w:val="00FE465E"/>
    <w:rsid w:val="00FE4721"/>
    <w:rsid w:val="00FE479D"/>
    <w:rsid w:val="00FE49DC"/>
    <w:rsid w:val="00FE49EC"/>
    <w:rsid w:val="00FE4C7E"/>
    <w:rsid w:val="00FE4F8F"/>
    <w:rsid w:val="00FE5338"/>
    <w:rsid w:val="00FE538D"/>
    <w:rsid w:val="00FE53FE"/>
    <w:rsid w:val="00FE554B"/>
    <w:rsid w:val="00FE5904"/>
    <w:rsid w:val="00FE5A47"/>
    <w:rsid w:val="00FE603E"/>
    <w:rsid w:val="00FE61AD"/>
    <w:rsid w:val="00FE6371"/>
    <w:rsid w:val="00FE64A0"/>
    <w:rsid w:val="00FE651B"/>
    <w:rsid w:val="00FE656F"/>
    <w:rsid w:val="00FE6595"/>
    <w:rsid w:val="00FE65B1"/>
    <w:rsid w:val="00FE6651"/>
    <w:rsid w:val="00FE66F7"/>
    <w:rsid w:val="00FE6718"/>
    <w:rsid w:val="00FE683A"/>
    <w:rsid w:val="00FE69CE"/>
    <w:rsid w:val="00FE6A78"/>
    <w:rsid w:val="00FE6DC3"/>
    <w:rsid w:val="00FE6DED"/>
    <w:rsid w:val="00FE70F7"/>
    <w:rsid w:val="00FE713E"/>
    <w:rsid w:val="00FE7177"/>
    <w:rsid w:val="00FE71C0"/>
    <w:rsid w:val="00FE71EF"/>
    <w:rsid w:val="00FE72FE"/>
    <w:rsid w:val="00FE7307"/>
    <w:rsid w:val="00FE73C1"/>
    <w:rsid w:val="00FE793E"/>
    <w:rsid w:val="00FE7D82"/>
    <w:rsid w:val="00FE7E87"/>
    <w:rsid w:val="00FE7EB9"/>
    <w:rsid w:val="00FE7F32"/>
    <w:rsid w:val="00FF007E"/>
    <w:rsid w:val="00FF008E"/>
    <w:rsid w:val="00FF0091"/>
    <w:rsid w:val="00FF0C5F"/>
    <w:rsid w:val="00FF0DC6"/>
    <w:rsid w:val="00FF0DE5"/>
    <w:rsid w:val="00FF0FC2"/>
    <w:rsid w:val="00FF11DD"/>
    <w:rsid w:val="00FF1250"/>
    <w:rsid w:val="00FF133A"/>
    <w:rsid w:val="00FF13AA"/>
    <w:rsid w:val="00FF16E9"/>
    <w:rsid w:val="00FF176E"/>
    <w:rsid w:val="00FF1940"/>
    <w:rsid w:val="00FF1B0E"/>
    <w:rsid w:val="00FF1CED"/>
    <w:rsid w:val="00FF1D82"/>
    <w:rsid w:val="00FF1ED0"/>
    <w:rsid w:val="00FF1F00"/>
    <w:rsid w:val="00FF1FAD"/>
    <w:rsid w:val="00FF220E"/>
    <w:rsid w:val="00FF2517"/>
    <w:rsid w:val="00FF2966"/>
    <w:rsid w:val="00FF2A25"/>
    <w:rsid w:val="00FF2C40"/>
    <w:rsid w:val="00FF2C6E"/>
    <w:rsid w:val="00FF2DD0"/>
    <w:rsid w:val="00FF2EC4"/>
    <w:rsid w:val="00FF2FE2"/>
    <w:rsid w:val="00FF30AD"/>
    <w:rsid w:val="00FF32E4"/>
    <w:rsid w:val="00FF344F"/>
    <w:rsid w:val="00FF34A9"/>
    <w:rsid w:val="00FF34BF"/>
    <w:rsid w:val="00FF3521"/>
    <w:rsid w:val="00FF3640"/>
    <w:rsid w:val="00FF3900"/>
    <w:rsid w:val="00FF3985"/>
    <w:rsid w:val="00FF3A09"/>
    <w:rsid w:val="00FF3BDB"/>
    <w:rsid w:val="00FF3CA0"/>
    <w:rsid w:val="00FF3CAE"/>
    <w:rsid w:val="00FF3D6F"/>
    <w:rsid w:val="00FF3E9D"/>
    <w:rsid w:val="00FF3F06"/>
    <w:rsid w:val="00FF3F9F"/>
    <w:rsid w:val="00FF41CC"/>
    <w:rsid w:val="00FF448E"/>
    <w:rsid w:val="00FF47BC"/>
    <w:rsid w:val="00FF4864"/>
    <w:rsid w:val="00FF4C7E"/>
    <w:rsid w:val="00FF4C8D"/>
    <w:rsid w:val="00FF4E48"/>
    <w:rsid w:val="00FF4E97"/>
    <w:rsid w:val="00FF4F42"/>
    <w:rsid w:val="00FF4FE4"/>
    <w:rsid w:val="00FF51CD"/>
    <w:rsid w:val="00FF51FB"/>
    <w:rsid w:val="00FF52D5"/>
    <w:rsid w:val="00FF551B"/>
    <w:rsid w:val="00FF559B"/>
    <w:rsid w:val="00FF5618"/>
    <w:rsid w:val="00FF561E"/>
    <w:rsid w:val="00FF5650"/>
    <w:rsid w:val="00FF5937"/>
    <w:rsid w:val="00FF5CA4"/>
    <w:rsid w:val="00FF6035"/>
    <w:rsid w:val="00FF6119"/>
    <w:rsid w:val="00FF628C"/>
    <w:rsid w:val="00FF637D"/>
    <w:rsid w:val="00FF63DB"/>
    <w:rsid w:val="00FF6545"/>
    <w:rsid w:val="00FF6708"/>
    <w:rsid w:val="00FF6775"/>
    <w:rsid w:val="00FF6A4A"/>
    <w:rsid w:val="00FF6A6B"/>
    <w:rsid w:val="00FF6B72"/>
    <w:rsid w:val="00FF6B9C"/>
    <w:rsid w:val="00FF6CF2"/>
    <w:rsid w:val="00FF6CFE"/>
    <w:rsid w:val="00FF71BF"/>
    <w:rsid w:val="00FF73E5"/>
    <w:rsid w:val="00FF7541"/>
    <w:rsid w:val="00FF7B51"/>
    <w:rsid w:val="00FF7D8D"/>
    <w:rsid w:val="00FF7E02"/>
    <w:rsid w:val="00FF7E68"/>
    <w:rsid w:val="01144CCE"/>
    <w:rsid w:val="01406820"/>
    <w:rsid w:val="0162ADBC"/>
    <w:rsid w:val="0175E7A6"/>
    <w:rsid w:val="01825F4E"/>
    <w:rsid w:val="01899658"/>
    <w:rsid w:val="019608FD"/>
    <w:rsid w:val="019BA83C"/>
    <w:rsid w:val="01ACE4D2"/>
    <w:rsid w:val="01C8396B"/>
    <w:rsid w:val="01CBE256"/>
    <w:rsid w:val="01F0970B"/>
    <w:rsid w:val="020B5809"/>
    <w:rsid w:val="0215DE87"/>
    <w:rsid w:val="02489A21"/>
    <w:rsid w:val="0248D367"/>
    <w:rsid w:val="024DF570"/>
    <w:rsid w:val="028FF3AA"/>
    <w:rsid w:val="02BC142A"/>
    <w:rsid w:val="02D6A7E7"/>
    <w:rsid w:val="02E1EE00"/>
    <w:rsid w:val="02E212DF"/>
    <w:rsid w:val="030626BC"/>
    <w:rsid w:val="031E5C50"/>
    <w:rsid w:val="033F0FE3"/>
    <w:rsid w:val="035A4BF1"/>
    <w:rsid w:val="035A8E2F"/>
    <w:rsid w:val="03611154"/>
    <w:rsid w:val="0368E6F5"/>
    <w:rsid w:val="03737BBE"/>
    <w:rsid w:val="0398ACA5"/>
    <w:rsid w:val="03BA6712"/>
    <w:rsid w:val="03C1577E"/>
    <w:rsid w:val="03D87C0A"/>
    <w:rsid w:val="03FEF7C8"/>
    <w:rsid w:val="042F5CB1"/>
    <w:rsid w:val="045E7050"/>
    <w:rsid w:val="04611A56"/>
    <w:rsid w:val="048D6529"/>
    <w:rsid w:val="04C1092F"/>
    <w:rsid w:val="04C7E0BD"/>
    <w:rsid w:val="0501B63F"/>
    <w:rsid w:val="050A161C"/>
    <w:rsid w:val="050BEC5C"/>
    <w:rsid w:val="050D3D06"/>
    <w:rsid w:val="052E5CCA"/>
    <w:rsid w:val="05454EB4"/>
    <w:rsid w:val="054D3765"/>
    <w:rsid w:val="05777610"/>
    <w:rsid w:val="058E1DD9"/>
    <w:rsid w:val="0591CA35"/>
    <w:rsid w:val="05921433"/>
    <w:rsid w:val="05CB2D12"/>
    <w:rsid w:val="05DF3508"/>
    <w:rsid w:val="05E2EED9"/>
    <w:rsid w:val="05EE0B6B"/>
    <w:rsid w:val="06011C5B"/>
    <w:rsid w:val="06011DFF"/>
    <w:rsid w:val="06062A41"/>
    <w:rsid w:val="060CCDED"/>
    <w:rsid w:val="06237C7C"/>
    <w:rsid w:val="0623A25B"/>
    <w:rsid w:val="0649B81A"/>
    <w:rsid w:val="064A03B9"/>
    <w:rsid w:val="0664D0B3"/>
    <w:rsid w:val="0676C650"/>
    <w:rsid w:val="0688C240"/>
    <w:rsid w:val="068D2E14"/>
    <w:rsid w:val="06A4E91A"/>
    <w:rsid w:val="06D9A3EB"/>
    <w:rsid w:val="06E9AB4F"/>
    <w:rsid w:val="06F8C66A"/>
    <w:rsid w:val="07242CBE"/>
    <w:rsid w:val="072F9F5B"/>
    <w:rsid w:val="073A0302"/>
    <w:rsid w:val="074B439E"/>
    <w:rsid w:val="0760A1D9"/>
    <w:rsid w:val="076E6D65"/>
    <w:rsid w:val="077810B3"/>
    <w:rsid w:val="07831C16"/>
    <w:rsid w:val="07A5837C"/>
    <w:rsid w:val="07ABAA05"/>
    <w:rsid w:val="07D0E14B"/>
    <w:rsid w:val="07F358DC"/>
    <w:rsid w:val="08154EE3"/>
    <w:rsid w:val="0842EE4E"/>
    <w:rsid w:val="0850B794"/>
    <w:rsid w:val="086E8CDC"/>
    <w:rsid w:val="08922B62"/>
    <w:rsid w:val="08993003"/>
    <w:rsid w:val="08AD3771"/>
    <w:rsid w:val="08C7BC7A"/>
    <w:rsid w:val="08CB3305"/>
    <w:rsid w:val="08DD8550"/>
    <w:rsid w:val="08F1AC9F"/>
    <w:rsid w:val="090365F4"/>
    <w:rsid w:val="0949F2F3"/>
    <w:rsid w:val="09503BC8"/>
    <w:rsid w:val="09515D09"/>
    <w:rsid w:val="09818A31"/>
    <w:rsid w:val="098933C8"/>
    <w:rsid w:val="09B5F969"/>
    <w:rsid w:val="09CDB554"/>
    <w:rsid w:val="09D564B6"/>
    <w:rsid w:val="09F92F00"/>
    <w:rsid w:val="09FBFA1F"/>
    <w:rsid w:val="0A5159FF"/>
    <w:rsid w:val="0A611A38"/>
    <w:rsid w:val="0A73941C"/>
    <w:rsid w:val="0A89B03F"/>
    <w:rsid w:val="0A8D308D"/>
    <w:rsid w:val="0A97EF1D"/>
    <w:rsid w:val="0A9AFAF7"/>
    <w:rsid w:val="0A9D5917"/>
    <w:rsid w:val="0AB07647"/>
    <w:rsid w:val="0AE08C79"/>
    <w:rsid w:val="0AE51004"/>
    <w:rsid w:val="0AF22631"/>
    <w:rsid w:val="0B1C3FC0"/>
    <w:rsid w:val="0B1D38A7"/>
    <w:rsid w:val="0B50CB24"/>
    <w:rsid w:val="0B87E231"/>
    <w:rsid w:val="0BB1033E"/>
    <w:rsid w:val="0BCF5A4E"/>
    <w:rsid w:val="0BDBB22E"/>
    <w:rsid w:val="0C19C33B"/>
    <w:rsid w:val="0C32B9A4"/>
    <w:rsid w:val="0C3891C0"/>
    <w:rsid w:val="0C522F10"/>
    <w:rsid w:val="0C544BBC"/>
    <w:rsid w:val="0C8DBB4E"/>
    <w:rsid w:val="0CA7E676"/>
    <w:rsid w:val="0CA7F9C3"/>
    <w:rsid w:val="0CAC4206"/>
    <w:rsid w:val="0CDADF2E"/>
    <w:rsid w:val="0CF2B8D7"/>
    <w:rsid w:val="0D13D8D0"/>
    <w:rsid w:val="0D1871AE"/>
    <w:rsid w:val="0DD4B143"/>
    <w:rsid w:val="0DFE48BC"/>
    <w:rsid w:val="0DFEB870"/>
    <w:rsid w:val="0E223139"/>
    <w:rsid w:val="0E239A97"/>
    <w:rsid w:val="0E2AD633"/>
    <w:rsid w:val="0E2EA7AD"/>
    <w:rsid w:val="0E5DF020"/>
    <w:rsid w:val="0E756296"/>
    <w:rsid w:val="0EA36D74"/>
    <w:rsid w:val="0EBAEEC7"/>
    <w:rsid w:val="0ECA01EA"/>
    <w:rsid w:val="0ED0BA41"/>
    <w:rsid w:val="0ED42648"/>
    <w:rsid w:val="0F03A8A5"/>
    <w:rsid w:val="0F0A4F67"/>
    <w:rsid w:val="0F0C4D10"/>
    <w:rsid w:val="0F0C9EE4"/>
    <w:rsid w:val="0F40A48F"/>
    <w:rsid w:val="0F57108C"/>
    <w:rsid w:val="0F769D0F"/>
    <w:rsid w:val="0F859598"/>
    <w:rsid w:val="0FA13DAF"/>
    <w:rsid w:val="0FA14687"/>
    <w:rsid w:val="0FC97CD2"/>
    <w:rsid w:val="0FE14385"/>
    <w:rsid w:val="0FF27432"/>
    <w:rsid w:val="10109CA4"/>
    <w:rsid w:val="101349B3"/>
    <w:rsid w:val="106592C8"/>
    <w:rsid w:val="1083885F"/>
    <w:rsid w:val="10ABFC15"/>
    <w:rsid w:val="10ADFD2C"/>
    <w:rsid w:val="10B8B830"/>
    <w:rsid w:val="10C78E3B"/>
    <w:rsid w:val="10C898FA"/>
    <w:rsid w:val="10CD19FA"/>
    <w:rsid w:val="10EF3706"/>
    <w:rsid w:val="111C9DD9"/>
    <w:rsid w:val="112C1AE2"/>
    <w:rsid w:val="1134E793"/>
    <w:rsid w:val="11423734"/>
    <w:rsid w:val="11464B8F"/>
    <w:rsid w:val="11488067"/>
    <w:rsid w:val="11B20320"/>
    <w:rsid w:val="11B2493C"/>
    <w:rsid w:val="11BFDFAF"/>
    <w:rsid w:val="121C35CC"/>
    <w:rsid w:val="1224500B"/>
    <w:rsid w:val="122EED38"/>
    <w:rsid w:val="125E8D38"/>
    <w:rsid w:val="1272D0BF"/>
    <w:rsid w:val="12811B37"/>
    <w:rsid w:val="12A1D212"/>
    <w:rsid w:val="12A8AF5E"/>
    <w:rsid w:val="12B40964"/>
    <w:rsid w:val="12CBE761"/>
    <w:rsid w:val="12D25BAF"/>
    <w:rsid w:val="12E3B3CB"/>
    <w:rsid w:val="1327CE0B"/>
    <w:rsid w:val="13C23B46"/>
    <w:rsid w:val="13DDB7BA"/>
    <w:rsid w:val="13FE9D45"/>
    <w:rsid w:val="1406BF6E"/>
    <w:rsid w:val="14122071"/>
    <w:rsid w:val="1433A679"/>
    <w:rsid w:val="1438AA45"/>
    <w:rsid w:val="1498A05C"/>
    <w:rsid w:val="14A201A1"/>
    <w:rsid w:val="14AE5443"/>
    <w:rsid w:val="14C9325F"/>
    <w:rsid w:val="14CCB974"/>
    <w:rsid w:val="14DBA56C"/>
    <w:rsid w:val="15060A3D"/>
    <w:rsid w:val="1521E564"/>
    <w:rsid w:val="1531F541"/>
    <w:rsid w:val="153CA665"/>
    <w:rsid w:val="153DCE83"/>
    <w:rsid w:val="158E550D"/>
    <w:rsid w:val="158E85D9"/>
    <w:rsid w:val="15A42DD6"/>
    <w:rsid w:val="15B5283B"/>
    <w:rsid w:val="15CCF064"/>
    <w:rsid w:val="15DB06B1"/>
    <w:rsid w:val="15E167E4"/>
    <w:rsid w:val="15E89222"/>
    <w:rsid w:val="15F0B27C"/>
    <w:rsid w:val="161EF8D3"/>
    <w:rsid w:val="16299539"/>
    <w:rsid w:val="1642D2DC"/>
    <w:rsid w:val="164FFB7D"/>
    <w:rsid w:val="16627B1B"/>
    <w:rsid w:val="167679A6"/>
    <w:rsid w:val="16AB56B9"/>
    <w:rsid w:val="16C43C7A"/>
    <w:rsid w:val="16C853C2"/>
    <w:rsid w:val="16C939FE"/>
    <w:rsid w:val="16D8CBA6"/>
    <w:rsid w:val="16EC8AF3"/>
    <w:rsid w:val="16F19384"/>
    <w:rsid w:val="16FA76D8"/>
    <w:rsid w:val="171028E5"/>
    <w:rsid w:val="172DDEEF"/>
    <w:rsid w:val="1752F335"/>
    <w:rsid w:val="1771703C"/>
    <w:rsid w:val="1792F1FD"/>
    <w:rsid w:val="17A74B01"/>
    <w:rsid w:val="17D22EAB"/>
    <w:rsid w:val="17FD0597"/>
    <w:rsid w:val="185283D2"/>
    <w:rsid w:val="1857BBD3"/>
    <w:rsid w:val="18612703"/>
    <w:rsid w:val="18671D70"/>
    <w:rsid w:val="186E2594"/>
    <w:rsid w:val="187072B8"/>
    <w:rsid w:val="1877EDD0"/>
    <w:rsid w:val="18860637"/>
    <w:rsid w:val="188C07DA"/>
    <w:rsid w:val="189109BD"/>
    <w:rsid w:val="18919238"/>
    <w:rsid w:val="18B33A86"/>
    <w:rsid w:val="1911A8B0"/>
    <w:rsid w:val="193218D1"/>
    <w:rsid w:val="1940E9E9"/>
    <w:rsid w:val="19571300"/>
    <w:rsid w:val="196F8E7D"/>
    <w:rsid w:val="1975EC92"/>
    <w:rsid w:val="19A7624E"/>
    <w:rsid w:val="19B4D80B"/>
    <w:rsid w:val="19E1B6EB"/>
    <w:rsid w:val="1A01EE16"/>
    <w:rsid w:val="1A1C2914"/>
    <w:rsid w:val="1A4276E6"/>
    <w:rsid w:val="1A452FE0"/>
    <w:rsid w:val="1A6BA7C3"/>
    <w:rsid w:val="1A7F4465"/>
    <w:rsid w:val="1AA62A07"/>
    <w:rsid w:val="1AA70CAF"/>
    <w:rsid w:val="1AB6E0BD"/>
    <w:rsid w:val="1B0A9DFD"/>
    <w:rsid w:val="1B616481"/>
    <w:rsid w:val="1B7AB852"/>
    <w:rsid w:val="1B86D3B6"/>
    <w:rsid w:val="1B98C5C0"/>
    <w:rsid w:val="1BA05FC6"/>
    <w:rsid w:val="1BA12550"/>
    <w:rsid w:val="1BB1C90B"/>
    <w:rsid w:val="1BD9826E"/>
    <w:rsid w:val="1C0F4360"/>
    <w:rsid w:val="1C152B57"/>
    <w:rsid w:val="1C3971BF"/>
    <w:rsid w:val="1C399A76"/>
    <w:rsid w:val="1C3F6DE4"/>
    <w:rsid w:val="1C451DEB"/>
    <w:rsid w:val="1C46312C"/>
    <w:rsid w:val="1C4A2C8A"/>
    <w:rsid w:val="1C5202A4"/>
    <w:rsid w:val="1C7C223A"/>
    <w:rsid w:val="1C854A97"/>
    <w:rsid w:val="1CA29F65"/>
    <w:rsid w:val="1CAA7E91"/>
    <w:rsid w:val="1CD7AE77"/>
    <w:rsid w:val="1CD92363"/>
    <w:rsid w:val="1CD9A374"/>
    <w:rsid w:val="1CE8518F"/>
    <w:rsid w:val="1CF946C4"/>
    <w:rsid w:val="1D1F0CB6"/>
    <w:rsid w:val="1D28D401"/>
    <w:rsid w:val="1D2C1D2E"/>
    <w:rsid w:val="1D2C9D4B"/>
    <w:rsid w:val="1D3A41A4"/>
    <w:rsid w:val="1D3A9FCA"/>
    <w:rsid w:val="1D56B42B"/>
    <w:rsid w:val="1D8B6D1E"/>
    <w:rsid w:val="1D91E510"/>
    <w:rsid w:val="1D9876E9"/>
    <w:rsid w:val="1D9FB64E"/>
    <w:rsid w:val="1DAF5127"/>
    <w:rsid w:val="1DC61F6A"/>
    <w:rsid w:val="1DC9CCD8"/>
    <w:rsid w:val="1DDB27EA"/>
    <w:rsid w:val="1DF8F456"/>
    <w:rsid w:val="1E280266"/>
    <w:rsid w:val="1E4519A5"/>
    <w:rsid w:val="1E6188CE"/>
    <w:rsid w:val="1E7C2010"/>
    <w:rsid w:val="1E850A43"/>
    <w:rsid w:val="1E9475F2"/>
    <w:rsid w:val="1E957BCC"/>
    <w:rsid w:val="1E969A00"/>
    <w:rsid w:val="1E9A1609"/>
    <w:rsid w:val="1EB91A36"/>
    <w:rsid w:val="1EBE32B3"/>
    <w:rsid w:val="1EC161DB"/>
    <w:rsid w:val="1ED6971E"/>
    <w:rsid w:val="1EDFF8A6"/>
    <w:rsid w:val="1EED1C5D"/>
    <w:rsid w:val="1EF929C3"/>
    <w:rsid w:val="1F03E884"/>
    <w:rsid w:val="1F0B5717"/>
    <w:rsid w:val="1F534A45"/>
    <w:rsid w:val="1F72A3BA"/>
    <w:rsid w:val="1F7CA5F7"/>
    <w:rsid w:val="1F893D1B"/>
    <w:rsid w:val="1FA977CE"/>
    <w:rsid w:val="1FC08DFC"/>
    <w:rsid w:val="1FE23BE2"/>
    <w:rsid w:val="1FEEF92E"/>
    <w:rsid w:val="1FFE41A8"/>
    <w:rsid w:val="2005CA5B"/>
    <w:rsid w:val="2022E581"/>
    <w:rsid w:val="203472C1"/>
    <w:rsid w:val="20386CB0"/>
    <w:rsid w:val="204F170C"/>
    <w:rsid w:val="20642419"/>
    <w:rsid w:val="2069F4E0"/>
    <w:rsid w:val="20D93C5C"/>
    <w:rsid w:val="20E92E9C"/>
    <w:rsid w:val="20F0B2D0"/>
    <w:rsid w:val="212CF69B"/>
    <w:rsid w:val="21754922"/>
    <w:rsid w:val="2184EB08"/>
    <w:rsid w:val="218DA14E"/>
    <w:rsid w:val="21A5A4F7"/>
    <w:rsid w:val="21AC0525"/>
    <w:rsid w:val="21CF2FB6"/>
    <w:rsid w:val="22123D66"/>
    <w:rsid w:val="2214F0C8"/>
    <w:rsid w:val="221B4449"/>
    <w:rsid w:val="2247B585"/>
    <w:rsid w:val="226CD3E4"/>
    <w:rsid w:val="228CCACB"/>
    <w:rsid w:val="228DC62E"/>
    <w:rsid w:val="229ADE9F"/>
    <w:rsid w:val="22A086F1"/>
    <w:rsid w:val="22BE6D4E"/>
    <w:rsid w:val="22C04DAA"/>
    <w:rsid w:val="22CCD8C6"/>
    <w:rsid w:val="22FC04F3"/>
    <w:rsid w:val="2307CEAE"/>
    <w:rsid w:val="2335509F"/>
    <w:rsid w:val="2343AEAB"/>
    <w:rsid w:val="234E4F79"/>
    <w:rsid w:val="234E898C"/>
    <w:rsid w:val="235D7701"/>
    <w:rsid w:val="239156EA"/>
    <w:rsid w:val="23974881"/>
    <w:rsid w:val="23A86E53"/>
    <w:rsid w:val="23CAA642"/>
    <w:rsid w:val="23E1B476"/>
    <w:rsid w:val="23E1FAE2"/>
    <w:rsid w:val="23E55EF0"/>
    <w:rsid w:val="242BE16D"/>
    <w:rsid w:val="245844D5"/>
    <w:rsid w:val="24A143C1"/>
    <w:rsid w:val="24B9EC32"/>
    <w:rsid w:val="24BA1E95"/>
    <w:rsid w:val="24BCEBAC"/>
    <w:rsid w:val="24C69EB6"/>
    <w:rsid w:val="24C97954"/>
    <w:rsid w:val="24CB822D"/>
    <w:rsid w:val="24CEC245"/>
    <w:rsid w:val="24D4E25F"/>
    <w:rsid w:val="24E8BEBB"/>
    <w:rsid w:val="24EED70B"/>
    <w:rsid w:val="250242FF"/>
    <w:rsid w:val="251EC7F4"/>
    <w:rsid w:val="25383E23"/>
    <w:rsid w:val="25AC622C"/>
    <w:rsid w:val="25AF2775"/>
    <w:rsid w:val="2617FAA4"/>
    <w:rsid w:val="262BC732"/>
    <w:rsid w:val="26403C36"/>
    <w:rsid w:val="26451905"/>
    <w:rsid w:val="2645E34E"/>
    <w:rsid w:val="265C8299"/>
    <w:rsid w:val="265F6F86"/>
    <w:rsid w:val="26849EE2"/>
    <w:rsid w:val="2692DEAF"/>
    <w:rsid w:val="26ADA53B"/>
    <w:rsid w:val="26DFBB30"/>
    <w:rsid w:val="26EF76E3"/>
    <w:rsid w:val="26FF5077"/>
    <w:rsid w:val="270B2C14"/>
    <w:rsid w:val="272C1A96"/>
    <w:rsid w:val="2735FA9C"/>
    <w:rsid w:val="2753AFD3"/>
    <w:rsid w:val="275532D2"/>
    <w:rsid w:val="2757AD64"/>
    <w:rsid w:val="27648A10"/>
    <w:rsid w:val="2789E1C9"/>
    <w:rsid w:val="279134D7"/>
    <w:rsid w:val="2796EB61"/>
    <w:rsid w:val="27B51BD5"/>
    <w:rsid w:val="27CBCEE3"/>
    <w:rsid w:val="27D7E5D2"/>
    <w:rsid w:val="281A0D44"/>
    <w:rsid w:val="28249D17"/>
    <w:rsid w:val="2842525F"/>
    <w:rsid w:val="28461397"/>
    <w:rsid w:val="286BB7C3"/>
    <w:rsid w:val="28A5AA10"/>
    <w:rsid w:val="28A7E0DC"/>
    <w:rsid w:val="28ED2A25"/>
    <w:rsid w:val="29060E25"/>
    <w:rsid w:val="2912BD2E"/>
    <w:rsid w:val="2937FA8A"/>
    <w:rsid w:val="293A7E41"/>
    <w:rsid w:val="296292C8"/>
    <w:rsid w:val="2972E7FF"/>
    <w:rsid w:val="2983ECA0"/>
    <w:rsid w:val="298479FC"/>
    <w:rsid w:val="29919A9E"/>
    <w:rsid w:val="29989459"/>
    <w:rsid w:val="29A959BC"/>
    <w:rsid w:val="29AD8516"/>
    <w:rsid w:val="29B1A400"/>
    <w:rsid w:val="29EA8BF5"/>
    <w:rsid w:val="29EB1C5A"/>
    <w:rsid w:val="2A06A775"/>
    <w:rsid w:val="2A233A45"/>
    <w:rsid w:val="2A30E13D"/>
    <w:rsid w:val="2A40E894"/>
    <w:rsid w:val="2A893C53"/>
    <w:rsid w:val="2A9D9223"/>
    <w:rsid w:val="2AA2D67C"/>
    <w:rsid w:val="2ACDB2E8"/>
    <w:rsid w:val="2AD12285"/>
    <w:rsid w:val="2AE54189"/>
    <w:rsid w:val="2AEDE9BE"/>
    <w:rsid w:val="2B140726"/>
    <w:rsid w:val="2B525D25"/>
    <w:rsid w:val="2B768571"/>
    <w:rsid w:val="2B798E7A"/>
    <w:rsid w:val="2B79D9E4"/>
    <w:rsid w:val="2B81E20C"/>
    <w:rsid w:val="2BA14116"/>
    <w:rsid w:val="2BCA31DC"/>
    <w:rsid w:val="2BE42CDD"/>
    <w:rsid w:val="2BEB36DA"/>
    <w:rsid w:val="2BF2E2AF"/>
    <w:rsid w:val="2C182E4A"/>
    <w:rsid w:val="2C258D5F"/>
    <w:rsid w:val="2C2D6012"/>
    <w:rsid w:val="2C532007"/>
    <w:rsid w:val="2C5D448B"/>
    <w:rsid w:val="2C698349"/>
    <w:rsid w:val="2C964213"/>
    <w:rsid w:val="2CA0DCDD"/>
    <w:rsid w:val="2CB65095"/>
    <w:rsid w:val="2CB8192F"/>
    <w:rsid w:val="2CC8A41C"/>
    <w:rsid w:val="2CD8C45C"/>
    <w:rsid w:val="2D116F7E"/>
    <w:rsid w:val="2D1870CE"/>
    <w:rsid w:val="2D2C0C2A"/>
    <w:rsid w:val="2D407185"/>
    <w:rsid w:val="2D5EDDBE"/>
    <w:rsid w:val="2D67BE04"/>
    <w:rsid w:val="2D6D1739"/>
    <w:rsid w:val="2D926761"/>
    <w:rsid w:val="2DA3F400"/>
    <w:rsid w:val="2DDBADDD"/>
    <w:rsid w:val="2DF99811"/>
    <w:rsid w:val="2DFB9D26"/>
    <w:rsid w:val="2E1CACC1"/>
    <w:rsid w:val="2E24547F"/>
    <w:rsid w:val="2E30F451"/>
    <w:rsid w:val="2E5D519B"/>
    <w:rsid w:val="2E7FF97B"/>
    <w:rsid w:val="2E944D27"/>
    <w:rsid w:val="2E9B5349"/>
    <w:rsid w:val="2E9F93BE"/>
    <w:rsid w:val="2EB05982"/>
    <w:rsid w:val="2ECDEA8F"/>
    <w:rsid w:val="2EFDFA29"/>
    <w:rsid w:val="2F32D59E"/>
    <w:rsid w:val="2F4CBC98"/>
    <w:rsid w:val="2F5F4CD3"/>
    <w:rsid w:val="2F9F54F4"/>
    <w:rsid w:val="2FAC6E0E"/>
    <w:rsid w:val="2FAF55BA"/>
    <w:rsid w:val="2FC507EF"/>
    <w:rsid w:val="2FDEB083"/>
    <w:rsid w:val="2FEDAC92"/>
    <w:rsid w:val="30014158"/>
    <w:rsid w:val="300CF15E"/>
    <w:rsid w:val="302D69F9"/>
    <w:rsid w:val="3047B98A"/>
    <w:rsid w:val="3055B63D"/>
    <w:rsid w:val="305A7D1D"/>
    <w:rsid w:val="305B264A"/>
    <w:rsid w:val="305B5749"/>
    <w:rsid w:val="305C0DBD"/>
    <w:rsid w:val="30745CBD"/>
    <w:rsid w:val="308AE1E1"/>
    <w:rsid w:val="308B5C15"/>
    <w:rsid w:val="308D75BB"/>
    <w:rsid w:val="309069CE"/>
    <w:rsid w:val="309574F4"/>
    <w:rsid w:val="309F1D1D"/>
    <w:rsid w:val="30A93F6F"/>
    <w:rsid w:val="30BB4523"/>
    <w:rsid w:val="30C5D510"/>
    <w:rsid w:val="310C5D34"/>
    <w:rsid w:val="3119F992"/>
    <w:rsid w:val="3121240B"/>
    <w:rsid w:val="31324FCF"/>
    <w:rsid w:val="31327C16"/>
    <w:rsid w:val="31A8AA2C"/>
    <w:rsid w:val="31A8C1BF"/>
    <w:rsid w:val="31AE0AC4"/>
    <w:rsid w:val="31CBC67C"/>
    <w:rsid w:val="31E0B11A"/>
    <w:rsid w:val="31EAB055"/>
    <w:rsid w:val="31EBB74E"/>
    <w:rsid w:val="320A4088"/>
    <w:rsid w:val="320C3B3A"/>
    <w:rsid w:val="320FAAC5"/>
    <w:rsid w:val="3219AE2A"/>
    <w:rsid w:val="321F67BD"/>
    <w:rsid w:val="32223DEA"/>
    <w:rsid w:val="32399FB8"/>
    <w:rsid w:val="32409069"/>
    <w:rsid w:val="325DE787"/>
    <w:rsid w:val="3268FF03"/>
    <w:rsid w:val="3277D838"/>
    <w:rsid w:val="327E4F6E"/>
    <w:rsid w:val="328D4604"/>
    <w:rsid w:val="3299E56C"/>
    <w:rsid w:val="32D6C7BA"/>
    <w:rsid w:val="3309D9C6"/>
    <w:rsid w:val="331EE4DC"/>
    <w:rsid w:val="3320EDE0"/>
    <w:rsid w:val="33240330"/>
    <w:rsid w:val="3329DB12"/>
    <w:rsid w:val="33399D96"/>
    <w:rsid w:val="33626ACC"/>
    <w:rsid w:val="338C13D0"/>
    <w:rsid w:val="339237C8"/>
    <w:rsid w:val="33AB48B0"/>
    <w:rsid w:val="33AC2856"/>
    <w:rsid w:val="33B2A6B4"/>
    <w:rsid w:val="33B5C885"/>
    <w:rsid w:val="33C714FE"/>
    <w:rsid w:val="33E86845"/>
    <w:rsid w:val="33E8C283"/>
    <w:rsid w:val="33E8D1E1"/>
    <w:rsid w:val="340C25C5"/>
    <w:rsid w:val="3419A1F6"/>
    <w:rsid w:val="342C4926"/>
    <w:rsid w:val="34317225"/>
    <w:rsid w:val="34346BD9"/>
    <w:rsid w:val="3458A498"/>
    <w:rsid w:val="346C7A19"/>
    <w:rsid w:val="34A0CB8E"/>
    <w:rsid w:val="350808F1"/>
    <w:rsid w:val="35118DBE"/>
    <w:rsid w:val="35230778"/>
    <w:rsid w:val="352FB771"/>
    <w:rsid w:val="353A008C"/>
    <w:rsid w:val="3559DEAC"/>
    <w:rsid w:val="3583E26B"/>
    <w:rsid w:val="35950569"/>
    <w:rsid w:val="35AD0843"/>
    <w:rsid w:val="35D365C7"/>
    <w:rsid w:val="35DEA873"/>
    <w:rsid w:val="35E3950E"/>
    <w:rsid w:val="362F407E"/>
    <w:rsid w:val="3658896F"/>
    <w:rsid w:val="365BD218"/>
    <w:rsid w:val="367585EE"/>
    <w:rsid w:val="3680E67A"/>
    <w:rsid w:val="36AD5E1F"/>
    <w:rsid w:val="36B11A19"/>
    <w:rsid w:val="36CDF85C"/>
    <w:rsid w:val="36D58F30"/>
    <w:rsid w:val="36DB1D65"/>
    <w:rsid w:val="36DB3B5C"/>
    <w:rsid w:val="36EEDBAF"/>
    <w:rsid w:val="36FB2F9D"/>
    <w:rsid w:val="3701588E"/>
    <w:rsid w:val="3725A225"/>
    <w:rsid w:val="372FF358"/>
    <w:rsid w:val="3737D7C9"/>
    <w:rsid w:val="373F8B8B"/>
    <w:rsid w:val="374ABFB3"/>
    <w:rsid w:val="375165BB"/>
    <w:rsid w:val="375BE90A"/>
    <w:rsid w:val="375E2215"/>
    <w:rsid w:val="376132C2"/>
    <w:rsid w:val="3761E159"/>
    <w:rsid w:val="37783760"/>
    <w:rsid w:val="378D8340"/>
    <w:rsid w:val="37A09B8A"/>
    <w:rsid w:val="37B114B3"/>
    <w:rsid w:val="37B6C750"/>
    <w:rsid w:val="37D86BB1"/>
    <w:rsid w:val="37DF50DA"/>
    <w:rsid w:val="37E7A796"/>
    <w:rsid w:val="37F734F4"/>
    <w:rsid w:val="38285E60"/>
    <w:rsid w:val="383641CF"/>
    <w:rsid w:val="3848CD2A"/>
    <w:rsid w:val="38519FAC"/>
    <w:rsid w:val="385E0739"/>
    <w:rsid w:val="38979C32"/>
    <w:rsid w:val="38A3E0DA"/>
    <w:rsid w:val="38E37A15"/>
    <w:rsid w:val="38E66724"/>
    <w:rsid w:val="39082E87"/>
    <w:rsid w:val="392583B3"/>
    <w:rsid w:val="392DAB2A"/>
    <w:rsid w:val="395A0157"/>
    <w:rsid w:val="3971E088"/>
    <w:rsid w:val="3975A9F1"/>
    <w:rsid w:val="398CC184"/>
    <w:rsid w:val="39932849"/>
    <w:rsid w:val="39B8B694"/>
    <w:rsid w:val="3A06A696"/>
    <w:rsid w:val="3A15F2EA"/>
    <w:rsid w:val="3A214FA5"/>
    <w:rsid w:val="3A2C6D3E"/>
    <w:rsid w:val="3A314C3F"/>
    <w:rsid w:val="3A3510AD"/>
    <w:rsid w:val="3A440C94"/>
    <w:rsid w:val="3A988ABA"/>
    <w:rsid w:val="3A9ABC85"/>
    <w:rsid w:val="3ADDE2A3"/>
    <w:rsid w:val="3AEB4868"/>
    <w:rsid w:val="3AFB5E96"/>
    <w:rsid w:val="3B05ED7C"/>
    <w:rsid w:val="3B1CF38A"/>
    <w:rsid w:val="3B2B9B5C"/>
    <w:rsid w:val="3B2F433B"/>
    <w:rsid w:val="3B46D703"/>
    <w:rsid w:val="3B737765"/>
    <w:rsid w:val="3B7C4778"/>
    <w:rsid w:val="3B95D6B6"/>
    <w:rsid w:val="3BB35D91"/>
    <w:rsid w:val="3BD8987B"/>
    <w:rsid w:val="3BDB650F"/>
    <w:rsid w:val="3BDF7F6D"/>
    <w:rsid w:val="3BE5C31F"/>
    <w:rsid w:val="3BFF610A"/>
    <w:rsid w:val="3C199667"/>
    <w:rsid w:val="3C2EAEBF"/>
    <w:rsid w:val="3C42A085"/>
    <w:rsid w:val="3C4BE408"/>
    <w:rsid w:val="3C6C2D2C"/>
    <w:rsid w:val="3C893596"/>
    <w:rsid w:val="3C963AF0"/>
    <w:rsid w:val="3CA9B469"/>
    <w:rsid w:val="3CAF97DB"/>
    <w:rsid w:val="3CB1D3C5"/>
    <w:rsid w:val="3CBCE323"/>
    <w:rsid w:val="3CD44734"/>
    <w:rsid w:val="3CDC1CDB"/>
    <w:rsid w:val="3D0CA962"/>
    <w:rsid w:val="3D3B3C76"/>
    <w:rsid w:val="3D4AD125"/>
    <w:rsid w:val="3D67B2CB"/>
    <w:rsid w:val="3D956C96"/>
    <w:rsid w:val="3DA0FDDB"/>
    <w:rsid w:val="3DDD0593"/>
    <w:rsid w:val="3DEFE89D"/>
    <w:rsid w:val="3DFD15DD"/>
    <w:rsid w:val="3DFDCC0C"/>
    <w:rsid w:val="3E0E2614"/>
    <w:rsid w:val="3E395132"/>
    <w:rsid w:val="3E7E45F2"/>
    <w:rsid w:val="3E7F066A"/>
    <w:rsid w:val="3E89725E"/>
    <w:rsid w:val="3E951BA4"/>
    <w:rsid w:val="3E9D2FB4"/>
    <w:rsid w:val="3EAF308D"/>
    <w:rsid w:val="3EBAFBBF"/>
    <w:rsid w:val="3EBF9D94"/>
    <w:rsid w:val="3EDBB2AD"/>
    <w:rsid w:val="3EE79895"/>
    <w:rsid w:val="3EEE4B45"/>
    <w:rsid w:val="3EF62D72"/>
    <w:rsid w:val="3EFA257A"/>
    <w:rsid w:val="3F027292"/>
    <w:rsid w:val="3F14B611"/>
    <w:rsid w:val="3F218C3E"/>
    <w:rsid w:val="3F400AD0"/>
    <w:rsid w:val="3F498675"/>
    <w:rsid w:val="3F4CDF33"/>
    <w:rsid w:val="3F4EF7BA"/>
    <w:rsid w:val="3F5444CA"/>
    <w:rsid w:val="3F7FDC04"/>
    <w:rsid w:val="3F809B4B"/>
    <w:rsid w:val="3F881670"/>
    <w:rsid w:val="3FA27BA3"/>
    <w:rsid w:val="3FA69FB5"/>
    <w:rsid w:val="3FAE40B8"/>
    <w:rsid w:val="3FB2062C"/>
    <w:rsid w:val="3FE18DD2"/>
    <w:rsid w:val="3FE4B465"/>
    <w:rsid w:val="3FEE2F06"/>
    <w:rsid w:val="3FF59C48"/>
    <w:rsid w:val="4023FC55"/>
    <w:rsid w:val="4044CC20"/>
    <w:rsid w:val="40646919"/>
    <w:rsid w:val="4079F979"/>
    <w:rsid w:val="4091E26B"/>
    <w:rsid w:val="40B58CCC"/>
    <w:rsid w:val="40CC7775"/>
    <w:rsid w:val="40CE276C"/>
    <w:rsid w:val="40D2E30E"/>
    <w:rsid w:val="40F0ABE0"/>
    <w:rsid w:val="4100226A"/>
    <w:rsid w:val="4117D6C2"/>
    <w:rsid w:val="412BF2CF"/>
    <w:rsid w:val="413611A9"/>
    <w:rsid w:val="416C34B5"/>
    <w:rsid w:val="41741F77"/>
    <w:rsid w:val="418C15D8"/>
    <w:rsid w:val="41CE0271"/>
    <w:rsid w:val="41E9B6D8"/>
    <w:rsid w:val="4207F3EF"/>
    <w:rsid w:val="422A501E"/>
    <w:rsid w:val="4231C206"/>
    <w:rsid w:val="425FBBAF"/>
    <w:rsid w:val="4292AE88"/>
    <w:rsid w:val="42B68FC0"/>
    <w:rsid w:val="42C299F7"/>
    <w:rsid w:val="42D4813D"/>
    <w:rsid w:val="42FA8F42"/>
    <w:rsid w:val="4317CCBA"/>
    <w:rsid w:val="4325678B"/>
    <w:rsid w:val="432FE239"/>
    <w:rsid w:val="4343472D"/>
    <w:rsid w:val="435D21E7"/>
    <w:rsid w:val="437BA394"/>
    <w:rsid w:val="43827368"/>
    <w:rsid w:val="4392085C"/>
    <w:rsid w:val="43AD5624"/>
    <w:rsid w:val="43C22EEF"/>
    <w:rsid w:val="43CC6DBE"/>
    <w:rsid w:val="441187B1"/>
    <w:rsid w:val="441DF72E"/>
    <w:rsid w:val="442A65EE"/>
    <w:rsid w:val="4439140C"/>
    <w:rsid w:val="4464824C"/>
    <w:rsid w:val="448929A8"/>
    <w:rsid w:val="448C47BA"/>
    <w:rsid w:val="44BBDBB0"/>
    <w:rsid w:val="44EAC3B1"/>
    <w:rsid w:val="44EC0DF5"/>
    <w:rsid w:val="44F444CE"/>
    <w:rsid w:val="453B03A1"/>
    <w:rsid w:val="455B2729"/>
    <w:rsid w:val="4561B751"/>
    <w:rsid w:val="458FD1A1"/>
    <w:rsid w:val="45983050"/>
    <w:rsid w:val="45989E2E"/>
    <w:rsid w:val="45C501C8"/>
    <w:rsid w:val="45C906B1"/>
    <w:rsid w:val="45E1C926"/>
    <w:rsid w:val="460FA70D"/>
    <w:rsid w:val="4624CA67"/>
    <w:rsid w:val="46298D34"/>
    <w:rsid w:val="4678E2BB"/>
    <w:rsid w:val="4693E356"/>
    <w:rsid w:val="46AB11D6"/>
    <w:rsid w:val="46B57350"/>
    <w:rsid w:val="46B7DAB5"/>
    <w:rsid w:val="46CB6F6F"/>
    <w:rsid w:val="46F6810D"/>
    <w:rsid w:val="46F6CA17"/>
    <w:rsid w:val="47163856"/>
    <w:rsid w:val="472DE2B9"/>
    <w:rsid w:val="472DFB93"/>
    <w:rsid w:val="4737D031"/>
    <w:rsid w:val="474DEDAE"/>
    <w:rsid w:val="474E6AAD"/>
    <w:rsid w:val="4766D666"/>
    <w:rsid w:val="47704CC9"/>
    <w:rsid w:val="4782C661"/>
    <w:rsid w:val="47AF7E6A"/>
    <w:rsid w:val="47B29A88"/>
    <w:rsid w:val="47CF6E5D"/>
    <w:rsid w:val="47F973BC"/>
    <w:rsid w:val="4811F97F"/>
    <w:rsid w:val="4862A93C"/>
    <w:rsid w:val="488E7FEB"/>
    <w:rsid w:val="48B3DA75"/>
    <w:rsid w:val="48C68866"/>
    <w:rsid w:val="48E2C5EB"/>
    <w:rsid w:val="490813AC"/>
    <w:rsid w:val="492B70E0"/>
    <w:rsid w:val="49403A90"/>
    <w:rsid w:val="4942035E"/>
    <w:rsid w:val="4956B626"/>
    <w:rsid w:val="49844618"/>
    <w:rsid w:val="4998BC9D"/>
    <w:rsid w:val="49B9D695"/>
    <w:rsid w:val="49DC3522"/>
    <w:rsid w:val="49E4B092"/>
    <w:rsid w:val="49E6A36B"/>
    <w:rsid w:val="4A11F238"/>
    <w:rsid w:val="4A175E92"/>
    <w:rsid w:val="4A1CF397"/>
    <w:rsid w:val="4A2A2E5C"/>
    <w:rsid w:val="4A2A6907"/>
    <w:rsid w:val="4A5E7325"/>
    <w:rsid w:val="4A8BFD45"/>
    <w:rsid w:val="4A9D5997"/>
    <w:rsid w:val="4AC0A2E8"/>
    <w:rsid w:val="4AEE087E"/>
    <w:rsid w:val="4AFD45A8"/>
    <w:rsid w:val="4AFFA5B9"/>
    <w:rsid w:val="4B02698D"/>
    <w:rsid w:val="4B202F9C"/>
    <w:rsid w:val="4B32A338"/>
    <w:rsid w:val="4B3D1B6F"/>
    <w:rsid w:val="4B748D96"/>
    <w:rsid w:val="4B87EE99"/>
    <w:rsid w:val="4B9722F0"/>
    <w:rsid w:val="4BB6469C"/>
    <w:rsid w:val="4BC68E44"/>
    <w:rsid w:val="4BDD4711"/>
    <w:rsid w:val="4BE18815"/>
    <w:rsid w:val="4BE3C72C"/>
    <w:rsid w:val="4BE73595"/>
    <w:rsid w:val="4BF09DC5"/>
    <w:rsid w:val="4BF16E57"/>
    <w:rsid w:val="4C077ED1"/>
    <w:rsid w:val="4C436481"/>
    <w:rsid w:val="4C572F35"/>
    <w:rsid w:val="4C82043B"/>
    <w:rsid w:val="4C99CB33"/>
    <w:rsid w:val="4CA4613D"/>
    <w:rsid w:val="4D101308"/>
    <w:rsid w:val="4D4ABABD"/>
    <w:rsid w:val="4D5B85C0"/>
    <w:rsid w:val="4D6FA1A2"/>
    <w:rsid w:val="4D7FABF7"/>
    <w:rsid w:val="4D93B47D"/>
    <w:rsid w:val="4DA511D4"/>
    <w:rsid w:val="4DBAEB99"/>
    <w:rsid w:val="4DCBAED4"/>
    <w:rsid w:val="4DCC10CC"/>
    <w:rsid w:val="4DF08776"/>
    <w:rsid w:val="4DF78BF5"/>
    <w:rsid w:val="4E47F79E"/>
    <w:rsid w:val="4E4B2585"/>
    <w:rsid w:val="4E501F7E"/>
    <w:rsid w:val="4E60BA6B"/>
    <w:rsid w:val="4E71E96D"/>
    <w:rsid w:val="4E7B0A99"/>
    <w:rsid w:val="4E872298"/>
    <w:rsid w:val="4E8D798E"/>
    <w:rsid w:val="4E9FE63A"/>
    <w:rsid w:val="4EA84C5D"/>
    <w:rsid w:val="4EC50F01"/>
    <w:rsid w:val="4ED5F71E"/>
    <w:rsid w:val="4F14D46B"/>
    <w:rsid w:val="4F17590B"/>
    <w:rsid w:val="4F35891C"/>
    <w:rsid w:val="4F3A5EAF"/>
    <w:rsid w:val="4F4010C1"/>
    <w:rsid w:val="4F536C27"/>
    <w:rsid w:val="4F6B2628"/>
    <w:rsid w:val="4F7073C2"/>
    <w:rsid w:val="4F842378"/>
    <w:rsid w:val="4F97E9CC"/>
    <w:rsid w:val="4F9E449B"/>
    <w:rsid w:val="4FB5DBBF"/>
    <w:rsid w:val="4FE64C39"/>
    <w:rsid w:val="501531D9"/>
    <w:rsid w:val="502C8CCD"/>
    <w:rsid w:val="502E5241"/>
    <w:rsid w:val="5038F38F"/>
    <w:rsid w:val="5084C86A"/>
    <w:rsid w:val="5097CC63"/>
    <w:rsid w:val="509B64AE"/>
    <w:rsid w:val="50ADAAD3"/>
    <w:rsid w:val="50C1493A"/>
    <w:rsid w:val="50E37031"/>
    <w:rsid w:val="50F1A085"/>
    <w:rsid w:val="5116EC73"/>
    <w:rsid w:val="5121398B"/>
    <w:rsid w:val="5138D9F5"/>
    <w:rsid w:val="51490F54"/>
    <w:rsid w:val="514C1E52"/>
    <w:rsid w:val="515701B4"/>
    <w:rsid w:val="516811F6"/>
    <w:rsid w:val="51715469"/>
    <w:rsid w:val="518C5E36"/>
    <w:rsid w:val="5191EDEB"/>
    <w:rsid w:val="51990BA0"/>
    <w:rsid w:val="51BADA03"/>
    <w:rsid w:val="51DDC5EA"/>
    <w:rsid w:val="51EB1396"/>
    <w:rsid w:val="51ED86DB"/>
    <w:rsid w:val="51EFC730"/>
    <w:rsid w:val="51FD28C3"/>
    <w:rsid w:val="5211BD93"/>
    <w:rsid w:val="5219CF5A"/>
    <w:rsid w:val="52208D55"/>
    <w:rsid w:val="523AECC7"/>
    <w:rsid w:val="52735EF9"/>
    <w:rsid w:val="5284EF55"/>
    <w:rsid w:val="52B12668"/>
    <w:rsid w:val="52CA1FB3"/>
    <w:rsid w:val="531C93DB"/>
    <w:rsid w:val="53493DED"/>
    <w:rsid w:val="534A6322"/>
    <w:rsid w:val="536B24FC"/>
    <w:rsid w:val="537C2BF4"/>
    <w:rsid w:val="537CAED7"/>
    <w:rsid w:val="53867FEC"/>
    <w:rsid w:val="538A81B3"/>
    <w:rsid w:val="539A8E6A"/>
    <w:rsid w:val="53A5811F"/>
    <w:rsid w:val="53B129A3"/>
    <w:rsid w:val="53C5392B"/>
    <w:rsid w:val="53CACC8E"/>
    <w:rsid w:val="53D133AD"/>
    <w:rsid w:val="53D19097"/>
    <w:rsid w:val="53F07A41"/>
    <w:rsid w:val="540A2E75"/>
    <w:rsid w:val="540CF446"/>
    <w:rsid w:val="54516D7D"/>
    <w:rsid w:val="5469E48A"/>
    <w:rsid w:val="548D0D60"/>
    <w:rsid w:val="5493EEA5"/>
    <w:rsid w:val="54A1F7E5"/>
    <w:rsid w:val="54A66118"/>
    <w:rsid w:val="54C62F01"/>
    <w:rsid w:val="54EDDE1B"/>
    <w:rsid w:val="54F145ED"/>
    <w:rsid w:val="55158EE5"/>
    <w:rsid w:val="5515D891"/>
    <w:rsid w:val="554CB4C2"/>
    <w:rsid w:val="55675A70"/>
    <w:rsid w:val="55732A57"/>
    <w:rsid w:val="55BBA8EA"/>
    <w:rsid w:val="55CCF28A"/>
    <w:rsid w:val="55E3D7AB"/>
    <w:rsid w:val="562CF710"/>
    <w:rsid w:val="5638291A"/>
    <w:rsid w:val="565E4764"/>
    <w:rsid w:val="5667A691"/>
    <w:rsid w:val="5668E691"/>
    <w:rsid w:val="5686FAC7"/>
    <w:rsid w:val="56972AAD"/>
    <w:rsid w:val="56B3024A"/>
    <w:rsid w:val="56BC9DA0"/>
    <w:rsid w:val="56FB61BB"/>
    <w:rsid w:val="5701A569"/>
    <w:rsid w:val="5705B499"/>
    <w:rsid w:val="5715AB73"/>
    <w:rsid w:val="57183365"/>
    <w:rsid w:val="571D94C6"/>
    <w:rsid w:val="572099F0"/>
    <w:rsid w:val="5725B5E2"/>
    <w:rsid w:val="573C5CF7"/>
    <w:rsid w:val="5747822D"/>
    <w:rsid w:val="57714C9A"/>
    <w:rsid w:val="577CA84B"/>
    <w:rsid w:val="57AEA96D"/>
    <w:rsid w:val="57AFB452"/>
    <w:rsid w:val="57CFD11A"/>
    <w:rsid w:val="57D98921"/>
    <w:rsid w:val="57EFAA8B"/>
    <w:rsid w:val="584703EA"/>
    <w:rsid w:val="584C1024"/>
    <w:rsid w:val="5856C56F"/>
    <w:rsid w:val="585A58CA"/>
    <w:rsid w:val="5885B747"/>
    <w:rsid w:val="588855B7"/>
    <w:rsid w:val="588FADB7"/>
    <w:rsid w:val="5890E1A3"/>
    <w:rsid w:val="5892F1E9"/>
    <w:rsid w:val="5896525D"/>
    <w:rsid w:val="58A7DFF7"/>
    <w:rsid w:val="58AD4A58"/>
    <w:rsid w:val="58DCE999"/>
    <w:rsid w:val="58DF3ACB"/>
    <w:rsid w:val="58FD8786"/>
    <w:rsid w:val="5914228B"/>
    <w:rsid w:val="5923ED2A"/>
    <w:rsid w:val="5928D7F5"/>
    <w:rsid w:val="597BD1E2"/>
    <w:rsid w:val="59B452D5"/>
    <w:rsid w:val="59BE62F1"/>
    <w:rsid w:val="59C2B6E8"/>
    <w:rsid w:val="59CFE11D"/>
    <w:rsid w:val="59D9966A"/>
    <w:rsid w:val="59E7E085"/>
    <w:rsid w:val="59EB3FBE"/>
    <w:rsid w:val="59F29FB4"/>
    <w:rsid w:val="59F7E096"/>
    <w:rsid w:val="59FAFEA8"/>
    <w:rsid w:val="5A03E84D"/>
    <w:rsid w:val="5A323675"/>
    <w:rsid w:val="5A3AD49E"/>
    <w:rsid w:val="5A459F15"/>
    <w:rsid w:val="5A473A45"/>
    <w:rsid w:val="5A57B37B"/>
    <w:rsid w:val="5A61E7C3"/>
    <w:rsid w:val="5A677447"/>
    <w:rsid w:val="5AE80EC3"/>
    <w:rsid w:val="5AF32442"/>
    <w:rsid w:val="5B05307C"/>
    <w:rsid w:val="5B173DB8"/>
    <w:rsid w:val="5B211F99"/>
    <w:rsid w:val="5B350692"/>
    <w:rsid w:val="5B4764F5"/>
    <w:rsid w:val="5B512200"/>
    <w:rsid w:val="5B573C1B"/>
    <w:rsid w:val="5B7E57FC"/>
    <w:rsid w:val="5B9C7887"/>
    <w:rsid w:val="5BAD0FB0"/>
    <w:rsid w:val="5BAE78C1"/>
    <w:rsid w:val="5BBD8EE5"/>
    <w:rsid w:val="5BC1B294"/>
    <w:rsid w:val="5BEE98B8"/>
    <w:rsid w:val="5BF240C0"/>
    <w:rsid w:val="5BF4ABBF"/>
    <w:rsid w:val="5BFAE3C7"/>
    <w:rsid w:val="5C07E179"/>
    <w:rsid w:val="5C117A4E"/>
    <w:rsid w:val="5C1C3C89"/>
    <w:rsid w:val="5C1FF140"/>
    <w:rsid w:val="5C24F2BF"/>
    <w:rsid w:val="5C2DF89C"/>
    <w:rsid w:val="5C301B3A"/>
    <w:rsid w:val="5C54383F"/>
    <w:rsid w:val="5C60A31D"/>
    <w:rsid w:val="5C665BC7"/>
    <w:rsid w:val="5C6D61D3"/>
    <w:rsid w:val="5C765E34"/>
    <w:rsid w:val="5C86E3F8"/>
    <w:rsid w:val="5C8AFFA0"/>
    <w:rsid w:val="5C9372EE"/>
    <w:rsid w:val="5C9D6011"/>
    <w:rsid w:val="5CA503FE"/>
    <w:rsid w:val="5CA53A97"/>
    <w:rsid w:val="5CBF8BBE"/>
    <w:rsid w:val="5CCB2434"/>
    <w:rsid w:val="5CCEF364"/>
    <w:rsid w:val="5D150693"/>
    <w:rsid w:val="5D20D8C7"/>
    <w:rsid w:val="5D46E7E7"/>
    <w:rsid w:val="5D901144"/>
    <w:rsid w:val="5D9FC4D3"/>
    <w:rsid w:val="5DAD16A8"/>
    <w:rsid w:val="5DB8B1D9"/>
    <w:rsid w:val="5DC0C539"/>
    <w:rsid w:val="5DC8335C"/>
    <w:rsid w:val="5DD3B444"/>
    <w:rsid w:val="5DE12227"/>
    <w:rsid w:val="5DF539CE"/>
    <w:rsid w:val="5E070E01"/>
    <w:rsid w:val="5E58DD92"/>
    <w:rsid w:val="5E7D1B94"/>
    <w:rsid w:val="5E9A1D36"/>
    <w:rsid w:val="5EA82FA3"/>
    <w:rsid w:val="5EB4FCE5"/>
    <w:rsid w:val="5EB56257"/>
    <w:rsid w:val="5EBDDC89"/>
    <w:rsid w:val="5EDFBA88"/>
    <w:rsid w:val="5EEC3F7C"/>
    <w:rsid w:val="5F15233D"/>
    <w:rsid w:val="5F2FDAB5"/>
    <w:rsid w:val="5F502554"/>
    <w:rsid w:val="5F7991AF"/>
    <w:rsid w:val="5F946CE4"/>
    <w:rsid w:val="5F953D79"/>
    <w:rsid w:val="5FB368ED"/>
    <w:rsid w:val="5FCADB31"/>
    <w:rsid w:val="5FD8FCB6"/>
    <w:rsid w:val="5FF43B46"/>
    <w:rsid w:val="60013560"/>
    <w:rsid w:val="6001AA24"/>
    <w:rsid w:val="6024CC1D"/>
    <w:rsid w:val="604F079F"/>
    <w:rsid w:val="6051573B"/>
    <w:rsid w:val="606E88E4"/>
    <w:rsid w:val="60831D10"/>
    <w:rsid w:val="609D78DC"/>
    <w:rsid w:val="609FEEAA"/>
    <w:rsid w:val="60A9EB3F"/>
    <w:rsid w:val="612625AB"/>
    <w:rsid w:val="613BC61B"/>
    <w:rsid w:val="61417BEF"/>
    <w:rsid w:val="615E557A"/>
    <w:rsid w:val="616DAC50"/>
    <w:rsid w:val="61883C8D"/>
    <w:rsid w:val="618D4829"/>
    <w:rsid w:val="6194408C"/>
    <w:rsid w:val="61BA5C03"/>
    <w:rsid w:val="61BD937B"/>
    <w:rsid w:val="61E53AB9"/>
    <w:rsid w:val="61EA6992"/>
    <w:rsid w:val="61F9B4EB"/>
    <w:rsid w:val="6207D202"/>
    <w:rsid w:val="620FE405"/>
    <w:rsid w:val="622A90F6"/>
    <w:rsid w:val="62430051"/>
    <w:rsid w:val="6247FA26"/>
    <w:rsid w:val="624FEBDD"/>
    <w:rsid w:val="6270CEE8"/>
    <w:rsid w:val="62787F92"/>
    <w:rsid w:val="6285CC19"/>
    <w:rsid w:val="62A4751F"/>
    <w:rsid w:val="62C403D3"/>
    <w:rsid w:val="62D90B41"/>
    <w:rsid w:val="63372901"/>
    <w:rsid w:val="634F4134"/>
    <w:rsid w:val="6351A497"/>
    <w:rsid w:val="6385EC6D"/>
    <w:rsid w:val="639B8565"/>
    <w:rsid w:val="63A474CA"/>
    <w:rsid w:val="63A89F84"/>
    <w:rsid w:val="63FD2D76"/>
    <w:rsid w:val="6405B7D1"/>
    <w:rsid w:val="641BEB32"/>
    <w:rsid w:val="642235F7"/>
    <w:rsid w:val="6437CF7F"/>
    <w:rsid w:val="64718823"/>
    <w:rsid w:val="64A1A312"/>
    <w:rsid w:val="64C58C1C"/>
    <w:rsid w:val="64CF1FE8"/>
    <w:rsid w:val="654B0842"/>
    <w:rsid w:val="65545666"/>
    <w:rsid w:val="655B0A23"/>
    <w:rsid w:val="65699663"/>
    <w:rsid w:val="6594621A"/>
    <w:rsid w:val="65B2C0C7"/>
    <w:rsid w:val="65B99F20"/>
    <w:rsid w:val="65C2DAF5"/>
    <w:rsid w:val="65C943DF"/>
    <w:rsid w:val="66119E67"/>
    <w:rsid w:val="662438E1"/>
    <w:rsid w:val="66520B8A"/>
    <w:rsid w:val="665D2A37"/>
    <w:rsid w:val="6665A9C9"/>
    <w:rsid w:val="667A4C88"/>
    <w:rsid w:val="669169CC"/>
    <w:rsid w:val="66B5E07F"/>
    <w:rsid w:val="66CED6B0"/>
    <w:rsid w:val="66FD0B53"/>
    <w:rsid w:val="67094E42"/>
    <w:rsid w:val="67168C14"/>
    <w:rsid w:val="6726B1D3"/>
    <w:rsid w:val="6731FA35"/>
    <w:rsid w:val="673B2601"/>
    <w:rsid w:val="6745C249"/>
    <w:rsid w:val="6783D5DD"/>
    <w:rsid w:val="679C24CA"/>
    <w:rsid w:val="67A90FBF"/>
    <w:rsid w:val="67BFE327"/>
    <w:rsid w:val="67C3394C"/>
    <w:rsid w:val="67C5D55E"/>
    <w:rsid w:val="67FB8FAE"/>
    <w:rsid w:val="67FC49DE"/>
    <w:rsid w:val="6815202B"/>
    <w:rsid w:val="681D87A1"/>
    <w:rsid w:val="68252DDB"/>
    <w:rsid w:val="6839B988"/>
    <w:rsid w:val="6840A5FD"/>
    <w:rsid w:val="68BE9D3E"/>
    <w:rsid w:val="68BF9A44"/>
    <w:rsid w:val="68F0D7BC"/>
    <w:rsid w:val="68F15532"/>
    <w:rsid w:val="68F9A907"/>
    <w:rsid w:val="690E0637"/>
    <w:rsid w:val="691136AE"/>
    <w:rsid w:val="691D2DA9"/>
    <w:rsid w:val="6944DE73"/>
    <w:rsid w:val="69509708"/>
    <w:rsid w:val="69615A4F"/>
    <w:rsid w:val="696D3685"/>
    <w:rsid w:val="69AB8880"/>
    <w:rsid w:val="69D352B1"/>
    <w:rsid w:val="69E27751"/>
    <w:rsid w:val="69E53CBF"/>
    <w:rsid w:val="69ECE59B"/>
    <w:rsid w:val="69F717CE"/>
    <w:rsid w:val="6A49D5EF"/>
    <w:rsid w:val="6A52A35C"/>
    <w:rsid w:val="6A54D273"/>
    <w:rsid w:val="6A885C00"/>
    <w:rsid w:val="6A8C632A"/>
    <w:rsid w:val="6A905359"/>
    <w:rsid w:val="6AAD1658"/>
    <w:rsid w:val="6AC6F916"/>
    <w:rsid w:val="6B20A4EE"/>
    <w:rsid w:val="6B384919"/>
    <w:rsid w:val="6B3BC136"/>
    <w:rsid w:val="6B3CD87E"/>
    <w:rsid w:val="6B3E633B"/>
    <w:rsid w:val="6B7AB42C"/>
    <w:rsid w:val="6B83A40D"/>
    <w:rsid w:val="6B8B53B1"/>
    <w:rsid w:val="6B8D5D6C"/>
    <w:rsid w:val="6B9122C2"/>
    <w:rsid w:val="6B963780"/>
    <w:rsid w:val="6B9C7292"/>
    <w:rsid w:val="6BA1C236"/>
    <w:rsid w:val="6BA81CB7"/>
    <w:rsid w:val="6BAC1508"/>
    <w:rsid w:val="6BADF2D8"/>
    <w:rsid w:val="6BBA2F50"/>
    <w:rsid w:val="6BE45F76"/>
    <w:rsid w:val="6BFBBF66"/>
    <w:rsid w:val="6C0DF430"/>
    <w:rsid w:val="6C1C82AB"/>
    <w:rsid w:val="6C24C860"/>
    <w:rsid w:val="6C32245F"/>
    <w:rsid w:val="6C77D068"/>
    <w:rsid w:val="6C7DA5F0"/>
    <w:rsid w:val="6C932B79"/>
    <w:rsid w:val="6C987935"/>
    <w:rsid w:val="6CA982F3"/>
    <w:rsid w:val="6CCA6ED2"/>
    <w:rsid w:val="6CD002C7"/>
    <w:rsid w:val="6CD3EE8F"/>
    <w:rsid w:val="6CFD86BE"/>
    <w:rsid w:val="6D01C719"/>
    <w:rsid w:val="6D0F3580"/>
    <w:rsid w:val="6D1073BA"/>
    <w:rsid w:val="6D20D77E"/>
    <w:rsid w:val="6D246A3A"/>
    <w:rsid w:val="6D5135E6"/>
    <w:rsid w:val="6D55BDB0"/>
    <w:rsid w:val="6D854FF8"/>
    <w:rsid w:val="6D9F98FB"/>
    <w:rsid w:val="6DCDB3B6"/>
    <w:rsid w:val="6DD5CB32"/>
    <w:rsid w:val="6DE31664"/>
    <w:rsid w:val="6DE6A226"/>
    <w:rsid w:val="6DECE79C"/>
    <w:rsid w:val="6DF9D18F"/>
    <w:rsid w:val="6E0A5002"/>
    <w:rsid w:val="6E1B3337"/>
    <w:rsid w:val="6E296804"/>
    <w:rsid w:val="6E2A9B3B"/>
    <w:rsid w:val="6EA20D51"/>
    <w:rsid w:val="6EABDEC1"/>
    <w:rsid w:val="6EC5C6BA"/>
    <w:rsid w:val="6ED243A6"/>
    <w:rsid w:val="6EDA079B"/>
    <w:rsid w:val="6EE355F0"/>
    <w:rsid w:val="6EE577B6"/>
    <w:rsid w:val="6EED0647"/>
    <w:rsid w:val="6EFE828B"/>
    <w:rsid w:val="6F473759"/>
    <w:rsid w:val="6F7262CA"/>
    <w:rsid w:val="6F7583CE"/>
    <w:rsid w:val="6F7AFE23"/>
    <w:rsid w:val="6F9ECC50"/>
    <w:rsid w:val="6FAF7D36"/>
    <w:rsid w:val="6FB5E1FF"/>
    <w:rsid w:val="6FB733D2"/>
    <w:rsid w:val="70083069"/>
    <w:rsid w:val="7010B644"/>
    <w:rsid w:val="703093A6"/>
    <w:rsid w:val="70329E35"/>
    <w:rsid w:val="703F3F80"/>
    <w:rsid w:val="704E32BE"/>
    <w:rsid w:val="7086EFBB"/>
    <w:rsid w:val="70B8E7C0"/>
    <w:rsid w:val="70BAC073"/>
    <w:rsid w:val="70BC8703"/>
    <w:rsid w:val="710E7F7B"/>
    <w:rsid w:val="71267AE7"/>
    <w:rsid w:val="71557600"/>
    <w:rsid w:val="7182165D"/>
    <w:rsid w:val="71999C87"/>
    <w:rsid w:val="719FBA41"/>
    <w:rsid w:val="71AAC241"/>
    <w:rsid w:val="71C8C349"/>
    <w:rsid w:val="71CB0BB8"/>
    <w:rsid w:val="71D0F4A1"/>
    <w:rsid w:val="7204FE82"/>
    <w:rsid w:val="7205B425"/>
    <w:rsid w:val="721103BA"/>
    <w:rsid w:val="7227BB9F"/>
    <w:rsid w:val="7237ED6B"/>
    <w:rsid w:val="72608BD3"/>
    <w:rsid w:val="72686F08"/>
    <w:rsid w:val="726FE861"/>
    <w:rsid w:val="7284F454"/>
    <w:rsid w:val="72CF9779"/>
    <w:rsid w:val="72DFB9A1"/>
    <w:rsid w:val="72E7D959"/>
    <w:rsid w:val="731DE3B8"/>
    <w:rsid w:val="73259D0C"/>
    <w:rsid w:val="73350841"/>
    <w:rsid w:val="73372692"/>
    <w:rsid w:val="73467239"/>
    <w:rsid w:val="73566BD5"/>
    <w:rsid w:val="735FA8A8"/>
    <w:rsid w:val="73B79B7D"/>
    <w:rsid w:val="7410624A"/>
    <w:rsid w:val="741F9B35"/>
    <w:rsid w:val="742F252A"/>
    <w:rsid w:val="74357F0D"/>
    <w:rsid w:val="747EDA46"/>
    <w:rsid w:val="748A6AF3"/>
    <w:rsid w:val="748FC4C9"/>
    <w:rsid w:val="749042F7"/>
    <w:rsid w:val="74BA8CA4"/>
    <w:rsid w:val="74FB6046"/>
    <w:rsid w:val="7500FDCD"/>
    <w:rsid w:val="75070050"/>
    <w:rsid w:val="751691E0"/>
    <w:rsid w:val="751B1CDC"/>
    <w:rsid w:val="7548984C"/>
    <w:rsid w:val="757C7D9F"/>
    <w:rsid w:val="75E223AD"/>
    <w:rsid w:val="760C018B"/>
    <w:rsid w:val="76353E8D"/>
    <w:rsid w:val="763D953A"/>
    <w:rsid w:val="76465696"/>
    <w:rsid w:val="766FE3E5"/>
    <w:rsid w:val="769DA118"/>
    <w:rsid w:val="76A31656"/>
    <w:rsid w:val="76B0A7DC"/>
    <w:rsid w:val="76E062A7"/>
    <w:rsid w:val="76E3A1E5"/>
    <w:rsid w:val="76E810EC"/>
    <w:rsid w:val="76ED58B2"/>
    <w:rsid w:val="76F02DEC"/>
    <w:rsid w:val="770073E1"/>
    <w:rsid w:val="770FE2F9"/>
    <w:rsid w:val="773C3BC7"/>
    <w:rsid w:val="773D6AB7"/>
    <w:rsid w:val="773F0789"/>
    <w:rsid w:val="7744A995"/>
    <w:rsid w:val="7748E79F"/>
    <w:rsid w:val="77524F2E"/>
    <w:rsid w:val="775949F2"/>
    <w:rsid w:val="7766108E"/>
    <w:rsid w:val="77711D54"/>
    <w:rsid w:val="7780A1BB"/>
    <w:rsid w:val="77A49904"/>
    <w:rsid w:val="77D86218"/>
    <w:rsid w:val="77EE4E1B"/>
    <w:rsid w:val="77EECA65"/>
    <w:rsid w:val="77F4A564"/>
    <w:rsid w:val="77F85484"/>
    <w:rsid w:val="77FD0C4C"/>
    <w:rsid w:val="7807BEB3"/>
    <w:rsid w:val="78132A0D"/>
    <w:rsid w:val="782AB76A"/>
    <w:rsid w:val="783816B9"/>
    <w:rsid w:val="7848BB13"/>
    <w:rsid w:val="7850CD73"/>
    <w:rsid w:val="7859393D"/>
    <w:rsid w:val="787BA853"/>
    <w:rsid w:val="78A35E9C"/>
    <w:rsid w:val="78B13312"/>
    <w:rsid w:val="78D3EB7F"/>
    <w:rsid w:val="790DF5AD"/>
    <w:rsid w:val="793D3DC2"/>
    <w:rsid w:val="794B0954"/>
    <w:rsid w:val="795544BE"/>
    <w:rsid w:val="79775A42"/>
    <w:rsid w:val="799194B0"/>
    <w:rsid w:val="79A838D9"/>
    <w:rsid w:val="79AE3031"/>
    <w:rsid w:val="79BE7E5E"/>
    <w:rsid w:val="79C2F677"/>
    <w:rsid w:val="79EE7615"/>
    <w:rsid w:val="79FF8D91"/>
    <w:rsid w:val="7A01A34B"/>
    <w:rsid w:val="7A07761C"/>
    <w:rsid w:val="7A2420FF"/>
    <w:rsid w:val="7A3BADBF"/>
    <w:rsid w:val="7A6321B0"/>
    <w:rsid w:val="7A7E10FF"/>
    <w:rsid w:val="7A94BEFC"/>
    <w:rsid w:val="7A95F8B8"/>
    <w:rsid w:val="7A9AFE68"/>
    <w:rsid w:val="7AA2941F"/>
    <w:rsid w:val="7AC8930B"/>
    <w:rsid w:val="7AC9DBDA"/>
    <w:rsid w:val="7ADB2446"/>
    <w:rsid w:val="7ADBA046"/>
    <w:rsid w:val="7AEC35E7"/>
    <w:rsid w:val="7AF26B27"/>
    <w:rsid w:val="7AF77983"/>
    <w:rsid w:val="7B01FA4C"/>
    <w:rsid w:val="7B13C21B"/>
    <w:rsid w:val="7B4F2BDF"/>
    <w:rsid w:val="7B8E1077"/>
    <w:rsid w:val="7BB91910"/>
    <w:rsid w:val="7BC0C235"/>
    <w:rsid w:val="7BC63324"/>
    <w:rsid w:val="7BC6FA0F"/>
    <w:rsid w:val="7BE65FA1"/>
    <w:rsid w:val="7BEA9591"/>
    <w:rsid w:val="7BEB8326"/>
    <w:rsid w:val="7BF25046"/>
    <w:rsid w:val="7C0E7086"/>
    <w:rsid w:val="7C395AEC"/>
    <w:rsid w:val="7C58B5AF"/>
    <w:rsid w:val="7C6AA011"/>
    <w:rsid w:val="7C99387F"/>
    <w:rsid w:val="7CA166EF"/>
    <w:rsid w:val="7CAB8824"/>
    <w:rsid w:val="7CC03EB7"/>
    <w:rsid w:val="7CC943A1"/>
    <w:rsid w:val="7CD99D0C"/>
    <w:rsid w:val="7CE13A2F"/>
    <w:rsid w:val="7D19E5EB"/>
    <w:rsid w:val="7D32738E"/>
    <w:rsid w:val="7D546981"/>
    <w:rsid w:val="7D552E69"/>
    <w:rsid w:val="7D59B4A9"/>
    <w:rsid w:val="7D5ECFDD"/>
    <w:rsid w:val="7D68AC92"/>
    <w:rsid w:val="7DB70299"/>
    <w:rsid w:val="7DC6C299"/>
    <w:rsid w:val="7DC97C2D"/>
    <w:rsid w:val="7DCC9F29"/>
    <w:rsid w:val="7DD459DE"/>
    <w:rsid w:val="7DD7E60D"/>
    <w:rsid w:val="7DD91BA7"/>
    <w:rsid w:val="7E26C58D"/>
    <w:rsid w:val="7E2BE18C"/>
    <w:rsid w:val="7E2EA836"/>
    <w:rsid w:val="7E31A9AE"/>
    <w:rsid w:val="7E47B391"/>
    <w:rsid w:val="7E7D2A0C"/>
    <w:rsid w:val="7E8B4153"/>
    <w:rsid w:val="7EA1F705"/>
    <w:rsid w:val="7EA655E1"/>
    <w:rsid w:val="7EBD892B"/>
    <w:rsid w:val="7EC53EF6"/>
    <w:rsid w:val="7EDA20F6"/>
    <w:rsid w:val="7EEDAB8F"/>
    <w:rsid w:val="7EFC33D5"/>
    <w:rsid w:val="7EFEE761"/>
    <w:rsid w:val="7F23D0A8"/>
    <w:rsid w:val="7F3BEFA8"/>
    <w:rsid w:val="7F412585"/>
    <w:rsid w:val="7F53C1C0"/>
    <w:rsid w:val="7F7C0CA2"/>
    <w:rsid w:val="7F7C6428"/>
    <w:rsid w:val="7F86D733"/>
    <w:rsid w:val="7FAEC5DC"/>
    <w:rsid w:val="7FBBDAB4"/>
    <w:rsid w:val="7FC7264E"/>
    <w:rsid w:val="7FD263B5"/>
    <w:rsid w:val="7FD87A1E"/>
    <w:rsid w:val="7FF0B90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935409"/>
  <w15:chartTrackingRefBased/>
  <w15:docId w15:val="{7D615CBB-D8AE-4DAB-A0A7-EEF1F726DB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iPriority="0"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iPriority="0"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72FE"/>
  </w:style>
  <w:style w:type="paragraph" w:styleId="Heading1">
    <w:name w:val="heading 1"/>
    <w:basedOn w:val="Normal"/>
    <w:next w:val="Normal"/>
    <w:link w:val="Heading1Char"/>
    <w:qFormat/>
    <w:rsid w:val="00F43A8F"/>
    <w:pPr>
      <w:keepNext/>
      <w:keepLines/>
      <w:spacing w:before="480" w:after="240"/>
      <w:outlineLvl w:val="0"/>
    </w:pPr>
    <w:rPr>
      <w:rFonts w:eastAsiaTheme="majorEastAsia" w:cstheme="majorBidi"/>
      <w:b/>
      <w:color w:val="002B5C" w:themeColor="text2"/>
      <w:sz w:val="52"/>
      <w:szCs w:val="32"/>
    </w:rPr>
  </w:style>
  <w:style w:type="paragraph" w:styleId="Heading2">
    <w:name w:val="heading 2"/>
    <w:basedOn w:val="Heading1"/>
    <w:next w:val="Normal"/>
    <w:link w:val="Heading2Char"/>
    <w:unhideWhenUsed/>
    <w:qFormat/>
    <w:rsid w:val="00F43A8F"/>
    <w:pPr>
      <w:spacing w:before="280"/>
      <w:outlineLvl w:val="1"/>
    </w:pPr>
    <w:rPr>
      <w:color w:val="00B1B0"/>
      <w:sz w:val="36"/>
      <w:szCs w:val="26"/>
    </w:rPr>
  </w:style>
  <w:style w:type="paragraph" w:styleId="Heading3">
    <w:name w:val="heading 3"/>
    <w:basedOn w:val="Normal"/>
    <w:next w:val="Normal"/>
    <w:link w:val="Heading3Char"/>
    <w:unhideWhenUsed/>
    <w:qFormat/>
    <w:rsid w:val="000910B9"/>
    <w:pPr>
      <w:keepNext/>
      <w:keepLines/>
      <w:spacing w:before="280" w:after="240"/>
      <w:outlineLvl w:val="2"/>
    </w:pPr>
    <w:rPr>
      <w:rFonts w:eastAsiaTheme="majorEastAsia" w:cstheme="majorBidi"/>
      <w:b/>
      <w:color w:val="002B5C" w:themeColor="text2"/>
      <w:sz w:val="32"/>
      <w:szCs w:val="24"/>
    </w:rPr>
  </w:style>
  <w:style w:type="paragraph" w:styleId="Heading4">
    <w:name w:val="heading 4"/>
    <w:basedOn w:val="Normal"/>
    <w:next w:val="Normal"/>
    <w:link w:val="Heading4Char"/>
    <w:unhideWhenUsed/>
    <w:qFormat/>
    <w:rsid w:val="000910B9"/>
    <w:pPr>
      <w:keepNext/>
      <w:keepLines/>
      <w:spacing w:before="160" w:after="120"/>
      <w:outlineLvl w:val="3"/>
    </w:pPr>
    <w:rPr>
      <w:rFonts w:eastAsiaTheme="majorEastAsia" w:cstheme="majorBidi"/>
      <w:b/>
      <w:iCs/>
      <w:color w:val="00B1B0" w:themeColor="accent1"/>
      <w:sz w:val="26"/>
    </w:rPr>
  </w:style>
  <w:style w:type="paragraph" w:styleId="Heading5">
    <w:name w:val="heading 5"/>
    <w:basedOn w:val="Normal"/>
    <w:next w:val="Normal"/>
    <w:link w:val="Heading5Char"/>
    <w:unhideWhenUsed/>
    <w:qFormat/>
    <w:rsid w:val="00EE5D2C"/>
    <w:pPr>
      <w:keepNext/>
      <w:keepLines/>
      <w:spacing w:before="40" w:after="0"/>
      <w:outlineLvl w:val="4"/>
    </w:pPr>
    <w:rPr>
      <w:rFonts w:eastAsiaTheme="majorEastAsia" w:cstheme="majorBidi"/>
      <w:color w:val="002B5C"/>
    </w:rPr>
  </w:style>
  <w:style w:type="paragraph" w:styleId="Heading6">
    <w:name w:val="heading 6"/>
    <w:basedOn w:val="Normal"/>
    <w:next w:val="Normal"/>
    <w:link w:val="Heading6Char"/>
    <w:unhideWhenUsed/>
    <w:qFormat/>
    <w:rsid w:val="00EE5D2C"/>
    <w:pPr>
      <w:keepNext/>
      <w:keepLines/>
      <w:spacing w:before="40" w:after="0"/>
      <w:outlineLvl w:val="5"/>
    </w:pPr>
    <w:rPr>
      <w:rFonts w:eastAsiaTheme="majorEastAsia" w:cstheme="majorBidi"/>
      <w:color w:val="005857" w:themeColor="accent1" w:themeShade="7F"/>
    </w:rPr>
  </w:style>
  <w:style w:type="paragraph" w:styleId="Heading7">
    <w:name w:val="heading 7"/>
    <w:basedOn w:val="Normal"/>
    <w:next w:val="Normal"/>
    <w:link w:val="Heading7Char"/>
    <w:qFormat/>
    <w:rsid w:val="00C53429"/>
    <w:pPr>
      <w:framePr w:wrap="around" w:hAnchor="text"/>
      <w:tabs>
        <w:tab w:val="num" w:pos="1296"/>
      </w:tabs>
      <w:snapToGrid w:val="0"/>
      <w:spacing w:before="240" w:after="0" w:line="240" w:lineRule="auto"/>
      <w:ind w:left="1296" w:hanging="1296"/>
      <w:jc w:val="both"/>
      <w:outlineLvl w:val="6"/>
    </w:pPr>
    <w:rPr>
      <w:rFonts w:ascii="Calibri" w:eastAsia="Times New Roman" w:hAnsi="Calibri" w:cs="Calibri"/>
      <w:bCs/>
      <w:i/>
      <w:iCs/>
      <w:color w:val="808080" w:themeColor="background1" w:themeShade="80"/>
      <w:sz w:val="20"/>
      <w:szCs w:val="20"/>
      <w:lang w:eastAsia="en-GB"/>
    </w:rPr>
  </w:style>
  <w:style w:type="paragraph" w:styleId="Heading8">
    <w:name w:val="heading 8"/>
    <w:basedOn w:val="Normal"/>
    <w:next w:val="Normal"/>
    <w:link w:val="Heading8Char"/>
    <w:qFormat/>
    <w:rsid w:val="00C53429"/>
    <w:pPr>
      <w:framePr w:wrap="around" w:hAnchor="text"/>
      <w:tabs>
        <w:tab w:val="num" w:pos="1440"/>
      </w:tabs>
      <w:snapToGrid w:val="0"/>
      <w:spacing w:before="240" w:after="0" w:line="240" w:lineRule="auto"/>
      <w:ind w:left="1440" w:hanging="1440"/>
      <w:jc w:val="both"/>
      <w:outlineLvl w:val="7"/>
    </w:pPr>
    <w:rPr>
      <w:rFonts w:ascii="Calibri" w:eastAsia="Times New Roman" w:hAnsi="Calibri" w:cs="Calibri"/>
      <w:bCs/>
      <w:color w:val="808080" w:themeColor="background1" w:themeShade="80"/>
      <w:sz w:val="20"/>
      <w:szCs w:val="20"/>
      <w:lang w:eastAsia="en-GB"/>
    </w:rPr>
  </w:style>
  <w:style w:type="paragraph" w:styleId="Heading9">
    <w:name w:val="heading 9"/>
    <w:basedOn w:val="Normal"/>
    <w:next w:val="Normal"/>
    <w:link w:val="Heading9Char"/>
    <w:qFormat/>
    <w:rsid w:val="00C53429"/>
    <w:pPr>
      <w:framePr w:wrap="around" w:hAnchor="text"/>
      <w:tabs>
        <w:tab w:val="num" w:pos="1584"/>
      </w:tabs>
      <w:snapToGrid w:val="0"/>
      <w:spacing w:before="240" w:after="0" w:line="240" w:lineRule="auto"/>
      <w:ind w:left="1584" w:hanging="1584"/>
      <w:jc w:val="both"/>
      <w:outlineLvl w:val="8"/>
    </w:pPr>
    <w:rPr>
      <w:rFonts w:eastAsia="Times New Roman" w:cs="Calibri"/>
      <w:bCs/>
      <w:i/>
      <w:iCs/>
      <w:color w:val="808080" w:themeColor="background1" w:themeShade="8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B27080"/>
    <w:pPr>
      <w:tabs>
        <w:tab w:val="center" w:pos="4513"/>
        <w:tab w:val="right" w:pos="9026"/>
      </w:tabs>
      <w:spacing w:after="0" w:line="240" w:lineRule="auto"/>
    </w:pPr>
  </w:style>
  <w:style w:type="character" w:customStyle="1" w:styleId="HeaderChar">
    <w:name w:val="Header Char"/>
    <w:basedOn w:val="DefaultParagraphFont"/>
    <w:link w:val="Header"/>
    <w:uiPriority w:val="99"/>
    <w:rsid w:val="00B27080"/>
  </w:style>
  <w:style w:type="paragraph" w:styleId="Footer">
    <w:name w:val="footer"/>
    <w:basedOn w:val="Normal"/>
    <w:link w:val="FooterChar"/>
    <w:unhideWhenUsed/>
    <w:rsid w:val="009B44FA"/>
    <w:pPr>
      <w:tabs>
        <w:tab w:val="center" w:pos="4513"/>
        <w:tab w:val="right" w:pos="9026"/>
      </w:tabs>
      <w:spacing w:after="0" w:line="240" w:lineRule="auto"/>
    </w:pPr>
    <w:rPr>
      <w:b/>
      <w:sz w:val="24"/>
    </w:rPr>
  </w:style>
  <w:style w:type="character" w:customStyle="1" w:styleId="FooterChar">
    <w:name w:val="Footer Char"/>
    <w:basedOn w:val="DefaultParagraphFont"/>
    <w:link w:val="Footer"/>
    <w:rsid w:val="009B44FA"/>
    <w:rPr>
      <w:b/>
      <w:sz w:val="24"/>
    </w:rPr>
  </w:style>
  <w:style w:type="character" w:customStyle="1" w:styleId="Heading1Char">
    <w:name w:val="Heading 1 Char"/>
    <w:basedOn w:val="DefaultParagraphFont"/>
    <w:link w:val="Heading1"/>
    <w:uiPriority w:val="9"/>
    <w:rsid w:val="00F43A8F"/>
    <w:rPr>
      <w:rFonts w:eastAsiaTheme="majorEastAsia" w:cstheme="majorBidi"/>
      <w:b/>
      <w:color w:val="002B5C" w:themeColor="text2"/>
      <w:sz w:val="52"/>
      <w:szCs w:val="32"/>
    </w:rPr>
  </w:style>
  <w:style w:type="paragraph" w:styleId="NoSpacing">
    <w:name w:val="No Spacing"/>
    <w:link w:val="NoSpacingChar"/>
    <w:uiPriority w:val="1"/>
    <w:qFormat/>
    <w:rsid w:val="00F016B4"/>
    <w:pPr>
      <w:spacing w:after="0" w:line="240" w:lineRule="auto"/>
    </w:pPr>
  </w:style>
  <w:style w:type="paragraph" w:styleId="Title">
    <w:name w:val="Title"/>
    <w:basedOn w:val="Normal"/>
    <w:next w:val="Normal"/>
    <w:link w:val="TitleChar"/>
    <w:qFormat/>
    <w:rsid w:val="00EE5D2C"/>
    <w:pPr>
      <w:spacing w:after="0" w:line="240" w:lineRule="auto"/>
      <w:contextualSpacing/>
    </w:pPr>
    <w:rPr>
      <w:rFonts w:eastAsiaTheme="majorEastAsia" w:cstheme="majorBidi"/>
      <w:color w:val="002B5C"/>
      <w:spacing w:val="-10"/>
      <w:kern w:val="28"/>
      <w:sz w:val="56"/>
      <w:szCs w:val="56"/>
    </w:rPr>
  </w:style>
  <w:style w:type="character" w:customStyle="1" w:styleId="TitleChar">
    <w:name w:val="Title Char"/>
    <w:basedOn w:val="DefaultParagraphFont"/>
    <w:link w:val="Title"/>
    <w:rsid w:val="00EE5D2C"/>
    <w:rPr>
      <w:rFonts w:ascii="Arial" w:eastAsiaTheme="majorEastAsia" w:hAnsi="Arial" w:cstheme="majorBidi"/>
      <w:color w:val="002B5C"/>
      <w:spacing w:val="-10"/>
      <w:kern w:val="28"/>
      <w:sz w:val="56"/>
      <w:szCs w:val="56"/>
    </w:rPr>
  </w:style>
  <w:style w:type="character" w:styleId="Hyperlink">
    <w:name w:val="Hyperlink"/>
    <w:basedOn w:val="DefaultParagraphFont"/>
    <w:uiPriority w:val="99"/>
    <w:unhideWhenUsed/>
    <w:rsid w:val="00EE5D2C"/>
    <w:rPr>
      <w:rFonts w:ascii="Arial" w:hAnsi="Arial"/>
      <w:color w:val="00B1B0"/>
      <w:sz w:val="22"/>
      <w:u w:val="single"/>
    </w:rPr>
  </w:style>
  <w:style w:type="paragraph" w:styleId="TOC1">
    <w:name w:val="toc 1"/>
    <w:basedOn w:val="Normal"/>
    <w:next w:val="Normal"/>
    <w:autoRedefine/>
    <w:uiPriority w:val="39"/>
    <w:unhideWhenUsed/>
    <w:qFormat/>
    <w:rsid w:val="00AA40B8"/>
    <w:pPr>
      <w:tabs>
        <w:tab w:val="left" w:pos="660"/>
        <w:tab w:val="right" w:leader="dot" w:pos="9628"/>
      </w:tabs>
      <w:spacing w:before="120" w:after="120" w:line="240" w:lineRule="auto"/>
    </w:pPr>
    <w:rPr>
      <w:color w:val="00B1B0"/>
      <w:sz w:val="30"/>
    </w:rPr>
  </w:style>
  <w:style w:type="paragraph" w:styleId="TOCHeading">
    <w:name w:val="TOC Heading"/>
    <w:basedOn w:val="Heading1"/>
    <w:next w:val="Normal"/>
    <w:uiPriority w:val="39"/>
    <w:unhideWhenUsed/>
    <w:qFormat/>
    <w:rsid w:val="001B1E0F"/>
    <w:pPr>
      <w:spacing w:line="360" w:lineRule="auto"/>
      <w:outlineLvl w:val="9"/>
    </w:pPr>
    <w:rPr>
      <w:b w:val="0"/>
      <w:sz w:val="56"/>
      <w:lang w:val="en-US"/>
    </w:rPr>
  </w:style>
  <w:style w:type="character" w:customStyle="1" w:styleId="Heading2Char">
    <w:name w:val="Heading 2 Char"/>
    <w:basedOn w:val="DefaultParagraphFont"/>
    <w:link w:val="Heading2"/>
    <w:uiPriority w:val="9"/>
    <w:rsid w:val="00F43A8F"/>
    <w:rPr>
      <w:rFonts w:eastAsiaTheme="majorEastAsia" w:cstheme="majorBidi"/>
      <w:b/>
      <w:color w:val="00B1B0"/>
      <w:sz w:val="36"/>
      <w:szCs w:val="26"/>
    </w:rPr>
  </w:style>
  <w:style w:type="paragraph" w:styleId="TOC2">
    <w:name w:val="toc 2"/>
    <w:basedOn w:val="Normal"/>
    <w:next w:val="Normal"/>
    <w:autoRedefine/>
    <w:uiPriority w:val="39"/>
    <w:unhideWhenUsed/>
    <w:qFormat/>
    <w:rsid w:val="00761E32"/>
    <w:pPr>
      <w:tabs>
        <w:tab w:val="right" w:leader="dot" w:pos="9628"/>
      </w:tabs>
      <w:spacing w:after="100" w:line="360" w:lineRule="auto"/>
      <w:ind w:left="220"/>
    </w:pPr>
    <w:rPr>
      <w:color w:val="002B5C"/>
      <w:sz w:val="26"/>
    </w:rPr>
  </w:style>
  <w:style w:type="paragraph" w:styleId="TOC3">
    <w:name w:val="toc 3"/>
    <w:basedOn w:val="Normal"/>
    <w:next w:val="Normal"/>
    <w:autoRedefine/>
    <w:uiPriority w:val="39"/>
    <w:unhideWhenUsed/>
    <w:qFormat/>
    <w:rsid w:val="009A26E3"/>
    <w:pPr>
      <w:spacing w:after="100" w:line="360" w:lineRule="auto"/>
      <w:ind w:left="440"/>
    </w:pPr>
    <w:rPr>
      <w:color w:val="002B5C"/>
    </w:rPr>
  </w:style>
  <w:style w:type="character" w:customStyle="1" w:styleId="Heading3Char">
    <w:name w:val="Heading 3 Char"/>
    <w:basedOn w:val="DefaultParagraphFont"/>
    <w:link w:val="Heading3"/>
    <w:uiPriority w:val="9"/>
    <w:rsid w:val="000910B9"/>
    <w:rPr>
      <w:rFonts w:eastAsiaTheme="majorEastAsia" w:cstheme="majorBidi"/>
      <w:b/>
      <w:color w:val="002B5C" w:themeColor="text2"/>
      <w:sz w:val="32"/>
      <w:szCs w:val="24"/>
    </w:rPr>
  </w:style>
  <w:style w:type="character" w:customStyle="1" w:styleId="Heading4Char">
    <w:name w:val="Heading 4 Char"/>
    <w:basedOn w:val="DefaultParagraphFont"/>
    <w:link w:val="Heading4"/>
    <w:uiPriority w:val="9"/>
    <w:rsid w:val="000910B9"/>
    <w:rPr>
      <w:rFonts w:eastAsiaTheme="majorEastAsia" w:cstheme="majorBidi"/>
      <w:b/>
      <w:iCs/>
      <w:color w:val="00B1B0" w:themeColor="accent1"/>
      <w:sz w:val="26"/>
    </w:rPr>
  </w:style>
  <w:style w:type="character" w:customStyle="1" w:styleId="Heading5Char">
    <w:name w:val="Heading 5 Char"/>
    <w:basedOn w:val="DefaultParagraphFont"/>
    <w:link w:val="Heading5"/>
    <w:uiPriority w:val="9"/>
    <w:rsid w:val="00EE5D2C"/>
    <w:rPr>
      <w:rFonts w:ascii="Arial" w:eastAsiaTheme="majorEastAsia" w:hAnsi="Arial" w:cstheme="majorBidi"/>
      <w:color w:val="002B5C"/>
    </w:rPr>
  </w:style>
  <w:style w:type="paragraph" w:styleId="Subtitle">
    <w:name w:val="Subtitle"/>
    <w:basedOn w:val="Normal"/>
    <w:next w:val="Normal"/>
    <w:link w:val="SubtitleChar"/>
    <w:uiPriority w:val="11"/>
    <w:qFormat/>
    <w:rsid w:val="00EE5D2C"/>
    <w:pPr>
      <w:numPr>
        <w:ilvl w:val="1"/>
      </w:numPr>
    </w:pPr>
    <w:rPr>
      <w:rFonts w:eastAsiaTheme="minorEastAsia"/>
      <w:color w:val="002B5C"/>
      <w:spacing w:val="15"/>
    </w:rPr>
  </w:style>
  <w:style w:type="character" w:customStyle="1" w:styleId="SubtitleChar">
    <w:name w:val="Subtitle Char"/>
    <w:basedOn w:val="DefaultParagraphFont"/>
    <w:link w:val="Subtitle"/>
    <w:uiPriority w:val="11"/>
    <w:rsid w:val="00EE5D2C"/>
    <w:rPr>
      <w:rFonts w:ascii="Arial" w:eastAsiaTheme="minorEastAsia" w:hAnsi="Arial"/>
      <w:color w:val="002B5C"/>
      <w:spacing w:val="15"/>
    </w:rPr>
  </w:style>
  <w:style w:type="character" w:styleId="SubtleEmphasis">
    <w:name w:val="Subtle Emphasis"/>
    <w:basedOn w:val="DefaultParagraphFont"/>
    <w:uiPriority w:val="19"/>
    <w:qFormat/>
    <w:rsid w:val="00EE5D2C"/>
    <w:rPr>
      <w:rFonts w:ascii="Arial" w:hAnsi="Arial"/>
      <w:i/>
      <w:iCs/>
      <w:color w:val="404040" w:themeColor="text1" w:themeTint="BF"/>
      <w:sz w:val="22"/>
    </w:rPr>
  </w:style>
  <w:style w:type="character" w:customStyle="1" w:styleId="Heading6Char">
    <w:name w:val="Heading 6 Char"/>
    <w:basedOn w:val="DefaultParagraphFont"/>
    <w:link w:val="Heading6"/>
    <w:uiPriority w:val="9"/>
    <w:semiHidden/>
    <w:rsid w:val="00EE5D2C"/>
    <w:rPr>
      <w:rFonts w:ascii="Arial" w:eastAsiaTheme="majorEastAsia" w:hAnsi="Arial" w:cstheme="majorBidi"/>
      <w:color w:val="005857" w:themeColor="accent1" w:themeShade="7F"/>
    </w:rPr>
  </w:style>
  <w:style w:type="character" w:styleId="Emphasis">
    <w:name w:val="Emphasis"/>
    <w:basedOn w:val="DefaultParagraphFont"/>
    <w:uiPriority w:val="20"/>
    <w:qFormat/>
    <w:rsid w:val="00A7444D"/>
    <w:rPr>
      <w:rFonts w:ascii="Arial" w:hAnsi="Arial"/>
      <w:b/>
      <w:i/>
      <w:iCs/>
    </w:rPr>
  </w:style>
  <w:style w:type="character" w:styleId="IntenseEmphasis">
    <w:name w:val="Intense Emphasis"/>
    <w:basedOn w:val="DefaultParagraphFont"/>
    <w:uiPriority w:val="21"/>
    <w:qFormat/>
    <w:rsid w:val="00A7444D"/>
    <w:rPr>
      <w:rFonts w:ascii="Arial" w:hAnsi="Arial"/>
      <w:i/>
      <w:iCs/>
      <w:color w:val="00B1B0"/>
      <w:sz w:val="22"/>
    </w:rPr>
  </w:style>
  <w:style w:type="character" w:styleId="Strong">
    <w:name w:val="Strong"/>
    <w:basedOn w:val="DefaultParagraphFont"/>
    <w:uiPriority w:val="22"/>
    <w:qFormat/>
    <w:rsid w:val="00A7444D"/>
    <w:rPr>
      <w:rFonts w:ascii="Arial" w:hAnsi="Arial"/>
      <w:b/>
      <w:bCs/>
      <w:sz w:val="22"/>
    </w:rPr>
  </w:style>
  <w:style w:type="paragraph" w:styleId="Quote">
    <w:name w:val="Quote"/>
    <w:basedOn w:val="Normal"/>
    <w:next w:val="Normal"/>
    <w:link w:val="QuoteChar"/>
    <w:uiPriority w:val="29"/>
    <w:qFormat/>
    <w:rsid w:val="00A7444D"/>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A7444D"/>
    <w:rPr>
      <w:rFonts w:ascii="Arial" w:hAnsi="Arial"/>
      <w:i/>
      <w:iCs/>
      <w:color w:val="404040" w:themeColor="text1" w:themeTint="BF"/>
    </w:rPr>
  </w:style>
  <w:style w:type="paragraph" w:styleId="IntenseQuote">
    <w:name w:val="Intense Quote"/>
    <w:basedOn w:val="Normal"/>
    <w:next w:val="Normal"/>
    <w:link w:val="IntenseQuoteChar"/>
    <w:uiPriority w:val="30"/>
    <w:qFormat/>
    <w:rsid w:val="00A7444D"/>
    <w:pPr>
      <w:pBdr>
        <w:top w:val="single" w:sz="4" w:space="10" w:color="00B1B0" w:themeColor="accent1"/>
        <w:bottom w:val="single" w:sz="4" w:space="10" w:color="00B1B0" w:themeColor="accent1"/>
      </w:pBdr>
      <w:spacing w:before="360" w:after="360"/>
      <w:ind w:left="864" w:right="864"/>
      <w:jc w:val="center"/>
    </w:pPr>
    <w:rPr>
      <w:i/>
      <w:iCs/>
      <w:color w:val="00B1B0"/>
    </w:rPr>
  </w:style>
  <w:style w:type="character" w:customStyle="1" w:styleId="IntenseQuoteChar">
    <w:name w:val="Intense Quote Char"/>
    <w:basedOn w:val="DefaultParagraphFont"/>
    <w:link w:val="IntenseQuote"/>
    <w:uiPriority w:val="30"/>
    <w:rsid w:val="00A7444D"/>
    <w:rPr>
      <w:rFonts w:ascii="Arial" w:hAnsi="Arial"/>
      <w:i/>
      <w:iCs/>
      <w:color w:val="00B1B0"/>
    </w:rPr>
  </w:style>
  <w:style w:type="character" w:styleId="IntenseReference">
    <w:name w:val="Intense Reference"/>
    <w:basedOn w:val="DefaultParagraphFont"/>
    <w:uiPriority w:val="32"/>
    <w:qFormat/>
    <w:rsid w:val="00A7444D"/>
    <w:rPr>
      <w:rFonts w:ascii="Arial" w:hAnsi="Arial"/>
      <w:b/>
      <w:bCs/>
      <w:smallCaps/>
      <w:color w:val="00B1B0"/>
      <w:spacing w:val="5"/>
      <w:sz w:val="22"/>
    </w:rPr>
  </w:style>
  <w:style w:type="character" w:styleId="SubtleReference">
    <w:name w:val="Subtle Reference"/>
    <w:basedOn w:val="DefaultParagraphFont"/>
    <w:uiPriority w:val="31"/>
    <w:qFormat/>
    <w:rsid w:val="00A7444D"/>
    <w:rPr>
      <w:rFonts w:ascii="Arial" w:hAnsi="Arial"/>
      <w:smallCaps/>
      <w:color w:val="5A5A5A" w:themeColor="text1" w:themeTint="A5"/>
      <w:sz w:val="22"/>
    </w:rPr>
  </w:style>
  <w:style w:type="paragraph" w:styleId="NormalWeb">
    <w:name w:val="Normal (Web)"/>
    <w:basedOn w:val="Normal"/>
    <w:uiPriority w:val="99"/>
    <w:unhideWhenUsed/>
    <w:rsid w:val="008636D9"/>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SpacingChar">
    <w:name w:val="No Spacing Char"/>
    <w:basedOn w:val="DefaultParagraphFont"/>
    <w:link w:val="NoSpacing"/>
    <w:uiPriority w:val="1"/>
    <w:rsid w:val="00985BDE"/>
    <w:rPr>
      <w:rFonts w:ascii="Arial" w:hAnsi="Arial"/>
    </w:rPr>
  </w:style>
  <w:style w:type="paragraph" w:styleId="ListParagraph">
    <w:name w:val="List Paragraph"/>
    <w:basedOn w:val="Normal"/>
    <w:link w:val="ListParagraphChar"/>
    <w:uiPriority w:val="34"/>
    <w:qFormat/>
    <w:rsid w:val="00576704"/>
    <w:pPr>
      <w:numPr>
        <w:numId w:val="4"/>
      </w:numPr>
      <w:contextualSpacing/>
    </w:pPr>
  </w:style>
  <w:style w:type="paragraph" w:customStyle="1" w:styleId="Bulletpointparagraph">
    <w:name w:val="Bullet point paragraph"/>
    <w:basedOn w:val="ListParagraph"/>
    <w:qFormat/>
    <w:rsid w:val="00223CEB"/>
    <w:pPr>
      <w:numPr>
        <w:numId w:val="2"/>
      </w:numPr>
    </w:pPr>
  </w:style>
  <w:style w:type="character" w:styleId="BookTitle">
    <w:name w:val="Book Title"/>
    <w:basedOn w:val="DefaultParagraphFont"/>
    <w:uiPriority w:val="33"/>
    <w:qFormat/>
    <w:rsid w:val="00B64195"/>
    <w:rPr>
      <w:b/>
      <w:bCs/>
      <w:i/>
      <w:iCs/>
      <w:spacing w:val="5"/>
    </w:rPr>
  </w:style>
  <w:style w:type="table" w:styleId="TableGrid">
    <w:name w:val="Table Grid"/>
    <w:basedOn w:val="TableNormal"/>
    <w:rsid w:val="009D69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dTable4-Accent5">
    <w:name w:val="Grid Table 4 Accent 5"/>
    <w:basedOn w:val="TableNormal"/>
    <w:uiPriority w:val="49"/>
    <w:rsid w:val="009D696D"/>
    <w:pPr>
      <w:spacing w:after="0" w:line="240" w:lineRule="auto"/>
    </w:pPr>
    <w:tblPr>
      <w:tblStyleRowBandSize w:val="1"/>
      <w:tblStyleColBandSize w:val="1"/>
      <w:tblBorders>
        <w:top w:val="single" w:sz="4" w:space="0" w:color="CAE292" w:themeColor="accent5" w:themeTint="99"/>
        <w:left w:val="single" w:sz="4" w:space="0" w:color="CAE292" w:themeColor="accent5" w:themeTint="99"/>
        <w:bottom w:val="single" w:sz="4" w:space="0" w:color="CAE292" w:themeColor="accent5" w:themeTint="99"/>
        <w:right w:val="single" w:sz="4" w:space="0" w:color="CAE292" w:themeColor="accent5" w:themeTint="99"/>
        <w:insideH w:val="single" w:sz="4" w:space="0" w:color="CAE292" w:themeColor="accent5" w:themeTint="99"/>
        <w:insideV w:val="single" w:sz="4" w:space="0" w:color="CAE292" w:themeColor="accent5" w:themeTint="99"/>
      </w:tblBorders>
    </w:tblPr>
    <w:tblStylePr w:type="firstRow">
      <w:rPr>
        <w:b/>
        <w:bCs/>
        <w:color w:val="FFFFFF" w:themeColor="background1"/>
      </w:rPr>
      <w:tblPr/>
      <w:tcPr>
        <w:tcBorders>
          <w:top w:val="single" w:sz="4" w:space="0" w:color="A8D04A" w:themeColor="accent5"/>
          <w:left w:val="single" w:sz="4" w:space="0" w:color="A8D04A" w:themeColor="accent5"/>
          <w:bottom w:val="single" w:sz="4" w:space="0" w:color="A8D04A" w:themeColor="accent5"/>
          <w:right w:val="single" w:sz="4" w:space="0" w:color="A8D04A" w:themeColor="accent5"/>
          <w:insideH w:val="nil"/>
          <w:insideV w:val="nil"/>
        </w:tcBorders>
        <w:shd w:val="clear" w:color="auto" w:fill="A8D04A" w:themeFill="accent5"/>
      </w:tcPr>
    </w:tblStylePr>
    <w:tblStylePr w:type="lastRow">
      <w:rPr>
        <w:b/>
        <w:bCs/>
      </w:rPr>
      <w:tblPr/>
      <w:tcPr>
        <w:tcBorders>
          <w:top w:val="double" w:sz="4" w:space="0" w:color="A8D04A" w:themeColor="accent5"/>
        </w:tcBorders>
      </w:tcPr>
    </w:tblStylePr>
    <w:tblStylePr w:type="firstCol">
      <w:rPr>
        <w:b/>
        <w:bCs/>
      </w:rPr>
    </w:tblStylePr>
    <w:tblStylePr w:type="lastCol">
      <w:rPr>
        <w:b/>
        <w:bCs/>
      </w:rPr>
    </w:tblStylePr>
    <w:tblStylePr w:type="band1Vert">
      <w:tblPr/>
      <w:tcPr>
        <w:shd w:val="clear" w:color="auto" w:fill="EDF5DA" w:themeFill="accent5" w:themeFillTint="33"/>
      </w:tcPr>
    </w:tblStylePr>
    <w:tblStylePr w:type="band1Horz">
      <w:tblPr/>
      <w:tcPr>
        <w:shd w:val="clear" w:color="auto" w:fill="EDF5DA" w:themeFill="accent5" w:themeFillTint="33"/>
      </w:tcPr>
    </w:tblStylePr>
  </w:style>
  <w:style w:type="table" w:customStyle="1" w:styleId="ReportTable-TealRows">
    <w:name w:val="Report Table - Teal + Rows"/>
    <w:basedOn w:val="TableNormal"/>
    <w:uiPriority w:val="99"/>
    <w:rsid w:val="00473188"/>
    <w:pPr>
      <w:spacing w:after="0" w:line="240" w:lineRule="auto"/>
    </w:pPr>
    <w:rPr>
      <w:sz w:val="20"/>
    </w:rPr>
    <w:tblPr>
      <w:tblStyleRowBandSize w:val="1"/>
      <w:tblStyleColBandSize w:val="1"/>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2"/>
      </w:rPr>
      <w:tblPr/>
      <w:tcPr>
        <w:shd w:val="clear" w:color="auto" w:fill="70CBD0" w:themeFill="accent4"/>
        <w:vAlign w:val="center"/>
      </w:tcPr>
    </w:tblStylePr>
    <w:tblStylePr w:type="fir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5F5F5" w:themeFill="background2"/>
      </w:tcPr>
    </w:tblStylePr>
  </w:style>
  <w:style w:type="paragraph" w:customStyle="1" w:styleId="1NumberedHeading">
    <w:name w:val="1. Numbered Heading"/>
    <w:basedOn w:val="Heading1"/>
    <w:rsid w:val="00344AB3"/>
    <w:pPr>
      <w:numPr>
        <w:numId w:val="26"/>
      </w:numPr>
    </w:pPr>
  </w:style>
  <w:style w:type="paragraph" w:customStyle="1" w:styleId="NumberedHeading3">
    <w:name w:val="Numbered Heading 3"/>
    <w:basedOn w:val="Normal"/>
    <w:qFormat/>
    <w:rsid w:val="00344AB3"/>
    <w:pPr>
      <w:keepNext/>
      <w:keepLines/>
      <w:numPr>
        <w:numId w:val="3"/>
      </w:numPr>
      <w:spacing w:before="360" w:after="120"/>
      <w:outlineLvl w:val="0"/>
    </w:pPr>
    <w:rPr>
      <w:rFonts w:eastAsiaTheme="majorEastAsia" w:cstheme="majorBidi"/>
      <w:b/>
      <w:color w:val="002B5C"/>
      <w:sz w:val="28"/>
      <w:szCs w:val="32"/>
    </w:rPr>
  </w:style>
  <w:style w:type="table" w:customStyle="1" w:styleId="ReportTable-Gray">
    <w:name w:val="Report Table - Gray"/>
    <w:basedOn w:val="TableNormal"/>
    <w:uiPriority w:val="99"/>
    <w:rsid w:val="00517DBE"/>
    <w:pPr>
      <w:spacing w:after="0" w:line="240" w:lineRule="auto"/>
    </w:pPr>
    <w:rPr>
      <w:sz w:val="20"/>
    </w:rPr>
    <w:tblPr>
      <w:tblStyleRowBandSize w:val="1"/>
      <w:tblCellMar>
        <w:top w:w="57" w:type="dxa"/>
        <w:bottom w:w="57" w:type="dxa"/>
      </w:tblCellMar>
    </w:tblPr>
    <w:tcPr>
      <w:shd w:val="clear" w:color="auto" w:fill="auto"/>
      <w:vAlign w:val="center"/>
    </w:tcPr>
    <w:tblStylePr w:type="firstRow">
      <w:pPr>
        <w:jc w:val="left"/>
      </w:pPr>
      <w:rPr>
        <w:rFonts w:ascii="Arial" w:hAnsi="Arial"/>
        <w:b/>
        <w:color w:val="FFFFFF" w:themeColor="background1"/>
        <w:sz w:val="22"/>
      </w:rPr>
      <w:tblPr/>
      <w:tcPr>
        <w:shd w:val="clear" w:color="auto" w:fill="404040" w:themeFill="text1" w:themeFillTint="BF"/>
      </w:tcPr>
    </w:tblStylePr>
    <w:tblStylePr w:type="firstCol">
      <w:rPr>
        <w:b w:val="0"/>
        <w:color w:val="auto"/>
      </w:rPr>
    </w:tblStylePr>
    <w:tblStylePr w:type="band1Horz">
      <w:tblPr/>
      <w:tcPr>
        <w:shd w:val="clear" w:color="auto" w:fill="F2F2F2" w:themeFill="background1" w:themeFillShade="F2"/>
      </w:tcPr>
    </w:tblStylePr>
    <w:tblStylePr w:type="band2Horz">
      <w:tblPr/>
      <w:tcPr>
        <w:shd w:val="clear" w:color="auto" w:fill="FFFFFF" w:themeFill="background1"/>
      </w:tcPr>
    </w:tblStylePr>
  </w:style>
  <w:style w:type="table" w:customStyle="1" w:styleId="Tealheader-Grayrows">
    <w:name w:val="Teal header - Gray rows"/>
    <w:basedOn w:val="TableNormal"/>
    <w:uiPriority w:val="99"/>
    <w:rsid w:val="00517DBE"/>
    <w:pPr>
      <w:spacing w:after="0" w:line="240" w:lineRule="auto"/>
    </w:pPr>
    <w:tblPr>
      <w:tblStyleRowBandSize w:val="1"/>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4"/>
      </w:rPr>
      <w:tblPr/>
      <w:tcPr>
        <w:shd w:val="clear" w:color="auto" w:fill="70CBD0" w:themeFill="accent4"/>
        <w:vAlign w:val="center"/>
      </w:tcPr>
    </w:tblStylePr>
    <w:tblStylePr w:type="band1Horz">
      <w:tblPr/>
      <w:tcPr>
        <w:shd w:val="clear" w:color="auto" w:fill="F5F5F5" w:themeFill="background2"/>
      </w:tcPr>
    </w:tblStylePr>
  </w:style>
  <w:style w:type="table" w:customStyle="1" w:styleId="ReportTable-Teal">
    <w:name w:val="Report Table - Teal"/>
    <w:basedOn w:val="TableNormal"/>
    <w:uiPriority w:val="99"/>
    <w:rsid w:val="00517DBE"/>
    <w:pPr>
      <w:spacing w:after="0" w:line="240" w:lineRule="auto"/>
    </w:pPr>
    <w:rPr>
      <w:sz w:val="20"/>
    </w:rPr>
    <w:tblPr>
      <w:tblBorders>
        <w:insideH w:val="single" w:sz="4" w:space="0" w:color="D9D9D9" w:themeColor="background1" w:themeShade="D9"/>
      </w:tblBorders>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2"/>
      </w:rPr>
      <w:tblPr/>
      <w:tcPr>
        <w:shd w:val="clear" w:color="auto" w:fill="70CBD0" w:themeFill="accent4"/>
        <w:vAlign w:val="center"/>
      </w:tcPr>
    </w:tblStylePr>
    <w:tblStylePr w:type="firstCol">
      <w:rPr>
        <w:color w:val="00B1B0" w:themeColor="accent1"/>
      </w:rPr>
    </w:tblStylePr>
  </w:style>
  <w:style w:type="table" w:customStyle="1" w:styleId="ReportTable-TealColumns">
    <w:name w:val="Report Table - Teal + Columns"/>
    <w:basedOn w:val="TableNormal"/>
    <w:uiPriority w:val="99"/>
    <w:rsid w:val="00517DBE"/>
    <w:pPr>
      <w:spacing w:after="0" w:line="240" w:lineRule="auto"/>
    </w:pPr>
    <w:rPr>
      <w:sz w:val="20"/>
    </w:rPr>
    <w:tblPr>
      <w:tblStyleRowBandSize w:val="1"/>
      <w:tblStyleColBandSize w:val="1"/>
      <w:tblBorders>
        <w:insideH w:val="single" w:sz="4" w:space="0" w:color="D9D9D9" w:themeColor="background1" w:themeShade="D9"/>
      </w:tblBorders>
      <w:tblCellMar>
        <w:top w:w="57" w:type="dxa"/>
        <w:bottom w:w="57" w:type="dxa"/>
        <w:right w:w="28" w:type="dxa"/>
      </w:tblCellMar>
    </w:tblPr>
    <w:tcPr>
      <w:shd w:val="clear" w:color="auto" w:fill="auto"/>
      <w:vAlign w:val="center"/>
    </w:tcPr>
    <w:tblStylePr w:type="firstRow">
      <w:rPr>
        <w:b/>
        <w:color w:val="FFFFFF" w:themeColor="background1"/>
        <w:sz w:val="22"/>
      </w:rPr>
      <w:tblPr/>
      <w:tcPr>
        <w:shd w:val="clear" w:color="auto" w:fill="70CBD0" w:themeFill="accent4"/>
      </w:tcPr>
    </w:tblStylePr>
    <w:tblStylePr w:type="firstCol">
      <w:tblPr/>
      <w:tcPr>
        <w:shd w:val="clear" w:color="auto" w:fill="F5F5F5" w:themeFill="background2"/>
      </w:tcPr>
    </w:tblStylePr>
    <w:tblStylePr w:type="band2Vert">
      <w:tblPr/>
      <w:tcPr>
        <w:shd w:val="clear" w:color="auto" w:fill="F5F5F5" w:themeFill="background2"/>
      </w:tcPr>
    </w:tblStylePr>
  </w:style>
  <w:style w:type="table" w:customStyle="1" w:styleId="ReportTable-Navy">
    <w:name w:val="Report Table - Navy"/>
    <w:basedOn w:val="ReportTable-Teal"/>
    <w:uiPriority w:val="99"/>
    <w:rsid w:val="00517DBE"/>
    <w:tblPr/>
    <w:tblStylePr w:type="firstRow">
      <w:pPr>
        <w:jc w:val="left"/>
      </w:pPr>
      <w:rPr>
        <w:rFonts w:ascii="Arial" w:hAnsi="Arial"/>
        <w:b/>
        <w:color w:val="FFFFFF" w:themeColor="background1"/>
        <w:sz w:val="22"/>
      </w:rPr>
      <w:tblPr/>
      <w:tcPr>
        <w:shd w:val="clear" w:color="auto" w:fill="002B5C" w:themeFill="text2"/>
        <w:vAlign w:val="center"/>
      </w:tcPr>
    </w:tblStylePr>
    <w:tblStylePr w:type="firstCol">
      <w:rPr>
        <w:color w:val="00B1B0" w:themeColor="accent1"/>
      </w:rPr>
    </w:tblStylePr>
  </w:style>
  <w:style w:type="table" w:customStyle="1" w:styleId="ReportTable-NavyRows">
    <w:name w:val="Report Table - Navy + Rows"/>
    <w:basedOn w:val="ReportTable-TealRows"/>
    <w:uiPriority w:val="99"/>
    <w:rsid w:val="00517DBE"/>
    <w:tblPr/>
    <w:tblStylePr w:type="firstRow">
      <w:pPr>
        <w:jc w:val="left"/>
      </w:pPr>
      <w:rPr>
        <w:rFonts w:ascii="Arial" w:hAnsi="Arial"/>
        <w:b/>
        <w:color w:val="FFFFFF" w:themeColor="background1"/>
        <w:sz w:val="22"/>
      </w:rPr>
      <w:tblPr/>
      <w:tcPr>
        <w:shd w:val="clear" w:color="auto" w:fill="002B5C" w:themeFill="text2"/>
        <w:vAlign w:val="center"/>
      </w:tcPr>
    </w:tblStylePr>
    <w:tblStylePr w:type="firstCol">
      <w:rPr>
        <w:color w:val="002B5C" w:themeColor="text2"/>
      </w:rPr>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5F5F5" w:themeFill="background2"/>
      </w:tcPr>
    </w:tblStylePr>
  </w:style>
  <w:style w:type="table" w:customStyle="1" w:styleId="ReportTable-NavyColumns">
    <w:name w:val="Report Table - Navy + Columns"/>
    <w:basedOn w:val="ReportTable-TealColumns"/>
    <w:uiPriority w:val="99"/>
    <w:rsid w:val="00517DBE"/>
    <w:tblPr/>
    <w:tcPr>
      <w:shd w:val="clear" w:color="auto" w:fill="auto"/>
    </w:tcPr>
    <w:tblStylePr w:type="firstRow">
      <w:rPr>
        <w:b/>
        <w:color w:val="FFFFFF" w:themeColor="background1"/>
        <w:sz w:val="22"/>
      </w:rPr>
      <w:tblPr/>
      <w:tcPr>
        <w:shd w:val="clear" w:color="auto" w:fill="002B5C" w:themeFill="text2"/>
      </w:tcPr>
    </w:tblStylePr>
    <w:tblStylePr w:type="firstCol">
      <w:tblPr/>
      <w:tcPr>
        <w:shd w:val="clear" w:color="auto" w:fill="F5F5F5" w:themeFill="background2"/>
      </w:tcPr>
    </w:tblStylePr>
    <w:tblStylePr w:type="band2Vert">
      <w:tblPr/>
      <w:tcPr>
        <w:shd w:val="clear" w:color="auto" w:fill="F5F5F5" w:themeFill="background2"/>
      </w:tcPr>
    </w:tblStylePr>
  </w:style>
  <w:style w:type="table" w:customStyle="1" w:styleId="ReportTable-TealBorders">
    <w:name w:val="Report Table - Teal + Borders"/>
    <w:basedOn w:val="ReportTable-Teal"/>
    <w:uiPriority w:val="99"/>
    <w:rsid w:val="00517DBE"/>
    <w:tblP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none" w:sz="0" w:space="0" w:color="auto"/>
        <w:insideV w:val="single" w:sz="4" w:space="0" w:color="D9D9D9" w:themeColor="background1" w:themeShade="D9"/>
      </w:tblBorders>
    </w:tblPr>
    <w:tblStylePr w:type="firstRow">
      <w:pPr>
        <w:jc w:val="left"/>
      </w:pPr>
      <w:rPr>
        <w:rFonts w:ascii="Arial" w:hAnsi="Arial"/>
        <w:b/>
        <w:color w:val="FFFFFF" w:themeColor="background1"/>
        <w:sz w:val="22"/>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70CBD0" w:themeFill="accent4"/>
        <w:vAlign w:val="center"/>
      </w:tcPr>
    </w:tblStylePr>
    <w:tblStylePr w:type="firstCol">
      <w:rPr>
        <w:color w:val="00B1B0" w:themeColor="accent1"/>
      </w:rPr>
    </w:tblStylePr>
  </w:style>
  <w:style w:type="table" w:customStyle="1" w:styleId="ReportTable-NavyBorders">
    <w:name w:val="Report Table - Navy + Borders"/>
    <w:basedOn w:val="ReportTable-TealBorders"/>
    <w:uiPriority w:val="99"/>
    <w:rsid w:val="00517DBE"/>
    <w:tblPr/>
    <w:tblStylePr w:type="firstRow">
      <w:pPr>
        <w:jc w:val="left"/>
      </w:pPr>
      <w:rPr>
        <w:rFonts w:ascii="Arial" w:hAnsi="Arial"/>
        <w:b/>
        <w:color w:val="FFFFFF" w:themeColor="background1"/>
        <w:sz w:val="22"/>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002B5C" w:themeFill="text2"/>
        <w:vAlign w:val="center"/>
      </w:tcPr>
    </w:tblStylePr>
    <w:tblStylePr w:type="firstCol">
      <w:rPr>
        <w:color w:val="00B1B0" w:themeColor="accent1"/>
      </w:rPr>
    </w:tblStylePr>
  </w:style>
  <w:style w:type="character" w:customStyle="1" w:styleId="ListParagraphChar">
    <w:name w:val="List Paragraph Char"/>
    <w:basedOn w:val="DefaultParagraphFont"/>
    <w:link w:val="ListParagraph"/>
    <w:uiPriority w:val="34"/>
    <w:rsid w:val="007B4577"/>
  </w:style>
  <w:style w:type="paragraph" w:customStyle="1" w:styleId="CPTableParagraph">
    <w:name w:val="CP Table Paragraph"/>
    <w:basedOn w:val="Normal"/>
    <w:uiPriority w:val="1"/>
    <w:qFormat/>
    <w:rsid w:val="00F36DE4"/>
    <w:pPr>
      <w:widowControl w:val="0"/>
      <w:spacing w:after="120" w:line="276" w:lineRule="auto"/>
    </w:pPr>
    <w:rPr>
      <w:rFonts w:cs="Arial"/>
      <w:color w:val="353535"/>
      <w:sz w:val="18"/>
      <w:szCs w:val="26"/>
      <w:lang w:val="en-US" w:eastAsia="en-AU"/>
    </w:rPr>
  </w:style>
  <w:style w:type="paragraph" w:customStyle="1" w:styleId="CPTableHeader">
    <w:name w:val="CP Table Header"/>
    <w:basedOn w:val="Normal"/>
    <w:link w:val="CPTableHeaderChar"/>
    <w:qFormat/>
    <w:rsid w:val="00F36DE4"/>
    <w:pPr>
      <w:spacing w:before="120" w:after="120" w:line="360" w:lineRule="auto"/>
    </w:pPr>
    <w:rPr>
      <w:rFonts w:cs="Arial"/>
      <w:b/>
      <w:bCs/>
      <w:color w:val="FFFFFF" w:themeColor="background1"/>
      <w:sz w:val="20"/>
      <w:szCs w:val="26"/>
      <w:lang w:val="en-US" w:eastAsia="en-AU"/>
    </w:rPr>
  </w:style>
  <w:style w:type="character" w:customStyle="1" w:styleId="CPTableHeaderChar">
    <w:name w:val="CP Table Header Char"/>
    <w:basedOn w:val="DefaultParagraphFont"/>
    <w:link w:val="CPTableHeader"/>
    <w:rsid w:val="00F36DE4"/>
    <w:rPr>
      <w:rFonts w:cs="Arial"/>
      <w:b/>
      <w:bCs/>
      <w:color w:val="FFFFFF" w:themeColor="background1"/>
      <w:sz w:val="20"/>
      <w:szCs w:val="26"/>
      <w:lang w:val="en-US" w:eastAsia="en-AU"/>
    </w:rPr>
  </w:style>
  <w:style w:type="table" w:customStyle="1" w:styleId="CPMain">
    <w:name w:val="CP Main"/>
    <w:basedOn w:val="TableNormal"/>
    <w:uiPriority w:val="99"/>
    <w:rsid w:val="00F36DE4"/>
    <w:pPr>
      <w:spacing w:after="0" w:line="240" w:lineRule="auto"/>
    </w:pPr>
    <w:tblPr>
      <w:tblStyleRowBandSize w:val="1"/>
    </w:tblPr>
    <w:tcPr>
      <w:shd w:val="clear" w:color="auto" w:fill="F8F8FA"/>
    </w:tcPr>
    <w:tblStylePr w:type="firstRow">
      <w:rPr>
        <w:rFonts w:ascii="Arial" w:hAnsi="Arial"/>
        <w:b w:val="0"/>
        <w:color w:val="FFFFFF" w:themeColor="background1"/>
        <w:sz w:val="20"/>
      </w:rPr>
      <w:tblPr/>
      <w:tcPr>
        <w:shd w:val="clear" w:color="auto" w:fill="00B1B0"/>
      </w:tcPr>
    </w:tblStylePr>
    <w:tblStylePr w:type="firstCol">
      <w:rPr>
        <w:rFonts w:ascii="Arial" w:hAnsi="Arial"/>
        <w:b/>
        <w:color w:val="FFFFFF" w:themeColor="background1"/>
      </w:rPr>
    </w:tblStylePr>
    <w:tblStylePr w:type="band1Horz">
      <w:tblPr/>
      <w:tcPr>
        <w:shd w:val="clear" w:color="auto" w:fill="F4F4F6"/>
      </w:tcPr>
    </w:tblStylePr>
    <w:tblStylePr w:type="band2Horz">
      <w:tblPr/>
      <w:tcPr>
        <w:shd w:val="clear" w:color="auto" w:fill="FFFFFF" w:themeFill="background1"/>
      </w:tcPr>
    </w:tblStylePr>
  </w:style>
  <w:style w:type="character" w:styleId="CommentReference">
    <w:name w:val="annotation reference"/>
    <w:basedOn w:val="DefaultParagraphFont"/>
    <w:uiPriority w:val="99"/>
    <w:unhideWhenUsed/>
    <w:rsid w:val="00B127C6"/>
    <w:rPr>
      <w:sz w:val="16"/>
      <w:szCs w:val="16"/>
    </w:rPr>
  </w:style>
  <w:style w:type="paragraph" w:styleId="CommentText">
    <w:name w:val="annotation text"/>
    <w:basedOn w:val="Normal"/>
    <w:link w:val="CommentTextChar"/>
    <w:uiPriority w:val="99"/>
    <w:unhideWhenUsed/>
    <w:rsid w:val="00B127C6"/>
    <w:pPr>
      <w:spacing w:line="240" w:lineRule="auto"/>
    </w:pPr>
    <w:rPr>
      <w:sz w:val="20"/>
      <w:szCs w:val="20"/>
    </w:rPr>
  </w:style>
  <w:style w:type="character" w:customStyle="1" w:styleId="CommentTextChar">
    <w:name w:val="Comment Text Char"/>
    <w:basedOn w:val="DefaultParagraphFont"/>
    <w:link w:val="CommentText"/>
    <w:uiPriority w:val="99"/>
    <w:rsid w:val="00B127C6"/>
    <w:rPr>
      <w:sz w:val="20"/>
      <w:szCs w:val="20"/>
    </w:rPr>
  </w:style>
  <w:style w:type="paragraph" w:styleId="CommentSubject">
    <w:name w:val="annotation subject"/>
    <w:basedOn w:val="CommentText"/>
    <w:next w:val="CommentText"/>
    <w:link w:val="CommentSubjectChar"/>
    <w:unhideWhenUsed/>
    <w:rsid w:val="00B127C6"/>
    <w:rPr>
      <w:b/>
      <w:bCs/>
    </w:rPr>
  </w:style>
  <w:style w:type="character" w:customStyle="1" w:styleId="CommentSubjectChar">
    <w:name w:val="Comment Subject Char"/>
    <w:basedOn w:val="CommentTextChar"/>
    <w:link w:val="CommentSubject"/>
    <w:rsid w:val="00B127C6"/>
    <w:rPr>
      <w:b/>
      <w:bCs/>
      <w:sz w:val="20"/>
      <w:szCs w:val="20"/>
    </w:rPr>
  </w:style>
  <w:style w:type="paragraph" w:customStyle="1" w:styleId="CPXXXX">
    <w:name w:val="CP X.X.X.X"/>
    <w:basedOn w:val="Normal"/>
    <w:link w:val="CPXXXXChar"/>
    <w:qFormat/>
    <w:rsid w:val="003151F7"/>
    <w:pPr>
      <w:spacing w:before="240" w:after="200" w:line="360" w:lineRule="auto"/>
    </w:pPr>
    <w:rPr>
      <w:rFonts w:cs="Arial"/>
      <w:b/>
      <w:color w:val="002B5C"/>
      <w:sz w:val="24"/>
      <w:szCs w:val="26"/>
    </w:rPr>
  </w:style>
  <w:style w:type="character" w:customStyle="1" w:styleId="CPXXXXChar">
    <w:name w:val="CP X.X.X.X Char"/>
    <w:basedOn w:val="DefaultParagraphFont"/>
    <w:link w:val="CPXXXX"/>
    <w:rsid w:val="003151F7"/>
    <w:rPr>
      <w:rFonts w:cs="Arial"/>
      <w:b/>
      <w:color w:val="002B5C"/>
      <w:sz w:val="24"/>
      <w:szCs w:val="26"/>
    </w:rPr>
  </w:style>
  <w:style w:type="paragraph" w:styleId="ListNumber">
    <w:name w:val="List Number"/>
    <w:basedOn w:val="Normal"/>
    <w:unhideWhenUsed/>
    <w:rsid w:val="00F35561"/>
    <w:pPr>
      <w:spacing w:before="160" w:line="336" w:lineRule="auto"/>
      <w:ind w:left="567" w:hanging="567"/>
      <w:contextualSpacing/>
    </w:pPr>
    <w:rPr>
      <w:rFonts w:asciiTheme="minorHAnsi" w:hAnsiTheme="minorHAnsi"/>
    </w:rPr>
  </w:style>
  <w:style w:type="table" w:styleId="GridTable5Dark-Accent2">
    <w:name w:val="Grid Table 5 Dark Accent 2"/>
    <w:basedOn w:val="TableNormal"/>
    <w:uiPriority w:val="50"/>
    <w:rsid w:val="005839D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AF3F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DA8"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DA8"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DA8"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DA8" w:themeFill="accent2"/>
      </w:tcPr>
    </w:tblStylePr>
    <w:tblStylePr w:type="band1Vert">
      <w:tblPr/>
      <w:tcPr>
        <w:shd w:val="clear" w:color="auto" w:fill="76E8FF" w:themeFill="accent2" w:themeFillTint="66"/>
      </w:tcPr>
    </w:tblStylePr>
    <w:tblStylePr w:type="band1Horz">
      <w:tblPr/>
      <w:tcPr>
        <w:shd w:val="clear" w:color="auto" w:fill="76E8FF" w:themeFill="accent2" w:themeFillTint="66"/>
      </w:tcPr>
    </w:tblStylePr>
  </w:style>
  <w:style w:type="table" w:styleId="GridTable5Dark-Accent6">
    <w:name w:val="Grid Table 5 Dark Accent 6"/>
    <w:basedOn w:val="TableNormal"/>
    <w:uiPriority w:val="50"/>
    <w:rsid w:val="00A67BC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0F5FC"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5CDF1"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5CDF1"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5CDF1"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5CDF1" w:themeFill="accent6"/>
      </w:tcPr>
    </w:tblStylePr>
    <w:tblStylePr w:type="band1Vert">
      <w:tblPr/>
      <w:tcPr>
        <w:shd w:val="clear" w:color="auto" w:fill="C1EAF9" w:themeFill="accent6" w:themeFillTint="66"/>
      </w:tcPr>
    </w:tblStylePr>
    <w:tblStylePr w:type="band1Horz">
      <w:tblPr/>
      <w:tcPr>
        <w:shd w:val="clear" w:color="auto" w:fill="C1EAF9" w:themeFill="accent6" w:themeFillTint="66"/>
      </w:tcPr>
    </w:tblStylePr>
  </w:style>
  <w:style w:type="table" w:styleId="ListTable7Colorful-Accent2">
    <w:name w:val="List Table 7 Colorful Accent 2"/>
    <w:basedOn w:val="TableNormal"/>
    <w:uiPriority w:val="52"/>
    <w:rsid w:val="001C13C9"/>
    <w:pPr>
      <w:spacing w:after="0" w:line="240" w:lineRule="auto"/>
    </w:pPr>
    <w:rPr>
      <w:color w:val="00697D"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DA8"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DA8"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DA8"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DA8" w:themeColor="accent2"/>
        </w:tcBorders>
        <w:shd w:val="clear" w:color="auto" w:fill="FFFFFF" w:themeFill="background1"/>
      </w:tcPr>
    </w:tblStylePr>
    <w:tblStylePr w:type="band1Vert">
      <w:tblPr/>
      <w:tcPr>
        <w:shd w:val="clear" w:color="auto" w:fill="BAF3FF" w:themeFill="accent2" w:themeFillTint="33"/>
      </w:tcPr>
    </w:tblStylePr>
    <w:tblStylePr w:type="band1Horz">
      <w:tblPr/>
      <w:tcPr>
        <w:shd w:val="clear" w:color="auto" w:fill="BAF3F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5Dark-Accent4">
    <w:name w:val="Grid Table 5 Dark Accent 4"/>
    <w:basedOn w:val="TableNormal"/>
    <w:uiPriority w:val="50"/>
    <w:rsid w:val="001C13C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F4F5"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CBD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CBD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CBD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CBD0" w:themeFill="accent4"/>
      </w:tcPr>
    </w:tblStylePr>
    <w:tblStylePr w:type="band1Vert">
      <w:tblPr/>
      <w:tcPr>
        <w:shd w:val="clear" w:color="auto" w:fill="C5EAEC" w:themeFill="accent4" w:themeFillTint="66"/>
      </w:tcPr>
    </w:tblStylePr>
    <w:tblStylePr w:type="band1Horz">
      <w:tblPr/>
      <w:tcPr>
        <w:shd w:val="clear" w:color="auto" w:fill="C5EAEC" w:themeFill="accent4" w:themeFillTint="66"/>
      </w:tcPr>
    </w:tblStylePr>
  </w:style>
  <w:style w:type="table" w:styleId="GridTable5Dark-Accent3">
    <w:name w:val="Grid Table 5 Dark Accent 3"/>
    <w:basedOn w:val="TableNormal"/>
    <w:uiPriority w:val="50"/>
    <w:rsid w:val="001C13C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DD2"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4AA20"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4AA20"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4AA20"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4AA20" w:themeFill="accent3"/>
      </w:tcPr>
    </w:tblStylePr>
    <w:tblStylePr w:type="band1Vert">
      <w:tblPr/>
      <w:tcPr>
        <w:shd w:val="clear" w:color="auto" w:fill="FADCA5" w:themeFill="accent3" w:themeFillTint="66"/>
      </w:tcPr>
    </w:tblStylePr>
    <w:tblStylePr w:type="band1Horz">
      <w:tblPr/>
      <w:tcPr>
        <w:shd w:val="clear" w:color="auto" w:fill="FADCA5" w:themeFill="accent3" w:themeFillTint="66"/>
      </w:tcPr>
    </w:tblStylePr>
  </w:style>
  <w:style w:type="table" w:styleId="PlainTable1">
    <w:name w:val="Plain Table 1"/>
    <w:basedOn w:val="TableNormal"/>
    <w:uiPriority w:val="41"/>
    <w:rsid w:val="00B57BD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7E6DC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Revision">
    <w:name w:val="Revision"/>
    <w:hidden/>
    <w:uiPriority w:val="99"/>
    <w:semiHidden/>
    <w:rsid w:val="00426B30"/>
    <w:pPr>
      <w:spacing w:after="0" w:line="240" w:lineRule="auto"/>
    </w:pPr>
  </w:style>
  <w:style w:type="table" w:customStyle="1" w:styleId="TableGrid1">
    <w:name w:val="Table Grid1"/>
    <w:basedOn w:val="TableNormal"/>
    <w:next w:val="TableGrid"/>
    <w:uiPriority w:val="39"/>
    <w:rsid w:val="004A6BC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B102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ealheader-Grayrows1">
    <w:name w:val="Teal header - Gray rows1"/>
    <w:basedOn w:val="TableNormal"/>
    <w:uiPriority w:val="99"/>
    <w:rsid w:val="00D051D8"/>
    <w:pPr>
      <w:spacing w:after="0" w:line="240" w:lineRule="auto"/>
    </w:pPr>
    <w:tblPr>
      <w:tblStyleRowBandSize w:val="1"/>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4"/>
      </w:rPr>
      <w:tblPr/>
      <w:tcPr>
        <w:shd w:val="clear" w:color="auto" w:fill="70CBD0" w:themeFill="accent4"/>
        <w:vAlign w:val="center"/>
      </w:tcPr>
    </w:tblStylePr>
    <w:tblStylePr w:type="band1Horz">
      <w:tblPr/>
      <w:tcPr>
        <w:shd w:val="clear" w:color="auto" w:fill="F5F5F5" w:themeFill="background2"/>
      </w:tcPr>
    </w:tblStylePr>
  </w:style>
  <w:style w:type="character" w:customStyle="1" w:styleId="normaltextrun">
    <w:name w:val="normaltextrun"/>
    <w:basedOn w:val="DefaultParagraphFont"/>
    <w:rsid w:val="00293A6A"/>
  </w:style>
  <w:style w:type="character" w:customStyle="1" w:styleId="eop">
    <w:name w:val="eop"/>
    <w:basedOn w:val="DefaultParagraphFont"/>
    <w:rsid w:val="00293A6A"/>
  </w:style>
  <w:style w:type="paragraph" w:customStyle="1" w:styleId="paragraph">
    <w:name w:val="paragraph"/>
    <w:basedOn w:val="Normal"/>
    <w:rsid w:val="003E390A"/>
    <w:pPr>
      <w:spacing w:before="100" w:beforeAutospacing="1" w:after="100" w:afterAutospacing="1" w:line="240" w:lineRule="auto"/>
    </w:pPr>
    <w:rPr>
      <w:rFonts w:ascii="Times New Roman" w:eastAsia="Times New Roman" w:hAnsi="Times New Roman" w:cs="Times New Roman"/>
      <w:sz w:val="24"/>
      <w:szCs w:val="24"/>
      <w:lang w:eastAsia="en-AU"/>
    </w:rPr>
  </w:style>
  <w:style w:type="table" w:customStyle="1" w:styleId="PlainTable11">
    <w:name w:val="Plain Table 11"/>
    <w:basedOn w:val="TableNormal"/>
    <w:next w:val="PlainTable1"/>
    <w:uiPriority w:val="41"/>
    <w:rsid w:val="00BA0A7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OC4">
    <w:name w:val="toc 4"/>
    <w:basedOn w:val="Normal"/>
    <w:next w:val="Normal"/>
    <w:autoRedefine/>
    <w:uiPriority w:val="39"/>
    <w:unhideWhenUsed/>
    <w:rsid w:val="00514575"/>
    <w:pPr>
      <w:spacing w:after="100"/>
      <w:ind w:left="660"/>
    </w:pPr>
    <w:rPr>
      <w:rFonts w:asciiTheme="minorHAnsi" w:eastAsiaTheme="minorEastAsia" w:hAnsiTheme="minorHAnsi"/>
      <w:lang w:eastAsia="en-AU"/>
    </w:rPr>
  </w:style>
  <w:style w:type="paragraph" w:styleId="TOC5">
    <w:name w:val="toc 5"/>
    <w:basedOn w:val="Normal"/>
    <w:next w:val="Normal"/>
    <w:autoRedefine/>
    <w:uiPriority w:val="39"/>
    <w:unhideWhenUsed/>
    <w:rsid w:val="00514575"/>
    <w:pPr>
      <w:spacing w:after="100"/>
      <w:ind w:left="880"/>
    </w:pPr>
    <w:rPr>
      <w:rFonts w:asciiTheme="minorHAnsi" w:eastAsiaTheme="minorEastAsia" w:hAnsiTheme="minorHAnsi"/>
      <w:lang w:eastAsia="en-AU"/>
    </w:rPr>
  </w:style>
  <w:style w:type="paragraph" w:styleId="TOC6">
    <w:name w:val="toc 6"/>
    <w:basedOn w:val="Normal"/>
    <w:next w:val="Normal"/>
    <w:autoRedefine/>
    <w:uiPriority w:val="39"/>
    <w:unhideWhenUsed/>
    <w:rsid w:val="00514575"/>
    <w:pPr>
      <w:spacing w:after="100"/>
      <w:ind w:left="1100"/>
    </w:pPr>
    <w:rPr>
      <w:rFonts w:asciiTheme="minorHAnsi" w:eastAsiaTheme="minorEastAsia" w:hAnsiTheme="minorHAnsi"/>
      <w:lang w:eastAsia="en-AU"/>
    </w:rPr>
  </w:style>
  <w:style w:type="paragraph" w:styleId="TOC7">
    <w:name w:val="toc 7"/>
    <w:basedOn w:val="Normal"/>
    <w:next w:val="Normal"/>
    <w:autoRedefine/>
    <w:uiPriority w:val="39"/>
    <w:unhideWhenUsed/>
    <w:rsid w:val="00514575"/>
    <w:pPr>
      <w:spacing w:after="100"/>
      <w:ind w:left="1320"/>
    </w:pPr>
    <w:rPr>
      <w:rFonts w:asciiTheme="minorHAnsi" w:eastAsiaTheme="minorEastAsia" w:hAnsiTheme="minorHAnsi"/>
      <w:lang w:eastAsia="en-AU"/>
    </w:rPr>
  </w:style>
  <w:style w:type="paragraph" w:styleId="TOC8">
    <w:name w:val="toc 8"/>
    <w:basedOn w:val="Normal"/>
    <w:next w:val="Normal"/>
    <w:autoRedefine/>
    <w:uiPriority w:val="39"/>
    <w:unhideWhenUsed/>
    <w:rsid w:val="00514575"/>
    <w:pPr>
      <w:spacing w:after="100"/>
      <w:ind w:left="1540"/>
    </w:pPr>
    <w:rPr>
      <w:rFonts w:asciiTheme="minorHAnsi" w:eastAsiaTheme="minorEastAsia" w:hAnsiTheme="minorHAnsi"/>
      <w:lang w:eastAsia="en-AU"/>
    </w:rPr>
  </w:style>
  <w:style w:type="paragraph" w:styleId="TOC9">
    <w:name w:val="toc 9"/>
    <w:basedOn w:val="Normal"/>
    <w:next w:val="Normal"/>
    <w:autoRedefine/>
    <w:uiPriority w:val="39"/>
    <w:unhideWhenUsed/>
    <w:rsid w:val="00514575"/>
    <w:pPr>
      <w:spacing w:after="100"/>
      <w:ind w:left="1760"/>
    </w:pPr>
    <w:rPr>
      <w:rFonts w:asciiTheme="minorHAnsi" w:eastAsiaTheme="minorEastAsia" w:hAnsiTheme="minorHAnsi"/>
      <w:lang w:eastAsia="en-AU"/>
    </w:rPr>
  </w:style>
  <w:style w:type="character" w:styleId="UnresolvedMention">
    <w:name w:val="Unresolved Mention"/>
    <w:basedOn w:val="DefaultParagraphFont"/>
    <w:uiPriority w:val="99"/>
    <w:semiHidden/>
    <w:unhideWhenUsed/>
    <w:rsid w:val="00514575"/>
    <w:rPr>
      <w:color w:val="605E5C"/>
      <w:shd w:val="clear" w:color="auto" w:fill="E1DFDD"/>
    </w:rPr>
  </w:style>
  <w:style w:type="table" w:customStyle="1" w:styleId="ReportTable-TealRows1">
    <w:name w:val="Report Table - Teal + Rows1"/>
    <w:basedOn w:val="TableNormal"/>
    <w:uiPriority w:val="99"/>
    <w:rsid w:val="00F84E22"/>
    <w:pPr>
      <w:spacing w:after="0" w:line="240" w:lineRule="auto"/>
    </w:pPr>
    <w:rPr>
      <w:sz w:val="20"/>
    </w:rPr>
    <w:tblPr>
      <w:tblStyleRowBandSize w:val="1"/>
      <w:tblStyleColBandSize w:val="1"/>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2"/>
      </w:rPr>
      <w:tblPr/>
      <w:tcPr>
        <w:shd w:val="clear" w:color="auto" w:fill="70CBD0" w:themeFill="accent4"/>
        <w:vAlign w:val="center"/>
      </w:tcPr>
    </w:tblStylePr>
    <w:tblStylePr w:type="fir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5F5F5" w:themeFill="background2"/>
      </w:tcPr>
    </w:tblStylePr>
  </w:style>
  <w:style w:type="table" w:customStyle="1" w:styleId="ReportTable-TealRows2">
    <w:name w:val="Report Table - Teal + Rows2"/>
    <w:basedOn w:val="TableNormal"/>
    <w:uiPriority w:val="99"/>
    <w:rsid w:val="00D94825"/>
    <w:pPr>
      <w:spacing w:after="0" w:line="240" w:lineRule="auto"/>
    </w:pPr>
    <w:rPr>
      <w:sz w:val="20"/>
    </w:rPr>
    <w:tblPr>
      <w:tblStyleRowBandSize w:val="1"/>
      <w:tblStyleColBandSize w:val="1"/>
      <w:tblCellMar>
        <w:top w:w="57" w:type="dxa"/>
        <w:left w:w="113" w:type="dxa"/>
        <w:bottom w:w="57" w:type="dxa"/>
        <w:right w:w="28" w:type="dxa"/>
      </w:tblCellMar>
    </w:tblPr>
    <w:tcPr>
      <w:vAlign w:val="center"/>
    </w:tcPr>
    <w:tblStylePr w:type="firstRow">
      <w:pPr>
        <w:jc w:val="left"/>
      </w:pPr>
      <w:rPr>
        <w:rFonts w:ascii="Arial" w:hAnsi="Arial"/>
        <w:b/>
        <w:color w:val="FFFFFF" w:themeColor="background1"/>
        <w:sz w:val="22"/>
      </w:rPr>
      <w:tblPr/>
      <w:tcPr>
        <w:shd w:val="clear" w:color="auto" w:fill="70CBD0" w:themeFill="accent4"/>
        <w:vAlign w:val="center"/>
      </w:tcPr>
    </w:tblStylePr>
    <w:tblStylePr w:type="fir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5F5F5" w:themeFill="background2"/>
      </w:tcPr>
    </w:tblStylePr>
  </w:style>
  <w:style w:type="character" w:styleId="Mention">
    <w:name w:val="Mention"/>
    <w:basedOn w:val="DefaultParagraphFont"/>
    <w:uiPriority w:val="99"/>
    <w:unhideWhenUsed/>
    <w:rsid w:val="006C3EEF"/>
    <w:rPr>
      <w:color w:val="2B579A"/>
      <w:shd w:val="clear" w:color="auto" w:fill="E1DFDD"/>
    </w:rPr>
  </w:style>
  <w:style w:type="paragraph" w:styleId="BodyText">
    <w:name w:val="Body Text"/>
    <w:link w:val="BodyTextChar"/>
    <w:uiPriority w:val="99"/>
    <w:rsid w:val="00E034C9"/>
    <w:pPr>
      <w:spacing w:before="120" w:after="120" w:line="240" w:lineRule="auto"/>
      <w:jc w:val="both"/>
    </w:pPr>
    <w:rPr>
      <w:rFonts w:ascii="Calibri" w:eastAsia="Times New Roman" w:hAnsi="Calibri" w:cs="Times New Roman"/>
      <w:sz w:val="21"/>
      <w:szCs w:val="24"/>
      <w:lang w:eastAsia="en-AU"/>
    </w:rPr>
  </w:style>
  <w:style w:type="character" w:customStyle="1" w:styleId="BodyTextChar">
    <w:name w:val="Body Text Char"/>
    <w:basedOn w:val="DefaultParagraphFont"/>
    <w:link w:val="BodyText"/>
    <w:uiPriority w:val="99"/>
    <w:rsid w:val="00E034C9"/>
    <w:rPr>
      <w:rFonts w:ascii="Calibri" w:eastAsia="Times New Roman" w:hAnsi="Calibri" w:cs="Times New Roman"/>
      <w:sz w:val="21"/>
      <w:szCs w:val="24"/>
      <w:lang w:eastAsia="en-AU"/>
    </w:rPr>
  </w:style>
  <w:style w:type="table" w:customStyle="1" w:styleId="GridTable1Light-Accent11">
    <w:name w:val="Grid Table 1 Light - Accent 11"/>
    <w:basedOn w:val="TableNormal"/>
    <w:uiPriority w:val="46"/>
    <w:rsid w:val="00E034C9"/>
    <w:pPr>
      <w:spacing w:after="0" w:line="240" w:lineRule="auto"/>
      <w:jc w:val="right"/>
    </w:pPr>
    <w:rPr>
      <w:rFonts w:asciiTheme="majorHAnsi" w:eastAsia="Times New Roman" w:hAnsiTheme="majorHAnsi" w:cs="Times New Roman"/>
      <w:sz w:val="20"/>
      <w:szCs w:val="20"/>
      <w:lang w:eastAsia="en-AU"/>
    </w:rPr>
    <w:tblPr>
      <w:tblStyleRowBandSize w:val="1"/>
      <w:tblStyleColBandSize w:val="1"/>
      <w:tblBorders>
        <w:top w:val="single" w:sz="4" w:space="0" w:color="79FFFD" w:themeColor="accent1" w:themeTint="66"/>
        <w:left w:val="single" w:sz="4" w:space="0" w:color="79FFFD" w:themeColor="accent1" w:themeTint="66"/>
        <w:bottom w:val="single" w:sz="4" w:space="0" w:color="79FFFD" w:themeColor="accent1" w:themeTint="66"/>
        <w:right w:val="single" w:sz="4" w:space="0" w:color="79FFFD" w:themeColor="accent1" w:themeTint="66"/>
        <w:insideH w:val="single" w:sz="4" w:space="0" w:color="79FFFD" w:themeColor="accent1" w:themeTint="66"/>
        <w:insideV w:val="single" w:sz="4" w:space="0" w:color="79FFFD" w:themeColor="accent1" w:themeTint="66"/>
      </w:tblBorders>
    </w:tblPr>
    <w:tcPr>
      <w:vAlign w:val="center"/>
    </w:tcPr>
    <w:tblStylePr w:type="firstRow">
      <w:rPr>
        <w:b/>
        <w:bCs/>
      </w:rPr>
      <w:tblPr/>
      <w:tcPr>
        <w:tcBorders>
          <w:bottom w:val="single" w:sz="12" w:space="0" w:color="37FFFD" w:themeColor="accent1" w:themeTint="99"/>
        </w:tcBorders>
      </w:tcPr>
    </w:tblStylePr>
    <w:tblStylePr w:type="lastRow">
      <w:rPr>
        <w:b/>
        <w:bCs/>
      </w:rPr>
      <w:tblPr/>
      <w:tcPr>
        <w:tcBorders>
          <w:top w:val="double" w:sz="2" w:space="0" w:color="37FFFD" w:themeColor="accent1" w:themeTint="99"/>
        </w:tcBorders>
      </w:tcPr>
    </w:tblStylePr>
    <w:tblStylePr w:type="firstCol">
      <w:rPr>
        <w:b/>
        <w:bCs/>
      </w:rPr>
    </w:tblStylePr>
    <w:tblStylePr w:type="lastCol">
      <w:rPr>
        <w:b/>
        <w:bCs/>
      </w:rPr>
    </w:tblStylePr>
  </w:style>
  <w:style w:type="paragraph" w:customStyle="1" w:styleId="BodyText1">
    <w:name w:val="Body Text1"/>
    <w:basedOn w:val="BodyText"/>
    <w:link w:val="BodytextChar0"/>
    <w:qFormat/>
    <w:rsid w:val="00E034C9"/>
  </w:style>
  <w:style w:type="character" w:customStyle="1" w:styleId="BodytextChar0">
    <w:name w:val="Body text Char"/>
    <w:link w:val="BodyText1"/>
    <w:rsid w:val="00E034C9"/>
    <w:rPr>
      <w:rFonts w:ascii="Calibri" w:eastAsia="Times New Roman" w:hAnsi="Calibri" w:cs="Times New Roman"/>
      <w:sz w:val="21"/>
      <w:szCs w:val="24"/>
      <w:lang w:eastAsia="en-AU"/>
    </w:rPr>
  </w:style>
  <w:style w:type="paragraph" w:customStyle="1" w:styleId="TableParagraph">
    <w:name w:val="Table Paragraph"/>
    <w:basedOn w:val="Normal"/>
    <w:uiPriority w:val="1"/>
    <w:qFormat/>
    <w:rsid w:val="008649F4"/>
    <w:pPr>
      <w:widowControl w:val="0"/>
      <w:autoSpaceDE w:val="0"/>
      <w:autoSpaceDN w:val="0"/>
      <w:spacing w:after="0" w:line="240" w:lineRule="auto"/>
      <w:ind w:left="98"/>
    </w:pPr>
    <w:rPr>
      <w:rFonts w:ascii="Calibri" w:eastAsia="Calibri" w:hAnsi="Calibri" w:cs="Calibri"/>
      <w:lang w:val="en-US"/>
    </w:rPr>
  </w:style>
  <w:style w:type="paragraph" w:customStyle="1" w:styleId="Default">
    <w:name w:val="Default"/>
    <w:rsid w:val="008D34D8"/>
    <w:pPr>
      <w:autoSpaceDE w:val="0"/>
      <w:autoSpaceDN w:val="0"/>
      <w:adjustRightInd w:val="0"/>
      <w:spacing w:after="0" w:line="240" w:lineRule="auto"/>
    </w:pPr>
    <w:rPr>
      <w:rFonts w:cs="Arial"/>
      <w:color w:val="000000"/>
      <w:sz w:val="24"/>
      <w:szCs w:val="24"/>
    </w:rPr>
  </w:style>
  <w:style w:type="paragraph" w:styleId="FootnoteText">
    <w:name w:val="footnote text"/>
    <w:basedOn w:val="Normal"/>
    <w:link w:val="FootnoteTextChar"/>
    <w:semiHidden/>
    <w:unhideWhenUsed/>
    <w:rsid w:val="00D220B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D220B6"/>
    <w:rPr>
      <w:sz w:val="20"/>
      <w:szCs w:val="20"/>
    </w:rPr>
  </w:style>
  <w:style w:type="character" w:styleId="FootnoteReference">
    <w:name w:val="footnote reference"/>
    <w:basedOn w:val="DefaultParagraphFont"/>
    <w:semiHidden/>
    <w:unhideWhenUsed/>
    <w:rsid w:val="00D220B6"/>
    <w:rPr>
      <w:vertAlign w:val="superscript"/>
    </w:rPr>
  </w:style>
  <w:style w:type="paragraph" w:styleId="Caption">
    <w:name w:val="caption"/>
    <w:basedOn w:val="Normal"/>
    <w:next w:val="Normal"/>
    <w:unhideWhenUsed/>
    <w:qFormat/>
    <w:rsid w:val="00902BBD"/>
    <w:pPr>
      <w:spacing w:after="200" w:line="240" w:lineRule="auto"/>
    </w:pPr>
    <w:rPr>
      <w:i/>
      <w:iCs/>
      <w:color w:val="002B5C" w:themeColor="text2"/>
      <w:sz w:val="18"/>
      <w:szCs w:val="18"/>
    </w:rPr>
  </w:style>
  <w:style w:type="table" w:customStyle="1" w:styleId="ReportTable-TealRows3">
    <w:name w:val="Report Table - Teal + Rows3"/>
    <w:basedOn w:val="TableNormal"/>
    <w:uiPriority w:val="99"/>
    <w:rsid w:val="00701631"/>
    <w:pPr>
      <w:spacing w:after="0" w:line="240" w:lineRule="auto"/>
    </w:pPr>
    <w:rPr>
      <w:sz w:val="20"/>
    </w:rPr>
    <w:tblPr>
      <w:tblStyleRowBandSize w:val="1"/>
      <w:tblStyleColBandSize w:val="1"/>
      <w:tblCellMar>
        <w:top w:w="57" w:type="dxa"/>
        <w:left w:w="113" w:type="dxa"/>
        <w:bottom w:w="57" w:type="dxa"/>
        <w:right w:w="28" w:type="dxa"/>
      </w:tblCellMar>
    </w:tblPr>
    <w:tcPr>
      <w:vAlign w:val="center"/>
    </w:tcPr>
    <w:tblStylePr w:type="firstRow">
      <w:pPr>
        <w:jc w:val="left"/>
      </w:pPr>
      <w:rPr>
        <w:rFonts w:ascii="Arial" w:hAnsi="Arial"/>
        <w:b/>
        <w:color w:val="FFFFFF"/>
        <w:sz w:val="22"/>
      </w:rPr>
      <w:tblPr/>
      <w:tcPr>
        <w:shd w:val="clear" w:color="auto" w:fill="70CBD0"/>
        <w:vAlign w:val="center"/>
      </w:tcPr>
    </w:tblStylePr>
    <w:tblStylePr w:type="firstCol">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nil"/>
          <w:insideV w:val="nil"/>
          <w:tl2br w:val="nil"/>
          <w:tr2bl w:val="nil"/>
        </w:tcBorders>
      </w:tcPr>
    </w:tblStylePr>
    <w:tblStylePr w:type="band2Vert">
      <w:tblPr/>
      <w:tcPr>
        <w:tcBorders>
          <w:top w:val="nil"/>
          <w:left w:val="nil"/>
          <w:bottom w:val="nil"/>
          <w:right w:val="nil"/>
          <w:insideH w:val="nil"/>
          <w:insideV w:val="nil"/>
          <w:tl2br w:val="nil"/>
          <w:tr2bl w:val="nil"/>
        </w:tcBorders>
      </w:tcPr>
    </w:tblStylePr>
    <w:tblStylePr w:type="band1Horz">
      <w:tblPr/>
      <w:tcPr>
        <w:shd w:val="clear" w:color="auto" w:fill="F5F5F5"/>
      </w:tcPr>
    </w:tblStylePr>
  </w:style>
  <w:style w:type="character" w:customStyle="1" w:styleId="Heading7Char">
    <w:name w:val="Heading 7 Char"/>
    <w:basedOn w:val="DefaultParagraphFont"/>
    <w:link w:val="Heading7"/>
    <w:rsid w:val="00C53429"/>
    <w:rPr>
      <w:rFonts w:ascii="Calibri" w:eastAsia="Times New Roman" w:hAnsi="Calibri" w:cs="Calibri"/>
      <w:bCs/>
      <w:i/>
      <w:iCs/>
      <w:color w:val="808080" w:themeColor="background1" w:themeShade="80"/>
      <w:sz w:val="20"/>
      <w:szCs w:val="20"/>
      <w:lang w:eastAsia="en-GB"/>
    </w:rPr>
  </w:style>
  <w:style w:type="character" w:customStyle="1" w:styleId="Heading8Char">
    <w:name w:val="Heading 8 Char"/>
    <w:basedOn w:val="DefaultParagraphFont"/>
    <w:link w:val="Heading8"/>
    <w:rsid w:val="00C53429"/>
    <w:rPr>
      <w:rFonts w:ascii="Calibri" w:eastAsia="Times New Roman" w:hAnsi="Calibri" w:cs="Calibri"/>
      <w:bCs/>
      <w:color w:val="808080" w:themeColor="background1" w:themeShade="80"/>
      <w:sz w:val="20"/>
      <w:szCs w:val="20"/>
      <w:lang w:eastAsia="en-GB"/>
    </w:rPr>
  </w:style>
  <w:style w:type="character" w:customStyle="1" w:styleId="Heading9Char">
    <w:name w:val="Heading 9 Char"/>
    <w:basedOn w:val="DefaultParagraphFont"/>
    <w:link w:val="Heading9"/>
    <w:rsid w:val="00C53429"/>
    <w:rPr>
      <w:rFonts w:eastAsia="Times New Roman" w:cs="Calibri"/>
      <w:bCs/>
      <w:i/>
      <w:iCs/>
      <w:color w:val="808080" w:themeColor="background1" w:themeShade="80"/>
      <w:lang w:eastAsia="en-GB"/>
    </w:rPr>
  </w:style>
  <w:style w:type="character" w:styleId="PageNumber">
    <w:name w:val="page number"/>
    <w:rsid w:val="00C53429"/>
    <w:rPr>
      <w:rFonts w:ascii="Tahoma" w:hAnsi="Tahoma"/>
      <w:b/>
      <w:sz w:val="18"/>
      <w:szCs w:val="22"/>
    </w:rPr>
  </w:style>
  <w:style w:type="paragraph" w:customStyle="1" w:styleId="FrontTitle">
    <w:name w:val="Front Title"/>
    <w:basedOn w:val="BodyText"/>
    <w:rsid w:val="00C53429"/>
    <w:pPr>
      <w:jc w:val="right"/>
    </w:pPr>
    <w:rPr>
      <w:rFonts w:ascii="Tahoma" w:hAnsi="Tahoma"/>
      <w:sz w:val="32"/>
    </w:rPr>
  </w:style>
  <w:style w:type="paragraph" w:customStyle="1" w:styleId="Bullet">
    <w:name w:val="Bullet"/>
    <w:basedOn w:val="Normal"/>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val="en-US" w:eastAsia="en-GB"/>
    </w:rPr>
  </w:style>
  <w:style w:type="paragraph" w:customStyle="1" w:styleId="Tables">
    <w:name w:val="Tables"/>
    <w:basedOn w:val="Normal"/>
    <w:rsid w:val="00C53429"/>
    <w:pPr>
      <w:framePr w:wrap="around" w:hAnchor="text"/>
      <w:snapToGrid w:val="0"/>
      <w:spacing w:before="120" w:after="0" w:line="240" w:lineRule="auto"/>
      <w:jc w:val="both"/>
    </w:pPr>
    <w:rPr>
      <w:rFonts w:ascii="Calibri" w:eastAsia="Times New Roman" w:hAnsi="Calibri" w:cs="Calibri"/>
      <w:bCs/>
      <w:i/>
      <w:iCs/>
      <w:color w:val="808080" w:themeColor="background1" w:themeShade="80"/>
      <w:sz w:val="20"/>
      <w:szCs w:val="20"/>
      <w:lang w:eastAsia="en-GB"/>
    </w:rPr>
  </w:style>
  <w:style w:type="numbering" w:styleId="1ai">
    <w:name w:val="Outline List 1"/>
    <w:basedOn w:val="NoList"/>
    <w:semiHidden/>
    <w:rsid w:val="00C53429"/>
    <w:pPr>
      <w:numPr>
        <w:numId w:val="30"/>
      </w:numPr>
    </w:pPr>
  </w:style>
  <w:style w:type="paragraph" w:styleId="BlockText">
    <w:name w:val="Block Text"/>
    <w:basedOn w:val="Normal"/>
    <w:semiHidden/>
    <w:rsid w:val="00C53429"/>
    <w:pPr>
      <w:framePr w:wrap="around" w:hAnchor="text"/>
      <w:snapToGrid w:val="0"/>
      <w:spacing w:before="120" w:after="120" w:line="240" w:lineRule="auto"/>
      <w:ind w:left="1440" w:right="1440"/>
      <w:jc w:val="both"/>
    </w:pPr>
    <w:rPr>
      <w:rFonts w:ascii="Calibri" w:eastAsia="Times New Roman" w:hAnsi="Calibri" w:cs="Calibri"/>
      <w:bCs/>
      <w:i/>
      <w:iCs/>
      <w:color w:val="808080" w:themeColor="background1" w:themeShade="80"/>
      <w:sz w:val="20"/>
      <w:szCs w:val="20"/>
      <w:lang w:eastAsia="en-GB"/>
    </w:rPr>
  </w:style>
  <w:style w:type="paragraph" w:styleId="BodyTextIndent">
    <w:name w:val="Body Text Indent"/>
    <w:basedOn w:val="Normal"/>
    <w:link w:val="BodyTextIndentChar"/>
    <w:semiHidden/>
    <w:rsid w:val="00C53429"/>
    <w:pPr>
      <w:framePr w:wrap="around" w:hAnchor="text"/>
      <w:snapToGrid w:val="0"/>
      <w:spacing w:before="120" w:after="120" w:line="240" w:lineRule="auto"/>
      <w:ind w:left="283"/>
      <w:jc w:val="both"/>
    </w:pPr>
    <w:rPr>
      <w:rFonts w:ascii="Calibri" w:eastAsia="Times New Roman" w:hAnsi="Calibri" w:cs="Calibri"/>
      <w:bCs/>
      <w:i/>
      <w:iCs/>
      <w:color w:val="808080" w:themeColor="background1" w:themeShade="80"/>
      <w:sz w:val="20"/>
      <w:szCs w:val="20"/>
      <w:lang w:eastAsia="en-GB"/>
    </w:rPr>
  </w:style>
  <w:style w:type="character" w:customStyle="1" w:styleId="BodyTextIndentChar">
    <w:name w:val="Body Text Indent Char"/>
    <w:basedOn w:val="DefaultParagraphFont"/>
    <w:link w:val="BodyTextIndent"/>
    <w:semiHidden/>
    <w:rsid w:val="00C53429"/>
    <w:rPr>
      <w:rFonts w:ascii="Calibri" w:eastAsia="Times New Roman" w:hAnsi="Calibri" w:cs="Calibri"/>
      <w:bCs/>
      <w:i/>
      <w:iCs/>
      <w:color w:val="808080" w:themeColor="background1" w:themeShade="80"/>
      <w:sz w:val="20"/>
      <w:szCs w:val="20"/>
      <w:lang w:eastAsia="en-GB"/>
    </w:rPr>
  </w:style>
  <w:style w:type="paragraph" w:styleId="BodyTextFirstIndent2">
    <w:name w:val="Body Text First Indent 2"/>
    <w:basedOn w:val="BodyTextIndent"/>
    <w:link w:val="BodyTextFirstIndent2Char"/>
    <w:semiHidden/>
    <w:rsid w:val="00C53429"/>
    <w:pPr>
      <w:framePr w:wrap="around"/>
      <w:ind w:firstLine="210"/>
    </w:pPr>
  </w:style>
  <w:style w:type="character" w:customStyle="1" w:styleId="BodyTextFirstIndent2Char">
    <w:name w:val="Body Text First Indent 2 Char"/>
    <w:basedOn w:val="BodyTextIndentChar"/>
    <w:link w:val="BodyTextFirstIndent2"/>
    <w:semiHidden/>
    <w:rsid w:val="00C53429"/>
    <w:rPr>
      <w:rFonts w:ascii="Calibri" w:eastAsia="Times New Roman" w:hAnsi="Calibri" w:cs="Calibri"/>
      <w:bCs/>
      <w:i/>
      <w:iCs/>
      <w:color w:val="808080" w:themeColor="background1" w:themeShade="80"/>
      <w:sz w:val="20"/>
      <w:szCs w:val="20"/>
      <w:lang w:eastAsia="en-GB"/>
    </w:rPr>
  </w:style>
  <w:style w:type="paragraph" w:customStyle="1" w:styleId="StyleBullet11ptLeft0cmFirstline0cm">
    <w:name w:val="Style Bullet + 11 pt Left:  0 cm First line:  0 cm"/>
    <w:basedOn w:val="Bullet"/>
    <w:rsid w:val="00C53429"/>
    <w:pPr>
      <w:framePr w:wrap="around"/>
    </w:pPr>
    <w:rPr>
      <w:sz w:val="22"/>
      <w:szCs w:val="22"/>
    </w:rPr>
  </w:style>
  <w:style w:type="paragraph" w:customStyle="1" w:styleId="StyleBodyTextComplex11pt">
    <w:name w:val="Style Body Text + (Complex) 11 pt"/>
    <w:basedOn w:val="BodyText"/>
    <w:link w:val="StyleBodyTextComplex11ptChar"/>
    <w:rsid w:val="00C53429"/>
    <w:pPr>
      <w:spacing w:before="60" w:after="60"/>
    </w:pPr>
    <w:rPr>
      <w:szCs w:val="22"/>
    </w:rPr>
  </w:style>
  <w:style w:type="character" w:customStyle="1" w:styleId="StyleBodyTextComplex11ptChar">
    <w:name w:val="Style Body Text + (Complex) 11 pt Char"/>
    <w:link w:val="StyleBodyTextComplex11pt"/>
    <w:rsid w:val="00C53429"/>
    <w:rPr>
      <w:rFonts w:ascii="Calibri" w:eastAsia="Times New Roman" w:hAnsi="Calibri" w:cs="Times New Roman"/>
      <w:sz w:val="21"/>
      <w:lang w:eastAsia="en-AU"/>
    </w:rPr>
  </w:style>
  <w:style w:type="paragraph" w:customStyle="1" w:styleId="FrontSubTitle">
    <w:name w:val="Front SubTitle"/>
    <w:basedOn w:val="BodyText"/>
    <w:rsid w:val="00C53429"/>
    <w:pPr>
      <w:keepLines/>
      <w:spacing w:before="0" w:after="200"/>
      <w:jc w:val="right"/>
    </w:pPr>
    <w:rPr>
      <w:b/>
      <w:color w:val="31849B"/>
      <w:sz w:val="28"/>
    </w:rPr>
  </w:style>
  <w:style w:type="paragraph" w:customStyle="1" w:styleId="Annexures">
    <w:name w:val="Annexures"/>
    <w:basedOn w:val="Normal"/>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val="en-US" w:eastAsia="en-GB"/>
    </w:rPr>
  </w:style>
  <w:style w:type="table" w:customStyle="1" w:styleId="TahomaTablesStyle1">
    <w:name w:val="Tahoma Tables Style 1"/>
    <w:basedOn w:val="TableGrid5"/>
    <w:rsid w:val="00C53429"/>
    <w:pPr>
      <w:spacing w:before="40" w:after="40"/>
      <w:jc w:val="right"/>
    </w:pPr>
    <w:rPr>
      <w:rFonts w:ascii="Tahoma" w:hAnsi="Tahoma"/>
      <w:sz w:val="16"/>
      <w:lang w:val="en-US"/>
    </w:rPr>
    <w:tblPr>
      <w:tblBorders>
        <w:top w:val="single" w:sz="8" w:space="0" w:color="000000"/>
        <w:left w:val="single" w:sz="8" w:space="0" w:color="000000"/>
        <w:bottom w:val="single" w:sz="8" w:space="0" w:color="000000"/>
        <w:right w:val="single" w:sz="8" w:space="0" w:color="000000"/>
        <w:insideH w:val="dotted" w:sz="4" w:space="0" w:color="auto"/>
        <w:insideV w:val="none" w:sz="0" w:space="0" w:color="auto"/>
      </w:tblBorders>
      <w:tblCellMar>
        <w:left w:w="28" w:type="dxa"/>
        <w:right w:w="28" w:type="dxa"/>
      </w:tblCellMar>
    </w:tblPr>
    <w:tcPr>
      <w:shd w:val="clear" w:color="auto" w:fill="auto"/>
      <w:vAlign w:val="center"/>
    </w:tcPr>
    <w:tblStylePr w:type="firstRow">
      <w:rPr>
        <w:rFonts w:ascii="New York" w:hAnsi="New York"/>
        <w:b w:val="0"/>
        <w:i w:val="0"/>
        <w:caps w:val="0"/>
        <w:smallCaps w:val="0"/>
        <w:strike w:val="0"/>
        <w:dstrike w:val="0"/>
        <w:vanish w:val="0"/>
        <w:color w:val="auto"/>
        <w:sz w:val="16"/>
        <w:u w:val="none"/>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8" w:space="0" w:color="000000"/>
          <w:left w:val="single" w:sz="8" w:space="0" w:color="000000"/>
          <w:bottom w:val="single" w:sz="8" w:space="0" w:color="000000"/>
          <w:right w:val="single" w:sz="8" w:space="0" w:color="000000"/>
          <w:insideV w:val="single" w:sz="8" w:space="0" w:color="000000"/>
          <w:tl2br w:val="none" w:sz="0" w:space="0" w:color="auto"/>
          <w:tr2bl w:val="none" w:sz="0" w:space="0" w:color="auto"/>
        </w:tcBorders>
        <w:shd w:val="clear" w:color="auto" w:fill="auto"/>
      </w:tcPr>
    </w:tblStylePr>
    <w:tblStylePr w:type="lastRow">
      <w:rPr>
        <w:b w:val="0"/>
        <w:bCs/>
      </w:rPr>
      <w:tblPr/>
      <w:tcPr>
        <w:tcBorders>
          <w:tl2br w:val="none" w:sz="0" w:space="0" w:color="auto"/>
          <w:tr2bl w:val="none" w:sz="0" w:space="0" w:color="auto"/>
        </w:tcBorders>
      </w:tcPr>
    </w:tblStylePr>
    <w:tblStylePr w:type="firstCol">
      <w:pPr>
        <w:jc w:val="left"/>
      </w:pPr>
      <w:tblPr/>
      <w:tcPr>
        <w:tcBorders>
          <w:top w:val="single" w:sz="4" w:space="0" w:color="auto"/>
          <w:left w:val="single" w:sz="4" w:space="0" w:color="auto"/>
          <w:bottom w:val="dotted" w:sz="4" w:space="0" w:color="auto"/>
          <w:right w:val="single" w:sz="4" w:space="0" w:color="auto"/>
          <w:insideH w:val="single" w:sz="4" w:space="0" w:color="auto"/>
          <w:insideV w:val="single" w:sz="4" w:space="0" w:color="auto"/>
        </w:tcBorders>
        <w:shd w:val="clear" w:color="auto" w:fill="auto"/>
      </w:tcPr>
    </w:tblStylePr>
    <w:tblStylePr w:type="lastCol">
      <w:rPr>
        <w:b w:val="0"/>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5">
    <w:name w:val="Table Grid 5"/>
    <w:basedOn w:val="TableNormal"/>
    <w:rsid w:val="00C53429"/>
    <w:pPr>
      <w:spacing w:before="300" w:after="240" w:line="240" w:lineRule="auto"/>
    </w:pPr>
    <w:rPr>
      <w:rFonts w:ascii="Times New Roman" w:eastAsia="Times New Roman" w:hAnsi="Times New Roman" w:cs="Times New Roman"/>
      <w:sz w:val="20"/>
      <w:szCs w:val="20"/>
      <w:lang w:eastAsia="en-A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HBTables">
    <w:name w:val="HB Tables"/>
    <w:basedOn w:val="TableNormal"/>
    <w:rsid w:val="00C53429"/>
    <w:pPr>
      <w:spacing w:after="0" w:line="240" w:lineRule="auto"/>
      <w:jc w:val="right"/>
    </w:pPr>
    <w:rPr>
      <w:rFonts w:ascii="Tahoma" w:eastAsia="Times New Roman" w:hAnsi="Tahoma" w:cs="Times New Roman"/>
      <w:sz w:val="14"/>
      <w:szCs w:val="20"/>
      <w:lang w:eastAsia="en-AU"/>
    </w:rPr>
    <w:tblPr>
      <w:tblStyleRowBandSize w:val="1"/>
      <w:tblStyleColBandSize w:val="1"/>
      <w:tblBorders>
        <w:top w:val="single" w:sz="12" w:space="0" w:color="auto"/>
        <w:left w:val="single" w:sz="12" w:space="0" w:color="auto"/>
        <w:bottom w:val="single" w:sz="12" w:space="0" w:color="auto"/>
        <w:right w:val="single" w:sz="12" w:space="0" w:color="auto"/>
        <w:insideV w:val="single" w:sz="4" w:space="0" w:color="auto"/>
      </w:tblBorders>
    </w:tblPr>
    <w:tcPr>
      <w:vAlign w:val="center"/>
    </w:tcPr>
    <w:tblStylePr w:type="firstRow">
      <w:pPr>
        <w:jc w:val="right"/>
      </w:pPr>
      <w:tblPr/>
      <w:tcPr>
        <w:tcBorders>
          <w:bottom w:val="nil"/>
        </w:tcBorders>
      </w:tcPr>
    </w:tblStylePr>
    <w:tblStylePr w:type="lastRow">
      <w:rPr>
        <w:b w:val="0"/>
        <w:bCs/>
      </w:rPr>
      <w:tblPr/>
      <w:tcPr>
        <w:tcBorders>
          <w:tl2br w:val="none" w:sz="0" w:space="0" w:color="auto"/>
          <w:tr2bl w:val="none" w:sz="0" w:space="0" w:color="auto"/>
        </w:tcBorders>
      </w:tcPr>
    </w:tblStylePr>
    <w:tblStylePr w:type="firstCol">
      <w:pPr>
        <w:jc w:val="left"/>
      </w:pPr>
      <w:rPr>
        <w:rFonts w:ascii="New York" w:hAnsi="New York"/>
        <w:b w:val="0"/>
      </w:rPr>
      <w:tblPr/>
      <w:tcPr>
        <w:tcBorders>
          <w:top w:val="single" w:sz="4" w:space="0" w:color="auto"/>
          <w:left w:val="single" w:sz="4" w:space="0" w:color="auto"/>
          <w:bottom w:val="single" w:sz="4" w:space="0" w:color="auto"/>
          <w:right w:val="single" w:sz="4" w:space="0" w:color="auto"/>
          <w:insideH w:val="nil"/>
          <w:insideV w:val="nil"/>
        </w:tcBorders>
      </w:tcPr>
    </w:tblStylePr>
    <w:tblStylePr w:type="lastCol">
      <w:rPr>
        <w:b w:val="0"/>
        <w:bCs/>
      </w:rPr>
      <w:tblPr/>
      <w:tcPr>
        <w:tcBorders>
          <w:tl2br w:val="none" w:sz="0" w:space="0" w:color="auto"/>
          <w:tr2bl w:val="none" w:sz="0" w:space="0" w:color="auto"/>
        </w:tcBorders>
      </w:tcPr>
    </w:tblStylePr>
    <w:tblStylePr w:type="band1Horz">
      <w:tblPr/>
      <w:tcPr>
        <w:tcBorders>
          <w:insideH w:val="nil"/>
        </w:tcBorders>
        <w:shd w:val="clear" w:color="auto" w:fill="auto"/>
      </w:tcPr>
    </w:tblStylePr>
    <w:tblStylePr w:type="band2Horz">
      <w:tblPr/>
      <w:tcPr>
        <w:tcBorders>
          <w:insideH w:val="nil"/>
        </w:tcBorders>
        <w:shd w:val="clear" w:color="auto" w:fill="auto"/>
      </w:tcPr>
    </w:tblStylePr>
    <w:tblStylePr w:type="nwCell">
      <w:tblPr/>
      <w:tcPr>
        <w:tcBorders>
          <w:top w:val="single" w:sz="4" w:space="0" w:color="auto"/>
          <w:left w:val="single" w:sz="4" w:space="0" w:color="auto"/>
          <w:bottom w:val="single" w:sz="4" w:space="0" w:color="auto"/>
          <w:right w:val="single" w:sz="4" w:space="0" w:color="auto"/>
          <w:tl2br w:val="nil"/>
        </w:tcBorders>
        <w:shd w:val="clear" w:color="auto" w:fill="auto"/>
      </w:tcPr>
    </w:tblStylePr>
  </w:style>
  <w:style w:type="paragraph" w:customStyle="1" w:styleId="StyleHeading2Before24ptAfter24pt">
    <w:name w:val="Style Heading 2 + Before:  2.4 pt After:  2.4 pt"/>
    <w:basedOn w:val="Heading2"/>
    <w:rsid w:val="00C53429"/>
    <w:pPr>
      <w:keepLines w:val="0"/>
      <w:tabs>
        <w:tab w:val="left" w:pos="709"/>
      </w:tabs>
      <w:spacing w:before="240" w:after="48" w:line="240" w:lineRule="auto"/>
    </w:pPr>
    <w:rPr>
      <w:rFonts w:asciiTheme="majorHAnsi" w:eastAsia="Times New Roman" w:hAnsiTheme="majorHAnsi" w:cstheme="majorHAnsi"/>
      <w:color w:val="0070C0"/>
      <w:kern w:val="32"/>
      <w:sz w:val="24"/>
      <w:szCs w:val="20"/>
      <w:lang w:eastAsia="en-AU"/>
    </w:rPr>
  </w:style>
  <w:style w:type="paragraph" w:customStyle="1" w:styleId="StyleHeading3Before06lineAfter06line">
    <w:name w:val="Style Heading 3 + Before:  0.6 line After:  0.6 line"/>
    <w:basedOn w:val="Heading3"/>
    <w:rsid w:val="00C53429"/>
    <w:pPr>
      <w:keepLines w:val="0"/>
      <w:spacing w:beforeLines="60" w:before="144" w:afterLines="60" w:after="144" w:line="240" w:lineRule="auto"/>
    </w:pPr>
    <w:rPr>
      <w:rFonts w:ascii="Calibri" w:eastAsia="Times New Roman" w:hAnsi="Calibri" w:cs="Calibri"/>
      <w:bCs/>
      <w:color w:val="0070C0"/>
      <w:sz w:val="22"/>
      <w:szCs w:val="20"/>
      <w:lang w:eastAsia="en-AU"/>
    </w:rPr>
  </w:style>
  <w:style w:type="paragraph" w:customStyle="1" w:styleId="Style2">
    <w:name w:val="Style2"/>
    <w:basedOn w:val="Normal"/>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val="en-US" w:eastAsia="en-GB"/>
    </w:rPr>
  </w:style>
  <w:style w:type="paragraph" w:customStyle="1" w:styleId="Style1">
    <w:name w:val="Style1"/>
    <w:basedOn w:val="Normal"/>
    <w:autoRedefine/>
    <w:rsid w:val="00C53429"/>
    <w:pPr>
      <w:framePr w:wrap="around" w:hAnchor="text"/>
      <w:numPr>
        <w:ilvl w:val="1"/>
        <w:numId w:val="31"/>
      </w:numPr>
      <w:snapToGrid w:val="0"/>
      <w:spacing w:before="120" w:after="120" w:line="240" w:lineRule="auto"/>
      <w:jc w:val="both"/>
    </w:pPr>
    <w:rPr>
      <w:rFonts w:ascii="Calibri" w:eastAsia="Times New Roman" w:hAnsi="Calibri" w:cs="Calibri"/>
      <w:bCs/>
      <w:i/>
      <w:iCs/>
      <w:color w:val="808080" w:themeColor="background1" w:themeShade="80"/>
      <w:sz w:val="20"/>
      <w:szCs w:val="20"/>
      <w:lang w:val="en-US" w:eastAsia="en-GB"/>
    </w:rPr>
  </w:style>
  <w:style w:type="paragraph" w:customStyle="1" w:styleId="StyleHeading2Before48ptAfter48pt">
    <w:name w:val="Style Heading 2 + Before:  4.8 pt After:  4.8 pt"/>
    <w:basedOn w:val="Heading2"/>
    <w:rsid w:val="00C53429"/>
    <w:pPr>
      <w:keepLines w:val="0"/>
      <w:tabs>
        <w:tab w:val="left" w:pos="709"/>
      </w:tabs>
      <w:spacing w:before="240" w:after="96" w:line="240" w:lineRule="auto"/>
    </w:pPr>
    <w:rPr>
      <w:rFonts w:asciiTheme="majorHAnsi" w:eastAsia="Times New Roman" w:hAnsiTheme="majorHAnsi" w:cs="Times New Roman"/>
      <w:b w:val="0"/>
      <w:bCs/>
      <w:color w:val="0070C0"/>
      <w:sz w:val="24"/>
      <w:szCs w:val="20"/>
      <w:lang w:eastAsia="en-AU"/>
    </w:rPr>
  </w:style>
  <w:style w:type="paragraph" w:customStyle="1" w:styleId="StyleHeading2Before48ptAfter48pt1">
    <w:name w:val="Style Heading 2 + Before:  4.8 pt After:  4.8 pt1"/>
    <w:basedOn w:val="Heading2"/>
    <w:rsid w:val="00C53429"/>
    <w:pPr>
      <w:keepLines w:val="0"/>
      <w:numPr>
        <w:ilvl w:val="1"/>
        <w:numId w:val="32"/>
      </w:numPr>
      <w:spacing w:before="96" w:after="96" w:line="240" w:lineRule="auto"/>
    </w:pPr>
    <w:rPr>
      <w:rFonts w:asciiTheme="majorHAnsi" w:eastAsia="Times New Roman" w:hAnsiTheme="majorHAnsi" w:cs="Times New Roman"/>
      <w:b w:val="0"/>
      <w:bCs/>
      <w:iCs/>
      <w:color w:val="0070C0"/>
      <w:sz w:val="24"/>
      <w:szCs w:val="28"/>
      <w:lang w:eastAsia="en-AU"/>
    </w:rPr>
  </w:style>
  <w:style w:type="paragraph" w:styleId="List">
    <w:name w:val="List"/>
    <w:aliases w:val="Bold"/>
    <w:basedOn w:val="Bullet"/>
    <w:rsid w:val="00C53429"/>
    <w:pPr>
      <w:keepNext/>
      <w:framePr w:wrap="around"/>
      <w:tabs>
        <w:tab w:val="left" w:pos="357"/>
      </w:tabs>
      <w:spacing w:before="360"/>
    </w:pPr>
    <w:rPr>
      <w:sz w:val="22"/>
    </w:rPr>
  </w:style>
  <w:style w:type="paragraph" w:styleId="ListBullet">
    <w:name w:val="List Bullet"/>
    <w:basedOn w:val="BodyText"/>
    <w:rsid w:val="00C53429"/>
    <w:pPr>
      <w:tabs>
        <w:tab w:val="num" w:pos="360"/>
      </w:tabs>
      <w:ind w:left="360" w:hanging="360"/>
      <w:jc w:val="left"/>
    </w:pPr>
  </w:style>
  <w:style w:type="paragraph" w:customStyle="1" w:styleId="StyleListComplexBold">
    <w:name w:val="Style List + (Complex) Bold"/>
    <w:basedOn w:val="List"/>
    <w:rsid w:val="00C53429"/>
    <w:pPr>
      <w:framePr w:wrap="around"/>
    </w:pPr>
  </w:style>
  <w:style w:type="paragraph" w:customStyle="1" w:styleId="StyleBodyTextJustified">
    <w:name w:val="Style Body Text + Justified"/>
    <w:basedOn w:val="BodyText"/>
    <w:autoRedefine/>
    <w:rsid w:val="00C53429"/>
    <w:rPr>
      <w:sz w:val="22"/>
    </w:rPr>
  </w:style>
  <w:style w:type="paragraph" w:customStyle="1" w:styleId="Examples">
    <w:name w:val="Examples"/>
    <w:basedOn w:val="Normal"/>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eastAsia="en-GB"/>
    </w:rPr>
  </w:style>
  <w:style w:type="paragraph" w:customStyle="1" w:styleId="TableHeading">
    <w:name w:val="Table Heading"/>
    <w:basedOn w:val="Normal"/>
    <w:rsid w:val="00C53429"/>
    <w:pPr>
      <w:framePr w:wrap="around" w:hAnchor="text"/>
      <w:snapToGrid w:val="0"/>
      <w:spacing w:before="48" w:after="48" w:line="240" w:lineRule="auto"/>
      <w:jc w:val="both"/>
    </w:pPr>
    <w:rPr>
      <w:rFonts w:ascii="Calibri" w:eastAsia="Times New Roman" w:hAnsi="Calibri" w:cs="Calibri"/>
      <w:b/>
      <w:i/>
      <w:iCs/>
      <w:color w:val="808080" w:themeColor="background1" w:themeShade="80"/>
      <w:sz w:val="20"/>
      <w:szCs w:val="20"/>
      <w:lang w:eastAsia="en-GB"/>
    </w:rPr>
  </w:style>
  <w:style w:type="paragraph" w:customStyle="1" w:styleId="Tabledata">
    <w:name w:val="Table data"/>
    <w:basedOn w:val="Normal"/>
    <w:rsid w:val="00C53429"/>
    <w:pPr>
      <w:framePr w:wrap="around" w:hAnchor="text"/>
      <w:snapToGrid w:val="0"/>
      <w:spacing w:before="48" w:after="48" w:line="240" w:lineRule="auto"/>
      <w:jc w:val="both"/>
    </w:pPr>
    <w:rPr>
      <w:rFonts w:ascii="Calibri" w:eastAsia="Times New Roman" w:hAnsi="Calibri" w:cs="Calibri"/>
      <w:bCs/>
      <w:i/>
      <w:iCs/>
      <w:color w:val="808080" w:themeColor="background1" w:themeShade="80"/>
      <w:sz w:val="20"/>
      <w:szCs w:val="20"/>
      <w:lang w:eastAsia="en-GB"/>
    </w:rPr>
  </w:style>
  <w:style w:type="paragraph" w:customStyle="1" w:styleId="Tablesrightbold">
    <w:name w:val="Tables right bold"/>
    <w:basedOn w:val="Tables"/>
    <w:rsid w:val="00C53429"/>
    <w:pPr>
      <w:framePr w:wrap="around"/>
      <w:spacing w:before="20" w:after="20"/>
    </w:pPr>
    <w:rPr>
      <w:b/>
      <w:sz w:val="16"/>
    </w:rPr>
  </w:style>
  <w:style w:type="paragraph" w:styleId="BodyText2">
    <w:name w:val="Body Text 2"/>
    <w:aliases w:val="Tables numbers"/>
    <w:basedOn w:val="BodyText"/>
    <w:link w:val="BodyText2Char"/>
    <w:rsid w:val="00C53429"/>
    <w:pPr>
      <w:spacing w:before="60" w:after="60"/>
    </w:pPr>
    <w:rPr>
      <w:sz w:val="16"/>
    </w:rPr>
  </w:style>
  <w:style w:type="character" w:customStyle="1" w:styleId="BodyText2Char">
    <w:name w:val="Body Text 2 Char"/>
    <w:aliases w:val="Tables numbers Char"/>
    <w:basedOn w:val="DefaultParagraphFont"/>
    <w:link w:val="BodyText2"/>
    <w:rsid w:val="00C53429"/>
    <w:rPr>
      <w:rFonts w:ascii="Calibri" w:eastAsia="Times New Roman" w:hAnsi="Calibri" w:cs="Times New Roman"/>
      <w:sz w:val="16"/>
      <w:szCs w:val="24"/>
      <w:lang w:eastAsia="en-AU"/>
    </w:rPr>
  </w:style>
  <w:style w:type="paragraph" w:customStyle="1" w:styleId="HBTablesleft">
    <w:name w:val="HB Tables left"/>
    <w:basedOn w:val="BodyText2"/>
    <w:rsid w:val="00C53429"/>
  </w:style>
  <w:style w:type="paragraph" w:customStyle="1" w:styleId="StyleHeading114pt">
    <w:name w:val="Style Heading 1 + 14 pt"/>
    <w:basedOn w:val="Heading1"/>
    <w:rsid w:val="00C53429"/>
    <w:pPr>
      <w:pageBreakBefore/>
      <w:spacing w:before="360" w:line="240" w:lineRule="auto"/>
    </w:pPr>
    <w:rPr>
      <w:rFonts w:ascii="Calibri" w:eastAsia="Times New Roman" w:hAnsi="Calibri" w:cs="Calibri"/>
      <w:b w:val="0"/>
      <w:bCs/>
      <w:snapToGrid w:val="0"/>
      <w:color w:val="0070C0"/>
      <w:kern w:val="32"/>
      <w:sz w:val="28"/>
      <w:lang w:eastAsia="en-AU"/>
    </w:rPr>
  </w:style>
  <w:style w:type="paragraph" w:customStyle="1" w:styleId="Bulletindent">
    <w:name w:val="Bullet indent"/>
    <w:basedOn w:val="BodyText"/>
    <w:rsid w:val="00C53429"/>
    <w:pPr>
      <w:numPr>
        <w:numId w:val="33"/>
      </w:numPr>
      <w:spacing w:before="60"/>
    </w:pPr>
    <w:rPr>
      <w:rFonts w:cs="Tahoma"/>
      <w:szCs w:val="20"/>
      <w:lang w:val="en-US"/>
    </w:rPr>
  </w:style>
  <w:style w:type="paragraph" w:styleId="ListBullet2">
    <w:name w:val="List Bullet 2"/>
    <w:basedOn w:val="ListBullet"/>
    <w:qFormat/>
    <w:rsid w:val="00C53429"/>
    <w:pPr>
      <w:numPr>
        <w:numId w:val="34"/>
      </w:numPr>
      <w:spacing w:before="60" w:after="60"/>
    </w:pPr>
  </w:style>
  <w:style w:type="paragraph" w:styleId="BodyText3">
    <w:name w:val="Body Text 3"/>
    <w:basedOn w:val="BodyText"/>
    <w:link w:val="BodyText3Char"/>
    <w:rsid w:val="00C53429"/>
    <w:pPr>
      <w:framePr w:wrap="around" w:hAnchor="text"/>
      <w:spacing w:before="40" w:after="40"/>
      <w:jc w:val="right"/>
    </w:pPr>
    <w:rPr>
      <w:sz w:val="13"/>
      <w:szCs w:val="20"/>
    </w:rPr>
  </w:style>
  <w:style w:type="character" w:customStyle="1" w:styleId="BodyText3Char">
    <w:name w:val="Body Text 3 Char"/>
    <w:basedOn w:val="DefaultParagraphFont"/>
    <w:link w:val="BodyText3"/>
    <w:rsid w:val="00C53429"/>
    <w:rPr>
      <w:rFonts w:ascii="Calibri" w:eastAsia="Times New Roman" w:hAnsi="Calibri" w:cs="Times New Roman"/>
      <w:sz w:val="13"/>
      <w:szCs w:val="20"/>
      <w:lang w:eastAsia="en-AU"/>
    </w:rPr>
  </w:style>
  <w:style w:type="paragraph" w:customStyle="1" w:styleId="StyleBodyText9ptItalicBefore2ptAfter2pt">
    <w:name w:val="Style Body Text + 9 pt Italic Before:  2 pt After:  2 pt"/>
    <w:basedOn w:val="BodyText"/>
    <w:rsid w:val="00C53429"/>
    <w:pPr>
      <w:spacing w:before="40" w:after="40"/>
    </w:pPr>
    <w:rPr>
      <w:iCs/>
      <w:szCs w:val="20"/>
    </w:rPr>
  </w:style>
  <w:style w:type="character" w:customStyle="1" w:styleId="CharChar1">
    <w:name w:val="Char Char1"/>
    <w:rsid w:val="00C53429"/>
    <w:rPr>
      <w:rFonts w:ascii="Tahoma" w:hAnsi="Tahoma" w:cs="Mangal"/>
      <w:szCs w:val="24"/>
      <w:lang w:val="en-AU" w:eastAsia="en-AU" w:bidi="ar-SA"/>
    </w:rPr>
  </w:style>
  <w:style w:type="paragraph" w:styleId="ListBullet3">
    <w:name w:val="List Bullet 3"/>
    <w:basedOn w:val="BodyText3"/>
    <w:rsid w:val="00C53429"/>
    <w:pPr>
      <w:framePr w:wrap="around"/>
      <w:numPr>
        <w:ilvl w:val="1"/>
        <w:numId w:val="35"/>
      </w:numPr>
    </w:pPr>
    <w:rPr>
      <w:b/>
    </w:rPr>
  </w:style>
  <w:style w:type="paragraph" w:customStyle="1" w:styleId="StyleTahoma11ptBefore3ptAfter3pt">
    <w:name w:val="Style Tahoma 11 pt Before:  3 pt After:  3 pt"/>
    <w:basedOn w:val="Normal"/>
    <w:rsid w:val="00C53429"/>
    <w:pPr>
      <w:framePr w:wrap="around" w:hAnchor="text"/>
      <w:snapToGrid w:val="0"/>
      <w:spacing w:before="120" w:after="120" w:line="240" w:lineRule="auto"/>
      <w:jc w:val="both"/>
    </w:pPr>
    <w:rPr>
      <w:rFonts w:ascii="Calibri" w:eastAsia="Times New Roman" w:hAnsi="Calibri" w:cs="Mangal"/>
      <w:bCs/>
      <w:i/>
      <w:iCs/>
      <w:color w:val="808080" w:themeColor="background1" w:themeShade="80"/>
      <w:lang w:val="en-US" w:eastAsia="en-GB"/>
    </w:rPr>
  </w:style>
  <w:style w:type="paragraph" w:styleId="TableofFigures">
    <w:name w:val="table of figures"/>
    <w:basedOn w:val="BodyText"/>
    <w:next w:val="BodyText"/>
    <w:uiPriority w:val="99"/>
    <w:rsid w:val="00C53429"/>
    <w:pPr>
      <w:tabs>
        <w:tab w:val="right" w:pos="7513"/>
        <w:tab w:val="right" w:leader="dot" w:pos="13992"/>
      </w:tabs>
    </w:pPr>
  </w:style>
  <w:style w:type="paragraph" w:styleId="BalloonText">
    <w:name w:val="Balloon Text"/>
    <w:basedOn w:val="Normal"/>
    <w:link w:val="BalloonTextChar"/>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eastAsia="en-GB"/>
    </w:rPr>
  </w:style>
  <w:style w:type="character" w:customStyle="1" w:styleId="BalloonTextChar">
    <w:name w:val="Balloon Text Char"/>
    <w:basedOn w:val="DefaultParagraphFont"/>
    <w:link w:val="BalloonText"/>
    <w:rsid w:val="00C53429"/>
    <w:rPr>
      <w:rFonts w:ascii="Calibri" w:eastAsia="Times New Roman" w:hAnsi="Calibri" w:cs="Calibri"/>
      <w:bCs/>
      <w:i/>
      <w:iCs/>
      <w:color w:val="808080" w:themeColor="background1" w:themeShade="80"/>
      <w:sz w:val="20"/>
      <w:szCs w:val="20"/>
      <w:lang w:eastAsia="en-GB"/>
    </w:rPr>
  </w:style>
  <w:style w:type="table" w:styleId="LightShading-Accent6">
    <w:name w:val="Light Shading Accent 6"/>
    <w:basedOn w:val="TableNormal"/>
    <w:uiPriority w:val="60"/>
    <w:rsid w:val="00C53429"/>
    <w:pPr>
      <w:spacing w:before="40" w:after="40" w:line="240" w:lineRule="auto"/>
    </w:pPr>
    <w:rPr>
      <w:rFonts w:ascii="Calibri" w:eastAsia="Times New Roman" w:hAnsi="Calibri" w:cs="Times New Roman"/>
      <w:color w:val="000000"/>
      <w:sz w:val="18"/>
      <w:szCs w:val="20"/>
      <w:lang w:eastAsia="en-AU"/>
    </w:rPr>
    <w:tblPr>
      <w:tblStyleRow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vAlign w:val="center"/>
    </w:tcPr>
    <w:tblStylePr w:type="firstRow">
      <w:rPr>
        <w:rFonts w:ascii="Symbol" w:eastAsia="Tms Rmn" w:hAnsi="Symbol"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Horz">
      <w:tblPr/>
      <w:tcPr>
        <w:shd w:val="clear" w:color="auto" w:fill="D2EAF1"/>
      </w:tcPr>
    </w:tblStylePr>
  </w:style>
  <w:style w:type="table" w:styleId="LightGrid-Accent5">
    <w:name w:val="Light Grid Accent 5"/>
    <w:basedOn w:val="TableNormal"/>
    <w:uiPriority w:val="62"/>
    <w:rsid w:val="00C53429"/>
    <w:pPr>
      <w:spacing w:after="0" w:line="240" w:lineRule="auto"/>
      <w:jc w:val="right"/>
    </w:pPr>
    <w:rPr>
      <w:rFonts w:ascii="Calibri" w:eastAsia="Times New Roman" w:hAnsi="Calibri" w:cs="Times New Roman"/>
      <w:sz w:val="16"/>
      <w:szCs w:val="20"/>
      <w:lang w:eastAsia="en-AU"/>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vAlign w:val="center"/>
    </w:tcPr>
    <w:tblStylePr w:type="firstRow">
      <w:pPr>
        <w:spacing w:before="0" w:after="0" w:line="240" w:lineRule="auto"/>
      </w:pPr>
      <w:rPr>
        <w:rFonts w:asciiTheme="minorHAnsi" w:eastAsia="Times New Roman" w:hAnsiTheme="minorHAnsi" w:cs="Times New Roman"/>
        <w:b w:val="0"/>
        <w:bCs/>
        <w:sz w:val="16"/>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Theme="minorHAnsi" w:eastAsia="Times New Roman" w:hAnsiTheme="minorHAnsi" w:cs="Times New Roman"/>
        <w:b w:val="0"/>
        <w:bCs/>
        <w:sz w:val="16"/>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Theme="minorHAnsi" w:eastAsia="Times New Roman" w:hAnsiTheme="minorHAnsi" w:cs="Times New Roman"/>
        <w:b w:val="0"/>
        <w:bCs/>
        <w:sz w:val="16"/>
      </w:rPr>
    </w:tblStylePr>
    <w:tblStylePr w:type="lastCol">
      <w:rPr>
        <w:rFonts w:ascii="HelveticaNeueLT-Light" w:eastAsia="Times New Roman" w:hAnsi="HelveticaNeueLT-Light"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Grid-Accent1">
    <w:name w:val="Light Grid Accent 1"/>
    <w:basedOn w:val="TableNormal"/>
    <w:uiPriority w:val="62"/>
    <w:rsid w:val="00C53429"/>
    <w:pPr>
      <w:spacing w:after="0" w:line="240" w:lineRule="auto"/>
      <w:jc w:val="right"/>
    </w:pPr>
    <w:rPr>
      <w:rFonts w:asciiTheme="majorHAnsi" w:eastAsia="Times New Roman" w:hAnsiTheme="majorHAnsi" w:cs="Times New Roman"/>
      <w:sz w:val="18"/>
      <w:szCs w:val="20"/>
      <w:lang w:eastAsia="en-AU"/>
    </w:rPr>
    <w:tblPr>
      <w:tblStyleRowBandSize w:val="1"/>
      <w:tblStyleColBandSize w:val="1"/>
      <w:tblBorders>
        <w:top w:val="single" w:sz="8" w:space="0" w:color="00B1B0" w:themeColor="accent1"/>
        <w:left w:val="single" w:sz="8" w:space="0" w:color="00B1B0" w:themeColor="accent1"/>
        <w:bottom w:val="single" w:sz="8" w:space="0" w:color="00B1B0" w:themeColor="accent1"/>
        <w:right w:val="single" w:sz="8" w:space="0" w:color="00B1B0" w:themeColor="accent1"/>
        <w:insideH w:val="single" w:sz="8" w:space="0" w:color="00B1B0" w:themeColor="accent1"/>
        <w:insideV w:val="single" w:sz="8" w:space="0" w:color="00B1B0" w:themeColor="accent1"/>
      </w:tblBorders>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00B1B0" w:themeColor="accent1"/>
          <w:left w:val="single" w:sz="8" w:space="0" w:color="00B1B0" w:themeColor="accent1"/>
          <w:bottom w:val="single" w:sz="18" w:space="0" w:color="00B1B0" w:themeColor="accent1"/>
          <w:right w:val="single" w:sz="8" w:space="0" w:color="00B1B0" w:themeColor="accent1"/>
          <w:insideH w:val="nil"/>
          <w:insideV w:val="single" w:sz="8" w:space="0" w:color="00B1B0"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1B0" w:themeColor="accent1"/>
          <w:left w:val="single" w:sz="8" w:space="0" w:color="00B1B0" w:themeColor="accent1"/>
          <w:bottom w:val="single" w:sz="8" w:space="0" w:color="00B1B0" w:themeColor="accent1"/>
          <w:right w:val="single" w:sz="8" w:space="0" w:color="00B1B0" w:themeColor="accent1"/>
          <w:insideH w:val="nil"/>
          <w:insideV w:val="single" w:sz="8" w:space="0" w:color="00B1B0"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1B0" w:themeColor="accent1"/>
          <w:left w:val="single" w:sz="8" w:space="0" w:color="00B1B0" w:themeColor="accent1"/>
          <w:bottom w:val="single" w:sz="8" w:space="0" w:color="00B1B0" w:themeColor="accent1"/>
          <w:right w:val="single" w:sz="8" w:space="0" w:color="00B1B0" w:themeColor="accent1"/>
        </w:tcBorders>
      </w:tcPr>
    </w:tblStylePr>
    <w:tblStylePr w:type="band1Vert">
      <w:tblPr/>
      <w:tcPr>
        <w:tcBorders>
          <w:top w:val="single" w:sz="8" w:space="0" w:color="00B1B0" w:themeColor="accent1"/>
          <w:left w:val="single" w:sz="8" w:space="0" w:color="00B1B0" w:themeColor="accent1"/>
          <w:bottom w:val="single" w:sz="8" w:space="0" w:color="00B1B0" w:themeColor="accent1"/>
          <w:right w:val="single" w:sz="8" w:space="0" w:color="00B1B0" w:themeColor="accent1"/>
        </w:tcBorders>
        <w:shd w:val="clear" w:color="auto" w:fill="ACFFFE" w:themeFill="accent1" w:themeFillTint="3F"/>
      </w:tcPr>
    </w:tblStylePr>
    <w:tblStylePr w:type="band1Horz">
      <w:tblPr/>
      <w:tcPr>
        <w:tcBorders>
          <w:top w:val="single" w:sz="8" w:space="0" w:color="00B1B0" w:themeColor="accent1"/>
          <w:left w:val="single" w:sz="8" w:space="0" w:color="00B1B0" w:themeColor="accent1"/>
          <w:bottom w:val="single" w:sz="8" w:space="0" w:color="00B1B0" w:themeColor="accent1"/>
          <w:right w:val="single" w:sz="8" w:space="0" w:color="00B1B0" w:themeColor="accent1"/>
          <w:insideV w:val="single" w:sz="8" w:space="0" w:color="00B1B0" w:themeColor="accent1"/>
        </w:tcBorders>
        <w:shd w:val="clear" w:color="auto" w:fill="ACFFFE" w:themeFill="accent1" w:themeFillTint="3F"/>
      </w:tcPr>
    </w:tblStylePr>
    <w:tblStylePr w:type="band2Horz">
      <w:tblPr/>
      <w:tcPr>
        <w:tcBorders>
          <w:top w:val="single" w:sz="8" w:space="0" w:color="00B1B0" w:themeColor="accent1"/>
          <w:left w:val="single" w:sz="8" w:space="0" w:color="00B1B0" w:themeColor="accent1"/>
          <w:bottom w:val="single" w:sz="8" w:space="0" w:color="00B1B0" w:themeColor="accent1"/>
          <w:right w:val="single" w:sz="8" w:space="0" w:color="00B1B0" w:themeColor="accent1"/>
          <w:insideV w:val="single" w:sz="8" w:space="0" w:color="00B1B0" w:themeColor="accent1"/>
        </w:tcBorders>
      </w:tcPr>
    </w:tblStylePr>
  </w:style>
  <w:style w:type="paragraph" w:styleId="EndnoteText">
    <w:name w:val="endnote text"/>
    <w:basedOn w:val="Normal"/>
    <w:link w:val="EndnoteTextChar"/>
    <w:rsid w:val="00C53429"/>
    <w:pPr>
      <w:framePr w:wrap="around" w:hAnchor="text"/>
      <w:snapToGrid w:val="0"/>
      <w:spacing w:before="120" w:after="120" w:line="240" w:lineRule="auto"/>
      <w:jc w:val="both"/>
    </w:pPr>
    <w:rPr>
      <w:rFonts w:ascii="Calibri" w:eastAsia="Times New Roman" w:hAnsi="Calibri" w:cs="Calibri"/>
      <w:bCs/>
      <w:i/>
      <w:iCs/>
      <w:color w:val="808080" w:themeColor="background1" w:themeShade="80"/>
      <w:sz w:val="20"/>
      <w:szCs w:val="20"/>
      <w:lang w:eastAsia="en-GB"/>
    </w:rPr>
  </w:style>
  <w:style w:type="character" w:customStyle="1" w:styleId="EndnoteTextChar">
    <w:name w:val="Endnote Text Char"/>
    <w:basedOn w:val="DefaultParagraphFont"/>
    <w:link w:val="EndnoteText"/>
    <w:rsid w:val="00C53429"/>
    <w:rPr>
      <w:rFonts w:ascii="Calibri" w:eastAsia="Times New Roman" w:hAnsi="Calibri" w:cs="Calibri"/>
      <w:bCs/>
      <w:i/>
      <w:iCs/>
      <w:color w:val="808080" w:themeColor="background1" w:themeShade="80"/>
      <w:sz w:val="20"/>
      <w:szCs w:val="20"/>
      <w:lang w:eastAsia="en-GB"/>
    </w:rPr>
  </w:style>
  <w:style w:type="character" w:styleId="EndnoteReference">
    <w:name w:val="endnote reference"/>
    <w:basedOn w:val="DefaultParagraphFont"/>
    <w:rsid w:val="00C53429"/>
    <w:rPr>
      <w:vertAlign w:val="superscript"/>
    </w:rPr>
  </w:style>
  <w:style w:type="character" w:customStyle="1" w:styleId="UnresolvedMention1">
    <w:name w:val="Unresolved Mention1"/>
    <w:basedOn w:val="DefaultParagraphFont"/>
    <w:uiPriority w:val="99"/>
    <w:semiHidden/>
    <w:unhideWhenUsed/>
    <w:rsid w:val="00C53429"/>
    <w:rPr>
      <w:color w:val="808080"/>
      <w:shd w:val="clear" w:color="auto" w:fill="E6E6E6"/>
    </w:rPr>
  </w:style>
  <w:style w:type="table" w:styleId="LightList-Accent5">
    <w:name w:val="Light List Accent 5"/>
    <w:basedOn w:val="TableNormal"/>
    <w:uiPriority w:val="61"/>
    <w:rsid w:val="00C53429"/>
    <w:pPr>
      <w:spacing w:after="0" w:line="240" w:lineRule="auto"/>
    </w:pPr>
    <w:rPr>
      <w:rFonts w:ascii="Times New Roman" w:eastAsia="Times New Roman" w:hAnsi="Times New Roman" w:cs="Times New Roman"/>
      <w:sz w:val="24"/>
      <w:szCs w:val="24"/>
      <w:lang w:eastAsia="en-AU"/>
    </w:rPr>
    <w:tblPr>
      <w:tblStyleRowBandSize w:val="1"/>
      <w:tblStyleColBandSize w:val="1"/>
      <w:tblBorders>
        <w:top w:val="single" w:sz="8" w:space="0" w:color="A8D04A" w:themeColor="accent5"/>
        <w:left w:val="single" w:sz="8" w:space="0" w:color="A8D04A" w:themeColor="accent5"/>
        <w:bottom w:val="single" w:sz="8" w:space="0" w:color="A8D04A" w:themeColor="accent5"/>
        <w:right w:val="single" w:sz="8" w:space="0" w:color="A8D04A" w:themeColor="accent5"/>
      </w:tblBorders>
    </w:tblPr>
    <w:tblStylePr w:type="firstRow">
      <w:pPr>
        <w:spacing w:before="0" w:after="0" w:line="240" w:lineRule="auto"/>
      </w:pPr>
      <w:rPr>
        <w:b/>
        <w:bCs/>
        <w:color w:val="FFFFFF" w:themeColor="background1"/>
      </w:rPr>
      <w:tblPr/>
      <w:tcPr>
        <w:shd w:val="clear" w:color="auto" w:fill="A8D04A" w:themeFill="accent5"/>
      </w:tcPr>
    </w:tblStylePr>
    <w:tblStylePr w:type="lastRow">
      <w:pPr>
        <w:spacing w:before="0" w:after="0" w:line="240" w:lineRule="auto"/>
      </w:pPr>
      <w:rPr>
        <w:b/>
        <w:bCs/>
      </w:rPr>
      <w:tblPr/>
      <w:tcPr>
        <w:tcBorders>
          <w:top w:val="double" w:sz="6" w:space="0" w:color="A8D04A" w:themeColor="accent5"/>
          <w:left w:val="single" w:sz="8" w:space="0" w:color="A8D04A" w:themeColor="accent5"/>
          <w:bottom w:val="single" w:sz="8" w:space="0" w:color="A8D04A" w:themeColor="accent5"/>
          <w:right w:val="single" w:sz="8" w:space="0" w:color="A8D04A" w:themeColor="accent5"/>
        </w:tcBorders>
      </w:tcPr>
    </w:tblStylePr>
    <w:tblStylePr w:type="firstCol">
      <w:rPr>
        <w:b/>
        <w:bCs/>
      </w:rPr>
    </w:tblStylePr>
    <w:tblStylePr w:type="lastCol">
      <w:rPr>
        <w:b/>
        <w:bCs/>
      </w:rPr>
    </w:tblStylePr>
    <w:tblStylePr w:type="band1Vert">
      <w:tblPr/>
      <w:tcPr>
        <w:tcBorders>
          <w:top w:val="single" w:sz="8" w:space="0" w:color="A8D04A" w:themeColor="accent5"/>
          <w:left w:val="single" w:sz="8" w:space="0" w:color="A8D04A" w:themeColor="accent5"/>
          <w:bottom w:val="single" w:sz="8" w:space="0" w:color="A8D04A" w:themeColor="accent5"/>
          <w:right w:val="single" w:sz="8" w:space="0" w:color="A8D04A" w:themeColor="accent5"/>
        </w:tcBorders>
      </w:tcPr>
    </w:tblStylePr>
    <w:tblStylePr w:type="band1Horz">
      <w:tblPr/>
      <w:tcPr>
        <w:tcBorders>
          <w:top w:val="single" w:sz="8" w:space="0" w:color="A8D04A" w:themeColor="accent5"/>
          <w:left w:val="single" w:sz="8" w:space="0" w:color="A8D04A" w:themeColor="accent5"/>
          <w:bottom w:val="single" w:sz="8" w:space="0" w:color="A8D04A" w:themeColor="accent5"/>
          <w:right w:val="single" w:sz="8" w:space="0" w:color="A8D04A" w:themeColor="accent5"/>
        </w:tcBorders>
      </w:tcPr>
    </w:tblStylePr>
  </w:style>
  <w:style w:type="table" w:customStyle="1" w:styleId="ListTable1Light-Accent11">
    <w:name w:val="List Table 1 Light - Accent 11"/>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bottom w:val="single" w:sz="4" w:space="0" w:color="37FFFD" w:themeColor="accent1" w:themeTint="99"/>
        </w:tcBorders>
      </w:tcPr>
    </w:tblStylePr>
    <w:tblStylePr w:type="lastRow">
      <w:rPr>
        <w:b/>
        <w:bCs/>
      </w:rPr>
      <w:tblPr/>
      <w:tcPr>
        <w:tcBorders>
          <w:top w:val="single" w:sz="4" w:space="0" w:color="37FFFD" w:themeColor="accent1" w:themeTint="99"/>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table" w:customStyle="1" w:styleId="ListTable2-Accent11">
    <w:name w:val="List Table 2 - Accent 11"/>
    <w:basedOn w:val="TableNormal"/>
    <w:uiPriority w:val="47"/>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37FFFD" w:themeColor="accent1" w:themeTint="99"/>
        <w:bottom w:val="single" w:sz="4" w:space="0" w:color="37FFFD" w:themeColor="accent1" w:themeTint="99"/>
        <w:insideH w:val="single" w:sz="4" w:space="0" w:color="37FFF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table" w:customStyle="1" w:styleId="GridTable4-Accent11">
    <w:name w:val="Grid Table 4 - Accent 11"/>
    <w:basedOn w:val="TableNormal"/>
    <w:uiPriority w:val="49"/>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blStylePr w:type="firstRow">
      <w:rPr>
        <w:b/>
        <w:bCs/>
        <w:color w:val="FFFFFF" w:themeColor="background1"/>
      </w:rPr>
      <w:tblPr/>
      <w:tcPr>
        <w:tcBorders>
          <w:top w:val="single" w:sz="4" w:space="0" w:color="00B1B0" w:themeColor="accent1"/>
          <w:left w:val="single" w:sz="4" w:space="0" w:color="00B1B0" w:themeColor="accent1"/>
          <w:bottom w:val="single" w:sz="4" w:space="0" w:color="00B1B0" w:themeColor="accent1"/>
          <w:right w:val="single" w:sz="4" w:space="0" w:color="00B1B0" w:themeColor="accent1"/>
          <w:insideH w:val="nil"/>
          <w:insideV w:val="nil"/>
        </w:tcBorders>
        <w:shd w:val="clear" w:color="auto" w:fill="00B1B0" w:themeFill="accent1"/>
      </w:tcPr>
    </w:tblStylePr>
    <w:tblStylePr w:type="lastRow">
      <w:rPr>
        <w:b/>
        <w:bCs/>
      </w:rPr>
      <w:tblPr/>
      <w:tcPr>
        <w:tcBorders>
          <w:top w:val="double" w:sz="4" w:space="0" w:color="00B1B0" w:themeColor="accent1"/>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character" w:customStyle="1" w:styleId="apple-converted-space">
    <w:name w:val="apple-converted-space"/>
    <w:basedOn w:val="DefaultParagraphFont"/>
    <w:rsid w:val="00C53429"/>
  </w:style>
  <w:style w:type="character" w:customStyle="1" w:styleId="UnresolvedMention2">
    <w:name w:val="Unresolved Mention2"/>
    <w:basedOn w:val="DefaultParagraphFont"/>
    <w:uiPriority w:val="99"/>
    <w:semiHidden/>
    <w:unhideWhenUsed/>
    <w:rsid w:val="00C53429"/>
    <w:rPr>
      <w:color w:val="605E5C"/>
      <w:shd w:val="clear" w:color="auto" w:fill="E1DFDD"/>
    </w:rPr>
  </w:style>
  <w:style w:type="table" w:customStyle="1" w:styleId="GridTable1Light-Accent12">
    <w:name w:val="Grid Table 1 Light - Accent 12"/>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79FFFD" w:themeColor="accent1" w:themeTint="66"/>
        <w:left w:val="single" w:sz="4" w:space="0" w:color="79FFFD" w:themeColor="accent1" w:themeTint="66"/>
        <w:bottom w:val="single" w:sz="4" w:space="0" w:color="79FFFD" w:themeColor="accent1" w:themeTint="66"/>
        <w:right w:val="single" w:sz="4" w:space="0" w:color="79FFFD" w:themeColor="accent1" w:themeTint="66"/>
        <w:insideH w:val="single" w:sz="4" w:space="0" w:color="79FFFD" w:themeColor="accent1" w:themeTint="66"/>
        <w:insideV w:val="single" w:sz="4" w:space="0" w:color="79FFFD" w:themeColor="accent1" w:themeTint="66"/>
      </w:tblBorders>
    </w:tblPr>
    <w:tblStylePr w:type="firstRow">
      <w:rPr>
        <w:b/>
        <w:bCs/>
      </w:rPr>
      <w:tblPr/>
      <w:tcPr>
        <w:tcBorders>
          <w:bottom w:val="single" w:sz="12" w:space="0" w:color="37FFFD" w:themeColor="accent1" w:themeTint="99"/>
        </w:tcBorders>
      </w:tcPr>
    </w:tblStylePr>
    <w:tblStylePr w:type="lastRow">
      <w:rPr>
        <w:b/>
        <w:bCs/>
      </w:rPr>
      <w:tblPr/>
      <w:tcPr>
        <w:tcBorders>
          <w:top w:val="double" w:sz="2" w:space="0" w:color="37FFFD" w:themeColor="accent1" w:themeTint="99"/>
        </w:tcBorders>
      </w:tcPr>
    </w:tblStylePr>
    <w:tblStylePr w:type="firstCol">
      <w:rPr>
        <w:b/>
        <w:bCs/>
      </w:rPr>
    </w:tblStylePr>
    <w:tblStylePr w:type="lastCol">
      <w:rPr>
        <w:b/>
        <w:bCs/>
      </w:rPr>
    </w:tblStylePr>
  </w:style>
  <w:style w:type="table" w:customStyle="1" w:styleId="GridTable4-Accent12">
    <w:name w:val="Grid Table 4 - Accent 12"/>
    <w:basedOn w:val="TableNormal"/>
    <w:uiPriority w:val="49"/>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blStylePr w:type="firstRow">
      <w:rPr>
        <w:b/>
        <w:bCs/>
        <w:color w:val="FFFFFF" w:themeColor="background1"/>
      </w:rPr>
      <w:tblPr/>
      <w:tcPr>
        <w:tcBorders>
          <w:top w:val="single" w:sz="4" w:space="0" w:color="00B1B0" w:themeColor="accent1"/>
          <w:left w:val="single" w:sz="4" w:space="0" w:color="00B1B0" w:themeColor="accent1"/>
          <w:bottom w:val="single" w:sz="4" w:space="0" w:color="00B1B0" w:themeColor="accent1"/>
          <w:right w:val="single" w:sz="4" w:space="0" w:color="00B1B0" w:themeColor="accent1"/>
          <w:insideH w:val="nil"/>
          <w:insideV w:val="nil"/>
        </w:tcBorders>
        <w:shd w:val="clear" w:color="auto" w:fill="00B1B0" w:themeFill="accent1"/>
      </w:tcPr>
    </w:tblStylePr>
    <w:tblStylePr w:type="lastRow">
      <w:rPr>
        <w:b/>
        <w:bCs/>
      </w:rPr>
      <w:tblPr/>
      <w:tcPr>
        <w:tcBorders>
          <w:top w:val="double" w:sz="4" w:space="0" w:color="00B1B0" w:themeColor="accent1"/>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table" w:customStyle="1" w:styleId="GridTable6ColourfulAccent11">
    <w:name w:val="Grid Table 6 Colourful – Accent 11"/>
    <w:basedOn w:val="TableNormal"/>
    <w:uiPriority w:val="51"/>
    <w:rsid w:val="00C53429"/>
    <w:pPr>
      <w:spacing w:after="0" w:line="240" w:lineRule="auto"/>
      <w:jc w:val="right"/>
    </w:pPr>
    <w:rPr>
      <w:rFonts w:asciiTheme="majorHAnsi" w:eastAsia="Times New Roman" w:hAnsiTheme="majorHAnsi" w:cs="Times New Roman"/>
      <w:color w:val="008483" w:themeColor="accent1" w:themeShade="BF"/>
      <w:sz w:val="18"/>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cPr>
      <w:vAlign w:val="center"/>
    </w:tcPr>
    <w:tblStylePr w:type="firstRow">
      <w:rPr>
        <w:b/>
        <w:bCs/>
      </w:rPr>
      <w:tblPr/>
      <w:tcPr>
        <w:tcBorders>
          <w:bottom w:val="single" w:sz="12" w:space="0" w:color="37FFFD" w:themeColor="accent1" w:themeTint="99"/>
        </w:tcBorders>
      </w:tcPr>
    </w:tblStylePr>
    <w:tblStylePr w:type="lastRow">
      <w:rPr>
        <w:b/>
        <w:bCs/>
      </w:rPr>
      <w:tblPr/>
      <w:tcPr>
        <w:tcBorders>
          <w:top w:val="double" w:sz="4" w:space="0" w:color="37FFFD" w:themeColor="accent1" w:themeTint="99"/>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paragraph" w:customStyle="1" w:styleId="Bullets">
    <w:name w:val="Bullets"/>
    <w:basedOn w:val="Normal"/>
    <w:next w:val="Normal"/>
    <w:uiPriority w:val="99"/>
    <w:rsid w:val="00C53429"/>
    <w:pPr>
      <w:suppressAutoHyphens/>
      <w:autoSpaceDE w:val="0"/>
      <w:autoSpaceDN w:val="0"/>
      <w:adjustRightInd w:val="0"/>
      <w:snapToGrid w:val="0"/>
      <w:spacing w:before="57" w:after="57" w:line="240" w:lineRule="atLeast"/>
      <w:ind w:left="180" w:hanging="180"/>
      <w:jc w:val="both"/>
      <w:textAlignment w:val="center"/>
    </w:pPr>
    <w:rPr>
      <w:rFonts w:ascii="Myriad Pro" w:hAnsi="Myriad Pro" w:cs="Myriad Pro"/>
      <w:i/>
      <w:iCs/>
      <w:color w:val="454547"/>
      <w:lang w:val="en-US" w:eastAsia="en-GB"/>
      <w14:textFill>
        <w14:solidFill>
          <w14:srgbClr w14:val="454547">
            <w14:lumMod w14:val="50000"/>
          </w14:srgbClr>
        </w14:solidFill>
      </w14:textFill>
    </w:rPr>
  </w:style>
  <w:style w:type="table" w:customStyle="1" w:styleId="ListTable1Light-Accent12">
    <w:name w:val="List Table 1 Light - Accent 12"/>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bottom w:val="single" w:sz="4" w:space="0" w:color="37FFFD" w:themeColor="accent1" w:themeTint="99"/>
        </w:tcBorders>
      </w:tcPr>
    </w:tblStylePr>
    <w:tblStylePr w:type="lastRow">
      <w:rPr>
        <w:b/>
        <w:bCs/>
      </w:rPr>
      <w:tblPr/>
      <w:tcPr>
        <w:tcBorders>
          <w:top w:val="single" w:sz="4" w:space="0" w:color="37FFFD" w:themeColor="accent1" w:themeTint="99"/>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paragraph" w:customStyle="1" w:styleId="nav-level-1">
    <w:name w:val="nav-level-1"/>
    <w:basedOn w:val="Normal"/>
    <w:rsid w:val="00C53429"/>
    <w:pPr>
      <w:snapToGrid w:val="0"/>
      <w:spacing w:before="100" w:beforeAutospacing="1" w:after="100" w:afterAutospacing="1" w:line="240" w:lineRule="auto"/>
      <w:jc w:val="both"/>
    </w:pPr>
    <w:rPr>
      <w:rFonts w:ascii="Calibri" w:eastAsia="Times New Roman" w:hAnsi="Calibri" w:cs="Calibri"/>
      <w:color w:val="808080" w:themeColor="background1" w:themeShade="80"/>
      <w:sz w:val="20"/>
      <w:szCs w:val="20"/>
      <w:lang w:eastAsia="en-GB"/>
    </w:rPr>
  </w:style>
  <w:style w:type="paragraph" w:customStyle="1" w:styleId="nav-active-path">
    <w:name w:val="nav-active-path"/>
    <w:basedOn w:val="Normal"/>
    <w:rsid w:val="00C53429"/>
    <w:pPr>
      <w:snapToGrid w:val="0"/>
      <w:spacing w:before="100" w:beforeAutospacing="1" w:after="100" w:afterAutospacing="1" w:line="240" w:lineRule="auto"/>
      <w:jc w:val="both"/>
    </w:pPr>
    <w:rPr>
      <w:rFonts w:ascii="Calibri" w:eastAsia="Times New Roman" w:hAnsi="Calibri" w:cs="Calibri"/>
      <w:color w:val="808080" w:themeColor="background1" w:themeShade="80"/>
      <w:sz w:val="20"/>
      <w:szCs w:val="20"/>
      <w:lang w:eastAsia="en-GB"/>
    </w:rPr>
  </w:style>
  <w:style w:type="character" w:styleId="FollowedHyperlink">
    <w:name w:val="FollowedHyperlink"/>
    <w:basedOn w:val="DefaultParagraphFont"/>
    <w:semiHidden/>
    <w:unhideWhenUsed/>
    <w:rsid w:val="00C53429"/>
    <w:rPr>
      <w:color w:val="00B7F1" w:themeColor="followedHyperlink"/>
      <w:u w:val="single"/>
    </w:rPr>
  </w:style>
  <w:style w:type="table" w:styleId="LightShading-Accent2">
    <w:name w:val="Light Shading Accent 2"/>
    <w:basedOn w:val="TableNormal"/>
    <w:uiPriority w:val="60"/>
    <w:rsid w:val="00C53429"/>
    <w:pPr>
      <w:spacing w:after="0" w:line="240" w:lineRule="auto"/>
    </w:pPr>
    <w:rPr>
      <w:rFonts w:ascii="Times New Roman" w:eastAsia="Times New Roman" w:hAnsi="Times New Roman" w:cs="Times New Roman"/>
      <w:color w:val="00697D" w:themeColor="accent2" w:themeShade="BF"/>
      <w:sz w:val="20"/>
      <w:szCs w:val="20"/>
      <w:lang w:eastAsia="en-AU"/>
    </w:rPr>
    <w:tblPr>
      <w:tblStyleRowBandSize w:val="1"/>
      <w:tblStyleColBandSize w:val="1"/>
      <w:tblBorders>
        <w:top w:val="single" w:sz="8" w:space="0" w:color="008DA8" w:themeColor="accent2"/>
        <w:bottom w:val="single" w:sz="8" w:space="0" w:color="008DA8" w:themeColor="accent2"/>
      </w:tblBorders>
    </w:tblPr>
    <w:tblStylePr w:type="firstRow">
      <w:pPr>
        <w:spacing w:before="0" w:after="0" w:line="240" w:lineRule="auto"/>
      </w:pPr>
      <w:rPr>
        <w:b/>
        <w:bCs/>
      </w:rPr>
      <w:tblPr/>
      <w:tcPr>
        <w:tcBorders>
          <w:top w:val="single" w:sz="8" w:space="0" w:color="008DA8" w:themeColor="accent2"/>
          <w:left w:val="nil"/>
          <w:bottom w:val="single" w:sz="8" w:space="0" w:color="008DA8" w:themeColor="accent2"/>
          <w:right w:val="nil"/>
          <w:insideH w:val="nil"/>
          <w:insideV w:val="nil"/>
        </w:tcBorders>
      </w:tcPr>
    </w:tblStylePr>
    <w:tblStylePr w:type="lastRow">
      <w:pPr>
        <w:spacing w:before="0" w:after="0" w:line="240" w:lineRule="auto"/>
      </w:pPr>
      <w:rPr>
        <w:b/>
        <w:bCs/>
      </w:rPr>
      <w:tblPr/>
      <w:tcPr>
        <w:tcBorders>
          <w:top w:val="single" w:sz="8" w:space="0" w:color="008DA8" w:themeColor="accent2"/>
          <w:left w:val="nil"/>
          <w:bottom w:val="single" w:sz="8" w:space="0" w:color="008DA8"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AF1FF" w:themeFill="accent2" w:themeFillTint="3F"/>
      </w:tcPr>
    </w:tblStylePr>
    <w:tblStylePr w:type="band1Horz">
      <w:tblPr/>
      <w:tcPr>
        <w:shd w:val="clear" w:color="auto" w:fill="BAF3FF" w:themeFill="accent2" w:themeFillTint="33"/>
      </w:tcPr>
    </w:tblStylePr>
  </w:style>
  <w:style w:type="table" w:customStyle="1" w:styleId="GridTable1Light-Accent51">
    <w:name w:val="Grid Table 1 Light - Accent 51"/>
    <w:basedOn w:val="TableNormal"/>
    <w:uiPriority w:val="46"/>
    <w:rsid w:val="00C53429"/>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paragraph" w:styleId="Closing">
    <w:name w:val="Closing"/>
    <w:basedOn w:val="Normal"/>
    <w:next w:val="Normal"/>
    <w:link w:val="ClosingChar"/>
    <w:rsid w:val="00C53429"/>
    <w:pPr>
      <w:snapToGrid w:val="0"/>
      <w:spacing w:after="0" w:line="220" w:lineRule="atLeast"/>
      <w:jc w:val="both"/>
    </w:pPr>
    <w:rPr>
      <w:rFonts w:ascii="Garamond" w:eastAsia="Times New Roman" w:hAnsi="Garamond" w:cs="Calibri"/>
      <w:i/>
      <w:iCs/>
      <w:color w:val="808080" w:themeColor="background1" w:themeShade="80"/>
      <w:szCs w:val="20"/>
      <w:lang w:eastAsia="en-GB"/>
    </w:rPr>
  </w:style>
  <w:style w:type="character" w:customStyle="1" w:styleId="ClosingChar">
    <w:name w:val="Closing Char"/>
    <w:basedOn w:val="DefaultParagraphFont"/>
    <w:link w:val="Closing"/>
    <w:rsid w:val="00C53429"/>
    <w:rPr>
      <w:rFonts w:ascii="Garamond" w:eastAsia="Times New Roman" w:hAnsi="Garamond" w:cs="Calibri"/>
      <w:i/>
      <w:iCs/>
      <w:color w:val="808080" w:themeColor="background1" w:themeShade="80"/>
      <w:szCs w:val="20"/>
      <w:lang w:eastAsia="en-GB"/>
    </w:rPr>
  </w:style>
  <w:style w:type="paragraph" w:customStyle="1" w:styleId="CompanyName">
    <w:name w:val="Company Name"/>
    <w:basedOn w:val="BodyText"/>
    <w:rsid w:val="00C53429"/>
    <w:pPr>
      <w:keepLines/>
      <w:framePr w:w="8640" w:h="1440" w:wrap="notBeside" w:vAnchor="page" w:hAnchor="margin" w:xAlign="center" w:y="889"/>
      <w:spacing w:after="40"/>
      <w:jc w:val="center"/>
    </w:pPr>
    <w:rPr>
      <w:caps/>
      <w:spacing w:val="75"/>
      <w:szCs w:val="22"/>
    </w:rPr>
  </w:style>
  <w:style w:type="paragraph" w:customStyle="1" w:styleId="DocumentLabel">
    <w:name w:val="Document Label"/>
    <w:next w:val="Normal"/>
    <w:rsid w:val="00C53429"/>
    <w:pPr>
      <w:pBdr>
        <w:top w:val="double" w:sz="6" w:space="8" w:color="808080"/>
        <w:bottom w:val="double" w:sz="6" w:space="8" w:color="808080"/>
      </w:pBdr>
      <w:spacing w:after="40" w:line="240" w:lineRule="atLeast"/>
      <w:jc w:val="center"/>
    </w:pPr>
    <w:rPr>
      <w:rFonts w:ascii="Garamond" w:eastAsia="Times New Roman" w:hAnsi="Garamond" w:cs="Times New Roman"/>
      <w:b/>
      <w:caps/>
      <w:spacing w:val="20"/>
      <w:sz w:val="18"/>
      <w:szCs w:val="20"/>
      <w:lang w:val="en-US" w:eastAsia="en-AU"/>
    </w:rPr>
  </w:style>
  <w:style w:type="paragraph" w:customStyle="1" w:styleId="Enclosure">
    <w:name w:val="Enclosure"/>
    <w:basedOn w:val="BodyText"/>
    <w:next w:val="Normal"/>
    <w:rsid w:val="00C53429"/>
    <w:pPr>
      <w:keepLines/>
      <w:spacing w:before="220"/>
    </w:pPr>
    <w:rPr>
      <w:szCs w:val="22"/>
    </w:rPr>
  </w:style>
  <w:style w:type="paragraph" w:customStyle="1" w:styleId="HeaderBase">
    <w:name w:val="Header Base"/>
    <w:basedOn w:val="BodyText"/>
    <w:rsid w:val="00C53429"/>
    <w:pPr>
      <w:keepLines/>
      <w:tabs>
        <w:tab w:val="center" w:pos="4320"/>
        <w:tab w:val="right" w:pos="8640"/>
      </w:tabs>
      <w:spacing w:after="0"/>
    </w:pPr>
    <w:rPr>
      <w:szCs w:val="22"/>
    </w:rPr>
  </w:style>
  <w:style w:type="paragraph" w:customStyle="1" w:styleId="HeadingBase">
    <w:name w:val="Heading Base"/>
    <w:basedOn w:val="BodyText"/>
    <w:next w:val="BodyText"/>
    <w:rsid w:val="00C53429"/>
    <w:pPr>
      <w:keepNext/>
      <w:keepLines/>
      <w:spacing w:after="0"/>
      <w:jc w:val="left"/>
    </w:pPr>
    <w:rPr>
      <w:kern w:val="20"/>
      <w:szCs w:val="22"/>
    </w:rPr>
  </w:style>
  <w:style w:type="paragraph" w:styleId="MessageHeader">
    <w:name w:val="Message Header"/>
    <w:basedOn w:val="BodyText"/>
    <w:link w:val="MessageHeaderChar"/>
    <w:rsid w:val="00C53429"/>
    <w:pPr>
      <w:keepLines/>
      <w:ind w:left="1080" w:hanging="1080"/>
      <w:jc w:val="left"/>
    </w:pPr>
    <w:rPr>
      <w:caps/>
      <w:sz w:val="18"/>
      <w:szCs w:val="22"/>
    </w:rPr>
  </w:style>
  <w:style w:type="character" w:customStyle="1" w:styleId="MessageHeaderChar">
    <w:name w:val="Message Header Char"/>
    <w:basedOn w:val="DefaultParagraphFont"/>
    <w:link w:val="MessageHeader"/>
    <w:rsid w:val="00C53429"/>
    <w:rPr>
      <w:rFonts w:ascii="Calibri" w:eastAsia="Times New Roman" w:hAnsi="Calibri" w:cs="Times New Roman"/>
      <w:caps/>
      <w:sz w:val="18"/>
      <w:lang w:eastAsia="en-AU"/>
    </w:rPr>
  </w:style>
  <w:style w:type="paragraph" w:customStyle="1" w:styleId="MessageHeaderFirst">
    <w:name w:val="Message Header First"/>
    <w:basedOn w:val="MessageHeader"/>
    <w:next w:val="MessageHeader"/>
    <w:rsid w:val="00C53429"/>
    <w:pPr>
      <w:spacing w:before="360"/>
    </w:pPr>
  </w:style>
  <w:style w:type="character" w:customStyle="1" w:styleId="MessageHeaderLabel">
    <w:name w:val="Message Header Label"/>
    <w:rsid w:val="00C53429"/>
    <w:rPr>
      <w:b/>
      <w:sz w:val="18"/>
    </w:rPr>
  </w:style>
  <w:style w:type="paragraph" w:customStyle="1" w:styleId="MessageHeaderLast">
    <w:name w:val="Message Header Last"/>
    <w:basedOn w:val="MessageHeader"/>
    <w:next w:val="BodyText"/>
    <w:rsid w:val="00C53429"/>
    <w:pPr>
      <w:pBdr>
        <w:bottom w:val="single" w:sz="6" w:space="18" w:color="808080"/>
      </w:pBdr>
      <w:spacing w:after="360"/>
    </w:pPr>
  </w:style>
  <w:style w:type="paragraph" w:styleId="NormalIndent">
    <w:name w:val="Normal Indent"/>
    <w:basedOn w:val="Normal"/>
    <w:rsid w:val="00C53429"/>
    <w:pPr>
      <w:snapToGrid w:val="0"/>
      <w:spacing w:after="0" w:line="240" w:lineRule="auto"/>
      <w:ind w:left="720"/>
      <w:jc w:val="both"/>
    </w:pPr>
    <w:rPr>
      <w:rFonts w:ascii="Calibri" w:eastAsia="Times New Roman" w:hAnsi="Calibri" w:cs="Calibri"/>
      <w:i/>
      <w:iCs/>
      <w:color w:val="808080" w:themeColor="background1" w:themeShade="80"/>
      <w:sz w:val="20"/>
      <w:szCs w:val="20"/>
      <w:lang w:eastAsia="en-GB"/>
    </w:rPr>
  </w:style>
  <w:style w:type="paragraph" w:customStyle="1" w:styleId="ReturnAddress">
    <w:name w:val="Return Address"/>
    <w:rsid w:val="00C53429"/>
    <w:pPr>
      <w:framePr w:w="8640" w:wrap="notBeside" w:vAnchor="page" w:hAnchor="page" w:x="1729" w:y="14401" w:anchorLock="1"/>
      <w:spacing w:after="0" w:line="240" w:lineRule="atLeast"/>
      <w:ind w:right="-240"/>
      <w:jc w:val="center"/>
    </w:pPr>
    <w:rPr>
      <w:rFonts w:ascii="Garamond" w:eastAsia="Times New Roman" w:hAnsi="Garamond" w:cs="Times New Roman"/>
      <w:caps/>
      <w:spacing w:val="30"/>
      <w:sz w:val="15"/>
      <w:szCs w:val="20"/>
      <w:lang w:val="en-US" w:eastAsia="en-AU"/>
    </w:rPr>
  </w:style>
  <w:style w:type="paragraph" w:styleId="Signature">
    <w:name w:val="Signature"/>
    <w:basedOn w:val="BodyText"/>
    <w:next w:val="Normal"/>
    <w:link w:val="SignatureChar"/>
    <w:rsid w:val="00C53429"/>
    <w:pPr>
      <w:keepNext/>
      <w:keepLines/>
      <w:spacing w:before="660" w:after="0"/>
    </w:pPr>
    <w:rPr>
      <w:szCs w:val="22"/>
    </w:rPr>
  </w:style>
  <w:style w:type="character" w:customStyle="1" w:styleId="SignatureChar">
    <w:name w:val="Signature Char"/>
    <w:basedOn w:val="DefaultParagraphFont"/>
    <w:link w:val="Signature"/>
    <w:rsid w:val="00C53429"/>
    <w:rPr>
      <w:rFonts w:ascii="Calibri" w:eastAsia="Times New Roman" w:hAnsi="Calibri" w:cs="Times New Roman"/>
      <w:sz w:val="21"/>
      <w:lang w:eastAsia="en-AU"/>
    </w:rPr>
  </w:style>
  <w:style w:type="paragraph" w:customStyle="1" w:styleId="SignatureJobTitle">
    <w:name w:val="Signature Job Title"/>
    <w:basedOn w:val="Signature"/>
    <w:next w:val="Normal"/>
    <w:rsid w:val="00C53429"/>
    <w:pPr>
      <w:spacing w:before="0"/>
    </w:pPr>
  </w:style>
  <w:style w:type="paragraph" w:customStyle="1" w:styleId="SignatureName">
    <w:name w:val="Signature Name"/>
    <w:basedOn w:val="Signature"/>
    <w:next w:val="SignatureJobTitle"/>
    <w:rsid w:val="00C53429"/>
  </w:style>
  <w:style w:type="character" w:customStyle="1" w:styleId="Slogan">
    <w:name w:val="Slogan"/>
    <w:rsid w:val="00C53429"/>
    <w:rPr>
      <w:i/>
      <w:spacing w:val="70"/>
      <w:sz w:val="21"/>
    </w:rPr>
  </w:style>
  <w:style w:type="paragraph" w:styleId="PlainText">
    <w:name w:val="Plain Text"/>
    <w:basedOn w:val="Normal"/>
    <w:link w:val="PlainTextChar"/>
    <w:rsid w:val="00C53429"/>
    <w:pPr>
      <w:snapToGrid w:val="0"/>
      <w:spacing w:after="0" w:line="240" w:lineRule="auto"/>
      <w:jc w:val="both"/>
    </w:pPr>
    <w:rPr>
      <w:rFonts w:ascii="Courier New" w:eastAsia="Times New Roman" w:hAnsi="Courier New" w:cs="Calibri"/>
      <w:i/>
      <w:iCs/>
      <w:color w:val="808080" w:themeColor="background1" w:themeShade="80"/>
      <w:sz w:val="20"/>
      <w:szCs w:val="20"/>
      <w:lang w:val="en-US" w:eastAsia="en-GB"/>
    </w:rPr>
  </w:style>
  <w:style w:type="character" w:customStyle="1" w:styleId="PlainTextChar">
    <w:name w:val="Plain Text Char"/>
    <w:basedOn w:val="DefaultParagraphFont"/>
    <w:link w:val="PlainText"/>
    <w:rsid w:val="00C53429"/>
    <w:rPr>
      <w:rFonts w:ascii="Courier New" w:eastAsia="Times New Roman" w:hAnsi="Courier New" w:cs="Calibri"/>
      <w:i/>
      <w:iCs/>
      <w:color w:val="808080" w:themeColor="background1" w:themeShade="80"/>
      <w:sz w:val="20"/>
      <w:szCs w:val="20"/>
      <w:lang w:val="en-US" w:eastAsia="en-GB"/>
    </w:rPr>
  </w:style>
  <w:style w:type="paragraph" w:customStyle="1" w:styleId="Tablebody">
    <w:name w:val="Table body"/>
    <w:rsid w:val="00C53429"/>
    <w:pPr>
      <w:overflowPunct w:val="0"/>
      <w:autoSpaceDE w:val="0"/>
      <w:autoSpaceDN w:val="0"/>
      <w:adjustRightInd w:val="0"/>
      <w:spacing w:before="60" w:after="60" w:line="240" w:lineRule="auto"/>
      <w:textAlignment w:val="baseline"/>
    </w:pPr>
    <w:rPr>
      <w:rFonts w:ascii="Calibri" w:eastAsia="Times New Roman" w:hAnsi="Calibri" w:cs="Calibri"/>
      <w:iCs/>
      <w:color w:val="000000" w:themeColor="text1"/>
      <w:sz w:val="20"/>
      <w:szCs w:val="20"/>
      <w:lang w:eastAsia="en-GB"/>
    </w:rPr>
  </w:style>
  <w:style w:type="paragraph" w:customStyle="1" w:styleId="BodyLines">
    <w:name w:val="Body Lines"/>
    <w:rsid w:val="00C53429"/>
    <w:pPr>
      <w:widowControl w:val="0"/>
      <w:tabs>
        <w:tab w:val="right" w:leader="underscore" w:pos="9639"/>
      </w:tabs>
      <w:spacing w:after="200" w:line="240" w:lineRule="auto"/>
      <w:jc w:val="both"/>
    </w:pPr>
    <w:rPr>
      <w:rFonts w:eastAsia="Times New Roman" w:cs="Times New Roman"/>
      <w:sz w:val="18"/>
      <w:szCs w:val="20"/>
      <w:lang w:eastAsia="en-AU"/>
    </w:rPr>
  </w:style>
  <w:style w:type="paragraph" w:customStyle="1" w:styleId="AttentionLine">
    <w:name w:val="Attention Line"/>
    <w:basedOn w:val="Normal"/>
    <w:next w:val="Salutation"/>
    <w:rsid w:val="00C53429"/>
    <w:pPr>
      <w:snapToGrid w:val="0"/>
      <w:spacing w:before="220" w:after="0" w:line="240" w:lineRule="atLeast"/>
      <w:jc w:val="both"/>
    </w:pPr>
    <w:rPr>
      <w:rFonts w:ascii="Garamond" w:eastAsia="Times New Roman" w:hAnsi="Garamond" w:cs="Calibri"/>
      <w:i/>
      <w:iCs/>
      <w:color w:val="808080" w:themeColor="background1" w:themeShade="80"/>
      <w:kern w:val="18"/>
      <w:sz w:val="20"/>
      <w:szCs w:val="20"/>
      <w:lang w:eastAsia="en-GB"/>
    </w:rPr>
  </w:style>
  <w:style w:type="paragraph" w:customStyle="1" w:styleId="InsideAddress">
    <w:name w:val="Inside Address"/>
    <w:basedOn w:val="Normal"/>
    <w:rsid w:val="00C53429"/>
    <w:pPr>
      <w:snapToGrid w:val="0"/>
      <w:spacing w:after="0" w:line="240" w:lineRule="atLeast"/>
      <w:jc w:val="both"/>
    </w:pPr>
    <w:rPr>
      <w:rFonts w:ascii="Garamond" w:eastAsia="Times New Roman" w:hAnsi="Garamond" w:cs="Calibri"/>
      <w:i/>
      <w:iCs/>
      <w:color w:val="808080" w:themeColor="background1" w:themeShade="80"/>
      <w:kern w:val="18"/>
      <w:sz w:val="20"/>
      <w:szCs w:val="20"/>
      <w:lang w:eastAsia="en-GB"/>
    </w:rPr>
  </w:style>
  <w:style w:type="paragraph" w:customStyle="1" w:styleId="NotesBulletIndent">
    <w:name w:val="Notes Bullet Indent"/>
    <w:basedOn w:val="Normal"/>
    <w:rsid w:val="00C53429"/>
    <w:pPr>
      <w:numPr>
        <w:numId w:val="36"/>
      </w:numPr>
      <w:snapToGrid w:val="0"/>
      <w:spacing w:before="120" w:after="120" w:line="240" w:lineRule="auto"/>
      <w:jc w:val="both"/>
    </w:pPr>
    <w:rPr>
      <w:rFonts w:ascii="Calibri" w:eastAsia="Times New Roman" w:hAnsi="Calibri" w:cs="Calibri"/>
      <w:i/>
      <w:iCs/>
      <w:color w:val="808080" w:themeColor="background1" w:themeShade="80"/>
      <w:sz w:val="20"/>
      <w:szCs w:val="20"/>
    </w:rPr>
  </w:style>
  <w:style w:type="paragraph" w:styleId="Salutation">
    <w:name w:val="Salutation"/>
    <w:basedOn w:val="Normal"/>
    <w:next w:val="Normal"/>
    <w:link w:val="SalutationChar"/>
    <w:rsid w:val="00C53429"/>
    <w:pPr>
      <w:snapToGrid w:val="0"/>
      <w:spacing w:after="0" w:line="240" w:lineRule="auto"/>
      <w:jc w:val="both"/>
    </w:pPr>
    <w:rPr>
      <w:rFonts w:ascii="Calibri" w:eastAsia="Times New Roman" w:hAnsi="Calibri" w:cs="Calibri"/>
      <w:i/>
      <w:iCs/>
      <w:color w:val="808080" w:themeColor="background1" w:themeShade="80"/>
      <w:sz w:val="20"/>
      <w:szCs w:val="20"/>
      <w:lang w:eastAsia="en-GB"/>
    </w:rPr>
  </w:style>
  <w:style w:type="character" w:customStyle="1" w:styleId="SalutationChar">
    <w:name w:val="Salutation Char"/>
    <w:basedOn w:val="DefaultParagraphFont"/>
    <w:link w:val="Salutation"/>
    <w:rsid w:val="00C53429"/>
    <w:rPr>
      <w:rFonts w:ascii="Calibri" w:eastAsia="Times New Roman" w:hAnsi="Calibri" w:cs="Calibri"/>
      <w:i/>
      <w:iCs/>
      <w:color w:val="808080" w:themeColor="background1" w:themeShade="80"/>
      <w:sz w:val="20"/>
      <w:szCs w:val="20"/>
      <w:lang w:eastAsia="en-GB"/>
    </w:rPr>
  </w:style>
  <w:style w:type="paragraph" w:customStyle="1" w:styleId="FootnoteText1">
    <w:name w:val="Footnote Text1"/>
    <w:basedOn w:val="Normal"/>
    <w:rsid w:val="00C53429"/>
    <w:pPr>
      <w:autoSpaceDE w:val="0"/>
      <w:autoSpaceDN w:val="0"/>
      <w:adjustRightInd w:val="0"/>
      <w:snapToGrid w:val="0"/>
      <w:spacing w:after="0" w:line="240" w:lineRule="auto"/>
      <w:jc w:val="both"/>
    </w:pPr>
    <w:rPr>
      <w:rFonts w:ascii="Calibri" w:eastAsia="Times New Roman" w:hAnsi="Calibri" w:cs="Calibri"/>
      <w:i/>
      <w:iCs/>
      <w:color w:val="808080" w:themeColor="background1" w:themeShade="80"/>
      <w:sz w:val="16"/>
      <w:szCs w:val="20"/>
      <w:lang w:eastAsia="en-GB"/>
    </w:rPr>
  </w:style>
  <w:style w:type="table" w:customStyle="1" w:styleId="GridTable2-Accent11">
    <w:name w:val="Grid Table 2 - Accent 11"/>
    <w:basedOn w:val="TableNormal"/>
    <w:uiPriority w:val="47"/>
    <w:rsid w:val="00C53429"/>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2" w:space="0" w:color="8EAADB"/>
        <w:bottom w:val="single" w:sz="2" w:space="0" w:color="8EAADB"/>
        <w:insideH w:val="single" w:sz="2" w:space="0" w:color="8EAADB"/>
        <w:insideV w:val="single" w:sz="2" w:space="0" w:color="8EAADB"/>
      </w:tblBorders>
    </w:tblPr>
    <w:tblStylePr w:type="firstRow">
      <w:rPr>
        <w:b/>
        <w:bCs/>
      </w:rPr>
      <w:tblPr/>
      <w:tcPr>
        <w:tcBorders>
          <w:top w:val="nil"/>
          <w:bottom w:val="single" w:sz="12" w:space="0" w:color="8EAADB"/>
          <w:insideH w:val="nil"/>
          <w:insideV w:val="nil"/>
        </w:tcBorders>
        <w:shd w:val="clear" w:color="auto" w:fill="FFFFFF"/>
      </w:tcPr>
    </w:tblStylePr>
    <w:tblStylePr w:type="lastRow">
      <w:rPr>
        <w:b/>
        <w:bCs/>
      </w:rPr>
      <w:tblPr/>
      <w:tcPr>
        <w:tcBorders>
          <w:top w:val="double" w:sz="2" w:space="0" w:color="8EAAD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table" w:customStyle="1" w:styleId="GridTable2-Accent51">
    <w:name w:val="Grid Table 2 - Accent 51"/>
    <w:basedOn w:val="TableNormal"/>
    <w:uiPriority w:val="47"/>
    <w:rsid w:val="00C53429"/>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StyleListBulletBlackJustifiedBefore0pt">
    <w:name w:val="Style List Bullet + Black Justified Before:  0 pt"/>
    <w:basedOn w:val="BodyText"/>
    <w:rsid w:val="00C53429"/>
    <w:pPr>
      <w:numPr>
        <w:numId w:val="37"/>
      </w:numPr>
      <w:spacing w:before="60" w:after="60"/>
    </w:pPr>
    <w:rPr>
      <w:color w:val="000000"/>
      <w:szCs w:val="20"/>
    </w:rPr>
  </w:style>
  <w:style w:type="table" w:customStyle="1" w:styleId="GridTable7ColourfulAccent21">
    <w:name w:val="Grid Table 7 Colourful – Accent 21"/>
    <w:basedOn w:val="TableNormal"/>
    <w:uiPriority w:val="52"/>
    <w:rsid w:val="00C53429"/>
    <w:pPr>
      <w:spacing w:after="0" w:line="240" w:lineRule="auto"/>
    </w:pPr>
    <w:rPr>
      <w:rFonts w:ascii="Times New Roman" w:eastAsia="Times New Roman" w:hAnsi="Times New Roman" w:cs="Times New Roman"/>
      <w:color w:val="00697D" w:themeColor="accent2" w:themeShade="BF"/>
      <w:sz w:val="20"/>
      <w:szCs w:val="20"/>
      <w:lang w:eastAsia="en-AU"/>
    </w:rPr>
    <w:tblPr>
      <w:tblStyleRowBandSize w:val="1"/>
      <w:tblStyleColBandSize w:val="1"/>
      <w:tblBorders>
        <w:top w:val="single" w:sz="4" w:space="0" w:color="31DDFF" w:themeColor="accent2" w:themeTint="99"/>
        <w:left w:val="single" w:sz="4" w:space="0" w:color="31DDFF" w:themeColor="accent2" w:themeTint="99"/>
        <w:bottom w:val="single" w:sz="4" w:space="0" w:color="31DDFF" w:themeColor="accent2" w:themeTint="99"/>
        <w:right w:val="single" w:sz="4" w:space="0" w:color="31DDFF" w:themeColor="accent2" w:themeTint="99"/>
        <w:insideH w:val="single" w:sz="4" w:space="0" w:color="31DDFF" w:themeColor="accent2" w:themeTint="99"/>
        <w:insideV w:val="single" w:sz="4" w:space="0" w:color="31DDFF"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AF3FF" w:themeFill="accent2" w:themeFillTint="33"/>
      </w:tcPr>
    </w:tblStylePr>
    <w:tblStylePr w:type="band1Horz">
      <w:tblPr/>
      <w:tcPr>
        <w:shd w:val="clear" w:color="auto" w:fill="BAF3FF" w:themeFill="accent2" w:themeFillTint="33"/>
      </w:tcPr>
    </w:tblStylePr>
    <w:tblStylePr w:type="neCell">
      <w:tblPr/>
      <w:tcPr>
        <w:tcBorders>
          <w:bottom w:val="single" w:sz="4" w:space="0" w:color="31DDFF" w:themeColor="accent2" w:themeTint="99"/>
        </w:tcBorders>
      </w:tcPr>
    </w:tblStylePr>
    <w:tblStylePr w:type="nwCell">
      <w:tblPr/>
      <w:tcPr>
        <w:tcBorders>
          <w:bottom w:val="single" w:sz="4" w:space="0" w:color="31DDFF" w:themeColor="accent2" w:themeTint="99"/>
        </w:tcBorders>
      </w:tcPr>
    </w:tblStylePr>
    <w:tblStylePr w:type="seCell">
      <w:tblPr/>
      <w:tcPr>
        <w:tcBorders>
          <w:top w:val="single" w:sz="4" w:space="0" w:color="31DDFF" w:themeColor="accent2" w:themeTint="99"/>
        </w:tcBorders>
      </w:tcPr>
    </w:tblStylePr>
    <w:tblStylePr w:type="swCell">
      <w:tblPr/>
      <w:tcPr>
        <w:tcBorders>
          <w:top w:val="single" w:sz="4" w:space="0" w:color="31DDFF" w:themeColor="accent2" w:themeTint="99"/>
        </w:tcBorders>
      </w:tcPr>
    </w:tblStylePr>
  </w:style>
  <w:style w:type="table" w:customStyle="1" w:styleId="GridTable6ColourfulAccent21">
    <w:name w:val="Grid Table 6 Colourful – Accent 21"/>
    <w:basedOn w:val="TableNormal"/>
    <w:uiPriority w:val="51"/>
    <w:rsid w:val="00C53429"/>
    <w:pPr>
      <w:spacing w:after="0" w:line="240" w:lineRule="auto"/>
    </w:pPr>
    <w:rPr>
      <w:rFonts w:ascii="Times New Roman" w:eastAsia="Times New Roman" w:hAnsi="Times New Roman" w:cs="Times New Roman"/>
      <w:color w:val="00697D" w:themeColor="accent2" w:themeShade="BF"/>
      <w:sz w:val="20"/>
      <w:szCs w:val="20"/>
      <w:lang w:eastAsia="en-AU"/>
    </w:rPr>
    <w:tblPr>
      <w:tblStyleRowBandSize w:val="1"/>
      <w:tblStyleColBandSize w:val="1"/>
      <w:tblBorders>
        <w:top w:val="single" w:sz="4" w:space="0" w:color="31DDFF" w:themeColor="accent2" w:themeTint="99"/>
        <w:left w:val="single" w:sz="4" w:space="0" w:color="31DDFF" w:themeColor="accent2" w:themeTint="99"/>
        <w:bottom w:val="single" w:sz="4" w:space="0" w:color="31DDFF" w:themeColor="accent2" w:themeTint="99"/>
        <w:right w:val="single" w:sz="4" w:space="0" w:color="31DDFF" w:themeColor="accent2" w:themeTint="99"/>
        <w:insideH w:val="single" w:sz="4" w:space="0" w:color="31DDFF" w:themeColor="accent2" w:themeTint="99"/>
        <w:insideV w:val="single" w:sz="4" w:space="0" w:color="31DDFF" w:themeColor="accent2" w:themeTint="99"/>
      </w:tblBorders>
    </w:tblPr>
    <w:tblStylePr w:type="firstRow">
      <w:rPr>
        <w:b/>
        <w:bCs/>
      </w:rPr>
      <w:tblPr/>
      <w:tcPr>
        <w:tcBorders>
          <w:bottom w:val="single" w:sz="12" w:space="0" w:color="31DDFF" w:themeColor="accent2" w:themeTint="99"/>
        </w:tcBorders>
      </w:tcPr>
    </w:tblStylePr>
    <w:tblStylePr w:type="lastRow">
      <w:rPr>
        <w:b/>
        <w:bCs/>
      </w:rPr>
      <w:tblPr/>
      <w:tcPr>
        <w:tcBorders>
          <w:top w:val="double" w:sz="4" w:space="0" w:color="31DDFF" w:themeColor="accent2" w:themeTint="99"/>
        </w:tcBorders>
      </w:tcPr>
    </w:tblStylePr>
    <w:tblStylePr w:type="firstCol">
      <w:rPr>
        <w:b/>
        <w:bCs/>
      </w:rPr>
    </w:tblStylePr>
    <w:tblStylePr w:type="lastCol">
      <w:rPr>
        <w:b/>
        <w:bCs/>
      </w:rPr>
    </w:tblStylePr>
    <w:tblStylePr w:type="band1Vert">
      <w:tblPr/>
      <w:tcPr>
        <w:shd w:val="clear" w:color="auto" w:fill="BAF3FF" w:themeFill="accent2" w:themeFillTint="33"/>
      </w:tcPr>
    </w:tblStylePr>
    <w:tblStylePr w:type="band1Horz">
      <w:tblPr/>
      <w:tcPr>
        <w:shd w:val="clear" w:color="auto" w:fill="BAF3FF" w:themeFill="accent2" w:themeFillTint="33"/>
      </w:tcPr>
    </w:tblStylePr>
  </w:style>
  <w:style w:type="table" w:customStyle="1" w:styleId="GridTable4-Accent13">
    <w:name w:val="Grid Table 4 - Accent 13"/>
    <w:basedOn w:val="TableNormal"/>
    <w:uiPriority w:val="49"/>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blStylePr w:type="firstRow">
      <w:rPr>
        <w:b/>
        <w:bCs/>
        <w:color w:val="FFFFFF" w:themeColor="background1"/>
      </w:rPr>
      <w:tblPr/>
      <w:tcPr>
        <w:tcBorders>
          <w:top w:val="single" w:sz="4" w:space="0" w:color="00B1B0" w:themeColor="accent1"/>
          <w:left w:val="single" w:sz="4" w:space="0" w:color="00B1B0" w:themeColor="accent1"/>
          <w:bottom w:val="single" w:sz="4" w:space="0" w:color="00B1B0" w:themeColor="accent1"/>
          <w:right w:val="single" w:sz="4" w:space="0" w:color="00B1B0" w:themeColor="accent1"/>
          <w:insideH w:val="nil"/>
          <w:insideV w:val="nil"/>
        </w:tcBorders>
        <w:shd w:val="clear" w:color="auto" w:fill="00B1B0" w:themeFill="accent1"/>
      </w:tcPr>
    </w:tblStylePr>
    <w:tblStylePr w:type="lastRow">
      <w:rPr>
        <w:b/>
        <w:bCs/>
      </w:rPr>
      <w:tblPr/>
      <w:tcPr>
        <w:tcBorders>
          <w:top w:val="double" w:sz="4" w:space="0" w:color="00B1B0" w:themeColor="accent1"/>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table" w:customStyle="1" w:styleId="GridTable1Light-Accent13">
    <w:name w:val="Grid Table 1 Light - Accent 13"/>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79FFFD" w:themeColor="accent1" w:themeTint="66"/>
        <w:left w:val="single" w:sz="4" w:space="0" w:color="79FFFD" w:themeColor="accent1" w:themeTint="66"/>
        <w:bottom w:val="single" w:sz="4" w:space="0" w:color="79FFFD" w:themeColor="accent1" w:themeTint="66"/>
        <w:right w:val="single" w:sz="4" w:space="0" w:color="79FFFD" w:themeColor="accent1" w:themeTint="66"/>
        <w:insideH w:val="single" w:sz="4" w:space="0" w:color="79FFFD" w:themeColor="accent1" w:themeTint="66"/>
        <w:insideV w:val="single" w:sz="4" w:space="0" w:color="79FFFD" w:themeColor="accent1" w:themeTint="66"/>
      </w:tblBorders>
    </w:tblPr>
    <w:tblStylePr w:type="firstRow">
      <w:rPr>
        <w:b/>
        <w:bCs/>
      </w:rPr>
      <w:tblPr/>
      <w:tcPr>
        <w:tcBorders>
          <w:bottom w:val="single" w:sz="12" w:space="0" w:color="37FFFD" w:themeColor="accent1" w:themeTint="99"/>
        </w:tcBorders>
      </w:tcPr>
    </w:tblStylePr>
    <w:tblStylePr w:type="lastRow">
      <w:rPr>
        <w:b/>
        <w:bCs/>
      </w:rPr>
      <w:tblPr/>
      <w:tcPr>
        <w:tcBorders>
          <w:top w:val="double" w:sz="2" w:space="0" w:color="37FFFD" w:themeColor="accen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79FFFD" w:themeColor="accent1" w:themeTint="66"/>
        <w:left w:val="single" w:sz="4" w:space="0" w:color="79FFFD" w:themeColor="accent1" w:themeTint="66"/>
        <w:bottom w:val="single" w:sz="4" w:space="0" w:color="79FFFD" w:themeColor="accent1" w:themeTint="66"/>
        <w:right w:val="single" w:sz="4" w:space="0" w:color="79FFFD" w:themeColor="accent1" w:themeTint="66"/>
        <w:insideH w:val="single" w:sz="4" w:space="0" w:color="79FFFD" w:themeColor="accent1" w:themeTint="66"/>
        <w:insideV w:val="single" w:sz="4" w:space="0" w:color="79FFFD" w:themeColor="accent1" w:themeTint="66"/>
      </w:tblBorders>
    </w:tblPr>
    <w:tblStylePr w:type="firstRow">
      <w:rPr>
        <w:b/>
        <w:bCs/>
      </w:rPr>
      <w:tblPr/>
      <w:tcPr>
        <w:tcBorders>
          <w:bottom w:val="single" w:sz="12" w:space="0" w:color="37FFFD" w:themeColor="accent1" w:themeTint="99"/>
        </w:tcBorders>
      </w:tcPr>
    </w:tblStylePr>
    <w:tblStylePr w:type="lastRow">
      <w:rPr>
        <w:b/>
        <w:bCs/>
      </w:rPr>
      <w:tblPr/>
      <w:tcPr>
        <w:tcBorders>
          <w:top w:val="double" w:sz="2" w:space="0" w:color="37FFFD" w:themeColor="accent1" w:themeTint="99"/>
        </w:tcBorders>
      </w:tcPr>
    </w:tblStylePr>
    <w:tblStylePr w:type="firstCol">
      <w:rPr>
        <w:b/>
        <w:bCs/>
      </w:rPr>
    </w:tblStylePr>
    <w:tblStylePr w:type="lastCol">
      <w:rPr>
        <w:b/>
        <w:bCs/>
      </w:rPr>
    </w:tblStylePr>
  </w:style>
  <w:style w:type="table" w:styleId="GridTable2-Accent1">
    <w:name w:val="Grid Table 2 Accent 1"/>
    <w:basedOn w:val="TableNormal"/>
    <w:uiPriority w:val="47"/>
    <w:rsid w:val="00C53429"/>
    <w:pPr>
      <w:spacing w:after="0" w:line="240" w:lineRule="auto"/>
    </w:pPr>
    <w:rPr>
      <w:rFonts w:ascii="Times New Roman" w:eastAsia="Times New Roman" w:hAnsi="Times New Roman" w:cs="Times New Roman"/>
      <w:sz w:val="24"/>
      <w:szCs w:val="24"/>
    </w:rPr>
    <w:tblPr>
      <w:tblStyleRowBandSize w:val="1"/>
      <w:tblStyleColBandSize w:val="1"/>
      <w:tblBorders>
        <w:top w:val="single" w:sz="2" w:space="0" w:color="37FFFD" w:themeColor="accent1" w:themeTint="99"/>
        <w:bottom w:val="single" w:sz="2" w:space="0" w:color="37FFFD" w:themeColor="accent1" w:themeTint="99"/>
        <w:insideH w:val="single" w:sz="2" w:space="0" w:color="37FFFD" w:themeColor="accent1" w:themeTint="99"/>
        <w:insideV w:val="single" w:sz="2" w:space="0" w:color="37FFFD" w:themeColor="accent1" w:themeTint="99"/>
      </w:tblBorders>
    </w:tblPr>
    <w:tblStylePr w:type="firstRow">
      <w:rPr>
        <w:b/>
        <w:bCs/>
      </w:rPr>
      <w:tblPr/>
      <w:tcPr>
        <w:tcBorders>
          <w:top w:val="nil"/>
          <w:bottom w:val="single" w:sz="12" w:space="0" w:color="37FFFD" w:themeColor="accent1" w:themeTint="99"/>
          <w:insideH w:val="nil"/>
          <w:insideV w:val="nil"/>
        </w:tcBorders>
        <w:shd w:val="clear" w:color="auto" w:fill="FFFFFF" w:themeFill="background1"/>
      </w:tcPr>
    </w:tblStylePr>
    <w:tblStylePr w:type="lastRow">
      <w:rPr>
        <w:b/>
        <w:bCs/>
      </w:rPr>
      <w:tblPr/>
      <w:tcPr>
        <w:tcBorders>
          <w:top w:val="double" w:sz="2" w:space="0" w:color="37FFF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paragraph" w:customStyle="1" w:styleId="TableHeaderText">
    <w:name w:val="Table Header Text"/>
    <w:basedOn w:val="Normal"/>
    <w:rsid w:val="00C53429"/>
    <w:pPr>
      <w:spacing w:after="0" w:line="240" w:lineRule="auto"/>
      <w:jc w:val="center"/>
    </w:pPr>
    <w:rPr>
      <w:rFonts w:eastAsia="Times New Roman" w:cs="Arial"/>
      <w:b/>
      <w:color w:val="000000"/>
      <w:sz w:val="24"/>
      <w:szCs w:val="20"/>
      <w:lang w:val="fr-CA"/>
    </w:rPr>
  </w:style>
  <w:style w:type="paragraph" w:customStyle="1" w:styleId="TableText">
    <w:name w:val="Table Text"/>
    <w:basedOn w:val="Normal"/>
    <w:rsid w:val="00C53429"/>
    <w:pPr>
      <w:spacing w:after="0" w:line="240" w:lineRule="auto"/>
    </w:pPr>
    <w:rPr>
      <w:rFonts w:eastAsia="Times New Roman" w:cs="Arial"/>
      <w:color w:val="000000"/>
      <w:sz w:val="24"/>
      <w:szCs w:val="20"/>
      <w:lang w:val="fr-CA"/>
    </w:rPr>
  </w:style>
  <w:style w:type="paragraph" w:customStyle="1" w:styleId="BulletText1">
    <w:name w:val="Bullet Text 1"/>
    <w:basedOn w:val="Normal"/>
    <w:rsid w:val="00C53429"/>
    <w:pPr>
      <w:numPr>
        <w:numId w:val="41"/>
      </w:numPr>
      <w:spacing w:after="0" w:line="240" w:lineRule="auto"/>
    </w:pPr>
    <w:rPr>
      <w:rFonts w:eastAsia="Times New Roman" w:cs="Arial"/>
      <w:color w:val="000000"/>
      <w:sz w:val="24"/>
      <w:szCs w:val="20"/>
      <w:lang w:val="fr-CA"/>
    </w:rPr>
  </w:style>
  <w:style w:type="paragraph" w:customStyle="1" w:styleId="Tablebullet">
    <w:name w:val="Table bullet"/>
    <w:basedOn w:val="BodyText"/>
    <w:qFormat/>
    <w:rsid w:val="00C53429"/>
    <w:pPr>
      <w:numPr>
        <w:numId w:val="39"/>
      </w:numPr>
      <w:spacing w:before="60" w:after="60"/>
      <w:jc w:val="left"/>
    </w:pPr>
    <w:rPr>
      <w:szCs w:val="22"/>
    </w:rPr>
  </w:style>
  <w:style w:type="paragraph" w:customStyle="1" w:styleId="Tableheading0">
    <w:name w:val="Table heading"/>
    <w:link w:val="TableheadingChar"/>
    <w:qFormat/>
    <w:rsid w:val="00C53429"/>
    <w:pPr>
      <w:spacing w:before="20" w:after="20" w:line="240" w:lineRule="auto"/>
    </w:pPr>
    <w:rPr>
      <w:rFonts w:ascii="Calibri" w:eastAsia="Times New Roman" w:hAnsi="Calibri" w:cs="Times New Roman"/>
      <w:b/>
      <w:bCs/>
      <w:color w:val="0070C0"/>
      <w:sz w:val="20"/>
      <w:szCs w:val="21"/>
      <w:lang w:eastAsia="en-AU"/>
    </w:rPr>
  </w:style>
  <w:style w:type="character" w:customStyle="1" w:styleId="TableheadingChar">
    <w:name w:val="Table heading Char"/>
    <w:basedOn w:val="DefaultParagraphFont"/>
    <w:link w:val="Tableheading0"/>
    <w:rsid w:val="00C53429"/>
    <w:rPr>
      <w:rFonts w:ascii="Calibri" w:eastAsia="Times New Roman" w:hAnsi="Calibri" w:cs="Times New Roman"/>
      <w:b/>
      <w:bCs/>
      <w:color w:val="0070C0"/>
      <w:sz w:val="20"/>
      <w:szCs w:val="21"/>
      <w:lang w:eastAsia="en-AU"/>
    </w:rPr>
  </w:style>
  <w:style w:type="table" w:styleId="GridTable6Colorful-Accent1">
    <w:name w:val="Grid Table 6 Colorful Accent 1"/>
    <w:basedOn w:val="TableNormal"/>
    <w:uiPriority w:val="51"/>
    <w:rsid w:val="00C53429"/>
    <w:pPr>
      <w:spacing w:after="0" w:line="240" w:lineRule="auto"/>
    </w:pPr>
    <w:rPr>
      <w:rFonts w:ascii="Times New Roman" w:eastAsia="Times New Roman" w:hAnsi="Times New Roman" w:cs="Times New Roman"/>
      <w:color w:val="008483" w:themeColor="accent1" w:themeShade="BF"/>
      <w:sz w:val="20"/>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blStylePr w:type="firstRow">
      <w:rPr>
        <w:b/>
        <w:bCs/>
      </w:rPr>
      <w:tblPr/>
      <w:tcPr>
        <w:tcBorders>
          <w:bottom w:val="single" w:sz="12" w:space="0" w:color="37FFFD" w:themeColor="accent1" w:themeTint="99"/>
        </w:tcBorders>
      </w:tcPr>
    </w:tblStylePr>
    <w:tblStylePr w:type="lastRow">
      <w:rPr>
        <w:b/>
        <w:bCs/>
      </w:rPr>
      <w:tblPr/>
      <w:tcPr>
        <w:tcBorders>
          <w:top w:val="double" w:sz="4" w:space="0" w:color="37FFFD" w:themeColor="accent1" w:themeTint="99"/>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paragraph" w:styleId="ListNumber2">
    <w:name w:val="List Number 2"/>
    <w:basedOn w:val="Normal"/>
    <w:unhideWhenUsed/>
    <w:rsid w:val="00C53429"/>
    <w:pPr>
      <w:numPr>
        <w:numId w:val="42"/>
      </w:numPr>
      <w:snapToGrid w:val="0"/>
      <w:spacing w:before="120" w:after="120" w:line="240" w:lineRule="auto"/>
      <w:contextualSpacing/>
    </w:pPr>
    <w:rPr>
      <w:rFonts w:ascii="Calibri" w:eastAsia="Times New Roman" w:hAnsi="Calibri" w:cs="Calibri"/>
      <w:color w:val="000000" w:themeColor="text1"/>
      <w:sz w:val="21"/>
      <w:szCs w:val="20"/>
      <w:lang w:eastAsia="en-GB"/>
    </w:rPr>
  </w:style>
  <w:style w:type="table" w:styleId="GridTable1Light-Accent2">
    <w:name w:val="Grid Table 1 Light Accent 2"/>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Borders>
        <w:top w:val="single" w:sz="4" w:space="0" w:color="76E8FF" w:themeColor="accent2" w:themeTint="66"/>
        <w:left w:val="single" w:sz="4" w:space="0" w:color="76E8FF" w:themeColor="accent2" w:themeTint="66"/>
        <w:bottom w:val="single" w:sz="4" w:space="0" w:color="76E8FF" w:themeColor="accent2" w:themeTint="66"/>
        <w:right w:val="single" w:sz="4" w:space="0" w:color="76E8FF" w:themeColor="accent2" w:themeTint="66"/>
        <w:insideH w:val="single" w:sz="4" w:space="0" w:color="76E8FF" w:themeColor="accent2" w:themeTint="66"/>
        <w:insideV w:val="single" w:sz="4" w:space="0" w:color="76E8FF" w:themeColor="accent2" w:themeTint="66"/>
      </w:tblBorders>
    </w:tblPr>
    <w:tblStylePr w:type="firstRow">
      <w:rPr>
        <w:b/>
        <w:bCs/>
      </w:rPr>
      <w:tblPr/>
      <w:tcPr>
        <w:tcBorders>
          <w:bottom w:val="single" w:sz="12" w:space="0" w:color="31DDFF" w:themeColor="accent2" w:themeTint="99"/>
        </w:tcBorders>
      </w:tcPr>
    </w:tblStylePr>
    <w:tblStylePr w:type="lastRow">
      <w:rPr>
        <w:b/>
        <w:bCs/>
      </w:rPr>
      <w:tblPr/>
      <w:tcPr>
        <w:tcBorders>
          <w:top w:val="double" w:sz="2" w:space="0" w:color="31DDFF" w:themeColor="accent2" w:themeTint="99"/>
        </w:tcBorders>
      </w:tcPr>
    </w:tblStylePr>
    <w:tblStylePr w:type="firstCol">
      <w:rPr>
        <w:b/>
        <w:bCs/>
      </w:rPr>
    </w:tblStylePr>
    <w:tblStylePr w:type="lastCol">
      <w:rPr>
        <w:b/>
        <w:bCs/>
      </w:rPr>
    </w:tblStylePr>
  </w:style>
  <w:style w:type="table" w:styleId="ListTable1Light-Accent1">
    <w:name w:val="List Table 1 Light Accent 1"/>
    <w:basedOn w:val="TableNormal"/>
    <w:uiPriority w:val="46"/>
    <w:rsid w:val="00C53429"/>
    <w:pPr>
      <w:spacing w:after="0" w:line="240" w:lineRule="auto"/>
    </w:pPr>
    <w:rPr>
      <w:rFonts w:ascii="Times New Roman" w:eastAsia="Times New Roman" w:hAnsi="Times New Roman" w:cs="Times New Roman"/>
      <w:sz w:val="20"/>
      <w:szCs w:val="20"/>
      <w:lang w:eastAsia="en-AU"/>
    </w:rPr>
    <w:tblPr>
      <w:tblStyleRowBandSize w:val="1"/>
      <w:tblStyleColBandSize w:val="1"/>
    </w:tblPr>
    <w:tblStylePr w:type="firstRow">
      <w:rPr>
        <w:b/>
        <w:bCs/>
      </w:rPr>
      <w:tblPr/>
      <w:tcPr>
        <w:tcBorders>
          <w:bottom w:val="single" w:sz="4" w:space="0" w:color="37FFFD" w:themeColor="accent1" w:themeTint="99"/>
        </w:tcBorders>
      </w:tcPr>
    </w:tblStylePr>
    <w:tblStylePr w:type="lastRow">
      <w:rPr>
        <w:b/>
        <w:bCs/>
      </w:rPr>
      <w:tblPr/>
      <w:tcPr>
        <w:tcBorders>
          <w:top w:val="single" w:sz="4" w:space="0" w:color="37FFFD" w:themeColor="accent1" w:themeTint="99"/>
        </w:tcBorders>
      </w:tcPr>
    </w:tblStylePr>
    <w:tblStylePr w:type="firstCol">
      <w:rPr>
        <w:b/>
        <w:bCs/>
      </w:rPr>
    </w:tblStylePr>
    <w:tblStylePr w:type="lastCol">
      <w:rPr>
        <w:b/>
        <w:bCs/>
      </w:rPr>
    </w:tblStylePr>
    <w:tblStylePr w:type="band1Vert">
      <w:tblPr/>
      <w:tcPr>
        <w:shd w:val="clear" w:color="auto" w:fill="BCFFFE" w:themeFill="accent1" w:themeFillTint="33"/>
      </w:tcPr>
    </w:tblStylePr>
    <w:tblStylePr w:type="band1Horz">
      <w:tblPr/>
      <w:tcPr>
        <w:shd w:val="clear" w:color="auto" w:fill="BCFFFE" w:themeFill="accent1" w:themeFillTint="33"/>
      </w:tcPr>
    </w:tblStylePr>
  </w:style>
  <w:style w:type="table" w:styleId="GridTable7Colorful-Accent1">
    <w:name w:val="Grid Table 7 Colorful Accent 1"/>
    <w:basedOn w:val="TableNormal"/>
    <w:uiPriority w:val="52"/>
    <w:rsid w:val="00C53429"/>
    <w:pPr>
      <w:spacing w:after="0" w:line="240" w:lineRule="auto"/>
    </w:pPr>
    <w:rPr>
      <w:rFonts w:ascii="Times New Roman" w:eastAsia="Times New Roman" w:hAnsi="Times New Roman" w:cs="Times New Roman"/>
      <w:color w:val="008483" w:themeColor="accent1" w:themeShade="BF"/>
      <w:sz w:val="20"/>
      <w:szCs w:val="20"/>
      <w:lang w:eastAsia="en-AU"/>
    </w:rPr>
    <w:tblPr>
      <w:tblStyleRowBandSize w:val="1"/>
      <w:tblStyleColBandSize w:val="1"/>
      <w:tblBorders>
        <w:top w:val="single" w:sz="4" w:space="0" w:color="37FFFD" w:themeColor="accent1" w:themeTint="99"/>
        <w:left w:val="single" w:sz="4" w:space="0" w:color="37FFFD" w:themeColor="accent1" w:themeTint="99"/>
        <w:bottom w:val="single" w:sz="4" w:space="0" w:color="37FFFD" w:themeColor="accent1" w:themeTint="99"/>
        <w:right w:val="single" w:sz="4" w:space="0" w:color="37FFFD" w:themeColor="accent1" w:themeTint="99"/>
        <w:insideH w:val="single" w:sz="4" w:space="0" w:color="37FFFD" w:themeColor="accent1" w:themeTint="99"/>
        <w:insideV w:val="single" w:sz="4" w:space="0" w:color="37FFF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CFFFE" w:themeFill="accent1" w:themeFillTint="33"/>
      </w:tcPr>
    </w:tblStylePr>
    <w:tblStylePr w:type="band1Horz">
      <w:tblPr/>
      <w:tcPr>
        <w:shd w:val="clear" w:color="auto" w:fill="BCFFFE" w:themeFill="accent1" w:themeFillTint="33"/>
      </w:tcPr>
    </w:tblStylePr>
    <w:tblStylePr w:type="neCell">
      <w:tblPr/>
      <w:tcPr>
        <w:tcBorders>
          <w:bottom w:val="single" w:sz="4" w:space="0" w:color="37FFFD" w:themeColor="accent1" w:themeTint="99"/>
        </w:tcBorders>
      </w:tcPr>
    </w:tblStylePr>
    <w:tblStylePr w:type="nwCell">
      <w:tblPr/>
      <w:tcPr>
        <w:tcBorders>
          <w:bottom w:val="single" w:sz="4" w:space="0" w:color="37FFFD" w:themeColor="accent1" w:themeTint="99"/>
        </w:tcBorders>
      </w:tcPr>
    </w:tblStylePr>
    <w:tblStylePr w:type="seCell">
      <w:tblPr/>
      <w:tcPr>
        <w:tcBorders>
          <w:top w:val="single" w:sz="4" w:space="0" w:color="37FFFD" w:themeColor="accent1" w:themeTint="99"/>
        </w:tcBorders>
      </w:tcPr>
    </w:tblStylePr>
    <w:tblStylePr w:type="swCell">
      <w:tblPr/>
      <w:tcPr>
        <w:tcBorders>
          <w:top w:val="single" w:sz="4" w:space="0" w:color="37FFFD" w:themeColor="accent1" w:themeTint="99"/>
        </w:tcBorders>
      </w:tcPr>
    </w:tblStylePr>
  </w:style>
  <w:style w:type="character" w:customStyle="1" w:styleId="markedcontent">
    <w:name w:val="markedcontent"/>
    <w:basedOn w:val="DefaultParagraphFont"/>
    <w:rsid w:val="00C53429"/>
  </w:style>
  <w:style w:type="table" w:styleId="GridTable1Light-Accent6">
    <w:name w:val="Grid Table 1 Light Accent 6"/>
    <w:basedOn w:val="TableNormal"/>
    <w:uiPriority w:val="46"/>
    <w:rsid w:val="00E27522"/>
    <w:pPr>
      <w:spacing w:after="0" w:line="240" w:lineRule="auto"/>
    </w:pPr>
    <w:tblPr>
      <w:tblStyleRowBandSize w:val="1"/>
      <w:tblStyleColBandSize w:val="1"/>
      <w:tblBorders>
        <w:top w:val="single" w:sz="4" w:space="0" w:color="C1EAF9" w:themeColor="accent6" w:themeTint="66"/>
        <w:left w:val="single" w:sz="4" w:space="0" w:color="C1EAF9" w:themeColor="accent6" w:themeTint="66"/>
        <w:bottom w:val="single" w:sz="4" w:space="0" w:color="C1EAF9" w:themeColor="accent6" w:themeTint="66"/>
        <w:right w:val="single" w:sz="4" w:space="0" w:color="C1EAF9" w:themeColor="accent6" w:themeTint="66"/>
        <w:insideH w:val="single" w:sz="4" w:space="0" w:color="C1EAF9" w:themeColor="accent6" w:themeTint="66"/>
        <w:insideV w:val="single" w:sz="4" w:space="0" w:color="C1EAF9" w:themeColor="accent6" w:themeTint="66"/>
      </w:tblBorders>
    </w:tblPr>
    <w:tblStylePr w:type="firstRow">
      <w:rPr>
        <w:b/>
        <w:bCs/>
      </w:rPr>
      <w:tblPr/>
      <w:tcPr>
        <w:tcBorders>
          <w:bottom w:val="single" w:sz="12" w:space="0" w:color="A2E0F6" w:themeColor="accent6" w:themeTint="99"/>
        </w:tcBorders>
      </w:tcPr>
    </w:tblStylePr>
    <w:tblStylePr w:type="lastRow">
      <w:rPr>
        <w:b/>
        <w:bCs/>
      </w:rPr>
      <w:tblPr/>
      <w:tcPr>
        <w:tcBorders>
          <w:top w:val="double" w:sz="2" w:space="0" w:color="A2E0F6" w:themeColor="accent6" w:themeTint="99"/>
        </w:tcBorders>
      </w:tcPr>
    </w:tblStylePr>
    <w:tblStylePr w:type="firstCol">
      <w:rPr>
        <w:b/>
        <w:bCs/>
      </w:rPr>
    </w:tblStylePr>
    <w:tblStylePr w:type="lastCol">
      <w:rPr>
        <w:b/>
        <w:bCs/>
      </w:rPr>
    </w:tblStylePr>
  </w:style>
  <w:style w:type="table" w:customStyle="1" w:styleId="TableGrid3">
    <w:name w:val="Table Grid3"/>
    <w:basedOn w:val="HBTables"/>
    <w:next w:val="TableGrid"/>
    <w:rsid w:val="0022607C"/>
    <w:tblPr>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Pr>
    <w:tcPr>
      <w:tcMar>
        <w:left w:w="57" w:type="dxa"/>
        <w:right w:w="57" w:type="dxa"/>
      </w:tcMar>
    </w:tcPr>
    <w:tblStylePr w:type="firstRow">
      <w:pPr>
        <w:jc w:val="right"/>
      </w:pPr>
      <w:tblPr/>
      <w:tcPr>
        <w:tcBorders>
          <w:bottom w:val="nil"/>
        </w:tcBorders>
      </w:tcPr>
    </w:tblStylePr>
    <w:tblStylePr w:type="lastRow">
      <w:rPr>
        <w:b w:val="0"/>
        <w:bCs/>
      </w:rPr>
      <w:tblPr/>
      <w:tcPr>
        <w:tcBorders>
          <w:tl2br w:val="none" w:sz="0" w:space="0" w:color="auto"/>
          <w:tr2bl w:val="none" w:sz="0" w:space="0" w:color="auto"/>
        </w:tcBorders>
      </w:tcPr>
    </w:tblStylePr>
    <w:tblStylePr w:type="firstCol">
      <w:pPr>
        <w:jc w:val="left"/>
      </w:pPr>
      <w:rPr>
        <w:rFonts w:ascii="New York" w:hAnsi="New York"/>
        <w:b w:val="0"/>
      </w:rPr>
      <w:tblPr/>
      <w:tcPr>
        <w:tcBorders>
          <w:top w:val="single" w:sz="4" w:space="0" w:color="auto"/>
          <w:left w:val="single" w:sz="4" w:space="0" w:color="auto"/>
          <w:bottom w:val="single" w:sz="4" w:space="0" w:color="auto"/>
          <w:right w:val="single" w:sz="4" w:space="0" w:color="auto"/>
          <w:insideH w:val="nil"/>
          <w:insideV w:val="nil"/>
        </w:tcBorders>
      </w:tcPr>
    </w:tblStylePr>
    <w:tblStylePr w:type="lastCol">
      <w:rPr>
        <w:b w:val="0"/>
        <w:bCs/>
      </w:rPr>
      <w:tblPr/>
      <w:tcPr>
        <w:tcBorders>
          <w:tl2br w:val="none" w:sz="0" w:space="0" w:color="auto"/>
          <w:tr2bl w:val="none" w:sz="0" w:space="0" w:color="auto"/>
        </w:tcBorders>
      </w:tcPr>
    </w:tblStylePr>
    <w:tblStylePr w:type="band1Horz">
      <w:tblPr/>
      <w:tcPr>
        <w:tcBorders>
          <w:insideH w:val="nil"/>
        </w:tcBorders>
        <w:shd w:val="clear" w:color="auto" w:fill="auto"/>
      </w:tcPr>
    </w:tblStylePr>
    <w:tblStylePr w:type="band2Horz">
      <w:tblPr/>
      <w:tcPr>
        <w:tcBorders>
          <w:insideH w:val="nil"/>
        </w:tcBorders>
        <w:shd w:val="clear" w:color="auto" w:fill="auto"/>
      </w:tcPr>
    </w:tblStylePr>
    <w:tblStylePr w:type="nwCell">
      <w:tblPr/>
      <w:tcPr>
        <w:tcBorders>
          <w:top w:val="single" w:sz="4" w:space="0" w:color="auto"/>
          <w:left w:val="single" w:sz="4" w:space="0" w:color="auto"/>
          <w:bottom w:val="single" w:sz="4" w:space="0" w:color="auto"/>
          <w:right w:val="single" w:sz="4" w:space="0" w:color="auto"/>
          <w:tl2br w:val="nil"/>
        </w:tcBorders>
        <w:shd w:val="clear" w:color="auto" w:fill="auto"/>
      </w:tcPr>
    </w:tblStylePr>
  </w:style>
  <w:style w:type="numbering" w:customStyle="1" w:styleId="1ai1">
    <w:name w:val="1 / a / i1"/>
    <w:basedOn w:val="NoList"/>
    <w:next w:val="1ai"/>
    <w:semiHidden/>
    <w:rsid w:val="0022607C"/>
    <w:pPr>
      <w:numPr>
        <w:numId w:val="1"/>
      </w:numPr>
    </w:pPr>
  </w:style>
  <w:style w:type="table" w:customStyle="1" w:styleId="TahomaTablesStyle11">
    <w:name w:val="Tahoma Tables Style 11"/>
    <w:basedOn w:val="TableGrid5"/>
    <w:rsid w:val="0022607C"/>
    <w:pPr>
      <w:spacing w:before="40" w:after="40"/>
      <w:jc w:val="right"/>
    </w:pPr>
    <w:rPr>
      <w:rFonts w:ascii="Tahoma" w:hAnsi="Tahoma"/>
      <w:sz w:val="16"/>
      <w:lang w:val="en-US" w:eastAsia="en-US"/>
    </w:rPr>
    <w:tblPr>
      <w:tblBorders>
        <w:top w:val="single" w:sz="8" w:space="0" w:color="000000"/>
        <w:left w:val="single" w:sz="8" w:space="0" w:color="000000"/>
        <w:bottom w:val="single" w:sz="8" w:space="0" w:color="000000"/>
        <w:right w:val="single" w:sz="8" w:space="0" w:color="000000"/>
        <w:insideH w:val="dotted" w:sz="4" w:space="0" w:color="auto"/>
        <w:insideV w:val="none" w:sz="0" w:space="0" w:color="auto"/>
      </w:tblBorders>
      <w:tblCellMar>
        <w:left w:w="28" w:type="dxa"/>
        <w:right w:w="28" w:type="dxa"/>
      </w:tblCellMar>
    </w:tblPr>
    <w:tcPr>
      <w:shd w:val="clear" w:color="auto" w:fill="auto"/>
      <w:vAlign w:val="center"/>
    </w:tcPr>
    <w:tblStylePr w:type="firstRow">
      <w:rPr>
        <w:rFonts w:ascii="New York" w:hAnsi="New York"/>
        <w:b w:val="0"/>
        <w:i w:val="0"/>
        <w:caps w:val="0"/>
        <w:smallCaps w:val="0"/>
        <w:strike w:val="0"/>
        <w:dstrike w:val="0"/>
        <w:vanish w:val="0"/>
        <w:color w:val="auto"/>
        <w:sz w:val="16"/>
        <w:u w:val="none"/>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8" w:space="0" w:color="000000"/>
          <w:left w:val="single" w:sz="8" w:space="0" w:color="000000"/>
          <w:bottom w:val="single" w:sz="8" w:space="0" w:color="000000"/>
          <w:right w:val="single" w:sz="8" w:space="0" w:color="000000"/>
          <w:insideV w:val="single" w:sz="8" w:space="0" w:color="000000"/>
          <w:tl2br w:val="none" w:sz="0" w:space="0" w:color="auto"/>
          <w:tr2bl w:val="none" w:sz="0" w:space="0" w:color="auto"/>
        </w:tcBorders>
        <w:shd w:val="clear" w:color="auto" w:fill="auto"/>
      </w:tcPr>
    </w:tblStylePr>
    <w:tblStylePr w:type="lastRow">
      <w:rPr>
        <w:b w:val="0"/>
        <w:bCs/>
      </w:rPr>
      <w:tblPr/>
      <w:tcPr>
        <w:tcBorders>
          <w:tl2br w:val="none" w:sz="0" w:space="0" w:color="auto"/>
          <w:tr2bl w:val="none" w:sz="0" w:space="0" w:color="auto"/>
        </w:tcBorders>
      </w:tcPr>
    </w:tblStylePr>
    <w:tblStylePr w:type="firstCol">
      <w:pPr>
        <w:jc w:val="left"/>
      </w:pPr>
      <w:tblPr/>
      <w:tcPr>
        <w:tcBorders>
          <w:top w:val="single" w:sz="4" w:space="0" w:color="auto"/>
          <w:left w:val="single" w:sz="4" w:space="0" w:color="auto"/>
          <w:bottom w:val="dotted" w:sz="4" w:space="0" w:color="auto"/>
          <w:right w:val="single" w:sz="4" w:space="0" w:color="auto"/>
          <w:insideH w:val="single" w:sz="4" w:space="0" w:color="auto"/>
          <w:insideV w:val="single" w:sz="4" w:space="0" w:color="auto"/>
        </w:tcBorders>
        <w:shd w:val="clear" w:color="auto" w:fill="auto"/>
      </w:tcPr>
    </w:tblStylePr>
    <w:tblStylePr w:type="lastCol">
      <w:rPr>
        <w:b w:val="0"/>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2366277">
      <w:bodyDiv w:val="1"/>
      <w:marLeft w:val="0"/>
      <w:marRight w:val="0"/>
      <w:marTop w:val="0"/>
      <w:marBottom w:val="0"/>
      <w:divBdr>
        <w:top w:val="none" w:sz="0" w:space="0" w:color="auto"/>
        <w:left w:val="none" w:sz="0" w:space="0" w:color="auto"/>
        <w:bottom w:val="none" w:sz="0" w:space="0" w:color="auto"/>
        <w:right w:val="none" w:sz="0" w:space="0" w:color="auto"/>
      </w:divBdr>
    </w:div>
    <w:div w:id="32115559">
      <w:bodyDiv w:val="1"/>
      <w:marLeft w:val="0"/>
      <w:marRight w:val="0"/>
      <w:marTop w:val="0"/>
      <w:marBottom w:val="0"/>
      <w:divBdr>
        <w:top w:val="none" w:sz="0" w:space="0" w:color="auto"/>
        <w:left w:val="none" w:sz="0" w:space="0" w:color="auto"/>
        <w:bottom w:val="none" w:sz="0" w:space="0" w:color="auto"/>
        <w:right w:val="none" w:sz="0" w:space="0" w:color="auto"/>
      </w:divBdr>
    </w:div>
    <w:div w:id="74087654">
      <w:bodyDiv w:val="1"/>
      <w:marLeft w:val="0"/>
      <w:marRight w:val="0"/>
      <w:marTop w:val="0"/>
      <w:marBottom w:val="0"/>
      <w:divBdr>
        <w:top w:val="none" w:sz="0" w:space="0" w:color="auto"/>
        <w:left w:val="none" w:sz="0" w:space="0" w:color="auto"/>
        <w:bottom w:val="none" w:sz="0" w:space="0" w:color="auto"/>
        <w:right w:val="none" w:sz="0" w:space="0" w:color="auto"/>
      </w:divBdr>
    </w:div>
    <w:div w:id="121578823">
      <w:bodyDiv w:val="1"/>
      <w:marLeft w:val="0"/>
      <w:marRight w:val="0"/>
      <w:marTop w:val="0"/>
      <w:marBottom w:val="0"/>
      <w:divBdr>
        <w:top w:val="none" w:sz="0" w:space="0" w:color="auto"/>
        <w:left w:val="none" w:sz="0" w:space="0" w:color="auto"/>
        <w:bottom w:val="none" w:sz="0" w:space="0" w:color="auto"/>
        <w:right w:val="none" w:sz="0" w:space="0" w:color="auto"/>
      </w:divBdr>
    </w:div>
    <w:div w:id="155414660">
      <w:bodyDiv w:val="1"/>
      <w:marLeft w:val="0"/>
      <w:marRight w:val="0"/>
      <w:marTop w:val="0"/>
      <w:marBottom w:val="0"/>
      <w:divBdr>
        <w:top w:val="none" w:sz="0" w:space="0" w:color="auto"/>
        <w:left w:val="none" w:sz="0" w:space="0" w:color="auto"/>
        <w:bottom w:val="none" w:sz="0" w:space="0" w:color="auto"/>
        <w:right w:val="none" w:sz="0" w:space="0" w:color="auto"/>
      </w:divBdr>
      <w:divsChild>
        <w:div w:id="7804447">
          <w:marLeft w:val="0"/>
          <w:marRight w:val="0"/>
          <w:marTop w:val="0"/>
          <w:marBottom w:val="0"/>
          <w:divBdr>
            <w:top w:val="none" w:sz="0" w:space="0" w:color="auto"/>
            <w:left w:val="none" w:sz="0" w:space="0" w:color="auto"/>
            <w:bottom w:val="none" w:sz="0" w:space="0" w:color="auto"/>
            <w:right w:val="none" w:sz="0" w:space="0" w:color="auto"/>
          </w:divBdr>
          <w:divsChild>
            <w:div w:id="33777508">
              <w:marLeft w:val="0"/>
              <w:marRight w:val="0"/>
              <w:marTop w:val="0"/>
              <w:marBottom w:val="0"/>
              <w:divBdr>
                <w:top w:val="none" w:sz="0" w:space="0" w:color="auto"/>
                <w:left w:val="none" w:sz="0" w:space="0" w:color="auto"/>
                <w:bottom w:val="none" w:sz="0" w:space="0" w:color="auto"/>
                <w:right w:val="none" w:sz="0" w:space="0" w:color="auto"/>
              </w:divBdr>
            </w:div>
            <w:div w:id="263537722">
              <w:marLeft w:val="0"/>
              <w:marRight w:val="0"/>
              <w:marTop w:val="0"/>
              <w:marBottom w:val="0"/>
              <w:divBdr>
                <w:top w:val="none" w:sz="0" w:space="0" w:color="auto"/>
                <w:left w:val="none" w:sz="0" w:space="0" w:color="auto"/>
                <w:bottom w:val="none" w:sz="0" w:space="0" w:color="auto"/>
                <w:right w:val="none" w:sz="0" w:space="0" w:color="auto"/>
              </w:divBdr>
            </w:div>
          </w:divsChild>
        </w:div>
        <w:div w:id="109589966">
          <w:marLeft w:val="0"/>
          <w:marRight w:val="0"/>
          <w:marTop w:val="0"/>
          <w:marBottom w:val="0"/>
          <w:divBdr>
            <w:top w:val="none" w:sz="0" w:space="0" w:color="auto"/>
            <w:left w:val="none" w:sz="0" w:space="0" w:color="auto"/>
            <w:bottom w:val="none" w:sz="0" w:space="0" w:color="auto"/>
            <w:right w:val="none" w:sz="0" w:space="0" w:color="auto"/>
          </w:divBdr>
          <w:divsChild>
            <w:div w:id="668144004">
              <w:marLeft w:val="0"/>
              <w:marRight w:val="0"/>
              <w:marTop w:val="0"/>
              <w:marBottom w:val="0"/>
              <w:divBdr>
                <w:top w:val="none" w:sz="0" w:space="0" w:color="auto"/>
                <w:left w:val="none" w:sz="0" w:space="0" w:color="auto"/>
                <w:bottom w:val="none" w:sz="0" w:space="0" w:color="auto"/>
                <w:right w:val="none" w:sz="0" w:space="0" w:color="auto"/>
              </w:divBdr>
            </w:div>
          </w:divsChild>
        </w:div>
        <w:div w:id="221916746">
          <w:marLeft w:val="0"/>
          <w:marRight w:val="0"/>
          <w:marTop w:val="0"/>
          <w:marBottom w:val="0"/>
          <w:divBdr>
            <w:top w:val="none" w:sz="0" w:space="0" w:color="auto"/>
            <w:left w:val="none" w:sz="0" w:space="0" w:color="auto"/>
            <w:bottom w:val="none" w:sz="0" w:space="0" w:color="auto"/>
            <w:right w:val="none" w:sz="0" w:space="0" w:color="auto"/>
          </w:divBdr>
          <w:divsChild>
            <w:div w:id="1995331150">
              <w:marLeft w:val="0"/>
              <w:marRight w:val="0"/>
              <w:marTop w:val="0"/>
              <w:marBottom w:val="0"/>
              <w:divBdr>
                <w:top w:val="none" w:sz="0" w:space="0" w:color="auto"/>
                <w:left w:val="none" w:sz="0" w:space="0" w:color="auto"/>
                <w:bottom w:val="none" w:sz="0" w:space="0" w:color="auto"/>
                <w:right w:val="none" w:sz="0" w:space="0" w:color="auto"/>
              </w:divBdr>
            </w:div>
          </w:divsChild>
        </w:div>
        <w:div w:id="577710576">
          <w:marLeft w:val="0"/>
          <w:marRight w:val="0"/>
          <w:marTop w:val="0"/>
          <w:marBottom w:val="0"/>
          <w:divBdr>
            <w:top w:val="none" w:sz="0" w:space="0" w:color="auto"/>
            <w:left w:val="none" w:sz="0" w:space="0" w:color="auto"/>
            <w:bottom w:val="none" w:sz="0" w:space="0" w:color="auto"/>
            <w:right w:val="none" w:sz="0" w:space="0" w:color="auto"/>
          </w:divBdr>
          <w:divsChild>
            <w:div w:id="1111390057">
              <w:marLeft w:val="0"/>
              <w:marRight w:val="0"/>
              <w:marTop w:val="0"/>
              <w:marBottom w:val="0"/>
              <w:divBdr>
                <w:top w:val="none" w:sz="0" w:space="0" w:color="auto"/>
                <w:left w:val="none" w:sz="0" w:space="0" w:color="auto"/>
                <w:bottom w:val="none" w:sz="0" w:space="0" w:color="auto"/>
                <w:right w:val="none" w:sz="0" w:space="0" w:color="auto"/>
              </w:divBdr>
            </w:div>
          </w:divsChild>
        </w:div>
        <w:div w:id="713579387">
          <w:marLeft w:val="0"/>
          <w:marRight w:val="0"/>
          <w:marTop w:val="0"/>
          <w:marBottom w:val="0"/>
          <w:divBdr>
            <w:top w:val="none" w:sz="0" w:space="0" w:color="auto"/>
            <w:left w:val="none" w:sz="0" w:space="0" w:color="auto"/>
            <w:bottom w:val="none" w:sz="0" w:space="0" w:color="auto"/>
            <w:right w:val="none" w:sz="0" w:space="0" w:color="auto"/>
          </w:divBdr>
          <w:divsChild>
            <w:div w:id="1238438457">
              <w:marLeft w:val="0"/>
              <w:marRight w:val="0"/>
              <w:marTop w:val="0"/>
              <w:marBottom w:val="0"/>
              <w:divBdr>
                <w:top w:val="none" w:sz="0" w:space="0" w:color="auto"/>
                <w:left w:val="none" w:sz="0" w:space="0" w:color="auto"/>
                <w:bottom w:val="none" w:sz="0" w:space="0" w:color="auto"/>
                <w:right w:val="none" w:sz="0" w:space="0" w:color="auto"/>
              </w:divBdr>
            </w:div>
          </w:divsChild>
        </w:div>
        <w:div w:id="969087560">
          <w:marLeft w:val="0"/>
          <w:marRight w:val="0"/>
          <w:marTop w:val="0"/>
          <w:marBottom w:val="0"/>
          <w:divBdr>
            <w:top w:val="none" w:sz="0" w:space="0" w:color="auto"/>
            <w:left w:val="none" w:sz="0" w:space="0" w:color="auto"/>
            <w:bottom w:val="none" w:sz="0" w:space="0" w:color="auto"/>
            <w:right w:val="none" w:sz="0" w:space="0" w:color="auto"/>
          </w:divBdr>
          <w:divsChild>
            <w:div w:id="616910478">
              <w:marLeft w:val="0"/>
              <w:marRight w:val="0"/>
              <w:marTop w:val="0"/>
              <w:marBottom w:val="0"/>
              <w:divBdr>
                <w:top w:val="none" w:sz="0" w:space="0" w:color="auto"/>
                <w:left w:val="none" w:sz="0" w:space="0" w:color="auto"/>
                <w:bottom w:val="none" w:sz="0" w:space="0" w:color="auto"/>
                <w:right w:val="none" w:sz="0" w:space="0" w:color="auto"/>
              </w:divBdr>
            </w:div>
          </w:divsChild>
        </w:div>
        <w:div w:id="1051806400">
          <w:marLeft w:val="0"/>
          <w:marRight w:val="0"/>
          <w:marTop w:val="0"/>
          <w:marBottom w:val="0"/>
          <w:divBdr>
            <w:top w:val="none" w:sz="0" w:space="0" w:color="auto"/>
            <w:left w:val="none" w:sz="0" w:space="0" w:color="auto"/>
            <w:bottom w:val="none" w:sz="0" w:space="0" w:color="auto"/>
            <w:right w:val="none" w:sz="0" w:space="0" w:color="auto"/>
          </w:divBdr>
          <w:divsChild>
            <w:div w:id="1528955729">
              <w:marLeft w:val="0"/>
              <w:marRight w:val="0"/>
              <w:marTop w:val="0"/>
              <w:marBottom w:val="0"/>
              <w:divBdr>
                <w:top w:val="none" w:sz="0" w:space="0" w:color="auto"/>
                <w:left w:val="none" w:sz="0" w:space="0" w:color="auto"/>
                <w:bottom w:val="none" w:sz="0" w:space="0" w:color="auto"/>
                <w:right w:val="none" w:sz="0" w:space="0" w:color="auto"/>
              </w:divBdr>
            </w:div>
          </w:divsChild>
        </w:div>
        <w:div w:id="1257637375">
          <w:marLeft w:val="0"/>
          <w:marRight w:val="0"/>
          <w:marTop w:val="0"/>
          <w:marBottom w:val="0"/>
          <w:divBdr>
            <w:top w:val="none" w:sz="0" w:space="0" w:color="auto"/>
            <w:left w:val="none" w:sz="0" w:space="0" w:color="auto"/>
            <w:bottom w:val="none" w:sz="0" w:space="0" w:color="auto"/>
            <w:right w:val="none" w:sz="0" w:space="0" w:color="auto"/>
          </w:divBdr>
          <w:divsChild>
            <w:div w:id="1720788042">
              <w:marLeft w:val="0"/>
              <w:marRight w:val="0"/>
              <w:marTop w:val="0"/>
              <w:marBottom w:val="0"/>
              <w:divBdr>
                <w:top w:val="none" w:sz="0" w:space="0" w:color="auto"/>
                <w:left w:val="none" w:sz="0" w:space="0" w:color="auto"/>
                <w:bottom w:val="none" w:sz="0" w:space="0" w:color="auto"/>
                <w:right w:val="none" w:sz="0" w:space="0" w:color="auto"/>
              </w:divBdr>
            </w:div>
          </w:divsChild>
        </w:div>
        <w:div w:id="1285574960">
          <w:marLeft w:val="0"/>
          <w:marRight w:val="0"/>
          <w:marTop w:val="0"/>
          <w:marBottom w:val="0"/>
          <w:divBdr>
            <w:top w:val="none" w:sz="0" w:space="0" w:color="auto"/>
            <w:left w:val="none" w:sz="0" w:space="0" w:color="auto"/>
            <w:bottom w:val="none" w:sz="0" w:space="0" w:color="auto"/>
            <w:right w:val="none" w:sz="0" w:space="0" w:color="auto"/>
          </w:divBdr>
          <w:divsChild>
            <w:div w:id="115032801">
              <w:marLeft w:val="0"/>
              <w:marRight w:val="0"/>
              <w:marTop w:val="0"/>
              <w:marBottom w:val="0"/>
              <w:divBdr>
                <w:top w:val="none" w:sz="0" w:space="0" w:color="auto"/>
                <w:left w:val="none" w:sz="0" w:space="0" w:color="auto"/>
                <w:bottom w:val="none" w:sz="0" w:space="0" w:color="auto"/>
                <w:right w:val="none" w:sz="0" w:space="0" w:color="auto"/>
              </w:divBdr>
            </w:div>
            <w:div w:id="250355907">
              <w:marLeft w:val="0"/>
              <w:marRight w:val="0"/>
              <w:marTop w:val="0"/>
              <w:marBottom w:val="0"/>
              <w:divBdr>
                <w:top w:val="none" w:sz="0" w:space="0" w:color="auto"/>
                <w:left w:val="none" w:sz="0" w:space="0" w:color="auto"/>
                <w:bottom w:val="none" w:sz="0" w:space="0" w:color="auto"/>
                <w:right w:val="none" w:sz="0" w:space="0" w:color="auto"/>
              </w:divBdr>
            </w:div>
            <w:div w:id="376853771">
              <w:marLeft w:val="0"/>
              <w:marRight w:val="0"/>
              <w:marTop w:val="0"/>
              <w:marBottom w:val="0"/>
              <w:divBdr>
                <w:top w:val="none" w:sz="0" w:space="0" w:color="auto"/>
                <w:left w:val="none" w:sz="0" w:space="0" w:color="auto"/>
                <w:bottom w:val="none" w:sz="0" w:space="0" w:color="auto"/>
                <w:right w:val="none" w:sz="0" w:space="0" w:color="auto"/>
              </w:divBdr>
            </w:div>
            <w:div w:id="531302781">
              <w:marLeft w:val="0"/>
              <w:marRight w:val="0"/>
              <w:marTop w:val="0"/>
              <w:marBottom w:val="0"/>
              <w:divBdr>
                <w:top w:val="none" w:sz="0" w:space="0" w:color="auto"/>
                <w:left w:val="none" w:sz="0" w:space="0" w:color="auto"/>
                <w:bottom w:val="none" w:sz="0" w:space="0" w:color="auto"/>
                <w:right w:val="none" w:sz="0" w:space="0" w:color="auto"/>
              </w:divBdr>
            </w:div>
            <w:div w:id="942154354">
              <w:marLeft w:val="0"/>
              <w:marRight w:val="0"/>
              <w:marTop w:val="0"/>
              <w:marBottom w:val="0"/>
              <w:divBdr>
                <w:top w:val="none" w:sz="0" w:space="0" w:color="auto"/>
                <w:left w:val="none" w:sz="0" w:space="0" w:color="auto"/>
                <w:bottom w:val="none" w:sz="0" w:space="0" w:color="auto"/>
                <w:right w:val="none" w:sz="0" w:space="0" w:color="auto"/>
              </w:divBdr>
            </w:div>
            <w:div w:id="1552232285">
              <w:marLeft w:val="0"/>
              <w:marRight w:val="0"/>
              <w:marTop w:val="0"/>
              <w:marBottom w:val="0"/>
              <w:divBdr>
                <w:top w:val="none" w:sz="0" w:space="0" w:color="auto"/>
                <w:left w:val="none" w:sz="0" w:space="0" w:color="auto"/>
                <w:bottom w:val="none" w:sz="0" w:space="0" w:color="auto"/>
                <w:right w:val="none" w:sz="0" w:space="0" w:color="auto"/>
              </w:divBdr>
            </w:div>
          </w:divsChild>
        </w:div>
        <w:div w:id="1377199842">
          <w:marLeft w:val="0"/>
          <w:marRight w:val="0"/>
          <w:marTop w:val="0"/>
          <w:marBottom w:val="0"/>
          <w:divBdr>
            <w:top w:val="none" w:sz="0" w:space="0" w:color="auto"/>
            <w:left w:val="none" w:sz="0" w:space="0" w:color="auto"/>
            <w:bottom w:val="none" w:sz="0" w:space="0" w:color="auto"/>
            <w:right w:val="none" w:sz="0" w:space="0" w:color="auto"/>
          </w:divBdr>
          <w:divsChild>
            <w:div w:id="844326771">
              <w:marLeft w:val="0"/>
              <w:marRight w:val="0"/>
              <w:marTop w:val="0"/>
              <w:marBottom w:val="0"/>
              <w:divBdr>
                <w:top w:val="none" w:sz="0" w:space="0" w:color="auto"/>
                <w:left w:val="none" w:sz="0" w:space="0" w:color="auto"/>
                <w:bottom w:val="none" w:sz="0" w:space="0" w:color="auto"/>
                <w:right w:val="none" w:sz="0" w:space="0" w:color="auto"/>
              </w:divBdr>
            </w:div>
          </w:divsChild>
        </w:div>
        <w:div w:id="1623266564">
          <w:marLeft w:val="0"/>
          <w:marRight w:val="0"/>
          <w:marTop w:val="0"/>
          <w:marBottom w:val="0"/>
          <w:divBdr>
            <w:top w:val="none" w:sz="0" w:space="0" w:color="auto"/>
            <w:left w:val="none" w:sz="0" w:space="0" w:color="auto"/>
            <w:bottom w:val="none" w:sz="0" w:space="0" w:color="auto"/>
            <w:right w:val="none" w:sz="0" w:space="0" w:color="auto"/>
          </w:divBdr>
          <w:divsChild>
            <w:div w:id="1619334505">
              <w:marLeft w:val="0"/>
              <w:marRight w:val="0"/>
              <w:marTop w:val="0"/>
              <w:marBottom w:val="0"/>
              <w:divBdr>
                <w:top w:val="none" w:sz="0" w:space="0" w:color="auto"/>
                <w:left w:val="none" w:sz="0" w:space="0" w:color="auto"/>
                <w:bottom w:val="none" w:sz="0" w:space="0" w:color="auto"/>
                <w:right w:val="none" w:sz="0" w:space="0" w:color="auto"/>
              </w:divBdr>
            </w:div>
            <w:div w:id="1973559434">
              <w:marLeft w:val="0"/>
              <w:marRight w:val="0"/>
              <w:marTop w:val="0"/>
              <w:marBottom w:val="0"/>
              <w:divBdr>
                <w:top w:val="none" w:sz="0" w:space="0" w:color="auto"/>
                <w:left w:val="none" w:sz="0" w:space="0" w:color="auto"/>
                <w:bottom w:val="none" w:sz="0" w:space="0" w:color="auto"/>
                <w:right w:val="none" w:sz="0" w:space="0" w:color="auto"/>
              </w:divBdr>
            </w:div>
          </w:divsChild>
        </w:div>
        <w:div w:id="1805544418">
          <w:marLeft w:val="0"/>
          <w:marRight w:val="0"/>
          <w:marTop w:val="0"/>
          <w:marBottom w:val="0"/>
          <w:divBdr>
            <w:top w:val="none" w:sz="0" w:space="0" w:color="auto"/>
            <w:left w:val="none" w:sz="0" w:space="0" w:color="auto"/>
            <w:bottom w:val="none" w:sz="0" w:space="0" w:color="auto"/>
            <w:right w:val="none" w:sz="0" w:space="0" w:color="auto"/>
          </w:divBdr>
          <w:divsChild>
            <w:div w:id="1182010732">
              <w:marLeft w:val="0"/>
              <w:marRight w:val="0"/>
              <w:marTop w:val="0"/>
              <w:marBottom w:val="0"/>
              <w:divBdr>
                <w:top w:val="none" w:sz="0" w:space="0" w:color="auto"/>
                <w:left w:val="none" w:sz="0" w:space="0" w:color="auto"/>
                <w:bottom w:val="none" w:sz="0" w:space="0" w:color="auto"/>
                <w:right w:val="none" w:sz="0" w:space="0" w:color="auto"/>
              </w:divBdr>
            </w:div>
            <w:div w:id="1435401494">
              <w:marLeft w:val="0"/>
              <w:marRight w:val="0"/>
              <w:marTop w:val="0"/>
              <w:marBottom w:val="0"/>
              <w:divBdr>
                <w:top w:val="none" w:sz="0" w:space="0" w:color="auto"/>
                <w:left w:val="none" w:sz="0" w:space="0" w:color="auto"/>
                <w:bottom w:val="none" w:sz="0" w:space="0" w:color="auto"/>
                <w:right w:val="none" w:sz="0" w:space="0" w:color="auto"/>
              </w:divBdr>
            </w:div>
            <w:div w:id="1856772957">
              <w:marLeft w:val="0"/>
              <w:marRight w:val="0"/>
              <w:marTop w:val="0"/>
              <w:marBottom w:val="0"/>
              <w:divBdr>
                <w:top w:val="none" w:sz="0" w:space="0" w:color="auto"/>
                <w:left w:val="none" w:sz="0" w:space="0" w:color="auto"/>
                <w:bottom w:val="none" w:sz="0" w:space="0" w:color="auto"/>
                <w:right w:val="none" w:sz="0" w:space="0" w:color="auto"/>
              </w:divBdr>
            </w:div>
          </w:divsChild>
        </w:div>
        <w:div w:id="1912349807">
          <w:marLeft w:val="0"/>
          <w:marRight w:val="0"/>
          <w:marTop w:val="0"/>
          <w:marBottom w:val="0"/>
          <w:divBdr>
            <w:top w:val="none" w:sz="0" w:space="0" w:color="auto"/>
            <w:left w:val="none" w:sz="0" w:space="0" w:color="auto"/>
            <w:bottom w:val="none" w:sz="0" w:space="0" w:color="auto"/>
            <w:right w:val="none" w:sz="0" w:space="0" w:color="auto"/>
          </w:divBdr>
          <w:divsChild>
            <w:div w:id="828980952">
              <w:marLeft w:val="0"/>
              <w:marRight w:val="0"/>
              <w:marTop w:val="0"/>
              <w:marBottom w:val="0"/>
              <w:divBdr>
                <w:top w:val="none" w:sz="0" w:space="0" w:color="auto"/>
                <w:left w:val="none" w:sz="0" w:space="0" w:color="auto"/>
                <w:bottom w:val="none" w:sz="0" w:space="0" w:color="auto"/>
                <w:right w:val="none" w:sz="0" w:space="0" w:color="auto"/>
              </w:divBdr>
            </w:div>
          </w:divsChild>
        </w:div>
        <w:div w:id="1980767438">
          <w:marLeft w:val="0"/>
          <w:marRight w:val="0"/>
          <w:marTop w:val="0"/>
          <w:marBottom w:val="0"/>
          <w:divBdr>
            <w:top w:val="none" w:sz="0" w:space="0" w:color="auto"/>
            <w:left w:val="none" w:sz="0" w:space="0" w:color="auto"/>
            <w:bottom w:val="none" w:sz="0" w:space="0" w:color="auto"/>
            <w:right w:val="none" w:sz="0" w:space="0" w:color="auto"/>
          </w:divBdr>
          <w:divsChild>
            <w:div w:id="1378623947">
              <w:marLeft w:val="0"/>
              <w:marRight w:val="0"/>
              <w:marTop w:val="0"/>
              <w:marBottom w:val="0"/>
              <w:divBdr>
                <w:top w:val="none" w:sz="0" w:space="0" w:color="auto"/>
                <w:left w:val="none" w:sz="0" w:space="0" w:color="auto"/>
                <w:bottom w:val="none" w:sz="0" w:space="0" w:color="auto"/>
                <w:right w:val="none" w:sz="0" w:space="0" w:color="auto"/>
              </w:divBdr>
            </w:div>
          </w:divsChild>
        </w:div>
        <w:div w:id="2032147187">
          <w:marLeft w:val="0"/>
          <w:marRight w:val="0"/>
          <w:marTop w:val="0"/>
          <w:marBottom w:val="0"/>
          <w:divBdr>
            <w:top w:val="none" w:sz="0" w:space="0" w:color="auto"/>
            <w:left w:val="none" w:sz="0" w:space="0" w:color="auto"/>
            <w:bottom w:val="none" w:sz="0" w:space="0" w:color="auto"/>
            <w:right w:val="none" w:sz="0" w:space="0" w:color="auto"/>
          </w:divBdr>
          <w:divsChild>
            <w:div w:id="960454442">
              <w:marLeft w:val="0"/>
              <w:marRight w:val="0"/>
              <w:marTop w:val="0"/>
              <w:marBottom w:val="0"/>
              <w:divBdr>
                <w:top w:val="none" w:sz="0" w:space="0" w:color="auto"/>
                <w:left w:val="none" w:sz="0" w:space="0" w:color="auto"/>
                <w:bottom w:val="none" w:sz="0" w:space="0" w:color="auto"/>
                <w:right w:val="none" w:sz="0" w:space="0" w:color="auto"/>
              </w:divBdr>
            </w:div>
          </w:divsChild>
        </w:div>
        <w:div w:id="2037540156">
          <w:marLeft w:val="0"/>
          <w:marRight w:val="0"/>
          <w:marTop w:val="0"/>
          <w:marBottom w:val="0"/>
          <w:divBdr>
            <w:top w:val="none" w:sz="0" w:space="0" w:color="auto"/>
            <w:left w:val="none" w:sz="0" w:space="0" w:color="auto"/>
            <w:bottom w:val="none" w:sz="0" w:space="0" w:color="auto"/>
            <w:right w:val="none" w:sz="0" w:space="0" w:color="auto"/>
          </w:divBdr>
          <w:divsChild>
            <w:div w:id="756903129">
              <w:marLeft w:val="0"/>
              <w:marRight w:val="0"/>
              <w:marTop w:val="0"/>
              <w:marBottom w:val="0"/>
              <w:divBdr>
                <w:top w:val="none" w:sz="0" w:space="0" w:color="auto"/>
                <w:left w:val="none" w:sz="0" w:space="0" w:color="auto"/>
                <w:bottom w:val="none" w:sz="0" w:space="0" w:color="auto"/>
                <w:right w:val="none" w:sz="0" w:space="0" w:color="auto"/>
              </w:divBdr>
            </w:div>
          </w:divsChild>
        </w:div>
        <w:div w:id="2103407827">
          <w:marLeft w:val="0"/>
          <w:marRight w:val="0"/>
          <w:marTop w:val="0"/>
          <w:marBottom w:val="0"/>
          <w:divBdr>
            <w:top w:val="none" w:sz="0" w:space="0" w:color="auto"/>
            <w:left w:val="none" w:sz="0" w:space="0" w:color="auto"/>
            <w:bottom w:val="none" w:sz="0" w:space="0" w:color="auto"/>
            <w:right w:val="none" w:sz="0" w:space="0" w:color="auto"/>
          </w:divBdr>
          <w:divsChild>
            <w:div w:id="796340454">
              <w:marLeft w:val="0"/>
              <w:marRight w:val="0"/>
              <w:marTop w:val="0"/>
              <w:marBottom w:val="0"/>
              <w:divBdr>
                <w:top w:val="none" w:sz="0" w:space="0" w:color="auto"/>
                <w:left w:val="none" w:sz="0" w:space="0" w:color="auto"/>
                <w:bottom w:val="none" w:sz="0" w:space="0" w:color="auto"/>
                <w:right w:val="none" w:sz="0" w:space="0" w:color="auto"/>
              </w:divBdr>
            </w:div>
          </w:divsChild>
        </w:div>
        <w:div w:id="2135519134">
          <w:marLeft w:val="0"/>
          <w:marRight w:val="0"/>
          <w:marTop w:val="0"/>
          <w:marBottom w:val="0"/>
          <w:divBdr>
            <w:top w:val="none" w:sz="0" w:space="0" w:color="auto"/>
            <w:left w:val="none" w:sz="0" w:space="0" w:color="auto"/>
            <w:bottom w:val="none" w:sz="0" w:space="0" w:color="auto"/>
            <w:right w:val="none" w:sz="0" w:space="0" w:color="auto"/>
          </w:divBdr>
          <w:divsChild>
            <w:div w:id="1789931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193868">
      <w:bodyDiv w:val="1"/>
      <w:marLeft w:val="0"/>
      <w:marRight w:val="0"/>
      <w:marTop w:val="0"/>
      <w:marBottom w:val="0"/>
      <w:divBdr>
        <w:top w:val="none" w:sz="0" w:space="0" w:color="auto"/>
        <w:left w:val="none" w:sz="0" w:space="0" w:color="auto"/>
        <w:bottom w:val="none" w:sz="0" w:space="0" w:color="auto"/>
        <w:right w:val="none" w:sz="0" w:space="0" w:color="auto"/>
      </w:divBdr>
      <w:divsChild>
        <w:div w:id="1952474426">
          <w:marLeft w:val="0"/>
          <w:marRight w:val="0"/>
          <w:marTop w:val="0"/>
          <w:marBottom w:val="0"/>
          <w:divBdr>
            <w:top w:val="none" w:sz="0" w:space="0" w:color="auto"/>
            <w:left w:val="none" w:sz="0" w:space="0" w:color="auto"/>
            <w:bottom w:val="none" w:sz="0" w:space="0" w:color="auto"/>
            <w:right w:val="none" w:sz="0" w:space="0" w:color="auto"/>
          </w:divBdr>
        </w:div>
      </w:divsChild>
    </w:div>
    <w:div w:id="230046482">
      <w:bodyDiv w:val="1"/>
      <w:marLeft w:val="0"/>
      <w:marRight w:val="0"/>
      <w:marTop w:val="0"/>
      <w:marBottom w:val="0"/>
      <w:divBdr>
        <w:top w:val="none" w:sz="0" w:space="0" w:color="auto"/>
        <w:left w:val="none" w:sz="0" w:space="0" w:color="auto"/>
        <w:bottom w:val="none" w:sz="0" w:space="0" w:color="auto"/>
        <w:right w:val="none" w:sz="0" w:space="0" w:color="auto"/>
      </w:divBdr>
    </w:div>
    <w:div w:id="248121129">
      <w:bodyDiv w:val="1"/>
      <w:marLeft w:val="0"/>
      <w:marRight w:val="0"/>
      <w:marTop w:val="0"/>
      <w:marBottom w:val="0"/>
      <w:divBdr>
        <w:top w:val="none" w:sz="0" w:space="0" w:color="auto"/>
        <w:left w:val="none" w:sz="0" w:space="0" w:color="auto"/>
        <w:bottom w:val="none" w:sz="0" w:space="0" w:color="auto"/>
        <w:right w:val="none" w:sz="0" w:space="0" w:color="auto"/>
      </w:divBdr>
    </w:div>
    <w:div w:id="269554138">
      <w:bodyDiv w:val="1"/>
      <w:marLeft w:val="0"/>
      <w:marRight w:val="0"/>
      <w:marTop w:val="0"/>
      <w:marBottom w:val="0"/>
      <w:divBdr>
        <w:top w:val="none" w:sz="0" w:space="0" w:color="auto"/>
        <w:left w:val="none" w:sz="0" w:space="0" w:color="auto"/>
        <w:bottom w:val="none" w:sz="0" w:space="0" w:color="auto"/>
        <w:right w:val="none" w:sz="0" w:space="0" w:color="auto"/>
      </w:divBdr>
      <w:divsChild>
        <w:div w:id="179783475">
          <w:marLeft w:val="0"/>
          <w:marRight w:val="0"/>
          <w:marTop w:val="0"/>
          <w:marBottom w:val="120"/>
          <w:divBdr>
            <w:top w:val="none" w:sz="0" w:space="0" w:color="auto"/>
            <w:left w:val="none" w:sz="0" w:space="0" w:color="auto"/>
            <w:bottom w:val="none" w:sz="0" w:space="0" w:color="auto"/>
            <w:right w:val="none" w:sz="0" w:space="0" w:color="auto"/>
          </w:divBdr>
          <w:divsChild>
            <w:div w:id="1483158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029575">
      <w:bodyDiv w:val="1"/>
      <w:marLeft w:val="0"/>
      <w:marRight w:val="0"/>
      <w:marTop w:val="0"/>
      <w:marBottom w:val="0"/>
      <w:divBdr>
        <w:top w:val="none" w:sz="0" w:space="0" w:color="auto"/>
        <w:left w:val="none" w:sz="0" w:space="0" w:color="auto"/>
        <w:bottom w:val="none" w:sz="0" w:space="0" w:color="auto"/>
        <w:right w:val="none" w:sz="0" w:space="0" w:color="auto"/>
      </w:divBdr>
    </w:div>
    <w:div w:id="302733974">
      <w:bodyDiv w:val="1"/>
      <w:marLeft w:val="0"/>
      <w:marRight w:val="0"/>
      <w:marTop w:val="0"/>
      <w:marBottom w:val="0"/>
      <w:divBdr>
        <w:top w:val="none" w:sz="0" w:space="0" w:color="auto"/>
        <w:left w:val="none" w:sz="0" w:space="0" w:color="auto"/>
        <w:bottom w:val="none" w:sz="0" w:space="0" w:color="auto"/>
        <w:right w:val="none" w:sz="0" w:space="0" w:color="auto"/>
      </w:divBdr>
    </w:div>
    <w:div w:id="303628736">
      <w:bodyDiv w:val="1"/>
      <w:marLeft w:val="0"/>
      <w:marRight w:val="0"/>
      <w:marTop w:val="0"/>
      <w:marBottom w:val="0"/>
      <w:divBdr>
        <w:top w:val="none" w:sz="0" w:space="0" w:color="auto"/>
        <w:left w:val="none" w:sz="0" w:space="0" w:color="auto"/>
        <w:bottom w:val="none" w:sz="0" w:space="0" w:color="auto"/>
        <w:right w:val="none" w:sz="0" w:space="0" w:color="auto"/>
      </w:divBdr>
    </w:div>
    <w:div w:id="338968687">
      <w:bodyDiv w:val="1"/>
      <w:marLeft w:val="0"/>
      <w:marRight w:val="0"/>
      <w:marTop w:val="0"/>
      <w:marBottom w:val="0"/>
      <w:divBdr>
        <w:top w:val="none" w:sz="0" w:space="0" w:color="auto"/>
        <w:left w:val="none" w:sz="0" w:space="0" w:color="auto"/>
        <w:bottom w:val="none" w:sz="0" w:space="0" w:color="auto"/>
        <w:right w:val="none" w:sz="0" w:space="0" w:color="auto"/>
      </w:divBdr>
      <w:divsChild>
        <w:div w:id="389112062">
          <w:marLeft w:val="0"/>
          <w:marRight w:val="0"/>
          <w:marTop w:val="0"/>
          <w:marBottom w:val="0"/>
          <w:divBdr>
            <w:top w:val="none" w:sz="0" w:space="0" w:color="auto"/>
            <w:left w:val="none" w:sz="0" w:space="0" w:color="auto"/>
            <w:bottom w:val="none" w:sz="0" w:space="0" w:color="auto"/>
            <w:right w:val="none" w:sz="0" w:space="0" w:color="auto"/>
          </w:divBdr>
        </w:div>
      </w:divsChild>
    </w:div>
    <w:div w:id="385374423">
      <w:bodyDiv w:val="1"/>
      <w:marLeft w:val="0"/>
      <w:marRight w:val="0"/>
      <w:marTop w:val="0"/>
      <w:marBottom w:val="0"/>
      <w:divBdr>
        <w:top w:val="none" w:sz="0" w:space="0" w:color="auto"/>
        <w:left w:val="none" w:sz="0" w:space="0" w:color="auto"/>
        <w:bottom w:val="none" w:sz="0" w:space="0" w:color="auto"/>
        <w:right w:val="none" w:sz="0" w:space="0" w:color="auto"/>
      </w:divBdr>
    </w:div>
    <w:div w:id="430471498">
      <w:bodyDiv w:val="1"/>
      <w:marLeft w:val="0"/>
      <w:marRight w:val="0"/>
      <w:marTop w:val="0"/>
      <w:marBottom w:val="0"/>
      <w:divBdr>
        <w:top w:val="none" w:sz="0" w:space="0" w:color="auto"/>
        <w:left w:val="none" w:sz="0" w:space="0" w:color="auto"/>
        <w:bottom w:val="none" w:sz="0" w:space="0" w:color="auto"/>
        <w:right w:val="none" w:sz="0" w:space="0" w:color="auto"/>
      </w:divBdr>
    </w:div>
    <w:div w:id="442965570">
      <w:bodyDiv w:val="1"/>
      <w:marLeft w:val="0"/>
      <w:marRight w:val="0"/>
      <w:marTop w:val="0"/>
      <w:marBottom w:val="0"/>
      <w:divBdr>
        <w:top w:val="none" w:sz="0" w:space="0" w:color="auto"/>
        <w:left w:val="none" w:sz="0" w:space="0" w:color="auto"/>
        <w:bottom w:val="none" w:sz="0" w:space="0" w:color="auto"/>
        <w:right w:val="none" w:sz="0" w:space="0" w:color="auto"/>
      </w:divBdr>
    </w:div>
    <w:div w:id="482503219">
      <w:bodyDiv w:val="1"/>
      <w:marLeft w:val="0"/>
      <w:marRight w:val="0"/>
      <w:marTop w:val="0"/>
      <w:marBottom w:val="0"/>
      <w:divBdr>
        <w:top w:val="none" w:sz="0" w:space="0" w:color="auto"/>
        <w:left w:val="none" w:sz="0" w:space="0" w:color="auto"/>
        <w:bottom w:val="none" w:sz="0" w:space="0" w:color="auto"/>
        <w:right w:val="none" w:sz="0" w:space="0" w:color="auto"/>
      </w:divBdr>
    </w:div>
    <w:div w:id="510484594">
      <w:bodyDiv w:val="1"/>
      <w:marLeft w:val="0"/>
      <w:marRight w:val="0"/>
      <w:marTop w:val="0"/>
      <w:marBottom w:val="0"/>
      <w:divBdr>
        <w:top w:val="none" w:sz="0" w:space="0" w:color="auto"/>
        <w:left w:val="none" w:sz="0" w:space="0" w:color="auto"/>
        <w:bottom w:val="none" w:sz="0" w:space="0" w:color="auto"/>
        <w:right w:val="none" w:sz="0" w:space="0" w:color="auto"/>
      </w:divBdr>
    </w:div>
    <w:div w:id="545263933">
      <w:bodyDiv w:val="1"/>
      <w:marLeft w:val="0"/>
      <w:marRight w:val="0"/>
      <w:marTop w:val="0"/>
      <w:marBottom w:val="0"/>
      <w:divBdr>
        <w:top w:val="none" w:sz="0" w:space="0" w:color="auto"/>
        <w:left w:val="none" w:sz="0" w:space="0" w:color="auto"/>
        <w:bottom w:val="none" w:sz="0" w:space="0" w:color="auto"/>
        <w:right w:val="none" w:sz="0" w:space="0" w:color="auto"/>
      </w:divBdr>
    </w:div>
    <w:div w:id="550043987">
      <w:bodyDiv w:val="1"/>
      <w:marLeft w:val="0"/>
      <w:marRight w:val="0"/>
      <w:marTop w:val="0"/>
      <w:marBottom w:val="0"/>
      <w:divBdr>
        <w:top w:val="none" w:sz="0" w:space="0" w:color="auto"/>
        <w:left w:val="none" w:sz="0" w:space="0" w:color="auto"/>
        <w:bottom w:val="none" w:sz="0" w:space="0" w:color="auto"/>
        <w:right w:val="none" w:sz="0" w:space="0" w:color="auto"/>
      </w:divBdr>
    </w:div>
    <w:div w:id="573128677">
      <w:bodyDiv w:val="1"/>
      <w:marLeft w:val="0"/>
      <w:marRight w:val="0"/>
      <w:marTop w:val="0"/>
      <w:marBottom w:val="0"/>
      <w:divBdr>
        <w:top w:val="none" w:sz="0" w:space="0" w:color="auto"/>
        <w:left w:val="none" w:sz="0" w:space="0" w:color="auto"/>
        <w:bottom w:val="none" w:sz="0" w:space="0" w:color="auto"/>
        <w:right w:val="none" w:sz="0" w:space="0" w:color="auto"/>
      </w:divBdr>
    </w:div>
    <w:div w:id="587464850">
      <w:bodyDiv w:val="1"/>
      <w:marLeft w:val="0"/>
      <w:marRight w:val="0"/>
      <w:marTop w:val="0"/>
      <w:marBottom w:val="0"/>
      <w:divBdr>
        <w:top w:val="none" w:sz="0" w:space="0" w:color="auto"/>
        <w:left w:val="none" w:sz="0" w:space="0" w:color="auto"/>
        <w:bottom w:val="none" w:sz="0" w:space="0" w:color="auto"/>
        <w:right w:val="none" w:sz="0" w:space="0" w:color="auto"/>
      </w:divBdr>
    </w:div>
    <w:div w:id="588975694">
      <w:bodyDiv w:val="1"/>
      <w:marLeft w:val="0"/>
      <w:marRight w:val="0"/>
      <w:marTop w:val="0"/>
      <w:marBottom w:val="0"/>
      <w:divBdr>
        <w:top w:val="none" w:sz="0" w:space="0" w:color="auto"/>
        <w:left w:val="none" w:sz="0" w:space="0" w:color="auto"/>
        <w:bottom w:val="none" w:sz="0" w:space="0" w:color="auto"/>
        <w:right w:val="none" w:sz="0" w:space="0" w:color="auto"/>
      </w:divBdr>
    </w:div>
    <w:div w:id="600920020">
      <w:bodyDiv w:val="1"/>
      <w:marLeft w:val="0"/>
      <w:marRight w:val="0"/>
      <w:marTop w:val="0"/>
      <w:marBottom w:val="0"/>
      <w:divBdr>
        <w:top w:val="none" w:sz="0" w:space="0" w:color="auto"/>
        <w:left w:val="none" w:sz="0" w:space="0" w:color="auto"/>
        <w:bottom w:val="none" w:sz="0" w:space="0" w:color="auto"/>
        <w:right w:val="none" w:sz="0" w:space="0" w:color="auto"/>
      </w:divBdr>
    </w:div>
    <w:div w:id="614793276">
      <w:bodyDiv w:val="1"/>
      <w:marLeft w:val="0"/>
      <w:marRight w:val="0"/>
      <w:marTop w:val="0"/>
      <w:marBottom w:val="0"/>
      <w:divBdr>
        <w:top w:val="none" w:sz="0" w:space="0" w:color="auto"/>
        <w:left w:val="none" w:sz="0" w:space="0" w:color="auto"/>
        <w:bottom w:val="none" w:sz="0" w:space="0" w:color="auto"/>
        <w:right w:val="none" w:sz="0" w:space="0" w:color="auto"/>
      </w:divBdr>
    </w:div>
    <w:div w:id="702362784">
      <w:bodyDiv w:val="1"/>
      <w:marLeft w:val="0"/>
      <w:marRight w:val="0"/>
      <w:marTop w:val="0"/>
      <w:marBottom w:val="0"/>
      <w:divBdr>
        <w:top w:val="none" w:sz="0" w:space="0" w:color="auto"/>
        <w:left w:val="none" w:sz="0" w:space="0" w:color="auto"/>
        <w:bottom w:val="none" w:sz="0" w:space="0" w:color="auto"/>
        <w:right w:val="none" w:sz="0" w:space="0" w:color="auto"/>
      </w:divBdr>
    </w:div>
    <w:div w:id="724990251">
      <w:bodyDiv w:val="1"/>
      <w:marLeft w:val="0"/>
      <w:marRight w:val="0"/>
      <w:marTop w:val="0"/>
      <w:marBottom w:val="0"/>
      <w:divBdr>
        <w:top w:val="none" w:sz="0" w:space="0" w:color="auto"/>
        <w:left w:val="none" w:sz="0" w:space="0" w:color="auto"/>
        <w:bottom w:val="none" w:sz="0" w:space="0" w:color="auto"/>
        <w:right w:val="none" w:sz="0" w:space="0" w:color="auto"/>
      </w:divBdr>
    </w:div>
    <w:div w:id="732045745">
      <w:bodyDiv w:val="1"/>
      <w:marLeft w:val="0"/>
      <w:marRight w:val="0"/>
      <w:marTop w:val="0"/>
      <w:marBottom w:val="0"/>
      <w:divBdr>
        <w:top w:val="none" w:sz="0" w:space="0" w:color="auto"/>
        <w:left w:val="none" w:sz="0" w:space="0" w:color="auto"/>
        <w:bottom w:val="none" w:sz="0" w:space="0" w:color="auto"/>
        <w:right w:val="none" w:sz="0" w:space="0" w:color="auto"/>
      </w:divBdr>
    </w:div>
    <w:div w:id="781460658">
      <w:bodyDiv w:val="1"/>
      <w:marLeft w:val="0"/>
      <w:marRight w:val="0"/>
      <w:marTop w:val="0"/>
      <w:marBottom w:val="0"/>
      <w:divBdr>
        <w:top w:val="none" w:sz="0" w:space="0" w:color="auto"/>
        <w:left w:val="none" w:sz="0" w:space="0" w:color="auto"/>
        <w:bottom w:val="none" w:sz="0" w:space="0" w:color="auto"/>
        <w:right w:val="none" w:sz="0" w:space="0" w:color="auto"/>
      </w:divBdr>
    </w:div>
    <w:div w:id="782966006">
      <w:bodyDiv w:val="1"/>
      <w:marLeft w:val="0"/>
      <w:marRight w:val="0"/>
      <w:marTop w:val="0"/>
      <w:marBottom w:val="0"/>
      <w:divBdr>
        <w:top w:val="none" w:sz="0" w:space="0" w:color="auto"/>
        <w:left w:val="none" w:sz="0" w:space="0" w:color="auto"/>
        <w:bottom w:val="none" w:sz="0" w:space="0" w:color="auto"/>
        <w:right w:val="none" w:sz="0" w:space="0" w:color="auto"/>
      </w:divBdr>
    </w:div>
    <w:div w:id="784613068">
      <w:bodyDiv w:val="1"/>
      <w:marLeft w:val="0"/>
      <w:marRight w:val="0"/>
      <w:marTop w:val="0"/>
      <w:marBottom w:val="0"/>
      <w:divBdr>
        <w:top w:val="none" w:sz="0" w:space="0" w:color="auto"/>
        <w:left w:val="none" w:sz="0" w:space="0" w:color="auto"/>
        <w:bottom w:val="none" w:sz="0" w:space="0" w:color="auto"/>
        <w:right w:val="none" w:sz="0" w:space="0" w:color="auto"/>
      </w:divBdr>
    </w:div>
    <w:div w:id="810755111">
      <w:bodyDiv w:val="1"/>
      <w:marLeft w:val="0"/>
      <w:marRight w:val="0"/>
      <w:marTop w:val="0"/>
      <w:marBottom w:val="0"/>
      <w:divBdr>
        <w:top w:val="none" w:sz="0" w:space="0" w:color="auto"/>
        <w:left w:val="none" w:sz="0" w:space="0" w:color="auto"/>
        <w:bottom w:val="none" w:sz="0" w:space="0" w:color="auto"/>
        <w:right w:val="none" w:sz="0" w:space="0" w:color="auto"/>
      </w:divBdr>
    </w:div>
    <w:div w:id="903104179">
      <w:bodyDiv w:val="1"/>
      <w:marLeft w:val="0"/>
      <w:marRight w:val="0"/>
      <w:marTop w:val="0"/>
      <w:marBottom w:val="0"/>
      <w:divBdr>
        <w:top w:val="none" w:sz="0" w:space="0" w:color="auto"/>
        <w:left w:val="none" w:sz="0" w:space="0" w:color="auto"/>
        <w:bottom w:val="none" w:sz="0" w:space="0" w:color="auto"/>
        <w:right w:val="none" w:sz="0" w:space="0" w:color="auto"/>
      </w:divBdr>
    </w:div>
    <w:div w:id="1031614626">
      <w:bodyDiv w:val="1"/>
      <w:marLeft w:val="0"/>
      <w:marRight w:val="0"/>
      <w:marTop w:val="0"/>
      <w:marBottom w:val="0"/>
      <w:divBdr>
        <w:top w:val="none" w:sz="0" w:space="0" w:color="auto"/>
        <w:left w:val="none" w:sz="0" w:space="0" w:color="auto"/>
        <w:bottom w:val="none" w:sz="0" w:space="0" w:color="auto"/>
        <w:right w:val="none" w:sz="0" w:space="0" w:color="auto"/>
      </w:divBdr>
      <w:divsChild>
        <w:div w:id="1828011591">
          <w:marLeft w:val="0"/>
          <w:marRight w:val="0"/>
          <w:marTop w:val="0"/>
          <w:marBottom w:val="0"/>
          <w:divBdr>
            <w:top w:val="none" w:sz="0" w:space="0" w:color="auto"/>
            <w:left w:val="none" w:sz="0" w:space="0" w:color="auto"/>
            <w:bottom w:val="none" w:sz="0" w:space="0" w:color="auto"/>
            <w:right w:val="none" w:sz="0" w:space="0" w:color="auto"/>
          </w:divBdr>
        </w:div>
      </w:divsChild>
    </w:div>
    <w:div w:id="1080642986">
      <w:bodyDiv w:val="1"/>
      <w:marLeft w:val="0"/>
      <w:marRight w:val="0"/>
      <w:marTop w:val="0"/>
      <w:marBottom w:val="0"/>
      <w:divBdr>
        <w:top w:val="none" w:sz="0" w:space="0" w:color="auto"/>
        <w:left w:val="none" w:sz="0" w:space="0" w:color="auto"/>
        <w:bottom w:val="none" w:sz="0" w:space="0" w:color="auto"/>
        <w:right w:val="none" w:sz="0" w:space="0" w:color="auto"/>
      </w:divBdr>
    </w:div>
    <w:div w:id="1104418851">
      <w:bodyDiv w:val="1"/>
      <w:marLeft w:val="0"/>
      <w:marRight w:val="0"/>
      <w:marTop w:val="0"/>
      <w:marBottom w:val="0"/>
      <w:divBdr>
        <w:top w:val="none" w:sz="0" w:space="0" w:color="auto"/>
        <w:left w:val="none" w:sz="0" w:space="0" w:color="auto"/>
        <w:bottom w:val="none" w:sz="0" w:space="0" w:color="auto"/>
        <w:right w:val="none" w:sz="0" w:space="0" w:color="auto"/>
      </w:divBdr>
    </w:div>
    <w:div w:id="1122186490">
      <w:bodyDiv w:val="1"/>
      <w:marLeft w:val="0"/>
      <w:marRight w:val="0"/>
      <w:marTop w:val="0"/>
      <w:marBottom w:val="0"/>
      <w:divBdr>
        <w:top w:val="none" w:sz="0" w:space="0" w:color="auto"/>
        <w:left w:val="none" w:sz="0" w:space="0" w:color="auto"/>
        <w:bottom w:val="none" w:sz="0" w:space="0" w:color="auto"/>
        <w:right w:val="none" w:sz="0" w:space="0" w:color="auto"/>
      </w:divBdr>
    </w:div>
    <w:div w:id="1122653564">
      <w:bodyDiv w:val="1"/>
      <w:marLeft w:val="0"/>
      <w:marRight w:val="0"/>
      <w:marTop w:val="0"/>
      <w:marBottom w:val="0"/>
      <w:divBdr>
        <w:top w:val="none" w:sz="0" w:space="0" w:color="auto"/>
        <w:left w:val="none" w:sz="0" w:space="0" w:color="auto"/>
        <w:bottom w:val="none" w:sz="0" w:space="0" w:color="auto"/>
        <w:right w:val="none" w:sz="0" w:space="0" w:color="auto"/>
      </w:divBdr>
    </w:div>
    <w:div w:id="1187712265">
      <w:bodyDiv w:val="1"/>
      <w:marLeft w:val="0"/>
      <w:marRight w:val="0"/>
      <w:marTop w:val="0"/>
      <w:marBottom w:val="0"/>
      <w:divBdr>
        <w:top w:val="none" w:sz="0" w:space="0" w:color="auto"/>
        <w:left w:val="none" w:sz="0" w:space="0" w:color="auto"/>
        <w:bottom w:val="none" w:sz="0" w:space="0" w:color="auto"/>
        <w:right w:val="none" w:sz="0" w:space="0" w:color="auto"/>
      </w:divBdr>
    </w:div>
    <w:div w:id="1201821561">
      <w:bodyDiv w:val="1"/>
      <w:marLeft w:val="0"/>
      <w:marRight w:val="0"/>
      <w:marTop w:val="0"/>
      <w:marBottom w:val="0"/>
      <w:divBdr>
        <w:top w:val="none" w:sz="0" w:space="0" w:color="auto"/>
        <w:left w:val="none" w:sz="0" w:space="0" w:color="auto"/>
        <w:bottom w:val="none" w:sz="0" w:space="0" w:color="auto"/>
        <w:right w:val="none" w:sz="0" w:space="0" w:color="auto"/>
      </w:divBdr>
    </w:div>
    <w:div w:id="1210457528">
      <w:bodyDiv w:val="1"/>
      <w:marLeft w:val="0"/>
      <w:marRight w:val="0"/>
      <w:marTop w:val="0"/>
      <w:marBottom w:val="0"/>
      <w:divBdr>
        <w:top w:val="none" w:sz="0" w:space="0" w:color="auto"/>
        <w:left w:val="none" w:sz="0" w:space="0" w:color="auto"/>
        <w:bottom w:val="none" w:sz="0" w:space="0" w:color="auto"/>
        <w:right w:val="none" w:sz="0" w:space="0" w:color="auto"/>
      </w:divBdr>
    </w:div>
    <w:div w:id="1256790399">
      <w:bodyDiv w:val="1"/>
      <w:marLeft w:val="0"/>
      <w:marRight w:val="0"/>
      <w:marTop w:val="0"/>
      <w:marBottom w:val="0"/>
      <w:divBdr>
        <w:top w:val="none" w:sz="0" w:space="0" w:color="auto"/>
        <w:left w:val="none" w:sz="0" w:space="0" w:color="auto"/>
        <w:bottom w:val="none" w:sz="0" w:space="0" w:color="auto"/>
        <w:right w:val="none" w:sz="0" w:space="0" w:color="auto"/>
      </w:divBdr>
    </w:div>
    <w:div w:id="1305771271">
      <w:bodyDiv w:val="1"/>
      <w:marLeft w:val="0"/>
      <w:marRight w:val="0"/>
      <w:marTop w:val="0"/>
      <w:marBottom w:val="0"/>
      <w:divBdr>
        <w:top w:val="none" w:sz="0" w:space="0" w:color="auto"/>
        <w:left w:val="none" w:sz="0" w:space="0" w:color="auto"/>
        <w:bottom w:val="none" w:sz="0" w:space="0" w:color="auto"/>
        <w:right w:val="none" w:sz="0" w:space="0" w:color="auto"/>
      </w:divBdr>
    </w:div>
    <w:div w:id="1306158478">
      <w:bodyDiv w:val="1"/>
      <w:marLeft w:val="0"/>
      <w:marRight w:val="0"/>
      <w:marTop w:val="0"/>
      <w:marBottom w:val="0"/>
      <w:divBdr>
        <w:top w:val="none" w:sz="0" w:space="0" w:color="auto"/>
        <w:left w:val="none" w:sz="0" w:space="0" w:color="auto"/>
        <w:bottom w:val="none" w:sz="0" w:space="0" w:color="auto"/>
        <w:right w:val="none" w:sz="0" w:space="0" w:color="auto"/>
      </w:divBdr>
    </w:div>
    <w:div w:id="1339506122">
      <w:bodyDiv w:val="1"/>
      <w:marLeft w:val="0"/>
      <w:marRight w:val="0"/>
      <w:marTop w:val="0"/>
      <w:marBottom w:val="0"/>
      <w:divBdr>
        <w:top w:val="none" w:sz="0" w:space="0" w:color="auto"/>
        <w:left w:val="none" w:sz="0" w:space="0" w:color="auto"/>
        <w:bottom w:val="none" w:sz="0" w:space="0" w:color="auto"/>
        <w:right w:val="none" w:sz="0" w:space="0" w:color="auto"/>
      </w:divBdr>
      <w:divsChild>
        <w:div w:id="123819976">
          <w:marLeft w:val="0"/>
          <w:marRight w:val="0"/>
          <w:marTop w:val="0"/>
          <w:marBottom w:val="0"/>
          <w:divBdr>
            <w:top w:val="none" w:sz="0" w:space="0" w:color="auto"/>
            <w:left w:val="none" w:sz="0" w:space="0" w:color="auto"/>
            <w:bottom w:val="none" w:sz="0" w:space="0" w:color="auto"/>
            <w:right w:val="none" w:sz="0" w:space="0" w:color="auto"/>
          </w:divBdr>
          <w:divsChild>
            <w:div w:id="2024504179">
              <w:marLeft w:val="0"/>
              <w:marRight w:val="0"/>
              <w:marTop w:val="0"/>
              <w:marBottom w:val="0"/>
              <w:divBdr>
                <w:top w:val="none" w:sz="0" w:space="0" w:color="auto"/>
                <w:left w:val="none" w:sz="0" w:space="0" w:color="auto"/>
                <w:bottom w:val="none" w:sz="0" w:space="0" w:color="auto"/>
                <w:right w:val="none" w:sz="0" w:space="0" w:color="auto"/>
              </w:divBdr>
            </w:div>
          </w:divsChild>
        </w:div>
        <w:div w:id="328754371">
          <w:marLeft w:val="0"/>
          <w:marRight w:val="0"/>
          <w:marTop w:val="0"/>
          <w:marBottom w:val="0"/>
          <w:divBdr>
            <w:top w:val="none" w:sz="0" w:space="0" w:color="auto"/>
            <w:left w:val="none" w:sz="0" w:space="0" w:color="auto"/>
            <w:bottom w:val="none" w:sz="0" w:space="0" w:color="auto"/>
            <w:right w:val="none" w:sz="0" w:space="0" w:color="auto"/>
          </w:divBdr>
          <w:divsChild>
            <w:div w:id="596719373">
              <w:marLeft w:val="0"/>
              <w:marRight w:val="0"/>
              <w:marTop w:val="0"/>
              <w:marBottom w:val="0"/>
              <w:divBdr>
                <w:top w:val="none" w:sz="0" w:space="0" w:color="auto"/>
                <w:left w:val="none" w:sz="0" w:space="0" w:color="auto"/>
                <w:bottom w:val="none" w:sz="0" w:space="0" w:color="auto"/>
                <w:right w:val="none" w:sz="0" w:space="0" w:color="auto"/>
              </w:divBdr>
            </w:div>
          </w:divsChild>
        </w:div>
        <w:div w:id="1307322585">
          <w:marLeft w:val="0"/>
          <w:marRight w:val="0"/>
          <w:marTop w:val="0"/>
          <w:marBottom w:val="0"/>
          <w:divBdr>
            <w:top w:val="none" w:sz="0" w:space="0" w:color="auto"/>
            <w:left w:val="none" w:sz="0" w:space="0" w:color="auto"/>
            <w:bottom w:val="none" w:sz="0" w:space="0" w:color="auto"/>
            <w:right w:val="none" w:sz="0" w:space="0" w:color="auto"/>
          </w:divBdr>
          <w:divsChild>
            <w:div w:id="1147940649">
              <w:marLeft w:val="0"/>
              <w:marRight w:val="0"/>
              <w:marTop w:val="0"/>
              <w:marBottom w:val="0"/>
              <w:divBdr>
                <w:top w:val="none" w:sz="0" w:space="0" w:color="auto"/>
                <w:left w:val="none" w:sz="0" w:space="0" w:color="auto"/>
                <w:bottom w:val="none" w:sz="0" w:space="0" w:color="auto"/>
                <w:right w:val="none" w:sz="0" w:space="0" w:color="auto"/>
              </w:divBdr>
            </w:div>
          </w:divsChild>
        </w:div>
        <w:div w:id="1313952171">
          <w:marLeft w:val="0"/>
          <w:marRight w:val="0"/>
          <w:marTop w:val="0"/>
          <w:marBottom w:val="0"/>
          <w:divBdr>
            <w:top w:val="none" w:sz="0" w:space="0" w:color="auto"/>
            <w:left w:val="none" w:sz="0" w:space="0" w:color="auto"/>
            <w:bottom w:val="none" w:sz="0" w:space="0" w:color="auto"/>
            <w:right w:val="none" w:sz="0" w:space="0" w:color="auto"/>
          </w:divBdr>
          <w:divsChild>
            <w:div w:id="1814983747">
              <w:marLeft w:val="0"/>
              <w:marRight w:val="0"/>
              <w:marTop w:val="0"/>
              <w:marBottom w:val="0"/>
              <w:divBdr>
                <w:top w:val="none" w:sz="0" w:space="0" w:color="auto"/>
                <w:left w:val="none" w:sz="0" w:space="0" w:color="auto"/>
                <w:bottom w:val="none" w:sz="0" w:space="0" w:color="auto"/>
                <w:right w:val="none" w:sz="0" w:space="0" w:color="auto"/>
              </w:divBdr>
            </w:div>
          </w:divsChild>
        </w:div>
        <w:div w:id="1345008907">
          <w:marLeft w:val="0"/>
          <w:marRight w:val="0"/>
          <w:marTop w:val="0"/>
          <w:marBottom w:val="0"/>
          <w:divBdr>
            <w:top w:val="none" w:sz="0" w:space="0" w:color="auto"/>
            <w:left w:val="none" w:sz="0" w:space="0" w:color="auto"/>
            <w:bottom w:val="none" w:sz="0" w:space="0" w:color="auto"/>
            <w:right w:val="none" w:sz="0" w:space="0" w:color="auto"/>
          </w:divBdr>
          <w:divsChild>
            <w:div w:id="437796073">
              <w:marLeft w:val="0"/>
              <w:marRight w:val="0"/>
              <w:marTop w:val="0"/>
              <w:marBottom w:val="0"/>
              <w:divBdr>
                <w:top w:val="none" w:sz="0" w:space="0" w:color="auto"/>
                <w:left w:val="none" w:sz="0" w:space="0" w:color="auto"/>
                <w:bottom w:val="none" w:sz="0" w:space="0" w:color="auto"/>
                <w:right w:val="none" w:sz="0" w:space="0" w:color="auto"/>
              </w:divBdr>
            </w:div>
          </w:divsChild>
        </w:div>
        <w:div w:id="1556771747">
          <w:marLeft w:val="0"/>
          <w:marRight w:val="0"/>
          <w:marTop w:val="0"/>
          <w:marBottom w:val="0"/>
          <w:divBdr>
            <w:top w:val="none" w:sz="0" w:space="0" w:color="auto"/>
            <w:left w:val="none" w:sz="0" w:space="0" w:color="auto"/>
            <w:bottom w:val="none" w:sz="0" w:space="0" w:color="auto"/>
            <w:right w:val="none" w:sz="0" w:space="0" w:color="auto"/>
          </w:divBdr>
          <w:divsChild>
            <w:div w:id="182791609">
              <w:marLeft w:val="0"/>
              <w:marRight w:val="0"/>
              <w:marTop w:val="0"/>
              <w:marBottom w:val="0"/>
              <w:divBdr>
                <w:top w:val="none" w:sz="0" w:space="0" w:color="auto"/>
                <w:left w:val="none" w:sz="0" w:space="0" w:color="auto"/>
                <w:bottom w:val="none" w:sz="0" w:space="0" w:color="auto"/>
                <w:right w:val="none" w:sz="0" w:space="0" w:color="auto"/>
              </w:divBdr>
            </w:div>
            <w:div w:id="880477540">
              <w:marLeft w:val="0"/>
              <w:marRight w:val="0"/>
              <w:marTop w:val="0"/>
              <w:marBottom w:val="0"/>
              <w:divBdr>
                <w:top w:val="none" w:sz="0" w:space="0" w:color="auto"/>
                <w:left w:val="none" w:sz="0" w:space="0" w:color="auto"/>
                <w:bottom w:val="none" w:sz="0" w:space="0" w:color="auto"/>
                <w:right w:val="none" w:sz="0" w:space="0" w:color="auto"/>
              </w:divBdr>
            </w:div>
            <w:div w:id="1386443373">
              <w:marLeft w:val="0"/>
              <w:marRight w:val="0"/>
              <w:marTop w:val="0"/>
              <w:marBottom w:val="0"/>
              <w:divBdr>
                <w:top w:val="none" w:sz="0" w:space="0" w:color="auto"/>
                <w:left w:val="none" w:sz="0" w:space="0" w:color="auto"/>
                <w:bottom w:val="none" w:sz="0" w:space="0" w:color="auto"/>
                <w:right w:val="none" w:sz="0" w:space="0" w:color="auto"/>
              </w:divBdr>
            </w:div>
          </w:divsChild>
        </w:div>
        <w:div w:id="1680230829">
          <w:marLeft w:val="0"/>
          <w:marRight w:val="0"/>
          <w:marTop w:val="0"/>
          <w:marBottom w:val="0"/>
          <w:divBdr>
            <w:top w:val="none" w:sz="0" w:space="0" w:color="auto"/>
            <w:left w:val="none" w:sz="0" w:space="0" w:color="auto"/>
            <w:bottom w:val="none" w:sz="0" w:space="0" w:color="auto"/>
            <w:right w:val="none" w:sz="0" w:space="0" w:color="auto"/>
          </w:divBdr>
          <w:divsChild>
            <w:div w:id="799808516">
              <w:marLeft w:val="0"/>
              <w:marRight w:val="0"/>
              <w:marTop w:val="0"/>
              <w:marBottom w:val="0"/>
              <w:divBdr>
                <w:top w:val="none" w:sz="0" w:space="0" w:color="auto"/>
                <w:left w:val="none" w:sz="0" w:space="0" w:color="auto"/>
                <w:bottom w:val="none" w:sz="0" w:space="0" w:color="auto"/>
                <w:right w:val="none" w:sz="0" w:space="0" w:color="auto"/>
              </w:divBdr>
            </w:div>
          </w:divsChild>
        </w:div>
        <w:div w:id="1687244822">
          <w:marLeft w:val="0"/>
          <w:marRight w:val="0"/>
          <w:marTop w:val="0"/>
          <w:marBottom w:val="0"/>
          <w:divBdr>
            <w:top w:val="none" w:sz="0" w:space="0" w:color="auto"/>
            <w:left w:val="none" w:sz="0" w:space="0" w:color="auto"/>
            <w:bottom w:val="none" w:sz="0" w:space="0" w:color="auto"/>
            <w:right w:val="none" w:sz="0" w:space="0" w:color="auto"/>
          </w:divBdr>
          <w:divsChild>
            <w:div w:id="407963563">
              <w:marLeft w:val="0"/>
              <w:marRight w:val="0"/>
              <w:marTop w:val="0"/>
              <w:marBottom w:val="0"/>
              <w:divBdr>
                <w:top w:val="none" w:sz="0" w:space="0" w:color="auto"/>
                <w:left w:val="none" w:sz="0" w:space="0" w:color="auto"/>
                <w:bottom w:val="none" w:sz="0" w:space="0" w:color="auto"/>
                <w:right w:val="none" w:sz="0" w:space="0" w:color="auto"/>
              </w:divBdr>
            </w:div>
            <w:div w:id="778305612">
              <w:marLeft w:val="0"/>
              <w:marRight w:val="0"/>
              <w:marTop w:val="0"/>
              <w:marBottom w:val="0"/>
              <w:divBdr>
                <w:top w:val="none" w:sz="0" w:space="0" w:color="auto"/>
                <w:left w:val="none" w:sz="0" w:space="0" w:color="auto"/>
                <w:bottom w:val="none" w:sz="0" w:space="0" w:color="auto"/>
                <w:right w:val="none" w:sz="0" w:space="0" w:color="auto"/>
              </w:divBdr>
            </w:div>
            <w:div w:id="183954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138328">
      <w:bodyDiv w:val="1"/>
      <w:marLeft w:val="0"/>
      <w:marRight w:val="0"/>
      <w:marTop w:val="0"/>
      <w:marBottom w:val="0"/>
      <w:divBdr>
        <w:top w:val="none" w:sz="0" w:space="0" w:color="auto"/>
        <w:left w:val="none" w:sz="0" w:space="0" w:color="auto"/>
        <w:bottom w:val="none" w:sz="0" w:space="0" w:color="auto"/>
        <w:right w:val="none" w:sz="0" w:space="0" w:color="auto"/>
      </w:divBdr>
    </w:div>
    <w:div w:id="1395738637">
      <w:bodyDiv w:val="1"/>
      <w:marLeft w:val="0"/>
      <w:marRight w:val="0"/>
      <w:marTop w:val="0"/>
      <w:marBottom w:val="0"/>
      <w:divBdr>
        <w:top w:val="none" w:sz="0" w:space="0" w:color="auto"/>
        <w:left w:val="none" w:sz="0" w:space="0" w:color="auto"/>
        <w:bottom w:val="none" w:sz="0" w:space="0" w:color="auto"/>
        <w:right w:val="none" w:sz="0" w:space="0" w:color="auto"/>
      </w:divBdr>
    </w:div>
    <w:div w:id="1397780795">
      <w:bodyDiv w:val="1"/>
      <w:marLeft w:val="0"/>
      <w:marRight w:val="0"/>
      <w:marTop w:val="0"/>
      <w:marBottom w:val="0"/>
      <w:divBdr>
        <w:top w:val="none" w:sz="0" w:space="0" w:color="auto"/>
        <w:left w:val="none" w:sz="0" w:space="0" w:color="auto"/>
        <w:bottom w:val="none" w:sz="0" w:space="0" w:color="auto"/>
        <w:right w:val="none" w:sz="0" w:space="0" w:color="auto"/>
      </w:divBdr>
      <w:divsChild>
        <w:div w:id="380128815">
          <w:marLeft w:val="0"/>
          <w:marRight w:val="0"/>
          <w:marTop w:val="0"/>
          <w:marBottom w:val="120"/>
          <w:divBdr>
            <w:top w:val="none" w:sz="0" w:space="0" w:color="auto"/>
            <w:left w:val="none" w:sz="0" w:space="0" w:color="auto"/>
            <w:bottom w:val="none" w:sz="0" w:space="0" w:color="auto"/>
            <w:right w:val="none" w:sz="0" w:space="0" w:color="auto"/>
          </w:divBdr>
          <w:divsChild>
            <w:div w:id="1900363187">
              <w:marLeft w:val="0"/>
              <w:marRight w:val="0"/>
              <w:marTop w:val="0"/>
              <w:marBottom w:val="0"/>
              <w:divBdr>
                <w:top w:val="none" w:sz="0" w:space="0" w:color="auto"/>
                <w:left w:val="none" w:sz="0" w:space="0" w:color="auto"/>
                <w:bottom w:val="none" w:sz="0" w:space="0" w:color="auto"/>
                <w:right w:val="none" w:sz="0" w:space="0" w:color="auto"/>
              </w:divBdr>
            </w:div>
          </w:divsChild>
        </w:div>
        <w:div w:id="1119685695">
          <w:marLeft w:val="0"/>
          <w:marRight w:val="0"/>
          <w:marTop w:val="0"/>
          <w:marBottom w:val="120"/>
          <w:divBdr>
            <w:top w:val="none" w:sz="0" w:space="0" w:color="auto"/>
            <w:left w:val="none" w:sz="0" w:space="0" w:color="auto"/>
            <w:bottom w:val="none" w:sz="0" w:space="0" w:color="auto"/>
            <w:right w:val="none" w:sz="0" w:space="0" w:color="auto"/>
          </w:divBdr>
          <w:divsChild>
            <w:div w:id="2021816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965346">
      <w:bodyDiv w:val="1"/>
      <w:marLeft w:val="0"/>
      <w:marRight w:val="0"/>
      <w:marTop w:val="0"/>
      <w:marBottom w:val="0"/>
      <w:divBdr>
        <w:top w:val="none" w:sz="0" w:space="0" w:color="auto"/>
        <w:left w:val="none" w:sz="0" w:space="0" w:color="auto"/>
        <w:bottom w:val="none" w:sz="0" w:space="0" w:color="auto"/>
        <w:right w:val="none" w:sz="0" w:space="0" w:color="auto"/>
      </w:divBdr>
    </w:div>
    <w:div w:id="1440028199">
      <w:bodyDiv w:val="1"/>
      <w:marLeft w:val="0"/>
      <w:marRight w:val="0"/>
      <w:marTop w:val="0"/>
      <w:marBottom w:val="0"/>
      <w:divBdr>
        <w:top w:val="none" w:sz="0" w:space="0" w:color="auto"/>
        <w:left w:val="none" w:sz="0" w:space="0" w:color="auto"/>
        <w:bottom w:val="none" w:sz="0" w:space="0" w:color="auto"/>
        <w:right w:val="none" w:sz="0" w:space="0" w:color="auto"/>
      </w:divBdr>
    </w:div>
    <w:div w:id="1475371465">
      <w:bodyDiv w:val="1"/>
      <w:marLeft w:val="0"/>
      <w:marRight w:val="0"/>
      <w:marTop w:val="0"/>
      <w:marBottom w:val="0"/>
      <w:divBdr>
        <w:top w:val="none" w:sz="0" w:space="0" w:color="auto"/>
        <w:left w:val="none" w:sz="0" w:space="0" w:color="auto"/>
        <w:bottom w:val="none" w:sz="0" w:space="0" w:color="auto"/>
        <w:right w:val="none" w:sz="0" w:space="0" w:color="auto"/>
      </w:divBdr>
      <w:divsChild>
        <w:div w:id="636641983">
          <w:marLeft w:val="0"/>
          <w:marRight w:val="0"/>
          <w:marTop w:val="0"/>
          <w:marBottom w:val="0"/>
          <w:divBdr>
            <w:top w:val="none" w:sz="0" w:space="0" w:color="auto"/>
            <w:left w:val="none" w:sz="0" w:space="0" w:color="auto"/>
            <w:bottom w:val="none" w:sz="0" w:space="0" w:color="auto"/>
            <w:right w:val="none" w:sz="0" w:space="0" w:color="auto"/>
          </w:divBdr>
        </w:div>
      </w:divsChild>
    </w:div>
    <w:div w:id="1487281062">
      <w:bodyDiv w:val="1"/>
      <w:marLeft w:val="0"/>
      <w:marRight w:val="0"/>
      <w:marTop w:val="0"/>
      <w:marBottom w:val="0"/>
      <w:divBdr>
        <w:top w:val="none" w:sz="0" w:space="0" w:color="auto"/>
        <w:left w:val="none" w:sz="0" w:space="0" w:color="auto"/>
        <w:bottom w:val="none" w:sz="0" w:space="0" w:color="auto"/>
        <w:right w:val="none" w:sz="0" w:space="0" w:color="auto"/>
      </w:divBdr>
      <w:divsChild>
        <w:div w:id="1507211637">
          <w:marLeft w:val="0"/>
          <w:marRight w:val="0"/>
          <w:marTop w:val="0"/>
          <w:marBottom w:val="120"/>
          <w:divBdr>
            <w:top w:val="none" w:sz="0" w:space="0" w:color="auto"/>
            <w:left w:val="none" w:sz="0" w:space="0" w:color="auto"/>
            <w:bottom w:val="none" w:sz="0" w:space="0" w:color="auto"/>
            <w:right w:val="none" w:sz="0" w:space="0" w:color="auto"/>
          </w:divBdr>
          <w:divsChild>
            <w:div w:id="1496260422">
              <w:marLeft w:val="0"/>
              <w:marRight w:val="0"/>
              <w:marTop w:val="0"/>
              <w:marBottom w:val="0"/>
              <w:divBdr>
                <w:top w:val="none" w:sz="0" w:space="0" w:color="auto"/>
                <w:left w:val="none" w:sz="0" w:space="0" w:color="auto"/>
                <w:bottom w:val="none" w:sz="0" w:space="0" w:color="auto"/>
                <w:right w:val="none" w:sz="0" w:space="0" w:color="auto"/>
              </w:divBdr>
            </w:div>
          </w:divsChild>
        </w:div>
        <w:div w:id="1967850358">
          <w:marLeft w:val="0"/>
          <w:marRight w:val="0"/>
          <w:marTop w:val="0"/>
          <w:marBottom w:val="120"/>
          <w:divBdr>
            <w:top w:val="none" w:sz="0" w:space="0" w:color="auto"/>
            <w:left w:val="none" w:sz="0" w:space="0" w:color="auto"/>
            <w:bottom w:val="none" w:sz="0" w:space="0" w:color="auto"/>
            <w:right w:val="none" w:sz="0" w:space="0" w:color="auto"/>
          </w:divBdr>
          <w:divsChild>
            <w:div w:id="57863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6729181">
      <w:bodyDiv w:val="1"/>
      <w:marLeft w:val="0"/>
      <w:marRight w:val="0"/>
      <w:marTop w:val="0"/>
      <w:marBottom w:val="0"/>
      <w:divBdr>
        <w:top w:val="none" w:sz="0" w:space="0" w:color="auto"/>
        <w:left w:val="none" w:sz="0" w:space="0" w:color="auto"/>
        <w:bottom w:val="none" w:sz="0" w:space="0" w:color="auto"/>
        <w:right w:val="none" w:sz="0" w:space="0" w:color="auto"/>
      </w:divBdr>
    </w:div>
    <w:div w:id="1547722191">
      <w:bodyDiv w:val="1"/>
      <w:marLeft w:val="0"/>
      <w:marRight w:val="0"/>
      <w:marTop w:val="0"/>
      <w:marBottom w:val="0"/>
      <w:divBdr>
        <w:top w:val="none" w:sz="0" w:space="0" w:color="auto"/>
        <w:left w:val="none" w:sz="0" w:space="0" w:color="auto"/>
        <w:bottom w:val="none" w:sz="0" w:space="0" w:color="auto"/>
        <w:right w:val="none" w:sz="0" w:space="0" w:color="auto"/>
      </w:divBdr>
    </w:div>
    <w:div w:id="1641157105">
      <w:bodyDiv w:val="1"/>
      <w:marLeft w:val="0"/>
      <w:marRight w:val="0"/>
      <w:marTop w:val="0"/>
      <w:marBottom w:val="0"/>
      <w:divBdr>
        <w:top w:val="none" w:sz="0" w:space="0" w:color="auto"/>
        <w:left w:val="none" w:sz="0" w:space="0" w:color="auto"/>
        <w:bottom w:val="none" w:sz="0" w:space="0" w:color="auto"/>
        <w:right w:val="none" w:sz="0" w:space="0" w:color="auto"/>
      </w:divBdr>
    </w:div>
    <w:div w:id="1641615227">
      <w:bodyDiv w:val="1"/>
      <w:marLeft w:val="0"/>
      <w:marRight w:val="0"/>
      <w:marTop w:val="0"/>
      <w:marBottom w:val="0"/>
      <w:divBdr>
        <w:top w:val="none" w:sz="0" w:space="0" w:color="auto"/>
        <w:left w:val="none" w:sz="0" w:space="0" w:color="auto"/>
        <w:bottom w:val="none" w:sz="0" w:space="0" w:color="auto"/>
        <w:right w:val="none" w:sz="0" w:space="0" w:color="auto"/>
      </w:divBdr>
      <w:divsChild>
        <w:div w:id="585194528">
          <w:marLeft w:val="0"/>
          <w:marRight w:val="0"/>
          <w:marTop w:val="0"/>
          <w:marBottom w:val="0"/>
          <w:divBdr>
            <w:top w:val="none" w:sz="0" w:space="0" w:color="auto"/>
            <w:left w:val="none" w:sz="0" w:space="0" w:color="auto"/>
            <w:bottom w:val="none" w:sz="0" w:space="0" w:color="auto"/>
            <w:right w:val="none" w:sz="0" w:space="0" w:color="auto"/>
          </w:divBdr>
        </w:div>
      </w:divsChild>
    </w:div>
    <w:div w:id="1642348616">
      <w:bodyDiv w:val="1"/>
      <w:marLeft w:val="0"/>
      <w:marRight w:val="0"/>
      <w:marTop w:val="0"/>
      <w:marBottom w:val="0"/>
      <w:divBdr>
        <w:top w:val="none" w:sz="0" w:space="0" w:color="auto"/>
        <w:left w:val="none" w:sz="0" w:space="0" w:color="auto"/>
        <w:bottom w:val="none" w:sz="0" w:space="0" w:color="auto"/>
        <w:right w:val="none" w:sz="0" w:space="0" w:color="auto"/>
      </w:divBdr>
    </w:div>
    <w:div w:id="1654988728">
      <w:bodyDiv w:val="1"/>
      <w:marLeft w:val="0"/>
      <w:marRight w:val="0"/>
      <w:marTop w:val="0"/>
      <w:marBottom w:val="0"/>
      <w:divBdr>
        <w:top w:val="none" w:sz="0" w:space="0" w:color="auto"/>
        <w:left w:val="none" w:sz="0" w:space="0" w:color="auto"/>
        <w:bottom w:val="none" w:sz="0" w:space="0" w:color="auto"/>
        <w:right w:val="none" w:sz="0" w:space="0" w:color="auto"/>
      </w:divBdr>
    </w:div>
    <w:div w:id="1678191514">
      <w:bodyDiv w:val="1"/>
      <w:marLeft w:val="0"/>
      <w:marRight w:val="0"/>
      <w:marTop w:val="0"/>
      <w:marBottom w:val="0"/>
      <w:divBdr>
        <w:top w:val="none" w:sz="0" w:space="0" w:color="auto"/>
        <w:left w:val="none" w:sz="0" w:space="0" w:color="auto"/>
        <w:bottom w:val="none" w:sz="0" w:space="0" w:color="auto"/>
        <w:right w:val="none" w:sz="0" w:space="0" w:color="auto"/>
      </w:divBdr>
    </w:div>
    <w:div w:id="1761290266">
      <w:bodyDiv w:val="1"/>
      <w:marLeft w:val="0"/>
      <w:marRight w:val="0"/>
      <w:marTop w:val="0"/>
      <w:marBottom w:val="0"/>
      <w:divBdr>
        <w:top w:val="none" w:sz="0" w:space="0" w:color="auto"/>
        <w:left w:val="none" w:sz="0" w:space="0" w:color="auto"/>
        <w:bottom w:val="none" w:sz="0" w:space="0" w:color="auto"/>
        <w:right w:val="none" w:sz="0" w:space="0" w:color="auto"/>
      </w:divBdr>
    </w:div>
    <w:div w:id="1778675007">
      <w:bodyDiv w:val="1"/>
      <w:marLeft w:val="0"/>
      <w:marRight w:val="0"/>
      <w:marTop w:val="0"/>
      <w:marBottom w:val="0"/>
      <w:divBdr>
        <w:top w:val="none" w:sz="0" w:space="0" w:color="auto"/>
        <w:left w:val="none" w:sz="0" w:space="0" w:color="auto"/>
        <w:bottom w:val="none" w:sz="0" w:space="0" w:color="auto"/>
        <w:right w:val="none" w:sz="0" w:space="0" w:color="auto"/>
      </w:divBdr>
    </w:div>
    <w:div w:id="1868178146">
      <w:bodyDiv w:val="1"/>
      <w:marLeft w:val="0"/>
      <w:marRight w:val="0"/>
      <w:marTop w:val="0"/>
      <w:marBottom w:val="0"/>
      <w:divBdr>
        <w:top w:val="none" w:sz="0" w:space="0" w:color="auto"/>
        <w:left w:val="none" w:sz="0" w:space="0" w:color="auto"/>
        <w:bottom w:val="none" w:sz="0" w:space="0" w:color="auto"/>
        <w:right w:val="none" w:sz="0" w:space="0" w:color="auto"/>
      </w:divBdr>
    </w:div>
    <w:div w:id="1910072145">
      <w:bodyDiv w:val="1"/>
      <w:marLeft w:val="0"/>
      <w:marRight w:val="0"/>
      <w:marTop w:val="0"/>
      <w:marBottom w:val="0"/>
      <w:divBdr>
        <w:top w:val="none" w:sz="0" w:space="0" w:color="auto"/>
        <w:left w:val="none" w:sz="0" w:space="0" w:color="auto"/>
        <w:bottom w:val="none" w:sz="0" w:space="0" w:color="auto"/>
        <w:right w:val="none" w:sz="0" w:space="0" w:color="auto"/>
      </w:divBdr>
    </w:div>
    <w:div w:id="1938170684">
      <w:bodyDiv w:val="1"/>
      <w:marLeft w:val="0"/>
      <w:marRight w:val="0"/>
      <w:marTop w:val="0"/>
      <w:marBottom w:val="0"/>
      <w:divBdr>
        <w:top w:val="none" w:sz="0" w:space="0" w:color="auto"/>
        <w:left w:val="none" w:sz="0" w:space="0" w:color="auto"/>
        <w:bottom w:val="none" w:sz="0" w:space="0" w:color="auto"/>
        <w:right w:val="none" w:sz="0" w:space="0" w:color="auto"/>
      </w:divBdr>
      <w:divsChild>
        <w:div w:id="650714557">
          <w:marLeft w:val="0"/>
          <w:marRight w:val="0"/>
          <w:marTop w:val="0"/>
          <w:marBottom w:val="0"/>
          <w:divBdr>
            <w:top w:val="none" w:sz="0" w:space="0" w:color="auto"/>
            <w:left w:val="none" w:sz="0" w:space="0" w:color="auto"/>
            <w:bottom w:val="none" w:sz="0" w:space="0" w:color="auto"/>
            <w:right w:val="none" w:sz="0" w:space="0" w:color="auto"/>
          </w:divBdr>
        </w:div>
        <w:div w:id="712191747">
          <w:marLeft w:val="0"/>
          <w:marRight w:val="0"/>
          <w:marTop w:val="0"/>
          <w:marBottom w:val="0"/>
          <w:divBdr>
            <w:top w:val="none" w:sz="0" w:space="0" w:color="auto"/>
            <w:left w:val="none" w:sz="0" w:space="0" w:color="auto"/>
            <w:bottom w:val="none" w:sz="0" w:space="0" w:color="auto"/>
            <w:right w:val="none" w:sz="0" w:space="0" w:color="auto"/>
          </w:divBdr>
        </w:div>
        <w:div w:id="1679650740">
          <w:marLeft w:val="0"/>
          <w:marRight w:val="0"/>
          <w:marTop w:val="0"/>
          <w:marBottom w:val="0"/>
          <w:divBdr>
            <w:top w:val="none" w:sz="0" w:space="0" w:color="auto"/>
            <w:left w:val="none" w:sz="0" w:space="0" w:color="auto"/>
            <w:bottom w:val="none" w:sz="0" w:space="0" w:color="auto"/>
            <w:right w:val="none" w:sz="0" w:space="0" w:color="auto"/>
          </w:divBdr>
        </w:div>
      </w:divsChild>
    </w:div>
    <w:div w:id="1975060050">
      <w:bodyDiv w:val="1"/>
      <w:marLeft w:val="0"/>
      <w:marRight w:val="0"/>
      <w:marTop w:val="0"/>
      <w:marBottom w:val="0"/>
      <w:divBdr>
        <w:top w:val="none" w:sz="0" w:space="0" w:color="auto"/>
        <w:left w:val="none" w:sz="0" w:space="0" w:color="auto"/>
        <w:bottom w:val="none" w:sz="0" w:space="0" w:color="auto"/>
        <w:right w:val="none" w:sz="0" w:space="0" w:color="auto"/>
      </w:divBdr>
    </w:div>
    <w:div w:id="2015303609">
      <w:bodyDiv w:val="1"/>
      <w:marLeft w:val="0"/>
      <w:marRight w:val="0"/>
      <w:marTop w:val="0"/>
      <w:marBottom w:val="0"/>
      <w:divBdr>
        <w:top w:val="none" w:sz="0" w:space="0" w:color="auto"/>
        <w:left w:val="none" w:sz="0" w:space="0" w:color="auto"/>
        <w:bottom w:val="none" w:sz="0" w:space="0" w:color="auto"/>
        <w:right w:val="none" w:sz="0" w:space="0" w:color="auto"/>
      </w:divBdr>
    </w:div>
    <w:div w:id="2020623843">
      <w:bodyDiv w:val="1"/>
      <w:marLeft w:val="0"/>
      <w:marRight w:val="0"/>
      <w:marTop w:val="0"/>
      <w:marBottom w:val="0"/>
      <w:divBdr>
        <w:top w:val="none" w:sz="0" w:space="0" w:color="auto"/>
        <w:left w:val="none" w:sz="0" w:space="0" w:color="auto"/>
        <w:bottom w:val="none" w:sz="0" w:space="0" w:color="auto"/>
        <w:right w:val="none" w:sz="0" w:space="0" w:color="auto"/>
      </w:divBdr>
    </w:div>
    <w:div w:id="2028671268">
      <w:bodyDiv w:val="1"/>
      <w:marLeft w:val="0"/>
      <w:marRight w:val="0"/>
      <w:marTop w:val="0"/>
      <w:marBottom w:val="0"/>
      <w:divBdr>
        <w:top w:val="none" w:sz="0" w:space="0" w:color="auto"/>
        <w:left w:val="none" w:sz="0" w:space="0" w:color="auto"/>
        <w:bottom w:val="none" w:sz="0" w:space="0" w:color="auto"/>
        <w:right w:val="none" w:sz="0" w:space="0" w:color="auto"/>
      </w:divBdr>
    </w:div>
    <w:div w:id="2108957541">
      <w:bodyDiv w:val="1"/>
      <w:marLeft w:val="0"/>
      <w:marRight w:val="0"/>
      <w:marTop w:val="0"/>
      <w:marBottom w:val="0"/>
      <w:divBdr>
        <w:top w:val="none" w:sz="0" w:space="0" w:color="auto"/>
        <w:left w:val="none" w:sz="0" w:space="0" w:color="auto"/>
        <w:bottom w:val="none" w:sz="0" w:space="0" w:color="auto"/>
        <w:right w:val="none" w:sz="0" w:space="0" w:color="auto"/>
      </w:divBdr>
    </w:div>
    <w:div w:id="2129741911">
      <w:bodyDiv w:val="1"/>
      <w:marLeft w:val="0"/>
      <w:marRight w:val="0"/>
      <w:marTop w:val="0"/>
      <w:marBottom w:val="0"/>
      <w:divBdr>
        <w:top w:val="none" w:sz="0" w:space="0" w:color="auto"/>
        <w:left w:val="none" w:sz="0" w:space="0" w:color="auto"/>
        <w:bottom w:val="none" w:sz="0" w:space="0" w:color="auto"/>
        <w:right w:val="none" w:sz="0" w:space="0" w:color="auto"/>
      </w:divBdr>
    </w:div>
    <w:div w:id="2142573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eader" Target="header2.xml"/><Relationship Id="rId26" Type="http://schemas.openxmlformats.org/officeDocument/2006/relationships/image" Target="cid:image002.png@01D8D4CA.BC231E10" TargetMode="External"/><Relationship Id="rId39" Type="http://schemas.openxmlformats.org/officeDocument/2006/relationships/image" Target="media/image16.jpeg"/><Relationship Id="rId21" Type="http://schemas.openxmlformats.org/officeDocument/2006/relationships/header" Target="header3.xm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1.emf"/><Relationship Id="rId50" Type="http://schemas.openxmlformats.org/officeDocument/2006/relationships/footer" Target="footer5.xml"/><Relationship Id="rId55" Type="http://schemas.openxmlformats.org/officeDocument/2006/relationships/image" Target="media/image24.pn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chart" Target="charts/chart2.xml"/><Relationship Id="rId11" Type="http://schemas.openxmlformats.org/officeDocument/2006/relationships/image" Target="media/image1.png"/><Relationship Id="rId24" Type="http://schemas.openxmlformats.org/officeDocument/2006/relationships/chart" Target="charts/chart1.xml"/><Relationship Id="rId32" Type="http://schemas.openxmlformats.org/officeDocument/2006/relationships/chart" Target="charts/chart4.xml"/><Relationship Id="rId37" Type="http://schemas.openxmlformats.org/officeDocument/2006/relationships/image" Target="media/image14.png"/><Relationship Id="rId40" Type="http://schemas.openxmlformats.org/officeDocument/2006/relationships/image" Target="media/image17.jpeg"/><Relationship Id="rId45" Type="http://schemas.openxmlformats.org/officeDocument/2006/relationships/image" Target="media/image20.emf"/><Relationship Id="rId53" Type="http://schemas.openxmlformats.org/officeDocument/2006/relationships/hyperlink" Target="file:///\\Bcs1\Business\Projects\21517%20-%20GMW%202015%20Customer%20Survey\2012%20Projects\21208%20-%20G-MW%202012%20Customer%20Survey\Report\www.bartley.com.au" TargetMode="External"/><Relationship Id="rId58" Type="http://schemas.openxmlformats.org/officeDocument/2006/relationships/image" Target="media/image27.png"/><Relationship Id="rId5" Type="http://schemas.openxmlformats.org/officeDocument/2006/relationships/numbering" Target="numbering.xml"/><Relationship Id="rId61" Type="http://schemas.openxmlformats.org/officeDocument/2006/relationships/theme" Target="theme/theme1.xml"/><Relationship Id="rId1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footer" Target="footer3.xml"/><Relationship Id="rId27" Type="http://schemas.openxmlformats.org/officeDocument/2006/relationships/image" Target="media/image9.png"/><Relationship Id="rId30" Type="http://schemas.openxmlformats.org/officeDocument/2006/relationships/hyperlink" Target="https://www.premier.vic.gov.au/zero-tolerance-water-theft-victoria" TargetMode="External"/><Relationship Id="rId35" Type="http://schemas.openxmlformats.org/officeDocument/2006/relationships/image" Target="media/image12.png"/><Relationship Id="rId43" Type="http://schemas.openxmlformats.org/officeDocument/2006/relationships/chart" Target="charts/chart6.xml"/><Relationship Id="rId48" Type="http://schemas.openxmlformats.org/officeDocument/2006/relationships/image" Target="media/image22.jpg"/><Relationship Id="rId56" Type="http://schemas.openxmlformats.org/officeDocument/2006/relationships/image" Target="media/image25.png"/><Relationship Id="rId8" Type="http://schemas.openxmlformats.org/officeDocument/2006/relationships/webSettings" Target="webSettings.xml"/><Relationship Id="rId51" Type="http://schemas.openxmlformats.org/officeDocument/2006/relationships/header" Target="header5.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eader" Target="header1.xml"/><Relationship Id="rId25" Type="http://schemas.openxmlformats.org/officeDocument/2006/relationships/image" Target="media/image8.png"/><Relationship Id="rId33" Type="http://schemas.openxmlformats.org/officeDocument/2006/relationships/chart" Target="charts/chart5.xml"/><Relationship Id="rId38" Type="http://schemas.openxmlformats.org/officeDocument/2006/relationships/image" Target="media/image15.emf"/><Relationship Id="rId46" Type="http://schemas.openxmlformats.org/officeDocument/2006/relationships/footer" Target="footer4.xml"/><Relationship Id="rId59" Type="http://schemas.openxmlformats.org/officeDocument/2006/relationships/image" Target="media/image28.png"/><Relationship Id="rId20" Type="http://schemas.openxmlformats.org/officeDocument/2006/relationships/footer" Target="footer2.xml"/><Relationship Id="rId41" Type="http://schemas.openxmlformats.org/officeDocument/2006/relationships/image" Target="media/image18.png"/><Relationship Id="rId54" Type="http://schemas.openxmlformats.org/officeDocument/2006/relationships/image" Target="media/image23.jpeg"/><Relationship Id="rId62" Type="http://schemas.microsoft.com/office/2019/05/relationships/documenttasks" Target="documenttasks/documenttasks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3.png"/><Relationship Id="rId49" Type="http://schemas.openxmlformats.org/officeDocument/2006/relationships/header" Target="header4.xml"/><Relationship Id="rId57" Type="http://schemas.openxmlformats.org/officeDocument/2006/relationships/image" Target="media/image26.png"/><Relationship Id="rId10" Type="http://schemas.openxmlformats.org/officeDocument/2006/relationships/endnotes" Target="endnotes.xml"/><Relationship Id="rId31" Type="http://schemas.openxmlformats.org/officeDocument/2006/relationships/chart" Target="charts/chart3.xml"/><Relationship Id="rId44" Type="http://schemas.openxmlformats.org/officeDocument/2006/relationships/chart" Target="charts/chart7.xml"/><Relationship Id="rId52" Type="http://schemas.openxmlformats.org/officeDocument/2006/relationships/footer" Target="footer6.xml"/><Relationship Id="rId60"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s>
</file>

<file path=word/_rels/header4.xml.rels><?xml version="1.0" encoding="UTF-8" standalone="yes"?>
<Relationships xmlns="http://schemas.openxmlformats.org/package/2006/relationships"><Relationship Id="rId2" Type="http://schemas.openxmlformats.org/officeDocument/2006/relationships/image" Target="NULL"/><Relationship Id="rId1" Type="http://schemas.openxmlformats.org/officeDocument/2006/relationships/image" Target="media/image2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lisaH\Downloads\Publication%202%20(1).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https://srwcomau.sharepoint.com/sites/TS_Price_Sub_2023_Working_Group/Shared%20Documents/Pricesub2023/ESC%20Model/Copy%20of%20SRW_2023%20Price%20Review%20Model%20-%202021-10-26%20-%20UNLOCKED%20restored%209-8-22.xlsm"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Controllable</a:t>
            </a:r>
            <a:r>
              <a:rPr lang="en-AU" baseline="0"/>
              <a:t> operating costs ($m)</a:t>
            </a:r>
            <a:endParaRPr lang="en-AU"/>
          </a:p>
        </c:rich>
      </c:tx>
      <c:overlay val="0"/>
    </c:title>
    <c:autoTitleDeleted val="0"/>
    <c:plotArea>
      <c:layout/>
      <c:barChart>
        <c:barDir val="col"/>
        <c:grouping val="clustered"/>
        <c:varyColors val="0"/>
        <c:ser>
          <c:idx val="1"/>
          <c:order val="1"/>
          <c:tx>
            <c:strRef>
              <c:f>'Outputs for SRW PS2 submission'!$C$24</c:f>
              <c:strCache>
                <c:ptCount val="1"/>
                <c:pt idx="0">
                  <c:v>PS1 actual</c:v>
                </c:pt>
              </c:strCache>
            </c:strRef>
          </c:tx>
          <c:spPr>
            <a:solidFill>
              <a:schemeClr val="tx2"/>
            </a:solidFill>
          </c:spPr>
          <c:invertIfNegative val="0"/>
          <c:cat>
            <c:strRef>
              <c:f>'Outputs for SRW PS2 submission'!$E$22:$N$22</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'Outputs for SRW PS2 submission'!$E$24:$N$24</c:f>
              <c:numCache>
                <c:formatCode>0.00</c:formatCode>
                <c:ptCount val="10"/>
                <c:pt idx="0">
                  <c:v>24.222528303875919</c:v>
                </c:pt>
                <c:pt idx="1">
                  <c:v>25.231039050997353</c:v>
                </c:pt>
                <c:pt idx="2">
                  <c:v>25.054101507913416</c:v>
                </c:pt>
                <c:pt idx="3">
                  <c:v>24.730067692921544</c:v>
                </c:pt>
                <c:pt idx="4">
                  <c:v>24.544688097281558</c:v>
                </c:pt>
              </c:numCache>
            </c:numRef>
          </c:val>
          <c:extLst>
            <c:ext xmlns:c16="http://schemas.microsoft.com/office/drawing/2014/chart" uri="{C3380CC4-5D6E-409C-BE32-E72D297353CC}">
              <c16:uniqueId val="{00000000-CAD0-45EB-BFF9-FEC96EA1C687}"/>
            </c:ext>
          </c:extLst>
        </c:ser>
        <c:ser>
          <c:idx val="2"/>
          <c:order val="2"/>
          <c:tx>
            <c:strRef>
              <c:f>'Outputs for SRW PS2 submission'!$C$25</c:f>
              <c:strCache>
                <c:ptCount val="1"/>
                <c:pt idx="0">
                  <c:v>PS2 benchmark allowance</c:v>
                </c:pt>
              </c:strCache>
            </c:strRef>
          </c:tx>
          <c:spPr>
            <a:solidFill>
              <a:schemeClr val="accent1"/>
            </a:solidFill>
          </c:spPr>
          <c:invertIfNegative val="0"/>
          <c:cat>
            <c:strRef>
              <c:f>'Outputs for SRW PS2 submission'!$E$22:$N$22</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'Outputs for SRW PS2 submission'!$E$25:$N$25</c:f>
              <c:numCache>
                <c:formatCode>General</c:formatCode>
                <c:ptCount val="10"/>
                <c:pt idx="5" formatCode="0.00">
                  <c:v>24.648731945861911</c:v>
                </c:pt>
                <c:pt idx="6" formatCode="0.00">
                  <c:v>24.389156837533697</c:v>
                </c:pt>
                <c:pt idx="7" formatCode="0.00">
                  <c:v>24.13220732088832</c:v>
                </c:pt>
                <c:pt idx="8" formatCode="0.00">
                  <c:v>23.877918504246008</c:v>
                </c:pt>
                <c:pt idx="9" formatCode="0.00">
                  <c:v>23.626001625329046</c:v>
                </c:pt>
              </c:numCache>
            </c:numRef>
          </c:val>
          <c:extLst>
            <c:ext xmlns:c16="http://schemas.microsoft.com/office/drawing/2014/chart" uri="{C3380CC4-5D6E-409C-BE32-E72D297353CC}">
              <c16:uniqueId val="{00000001-CAD0-45EB-BFF9-FEC96EA1C687}"/>
            </c:ext>
          </c:extLst>
        </c:ser>
        <c:dLbls>
          <c:showLegendKey val="0"/>
          <c:showVal val="0"/>
          <c:showCatName val="0"/>
          <c:showSerName val="0"/>
          <c:showPercent val="0"/>
          <c:showBubbleSize val="0"/>
        </c:dLbls>
        <c:gapWidth val="75"/>
        <c:axId val="185207424"/>
        <c:axId val="185209216"/>
      </c:barChart>
      <c:lineChart>
        <c:grouping val="standard"/>
        <c:varyColors val="0"/>
        <c:ser>
          <c:idx val="0"/>
          <c:order val="0"/>
          <c:tx>
            <c:strRef>
              <c:f>'Outputs for SRW PS2 submission'!$C$23</c:f>
              <c:strCache>
                <c:ptCount val="1"/>
                <c:pt idx="0">
                  <c:v>PS1 benchmark allowance</c:v>
                </c:pt>
              </c:strCache>
            </c:strRef>
          </c:tx>
          <c:spPr>
            <a:ln w="47625">
              <a:solidFill>
                <a:schemeClr val="accent3"/>
              </a:solidFill>
            </a:ln>
          </c:spPr>
          <c:marker>
            <c:symbol val="none"/>
          </c:marker>
          <c:cat>
            <c:strRef>
              <c:f>'Outputs for SRW PS2 submission'!$E$22:$N$22</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'Outputs for SRW PS2 submission'!$E$23:$N$23</c:f>
              <c:numCache>
                <c:formatCode>0.00</c:formatCode>
                <c:ptCount val="10"/>
                <c:pt idx="0">
                  <c:v>23.016069454755787</c:v>
                </c:pt>
                <c:pt idx="1">
                  <c:v>23.018832784817707</c:v>
                </c:pt>
                <c:pt idx="2">
                  <c:v>23.217055580310124</c:v>
                </c:pt>
                <c:pt idx="3">
                  <c:v>23.384077945803114</c:v>
                </c:pt>
                <c:pt idx="4">
                  <c:v>23.38932993418242</c:v>
                </c:pt>
              </c:numCache>
            </c:numRef>
          </c:val>
          <c:smooth val="0"/>
          <c:extLst>
            <c:ext xmlns:c16="http://schemas.microsoft.com/office/drawing/2014/chart" uri="{C3380CC4-5D6E-409C-BE32-E72D297353CC}">
              <c16:uniqueId val="{00000002-CAD0-45EB-BFF9-FEC96EA1C687}"/>
            </c:ext>
          </c:extLst>
        </c:ser>
        <c:dLbls>
          <c:showLegendKey val="0"/>
          <c:showVal val="0"/>
          <c:showCatName val="0"/>
          <c:showSerName val="0"/>
          <c:showPercent val="0"/>
          <c:showBubbleSize val="0"/>
        </c:dLbls>
        <c:marker val="1"/>
        <c:smooth val="0"/>
        <c:axId val="185207424"/>
        <c:axId val="185209216"/>
      </c:lineChart>
      <c:catAx>
        <c:axId val="185207424"/>
        <c:scaling>
          <c:orientation val="minMax"/>
        </c:scaling>
        <c:delete val="0"/>
        <c:axPos val="b"/>
        <c:numFmt formatCode="General" sourceLinked="0"/>
        <c:majorTickMark val="none"/>
        <c:minorTickMark val="none"/>
        <c:tickLblPos val="nextTo"/>
        <c:crossAx val="185209216"/>
        <c:crosses val="autoZero"/>
        <c:auto val="1"/>
        <c:lblAlgn val="ctr"/>
        <c:lblOffset val="100"/>
        <c:noMultiLvlLbl val="0"/>
      </c:catAx>
      <c:valAx>
        <c:axId val="185209216"/>
        <c:scaling>
          <c:orientation val="minMax"/>
          <c:min val="20"/>
        </c:scaling>
        <c:delete val="0"/>
        <c:axPos val="l"/>
        <c:majorGridlines/>
        <c:numFmt formatCode="0.00"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Controllable operating expenditure </a:t>
            </a:r>
            <a:r>
              <a:rPr lang="en-AU" baseline="0"/>
              <a:t>($m)</a:t>
            </a:r>
            <a:endParaRPr lang="en-AU"/>
          </a:p>
        </c:rich>
      </c:tx>
      <c:overlay val="0"/>
    </c:title>
    <c:autoTitleDeleted val="0"/>
    <c:plotArea>
      <c:layout/>
      <c:barChart>
        <c:barDir val="col"/>
        <c:grouping val="stacked"/>
        <c:varyColors val="0"/>
        <c:ser>
          <c:idx val="1"/>
          <c:order val="1"/>
          <c:tx>
            <c:strRef>
              <c:f>'Outputs for SRW PS2 submission'!$C$176</c:f>
              <c:strCache>
                <c:ptCount val="1"/>
                <c:pt idx="0">
                  <c:v>Surface water diversions</c:v>
                </c:pt>
              </c:strCache>
            </c:strRef>
          </c:tx>
          <c:spPr>
            <a:solidFill>
              <a:schemeClr val="tx2"/>
            </a:solidFill>
          </c:spPr>
          <c:invertIfNegative val="0"/>
          <c:cat>
            <c:strRef>
              <c:f>'Outputs for SRW PS2 submission'!$E$174:$I$174</c:f>
              <c:strCache>
                <c:ptCount val="5"/>
                <c:pt idx="0">
                  <c:v>2018-19</c:v>
                </c:pt>
                <c:pt idx="1">
                  <c:v>2019-20</c:v>
                </c:pt>
                <c:pt idx="2">
                  <c:v>2020-21</c:v>
                </c:pt>
                <c:pt idx="3">
                  <c:v>2021-22</c:v>
                </c:pt>
                <c:pt idx="4">
                  <c:v>2022-23</c:v>
                </c:pt>
              </c:strCache>
            </c:strRef>
          </c:cat>
          <c:val>
            <c:numRef>
              <c:f>'Outputs for SRW PS2 submission'!$E$176:$I$176</c:f>
              <c:numCache>
                <c:formatCode>0.00</c:formatCode>
                <c:ptCount val="5"/>
                <c:pt idx="0">
                  <c:v>3.0394445788238538</c:v>
                </c:pt>
                <c:pt idx="1">
                  <c:v>3.2193382450383257</c:v>
                </c:pt>
                <c:pt idx="2">
                  <c:v>2.9995799705493615</c:v>
                </c:pt>
                <c:pt idx="3">
                  <c:v>2.8500152671755723</c:v>
                </c:pt>
                <c:pt idx="4">
                  <c:v>2.7667361131282773</c:v>
                </c:pt>
              </c:numCache>
            </c:numRef>
          </c:val>
          <c:extLst>
            <c:ext xmlns:c16="http://schemas.microsoft.com/office/drawing/2014/chart" uri="{C3380CC4-5D6E-409C-BE32-E72D297353CC}">
              <c16:uniqueId val="{00000000-1A75-4048-9DDA-583F5BF73B12}"/>
            </c:ext>
          </c:extLst>
        </c:ser>
        <c:ser>
          <c:idx val="0"/>
          <c:order val="0"/>
          <c:tx>
            <c:strRef>
              <c:f>'Outputs for SRW PS2 submission'!$C$175</c:f>
              <c:strCache>
                <c:ptCount val="1"/>
                <c:pt idx="0">
                  <c:v>Irrigation</c:v>
                </c:pt>
              </c:strCache>
            </c:strRef>
          </c:tx>
          <c:spPr>
            <a:ln w="47625">
              <a:noFill/>
            </a:ln>
          </c:spPr>
          <c:invertIfNegative val="0"/>
          <c:cat>
            <c:strRef>
              <c:f>'Outputs for SRW PS2 submission'!$E$174:$I$174</c:f>
              <c:strCache>
                <c:ptCount val="5"/>
                <c:pt idx="0">
                  <c:v>2018-19</c:v>
                </c:pt>
                <c:pt idx="1">
                  <c:v>2019-20</c:v>
                </c:pt>
                <c:pt idx="2">
                  <c:v>2020-21</c:v>
                </c:pt>
                <c:pt idx="3">
                  <c:v>2021-22</c:v>
                </c:pt>
                <c:pt idx="4">
                  <c:v>2022-23</c:v>
                </c:pt>
              </c:strCache>
            </c:strRef>
          </c:cat>
          <c:val>
            <c:numRef>
              <c:f>'Outputs for SRW PS2 submission'!$E$175:$I$175</c:f>
              <c:numCache>
                <c:formatCode>0.00</c:formatCode>
                <c:ptCount val="5"/>
                <c:pt idx="0">
                  <c:v>11.155137518473683</c:v>
                </c:pt>
                <c:pt idx="1">
                  <c:v>11.411584090640508</c:v>
                </c:pt>
                <c:pt idx="2">
                  <c:v>11.436905573419546</c:v>
                </c:pt>
                <c:pt idx="3">
                  <c:v>11.626002544529261</c:v>
                </c:pt>
                <c:pt idx="4">
                  <c:v>11.46654636777256</c:v>
                </c:pt>
              </c:numCache>
            </c:numRef>
          </c:val>
          <c:extLst>
            <c:ext xmlns:c16="http://schemas.microsoft.com/office/drawing/2014/chart" uri="{C3380CC4-5D6E-409C-BE32-E72D297353CC}">
              <c16:uniqueId val="{00000001-1A75-4048-9DDA-583F5BF73B12}"/>
            </c:ext>
          </c:extLst>
        </c:ser>
        <c:ser>
          <c:idx val="2"/>
          <c:order val="2"/>
          <c:tx>
            <c:strRef>
              <c:f>'Outputs for SRW PS2 submission'!$C$177</c:f>
              <c:strCache>
                <c:ptCount val="1"/>
                <c:pt idx="0">
                  <c:v>Groundwater diversions</c:v>
                </c:pt>
              </c:strCache>
            </c:strRef>
          </c:tx>
          <c:invertIfNegative val="0"/>
          <c:cat>
            <c:strRef>
              <c:f>'Outputs for SRW PS2 submission'!$E$174:$I$174</c:f>
              <c:strCache>
                <c:ptCount val="5"/>
                <c:pt idx="0">
                  <c:v>2018-19</c:v>
                </c:pt>
                <c:pt idx="1">
                  <c:v>2019-20</c:v>
                </c:pt>
                <c:pt idx="2">
                  <c:v>2020-21</c:v>
                </c:pt>
                <c:pt idx="3">
                  <c:v>2021-22</c:v>
                </c:pt>
                <c:pt idx="4">
                  <c:v>2022-23</c:v>
                </c:pt>
              </c:strCache>
            </c:strRef>
          </c:cat>
          <c:val>
            <c:numRef>
              <c:f>'Outputs for SRW PS2 submission'!$E$177:$I$177</c:f>
              <c:numCache>
                <c:formatCode>0.00</c:formatCode>
                <c:ptCount val="5"/>
                <c:pt idx="0">
                  <c:v>2.9760913585371496</c:v>
                </c:pt>
                <c:pt idx="1">
                  <c:v>3.0044127475535922</c:v>
                </c:pt>
                <c:pt idx="2">
                  <c:v>2.5153195857863144</c:v>
                </c:pt>
                <c:pt idx="3">
                  <c:v>2.4559312977099221</c:v>
                </c:pt>
                <c:pt idx="4">
                  <c:v>2.3756459277549058</c:v>
                </c:pt>
              </c:numCache>
            </c:numRef>
          </c:val>
          <c:extLst>
            <c:ext xmlns:c16="http://schemas.microsoft.com/office/drawing/2014/chart" uri="{C3380CC4-5D6E-409C-BE32-E72D297353CC}">
              <c16:uniqueId val="{00000002-1A75-4048-9DDA-583F5BF73B12}"/>
            </c:ext>
          </c:extLst>
        </c:ser>
        <c:ser>
          <c:idx val="3"/>
          <c:order val="3"/>
          <c:tx>
            <c:strRef>
              <c:f>'Outputs for SRW PS2 submission'!$C$178</c:f>
              <c:strCache>
                <c:ptCount val="1"/>
                <c:pt idx="0">
                  <c:v>Bulk water services</c:v>
                </c:pt>
              </c:strCache>
            </c:strRef>
          </c:tx>
          <c:invertIfNegative val="0"/>
          <c:cat>
            <c:strRef>
              <c:f>'Outputs for SRW PS2 submission'!$E$174:$I$174</c:f>
              <c:strCache>
                <c:ptCount val="5"/>
                <c:pt idx="0">
                  <c:v>2018-19</c:v>
                </c:pt>
                <c:pt idx="1">
                  <c:v>2019-20</c:v>
                </c:pt>
                <c:pt idx="2">
                  <c:v>2020-21</c:v>
                </c:pt>
                <c:pt idx="3">
                  <c:v>2021-22</c:v>
                </c:pt>
                <c:pt idx="4">
                  <c:v>2022-23</c:v>
                </c:pt>
              </c:strCache>
            </c:strRef>
          </c:cat>
          <c:val>
            <c:numRef>
              <c:f>'Outputs for SRW PS2 submission'!$E$178:$I$178</c:f>
              <c:numCache>
                <c:formatCode>0.00</c:formatCode>
                <c:ptCount val="5"/>
                <c:pt idx="0">
                  <c:v>5.6791514069180202</c:v>
                </c:pt>
                <c:pt idx="1">
                  <c:v>6.1495979366888553</c:v>
                </c:pt>
                <c:pt idx="2">
                  <c:v>6.7645758101164457</c:v>
                </c:pt>
                <c:pt idx="3">
                  <c:v>6.5885435198935642</c:v>
                </c:pt>
                <c:pt idx="4">
                  <c:v>6.8230027674198519</c:v>
                </c:pt>
              </c:numCache>
            </c:numRef>
          </c:val>
          <c:extLst>
            <c:ext xmlns:c16="http://schemas.microsoft.com/office/drawing/2014/chart" uri="{C3380CC4-5D6E-409C-BE32-E72D297353CC}">
              <c16:uniqueId val="{00000003-1A75-4048-9DDA-583F5BF73B12}"/>
            </c:ext>
          </c:extLst>
        </c:ser>
        <c:ser>
          <c:idx val="4"/>
          <c:order val="4"/>
          <c:tx>
            <c:strRef>
              <c:f>'Outputs for SRW PS2 submission'!$C$179</c:f>
              <c:strCache>
                <c:ptCount val="1"/>
                <c:pt idx="0">
                  <c:v>Licence applications</c:v>
                </c:pt>
              </c:strCache>
            </c:strRef>
          </c:tx>
          <c:invertIfNegative val="0"/>
          <c:cat>
            <c:strRef>
              <c:f>'Outputs for SRW PS2 submission'!$E$174:$I$174</c:f>
              <c:strCache>
                <c:ptCount val="5"/>
                <c:pt idx="0">
                  <c:v>2018-19</c:v>
                </c:pt>
                <c:pt idx="1">
                  <c:v>2019-20</c:v>
                </c:pt>
                <c:pt idx="2">
                  <c:v>2020-21</c:v>
                </c:pt>
                <c:pt idx="3">
                  <c:v>2021-22</c:v>
                </c:pt>
                <c:pt idx="4">
                  <c:v>2022-23</c:v>
                </c:pt>
              </c:strCache>
            </c:strRef>
          </c:cat>
          <c:val>
            <c:numRef>
              <c:f>'Outputs for SRW PS2 submission'!$E$179:$I$179</c:f>
              <c:numCache>
                <c:formatCode>0.00</c:formatCode>
                <c:ptCount val="5"/>
                <c:pt idx="0">
                  <c:v>1.372703441123212</c:v>
                </c:pt>
                <c:pt idx="1">
                  <c:v>1.4461060310760683</c:v>
                </c:pt>
                <c:pt idx="2">
                  <c:v>1.3377205680417443</c:v>
                </c:pt>
                <c:pt idx="3">
                  <c:v>1.209575063613231</c:v>
                </c:pt>
                <c:pt idx="4">
                  <c:v>1.1127569212059625</c:v>
                </c:pt>
              </c:numCache>
            </c:numRef>
          </c:val>
          <c:extLst>
            <c:ext xmlns:c16="http://schemas.microsoft.com/office/drawing/2014/chart" uri="{C3380CC4-5D6E-409C-BE32-E72D297353CC}">
              <c16:uniqueId val="{00000004-1A75-4048-9DDA-583F5BF73B12}"/>
            </c:ext>
          </c:extLst>
        </c:ser>
        <c:dLbls>
          <c:showLegendKey val="0"/>
          <c:showVal val="0"/>
          <c:showCatName val="0"/>
          <c:showSerName val="0"/>
          <c:showPercent val="0"/>
          <c:showBubbleSize val="0"/>
        </c:dLbls>
        <c:gapWidth val="75"/>
        <c:overlap val="100"/>
        <c:axId val="185207424"/>
        <c:axId val="185209216"/>
      </c:barChart>
      <c:catAx>
        <c:axId val="185207424"/>
        <c:scaling>
          <c:orientation val="minMax"/>
        </c:scaling>
        <c:delete val="0"/>
        <c:axPos val="b"/>
        <c:numFmt formatCode="General" sourceLinked="0"/>
        <c:majorTickMark val="none"/>
        <c:minorTickMark val="none"/>
        <c:tickLblPos val="nextTo"/>
        <c:crossAx val="185209216"/>
        <c:crosses val="autoZero"/>
        <c:auto val="1"/>
        <c:lblAlgn val="ctr"/>
        <c:lblOffset val="100"/>
        <c:noMultiLvlLbl val="0"/>
      </c:catAx>
      <c:valAx>
        <c:axId val="185209216"/>
        <c:scaling>
          <c:orientation val="minMax"/>
        </c:scaling>
        <c:delete val="0"/>
        <c:axPos val="l"/>
        <c:majorGridlines/>
        <c:numFmt formatCode="0.00"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Controllable operating expenditure </a:t>
            </a:r>
            <a:r>
              <a:rPr lang="en-AU" baseline="0"/>
              <a:t>($m)</a:t>
            </a:r>
            <a:endParaRPr lang="en-AU"/>
          </a:p>
        </c:rich>
      </c:tx>
      <c:overlay val="0"/>
    </c:title>
    <c:autoTitleDeleted val="0"/>
    <c:plotArea>
      <c:layout/>
      <c:barChart>
        <c:barDir val="col"/>
        <c:grouping val="stacked"/>
        <c:varyColors val="0"/>
        <c:ser>
          <c:idx val="1"/>
          <c:order val="1"/>
          <c:tx>
            <c:strRef>
              <c:f>'Outputs for SRW PS2 submission'!$C$184</c:f>
              <c:strCache>
                <c:ptCount val="1"/>
                <c:pt idx="0">
                  <c:v>Surface water diversions</c:v>
                </c:pt>
              </c:strCache>
            </c:strRef>
          </c:tx>
          <c:spPr>
            <a:solidFill>
              <a:schemeClr val="accent2"/>
            </a:solidFill>
          </c:spPr>
          <c:invertIfNegative val="0"/>
          <c:cat>
            <c:strRef>
              <c:f>'Outputs for SRW PS2 submission'!$E$182:$P$182</c:f>
              <c:strCache>
                <c:ptCount val="12"/>
                <c:pt idx="0">
                  <c:v>2021-22</c:v>
                </c:pt>
                <c:pt idx="1">
                  <c:v>2022-23</c:v>
                </c:pt>
                <c:pt idx="2">
                  <c:v>2023-24</c:v>
                </c:pt>
                <c:pt idx="3">
                  <c:v>2024-25</c:v>
                </c:pt>
                <c:pt idx="4">
                  <c:v>2025-26</c:v>
                </c:pt>
                <c:pt idx="5">
                  <c:v>2026-27</c:v>
                </c:pt>
                <c:pt idx="6">
                  <c:v>2027-28</c:v>
                </c:pt>
                <c:pt idx="7">
                  <c:v>2028-29</c:v>
                </c:pt>
                <c:pt idx="8">
                  <c:v>2029-30</c:v>
                </c:pt>
                <c:pt idx="9">
                  <c:v>2030-31</c:v>
                </c:pt>
                <c:pt idx="10">
                  <c:v>2031-32</c:v>
                </c:pt>
                <c:pt idx="11">
                  <c:v>2032-33</c:v>
                </c:pt>
              </c:strCache>
            </c:strRef>
          </c:cat>
          <c:val>
            <c:numRef>
              <c:f>'Outputs for SRW PS2 submission'!$E$184:$P$184</c:f>
              <c:numCache>
                <c:formatCode>0.00</c:formatCode>
                <c:ptCount val="12"/>
                <c:pt idx="0">
                  <c:v>2.8500152671755723</c:v>
                </c:pt>
                <c:pt idx="1">
                  <c:v>2.7667361131282773</c:v>
                </c:pt>
                <c:pt idx="2">
                  <c:v>2.8664745057590935</c:v>
                </c:pt>
                <c:pt idx="3">
                  <c:v>2.8358356314644686</c:v>
                </c:pt>
                <c:pt idx="4">
                  <c:v>2.8043305497022173</c:v>
                </c:pt>
                <c:pt idx="5">
                  <c:v>2.769196441058003</c:v>
                </c:pt>
                <c:pt idx="6">
                  <c:v>2.7418004512696856</c:v>
                </c:pt>
                <c:pt idx="7">
                  <c:v>2.709501743457202</c:v>
                </c:pt>
                <c:pt idx="8">
                  <c:v>2.6809133786354407</c:v>
                </c:pt>
                <c:pt idx="9">
                  <c:v>2.6499612759227116</c:v>
                </c:pt>
                <c:pt idx="10">
                  <c:v>2.6194800161190162</c:v>
                </c:pt>
                <c:pt idx="11">
                  <c:v>2.591104433536811</c:v>
                </c:pt>
              </c:numCache>
            </c:numRef>
          </c:val>
          <c:extLst>
            <c:ext xmlns:c16="http://schemas.microsoft.com/office/drawing/2014/chart" uri="{C3380CC4-5D6E-409C-BE32-E72D297353CC}">
              <c16:uniqueId val="{00000000-7B4A-4672-AE57-2F9A9D9225C8}"/>
            </c:ext>
          </c:extLst>
        </c:ser>
        <c:ser>
          <c:idx val="0"/>
          <c:order val="0"/>
          <c:tx>
            <c:strRef>
              <c:f>'Outputs for SRW PS2 submission'!$C$175</c:f>
              <c:strCache>
                <c:ptCount val="1"/>
                <c:pt idx="0">
                  <c:v>Irrigation</c:v>
                </c:pt>
              </c:strCache>
            </c:strRef>
          </c:tx>
          <c:spPr>
            <a:ln w="47625">
              <a:noFill/>
            </a:ln>
          </c:spPr>
          <c:invertIfNegative val="0"/>
          <c:cat>
            <c:strRef>
              <c:f>'Outputs for SRW PS2 submission'!$E$182:$P$182</c:f>
              <c:strCache>
                <c:ptCount val="12"/>
                <c:pt idx="0">
                  <c:v>2021-22</c:v>
                </c:pt>
                <c:pt idx="1">
                  <c:v>2022-23</c:v>
                </c:pt>
                <c:pt idx="2">
                  <c:v>2023-24</c:v>
                </c:pt>
                <c:pt idx="3">
                  <c:v>2024-25</c:v>
                </c:pt>
                <c:pt idx="4">
                  <c:v>2025-26</c:v>
                </c:pt>
                <c:pt idx="5">
                  <c:v>2026-27</c:v>
                </c:pt>
                <c:pt idx="6">
                  <c:v>2027-28</c:v>
                </c:pt>
                <c:pt idx="7">
                  <c:v>2028-29</c:v>
                </c:pt>
                <c:pt idx="8">
                  <c:v>2029-30</c:v>
                </c:pt>
                <c:pt idx="9">
                  <c:v>2030-31</c:v>
                </c:pt>
                <c:pt idx="10">
                  <c:v>2031-32</c:v>
                </c:pt>
                <c:pt idx="11">
                  <c:v>2032-33</c:v>
                </c:pt>
              </c:strCache>
            </c:strRef>
          </c:cat>
          <c:val>
            <c:numRef>
              <c:f>'Outputs for SRW PS2 submission'!$E$183:$P$183</c:f>
              <c:numCache>
                <c:formatCode>0.00</c:formatCode>
                <c:ptCount val="12"/>
                <c:pt idx="0">
                  <c:v>11.626002544529261</c:v>
                </c:pt>
                <c:pt idx="1">
                  <c:v>11.46654636777256</c:v>
                </c:pt>
                <c:pt idx="2">
                  <c:v>11.453455519618785</c:v>
                </c:pt>
                <c:pt idx="3">
                  <c:v>11.317021138173837</c:v>
                </c:pt>
                <c:pt idx="4">
                  <c:v>11.165341359349307</c:v>
                </c:pt>
                <c:pt idx="5">
                  <c:v>10.998387143512515</c:v>
                </c:pt>
                <c:pt idx="6">
                  <c:v>10.865132969521051</c:v>
                </c:pt>
                <c:pt idx="7">
                  <c:v>10.710803945183297</c:v>
                </c:pt>
                <c:pt idx="8">
                  <c:v>10.572682391578613</c:v>
                </c:pt>
                <c:pt idx="9">
                  <c:v>10.424509951793237</c:v>
                </c:pt>
                <c:pt idx="10">
                  <c:v>10.278541064390383</c:v>
                </c:pt>
                <c:pt idx="11">
                  <c:v>10.141805042336991</c:v>
                </c:pt>
              </c:numCache>
            </c:numRef>
          </c:val>
          <c:extLst>
            <c:ext xmlns:c16="http://schemas.microsoft.com/office/drawing/2014/chart" uri="{C3380CC4-5D6E-409C-BE32-E72D297353CC}">
              <c16:uniqueId val="{00000001-7B4A-4672-AE57-2F9A9D9225C8}"/>
            </c:ext>
          </c:extLst>
        </c:ser>
        <c:ser>
          <c:idx val="2"/>
          <c:order val="2"/>
          <c:tx>
            <c:strRef>
              <c:f>'Outputs for SRW PS2 submission'!$C$185</c:f>
              <c:strCache>
                <c:ptCount val="1"/>
                <c:pt idx="0">
                  <c:v>Groundwater diversions</c:v>
                </c:pt>
              </c:strCache>
            </c:strRef>
          </c:tx>
          <c:invertIfNegative val="0"/>
          <c:cat>
            <c:strRef>
              <c:f>'Outputs for SRW PS2 submission'!$E$182:$P$182</c:f>
              <c:strCache>
                <c:ptCount val="12"/>
                <c:pt idx="0">
                  <c:v>2021-22</c:v>
                </c:pt>
                <c:pt idx="1">
                  <c:v>2022-23</c:v>
                </c:pt>
                <c:pt idx="2">
                  <c:v>2023-24</c:v>
                </c:pt>
                <c:pt idx="3">
                  <c:v>2024-25</c:v>
                </c:pt>
                <c:pt idx="4">
                  <c:v>2025-26</c:v>
                </c:pt>
                <c:pt idx="5">
                  <c:v>2026-27</c:v>
                </c:pt>
                <c:pt idx="6">
                  <c:v>2027-28</c:v>
                </c:pt>
                <c:pt idx="7">
                  <c:v>2028-29</c:v>
                </c:pt>
                <c:pt idx="8">
                  <c:v>2029-30</c:v>
                </c:pt>
                <c:pt idx="9">
                  <c:v>2030-31</c:v>
                </c:pt>
                <c:pt idx="10">
                  <c:v>2031-32</c:v>
                </c:pt>
                <c:pt idx="11">
                  <c:v>2032-33</c:v>
                </c:pt>
              </c:strCache>
            </c:strRef>
          </c:cat>
          <c:val>
            <c:numRef>
              <c:f>'Outputs for SRW PS2 submission'!$E$185:$P$185</c:f>
              <c:numCache>
                <c:formatCode>0.00</c:formatCode>
                <c:ptCount val="12"/>
                <c:pt idx="0">
                  <c:v>2.4559312977099221</c:v>
                </c:pt>
                <c:pt idx="1">
                  <c:v>2.3756459277549058</c:v>
                </c:pt>
                <c:pt idx="2">
                  <c:v>2.4587768841000766</c:v>
                </c:pt>
                <c:pt idx="3">
                  <c:v>2.4333741807910751</c:v>
                </c:pt>
                <c:pt idx="4">
                  <c:v>2.4071744841137623</c:v>
                </c:pt>
                <c:pt idx="5">
                  <c:v>2.3778878698063686</c:v>
                </c:pt>
                <c:pt idx="6">
                  <c:v>2.3551670837447927</c:v>
                </c:pt>
                <c:pt idx="7">
                  <c:v>2.3282756814898775</c:v>
                </c:pt>
                <c:pt idx="8">
                  <c:v>2.3045308398067594</c:v>
                </c:pt>
                <c:pt idx="9">
                  <c:v>2.2787710772430043</c:v>
                </c:pt>
                <c:pt idx="10">
                  <c:v>2.2534050747768593</c:v>
                </c:pt>
                <c:pt idx="11">
                  <c:v>2.2298234787890405</c:v>
                </c:pt>
              </c:numCache>
            </c:numRef>
          </c:val>
          <c:extLst>
            <c:ext xmlns:c16="http://schemas.microsoft.com/office/drawing/2014/chart" uri="{C3380CC4-5D6E-409C-BE32-E72D297353CC}">
              <c16:uniqueId val="{00000002-7B4A-4672-AE57-2F9A9D9225C8}"/>
            </c:ext>
          </c:extLst>
        </c:ser>
        <c:ser>
          <c:idx val="3"/>
          <c:order val="3"/>
          <c:tx>
            <c:strRef>
              <c:f>'Outputs for SRW PS2 submission'!$C$186</c:f>
              <c:strCache>
                <c:ptCount val="1"/>
                <c:pt idx="0">
                  <c:v>Bulk water services</c:v>
                </c:pt>
              </c:strCache>
            </c:strRef>
          </c:tx>
          <c:invertIfNegative val="0"/>
          <c:cat>
            <c:strRef>
              <c:f>'Outputs for SRW PS2 submission'!$E$182:$P$182</c:f>
              <c:strCache>
                <c:ptCount val="12"/>
                <c:pt idx="0">
                  <c:v>2021-22</c:v>
                </c:pt>
                <c:pt idx="1">
                  <c:v>2022-23</c:v>
                </c:pt>
                <c:pt idx="2">
                  <c:v>2023-24</c:v>
                </c:pt>
                <c:pt idx="3">
                  <c:v>2024-25</c:v>
                </c:pt>
                <c:pt idx="4">
                  <c:v>2025-26</c:v>
                </c:pt>
                <c:pt idx="5">
                  <c:v>2026-27</c:v>
                </c:pt>
                <c:pt idx="6">
                  <c:v>2027-28</c:v>
                </c:pt>
                <c:pt idx="7">
                  <c:v>2028-29</c:v>
                </c:pt>
                <c:pt idx="8">
                  <c:v>2029-30</c:v>
                </c:pt>
                <c:pt idx="9">
                  <c:v>2030-31</c:v>
                </c:pt>
                <c:pt idx="10">
                  <c:v>2031-32</c:v>
                </c:pt>
                <c:pt idx="11">
                  <c:v>2032-33</c:v>
                </c:pt>
              </c:strCache>
            </c:strRef>
          </c:cat>
          <c:val>
            <c:numRef>
              <c:f>'Outputs for SRW PS2 submission'!$E$186:$P$186</c:f>
              <c:numCache>
                <c:formatCode>0.00</c:formatCode>
                <c:ptCount val="12"/>
                <c:pt idx="0">
                  <c:v>6.5885435198935642</c:v>
                </c:pt>
                <c:pt idx="1">
                  <c:v>6.8230027674198519</c:v>
                </c:pt>
                <c:pt idx="2">
                  <c:v>6.7566677110352575</c:v>
                </c:pt>
                <c:pt idx="3">
                  <c:v>6.6998043506296012</c:v>
                </c:pt>
                <c:pt idx="4">
                  <c:v>6.663845137683448</c:v>
                </c:pt>
                <c:pt idx="5">
                  <c:v>6.6539146704156522</c:v>
                </c:pt>
                <c:pt idx="6">
                  <c:v>6.5953788948634822</c:v>
                </c:pt>
                <c:pt idx="7">
                  <c:v>6.5715249610317832</c:v>
                </c:pt>
                <c:pt idx="8">
                  <c:v>6.5255967578068805</c:v>
                </c:pt>
                <c:pt idx="9">
                  <c:v>6.497545637115695</c:v>
                </c:pt>
                <c:pt idx="10">
                  <c:v>6.4686906900498089</c:v>
                </c:pt>
                <c:pt idx="11">
                  <c:v>6.428283058874392</c:v>
                </c:pt>
              </c:numCache>
            </c:numRef>
          </c:val>
          <c:extLst>
            <c:ext xmlns:c16="http://schemas.microsoft.com/office/drawing/2014/chart" uri="{C3380CC4-5D6E-409C-BE32-E72D297353CC}">
              <c16:uniqueId val="{00000003-7B4A-4672-AE57-2F9A9D9225C8}"/>
            </c:ext>
          </c:extLst>
        </c:ser>
        <c:ser>
          <c:idx val="4"/>
          <c:order val="4"/>
          <c:tx>
            <c:strRef>
              <c:f>'Outputs for SRW PS2 submission'!$C$187</c:f>
              <c:strCache>
                <c:ptCount val="1"/>
                <c:pt idx="0">
                  <c:v>Licence applications</c:v>
                </c:pt>
              </c:strCache>
            </c:strRef>
          </c:tx>
          <c:invertIfNegative val="0"/>
          <c:cat>
            <c:strRef>
              <c:f>'Outputs for SRW PS2 submission'!$E$182:$P$182</c:f>
              <c:strCache>
                <c:ptCount val="12"/>
                <c:pt idx="0">
                  <c:v>2021-22</c:v>
                </c:pt>
                <c:pt idx="1">
                  <c:v>2022-23</c:v>
                </c:pt>
                <c:pt idx="2">
                  <c:v>2023-24</c:v>
                </c:pt>
                <c:pt idx="3">
                  <c:v>2024-25</c:v>
                </c:pt>
                <c:pt idx="4">
                  <c:v>2025-26</c:v>
                </c:pt>
                <c:pt idx="5">
                  <c:v>2026-27</c:v>
                </c:pt>
                <c:pt idx="6">
                  <c:v>2027-28</c:v>
                </c:pt>
                <c:pt idx="7">
                  <c:v>2028-29</c:v>
                </c:pt>
                <c:pt idx="8">
                  <c:v>2029-30</c:v>
                </c:pt>
                <c:pt idx="9">
                  <c:v>2030-31</c:v>
                </c:pt>
                <c:pt idx="10">
                  <c:v>2031-32</c:v>
                </c:pt>
                <c:pt idx="11">
                  <c:v>2032-33</c:v>
                </c:pt>
              </c:strCache>
            </c:strRef>
          </c:cat>
          <c:val>
            <c:numRef>
              <c:f>'Outputs for SRW PS2 submission'!$E$187:$P$187</c:f>
              <c:numCache>
                <c:formatCode>0.00</c:formatCode>
                <c:ptCount val="12"/>
                <c:pt idx="0">
                  <c:v>1.209575063613231</c:v>
                </c:pt>
                <c:pt idx="1">
                  <c:v>1.1127569212059625</c:v>
                </c:pt>
                <c:pt idx="2">
                  <c:v>1.1133573253487006</c:v>
                </c:pt>
                <c:pt idx="3">
                  <c:v>1.1031215364747133</c:v>
                </c:pt>
                <c:pt idx="4">
                  <c:v>1.0915157900395849</c:v>
                </c:pt>
                <c:pt idx="5">
                  <c:v>1.078532379453466</c:v>
                </c:pt>
                <c:pt idx="6">
                  <c:v>1.0685222259300362</c:v>
                </c:pt>
                <c:pt idx="7">
                  <c:v>1.0566173790976012</c:v>
                </c:pt>
                <c:pt idx="8">
                  <c:v>1.0461368183127608</c:v>
                </c:pt>
                <c:pt idx="9">
                  <c:v>1.0347386636689979</c:v>
                </c:pt>
                <c:pt idx="10">
                  <c:v>1.0235157780107966</c:v>
                </c:pt>
                <c:pt idx="11">
                  <c:v>1.0130998971722931</c:v>
                </c:pt>
              </c:numCache>
            </c:numRef>
          </c:val>
          <c:extLst>
            <c:ext xmlns:c16="http://schemas.microsoft.com/office/drawing/2014/chart" uri="{C3380CC4-5D6E-409C-BE32-E72D297353CC}">
              <c16:uniqueId val="{00000004-7B4A-4672-AE57-2F9A9D9225C8}"/>
            </c:ext>
          </c:extLst>
        </c:ser>
        <c:dLbls>
          <c:showLegendKey val="0"/>
          <c:showVal val="0"/>
          <c:showCatName val="0"/>
          <c:showSerName val="0"/>
          <c:showPercent val="0"/>
          <c:showBubbleSize val="0"/>
        </c:dLbls>
        <c:gapWidth val="75"/>
        <c:overlap val="100"/>
        <c:axId val="185207424"/>
        <c:axId val="185209216"/>
      </c:barChart>
      <c:catAx>
        <c:axId val="185207424"/>
        <c:scaling>
          <c:orientation val="minMax"/>
        </c:scaling>
        <c:delete val="0"/>
        <c:axPos val="b"/>
        <c:numFmt formatCode="General" sourceLinked="0"/>
        <c:majorTickMark val="none"/>
        <c:minorTickMark val="none"/>
        <c:tickLblPos val="nextTo"/>
        <c:crossAx val="185209216"/>
        <c:crosses val="autoZero"/>
        <c:auto val="1"/>
        <c:lblAlgn val="ctr"/>
        <c:lblOffset val="100"/>
        <c:noMultiLvlLbl val="0"/>
      </c:catAx>
      <c:valAx>
        <c:axId val="185209216"/>
        <c:scaling>
          <c:orientation val="minMax"/>
        </c:scaling>
        <c:delete val="0"/>
        <c:axPos val="l"/>
        <c:majorGridlines/>
        <c:numFmt formatCode="0.00"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Prescribed Labour </a:t>
            </a:r>
            <a:endParaRPr lang="en-AU" baseline="0"/>
          </a:p>
        </c:rich>
      </c:tx>
      <c:layout>
        <c:manualLayout>
          <c:xMode val="edge"/>
          <c:yMode val="edge"/>
          <c:x val="0.33231740586308517"/>
          <c:y val="2.2770398481973434E-2"/>
        </c:manualLayout>
      </c:layout>
      <c:overlay val="0"/>
    </c:title>
    <c:autoTitleDeleted val="0"/>
    <c:plotArea>
      <c:layout/>
      <c:barChart>
        <c:barDir val="col"/>
        <c:grouping val="clustered"/>
        <c:varyColors val="0"/>
        <c:ser>
          <c:idx val="0"/>
          <c:order val="0"/>
          <c:tx>
            <c:strRef>
              <c:f>'Outputs for SRW PS2 submission'!$C$621</c:f>
              <c:strCache>
                <c:ptCount val="1"/>
                <c:pt idx="0">
                  <c:v>Current FTEs (at 30 June)</c:v>
                </c:pt>
              </c:strCache>
            </c:strRef>
          </c:tx>
          <c:spPr>
            <a:solidFill>
              <a:schemeClr val="tx2"/>
            </a:solidFill>
          </c:spPr>
          <c:invertIfNegative val="0"/>
          <c:cat>
            <c:strRef>
              <c:f>'Outputs for SRW PS2 submission'!$H$620:$N$620</c:f>
              <c:strCache>
                <c:ptCount val="7"/>
                <c:pt idx="0">
                  <c:v>2021-22</c:v>
                </c:pt>
                <c:pt idx="1">
                  <c:v>2022-23</c:v>
                </c:pt>
                <c:pt idx="2">
                  <c:v>2023-24</c:v>
                </c:pt>
                <c:pt idx="3">
                  <c:v>2024-25</c:v>
                </c:pt>
                <c:pt idx="4">
                  <c:v>2025-26</c:v>
                </c:pt>
                <c:pt idx="5">
                  <c:v>2026-27</c:v>
                </c:pt>
                <c:pt idx="6">
                  <c:v>2027-28</c:v>
                </c:pt>
              </c:strCache>
              <c:extLst/>
            </c:strRef>
          </c:cat>
          <c:val>
            <c:numRef>
              <c:f>'Outputs for SRW PS2 submission'!$H$621:$N$621</c:f>
              <c:numCache>
                <c:formatCode>0</c:formatCode>
                <c:ptCount val="7"/>
                <c:pt idx="0">
                  <c:v>135.09282929782086</c:v>
                </c:pt>
                <c:pt idx="1">
                  <c:v>135.09282929782086</c:v>
                </c:pt>
                <c:pt idx="2">
                  <c:v>136.09282929782086</c:v>
                </c:pt>
                <c:pt idx="3">
                  <c:v>135.09282929782086</c:v>
                </c:pt>
                <c:pt idx="4">
                  <c:v>134.09282929782086</c:v>
                </c:pt>
                <c:pt idx="5">
                  <c:v>133.09282929782086</c:v>
                </c:pt>
                <c:pt idx="6">
                  <c:v>132.09282929782086</c:v>
                </c:pt>
              </c:numCache>
              <c:extLst/>
            </c:numRef>
          </c:val>
          <c:extLst>
            <c:ext xmlns:c16="http://schemas.microsoft.com/office/drawing/2014/chart" uri="{C3380CC4-5D6E-409C-BE32-E72D297353CC}">
              <c16:uniqueId val="{00000000-40E8-451B-B78E-2D48875ED091}"/>
            </c:ext>
          </c:extLst>
        </c:ser>
        <c:dLbls>
          <c:showLegendKey val="0"/>
          <c:showVal val="0"/>
          <c:showCatName val="0"/>
          <c:showSerName val="0"/>
          <c:showPercent val="0"/>
          <c:showBubbleSize val="0"/>
        </c:dLbls>
        <c:gapWidth val="75"/>
        <c:axId val="426064175"/>
        <c:axId val="426048783"/>
      </c:barChart>
      <c:lineChart>
        <c:grouping val="standard"/>
        <c:varyColors val="0"/>
        <c:ser>
          <c:idx val="1"/>
          <c:order val="1"/>
          <c:tx>
            <c:strRef>
              <c:f>'Outputs for SRW PS2 submission'!$C$622</c:f>
              <c:strCache>
                <c:ptCount val="1"/>
                <c:pt idx="0">
                  <c:v>Actual and forecast labour costs for current FTEs ($m)</c:v>
                </c:pt>
              </c:strCache>
            </c:strRef>
          </c:tx>
          <c:spPr>
            <a:ln>
              <a:solidFill>
                <a:schemeClr val="accent6"/>
              </a:solidFill>
            </a:ln>
          </c:spPr>
          <c:marker>
            <c:symbol val="none"/>
          </c:marker>
          <c:cat>
            <c:strRef>
              <c:f>'Outputs for SRW PS2 submission'!$H$620:$N$620</c:f>
              <c:strCache>
                <c:ptCount val="7"/>
                <c:pt idx="0">
                  <c:v>2021-22</c:v>
                </c:pt>
                <c:pt idx="1">
                  <c:v>2022-23</c:v>
                </c:pt>
                <c:pt idx="2">
                  <c:v>2023-24</c:v>
                </c:pt>
                <c:pt idx="3">
                  <c:v>2024-25</c:v>
                </c:pt>
                <c:pt idx="4">
                  <c:v>2025-26</c:v>
                </c:pt>
                <c:pt idx="5">
                  <c:v>2026-27</c:v>
                </c:pt>
                <c:pt idx="6">
                  <c:v>2027-28</c:v>
                </c:pt>
              </c:strCache>
              <c:extLst/>
            </c:strRef>
          </c:cat>
          <c:val>
            <c:numRef>
              <c:f>'Outputs for SRW PS2 submission'!$H$622:$N$622</c:f>
              <c:numCache>
                <c:formatCode>0.0</c:formatCode>
                <c:ptCount val="7"/>
                <c:pt idx="0">
                  <c:v>16.324460771840545</c:v>
                </c:pt>
                <c:pt idx="1">
                  <c:v>16.324460771840545</c:v>
                </c:pt>
                <c:pt idx="2">
                  <c:v>16.434082227087728</c:v>
                </c:pt>
                <c:pt idx="3">
                  <c:v>16.31324338718267</c:v>
                </c:pt>
                <c:pt idx="4">
                  <c:v>16.192404547277615</c:v>
                </c:pt>
                <c:pt idx="5">
                  <c:v>16.071565707372557</c:v>
                </c:pt>
                <c:pt idx="6">
                  <c:v>15.9507268674675</c:v>
                </c:pt>
              </c:numCache>
              <c:extLst/>
            </c:numRef>
          </c:val>
          <c:smooth val="0"/>
          <c:extLst>
            <c:ext xmlns:c16="http://schemas.microsoft.com/office/drawing/2014/chart" uri="{C3380CC4-5D6E-409C-BE32-E72D297353CC}">
              <c16:uniqueId val="{00000001-40E8-451B-B78E-2D48875ED091}"/>
            </c:ext>
          </c:extLst>
        </c:ser>
        <c:dLbls>
          <c:showLegendKey val="0"/>
          <c:showVal val="0"/>
          <c:showCatName val="0"/>
          <c:showSerName val="0"/>
          <c:showPercent val="0"/>
          <c:showBubbleSize val="0"/>
        </c:dLbls>
        <c:marker val="1"/>
        <c:smooth val="0"/>
        <c:axId val="185207424"/>
        <c:axId val="185209216"/>
      </c:lineChart>
      <c:catAx>
        <c:axId val="185207424"/>
        <c:scaling>
          <c:orientation val="minMax"/>
        </c:scaling>
        <c:delete val="0"/>
        <c:axPos val="b"/>
        <c:numFmt formatCode="General" sourceLinked="0"/>
        <c:majorTickMark val="out"/>
        <c:minorTickMark val="none"/>
        <c:tickLblPos val="nextTo"/>
        <c:crossAx val="185209216"/>
        <c:crosses val="autoZero"/>
        <c:auto val="1"/>
        <c:lblAlgn val="ctr"/>
        <c:lblOffset val="100"/>
        <c:noMultiLvlLbl val="0"/>
      </c:catAx>
      <c:valAx>
        <c:axId val="185209216"/>
        <c:scaling>
          <c:orientation val="minMax"/>
          <c:min val="0"/>
        </c:scaling>
        <c:delete val="0"/>
        <c:axPos val="l"/>
        <c:majorGridlines/>
        <c:title>
          <c:tx>
            <c:rich>
              <a:bodyPr/>
              <a:lstStyle/>
              <a:p>
                <a:pPr>
                  <a:defRPr/>
                </a:pPr>
                <a:r>
                  <a:rPr lang="en-AU"/>
                  <a:t>Prescribed Labour Cost ($m)</a:t>
                </a:r>
              </a:p>
            </c:rich>
          </c:tx>
          <c:overlay val="0"/>
        </c:title>
        <c:numFmt formatCode="0.0" sourceLinked="1"/>
        <c:majorTickMark val="none"/>
        <c:minorTickMark val="none"/>
        <c:tickLblPos val="nextTo"/>
        <c:spPr>
          <a:ln w="9525">
            <a:noFill/>
          </a:ln>
        </c:spPr>
        <c:crossAx val="185207424"/>
        <c:crosses val="autoZero"/>
        <c:crossBetween val="between"/>
        <c:minorUnit val="1"/>
      </c:valAx>
      <c:valAx>
        <c:axId val="426048783"/>
        <c:scaling>
          <c:orientation val="minMax"/>
          <c:max val="180"/>
          <c:min val="0"/>
        </c:scaling>
        <c:delete val="0"/>
        <c:axPos val="r"/>
        <c:title>
          <c:tx>
            <c:rich>
              <a:bodyPr/>
              <a:lstStyle/>
              <a:p>
                <a:pPr>
                  <a:defRPr/>
                </a:pPr>
                <a:r>
                  <a:rPr lang="en-AU"/>
                  <a:t>No.  Prescribed FTE</a:t>
                </a:r>
              </a:p>
            </c:rich>
          </c:tx>
          <c:overlay val="0"/>
        </c:title>
        <c:numFmt formatCode="0" sourceLinked="1"/>
        <c:majorTickMark val="out"/>
        <c:minorTickMark val="none"/>
        <c:tickLblPos val="nextTo"/>
        <c:crossAx val="426064175"/>
        <c:crosses val="max"/>
        <c:crossBetween val="between"/>
        <c:minorUnit val="10"/>
      </c:valAx>
      <c:catAx>
        <c:axId val="426064175"/>
        <c:scaling>
          <c:orientation val="minMax"/>
        </c:scaling>
        <c:delete val="1"/>
        <c:axPos val="b"/>
        <c:numFmt formatCode="General" sourceLinked="1"/>
        <c:majorTickMark val="out"/>
        <c:minorTickMark val="none"/>
        <c:tickLblPos val="nextTo"/>
        <c:crossAx val="426048783"/>
        <c:crosses val="autoZero"/>
        <c:auto val="1"/>
        <c:lblAlgn val="ctr"/>
        <c:lblOffset val="100"/>
        <c:noMultiLvlLbl val="0"/>
      </c:catAx>
    </c:plotArea>
    <c:legend>
      <c:legendPos val="b"/>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Capital expenditure forecast </a:t>
            </a:r>
            <a:r>
              <a:rPr lang="en-AU" baseline="0"/>
              <a:t>($m)</a:t>
            </a:r>
            <a:endParaRPr lang="en-AU"/>
          </a:p>
        </c:rich>
      </c:tx>
      <c:overlay val="0"/>
    </c:title>
    <c:autoTitleDeleted val="0"/>
    <c:plotArea>
      <c:layout/>
      <c:barChart>
        <c:barDir val="col"/>
        <c:grouping val="stacked"/>
        <c:varyColors val="0"/>
        <c:ser>
          <c:idx val="1"/>
          <c:order val="0"/>
          <c:tx>
            <c:strRef>
              <c:f>'Outputs for SRW PS2 submission'!$C$291</c:f>
              <c:strCache>
                <c:ptCount val="1"/>
                <c:pt idx="0">
                  <c:v>Capital expenditure - renewals</c:v>
                </c:pt>
              </c:strCache>
            </c:strRef>
          </c:tx>
          <c:spPr>
            <a:solidFill>
              <a:schemeClr val="tx2"/>
            </a:solidFill>
          </c:spPr>
          <c:invertIfNegative val="0"/>
          <c:cat>
            <c:strRef>
              <c:f>'Outputs for SRW PS2 submission'!$J$290:$N$290</c:f>
              <c:strCache>
                <c:ptCount val="5"/>
                <c:pt idx="0">
                  <c:v>2023-24</c:v>
                </c:pt>
                <c:pt idx="1">
                  <c:v>2024-25</c:v>
                </c:pt>
                <c:pt idx="2">
                  <c:v>2025-26</c:v>
                </c:pt>
                <c:pt idx="3">
                  <c:v>2026-27</c:v>
                </c:pt>
                <c:pt idx="4">
                  <c:v>2027-28</c:v>
                </c:pt>
              </c:strCache>
            </c:strRef>
          </c:cat>
          <c:val>
            <c:numRef>
              <c:f>'Outputs for SRW PS2 submission'!$J$291:$N$291</c:f>
              <c:numCache>
                <c:formatCode>0.00</c:formatCode>
                <c:ptCount val="5"/>
                <c:pt idx="0">
                  <c:v>13.394023003862594</c:v>
                </c:pt>
                <c:pt idx="1">
                  <c:v>14.233958821446899</c:v>
                </c:pt>
                <c:pt idx="2">
                  <c:v>14.172898364354332</c:v>
                </c:pt>
                <c:pt idx="3">
                  <c:v>15.814908799804837</c:v>
                </c:pt>
                <c:pt idx="4">
                  <c:v>13.419924091817924</c:v>
                </c:pt>
              </c:numCache>
            </c:numRef>
          </c:val>
          <c:extLst>
            <c:ext xmlns:c16="http://schemas.microsoft.com/office/drawing/2014/chart" uri="{C3380CC4-5D6E-409C-BE32-E72D297353CC}">
              <c16:uniqueId val="{00000000-2B2B-414E-A948-03A141E36894}"/>
            </c:ext>
          </c:extLst>
        </c:ser>
        <c:ser>
          <c:idx val="0"/>
          <c:order val="1"/>
          <c:tx>
            <c:strRef>
              <c:f>'Outputs for SRW PS2 submission'!$C$292</c:f>
              <c:strCache>
                <c:ptCount val="1"/>
                <c:pt idx="0">
                  <c:v>Capital expenditure - Improvements / Compliance</c:v>
                </c:pt>
              </c:strCache>
            </c:strRef>
          </c:tx>
          <c:spPr>
            <a:solidFill>
              <a:srgbClr val="00CC99"/>
            </a:solidFill>
            <a:ln w="47625">
              <a:noFill/>
            </a:ln>
          </c:spPr>
          <c:invertIfNegative val="0"/>
          <c:cat>
            <c:strRef>
              <c:f>'Outputs for SRW PS2 submission'!$J$290:$N$290</c:f>
              <c:strCache>
                <c:ptCount val="5"/>
                <c:pt idx="0">
                  <c:v>2023-24</c:v>
                </c:pt>
                <c:pt idx="1">
                  <c:v>2024-25</c:v>
                </c:pt>
                <c:pt idx="2">
                  <c:v>2025-26</c:v>
                </c:pt>
                <c:pt idx="3">
                  <c:v>2026-27</c:v>
                </c:pt>
                <c:pt idx="4">
                  <c:v>2027-28</c:v>
                </c:pt>
              </c:strCache>
            </c:strRef>
          </c:cat>
          <c:val>
            <c:numRef>
              <c:f>'Outputs for SRW PS2 submission'!$J$292:$N$292</c:f>
              <c:numCache>
                <c:formatCode>0.00</c:formatCode>
                <c:ptCount val="5"/>
                <c:pt idx="0">
                  <c:v>34.977211728759997</c:v>
                </c:pt>
                <c:pt idx="1">
                  <c:v>11.0331956988</c:v>
                </c:pt>
                <c:pt idx="2">
                  <c:v>2.6209245429999992</c:v>
                </c:pt>
                <c:pt idx="3">
                  <c:v>3.7493545429999995</c:v>
                </c:pt>
                <c:pt idx="4">
                  <c:v>1.630356795</c:v>
                </c:pt>
              </c:numCache>
            </c:numRef>
          </c:val>
          <c:extLst>
            <c:ext xmlns:c16="http://schemas.microsoft.com/office/drawing/2014/chart" uri="{C3380CC4-5D6E-409C-BE32-E72D297353CC}">
              <c16:uniqueId val="{00000001-2B2B-414E-A948-03A141E36894}"/>
            </c:ext>
          </c:extLst>
        </c:ser>
        <c:dLbls>
          <c:showLegendKey val="0"/>
          <c:showVal val="0"/>
          <c:showCatName val="0"/>
          <c:showSerName val="0"/>
          <c:showPercent val="0"/>
          <c:showBubbleSize val="0"/>
        </c:dLbls>
        <c:gapWidth val="75"/>
        <c:overlap val="100"/>
        <c:axId val="185207424"/>
        <c:axId val="185209216"/>
      </c:barChart>
      <c:catAx>
        <c:axId val="185207424"/>
        <c:scaling>
          <c:orientation val="minMax"/>
        </c:scaling>
        <c:delete val="0"/>
        <c:axPos val="b"/>
        <c:numFmt formatCode="General" sourceLinked="0"/>
        <c:majorTickMark val="none"/>
        <c:minorTickMark val="none"/>
        <c:tickLblPos val="nextTo"/>
        <c:crossAx val="185209216"/>
        <c:crosses val="autoZero"/>
        <c:auto val="1"/>
        <c:lblAlgn val="ctr"/>
        <c:lblOffset val="100"/>
        <c:noMultiLvlLbl val="0"/>
      </c:catAx>
      <c:valAx>
        <c:axId val="185209216"/>
        <c:scaling>
          <c:orientation val="minMax"/>
        </c:scaling>
        <c:delete val="0"/>
        <c:axPos val="l"/>
        <c:majorGridlines/>
        <c:numFmt formatCode="0.00"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RAB components </a:t>
            </a:r>
            <a:r>
              <a:rPr lang="en-AU" baseline="0"/>
              <a:t>($m)</a:t>
            </a:r>
          </a:p>
          <a:p>
            <a:pPr>
              <a:defRPr/>
            </a:pPr>
            <a:r>
              <a:rPr lang="en-AU" baseline="0"/>
              <a:t>2023-24 to 2027-28</a:t>
            </a:r>
            <a:endParaRPr lang="en-AU"/>
          </a:p>
        </c:rich>
      </c:tx>
      <c:overlay val="0"/>
    </c:title>
    <c:autoTitleDeleted val="0"/>
    <c:plotArea>
      <c:layout/>
      <c:barChart>
        <c:barDir val="col"/>
        <c:grouping val="stacked"/>
        <c:varyColors val="0"/>
        <c:ser>
          <c:idx val="1"/>
          <c:order val="0"/>
          <c:tx>
            <c:strRef>
              <c:f>'Outputs for SRW PS2 submission'!$C$550</c:f>
              <c:strCache>
                <c:ptCount val="1"/>
                <c:pt idx="0">
                  <c:v>Gross capex</c:v>
                </c:pt>
              </c:strCache>
            </c:strRef>
          </c:tx>
          <c:spPr>
            <a:solidFill>
              <a:schemeClr val="tx2"/>
            </a:solidFill>
          </c:spPr>
          <c:invertIfNegative val="0"/>
          <c:cat>
            <c:strRef>
              <c:f>'Outputs for SRW PS2 submission'!$E$548:$I$548</c:f>
              <c:strCache>
                <c:ptCount val="5"/>
                <c:pt idx="0">
                  <c:v>2023-24</c:v>
                </c:pt>
                <c:pt idx="1">
                  <c:v>2024-25</c:v>
                </c:pt>
                <c:pt idx="2">
                  <c:v>2025-26</c:v>
                </c:pt>
                <c:pt idx="3">
                  <c:v>2026-27</c:v>
                </c:pt>
                <c:pt idx="4">
                  <c:v>2027-28</c:v>
                </c:pt>
              </c:strCache>
            </c:strRef>
          </c:cat>
          <c:val>
            <c:numRef>
              <c:f>'Outputs for SRW PS2 submission'!$E$434:$I$434</c:f>
              <c:numCache>
                <c:formatCode>_(#,##0.0_);\(#,##0.0\);_("-"_)</c:formatCode>
                <c:ptCount val="5"/>
                <c:pt idx="0">
                  <c:v>48.371234732622597</c:v>
                </c:pt>
                <c:pt idx="1">
                  <c:v>25.267154520246898</c:v>
                </c:pt>
                <c:pt idx="2">
                  <c:v>16.793822907354333</c:v>
                </c:pt>
                <c:pt idx="3">
                  <c:v>19.609263342804834</c:v>
                </c:pt>
                <c:pt idx="4">
                  <c:v>15.050280886817925</c:v>
                </c:pt>
              </c:numCache>
            </c:numRef>
          </c:val>
          <c:extLst>
            <c:ext xmlns:c16="http://schemas.microsoft.com/office/drawing/2014/chart" uri="{C3380CC4-5D6E-409C-BE32-E72D297353CC}">
              <c16:uniqueId val="{00000000-1BBC-4BF7-9F8B-9E36B79A3FD9}"/>
            </c:ext>
          </c:extLst>
        </c:ser>
        <c:ser>
          <c:idx val="0"/>
          <c:order val="1"/>
          <c:tx>
            <c:strRef>
              <c:f>'Outputs for SRW PS2 submission'!$C$551</c:f>
              <c:strCache>
                <c:ptCount val="1"/>
                <c:pt idx="0">
                  <c:v>Government contributions</c:v>
                </c:pt>
              </c:strCache>
            </c:strRef>
          </c:tx>
          <c:spPr>
            <a:solidFill>
              <a:srgbClr val="00CC99"/>
            </a:solidFill>
            <a:ln w="47625">
              <a:noFill/>
            </a:ln>
          </c:spPr>
          <c:invertIfNegative val="0"/>
          <c:cat>
            <c:strRef>
              <c:f>'Outputs for SRW PS2 submission'!$E$548:$I$548</c:f>
              <c:strCache>
                <c:ptCount val="5"/>
                <c:pt idx="0">
                  <c:v>2023-24</c:v>
                </c:pt>
                <c:pt idx="1">
                  <c:v>2024-25</c:v>
                </c:pt>
                <c:pt idx="2">
                  <c:v>2025-26</c:v>
                </c:pt>
                <c:pt idx="3">
                  <c:v>2026-27</c:v>
                </c:pt>
                <c:pt idx="4">
                  <c:v>2027-28</c:v>
                </c:pt>
              </c:strCache>
            </c:strRef>
          </c:cat>
          <c:val>
            <c:numRef>
              <c:f>'Outputs for SRW PS2 submission'!$E$551:$I$551</c:f>
              <c:numCache>
                <c:formatCode>_(#,##0.0_);\(#,##0.0\);_("-"_)</c:formatCode>
                <c:ptCount val="5"/>
                <c:pt idx="0">
                  <c:v>-13.815194767803181</c:v>
                </c:pt>
                <c:pt idx="1">
                  <c:v>-4.3704887661508494</c:v>
                </c:pt>
                <c:pt idx="2">
                  <c:v>-0.44629603653503047</c:v>
                </c:pt>
                <c:pt idx="3">
                  <c:v>0</c:v>
                </c:pt>
                <c:pt idx="4">
                  <c:v>0</c:v>
                </c:pt>
              </c:numCache>
            </c:numRef>
          </c:val>
          <c:extLst>
            <c:ext xmlns:c16="http://schemas.microsoft.com/office/drawing/2014/chart" uri="{C3380CC4-5D6E-409C-BE32-E72D297353CC}">
              <c16:uniqueId val="{00000001-1BBC-4BF7-9F8B-9E36B79A3FD9}"/>
            </c:ext>
          </c:extLst>
        </c:ser>
        <c:ser>
          <c:idx val="2"/>
          <c:order val="2"/>
          <c:tx>
            <c:strRef>
              <c:f>'Outputs for SRW PS2 submission'!$C$552</c:f>
              <c:strCache>
                <c:ptCount val="1"/>
                <c:pt idx="0">
                  <c:v>Customer contributions</c:v>
                </c:pt>
              </c:strCache>
            </c:strRef>
          </c:tx>
          <c:invertIfNegative val="0"/>
          <c:cat>
            <c:strRef>
              <c:f>'Outputs for SRW PS2 submission'!$E$548:$I$548</c:f>
              <c:strCache>
                <c:ptCount val="5"/>
                <c:pt idx="0">
                  <c:v>2023-24</c:v>
                </c:pt>
                <c:pt idx="1">
                  <c:v>2024-25</c:v>
                </c:pt>
                <c:pt idx="2">
                  <c:v>2025-26</c:v>
                </c:pt>
                <c:pt idx="3">
                  <c:v>2026-27</c:v>
                </c:pt>
                <c:pt idx="4">
                  <c:v>2027-28</c:v>
                </c:pt>
              </c:strCache>
            </c:strRef>
          </c:cat>
          <c:val>
            <c:numRef>
              <c:f>'Outputs for SRW PS2 submission'!$E$552:$I$552</c:f>
              <c:numCache>
                <c:formatCode>_(#,##0.0_);\(#,##0.0\);_("-"_)</c:formatCode>
                <c:ptCount val="5"/>
                <c:pt idx="0">
                  <c:v>-2.5147587628937105</c:v>
                </c:pt>
                <c:pt idx="1">
                  <c:v>-2.5147587628937105</c:v>
                </c:pt>
                <c:pt idx="2">
                  <c:v>-2.5147587628937105</c:v>
                </c:pt>
                <c:pt idx="3">
                  <c:v>-2.5147587628937105</c:v>
                </c:pt>
                <c:pt idx="4">
                  <c:v>-2.5147587628937105</c:v>
                </c:pt>
              </c:numCache>
            </c:numRef>
          </c:val>
          <c:extLst>
            <c:ext xmlns:c16="http://schemas.microsoft.com/office/drawing/2014/chart" uri="{C3380CC4-5D6E-409C-BE32-E72D297353CC}">
              <c16:uniqueId val="{00000002-1BBC-4BF7-9F8B-9E36B79A3FD9}"/>
            </c:ext>
          </c:extLst>
        </c:ser>
        <c:ser>
          <c:idx val="3"/>
          <c:order val="3"/>
          <c:tx>
            <c:strRef>
              <c:f>'Outputs for SRW PS2 submission'!$C$553</c:f>
              <c:strCache>
                <c:ptCount val="1"/>
                <c:pt idx="0">
                  <c:v>Proceeds from disposals</c:v>
                </c:pt>
              </c:strCache>
            </c:strRef>
          </c:tx>
          <c:invertIfNegative val="0"/>
          <c:cat>
            <c:strRef>
              <c:f>'Outputs for SRW PS2 submission'!$E$548:$I$548</c:f>
              <c:strCache>
                <c:ptCount val="5"/>
                <c:pt idx="0">
                  <c:v>2023-24</c:v>
                </c:pt>
                <c:pt idx="1">
                  <c:v>2024-25</c:v>
                </c:pt>
                <c:pt idx="2">
                  <c:v>2025-26</c:v>
                </c:pt>
                <c:pt idx="3">
                  <c:v>2026-27</c:v>
                </c:pt>
                <c:pt idx="4">
                  <c:v>2027-28</c:v>
                </c:pt>
              </c:strCache>
            </c:strRef>
          </c:cat>
          <c:val>
            <c:numRef>
              <c:f>'Outputs for SRW PS2 submission'!$E$553:$I$553</c:f>
              <c:numCache>
                <c:formatCode>_(#,##0.0_);\(#,##0.0\);_("-"_)</c:formatCode>
                <c:ptCount val="5"/>
                <c:pt idx="0">
                  <c:v>-0.78816793893129755</c:v>
                </c:pt>
                <c:pt idx="1">
                  <c:v>-0.78816793893129755</c:v>
                </c:pt>
                <c:pt idx="2">
                  <c:v>-0.78816793893129755</c:v>
                </c:pt>
                <c:pt idx="3">
                  <c:v>-0.78816793893129755</c:v>
                </c:pt>
                <c:pt idx="4">
                  <c:v>-0.78816793893129755</c:v>
                </c:pt>
              </c:numCache>
            </c:numRef>
          </c:val>
          <c:extLst>
            <c:ext xmlns:c16="http://schemas.microsoft.com/office/drawing/2014/chart" uri="{C3380CC4-5D6E-409C-BE32-E72D297353CC}">
              <c16:uniqueId val="{00000003-1BBC-4BF7-9F8B-9E36B79A3FD9}"/>
            </c:ext>
          </c:extLst>
        </c:ser>
        <c:ser>
          <c:idx val="4"/>
          <c:order val="4"/>
          <c:tx>
            <c:strRef>
              <c:f>'Outputs for SRW PS2 submission'!$C$554</c:f>
              <c:strCache>
                <c:ptCount val="1"/>
                <c:pt idx="0">
                  <c:v>Regualatory depreciation</c:v>
                </c:pt>
              </c:strCache>
            </c:strRef>
          </c:tx>
          <c:invertIfNegative val="0"/>
          <c:cat>
            <c:strRef>
              <c:f>'Outputs for SRW PS2 submission'!$E$548:$I$548</c:f>
              <c:strCache>
                <c:ptCount val="5"/>
                <c:pt idx="0">
                  <c:v>2023-24</c:v>
                </c:pt>
                <c:pt idx="1">
                  <c:v>2024-25</c:v>
                </c:pt>
                <c:pt idx="2">
                  <c:v>2025-26</c:v>
                </c:pt>
                <c:pt idx="3">
                  <c:v>2026-27</c:v>
                </c:pt>
                <c:pt idx="4">
                  <c:v>2027-28</c:v>
                </c:pt>
              </c:strCache>
            </c:strRef>
          </c:cat>
          <c:val>
            <c:numRef>
              <c:f>'Outputs for SRW PS2 submission'!$E$554:$I$554</c:f>
              <c:numCache>
                <c:formatCode>_(#,##0.0_);\(#,##0.0\);_("-"_)</c:formatCode>
                <c:ptCount val="5"/>
                <c:pt idx="0">
                  <c:v>-4.6965288638777549</c:v>
                </c:pt>
                <c:pt idx="1">
                  <c:v>-5.6481282622444793</c:v>
                </c:pt>
                <c:pt idx="2">
                  <c:v>-5.8221311041756945</c:v>
                </c:pt>
                <c:pt idx="3">
                  <c:v>-6.4094910598884187</c:v>
                </c:pt>
                <c:pt idx="4">
                  <c:v>-6.9864418838357789</c:v>
                </c:pt>
              </c:numCache>
            </c:numRef>
          </c:val>
          <c:extLst>
            <c:ext xmlns:c16="http://schemas.microsoft.com/office/drawing/2014/chart" uri="{C3380CC4-5D6E-409C-BE32-E72D297353CC}">
              <c16:uniqueId val="{00000004-1BBC-4BF7-9F8B-9E36B79A3FD9}"/>
            </c:ext>
          </c:extLst>
        </c:ser>
        <c:dLbls>
          <c:showLegendKey val="0"/>
          <c:showVal val="0"/>
          <c:showCatName val="0"/>
          <c:showSerName val="0"/>
          <c:showPercent val="0"/>
          <c:showBubbleSize val="0"/>
        </c:dLbls>
        <c:gapWidth val="75"/>
        <c:overlap val="100"/>
        <c:axId val="185207424"/>
        <c:axId val="185209216"/>
      </c:barChart>
      <c:catAx>
        <c:axId val="185207424"/>
        <c:scaling>
          <c:orientation val="minMax"/>
        </c:scaling>
        <c:delete val="1"/>
        <c:axPos val="b"/>
        <c:numFmt formatCode="General" sourceLinked="0"/>
        <c:majorTickMark val="out"/>
        <c:minorTickMark val="none"/>
        <c:tickLblPos val="nextTo"/>
        <c:crossAx val="185209216"/>
        <c:crosses val="autoZero"/>
        <c:auto val="1"/>
        <c:lblAlgn val="ctr"/>
        <c:lblOffset val="100"/>
        <c:noMultiLvlLbl val="0"/>
      </c:catAx>
      <c:valAx>
        <c:axId val="185209216"/>
        <c:scaling>
          <c:orientation val="minMax"/>
          <c:min val="-25"/>
        </c:scaling>
        <c:delete val="0"/>
        <c:axPos val="l"/>
        <c:majorGridlines/>
        <c:numFmt formatCode="_(#,##0.0_);\(#,##0.0\);_(&quot;-&quot;_)"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AU"/>
              <a:t>Form of price control </a:t>
            </a:r>
            <a:r>
              <a:rPr lang="en-AU" baseline="0"/>
              <a:t>($m)</a:t>
            </a:r>
          </a:p>
        </c:rich>
      </c:tx>
      <c:overlay val="0"/>
    </c:title>
    <c:autoTitleDeleted val="0"/>
    <c:plotArea>
      <c:layout/>
      <c:barChart>
        <c:barDir val="col"/>
        <c:grouping val="stacked"/>
        <c:varyColors val="0"/>
        <c:ser>
          <c:idx val="1"/>
          <c:order val="0"/>
          <c:tx>
            <c:strRef>
              <c:f>'Outputs for SRW PS2 submission'!$C$590</c:f>
              <c:strCache>
                <c:ptCount val="1"/>
                <c:pt idx="0">
                  <c:v>Tariff revenue</c:v>
                </c:pt>
              </c:strCache>
            </c:strRef>
          </c:tx>
          <c:spPr>
            <a:solidFill>
              <a:schemeClr val="tx2"/>
            </a:solidFill>
          </c:spPr>
          <c:invertIfNegative val="0"/>
          <c:cat>
            <c:strRef>
              <c:f>'Outputs for SRW PS2 submission'!$E$586:$N$586</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'Outputs for SRW PS2 submission'!$E$590:$N$590</c:f>
              <c:numCache>
                <c:formatCode>_(#,##0.00_);\(#,##0.00\);_("-"_)</c:formatCode>
                <c:ptCount val="10"/>
                <c:pt idx="0">
                  <c:v>30.959199019531056</c:v>
                </c:pt>
                <c:pt idx="1">
                  <c:v>30.489609857774539</c:v>
                </c:pt>
                <c:pt idx="2">
                  <c:v>30.370597356944295</c:v>
                </c:pt>
                <c:pt idx="3">
                  <c:v>29.392306013640933</c:v>
                </c:pt>
                <c:pt idx="4">
                  <c:v>30.313846728374077</c:v>
                </c:pt>
                <c:pt idx="5">
                  <c:v>26.410640393246339</c:v>
                </c:pt>
                <c:pt idx="6">
                  <c:v>26.658907830987726</c:v>
                </c:pt>
                <c:pt idx="7">
                  <c:v>26.910641018713736</c:v>
                </c:pt>
                <c:pt idx="8">
                  <c:v>27.165889756553241</c:v>
                </c:pt>
                <c:pt idx="9">
                  <c:v>27.424704573101046</c:v>
                </c:pt>
              </c:numCache>
            </c:numRef>
          </c:val>
          <c:extLst>
            <c:ext xmlns:c16="http://schemas.microsoft.com/office/drawing/2014/chart" uri="{C3380CC4-5D6E-409C-BE32-E72D297353CC}">
              <c16:uniqueId val="{00000000-56E2-439A-AC1C-4DA5300E4D84}"/>
            </c:ext>
          </c:extLst>
        </c:ser>
        <c:ser>
          <c:idx val="3"/>
          <c:order val="3"/>
          <c:tx>
            <c:strRef>
              <c:f>'Outputs for SRW PS2 submission'!$C$597</c:f>
              <c:strCache>
                <c:ptCount val="1"/>
                <c:pt idx="0">
                  <c:v>Misc: BE orders</c:v>
                </c:pt>
              </c:strCache>
            </c:strRef>
          </c:tx>
          <c:invertIfNegative val="0"/>
          <c:cat>
            <c:strRef>
              <c:f>'Outputs for SRW PS2 submission'!$E$586:$N$586</c:f>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f>'Outputs for SRW PS2 submission'!$E$597:$N$597</c:f>
              <c:numCache>
                <c:formatCode>_(#,##0.00_);\(#,##0.00\);_("-"_)</c:formatCode>
                <c:ptCount val="10"/>
                <c:pt idx="0">
                  <c:v>0</c:v>
                </c:pt>
                <c:pt idx="1">
                  <c:v>0</c:v>
                </c:pt>
                <c:pt idx="2">
                  <c:v>0</c:v>
                </c:pt>
                <c:pt idx="3">
                  <c:v>0</c:v>
                </c:pt>
                <c:pt idx="5">
                  <c:v>4.525867434869113</c:v>
                </c:pt>
                <c:pt idx="6">
                  <c:v>4.5515204162770004</c:v>
                </c:pt>
                <c:pt idx="7">
                  <c:v>4.558665517919045</c:v>
                </c:pt>
                <c:pt idx="8">
                  <c:v>4.6274905751568332</c:v>
                </c:pt>
                <c:pt idx="9">
                  <c:v>4.6888011095583373</c:v>
                </c:pt>
              </c:numCache>
            </c:numRef>
          </c:val>
          <c:extLst>
            <c:ext xmlns:c16="http://schemas.microsoft.com/office/drawing/2014/chart" uri="{C3380CC4-5D6E-409C-BE32-E72D297353CC}">
              <c16:uniqueId val="{00000001-56E2-439A-AC1C-4DA5300E4D84}"/>
            </c:ext>
          </c:extLst>
        </c:ser>
        <c:dLbls>
          <c:showLegendKey val="0"/>
          <c:showVal val="0"/>
          <c:showCatName val="0"/>
          <c:showSerName val="0"/>
          <c:showPercent val="0"/>
          <c:showBubbleSize val="0"/>
        </c:dLbls>
        <c:gapWidth val="75"/>
        <c:overlap val="100"/>
        <c:axId val="185207424"/>
        <c:axId val="185209216"/>
        <c:extLst>
          <c:ext xmlns:c15="http://schemas.microsoft.com/office/drawing/2012/chart" uri="{02D57815-91ED-43cb-92C2-25804820EDAC}">
            <c15:filteredBarSeries>
              <c15:ser>
                <c:idx val="0"/>
                <c:order val="1"/>
                <c:tx>
                  <c:strRef>
                    <c:extLst>
                      <c:ext uri="{02D57815-91ED-43cb-92C2-25804820EDAC}">
                        <c15:formulaRef>
                          <c15:sqref>'Outputs for SRW PS2 submission'!$C$594</c15:sqref>
                        </c15:formulaRef>
                      </c:ext>
                    </c:extLst>
                    <c:strCache>
                      <c:ptCount val="1"/>
                      <c:pt idx="0">
                        <c:v>Contract revenue: Recycled Water</c:v>
                      </c:pt>
                    </c:strCache>
                  </c:strRef>
                </c:tx>
                <c:spPr>
                  <a:solidFill>
                    <a:srgbClr val="00CC99"/>
                  </a:solidFill>
                  <a:ln w="47625">
                    <a:noFill/>
                  </a:ln>
                </c:spPr>
                <c:invertIfNegative val="0"/>
                <c:cat>
                  <c:strRef>
                    <c:extLst>
                      <c:ext uri="{02D57815-91ED-43cb-92C2-25804820EDAC}">
                        <c15:formulaRef>
                          <c15:sqref>'Outputs for SRW PS2 submission'!$E$586:$N$586</c15:sqref>
                        </c15:formulaRef>
                      </c:ext>
                    </c:extLst>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extLst>
                      <c:ext uri="{02D57815-91ED-43cb-92C2-25804820EDAC}">
                        <c15:formulaRef>
                          <c15:sqref>'Outputs for SRW PS2 submission'!$E$594:$N$594</c15:sqref>
                        </c15:formulaRef>
                      </c:ext>
                    </c:extLst>
                    <c:numCache>
                      <c:formatCode>_(#,##0.00_);\(#,##0.00\);_("-"_)</c:formatCode>
                      <c:ptCount val="10"/>
                      <c:pt idx="0">
                        <c:v>1.506386323268198</c:v>
                      </c:pt>
                      <c:pt idx="1">
                        <c:v>1.5734539877300597</c:v>
                      </c:pt>
                      <c:pt idx="2">
                        <c:v>1.4993387650085759</c:v>
                      </c:pt>
                      <c:pt idx="3">
                        <c:v>1.1706835579201016</c:v>
                      </c:pt>
                      <c:pt idx="4">
                        <c:v>1.3779793304027439</c:v>
                      </c:pt>
                      <c:pt idx="5">
                        <c:v>1.3775461538962561</c:v>
                      </c:pt>
                      <c:pt idx="6">
                        <c:v>1.3749612588553211</c:v>
                      </c:pt>
                      <c:pt idx="7">
                        <c:v>1.3724022127647952</c:v>
                      </c:pt>
                      <c:pt idx="8">
                        <c:v>1.3698687571351746</c:v>
                      </c:pt>
                      <c:pt idx="9">
                        <c:v>1.3673606360618504</c:v>
                      </c:pt>
                    </c:numCache>
                  </c:numRef>
                </c:val>
                <c:extLst>
                  <c:ext xmlns:c16="http://schemas.microsoft.com/office/drawing/2014/chart" uri="{C3380CC4-5D6E-409C-BE32-E72D297353CC}">
                    <c16:uniqueId val="{00000002-56E2-439A-AC1C-4DA5300E4D84}"/>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'Outputs for SRW PS2 submission'!$C$596</c15:sqref>
                        </c15:formulaRef>
                      </c:ext>
                    </c:extLst>
                    <c:strCache>
                      <c:ptCount val="1"/>
                      <c:pt idx="0">
                        <c:v>Misc: Applications</c:v>
                      </c:pt>
                    </c:strCache>
                  </c:strRef>
                </c:tx>
                <c:invertIfNegative val="0"/>
                <c:cat>
                  <c:strRef>
                    <c:extLst xmlns:c15="http://schemas.microsoft.com/office/drawing/2012/chart">
                      <c:ext xmlns:c15="http://schemas.microsoft.com/office/drawing/2012/chart" uri="{02D57815-91ED-43cb-92C2-25804820EDAC}">
                        <c15:formulaRef>
                          <c15:sqref>'Outputs for SRW PS2 submission'!$E$586:$N$586</c15:sqref>
                        </c15:formulaRef>
                      </c:ext>
                    </c:extLst>
                    <c:strCache>
                      <c:ptCount val="10"/>
                      <c:pt idx="0">
                        <c:v>2018-19</c:v>
                      </c:pt>
                      <c:pt idx="1">
                        <c:v>2019-20</c:v>
                      </c:pt>
                      <c:pt idx="2">
                        <c:v>2020-21</c:v>
                      </c:pt>
                      <c:pt idx="3">
                        <c:v>2021-22</c:v>
                      </c:pt>
                      <c:pt idx="4">
                        <c:v>2022-23</c:v>
                      </c:pt>
                      <c:pt idx="5">
                        <c:v>2023-24</c:v>
                      </c:pt>
                      <c:pt idx="6">
                        <c:v>2024-25</c:v>
                      </c:pt>
                      <c:pt idx="7">
                        <c:v>2025-26</c:v>
                      </c:pt>
                      <c:pt idx="8">
                        <c:v>2026-27</c:v>
                      </c:pt>
                      <c:pt idx="9">
                        <c:v>2027-28</c:v>
                      </c:pt>
                    </c:strCache>
                  </c:strRef>
                </c:cat>
                <c:val>
                  <c:numRef>
                    <c:extLst xmlns:c15="http://schemas.microsoft.com/office/drawing/2012/chart">
                      <c:ext xmlns:c15="http://schemas.microsoft.com/office/drawing/2012/chart" uri="{02D57815-91ED-43cb-92C2-25804820EDAC}">
                        <c15:formulaRef>
                          <c15:sqref>'Outputs for SRW PS2 submission'!$E$596:$N$596</c15:sqref>
                        </c15:formulaRef>
                      </c:ext>
                    </c:extLst>
                    <c:numCache>
                      <c:formatCode>_(#,##0.00_);\(#,##0.00\);_("-"_)</c:formatCode>
                      <c:ptCount val="10"/>
                      <c:pt idx="0">
                        <c:v>1.395250444049726</c:v>
                      </c:pt>
                      <c:pt idx="1">
                        <c:v>1.0587423312883424</c:v>
                      </c:pt>
                      <c:pt idx="2">
                        <c:v>1.0254159519725554</c:v>
                      </c:pt>
                      <c:pt idx="3">
                        <c:v>1.1322060313829039</c:v>
                      </c:pt>
                      <c:pt idx="4">
                        <c:v>1.2103990847614607</c:v>
                      </c:pt>
                      <c:pt idx="5">
                        <c:v>1.1781216813840198</c:v>
                      </c:pt>
                      <c:pt idx="6">
                        <c:v>1.1785689961981571</c:v>
                      </c:pt>
                      <c:pt idx="7">
                        <c:v>1.1733753650168992</c:v>
                      </c:pt>
                      <c:pt idx="8">
                        <c:v>1.1680309648092204</c:v>
                      </c:pt>
                      <c:pt idx="9">
                        <c:v>1.161281861955221</c:v>
                      </c:pt>
                    </c:numCache>
                  </c:numRef>
                </c:val>
                <c:extLst xmlns:c15="http://schemas.microsoft.com/office/drawing/2012/chart">
                  <c:ext xmlns:c16="http://schemas.microsoft.com/office/drawing/2014/chart" uri="{C3380CC4-5D6E-409C-BE32-E72D297353CC}">
                    <c16:uniqueId val="{00000003-56E2-439A-AC1C-4DA5300E4D84}"/>
                  </c:ext>
                </c:extLst>
              </c15:ser>
            </c15:filteredBarSeries>
            <c15:filteredBarSeries>
              <c15:ser>
                <c:idx val="4"/>
                <c:order val="4"/>
                <c:tx>
                  <c:strRef>
                    <c:extLst xmlns:c15="http://schemas.microsoft.com/office/drawing/2012/chart">
                      <c:ext xmlns:c15="http://schemas.microsoft.com/office/drawing/2012/chart" uri="{02D57815-91ED-43cb-92C2-25804820EDAC}">
                        <c15:formulaRef>
                          <c15:sqref>'Outputs for SRW PS2 submission'!$C$598</c15:sqref>
                        </c15:formulaRef>
                      </c:ext>
                    </c:extLst>
                    <c:strCache>
                      <c:ptCount val="1"/>
                      <c:pt idx="0">
                        <c:v>Misc: BE orders - Immedietly recoverable works</c:v>
                      </c:pt>
                    </c:strCache>
                  </c:strRef>
                </c:tx>
                <c:invertIfNegative val="0"/>
                <c:val>
                  <c:numRef>
                    <c:extLst xmlns:c15="http://schemas.microsoft.com/office/drawing/2012/chart">
                      <c:ext xmlns:c15="http://schemas.microsoft.com/office/drawing/2012/chart" uri="{02D57815-91ED-43cb-92C2-25804820EDAC}">
                        <c15:formulaRef>
                          <c15:sqref>'Outputs for SRW PS2 submission'!$E$598:$N$598</c15:sqref>
                        </c15:formulaRef>
                      </c:ext>
                    </c:extLst>
                    <c:numCache>
                      <c:formatCode>0.00</c:formatCode>
                      <c:ptCount val="10"/>
                      <c:pt idx="0">
                        <c:v>0.15924490470427038</c:v>
                      </c:pt>
                      <c:pt idx="1">
                        <c:v>0.20768631447616676</c:v>
                      </c:pt>
                      <c:pt idx="2">
                        <c:v>0.32834562607204104</c:v>
                      </c:pt>
                      <c:pt idx="3">
                        <c:v>0.27960666797263017</c:v>
                      </c:pt>
                      <c:pt idx="4">
                        <c:v>1.2539324430509999</c:v>
                      </c:pt>
                      <c:pt idx="5">
                        <c:v>2.0777961</c:v>
                      </c:pt>
                      <c:pt idx="6">
                        <c:v>1.8502608999999999</c:v>
                      </c:pt>
                      <c:pt idx="7">
                        <c:v>0.55922925000000001</c:v>
                      </c:pt>
                      <c:pt idx="8">
                        <c:v>1.2510592499999997</c:v>
                      </c:pt>
                      <c:pt idx="9">
                        <c:v>0.62380004999999994</c:v>
                      </c:pt>
                    </c:numCache>
                  </c:numRef>
                </c:val>
                <c:extLst xmlns:c15="http://schemas.microsoft.com/office/drawing/2012/chart">
                  <c:ext xmlns:c16="http://schemas.microsoft.com/office/drawing/2014/chart" uri="{C3380CC4-5D6E-409C-BE32-E72D297353CC}">
                    <c16:uniqueId val="{00000004-56E2-439A-AC1C-4DA5300E4D84}"/>
                  </c:ext>
                </c:extLst>
              </c15:ser>
            </c15:filteredBarSeries>
          </c:ext>
        </c:extLst>
      </c:barChart>
      <c:catAx>
        <c:axId val="185207424"/>
        <c:scaling>
          <c:orientation val="minMax"/>
        </c:scaling>
        <c:delete val="0"/>
        <c:axPos val="b"/>
        <c:numFmt formatCode="General" sourceLinked="0"/>
        <c:majorTickMark val="out"/>
        <c:minorTickMark val="none"/>
        <c:tickLblPos val="nextTo"/>
        <c:crossAx val="185209216"/>
        <c:crosses val="autoZero"/>
        <c:auto val="1"/>
        <c:lblAlgn val="ctr"/>
        <c:lblOffset val="100"/>
        <c:noMultiLvlLbl val="0"/>
      </c:catAx>
      <c:valAx>
        <c:axId val="185209216"/>
        <c:scaling>
          <c:orientation val="minMax"/>
        </c:scaling>
        <c:delete val="0"/>
        <c:axPos val="l"/>
        <c:majorGridlines/>
        <c:numFmt formatCode="_(#,##0.00_);\(#,##0.00\);_(&quot;-&quot;_)" sourceLinked="1"/>
        <c:majorTickMark val="none"/>
        <c:minorTickMark val="none"/>
        <c:tickLblPos val="nextTo"/>
        <c:spPr>
          <a:ln w="9525">
            <a:noFill/>
          </a:ln>
        </c:spPr>
        <c:crossAx val="185207424"/>
        <c:crosses val="autoZero"/>
        <c:crossBetween val="between"/>
      </c:valAx>
    </c:plotArea>
    <c:legend>
      <c:legendPos val="b"/>
      <c:overlay val="0"/>
    </c:legend>
    <c:plotVisOnly val="1"/>
    <c:dispBlanksAs val="gap"/>
    <c:showDLblsOverMax val="0"/>
  </c:chart>
  <c:spPr>
    <a:ln>
      <a:noFill/>
    </a:ln>
  </c:spPr>
  <c:externalData r:id="rId1">
    <c:autoUpdate val="0"/>
  </c:externalData>
</c:chartSpace>
</file>

<file path=word/documenttasks/documenttasks1.xml><?xml version="1.0" encoding="utf-8"?>
<t:Tasks xmlns:t="http://schemas.microsoft.com/office/tasks/2019/documenttasks" xmlns:oel="http://schemas.microsoft.com/office/2019/extlst">
  <t:Task id="{412B73ED-3DA1-4E53-B333-01AFC6F1EF14}">
    <t:Anchor>
      <t:Comment id="649284405"/>
    </t:Anchor>
    <t:History>
      <t:Event id="{CB3ED1B7-F512-45D0-916B-3A995F92465D}" time="2022-08-29T10:38:23.776Z">
        <t:Attribution userId="S::scottc@srw.com.au::7c358ef7-7a70-4e41-8b52-316064302ba2" userProvider="AD" userName="Scott Cornish"/>
        <t:Anchor>
          <t:Comment id="1180932813"/>
        </t:Anchor>
        <t:Create/>
      </t:Event>
      <t:Event id="{01B0A624-5E0F-4450-852E-235A7B6D1697}" time="2022-08-29T10:38:23.776Z">
        <t:Attribution userId="S::scottc@srw.com.au::7c358ef7-7a70-4e41-8b52-316064302ba2" userProvider="AD" userName="Scott Cornish"/>
        <t:Anchor>
          <t:Comment id="1180932813"/>
        </t:Anchor>
        <t:Assign userId="S::StuartW@SRW.com.au::e409d0de-293f-44f7-9d8a-239c15868840" userProvider="AD" userName="Stuart Wrigglesworth"/>
      </t:Event>
      <t:Event id="{39F19A9F-161A-47D7-AFE7-8343D6E20AED}" time="2022-08-29T10:38:23.776Z">
        <t:Attribution userId="S::scottc@srw.com.au::7c358ef7-7a70-4e41-8b52-316064302ba2" userProvider="AD" userName="Scott Cornish"/>
        <t:Anchor>
          <t:Comment id="1180932813"/>
        </t:Anchor>
        <t:SetTitle title="@Penny Winbanks yes we do need to respond. @Stuart Wrigglesworth could you please comment?"/>
      </t:Event>
    </t:History>
  </t:Task>
</t:Tasks>
</file>

<file path=word/theme/theme1.xml><?xml version="1.0" encoding="utf-8"?>
<a:theme xmlns:a="http://schemas.openxmlformats.org/drawingml/2006/main" name="Office Theme">
  <a:themeElements>
    <a:clrScheme name="SRW Brand Colour">
      <a:dk1>
        <a:sysClr val="windowText" lastClr="000000"/>
      </a:dk1>
      <a:lt1>
        <a:sysClr val="window" lastClr="FFFFFF"/>
      </a:lt1>
      <a:dk2>
        <a:srgbClr val="002B5C"/>
      </a:dk2>
      <a:lt2>
        <a:srgbClr val="F5F5F5"/>
      </a:lt2>
      <a:accent1>
        <a:srgbClr val="00B1B0"/>
      </a:accent1>
      <a:accent2>
        <a:srgbClr val="008DA8"/>
      </a:accent2>
      <a:accent3>
        <a:srgbClr val="F4AA20"/>
      </a:accent3>
      <a:accent4>
        <a:srgbClr val="70CBD0"/>
      </a:accent4>
      <a:accent5>
        <a:srgbClr val="A8D04A"/>
      </a:accent5>
      <a:accent6>
        <a:srgbClr val="65CDF1"/>
      </a:accent6>
      <a:hlink>
        <a:srgbClr val="00B1B0"/>
      </a:hlink>
      <a:folHlink>
        <a:srgbClr val="00B7F1"/>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2716B8A2C91BC45ABDD92CEA8618734" ma:contentTypeVersion="14" ma:contentTypeDescription="Create a new document." ma:contentTypeScope="" ma:versionID="927416c30794a877d1c2650a734c5096">
  <xsd:schema xmlns:xsd="http://www.w3.org/2001/XMLSchema" xmlns:xs="http://www.w3.org/2001/XMLSchema" xmlns:p="http://schemas.microsoft.com/office/2006/metadata/properties" xmlns:ns2="fb747140-f783-4f59-8614-018c6afd717d" xmlns:ns3="9735b189-7d43-444d-8bb4-0cf2e8ea0f16" targetNamespace="http://schemas.microsoft.com/office/2006/metadata/properties" ma:root="true" ma:fieldsID="dc82c2e97be3ea8d77e23cc1c7751e68" ns2:_="" ns3:_="">
    <xsd:import namespace="fb747140-f783-4f59-8614-018c6afd717d"/>
    <xsd:import namespace="9735b189-7d43-444d-8bb4-0cf2e8ea0f16"/>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LengthInSeconds"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b747140-f783-4f59-8614-018c6afd717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ef688115-0302-4e1f-a4da-adfe537ad00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35b189-7d43-444d-8bb4-0cf2e8ea0f16"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element name="TaxCatchAll" ma:index="18" nillable="true" ma:displayName="Taxonomy Catch All Column" ma:hidden="true" ma:list="{b175a91f-47c8-4324-9b6e-041578865764}" ma:internalName="TaxCatchAll" ma:showField="CatchAllData" ma:web="9735b189-7d43-444d-8bb4-0cf2e8ea0f1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fb747140-f783-4f59-8614-018c6afd717d">
      <Terms xmlns="http://schemas.microsoft.com/office/infopath/2007/PartnerControls"/>
    </lcf76f155ced4ddcb4097134ff3c332f>
    <TaxCatchAll xmlns="9735b189-7d43-444d-8bb4-0cf2e8ea0f16" xsi:nil="true"/>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6EC330-767A-41BF-B850-DA9E55FDB6C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b747140-f783-4f59-8614-018c6afd717d"/>
    <ds:schemaRef ds:uri="9735b189-7d43-444d-8bb4-0cf2e8ea0f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75F9A531-9DCF-4F91-AF5A-526E27562E93}">
  <ds:schemaRefs>
    <ds:schemaRef ds:uri="http://schemas.microsoft.com/sharepoint/v3/contenttype/forms"/>
  </ds:schemaRefs>
</ds:datastoreItem>
</file>

<file path=customXml/itemProps3.xml><?xml version="1.0" encoding="utf-8"?>
<ds:datastoreItem xmlns:ds="http://schemas.openxmlformats.org/officeDocument/2006/customXml" ds:itemID="{2099B5D3-FA06-41D4-A7B0-24207EE081B9}">
  <ds:schemaRefs>
    <ds:schemaRef ds:uri="http://schemas.microsoft.com/office/2006/metadata/properties"/>
    <ds:schemaRef ds:uri="http://schemas.microsoft.com/office/infopath/2007/PartnerControls"/>
    <ds:schemaRef ds:uri="fb747140-f783-4f59-8614-018c6afd717d"/>
    <ds:schemaRef ds:uri="9735b189-7d43-444d-8bb4-0cf2e8ea0f16"/>
  </ds:schemaRefs>
</ds:datastoreItem>
</file>

<file path=customXml/itemProps4.xml><?xml version="1.0" encoding="utf-8"?>
<ds:datastoreItem xmlns:ds="http://schemas.openxmlformats.org/officeDocument/2006/customXml" ds:itemID="{F6016BA5-7A78-4B21-86F9-0AD988204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Publication 2 (1)</Template>
  <TotalTime>90</TotalTime>
  <Pages>1</Pages>
  <Words>49466</Words>
  <Characters>275532</Characters>
  <Application>Microsoft Office Word</Application>
  <DocSecurity>0</DocSecurity>
  <Lines>8103</Lines>
  <Paragraphs>5416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319582</CharactersWithSpaces>
  <SharedDoc>false</SharedDoc>
  <HLinks>
    <vt:vector size="570" baseType="variant">
      <vt:variant>
        <vt:i4>1441843</vt:i4>
      </vt:variant>
      <vt:variant>
        <vt:i4>742</vt:i4>
      </vt:variant>
      <vt:variant>
        <vt:i4>0</vt:i4>
      </vt:variant>
      <vt:variant>
        <vt:i4>5</vt:i4>
      </vt:variant>
      <vt:variant>
        <vt:lpwstr/>
      </vt:variant>
      <vt:variant>
        <vt:lpwstr>_Toc111731063</vt:lpwstr>
      </vt:variant>
      <vt:variant>
        <vt:i4>1441843</vt:i4>
      </vt:variant>
      <vt:variant>
        <vt:i4>736</vt:i4>
      </vt:variant>
      <vt:variant>
        <vt:i4>0</vt:i4>
      </vt:variant>
      <vt:variant>
        <vt:i4>5</vt:i4>
      </vt:variant>
      <vt:variant>
        <vt:lpwstr/>
      </vt:variant>
      <vt:variant>
        <vt:lpwstr>_Toc111731062</vt:lpwstr>
      </vt:variant>
      <vt:variant>
        <vt:i4>1441843</vt:i4>
      </vt:variant>
      <vt:variant>
        <vt:i4>730</vt:i4>
      </vt:variant>
      <vt:variant>
        <vt:i4>0</vt:i4>
      </vt:variant>
      <vt:variant>
        <vt:i4>5</vt:i4>
      </vt:variant>
      <vt:variant>
        <vt:lpwstr/>
      </vt:variant>
      <vt:variant>
        <vt:lpwstr>_Toc111731061</vt:lpwstr>
      </vt:variant>
      <vt:variant>
        <vt:i4>1441843</vt:i4>
      </vt:variant>
      <vt:variant>
        <vt:i4>724</vt:i4>
      </vt:variant>
      <vt:variant>
        <vt:i4>0</vt:i4>
      </vt:variant>
      <vt:variant>
        <vt:i4>5</vt:i4>
      </vt:variant>
      <vt:variant>
        <vt:lpwstr/>
      </vt:variant>
      <vt:variant>
        <vt:lpwstr>_Toc111731060</vt:lpwstr>
      </vt:variant>
      <vt:variant>
        <vt:i4>1376307</vt:i4>
      </vt:variant>
      <vt:variant>
        <vt:i4>718</vt:i4>
      </vt:variant>
      <vt:variant>
        <vt:i4>0</vt:i4>
      </vt:variant>
      <vt:variant>
        <vt:i4>5</vt:i4>
      </vt:variant>
      <vt:variant>
        <vt:lpwstr/>
      </vt:variant>
      <vt:variant>
        <vt:lpwstr>_Toc111731059</vt:lpwstr>
      </vt:variant>
      <vt:variant>
        <vt:i4>1376307</vt:i4>
      </vt:variant>
      <vt:variant>
        <vt:i4>712</vt:i4>
      </vt:variant>
      <vt:variant>
        <vt:i4>0</vt:i4>
      </vt:variant>
      <vt:variant>
        <vt:i4>5</vt:i4>
      </vt:variant>
      <vt:variant>
        <vt:lpwstr/>
      </vt:variant>
      <vt:variant>
        <vt:lpwstr>_Toc111731058</vt:lpwstr>
      </vt:variant>
      <vt:variant>
        <vt:i4>1376307</vt:i4>
      </vt:variant>
      <vt:variant>
        <vt:i4>706</vt:i4>
      </vt:variant>
      <vt:variant>
        <vt:i4>0</vt:i4>
      </vt:variant>
      <vt:variant>
        <vt:i4>5</vt:i4>
      </vt:variant>
      <vt:variant>
        <vt:lpwstr/>
      </vt:variant>
      <vt:variant>
        <vt:lpwstr>_Toc111731057</vt:lpwstr>
      </vt:variant>
      <vt:variant>
        <vt:i4>1376307</vt:i4>
      </vt:variant>
      <vt:variant>
        <vt:i4>700</vt:i4>
      </vt:variant>
      <vt:variant>
        <vt:i4>0</vt:i4>
      </vt:variant>
      <vt:variant>
        <vt:i4>5</vt:i4>
      </vt:variant>
      <vt:variant>
        <vt:lpwstr/>
      </vt:variant>
      <vt:variant>
        <vt:lpwstr>_Toc111731056</vt:lpwstr>
      </vt:variant>
      <vt:variant>
        <vt:i4>1376307</vt:i4>
      </vt:variant>
      <vt:variant>
        <vt:i4>694</vt:i4>
      </vt:variant>
      <vt:variant>
        <vt:i4>0</vt:i4>
      </vt:variant>
      <vt:variant>
        <vt:i4>5</vt:i4>
      </vt:variant>
      <vt:variant>
        <vt:lpwstr/>
      </vt:variant>
      <vt:variant>
        <vt:lpwstr>_Toc111731055</vt:lpwstr>
      </vt:variant>
      <vt:variant>
        <vt:i4>1376307</vt:i4>
      </vt:variant>
      <vt:variant>
        <vt:i4>688</vt:i4>
      </vt:variant>
      <vt:variant>
        <vt:i4>0</vt:i4>
      </vt:variant>
      <vt:variant>
        <vt:i4>5</vt:i4>
      </vt:variant>
      <vt:variant>
        <vt:lpwstr/>
      </vt:variant>
      <vt:variant>
        <vt:lpwstr>_Toc111731054</vt:lpwstr>
      </vt:variant>
      <vt:variant>
        <vt:i4>1376307</vt:i4>
      </vt:variant>
      <vt:variant>
        <vt:i4>682</vt:i4>
      </vt:variant>
      <vt:variant>
        <vt:i4>0</vt:i4>
      </vt:variant>
      <vt:variant>
        <vt:i4>5</vt:i4>
      </vt:variant>
      <vt:variant>
        <vt:lpwstr/>
      </vt:variant>
      <vt:variant>
        <vt:lpwstr>_Toc111731053</vt:lpwstr>
      </vt:variant>
      <vt:variant>
        <vt:i4>1376307</vt:i4>
      </vt:variant>
      <vt:variant>
        <vt:i4>676</vt:i4>
      </vt:variant>
      <vt:variant>
        <vt:i4>0</vt:i4>
      </vt:variant>
      <vt:variant>
        <vt:i4>5</vt:i4>
      </vt:variant>
      <vt:variant>
        <vt:lpwstr/>
      </vt:variant>
      <vt:variant>
        <vt:lpwstr>_Toc111731052</vt:lpwstr>
      </vt:variant>
      <vt:variant>
        <vt:i4>1376307</vt:i4>
      </vt:variant>
      <vt:variant>
        <vt:i4>670</vt:i4>
      </vt:variant>
      <vt:variant>
        <vt:i4>0</vt:i4>
      </vt:variant>
      <vt:variant>
        <vt:i4>5</vt:i4>
      </vt:variant>
      <vt:variant>
        <vt:lpwstr/>
      </vt:variant>
      <vt:variant>
        <vt:lpwstr>_Toc111731051</vt:lpwstr>
      </vt:variant>
      <vt:variant>
        <vt:i4>1376307</vt:i4>
      </vt:variant>
      <vt:variant>
        <vt:i4>664</vt:i4>
      </vt:variant>
      <vt:variant>
        <vt:i4>0</vt:i4>
      </vt:variant>
      <vt:variant>
        <vt:i4>5</vt:i4>
      </vt:variant>
      <vt:variant>
        <vt:lpwstr/>
      </vt:variant>
      <vt:variant>
        <vt:lpwstr>_Toc111731050</vt:lpwstr>
      </vt:variant>
      <vt:variant>
        <vt:i4>1310771</vt:i4>
      </vt:variant>
      <vt:variant>
        <vt:i4>658</vt:i4>
      </vt:variant>
      <vt:variant>
        <vt:i4>0</vt:i4>
      </vt:variant>
      <vt:variant>
        <vt:i4>5</vt:i4>
      </vt:variant>
      <vt:variant>
        <vt:lpwstr/>
      </vt:variant>
      <vt:variant>
        <vt:lpwstr>_Toc111731049</vt:lpwstr>
      </vt:variant>
      <vt:variant>
        <vt:i4>1310771</vt:i4>
      </vt:variant>
      <vt:variant>
        <vt:i4>652</vt:i4>
      </vt:variant>
      <vt:variant>
        <vt:i4>0</vt:i4>
      </vt:variant>
      <vt:variant>
        <vt:i4>5</vt:i4>
      </vt:variant>
      <vt:variant>
        <vt:lpwstr/>
      </vt:variant>
      <vt:variant>
        <vt:lpwstr>_Toc111731048</vt:lpwstr>
      </vt:variant>
      <vt:variant>
        <vt:i4>1310771</vt:i4>
      </vt:variant>
      <vt:variant>
        <vt:i4>646</vt:i4>
      </vt:variant>
      <vt:variant>
        <vt:i4>0</vt:i4>
      </vt:variant>
      <vt:variant>
        <vt:i4>5</vt:i4>
      </vt:variant>
      <vt:variant>
        <vt:lpwstr/>
      </vt:variant>
      <vt:variant>
        <vt:lpwstr>_Toc111731047</vt:lpwstr>
      </vt:variant>
      <vt:variant>
        <vt:i4>1310771</vt:i4>
      </vt:variant>
      <vt:variant>
        <vt:i4>640</vt:i4>
      </vt:variant>
      <vt:variant>
        <vt:i4>0</vt:i4>
      </vt:variant>
      <vt:variant>
        <vt:i4>5</vt:i4>
      </vt:variant>
      <vt:variant>
        <vt:lpwstr/>
      </vt:variant>
      <vt:variant>
        <vt:lpwstr>_Toc111731046</vt:lpwstr>
      </vt:variant>
      <vt:variant>
        <vt:i4>1310771</vt:i4>
      </vt:variant>
      <vt:variant>
        <vt:i4>634</vt:i4>
      </vt:variant>
      <vt:variant>
        <vt:i4>0</vt:i4>
      </vt:variant>
      <vt:variant>
        <vt:i4>5</vt:i4>
      </vt:variant>
      <vt:variant>
        <vt:lpwstr/>
      </vt:variant>
      <vt:variant>
        <vt:lpwstr>_Toc111731045</vt:lpwstr>
      </vt:variant>
      <vt:variant>
        <vt:i4>1310771</vt:i4>
      </vt:variant>
      <vt:variant>
        <vt:i4>628</vt:i4>
      </vt:variant>
      <vt:variant>
        <vt:i4>0</vt:i4>
      </vt:variant>
      <vt:variant>
        <vt:i4>5</vt:i4>
      </vt:variant>
      <vt:variant>
        <vt:lpwstr/>
      </vt:variant>
      <vt:variant>
        <vt:lpwstr>_Toc111731044</vt:lpwstr>
      </vt:variant>
      <vt:variant>
        <vt:i4>1310771</vt:i4>
      </vt:variant>
      <vt:variant>
        <vt:i4>622</vt:i4>
      </vt:variant>
      <vt:variant>
        <vt:i4>0</vt:i4>
      </vt:variant>
      <vt:variant>
        <vt:i4>5</vt:i4>
      </vt:variant>
      <vt:variant>
        <vt:lpwstr/>
      </vt:variant>
      <vt:variant>
        <vt:lpwstr>_Toc111731043</vt:lpwstr>
      </vt:variant>
      <vt:variant>
        <vt:i4>1310771</vt:i4>
      </vt:variant>
      <vt:variant>
        <vt:i4>616</vt:i4>
      </vt:variant>
      <vt:variant>
        <vt:i4>0</vt:i4>
      </vt:variant>
      <vt:variant>
        <vt:i4>5</vt:i4>
      </vt:variant>
      <vt:variant>
        <vt:lpwstr/>
      </vt:variant>
      <vt:variant>
        <vt:lpwstr>_Toc111731042</vt:lpwstr>
      </vt:variant>
      <vt:variant>
        <vt:i4>1310771</vt:i4>
      </vt:variant>
      <vt:variant>
        <vt:i4>610</vt:i4>
      </vt:variant>
      <vt:variant>
        <vt:i4>0</vt:i4>
      </vt:variant>
      <vt:variant>
        <vt:i4>5</vt:i4>
      </vt:variant>
      <vt:variant>
        <vt:lpwstr/>
      </vt:variant>
      <vt:variant>
        <vt:lpwstr>_Toc111731041</vt:lpwstr>
      </vt:variant>
      <vt:variant>
        <vt:i4>1310771</vt:i4>
      </vt:variant>
      <vt:variant>
        <vt:i4>604</vt:i4>
      </vt:variant>
      <vt:variant>
        <vt:i4>0</vt:i4>
      </vt:variant>
      <vt:variant>
        <vt:i4>5</vt:i4>
      </vt:variant>
      <vt:variant>
        <vt:lpwstr/>
      </vt:variant>
      <vt:variant>
        <vt:lpwstr>_Toc111731040</vt:lpwstr>
      </vt:variant>
      <vt:variant>
        <vt:i4>1245235</vt:i4>
      </vt:variant>
      <vt:variant>
        <vt:i4>598</vt:i4>
      </vt:variant>
      <vt:variant>
        <vt:i4>0</vt:i4>
      </vt:variant>
      <vt:variant>
        <vt:i4>5</vt:i4>
      </vt:variant>
      <vt:variant>
        <vt:lpwstr/>
      </vt:variant>
      <vt:variant>
        <vt:lpwstr>_Toc111731039</vt:lpwstr>
      </vt:variant>
      <vt:variant>
        <vt:i4>1245235</vt:i4>
      </vt:variant>
      <vt:variant>
        <vt:i4>592</vt:i4>
      </vt:variant>
      <vt:variant>
        <vt:i4>0</vt:i4>
      </vt:variant>
      <vt:variant>
        <vt:i4>5</vt:i4>
      </vt:variant>
      <vt:variant>
        <vt:lpwstr/>
      </vt:variant>
      <vt:variant>
        <vt:lpwstr>_Toc111731038</vt:lpwstr>
      </vt:variant>
      <vt:variant>
        <vt:i4>1245235</vt:i4>
      </vt:variant>
      <vt:variant>
        <vt:i4>586</vt:i4>
      </vt:variant>
      <vt:variant>
        <vt:i4>0</vt:i4>
      </vt:variant>
      <vt:variant>
        <vt:i4>5</vt:i4>
      </vt:variant>
      <vt:variant>
        <vt:lpwstr/>
      </vt:variant>
      <vt:variant>
        <vt:lpwstr>_Toc111731037</vt:lpwstr>
      </vt:variant>
      <vt:variant>
        <vt:i4>1245235</vt:i4>
      </vt:variant>
      <vt:variant>
        <vt:i4>580</vt:i4>
      </vt:variant>
      <vt:variant>
        <vt:i4>0</vt:i4>
      </vt:variant>
      <vt:variant>
        <vt:i4>5</vt:i4>
      </vt:variant>
      <vt:variant>
        <vt:lpwstr/>
      </vt:variant>
      <vt:variant>
        <vt:lpwstr>_Toc111731036</vt:lpwstr>
      </vt:variant>
      <vt:variant>
        <vt:i4>1245235</vt:i4>
      </vt:variant>
      <vt:variant>
        <vt:i4>574</vt:i4>
      </vt:variant>
      <vt:variant>
        <vt:i4>0</vt:i4>
      </vt:variant>
      <vt:variant>
        <vt:i4>5</vt:i4>
      </vt:variant>
      <vt:variant>
        <vt:lpwstr/>
      </vt:variant>
      <vt:variant>
        <vt:lpwstr>_Toc111731035</vt:lpwstr>
      </vt:variant>
      <vt:variant>
        <vt:i4>1245235</vt:i4>
      </vt:variant>
      <vt:variant>
        <vt:i4>568</vt:i4>
      </vt:variant>
      <vt:variant>
        <vt:i4>0</vt:i4>
      </vt:variant>
      <vt:variant>
        <vt:i4>5</vt:i4>
      </vt:variant>
      <vt:variant>
        <vt:lpwstr/>
      </vt:variant>
      <vt:variant>
        <vt:lpwstr>_Toc111731034</vt:lpwstr>
      </vt:variant>
      <vt:variant>
        <vt:i4>1245235</vt:i4>
      </vt:variant>
      <vt:variant>
        <vt:i4>562</vt:i4>
      </vt:variant>
      <vt:variant>
        <vt:i4>0</vt:i4>
      </vt:variant>
      <vt:variant>
        <vt:i4>5</vt:i4>
      </vt:variant>
      <vt:variant>
        <vt:lpwstr/>
      </vt:variant>
      <vt:variant>
        <vt:lpwstr>_Toc111731033</vt:lpwstr>
      </vt:variant>
      <vt:variant>
        <vt:i4>1245235</vt:i4>
      </vt:variant>
      <vt:variant>
        <vt:i4>556</vt:i4>
      </vt:variant>
      <vt:variant>
        <vt:i4>0</vt:i4>
      </vt:variant>
      <vt:variant>
        <vt:i4>5</vt:i4>
      </vt:variant>
      <vt:variant>
        <vt:lpwstr/>
      </vt:variant>
      <vt:variant>
        <vt:lpwstr>_Toc111731032</vt:lpwstr>
      </vt:variant>
      <vt:variant>
        <vt:i4>1245235</vt:i4>
      </vt:variant>
      <vt:variant>
        <vt:i4>550</vt:i4>
      </vt:variant>
      <vt:variant>
        <vt:i4>0</vt:i4>
      </vt:variant>
      <vt:variant>
        <vt:i4>5</vt:i4>
      </vt:variant>
      <vt:variant>
        <vt:lpwstr/>
      </vt:variant>
      <vt:variant>
        <vt:lpwstr>_Toc111731031</vt:lpwstr>
      </vt:variant>
      <vt:variant>
        <vt:i4>1245235</vt:i4>
      </vt:variant>
      <vt:variant>
        <vt:i4>544</vt:i4>
      </vt:variant>
      <vt:variant>
        <vt:i4>0</vt:i4>
      </vt:variant>
      <vt:variant>
        <vt:i4>5</vt:i4>
      </vt:variant>
      <vt:variant>
        <vt:lpwstr/>
      </vt:variant>
      <vt:variant>
        <vt:lpwstr>_Toc111731030</vt:lpwstr>
      </vt:variant>
      <vt:variant>
        <vt:i4>1179699</vt:i4>
      </vt:variant>
      <vt:variant>
        <vt:i4>538</vt:i4>
      </vt:variant>
      <vt:variant>
        <vt:i4>0</vt:i4>
      </vt:variant>
      <vt:variant>
        <vt:i4>5</vt:i4>
      </vt:variant>
      <vt:variant>
        <vt:lpwstr/>
      </vt:variant>
      <vt:variant>
        <vt:lpwstr>_Toc111731029</vt:lpwstr>
      </vt:variant>
      <vt:variant>
        <vt:i4>1179699</vt:i4>
      </vt:variant>
      <vt:variant>
        <vt:i4>532</vt:i4>
      </vt:variant>
      <vt:variant>
        <vt:i4>0</vt:i4>
      </vt:variant>
      <vt:variant>
        <vt:i4>5</vt:i4>
      </vt:variant>
      <vt:variant>
        <vt:lpwstr/>
      </vt:variant>
      <vt:variant>
        <vt:lpwstr>_Toc111731028</vt:lpwstr>
      </vt:variant>
      <vt:variant>
        <vt:i4>1179699</vt:i4>
      </vt:variant>
      <vt:variant>
        <vt:i4>526</vt:i4>
      </vt:variant>
      <vt:variant>
        <vt:i4>0</vt:i4>
      </vt:variant>
      <vt:variant>
        <vt:i4>5</vt:i4>
      </vt:variant>
      <vt:variant>
        <vt:lpwstr/>
      </vt:variant>
      <vt:variant>
        <vt:lpwstr>_Toc111731027</vt:lpwstr>
      </vt:variant>
      <vt:variant>
        <vt:i4>1179699</vt:i4>
      </vt:variant>
      <vt:variant>
        <vt:i4>520</vt:i4>
      </vt:variant>
      <vt:variant>
        <vt:i4>0</vt:i4>
      </vt:variant>
      <vt:variant>
        <vt:i4>5</vt:i4>
      </vt:variant>
      <vt:variant>
        <vt:lpwstr/>
      </vt:variant>
      <vt:variant>
        <vt:lpwstr>_Toc111731026</vt:lpwstr>
      </vt:variant>
      <vt:variant>
        <vt:i4>1179699</vt:i4>
      </vt:variant>
      <vt:variant>
        <vt:i4>514</vt:i4>
      </vt:variant>
      <vt:variant>
        <vt:i4>0</vt:i4>
      </vt:variant>
      <vt:variant>
        <vt:i4>5</vt:i4>
      </vt:variant>
      <vt:variant>
        <vt:lpwstr/>
      </vt:variant>
      <vt:variant>
        <vt:lpwstr>_Toc111731025</vt:lpwstr>
      </vt:variant>
      <vt:variant>
        <vt:i4>1179699</vt:i4>
      </vt:variant>
      <vt:variant>
        <vt:i4>508</vt:i4>
      </vt:variant>
      <vt:variant>
        <vt:i4>0</vt:i4>
      </vt:variant>
      <vt:variant>
        <vt:i4>5</vt:i4>
      </vt:variant>
      <vt:variant>
        <vt:lpwstr/>
      </vt:variant>
      <vt:variant>
        <vt:lpwstr>_Toc111731024</vt:lpwstr>
      </vt:variant>
      <vt:variant>
        <vt:i4>1179699</vt:i4>
      </vt:variant>
      <vt:variant>
        <vt:i4>502</vt:i4>
      </vt:variant>
      <vt:variant>
        <vt:i4>0</vt:i4>
      </vt:variant>
      <vt:variant>
        <vt:i4>5</vt:i4>
      </vt:variant>
      <vt:variant>
        <vt:lpwstr/>
      </vt:variant>
      <vt:variant>
        <vt:lpwstr>_Toc111731023</vt:lpwstr>
      </vt:variant>
      <vt:variant>
        <vt:i4>1179699</vt:i4>
      </vt:variant>
      <vt:variant>
        <vt:i4>496</vt:i4>
      </vt:variant>
      <vt:variant>
        <vt:i4>0</vt:i4>
      </vt:variant>
      <vt:variant>
        <vt:i4>5</vt:i4>
      </vt:variant>
      <vt:variant>
        <vt:lpwstr/>
      </vt:variant>
      <vt:variant>
        <vt:lpwstr>_Toc111731022</vt:lpwstr>
      </vt:variant>
      <vt:variant>
        <vt:i4>1179699</vt:i4>
      </vt:variant>
      <vt:variant>
        <vt:i4>490</vt:i4>
      </vt:variant>
      <vt:variant>
        <vt:i4>0</vt:i4>
      </vt:variant>
      <vt:variant>
        <vt:i4>5</vt:i4>
      </vt:variant>
      <vt:variant>
        <vt:lpwstr/>
      </vt:variant>
      <vt:variant>
        <vt:lpwstr>_Toc111731021</vt:lpwstr>
      </vt:variant>
      <vt:variant>
        <vt:i4>1179699</vt:i4>
      </vt:variant>
      <vt:variant>
        <vt:i4>484</vt:i4>
      </vt:variant>
      <vt:variant>
        <vt:i4>0</vt:i4>
      </vt:variant>
      <vt:variant>
        <vt:i4>5</vt:i4>
      </vt:variant>
      <vt:variant>
        <vt:lpwstr/>
      </vt:variant>
      <vt:variant>
        <vt:lpwstr>_Toc111731020</vt:lpwstr>
      </vt:variant>
      <vt:variant>
        <vt:i4>1114163</vt:i4>
      </vt:variant>
      <vt:variant>
        <vt:i4>478</vt:i4>
      </vt:variant>
      <vt:variant>
        <vt:i4>0</vt:i4>
      </vt:variant>
      <vt:variant>
        <vt:i4>5</vt:i4>
      </vt:variant>
      <vt:variant>
        <vt:lpwstr/>
      </vt:variant>
      <vt:variant>
        <vt:lpwstr>_Toc111731019</vt:lpwstr>
      </vt:variant>
      <vt:variant>
        <vt:i4>1114163</vt:i4>
      </vt:variant>
      <vt:variant>
        <vt:i4>472</vt:i4>
      </vt:variant>
      <vt:variant>
        <vt:i4>0</vt:i4>
      </vt:variant>
      <vt:variant>
        <vt:i4>5</vt:i4>
      </vt:variant>
      <vt:variant>
        <vt:lpwstr/>
      </vt:variant>
      <vt:variant>
        <vt:lpwstr>_Toc111731018</vt:lpwstr>
      </vt:variant>
      <vt:variant>
        <vt:i4>1114163</vt:i4>
      </vt:variant>
      <vt:variant>
        <vt:i4>466</vt:i4>
      </vt:variant>
      <vt:variant>
        <vt:i4>0</vt:i4>
      </vt:variant>
      <vt:variant>
        <vt:i4>5</vt:i4>
      </vt:variant>
      <vt:variant>
        <vt:lpwstr/>
      </vt:variant>
      <vt:variant>
        <vt:lpwstr>_Toc111731017</vt:lpwstr>
      </vt:variant>
      <vt:variant>
        <vt:i4>1114163</vt:i4>
      </vt:variant>
      <vt:variant>
        <vt:i4>460</vt:i4>
      </vt:variant>
      <vt:variant>
        <vt:i4>0</vt:i4>
      </vt:variant>
      <vt:variant>
        <vt:i4>5</vt:i4>
      </vt:variant>
      <vt:variant>
        <vt:lpwstr/>
      </vt:variant>
      <vt:variant>
        <vt:lpwstr>_Toc111731016</vt:lpwstr>
      </vt:variant>
      <vt:variant>
        <vt:i4>1114163</vt:i4>
      </vt:variant>
      <vt:variant>
        <vt:i4>454</vt:i4>
      </vt:variant>
      <vt:variant>
        <vt:i4>0</vt:i4>
      </vt:variant>
      <vt:variant>
        <vt:i4>5</vt:i4>
      </vt:variant>
      <vt:variant>
        <vt:lpwstr/>
      </vt:variant>
      <vt:variant>
        <vt:lpwstr>_Toc111731015</vt:lpwstr>
      </vt:variant>
      <vt:variant>
        <vt:i4>1114163</vt:i4>
      </vt:variant>
      <vt:variant>
        <vt:i4>448</vt:i4>
      </vt:variant>
      <vt:variant>
        <vt:i4>0</vt:i4>
      </vt:variant>
      <vt:variant>
        <vt:i4>5</vt:i4>
      </vt:variant>
      <vt:variant>
        <vt:lpwstr/>
      </vt:variant>
      <vt:variant>
        <vt:lpwstr>_Toc111731014</vt:lpwstr>
      </vt:variant>
      <vt:variant>
        <vt:i4>1114163</vt:i4>
      </vt:variant>
      <vt:variant>
        <vt:i4>442</vt:i4>
      </vt:variant>
      <vt:variant>
        <vt:i4>0</vt:i4>
      </vt:variant>
      <vt:variant>
        <vt:i4>5</vt:i4>
      </vt:variant>
      <vt:variant>
        <vt:lpwstr/>
      </vt:variant>
      <vt:variant>
        <vt:lpwstr>_Toc111731013</vt:lpwstr>
      </vt:variant>
      <vt:variant>
        <vt:i4>1114163</vt:i4>
      </vt:variant>
      <vt:variant>
        <vt:i4>436</vt:i4>
      </vt:variant>
      <vt:variant>
        <vt:i4>0</vt:i4>
      </vt:variant>
      <vt:variant>
        <vt:i4>5</vt:i4>
      </vt:variant>
      <vt:variant>
        <vt:lpwstr/>
      </vt:variant>
      <vt:variant>
        <vt:lpwstr>_Toc111731012</vt:lpwstr>
      </vt:variant>
      <vt:variant>
        <vt:i4>1114163</vt:i4>
      </vt:variant>
      <vt:variant>
        <vt:i4>430</vt:i4>
      </vt:variant>
      <vt:variant>
        <vt:i4>0</vt:i4>
      </vt:variant>
      <vt:variant>
        <vt:i4>5</vt:i4>
      </vt:variant>
      <vt:variant>
        <vt:lpwstr/>
      </vt:variant>
      <vt:variant>
        <vt:lpwstr>_Toc111731011</vt:lpwstr>
      </vt:variant>
      <vt:variant>
        <vt:i4>1114163</vt:i4>
      </vt:variant>
      <vt:variant>
        <vt:i4>424</vt:i4>
      </vt:variant>
      <vt:variant>
        <vt:i4>0</vt:i4>
      </vt:variant>
      <vt:variant>
        <vt:i4>5</vt:i4>
      </vt:variant>
      <vt:variant>
        <vt:lpwstr/>
      </vt:variant>
      <vt:variant>
        <vt:lpwstr>_Toc111731010</vt:lpwstr>
      </vt:variant>
      <vt:variant>
        <vt:i4>1048627</vt:i4>
      </vt:variant>
      <vt:variant>
        <vt:i4>418</vt:i4>
      </vt:variant>
      <vt:variant>
        <vt:i4>0</vt:i4>
      </vt:variant>
      <vt:variant>
        <vt:i4>5</vt:i4>
      </vt:variant>
      <vt:variant>
        <vt:lpwstr/>
      </vt:variant>
      <vt:variant>
        <vt:lpwstr>_Toc111731009</vt:lpwstr>
      </vt:variant>
      <vt:variant>
        <vt:i4>1048627</vt:i4>
      </vt:variant>
      <vt:variant>
        <vt:i4>412</vt:i4>
      </vt:variant>
      <vt:variant>
        <vt:i4>0</vt:i4>
      </vt:variant>
      <vt:variant>
        <vt:i4>5</vt:i4>
      </vt:variant>
      <vt:variant>
        <vt:lpwstr/>
      </vt:variant>
      <vt:variant>
        <vt:lpwstr>_Toc111731008</vt:lpwstr>
      </vt:variant>
      <vt:variant>
        <vt:i4>1048627</vt:i4>
      </vt:variant>
      <vt:variant>
        <vt:i4>406</vt:i4>
      </vt:variant>
      <vt:variant>
        <vt:i4>0</vt:i4>
      </vt:variant>
      <vt:variant>
        <vt:i4>5</vt:i4>
      </vt:variant>
      <vt:variant>
        <vt:lpwstr/>
      </vt:variant>
      <vt:variant>
        <vt:lpwstr>_Toc111731007</vt:lpwstr>
      </vt:variant>
      <vt:variant>
        <vt:i4>1048627</vt:i4>
      </vt:variant>
      <vt:variant>
        <vt:i4>400</vt:i4>
      </vt:variant>
      <vt:variant>
        <vt:i4>0</vt:i4>
      </vt:variant>
      <vt:variant>
        <vt:i4>5</vt:i4>
      </vt:variant>
      <vt:variant>
        <vt:lpwstr/>
      </vt:variant>
      <vt:variant>
        <vt:lpwstr>_Toc111731006</vt:lpwstr>
      </vt:variant>
      <vt:variant>
        <vt:i4>1048627</vt:i4>
      </vt:variant>
      <vt:variant>
        <vt:i4>394</vt:i4>
      </vt:variant>
      <vt:variant>
        <vt:i4>0</vt:i4>
      </vt:variant>
      <vt:variant>
        <vt:i4>5</vt:i4>
      </vt:variant>
      <vt:variant>
        <vt:lpwstr/>
      </vt:variant>
      <vt:variant>
        <vt:lpwstr>_Toc111731005</vt:lpwstr>
      </vt:variant>
      <vt:variant>
        <vt:i4>1048627</vt:i4>
      </vt:variant>
      <vt:variant>
        <vt:i4>388</vt:i4>
      </vt:variant>
      <vt:variant>
        <vt:i4>0</vt:i4>
      </vt:variant>
      <vt:variant>
        <vt:i4>5</vt:i4>
      </vt:variant>
      <vt:variant>
        <vt:lpwstr/>
      </vt:variant>
      <vt:variant>
        <vt:lpwstr>_Toc111731004</vt:lpwstr>
      </vt:variant>
      <vt:variant>
        <vt:i4>1048627</vt:i4>
      </vt:variant>
      <vt:variant>
        <vt:i4>382</vt:i4>
      </vt:variant>
      <vt:variant>
        <vt:i4>0</vt:i4>
      </vt:variant>
      <vt:variant>
        <vt:i4>5</vt:i4>
      </vt:variant>
      <vt:variant>
        <vt:lpwstr/>
      </vt:variant>
      <vt:variant>
        <vt:lpwstr>_Toc111731003</vt:lpwstr>
      </vt:variant>
      <vt:variant>
        <vt:i4>1048627</vt:i4>
      </vt:variant>
      <vt:variant>
        <vt:i4>376</vt:i4>
      </vt:variant>
      <vt:variant>
        <vt:i4>0</vt:i4>
      </vt:variant>
      <vt:variant>
        <vt:i4>5</vt:i4>
      </vt:variant>
      <vt:variant>
        <vt:lpwstr/>
      </vt:variant>
      <vt:variant>
        <vt:lpwstr>_Toc111731002</vt:lpwstr>
      </vt:variant>
      <vt:variant>
        <vt:i4>1048627</vt:i4>
      </vt:variant>
      <vt:variant>
        <vt:i4>370</vt:i4>
      </vt:variant>
      <vt:variant>
        <vt:i4>0</vt:i4>
      </vt:variant>
      <vt:variant>
        <vt:i4>5</vt:i4>
      </vt:variant>
      <vt:variant>
        <vt:lpwstr/>
      </vt:variant>
      <vt:variant>
        <vt:lpwstr>_Toc111731001</vt:lpwstr>
      </vt:variant>
      <vt:variant>
        <vt:i4>1048627</vt:i4>
      </vt:variant>
      <vt:variant>
        <vt:i4>364</vt:i4>
      </vt:variant>
      <vt:variant>
        <vt:i4>0</vt:i4>
      </vt:variant>
      <vt:variant>
        <vt:i4>5</vt:i4>
      </vt:variant>
      <vt:variant>
        <vt:lpwstr/>
      </vt:variant>
      <vt:variant>
        <vt:lpwstr>_Toc111731000</vt:lpwstr>
      </vt:variant>
      <vt:variant>
        <vt:i4>1572922</vt:i4>
      </vt:variant>
      <vt:variant>
        <vt:i4>358</vt:i4>
      </vt:variant>
      <vt:variant>
        <vt:i4>0</vt:i4>
      </vt:variant>
      <vt:variant>
        <vt:i4>5</vt:i4>
      </vt:variant>
      <vt:variant>
        <vt:lpwstr/>
      </vt:variant>
      <vt:variant>
        <vt:lpwstr>_Toc111730999</vt:lpwstr>
      </vt:variant>
      <vt:variant>
        <vt:i4>1572922</vt:i4>
      </vt:variant>
      <vt:variant>
        <vt:i4>352</vt:i4>
      </vt:variant>
      <vt:variant>
        <vt:i4>0</vt:i4>
      </vt:variant>
      <vt:variant>
        <vt:i4>5</vt:i4>
      </vt:variant>
      <vt:variant>
        <vt:lpwstr/>
      </vt:variant>
      <vt:variant>
        <vt:lpwstr>_Toc111730998</vt:lpwstr>
      </vt:variant>
      <vt:variant>
        <vt:i4>1572922</vt:i4>
      </vt:variant>
      <vt:variant>
        <vt:i4>346</vt:i4>
      </vt:variant>
      <vt:variant>
        <vt:i4>0</vt:i4>
      </vt:variant>
      <vt:variant>
        <vt:i4>5</vt:i4>
      </vt:variant>
      <vt:variant>
        <vt:lpwstr/>
      </vt:variant>
      <vt:variant>
        <vt:lpwstr>_Toc111730997</vt:lpwstr>
      </vt:variant>
      <vt:variant>
        <vt:i4>1572922</vt:i4>
      </vt:variant>
      <vt:variant>
        <vt:i4>340</vt:i4>
      </vt:variant>
      <vt:variant>
        <vt:i4>0</vt:i4>
      </vt:variant>
      <vt:variant>
        <vt:i4>5</vt:i4>
      </vt:variant>
      <vt:variant>
        <vt:lpwstr/>
      </vt:variant>
      <vt:variant>
        <vt:lpwstr>_Toc111730996</vt:lpwstr>
      </vt:variant>
      <vt:variant>
        <vt:i4>1572922</vt:i4>
      </vt:variant>
      <vt:variant>
        <vt:i4>334</vt:i4>
      </vt:variant>
      <vt:variant>
        <vt:i4>0</vt:i4>
      </vt:variant>
      <vt:variant>
        <vt:i4>5</vt:i4>
      </vt:variant>
      <vt:variant>
        <vt:lpwstr/>
      </vt:variant>
      <vt:variant>
        <vt:lpwstr>_Toc111730995</vt:lpwstr>
      </vt:variant>
      <vt:variant>
        <vt:i4>1572922</vt:i4>
      </vt:variant>
      <vt:variant>
        <vt:i4>328</vt:i4>
      </vt:variant>
      <vt:variant>
        <vt:i4>0</vt:i4>
      </vt:variant>
      <vt:variant>
        <vt:i4>5</vt:i4>
      </vt:variant>
      <vt:variant>
        <vt:lpwstr/>
      </vt:variant>
      <vt:variant>
        <vt:lpwstr>_Toc111730994</vt:lpwstr>
      </vt:variant>
      <vt:variant>
        <vt:i4>1572922</vt:i4>
      </vt:variant>
      <vt:variant>
        <vt:i4>322</vt:i4>
      </vt:variant>
      <vt:variant>
        <vt:i4>0</vt:i4>
      </vt:variant>
      <vt:variant>
        <vt:i4>5</vt:i4>
      </vt:variant>
      <vt:variant>
        <vt:lpwstr/>
      </vt:variant>
      <vt:variant>
        <vt:lpwstr>_Toc111730993</vt:lpwstr>
      </vt:variant>
      <vt:variant>
        <vt:i4>1572922</vt:i4>
      </vt:variant>
      <vt:variant>
        <vt:i4>316</vt:i4>
      </vt:variant>
      <vt:variant>
        <vt:i4>0</vt:i4>
      </vt:variant>
      <vt:variant>
        <vt:i4>5</vt:i4>
      </vt:variant>
      <vt:variant>
        <vt:lpwstr/>
      </vt:variant>
      <vt:variant>
        <vt:lpwstr>_Toc111730992</vt:lpwstr>
      </vt:variant>
      <vt:variant>
        <vt:i4>1572922</vt:i4>
      </vt:variant>
      <vt:variant>
        <vt:i4>310</vt:i4>
      </vt:variant>
      <vt:variant>
        <vt:i4>0</vt:i4>
      </vt:variant>
      <vt:variant>
        <vt:i4>5</vt:i4>
      </vt:variant>
      <vt:variant>
        <vt:lpwstr/>
      </vt:variant>
      <vt:variant>
        <vt:lpwstr>_Toc111730991</vt:lpwstr>
      </vt:variant>
      <vt:variant>
        <vt:i4>1572922</vt:i4>
      </vt:variant>
      <vt:variant>
        <vt:i4>304</vt:i4>
      </vt:variant>
      <vt:variant>
        <vt:i4>0</vt:i4>
      </vt:variant>
      <vt:variant>
        <vt:i4>5</vt:i4>
      </vt:variant>
      <vt:variant>
        <vt:lpwstr/>
      </vt:variant>
      <vt:variant>
        <vt:lpwstr>_Toc111730990</vt:lpwstr>
      </vt:variant>
      <vt:variant>
        <vt:i4>4456573</vt:i4>
      </vt:variant>
      <vt:variant>
        <vt:i4>288</vt:i4>
      </vt:variant>
      <vt:variant>
        <vt:i4>0</vt:i4>
      </vt:variant>
      <vt:variant>
        <vt:i4>5</vt:i4>
      </vt:variant>
      <vt:variant>
        <vt:lpwstr>\\Bcs1\Business\Projects\21517 - GMW 2015 Customer Survey\2012 Projects\21208 - G-MW 2012 Customer Survey\Report\www.bartley.com.au</vt:lpwstr>
      </vt:variant>
      <vt:variant>
        <vt:lpwstr/>
      </vt:variant>
      <vt:variant>
        <vt:i4>7012456</vt:i4>
      </vt:variant>
      <vt:variant>
        <vt:i4>180</vt:i4>
      </vt:variant>
      <vt:variant>
        <vt:i4>0</vt:i4>
      </vt:variant>
      <vt:variant>
        <vt:i4>5</vt:i4>
      </vt:variant>
      <vt:variant>
        <vt:lpwstr>https://www.premier.vic.gov.au/zero-tolerance-water-theft-victoria</vt:lpwstr>
      </vt:variant>
      <vt:variant>
        <vt:lpwstr/>
      </vt:variant>
      <vt:variant>
        <vt:i4>2031668</vt:i4>
      </vt:variant>
      <vt:variant>
        <vt:i4>110</vt:i4>
      </vt:variant>
      <vt:variant>
        <vt:i4>0</vt:i4>
      </vt:variant>
      <vt:variant>
        <vt:i4>5</vt:i4>
      </vt:variant>
      <vt:variant>
        <vt:lpwstr/>
      </vt:variant>
      <vt:variant>
        <vt:lpwstr>_Toc115263687</vt:lpwstr>
      </vt:variant>
      <vt:variant>
        <vt:i4>2031668</vt:i4>
      </vt:variant>
      <vt:variant>
        <vt:i4>104</vt:i4>
      </vt:variant>
      <vt:variant>
        <vt:i4>0</vt:i4>
      </vt:variant>
      <vt:variant>
        <vt:i4>5</vt:i4>
      </vt:variant>
      <vt:variant>
        <vt:lpwstr/>
      </vt:variant>
      <vt:variant>
        <vt:lpwstr>_Toc115263686</vt:lpwstr>
      </vt:variant>
      <vt:variant>
        <vt:i4>2031668</vt:i4>
      </vt:variant>
      <vt:variant>
        <vt:i4>98</vt:i4>
      </vt:variant>
      <vt:variant>
        <vt:i4>0</vt:i4>
      </vt:variant>
      <vt:variant>
        <vt:i4>5</vt:i4>
      </vt:variant>
      <vt:variant>
        <vt:lpwstr/>
      </vt:variant>
      <vt:variant>
        <vt:lpwstr>_Toc115263685</vt:lpwstr>
      </vt:variant>
      <vt:variant>
        <vt:i4>2031668</vt:i4>
      </vt:variant>
      <vt:variant>
        <vt:i4>92</vt:i4>
      </vt:variant>
      <vt:variant>
        <vt:i4>0</vt:i4>
      </vt:variant>
      <vt:variant>
        <vt:i4>5</vt:i4>
      </vt:variant>
      <vt:variant>
        <vt:lpwstr/>
      </vt:variant>
      <vt:variant>
        <vt:lpwstr>_Toc115263684</vt:lpwstr>
      </vt:variant>
      <vt:variant>
        <vt:i4>2031668</vt:i4>
      </vt:variant>
      <vt:variant>
        <vt:i4>86</vt:i4>
      </vt:variant>
      <vt:variant>
        <vt:i4>0</vt:i4>
      </vt:variant>
      <vt:variant>
        <vt:i4>5</vt:i4>
      </vt:variant>
      <vt:variant>
        <vt:lpwstr/>
      </vt:variant>
      <vt:variant>
        <vt:lpwstr>_Toc115263683</vt:lpwstr>
      </vt:variant>
      <vt:variant>
        <vt:i4>2031668</vt:i4>
      </vt:variant>
      <vt:variant>
        <vt:i4>80</vt:i4>
      </vt:variant>
      <vt:variant>
        <vt:i4>0</vt:i4>
      </vt:variant>
      <vt:variant>
        <vt:i4>5</vt:i4>
      </vt:variant>
      <vt:variant>
        <vt:lpwstr/>
      </vt:variant>
      <vt:variant>
        <vt:lpwstr>_Toc115263682</vt:lpwstr>
      </vt:variant>
      <vt:variant>
        <vt:i4>2031668</vt:i4>
      </vt:variant>
      <vt:variant>
        <vt:i4>74</vt:i4>
      </vt:variant>
      <vt:variant>
        <vt:i4>0</vt:i4>
      </vt:variant>
      <vt:variant>
        <vt:i4>5</vt:i4>
      </vt:variant>
      <vt:variant>
        <vt:lpwstr/>
      </vt:variant>
      <vt:variant>
        <vt:lpwstr>_Toc115263681</vt:lpwstr>
      </vt:variant>
      <vt:variant>
        <vt:i4>2031668</vt:i4>
      </vt:variant>
      <vt:variant>
        <vt:i4>68</vt:i4>
      </vt:variant>
      <vt:variant>
        <vt:i4>0</vt:i4>
      </vt:variant>
      <vt:variant>
        <vt:i4>5</vt:i4>
      </vt:variant>
      <vt:variant>
        <vt:lpwstr/>
      </vt:variant>
      <vt:variant>
        <vt:lpwstr>_Toc115263680</vt:lpwstr>
      </vt:variant>
      <vt:variant>
        <vt:i4>1048628</vt:i4>
      </vt:variant>
      <vt:variant>
        <vt:i4>62</vt:i4>
      </vt:variant>
      <vt:variant>
        <vt:i4>0</vt:i4>
      </vt:variant>
      <vt:variant>
        <vt:i4>5</vt:i4>
      </vt:variant>
      <vt:variant>
        <vt:lpwstr/>
      </vt:variant>
      <vt:variant>
        <vt:lpwstr>_Toc115263679</vt:lpwstr>
      </vt:variant>
      <vt:variant>
        <vt:i4>1048628</vt:i4>
      </vt:variant>
      <vt:variant>
        <vt:i4>56</vt:i4>
      </vt:variant>
      <vt:variant>
        <vt:i4>0</vt:i4>
      </vt:variant>
      <vt:variant>
        <vt:i4>5</vt:i4>
      </vt:variant>
      <vt:variant>
        <vt:lpwstr/>
      </vt:variant>
      <vt:variant>
        <vt:lpwstr>_Toc115263678</vt:lpwstr>
      </vt:variant>
      <vt:variant>
        <vt:i4>1048628</vt:i4>
      </vt:variant>
      <vt:variant>
        <vt:i4>50</vt:i4>
      </vt:variant>
      <vt:variant>
        <vt:i4>0</vt:i4>
      </vt:variant>
      <vt:variant>
        <vt:i4>5</vt:i4>
      </vt:variant>
      <vt:variant>
        <vt:lpwstr/>
      </vt:variant>
      <vt:variant>
        <vt:lpwstr>_Toc115263677</vt:lpwstr>
      </vt:variant>
      <vt:variant>
        <vt:i4>1048628</vt:i4>
      </vt:variant>
      <vt:variant>
        <vt:i4>44</vt:i4>
      </vt:variant>
      <vt:variant>
        <vt:i4>0</vt:i4>
      </vt:variant>
      <vt:variant>
        <vt:i4>5</vt:i4>
      </vt:variant>
      <vt:variant>
        <vt:lpwstr/>
      </vt:variant>
      <vt:variant>
        <vt:lpwstr>_Toc115263676</vt:lpwstr>
      </vt:variant>
      <vt:variant>
        <vt:i4>1048628</vt:i4>
      </vt:variant>
      <vt:variant>
        <vt:i4>38</vt:i4>
      </vt:variant>
      <vt:variant>
        <vt:i4>0</vt:i4>
      </vt:variant>
      <vt:variant>
        <vt:i4>5</vt:i4>
      </vt:variant>
      <vt:variant>
        <vt:lpwstr/>
      </vt:variant>
      <vt:variant>
        <vt:lpwstr>_Toc115263675</vt:lpwstr>
      </vt:variant>
      <vt:variant>
        <vt:i4>1048628</vt:i4>
      </vt:variant>
      <vt:variant>
        <vt:i4>32</vt:i4>
      </vt:variant>
      <vt:variant>
        <vt:i4>0</vt:i4>
      </vt:variant>
      <vt:variant>
        <vt:i4>5</vt:i4>
      </vt:variant>
      <vt:variant>
        <vt:lpwstr/>
      </vt:variant>
      <vt:variant>
        <vt:lpwstr>_Toc115263674</vt:lpwstr>
      </vt:variant>
      <vt:variant>
        <vt:i4>1048628</vt:i4>
      </vt:variant>
      <vt:variant>
        <vt:i4>26</vt:i4>
      </vt:variant>
      <vt:variant>
        <vt:i4>0</vt:i4>
      </vt:variant>
      <vt:variant>
        <vt:i4>5</vt:i4>
      </vt:variant>
      <vt:variant>
        <vt:lpwstr/>
      </vt:variant>
      <vt:variant>
        <vt:lpwstr>_Toc115263673</vt:lpwstr>
      </vt:variant>
      <vt:variant>
        <vt:i4>1048628</vt:i4>
      </vt:variant>
      <vt:variant>
        <vt:i4>20</vt:i4>
      </vt:variant>
      <vt:variant>
        <vt:i4>0</vt:i4>
      </vt:variant>
      <vt:variant>
        <vt:i4>5</vt:i4>
      </vt:variant>
      <vt:variant>
        <vt:lpwstr/>
      </vt:variant>
      <vt:variant>
        <vt:lpwstr>_Toc115263672</vt:lpwstr>
      </vt:variant>
      <vt:variant>
        <vt:i4>1048628</vt:i4>
      </vt:variant>
      <vt:variant>
        <vt:i4>14</vt:i4>
      </vt:variant>
      <vt:variant>
        <vt:i4>0</vt:i4>
      </vt:variant>
      <vt:variant>
        <vt:i4>5</vt:i4>
      </vt:variant>
      <vt:variant>
        <vt:lpwstr/>
      </vt:variant>
      <vt:variant>
        <vt:lpwstr>_Toc115263671</vt:lpwstr>
      </vt:variant>
      <vt:variant>
        <vt:i4>1048628</vt:i4>
      </vt:variant>
      <vt:variant>
        <vt:i4>8</vt:i4>
      </vt:variant>
      <vt:variant>
        <vt:i4>0</vt:i4>
      </vt:variant>
      <vt:variant>
        <vt:i4>5</vt:i4>
      </vt:variant>
      <vt:variant>
        <vt:lpwstr/>
      </vt:variant>
      <vt:variant>
        <vt:lpwstr>_Toc115263670</vt:lpwstr>
      </vt:variant>
      <vt:variant>
        <vt:i4>1114164</vt:i4>
      </vt:variant>
      <vt:variant>
        <vt:i4>2</vt:i4>
      </vt:variant>
      <vt:variant>
        <vt:i4>0</vt:i4>
      </vt:variant>
      <vt:variant>
        <vt:i4>5</vt:i4>
      </vt:variant>
      <vt:variant>
        <vt:lpwstr/>
      </vt:variant>
      <vt:variant>
        <vt:lpwstr>_Toc115263669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Gemma Abela</dc:creator>
  <cp:keywords>[SEC=UNOFFICIAL]</cp:keywords>
  <dc:description/>
  <cp:lastModifiedBy>Lucy Weston (ESC)</cp:lastModifiedBy>
  <cp:revision>29</cp:revision>
  <cp:lastPrinted>2022-09-30T02:57:00Z</cp:lastPrinted>
  <dcterms:created xsi:type="dcterms:W3CDTF">2022-09-28T23:45:00Z</dcterms:created>
  <dcterms:modified xsi:type="dcterms:W3CDTF">2023-04-06T03:24:00Z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UNOFFICIAL</vt:lpwstr>
  </property>
  <property fmtid="{D5CDD505-2E9C-101B-9397-08002B2CF9AE}" pid="5" name="PM_Qualifier">
    <vt:lpwstr/>
  </property>
  <property fmtid="{D5CDD505-2E9C-101B-9397-08002B2CF9AE}" pid="6" name="PM_SecurityClassification">
    <vt:lpwstr>UNOFFICIAL</vt:lpwstr>
  </property>
  <property fmtid="{D5CDD505-2E9C-101B-9397-08002B2CF9AE}" pid="7" name="PM_InsertionValue">
    <vt:lpwstr>UNOFFICIAL</vt:lpwstr>
  </property>
  <property fmtid="{D5CDD505-2E9C-101B-9397-08002B2CF9AE}" pid="8" name="PM_Originating_FileId">
    <vt:lpwstr>0BBE52D594784E0B9C6BBD50BDD5DB24</vt:lpwstr>
  </property>
  <property fmtid="{D5CDD505-2E9C-101B-9397-08002B2CF9AE}" pid="9" name="PM_ProtectiveMarkingValue_Footer">
    <vt:lpwstr>UNOFFICIAL</vt:lpwstr>
  </property>
  <property fmtid="{D5CDD505-2E9C-101B-9397-08002B2CF9AE}" pid="10" name="PM_OriginationTimeStamp">
    <vt:lpwstr>2023-04-06T03:24:42Z</vt:lpwstr>
  </property>
  <property fmtid="{D5CDD505-2E9C-101B-9397-08002B2CF9AE}" pid="11" name="PM_ProtectiveMarkingValue_Header">
    <vt:lpwstr>UNOFFICIAL</vt:lpwstr>
  </property>
  <property fmtid="{D5CDD505-2E9C-101B-9397-08002B2CF9AE}" pid="12" name="PM_ProtectiveMarkingImage_Footer">
    <vt:lpwstr>C:\Program Files\Common Files\janusNET Shared\janusSEAL\Images\DocumentSlashBlue.png</vt:lpwstr>
  </property>
  <property fmtid="{D5CDD505-2E9C-101B-9397-08002B2CF9AE}" pid="13" name="PM_Namespace">
    <vt:lpwstr>2019.2.1.vic.gov.au</vt:lpwstr>
  </property>
  <property fmtid="{D5CDD505-2E9C-101B-9397-08002B2CF9AE}" pid="14" name="PM_Version">
    <vt:lpwstr>2018.4</vt:lpwstr>
  </property>
  <property fmtid="{D5CDD505-2E9C-101B-9397-08002B2CF9AE}" pid="15" name="PM_Note">
    <vt:lpwstr/>
  </property>
  <property fmtid="{D5CDD505-2E9C-101B-9397-08002B2CF9AE}" pid="16" name="PM_Markers">
    <vt:lpwstr/>
  </property>
  <property fmtid="{D5CDD505-2E9C-101B-9397-08002B2CF9AE}" pid="17" name="PM_Hash_Version">
    <vt:lpwstr>2018.0</vt:lpwstr>
  </property>
  <property fmtid="{D5CDD505-2E9C-101B-9397-08002B2CF9AE}" pid="18" name="PM_Hash_Salt_Prev">
    <vt:lpwstr>F5B76ACB4A901BC1C4B586FA66299D6D</vt:lpwstr>
  </property>
  <property fmtid="{D5CDD505-2E9C-101B-9397-08002B2CF9AE}" pid="19" name="PM_Hash_Salt">
    <vt:lpwstr>4D7C6D7207E6B54A247D043452B149B0</vt:lpwstr>
  </property>
  <property fmtid="{D5CDD505-2E9C-101B-9397-08002B2CF9AE}" pid="20" name="PM_Hash_SHA1">
    <vt:lpwstr>5FFBBA1A35075BDAACE0B0CE77DBA065CD57C1F5</vt:lpwstr>
  </property>
  <property fmtid="{D5CDD505-2E9C-101B-9397-08002B2CF9AE}" pid="21" name="PM_SecurityClassification_Prev">
    <vt:lpwstr>OFFICIAL</vt:lpwstr>
  </property>
  <property fmtid="{D5CDD505-2E9C-101B-9397-08002B2CF9AE}" pid="22" name="PM_Qualifier_Prev">
    <vt:lpwstr/>
  </property>
  <property fmtid="{D5CDD505-2E9C-101B-9397-08002B2CF9AE}" pid="23" name="ContentTypeId">
    <vt:lpwstr>0x0101006888A8DFE822FD4A84B37EB512F66518</vt:lpwstr>
  </property>
  <property fmtid="{D5CDD505-2E9C-101B-9397-08002B2CF9AE}" pid="24" name="PM_Originator_Hash_SHA1">
    <vt:lpwstr>C19E9B4ACAE7490A03104869C0C63991F208F6F9</vt:lpwstr>
  </property>
  <property fmtid="{D5CDD505-2E9C-101B-9397-08002B2CF9AE}" pid="25" name="MediaServiceImageTags">
    <vt:lpwstr/>
  </property>
  <property fmtid="{D5CDD505-2E9C-101B-9397-08002B2CF9AE}" pid="26" name="PM_Display">
    <vt:lpwstr>UNOFFICIAL</vt:lpwstr>
  </property>
  <property fmtid="{D5CDD505-2E9C-101B-9397-08002B2CF9AE}" pid="27" name="PMUuid">
    <vt:lpwstr>888C8D7C-C12E-52A4-9297-370EB0F3096D</vt:lpwstr>
  </property>
  <property fmtid="{D5CDD505-2E9C-101B-9397-08002B2CF9AE}" pid="28" name="PMUuidVer">
    <vt:lpwstr>2022.1</vt:lpwstr>
  </property>
  <property fmtid="{D5CDD505-2E9C-101B-9397-08002B2CF9AE}" pid="29" name="PM_OriginatorUserAccountName_SHA256">
    <vt:lpwstr>CED60B116FF0F24E8D6BEFD4E0C2F4CEFAF31D070986BDDFF7FE39FFDFBF6EDE</vt:lpwstr>
  </property>
  <property fmtid="{D5CDD505-2E9C-101B-9397-08002B2CF9AE}" pid="30" name="PM_OriginatorDomainName_SHA256">
    <vt:lpwstr>9E5929A2B0C9364118E50F7972B6A4AA763F815A803675E11226272E392AE99C</vt:lpwstr>
  </property>
</Properties>
</file>