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E5DF2" w14:textId="77777777" w:rsidR="007E1738" w:rsidRPr="003E086F" w:rsidRDefault="007E1738" w:rsidP="00633068">
      <w:pPr>
        <w:pStyle w:val="NoSpacing"/>
        <w:rPr>
          <w:lang w:val="en-AU"/>
        </w:rPr>
      </w:pPr>
      <w:bookmarkStart w:id="1" w:name="_Toc481138395"/>
      <w:bookmarkStart w:id="2" w:name="_Toc481138187"/>
      <w:bookmarkStart w:id="3" w:name="_Toc480988875"/>
      <w:bookmarkStart w:id="4" w:name="_Hlk481497640"/>
    </w:p>
    <w:p w14:paraId="2466FF55" w14:textId="77777777" w:rsidR="007E1738" w:rsidRDefault="007E1738" w:rsidP="00633068">
      <w:pPr>
        <w:pStyle w:val="NoSpacing"/>
      </w:pPr>
    </w:p>
    <w:p w14:paraId="1E5E215E" w14:textId="77777777" w:rsidR="007E1738" w:rsidRDefault="007E1738" w:rsidP="00633068">
      <w:pPr>
        <w:pStyle w:val="NoSpacing"/>
      </w:pPr>
    </w:p>
    <w:p w14:paraId="1C32E38D" w14:textId="77777777" w:rsidR="007E1738" w:rsidRDefault="007E1738" w:rsidP="00633068">
      <w:pPr>
        <w:pStyle w:val="NoSpacing"/>
      </w:pPr>
    </w:p>
    <w:p w14:paraId="675047E0" w14:textId="77777777" w:rsidR="007E1738" w:rsidRDefault="007E1738" w:rsidP="00633068">
      <w:pPr>
        <w:pStyle w:val="NoSpacing"/>
      </w:pPr>
    </w:p>
    <w:p w14:paraId="0DE24A4C" w14:textId="77777777" w:rsidR="007E1738" w:rsidRDefault="007E1738" w:rsidP="00633068">
      <w:pPr>
        <w:pStyle w:val="NoSpacing"/>
      </w:pPr>
    </w:p>
    <w:p w14:paraId="3D490AFE" w14:textId="77777777" w:rsidR="007E1738" w:rsidRDefault="007E1738" w:rsidP="00633068">
      <w:pPr>
        <w:pStyle w:val="NoSpacing"/>
      </w:pPr>
    </w:p>
    <w:p w14:paraId="363793C2" w14:textId="77777777" w:rsidR="007E1738" w:rsidRDefault="007E1738" w:rsidP="00633068">
      <w:pPr>
        <w:pStyle w:val="NoSpacing"/>
      </w:pPr>
    </w:p>
    <w:p w14:paraId="0D2C3905" w14:textId="77777777" w:rsidR="007E1738" w:rsidRDefault="007E1738" w:rsidP="00633068">
      <w:pPr>
        <w:pStyle w:val="NoSpacing"/>
      </w:pPr>
    </w:p>
    <w:p w14:paraId="7494297D" w14:textId="77777777" w:rsidR="007E1738" w:rsidRDefault="007E1738" w:rsidP="00633068">
      <w:pPr>
        <w:pStyle w:val="NoSpacing"/>
      </w:pPr>
    </w:p>
    <w:p w14:paraId="730894D9" w14:textId="77777777" w:rsidR="007E1738" w:rsidRDefault="007E1738" w:rsidP="00633068">
      <w:pPr>
        <w:pStyle w:val="NoSpacing"/>
      </w:pPr>
    </w:p>
    <w:p w14:paraId="2B432D2A" w14:textId="77777777" w:rsidR="007E1738" w:rsidRDefault="007E1738" w:rsidP="00633068">
      <w:pPr>
        <w:pStyle w:val="NoSpacing"/>
      </w:pPr>
    </w:p>
    <w:p w14:paraId="4B286020" w14:textId="77777777" w:rsidR="007E1738" w:rsidRDefault="007E1738" w:rsidP="00633068">
      <w:pPr>
        <w:pStyle w:val="NoSpacing"/>
      </w:pPr>
    </w:p>
    <w:p w14:paraId="66FC8A7B" w14:textId="77777777" w:rsidR="007E1738" w:rsidRDefault="007E1738" w:rsidP="00633068">
      <w:pPr>
        <w:pStyle w:val="NoSpacing"/>
      </w:pPr>
    </w:p>
    <w:sdt>
      <w:sdtPr>
        <w:rPr>
          <w:lang w:val="en-AU"/>
        </w:rPr>
        <w:id w:val="-1806228930"/>
        <w:docPartObj>
          <w:docPartGallery w:val="Cover Pages"/>
          <w:docPartUnique/>
        </w:docPartObj>
      </w:sdtPr>
      <w:sdtContent>
        <w:p w14:paraId="01598F3E" w14:textId="77777777" w:rsidR="00067DD9" w:rsidRDefault="00067DD9" w:rsidP="00633068">
          <w:pPr>
            <w:pStyle w:val="NoSpacing"/>
            <w:sectPr w:rsidR="00067DD9" w:rsidSect="00703C67">
              <w:headerReference w:type="even" r:id="rId11"/>
              <w:headerReference w:type="default" r:id="rId12"/>
              <w:headerReference w:type="first" r:id="rId13"/>
              <w:type w:val="continuous"/>
              <w:pgSz w:w="11906" w:h="16838" w:code="9"/>
              <w:pgMar w:top="1134" w:right="1134" w:bottom="1134" w:left="1134" w:header="709" w:footer="692" w:gutter="0"/>
              <w:pgNumType w:start="0"/>
              <w:cols w:space="708"/>
              <w:docGrid w:linePitch="360"/>
            </w:sectPr>
          </w:pPr>
        </w:p>
        <w:p w14:paraId="63D8E8FB" w14:textId="001A1989" w:rsidR="00067DD9" w:rsidRPr="0063494B" w:rsidRDefault="00EF7FDF" w:rsidP="007E1738">
          <w:pPr>
            <w:pStyle w:val="Title"/>
            <w:jc w:val="center"/>
          </w:pPr>
          <w:sdt>
            <w:sdtPr>
              <w:rPr>
                <w:spacing w:val="-10"/>
                <w:sz w:val="56"/>
              </w:rPr>
              <w:alias w:val="Title"/>
              <w:tag w:val=""/>
              <w:id w:val="-1656833702"/>
              <w:placeholder>
                <w:docPart w:val="C2E27B771B0440D0A515618326D42F63"/>
              </w:placeholder>
              <w:dataBinding w:prefixMappings="xmlns:ns0='http://purl.org/dc/elements/1.1/' xmlns:ns1='http://schemas.openxmlformats.org/package/2006/metadata/core-properties' " w:xpath="/ns1:coreProperties[1]/ns0:title[1]" w:storeItemID="{6C3C8BC8-F283-45AE-878A-BAB7291924A1}"/>
              <w:text/>
            </w:sdtPr>
            <w:sdtContent>
              <w:r w:rsidR="001F6B51" w:rsidRPr="001F6B51">
                <w:rPr>
                  <w:spacing w:val="-10"/>
                  <w:sz w:val="56"/>
                </w:rPr>
                <w:t>Revoking the Electricity Customer Transfer Code of Practice and the Electricity Customer Metering Code of Practice</w:t>
              </w:r>
            </w:sdtContent>
          </w:sdt>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36ECC84" w14:textId="4717D4BB" w:rsidR="00067DD9" w:rsidRDefault="001F6B51" w:rsidP="007E1738">
              <w:pPr>
                <w:pStyle w:val="Subtitle"/>
                <w:jc w:val="center"/>
              </w:pPr>
              <w:r>
                <w:t>Final Decision</w:t>
              </w:r>
            </w:p>
          </w:sdtContent>
        </w:sdt>
        <w:p w14:paraId="1CA88F0A" w14:textId="39B28546" w:rsidR="00067DD9" w:rsidRDefault="00EF7FDF" w:rsidP="007E1738">
          <w:pPr>
            <w:pStyle w:val="Subtitle"/>
            <w:jc w:val="center"/>
          </w:pPr>
          <w:sdt>
            <w:sdtPr>
              <w:id w:val="1251166870"/>
              <w:placeholder>
                <w:docPart w:val="6F03402753C9451895E0C26EA66B635F"/>
              </w:placeholder>
              <w:date w:fullDate="2025-08-12T00:00:00Z">
                <w:dateFormat w:val="d MMMM yyyy"/>
                <w:lid w:val="en-US"/>
                <w:storeMappedDataAs w:val="dateTime"/>
                <w:calendar w:val="gregorian"/>
              </w:date>
            </w:sdtPr>
            <w:sdtContent>
              <w:r w:rsidR="001F6B51">
                <w:t>12 August 2025</w:t>
              </w:r>
            </w:sdtContent>
          </w:sdt>
        </w:p>
        <w:p w14:paraId="0984371F" w14:textId="77777777" w:rsidR="00067DD9" w:rsidRDefault="00067DD9"/>
        <w:p w14:paraId="3043547D" w14:textId="77777777" w:rsidR="00067DD9" w:rsidRDefault="00067DD9">
          <w:pPr>
            <w:spacing w:line="259" w:lineRule="auto"/>
          </w:pPr>
          <w:r>
            <w:br w:type="page"/>
          </w:r>
        </w:p>
      </w:sdtContent>
    </w:sdt>
    <w:p w14:paraId="286A2024" w14:textId="77777777" w:rsidR="00FB5D3F" w:rsidRDefault="00FB5D3F" w:rsidP="00FB5D3F">
      <w:pPr>
        <w:pStyle w:val="Heading2"/>
      </w:pPr>
      <w:bookmarkStart w:id="5" w:name="_Toc204086869"/>
      <w:bookmarkEnd w:id="1"/>
      <w:bookmarkEnd w:id="2"/>
      <w:bookmarkEnd w:id="3"/>
      <w:r>
        <w:t>Acknowledgement</w:t>
      </w:r>
      <w:bookmarkEnd w:id="5"/>
    </w:p>
    <w:p w14:paraId="0A5FE046" w14:textId="77777777" w:rsidR="00FB5D3F" w:rsidRDefault="00FB5D3F" w:rsidP="00FB5D3F">
      <w:r>
        <w:t>We acknowledge the Traditional Owners of the lands and waterways on which we work and live.</w:t>
      </w:r>
    </w:p>
    <w:p w14:paraId="1B2B83B8" w14:textId="77777777" w:rsidR="00FB5D3F" w:rsidRDefault="00FB5D3F" w:rsidP="00FB5D3F">
      <w:r>
        <w:t xml:space="preserve">We acknowledge all Aboriginal and Torres Strait Islander </w:t>
      </w:r>
      <w:proofErr w:type="gramStart"/>
      <w:r>
        <w:t>communities, and</w:t>
      </w:r>
      <w:proofErr w:type="gramEnd"/>
      <w:r>
        <w:t xml:space="preserve"> pay our respects to Elders past and present.</w:t>
      </w:r>
    </w:p>
    <w:p w14:paraId="6F68FCB6" w14:textId="77777777" w:rsidR="00FB5D3F" w:rsidRDefault="00FB5D3F" w:rsidP="00FB5D3F">
      <w:r>
        <w:t>As the First Peoples of this land, belonging to the world’s oldest living cultures, we recognise and value their knowledge, and ongoing role in shaping and enriching the story of Victoria.</w:t>
      </w:r>
    </w:p>
    <w:p w14:paraId="29B3CE46" w14:textId="77777777" w:rsidR="00FB5D3F" w:rsidRDefault="00FB5D3F" w:rsidP="00FB5D3F">
      <w:pPr>
        <w:pStyle w:val="NoSpacing"/>
        <w:rPr>
          <w:b/>
        </w:rPr>
      </w:pPr>
    </w:p>
    <w:p w14:paraId="71FD2C84" w14:textId="77777777" w:rsidR="00FB5D3F" w:rsidRDefault="00FB5D3F" w:rsidP="00FB5D3F">
      <w:pPr>
        <w:spacing w:line="259" w:lineRule="auto"/>
        <w:rPr>
          <w:rStyle w:val="Strong"/>
        </w:rPr>
      </w:pPr>
    </w:p>
    <w:p w14:paraId="10C3E625" w14:textId="252E3E93" w:rsidR="00FB5D3F" w:rsidRDefault="00FB5D3F" w:rsidP="00FB5D3F">
      <w:pPr>
        <w:spacing w:line="259" w:lineRule="auto"/>
        <w:rPr>
          <w:rStyle w:val="Strong"/>
        </w:rPr>
      </w:pPr>
    </w:p>
    <w:p w14:paraId="21172428" w14:textId="77777777" w:rsidR="005B1992" w:rsidRDefault="005B1992" w:rsidP="00FB5D3F">
      <w:pPr>
        <w:spacing w:line="259" w:lineRule="auto"/>
        <w:rPr>
          <w:rStyle w:val="Strong"/>
        </w:rPr>
      </w:pPr>
    </w:p>
    <w:p w14:paraId="25B34C83" w14:textId="77777777" w:rsidR="005B1992" w:rsidRDefault="005B1992" w:rsidP="00FB5D3F">
      <w:pPr>
        <w:spacing w:line="259" w:lineRule="auto"/>
        <w:rPr>
          <w:rStyle w:val="Strong"/>
        </w:rPr>
      </w:pPr>
    </w:p>
    <w:p w14:paraId="397C1B5F" w14:textId="77777777" w:rsidR="00C51D4B" w:rsidRDefault="00C51D4B" w:rsidP="00FB5D3F">
      <w:pPr>
        <w:spacing w:line="259" w:lineRule="auto"/>
        <w:rPr>
          <w:rStyle w:val="Strong"/>
        </w:rPr>
      </w:pPr>
    </w:p>
    <w:p w14:paraId="5F258FEB" w14:textId="77777777" w:rsidR="00C51D4B" w:rsidRDefault="00C51D4B" w:rsidP="00FB5D3F">
      <w:pPr>
        <w:spacing w:line="259" w:lineRule="auto"/>
        <w:rPr>
          <w:rStyle w:val="Strong"/>
        </w:rPr>
      </w:pPr>
    </w:p>
    <w:p w14:paraId="425FEC67" w14:textId="77777777" w:rsidR="00C51D4B" w:rsidRDefault="00C51D4B" w:rsidP="00FB5D3F">
      <w:pPr>
        <w:spacing w:line="259" w:lineRule="auto"/>
        <w:rPr>
          <w:rStyle w:val="Strong"/>
        </w:rPr>
      </w:pPr>
    </w:p>
    <w:p w14:paraId="2BF2ED4D" w14:textId="77777777" w:rsidR="00C51D4B" w:rsidRDefault="00C51D4B" w:rsidP="00FB5D3F">
      <w:pPr>
        <w:spacing w:line="259" w:lineRule="auto"/>
        <w:rPr>
          <w:rStyle w:val="Strong"/>
        </w:rPr>
      </w:pPr>
    </w:p>
    <w:p w14:paraId="4660E3EC" w14:textId="77777777" w:rsidR="00FB5D3F" w:rsidRPr="00F83935" w:rsidRDefault="00FB5D3F" w:rsidP="00FB5D3F">
      <w:pPr>
        <w:spacing w:line="259" w:lineRule="auto"/>
        <w:rPr>
          <w:rStyle w:val="Strong"/>
          <w:b w:val="0"/>
          <w:bCs w:val="0"/>
        </w:rPr>
      </w:pPr>
      <w:r w:rsidRPr="00710792">
        <w:rPr>
          <w:rStyle w:val="Strong"/>
        </w:rPr>
        <w:t>An appropriate citation for this paper is:</w:t>
      </w:r>
    </w:p>
    <w:p w14:paraId="47E4ECD2" w14:textId="2CC5BC9E" w:rsidR="00FB5D3F" w:rsidRDefault="00FB5D3F" w:rsidP="00FB5D3F">
      <w:r>
        <w:t xml:space="preserve">Essential Services </w:t>
      </w:r>
      <w:r w:rsidR="00047898">
        <w:t>Commission,</w:t>
      </w:r>
      <w:r>
        <w:t xml:space="preserve"> </w:t>
      </w:r>
      <w:sdt>
        <w:sdtPr>
          <w:rPr>
            <w:i/>
          </w:rPr>
          <w:alias w:val="Title"/>
          <w:tag w:val=""/>
          <w:id w:val="1260560542"/>
          <w:placeholder>
            <w:docPart w:val="140E192DA8A1450993BE2E5E85F512CC"/>
          </w:placeholder>
          <w:dataBinding w:prefixMappings="xmlns:ns0='http://purl.org/dc/elements/1.1/' xmlns:ns1='http://schemas.openxmlformats.org/package/2006/metadata/core-properties' " w:xpath="/ns1:coreProperties[1]/ns0:title[1]" w:storeItemID="{6C3C8BC8-F283-45AE-878A-BAB7291924A1}"/>
          <w:text/>
        </w:sdtPr>
        <w:sdtEndPr>
          <w:rPr>
            <w:iCs/>
          </w:rPr>
        </w:sdtEndPr>
        <w:sdtContent>
          <w:r w:rsidR="001F6B51" w:rsidRPr="009D2F51">
            <w:rPr>
              <w:i/>
              <w:iCs/>
            </w:rPr>
            <w:t>Revoking the Electricity Customer Transfer Code of Practice and the Electricity Customer Metering Code of Practice</w:t>
          </w:r>
        </w:sdtContent>
      </w:sdt>
      <w:r w:rsidRPr="00E14ED2">
        <w:rPr>
          <w:i/>
        </w:rPr>
        <w:t xml:space="preserve">: </w:t>
      </w:r>
      <w:sdt>
        <w:sdtPr>
          <w:rPr>
            <w:i/>
          </w:rPr>
          <w:alias w:val="Subtitle"/>
          <w:tag w:val=""/>
          <w:id w:val="-295916621"/>
          <w:placeholder>
            <w:docPart w:val="B4436841E4824DCE81F3F32E50702F23"/>
          </w:placeholder>
          <w:dataBinding w:prefixMappings="xmlns:ns0='http://purl.org/dc/elements/1.1/' xmlns:ns1='http://schemas.openxmlformats.org/package/2006/metadata/core-properties' " w:xpath="/ns1:coreProperties[1]/ns0:description[1]" w:storeItemID="{6C3C8BC8-F283-45AE-878A-BAB7291924A1}"/>
          <w:text w:multiLine="1"/>
        </w:sdtPr>
        <w:sdtEndPr>
          <w:rPr>
            <w:iCs/>
          </w:rPr>
        </w:sdtEndPr>
        <w:sdtContent>
          <w:r w:rsidR="001F6B51" w:rsidRPr="009D2F51">
            <w:rPr>
              <w:i/>
              <w:iCs/>
            </w:rPr>
            <w:t>Final Decision</w:t>
          </w:r>
        </w:sdtContent>
      </w:sdt>
      <w:bookmarkStart w:id="6" w:name="_Toc480988876"/>
      <w:bookmarkStart w:id="7" w:name="_Toc481138188"/>
      <w:bookmarkStart w:id="8" w:name="_Toc481138396"/>
      <w:r w:rsidR="00047898" w:rsidRPr="00E14ED2">
        <w:rPr>
          <w:i/>
        </w:rPr>
        <w:t xml:space="preserve">, </w:t>
      </w:r>
      <w:r w:rsidR="00047898" w:rsidRPr="00047B7C">
        <w:t>12 August 2025</w:t>
      </w:r>
      <w:r w:rsidR="00047898">
        <w:t>.</w:t>
      </w:r>
    </w:p>
    <w:p w14:paraId="7E779378" w14:textId="77777777" w:rsidR="00047898" w:rsidRDefault="00047898" w:rsidP="00FB5D3F">
      <w:pPr>
        <w:rPr>
          <w:rStyle w:val="Strong"/>
        </w:rPr>
      </w:pPr>
    </w:p>
    <w:bookmarkEnd w:id="6"/>
    <w:bookmarkEnd w:id="7"/>
    <w:bookmarkEnd w:id="8"/>
    <w:p w14:paraId="345E0271" w14:textId="4686C999" w:rsidR="00FB5D3F" w:rsidRDefault="00FB5D3F" w:rsidP="00FB5D3F">
      <w:r>
        <w:t xml:space="preserve">© Essential Services Commission, </w:t>
      </w:r>
      <w:sdt>
        <w:sdtPr>
          <w:alias w:val="Year"/>
          <w:tag w:val="Year"/>
          <w:id w:val="1606076632"/>
          <w:placeholder>
            <w:docPart w:val="26BBEA23A11C415E896C73B9234E2B47"/>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681410">
            <w:t>2025</w:t>
          </w:r>
        </w:sdtContent>
      </w:sdt>
    </w:p>
    <w:p w14:paraId="15906DD6" w14:textId="77777777" w:rsidR="00FB5D3F" w:rsidRDefault="00FB5D3F" w:rsidP="00FB5D3F">
      <w:r w:rsidRPr="00F70F20">
        <w:rPr>
          <w:noProof/>
          <w:lang w:eastAsia="en-AU"/>
        </w:rPr>
        <w:drawing>
          <wp:inline distT="0" distB="0" distL="0" distR="0" wp14:anchorId="1B024DAC" wp14:editId="426A82EC">
            <wp:extent cx="1198800" cy="421200"/>
            <wp:effectExtent l="0" t="0" r="1905" b="0"/>
            <wp:docPr id="4" name="Picture 4" descr="untitl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60D27AD7" w14:textId="2282849A" w:rsidR="00FB5D3F" w:rsidRDefault="00FB5D3F" w:rsidP="00FB5D3F">
      <w:r>
        <w:t xml:space="preserve">This work, </w:t>
      </w:r>
      <w:sdt>
        <w:sdtPr>
          <w:alias w:val="Title"/>
          <w:tag w:val=""/>
          <w:id w:val="1731569904"/>
          <w:placeholder>
            <w:docPart w:val="081541628B584DC4B0333642607BDAD8"/>
          </w:placeholder>
          <w:dataBinding w:prefixMappings="xmlns:ns0='http://purl.org/dc/elements/1.1/' xmlns:ns1='http://schemas.openxmlformats.org/package/2006/metadata/core-properties' " w:xpath="/ns1:coreProperties[1]/ns0:title[1]" w:storeItemID="{6C3C8BC8-F283-45AE-878A-BAB7291924A1}"/>
          <w:text/>
        </w:sdtPr>
        <w:sdtContent>
          <w:r w:rsidR="001F6B51">
            <w:t>Revoking the Electricity Customer Transfer Code of Practice and the Electricity Customer Metering Code of Practice</w:t>
          </w:r>
        </w:sdtContent>
      </w:sdt>
      <w:r>
        <w:t>, 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05BF6A9E" w14:textId="77777777" w:rsidR="00FB5D3F" w:rsidRDefault="00FB5D3F" w:rsidP="00FB5D3F">
      <w:r>
        <w:t>The licence does not apply to any brand logo, images or photographs within the publication.</w:t>
      </w:r>
    </w:p>
    <w:p w14:paraId="1B69E114" w14:textId="77777777" w:rsidR="00717CCA" w:rsidRDefault="00717CCA" w:rsidP="00881E07"/>
    <w:p w14:paraId="3330EF00" w14:textId="77777777" w:rsidR="00517F76" w:rsidRDefault="00517F76" w:rsidP="00881E07"/>
    <w:bookmarkEnd w:id="4" w:displacedByCustomXml="next"/>
    <w:sdt>
      <w:sdtPr>
        <w:id w:val="1641840776"/>
        <w:lock w:val="sdtContentLocked"/>
        <w:placeholder>
          <w:docPart w:val="89546CF0731A43EEA0DAC878284F1376"/>
        </w:placeholder>
        <w:showingPlcHdr/>
        <w:text/>
      </w:sdtPr>
      <w:sdtContent>
        <w:p w14:paraId="47EC8027" w14:textId="77777777" w:rsidR="004309BF" w:rsidRDefault="004309BF" w:rsidP="004309BF">
          <w:r>
            <w:t xml:space="preserve">  </w:t>
          </w:r>
        </w:p>
      </w:sdtContent>
    </w:sdt>
    <w:p w14:paraId="1F9DAB91" w14:textId="77777777" w:rsidR="00C51D4B" w:rsidRPr="00755FBF" w:rsidRDefault="00C51D4B" w:rsidP="00C51D4B">
      <w:pPr>
        <w:pStyle w:val="TOCHeading"/>
        <w:rPr>
          <w:rStyle w:val="Hyperlink"/>
          <w:color w:val="D50032" w:themeColor="accent6"/>
          <w:u w:val="none"/>
        </w:rPr>
      </w:pPr>
      <w:bookmarkStart w:id="9" w:name="_Toc199412888"/>
      <w:bookmarkStart w:id="10" w:name="_Toc199413444"/>
      <w:bookmarkStart w:id="11" w:name="_Toc202357978"/>
      <w:bookmarkStart w:id="12" w:name="_Toc481138189"/>
      <w:bookmarkStart w:id="13" w:name="_Toc481138397"/>
      <w:r w:rsidRPr="00755FBF">
        <w:rPr>
          <w:rStyle w:val="Hyperlink"/>
          <w:color w:val="D50032" w:themeColor="accent6"/>
          <w:u w:val="none"/>
        </w:rPr>
        <w:t>Contents</w:t>
      </w:r>
    </w:p>
    <w:p w14:paraId="00B03823" w14:textId="61931E27" w:rsidR="000F6F8C" w:rsidRDefault="00C51D4B">
      <w:pPr>
        <w:pStyle w:val="TOC2"/>
        <w:rPr>
          <w:rFonts w:eastAsiaTheme="minorEastAsia"/>
          <w:kern w:val="2"/>
          <w:sz w:val="24"/>
          <w:szCs w:val="24"/>
          <w:lang w:eastAsia="en-AU"/>
          <w14:ligatures w14:val="standardContextual"/>
        </w:rPr>
      </w:pPr>
      <w:r>
        <w:fldChar w:fldCharType="begin"/>
      </w:r>
      <w:r>
        <w:instrText xml:space="preserve"> TOC \o "1-3" \h \z \u </w:instrText>
      </w:r>
      <w:r>
        <w:fldChar w:fldCharType="separate"/>
      </w:r>
      <w:hyperlink w:anchor="_Toc204086869" w:history="1">
        <w:r w:rsidR="000F6F8C" w:rsidRPr="002A49FE">
          <w:rPr>
            <w:rStyle w:val="Hyperlink"/>
          </w:rPr>
          <w:t>Acknowledgement</w:t>
        </w:r>
        <w:r w:rsidR="000F6F8C">
          <w:rPr>
            <w:webHidden/>
          </w:rPr>
          <w:tab/>
        </w:r>
        <w:r w:rsidR="000F6F8C">
          <w:rPr>
            <w:webHidden/>
          </w:rPr>
          <w:fldChar w:fldCharType="begin"/>
        </w:r>
        <w:r w:rsidR="000F6F8C">
          <w:rPr>
            <w:webHidden/>
          </w:rPr>
          <w:instrText xml:space="preserve"> PAGEREF _Toc204086869 \h </w:instrText>
        </w:r>
        <w:r w:rsidR="000F6F8C">
          <w:rPr>
            <w:webHidden/>
          </w:rPr>
        </w:r>
        <w:r w:rsidR="000F6F8C">
          <w:rPr>
            <w:webHidden/>
          </w:rPr>
          <w:fldChar w:fldCharType="separate"/>
        </w:r>
        <w:r w:rsidR="007519FF">
          <w:rPr>
            <w:webHidden/>
          </w:rPr>
          <w:t>2</w:t>
        </w:r>
        <w:r w:rsidR="000F6F8C">
          <w:rPr>
            <w:webHidden/>
          </w:rPr>
          <w:fldChar w:fldCharType="end"/>
        </w:r>
      </w:hyperlink>
    </w:p>
    <w:p w14:paraId="036653EF" w14:textId="566A4E2D" w:rsidR="000F6F8C" w:rsidRDefault="000F6F8C">
      <w:pPr>
        <w:pStyle w:val="TOC1"/>
        <w:rPr>
          <w:rFonts w:eastAsiaTheme="minorEastAsia"/>
          <w:b w:val="0"/>
          <w:noProof/>
          <w:kern w:val="2"/>
          <w:sz w:val="24"/>
          <w:szCs w:val="24"/>
          <w:lang w:eastAsia="en-AU"/>
          <w14:ligatures w14:val="standardContextual"/>
        </w:rPr>
      </w:pPr>
      <w:hyperlink w:anchor="_Toc204086870" w:history="1">
        <w:r w:rsidRPr="002A49FE">
          <w:rPr>
            <w:rStyle w:val="Hyperlink"/>
            <w:noProof/>
          </w:rPr>
          <w:t>Summary</w:t>
        </w:r>
        <w:r>
          <w:rPr>
            <w:noProof/>
            <w:webHidden/>
          </w:rPr>
          <w:tab/>
        </w:r>
        <w:r>
          <w:rPr>
            <w:noProof/>
            <w:webHidden/>
          </w:rPr>
          <w:fldChar w:fldCharType="begin"/>
        </w:r>
        <w:r>
          <w:rPr>
            <w:noProof/>
            <w:webHidden/>
          </w:rPr>
          <w:instrText xml:space="preserve"> PAGEREF _Toc204086870 \h </w:instrText>
        </w:r>
        <w:r>
          <w:rPr>
            <w:noProof/>
            <w:webHidden/>
          </w:rPr>
        </w:r>
        <w:r>
          <w:rPr>
            <w:noProof/>
            <w:webHidden/>
          </w:rPr>
          <w:fldChar w:fldCharType="separate"/>
        </w:r>
        <w:r w:rsidR="007519FF">
          <w:rPr>
            <w:noProof/>
            <w:webHidden/>
          </w:rPr>
          <w:t>4</w:t>
        </w:r>
        <w:r>
          <w:rPr>
            <w:noProof/>
            <w:webHidden/>
          </w:rPr>
          <w:fldChar w:fldCharType="end"/>
        </w:r>
      </w:hyperlink>
    </w:p>
    <w:p w14:paraId="07AEBAAA" w14:textId="642532B3" w:rsidR="000F6F8C" w:rsidRDefault="000F6F8C">
      <w:pPr>
        <w:pStyle w:val="TOC3"/>
        <w:rPr>
          <w:rFonts w:eastAsiaTheme="minorEastAsia"/>
          <w:kern w:val="2"/>
          <w:sz w:val="24"/>
          <w:szCs w:val="24"/>
          <w:lang w:eastAsia="en-AU"/>
          <w14:ligatures w14:val="standardContextual"/>
        </w:rPr>
      </w:pPr>
      <w:hyperlink w:anchor="_Toc204086871" w:history="1">
        <w:r w:rsidRPr="002A49FE">
          <w:rPr>
            <w:rStyle w:val="Hyperlink"/>
          </w:rPr>
          <w:t>Earlier revocation</w:t>
        </w:r>
        <w:r>
          <w:rPr>
            <w:webHidden/>
          </w:rPr>
          <w:tab/>
        </w:r>
        <w:r>
          <w:rPr>
            <w:webHidden/>
          </w:rPr>
          <w:fldChar w:fldCharType="begin"/>
        </w:r>
        <w:r>
          <w:rPr>
            <w:webHidden/>
          </w:rPr>
          <w:instrText xml:space="preserve"> PAGEREF _Toc204086871 \h </w:instrText>
        </w:r>
        <w:r>
          <w:rPr>
            <w:webHidden/>
          </w:rPr>
        </w:r>
        <w:r>
          <w:rPr>
            <w:webHidden/>
          </w:rPr>
          <w:fldChar w:fldCharType="separate"/>
        </w:r>
        <w:r w:rsidR="007519FF">
          <w:rPr>
            <w:webHidden/>
          </w:rPr>
          <w:t>4</w:t>
        </w:r>
        <w:r>
          <w:rPr>
            <w:webHidden/>
          </w:rPr>
          <w:fldChar w:fldCharType="end"/>
        </w:r>
      </w:hyperlink>
    </w:p>
    <w:p w14:paraId="553BCBA1" w14:textId="41B96EC2" w:rsidR="000F6F8C" w:rsidRDefault="000F6F8C">
      <w:pPr>
        <w:pStyle w:val="TOC3"/>
        <w:rPr>
          <w:rFonts w:eastAsiaTheme="minorEastAsia"/>
          <w:kern w:val="2"/>
          <w:sz w:val="24"/>
          <w:szCs w:val="24"/>
          <w:lang w:eastAsia="en-AU"/>
          <w14:ligatures w14:val="standardContextual"/>
        </w:rPr>
      </w:pPr>
      <w:hyperlink w:anchor="_Toc204086872" w:history="1">
        <w:r w:rsidRPr="002A49FE">
          <w:rPr>
            <w:rStyle w:val="Hyperlink"/>
          </w:rPr>
          <w:t>Other instruments covering customer transfers and metering</w:t>
        </w:r>
        <w:r>
          <w:rPr>
            <w:webHidden/>
          </w:rPr>
          <w:tab/>
        </w:r>
        <w:r>
          <w:rPr>
            <w:webHidden/>
          </w:rPr>
          <w:fldChar w:fldCharType="begin"/>
        </w:r>
        <w:r>
          <w:rPr>
            <w:webHidden/>
          </w:rPr>
          <w:instrText xml:space="preserve"> PAGEREF _Toc204086872 \h </w:instrText>
        </w:r>
        <w:r>
          <w:rPr>
            <w:webHidden/>
          </w:rPr>
        </w:r>
        <w:r>
          <w:rPr>
            <w:webHidden/>
          </w:rPr>
          <w:fldChar w:fldCharType="separate"/>
        </w:r>
        <w:r w:rsidR="007519FF">
          <w:rPr>
            <w:webHidden/>
          </w:rPr>
          <w:t>4</w:t>
        </w:r>
        <w:r>
          <w:rPr>
            <w:webHidden/>
          </w:rPr>
          <w:fldChar w:fldCharType="end"/>
        </w:r>
      </w:hyperlink>
    </w:p>
    <w:p w14:paraId="71FFBF13" w14:textId="47486DA8" w:rsidR="000F6F8C" w:rsidRDefault="000F6F8C">
      <w:pPr>
        <w:pStyle w:val="TOC2"/>
        <w:rPr>
          <w:rFonts w:eastAsiaTheme="minorEastAsia"/>
          <w:kern w:val="2"/>
          <w:sz w:val="24"/>
          <w:szCs w:val="24"/>
          <w:lang w:eastAsia="en-AU"/>
          <w14:ligatures w14:val="standardContextual"/>
        </w:rPr>
      </w:pPr>
      <w:hyperlink w:anchor="_Toc204086873" w:history="1">
        <w:r w:rsidRPr="002A49FE">
          <w:rPr>
            <w:rStyle w:val="Hyperlink"/>
          </w:rPr>
          <w:t>Who we consulted</w:t>
        </w:r>
        <w:r>
          <w:rPr>
            <w:webHidden/>
          </w:rPr>
          <w:tab/>
        </w:r>
        <w:r>
          <w:rPr>
            <w:webHidden/>
          </w:rPr>
          <w:fldChar w:fldCharType="begin"/>
        </w:r>
        <w:r>
          <w:rPr>
            <w:webHidden/>
          </w:rPr>
          <w:instrText xml:space="preserve"> PAGEREF _Toc204086873 \h </w:instrText>
        </w:r>
        <w:r>
          <w:rPr>
            <w:webHidden/>
          </w:rPr>
        </w:r>
        <w:r>
          <w:rPr>
            <w:webHidden/>
          </w:rPr>
          <w:fldChar w:fldCharType="separate"/>
        </w:r>
        <w:r w:rsidR="007519FF">
          <w:rPr>
            <w:webHidden/>
          </w:rPr>
          <w:t>5</w:t>
        </w:r>
        <w:r>
          <w:rPr>
            <w:webHidden/>
          </w:rPr>
          <w:fldChar w:fldCharType="end"/>
        </w:r>
      </w:hyperlink>
    </w:p>
    <w:p w14:paraId="7B523B47" w14:textId="62CE38F1" w:rsidR="000F6F8C" w:rsidRDefault="000F6F8C">
      <w:pPr>
        <w:pStyle w:val="TOC3"/>
        <w:rPr>
          <w:rFonts w:eastAsiaTheme="minorEastAsia"/>
          <w:kern w:val="2"/>
          <w:sz w:val="24"/>
          <w:szCs w:val="24"/>
          <w:lang w:eastAsia="en-AU"/>
          <w14:ligatures w14:val="standardContextual"/>
        </w:rPr>
      </w:pPr>
      <w:hyperlink w:anchor="_Toc204086874" w:history="1">
        <w:r w:rsidRPr="002A49FE">
          <w:rPr>
            <w:rStyle w:val="Hyperlink"/>
          </w:rPr>
          <w:t>The Australian Energy Market Operator</w:t>
        </w:r>
        <w:r>
          <w:rPr>
            <w:webHidden/>
          </w:rPr>
          <w:tab/>
        </w:r>
        <w:r>
          <w:rPr>
            <w:webHidden/>
          </w:rPr>
          <w:fldChar w:fldCharType="begin"/>
        </w:r>
        <w:r>
          <w:rPr>
            <w:webHidden/>
          </w:rPr>
          <w:instrText xml:space="preserve"> PAGEREF _Toc204086874 \h </w:instrText>
        </w:r>
        <w:r>
          <w:rPr>
            <w:webHidden/>
          </w:rPr>
        </w:r>
        <w:r>
          <w:rPr>
            <w:webHidden/>
          </w:rPr>
          <w:fldChar w:fldCharType="separate"/>
        </w:r>
        <w:r w:rsidR="007519FF">
          <w:rPr>
            <w:webHidden/>
          </w:rPr>
          <w:t>5</w:t>
        </w:r>
        <w:r>
          <w:rPr>
            <w:webHidden/>
          </w:rPr>
          <w:fldChar w:fldCharType="end"/>
        </w:r>
      </w:hyperlink>
    </w:p>
    <w:p w14:paraId="1CB90AE8" w14:textId="5C139E06" w:rsidR="000F6F8C" w:rsidRDefault="000F6F8C">
      <w:pPr>
        <w:pStyle w:val="TOC3"/>
        <w:rPr>
          <w:rFonts w:eastAsiaTheme="minorEastAsia"/>
          <w:kern w:val="2"/>
          <w:sz w:val="24"/>
          <w:szCs w:val="24"/>
          <w:lang w:eastAsia="en-AU"/>
          <w14:ligatures w14:val="standardContextual"/>
        </w:rPr>
      </w:pPr>
      <w:hyperlink w:anchor="_Toc204086875" w:history="1">
        <w:r w:rsidRPr="002A49FE">
          <w:rPr>
            <w:rStyle w:val="Hyperlink"/>
          </w:rPr>
          <w:t>Electricity businesses and consumer groups</w:t>
        </w:r>
        <w:r>
          <w:rPr>
            <w:webHidden/>
          </w:rPr>
          <w:tab/>
        </w:r>
        <w:r>
          <w:rPr>
            <w:webHidden/>
          </w:rPr>
          <w:fldChar w:fldCharType="begin"/>
        </w:r>
        <w:r>
          <w:rPr>
            <w:webHidden/>
          </w:rPr>
          <w:instrText xml:space="preserve"> PAGEREF _Toc204086875 \h </w:instrText>
        </w:r>
        <w:r>
          <w:rPr>
            <w:webHidden/>
          </w:rPr>
        </w:r>
        <w:r>
          <w:rPr>
            <w:webHidden/>
          </w:rPr>
          <w:fldChar w:fldCharType="separate"/>
        </w:r>
        <w:r w:rsidR="007519FF">
          <w:rPr>
            <w:webHidden/>
          </w:rPr>
          <w:t>5</w:t>
        </w:r>
        <w:r>
          <w:rPr>
            <w:webHidden/>
          </w:rPr>
          <w:fldChar w:fldCharType="end"/>
        </w:r>
      </w:hyperlink>
    </w:p>
    <w:p w14:paraId="01E4205B" w14:textId="25931D38" w:rsidR="000F6F8C" w:rsidRDefault="000F6F8C">
      <w:pPr>
        <w:pStyle w:val="TOC2"/>
        <w:rPr>
          <w:rFonts w:eastAsiaTheme="minorEastAsia"/>
          <w:kern w:val="2"/>
          <w:sz w:val="24"/>
          <w:szCs w:val="24"/>
          <w:lang w:eastAsia="en-AU"/>
          <w14:ligatures w14:val="standardContextual"/>
        </w:rPr>
      </w:pPr>
      <w:hyperlink w:anchor="_Toc204086876" w:history="1">
        <w:r w:rsidRPr="002A49FE">
          <w:rPr>
            <w:rStyle w:val="Hyperlink"/>
          </w:rPr>
          <w:t>Submissions</w:t>
        </w:r>
        <w:r>
          <w:rPr>
            <w:webHidden/>
          </w:rPr>
          <w:tab/>
        </w:r>
        <w:r>
          <w:rPr>
            <w:webHidden/>
          </w:rPr>
          <w:fldChar w:fldCharType="begin"/>
        </w:r>
        <w:r>
          <w:rPr>
            <w:webHidden/>
          </w:rPr>
          <w:instrText xml:space="preserve"> PAGEREF _Toc204086876 \h </w:instrText>
        </w:r>
        <w:r>
          <w:rPr>
            <w:webHidden/>
          </w:rPr>
        </w:r>
        <w:r>
          <w:rPr>
            <w:webHidden/>
          </w:rPr>
          <w:fldChar w:fldCharType="separate"/>
        </w:r>
        <w:r w:rsidR="007519FF">
          <w:rPr>
            <w:webHidden/>
          </w:rPr>
          <w:t>5</w:t>
        </w:r>
        <w:r>
          <w:rPr>
            <w:webHidden/>
          </w:rPr>
          <w:fldChar w:fldCharType="end"/>
        </w:r>
      </w:hyperlink>
    </w:p>
    <w:p w14:paraId="27B9EDC5" w14:textId="562CC74D" w:rsidR="000F6F8C" w:rsidRDefault="000F6F8C">
      <w:pPr>
        <w:pStyle w:val="TOC1"/>
        <w:rPr>
          <w:rFonts w:eastAsiaTheme="minorEastAsia"/>
          <w:b w:val="0"/>
          <w:noProof/>
          <w:kern w:val="2"/>
          <w:sz w:val="24"/>
          <w:szCs w:val="24"/>
          <w:lang w:eastAsia="en-AU"/>
          <w14:ligatures w14:val="standardContextual"/>
        </w:rPr>
      </w:pPr>
      <w:hyperlink w:anchor="_Toc204086877" w:history="1">
        <w:r w:rsidRPr="002A49FE">
          <w:rPr>
            <w:rStyle w:val="Hyperlink"/>
            <w:noProof/>
          </w:rPr>
          <w:t>Revoking the Electricity Customer Metering Code of Practice</w:t>
        </w:r>
        <w:r>
          <w:rPr>
            <w:noProof/>
            <w:webHidden/>
          </w:rPr>
          <w:tab/>
        </w:r>
        <w:r>
          <w:rPr>
            <w:noProof/>
            <w:webHidden/>
          </w:rPr>
          <w:fldChar w:fldCharType="begin"/>
        </w:r>
        <w:r>
          <w:rPr>
            <w:noProof/>
            <w:webHidden/>
          </w:rPr>
          <w:instrText xml:space="preserve"> PAGEREF _Toc204086877 \h </w:instrText>
        </w:r>
        <w:r>
          <w:rPr>
            <w:noProof/>
            <w:webHidden/>
          </w:rPr>
        </w:r>
        <w:r>
          <w:rPr>
            <w:noProof/>
            <w:webHidden/>
          </w:rPr>
          <w:fldChar w:fldCharType="separate"/>
        </w:r>
        <w:r w:rsidR="007519FF">
          <w:rPr>
            <w:noProof/>
            <w:webHidden/>
          </w:rPr>
          <w:t>7</w:t>
        </w:r>
        <w:r>
          <w:rPr>
            <w:noProof/>
            <w:webHidden/>
          </w:rPr>
          <w:fldChar w:fldCharType="end"/>
        </w:r>
      </w:hyperlink>
    </w:p>
    <w:p w14:paraId="22E36694" w14:textId="43F2660B" w:rsidR="000F6F8C" w:rsidRDefault="000F6F8C">
      <w:pPr>
        <w:pStyle w:val="TOC2"/>
        <w:rPr>
          <w:rFonts w:eastAsiaTheme="minorEastAsia"/>
          <w:kern w:val="2"/>
          <w:sz w:val="24"/>
          <w:szCs w:val="24"/>
          <w:lang w:eastAsia="en-AU"/>
          <w14:ligatures w14:val="standardContextual"/>
        </w:rPr>
      </w:pPr>
      <w:hyperlink w:anchor="_Toc204086878" w:history="1">
        <w:r w:rsidRPr="002A49FE">
          <w:rPr>
            <w:rStyle w:val="Hyperlink"/>
          </w:rPr>
          <w:t>Background</w:t>
        </w:r>
        <w:r>
          <w:rPr>
            <w:webHidden/>
          </w:rPr>
          <w:tab/>
        </w:r>
        <w:r>
          <w:rPr>
            <w:webHidden/>
          </w:rPr>
          <w:fldChar w:fldCharType="begin"/>
        </w:r>
        <w:r>
          <w:rPr>
            <w:webHidden/>
          </w:rPr>
          <w:instrText xml:space="preserve"> PAGEREF _Toc204086878 \h </w:instrText>
        </w:r>
        <w:r>
          <w:rPr>
            <w:webHidden/>
          </w:rPr>
        </w:r>
        <w:r>
          <w:rPr>
            <w:webHidden/>
          </w:rPr>
          <w:fldChar w:fldCharType="separate"/>
        </w:r>
        <w:r w:rsidR="007519FF">
          <w:rPr>
            <w:webHidden/>
          </w:rPr>
          <w:t>7</w:t>
        </w:r>
        <w:r>
          <w:rPr>
            <w:webHidden/>
          </w:rPr>
          <w:fldChar w:fldCharType="end"/>
        </w:r>
      </w:hyperlink>
    </w:p>
    <w:p w14:paraId="08E2F53D" w14:textId="7F191A57" w:rsidR="000F6F8C" w:rsidRDefault="000F6F8C">
      <w:pPr>
        <w:pStyle w:val="TOC2"/>
        <w:rPr>
          <w:rFonts w:eastAsiaTheme="minorEastAsia"/>
          <w:kern w:val="2"/>
          <w:sz w:val="24"/>
          <w:szCs w:val="24"/>
          <w:lang w:eastAsia="en-AU"/>
          <w14:ligatures w14:val="standardContextual"/>
        </w:rPr>
      </w:pPr>
      <w:hyperlink w:anchor="_Toc204086879" w:history="1">
        <w:r w:rsidRPr="002A49FE">
          <w:rPr>
            <w:rStyle w:val="Hyperlink"/>
          </w:rPr>
          <w:t>Why we are revoking the Metering Code</w:t>
        </w:r>
        <w:r>
          <w:rPr>
            <w:webHidden/>
          </w:rPr>
          <w:tab/>
        </w:r>
        <w:r>
          <w:rPr>
            <w:webHidden/>
          </w:rPr>
          <w:fldChar w:fldCharType="begin"/>
        </w:r>
        <w:r>
          <w:rPr>
            <w:webHidden/>
          </w:rPr>
          <w:instrText xml:space="preserve"> PAGEREF _Toc204086879 \h </w:instrText>
        </w:r>
        <w:r>
          <w:rPr>
            <w:webHidden/>
          </w:rPr>
        </w:r>
        <w:r>
          <w:rPr>
            <w:webHidden/>
          </w:rPr>
          <w:fldChar w:fldCharType="separate"/>
        </w:r>
        <w:r w:rsidR="007519FF">
          <w:rPr>
            <w:webHidden/>
          </w:rPr>
          <w:t>8</w:t>
        </w:r>
        <w:r>
          <w:rPr>
            <w:webHidden/>
          </w:rPr>
          <w:fldChar w:fldCharType="end"/>
        </w:r>
      </w:hyperlink>
    </w:p>
    <w:p w14:paraId="05E6E4DA" w14:textId="0B6B341A" w:rsidR="000F6F8C" w:rsidRDefault="000F6F8C">
      <w:pPr>
        <w:pStyle w:val="TOC3"/>
        <w:rPr>
          <w:rFonts w:eastAsiaTheme="minorEastAsia"/>
          <w:kern w:val="2"/>
          <w:sz w:val="24"/>
          <w:szCs w:val="24"/>
          <w:lang w:eastAsia="en-AU"/>
          <w14:ligatures w14:val="standardContextual"/>
        </w:rPr>
      </w:pPr>
      <w:hyperlink w:anchor="_Toc204086880" w:history="1">
        <w:r w:rsidRPr="002A49FE">
          <w:rPr>
            <w:rStyle w:val="Hyperlink"/>
          </w:rPr>
          <w:t>The ownership of metering equipment</w:t>
        </w:r>
        <w:r>
          <w:rPr>
            <w:webHidden/>
          </w:rPr>
          <w:tab/>
        </w:r>
        <w:r>
          <w:rPr>
            <w:webHidden/>
          </w:rPr>
          <w:fldChar w:fldCharType="begin"/>
        </w:r>
        <w:r>
          <w:rPr>
            <w:webHidden/>
          </w:rPr>
          <w:instrText xml:space="preserve"> PAGEREF _Toc204086880 \h </w:instrText>
        </w:r>
        <w:r>
          <w:rPr>
            <w:webHidden/>
          </w:rPr>
        </w:r>
        <w:r>
          <w:rPr>
            <w:webHidden/>
          </w:rPr>
          <w:fldChar w:fldCharType="separate"/>
        </w:r>
        <w:r w:rsidR="007519FF">
          <w:rPr>
            <w:webHidden/>
          </w:rPr>
          <w:t>9</w:t>
        </w:r>
        <w:r>
          <w:rPr>
            <w:webHidden/>
          </w:rPr>
          <w:fldChar w:fldCharType="end"/>
        </w:r>
      </w:hyperlink>
    </w:p>
    <w:p w14:paraId="05E641CF" w14:textId="51541004" w:rsidR="000F6F8C" w:rsidRDefault="000F6F8C">
      <w:pPr>
        <w:pStyle w:val="TOC3"/>
        <w:rPr>
          <w:rFonts w:eastAsiaTheme="minorEastAsia"/>
          <w:kern w:val="2"/>
          <w:sz w:val="24"/>
          <w:szCs w:val="24"/>
          <w:lang w:eastAsia="en-AU"/>
          <w14:ligatures w14:val="standardContextual"/>
        </w:rPr>
      </w:pPr>
      <w:hyperlink w:anchor="_Toc204086881" w:history="1">
        <w:r w:rsidRPr="002A49FE">
          <w:rPr>
            <w:rStyle w:val="Hyperlink"/>
          </w:rPr>
          <w:t>Embedded networks</w:t>
        </w:r>
        <w:r>
          <w:rPr>
            <w:webHidden/>
          </w:rPr>
          <w:tab/>
        </w:r>
        <w:r>
          <w:rPr>
            <w:webHidden/>
          </w:rPr>
          <w:fldChar w:fldCharType="begin"/>
        </w:r>
        <w:r>
          <w:rPr>
            <w:webHidden/>
          </w:rPr>
          <w:instrText xml:space="preserve"> PAGEREF _Toc204086881 \h </w:instrText>
        </w:r>
        <w:r>
          <w:rPr>
            <w:webHidden/>
          </w:rPr>
        </w:r>
        <w:r>
          <w:rPr>
            <w:webHidden/>
          </w:rPr>
          <w:fldChar w:fldCharType="separate"/>
        </w:r>
        <w:r w:rsidR="007519FF">
          <w:rPr>
            <w:webHidden/>
          </w:rPr>
          <w:t>10</w:t>
        </w:r>
        <w:r>
          <w:rPr>
            <w:webHidden/>
          </w:rPr>
          <w:fldChar w:fldCharType="end"/>
        </w:r>
      </w:hyperlink>
    </w:p>
    <w:p w14:paraId="6D776808" w14:textId="4AE9FE47" w:rsidR="000F6F8C" w:rsidRDefault="000F6F8C">
      <w:pPr>
        <w:pStyle w:val="TOC1"/>
        <w:rPr>
          <w:rFonts w:eastAsiaTheme="minorEastAsia"/>
          <w:b w:val="0"/>
          <w:noProof/>
          <w:kern w:val="2"/>
          <w:sz w:val="24"/>
          <w:szCs w:val="24"/>
          <w:lang w:eastAsia="en-AU"/>
          <w14:ligatures w14:val="standardContextual"/>
        </w:rPr>
      </w:pPr>
      <w:hyperlink w:anchor="_Toc204086882" w:history="1">
        <w:r w:rsidRPr="002A49FE">
          <w:rPr>
            <w:rStyle w:val="Hyperlink"/>
            <w:noProof/>
          </w:rPr>
          <w:t>Revoking the Electricity Customer Transfer Code of Practice</w:t>
        </w:r>
        <w:r>
          <w:rPr>
            <w:noProof/>
            <w:webHidden/>
          </w:rPr>
          <w:tab/>
        </w:r>
        <w:r>
          <w:rPr>
            <w:noProof/>
            <w:webHidden/>
          </w:rPr>
          <w:fldChar w:fldCharType="begin"/>
        </w:r>
        <w:r>
          <w:rPr>
            <w:noProof/>
            <w:webHidden/>
          </w:rPr>
          <w:instrText xml:space="preserve"> PAGEREF _Toc204086882 \h </w:instrText>
        </w:r>
        <w:r>
          <w:rPr>
            <w:noProof/>
            <w:webHidden/>
          </w:rPr>
        </w:r>
        <w:r>
          <w:rPr>
            <w:noProof/>
            <w:webHidden/>
          </w:rPr>
          <w:fldChar w:fldCharType="separate"/>
        </w:r>
        <w:r w:rsidR="007519FF">
          <w:rPr>
            <w:noProof/>
            <w:webHidden/>
          </w:rPr>
          <w:t>11</w:t>
        </w:r>
        <w:r>
          <w:rPr>
            <w:noProof/>
            <w:webHidden/>
          </w:rPr>
          <w:fldChar w:fldCharType="end"/>
        </w:r>
      </w:hyperlink>
    </w:p>
    <w:p w14:paraId="18DEDFD6" w14:textId="05291C21" w:rsidR="000F6F8C" w:rsidRDefault="000F6F8C">
      <w:pPr>
        <w:pStyle w:val="TOC2"/>
        <w:rPr>
          <w:rFonts w:eastAsiaTheme="minorEastAsia"/>
          <w:kern w:val="2"/>
          <w:sz w:val="24"/>
          <w:szCs w:val="24"/>
          <w:lang w:eastAsia="en-AU"/>
          <w14:ligatures w14:val="standardContextual"/>
        </w:rPr>
      </w:pPr>
      <w:hyperlink w:anchor="_Toc204086883" w:history="1">
        <w:r w:rsidRPr="002A49FE">
          <w:rPr>
            <w:rStyle w:val="Hyperlink"/>
          </w:rPr>
          <w:t>Background</w:t>
        </w:r>
        <w:r>
          <w:rPr>
            <w:webHidden/>
          </w:rPr>
          <w:tab/>
        </w:r>
        <w:r>
          <w:rPr>
            <w:webHidden/>
          </w:rPr>
          <w:fldChar w:fldCharType="begin"/>
        </w:r>
        <w:r>
          <w:rPr>
            <w:webHidden/>
          </w:rPr>
          <w:instrText xml:space="preserve"> PAGEREF _Toc204086883 \h </w:instrText>
        </w:r>
        <w:r>
          <w:rPr>
            <w:webHidden/>
          </w:rPr>
        </w:r>
        <w:r>
          <w:rPr>
            <w:webHidden/>
          </w:rPr>
          <w:fldChar w:fldCharType="separate"/>
        </w:r>
        <w:r w:rsidR="007519FF">
          <w:rPr>
            <w:webHidden/>
          </w:rPr>
          <w:t>11</w:t>
        </w:r>
        <w:r>
          <w:rPr>
            <w:webHidden/>
          </w:rPr>
          <w:fldChar w:fldCharType="end"/>
        </w:r>
      </w:hyperlink>
    </w:p>
    <w:p w14:paraId="393DE1FE" w14:textId="59409C2E" w:rsidR="000F6F8C" w:rsidRDefault="000F6F8C">
      <w:pPr>
        <w:pStyle w:val="TOC2"/>
        <w:rPr>
          <w:rFonts w:eastAsiaTheme="minorEastAsia"/>
          <w:kern w:val="2"/>
          <w:sz w:val="24"/>
          <w:szCs w:val="24"/>
          <w:lang w:eastAsia="en-AU"/>
          <w14:ligatures w14:val="standardContextual"/>
        </w:rPr>
      </w:pPr>
      <w:hyperlink w:anchor="_Toc204086884" w:history="1">
        <w:r w:rsidRPr="002A49FE">
          <w:rPr>
            <w:rStyle w:val="Hyperlink"/>
          </w:rPr>
          <w:t>Why we are revoking the Transfer Code</w:t>
        </w:r>
        <w:r>
          <w:rPr>
            <w:webHidden/>
          </w:rPr>
          <w:tab/>
        </w:r>
        <w:r>
          <w:rPr>
            <w:webHidden/>
          </w:rPr>
          <w:fldChar w:fldCharType="begin"/>
        </w:r>
        <w:r>
          <w:rPr>
            <w:webHidden/>
          </w:rPr>
          <w:instrText xml:space="preserve"> PAGEREF _Toc204086884 \h </w:instrText>
        </w:r>
        <w:r>
          <w:rPr>
            <w:webHidden/>
          </w:rPr>
        </w:r>
        <w:r>
          <w:rPr>
            <w:webHidden/>
          </w:rPr>
          <w:fldChar w:fldCharType="separate"/>
        </w:r>
        <w:r w:rsidR="007519FF">
          <w:rPr>
            <w:webHidden/>
          </w:rPr>
          <w:t>12</w:t>
        </w:r>
        <w:r>
          <w:rPr>
            <w:webHidden/>
          </w:rPr>
          <w:fldChar w:fldCharType="end"/>
        </w:r>
      </w:hyperlink>
    </w:p>
    <w:p w14:paraId="1613B188" w14:textId="099F3DF3" w:rsidR="000F6F8C" w:rsidRDefault="000F6F8C">
      <w:pPr>
        <w:pStyle w:val="TOC3"/>
        <w:rPr>
          <w:rFonts w:eastAsiaTheme="minorEastAsia"/>
          <w:kern w:val="2"/>
          <w:sz w:val="24"/>
          <w:szCs w:val="24"/>
          <w:lang w:eastAsia="en-AU"/>
          <w14:ligatures w14:val="standardContextual"/>
        </w:rPr>
      </w:pPr>
      <w:hyperlink w:anchor="_Toc204086885" w:history="1">
        <w:r w:rsidRPr="002A49FE">
          <w:rPr>
            <w:rStyle w:val="Hyperlink"/>
          </w:rPr>
          <w:t>Victoria’s customer transfer debt objection</w:t>
        </w:r>
        <w:r>
          <w:rPr>
            <w:webHidden/>
          </w:rPr>
          <w:tab/>
        </w:r>
        <w:r>
          <w:rPr>
            <w:webHidden/>
          </w:rPr>
          <w:fldChar w:fldCharType="begin"/>
        </w:r>
        <w:r>
          <w:rPr>
            <w:webHidden/>
          </w:rPr>
          <w:instrText xml:space="preserve"> PAGEREF _Toc204086885 \h </w:instrText>
        </w:r>
        <w:r>
          <w:rPr>
            <w:webHidden/>
          </w:rPr>
        </w:r>
        <w:r>
          <w:rPr>
            <w:webHidden/>
          </w:rPr>
          <w:fldChar w:fldCharType="separate"/>
        </w:r>
        <w:r w:rsidR="007519FF">
          <w:rPr>
            <w:webHidden/>
          </w:rPr>
          <w:t>12</w:t>
        </w:r>
        <w:r>
          <w:rPr>
            <w:webHidden/>
          </w:rPr>
          <w:fldChar w:fldCharType="end"/>
        </w:r>
      </w:hyperlink>
    </w:p>
    <w:p w14:paraId="0C8E633C" w14:textId="6A4A8A28" w:rsidR="000F6F8C" w:rsidRDefault="000F6F8C">
      <w:pPr>
        <w:pStyle w:val="TOC3"/>
        <w:rPr>
          <w:rFonts w:eastAsiaTheme="minorEastAsia"/>
          <w:kern w:val="2"/>
          <w:sz w:val="24"/>
          <w:szCs w:val="24"/>
          <w:lang w:eastAsia="en-AU"/>
          <w14:ligatures w14:val="standardContextual"/>
        </w:rPr>
      </w:pPr>
      <w:hyperlink w:anchor="_Toc204086886" w:history="1">
        <w:r w:rsidRPr="002A49FE">
          <w:rPr>
            <w:rStyle w:val="Hyperlink"/>
          </w:rPr>
          <w:t>Maintaining consumer protections</w:t>
        </w:r>
        <w:r>
          <w:rPr>
            <w:webHidden/>
          </w:rPr>
          <w:tab/>
        </w:r>
        <w:r>
          <w:rPr>
            <w:webHidden/>
          </w:rPr>
          <w:fldChar w:fldCharType="begin"/>
        </w:r>
        <w:r>
          <w:rPr>
            <w:webHidden/>
          </w:rPr>
          <w:instrText xml:space="preserve"> PAGEREF _Toc204086886 \h </w:instrText>
        </w:r>
        <w:r>
          <w:rPr>
            <w:webHidden/>
          </w:rPr>
        </w:r>
        <w:r>
          <w:rPr>
            <w:webHidden/>
          </w:rPr>
          <w:fldChar w:fldCharType="separate"/>
        </w:r>
        <w:r w:rsidR="007519FF">
          <w:rPr>
            <w:webHidden/>
          </w:rPr>
          <w:t>13</w:t>
        </w:r>
        <w:r>
          <w:rPr>
            <w:webHidden/>
          </w:rPr>
          <w:fldChar w:fldCharType="end"/>
        </w:r>
      </w:hyperlink>
    </w:p>
    <w:p w14:paraId="4D81AA72" w14:textId="3581DA17" w:rsidR="000F6F8C" w:rsidRDefault="000F6F8C">
      <w:pPr>
        <w:pStyle w:val="TOC3"/>
        <w:rPr>
          <w:rFonts w:eastAsiaTheme="minorEastAsia"/>
          <w:kern w:val="2"/>
          <w:sz w:val="24"/>
          <w:szCs w:val="24"/>
          <w:lang w:eastAsia="en-AU"/>
          <w14:ligatures w14:val="standardContextual"/>
        </w:rPr>
      </w:pPr>
      <w:hyperlink w:anchor="_Toc204086887" w:history="1">
        <w:r w:rsidRPr="002A49FE">
          <w:rPr>
            <w:rStyle w:val="Hyperlink"/>
          </w:rPr>
          <w:t>Family violence protections</w:t>
        </w:r>
        <w:r>
          <w:rPr>
            <w:webHidden/>
          </w:rPr>
          <w:tab/>
        </w:r>
        <w:r>
          <w:rPr>
            <w:webHidden/>
          </w:rPr>
          <w:fldChar w:fldCharType="begin"/>
        </w:r>
        <w:r>
          <w:rPr>
            <w:webHidden/>
          </w:rPr>
          <w:instrText xml:space="preserve"> PAGEREF _Toc204086887 \h </w:instrText>
        </w:r>
        <w:r>
          <w:rPr>
            <w:webHidden/>
          </w:rPr>
        </w:r>
        <w:r>
          <w:rPr>
            <w:webHidden/>
          </w:rPr>
          <w:fldChar w:fldCharType="separate"/>
        </w:r>
        <w:r w:rsidR="007519FF">
          <w:rPr>
            <w:webHidden/>
          </w:rPr>
          <w:t>14</w:t>
        </w:r>
        <w:r>
          <w:rPr>
            <w:webHidden/>
          </w:rPr>
          <w:fldChar w:fldCharType="end"/>
        </w:r>
      </w:hyperlink>
    </w:p>
    <w:p w14:paraId="0274B35B" w14:textId="60D5255A" w:rsidR="000F6F8C" w:rsidRDefault="000F6F8C">
      <w:pPr>
        <w:pStyle w:val="TOC1"/>
        <w:rPr>
          <w:rFonts w:eastAsiaTheme="minorEastAsia"/>
          <w:b w:val="0"/>
          <w:noProof/>
          <w:kern w:val="2"/>
          <w:sz w:val="24"/>
          <w:szCs w:val="24"/>
          <w:lang w:eastAsia="en-AU"/>
          <w14:ligatures w14:val="standardContextual"/>
        </w:rPr>
      </w:pPr>
      <w:hyperlink w:anchor="_Toc204086888" w:history="1">
        <w:r w:rsidRPr="002A49FE">
          <w:rPr>
            <w:rStyle w:val="Hyperlink"/>
            <w:noProof/>
          </w:rPr>
          <w:t>Timings and next steps</w:t>
        </w:r>
        <w:r>
          <w:rPr>
            <w:noProof/>
            <w:webHidden/>
          </w:rPr>
          <w:tab/>
        </w:r>
        <w:r>
          <w:rPr>
            <w:noProof/>
            <w:webHidden/>
          </w:rPr>
          <w:fldChar w:fldCharType="begin"/>
        </w:r>
        <w:r>
          <w:rPr>
            <w:noProof/>
            <w:webHidden/>
          </w:rPr>
          <w:instrText xml:space="preserve"> PAGEREF _Toc204086888 \h </w:instrText>
        </w:r>
        <w:r>
          <w:rPr>
            <w:noProof/>
            <w:webHidden/>
          </w:rPr>
        </w:r>
        <w:r>
          <w:rPr>
            <w:noProof/>
            <w:webHidden/>
          </w:rPr>
          <w:fldChar w:fldCharType="separate"/>
        </w:r>
        <w:r w:rsidR="007519FF">
          <w:rPr>
            <w:noProof/>
            <w:webHidden/>
          </w:rPr>
          <w:t>15</w:t>
        </w:r>
        <w:r>
          <w:rPr>
            <w:noProof/>
            <w:webHidden/>
          </w:rPr>
          <w:fldChar w:fldCharType="end"/>
        </w:r>
      </w:hyperlink>
    </w:p>
    <w:p w14:paraId="521158AA" w14:textId="602F2A3E" w:rsidR="000F6F8C" w:rsidRDefault="000F6F8C">
      <w:pPr>
        <w:pStyle w:val="TOC1"/>
        <w:rPr>
          <w:rFonts w:eastAsiaTheme="minorEastAsia"/>
          <w:b w:val="0"/>
          <w:noProof/>
          <w:kern w:val="2"/>
          <w:sz w:val="24"/>
          <w:szCs w:val="24"/>
          <w:lang w:eastAsia="en-AU"/>
          <w14:ligatures w14:val="standardContextual"/>
        </w:rPr>
      </w:pPr>
      <w:hyperlink w:anchor="_Toc204086889" w:history="1">
        <w:r w:rsidRPr="002A49FE">
          <w:rPr>
            <w:rStyle w:val="Hyperlink"/>
            <w:noProof/>
          </w:rPr>
          <w:t>Appendix A – Engagement summary</w:t>
        </w:r>
        <w:r>
          <w:rPr>
            <w:noProof/>
            <w:webHidden/>
          </w:rPr>
          <w:tab/>
        </w:r>
        <w:r>
          <w:rPr>
            <w:noProof/>
            <w:webHidden/>
          </w:rPr>
          <w:fldChar w:fldCharType="begin"/>
        </w:r>
        <w:r>
          <w:rPr>
            <w:noProof/>
            <w:webHidden/>
          </w:rPr>
          <w:instrText xml:space="preserve"> PAGEREF _Toc204086889 \h </w:instrText>
        </w:r>
        <w:r>
          <w:rPr>
            <w:noProof/>
            <w:webHidden/>
          </w:rPr>
        </w:r>
        <w:r>
          <w:rPr>
            <w:noProof/>
            <w:webHidden/>
          </w:rPr>
          <w:fldChar w:fldCharType="separate"/>
        </w:r>
        <w:r w:rsidR="007519FF">
          <w:rPr>
            <w:noProof/>
            <w:webHidden/>
          </w:rPr>
          <w:t>16</w:t>
        </w:r>
        <w:r>
          <w:rPr>
            <w:noProof/>
            <w:webHidden/>
          </w:rPr>
          <w:fldChar w:fldCharType="end"/>
        </w:r>
      </w:hyperlink>
    </w:p>
    <w:p w14:paraId="7E834AD9" w14:textId="6C422485" w:rsidR="000F6F8C" w:rsidRDefault="000F6F8C">
      <w:pPr>
        <w:pStyle w:val="TOC1"/>
        <w:rPr>
          <w:rFonts w:eastAsiaTheme="minorEastAsia"/>
          <w:b w:val="0"/>
          <w:noProof/>
          <w:kern w:val="2"/>
          <w:sz w:val="24"/>
          <w:szCs w:val="24"/>
          <w:lang w:eastAsia="en-AU"/>
          <w14:ligatures w14:val="standardContextual"/>
        </w:rPr>
      </w:pPr>
      <w:hyperlink w:anchor="_Toc204086890" w:history="1">
        <w:r w:rsidRPr="002A49FE">
          <w:rPr>
            <w:rStyle w:val="Hyperlink"/>
            <w:noProof/>
          </w:rPr>
          <w:t>Appendix B – Amendments to other codes of practice</w:t>
        </w:r>
        <w:r>
          <w:rPr>
            <w:noProof/>
            <w:webHidden/>
          </w:rPr>
          <w:tab/>
        </w:r>
        <w:r>
          <w:rPr>
            <w:noProof/>
            <w:webHidden/>
          </w:rPr>
          <w:fldChar w:fldCharType="begin"/>
        </w:r>
        <w:r>
          <w:rPr>
            <w:noProof/>
            <w:webHidden/>
          </w:rPr>
          <w:instrText xml:space="preserve"> PAGEREF _Toc204086890 \h </w:instrText>
        </w:r>
        <w:r>
          <w:rPr>
            <w:noProof/>
            <w:webHidden/>
          </w:rPr>
        </w:r>
        <w:r>
          <w:rPr>
            <w:noProof/>
            <w:webHidden/>
          </w:rPr>
          <w:fldChar w:fldCharType="separate"/>
        </w:r>
        <w:r w:rsidR="007519FF">
          <w:rPr>
            <w:noProof/>
            <w:webHidden/>
          </w:rPr>
          <w:t>18</w:t>
        </w:r>
        <w:r>
          <w:rPr>
            <w:noProof/>
            <w:webHidden/>
          </w:rPr>
          <w:fldChar w:fldCharType="end"/>
        </w:r>
      </w:hyperlink>
    </w:p>
    <w:p w14:paraId="72534B22" w14:textId="0DDB568E" w:rsidR="001F6B51" w:rsidRDefault="00C51D4B" w:rsidP="00C51D4B">
      <w:pPr>
        <w:pStyle w:val="Heading1"/>
      </w:pPr>
      <w:r>
        <w:rPr>
          <w:noProof/>
        </w:rPr>
        <w:fldChar w:fldCharType="end"/>
      </w:r>
      <w:bookmarkStart w:id="14" w:name="_Toc204086870"/>
      <w:r w:rsidR="001F6B51">
        <w:t>Summary</w:t>
      </w:r>
      <w:bookmarkEnd w:id="9"/>
      <w:bookmarkEnd w:id="10"/>
      <w:bookmarkEnd w:id="11"/>
      <w:bookmarkEnd w:id="14"/>
    </w:p>
    <w:p w14:paraId="00763CBC" w14:textId="53A754B2" w:rsidR="001F6B51" w:rsidRDefault="001F6B51" w:rsidP="001F6B51">
      <w:pPr>
        <w:pStyle w:val="Pull-out"/>
        <w:jc w:val="both"/>
      </w:pPr>
      <w:r>
        <w:t xml:space="preserve">The Essential Services Commission has </w:t>
      </w:r>
      <w:r w:rsidR="008D7EA6">
        <w:t>decided</w:t>
      </w:r>
      <w:r>
        <w:t xml:space="preserve"> to revoke the Electricity Customer Metering Code of Practice and the Electricity Customer Transfer Code of Practice.  </w:t>
      </w:r>
    </w:p>
    <w:p w14:paraId="5304A2A1" w14:textId="77777777" w:rsidR="001F6B51" w:rsidRDefault="001F6B51" w:rsidP="001F6B51">
      <w:pPr>
        <w:pStyle w:val="Pull-out"/>
      </w:pPr>
      <w:r>
        <w:t xml:space="preserve">The revocation of these codes will take effect on 12 September 2025. </w:t>
      </w:r>
    </w:p>
    <w:p w14:paraId="73DFEC61" w14:textId="7977501E" w:rsidR="001F6B51" w:rsidRDefault="001F6B51" w:rsidP="001F6B51">
      <w:r>
        <w:t xml:space="preserve">This paper details our decision to revoke the </w:t>
      </w:r>
      <w:hyperlink r:id="rId16">
        <w:r w:rsidRPr="2A0D42E9">
          <w:rPr>
            <w:rStyle w:val="Hyperlink"/>
          </w:rPr>
          <w:t>Electricity Customer Transfer Code of Practice</w:t>
        </w:r>
      </w:hyperlink>
      <w:r>
        <w:t xml:space="preserve"> (Transfer Code) and the </w:t>
      </w:r>
      <w:hyperlink r:id="rId17">
        <w:r w:rsidRPr="2A0D42E9">
          <w:rPr>
            <w:rStyle w:val="Hyperlink"/>
          </w:rPr>
          <w:t>Electricity Customer Metering Code of Practice</w:t>
        </w:r>
      </w:hyperlink>
      <w:r>
        <w:t xml:space="preserve"> (Metering Code), referred together as ‘the codes’. </w:t>
      </w:r>
    </w:p>
    <w:p w14:paraId="705859B9" w14:textId="655DF8F4" w:rsidR="007F1F31" w:rsidRDefault="007F1F31" w:rsidP="00EB2977">
      <w:pPr>
        <w:pStyle w:val="Heading3"/>
      </w:pPr>
      <w:bookmarkStart w:id="15" w:name="_Toc204086871"/>
      <w:r>
        <w:t>Earlier revocation</w:t>
      </w:r>
      <w:bookmarkEnd w:id="15"/>
    </w:p>
    <w:p w14:paraId="707C2E23" w14:textId="7C183DBA" w:rsidR="001F6B51" w:rsidRDefault="001F6B51" w:rsidP="001F6B51">
      <w:r>
        <w:t>As per section 76</w:t>
      </w:r>
      <w:r w:rsidR="00BC12CC">
        <w:t>(3</w:t>
      </w:r>
      <w:r w:rsidDel="00BC12CC">
        <w:t>)</w:t>
      </w:r>
      <w:r>
        <w:t xml:space="preserve"> of the </w:t>
      </w:r>
      <w:r>
        <w:rPr>
          <w:i/>
          <w:iCs/>
        </w:rPr>
        <w:t xml:space="preserve">Essential Services Commission Act </w:t>
      </w:r>
      <w:r w:rsidRPr="00680264">
        <w:rPr>
          <w:i/>
          <w:iCs/>
        </w:rPr>
        <w:t>2001</w:t>
      </w:r>
      <w:r>
        <w:t>, these codes were to be revoked on 31 December 2025</w:t>
      </w:r>
      <w:r w:rsidR="00417182">
        <w:t>.</w:t>
      </w:r>
      <w:r w:rsidR="00185E85">
        <w:t xml:space="preserve"> </w:t>
      </w:r>
      <w:r w:rsidR="00417182">
        <w:t>H</w:t>
      </w:r>
      <w:r w:rsidR="00185E85">
        <w:t>owever</w:t>
      </w:r>
      <w:r w:rsidR="00417182">
        <w:t>,</w:t>
      </w:r>
      <w:r w:rsidR="00185E85">
        <w:t xml:space="preserve"> we have </w:t>
      </w:r>
      <w:r w:rsidR="005B1992">
        <w:t xml:space="preserve">decided </w:t>
      </w:r>
      <w:r w:rsidR="00185E85">
        <w:t>to revoke them earlier</w:t>
      </w:r>
      <w:r w:rsidR="008B520F">
        <w:t>. This</w:t>
      </w:r>
      <w:r w:rsidR="009E673D">
        <w:t xml:space="preserve"> follow</w:t>
      </w:r>
      <w:r w:rsidR="008B520F">
        <w:t>s</w:t>
      </w:r>
      <w:r w:rsidR="009E673D">
        <w:t xml:space="preserve"> a</w:t>
      </w:r>
      <w:r>
        <w:t xml:space="preserve"> review</w:t>
      </w:r>
      <w:r w:rsidR="009E673D">
        <w:t xml:space="preserve"> of </w:t>
      </w:r>
      <w:r w:rsidR="005F5947">
        <w:t xml:space="preserve">the codes </w:t>
      </w:r>
      <w:r w:rsidR="00B016EC">
        <w:t>which considered</w:t>
      </w:r>
      <w:r>
        <w:t xml:space="preserve"> whether any provisions remain</w:t>
      </w:r>
      <w:r w:rsidR="002E5DD2">
        <w:t>ed</w:t>
      </w:r>
      <w:r>
        <w:t xml:space="preserve"> relevant and </w:t>
      </w:r>
      <w:r w:rsidR="00673F71">
        <w:t>needed to</w:t>
      </w:r>
      <w:r>
        <w:t xml:space="preserve"> be retained.</w:t>
      </w:r>
    </w:p>
    <w:p w14:paraId="52FFAA96" w14:textId="62188E49" w:rsidR="00705D59" w:rsidRDefault="004C571E" w:rsidP="00680264">
      <w:pPr>
        <w:pStyle w:val="Heading3"/>
      </w:pPr>
      <w:bookmarkStart w:id="16" w:name="_Toc204086872"/>
      <w:r>
        <w:t xml:space="preserve">Other instruments </w:t>
      </w:r>
      <w:r w:rsidR="00C62885">
        <w:t>cover</w:t>
      </w:r>
      <w:r w:rsidR="00BA67D6">
        <w:t>ing</w:t>
      </w:r>
      <w:r>
        <w:t xml:space="preserve"> </w:t>
      </w:r>
      <w:r w:rsidR="00C62885">
        <w:t>customer transfers and metering</w:t>
      </w:r>
      <w:bookmarkEnd w:id="16"/>
    </w:p>
    <w:p w14:paraId="6702D9F1" w14:textId="3CA681E5" w:rsidR="001F6B51" w:rsidRDefault="001F6B51" w:rsidP="001F6B51">
      <w:r>
        <w:t xml:space="preserve">We consider that obligations </w:t>
      </w:r>
      <w:r w:rsidR="00463C41">
        <w:t>in the codes</w:t>
      </w:r>
      <w:r>
        <w:t xml:space="preserve"> related to electricity customer transfers and electricity customer metering are </w:t>
      </w:r>
      <w:r w:rsidR="00270A12">
        <w:t xml:space="preserve">sufficiently </w:t>
      </w:r>
      <w:r>
        <w:t xml:space="preserve">provided </w:t>
      </w:r>
      <w:r w:rsidR="00B04983">
        <w:t>for in</w:t>
      </w:r>
      <w:r>
        <w:t xml:space="preserve"> the following instruments</w:t>
      </w:r>
      <w:r w:rsidR="00250C67">
        <w:t>:</w:t>
      </w:r>
    </w:p>
    <w:p w14:paraId="736FDBAC" w14:textId="77777777" w:rsidR="001F6B51" w:rsidRDefault="001F6B51" w:rsidP="001F6B51">
      <w:pPr>
        <w:pStyle w:val="ListBullet"/>
        <w:numPr>
          <w:ilvl w:val="0"/>
          <w:numId w:val="35"/>
        </w:numPr>
        <w:ind w:left="284" w:hanging="284"/>
      </w:pPr>
      <w:r>
        <w:t xml:space="preserve">National Electricity Rules (NER) </w:t>
      </w:r>
    </w:p>
    <w:p w14:paraId="254B4F9F" w14:textId="77777777" w:rsidR="001F6B51" w:rsidRDefault="001F6B51" w:rsidP="001F6B51">
      <w:pPr>
        <w:pStyle w:val="ListBullet"/>
        <w:numPr>
          <w:ilvl w:val="0"/>
          <w:numId w:val="35"/>
        </w:numPr>
        <w:ind w:left="284" w:hanging="284"/>
      </w:pPr>
      <w:r>
        <w:t xml:space="preserve">Market Settlements and Transfer Solutions (MSATS) Procedures Principles and Obligations </w:t>
      </w:r>
    </w:p>
    <w:p w14:paraId="553A3D3C" w14:textId="628D22D1" w:rsidR="001F6B51" w:rsidRPr="000468FC" w:rsidRDefault="001F6B51" w:rsidP="001F6B51">
      <w:pPr>
        <w:pStyle w:val="ListBullet"/>
        <w:numPr>
          <w:ilvl w:val="0"/>
          <w:numId w:val="35"/>
        </w:numPr>
        <w:ind w:left="284" w:hanging="284"/>
      </w:pPr>
      <w:r w:rsidRPr="000468FC">
        <w:t>Metrology Procedures</w:t>
      </w:r>
      <w:r w:rsidR="00AB3C98" w:rsidRPr="000468FC">
        <w:rPr>
          <w:rStyle w:val="FootnoteReference"/>
        </w:rPr>
        <w:footnoteReference w:id="1"/>
      </w:r>
      <w:r w:rsidRPr="000468FC">
        <w:t xml:space="preserve"> </w:t>
      </w:r>
    </w:p>
    <w:p w14:paraId="364C02A9" w14:textId="77777777" w:rsidR="001F6B51" w:rsidRDefault="001F6B51" w:rsidP="001F6B51">
      <w:pPr>
        <w:pStyle w:val="ListBullet"/>
        <w:numPr>
          <w:ilvl w:val="0"/>
          <w:numId w:val="35"/>
        </w:numPr>
        <w:ind w:left="284" w:hanging="284"/>
      </w:pPr>
      <w:r>
        <w:t xml:space="preserve">Electricity Distribution Code of Practice </w:t>
      </w:r>
    </w:p>
    <w:p w14:paraId="1D0EDB66" w14:textId="77777777" w:rsidR="001F6B51" w:rsidRDefault="001F6B51" w:rsidP="001F6B51">
      <w:pPr>
        <w:pStyle w:val="ListBullet"/>
        <w:numPr>
          <w:ilvl w:val="0"/>
          <w:numId w:val="35"/>
        </w:numPr>
        <w:ind w:left="284" w:hanging="284"/>
      </w:pPr>
      <w:r>
        <w:t xml:space="preserve">Energy Retail Code of Practice </w:t>
      </w:r>
    </w:p>
    <w:p w14:paraId="5E038EE7" w14:textId="77777777" w:rsidR="001F6B51" w:rsidRDefault="001F6B51" w:rsidP="001F6B51">
      <w:pPr>
        <w:pStyle w:val="ListBullet"/>
        <w:numPr>
          <w:ilvl w:val="0"/>
          <w:numId w:val="35"/>
        </w:numPr>
        <w:ind w:left="284" w:hanging="284"/>
      </w:pPr>
      <w:r>
        <w:t>Orders in Council.</w:t>
      </w:r>
    </w:p>
    <w:p w14:paraId="498E0C42" w14:textId="12B03039" w:rsidR="001F6B51" w:rsidRDefault="001F6B51" w:rsidP="001F6B51">
      <w:r>
        <w:t xml:space="preserve">Our decision to revoke both codes in their entirety will remove unnecessary duplication and outdated rules imposed by the codes. We note that the Energy Retail Code of Practice and </w:t>
      </w:r>
      <w:r w:rsidR="002464CD">
        <w:t xml:space="preserve">the </w:t>
      </w:r>
      <w:r>
        <w:t xml:space="preserve">Electricity Distribution Code of Practice contain minor references to the codes (see </w:t>
      </w:r>
      <w:r w:rsidRPr="00992D4C">
        <w:t>Appendix A</w:t>
      </w:r>
      <w:r>
        <w:t xml:space="preserve">), which will be removed in due course. </w:t>
      </w:r>
    </w:p>
    <w:p w14:paraId="69791FBC" w14:textId="77777777" w:rsidR="001F6B51" w:rsidRDefault="001F6B51" w:rsidP="0085055C">
      <w:pPr>
        <w:pStyle w:val="Heading2numbered"/>
      </w:pPr>
      <w:bookmarkStart w:id="17" w:name="_Toc199412889"/>
      <w:bookmarkStart w:id="18" w:name="_Toc199413445"/>
      <w:bookmarkStart w:id="19" w:name="_Toc202357979"/>
      <w:bookmarkStart w:id="20" w:name="_Toc204086873"/>
      <w:r>
        <w:t>Who we consulted</w:t>
      </w:r>
      <w:bookmarkEnd w:id="17"/>
      <w:bookmarkEnd w:id="18"/>
      <w:bookmarkEnd w:id="19"/>
      <w:bookmarkEnd w:id="20"/>
      <w:r>
        <w:t xml:space="preserve"> </w:t>
      </w:r>
    </w:p>
    <w:p w14:paraId="66C34E61" w14:textId="163EB89B" w:rsidR="001F6B51" w:rsidRDefault="001F6B51" w:rsidP="001F6B51">
      <w:r>
        <w:t xml:space="preserve">On 7 April 2025, we distributed a </w:t>
      </w:r>
      <w:r w:rsidRPr="00215ECA">
        <w:t>consultation paper</w:t>
      </w:r>
      <w:r>
        <w:t xml:space="preserve"> for targeted consultation. We invited stakeholders who are regulated or impacted by the codes to provide written feedback</w:t>
      </w:r>
      <w:r w:rsidR="00B95ABF">
        <w:t xml:space="preserve">. </w:t>
      </w:r>
      <w:r>
        <w:t xml:space="preserve">The paper detailed our proposal to revoke the codes. </w:t>
      </w:r>
      <w:r w:rsidR="00061085">
        <w:t>It also</w:t>
      </w:r>
      <w:r>
        <w:t xml:space="preserve"> highlighted key code provisions for stakeholder feedback and sought views on whether there were compelling reasons for us to </w:t>
      </w:r>
      <w:r w:rsidR="00F77BE6">
        <w:t>include</w:t>
      </w:r>
      <w:r>
        <w:t xml:space="preserve"> any provisions in our other codes. </w:t>
      </w:r>
    </w:p>
    <w:p w14:paraId="6DA2CC55" w14:textId="77777777" w:rsidR="001F6B51" w:rsidRDefault="001F6B51" w:rsidP="001F6B51">
      <w:r>
        <w:t xml:space="preserve">Our targeted consultation sought feedback from key stakeholders </w:t>
      </w:r>
      <w:r w:rsidRPr="007F21F9">
        <w:t>including electricity distribution businesses, consumer and community group</w:t>
      </w:r>
      <w:r>
        <w:t>s</w:t>
      </w:r>
      <w:r w:rsidRPr="007F21F9">
        <w:t xml:space="preserve">, electricity retailers, embedded network operators, Victorian </w:t>
      </w:r>
      <w:r>
        <w:t>G</w:t>
      </w:r>
      <w:r w:rsidRPr="007F21F9">
        <w:t>overnment departments</w:t>
      </w:r>
      <w:r>
        <w:t xml:space="preserve"> and agencies, the Australian Energy Market Operator (AEMO), the Energy and Water Ombudsman Victoria (EWOV)</w:t>
      </w:r>
      <w:r w:rsidRPr="007F21F9">
        <w:t xml:space="preserve"> and other regulators. </w:t>
      </w:r>
    </w:p>
    <w:p w14:paraId="5C0728A7" w14:textId="4FAED06A" w:rsidR="00AB5682" w:rsidRDefault="00AB5682" w:rsidP="002C1877">
      <w:pPr>
        <w:pStyle w:val="Heading3"/>
      </w:pPr>
      <w:bookmarkStart w:id="21" w:name="_Toc204086874"/>
      <w:r>
        <w:t>The Australian Energy Market Operator</w:t>
      </w:r>
      <w:bookmarkEnd w:id="21"/>
      <w:r>
        <w:t xml:space="preserve"> </w:t>
      </w:r>
    </w:p>
    <w:p w14:paraId="1985C4B4" w14:textId="6EE69D19" w:rsidR="001F6B51" w:rsidRDefault="001F6B51" w:rsidP="001F6B51">
      <w:r>
        <w:t xml:space="preserve">We consulted AEMO to understand how revoking the codes </w:t>
      </w:r>
      <w:r w:rsidR="00C54635">
        <w:t xml:space="preserve">would </w:t>
      </w:r>
      <w:r>
        <w:t>impact the</w:t>
      </w:r>
      <w:r w:rsidR="00C54635">
        <w:t xml:space="preserve">ir procedures </w:t>
      </w:r>
      <w:r>
        <w:t xml:space="preserve">and what timeframes </w:t>
      </w:r>
      <w:r w:rsidR="001B6949">
        <w:t>w</w:t>
      </w:r>
      <w:r>
        <w:t xml:space="preserve">ould be needed to implement any </w:t>
      </w:r>
      <w:r w:rsidR="00C54635">
        <w:t>consequential</w:t>
      </w:r>
      <w:r>
        <w:t xml:space="preserve"> changes. AEMO administers electricity customer transfers and metering through the NER, MSATS and Metrology </w:t>
      </w:r>
      <w:r w:rsidR="004C3883">
        <w:t>Procedures</w:t>
      </w:r>
      <w:r>
        <w:t xml:space="preserve">. </w:t>
      </w:r>
      <w:r w:rsidR="00557F98">
        <w:t xml:space="preserve">We note that </w:t>
      </w:r>
      <w:r w:rsidR="00476EB2">
        <w:t xml:space="preserve">AEMO’s MSATS procedures include </w:t>
      </w:r>
      <w:r w:rsidR="00A17FA7">
        <w:t>a process</w:t>
      </w:r>
      <w:r w:rsidR="00D16DAE">
        <w:t xml:space="preserve"> that </w:t>
      </w:r>
      <w:r w:rsidR="00A17FA7">
        <w:t>is</w:t>
      </w:r>
      <w:r w:rsidR="00D16DAE">
        <w:t xml:space="preserve"> unique to </w:t>
      </w:r>
      <w:r w:rsidR="00247A94">
        <w:t>Victoria</w:t>
      </w:r>
      <w:r w:rsidR="00D16DAE">
        <w:t xml:space="preserve"> because of </w:t>
      </w:r>
      <w:r w:rsidR="00FC44DC">
        <w:t>the Transfer Code. Revoking the Transfer Code</w:t>
      </w:r>
      <w:r>
        <w:t xml:space="preserve"> will </w:t>
      </w:r>
      <w:r w:rsidR="00AA00A6">
        <w:t>remove the need for this Victorian-specific process</w:t>
      </w:r>
      <w:r w:rsidR="00557F98">
        <w:t xml:space="preserve">, and AEMO can </w:t>
      </w:r>
      <w:r w:rsidR="00F50F8F">
        <w:t>then</w:t>
      </w:r>
      <w:r w:rsidR="0062217D" w:rsidDel="00557F98">
        <w:t xml:space="preserve"> </w:t>
      </w:r>
      <w:r w:rsidR="00557F98">
        <w:t xml:space="preserve">remove </w:t>
      </w:r>
      <w:r w:rsidR="006734FC">
        <w:t xml:space="preserve">this </w:t>
      </w:r>
      <w:r w:rsidR="00CF4E6F">
        <w:t xml:space="preserve">from </w:t>
      </w:r>
      <w:r w:rsidR="00557F98">
        <w:t xml:space="preserve">its </w:t>
      </w:r>
      <w:r>
        <w:t>MSATS procedures</w:t>
      </w:r>
      <w:r w:rsidR="00446A7E">
        <w:t>.</w:t>
      </w:r>
    </w:p>
    <w:p w14:paraId="554A300B" w14:textId="7B894DDA" w:rsidR="00287CD3" w:rsidRDefault="00287CD3" w:rsidP="002C1877">
      <w:pPr>
        <w:pStyle w:val="Heading3"/>
      </w:pPr>
      <w:bookmarkStart w:id="22" w:name="_Toc204086875"/>
      <w:r>
        <w:t>Electricity businesses</w:t>
      </w:r>
      <w:r w:rsidR="00C07171">
        <w:t xml:space="preserve"> and consumer groups</w:t>
      </w:r>
      <w:bookmarkEnd w:id="22"/>
      <w:r>
        <w:t xml:space="preserve"> </w:t>
      </w:r>
    </w:p>
    <w:p w14:paraId="660DDCF8" w14:textId="61A014C8" w:rsidR="001F6B51" w:rsidRDefault="001F6B51" w:rsidP="001F6B51">
      <w:r>
        <w:t xml:space="preserve">We consulted electricity distribution and retail businesses to understand </w:t>
      </w:r>
      <w:r w:rsidR="00EF329F">
        <w:t xml:space="preserve">if </w:t>
      </w:r>
      <w:r>
        <w:t xml:space="preserve">revoking the codes would impact their operations and procedures. We </w:t>
      </w:r>
      <w:r w:rsidR="00C54635">
        <w:t xml:space="preserve">also </w:t>
      </w:r>
      <w:r>
        <w:t>consulted Victorian consumer and community groups to understand how consumers may be impacted by the proposed revocation of the codes. We sought the perspectives of these groups regarding the removal</w:t>
      </w:r>
      <w:r w:rsidRPr="00757DBF">
        <w:t xml:space="preserve"> of Victoria</w:t>
      </w:r>
      <w:r w:rsidR="00583181">
        <w:t>’</w:t>
      </w:r>
      <w:r w:rsidRPr="00757DBF">
        <w:t>s customer transfer debt objection</w:t>
      </w:r>
      <w:r>
        <w:t xml:space="preserve"> under the Transfer Code to ensure that </w:t>
      </w:r>
      <w:r w:rsidR="0083748A">
        <w:t>the revocation</w:t>
      </w:r>
      <w:r>
        <w:t xml:space="preserve"> </w:t>
      </w:r>
      <w:r w:rsidR="00B138CD">
        <w:t xml:space="preserve">of this clause </w:t>
      </w:r>
      <w:r>
        <w:t>w</w:t>
      </w:r>
      <w:r w:rsidR="0083748A">
        <w:t>ould</w:t>
      </w:r>
      <w:r>
        <w:t xml:space="preserve"> not negatively impact customers experiencing payment difficulties. </w:t>
      </w:r>
    </w:p>
    <w:p w14:paraId="6D64D223" w14:textId="77777777" w:rsidR="008A3DA5" w:rsidRDefault="008A3DA5" w:rsidP="002C1877">
      <w:pPr>
        <w:pStyle w:val="Heading2"/>
      </w:pPr>
      <w:bookmarkStart w:id="23" w:name="_Toc204086876"/>
      <w:r>
        <w:t>Submissions</w:t>
      </w:r>
      <w:bookmarkEnd w:id="23"/>
    </w:p>
    <w:p w14:paraId="3CE313C0" w14:textId="66917EDB" w:rsidR="001F6B51" w:rsidRDefault="001F6B51" w:rsidP="001F6B51">
      <w:r>
        <w:t>We received nine written submissions</w:t>
      </w:r>
      <w:r w:rsidR="00B730F9">
        <w:t>:</w:t>
      </w:r>
    </w:p>
    <w:p w14:paraId="6E7977AD" w14:textId="77777777" w:rsidR="001F6B51" w:rsidRPr="006C0780" w:rsidRDefault="001F6B51" w:rsidP="001F6B51">
      <w:pPr>
        <w:pStyle w:val="ListBullet"/>
        <w:numPr>
          <w:ilvl w:val="0"/>
          <w:numId w:val="35"/>
        </w:numPr>
        <w:ind w:left="284" w:hanging="284"/>
      </w:pPr>
      <w:r w:rsidRPr="006C0780">
        <w:t>Australian Energy Council (AEC)</w:t>
      </w:r>
    </w:p>
    <w:p w14:paraId="44F11A43" w14:textId="77777777" w:rsidR="001F6B51" w:rsidRPr="006C0780" w:rsidRDefault="001F6B51" w:rsidP="001F6B51">
      <w:pPr>
        <w:pStyle w:val="ListBullet"/>
        <w:numPr>
          <w:ilvl w:val="0"/>
          <w:numId w:val="35"/>
        </w:numPr>
        <w:ind w:left="284" w:hanging="284"/>
      </w:pPr>
      <w:r w:rsidRPr="006C0780">
        <w:t>AEMO</w:t>
      </w:r>
    </w:p>
    <w:p w14:paraId="70896443" w14:textId="77777777" w:rsidR="001F6B51" w:rsidRPr="006C0780" w:rsidRDefault="001F6B51" w:rsidP="001F6B51">
      <w:pPr>
        <w:pStyle w:val="ListBullet"/>
        <w:numPr>
          <w:ilvl w:val="0"/>
          <w:numId w:val="35"/>
        </w:numPr>
        <w:ind w:left="284" w:hanging="284"/>
      </w:pPr>
      <w:r w:rsidRPr="006C0780">
        <w:t xml:space="preserve">AGL </w:t>
      </w:r>
    </w:p>
    <w:p w14:paraId="61D85C11" w14:textId="77777777" w:rsidR="001F6B51" w:rsidRPr="006C0780" w:rsidRDefault="001F6B51" w:rsidP="001F6B51">
      <w:pPr>
        <w:pStyle w:val="ListBullet"/>
        <w:numPr>
          <w:ilvl w:val="0"/>
          <w:numId w:val="35"/>
        </w:numPr>
        <w:ind w:left="284" w:hanging="284"/>
      </w:pPr>
      <w:r w:rsidRPr="006C0780">
        <w:t>AusNet</w:t>
      </w:r>
    </w:p>
    <w:p w14:paraId="4450F096" w14:textId="77777777" w:rsidR="001F6B51" w:rsidRPr="006C0780" w:rsidRDefault="001F6B51" w:rsidP="001F6B51">
      <w:pPr>
        <w:pStyle w:val="ListBullet"/>
        <w:numPr>
          <w:ilvl w:val="0"/>
          <w:numId w:val="35"/>
        </w:numPr>
        <w:ind w:left="284" w:hanging="284"/>
      </w:pPr>
      <w:r w:rsidRPr="006C0780">
        <w:t xml:space="preserve">CitiPower, </w:t>
      </w:r>
      <w:proofErr w:type="spellStart"/>
      <w:r w:rsidRPr="006C0780">
        <w:t>Powercor</w:t>
      </w:r>
      <w:proofErr w:type="spellEnd"/>
      <w:r w:rsidRPr="006C0780">
        <w:t xml:space="preserve"> &amp; United Energy</w:t>
      </w:r>
    </w:p>
    <w:p w14:paraId="702A805B" w14:textId="77777777" w:rsidR="001F6B51" w:rsidRPr="006C0780" w:rsidRDefault="001F6B51" w:rsidP="001F6B51">
      <w:pPr>
        <w:pStyle w:val="ListBullet"/>
        <w:numPr>
          <w:ilvl w:val="0"/>
          <w:numId w:val="35"/>
        </w:numPr>
        <w:ind w:left="284" w:hanging="284"/>
      </w:pPr>
      <w:r w:rsidRPr="006C0780">
        <w:t>Energy On</w:t>
      </w:r>
    </w:p>
    <w:p w14:paraId="298B2968" w14:textId="77777777" w:rsidR="001F6B51" w:rsidRPr="006C0780" w:rsidRDefault="001F6B51" w:rsidP="001F6B51">
      <w:pPr>
        <w:pStyle w:val="ListBullet"/>
        <w:numPr>
          <w:ilvl w:val="0"/>
          <w:numId w:val="35"/>
        </w:numPr>
        <w:ind w:left="284" w:hanging="284"/>
      </w:pPr>
      <w:r w:rsidRPr="006C0780">
        <w:t xml:space="preserve">Engie </w:t>
      </w:r>
    </w:p>
    <w:p w14:paraId="5AC0487B" w14:textId="77777777" w:rsidR="001F6B51" w:rsidRPr="006C0780" w:rsidRDefault="001F6B51" w:rsidP="001F6B51">
      <w:pPr>
        <w:pStyle w:val="ListBullet"/>
        <w:numPr>
          <w:ilvl w:val="0"/>
          <w:numId w:val="35"/>
        </w:numPr>
        <w:ind w:left="284" w:hanging="284"/>
      </w:pPr>
      <w:r w:rsidRPr="006C0780">
        <w:t>Jemena</w:t>
      </w:r>
    </w:p>
    <w:p w14:paraId="1DA97E63" w14:textId="1E3B8160" w:rsidR="001F6B51" w:rsidRPr="006C0780" w:rsidRDefault="001F6B51" w:rsidP="001F6B51">
      <w:pPr>
        <w:pStyle w:val="ListBullet"/>
        <w:numPr>
          <w:ilvl w:val="0"/>
          <w:numId w:val="35"/>
        </w:numPr>
        <w:ind w:left="284" w:hanging="284"/>
      </w:pPr>
      <w:r w:rsidRPr="006C0780">
        <w:t>Origin</w:t>
      </w:r>
      <w:r w:rsidR="00A65736">
        <w:t>.</w:t>
      </w:r>
    </w:p>
    <w:p w14:paraId="26C20A01" w14:textId="77777777" w:rsidR="00EE48A7" w:rsidRDefault="001F6B51" w:rsidP="001F6B51">
      <w:r>
        <w:t xml:space="preserve">All submissions expressed support for revoking the codes. Stakeholders indicated that this action would help align customer transfer and metering rules with national regulations and eliminate redundant requirements. </w:t>
      </w:r>
    </w:p>
    <w:p w14:paraId="179C35E1" w14:textId="5FA3B776" w:rsidR="004835B7" w:rsidRDefault="001F6B51" w:rsidP="001F6B51">
      <w:r>
        <w:t>Stakeholders did not anticipate the revocation having any negative impacts on industry or the community.</w:t>
      </w:r>
      <w:r w:rsidR="001108E4">
        <w:t xml:space="preserve"> </w:t>
      </w:r>
    </w:p>
    <w:p w14:paraId="6C4E40EA" w14:textId="4D81745E" w:rsidR="00BC25C9" w:rsidRDefault="00051FDB" w:rsidP="002C1877">
      <w:pPr>
        <w:pStyle w:val="Pull-out"/>
      </w:pPr>
      <w:r>
        <w:t xml:space="preserve">See the </w:t>
      </w:r>
      <w:r w:rsidR="001F6B51">
        <w:t xml:space="preserve">submissions on our </w:t>
      </w:r>
      <w:hyperlink r:id="rId18" w:history="1">
        <w:r w:rsidR="001F6B51" w:rsidRPr="00321F4D">
          <w:rPr>
            <w:rStyle w:val="Hyperlink"/>
          </w:rPr>
          <w:t>website</w:t>
        </w:r>
      </w:hyperlink>
      <w:r w:rsidR="001F6B51" w:rsidRPr="00C92837">
        <w:t xml:space="preserve">. </w:t>
      </w:r>
    </w:p>
    <w:p w14:paraId="32FD13BB" w14:textId="41C6378F" w:rsidR="001F6B51" w:rsidRDefault="001F6B51" w:rsidP="001F6B51">
      <w:r w:rsidRPr="00C92837">
        <w:t>The following section</w:t>
      </w:r>
      <w:r>
        <w:t>s</w:t>
      </w:r>
      <w:r w:rsidRPr="00C92837">
        <w:t xml:space="preserve"> set out our reasons for revoking the </w:t>
      </w:r>
      <w:r>
        <w:t>c</w:t>
      </w:r>
      <w:r w:rsidRPr="00C92837">
        <w:t>ode</w:t>
      </w:r>
      <w:r>
        <w:t>s.</w:t>
      </w:r>
    </w:p>
    <w:p w14:paraId="14D8C2A0" w14:textId="77777777" w:rsidR="001F6B51" w:rsidRDefault="001F6B51" w:rsidP="001F6B51">
      <w:pPr>
        <w:sectPr w:rsidR="001F6B51" w:rsidSect="001F6B51">
          <w:headerReference w:type="even" r:id="rId19"/>
          <w:headerReference w:type="default" r:id="rId20"/>
          <w:footerReference w:type="default" r:id="rId21"/>
          <w:headerReference w:type="first" r:id="rId22"/>
          <w:type w:val="continuous"/>
          <w:pgSz w:w="11906" w:h="16838" w:code="9"/>
          <w:pgMar w:top="1134" w:right="1134" w:bottom="1134" w:left="1134" w:header="709" w:footer="692" w:gutter="0"/>
          <w:pgNumType w:start="1"/>
          <w:cols w:space="708"/>
          <w:docGrid w:linePitch="360"/>
        </w:sectPr>
      </w:pPr>
    </w:p>
    <w:p w14:paraId="5AAF2BCC" w14:textId="77777777" w:rsidR="001F6B51" w:rsidRDefault="001F6B51" w:rsidP="00C51D4B">
      <w:pPr>
        <w:pStyle w:val="Heading1numbered"/>
        <w:ind w:left="0" w:firstLine="0"/>
      </w:pPr>
      <w:bookmarkStart w:id="24" w:name="_Toc199412890"/>
      <w:bookmarkStart w:id="25" w:name="_Toc199413446"/>
      <w:bookmarkStart w:id="26" w:name="_Toc202357980"/>
      <w:bookmarkStart w:id="27" w:name="_Toc204086877"/>
      <w:r w:rsidRPr="00C95754">
        <w:t>Revoking the Electricity Customer Metering Code of Practice</w:t>
      </w:r>
      <w:bookmarkEnd w:id="24"/>
      <w:bookmarkEnd w:id="25"/>
      <w:bookmarkEnd w:id="26"/>
      <w:bookmarkEnd w:id="27"/>
      <w:r w:rsidRPr="00C95754">
        <w:t xml:space="preserve"> </w:t>
      </w:r>
    </w:p>
    <w:p w14:paraId="0D300961" w14:textId="77777777" w:rsidR="001F6B51" w:rsidRDefault="001F6B51" w:rsidP="001F6B51">
      <w:pPr>
        <w:pStyle w:val="Pull-out"/>
      </w:pPr>
      <w:r w:rsidRPr="00192E43">
        <w:t xml:space="preserve">We are revoking the Electricity </w:t>
      </w:r>
      <w:r>
        <w:t xml:space="preserve">Customer Metering </w:t>
      </w:r>
      <w:r w:rsidRPr="00192E43">
        <w:t xml:space="preserve">Code </w:t>
      </w:r>
      <w:r>
        <w:t xml:space="preserve">of Practice </w:t>
      </w:r>
      <w:r w:rsidRPr="00192E43">
        <w:t>with effect from</w:t>
      </w:r>
      <w:r>
        <w:t xml:space="preserve"> 12</w:t>
      </w:r>
      <w:r w:rsidRPr="001A43B1">
        <w:t xml:space="preserve"> </w:t>
      </w:r>
      <w:r>
        <w:t>September</w:t>
      </w:r>
      <w:r w:rsidRPr="001A43B1">
        <w:t xml:space="preserve"> 2025.</w:t>
      </w:r>
    </w:p>
    <w:p w14:paraId="06E480AB" w14:textId="77777777" w:rsidR="001F6B51" w:rsidRDefault="001F6B51" w:rsidP="001F6B51">
      <w:pPr>
        <w:pStyle w:val="Heading2"/>
      </w:pPr>
      <w:bookmarkStart w:id="28" w:name="_Toc199412891"/>
      <w:bookmarkStart w:id="29" w:name="_Toc199413447"/>
      <w:bookmarkStart w:id="30" w:name="_Toc202357981"/>
      <w:bookmarkStart w:id="31" w:name="_Toc204086878"/>
      <w:r>
        <w:t>Background</w:t>
      </w:r>
      <w:bookmarkEnd w:id="28"/>
      <w:bookmarkEnd w:id="29"/>
      <w:bookmarkEnd w:id="30"/>
      <w:bookmarkEnd w:id="31"/>
      <w:r>
        <w:t xml:space="preserve"> </w:t>
      </w:r>
    </w:p>
    <w:p w14:paraId="0728DCF7" w14:textId="77777777" w:rsidR="001F6B51" w:rsidRDefault="001F6B51" w:rsidP="001F6B51">
      <w:r w:rsidRPr="00B271FA">
        <w:t xml:space="preserve">The </w:t>
      </w:r>
      <w:r w:rsidRPr="00F25DB0">
        <w:t xml:space="preserve">Metering Code </w:t>
      </w:r>
      <w:r>
        <w:t>was</w:t>
      </w:r>
      <w:r w:rsidRPr="00B271FA">
        <w:t xml:space="preserve"> published in </w:t>
      </w:r>
      <w:r>
        <w:t>2001</w:t>
      </w:r>
      <w:r w:rsidRPr="00B271FA">
        <w:t xml:space="preserve"> by the Office of the Regulator General and predate</w:t>
      </w:r>
      <w:r>
        <w:t>s</w:t>
      </w:r>
      <w:r w:rsidRPr="00B271FA">
        <w:t xml:space="preserve"> Victoria’s </w:t>
      </w:r>
      <w:r>
        <w:t xml:space="preserve">2005 </w:t>
      </w:r>
      <w:r w:rsidRPr="00B271FA">
        <w:t>adoption of the</w:t>
      </w:r>
      <w:r w:rsidRPr="008F4EBF">
        <w:rPr>
          <w:rFonts w:ascii="Arial" w:hAnsi="Arial" w:cs="Arial"/>
          <w:sz w:val="20"/>
          <w:szCs w:val="20"/>
        </w:rPr>
        <w:t xml:space="preserve"> </w:t>
      </w:r>
      <w:r>
        <w:t>NER</w:t>
      </w:r>
      <w:r w:rsidRPr="00B271FA">
        <w:t xml:space="preserve">. The </w:t>
      </w:r>
      <w:r>
        <w:t xml:space="preserve">Metering </w:t>
      </w:r>
      <w:r w:rsidRPr="00B271FA">
        <w:t>Code w</w:t>
      </w:r>
      <w:r>
        <w:t>as</w:t>
      </w:r>
      <w:r w:rsidRPr="00B271FA">
        <w:t xml:space="preserve"> deemed</w:t>
      </w:r>
      <w:r>
        <w:t xml:space="preserve"> a c</w:t>
      </w:r>
      <w:r w:rsidRPr="00B271FA">
        <w:t>ode of</w:t>
      </w:r>
      <w:r>
        <w:t xml:space="preserve"> p</w:t>
      </w:r>
      <w:r w:rsidRPr="00B271FA">
        <w:t>ractice on 1 December 2021</w:t>
      </w:r>
      <w:r>
        <w:t>.</w:t>
      </w:r>
      <w:r>
        <w:rPr>
          <w:rStyle w:val="FootnoteReference"/>
        </w:rPr>
        <w:footnoteReference w:id="2"/>
      </w:r>
      <w:r w:rsidRPr="00B271FA">
        <w:t xml:space="preserve"> </w:t>
      </w:r>
    </w:p>
    <w:p w14:paraId="31958072" w14:textId="77777777" w:rsidR="006853B0" w:rsidRDefault="001F6B51" w:rsidP="001F6B51">
      <w:r>
        <w:t>The Metering</w:t>
      </w:r>
      <w:r w:rsidRPr="00120EAE">
        <w:t xml:space="preserve"> </w:t>
      </w:r>
      <w:r>
        <w:t>Code</w:t>
      </w:r>
      <w:r w:rsidRPr="00120EAE">
        <w:t xml:space="preserve"> </w:t>
      </w:r>
      <w:r>
        <w:t>regulates</w:t>
      </w:r>
      <w:r w:rsidDel="006B06D6">
        <w:t xml:space="preserve"> </w:t>
      </w:r>
      <w:r w:rsidRPr="00120EAE" w:rsidDel="00007F53">
        <w:t>customer</w:t>
      </w:r>
      <w:r w:rsidRPr="00120EAE">
        <w:t xml:space="preserve"> </w:t>
      </w:r>
      <w:r w:rsidR="00CF2B58">
        <w:t>metering</w:t>
      </w:r>
      <w:r>
        <w:t xml:space="preserve"> to the extent </w:t>
      </w:r>
      <w:r w:rsidRPr="00120EAE">
        <w:t xml:space="preserve">not regulated by the </w:t>
      </w:r>
      <w:r>
        <w:t>NER</w:t>
      </w:r>
      <w:r w:rsidRPr="00120EAE">
        <w:t xml:space="preserve"> or </w:t>
      </w:r>
      <w:r>
        <w:t xml:space="preserve">Metrology Procedures. </w:t>
      </w:r>
    </w:p>
    <w:p w14:paraId="1E9D8C9E" w14:textId="7D82C243" w:rsidR="00454E84" w:rsidRDefault="006853B0" w:rsidP="001F6B51">
      <w:r>
        <w:t>The code</w:t>
      </w:r>
      <w:r w:rsidR="001F6B51">
        <w:t xml:space="preserve"> applies to</w:t>
      </w:r>
      <w:r w:rsidR="00454E84">
        <w:t>:</w:t>
      </w:r>
    </w:p>
    <w:p w14:paraId="365629CF" w14:textId="6D7F4339" w:rsidR="00454E84" w:rsidRDefault="001F6B51" w:rsidP="002C1877">
      <w:pPr>
        <w:pStyle w:val="ListBullet"/>
      </w:pPr>
      <w:r>
        <w:t>electricity distributors</w:t>
      </w:r>
    </w:p>
    <w:p w14:paraId="2FA645E5" w14:textId="5C09782D" w:rsidR="00454E84" w:rsidRDefault="001F6B51" w:rsidP="002C1877">
      <w:pPr>
        <w:pStyle w:val="ListBullet"/>
      </w:pPr>
      <w:r>
        <w:t>electricity retailers</w:t>
      </w:r>
    </w:p>
    <w:p w14:paraId="53A1FBAB" w14:textId="738B987F" w:rsidR="00454E84" w:rsidRDefault="001F6B51" w:rsidP="002C1877">
      <w:pPr>
        <w:pStyle w:val="ListBullet"/>
      </w:pPr>
      <w:r>
        <w:t>persons who take supply from an embedded network</w:t>
      </w:r>
    </w:p>
    <w:p w14:paraId="05D8BDB3" w14:textId="6783ED98" w:rsidR="00C41546" w:rsidRDefault="001F6B51" w:rsidP="006853B0">
      <w:pPr>
        <w:pStyle w:val="ListBullet"/>
      </w:pPr>
      <w:r>
        <w:t>responsible persons</w:t>
      </w:r>
      <w:r w:rsidR="009C1EF2">
        <w:rPr>
          <w:rStyle w:val="FootnoteReference"/>
        </w:rPr>
        <w:footnoteReference w:id="3"/>
      </w:r>
    </w:p>
    <w:p w14:paraId="715E7773" w14:textId="6DADDB46" w:rsidR="006853B0" w:rsidRDefault="00617A18" w:rsidP="002C1877">
      <w:pPr>
        <w:pStyle w:val="ListBullet"/>
      </w:pPr>
      <w:r>
        <w:t>metering providers</w:t>
      </w:r>
    </w:p>
    <w:p w14:paraId="45B1B617" w14:textId="1C558740" w:rsidR="001F6B51" w:rsidRDefault="00156763" w:rsidP="00156763">
      <w:pPr>
        <w:pStyle w:val="ListBullet"/>
      </w:pPr>
      <w:r>
        <w:t xml:space="preserve">customers and </w:t>
      </w:r>
      <w:r w:rsidR="001F6B51">
        <w:t>embedded generators</w:t>
      </w:r>
      <w:r w:rsidR="00617A18">
        <w:t xml:space="preserve"> who are obliged to comply with this code</w:t>
      </w:r>
      <w:r w:rsidR="009711BC">
        <w:t xml:space="preserve"> under a distribution contract</w:t>
      </w:r>
      <w:r w:rsidR="001F6B51">
        <w:t>.</w:t>
      </w:r>
      <w:r w:rsidR="001F6B51">
        <w:rPr>
          <w:rStyle w:val="FootnoteReference"/>
        </w:rPr>
        <w:footnoteReference w:id="4"/>
      </w:r>
    </w:p>
    <w:p w14:paraId="75501B07" w14:textId="77777777" w:rsidR="00A00A7E" w:rsidRDefault="00A00A7E" w:rsidP="009C5645">
      <w:pPr>
        <w:pStyle w:val="ListBullet"/>
        <w:numPr>
          <w:ilvl w:val="0"/>
          <w:numId w:val="0"/>
        </w:numPr>
        <w:ind w:left="284" w:hanging="284"/>
      </w:pPr>
    </w:p>
    <w:p w14:paraId="2E27FCD7" w14:textId="73846613" w:rsidR="00A00A7E" w:rsidRDefault="00A00A7E" w:rsidP="00A00A7E">
      <w:pPr>
        <w:pStyle w:val="ListBullet"/>
        <w:numPr>
          <w:ilvl w:val="0"/>
          <w:numId w:val="0"/>
        </w:numPr>
      </w:pPr>
      <w:r>
        <w:t>Since its publication in 2001, the commission has made a variety of minor changes to the Metering Code. These changes implemented the decisions of other reviews or reflected developments to the sector, such as the rollout of interval meters. Until now, the Metering Code has never been substantially reviewed.</w:t>
      </w:r>
    </w:p>
    <w:p w14:paraId="39F4C6BC" w14:textId="77777777" w:rsidR="001F6B51" w:rsidRDefault="001F6B51" w:rsidP="00C51D4B">
      <w:pPr>
        <w:pStyle w:val="Heading2numbered"/>
        <w:ind w:left="0" w:firstLine="0"/>
      </w:pPr>
      <w:bookmarkStart w:id="32" w:name="_Toc199412892"/>
      <w:bookmarkStart w:id="33" w:name="_Toc199413448"/>
      <w:bookmarkStart w:id="34" w:name="_Toc202357982"/>
      <w:bookmarkStart w:id="35" w:name="_Toc204086879"/>
      <w:r>
        <w:t>Why we are revoking the Metering Code</w:t>
      </w:r>
      <w:bookmarkEnd w:id="32"/>
      <w:bookmarkEnd w:id="33"/>
      <w:bookmarkEnd w:id="34"/>
      <w:bookmarkEnd w:id="35"/>
    </w:p>
    <w:p w14:paraId="17496B2D" w14:textId="70C6284F" w:rsidR="00B4645D" w:rsidRDefault="00B4645D" w:rsidP="007228CE">
      <w:pPr>
        <w:pStyle w:val="Pull-outBullet1"/>
      </w:pPr>
      <w:r>
        <w:t>T</w:t>
      </w:r>
      <w:r w:rsidR="001F6B51">
        <w:t>he Metering Code is no longer fit for purpose.</w:t>
      </w:r>
    </w:p>
    <w:p w14:paraId="42A24A3B" w14:textId="7DE7C526" w:rsidR="003775B3" w:rsidRDefault="001F6B51" w:rsidP="007228CE">
      <w:pPr>
        <w:pStyle w:val="Pull-outBullet1"/>
      </w:pPr>
      <w:r>
        <w:t xml:space="preserve">The </w:t>
      </w:r>
      <w:r w:rsidR="00503B31">
        <w:t>code</w:t>
      </w:r>
      <w:r>
        <w:t xml:space="preserve"> duplicates obligations already provided for in other instruments</w:t>
      </w:r>
      <w:r w:rsidR="003775B3">
        <w:t>,</w:t>
      </w:r>
      <w:r w:rsidR="00D76181">
        <w:t xml:space="preserve"> </w:t>
      </w:r>
      <w:r>
        <w:t>add</w:t>
      </w:r>
      <w:r w:rsidR="003775B3">
        <w:t>ing</w:t>
      </w:r>
      <w:r>
        <w:t xml:space="preserve"> unnecessary regulatory complexity</w:t>
      </w:r>
      <w:r w:rsidR="008E2B87">
        <w:t>.</w:t>
      </w:r>
    </w:p>
    <w:p w14:paraId="7E78E0F3" w14:textId="7320F897" w:rsidR="001F6B51" w:rsidRDefault="003775B3" w:rsidP="007228CE">
      <w:pPr>
        <w:pStyle w:val="Pull-outBullet1"/>
      </w:pPr>
      <w:r>
        <w:t>S</w:t>
      </w:r>
      <w:r w:rsidR="001F6B51">
        <w:t>ome provisions</w:t>
      </w:r>
      <w:r>
        <w:t xml:space="preserve"> in the code</w:t>
      </w:r>
      <w:r w:rsidR="001F6B51">
        <w:t xml:space="preserve"> are out of date or </w:t>
      </w:r>
      <w:r w:rsidR="000E5CB6">
        <w:t>redundant</w:t>
      </w:r>
      <w:r w:rsidR="001F6B51">
        <w:t>.</w:t>
      </w:r>
    </w:p>
    <w:p w14:paraId="7E5AD57E" w14:textId="28EA4659" w:rsidR="001F6B51" w:rsidRDefault="00C71F65" w:rsidP="001F6B51">
      <w:r>
        <w:t>Many o</w:t>
      </w:r>
      <w:r w:rsidR="001F6B51">
        <w:t xml:space="preserve">bligations in the Metering Code </w:t>
      </w:r>
      <w:r w:rsidR="00794D5C">
        <w:t xml:space="preserve">are superseded by Victorian </w:t>
      </w:r>
      <w:r w:rsidR="001F6B51">
        <w:t xml:space="preserve">regulations and the broader national regulatory framework that governs electricity metering. </w:t>
      </w:r>
    </w:p>
    <w:p w14:paraId="668FD79B" w14:textId="425D1F29" w:rsidR="004E0A11" w:rsidRDefault="001F6B51" w:rsidP="001F6B51">
      <w:r>
        <w:t xml:space="preserve">As the national electricity market has matured, areas regulated by the Metering Code became </w:t>
      </w:r>
      <w:r w:rsidR="00216B58">
        <w:t>covered by the</w:t>
      </w:r>
      <w:r>
        <w:t xml:space="preserve"> national </w:t>
      </w:r>
      <w:r w:rsidR="00216B58">
        <w:t>regulatory framework</w:t>
      </w:r>
      <w:r>
        <w:t xml:space="preserve">. The </w:t>
      </w:r>
      <w:r w:rsidR="00990522">
        <w:t xml:space="preserve">National Electricity Rules </w:t>
      </w:r>
      <w:r>
        <w:t>now encompass a wide range of metering-related functions, including the installation of meters, data collection and the responsibilities of various market participants</w:t>
      </w:r>
      <w:r w:rsidR="00F363FE">
        <w:t xml:space="preserve"> in the National Electricity Market</w:t>
      </w:r>
      <w:r w:rsidR="00026CC4">
        <w:t xml:space="preserve"> (NEM)</w:t>
      </w:r>
      <w:r>
        <w:t>.</w:t>
      </w:r>
      <w:r w:rsidR="00030EA4">
        <w:t xml:space="preserve"> </w:t>
      </w:r>
      <w:r w:rsidR="00F363FE">
        <w:t xml:space="preserve">However, </w:t>
      </w:r>
      <w:r w:rsidR="006046F4">
        <w:t xml:space="preserve">Victoria maintains some jurisdictional derogations to Ch 7 of the NER </w:t>
      </w:r>
      <w:r w:rsidR="00741E58">
        <w:t xml:space="preserve">to accommodate metering infrastructure. </w:t>
      </w:r>
      <w:r w:rsidR="001A5DF7">
        <w:t xml:space="preserve">This includes </w:t>
      </w:r>
      <w:r w:rsidR="002D09D5">
        <w:t xml:space="preserve">Victoria’s </w:t>
      </w:r>
      <w:r w:rsidR="004E0A11">
        <w:t xml:space="preserve">Advanced Metering Infrastructure (AMI) </w:t>
      </w:r>
      <w:r w:rsidR="006C5CC5">
        <w:t>Orders</w:t>
      </w:r>
      <w:r w:rsidR="004E0A11">
        <w:t xml:space="preserve"> </w:t>
      </w:r>
      <w:r w:rsidR="00654D36">
        <w:t xml:space="preserve">which </w:t>
      </w:r>
      <w:r w:rsidR="00187B53">
        <w:t xml:space="preserve">detail metering derogations that </w:t>
      </w:r>
      <w:r w:rsidR="00A96B89">
        <w:t xml:space="preserve">overlap with </w:t>
      </w:r>
      <w:r w:rsidR="00991EDC">
        <w:t>clauses in the</w:t>
      </w:r>
      <w:r w:rsidR="00A96B89">
        <w:t xml:space="preserve"> Metering Code</w:t>
      </w:r>
      <w:r w:rsidR="004E0A11">
        <w:t>.</w:t>
      </w:r>
      <w:r w:rsidR="00973A52">
        <w:rPr>
          <w:rStyle w:val="FootnoteReference"/>
        </w:rPr>
        <w:footnoteReference w:id="5"/>
      </w:r>
    </w:p>
    <w:p w14:paraId="5DD3E431" w14:textId="454B3D6E" w:rsidR="001F6B51" w:rsidRDefault="001F6B51" w:rsidP="001F6B51">
      <w:r>
        <w:t>This regulatory shift has meant that the Metering Code and national rules regulate the same activities. For example, both frameworks specify how quickly a meter must be installed, how data should be handled</w:t>
      </w:r>
      <w:r w:rsidR="00B758A1">
        <w:t xml:space="preserve"> and</w:t>
      </w:r>
      <w:r>
        <w:t xml:space="preserve"> who is responsible for maintaining metering equipment.</w:t>
      </w:r>
      <w:r>
        <w:rPr>
          <w:rStyle w:val="FootnoteReference"/>
        </w:rPr>
        <w:footnoteReference w:id="6"/>
      </w:r>
      <w:r>
        <w:t xml:space="preserve"> The overlap of Victorian and national regulations has meant that retailers and distribution businesses operating in Victoria must adhere to both</w:t>
      </w:r>
      <w:r w:rsidR="00ED15FD">
        <w:t xml:space="preserve"> resulting in</w:t>
      </w:r>
      <w:r>
        <w:t xml:space="preserve"> unnecessary regulatory complexity.</w:t>
      </w:r>
    </w:p>
    <w:p w14:paraId="2808AF87" w14:textId="741709C1" w:rsidR="001F6B51" w:rsidRDefault="00154C03" w:rsidP="001F6B51">
      <w:r>
        <w:t xml:space="preserve">Regulatory </w:t>
      </w:r>
      <w:r w:rsidR="00411C53">
        <w:t xml:space="preserve">and technological </w:t>
      </w:r>
      <w:r w:rsidR="001F6B51">
        <w:t xml:space="preserve">changes in the wider sector have seen some clauses in the codes become outdated or irrelevant. Rules concerning metering have </w:t>
      </w:r>
      <w:r w:rsidR="00884008">
        <w:t>also</w:t>
      </w:r>
      <w:r w:rsidR="001F6B51">
        <w:t xml:space="preserve"> recently undergone further changes. T</w:t>
      </w:r>
      <w:r w:rsidR="00533AC5">
        <w:t>hese rule changes</w:t>
      </w:r>
      <w:r w:rsidR="001F6B51">
        <w:t xml:space="preserve"> ha</w:t>
      </w:r>
      <w:r w:rsidR="00533AC5">
        <w:t>ve</w:t>
      </w:r>
      <w:r w:rsidR="001F6B51">
        <w:t xml:space="preserve"> largely been led by rule change processes managed by the AEMC. This includes 2024 amendments to the NER for </w:t>
      </w:r>
      <w:hyperlink r:id="rId23" w:history="1">
        <w:r w:rsidR="001F6B51" w:rsidRPr="002F4C1E">
          <w:rPr>
            <w:rStyle w:val="Hyperlink"/>
          </w:rPr>
          <w:t>accelerating smart meter deployment</w:t>
        </w:r>
      </w:hyperlink>
      <w:r w:rsidR="001F6B51">
        <w:t xml:space="preserve"> and </w:t>
      </w:r>
      <w:hyperlink r:id="rId24" w:history="1">
        <w:r w:rsidR="001F6B51" w:rsidRPr="00827CDB">
          <w:rPr>
            <w:rStyle w:val="Hyperlink"/>
          </w:rPr>
          <w:t>unlocking CER benefits from flexible trading</w:t>
        </w:r>
      </w:hyperlink>
      <w:r w:rsidR="001F6B51">
        <w:t xml:space="preserve"> or the </w:t>
      </w:r>
      <w:hyperlink r:id="rId25" w:history="1">
        <w:r w:rsidR="001F6B51" w:rsidRPr="00A15BAF">
          <w:rPr>
            <w:rStyle w:val="Hyperlink"/>
          </w:rPr>
          <w:t>open proposal</w:t>
        </w:r>
      </w:hyperlink>
      <w:r w:rsidR="001F6B51">
        <w:t xml:space="preserve"> to give consumers access to their real-time energy data.  </w:t>
      </w:r>
    </w:p>
    <w:p w14:paraId="704290F4" w14:textId="4C0EEAE0" w:rsidR="001F6B51" w:rsidRDefault="00BF6963" w:rsidP="001F6B51">
      <w:r>
        <w:t xml:space="preserve">These </w:t>
      </w:r>
      <w:r w:rsidR="00F70882">
        <w:t>regulatory changes</w:t>
      </w:r>
      <w:r w:rsidR="001F6B51">
        <w:t xml:space="preserve"> may further outdate the Metering Code or </w:t>
      </w:r>
      <w:r w:rsidR="00C2154B">
        <w:t xml:space="preserve">require </w:t>
      </w:r>
      <w:r w:rsidR="001F6B51">
        <w:t xml:space="preserve">extensive reform by the commission. The commission has a minor role in this space, particularly where there are Victorian-specific arrangements or protections. To remove undue regulatory complexity and burden, we </w:t>
      </w:r>
      <w:r w:rsidR="00E918AF">
        <w:t>consider it is necessary to revoke</w:t>
      </w:r>
      <w:r w:rsidR="001F6B51">
        <w:t xml:space="preserve"> the Metering Code. </w:t>
      </w:r>
    </w:p>
    <w:p w14:paraId="44BFC259" w14:textId="238799BF" w:rsidR="001F6B51" w:rsidRDefault="00A4467C" w:rsidP="001F6B51">
      <w:r>
        <w:t>T</w:t>
      </w:r>
      <w:r w:rsidR="001F6B51">
        <w:t>he commission will make minor amendments to other codes, such as the Energy Retail Code of Practice and the Electricity Distribution Code of Practice</w:t>
      </w:r>
      <w:r w:rsidR="00483866">
        <w:t>,</w:t>
      </w:r>
      <w:r w:rsidR="001F6B51">
        <w:t xml:space="preserve"> to remove</w:t>
      </w:r>
      <w:r w:rsidR="001F6B51" w:rsidDel="00275A2C">
        <w:t xml:space="preserve"> </w:t>
      </w:r>
      <w:r w:rsidR="001F6B51">
        <w:t>references to the Metering Code</w:t>
      </w:r>
      <w:r w:rsidR="00766CF1">
        <w:t xml:space="preserve"> in due course</w:t>
      </w:r>
      <w:r w:rsidR="001F6B51">
        <w:t>.</w:t>
      </w:r>
    </w:p>
    <w:p w14:paraId="0B8FA4C8" w14:textId="77777777" w:rsidR="001F6B51" w:rsidRDefault="001F6B51" w:rsidP="001F6B51">
      <w:pPr>
        <w:pStyle w:val="Heading3"/>
      </w:pPr>
      <w:bookmarkStart w:id="36" w:name="_Toc202357983"/>
      <w:bookmarkStart w:id="37" w:name="_Toc204086880"/>
      <w:r>
        <w:t>The ownership of metering equipment</w:t>
      </w:r>
      <w:bookmarkEnd w:id="36"/>
      <w:bookmarkEnd w:id="37"/>
    </w:p>
    <w:p w14:paraId="20B134F8" w14:textId="71D4696D" w:rsidR="001F6B51" w:rsidRDefault="001F6B51" w:rsidP="001F6B51">
      <w:r>
        <w:t>Origin raised a concern with the proposed revocation of the Metering Code relating to clause 2.2 which addresses the ownership of metering equipment and its relevance to embedded networks.</w:t>
      </w:r>
      <w:r>
        <w:rPr>
          <w:rStyle w:val="FootnoteReference"/>
        </w:rPr>
        <w:footnoteReference w:id="7"/>
      </w:r>
      <w:r>
        <w:t xml:space="preserve"> Clause 2.2 </w:t>
      </w:r>
      <w:r w:rsidR="0054776F">
        <w:t>sets out</w:t>
      </w:r>
      <w:r w:rsidR="00603D93">
        <w:t xml:space="preserve"> </w:t>
      </w:r>
      <w:r>
        <w:t>that metering equipment left on a customer’s premises does not become the property of that customer. Origin is concerned that the Energy Retail Code of Practice does not explicitly state that metering equipment is not the property of the customer, even though it prohibits them from tampering with metering equipment.</w:t>
      </w:r>
      <w:r>
        <w:rPr>
          <w:rStyle w:val="FootnoteReference"/>
        </w:rPr>
        <w:footnoteReference w:id="8"/>
      </w:r>
      <w:r>
        <w:t xml:space="preserve"> </w:t>
      </w:r>
    </w:p>
    <w:p w14:paraId="4949DD4B" w14:textId="5EACF09D" w:rsidR="001F6B51" w:rsidRDefault="00960C95" w:rsidP="001F6B51">
      <w:r>
        <w:t>O</w:t>
      </w:r>
      <w:r w:rsidR="001F6B51">
        <w:t xml:space="preserve">ur view </w:t>
      </w:r>
      <w:r w:rsidR="00F5228F">
        <w:t>i</w:t>
      </w:r>
      <w:r w:rsidR="001F6B51">
        <w:t>s that clause 2.2 of the Metering Code is sufficiently accounted for in Victoria’s deemed distribution contracts. M</w:t>
      </w:r>
      <w:r w:rsidR="001F6B51" w:rsidRPr="00423ED3">
        <w:t>eters are owned and installed by Victoria</w:t>
      </w:r>
      <w:r w:rsidR="00A03372">
        <w:t>’</w:t>
      </w:r>
      <w:r w:rsidR="001F6B51" w:rsidRPr="00423ED3">
        <w:t xml:space="preserve">s five electricity </w:t>
      </w:r>
      <w:r w:rsidR="001F6B51">
        <w:t>distributors</w:t>
      </w:r>
      <w:r w:rsidR="001F6B51" w:rsidRPr="00423ED3">
        <w:t>.</w:t>
      </w:r>
      <w:r w:rsidR="001F6B51">
        <w:t xml:space="preserve"> </w:t>
      </w:r>
      <w:r w:rsidR="001F6B51" w:rsidRPr="00BD1C2A">
        <w:t>The deemed distribution contracts of Victorian electricity distributors address the issue of ownership of metering equipment. Under those contracts, none of the equipment and assets the distributor installs at the customer’s premises, whether fixed to the land or any buildings, become part of the land or premises and may be removed after disconnection of electricity supply at the premises.</w:t>
      </w:r>
      <w:r w:rsidR="001F6B51">
        <w:rPr>
          <w:rStyle w:val="FootnoteReference"/>
        </w:rPr>
        <w:footnoteReference w:id="9"/>
      </w:r>
      <w:r w:rsidR="001F6B51" w:rsidRPr="00BD1C2A">
        <w:t xml:space="preserve">  </w:t>
      </w:r>
    </w:p>
    <w:p w14:paraId="31BB5FDD" w14:textId="751A5D00" w:rsidR="001F6B51" w:rsidRDefault="00991EDC" w:rsidP="001F6B51">
      <w:r>
        <w:t>I</w:t>
      </w:r>
      <w:r w:rsidRPr="00991EDC">
        <w:t>n addition to cl</w:t>
      </w:r>
      <w:r>
        <w:t>ause</w:t>
      </w:r>
      <w:r w:rsidRPr="00991EDC">
        <w:t xml:space="preserve"> 2.2. </w:t>
      </w:r>
      <w:r>
        <w:t xml:space="preserve">of the Metering Code </w:t>
      </w:r>
      <w:r w:rsidRPr="00991EDC">
        <w:t xml:space="preserve">and </w:t>
      </w:r>
      <w:r w:rsidR="00535F9A">
        <w:t xml:space="preserve">Victoria’s </w:t>
      </w:r>
      <w:r w:rsidRPr="00991EDC">
        <w:t xml:space="preserve">deemed distribution contracts, AMI </w:t>
      </w:r>
      <w:r w:rsidR="00535F9A">
        <w:t>O</w:t>
      </w:r>
      <w:r w:rsidRPr="00991EDC">
        <w:t>rders also regulate metering</w:t>
      </w:r>
      <w:r w:rsidR="00E8645D">
        <w:t>.</w:t>
      </w:r>
      <w:r w:rsidR="008314AC" w:rsidRPr="008314AC">
        <w:rPr>
          <w:rStyle w:val="FootnoteReference"/>
        </w:rPr>
        <w:footnoteReference w:id="10"/>
      </w:r>
      <w:r w:rsidR="00E8645D">
        <w:t xml:space="preserve"> </w:t>
      </w:r>
      <w:r w:rsidR="0069580D">
        <w:t>T</w:t>
      </w:r>
      <w:r w:rsidR="001F6B51">
        <w:t xml:space="preserve">he </w:t>
      </w:r>
      <w:hyperlink r:id="rId26" w:history="1">
        <w:r w:rsidR="001F6B51" w:rsidRPr="0069580D">
          <w:rPr>
            <w:rStyle w:val="Hyperlink"/>
          </w:rPr>
          <w:t>200</w:t>
        </w:r>
        <w:r w:rsidR="0069580D" w:rsidRPr="0069580D">
          <w:rPr>
            <w:rStyle w:val="Hyperlink"/>
          </w:rPr>
          <w:t>9</w:t>
        </w:r>
        <w:r w:rsidR="001F6B51" w:rsidRPr="0069580D">
          <w:rPr>
            <w:rStyle w:val="Hyperlink"/>
          </w:rPr>
          <w:t xml:space="preserve"> AMI O</w:t>
        </w:r>
        <w:bookmarkStart w:id="38" w:name="_Hlt203399311"/>
        <w:bookmarkStart w:id="39" w:name="_Hlt203399312"/>
        <w:r w:rsidR="001F6B51" w:rsidRPr="0069580D">
          <w:rPr>
            <w:rStyle w:val="Hyperlink"/>
          </w:rPr>
          <w:t>r</w:t>
        </w:r>
        <w:bookmarkEnd w:id="38"/>
        <w:bookmarkEnd w:id="39"/>
        <w:r w:rsidR="001F6B51" w:rsidRPr="0069580D">
          <w:rPr>
            <w:rStyle w:val="Hyperlink"/>
          </w:rPr>
          <w:t>der</w:t>
        </w:r>
      </w:hyperlink>
      <w:r w:rsidR="001F6B51">
        <w:t xml:space="preserve"> outlines that for embedded networks with an annual electricity consumption of 160 MWh or less, the distribution business is responsible for providing and maintaining the parent meter.</w:t>
      </w:r>
      <w:r w:rsidR="001F6B51">
        <w:rPr>
          <w:rStyle w:val="FootnoteReference"/>
        </w:rPr>
        <w:footnoteReference w:id="11"/>
      </w:r>
      <w:r w:rsidR="001F6B51">
        <w:t xml:space="preserve"> In these cases, the cost of installing or upgrading the parent meter is included in regulated distribution charges, which are overseen by the Australian Energy Regulator (AER). Therefore, the parent meter is typically owned by the distribution business. </w:t>
      </w:r>
    </w:p>
    <w:p w14:paraId="7C595E0C" w14:textId="77777777" w:rsidR="001F6B51" w:rsidRDefault="001F6B51" w:rsidP="001F6B51">
      <w:r>
        <w:t>For embedded networks that consume more than 160 MWh per year, the responsibility and cost of the parent meter is determined by private commercial agreements. In these cases, the parent meter is usually owned or arranged by the site owner or embedded network operator.</w:t>
      </w:r>
    </w:p>
    <w:p w14:paraId="57C921D8" w14:textId="44369669" w:rsidR="00DD1458" w:rsidRDefault="00DD1458" w:rsidP="00B448CF">
      <w:pPr>
        <w:pStyle w:val="Heading3"/>
      </w:pPr>
      <w:bookmarkStart w:id="40" w:name="_Toc204086881"/>
      <w:r>
        <w:t>Embedded networks</w:t>
      </w:r>
      <w:bookmarkEnd w:id="40"/>
    </w:p>
    <w:p w14:paraId="0B79FE7B" w14:textId="52851D7D" w:rsidR="001F6B51" w:rsidRDefault="001F6B51" w:rsidP="001F6B51">
      <w:r>
        <w:t xml:space="preserve">Child meters, which serve individual customers within </w:t>
      </w:r>
      <w:r w:rsidR="008B424F">
        <w:t xml:space="preserve">an </w:t>
      </w:r>
      <w:r>
        <w:t xml:space="preserve">embedded network, are generally owned and managed by the embedded network operator or exempt seller – such as a building manager or private energy provider. These meters are not part of the regulated metering framework and are instead governed by the </w:t>
      </w:r>
      <w:hyperlink r:id="rId27" w:anchor="page=52" w:history="1">
        <w:r w:rsidR="0014576B" w:rsidRPr="0014576B">
          <w:rPr>
            <w:rStyle w:val="Hyperlink"/>
          </w:rPr>
          <w:t>General Exemption Order 2022</w:t>
        </w:r>
      </w:hyperlink>
      <w:r w:rsidRPr="00315C83">
        <w:t xml:space="preserve"> (GEO).</w:t>
      </w:r>
      <w:r>
        <w:t xml:space="preserve"> Under the GEO</w:t>
      </w:r>
      <w:r w:rsidR="00514213">
        <w:t xml:space="preserve"> 2022</w:t>
      </w:r>
      <w:r>
        <w:t>, exempt retailers must obtain explicit informed consent from customers before selling them electricity.</w:t>
      </w:r>
      <w:r>
        <w:rPr>
          <w:rStyle w:val="FootnoteReference"/>
        </w:rPr>
        <w:footnoteReference w:id="12"/>
      </w:r>
      <w:r>
        <w:t xml:space="preserve"> They are also required to provide clear information about electricity tariffs, fees and any other applicable charges before obtaining consent.  </w:t>
      </w:r>
    </w:p>
    <w:p w14:paraId="27D9D44B" w14:textId="6E93B5CA" w:rsidR="001F6B51" w:rsidRDefault="00A02D4E" w:rsidP="001F6B51">
      <w:r>
        <w:t>T</w:t>
      </w:r>
      <w:r w:rsidR="00175F41">
        <w:t>he ownership of metering equipment</w:t>
      </w:r>
      <w:r w:rsidR="001F6B51">
        <w:t xml:space="preserve"> </w:t>
      </w:r>
      <w:r w:rsidR="006F4CA3">
        <w:t>is</w:t>
      </w:r>
      <w:r w:rsidR="001F6B51">
        <w:t xml:space="preserve"> adequately provided for in Victoria’s deemed distribution contracts</w:t>
      </w:r>
      <w:r w:rsidR="000A0D6B">
        <w:t>.</w:t>
      </w:r>
      <w:r w:rsidR="005D1B2D">
        <w:t xml:space="preserve"> </w:t>
      </w:r>
      <w:r w:rsidR="000A0D6B">
        <w:t>W</w:t>
      </w:r>
      <w:r w:rsidR="00D24ECF">
        <w:t xml:space="preserve">e </w:t>
      </w:r>
      <w:r w:rsidR="006F4CA3">
        <w:t xml:space="preserve">do not consider that the ownership of third parties metering equipment </w:t>
      </w:r>
      <w:r w:rsidR="00550874">
        <w:t>is</w:t>
      </w:r>
      <w:r w:rsidR="006F4CA3">
        <w:t xml:space="preserve"> best </w:t>
      </w:r>
      <w:r w:rsidR="00663B52">
        <w:t>considered</w:t>
      </w:r>
      <w:r w:rsidR="006F4CA3">
        <w:t xml:space="preserve"> in a code of practice</w:t>
      </w:r>
      <w:r w:rsidR="004144FE">
        <w:t>.</w:t>
      </w:r>
      <w:r w:rsidR="005D1B2D">
        <w:t xml:space="preserve"> Therefore,</w:t>
      </w:r>
      <w:r w:rsidR="006F4CA3" w:rsidDel="007E5083">
        <w:t xml:space="preserve"> </w:t>
      </w:r>
      <w:r w:rsidR="001F6B51">
        <w:t>w</w:t>
      </w:r>
      <w:r w:rsidR="00DF6651">
        <w:t xml:space="preserve">e will not be including </w:t>
      </w:r>
      <w:r w:rsidR="001F6B51">
        <w:t>clause 2.2 in our other codes of practice.</w:t>
      </w:r>
    </w:p>
    <w:p w14:paraId="6AB21C6E" w14:textId="77777777" w:rsidR="001F6B51" w:rsidRPr="00B52019" w:rsidRDefault="001F6B51" w:rsidP="001F6B51"/>
    <w:p w14:paraId="4DF9AA56" w14:textId="77777777" w:rsidR="001F6B51" w:rsidRDefault="001F6B51" w:rsidP="001F6B51">
      <w:pPr>
        <w:pStyle w:val="Heading1"/>
      </w:pPr>
      <w:bookmarkStart w:id="41" w:name="_Toc199412893"/>
      <w:bookmarkStart w:id="42" w:name="_Toc199413449"/>
      <w:bookmarkStart w:id="43" w:name="_Toc204086882"/>
      <w:bookmarkStart w:id="44" w:name="_Toc202357984"/>
      <w:r w:rsidRPr="00C95754">
        <w:t xml:space="preserve">Revoking the Electricity Customer </w:t>
      </w:r>
      <w:r>
        <w:t>Transfer</w:t>
      </w:r>
      <w:r w:rsidRPr="00C95754">
        <w:t xml:space="preserve"> Code of Practice</w:t>
      </w:r>
      <w:bookmarkEnd w:id="41"/>
      <w:bookmarkEnd w:id="42"/>
      <w:bookmarkEnd w:id="43"/>
      <w:r w:rsidRPr="00C95754">
        <w:t xml:space="preserve"> </w:t>
      </w:r>
      <w:bookmarkEnd w:id="44"/>
    </w:p>
    <w:p w14:paraId="7E08812D" w14:textId="77777777" w:rsidR="001F6B51" w:rsidRDefault="001F6B51" w:rsidP="001F6B51">
      <w:pPr>
        <w:pStyle w:val="Pull-out"/>
      </w:pPr>
      <w:r w:rsidRPr="00192E43">
        <w:t xml:space="preserve">We are revoking the Electricity </w:t>
      </w:r>
      <w:r>
        <w:t xml:space="preserve">Customer Transfer </w:t>
      </w:r>
      <w:r w:rsidRPr="00192E43">
        <w:t xml:space="preserve">Code </w:t>
      </w:r>
      <w:r>
        <w:t xml:space="preserve">of Practice </w:t>
      </w:r>
      <w:r w:rsidRPr="00192E43">
        <w:t>with effect from</w:t>
      </w:r>
      <w:r>
        <w:t xml:space="preserve"> 12</w:t>
      </w:r>
      <w:r w:rsidRPr="00D81B15">
        <w:t xml:space="preserve"> </w:t>
      </w:r>
      <w:r>
        <w:t>September</w:t>
      </w:r>
      <w:r w:rsidRPr="00D81B15">
        <w:t xml:space="preserve"> 2025</w:t>
      </w:r>
      <w:r w:rsidRPr="00192E43">
        <w:t xml:space="preserve">. </w:t>
      </w:r>
    </w:p>
    <w:p w14:paraId="275096AE" w14:textId="77777777" w:rsidR="001F6B51" w:rsidRDefault="001F6B51" w:rsidP="001F6B51">
      <w:pPr>
        <w:pStyle w:val="Heading2"/>
      </w:pPr>
      <w:bookmarkStart w:id="45" w:name="_Toc199412894"/>
      <w:bookmarkStart w:id="46" w:name="_Toc199413450"/>
      <w:bookmarkStart w:id="47" w:name="_Toc202357985"/>
      <w:bookmarkStart w:id="48" w:name="_Toc204086883"/>
      <w:r>
        <w:t>Background</w:t>
      </w:r>
      <w:bookmarkEnd w:id="45"/>
      <w:bookmarkEnd w:id="46"/>
      <w:bookmarkEnd w:id="47"/>
      <w:bookmarkEnd w:id="48"/>
      <w:r>
        <w:t xml:space="preserve"> </w:t>
      </w:r>
    </w:p>
    <w:p w14:paraId="59B16A73" w14:textId="570BFC25" w:rsidR="001F6B51" w:rsidRDefault="006D6D36" w:rsidP="001F6B51">
      <w:r>
        <w:t>T</w:t>
      </w:r>
      <w:r w:rsidR="001F6B51" w:rsidRPr="00B271FA">
        <w:t xml:space="preserve">he </w:t>
      </w:r>
      <w:r w:rsidR="001F6B51" w:rsidRPr="00F25DB0">
        <w:t xml:space="preserve">Transfer Code </w:t>
      </w:r>
      <w:r w:rsidR="001F6B51">
        <w:t>was</w:t>
      </w:r>
      <w:r w:rsidR="001F6B51" w:rsidRPr="00B271FA">
        <w:t xml:space="preserve"> published in </w:t>
      </w:r>
      <w:r w:rsidR="001F6B51">
        <w:t>2001</w:t>
      </w:r>
      <w:r w:rsidR="001F6B51" w:rsidRPr="00B271FA">
        <w:t xml:space="preserve"> by the Office of the Regulator General and predate</w:t>
      </w:r>
      <w:r w:rsidR="001F6B51">
        <w:t>s</w:t>
      </w:r>
      <w:r w:rsidR="001F6B51" w:rsidRPr="00B271FA">
        <w:t xml:space="preserve"> Victoria’s </w:t>
      </w:r>
      <w:r w:rsidR="001F6B51">
        <w:t xml:space="preserve">2005 </w:t>
      </w:r>
      <w:r w:rsidR="001F6B51" w:rsidRPr="00B271FA">
        <w:t>adoption of the</w:t>
      </w:r>
      <w:r w:rsidR="001F6B51" w:rsidRPr="008F4EBF">
        <w:rPr>
          <w:rFonts w:ascii="Arial" w:hAnsi="Arial" w:cs="Arial"/>
          <w:sz w:val="20"/>
          <w:szCs w:val="20"/>
        </w:rPr>
        <w:t xml:space="preserve"> </w:t>
      </w:r>
      <w:r w:rsidR="001F6B51">
        <w:t>NER</w:t>
      </w:r>
      <w:r w:rsidR="001F6B51" w:rsidRPr="00B271FA">
        <w:t xml:space="preserve">. The </w:t>
      </w:r>
      <w:r w:rsidR="001F6B51">
        <w:t xml:space="preserve">Transfer </w:t>
      </w:r>
      <w:r w:rsidR="001F6B51" w:rsidRPr="00B271FA">
        <w:t>Code w</w:t>
      </w:r>
      <w:r w:rsidR="001F6B51">
        <w:t>as</w:t>
      </w:r>
      <w:r w:rsidR="001F6B51" w:rsidRPr="00B271FA">
        <w:t xml:space="preserve"> deemed</w:t>
      </w:r>
      <w:r w:rsidR="001F6B51">
        <w:t xml:space="preserve"> a c</w:t>
      </w:r>
      <w:r w:rsidR="001F6B51" w:rsidRPr="00B271FA">
        <w:t>ode of</w:t>
      </w:r>
      <w:r w:rsidR="001F6B51">
        <w:t xml:space="preserve"> p</w:t>
      </w:r>
      <w:r w:rsidR="001F6B51" w:rsidRPr="00B271FA">
        <w:t>ractice on 1 December 2021</w:t>
      </w:r>
      <w:r w:rsidR="001F6B51">
        <w:t>.</w:t>
      </w:r>
      <w:r w:rsidR="001F6B51">
        <w:rPr>
          <w:rStyle w:val="FootnoteReference"/>
        </w:rPr>
        <w:footnoteReference w:id="13"/>
      </w:r>
    </w:p>
    <w:p w14:paraId="064DA46F" w14:textId="77777777" w:rsidR="001F6B51" w:rsidRDefault="001F6B51" w:rsidP="001F6B51">
      <w:r>
        <w:t xml:space="preserve">The Transfer Code covers aspects of the electricity customer transfer processes. </w:t>
      </w:r>
      <w:r>
        <w:rPr>
          <w:bCs/>
          <w:iCs/>
          <w:lang w:eastAsia="en-AU"/>
        </w:rPr>
        <w:t xml:space="preserve">It </w:t>
      </w:r>
      <w:r w:rsidRPr="00D02D52">
        <w:t xml:space="preserve">operates in conjunction with the </w:t>
      </w:r>
      <w:r>
        <w:t>NER</w:t>
      </w:r>
      <w:r w:rsidRPr="00D02D52">
        <w:t>, AEMO</w:t>
      </w:r>
      <w:r>
        <w:t>’s MSATS Principles and P</w:t>
      </w:r>
      <w:r w:rsidRPr="00546D4F">
        <w:t>rocedures</w:t>
      </w:r>
      <w:r>
        <w:t xml:space="preserve"> for all Connection Points, the Electricity Distribution Code of Practice and the Energy Retail Code of Practice</w:t>
      </w:r>
      <w:r w:rsidRPr="00546D4F">
        <w:t>.</w:t>
      </w:r>
    </w:p>
    <w:p w14:paraId="5A8A241D" w14:textId="77777777" w:rsidR="00A97640" w:rsidRDefault="001F6B51" w:rsidP="001F6B51">
      <w:pPr>
        <w:rPr>
          <w:lang w:eastAsia="en-AU"/>
        </w:rPr>
      </w:pPr>
      <w:r w:rsidRPr="5B30CE27">
        <w:rPr>
          <w:lang w:eastAsia="en-AU"/>
        </w:rPr>
        <w:t>The Transfer Code applies to</w:t>
      </w:r>
      <w:r w:rsidR="00A97640">
        <w:rPr>
          <w:lang w:eastAsia="en-AU"/>
        </w:rPr>
        <w:t>:</w:t>
      </w:r>
    </w:p>
    <w:p w14:paraId="00E6547B" w14:textId="656D5086" w:rsidR="00A97640" w:rsidRPr="00B842D9" w:rsidRDefault="001F6B51" w:rsidP="00B842D9">
      <w:pPr>
        <w:pStyle w:val="ListBullet"/>
      </w:pPr>
      <w:r w:rsidRPr="00B842D9">
        <w:t>electricity distributors</w:t>
      </w:r>
    </w:p>
    <w:p w14:paraId="0D613D8C" w14:textId="7F67671A" w:rsidR="00A97640" w:rsidRPr="00B842D9" w:rsidRDefault="001F6B51" w:rsidP="00B842D9">
      <w:pPr>
        <w:pStyle w:val="ListBullet"/>
      </w:pPr>
      <w:r w:rsidRPr="00B842D9">
        <w:t>electricity retailers</w:t>
      </w:r>
    </w:p>
    <w:p w14:paraId="75FC8E82" w14:textId="32AA0254" w:rsidR="00A0281A" w:rsidRPr="00B842D9" w:rsidRDefault="001F6B51" w:rsidP="00B842D9">
      <w:pPr>
        <w:pStyle w:val="ListBullet"/>
      </w:pPr>
      <w:r w:rsidRPr="00B842D9">
        <w:t>metering providers</w:t>
      </w:r>
    </w:p>
    <w:p w14:paraId="1E401F80" w14:textId="6694D814" w:rsidR="00C61CCD" w:rsidRPr="00B842D9" w:rsidRDefault="001F6B51" w:rsidP="00B842D9">
      <w:pPr>
        <w:pStyle w:val="ListBullet"/>
      </w:pPr>
      <w:r w:rsidRPr="00B842D9">
        <w:t>metering data providers</w:t>
      </w:r>
      <w:r w:rsidR="00052D32" w:rsidRPr="00B842D9">
        <w:t xml:space="preserve"> who are obliged to comply with the code</w:t>
      </w:r>
    </w:p>
    <w:p w14:paraId="6BA9E3F4" w14:textId="42CB928C" w:rsidR="001F6B51" w:rsidRDefault="001F6B51" w:rsidP="00B842D9">
      <w:pPr>
        <w:pStyle w:val="ListBullet"/>
      </w:pPr>
      <w:r w:rsidRPr="00B842D9">
        <w:t>other responsible persons defined in the Transfer Code.</w:t>
      </w:r>
      <w:r w:rsidRPr="003F2C14">
        <w:rPr>
          <w:rStyle w:val="FootnoteReference"/>
          <w:lang w:eastAsia="en-AU"/>
        </w:rPr>
        <w:footnoteReference w:id="14"/>
      </w:r>
    </w:p>
    <w:p w14:paraId="5201C882" w14:textId="77777777" w:rsidR="00D26994" w:rsidRDefault="00D26994" w:rsidP="009C5645">
      <w:pPr>
        <w:pStyle w:val="ListBullet"/>
        <w:numPr>
          <w:ilvl w:val="0"/>
          <w:numId w:val="0"/>
        </w:numPr>
      </w:pPr>
    </w:p>
    <w:p w14:paraId="54F348D7" w14:textId="090A410B" w:rsidR="0028409B" w:rsidRDefault="00D26994" w:rsidP="0028409B">
      <w:r>
        <w:t>Since its publication in 2001, the commission has made a variety of minor changes to the Metering Code. These changes implemented the decisions of other reviews or reflected developments to the sector</w:t>
      </w:r>
      <w:r w:rsidR="00824BAC">
        <w:t xml:space="preserve">. The Transfer Code was </w:t>
      </w:r>
      <w:r w:rsidR="0021580F">
        <w:t xml:space="preserve">comprehensively reviewed </w:t>
      </w:r>
      <w:r w:rsidR="00441ED9">
        <w:t xml:space="preserve">in 2008 </w:t>
      </w:r>
      <w:r w:rsidR="0028409B">
        <w:t>against changes to</w:t>
      </w:r>
      <w:r w:rsidR="0028409B" w:rsidRPr="009D4AD3">
        <w:t xml:space="preserve"> the </w:t>
      </w:r>
      <w:r w:rsidR="0028409B">
        <w:rPr>
          <w:i/>
          <w:iCs/>
        </w:rPr>
        <w:t xml:space="preserve">Essential Services Commission </w:t>
      </w:r>
      <w:r w:rsidR="0028409B" w:rsidRPr="00FE4241">
        <w:rPr>
          <w:i/>
          <w:iCs/>
        </w:rPr>
        <w:t>Act</w:t>
      </w:r>
      <w:r w:rsidR="0028409B" w:rsidRPr="009D4AD3">
        <w:t xml:space="preserve"> </w:t>
      </w:r>
      <w:r w:rsidR="0028409B">
        <w:rPr>
          <w:i/>
          <w:iCs/>
        </w:rPr>
        <w:t xml:space="preserve">2001 </w:t>
      </w:r>
      <w:r w:rsidR="0028409B" w:rsidRPr="009D4AD3">
        <w:t>and relevant industry legislation</w:t>
      </w:r>
      <w:r w:rsidR="0028409B">
        <w:t>. This resulted in the revocation of several code provisions. The Transfer Code has not been comprehensively reviewed since 2008.</w:t>
      </w:r>
    </w:p>
    <w:p w14:paraId="26CFFB21" w14:textId="77777777" w:rsidR="001F6B51" w:rsidRDefault="001F6B51" w:rsidP="00C51D4B">
      <w:pPr>
        <w:pStyle w:val="Heading2numbered"/>
        <w:ind w:left="0" w:firstLine="0"/>
      </w:pPr>
      <w:bookmarkStart w:id="49" w:name="_Toc199412895"/>
      <w:bookmarkStart w:id="50" w:name="_Toc199413451"/>
      <w:bookmarkStart w:id="51" w:name="_Toc202357986"/>
      <w:bookmarkStart w:id="52" w:name="_Toc204086884"/>
      <w:r>
        <w:t>Why we are revoking the Transfer Code</w:t>
      </w:r>
      <w:bookmarkEnd w:id="49"/>
      <w:bookmarkEnd w:id="50"/>
      <w:bookmarkEnd w:id="51"/>
      <w:bookmarkEnd w:id="52"/>
    </w:p>
    <w:p w14:paraId="4D356BB9" w14:textId="77777777" w:rsidR="00CF7312" w:rsidRDefault="001F6B51" w:rsidP="0028409B">
      <w:pPr>
        <w:pStyle w:val="Pull-outBullet1"/>
      </w:pPr>
      <w:r>
        <w:t>The Transfer Code is no longer fit for purpose.</w:t>
      </w:r>
    </w:p>
    <w:p w14:paraId="7A2B61E8" w14:textId="463670D9" w:rsidR="00CF7312" w:rsidRDefault="001F6B51" w:rsidP="0028409B">
      <w:pPr>
        <w:pStyle w:val="Pull-outBullet1"/>
      </w:pPr>
      <w:r>
        <w:t>The code duplicates obligations already provided for by other instruments</w:t>
      </w:r>
      <w:r w:rsidR="00CF7312">
        <w:t>.</w:t>
      </w:r>
      <w:r>
        <w:t xml:space="preserve"> </w:t>
      </w:r>
    </w:p>
    <w:p w14:paraId="13E1F12A" w14:textId="5E061E64" w:rsidR="001F6B51" w:rsidRDefault="00CF7312" w:rsidP="0028409B">
      <w:pPr>
        <w:pStyle w:val="Pull-outBullet1"/>
      </w:pPr>
      <w:r>
        <w:t xml:space="preserve">Some </w:t>
      </w:r>
      <w:r w:rsidR="001F6B51">
        <w:t>provisions</w:t>
      </w:r>
      <w:r>
        <w:t xml:space="preserve"> in the code</w:t>
      </w:r>
      <w:r w:rsidR="001F6B51">
        <w:t xml:space="preserve"> are out of date or </w:t>
      </w:r>
      <w:r w:rsidR="00F56B72">
        <w:t>redundant</w:t>
      </w:r>
      <w:r w:rsidR="001F6B51">
        <w:t>.</w:t>
      </w:r>
    </w:p>
    <w:p w14:paraId="5DED995E" w14:textId="2D116CC0" w:rsidR="001F6B51" w:rsidRDefault="001F6B51" w:rsidP="001F6B51">
      <w:r>
        <w:t xml:space="preserve">The duplication of obligations in the Transfer Code originates from the evolution of energy regulation in Victoria and the broader NEM. Victoria initially developed its own regulatory instruments to manage the processes by which electricity customers could switch from one retailer to another. These instruments, including the Transfer Code, were designed to ensure transparency, fairness and efficiency in customer transfers within Victoria’s electricity market. </w:t>
      </w:r>
    </w:p>
    <w:p w14:paraId="7F21A56E" w14:textId="73052785" w:rsidR="001F6B51" w:rsidRDefault="001F6B51" w:rsidP="001F6B51">
      <w:r>
        <w:t>Over time, the regulatory environment has shifted with the establishment of the Australian Energy Market Agreement and national energy regulatory framework.</w:t>
      </w:r>
      <w:r>
        <w:rPr>
          <w:rStyle w:val="FootnoteReference"/>
        </w:rPr>
        <w:footnoteReference w:id="15"/>
      </w:r>
      <w:r>
        <w:t xml:space="preserve"> This framework is governed by the National Electricity Law and the NER. These national instruments cover many of the same areas that were previously regulated at a state level, including customer transfers. As a result, the processes and obligations set out in the Transfer Code began to overlap with those </w:t>
      </w:r>
      <w:r w:rsidR="00E26D07">
        <w:t>provided for in</w:t>
      </w:r>
      <w:r>
        <w:t xml:space="preserve"> the national framework. </w:t>
      </w:r>
    </w:p>
    <w:p w14:paraId="48D45795" w14:textId="2C4BADFC" w:rsidR="001F6B51" w:rsidRDefault="001F6B51" w:rsidP="001F6B51">
      <w:r>
        <w:t xml:space="preserve">Such overlap has meant that electricity retailers and distribution businesses operating in Victoria must comply with both the state-based Transfer Code and the national rules. </w:t>
      </w:r>
      <w:r w:rsidR="001D3CC1">
        <w:t>While</w:t>
      </w:r>
      <w:r>
        <w:t xml:space="preserve"> the intent behind both sets of regulations are aligned – ensuring smooth and fair customer transfers – the duplication creates unnecessary complexity. This can lead to confusion about which rules take precedence, increase the compliance burden on industry and potentially result in inefficiencies in service delivery. To remove undue regulatory complexity and burden</w:t>
      </w:r>
      <w:r w:rsidR="00306701">
        <w:t xml:space="preserve"> for businesses who must comply with both the state-based Transfer </w:t>
      </w:r>
      <w:r w:rsidR="005564B5">
        <w:t xml:space="preserve">Code </w:t>
      </w:r>
      <w:r w:rsidR="00306701">
        <w:t>and</w:t>
      </w:r>
      <w:r w:rsidDel="00306701">
        <w:t xml:space="preserve"> </w:t>
      </w:r>
      <w:r>
        <w:t>the national</w:t>
      </w:r>
      <w:r w:rsidR="00306701">
        <w:t xml:space="preserve"> rules</w:t>
      </w:r>
      <w:r w:rsidR="00B24DDA">
        <w:t>,</w:t>
      </w:r>
      <w:r w:rsidR="00306701">
        <w:t xml:space="preserve"> we are </w:t>
      </w:r>
      <w:r>
        <w:t xml:space="preserve">revoking the Transfer Code. </w:t>
      </w:r>
    </w:p>
    <w:p w14:paraId="1530DB41" w14:textId="58E36F0C" w:rsidR="001F6B51" w:rsidRDefault="008A7D5F" w:rsidP="001F6B51">
      <w:r>
        <w:t>T</w:t>
      </w:r>
      <w:r w:rsidR="001F6B51">
        <w:t>he commission will make minor amendments to the Energy Retail Code of Practice to remove any references to the Transfer Code</w:t>
      </w:r>
      <w:r w:rsidR="007B4E62">
        <w:t xml:space="preserve"> in due course</w:t>
      </w:r>
      <w:r w:rsidR="001F6B51">
        <w:t>.</w:t>
      </w:r>
    </w:p>
    <w:p w14:paraId="0E580437" w14:textId="77777777" w:rsidR="001F6B51" w:rsidRPr="00B52019" w:rsidRDefault="001F6B51" w:rsidP="001F6B51">
      <w:pPr>
        <w:pStyle w:val="Heading3"/>
      </w:pPr>
      <w:bookmarkStart w:id="53" w:name="_Toc202357987"/>
      <w:bookmarkStart w:id="54" w:name="_Toc204086885"/>
      <w:r>
        <w:t>Victoria’s customer transfer debt objection</w:t>
      </w:r>
      <w:bookmarkEnd w:id="53"/>
      <w:bookmarkEnd w:id="54"/>
    </w:p>
    <w:p w14:paraId="61A65CEA" w14:textId="1AFC6C67" w:rsidR="001F6B51" w:rsidRPr="00550C1A" w:rsidRDefault="00833E8A" w:rsidP="001F6B51">
      <w:r>
        <w:t xml:space="preserve">The Transfer </w:t>
      </w:r>
      <w:r w:rsidR="00BB08FD">
        <w:t xml:space="preserve">Code </w:t>
      </w:r>
      <w:r w:rsidR="00FD6937">
        <w:t xml:space="preserve">includes a provision for a retailer to </w:t>
      </w:r>
      <w:r w:rsidR="001F6B51" w:rsidRPr="00C517BC">
        <w:t xml:space="preserve">object </w:t>
      </w:r>
      <w:r w:rsidR="00C057F4">
        <w:t xml:space="preserve">to </w:t>
      </w:r>
      <w:r w:rsidR="00BE7E10">
        <w:t xml:space="preserve">the transfer of their </w:t>
      </w:r>
      <w:r w:rsidR="004B40B8">
        <w:t>customer</w:t>
      </w:r>
      <w:r w:rsidR="00BE7E10">
        <w:t xml:space="preserve"> </w:t>
      </w:r>
      <w:r w:rsidR="001F6B51" w:rsidRPr="00C517BC">
        <w:t xml:space="preserve">based on </w:t>
      </w:r>
      <w:r w:rsidR="00BE7E10">
        <w:t xml:space="preserve">having a </w:t>
      </w:r>
      <w:r w:rsidR="001F6B51" w:rsidRPr="00C517BC">
        <w:t>‘certified debt’</w:t>
      </w:r>
      <w:r w:rsidR="001F6B51">
        <w:t>.</w:t>
      </w:r>
      <w:r w:rsidR="001F6B51">
        <w:rPr>
          <w:rStyle w:val="FootnoteReference"/>
        </w:rPr>
        <w:footnoteReference w:id="16"/>
      </w:r>
      <w:r w:rsidR="001F6B51" w:rsidRPr="00C517BC">
        <w:t xml:space="preserve"> </w:t>
      </w:r>
      <w:r w:rsidR="001F6B51" w:rsidRPr="00550C1A">
        <w:t xml:space="preserve">If a customer has ‘certified debt’ (an amount over $200 as defined </w:t>
      </w:r>
      <w:r w:rsidR="001F6B51">
        <w:t>in</w:t>
      </w:r>
      <w:r w:rsidR="001F6B51" w:rsidRPr="00550C1A">
        <w:t xml:space="preserve"> the Transfer Code), a customer’s existing electricity retailer can object to </w:t>
      </w:r>
      <w:r w:rsidR="00087116">
        <w:t xml:space="preserve">the </w:t>
      </w:r>
      <w:r w:rsidR="001F6B51" w:rsidRPr="00550C1A">
        <w:t xml:space="preserve">transfer </w:t>
      </w:r>
      <w:r w:rsidR="00087116">
        <w:t>of</w:t>
      </w:r>
      <w:r w:rsidR="001F6B51" w:rsidRPr="00550C1A">
        <w:t xml:space="preserve"> the customer to another retailer.</w:t>
      </w:r>
      <w:r w:rsidR="001F6B51" w:rsidRPr="003B66A3">
        <w:rPr>
          <w:rStyle w:val="FootnoteReference"/>
        </w:rPr>
        <w:footnoteReference w:id="17"/>
      </w:r>
      <w:r w:rsidR="001F6B51" w:rsidRPr="00550C1A">
        <w:t xml:space="preserve"> To accommodate this obligation, the latest version of </w:t>
      </w:r>
      <w:r w:rsidR="001F6B51">
        <w:t>AEMO’s</w:t>
      </w:r>
      <w:r w:rsidR="001F6B51" w:rsidRPr="00550C1A">
        <w:t xml:space="preserve"> MSATS Principles and Obligations allow electricity retailers to reverse a customer transfer based on certified debt.</w:t>
      </w:r>
      <w:r w:rsidR="001F6B51" w:rsidRPr="003B66A3">
        <w:rPr>
          <w:rStyle w:val="FootnoteReference"/>
        </w:rPr>
        <w:footnoteReference w:id="18"/>
      </w:r>
    </w:p>
    <w:p w14:paraId="3A516F34" w14:textId="202FBBD4" w:rsidR="001F6B51" w:rsidRPr="00550C1A" w:rsidRDefault="001F6B51" w:rsidP="001F6B51">
      <w:r w:rsidRPr="00550C1A">
        <w:t>Objecting to a customer retailer change based on existing debt is unique to Victoria</w:t>
      </w:r>
      <w:r>
        <w:t>.</w:t>
      </w:r>
      <w:r w:rsidRPr="00550C1A">
        <w:t> To accommodate the ‘certified debt’ reversal under the Transfer Code, AEMO introduced a new change reason code (1061) specifically for Victoria.</w:t>
      </w:r>
      <w:r>
        <w:rPr>
          <w:rStyle w:val="FootnoteReference"/>
        </w:rPr>
        <w:footnoteReference w:id="19"/>
      </w:r>
      <w:r w:rsidRPr="00550C1A">
        <w:t xml:space="preserve"> In Victoria, the losing retailer is provided one business day to assess certified debt and reverse the transfer if certified debt is present.</w:t>
      </w:r>
      <w:r>
        <w:rPr>
          <w:rStyle w:val="FootnoteReference"/>
        </w:rPr>
        <w:footnoteReference w:id="20"/>
      </w:r>
      <w:r w:rsidRPr="00550C1A">
        <w:t xml:space="preserve"> If certified debt is not recognised within one business day, a retailer can use alterative agreements with the new retailer to reverse a </w:t>
      </w:r>
      <w:r w:rsidR="00F01990" w:rsidRPr="00550C1A">
        <w:t>customer</w:t>
      </w:r>
      <w:r w:rsidR="00F01990">
        <w:t>’s</w:t>
      </w:r>
      <w:r w:rsidRPr="00550C1A">
        <w:t xml:space="preserve"> transfer.</w:t>
      </w:r>
      <w:r>
        <w:rPr>
          <w:rStyle w:val="FootnoteReference"/>
        </w:rPr>
        <w:footnoteReference w:id="21"/>
      </w:r>
      <w:r w:rsidRPr="00550C1A">
        <w:t xml:space="preserve"> </w:t>
      </w:r>
    </w:p>
    <w:p w14:paraId="6123E7C5" w14:textId="35C739FA" w:rsidR="001F6B51" w:rsidRDefault="001F6B51" w:rsidP="001F6B51">
      <w:r>
        <w:t xml:space="preserve">AEMO administers the transfer objection code for certified debt in Victoria. In their submission, AEMO informed the commission that the revocation of clause 5.1(b) of the Transfer Code will require AEMO to implement corresponding changes to remove the debt objection code from their processes and systems. Removing the debt objection code will also </w:t>
      </w:r>
      <w:r w:rsidR="00F01990">
        <w:t>align</w:t>
      </w:r>
      <w:r>
        <w:t xml:space="preserve"> Victoria’s procedures with other jurisdictions. </w:t>
      </w:r>
    </w:p>
    <w:p w14:paraId="51FE821A" w14:textId="74C13207" w:rsidR="00E61EAF" w:rsidRDefault="00E61EAF" w:rsidP="00F12161">
      <w:pPr>
        <w:pStyle w:val="Heading3"/>
      </w:pPr>
      <w:bookmarkStart w:id="55" w:name="_Toc204086886"/>
      <w:r>
        <w:t xml:space="preserve">Maintaining </w:t>
      </w:r>
      <w:r w:rsidRPr="00550C1A">
        <w:t>consumer protection</w:t>
      </w:r>
      <w:r>
        <w:t>s</w:t>
      </w:r>
      <w:bookmarkEnd w:id="55"/>
      <w:r w:rsidRPr="00550C1A">
        <w:t xml:space="preserve"> </w:t>
      </w:r>
    </w:p>
    <w:p w14:paraId="510818D8" w14:textId="63F07AD8" w:rsidR="006C29BB" w:rsidRPr="00550C1A" w:rsidRDefault="007D1B7B" w:rsidP="006C29BB">
      <w:r>
        <w:t>Th</w:t>
      </w:r>
      <w:r w:rsidR="005F64E8">
        <w:t>e transfer debt</w:t>
      </w:r>
      <w:r>
        <w:t xml:space="preserve"> provision could </w:t>
      </w:r>
      <w:r w:rsidR="006C29BB" w:rsidRPr="00550C1A">
        <w:t>be viewed as a consumer protection</w:t>
      </w:r>
      <w:r w:rsidR="00336057">
        <w:t>:</w:t>
      </w:r>
      <w:r w:rsidR="006C29BB" w:rsidRPr="00550C1A">
        <w:t xml:space="preserve"> preventing a customer from accumulating debt with multiple retailers</w:t>
      </w:r>
      <w:r w:rsidR="00336057">
        <w:t>.</w:t>
      </w:r>
      <w:r w:rsidR="006C29BB" w:rsidRPr="00550C1A">
        <w:t xml:space="preserve"> </w:t>
      </w:r>
      <w:r w:rsidR="005A42FC">
        <w:t>I</w:t>
      </w:r>
      <w:r w:rsidR="006C29BB" w:rsidRPr="00550C1A">
        <w:t>t can also be restrictive</w:t>
      </w:r>
      <w:r w:rsidR="00CB188B">
        <w:t>:</w:t>
      </w:r>
      <w:r w:rsidR="006C29BB" w:rsidRPr="00550C1A">
        <w:t xml:space="preserve"> preventing a customer </w:t>
      </w:r>
      <w:r w:rsidR="006C29BB">
        <w:t>from</w:t>
      </w:r>
      <w:r w:rsidR="006C29BB" w:rsidRPr="00550C1A">
        <w:t xml:space="preserve"> exercis</w:t>
      </w:r>
      <w:r w:rsidR="006C29BB">
        <w:t>ing</w:t>
      </w:r>
      <w:r w:rsidR="006C29BB" w:rsidRPr="00550C1A">
        <w:t xml:space="preserve"> their choice. </w:t>
      </w:r>
    </w:p>
    <w:p w14:paraId="198CD002" w14:textId="0D885E44" w:rsidR="00A03140" w:rsidRDefault="00C46AB8" w:rsidP="001F6B51">
      <w:r>
        <w:t>We</w:t>
      </w:r>
      <w:r w:rsidDel="00CE3107">
        <w:t xml:space="preserve"> </w:t>
      </w:r>
      <w:r>
        <w:t xml:space="preserve">heard feedback from consumer groups that, in practice, most retailers </w:t>
      </w:r>
      <w:r w:rsidR="00732D9A">
        <w:t xml:space="preserve">do not object to the transfer of customers in </w:t>
      </w:r>
      <w:r w:rsidR="000265D1">
        <w:t>certified</w:t>
      </w:r>
      <w:r w:rsidR="00732D9A">
        <w:t xml:space="preserve"> debt.</w:t>
      </w:r>
      <w:r w:rsidR="004540F9">
        <w:t xml:space="preserve"> </w:t>
      </w:r>
      <w:r w:rsidR="00EA6E67">
        <w:t xml:space="preserve">Our analysis of data also confirms that retailers rarely object a customer transfer due to </w:t>
      </w:r>
      <w:r w:rsidR="0051425B">
        <w:t xml:space="preserve">certified </w:t>
      </w:r>
      <w:r w:rsidR="00EA6E67">
        <w:t>debt</w:t>
      </w:r>
      <w:r w:rsidR="0062373B">
        <w:t xml:space="preserve"> (</w:t>
      </w:r>
      <w:r w:rsidR="00F14873">
        <w:t xml:space="preserve">only </w:t>
      </w:r>
      <w:r w:rsidR="00EA6E67" w:rsidRPr="00550C1A">
        <w:t>0.3</w:t>
      </w:r>
      <w:r w:rsidR="00F13763">
        <w:t xml:space="preserve"> per cent </w:t>
      </w:r>
      <w:r w:rsidR="00EA6E67">
        <w:t>of customer</w:t>
      </w:r>
      <w:r w:rsidR="00EA6E67" w:rsidRPr="00550C1A">
        <w:t xml:space="preserve"> transfers were objected </w:t>
      </w:r>
      <w:r w:rsidR="00F14873">
        <w:t xml:space="preserve">due to </w:t>
      </w:r>
      <w:r w:rsidR="00EA6E67" w:rsidRPr="00550C1A">
        <w:t>debt</w:t>
      </w:r>
      <w:r w:rsidR="00F14873">
        <w:t>, on average per month in 2019)</w:t>
      </w:r>
      <w:r w:rsidR="00EA6E67" w:rsidRPr="00550C1A">
        <w:t>.</w:t>
      </w:r>
      <w:r w:rsidR="00EA6E67" w:rsidRPr="00FA6AB2">
        <w:rPr>
          <w:rStyle w:val="FootnoteReference"/>
        </w:rPr>
        <w:footnoteReference w:id="22"/>
      </w:r>
      <w:r w:rsidR="0062373B">
        <w:t xml:space="preserve"> </w:t>
      </w:r>
      <w:r w:rsidR="004540F9">
        <w:t>Rather,</w:t>
      </w:r>
      <w:r w:rsidR="002C4058">
        <w:t xml:space="preserve"> </w:t>
      </w:r>
      <w:r w:rsidR="00EA6E67">
        <w:t xml:space="preserve">consumer groups </w:t>
      </w:r>
      <w:r w:rsidR="0062373B">
        <w:t xml:space="preserve">noted </w:t>
      </w:r>
      <w:r w:rsidR="002C4058">
        <w:t>that</w:t>
      </w:r>
      <w:r w:rsidR="004540F9">
        <w:t xml:space="preserve"> some retailers </w:t>
      </w:r>
      <w:r w:rsidR="002C4058">
        <w:t xml:space="preserve">occasionally </w:t>
      </w:r>
      <w:r w:rsidR="004540F9">
        <w:t xml:space="preserve">provide incentives, such as debt waivers, if a customer </w:t>
      </w:r>
      <w:r w:rsidR="007A09DA">
        <w:t>in debt transfers to another retailer.</w:t>
      </w:r>
      <w:r w:rsidR="00732D9A">
        <w:t xml:space="preserve"> </w:t>
      </w:r>
    </w:p>
    <w:p w14:paraId="2624FE31" w14:textId="4795625D" w:rsidR="00C46AB8" w:rsidRDefault="7419ABF7" w:rsidP="2A0D42E9">
      <w:r w:rsidRPr="2A0D42E9">
        <w:rPr>
          <w:rFonts w:ascii="Arial" w:eastAsia="Arial" w:hAnsi="Arial" w:cs="Arial"/>
        </w:rPr>
        <w:t>Consumer groups considered that retailers can do more to support customers experiencing vulnerability or payment difficulty.</w:t>
      </w:r>
      <w:r w:rsidR="00732D9A" w:rsidRPr="2A0D42E9">
        <w:rPr>
          <w:rStyle w:val="FootnoteReference"/>
          <w:rFonts w:ascii="Arial" w:eastAsia="Arial" w:hAnsi="Arial" w:cs="Arial"/>
        </w:rPr>
        <w:footnoteReference w:id="23"/>
      </w:r>
      <w:r w:rsidRPr="2A0D42E9">
        <w:rPr>
          <w:rFonts w:ascii="Arial" w:eastAsia="Arial" w:hAnsi="Arial" w:cs="Arial"/>
        </w:rPr>
        <w:t xml:space="preserve"> However, they agree that preventing customers from transferring to another retailer with potentially cheaper plans is not helpful.</w:t>
      </w:r>
      <w:r w:rsidRPr="2A0D42E9">
        <w:rPr>
          <w:rFonts w:ascii="Arial" w:eastAsia="Arial" w:hAnsi="Arial" w:cs="Arial"/>
          <w:vertAlign w:val="superscript"/>
        </w:rPr>
        <w:t xml:space="preserve"> </w:t>
      </w:r>
    </w:p>
    <w:p w14:paraId="23C1C743" w14:textId="4E23C49B" w:rsidR="008A6033" w:rsidRDefault="001F6B51" w:rsidP="001F6B51">
      <w:r>
        <w:t>Customers are covered by a range of robust consumer protections under the Payment Difficulty Framework and family violence protections in the Energy Retail Code of Practice. The Payment Difficulty Framework mandates that retailers provide</w:t>
      </w:r>
      <w:r w:rsidR="004D0ABA">
        <w:t xml:space="preserve"> standard </w:t>
      </w:r>
      <w:r w:rsidR="00656D95">
        <w:t>and</w:t>
      </w:r>
      <w:r>
        <w:t xml:space="preserve"> tailored assistance to customers who may be anticipating or experiencing payment difficulty. This ensures that disconnection is a measure of last resort.</w:t>
      </w:r>
      <w:r>
        <w:rPr>
          <w:rStyle w:val="FootnoteReference"/>
        </w:rPr>
        <w:footnoteReference w:id="24"/>
      </w:r>
    </w:p>
    <w:p w14:paraId="0BA732A8" w14:textId="45472FD6" w:rsidR="005F6AA2" w:rsidRDefault="005F6AA2" w:rsidP="00307A08">
      <w:pPr>
        <w:pStyle w:val="Heading3"/>
      </w:pPr>
      <w:bookmarkStart w:id="56" w:name="_Toc204086887"/>
      <w:r>
        <w:t>Family violence protections</w:t>
      </w:r>
      <w:bookmarkEnd w:id="56"/>
      <w:r>
        <w:t xml:space="preserve"> </w:t>
      </w:r>
    </w:p>
    <w:p w14:paraId="761BE35A" w14:textId="47FAE005" w:rsidR="004D017E" w:rsidRDefault="005F6AA2" w:rsidP="001F6B51">
      <w:r>
        <w:t>F</w:t>
      </w:r>
      <w:r w:rsidR="001F6B51">
        <w:t>amily violence protections require retailers to provide safe, supportive and flexible assistance to customers affected by family violence.</w:t>
      </w:r>
      <w:r w:rsidR="001F6B51">
        <w:rPr>
          <w:rStyle w:val="FootnoteReference"/>
        </w:rPr>
        <w:footnoteReference w:id="25"/>
      </w:r>
      <w:r w:rsidR="001F6B51">
        <w:t xml:space="preserve"> Retailers must also safeguard affected family violence customers confidential information, consider the potential impact of debt recovery actions and determine the person responsible for the energy consumption in question.</w:t>
      </w:r>
      <w:r w:rsidR="001F6B51">
        <w:rPr>
          <w:rStyle w:val="FootnoteReference"/>
        </w:rPr>
        <w:footnoteReference w:id="26"/>
      </w:r>
      <w:r w:rsidR="001F6B51">
        <w:t xml:space="preserve"> </w:t>
      </w:r>
    </w:p>
    <w:p w14:paraId="2F70721D" w14:textId="59D987C8" w:rsidR="00071F38" w:rsidRDefault="00071F38" w:rsidP="001F6B51">
      <w:r>
        <w:t xml:space="preserve">We heard from consumer groups that customers affected by family violence often </w:t>
      </w:r>
      <w:r w:rsidR="00A11191">
        <w:t>need to transfer energy accounts</w:t>
      </w:r>
      <w:r w:rsidR="001D3264">
        <w:t xml:space="preserve"> and </w:t>
      </w:r>
      <w:r w:rsidR="00DA3A7C">
        <w:t>retailer</w:t>
      </w:r>
      <w:r w:rsidR="001D3264">
        <w:t xml:space="preserve">s. In these cases, consumer groups agree that allowing a retailer to object to a customer transferring to another retailer could be </w:t>
      </w:r>
      <w:r w:rsidR="00DA3A7C">
        <w:t>detrimental to affected customers.</w:t>
      </w:r>
    </w:p>
    <w:p w14:paraId="75252202" w14:textId="2D8D61E2" w:rsidR="00D458C5" w:rsidRDefault="00D36612" w:rsidP="001F6B51">
      <w:r>
        <w:t xml:space="preserve">Our </w:t>
      </w:r>
      <w:r w:rsidR="007D4B5A">
        <w:t>P</w:t>
      </w:r>
      <w:r>
        <w:t xml:space="preserve">ayment </w:t>
      </w:r>
      <w:r w:rsidR="007D4B5A">
        <w:t>D</w:t>
      </w:r>
      <w:r>
        <w:t xml:space="preserve">ifficulty </w:t>
      </w:r>
      <w:r w:rsidR="007D4B5A">
        <w:t xml:space="preserve">Framework </w:t>
      </w:r>
      <w:r>
        <w:t>and family violence protections</w:t>
      </w:r>
      <w:r w:rsidR="001F6B51">
        <w:t xml:space="preserve"> significantly reduce the risks of harm associated with customer debt and provide more effective options for debt management than blocking customer transfers. We consider that the continued use of the certified debt objection is </w:t>
      </w:r>
      <w:r w:rsidR="00077A90">
        <w:t xml:space="preserve">unnecessary </w:t>
      </w:r>
      <w:r w:rsidR="001F6B51">
        <w:t>and superseded by consumer protections under the Energy Retail Code of Practice.</w:t>
      </w:r>
    </w:p>
    <w:p w14:paraId="0A0D6F11" w14:textId="123BD773" w:rsidR="001F6B51" w:rsidRDefault="001F6B51" w:rsidP="001F6B51">
      <w:r>
        <w:t xml:space="preserve">Our decision to remove this provision with the revocation of the Transfer Code will </w:t>
      </w:r>
      <w:r w:rsidR="00077A90">
        <w:t xml:space="preserve">also </w:t>
      </w:r>
      <w:r>
        <w:t>remove regulatory complexity by aligning Victoria</w:t>
      </w:r>
      <w:r w:rsidR="00077A90">
        <w:t>’s customer transfer process</w:t>
      </w:r>
      <w:r>
        <w:t xml:space="preserve"> with the practices of the </w:t>
      </w:r>
      <w:r w:rsidR="00077A90">
        <w:t>other jurisdictions.</w:t>
      </w:r>
      <w:r>
        <w:t xml:space="preserve">  </w:t>
      </w:r>
    </w:p>
    <w:p w14:paraId="5499F60E" w14:textId="5D9E2075" w:rsidR="001F6B51" w:rsidRPr="00C51D4B" w:rsidRDefault="00420492" w:rsidP="00C51D4B">
      <w:pPr>
        <w:pStyle w:val="Heading1"/>
      </w:pPr>
      <w:bookmarkStart w:id="57" w:name="_Toc204086888"/>
      <w:r>
        <w:t>Timings and next steps</w:t>
      </w:r>
      <w:bookmarkEnd w:id="57"/>
    </w:p>
    <w:p w14:paraId="60889F34" w14:textId="0F628532" w:rsidR="00AC68AA" w:rsidRDefault="009C3407" w:rsidP="001F6B51">
      <w:r>
        <w:t xml:space="preserve">The </w:t>
      </w:r>
      <w:r w:rsidR="00F12161">
        <w:t>Electricity Customer Metering Code of Practice and the Electricity Customer Transfer Code of Practice</w:t>
      </w:r>
      <w:r w:rsidR="00785B11">
        <w:t xml:space="preserve"> will be revoked on 12 September 2025</w:t>
      </w:r>
      <w:r w:rsidR="00F9436A">
        <w:t xml:space="preserve">, </w:t>
      </w:r>
      <w:r w:rsidR="00E07B30">
        <w:t>30 days</w:t>
      </w:r>
      <w:r w:rsidR="00F9436A">
        <w:t xml:space="preserve"> </w:t>
      </w:r>
      <w:r w:rsidR="001466EB">
        <w:t xml:space="preserve">after the </w:t>
      </w:r>
      <w:r w:rsidR="00E07B30">
        <w:t>publication</w:t>
      </w:r>
      <w:r w:rsidR="001466EB">
        <w:t xml:space="preserve"> of this final decision</w:t>
      </w:r>
      <w:r w:rsidR="00785B11">
        <w:t xml:space="preserve">. </w:t>
      </w:r>
    </w:p>
    <w:p w14:paraId="3B6CF47A" w14:textId="58380D02" w:rsidR="009C3407" w:rsidRDefault="00785B11" w:rsidP="001F6B51">
      <w:r>
        <w:t xml:space="preserve">This </w:t>
      </w:r>
      <w:r w:rsidR="00AC68AA">
        <w:t xml:space="preserve">responds to industry feedback and </w:t>
      </w:r>
      <w:r>
        <w:t xml:space="preserve">will provide </w:t>
      </w:r>
      <w:r w:rsidR="00FA16F4">
        <w:t xml:space="preserve">AEMO and market participants 30 days to make any </w:t>
      </w:r>
      <w:r w:rsidR="00390ED5">
        <w:t xml:space="preserve">system or procedural </w:t>
      </w:r>
      <w:r w:rsidR="00FA16F4">
        <w:t>adjustments necessary.</w:t>
      </w:r>
    </w:p>
    <w:p w14:paraId="3181489C" w14:textId="0499998E" w:rsidR="001F6B51" w:rsidRDefault="001F6B51" w:rsidP="001F6B51">
      <w:r>
        <w:t>Origin noted in</w:t>
      </w:r>
      <w:r w:rsidDel="00E13160">
        <w:t xml:space="preserve"> </w:t>
      </w:r>
      <w:r w:rsidR="00E13160">
        <w:t xml:space="preserve">its </w:t>
      </w:r>
      <w:r>
        <w:t>submission that the removal of the certified debt objection will require a transition period to allow time for industry systems and processes to be appropriately updated.</w:t>
      </w:r>
      <w:r w:rsidRPr="000154FC">
        <w:rPr>
          <w:rStyle w:val="FootnoteReference"/>
        </w:rPr>
        <w:t xml:space="preserve"> </w:t>
      </w:r>
      <w:r>
        <w:rPr>
          <w:rStyle w:val="FootnoteReference"/>
        </w:rPr>
        <w:footnoteReference w:id="27"/>
      </w:r>
      <w:r>
        <w:t xml:space="preserve"> This will include an amendment to </w:t>
      </w:r>
      <w:r w:rsidR="000E0CBB">
        <w:t>its</w:t>
      </w:r>
      <w:r>
        <w:t xml:space="preserve"> MSATS procedures to remove the transfer objection code for certified debt.</w:t>
      </w:r>
      <w:r w:rsidR="00ED674C">
        <w:rPr>
          <w:rStyle w:val="FootnoteReference"/>
        </w:rPr>
        <w:footnoteReference w:id="28"/>
      </w:r>
      <w:r w:rsidDel="00767D69">
        <w:t xml:space="preserve"> </w:t>
      </w:r>
      <w:r>
        <w:t>AGL’s submission also suggested that a notice period of 30 days would be necessary to give AEMO and market participants enough time to adjust their systems.</w:t>
      </w:r>
      <w:r>
        <w:rPr>
          <w:rStyle w:val="FootnoteReference"/>
        </w:rPr>
        <w:footnoteReference w:id="29"/>
      </w:r>
      <w:r>
        <w:t xml:space="preserve">  </w:t>
      </w:r>
    </w:p>
    <w:p w14:paraId="014FCA2C" w14:textId="239ADB81" w:rsidR="009C26CF" w:rsidRDefault="00194F95" w:rsidP="001F6B51">
      <w:r>
        <w:t xml:space="preserve">The commission has worked closely with AEMO to ensure a smooth and aligned transition between the revocation of the Transfer Code and changes to AEMO’s procedure. </w:t>
      </w:r>
      <w:r w:rsidR="001F6B51">
        <w:t>We understand</w:t>
      </w:r>
      <w:r w:rsidR="001F6B51" w:rsidDel="00305FCD">
        <w:t xml:space="preserve"> </w:t>
      </w:r>
      <w:r w:rsidR="001F6B51">
        <w:t>AEMO intend</w:t>
      </w:r>
      <w:r w:rsidR="00305FCD">
        <w:t>s</w:t>
      </w:r>
      <w:r w:rsidR="001F6B51">
        <w:t xml:space="preserve"> to deactivate the MSATS change request used to facilitate debt reversals in Victoria, as outlined in the MSATS Procedure. </w:t>
      </w:r>
    </w:p>
    <w:p w14:paraId="362D31B9" w14:textId="32481FB5" w:rsidR="001F6B51" w:rsidRDefault="000F2B49" w:rsidP="001F6B51">
      <w:pPr>
        <w:rPr>
          <w:rFonts w:ascii="Arial" w:hAnsi="Arial" w:cs="Arial"/>
        </w:rPr>
      </w:pPr>
      <w:r>
        <w:t xml:space="preserve">We have provided for 30 days to </w:t>
      </w:r>
      <w:r w:rsidR="001F6B51">
        <w:t xml:space="preserve">allow AEMO time to implement these changes and inform industry market participants. AEMO </w:t>
      </w:r>
      <w:r w:rsidR="009C26CF">
        <w:t xml:space="preserve">also </w:t>
      </w:r>
      <w:r w:rsidR="001F6B51">
        <w:t xml:space="preserve">plan to undertake a subsequent consultation on the MSATS </w:t>
      </w:r>
      <w:r w:rsidR="00292EDF">
        <w:t xml:space="preserve">Procedure </w:t>
      </w:r>
      <w:r w:rsidR="001F6B51">
        <w:t>to allow them to amend the wording of their processes to reflect the change.</w:t>
      </w:r>
      <w:r w:rsidR="001F6B51" w:rsidDel="009C26CF">
        <w:rPr>
          <w:rFonts w:ascii="Arial" w:hAnsi="Arial" w:cs="Arial"/>
        </w:rPr>
        <w:t xml:space="preserve"> </w:t>
      </w:r>
    </w:p>
    <w:p w14:paraId="7ED95939" w14:textId="77777777" w:rsidR="001F6B51" w:rsidRDefault="001F6B51" w:rsidP="001F6B51"/>
    <w:p w14:paraId="7340E9CC" w14:textId="77777777" w:rsidR="001F6B51" w:rsidRPr="005C6E04" w:rsidRDefault="001F6B51" w:rsidP="001F6B51"/>
    <w:p w14:paraId="1C562E53" w14:textId="77777777" w:rsidR="001F6B51" w:rsidRDefault="001F6B51" w:rsidP="001F6B51"/>
    <w:p w14:paraId="313BD954" w14:textId="77777777" w:rsidR="001F6B51" w:rsidRDefault="001F6B51" w:rsidP="001F6B51"/>
    <w:p w14:paraId="600D47AD" w14:textId="60F7E04F" w:rsidR="001F6B51" w:rsidRPr="00D74E42" w:rsidRDefault="00034691" w:rsidP="001F6B51">
      <w:pPr>
        <w:pStyle w:val="Heading1"/>
      </w:pPr>
      <w:bookmarkStart w:id="58" w:name="_Toc199412896"/>
      <w:bookmarkStart w:id="59" w:name="_Toc199413452"/>
      <w:bookmarkStart w:id="60" w:name="_Toc202357989"/>
      <w:bookmarkStart w:id="61" w:name="_Toc204086889"/>
      <w:r>
        <w:t xml:space="preserve">Appendix A – </w:t>
      </w:r>
      <w:r w:rsidR="004572E5">
        <w:t>E</w:t>
      </w:r>
      <w:r w:rsidR="001F6B51">
        <w:t>ngagement summary</w:t>
      </w:r>
      <w:bookmarkEnd w:id="58"/>
      <w:bookmarkEnd w:id="59"/>
      <w:bookmarkEnd w:id="60"/>
      <w:bookmarkEnd w:id="61"/>
    </w:p>
    <w:p w14:paraId="7883A1B8" w14:textId="55494974" w:rsidR="001F6B51" w:rsidRDefault="001F6B51" w:rsidP="001F6B51">
      <w:r>
        <w:t>Our targeted consultation period was open from 7 April to 8 May 2025. We consulted directly with a range of key stakeholders who may be most affected by the codes</w:t>
      </w:r>
      <w:r w:rsidR="00067A25">
        <w:t>’</w:t>
      </w:r>
      <w:r>
        <w:t xml:space="preserve"> revocation.</w:t>
      </w:r>
    </w:p>
    <w:p w14:paraId="6CE002EE" w14:textId="77777777" w:rsidR="001F6B51" w:rsidRDefault="001F6B51" w:rsidP="001F6B51">
      <w:r>
        <w:t xml:space="preserve">The stakeholders we consulted include electricity retailers, electricity distribution businesses, government stakeholders, the AEC, AEMO, and consumer and community groups. Our consultation paper and its two appendices were sent via email, and submissions were received via email. </w:t>
      </w:r>
    </w:p>
    <w:p w14:paraId="68DD64A9" w14:textId="77777777" w:rsidR="001F6B51" w:rsidRDefault="001F6B51" w:rsidP="001F6B51">
      <w:pPr>
        <w:pStyle w:val="Figure-Table-BoxHeading"/>
      </w:pPr>
      <w:r>
        <w:t xml:space="preserve">Table 1: How we engaged </w:t>
      </w:r>
    </w:p>
    <w:tbl>
      <w:tblPr>
        <w:tblStyle w:val="TableGrid"/>
        <w:tblW w:w="9781" w:type="dxa"/>
        <w:tblLook w:val="04A0" w:firstRow="1" w:lastRow="0" w:firstColumn="1" w:lastColumn="0" w:noHBand="0" w:noVBand="1"/>
      </w:tblPr>
      <w:tblGrid>
        <w:gridCol w:w="1387"/>
        <w:gridCol w:w="8394"/>
      </w:tblGrid>
      <w:tr w:rsidR="001F6B51" w:rsidRPr="00BD24AA" w14:paraId="37896CD0" w14:textId="77777777">
        <w:trPr>
          <w:cnfStyle w:val="100000000000" w:firstRow="1" w:lastRow="0" w:firstColumn="0" w:lastColumn="0" w:oddVBand="0" w:evenVBand="0" w:oddHBand="0" w:evenHBand="0" w:firstRowFirstColumn="0" w:firstRowLastColumn="0" w:lastRowFirstColumn="0" w:lastRowLastColumn="0"/>
        </w:trPr>
        <w:tc>
          <w:tcPr>
            <w:tcW w:w="1387" w:type="dxa"/>
          </w:tcPr>
          <w:p w14:paraId="106B9F82" w14:textId="77777777" w:rsidR="001F6B51" w:rsidRPr="00BD24AA" w:rsidRDefault="001F6B51">
            <w:pPr>
              <w:pStyle w:val="TableBody"/>
            </w:pPr>
          </w:p>
        </w:tc>
        <w:tc>
          <w:tcPr>
            <w:tcW w:w="8394" w:type="dxa"/>
          </w:tcPr>
          <w:p w14:paraId="0BD2F839" w14:textId="77777777" w:rsidR="001F6B51" w:rsidRPr="00BD24AA" w:rsidRDefault="001F6B51">
            <w:pPr>
              <w:pStyle w:val="TableBody"/>
            </w:pPr>
          </w:p>
        </w:tc>
      </w:tr>
      <w:tr w:rsidR="001F6B51" w:rsidRPr="00BD24AA" w14:paraId="74CABF09" w14:textId="77777777">
        <w:trPr>
          <w:cnfStyle w:val="000000100000" w:firstRow="0" w:lastRow="0" w:firstColumn="0" w:lastColumn="0" w:oddVBand="0" w:evenVBand="0" w:oddHBand="1" w:evenHBand="0" w:firstRowFirstColumn="0" w:firstRowLastColumn="0" w:lastRowFirstColumn="0" w:lastRowLastColumn="0"/>
        </w:trPr>
        <w:tc>
          <w:tcPr>
            <w:tcW w:w="1387" w:type="dxa"/>
          </w:tcPr>
          <w:p w14:paraId="2E2033B1" w14:textId="77777777" w:rsidR="001F6B51" w:rsidRDefault="001F6B51">
            <w:pPr>
              <w:pStyle w:val="TableBody"/>
              <w:jc w:val="center"/>
              <w:rPr>
                <w:b/>
                <w:bCs/>
                <w:noProof/>
              </w:rPr>
            </w:pPr>
            <w:r>
              <w:rPr>
                <w:b/>
                <w:bCs/>
                <w:noProof/>
              </w:rPr>
              <w:drawing>
                <wp:inline distT="0" distB="0" distL="0" distR="0" wp14:anchorId="198BD9E7" wp14:editId="25334005">
                  <wp:extent cx="742950" cy="742950"/>
                  <wp:effectExtent l="0" t="0" r="0" b="0"/>
                  <wp:docPr id="716648118" name="Graphic 1"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48118" name="Graphic 716648118" descr="Monthly calendar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742950" cy="742950"/>
                          </a:xfrm>
                          <a:prstGeom prst="rect">
                            <a:avLst/>
                          </a:prstGeom>
                        </pic:spPr>
                      </pic:pic>
                    </a:graphicData>
                  </a:graphic>
                </wp:inline>
              </w:drawing>
            </w:r>
          </w:p>
        </w:tc>
        <w:tc>
          <w:tcPr>
            <w:tcW w:w="8394" w:type="dxa"/>
          </w:tcPr>
          <w:p w14:paraId="246BD5C2" w14:textId="221353BB" w:rsidR="001F6B51" w:rsidRPr="00597465" w:rsidRDefault="001F6B51" w:rsidP="00C51D4B">
            <w:pPr>
              <w:pStyle w:val="TableBody"/>
              <w:spacing w:before="160" w:after="160" w:line="276" w:lineRule="auto"/>
              <w:rPr>
                <w:b/>
                <w:bCs/>
              </w:rPr>
            </w:pPr>
            <w:r w:rsidRPr="00F63F0C">
              <w:rPr>
                <w:b/>
                <w:bCs/>
              </w:rPr>
              <w:t xml:space="preserve">Key </w:t>
            </w:r>
            <w:r w:rsidR="00AF7A53">
              <w:rPr>
                <w:b/>
                <w:bCs/>
              </w:rPr>
              <w:t>d</w:t>
            </w:r>
            <w:r w:rsidRPr="00F63F0C">
              <w:rPr>
                <w:b/>
                <w:bCs/>
              </w:rPr>
              <w:t xml:space="preserve">ates </w:t>
            </w:r>
          </w:p>
          <w:p w14:paraId="57F43FC1" w14:textId="77777777" w:rsidR="001F6B51" w:rsidRDefault="001F6B51" w:rsidP="00C51D4B">
            <w:pPr>
              <w:pStyle w:val="TableBullet"/>
            </w:pPr>
            <w:r>
              <w:t xml:space="preserve">7 April 2025: Consultation paper distributed to targeted stakeholders for feedback. </w:t>
            </w:r>
          </w:p>
          <w:p w14:paraId="503EA581" w14:textId="77777777" w:rsidR="001F6B51" w:rsidRDefault="001F6B51" w:rsidP="00C51D4B">
            <w:pPr>
              <w:pStyle w:val="TableBullet"/>
            </w:pPr>
            <w:r>
              <w:t>8 May 2025: Submissions on the consultation paper closed.</w:t>
            </w:r>
          </w:p>
          <w:p w14:paraId="0E603044" w14:textId="77777777" w:rsidR="001F6B51" w:rsidRDefault="001F6B51" w:rsidP="00C51D4B">
            <w:pPr>
              <w:pStyle w:val="TableBullet"/>
            </w:pPr>
            <w:r>
              <w:t>12 August: Final decision paper published.</w:t>
            </w:r>
          </w:p>
          <w:p w14:paraId="1B28517C" w14:textId="77777777" w:rsidR="001F6B51" w:rsidRPr="00BD24AA" w:rsidRDefault="001F6B51" w:rsidP="00C51D4B">
            <w:pPr>
              <w:pStyle w:val="TableBullet"/>
            </w:pPr>
            <w:r>
              <w:t>12</w:t>
            </w:r>
            <w:r w:rsidRPr="001F36D2">
              <w:t xml:space="preserve"> </w:t>
            </w:r>
            <w:r>
              <w:t>September</w:t>
            </w:r>
            <w:r w:rsidRPr="001F36D2">
              <w:t xml:space="preserve"> 2025</w:t>
            </w:r>
            <w:r>
              <w:t>: Electricity Customer Transfer Code of Practice and Electricity Customer Metering Code of Practice revocation takes effect.</w:t>
            </w:r>
          </w:p>
        </w:tc>
      </w:tr>
      <w:tr w:rsidR="001F6B51" w:rsidRPr="00BD24AA" w14:paraId="73A5CD50" w14:textId="77777777">
        <w:trPr>
          <w:cnfStyle w:val="000000010000" w:firstRow="0" w:lastRow="0" w:firstColumn="0" w:lastColumn="0" w:oddVBand="0" w:evenVBand="0" w:oddHBand="0" w:evenHBand="1" w:firstRowFirstColumn="0" w:firstRowLastColumn="0" w:lastRowFirstColumn="0" w:lastRowLastColumn="0"/>
        </w:trPr>
        <w:tc>
          <w:tcPr>
            <w:tcW w:w="1387" w:type="dxa"/>
          </w:tcPr>
          <w:p w14:paraId="210FB6EE" w14:textId="77777777" w:rsidR="001F6B51" w:rsidRDefault="001F6B51">
            <w:pPr>
              <w:pStyle w:val="TableBody"/>
              <w:jc w:val="center"/>
              <w:rPr>
                <w:b/>
                <w:bCs/>
              </w:rPr>
            </w:pPr>
            <w:r>
              <w:rPr>
                <w:b/>
                <w:bCs/>
                <w:noProof/>
              </w:rPr>
              <w:drawing>
                <wp:inline distT="0" distB="0" distL="0" distR="0" wp14:anchorId="3A2BD622" wp14:editId="3EC2B9C8">
                  <wp:extent cx="790575" cy="790575"/>
                  <wp:effectExtent l="0" t="0" r="0" b="0"/>
                  <wp:docPr id="201415238" name="Graphic 4" descr="Fluorescent Light 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5238" name="Graphic 201415238" descr="Fluorescent Light Bulb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790575" cy="790575"/>
                          </a:xfrm>
                          <a:prstGeom prst="rect">
                            <a:avLst/>
                          </a:prstGeom>
                        </pic:spPr>
                      </pic:pic>
                    </a:graphicData>
                  </a:graphic>
                </wp:inline>
              </w:drawing>
            </w:r>
          </w:p>
        </w:tc>
        <w:tc>
          <w:tcPr>
            <w:tcW w:w="8394" w:type="dxa"/>
          </w:tcPr>
          <w:p w14:paraId="2D2E863D" w14:textId="2CBC026C" w:rsidR="00C51D4B" w:rsidRDefault="001F6B51" w:rsidP="00C51D4B">
            <w:pPr>
              <w:pStyle w:val="TableBody"/>
              <w:spacing w:before="160" w:after="160" w:line="276" w:lineRule="auto"/>
              <w:rPr>
                <w:b/>
                <w:bCs/>
              </w:rPr>
            </w:pPr>
            <w:r>
              <w:rPr>
                <w:b/>
                <w:bCs/>
              </w:rPr>
              <w:t>Methodology</w:t>
            </w:r>
          </w:p>
          <w:p w14:paraId="44ACACD9" w14:textId="6B8A1E5F" w:rsidR="001F6B51" w:rsidRDefault="001F6B51" w:rsidP="00C51D4B">
            <w:pPr>
              <w:pStyle w:val="TableBody"/>
              <w:spacing w:before="160" w:after="160" w:line="276" w:lineRule="auto"/>
            </w:pPr>
            <w:r>
              <w:t xml:space="preserve">We provided key stakeholders with the opportunity to engage with us. </w:t>
            </w:r>
          </w:p>
          <w:p w14:paraId="2F6FEB62" w14:textId="77777777" w:rsidR="001F6B51" w:rsidRPr="00CD02B2" w:rsidRDefault="001F6B51" w:rsidP="00C51D4B">
            <w:pPr>
              <w:pStyle w:val="TableBody"/>
              <w:spacing w:before="160" w:after="160" w:line="276" w:lineRule="auto"/>
            </w:pPr>
            <w:r>
              <w:t xml:space="preserve">We distributed a consultation paper for targeted consultation on 7 April 2025. The paper outlined our rationale for reviewing and proposing to revoke the codes. We sought submissions from targeted stakeholders. Stakeholder consultation closed on 8 May 2025, and we considered and incorporated stakeholder feedback into our final decision. </w:t>
            </w:r>
          </w:p>
        </w:tc>
      </w:tr>
      <w:tr w:rsidR="001F6B51" w:rsidRPr="00BD24AA" w14:paraId="3F2D5DC7" w14:textId="77777777">
        <w:trPr>
          <w:cnfStyle w:val="000000100000" w:firstRow="0" w:lastRow="0" w:firstColumn="0" w:lastColumn="0" w:oddVBand="0" w:evenVBand="0" w:oddHBand="1" w:evenHBand="0" w:firstRowFirstColumn="0" w:firstRowLastColumn="0" w:lastRowFirstColumn="0" w:lastRowLastColumn="0"/>
        </w:trPr>
        <w:tc>
          <w:tcPr>
            <w:tcW w:w="1387" w:type="dxa"/>
          </w:tcPr>
          <w:p w14:paraId="3AC2778A" w14:textId="77777777" w:rsidR="001F6B51" w:rsidRDefault="001F6B51">
            <w:pPr>
              <w:pStyle w:val="TableBody"/>
              <w:jc w:val="center"/>
              <w:rPr>
                <w:b/>
                <w:bCs/>
              </w:rPr>
            </w:pPr>
            <w:r>
              <w:rPr>
                <w:b/>
                <w:bCs/>
                <w:noProof/>
              </w:rPr>
              <w:drawing>
                <wp:inline distT="0" distB="0" distL="0" distR="0" wp14:anchorId="4F5E08EB" wp14:editId="65890259">
                  <wp:extent cx="714375" cy="714375"/>
                  <wp:effectExtent l="0" t="0" r="0" b="0"/>
                  <wp:docPr id="1504550491" name="Graphic 5" descr="Us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50491" name="Graphic 1504550491" descr="Users outline"/>
                          <pic:cNvPicPr/>
                        </pic:nvPicPr>
                        <pic:blipFill>
                          <a:blip r:embed="rId32">
                            <a:extLst>
                              <a:ext uri="{96DAC541-7B7A-43D3-8B79-37D633B846F1}">
                                <asvg:svgBlip xmlns:asvg="http://schemas.microsoft.com/office/drawing/2016/SVG/main" r:embed="rId33"/>
                              </a:ext>
                            </a:extLst>
                          </a:blip>
                          <a:stretch>
                            <a:fillRect/>
                          </a:stretch>
                        </pic:blipFill>
                        <pic:spPr>
                          <a:xfrm>
                            <a:off x="0" y="0"/>
                            <a:ext cx="714375" cy="714375"/>
                          </a:xfrm>
                          <a:prstGeom prst="rect">
                            <a:avLst/>
                          </a:prstGeom>
                        </pic:spPr>
                      </pic:pic>
                    </a:graphicData>
                  </a:graphic>
                </wp:inline>
              </w:drawing>
            </w:r>
          </w:p>
        </w:tc>
        <w:tc>
          <w:tcPr>
            <w:tcW w:w="8394" w:type="dxa"/>
          </w:tcPr>
          <w:p w14:paraId="01057B41" w14:textId="43B5AFE4" w:rsidR="00C51D4B" w:rsidRDefault="001F6B51" w:rsidP="00C51D4B">
            <w:pPr>
              <w:pStyle w:val="TableBody"/>
              <w:spacing w:before="160" w:after="160" w:line="276" w:lineRule="auto"/>
              <w:rPr>
                <w:b/>
                <w:bCs/>
              </w:rPr>
            </w:pPr>
            <w:r>
              <w:rPr>
                <w:b/>
                <w:bCs/>
              </w:rPr>
              <w:t xml:space="preserve">Number of participants </w:t>
            </w:r>
          </w:p>
          <w:p w14:paraId="6D3CA467" w14:textId="77777777" w:rsidR="001F6B51" w:rsidRDefault="001F6B51" w:rsidP="00C51D4B">
            <w:pPr>
              <w:pStyle w:val="TableBody"/>
              <w:spacing w:before="160" w:after="160" w:line="276" w:lineRule="auto"/>
            </w:pPr>
            <w:r>
              <w:t>We distributed our consultation paper to:</w:t>
            </w:r>
          </w:p>
          <w:p w14:paraId="4A7BFE60" w14:textId="77777777" w:rsidR="001F6B51" w:rsidRDefault="001F6B51" w:rsidP="00C51D4B">
            <w:pPr>
              <w:pStyle w:val="TableBullet"/>
            </w:pPr>
            <w:r>
              <w:t xml:space="preserve">5 electricity distribution businesses </w:t>
            </w:r>
          </w:p>
          <w:p w14:paraId="11DA8590" w14:textId="77777777" w:rsidR="001F6B51" w:rsidRDefault="001F6B51" w:rsidP="00C51D4B">
            <w:pPr>
              <w:pStyle w:val="TableBullet"/>
            </w:pPr>
            <w:r>
              <w:t xml:space="preserve">5 consumer and community groups </w:t>
            </w:r>
          </w:p>
          <w:p w14:paraId="0742B33E" w14:textId="3975BFB0" w:rsidR="001F6B51" w:rsidRDefault="0047558F" w:rsidP="00C51D4B">
            <w:pPr>
              <w:pStyle w:val="TableBullet"/>
            </w:pPr>
            <w:r>
              <w:t>2</w:t>
            </w:r>
            <w:r w:rsidR="001F6B51">
              <w:t>8 electricity retailers</w:t>
            </w:r>
          </w:p>
          <w:p w14:paraId="24E30168" w14:textId="77777777" w:rsidR="001F6B51" w:rsidRDefault="001F6B51" w:rsidP="00C51D4B">
            <w:pPr>
              <w:pStyle w:val="TableBullet"/>
            </w:pPr>
            <w:r>
              <w:t xml:space="preserve">12 embedded network operators </w:t>
            </w:r>
          </w:p>
          <w:p w14:paraId="33B9A8E1" w14:textId="5EAAA856" w:rsidR="001F6B51" w:rsidRDefault="001F6B51" w:rsidP="00C51D4B">
            <w:pPr>
              <w:pStyle w:val="TableBullet"/>
            </w:pPr>
            <w:r>
              <w:t xml:space="preserve">3 </w:t>
            </w:r>
            <w:r w:rsidR="009917BC">
              <w:t>g</w:t>
            </w:r>
            <w:r>
              <w:t xml:space="preserve">overnment departments and agencies </w:t>
            </w:r>
          </w:p>
          <w:p w14:paraId="74909F1E" w14:textId="6637DFF1" w:rsidR="001F6B51" w:rsidRDefault="001F62B4" w:rsidP="00C51D4B">
            <w:pPr>
              <w:pStyle w:val="TableBullet"/>
            </w:pPr>
            <w:r>
              <w:t>Energy Safe Victoria</w:t>
            </w:r>
          </w:p>
          <w:p w14:paraId="6B354ADD" w14:textId="77777777" w:rsidR="001F6B51" w:rsidRDefault="001F6B51" w:rsidP="00C51D4B">
            <w:pPr>
              <w:pStyle w:val="TableBullet"/>
            </w:pPr>
            <w:r>
              <w:t>AEMO</w:t>
            </w:r>
          </w:p>
          <w:p w14:paraId="768601FC" w14:textId="19F9D176" w:rsidR="001F6B51" w:rsidRDefault="001F6B51" w:rsidP="00C51D4B">
            <w:pPr>
              <w:pStyle w:val="TableBullet"/>
            </w:pPr>
            <w:r>
              <w:t>AEMC</w:t>
            </w:r>
          </w:p>
          <w:p w14:paraId="0E070A93" w14:textId="77777777" w:rsidR="001F6B51" w:rsidRPr="00C915F7" w:rsidRDefault="001F6B51" w:rsidP="00C51D4B">
            <w:pPr>
              <w:pStyle w:val="TableBullet"/>
            </w:pPr>
            <w:r>
              <w:t>Energy and Water Ombudsman Victoria</w:t>
            </w:r>
          </w:p>
        </w:tc>
      </w:tr>
      <w:tr w:rsidR="001F6B51" w:rsidRPr="00BD24AA" w14:paraId="17874F99" w14:textId="77777777">
        <w:trPr>
          <w:cnfStyle w:val="000000010000" w:firstRow="0" w:lastRow="0" w:firstColumn="0" w:lastColumn="0" w:oddVBand="0" w:evenVBand="0" w:oddHBand="0" w:evenHBand="1" w:firstRowFirstColumn="0" w:firstRowLastColumn="0" w:lastRowFirstColumn="0" w:lastRowLastColumn="0"/>
        </w:trPr>
        <w:tc>
          <w:tcPr>
            <w:tcW w:w="1387" w:type="dxa"/>
          </w:tcPr>
          <w:p w14:paraId="4A7373DC" w14:textId="77777777" w:rsidR="001F6B51" w:rsidRDefault="001F6B51">
            <w:pPr>
              <w:pStyle w:val="TableBody"/>
              <w:jc w:val="center"/>
              <w:rPr>
                <w:b/>
                <w:bCs/>
              </w:rPr>
            </w:pPr>
            <w:r>
              <w:rPr>
                <w:b/>
                <w:bCs/>
                <w:noProof/>
              </w:rPr>
              <w:drawing>
                <wp:inline distT="0" distB="0" distL="0" distR="0" wp14:anchorId="542C0E83" wp14:editId="39358CEF">
                  <wp:extent cx="666750" cy="666750"/>
                  <wp:effectExtent l="0" t="0" r="0" b="0"/>
                  <wp:docPr id="1550557285" name="Graphic 6" descr="Docum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557285" name="Graphic 1550557285" descr="Document outline"/>
                          <pic:cNvPicPr/>
                        </pic:nvPicPr>
                        <pic:blipFill>
                          <a:blip r:embed="rId34">
                            <a:extLst>
                              <a:ext uri="{96DAC541-7B7A-43D3-8B79-37D633B846F1}">
                                <asvg:svgBlip xmlns:asvg="http://schemas.microsoft.com/office/drawing/2016/SVG/main" r:embed="rId35"/>
                              </a:ext>
                            </a:extLst>
                          </a:blip>
                          <a:stretch>
                            <a:fillRect/>
                          </a:stretch>
                        </pic:blipFill>
                        <pic:spPr>
                          <a:xfrm>
                            <a:off x="0" y="0"/>
                            <a:ext cx="666750" cy="666750"/>
                          </a:xfrm>
                          <a:prstGeom prst="rect">
                            <a:avLst/>
                          </a:prstGeom>
                        </pic:spPr>
                      </pic:pic>
                    </a:graphicData>
                  </a:graphic>
                </wp:inline>
              </w:drawing>
            </w:r>
          </w:p>
        </w:tc>
        <w:tc>
          <w:tcPr>
            <w:tcW w:w="8394" w:type="dxa"/>
          </w:tcPr>
          <w:p w14:paraId="4A308D39" w14:textId="77777777" w:rsidR="001F6B51" w:rsidRDefault="001F6B51" w:rsidP="00C51D4B">
            <w:pPr>
              <w:pStyle w:val="TableBody"/>
              <w:spacing w:before="160" w:after="160" w:line="276" w:lineRule="auto"/>
              <w:rPr>
                <w:b/>
                <w:bCs/>
              </w:rPr>
            </w:pPr>
            <w:r>
              <w:rPr>
                <w:b/>
                <w:bCs/>
              </w:rPr>
              <w:t>Number of submissions received</w:t>
            </w:r>
          </w:p>
          <w:p w14:paraId="68E5C1D1" w14:textId="0A506260" w:rsidR="001F6B51" w:rsidRDefault="001F6B51" w:rsidP="00C51D4B">
            <w:pPr>
              <w:pStyle w:val="ListBullet"/>
              <w:spacing w:after="160" w:line="276" w:lineRule="auto"/>
              <w:contextualSpacing w:val="0"/>
              <w:jc w:val="both"/>
            </w:pPr>
            <w:r>
              <w:t xml:space="preserve">We received nine written submissions in response to our consultation </w:t>
            </w:r>
            <w:r w:rsidR="00C51D4B">
              <w:t>p</w:t>
            </w:r>
            <w:r>
              <w:t>aper.</w:t>
            </w:r>
            <w:r w:rsidR="00C51D4B">
              <w:t xml:space="preserve"> </w:t>
            </w:r>
          </w:p>
          <w:p w14:paraId="1CAA4800" w14:textId="77777777" w:rsidR="00C51D4B" w:rsidRDefault="00C51D4B" w:rsidP="00C51D4B">
            <w:pPr>
              <w:pStyle w:val="TableBullet"/>
              <w:numPr>
                <w:ilvl w:val="0"/>
                <w:numId w:val="0"/>
              </w:numPr>
              <w:ind w:left="284" w:hanging="284"/>
            </w:pPr>
            <w:r>
              <w:t>These submissions were from:</w:t>
            </w:r>
          </w:p>
          <w:p w14:paraId="5149502F" w14:textId="5D479098" w:rsidR="001F6B51" w:rsidRDefault="0097046E" w:rsidP="00C51D4B">
            <w:pPr>
              <w:pStyle w:val="TableBullet"/>
            </w:pPr>
            <w:r>
              <w:t>t</w:t>
            </w:r>
            <w:r w:rsidR="001F6B51">
              <w:t xml:space="preserve">he </w:t>
            </w:r>
            <w:r w:rsidR="00913FCC">
              <w:t>Australian Energy Council</w:t>
            </w:r>
          </w:p>
          <w:p w14:paraId="0495EC13" w14:textId="542EB4C9" w:rsidR="001F6B51" w:rsidRDefault="0097046E" w:rsidP="00C51D4B">
            <w:pPr>
              <w:pStyle w:val="TableBullet"/>
            </w:pPr>
            <w:r>
              <w:t>t</w:t>
            </w:r>
            <w:r w:rsidR="001F6B51">
              <w:t>he Australian Energy Market Operator</w:t>
            </w:r>
          </w:p>
          <w:p w14:paraId="068E55F2" w14:textId="77777777" w:rsidR="001F6B51" w:rsidRDefault="001F6B51" w:rsidP="00C51D4B">
            <w:pPr>
              <w:pStyle w:val="TableBullet"/>
            </w:pPr>
            <w:r>
              <w:t xml:space="preserve">AGL </w:t>
            </w:r>
          </w:p>
          <w:p w14:paraId="1D83CB81" w14:textId="77777777" w:rsidR="001F6B51" w:rsidRDefault="001F6B51" w:rsidP="00C51D4B">
            <w:pPr>
              <w:pStyle w:val="TableBullet"/>
            </w:pPr>
            <w:r>
              <w:t>AusNet</w:t>
            </w:r>
          </w:p>
          <w:p w14:paraId="6422DC3E" w14:textId="77777777" w:rsidR="001F6B51" w:rsidRDefault="001F6B51" w:rsidP="00C51D4B">
            <w:pPr>
              <w:pStyle w:val="TableBullet"/>
            </w:pPr>
            <w:r>
              <w:t xml:space="preserve">CitiPower, </w:t>
            </w:r>
            <w:proofErr w:type="spellStart"/>
            <w:r>
              <w:t>Powercor</w:t>
            </w:r>
            <w:proofErr w:type="spellEnd"/>
            <w:r>
              <w:t xml:space="preserve"> &amp; United Energy</w:t>
            </w:r>
          </w:p>
          <w:p w14:paraId="28682232" w14:textId="77777777" w:rsidR="001F6B51" w:rsidRDefault="001F6B51" w:rsidP="00C51D4B">
            <w:pPr>
              <w:pStyle w:val="TableBullet"/>
            </w:pPr>
            <w:r>
              <w:t>Energy On</w:t>
            </w:r>
          </w:p>
          <w:p w14:paraId="3DF4B2AE" w14:textId="77777777" w:rsidR="001F6B51" w:rsidRDefault="001F6B51" w:rsidP="00C51D4B">
            <w:pPr>
              <w:pStyle w:val="TableBullet"/>
            </w:pPr>
            <w:r>
              <w:t xml:space="preserve">Engie </w:t>
            </w:r>
          </w:p>
          <w:p w14:paraId="6F7780DE" w14:textId="77777777" w:rsidR="001F6B51" w:rsidRDefault="001F6B51" w:rsidP="00C51D4B">
            <w:pPr>
              <w:pStyle w:val="TableBullet"/>
            </w:pPr>
            <w:r>
              <w:t>Jemena</w:t>
            </w:r>
          </w:p>
          <w:p w14:paraId="5697C5AD" w14:textId="74588D05" w:rsidR="001F6B51" w:rsidRPr="00317AF3" w:rsidRDefault="001F6B51" w:rsidP="00C51D4B">
            <w:pPr>
              <w:pStyle w:val="TableBullet"/>
            </w:pPr>
            <w:r>
              <w:t>Origin</w:t>
            </w:r>
            <w:r w:rsidR="00E338B9">
              <w:t>.</w:t>
            </w:r>
          </w:p>
        </w:tc>
      </w:tr>
    </w:tbl>
    <w:p w14:paraId="3D055A94" w14:textId="078971CE" w:rsidR="001F6B51" w:rsidRDefault="001F6B51" w:rsidP="001F6B51">
      <w:pPr>
        <w:pStyle w:val="Heading1"/>
      </w:pPr>
      <w:bookmarkStart w:id="62" w:name="_Toc202357993"/>
      <w:bookmarkStart w:id="63" w:name="_Toc204086890"/>
      <w:r>
        <w:t xml:space="preserve">Appendix </w:t>
      </w:r>
      <w:r w:rsidR="00034691">
        <w:t>B</w:t>
      </w:r>
      <w:r>
        <w:t xml:space="preserve"> – Amendments to other codes of practice</w:t>
      </w:r>
      <w:bookmarkEnd w:id="62"/>
      <w:bookmarkEnd w:id="63"/>
    </w:p>
    <w:p w14:paraId="1170A9DF" w14:textId="63409A51" w:rsidR="001F6B51" w:rsidRPr="00053016" w:rsidRDefault="001F6B51" w:rsidP="001F6B51">
      <w:r>
        <w:t>The table below details references to the Transfer</w:t>
      </w:r>
      <w:r w:rsidR="008824C7">
        <w:t xml:space="preserve"> Code</w:t>
      </w:r>
      <w:r>
        <w:t xml:space="preserve"> or Metering Code that are present in the commission’s other codes of practice. Amendments to these codes to remove reference to these instruments will be made within due course, following the Transfer and Metering Codes effective revocation date.</w:t>
      </w:r>
    </w:p>
    <w:tbl>
      <w:tblPr>
        <w:tblStyle w:val="TableGrid1"/>
        <w:tblW w:w="0" w:type="auto"/>
        <w:tblBorders>
          <w:insideH w:val="single" w:sz="4" w:space="0" w:color="auto"/>
        </w:tblBorders>
        <w:tblLook w:val="04E0" w:firstRow="1" w:lastRow="1" w:firstColumn="1" w:lastColumn="0" w:noHBand="0" w:noVBand="1"/>
      </w:tblPr>
      <w:tblGrid>
        <w:gridCol w:w="3031"/>
        <w:gridCol w:w="619"/>
        <w:gridCol w:w="2688"/>
        <w:gridCol w:w="2688"/>
      </w:tblGrid>
      <w:tr w:rsidR="001F6B51" w:rsidRPr="009D7FF8" w14:paraId="50F887C0" w14:textId="77777777">
        <w:trPr>
          <w:cnfStyle w:val="100000000000" w:firstRow="1" w:lastRow="0" w:firstColumn="0" w:lastColumn="0" w:oddVBand="0" w:evenVBand="0" w:oddHBand="0" w:evenHBand="0" w:firstRowFirstColumn="0" w:firstRowLastColumn="0" w:lastRowFirstColumn="0" w:lastRowLastColumn="0"/>
        </w:trPr>
        <w:tc>
          <w:tcPr>
            <w:tcW w:w="3650" w:type="dxa"/>
            <w:gridSpan w:val="2"/>
          </w:tcPr>
          <w:p w14:paraId="2A319C24" w14:textId="23F73938" w:rsidR="001F6B51" w:rsidRPr="009D7FF8" w:rsidRDefault="001F6B51">
            <w:pPr>
              <w:rPr>
                <w:rFonts w:ascii="Arial" w:eastAsia="Arial" w:hAnsi="Arial" w:cs="Arial"/>
                <w:lang w:val="en-US"/>
              </w:rPr>
            </w:pPr>
            <w:r w:rsidRPr="009D7FF8">
              <w:rPr>
                <w:rFonts w:ascii="Arial" w:eastAsia="Arial" w:hAnsi="Arial" w:cs="Arial"/>
                <w:kern w:val="2"/>
                <w:sz w:val="24"/>
                <w:szCs w:val="24"/>
                <w14:ligatures w14:val="standardContextual"/>
              </w:rPr>
              <w:t xml:space="preserve">Code of </w:t>
            </w:r>
            <w:r w:rsidR="00EA61DB">
              <w:rPr>
                <w:rFonts w:ascii="Arial" w:eastAsia="Arial" w:hAnsi="Arial" w:cs="Arial"/>
                <w:kern w:val="2"/>
                <w:sz w:val="24"/>
                <w:szCs w:val="24"/>
                <w14:ligatures w14:val="standardContextual"/>
              </w:rPr>
              <w:t>p</w:t>
            </w:r>
            <w:r w:rsidRPr="009D7FF8">
              <w:rPr>
                <w:rFonts w:ascii="Arial" w:eastAsia="Arial" w:hAnsi="Arial" w:cs="Arial"/>
                <w:kern w:val="2"/>
                <w:sz w:val="24"/>
                <w:szCs w:val="24"/>
                <w14:ligatures w14:val="standardContextual"/>
              </w:rPr>
              <w:t>ractice administered by commission</w:t>
            </w:r>
          </w:p>
        </w:tc>
        <w:tc>
          <w:tcPr>
            <w:tcW w:w="2688" w:type="dxa"/>
          </w:tcPr>
          <w:p w14:paraId="4C3FD989" w14:textId="77777777" w:rsidR="001F6B51" w:rsidRPr="009D7FF8" w:rsidRDefault="001F6B51">
            <w:pPr>
              <w:rPr>
                <w:rFonts w:ascii="Arial" w:eastAsia="Arial" w:hAnsi="Arial" w:cs="Arial"/>
                <w:lang w:val="en-US"/>
              </w:rPr>
            </w:pPr>
            <w:r>
              <w:rPr>
                <w:rFonts w:ascii="Arial" w:eastAsia="Arial" w:hAnsi="Arial" w:cs="Arial"/>
                <w:kern w:val="2"/>
                <w:sz w:val="24"/>
                <w:szCs w:val="24"/>
                <w14:ligatures w14:val="standardContextual"/>
              </w:rPr>
              <w:t xml:space="preserve">References to the </w:t>
            </w:r>
            <w:r w:rsidRPr="009D7FF8">
              <w:rPr>
                <w:rFonts w:ascii="Arial" w:eastAsia="Arial" w:hAnsi="Arial" w:cs="Arial"/>
                <w:kern w:val="2"/>
                <w:sz w:val="24"/>
                <w:szCs w:val="24"/>
                <w14:ligatures w14:val="standardContextual"/>
              </w:rPr>
              <w:t>Transfer Code</w:t>
            </w:r>
          </w:p>
        </w:tc>
        <w:tc>
          <w:tcPr>
            <w:tcW w:w="2688" w:type="dxa"/>
          </w:tcPr>
          <w:p w14:paraId="4889290C" w14:textId="77777777" w:rsidR="001F6B51" w:rsidRPr="009D7FF8" w:rsidRDefault="001F6B51">
            <w:pPr>
              <w:rPr>
                <w:rFonts w:ascii="Arial" w:eastAsia="Arial" w:hAnsi="Arial" w:cs="Arial"/>
                <w:lang w:val="en-US"/>
              </w:rPr>
            </w:pPr>
            <w:r>
              <w:rPr>
                <w:rFonts w:ascii="Arial" w:eastAsia="Arial" w:hAnsi="Arial" w:cs="Arial"/>
                <w:kern w:val="2"/>
                <w:sz w:val="24"/>
                <w:szCs w:val="24"/>
                <w14:ligatures w14:val="standardContextual"/>
              </w:rPr>
              <w:t xml:space="preserve">References to the </w:t>
            </w:r>
            <w:r w:rsidRPr="009D7FF8">
              <w:rPr>
                <w:rFonts w:ascii="Arial" w:eastAsia="Arial" w:hAnsi="Arial" w:cs="Arial"/>
                <w:kern w:val="2"/>
                <w:sz w:val="24"/>
                <w:szCs w:val="24"/>
                <w14:ligatures w14:val="standardContextual"/>
              </w:rPr>
              <w:t>Metering Code</w:t>
            </w:r>
          </w:p>
        </w:tc>
      </w:tr>
      <w:tr w:rsidR="001F6B51" w:rsidRPr="009D7FF8" w14:paraId="55191CEA" w14:textId="77777777">
        <w:trPr>
          <w:cnfStyle w:val="000000100000" w:firstRow="0" w:lastRow="0" w:firstColumn="0" w:lastColumn="0" w:oddVBand="0" w:evenVBand="0" w:oddHBand="1" w:evenHBand="0" w:firstRowFirstColumn="0" w:firstRowLastColumn="0" w:lastRowFirstColumn="0" w:lastRowLastColumn="0"/>
        </w:trPr>
        <w:tc>
          <w:tcPr>
            <w:tcW w:w="3031" w:type="dxa"/>
          </w:tcPr>
          <w:p w14:paraId="697CBB25" w14:textId="77777777" w:rsidR="001F6B51" w:rsidRPr="007F2E4E" w:rsidRDefault="001F6B51">
            <w:pPr>
              <w:rPr>
                <w:rFonts w:ascii="Arial" w:eastAsia="Arial" w:hAnsi="Arial" w:cs="Arial"/>
                <w:lang w:val="en-US"/>
              </w:rPr>
            </w:pPr>
            <w:r w:rsidRPr="007F2E4E">
              <w:rPr>
                <w:rFonts w:ascii="Arial" w:eastAsia="Arial" w:hAnsi="Arial" w:cs="Arial"/>
                <w:kern w:val="2"/>
                <w14:ligatures w14:val="standardContextual"/>
              </w:rPr>
              <w:t>Energy Retail Code of Practice</w:t>
            </w:r>
          </w:p>
        </w:tc>
        <w:tc>
          <w:tcPr>
            <w:tcW w:w="619" w:type="dxa"/>
          </w:tcPr>
          <w:p w14:paraId="712477F2" w14:textId="77777777" w:rsidR="001F6B51" w:rsidRPr="007F2E4E" w:rsidRDefault="001F6B51">
            <w:pPr>
              <w:rPr>
                <w:rFonts w:ascii="Arial" w:eastAsia="Arial" w:hAnsi="Arial" w:cs="Arial"/>
                <w:lang w:val="en-US"/>
              </w:rPr>
            </w:pPr>
          </w:p>
        </w:tc>
        <w:tc>
          <w:tcPr>
            <w:tcW w:w="2688" w:type="dxa"/>
          </w:tcPr>
          <w:p w14:paraId="1F1A6245" w14:textId="77777777" w:rsidR="001F6B51" w:rsidRPr="007F2E4E" w:rsidRDefault="001F6B51">
            <w:pPr>
              <w:rPr>
                <w:rFonts w:ascii="Arial" w:eastAsia="Arial" w:hAnsi="Arial" w:cs="Arial"/>
              </w:rPr>
            </w:pPr>
            <w:r w:rsidRPr="007F2E4E">
              <w:rPr>
                <w:rFonts w:ascii="Arial" w:eastAsia="Arial" w:hAnsi="Arial" w:cs="Arial"/>
              </w:rPr>
              <w:t>As a note to clause 115 (notice to small customers where transfer delayed).</w:t>
            </w:r>
          </w:p>
          <w:p w14:paraId="5238C583" w14:textId="77777777" w:rsidR="001F6B51" w:rsidRPr="007F2E4E" w:rsidRDefault="001F6B51">
            <w:pPr>
              <w:rPr>
                <w:rFonts w:ascii="Arial" w:eastAsia="Arial" w:hAnsi="Arial" w:cs="Arial"/>
              </w:rPr>
            </w:pPr>
          </w:p>
          <w:p w14:paraId="66FE0143" w14:textId="77777777" w:rsidR="001F6B51" w:rsidRPr="007F2E4E" w:rsidRDefault="001F6B51">
            <w:pPr>
              <w:rPr>
                <w:rFonts w:ascii="Arial" w:eastAsia="Arial" w:hAnsi="Arial" w:cs="Arial"/>
              </w:rPr>
            </w:pPr>
            <w:r w:rsidRPr="007F2E4E">
              <w:rPr>
                <w:rFonts w:ascii="Arial" w:eastAsia="Arial" w:hAnsi="Arial" w:cs="Arial"/>
              </w:rPr>
              <w:t xml:space="preserve">Note reads: </w:t>
            </w:r>
          </w:p>
          <w:p w14:paraId="7F8FE387" w14:textId="1C62D0A6" w:rsidR="001F6B51" w:rsidRPr="007F2E4E" w:rsidRDefault="001F6B51">
            <w:pPr>
              <w:pBdr>
                <w:bottom w:val="single" w:sz="6" w:space="1" w:color="auto"/>
              </w:pBdr>
              <w:rPr>
                <w:rFonts w:ascii="Arial" w:eastAsia="Arial" w:hAnsi="Arial" w:cs="Arial"/>
                <w:i/>
                <w:iCs/>
              </w:rPr>
            </w:pPr>
            <w:r w:rsidRPr="007F2E4E">
              <w:rPr>
                <w:rFonts w:ascii="Arial" w:eastAsia="Arial" w:hAnsi="Arial" w:cs="Arial"/>
                <w:i/>
                <w:iCs/>
              </w:rPr>
              <w:t>Additional requirements in relation to customer transfers are contained in the Electricity Customer Transfer Code.</w:t>
            </w:r>
          </w:p>
          <w:p w14:paraId="4E18BB89" w14:textId="77777777" w:rsidR="001F6B51" w:rsidRPr="007F2E4E" w:rsidRDefault="001F6B51">
            <w:pPr>
              <w:rPr>
                <w:rFonts w:ascii="Arial" w:eastAsia="Arial" w:hAnsi="Arial" w:cs="Arial"/>
              </w:rPr>
            </w:pPr>
          </w:p>
          <w:p w14:paraId="25DF5C99" w14:textId="77777777" w:rsidR="001F6B51" w:rsidRPr="007F2E4E" w:rsidRDefault="001F6B51">
            <w:pPr>
              <w:rPr>
                <w:rFonts w:ascii="Arial" w:eastAsia="Arial" w:hAnsi="Arial" w:cs="Arial"/>
                <w:lang w:val="en-US"/>
              </w:rPr>
            </w:pPr>
            <w:r w:rsidRPr="007F2E4E">
              <w:rPr>
                <w:rFonts w:ascii="Arial" w:eastAsia="Arial" w:hAnsi="Arial" w:cs="Arial"/>
              </w:rPr>
              <w:t xml:space="preserve">The Transfer Code is also included in ‘definitions’ section. </w:t>
            </w:r>
          </w:p>
        </w:tc>
        <w:tc>
          <w:tcPr>
            <w:tcW w:w="2688" w:type="dxa"/>
          </w:tcPr>
          <w:p w14:paraId="04F02DA8" w14:textId="77777777" w:rsidR="001F6B51" w:rsidRPr="007F2E4E" w:rsidRDefault="001F6B51">
            <w:pPr>
              <w:rPr>
                <w:rFonts w:ascii="Arial" w:eastAsia="Arial" w:hAnsi="Arial" w:cs="Arial"/>
              </w:rPr>
            </w:pPr>
            <w:r w:rsidRPr="007F2E4E">
              <w:rPr>
                <w:rFonts w:ascii="Arial" w:eastAsia="Arial" w:hAnsi="Arial" w:cs="Arial"/>
              </w:rPr>
              <w:t>As a note to clause 63 (Contents of bills).</w:t>
            </w:r>
          </w:p>
          <w:p w14:paraId="0D1431DE" w14:textId="77777777" w:rsidR="001F6B51" w:rsidRPr="007F2E4E" w:rsidRDefault="001F6B51">
            <w:pPr>
              <w:rPr>
                <w:rFonts w:ascii="Arial" w:eastAsia="Arial" w:hAnsi="Arial" w:cs="Arial"/>
              </w:rPr>
            </w:pPr>
          </w:p>
          <w:p w14:paraId="5AC9CF17" w14:textId="77777777" w:rsidR="001F6B51" w:rsidRPr="007F2E4E" w:rsidRDefault="001F6B51">
            <w:pPr>
              <w:rPr>
                <w:rFonts w:ascii="Arial" w:eastAsia="Arial" w:hAnsi="Arial" w:cs="Arial"/>
              </w:rPr>
            </w:pPr>
            <w:r w:rsidRPr="007F2E4E">
              <w:rPr>
                <w:rFonts w:ascii="Arial" w:eastAsia="Arial" w:hAnsi="Arial" w:cs="Arial"/>
              </w:rPr>
              <w:t xml:space="preserve">Note reads: </w:t>
            </w:r>
          </w:p>
          <w:p w14:paraId="0B1A7D1A" w14:textId="77777777" w:rsidR="001F6B51" w:rsidRPr="007F2E4E" w:rsidRDefault="001F6B51">
            <w:pPr>
              <w:pBdr>
                <w:bottom w:val="single" w:sz="6" w:space="1" w:color="auto"/>
              </w:pBdr>
              <w:rPr>
                <w:rFonts w:ascii="Arial" w:eastAsia="Arial" w:hAnsi="Arial" w:cs="Arial"/>
                <w:i/>
                <w:iCs/>
              </w:rPr>
            </w:pPr>
            <w:r w:rsidRPr="007F2E4E">
              <w:rPr>
                <w:rFonts w:ascii="Arial" w:eastAsia="Arial" w:hAnsi="Arial" w:cs="Arial"/>
                <w:i/>
                <w:iCs/>
              </w:rPr>
              <w:t>Additional obligations in relation to the provision of metering information to small customers are contained in the Electricity Metering Code and the Gas Distribution Code of Practice.</w:t>
            </w:r>
          </w:p>
          <w:p w14:paraId="123DF676" w14:textId="77777777" w:rsidR="001F6B51" w:rsidRPr="007F2E4E" w:rsidRDefault="001F6B51">
            <w:pPr>
              <w:rPr>
                <w:rFonts w:ascii="Arial" w:eastAsia="Arial" w:hAnsi="Arial" w:cs="Arial"/>
              </w:rPr>
            </w:pPr>
            <w:r w:rsidRPr="007F2E4E">
              <w:rPr>
                <w:rFonts w:ascii="Arial" w:eastAsia="Arial" w:hAnsi="Arial" w:cs="Arial"/>
              </w:rPr>
              <w:t>As a note to clause 69 (Billing disputes)</w:t>
            </w:r>
          </w:p>
          <w:p w14:paraId="6E24C031" w14:textId="77777777" w:rsidR="001F6B51" w:rsidRPr="007F2E4E" w:rsidRDefault="001F6B51">
            <w:pPr>
              <w:rPr>
                <w:rFonts w:ascii="Arial" w:eastAsia="Arial" w:hAnsi="Arial" w:cs="Arial"/>
              </w:rPr>
            </w:pPr>
          </w:p>
          <w:p w14:paraId="12EE01E7" w14:textId="77777777" w:rsidR="001F6B51" w:rsidRPr="007F2E4E" w:rsidRDefault="001F6B51">
            <w:pPr>
              <w:pBdr>
                <w:bottom w:val="single" w:sz="6" w:space="1" w:color="auto"/>
              </w:pBdr>
              <w:rPr>
                <w:rFonts w:ascii="Arial" w:eastAsia="Arial" w:hAnsi="Arial" w:cs="Arial"/>
                <w:i/>
                <w:iCs/>
              </w:rPr>
            </w:pPr>
            <w:r w:rsidRPr="007F2E4E">
              <w:rPr>
                <w:rFonts w:ascii="Arial" w:eastAsia="Arial" w:hAnsi="Arial" w:cs="Arial"/>
              </w:rPr>
              <w:t xml:space="preserve">Note reads: </w:t>
            </w:r>
            <w:r w:rsidRPr="007F2E4E">
              <w:rPr>
                <w:rFonts w:ascii="Arial" w:eastAsia="Arial" w:hAnsi="Arial" w:cs="Arial"/>
                <w:i/>
                <w:iCs/>
              </w:rPr>
              <w:t>Additional obligations in relation to meter testing are contained in the Electricity Metering Code and Gas Distribution Code of Practice.</w:t>
            </w:r>
          </w:p>
          <w:p w14:paraId="4FCBB630" w14:textId="77777777" w:rsidR="001F6B51" w:rsidRPr="007F2E4E" w:rsidRDefault="001F6B51">
            <w:pPr>
              <w:rPr>
                <w:rFonts w:ascii="Arial" w:eastAsia="Arial" w:hAnsi="Arial" w:cs="Arial"/>
                <w:lang w:val="en-US"/>
              </w:rPr>
            </w:pPr>
            <w:r w:rsidRPr="007F2E4E">
              <w:rPr>
                <w:rFonts w:ascii="Arial" w:eastAsia="Arial" w:hAnsi="Arial" w:cs="Arial"/>
                <w:kern w:val="2"/>
                <w14:ligatures w14:val="standardContextual"/>
              </w:rPr>
              <w:t>The Metering Code is also included in ‘definitions’ section.</w:t>
            </w:r>
          </w:p>
        </w:tc>
      </w:tr>
      <w:tr w:rsidR="001F6B51" w:rsidRPr="009D7FF8" w14:paraId="3A2304EB" w14:textId="77777777">
        <w:trPr>
          <w:cnfStyle w:val="010000000000" w:firstRow="0" w:lastRow="1" w:firstColumn="0" w:lastColumn="0" w:oddVBand="0" w:evenVBand="0" w:oddHBand="0" w:evenHBand="0" w:firstRowFirstColumn="0" w:firstRowLastColumn="0" w:lastRowFirstColumn="0" w:lastRowLastColumn="0"/>
        </w:trPr>
        <w:tc>
          <w:tcPr>
            <w:tcW w:w="3031" w:type="dxa"/>
          </w:tcPr>
          <w:p w14:paraId="3F770FCE" w14:textId="77777777" w:rsidR="001F6B51" w:rsidRPr="007F2E4E" w:rsidRDefault="001F6B51">
            <w:pPr>
              <w:rPr>
                <w:rFonts w:ascii="Arial" w:eastAsia="Arial" w:hAnsi="Arial" w:cs="Arial"/>
                <w:bCs/>
              </w:rPr>
            </w:pPr>
            <w:r w:rsidRPr="007F2E4E">
              <w:rPr>
                <w:rFonts w:ascii="Arial" w:eastAsia="Arial" w:hAnsi="Arial" w:cs="Arial"/>
                <w:b w:val="0"/>
                <w:kern w:val="2"/>
                <w14:ligatures w14:val="standardContextual"/>
              </w:rPr>
              <w:t>Electricity Distribution Code of Practice</w:t>
            </w:r>
          </w:p>
        </w:tc>
        <w:tc>
          <w:tcPr>
            <w:tcW w:w="619" w:type="dxa"/>
          </w:tcPr>
          <w:p w14:paraId="55A620A9" w14:textId="77777777" w:rsidR="001F6B51" w:rsidRPr="007F2E4E" w:rsidRDefault="001F6B51">
            <w:pPr>
              <w:rPr>
                <w:rFonts w:ascii="Arial" w:eastAsia="Arial" w:hAnsi="Arial" w:cs="Arial"/>
                <w:lang w:val="en-US"/>
              </w:rPr>
            </w:pPr>
          </w:p>
        </w:tc>
        <w:tc>
          <w:tcPr>
            <w:tcW w:w="2688" w:type="dxa"/>
          </w:tcPr>
          <w:p w14:paraId="613FD087" w14:textId="77777777" w:rsidR="001F6B51" w:rsidRPr="007F2E4E" w:rsidRDefault="001F6B51">
            <w:pPr>
              <w:rPr>
                <w:rFonts w:ascii="Arial" w:eastAsia="Arial" w:hAnsi="Arial" w:cs="Arial"/>
                <w:lang w:val="en-US"/>
              </w:rPr>
            </w:pPr>
            <w:r w:rsidRPr="007F2E4E">
              <w:rPr>
                <w:rFonts w:ascii="Arial" w:eastAsia="Arial" w:hAnsi="Arial" w:cs="Arial"/>
                <w:b w:val="0"/>
              </w:rPr>
              <w:t>Not applicable</w:t>
            </w:r>
          </w:p>
        </w:tc>
        <w:tc>
          <w:tcPr>
            <w:tcW w:w="2688" w:type="dxa"/>
          </w:tcPr>
          <w:p w14:paraId="682FC2C7" w14:textId="77777777" w:rsidR="001F6B51" w:rsidRPr="007F2E4E" w:rsidRDefault="001F6B51">
            <w:pPr>
              <w:rPr>
                <w:rFonts w:ascii="Arial" w:eastAsia="Arial" w:hAnsi="Arial" w:cs="Arial"/>
                <w:b w:val="0"/>
              </w:rPr>
            </w:pPr>
            <w:r w:rsidRPr="007F2E4E">
              <w:rPr>
                <w:rFonts w:ascii="Arial" w:eastAsia="Arial" w:hAnsi="Arial" w:cs="Arial"/>
                <w:b w:val="0"/>
              </w:rPr>
              <w:t>Clause 6 (Metering).</w:t>
            </w:r>
          </w:p>
          <w:p w14:paraId="0B50302D" w14:textId="77777777" w:rsidR="001F6B51" w:rsidRPr="007F2E4E" w:rsidRDefault="001F6B51">
            <w:pPr>
              <w:pBdr>
                <w:bottom w:val="single" w:sz="6" w:space="1" w:color="auto"/>
              </w:pBdr>
              <w:rPr>
                <w:rFonts w:ascii="Arial" w:eastAsia="Arial" w:hAnsi="Arial" w:cs="Arial"/>
                <w:b w:val="0"/>
              </w:rPr>
            </w:pPr>
            <w:r w:rsidRPr="007F2E4E">
              <w:rPr>
                <w:rFonts w:ascii="Arial" w:eastAsia="Arial" w:hAnsi="Arial" w:cs="Arial"/>
                <w:b w:val="0"/>
              </w:rPr>
              <w:t>This clause requires electricity distribution businesses and customers to comply with the NER, Metrology Procedure and Metering Code.</w:t>
            </w:r>
          </w:p>
          <w:p w14:paraId="1E54E6B2" w14:textId="77777777" w:rsidR="001F6B51" w:rsidRPr="007F2E4E" w:rsidRDefault="001F6B51">
            <w:pPr>
              <w:rPr>
                <w:rFonts w:ascii="Arial" w:eastAsia="Arial" w:hAnsi="Arial" w:cs="Arial"/>
                <w:b w:val="0"/>
              </w:rPr>
            </w:pPr>
            <w:r>
              <w:rPr>
                <w:rFonts w:ascii="Arial" w:eastAsia="Arial" w:hAnsi="Arial" w:cs="Arial"/>
                <w:b w:val="0"/>
              </w:rPr>
              <w:t xml:space="preserve">The </w:t>
            </w:r>
            <w:r w:rsidRPr="007F2E4E">
              <w:rPr>
                <w:rFonts w:ascii="Arial" w:eastAsia="Arial" w:hAnsi="Arial" w:cs="Arial"/>
                <w:b w:val="0"/>
              </w:rPr>
              <w:t xml:space="preserve">Metering Code </w:t>
            </w:r>
            <w:r>
              <w:rPr>
                <w:rFonts w:ascii="Arial" w:eastAsia="Arial" w:hAnsi="Arial" w:cs="Arial"/>
                <w:b w:val="0"/>
              </w:rPr>
              <w:t xml:space="preserve">is </w:t>
            </w:r>
            <w:r w:rsidRPr="007F2E4E">
              <w:rPr>
                <w:rFonts w:ascii="Arial" w:eastAsia="Arial" w:hAnsi="Arial" w:cs="Arial"/>
                <w:b w:val="0"/>
              </w:rPr>
              <w:t xml:space="preserve">also included in </w:t>
            </w:r>
            <w:r>
              <w:rPr>
                <w:rFonts w:ascii="Arial" w:eastAsia="Arial" w:hAnsi="Arial" w:cs="Arial"/>
                <w:b w:val="0"/>
              </w:rPr>
              <w:t xml:space="preserve">the </w:t>
            </w:r>
            <w:r w:rsidRPr="007F2E4E">
              <w:rPr>
                <w:rFonts w:ascii="Arial" w:eastAsia="Arial" w:hAnsi="Arial" w:cs="Arial"/>
                <w:b w:val="0"/>
              </w:rPr>
              <w:t>‘interpretation’ section.</w:t>
            </w:r>
          </w:p>
        </w:tc>
      </w:tr>
    </w:tbl>
    <w:bookmarkEnd w:id="12"/>
    <w:bookmarkEnd w:id="13"/>
    <w:p w14:paraId="1EFAEA7C" w14:textId="598A12B1" w:rsidR="001C750A" w:rsidRPr="001C750A" w:rsidRDefault="001C750A" w:rsidP="001C750A">
      <w:r>
        <w:t xml:space="preserve"> </w:t>
      </w:r>
    </w:p>
    <w:sectPr w:rsidR="001C750A" w:rsidRPr="001C750A" w:rsidSect="00703C67">
      <w:headerReference w:type="even" r:id="rId36"/>
      <w:headerReference w:type="default" r:id="rId37"/>
      <w:headerReference w:type="first" r:id="rId38"/>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38A0A" w14:textId="77777777" w:rsidR="0055453F" w:rsidRDefault="0055453F" w:rsidP="00AE03FA">
      <w:pPr>
        <w:spacing w:after="0"/>
      </w:pPr>
      <w:r>
        <w:separator/>
      </w:r>
    </w:p>
    <w:p w14:paraId="39E38D75" w14:textId="77777777" w:rsidR="0055453F" w:rsidRDefault="0055453F"/>
  </w:endnote>
  <w:endnote w:type="continuationSeparator" w:id="0">
    <w:p w14:paraId="19E319A4" w14:textId="77777777" w:rsidR="0055453F" w:rsidRDefault="0055453F" w:rsidP="00AE03FA">
      <w:pPr>
        <w:spacing w:after="0"/>
      </w:pPr>
      <w:r>
        <w:continuationSeparator/>
      </w:r>
    </w:p>
    <w:p w14:paraId="385B5DA1" w14:textId="77777777" w:rsidR="0055453F" w:rsidRDefault="00554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A825" w14:textId="77777777" w:rsidR="001F6B51" w:rsidRDefault="001F6B51"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426"/>
    </w:tblGrid>
    <w:tr w:rsidR="001F6B51" w14:paraId="61359C58" w14:textId="77777777" w:rsidTr="00EA03AA">
      <w:trPr>
        <w:trHeight w:hRule="exact" w:val="312"/>
        <w:jc w:val="left"/>
      </w:trPr>
      <w:tc>
        <w:tcPr>
          <w:cnfStyle w:val="001000000000" w:firstRow="0" w:lastRow="0" w:firstColumn="1" w:lastColumn="0" w:oddVBand="0" w:evenVBand="0" w:oddHBand="0" w:evenHBand="0" w:firstRowFirstColumn="0" w:firstRowLastColumn="0" w:lastRowFirstColumn="0" w:lastRowLastColumn="0"/>
          <w:tcW w:w="426" w:type="dxa"/>
          <w:shd w:val="clear" w:color="auto" w:fill="D50032" w:themeFill="accent6"/>
        </w:tcPr>
        <w:p w14:paraId="301643D9" w14:textId="77777777" w:rsidR="001F6B51" w:rsidRPr="009E15D6" w:rsidRDefault="001F6B51"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60BBC4DE" w14:textId="1EE15067" w:rsidR="001F6B51" w:rsidRPr="002C2ADF" w:rsidRDefault="001F6B51" w:rsidP="00F44D5E">
    <w:pPr>
      <w:pStyle w:val="Footer"/>
      <w:ind w:right="707"/>
      <w:rPr>
        <w:b/>
      </w:rPr>
    </w:pPr>
    <w:r>
      <w:t xml:space="preserve">Essential Services Commission </w:t>
    </w:r>
    <w:sdt>
      <w:sdtPr>
        <w:rPr>
          <w:b/>
        </w:rPr>
        <w:alias w:val="Title"/>
        <w:tag w:val=""/>
        <w:id w:val="543408783"/>
        <w:placeholder>
          <w:docPart w:val="80FE518C65974B1A944C95F671D1B468"/>
        </w:placeholder>
        <w:dataBinding w:prefixMappings="xmlns:ns0='http://purl.org/dc/elements/1.1/' xmlns:ns1='http://schemas.openxmlformats.org/package/2006/metadata/core-properties' " w:xpath="/ns1:coreProperties[1]/ns0:title[1]" w:storeItemID="{6C3C8BC8-F283-45AE-878A-BAB7291924A1}"/>
        <w:text/>
      </w:sdtPr>
      <w:sdtContent>
        <w:r>
          <w:rPr>
            <w:b/>
          </w:rPr>
          <w:t>Revoking the Electricity Customer Transfer Code of Practice and the Electricity Customer Metering Code of Practice</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DAE60" w14:textId="77777777" w:rsidR="0055453F" w:rsidRPr="00CF33F6" w:rsidRDefault="0055453F" w:rsidP="00AE03FA">
      <w:pPr>
        <w:spacing w:after="0"/>
        <w:rPr>
          <w:color w:val="75787B" w:themeColor="background2"/>
        </w:rPr>
      </w:pPr>
      <w:bookmarkStart w:id="0" w:name="_Hlk480978878"/>
      <w:bookmarkEnd w:id="0"/>
      <w:r w:rsidRPr="00CF33F6">
        <w:rPr>
          <w:color w:val="75787B" w:themeColor="background2"/>
        </w:rPr>
        <w:separator/>
      </w:r>
    </w:p>
    <w:p w14:paraId="07B763CF" w14:textId="77777777" w:rsidR="0055453F" w:rsidRDefault="0055453F" w:rsidP="00CF33F6">
      <w:pPr>
        <w:pStyle w:val="NoSpacing"/>
      </w:pPr>
    </w:p>
  </w:footnote>
  <w:footnote w:type="continuationSeparator" w:id="0">
    <w:p w14:paraId="455B6951" w14:textId="77777777" w:rsidR="0055453F" w:rsidRDefault="0055453F" w:rsidP="00AE03FA">
      <w:pPr>
        <w:spacing w:after="0"/>
      </w:pPr>
      <w:r>
        <w:continuationSeparator/>
      </w:r>
    </w:p>
    <w:p w14:paraId="5EE418D3" w14:textId="77777777" w:rsidR="0055453F" w:rsidRDefault="0055453F"/>
  </w:footnote>
  <w:footnote w:id="1">
    <w:p w14:paraId="5B7D8829" w14:textId="0452F2DA" w:rsidR="00AB3C98" w:rsidRDefault="00AB3C98">
      <w:pPr>
        <w:pStyle w:val="FootnoteText"/>
      </w:pPr>
      <w:r w:rsidRPr="001156B3">
        <w:rPr>
          <w:rStyle w:val="FootnoteReference"/>
        </w:rPr>
        <w:footnoteRef/>
      </w:r>
      <w:r w:rsidRPr="001156B3">
        <w:t xml:space="preserve"> ‘Metrology Procedure’ means the national </w:t>
      </w:r>
      <w:r w:rsidR="00812B56" w:rsidRPr="002C1877">
        <w:t>M</w:t>
      </w:r>
      <w:r w:rsidRPr="001156B3">
        <w:t xml:space="preserve">etrology </w:t>
      </w:r>
      <w:r w:rsidR="00812B56" w:rsidRPr="002C1877">
        <w:t>P</w:t>
      </w:r>
      <w:r w:rsidRPr="001156B3">
        <w:t xml:space="preserve">rocedure published by AEMO in accordance with the requirements of the NER </w:t>
      </w:r>
      <w:r w:rsidR="00F46E3D" w:rsidRPr="001156B3">
        <w:t>–</w:t>
      </w:r>
      <w:r w:rsidRPr="001156B3">
        <w:t xml:space="preserve"> s</w:t>
      </w:r>
      <w:r w:rsidR="00F46E3D" w:rsidRPr="001156B3">
        <w:t xml:space="preserve">ee clause </w:t>
      </w:r>
      <w:r w:rsidR="00964CE6" w:rsidRPr="001156B3">
        <w:t>9 of the Metering Code.</w:t>
      </w:r>
      <w:r w:rsidR="00964CE6">
        <w:t xml:space="preserve"> </w:t>
      </w:r>
    </w:p>
  </w:footnote>
  <w:footnote w:id="2">
    <w:p w14:paraId="566C8264" w14:textId="77777777" w:rsidR="001F6B51" w:rsidRDefault="001F6B51" w:rsidP="001F6B51">
      <w:pPr>
        <w:pStyle w:val="FootnoteText"/>
      </w:pPr>
      <w:r>
        <w:rPr>
          <w:rStyle w:val="FootnoteReference"/>
        </w:rPr>
        <w:footnoteRef/>
      </w:r>
      <w:r>
        <w:t xml:space="preserve"> </w:t>
      </w:r>
      <w:r w:rsidRPr="006D0D61">
        <w:t xml:space="preserve">As per section 76 (3) of the </w:t>
      </w:r>
      <w:r w:rsidRPr="007D37C7">
        <w:rPr>
          <w:i/>
          <w:iCs/>
        </w:rPr>
        <w:t>Essential Services Commission Act 2001</w:t>
      </w:r>
      <w:r w:rsidRPr="007D37C7">
        <w:t>.</w:t>
      </w:r>
    </w:p>
  </w:footnote>
  <w:footnote w:id="3">
    <w:p w14:paraId="3FFCA44C" w14:textId="7F4486CE" w:rsidR="009C1EF2" w:rsidRDefault="009C1EF2">
      <w:pPr>
        <w:pStyle w:val="FootnoteText"/>
      </w:pPr>
      <w:r>
        <w:rPr>
          <w:rStyle w:val="FootnoteReference"/>
        </w:rPr>
        <w:footnoteRef/>
      </w:r>
      <w:r>
        <w:t xml:space="preserve"> As per the Metering Code: </w:t>
      </w:r>
      <w:r w:rsidR="009E3A01">
        <w:t>‘</w:t>
      </w:r>
      <w:r>
        <w:t xml:space="preserve">A </w:t>
      </w:r>
      <w:r w:rsidRPr="009C1EF2">
        <w:t>“responsible person” means in relation to second tier customers, the person who has the responsibility for a metering installation for a particular connection point, being either the distributor or the “market participant” as described in chapter 7 of the NER.</w:t>
      </w:r>
      <w:r w:rsidR="009E3A01">
        <w:t>’</w:t>
      </w:r>
    </w:p>
  </w:footnote>
  <w:footnote w:id="4">
    <w:p w14:paraId="1BD320CE" w14:textId="77777777" w:rsidR="001F6B51" w:rsidRPr="00D5040A" w:rsidRDefault="001F6B51" w:rsidP="001F6B51">
      <w:pPr>
        <w:pStyle w:val="FootnoteText"/>
      </w:pPr>
      <w:r>
        <w:rPr>
          <w:rStyle w:val="FootnoteReference"/>
        </w:rPr>
        <w:footnoteRef/>
      </w:r>
      <w:r>
        <w:t xml:space="preserve"> </w:t>
      </w:r>
      <w:r w:rsidRPr="004A58F1">
        <w:t>See</w:t>
      </w:r>
      <w:r>
        <w:t xml:space="preserve"> clause 1.3 of </w:t>
      </w:r>
      <w:r w:rsidRPr="00113CE3">
        <w:t>the Electricity Customer Metering Code of Practice</w:t>
      </w:r>
      <w:r>
        <w:t>.</w:t>
      </w:r>
    </w:p>
  </w:footnote>
  <w:footnote w:id="5">
    <w:p w14:paraId="79FB9FC8" w14:textId="77777777" w:rsidR="00973A52" w:rsidRDefault="00973A52" w:rsidP="00973A52">
      <w:pPr>
        <w:pStyle w:val="FootnoteText"/>
      </w:pPr>
      <w:r>
        <w:rPr>
          <w:rStyle w:val="FootnoteReference"/>
        </w:rPr>
        <w:footnoteRef/>
      </w:r>
      <w:r>
        <w:t xml:space="preserve"> </w:t>
      </w:r>
      <w:hyperlink r:id="rId1" w:history="1">
        <w:r w:rsidRPr="00C10586">
          <w:rPr>
            <w:rStyle w:val="Hyperlink"/>
          </w:rPr>
          <w:t>Victorian jurisdictional derogation, advanced metering infrastructure | AEMC</w:t>
        </w:r>
      </w:hyperlink>
      <w:r>
        <w:t>, Australian Energy Market Commission, accessed 28 May 2025.</w:t>
      </w:r>
    </w:p>
  </w:footnote>
  <w:footnote w:id="6">
    <w:p w14:paraId="0D9E3696" w14:textId="3493F602" w:rsidR="001F6B51" w:rsidRPr="008F1FBB" w:rsidRDefault="001F6B51" w:rsidP="001F6B51">
      <w:pPr>
        <w:pStyle w:val="FootnoteText"/>
      </w:pPr>
      <w:r>
        <w:rPr>
          <w:rStyle w:val="FootnoteReference"/>
        </w:rPr>
        <w:footnoteRef/>
      </w:r>
      <w:r>
        <w:t xml:space="preserve"> See clauses 6.1, 7.1 and 2.1 of the </w:t>
      </w:r>
      <w:r w:rsidRPr="008B5F30">
        <w:t>Electricity Customer Metering Code of Practice</w:t>
      </w:r>
      <w:r>
        <w:rPr>
          <w:i/>
          <w:iCs/>
        </w:rPr>
        <w:t xml:space="preserve"> </w:t>
      </w:r>
      <w:r w:rsidR="00BA1E93">
        <w:t>and</w:t>
      </w:r>
      <w:r w:rsidR="00DB77EA">
        <w:t xml:space="preserve"> </w:t>
      </w:r>
      <w:r w:rsidR="00BA1E93">
        <w:t xml:space="preserve">Chapter </w:t>
      </w:r>
      <w:r>
        <w:t xml:space="preserve">7 of the National Electricity Rules (NER).  </w:t>
      </w:r>
    </w:p>
  </w:footnote>
  <w:footnote w:id="7">
    <w:p w14:paraId="798CB173" w14:textId="77777777" w:rsidR="001F6B51" w:rsidRPr="00CC0D90" w:rsidRDefault="001F6B51" w:rsidP="001F6B51">
      <w:pPr>
        <w:pStyle w:val="FootnoteText"/>
        <w:rPr>
          <w:i/>
          <w:iCs/>
        </w:rPr>
      </w:pPr>
      <w:r>
        <w:rPr>
          <w:rStyle w:val="FootnoteReference"/>
        </w:rPr>
        <w:footnoteRef/>
      </w:r>
      <w:r>
        <w:t xml:space="preserve"> Origin Energy, </w:t>
      </w:r>
      <w:r>
        <w:rPr>
          <w:i/>
          <w:iCs/>
        </w:rPr>
        <w:t>submission to the Essential Services Commission ‘Revoking the Electricity Customer Transfer Code of Practice and the Electricity Customer Metering Code of Practice: Consultation Paper’</w:t>
      </w:r>
      <w:r>
        <w:t>, 12 May 2025.</w:t>
      </w:r>
    </w:p>
  </w:footnote>
  <w:footnote w:id="8">
    <w:p w14:paraId="258092B9" w14:textId="77777777" w:rsidR="001F6B51" w:rsidRDefault="001F6B51" w:rsidP="001F6B51">
      <w:pPr>
        <w:pStyle w:val="FootnoteText"/>
      </w:pPr>
      <w:r>
        <w:rPr>
          <w:rStyle w:val="FootnoteReference"/>
        </w:rPr>
        <w:footnoteRef/>
      </w:r>
      <w:r>
        <w:t xml:space="preserve"> See clause 16.1(e) of the model terms and conditions in Schedule 2 of the Energy Retail Code of Practise. </w:t>
      </w:r>
    </w:p>
  </w:footnote>
  <w:footnote w:id="9">
    <w:p w14:paraId="5089861E" w14:textId="77777777" w:rsidR="001F6B51" w:rsidRDefault="001F6B51" w:rsidP="001F6B51">
      <w:pPr>
        <w:pStyle w:val="FootnoteText"/>
      </w:pPr>
      <w:r>
        <w:rPr>
          <w:rStyle w:val="FootnoteReference"/>
        </w:rPr>
        <w:footnoteRef/>
      </w:r>
      <w:r w:rsidRPr="000B75AB">
        <w:t> See clause 6.7 of </w:t>
      </w:r>
      <w:hyperlink r:id="rId2" w:tgtFrame="_blank" w:history="1">
        <w:r w:rsidRPr="000B75AB">
          <w:rPr>
            <w:rStyle w:val="Hyperlink"/>
          </w:rPr>
          <w:t>AusNet’s</w:t>
        </w:r>
      </w:hyperlink>
      <w:r w:rsidRPr="000B75AB">
        <w:t> deemed distribution contract, CitiPower, </w:t>
      </w:r>
      <w:hyperlink r:id="rId3" w:tgtFrame="_blank" w:history="1">
        <w:r w:rsidRPr="000B75AB">
          <w:rPr>
            <w:rStyle w:val="Hyperlink"/>
          </w:rPr>
          <w:t>Powercor</w:t>
        </w:r>
      </w:hyperlink>
      <w:r w:rsidRPr="000B75AB">
        <w:t> and </w:t>
      </w:r>
      <w:hyperlink r:id="rId4" w:tgtFrame="_blank" w:history="1">
        <w:r w:rsidRPr="000B75AB">
          <w:rPr>
            <w:rStyle w:val="Hyperlink"/>
          </w:rPr>
          <w:t>United Energy’s</w:t>
        </w:r>
      </w:hyperlink>
      <w:r w:rsidRPr="000B75AB">
        <w:t> deemed distribution contract, and </w:t>
      </w:r>
      <w:hyperlink r:id="rId5" w:tgtFrame="_blank" w:history="1">
        <w:r w:rsidRPr="000B75AB">
          <w:rPr>
            <w:rStyle w:val="Hyperlink"/>
          </w:rPr>
          <w:t>Jemena’s</w:t>
        </w:r>
      </w:hyperlink>
      <w:r w:rsidRPr="000B75AB">
        <w:t> deemed distribution contract.  </w:t>
      </w:r>
    </w:p>
  </w:footnote>
  <w:footnote w:id="10">
    <w:p w14:paraId="259D9A40" w14:textId="5B51F063" w:rsidR="008314AC" w:rsidRDefault="008314AC" w:rsidP="008314AC">
      <w:pPr>
        <w:pStyle w:val="FootnoteText"/>
      </w:pPr>
      <w:r>
        <w:rPr>
          <w:rStyle w:val="FootnoteReference"/>
        </w:rPr>
        <w:footnoteRef/>
      </w:r>
      <w:r>
        <w:t xml:space="preserve"> </w:t>
      </w:r>
      <w:hyperlink r:id="rId6" w:history="1">
        <w:r w:rsidRPr="00C10586">
          <w:rPr>
            <w:rStyle w:val="Hyperlink"/>
          </w:rPr>
          <w:t>Victorian jurisdictional derogation, advanced metering infrastructure | AEMC</w:t>
        </w:r>
      </w:hyperlink>
      <w:r>
        <w:t>, Australian Energy Market Commission, accessed 28 May 2025.</w:t>
      </w:r>
    </w:p>
  </w:footnote>
  <w:footnote w:id="11">
    <w:p w14:paraId="46EB0E9B" w14:textId="77777777" w:rsidR="001F6B51" w:rsidRDefault="001F6B51" w:rsidP="001F6B51">
      <w:pPr>
        <w:pStyle w:val="FootnoteText"/>
      </w:pPr>
      <w:r>
        <w:rPr>
          <w:rStyle w:val="FootnoteReference"/>
        </w:rPr>
        <w:footnoteRef/>
      </w:r>
      <w:r>
        <w:t xml:space="preserve"> See Part A, Clause 2(g) of </w:t>
      </w:r>
      <w:r w:rsidRPr="00B448CF">
        <w:rPr>
          <w:i/>
          <w:iCs/>
        </w:rPr>
        <w:t>Victorian Government Gazette</w:t>
      </w:r>
      <w:r>
        <w:t xml:space="preserve"> No S 314, 25 November 2008.</w:t>
      </w:r>
    </w:p>
  </w:footnote>
  <w:footnote w:id="12">
    <w:p w14:paraId="429C24C1" w14:textId="77777777" w:rsidR="001F6B51" w:rsidRDefault="001F6B51" w:rsidP="001F6B51">
      <w:pPr>
        <w:pStyle w:val="FootnoteText"/>
      </w:pPr>
      <w:r>
        <w:rPr>
          <w:rStyle w:val="FootnoteReference"/>
        </w:rPr>
        <w:footnoteRef/>
      </w:r>
      <w:r>
        <w:t xml:space="preserve"> See Section 9, </w:t>
      </w:r>
      <w:r w:rsidRPr="00B842D9">
        <w:rPr>
          <w:i/>
          <w:iCs/>
        </w:rPr>
        <w:t>Victoria Government Gazette</w:t>
      </w:r>
      <w:r>
        <w:t xml:space="preserve">, General Exemption Order 2022, G 39, 29 September 2022. </w:t>
      </w:r>
    </w:p>
  </w:footnote>
  <w:footnote w:id="13">
    <w:p w14:paraId="7B3ACEC9" w14:textId="77777777" w:rsidR="001F6B51" w:rsidRDefault="001F6B51" w:rsidP="001F6B51">
      <w:pPr>
        <w:pStyle w:val="FootnoteText"/>
      </w:pPr>
      <w:r>
        <w:rPr>
          <w:rStyle w:val="FootnoteReference"/>
        </w:rPr>
        <w:footnoteRef/>
      </w:r>
      <w:r>
        <w:t xml:space="preserve"> </w:t>
      </w:r>
      <w:r w:rsidRPr="006D0D61">
        <w:t xml:space="preserve">As per section 76 (3) of the </w:t>
      </w:r>
      <w:r w:rsidRPr="007163E0">
        <w:rPr>
          <w:i/>
          <w:iCs/>
        </w:rPr>
        <w:t>Essential Services Commission Act 2001</w:t>
      </w:r>
      <w:r w:rsidRPr="007163E0">
        <w:t>.</w:t>
      </w:r>
    </w:p>
  </w:footnote>
  <w:footnote w:id="14">
    <w:p w14:paraId="1A1BEA96" w14:textId="77777777" w:rsidR="001F6B51" w:rsidRDefault="001F6B51" w:rsidP="001F6B51">
      <w:pPr>
        <w:pStyle w:val="FootnoteText"/>
      </w:pPr>
      <w:r>
        <w:rPr>
          <w:rStyle w:val="FootnoteReference"/>
        </w:rPr>
        <w:footnoteRef/>
      </w:r>
      <w:r>
        <w:t xml:space="preserve"> </w:t>
      </w:r>
      <w:r w:rsidRPr="004A58F1">
        <w:t>See</w:t>
      </w:r>
      <w:r>
        <w:rPr>
          <w:i/>
          <w:iCs/>
        </w:rPr>
        <w:t xml:space="preserve"> </w:t>
      </w:r>
      <w:r>
        <w:t xml:space="preserve">Section 1.3 of </w:t>
      </w:r>
      <w:r w:rsidRPr="004C6ADB">
        <w:t>the Electricity Customer Transfer Code of Practice</w:t>
      </w:r>
      <w:r>
        <w:t>.</w:t>
      </w:r>
    </w:p>
  </w:footnote>
  <w:footnote w:id="15">
    <w:p w14:paraId="614E4F06" w14:textId="77777777" w:rsidR="001F6B51" w:rsidRDefault="001F6B51" w:rsidP="001F6B51">
      <w:pPr>
        <w:pStyle w:val="FootnoteText"/>
      </w:pPr>
      <w:r>
        <w:rPr>
          <w:rStyle w:val="FootnoteReference"/>
        </w:rPr>
        <w:footnoteRef/>
      </w:r>
      <w:r>
        <w:t xml:space="preserve"> ‘</w:t>
      </w:r>
      <w:hyperlink r:id="rId7" w:history="1">
        <w:r w:rsidRPr="003937D8">
          <w:rPr>
            <w:rStyle w:val="Hyperlink"/>
          </w:rPr>
          <w:t>National energy governance | AEMC</w:t>
        </w:r>
      </w:hyperlink>
      <w:r>
        <w:t xml:space="preserve">’, Australian Energy Market Commission, accessed 27 May 2025. </w:t>
      </w:r>
    </w:p>
  </w:footnote>
  <w:footnote w:id="16">
    <w:p w14:paraId="143A7AD0" w14:textId="77777777" w:rsidR="001F6B51" w:rsidRDefault="001F6B51" w:rsidP="001F6B51">
      <w:pPr>
        <w:pStyle w:val="FootnoteText"/>
      </w:pPr>
      <w:r>
        <w:rPr>
          <w:rStyle w:val="FootnoteReference"/>
        </w:rPr>
        <w:footnoteRef/>
      </w:r>
      <w:r>
        <w:t xml:space="preserve"> See clause 5.1(b) of the Electricity Customer Transfer Code.</w:t>
      </w:r>
    </w:p>
  </w:footnote>
  <w:footnote w:id="17">
    <w:p w14:paraId="22864B0A" w14:textId="77777777" w:rsidR="001F6B51" w:rsidRDefault="001F6B51" w:rsidP="001F6B51">
      <w:pPr>
        <w:pStyle w:val="FootnoteText"/>
      </w:pPr>
      <w:r>
        <w:rPr>
          <w:rStyle w:val="FootnoteReference"/>
        </w:rPr>
        <w:footnoteRef/>
      </w:r>
      <w:r>
        <w:t xml:space="preserve"> </w:t>
      </w:r>
      <w:r w:rsidRPr="00185E75">
        <w:t xml:space="preserve">See Clause 6 of the </w:t>
      </w:r>
      <w:r>
        <w:t xml:space="preserve">Electricity Customer </w:t>
      </w:r>
      <w:r w:rsidRPr="00185E75">
        <w:t>Transfer Code (certified debt is defined as an aggregate sum of $200 or more […] owing by a [customer] to a retailer in respect of a NMI […]). </w:t>
      </w:r>
    </w:p>
  </w:footnote>
  <w:footnote w:id="18">
    <w:p w14:paraId="14F9916E" w14:textId="77777777" w:rsidR="001F6B51" w:rsidRDefault="001F6B51" w:rsidP="001F6B51">
      <w:pPr>
        <w:pStyle w:val="FootnoteText"/>
      </w:pPr>
      <w:r>
        <w:rPr>
          <w:rStyle w:val="FootnoteReference"/>
        </w:rPr>
        <w:footnoteRef/>
      </w:r>
      <w:r>
        <w:t xml:space="preserve"> </w:t>
      </w:r>
      <w:r w:rsidRPr="00B408E2">
        <w:t>See Section 7.1.3 of MSATS Principles and Obligations. </w:t>
      </w:r>
    </w:p>
  </w:footnote>
  <w:footnote w:id="19">
    <w:p w14:paraId="34CAB728" w14:textId="77777777" w:rsidR="001F6B51" w:rsidRDefault="001F6B51" w:rsidP="001F6B51">
      <w:pPr>
        <w:pStyle w:val="FootnoteText"/>
      </w:pPr>
      <w:r>
        <w:rPr>
          <w:rStyle w:val="FootnoteReference"/>
        </w:rPr>
        <w:footnoteRef/>
      </w:r>
      <w:r>
        <w:t xml:space="preserve"> </w:t>
      </w:r>
      <w:r w:rsidRPr="00092BA2">
        <w:t>See AEMO, </w:t>
      </w:r>
      <w:hyperlink r:id="rId8" w:tgtFrame="_blank" w:history="1">
        <w:r w:rsidRPr="00092BA2">
          <w:rPr>
            <w:rStyle w:val="Hyperlink"/>
          </w:rPr>
          <w:t>NEM Customer Switching Draft Report and Determination</w:t>
        </w:r>
      </w:hyperlink>
      <w:r w:rsidRPr="00092BA2">
        <w:t>, December 2019, p. 14; See also </w:t>
      </w:r>
      <w:hyperlink r:id="rId9" w:tgtFrame="_blank" w:history="1">
        <w:r w:rsidRPr="00092BA2">
          <w:rPr>
            <w:rStyle w:val="Hyperlink"/>
          </w:rPr>
          <w:t>AMEO Customer Switching Q and A session</w:t>
        </w:r>
      </w:hyperlink>
      <w:r w:rsidRPr="00092BA2">
        <w:t>, 2020, p.17.</w:t>
      </w:r>
    </w:p>
  </w:footnote>
  <w:footnote w:id="20">
    <w:p w14:paraId="5FE14AE7" w14:textId="77777777" w:rsidR="001F6B51" w:rsidRDefault="001F6B51" w:rsidP="001F6B51">
      <w:pPr>
        <w:pStyle w:val="FootnoteText"/>
      </w:pPr>
      <w:r>
        <w:rPr>
          <w:rStyle w:val="FootnoteReference"/>
        </w:rPr>
        <w:footnoteRef/>
      </w:r>
      <w:r>
        <w:t xml:space="preserve"> </w:t>
      </w:r>
      <w:r w:rsidRPr="00113908">
        <w:t>Ibid. </w:t>
      </w:r>
    </w:p>
  </w:footnote>
  <w:footnote w:id="21">
    <w:p w14:paraId="610363CC" w14:textId="77777777" w:rsidR="001F6B51" w:rsidRDefault="001F6B51" w:rsidP="001F6B51">
      <w:pPr>
        <w:pStyle w:val="FootnoteText"/>
      </w:pPr>
      <w:r>
        <w:rPr>
          <w:rStyle w:val="FootnoteReference"/>
        </w:rPr>
        <w:footnoteRef/>
      </w:r>
      <w:r>
        <w:t xml:space="preserve"> </w:t>
      </w:r>
      <w:r w:rsidRPr="000A3DE4">
        <w:t>See AEMO, </w:t>
      </w:r>
      <w:hyperlink r:id="rId10" w:tgtFrame="_blank" w:history="1">
        <w:r w:rsidRPr="000A3DE4">
          <w:rPr>
            <w:rStyle w:val="Hyperlink"/>
          </w:rPr>
          <w:t>NEM Customer Switching Draft Report and Determination</w:t>
        </w:r>
      </w:hyperlink>
      <w:r w:rsidRPr="000A3DE4">
        <w:t>, December 2019, p. 14. </w:t>
      </w:r>
    </w:p>
  </w:footnote>
  <w:footnote w:id="22">
    <w:p w14:paraId="78406797" w14:textId="77777777" w:rsidR="00EA6E67" w:rsidRDefault="00EA6E67" w:rsidP="00EA6E67">
      <w:pPr>
        <w:pStyle w:val="FootnoteText"/>
      </w:pPr>
      <w:r>
        <w:rPr>
          <w:rStyle w:val="FootnoteReference"/>
        </w:rPr>
        <w:footnoteRef/>
      </w:r>
      <w:r>
        <w:t xml:space="preserve"> </w:t>
      </w:r>
      <w:r w:rsidRPr="005E68C1">
        <w:t>See AEMO Section 4.3.1, </w:t>
      </w:r>
      <w:hyperlink r:id="rId11" w:tgtFrame="_blank" w:history="1">
        <w:r w:rsidRPr="005E68C1">
          <w:rPr>
            <w:rStyle w:val="Hyperlink"/>
          </w:rPr>
          <w:t>NEM Customer Switching Draft Report and Determination</w:t>
        </w:r>
      </w:hyperlink>
      <w:r w:rsidRPr="005E68C1">
        <w:t>, December 2019, p.13. </w:t>
      </w:r>
    </w:p>
  </w:footnote>
  <w:footnote w:id="23">
    <w:p w14:paraId="14BAAD4F" w14:textId="0A86865A" w:rsidR="2A0D42E9" w:rsidRDefault="2A0D42E9" w:rsidP="2A0D42E9">
      <w:pPr>
        <w:pStyle w:val="FootnoteText"/>
      </w:pPr>
      <w:r w:rsidRPr="2A0D42E9">
        <w:rPr>
          <w:rStyle w:val="FootnoteReference"/>
        </w:rPr>
        <w:footnoteRef/>
      </w:r>
      <w:r>
        <w:t xml:space="preserve"> Financial Counselling Victoria and Financial Counselling Australia, </w:t>
      </w:r>
      <w:r w:rsidRPr="2A0D42E9">
        <w:rPr>
          <w:rFonts w:ascii="Arial" w:eastAsia="Arial" w:hAnsi="Arial" w:cs="Arial"/>
          <w:i/>
          <w:iCs/>
          <w:szCs w:val="18"/>
        </w:rPr>
        <w:t>Rank the Energy Retailer 2025 Report</w:t>
      </w:r>
      <w:r w:rsidRPr="2A0D42E9">
        <w:rPr>
          <w:rFonts w:ascii="Arial" w:eastAsia="Arial" w:hAnsi="Arial" w:cs="Arial"/>
          <w:szCs w:val="18"/>
        </w:rPr>
        <w:t>, 2025, p. 7.</w:t>
      </w:r>
    </w:p>
  </w:footnote>
  <w:footnote w:id="24">
    <w:p w14:paraId="5A1867D1" w14:textId="77777777" w:rsidR="001F6B51" w:rsidRDefault="001F6B51" w:rsidP="001F6B51">
      <w:pPr>
        <w:pStyle w:val="FootnoteText"/>
      </w:pPr>
      <w:r>
        <w:rPr>
          <w:rStyle w:val="FootnoteReference"/>
        </w:rPr>
        <w:footnoteRef/>
      </w:r>
      <w:r>
        <w:t xml:space="preserve"> See Clause 121 (1) of the Energy Retail Code of Practice. </w:t>
      </w:r>
    </w:p>
  </w:footnote>
  <w:footnote w:id="25">
    <w:p w14:paraId="7553AD8A" w14:textId="77777777" w:rsidR="001F6B51" w:rsidRDefault="001F6B51" w:rsidP="001F6B51">
      <w:pPr>
        <w:pStyle w:val="FootnoteText"/>
      </w:pPr>
      <w:r>
        <w:rPr>
          <w:rStyle w:val="FootnoteReference"/>
        </w:rPr>
        <w:footnoteRef/>
      </w:r>
      <w:r>
        <w:t xml:space="preserve"> Clause 146 of the Energy Retail Code of Practice.</w:t>
      </w:r>
    </w:p>
  </w:footnote>
  <w:footnote w:id="26">
    <w:p w14:paraId="26358790" w14:textId="77777777" w:rsidR="001F6B51" w:rsidRDefault="001F6B51" w:rsidP="001F6B51">
      <w:pPr>
        <w:pStyle w:val="FootnoteText"/>
      </w:pPr>
      <w:r>
        <w:rPr>
          <w:rStyle w:val="FootnoteReference"/>
        </w:rPr>
        <w:footnoteRef/>
      </w:r>
      <w:r>
        <w:t xml:space="preserve"> See clauses 150 and 152 of the Energy Retail Code of Practice.</w:t>
      </w:r>
    </w:p>
  </w:footnote>
  <w:footnote w:id="27">
    <w:p w14:paraId="6E9E5FAC" w14:textId="17B08709" w:rsidR="001F6B51" w:rsidRDefault="001F6B51" w:rsidP="001F6B51">
      <w:pPr>
        <w:pStyle w:val="FootnoteText"/>
      </w:pPr>
      <w:r>
        <w:rPr>
          <w:rStyle w:val="FootnoteReference"/>
        </w:rPr>
        <w:footnoteRef/>
      </w:r>
      <w:r>
        <w:t xml:space="preserve"> </w:t>
      </w:r>
      <w:r w:rsidR="00A028ED">
        <w:t xml:space="preserve">Origin Energy, </w:t>
      </w:r>
      <w:r w:rsidR="00A028ED">
        <w:rPr>
          <w:i/>
          <w:iCs/>
        </w:rPr>
        <w:t>submission to the Essential Services Commission ‘Revoking the Electricity Customer Transfer Code of Practice and the Electricity Customer Metering Code of Practice: Consultation Paper’</w:t>
      </w:r>
      <w:r w:rsidR="00A028ED">
        <w:t>,</w:t>
      </w:r>
      <w:r w:rsidR="00A028ED">
        <w:rPr>
          <w:i/>
          <w:iCs/>
        </w:rPr>
        <w:t xml:space="preserve"> </w:t>
      </w:r>
      <w:r w:rsidR="00ED674C">
        <w:t>12</w:t>
      </w:r>
      <w:r w:rsidR="00A028ED">
        <w:t xml:space="preserve"> May 2025. </w:t>
      </w:r>
    </w:p>
  </w:footnote>
  <w:footnote w:id="28">
    <w:p w14:paraId="71EB6DA8" w14:textId="2B296B69" w:rsidR="00ED674C" w:rsidRDefault="00ED674C">
      <w:pPr>
        <w:pStyle w:val="FootnoteText"/>
      </w:pPr>
      <w:r>
        <w:rPr>
          <w:rStyle w:val="FootnoteReference"/>
        </w:rPr>
        <w:footnoteRef/>
      </w:r>
      <w:r>
        <w:t xml:space="preserve"> Ibid.</w:t>
      </w:r>
    </w:p>
  </w:footnote>
  <w:footnote w:id="29">
    <w:p w14:paraId="4CC94ACF" w14:textId="77777777" w:rsidR="001F6B51" w:rsidRPr="00304E4E" w:rsidRDefault="001F6B51" w:rsidP="001F6B51">
      <w:pPr>
        <w:pStyle w:val="FootnoteText"/>
      </w:pPr>
      <w:r>
        <w:rPr>
          <w:rStyle w:val="FootnoteReference"/>
        </w:rPr>
        <w:footnoteRef/>
      </w:r>
      <w:r>
        <w:t xml:space="preserve"> AGL, </w:t>
      </w:r>
      <w:r>
        <w:rPr>
          <w:i/>
          <w:iCs/>
        </w:rPr>
        <w:t>submission to the Essential Services Commission ‘Revoking the Electricity Customer Transfer Code of Practice and the Electricity Customer Metering Code of Practice: Consultation Paper’</w:t>
      </w:r>
      <w:r>
        <w:t>,</w:t>
      </w:r>
      <w:r>
        <w:rPr>
          <w:i/>
          <w:iCs/>
        </w:rPr>
        <w:t xml:space="preserve"> </w:t>
      </w:r>
      <w:r>
        <w:t xml:space="preserve">8 May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6F7B" w14:textId="7D085432" w:rsidR="0085055C" w:rsidRDefault="0085055C">
    <w:pPr>
      <w:pStyle w:val="Header"/>
    </w:pPr>
    <w:r>
      <w:rPr>
        <w:noProof/>
      </w:rPr>
      <mc:AlternateContent>
        <mc:Choice Requires="wps">
          <w:drawing>
            <wp:anchor distT="0" distB="0" distL="0" distR="0" simplePos="0" relativeHeight="251658245" behindDoc="0" locked="0" layoutInCell="1" allowOverlap="1" wp14:anchorId="43930477" wp14:editId="42B56032">
              <wp:simplePos x="635" y="635"/>
              <wp:positionH relativeFrom="page">
                <wp:align>center</wp:align>
              </wp:positionH>
              <wp:positionV relativeFrom="page">
                <wp:align>top</wp:align>
              </wp:positionV>
              <wp:extent cx="551815" cy="552450"/>
              <wp:effectExtent l="0" t="0" r="635" b="0"/>
              <wp:wrapNone/>
              <wp:docPr id="22332038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16D9437E" w14:textId="27FEE728" w:rsidR="0085055C" w:rsidRPr="0085055C" w:rsidRDefault="0085055C" w:rsidP="0085055C">
                          <w:pPr>
                            <w:spacing w:after="0"/>
                            <w:rPr>
                              <w:rFonts w:ascii="Calibri" w:eastAsia="Calibri" w:hAnsi="Calibri" w:cs="Calibri"/>
                              <w:noProof/>
                              <w:color w:val="FF0000"/>
                              <w:sz w:val="24"/>
                              <w:szCs w:val="24"/>
                            </w:rPr>
                          </w:pPr>
                          <w:r w:rsidRPr="008505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930477" id="_x0000_t202" coordsize="21600,21600" o:spt="202" path="m,l,21600r21600,l21600,xe">
              <v:stroke joinstyle="miter"/>
              <v:path gradientshapeok="t" o:connecttype="rect"/>
            </v:shapetype>
            <v:shape id="Text Box 2" o:spid="_x0000_s1026" type="#_x0000_t202" alt="OFFICIAL" style="position:absolute;margin-left:0;margin-top:0;width:43.45pt;height:43.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" filled="f" stroked="f">
              <v:textbox style="mso-fit-shape-to-text:t" inset="0,15pt,0,0">
                <w:txbxContent>
                  <w:p w14:paraId="16D9437E" w14:textId="27FEE728" w:rsidR="0085055C" w:rsidRPr="0085055C" w:rsidRDefault="0085055C" w:rsidP="0085055C">
                    <w:pPr>
                      <w:spacing w:after="0"/>
                      <w:rPr>
                        <w:rFonts w:ascii="Calibri" w:eastAsia="Calibri" w:hAnsi="Calibri" w:cs="Calibri"/>
                        <w:noProof/>
                        <w:color w:val="FF0000"/>
                        <w:sz w:val="24"/>
                        <w:szCs w:val="24"/>
                      </w:rPr>
                    </w:pPr>
                    <w:r w:rsidRPr="008505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BDFE" w14:textId="5EAC9154" w:rsidR="003A30F3" w:rsidRPr="00633068" w:rsidRDefault="0085055C" w:rsidP="00633068">
    <w:pPr>
      <w:pStyle w:val="Header"/>
      <w:tabs>
        <w:tab w:val="clear" w:pos="4680"/>
        <w:tab w:val="clear" w:pos="9360"/>
        <w:tab w:val="left" w:pos="2236"/>
      </w:tabs>
    </w:pPr>
    <w:r>
      <w:rPr>
        <w:noProof/>
        <w:lang w:eastAsia="en-AU"/>
      </w:rPr>
      <mc:AlternateContent>
        <mc:Choice Requires="wps">
          <w:drawing>
            <wp:anchor distT="0" distB="0" distL="0" distR="0" simplePos="0" relativeHeight="251658246" behindDoc="0" locked="0" layoutInCell="1" allowOverlap="1" wp14:anchorId="1D501FC1" wp14:editId="0A2C4B9F">
              <wp:simplePos x="635" y="635"/>
              <wp:positionH relativeFrom="page">
                <wp:align>center</wp:align>
              </wp:positionH>
              <wp:positionV relativeFrom="page">
                <wp:align>top</wp:align>
              </wp:positionV>
              <wp:extent cx="551815" cy="552450"/>
              <wp:effectExtent l="0" t="0" r="635" b="0"/>
              <wp:wrapNone/>
              <wp:docPr id="76314322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761A04D2" w14:textId="12418257" w:rsidR="0085055C" w:rsidRPr="0085055C" w:rsidRDefault="0085055C" w:rsidP="0085055C">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501FC1" id="_x0000_t202" coordsize="21600,21600" o:spt="202" path="m,l,21600r21600,l21600,xe">
              <v:stroke joinstyle="miter"/>
              <v:path gradientshapeok="t" o:connecttype="rect"/>
            </v:shapetype>
            <v:shape id="Text Box 3" o:spid="_x0000_s1027" type="#_x0000_t202" alt="OFFICIAL" style="position:absolute;margin-left:0;margin-top:0;width:43.45pt;height:43.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" filled="f" stroked="f">
              <v:textbox style="mso-fit-shape-to-text:t" inset="0,15pt,0,0">
                <w:txbxContent>
                  <w:p w14:paraId="761A04D2" w14:textId="12418257" w:rsidR="0085055C" w:rsidRPr="0085055C" w:rsidRDefault="0085055C" w:rsidP="0085055C">
                    <w:pPr>
                      <w:spacing w:after="0"/>
                      <w:rPr>
                        <w:rFonts w:ascii="Calibri" w:eastAsia="Calibri" w:hAnsi="Calibri" w:cs="Calibri"/>
                        <w:noProof/>
                        <w:color w:val="FF0000"/>
                        <w:sz w:val="24"/>
                        <w:szCs w:val="24"/>
                      </w:rPr>
                    </w:pPr>
                  </w:p>
                </w:txbxContent>
              </v:textbox>
              <w10:wrap anchorx="page" anchory="page"/>
            </v:shape>
          </w:pict>
        </mc:Fallback>
      </mc:AlternateContent>
    </w:r>
    <w:r w:rsidR="007E1738" w:rsidRPr="00E96A82">
      <w:rPr>
        <w:noProof/>
        <w:lang w:eastAsia="en-AU"/>
      </w:rPr>
      <mc:AlternateContent>
        <mc:Choice Requires="wpg">
          <w:drawing>
            <wp:anchor distT="0" distB="0" distL="114300" distR="114300" simplePos="0" relativeHeight="251658243" behindDoc="0" locked="1" layoutInCell="1" allowOverlap="1" wp14:anchorId="532AEBED" wp14:editId="30A9C1CF">
              <wp:simplePos x="0" y="0"/>
              <wp:positionH relativeFrom="page">
                <wp:posOffset>179705</wp:posOffset>
              </wp:positionH>
              <wp:positionV relativeFrom="page">
                <wp:posOffset>187960</wp:posOffset>
              </wp:positionV>
              <wp:extent cx="7199630" cy="10309860"/>
              <wp:effectExtent l="0" t="0" r="1270" b="0"/>
              <wp:wrapNone/>
              <wp:docPr id="1"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clsh="http://schemas.microsoft.com/office/drawing/2020/classificationShape" xmlns:a="http://schemas.openxmlformats.org/drawingml/2006/main">
          <w:pict>
            <v:group id="Group 4" style="position:absolute;margin-left:14.15pt;margin-top:14.8pt;width:566.9pt;height:811.8pt;z-index:251658243;mso-position-horizontal-relative:page;mso-position-vertical-relative:page;mso-width-relative:margin;mso-height-relative:margin" coordsize="3016,4319" o:spid="_x0000_s1026" w14:anchorId="6D77E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">
              <o:lock v:ext="edit" aspectratio="t"/>
              <v:shape id="Freeform 5" style="position:absolute;top:3658;width:2406;height:661;visibility:visible;mso-wrap-style:square;v-text-anchor:top" coordsize="1808,498" o:spid="_x0000_s1027" fillcolor="#8cb8cb [1951]" stroked="f" path="m1134,469v,,,,,c917,469,711,426,522,347,327,266,151,148,4,,,5,,5,,5,,222,,222,,222,135,335,287,429,452,498v8,,8,,8,c1134,498,1134,498,1134,498v674,,674,,674,c1745,347,1745,347,1745,347v-188,79,-395,122,-611,1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v:path arrowok="t" o:connecttype="custom" o:connectlocs="1509,623;1509,623;695,461;5,0;0,7;0,295;602,661;612,661;1509,661;2406,661;2322,461;1509,623" o:connectangles="0,0,0,0,0,0,0,0,0,0,0,0"/>
              </v:shape>
              <v:shape id="Freeform 6" style="position:absolute;left:2322;width:694;height:661;visibility:visible;mso-wrap-style:square;v-text-anchor:top" coordsize="522,498" o:spid="_x0000_s1028" fillcolor="#8cb8cb [1951]" stroked="f" path="m70,c63,,63,,63,,,151,,151,,151v195,81,371,199,518,347c522,493,522,493,522,493v,-217,,-217,,-217c387,163,235,69,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v:path arrowok="t" o:connecttype="custom" o:connectlocs="93,0;84,0;0,200;689,661;694,654;694,366;93,0" o:connectangles="0,0,0,0,0,0,0"/>
              </v:shape>
              <v:shape id="Freeform 7" style="position:absolute;top:759;width:331;height:700;visibility:visible;mso-wrap-style:square;v-text-anchor:top" coordsize="249,527" o:spid="_x0000_s1029" fillcolor="#4986a0 [3215]" stroked="f" path="m78,c51,27,25,56,,85,,527,,527,,527,62,394,147,274,249,171l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v:path arrowok="t" o:connecttype="custom" o:connectlocs="104,0;0,113;0,700;331,227;104,0" o:connectangles="0,0,0,0,0"/>
              </v:shape>
              <v:shape id="Freeform 8" style="position:absolute;left:1509;top:178;width:1507;height:1281;visibility:visible;mso-wrap-style:square;v-text-anchor:top" coordsize="1133,965" o:spid="_x0000_s1030" fillcolor="#4986a0 [3215]" stroked="f" path="m1055,438c917,300,753,190,571,114,395,41,202,,,,,242,,242,,242v169,,331,34,478,95c631,401,769,494,884,609v102,103,187,223,249,356c1133,523,1133,523,1133,523v-25,-29,-51,-58,-78,-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v:path arrowok="t" o:connecttype="custom" o:connectlocs="1403,581;759,151;0,0;0,321;636,447;1176,808;1507,1281;1507,694;1403,581" o:connectangles="0,0,0,0,0,0,0,0,0"/>
              </v:shape>
              <v:shape id="Freeform 9" style="position:absolute;top:2860;width:3016;height:1281;visibility:visible;mso-wrap-style:square;v-text-anchor:top" coordsize="2267,965" o:spid="_x0000_s1031" fillcolor="#4986a0 [3215]" stroked="f"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v:path arrowok="t" o:connecttype="custom" o:connectlocs="2145,834;1509,960;1509,960;871,834;331,473;0,0;0,587;104,700;748,1130;1509,1281;1509,1281;2268,1130;2912,700;3016,587;3016,0;2685,473;2145,834" o:connectangles="0,0,0,0,0,0,0,0,0,0,0,0,0,0,0,0,0"/>
              </v:shape>
              <v:shape id="Freeform 10" style="position:absolute;left:926;top:2669;width:1988;height:1009;visibility:visible;mso-wrap-style:square;v-text-anchor:top" coordsize="1494,760" o:spid="_x0000_s1032" fillcolor="#d50032 [3209]" stroked="f" path="m1366,v-51,123,-126,234,-218,326c1055,419,945,493,822,544,704,594,574,621,438,621v,,,,,c301,621,172,594,53,544,,672,,672,,672v135,56,283,88,438,88c438,760,438,760,438,760v155,,302,-32,437,-88c1015,614,1141,530,1246,424,1351,319,1436,193,1494,54l1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v:path arrowok="t" o:connecttype="custom" o:connectlocs="1818,0;1528,433;1094,722;583,824;583,824;71,722;0,892;583,1009;583,1009;1164,892;1658,563;1988,72;1818,0" o:connectangles="0,0,0,0,0,0,0,0,0,0,0,0,0"/>
              </v:shape>
              <v:shape id="Freeform 11" style="position:absolute;left:118;top:641;width:2466;height:1009;visibility:visible;mso-wrap-style:square;v-text-anchor:top" coordsize="1853,760" o:spid="_x0000_s1033" fillcolor="#d50032 [3209]" stroked="f" path="m1051,139v-2,,6,,6,c1057,139,1053,139,1051,139v134,1,261,28,378,77c1552,267,1662,341,1755,434v98,-98,98,-98,98,-98c1748,230,1622,146,1482,88,1351,33,1207,2,1057,v-12,,-12,,-12,c894,2,750,33,619,88,479,146,354,230,248,336,143,441,58,567,,706v128,54,128,54,128,54c179,637,254,526,346,434,439,341,549,267,672,216v117,-49,245,-76,37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EA47A3">
      <w:rPr>
        <w:noProof/>
        <w:lang w:eastAsia="en-AU"/>
      </w:rPr>
      <w:drawing>
        <wp:anchor distT="0" distB="431800" distL="114300" distR="114300" simplePos="0" relativeHeight="251658242" behindDoc="1" locked="1" layoutInCell="1" allowOverlap="1" wp14:anchorId="7B7CEC73" wp14:editId="0287F835">
          <wp:simplePos x="0" y="0"/>
          <wp:positionH relativeFrom="page">
            <wp:posOffset>720090</wp:posOffset>
          </wp:positionH>
          <wp:positionV relativeFrom="page">
            <wp:posOffset>720090</wp:posOffset>
          </wp:positionV>
          <wp:extent cx="2656800" cy="828000"/>
          <wp:effectExtent l="0" t="0" r="0" b="0"/>
          <wp:wrapTopAndBottom/>
          <wp:docPr id="1588891147" name="Picture 158889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A364" w14:textId="6B9AFE67" w:rsidR="003A30F3" w:rsidRDefault="0085055C" w:rsidP="007C7E2D">
    <w:pPr>
      <w:pStyle w:val="Header"/>
      <w:tabs>
        <w:tab w:val="clear" w:pos="4680"/>
        <w:tab w:val="clear" w:pos="9360"/>
        <w:tab w:val="left" w:pos="2236"/>
      </w:tabs>
    </w:pPr>
    <w:r>
      <w:rPr>
        <w:noProof/>
        <w:lang w:eastAsia="en-AU"/>
      </w:rPr>
      <mc:AlternateContent>
        <mc:Choice Requires="wps">
          <w:drawing>
            <wp:anchor distT="0" distB="0" distL="0" distR="0" simplePos="0" relativeHeight="251658244" behindDoc="0" locked="0" layoutInCell="1" allowOverlap="1" wp14:anchorId="341EA2BD" wp14:editId="5D6E4C49">
              <wp:simplePos x="635" y="635"/>
              <wp:positionH relativeFrom="page">
                <wp:align>center</wp:align>
              </wp:positionH>
              <wp:positionV relativeFrom="page">
                <wp:align>top</wp:align>
              </wp:positionV>
              <wp:extent cx="551815" cy="552450"/>
              <wp:effectExtent l="0" t="0" r="635" b="0"/>
              <wp:wrapNone/>
              <wp:docPr id="91183721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7D5B2D22" w14:textId="2DDF7680" w:rsidR="0085055C" w:rsidRPr="0085055C" w:rsidRDefault="0085055C" w:rsidP="0085055C">
                          <w:pPr>
                            <w:spacing w:after="0"/>
                            <w:rPr>
                              <w:rFonts w:ascii="Calibri" w:eastAsia="Calibri" w:hAnsi="Calibri" w:cs="Calibri"/>
                              <w:noProof/>
                              <w:color w:val="FF0000"/>
                              <w:sz w:val="24"/>
                              <w:szCs w:val="24"/>
                            </w:rPr>
                          </w:pPr>
                          <w:r w:rsidRPr="008505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1EA2BD" id="_x0000_t202" coordsize="21600,21600" o:spt="202" path="m,l,21600r21600,l21600,xe">
              <v:stroke joinstyle="miter"/>
              <v:path gradientshapeok="t" o:connecttype="rect"/>
            </v:shapetype>
            <v:shape id="Text Box 1" o:spid="_x0000_s1028" type="#_x0000_t202" alt="OFFICIAL" style="position:absolute;margin-left:0;margin-top:0;width:43.45pt;height:43.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p9DgIAABw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m5vNp+i00R1rKw4nv4OS6o9YPIuCz8EQw7UGi&#10;xSc6tIGh5nC2OGvB//ibP+YT7hTlbCDB1NySojkz3yzxEbWVjOJzXuZ085N7Oxl2398BybCgF+Fk&#10;MmMemsnUHvpXkvMqNqKQsJLa1Rwn8w5PyqXnINVqlZJIRk7gg904GUtHuCKWL+Or8O4MOBJTjzCp&#10;SVRvcD/lxj+DW+2R0E+kRGhPQJ4RJwkmrs7PJWr813vKuj7q5U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FRt6n0OAgAAHAQA&#10;AA4AAAAAAAAAAAAAAAAALgIAAGRycy9lMm9Eb2MueG1sUEsBAi0AFAAGAAgAAAAhAF7KYmXZAAAA&#10;AwEAAA8AAAAAAAAAAAAAAAAAaAQAAGRycy9kb3ducmV2LnhtbFBLBQYAAAAABAAEAPMAAABuBQAA&#10;AAA=&#10;" filled="f" stroked="f">
              <v:textbox style="mso-fit-shape-to-text:t" inset="0,15pt,0,0">
                <w:txbxContent>
                  <w:p w14:paraId="7D5B2D22" w14:textId="2DDF7680" w:rsidR="0085055C" w:rsidRPr="0085055C" w:rsidRDefault="0085055C" w:rsidP="0085055C">
                    <w:pPr>
                      <w:spacing w:after="0"/>
                      <w:rPr>
                        <w:rFonts w:ascii="Calibri" w:eastAsia="Calibri" w:hAnsi="Calibri" w:cs="Calibri"/>
                        <w:noProof/>
                        <w:color w:val="FF0000"/>
                        <w:sz w:val="24"/>
                        <w:szCs w:val="24"/>
                      </w:rPr>
                    </w:pPr>
                    <w:r w:rsidRPr="0085055C">
                      <w:rPr>
                        <w:rFonts w:ascii="Calibri" w:eastAsia="Calibri" w:hAnsi="Calibri" w:cs="Calibri"/>
                        <w:noProof/>
                        <w:color w:val="FF0000"/>
                        <w:sz w:val="24"/>
                        <w:szCs w:val="24"/>
                      </w:rPr>
                      <w:t>OFFICIAL</w:t>
                    </w:r>
                  </w:p>
                </w:txbxContent>
              </v:textbox>
              <w10:wrap anchorx="page" anchory="page"/>
            </v:shape>
          </w:pict>
        </mc:Fallback>
      </mc:AlternateContent>
    </w:r>
    <w:r w:rsidR="003A30F3">
      <w:rPr>
        <w:noProof/>
        <w:lang w:eastAsia="en-AU"/>
      </w:rPr>
      <mc:AlternateContent>
        <mc:Choice Requires="wpg">
          <w:drawing>
            <wp:anchor distT="0" distB="0" distL="114300" distR="114300" simplePos="0" relativeHeight="251658241" behindDoc="0" locked="1" layoutInCell="1" allowOverlap="1" wp14:anchorId="3549C99E" wp14:editId="6AC88D5D">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clsh="http://schemas.microsoft.com/office/drawing/2020/classificationShape" xmlns:a="http://schemas.openxmlformats.org/drawingml/2006/main">
          <w:pict>
            <v:group id="Group 29" style="position:absolute;margin-left:522.25pt;margin-top:0;width:573.45pt;height:488.15pt;z-index:251658241;mso-position-horizontal:right;mso-position-horizontal-relative:page;mso-position-vertical:bottom;mso-position-vertical-relative:page;mso-width-relative:margin;mso-height-relative:margin" coordsize="72833,62009" o:spid="_x0000_s1026" w14:anchorId="299218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style="position:absolute;width:71214;height:60266" coordsize="4278,362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style="position:absolute;top:582;width:1506;height:3038;visibility:visible;mso-wrap-style:square;v-text-anchor:top" coordsize="790,1597" o:spid="_x0000_s1028" fillcolor="#4986a0 [3215]" stroked="f" path="m359,791c460,548,607,329,790,146,644,,644,,644,,442,202,279,444,167,712,60,971,,1254,,1552v,,,,,c,1567,,1582,,1597v208,,208,,208,c207,1582,207,1567,207,1552v,,,,,c207,1282,261,1025,359,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v:path arrowok="t" o:connecttype="custom" o:connectlocs="684,1505;1506,278;1228,0;318,1354;0,2952;0,2952;0,3038;397,3038;395,2952;395,2952;684,1505" o:connectangles="0,0,0,0,0,0,0,0,0,0,0"/>
                </v:shape>
                <v:shape id="Freeform 6" style="position:absolute;left:644;width:3634;height:3620;visibility:visible;mso-wrap-style:square;v-text-anchor:top" coordsize="1906,1903" o:spid="_x0000_s1029" fillcolor="#8cb8cb [1951]" stroked="f" path="m1858,v-1,,-1,,-1,c1606,,1366,50,1147,142,920,236,716,374,544,545,373,716,236,920,141,1147,50,1366,,1606,,1858v,,,,,c,1873,,1888,,1903v302,,302,,302,c301,1888,301,1873,301,1858v,,,,,c301,1647,343,1446,420,1262,499,1072,614,901,757,758,901,614,1072,499,1262,420v183,-76,385,-119,595,-119c1858,301,1858,301,1858,301v16,,32,,48,1c1906,1,1906,1,1906,1,1890,,1874,,18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v:path arrowok="t" o:connecttype="custom" o:connectlocs="3542,0;3541,0;2187,270;1037,1037;269,2182;0,3534;0,3534;0,3620;576,3620;574,3534;574,3534;801,2401;1443,1442;2406,799;3541,573;3542,573;3634,574;3634,2;3542,0" o:connectangles="0,0,0,0,0,0,0,0,0,0,0,0,0,0,0,0,0,0,0"/>
                </v:shape>
                <v:shape id="Freeform 7" style="position:absolute;left:1679;top:828;width:2599;height:1795;visibility:visible;mso-wrap-style:square;v-text-anchor:top" coordsize="1363,944" o:spid="_x0000_s1030" fillcolor="#ce0058 [3207]" stroked="f" path="m1315,v-1,,-1,,-1,c1122,,938,39,770,108,596,181,440,286,309,417,178,548,72,705,,878v159,66,159,66,159,66c223,792,315,654,431,539,546,424,683,331,836,268v148,-62,309,-96,478,-96c1315,172,1315,172,1315,172v16,,32,1,48,1c1363,,1363,,1363,v-16,,-3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v:path arrowok="t" o:connecttype="custom" o:connectlocs="2507,0;2506,0;1468,205;589,793;0,1670;303,1795;822,1025;1594,510;2506,327;2507,327;2599,329;2599,0;2507,0" o:connectangles="0,0,0,0,0,0,0,0,0,0,0,0,0"/>
                </v:shape>
              </v:group>
              <v:rect id="Rectangle 23" style="position:absolute;left:69233;top:58409;width:3600;height:3600;visibility:visible;mso-wrap-style:square;v-text-anchor:middle" o:spid="_x0000_s1031"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w10:wrap anchorx="page" anchory="page"/>
              <w10:anchorlock/>
            </v:group>
          </w:pict>
        </mc:Fallback>
      </mc:AlternateContent>
    </w:r>
    <w:r w:rsidR="003A30F3" w:rsidRPr="00EA47A3">
      <w:rPr>
        <w:noProof/>
        <w:lang w:eastAsia="en-AU"/>
      </w:rPr>
      <w:drawing>
        <wp:anchor distT="0" distB="431800" distL="114300" distR="114300" simplePos="0" relativeHeight="251658240" behindDoc="1" locked="1" layoutInCell="1" allowOverlap="1" wp14:anchorId="2AE406E6" wp14:editId="08E95E6E">
          <wp:simplePos x="0" y="0"/>
          <wp:positionH relativeFrom="page">
            <wp:posOffset>720090</wp:posOffset>
          </wp:positionH>
          <wp:positionV relativeFrom="page">
            <wp:posOffset>720090</wp:posOffset>
          </wp:positionV>
          <wp:extent cx="2656800" cy="828000"/>
          <wp:effectExtent l="0" t="0" r="0" b="0"/>
          <wp:wrapTopAndBottom/>
          <wp:docPr id="311382949" name="Picture 31138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rsidR="003A30F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4C2A" w14:textId="004F1BBC" w:rsidR="001F6B51" w:rsidRDefault="0085055C">
    <w:pPr>
      <w:pStyle w:val="Header"/>
    </w:pPr>
    <w:r>
      <w:rPr>
        <w:noProof/>
      </w:rPr>
      <mc:AlternateContent>
        <mc:Choice Requires="wps">
          <w:drawing>
            <wp:anchor distT="0" distB="0" distL="0" distR="0" simplePos="0" relativeHeight="251658248" behindDoc="0" locked="0" layoutInCell="1" allowOverlap="1" wp14:anchorId="75E79ECF" wp14:editId="36BC6CED">
              <wp:simplePos x="635" y="635"/>
              <wp:positionH relativeFrom="page">
                <wp:align>center</wp:align>
              </wp:positionH>
              <wp:positionV relativeFrom="page">
                <wp:align>top</wp:align>
              </wp:positionV>
              <wp:extent cx="551815" cy="552450"/>
              <wp:effectExtent l="0" t="0" r="635" b="0"/>
              <wp:wrapNone/>
              <wp:docPr id="42971140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3D1C6152" w14:textId="04CE4BA7" w:rsidR="0085055C" w:rsidRPr="0085055C" w:rsidRDefault="0085055C" w:rsidP="0085055C">
                          <w:pPr>
                            <w:spacing w:after="0"/>
                            <w:rPr>
                              <w:rFonts w:ascii="Calibri" w:eastAsia="Calibri" w:hAnsi="Calibri" w:cs="Calibri"/>
                              <w:noProof/>
                              <w:color w:val="FF0000"/>
                              <w:sz w:val="24"/>
                              <w:szCs w:val="24"/>
                            </w:rPr>
                          </w:pPr>
                          <w:r w:rsidRPr="008505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E79ECF" id="_x0000_t202" coordsize="21600,21600" o:spt="202" path="m,l,21600r21600,l21600,xe">
              <v:stroke joinstyle="miter"/>
              <v:path gradientshapeok="t" o:connecttype="rect"/>
            </v:shapetype>
            <v:shape id="Text Box 5" o:spid="_x0000_s1029" type="#_x0000_t202" alt="OFFICIAL" style="position:absolute;margin-left:0;margin-top:0;width:43.45pt;height:43.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lhADgIAABw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Nf04Tb+D5oRLOTjz7S1fd9h6w3x4Zg4Jxj1Q&#10;tOEJD6mgrymMFiUtuB9/88d8xB2jlPQomJoaVDQl6ptBPqK2klHc5mWONze5d5NhDvoeUIYFvgjL&#10;kxnzgppM6UC/opxXsRGGmOHYrqZhMu/DWbn4HLhYrVISysiysDFby2PpCFfE8mV4Zc6OgAdk6hEm&#10;NbHqDe7n3Pint6tDQPQTKRHaM5Aj4ijBxNX4XKLGf72nrOujXv4E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nSWEAOAgAAHAQA&#10;AA4AAAAAAAAAAAAAAAAALgIAAGRycy9lMm9Eb2MueG1sUEsBAi0AFAAGAAgAAAAhAF7KYmXZAAAA&#10;AwEAAA8AAAAAAAAAAAAAAAAAaAQAAGRycy9kb3ducmV2LnhtbFBLBQYAAAAABAAEAPMAAABuBQAA&#10;AAA=&#10;" filled="f" stroked="f">
              <v:textbox style="mso-fit-shape-to-text:t" inset="0,15pt,0,0">
                <w:txbxContent>
                  <w:p w14:paraId="3D1C6152" w14:textId="04CE4BA7" w:rsidR="0085055C" w:rsidRPr="0085055C" w:rsidRDefault="0085055C" w:rsidP="0085055C">
                    <w:pPr>
                      <w:spacing w:after="0"/>
                      <w:rPr>
                        <w:rFonts w:ascii="Calibri" w:eastAsia="Calibri" w:hAnsi="Calibri" w:cs="Calibri"/>
                        <w:noProof/>
                        <w:color w:val="FF0000"/>
                        <w:sz w:val="24"/>
                        <w:szCs w:val="24"/>
                      </w:rPr>
                    </w:pPr>
                    <w:r w:rsidRPr="0085055C">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2B00" w14:textId="4F214D31" w:rsidR="001F6B51" w:rsidRDefault="0085055C">
    <w:pPr>
      <w:pStyle w:val="Header"/>
    </w:pPr>
    <w:r>
      <w:rPr>
        <w:noProof/>
      </w:rPr>
      <mc:AlternateContent>
        <mc:Choice Requires="wps">
          <w:drawing>
            <wp:anchor distT="0" distB="0" distL="0" distR="0" simplePos="0" relativeHeight="251658249" behindDoc="0" locked="0" layoutInCell="1" allowOverlap="1" wp14:anchorId="4B9B3654" wp14:editId="196BB136">
              <wp:simplePos x="635" y="635"/>
              <wp:positionH relativeFrom="page">
                <wp:align>center</wp:align>
              </wp:positionH>
              <wp:positionV relativeFrom="page">
                <wp:align>top</wp:align>
              </wp:positionV>
              <wp:extent cx="551815" cy="552450"/>
              <wp:effectExtent l="0" t="0" r="635" b="0"/>
              <wp:wrapNone/>
              <wp:docPr id="76262843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132106F" w14:textId="76320C82" w:rsidR="0085055C" w:rsidRPr="0085055C" w:rsidRDefault="0085055C" w:rsidP="0085055C">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9B3654" id="_x0000_t202" coordsize="21600,21600" o:spt="202" path="m,l,21600r21600,l21600,xe">
              <v:stroke joinstyle="miter"/>
              <v:path gradientshapeok="t" o:connecttype="rect"/>
            </v:shapetype>
            <v:shape id="Text Box 6" o:spid="_x0000_s1030" type="#_x0000_t202" alt="OFFICIAL" style="position:absolute;margin-left:0;margin-top:0;width:43.45pt;height:43.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ruRfAOAgAAHAQA&#10;AA4AAAAAAAAAAAAAAAAALgIAAGRycy9lMm9Eb2MueG1sUEsBAi0AFAAGAAgAAAAhAF7KYmXZAAAA&#10;AwEAAA8AAAAAAAAAAAAAAAAAaAQAAGRycy9kb3ducmV2LnhtbFBLBQYAAAAABAAEAPMAAABuBQAA&#10;AAA=&#10;" filled="f" stroked="f">
              <v:textbox style="mso-fit-shape-to-text:t" inset="0,15pt,0,0">
                <w:txbxContent>
                  <w:p w14:paraId="6132106F" w14:textId="76320C82" w:rsidR="0085055C" w:rsidRPr="0085055C" w:rsidRDefault="0085055C" w:rsidP="0085055C">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97967" w14:textId="0ACCA9D7" w:rsidR="001F6B51" w:rsidRDefault="0085055C">
    <w:pPr>
      <w:pStyle w:val="Header"/>
    </w:pPr>
    <w:r>
      <w:rPr>
        <w:noProof/>
      </w:rPr>
      <mc:AlternateContent>
        <mc:Choice Requires="wps">
          <w:drawing>
            <wp:anchor distT="0" distB="0" distL="0" distR="0" simplePos="0" relativeHeight="251658247" behindDoc="0" locked="0" layoutInCell="1" allowOverlap="1" wp14:anchorId="689C5FCA" wp14:editId="484F5CB9">
              <wp:simplePos x="635" y="635"/>
              <wp:positionH relativeFrom="page">
                <wp:align>center</wp:align>
              </wp:positionH>
              <wp:positionV relativeFrom="page">
                <wp:align>top</wp:align>
              </wp:positionV>
              <wp:extent cx="551815" cy="552450"/>
              <wp:effectExtent l="0" t="0" r="635" b="0"/>
              <wp:wrapNone/>
              <wp:docPr id="101320967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0481CFAD" w14:textId="0308D341" w:rsidR="0085055C" w:rsidRPr="0085055C" w:rsidRDefault="0085055C" w:rsidP="0085055C">
                          <w:pPr>
                            <w:spacing w:after="0"/>
                            <w:rPr>
                              <w:rFonts w:ascii="Calibri" w:eastAsia="Calibri" w:hAnsi="Calibri" w:cs="Calibri"/>
                              <w:noProof/>
                              <w:color w:val="FF0000"/>
                              <w:sz w:val="24"/>
                              <w:szCs w:val="24"/>
                            </w:rPr>
                          </w:pPr>
                          <w:r w:rsidRPr="008505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9C5FCA" id="_x0000_t202" coordsize="21600,21600" o:spt="202" path="m,l,21600r21600,l21600,xe">
              <v:stroke joinstyle="miter"/>
              <v:path gradientshapeok="t" o:connecttype="rect"/>
            </v:shapetype>
            <v:shape id="Text Box 4" o:spid="_x0000_s1031" type="#_x0000_t202" alt="OFFICIAL" style="position:absolute;margin-left:0;margin-top:0;width:43.45pt;height:43.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fNDQIAABw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Gmk/Tb6E50lIeTnwHJ9cdtX4QAZ+FJ4JpDxIt&#10;PtGhDQw1h7PFWQv+x9/8MZ9wpyhnAwmm5pYUzZn5ZomPqK1kFJ/zMqebn9zbybD7/g5IhgW9CCeT&#10;GfPQTKb20L+SnFexEYWEldSu5jiZd3hSLj0HqVarlEQycgIf7MbJWDrCFbF8GV+Fd2fAkZh6hElN&#10;onqD+yk3/hncao+EfiIlQnsC8ow4STBxdX4uUeO/3lPW9VEvfwI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V1H3zQ0CAAAcBAAA&#10;DgAAAAAAAAAAAAAAAAAuAgAAZHJzL2Uyb0RvYy54bWxQSwECLQAUAAYACAAAACEAXspiZdkAAAAD&#10;AQAADwAAAAAAAAAAAAAAAABnBAAAZHJzL2Rvd25yZXYueG1sUEsFBgAAAAAEAAQA8wAAAG0FAAAA&#10;AA==&#10;" filled="f" stroked="f">
              <v:textbox style="mso-fit-shape-to-text:t" inset="0,15pt,0,0">
                <w:txbxContent>
                  <w:p w14:paraId="0481CFAD" w14:textId="0308D341" w:rsidR="0085055C" w:rsidRPr="0085055C" w:rsidRDefault="0085055C" w:rsidP="0085055C">
                    <w:pPr>
                      <w:spacing w:after="0"/>
                      <w:rPr>
                        <w:rFonts w:ascii="Calibri" w:eastAsia="Calibri" w:hAnsi="Calibri" w:cs="Calibri"/>
                        <w:noProof/>
                        <w:color w:val="FF0000"/>
                        <w:sz w:val="24"/>
                        <w:szCs w:val="24"/>
                      </w:rPr>
                    </w:pPr>
                    <w:r w:rsidRPr="0085055C">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F3B3" w14:textId="79B88187" w:rsidR="0085055C" w:rsidRDefault="0085055C">
    <w:pPr>
      <w:pStyle w:val="Header"/>
    </w:pPr>
    <w:r>
      <w:rPr>
        <w:noProof/>
      </w:rPr>
      <mc:AlternateContent>
        <mc:Choice Requires="wps">
          <w:drawing>
            <wp:anchor distT="0" distB="0" distL="0" distR="0" simplePos="0" relativeHeight="251658251" behindDoc="0" locked="0" layoutInCell="1" allowOverlap="1" wp14:anchorId="364E1ACB" wp14:editId="0AC4A85D">
              <wp:simplePos x="635" y="635"/>
              <wp:positionH relativeFrom="page">
                <wp:align>center</wp:align>
              </wp:positionH>
              <wp:positionV relativeFrom="page">
                <wp:align>top</wp:align>
              </wp:positionV>
              <wp:extent cx="551815" cy="552450"/>
              <wp:effectExtent l="0" t="0" r="635" b="0"/>
              <wp:wrapNone/>
              <wp:docPr id="182398692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36FAFD9E" w14:textId="55E05DE1" w:rsidR="0085055C" w:rsidRPr="0085055C" w:rsidRDefault="0085055C" w:rsidP="0085055C">
                          <w:pPr>
                            <w:spacing w:after="0"/>
                            <w:rPr>
                              <w:rFonts w:ascii="Calibri" w:eastAsia="Calibri" w:hAnsi="Calibri" w:cs="Calibri"/>
                              <w:noProof/>
                              <w:color w:val="FF0000"/>
                              <w:sz w:val="24"/>
                              <w:szCs w:val="24"/>
                            </w:rPr>
                          </w:pPr>
                          <w:r w:rsidRPr="008505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4E1ACB" id="_x0000_t202" coordsize="21600,21600" o:spt="202" path="m,l,21600r21600,l21600,xe">
              <v:stroke joinstyle="miter"/>
              <v:path gradientshapeok="t" o:connecttype="rect"/>
            </v:shapetype>
            <v:shape id="Text Box 8" o:spid="_x0000_s1032" type="#_x0000_t202" alt="OFFICIAL" style="position:absolute;margin-left:0;margin-top:0;width:43.45pt;height:43.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OCQIIsOAgAAHAQA&#10;AA4AAAAAAAAAAAAAAAAALgIAAGRycy9lMm9Eb2MueG1sUEsBAi0AFAAGAAgAAAAhAF7KYmXZAAAA&#10;AwEAAA8AAAAAAAAAAAAAAAAAaAQAAGRycy9kb3ducmV2LnhtbFBLBQYAAAAABAAEAPMAAABuBQAA&#10;AAA=&#10;" filled="f" stroked="f">
              <v:textbox style="mso-fit-shape-to-text:t" inset="0,15pt,0,0">
                <w:txbxContent>
                  <w:p w14:paraId="36FAFD9E" w14:textId="55E05DE1" w:rsidR="0085055C" w:rsidRPr="0085055C" w:rsidRDefault="0085055C" w:rsidP="0085055C">
                    <w:pPr>
                      <w:spacing w:after="0"/>
                      <w:rPr>
                        <w:rFonts w:ascii="Calibri" w:eastAsia="Calibri" w:hAnsi="Calibri" w:cs="Calibri"/>
                        <w:noProof/>
                        <w:color w:val="FF0000"/>
                        <w:sz w:val="24"/>
                        <w:szCs w:val="24"/>
                      </w:rPr>
                    </w:pPr>
                    <w:r w:rsidRPr="0085055C">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B0C0" w14:textId="6631E651" w:rsidR="003A30F3" w:rsidRPr="00633068" w:rsidRDefault="0085055C" w:rsidP="00633068">
    <w:pPr>
      <w:pStyle w:val="Header"/>
      <w:tabs>
        <w:tab w:val="clear" w:pos="4680"/>
        <w:tab w:val="clear" w:pos="9360"/>
        <w:tab w:val="left" w:pos="2236"/>
      </w:tabs>
    </w:pPr>
    <w:r>
      <w:rPr>
        <w:noProof/>
      </w:rPr>
      <mc:AlternateContent>
        <mc:Choice Requires="wps">
          <w:drawing>
            <wp:anchor distT="0" distB="0" distL="0" distR="0" simplePos="0" relativeHeight="251658252" behindDoc="0" locked="0" layoutInCell="1" allowOverlap="1" wp14:anchorId="235DA9FD" wp14:editId="1071BE87">
              <wp:simplePos x="724395" y="451262"/>
              <wp:positionH relativeFrom="page">
                <wp:align>center</wp:align>
              </wp:positionH>
              <wp:positionV relativeFrom="page">
                <wp:align>top</wp:align>
              </wp:positionV>
              <wp:extent cx="551815" cy="552450"/>
              <wp:effectExtent l="0" t="0" r="635" b="0"/>
              <wp:wrapNone/>
              <wp:docPr id="106354004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D128710" w14:textId="327FAE9A" w:rsidR="0085055C" w:rsidRPr="0085055C" w:rsidRDefault="0085055C" w:rsidP="0085055C">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5DA9FD" id="_x0000_t202" coordsize="21600,21600" o:spt="202" path="m,l,21600r21600,l21600,xe">
              <v:stroke joinstyle="miter"/>
              <v:path gradientshapeok="t" o:connecttype="rect"/>
            </v:shapetype>
            <v:shape id="Text Box 9" o:spid="_x0000_s1033" type="#_x0000_t202" alt="OFFICIAL" style="position:absolute;margin-left:0;margin-top:0;width:43.45pt;height:43.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I0vkrYOAgAAHAQA&#10;AA4AAAAAAAAAAAAAAAAALgIAAGRycy9lMm9Eb2MueG1sUEsBAi0AFAAGAAgAAAAhAF7KYmXZAAAA&#10;AwEAAA8AAAAAAAAAAAAAAAAAaAQAAGRycy9kb3ducmV2LnhtbFBLBQYAAAAABAAEAPMAAABuBQAA&#10;AAA=&#10;" filled="f" stroked="f">
              <v:textbox style="mso-fit-shape-to-text:t" inset="0,15pt,0,0">
                <w:txbxContent>
                  <w:p w14:paraId="5D128710" w14:textId="327FAE9A" w:rsidR="0085055C" w:rsidRPr="0085055C" w:rsidRDefault="0085055C" w:rsidP="0085055C">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18E46" w14:textId="074CB5CA" w:rsidR="0085055C" w:rsidRDefault="0085055C">
    <w:pPr>
      <w:pStyle w:val="Header"/>
    </w:pPr>
    <w:r>
      <w:rPr>
        <w:noProof/>
      </w:rPr>
      <mc:AlternateContent>
        <mc:Choice Requires="wps">
          <w:drawing>
            <wp:anchor distT="0" distB="0" distL="0" distR="0" simplePos="0" relativeHeight="251658250" behindDoc="0" locked="0" layoutInCell="1" allowOverlap="1" wp14:anchorId="24E6AC00" wp14:editId="0FB10B00">
              <wp:simplePos x="635" y="635"/>
              <wp:positionH relativeFrom="page">
                <wp:align>center</wp:align>
              </wp:positionH>
              <wp:positionV relativeFrom="page">
                <wp:align>top</wp:align>
              </wp:positionV>
              <wp:extent cx="551815" cy="552450"/>
              <wp:effectExtent l="0" t="0" r="635" b="0"/>
              <wp:wrapNone/>
              <wp:docPr id="101384892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E10C762" w14:textId="14BDEC1F" w:rsidR="0085055C" w:rsidRPr="0085055C" w:rsidRDefault="0085055C" w:rsidP="0085055C">
                          <w:pPr>
                            <w:spacing w:after="0"/>
                            <w:rPr>
                              <w:rFonts w:ascii="Calibri" w:eastAsia="Calibri" w:hAnsi="Calibri" w:cs="Calibri"/>
                              <w:noProof/>
                              <w:color w:val="FF0000"/>
                              <w:sz w:val="24"/>
                              <w:szCs w:val="24"/>
                            </w:rPr>
                          </w:pPr>
                          <w:r w:rsidRPr="008505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E6AC00" id="_x0000_t202" coordsize="21600,21600" o:spt="202" path="m,l,21600r21600,l21600,xe">
              <v:stroke joinstyle="miter"/>
              <v:path gradientshapeok="t" o:connecttype="rect"/>
            </v:shapetype>
            <v:shape id="Text Box 7" o:spid="_x0000_s1034" type="#_x0000_t202" alt="OFFICIAL" style="position:absolute;margin-left:0;margin-top:0;width:43.45pt;height:43.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p+5rMA0CAAAcBAAA&#10;DgAAAAAAAAAAAAAAAAAuAgAAZHJzL2Uyb0RvYy54bWxQSwECLQAUAAYACAAAACEAXspiZdkAAAAD&#10;AQAADwAAAAAAAAAAAAAAAABnBAAAZHJzL2Rvd25yZXYueG1sUEsFBgAAAAAEAAQA8wAAAG0FAAAA&#10;AA==&#10;" filled="f" stroked="f">
              <v:textbox style="mso-fit-shape-to-text:t" inset="0,15pt,0,0">
                <w:txbxContent>
                  <w:p w14:paraId="6E10C762" w14:textId="14BDEC1F" w:rsidR="0085055C" w:rsidRPr="0085055C" w:rsidRDefault="0085055C" w:rsidP="0085055C">
                    <w:pPr>
                      <w:spacing w:after="0"/>
                      <w:rPr>
                        <w:rFonts w:ascii="Calibri" w:eastAsia="Calibri" w:hAnsi="Calibri" w:cs="Calibri"/>
                        <w:noProof/>
                        <w:color w:val="FF0000"/>
                        <w:sz w:val="24"/>
                        <w:szCs w:val="24"/>
                      </w:rPr>
                    </w:pPr>
                    <w:r w:rsidRPr="0085055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70AC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A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5CB5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74FB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EA9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23C60902"/>
    <w:multiLevelType w:val="hybridMultilevel"/>
    <w:tmpl w:val="8D4E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AA53C90"/>
    <w:multiLevelType w:val="hybridMultilevel"/>
    <w:tmpl w:val="43103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62BAD"/>
    <w:multiLevelType w:val="hybridMultilevel"/>
    <w:tmpl w:val="A746A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05317"/>
    <w:multiLevelType w:val="multilevel"/>
    <w:tmpl w:val="3D66CBA2"/>
    <w:numStyleLink w:val="CustomNumberlist"/>
  </w:abstractNum>
  <w:abstractNum w:abstractNumId="3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7761702">
    <w:abstractNumId w:val="9"/>
  </w:num>
  <w:num w:numId="2" w16cid:durableId="1344433312">
    <w:abstractNumId w:val="7"/>
  </w:num>
  <w:num w:numId="3" w16cid:durableId="950087547">
    <w:abstractNumId w:val="6"/>
  </w:num>
  <w:num w:numId="4" w16cid:durableId="2039115995">
    <w:abstractNumId w:val="5"/>
  </w:num>
  <w:num w:numId="5" w16cid:durableId="1712607341">
    <w:abstractNumId w:val="4"/>
  </w:num>
  <w:num w:numId="6" w16cid:durableId="1740592893">
    <w:abstractNumId w:val="8"/>
  </w:num>
  <w:num w:numId="7" w16cid:durableId="1457529708">
    <w:abstractNumId w:val="3"/>
  </w:num>
  <w:num w:numId="8" w16cid:durableId="566962311">
    <w:abstractNumId w:val="2"/>
  </w:num>
  <w:num w:numId="9" w16cid:durableId="1230849289">
    <w:abstractNumId w:val="1"/>
  </w:num>
  <w:num w:numId="10" w16cid:durableId="372585939">
    <w:abstractNumId w:val="22"/>
  </w:num>
  <w:num w:numId="11" w16cid:durableId="711804848">
    <w:abstractNumId w:val="16"/>
  </w:num>
  <w:num w:numId="12" w16cid:durableId="944970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7990333">
    <w:abstractNumId w:val="0"/>
  </w:num>
  <w:num w:numId="14" w16cid:durableId="1551846005">
    <w:abstractNumId w:val="16"/>
  </w:num>
  <w:num w:numId="15" w16cid:durableId="1815946754">
    <w:abstractNumId w:val="17"/>
  </w:num>
  <w:num w:numId="16" w16cid:durableId="1848791480">
    <w:abstractNumId w:val="11"/>
  </w:num>
  <w:num w:numId="17" w16cid:durableId="1514102916">
    <w:abstractNumId w:val="23"/>
  </w:num>
  <w:num w:numId="18" w16cid:durableId="1240555416">
    <w:abstractNumId w:val="23"/>
  </w:num>
  <w:num w:numId="19" w16cid:durableId="941113518">
    <w:abstractNumId w:val="19"/>
  </w:num>
  <w:num w:numId="20" w16cid:durableId="1425028574">
    <w:abstractNumId w:val="13"/>
  </w:num>
  <w:num w:numId="21" w16cid:durableId="1072581196">
    <w:abstractNumId w:val="25"/>
  </w:num>
  <w:num w:numId="22" w16cid:durableId="1474448902">
    <w:abstractNumId w:val="29"/>
  </w:num>
  <w:num w:numId="23" w16cid:durableId="154146759">
    <w:abstractNumId w:val="12"/>
  </w:num>
  <w:num w:numId="24" w16cid:durableId="1831169626">
    <w:abstractNumId w:val="32"/>
  </w:num>
  <w:num w:numId="25" w16cid:durableId="1143427896">
    <w:abstractNumId w:val="28"/>
  </w:num>
  <w:num w:numId="26" w16cid:durableId="495270193">
    <w:abstractNumId w:val="30"/>
  </w:num>
  <w:num w:numId="27" w16cid:durableId="560530436">
    <w:abstractNumId w:val="15"/>
  </w:num>
  <w:num w:numId="28" w16cid:durableId="838429866">
    <w:abstractNumId w:val="21"/>
  </w:num>
  <w:num w:numId="29" w16cid:durableId="275186698">
    <w:abstractNumId w:val="20"/>
  </w:num>
  <w:num w:numId="30" w16cid:durableId="869995055">
    <w:abstractNumId w:val="14"/>
  </w:num>
  <w:num w:numId="31" w16cid:durableId="1503740093">
    <w:abstractNumId w:val="24"/>
  </w:num>
  <w:num w:numId="32" w16cid:durableId="1781491648">
    <w:abstractNumId w:val="10"/>
  </w:num>
  <w:num w:numId="33" w16cid:durableId="28994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6099854">
    <w:abstractNumId w:val="31"/>
  </w:num>
  <w:num w:numId="35" w16cid:durableId="394469533">
    <w:abstractNumId w:val="26"/>
  </w:num>
  <w:num w:numId="36" w16cid:durableId="1526794454">
    <w:abstractNumId w:val="18"/>
  </w:num>
  <w:num w:numId="37" w16cid:durableId="1971578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18D9"/>
    <w:rsid w:val="00001DE5"/>
    <w:rsid w:val="00002E28"/>
    <w:rsid w:val="000041CE"/>
    <w:rsid w:val="000046BD"/>
    <w:rsid w:val="00007C1C"/>
    <w:rsid w:val="00007F53"/>
    <w:rsid w:val="00011858"/>
    <w:rsid w:val="00012F85"/>
    <w:rsid w:val="000144ED"/>
    <w:rsid w:val="000148E6"/>
    <w:rsid w:val="00014A0F"/>
    <w:rsid w:val="00015588"/>
    <w:rsid w:val="00015960"/>
    <w:rsid w:val="00022A79"/>
    <w:rsid w:val="00025463"/>
    <w:rsid w:val="000265D1"/>
    <w:rsid w:val="00026CC4"/>
    <w:rsid w:val="00030009"/>
    <w:rsid w:val="0003005E"/>
    <w:rsid w:val="00030404"/>
    <w:rsid w:val="00030EA4"/>
    <w:rsid w:val="000318D1"/>
    <w:rsid w:val="00034137"/>
    <w:rsid w:val="00034691"/>
    <w:rsid w:val="0003480D"/>
    <w:rsid w:val="00035240"/>
    <w:rsid w:val="00035F28"/>
    <w:rsid w:val="00036A2E"/>
    <w:rsid w:val="00036FC3"/>
    <w:rsid w:val="00037FEF"/>
    <w:rsid w:val="0004023A"/>
    <w:rsid w:val="00041153"/>
    <w:rsid w:val="00042FC2"/>
    <w:rsid w:val="000431A0"/>
    <w:rsid w:val="00043697"/>
    <w:rsid w:val="0004417E"/>
    <w:rsid w:val="0004629A"/>
    <w:rsid w:val="000468FC"/>
    <w:rsid w:val="0004720F"/>
    <w:rsid w:val="00047898"/>
    <w:rsid w:val="00047B7C"/>
    <w:rsid w:val="000501E5"/>
    <w:rsid w:val="000505F9"/>
    <w:rsid w:val="0005162D"/>
    <w:rsid w:val="000518F3"/>
    <w:rsid w:val="00051FDB"/>
    <w:rsid w:val="00052467"/>
    <w:rsid w:val="00052D32"/>
    <w:rsid w:val="0005321C"/>
    <w:rsid w:val="00053E1E"/>
    <w:rsid w:val="0005402C"/>
    <w:rsid w:val="00054747"/>
    <w:rsid w:val="000566E0"/>
    <w:rsid w:val="00060C42"/>
    <w:rsid w:val="00061085"/>
    <w:rsid w:val="000626DE"/>
    <w:rsid w:val="00062AE4"/>
    <w:rsid w:val="0006434B"/>
    <w:rsid w:val="00064854"/>
    <w:rsid w:val="00067A25"/>
    <w:rsid w:val="00067DD9"/>
    <w:rsid w:val="00071F38"/>
    <w:rsid w:val="000736C8"/>
    <w:rsid w:val="0007386E"/>
    <w:rsid w:val="0007404C"/>
    <w:rsid w:val="0007427E"/>
    <w:rsid w:val="0007729C"/>
    <w:rsid w:val="000776A4"/>
    <w:rsid w:val="00077A90"/>
    <w:rsid w:val="00080F94"/>
    <w:rsid w:val="00082266"/>
    <w:rsid w:val="00084961"/>
    <w:rsid w:val="0008511F"/>
    <w:rsid w:val="00086DA5"/>
    <w:rsid w:val="00087116"/>
    <w:rsid w:val="00095845"/>
    <w:rsid w:val="000A06C5"/>
    <w:rsid w:val="000A0D6B"/>
    <w:rsid w:val="000A1292"/>
    <w:rsid w:val="000A2A11"/>
    <w:rsid w:val="000A3D88"/>
    <w:rsid w:val="000A453F"/>
    <w:rsid w:val="000A759D"/>
    <w:rsid w:val="000A7FD9"/>
    <w:rsid w:val="000B0574"/>
    <w:rsid w:val="000B0EE4"/>
    <w:rsid w:val="000B1265"/>
    <w:rsid w:val="000B163C"/>
    <w:rsid w:val="000B305D"/>
    <w:rsid w:val="000B5751"/>
    <w:rsid w:val="000B60DB"/>
    <w:rsid w:val="000B613E"/>
    <w:rsid w:val="000C3D0F"/>
    <w:rsid w:val="000C4160"/>
    <w:rsid w:val="000C47E5"/>
    <w:rsid w:val="000C4DD5"/>
    <w:rsid w:val="000D30CC"/>
    <w:rsid w:val="000D373C"/>
    <w:rsid w:val="000D3F9E"/>
    <w:rsid w:val="000D4547"/>
    <w:rsid w:val="000E044D"/>
    <w:rsid w:val="000E0CBB"/>
    <w:rsid w:val="000E1469"/>
    <w:rsid w:val="000E1FFA"/>
    <w:rsid w:val="000E4A2E"/>
    <w:rsid w:val="000E5CB6"/>
    <w:rsid w:val="000E70E8"/>
    <w:rsid w:val="000E73E3"/>
    <w:rsid w:val="000E76B6"/>
    <w:rsid w:val="000F21AC"/>
    <w:rsid w:val="000F2B49"/>
    <w:rsid w:val="000F3295"/>
    <w:rsid w:val="000F5706"/>
    <w:rsid w:val="000F6F8C"/>
    <w:rsid w:val="000F7235"/>
    <w:rsid w:val="0010412B"/>
    <w:rsid w:val="001054D7"/>
    <w:rsid w:val="001061B9"/>
    <w:rsid w:val="00106608"/>
    <w:rsid w:val="00107A72"/>
    <w:rsid w:val="001108E4"/>
    <w:rsid w:val="00110F8C"/>
    <w:rsid w:val="0011295F"/>
    <w:rsid w:val="0011423C"/>
    <w:rsid w:val="001156B3"/>
    <w:rsid w:val="001163D7"/>
    <w:rsid w:val="001170A7"/>
    <w:rsid w:val="00123105"/>
    <w:rsid w:val="00123520"/>
    <w:rsid w:val="0012360A"/>
    <w:rsid w:val="001245E6"/>
    <w:rsid w:val="00126F68"/>
    <w:rsid w:val="0013098B"/>
    <w:rsid w:val="00131B2B"/>
    <w:rsid w:val="00131E75"/>
    <w:rsid w:val="001338F9"/>
    <w:rsid w:val="00136723"/>
    <w:rsid w:val="0014061E"/>
    <w:rsid w:val="00142F3D"/>
    <w:rsid w:val="0014303C"/>
    <w:rsid w:val="0014315A"/>
    <w:rsid w:val="00143A35"/>
    <w:rsid w:val="0014418E"/>
    <w:rsid w:val="001445BC"/>
    <w:rsid w:val="0014576B"/>
    <w:rsid w:val="001466EB"/>
    <w:rsid w:val="001479CD"/>
    <w:rsid w:val="00153081"/>
    <w:rsid w:val="00154C03"/>
    <w:rsid w:val="001566F7"/>
    <w:rsid w:val="00156763"/>
    <w:rsid w:val="00157E42"/>
    <w:rsid w:val="00160F48"/>
    <w:rsid w:val="00162399"/>
    <w:rsid w:val="001627BF"/>
    <w:rsid w:val="00162D4A"/>
    <w:rsid w:val="0016619A"/>
    <w:rsid w:val="00171867"/>
    <w:rsid w:val="00171871"/>
    <w:rsid w:val="001726AE"/>
    <w:rsid w:val="00172E36"/>
    <w:rsid w:val="00173C45"/>
    <w:rsid w:val="00175901"/>
    <w:rsid w:val="00175F41"/>
    <w:rsid w:val="001768D9"/>
    <w:rsid w:val="00176926"/>
    <w:rsid w:val="00176C41"/>
    <w:rsid w:val="001801E0"/>
    <w:rsid w:val="00184CEF"/>
    <w:rsid w:val="0018589F"/>
    <w:rsid w:val="00185E85"/>
    <w:rsid w:val="001869B0"/>
    <w:rsid w:val="00186A7C"/>
    <w:rsid w:val="0018712B"/>
    <w:rsid w:val="00187ACF"/>
    <w:rsid w:val="00187B53"/>
    <w:rsid w:val="001916CA"/>
    <w:rsid w:val="00193377"/>
    <w:rsid w:val="00194BB0"/>
    <w:rsid w:val="00194F95"/>
    <w:rsid w:val="001A1E11"/>
    <w:rsid w:val="001A4ACF"/>
    <w:rsid w:val="001A4D52"/>
    <w:rsid w:val="001A5DF7"/>
    <w:rsid w:val="001A69B5"/>
    <w:rsid w:val="001A6E5C"/>
    <w:rsid w:val="001A6F17"/>
    <w:rsid w:val="001A70BA"/>
    <w:rsid w:val="001A7B9C"/>
    <w:rsid w:val="001B326A"/>
    <w:rsid w:val="001B3BE7"/>
    <w:rsid w:val="001B4B81"/>
    <w:rsid w:val="001B5146"/>
    <w:rsid w:val="001B5B70"/>
    <w:rsid w:val="001B6365"/>
    <w:rsid w:val="001B6949"/>
    <w:rsid w:val="001C13F5"/>
    <w:rsid w:val="001C3C51"/>
    <w:rsid w:val="001C3EB2"/>
    <w:rsid w:val="001C7374"/>
    <w:rsid w:val="001C750A"/>
    <w:rsid w:val="001D07CD"/>
    <w:rsid w:val="001D098B"/>
    <w:rsid w:val="001D3264"/>
    <w:rsid w:val="001D3819"/>
    <w:rsid w:val="001D3CC1"/>
    <w:rsid w:val="001D3CD2"/>
    <w:rsid w:val="001D52A7"/>
    <w:rsid w:val="001D6A04"/>
    <w:rsid w:val="001E3CE3"/>
    <w:rsid w:val="001E554F"/>
    <w:rsid w:val="001E5DCE"/>
    <w:rsid w:val="001F02BC"/>
    <w:rsid w:val="001F07E6"/>
    <w:rsid w:val="001F1CFB"/>
    <w:rsid w:val="001F2076"/>
    <w:rsid w:val="001F346A"/>
    <w:rsid w:val="001F3997"/>
    <w:rsid w:val="001F4B12"/>
    <w:rsid w:val="001F5981"/>
    <w:rsid w:val="001F62B4"/>
    <w:rsid w:val="001F64A3"/>
    <w:rsid w:val="001F6B51"/>
    <w:rsid w:val="0020153B"/>
    <w:rsid w:val="0020187F"/>
    <w:rsid w:val="00202B40"/>
    <w:rsid w:val="00203CA0"/>
    <w:rsid w:val="0020453B"/>
    <w:rsid w:val="00204C88"/>
    <w:rsid w:val="00205477"/>
    <w:rsid w:val="002056BA"/>
    <w:rsid w:val="002058D5"/>
    <w:rsid w:val="0020644E"/>
    <w:rsid w:val="00206FD6"/>
    <w:rsid w:val="00207ECE"/>
    <w:rsid w:val="002101EE"/>
    <w:rsid w:val="00212414"/>
    <w:rsid w:val="002144D9"/>
    <w:rsid w:val="0021580F"/>
    <w:rsid w:val="00216B58"/>
    <w:rsid w:val="00217BBD"/>
    <w:rsid w:val="0022498A"/>
    <w:rsid w:val="002250F1"/>
    <w:rsid w:val="002262D5"/>
    <w:rsid w:val="002268C5"/>
    <w:rsid w:val="0022708E"/>
    <w:rsid w:val="002311FF"/>
    <w:rsid w:val="00231A67"/>
    <w:rsid w:val="00232581"/>
    <w:rsid w:val="0023483F"/>
    <w:rsid w:val="00234A9F"/>
    <w:rsid w:val="00234AB8"/>
    <w:rsid w:val="00234F3A"/>
    <w:rsid w:val="00235115"/>
    <w:rsid w:val="00241A66"/>
    <w:rsid w:val="002431CA"/>
    <w:rsid w:val="002439C0"/>
    <w:rsid w:val="002464CD"/>
    <w:rsid w:val="00247A94"/>
    <w:rsid w:val="002505C7"/>
    <w:rsid w:val="00250C67"/>
    <w:rsid w:val="00251145"/>
    <w:rsid w:val="00251ED0"/>
    <w:rsid w:val="002520E0"/>
    <w:rsid w:val="002527AD"/>
    <w:rsid w:val="00253C04"/>
    <w:rsid w:val="00255077"/>
    <w:rsid w:val="0025595E"/>
    <w:rsid w:val="00257F9F"/>
    <w:rsid w:val="00260897"/>
    <w:rsid w:val="00261035"/>
    <w:rsid w:val="002621EA"/>
    <w:rsid w:val="00262D6F"/>
    <w:rsid w:val="00267C80"/>
    <w:rsid w:val="00270A12"/>
    <w:rsid w:val="0027129A"/>
    <w:rsid w:val="002716A2"/>
    <w:rsid w:val="00272D1C"/>
    <w:rsid w:val="0027323B"/>
    <w:rsid w:val="00273F87"/>
    <w:rsid w:val="002750C4"/>
    <w:rsid w:val="00275A2C"/>
    <w:rsid w:val="00277257"/>
    <w:rsid w:val="0028052B"/>
    <w:rsid w:val="0028409B"/>
    <w:rsid w:val="00284D8D"/>
    <w:rsid w:val="002867D0"/>
    <w:rsid w:val="002873B3"/>
    <w:rsid w:val="00287CD3"/>
    <w:rsid w:val="00290440"/>
    <w:rsid w:val="00291F37"/>
    <w:rsid w:val="00292EDF"/>
    <w:rsid w:val="00293685"/>
    <w:rsid w:val="0029392E"/>
    <w:rsid w:val="002966CE"/>
    <w:rsid w:val="00296C97"/>
    <w:rsid w:val="002A059D"/>
    <w:rsid w:val="002A0726"/>
    <w:rsid w:val="002A2861"/>
    <w:rsid w:val="002A29D1"/>
    <w:rsid w:val="002A3D8C"/>
    <w:rsid w:val="002B05EC"/>
    <w:rsid w:val="002B0B15"/>
    <w:rsid w:val="002B1C48"/>
    <w:rsid w:val="002B3D5D"/>
    <w:rsid w:val="002B45BD"/>
    <w:rsid w:val="002B4FF8"/>
    <w:rsid w:val="002B57D8"/>
    <w:rsid w:val="002B6839"/>
    <w:rsid w:val="002B74AD"/>
    <w:rsid w:val="002B7B89"/>
    <w:rsid w:val="002C1877"/>
    <w:rsid w:val="002C1FF5"/>
    <w:rsid w:val="002C2ADF"/>
    <w:rsid w:val="002C2B89"/>
    <w:rsid w:val="002C4058"/>
    <w:rsid w:val="002C4F86"/>
    <w:rsid w:val="002C7AD6"/>
    <w:rsid w:val="002D09D5"/>
    <w:rsid w:val="002D1490"/>
    <w:rsid w:val="002D1A6C"/>
    <w:rsid w:val="002D1F20"/>
    <w:rsid w:val="002D2FD5"/>
    <w:rsid w:val="002D3B02"/>
    <w:rsid w:val="002D420B"/>
    <w:rsid w:val="002D4757"/>
    <w:rsid w:val="002D4CA9"/>
    <w:rsid w:val="002D682B"/>
    <w:rsid w:val="002D702A"/>
    <w:rsid w:val="002D762C"/>
    <w:rsid w:val="002E0860"/>
    <w:rsid w:val="002E135A"/>
    <w:rsid w:val="002E2708"/>
    <w:rsid w:val="002E3743"/>
    <w:rsid w:val="002E48AC"/>
    <w:rsid w:val="002E5DD2"/>
    <w:rsid w:val="002F1833"/>
    <w:rsid w:val="002F1AE0"/>
    <w:rsid w:val="002F1D78"/>
    <w:rsid w:val="002F3FFB"/>
    <w:rsid w:val="002F58A3"/>
    <w:rsid w:val="002F5969"/>
    <w:rsid w:val="00301CC4"/>
    <w:rsid w:val="00304225"/>
    <w:rsid w:val="00305FCD"/>
    <w:rsid w:val="00306701"/>
    <w:rsid w:val="00307A08"/>
    <w:rsid w:val="00307AB1"/>
    <w:rsid w:val="003117A8"/>
    <w:rsid w:val="003133FA"/>
    <w:rsid w:val="0031382A"/>
    <w:rsid w:val="00313FC6"/>
    <w:rsid w:val="00315A7A"/>
    <w:rsid w:val="00315C83"/>
    <w:rsid w:val="0031633A"/>
    <w:rsid w:val="003171E1"/>
    <w:rsid w:val="00317A82"/>
    <w:rsid w:val="00317C67"/>
    <w:rsid w:val="0032180D"/>
    <w:rsid w:val="00321F4D"/>
    <w:rsid w:val="003238A8"/>
    <w:rsid w:val="00323DF9"/>
    <w:rsid w:val="00324C76"/>
    <w:rsid w:val="00325294"/>
    <w:rsid w:val="0033025C"/>
    <w:rsid w:val="0033154D"/>
    <w:rsid w:val="00336057"/>
    <w:rsid w:val="00343F0E"/>
    <w:rsid w:val="00344D56"/>
    <w:rsid w:val="003456D9"/>
    <w:rsid w:val="0034627A"/>
    <w:rsid w:val="00352057"/>
    <w:rsid w:val="003523C1"/>
    <w:rsid w:val="00352E1D"/>
    <w:rsid w:val="00352E43"/>
    <w:rsid w:val="00353663"/>
    <w:rsid w:val="00356126"/>
    <w:rsid w:val="00356D36"/>
    <w:rsid w:val="00360763"/>
    <w:rsid w:val="00362C34"/>
    <w:rsid w:val="00362DFF"/>
    <w:rsid w:val="00364EA3"/>
    <w:rsid w:val="003665C1"/>
    <w:rsid w:val="0036782E"/>
    <w:rsid w:val="00370324"/>
    <w:rsid w:val="00370788"/>
    <w:rsid w:val="003726A4"/>
    <w:rsid w:val="0037486B"/>
    <w:rsid w:val="00375CBF"/>
    <w:rsid w:val="00375EFC"/>
    <w:rsid w:val="003775B3"/>
    <w:rsid w:val="00381879"/>
    <w:rsid w:val="003837CC"/>
    <w:rsid w:val="00384041"/>
    <w:rsid w:val="003855C2"/>
    <w:rsid w:val="0039001A"/>
    <w:rsid w:val="00390234"/>
    <w:rsid w:val="003904B9"/>
    <w:rsid w:val="003908B2"/>
    <w:rsid w:val="00390ED5"/>
    <w:rsid w:val="003915C2"/>
    <w:rsid w:val="0039268A"/>
    <w:rsid w:val="00392B75"/>
    <w:rsid w:val="00394187"/>
    <w:rsid w:val="003958CA"/>
    <w:rsid w:val="00395A83"/>
    <w:rsid w:val="00395CFE"/>
    <w:rsid w:val="00396DED"/>
    <w:rsid w:val="00397C09"/>
    <w:rsid w:val="003A16E1"/>
    <w:rsid w:val="003A24BA"/>
    <w:rsid w:val="003A2748"/>
    <w:rsid w:val="003A2C89"/>
    <w:rsid w:val="003A30F3"/>
    <w:rsid w:val="003A4591"/>
    <w:rsid w:val="003A4F5D"/>
    <w:rsid w:val="003A76D1"/>
    <w:rsid w:val="003B02B4"/>
    <w:rsid w:val="003B3D39"/>
    <w:rsid w:val="003B5737"/>
    <w:rsid w:val="003B6722"/>
    <w:rsid w:val="003B6A70"/>
    <w:rsid w:val="003B7014"/>
    <w:rsid w:val="003C14C7"/>
    <w:rsid w:val="003C25C3"/>
    <w:rsid w:val="003C2DBA"/>
    <w:rsid w:val="003C3786"/>
    <w:rsid w:val="003C39F4"/>
    <w:rsid w:val="003C4011"/>
    <w:rsid w:val="003C41B9"/>
    <w:rsid w:val="003C671D"/>
    <w:rsid w:val="003C720F"/>
    <w:rsid w:val="003D13D0"/>
    <w:rsid w:val="003D3261"/>
    <w:rsid w:val="003D53ED"/>
    <w:rsid w:val="003D69AC"/>
    <w:rsid w:val="003D6AA9"/>
    <w:rsid w:val="003E0708"/>
    <w:rsid w:val="003E086F"/>
    <w:rsid w:val="003E2DB9"/>
    <w:rsid w:val="003E3EEC"/>
    <w:rsid w:val="003E49AE"/>
    <w:rsid w:val="003E4AED"/>
    <w:rsid w:val="003E60EA"/>
    <w:rsid w:val="003E72DD"/>
    <w:rsid w:val="003E7772"/>
    <w:rsid w:val="003E7A33"/>
    <w:rsid w:val="003F1961"/>
    <w:rsid w:val="003F26FD"/>
    <w:rsid w:val="003F2C14"/>
    <w:rsid w:val="003F2C16"/>
    <w:rsid w:val="003F2C4D"/>
    <w:rsid w:val="003F43C8"/>
    <w:rsid w:val="003F6D68"/>
    <w:rsid w:val="00400B31"/>
    <w:rsid w:val="0040181C"/>
    <w:rsid w:val="004028BA"/>
    <w:rsid w:val="004064CD"/>
    <w:rsid w:val="00410868"/>
    <w:rsid w:val="00411C53"/>
    <w:rsid w:val="004130CB"/>
    <w:rsid w:val="0041320B"/>
    <w:rsid w:val="00413CAB"/>
    <w:rsid w:val="00413E4A"/>
    <w:rsid w:val="00414382"/>
    <w:rsid w:val="004144FE"/>
    <w:rsid w:val="00414AB9"/>
    <w:rsid w:val="00416973"/>
    <w:rsid w:val="00417054"/>
    <w:rsid w:val="00417182"/>
    <w:rsid w:val="00417847"/>
    <w:rsid w:val="004201BE"/>
    <w:rsid w:val="00420492"/>
    <w:rsid w:val="00420756"/>
    <w:rsid w:val="0042077A"/>
    <w:rsid w:val="00420B3A"/>
    <w:rsid w:val="00422DF2"/>
    <w:rsid w:val="00423DB6"/>
    <w:rsid w:val="00423DD9"/>
    <w:rsid w:val="004242CF"/>
    <w:rsid w:val="004249BE"/>
    <w:rsid w:val="00424E87"/>
    <w:rsid w:val="00425A60"/>
    <w:rsid w:val="004266EA"/>
    <w:rsid w:val="0043066B"/>
    <w:rsid w:val="004309BF"/>
    <w:rsid w:val="0043501F"/>
    <w:rsid w:val="00436BF2"/>
    <w:rsid w:val="004378A6"/>
    <w:rsid w:val="00437F62"/>
    <w:rsid w:val="00440686"/>
    <w:rsid w:val="004413EE"/>
    <w:rsid w:val="00441ED9"/>
    <w:rsid w:val="00442AD8"/>
    <w:rsid w:val="00442E18"/>
    <w:rsid w:val="00443936"/>
    <w:rsid w:val="00444878"/>
    <w:rsid w:val="00446A7E"/>
    <w:rsid w:val="00447063"/>
    <w:rsid w:val="004540F9"/>
    <w:rsid w:val="0045415C"/>
    <w:rsid w:val="00454E84"/>
    <w:rsid w:val="004558CC"/>
    <w:rsid w:val="004564DF"/>
    <w:rsid w:val="004572E5"/>
    <w:rsid w:val="00457AF9"/>
    <w:rsid w:val="00462DFE"/>
    <w:rsid w:val="0046312A"/>
    <w:rsid w:val="00463C41"/>
    <w:rsid w:val="004642D5"/>
    <w:rsid w:val="0046549C"/>
    <w:rsid w:val="00471A3D"/>
    <w:rsid w:val="00474670"/>
    <w:rsid w:val="0047558F"/>
    <w:rsid w:val="00476EB2"/>
    <w:rsid w:val="00477572"/>
    <w:rsid w:val="004835B7"/>
    <w:rsid w:val="00483866"/>
    <w:rsid w:val="00483D6A"/>
    <w:rsid w:val="00484F2D"/>
    <w:rsid w:val="004855CE"/>
    <w:rsid w:val="00485B1D"/>
    <w:rsid w:val="00485CC5"/>
    <w:rsid w:val="00486D80"/>
    <w:rsid w:val="004925DC"/>
    <w:rsid w:val="00495E2E"/>
    <w:rsid w:val="00496CF9"/>
    <w:rsid w:val="004A18EA"/>
    <w:rsid w:val="004A3110"/>
    <w:rsid w:val="004A6334"/>
    <w:rsid w:val="004A7767"/>
    <w:rsid w:val="004B05FB"/>
    <w:rsid w:val="004B1082"/>
    <w:rsid w:val="004B3984"/>
    <w:rsid w:val="004B3DA8"/>
    <w:rsid w:val="004B40B8"/>
    <w:rsid w:val="004B4C36"/>
    <w:rsid w:val="004B4F7A"/>
    <w:rsid w:val="004B6474"/>
    <w:rsid w:val="004B7163"/>
    <w:rsid w:val="004C083D"/>
    <w:rsid w:val="004C0BB7"/>
    <w:rsid w:val="004C284C"/>
    <w:rsid w:val="004C3883"/>
    <w:rsid w:val="004C5654"/>
    <w:rsid w:val="004C571E"/>
    <w:rsid w:val="004C58A5"/>
    <w:rsid w:val="004C728A"/>
    <w:rsid w:val="004D017E"/>
    <w:rsid w:val="004D0ABA"/>
    <w:rsid w:val="004D3893"/>
    <w:rsid w:val="004D41EA"/>
    <w:rsid w:val="004D4750"/>
    <w:rsid w:val="004D6841"/>
    <w:rsid w:val="004D6A9F"/>
    <w:rsid w:val="004E0A11"/>
    <w:rsid w:val="004E0FF2"/>
    <w:rsid w:val="004E14E7"/>
    <w:rsid w:val="004E3208"/>
    <w:rsid w:val="004E403F"/>
    <w:rsid w:val="004E4C26"/>
    <w:rsid w:val="004E53A0"/>
    <w:rsid w:val="004E6174"/>
    <w:rsid w:val="004E783E"/>
    <w:rsid w:val="004F0A9B"/>
    <w:rsid w:val="004F4353"/>
    <w:rsid w:val="004F56AB"/>
    <w:rsid w:val="0050064B"/>
    <w:rsid w:val="005014C6"/>
    <w:rsid w:val="00502A9E"/>
    <w:rsid w:val="00503B31"/>
    <w:rsid w:val="00504D71"/>
    <w:rsid w:val="00505B88"/>
    <w:rsid w:val="00505CE4"/>
    <w:rsid w:val="00512129"/>
    <w:rsid w:val="0051352E"/>
    <w:rsid w:val="00514213"/>
    <w:rsid w:val="0051425B"/>
    <w:rsid w:val="00514F7C"/>
    <w:rsid w:val="005169F1"/>
    <w:rsid w:val="00517F76"/>
    <w:rsid w:val="00520351"/>
    <w:rsid w:val="00521DE6"/>
    <w:rsid w:val="005220B7"/>
    <w:rsid w:val="00522532"/>
    <w:rsid w:val="00524CC9"/>
    <w:rsid w:val="0052600A"/>
    <w:rsid w:val="00526F76"/>
    <w:rsid w:val="00527A42"/>
    <w:rsid w:val="00527E00"/>
    <w:rsid w:val="0053049F"/>
    <w:rsid w:val="005316B3"/>
    <w:rsid w:val="005319BB"/>
    <w:rsid w:val="0053278F"/>
    <w:rsid w:val="00533AC5"/>
    <w:rsid w:val="00533D4B"/>
    <w:rsid w:val="00535F9A"/>
    <w:rsid w:val="00541F9A"/>
    <w:rsid w:val="0054208D"/>
    <w:rsid w:val="00544CE2"/>
    <w:rsid w:val="0054554A"/>
    <w:rsid w:val="00545E3C"/>
    <w:rsid w:val="0054705C"/>
    <w:rsid w:val="0054776F"/>
    <w:rsid w:val="00550874"/>
    <w:rsid w:val="00550E99"/>
    <w:rsid w:val="00550E9E"/>
    <w:rsid w:val="005529FE"/>
    <w:rsid w:val="005538EC"/>
    <w:rsid w:val="00553BE6"/>
    <w:rsid w:val="0055453F"/>
    <w:rsid w:val="005564B5"/>
    <w:rsid w:val="00557EA5"/>
    <w:rsid w:val="00557F98"/>
    <w:rsid w:val="00563AD8"/>
    <w:rsid w:val="00564BE8"/>
    <w:rsid w:val="0056628A"/>
    <w:rsid w:val="00567B7D"/>
    <w:rsid w:val="005703F0"/>
    <w:rsid w:val="00570E5B"/>
    <w:rsid w:val="00570F02"/>
    <w:rsid w:val="005726F9"/>
    <w:rsid w:val="00572796"/>
    <w:rsid w:val="00580A89"/>
    <w:rsid w:val="00581B2C"/>
    <w:rsid w:val="0058266B"/>
    <w:rsid w:val="00583181"/>
    <w:rsid w:val="0059282F"/>
    <w:rsid w:val="00594C3E"/>
    <w:rsid w:val="005950A7"/>
    <w:rsid w:val="00596C90"/>
    <w:rsid w:val="00597393"/>
    <w:rsid w:val="005A02D7"/>
    <w:rsid w:val="005A1443"/>
    <w:rsid w:val="005A42FC"/>
    <w:rsid w:val="005A43FD"/>
    <w:rsid w:val="005B09C6"/>
    <w:rsid w:val="005B1992"/>
    <w:rsid w:val="005B1CCB"/>
    <w:rsid w:val="005B3144"/>
    <w:rsid w:val="005B5034"/>
    <w:rsid w:val="005B5180"/>
    <w:rsid w:val="005B7D85"/>
    <w:rsid w:val="005C49E6"/>
    <w:rsid w:val="005C4B56"/>
    <w:rsid w:val="005C6E04"/>
    <w:rsid w:val="005D1B2D"/>
    <w:rsid w:val="005D3A26"/>
    <w:rsid w:val="005D6E8E"/>
    <w:rsid w:val="005D794F"/>
    <w:rsid w:val="005E2A78"/>
    <w:rsid w:val="005E2E03"/>
    <w:rsid w:val="005E5ACA"/>
    <w:rsid w:val="005E6570"/>
    <w:rsid w:val="005F3D90"/>
    <w:rsid w:val="005F4738"/>
    <w:rsid w:val="005F52BB"/>
    <w:rsid w:val="005F5578"/>
    <w:rsid w:val="005F5947"/>
    <w:rsid w:val="005F61AF"/>
    <w:rsid w:val="005F64E8"/>
    <w:rsid w:val="005F6AA2"/>
    <w:rsid w:val="005F74B9"/>
    <w:rsid w:val="00600A37"/>
    <w:rsid w:val="00601BE4"/>
    <w:rsid w:val="00603D93"/>
    <w:rsid w:val="00603F67"/>
    <w:rsid w:val="006046F4"/>
    <w:rsid w:val="00605D42"/>
    <w:rsid w:val="00605D84"/>
    <w:rsid w:val="00606096"/>
    <w:rsid w:val="00612263"/>
    <w:rsid w:val="00613710"/>
    <w:rsid w:val="006155D1"/>
    <w:rsid w:val="00615C49"/>
    <w:rsid w:val="006168CD"/>
    <w:rsid w:val="00617292"/>
    <w:rsid w:val="00617A18"/>
    <w:rsid w:val="00617AAD"/>
    <w:rsid w:val="00617B43"/>
    <w:rsid w:val="00621D71"/>
    <w:rsid w:val="00621F29"/>
    <w:rsid w:val="0062217D"/>
    <w:rsid w:val="006226D1"/>
    <w:rsid w:val="00623667"/>
    <w:rsid w:val="0062373B"/>
    <w:rsid w:val="0062441A"/>
    <w:rsid w:val="00625AF2"/>
    <w:rsid w:val="00626DFB"/>
    <w:rsid w:val="00632ADE"/>
    <w:rsid w:val="00633068"/>
    <w:rsid w:val="0063369A"/>
    <w:rsid w:val="0063494B"/>
    <w:rsid w:val="00635D1F"/>
    <w:rsid w:val="00636CFB"/>
    <w:rsid w:val="0064001E"/>
    <w:rsid w:val="006415DC"/>
    <w:rsid w:val="00641771"/>
    <w:rsid w:val="0064304A"/>
    <w:rsid w:val="00644227"/>
    <w:rsid w:val="00644AD5"/>
    <w:rsid w:val="00652FCB"/>
    <w:rsid w:val="00653F98"/>
    <w:rsid w:val="00654978"/>
    <w:rsid w:val="00654D36"/>
    <w:rsid w:val="006562EC"/>
    <w:rsid w:val="00656D95"/>
    <w:rsid w:val="006572EE"/>
    <w:rsid w:val="006574A3"/>
    <w:rsid w:val="006622F8"/>
    <w:rsid w:val="00663B52"/>
    <w:rsid w:val="00666190"/>
    <w:rsid w:val="0067029D"/>
    <w:rsid w:val="00670D09"/>
    <w:rsid w:val="006711C3"/>
    <w:rsid w:val="0067164B"/>
    <w:rsid w:val="006729B8"/>
    <w:rsid w:val="00672EF7"/>
    <w:rsid w:val="006734FC"/>
    <w:rsid w:val="006737DF"/>
    <w:rsid w:val="00673F71"/>
    <w:rsid w:val="006756EA"/>
    <w:rsid w:val="00676665"/>
    <w:rsid w:val="00676A46"/>
    <w:rsid w:val="00680264"/>
    <w:rsid w:val="00681410"/>
    <w:rsid w:val="006817B0"/>
    <w:rsid w:val="00684C51"/>
    <w:rsid w:val="006851AD"/>
    <w:rsid w:val="006853B0"/>
    <w:rsid w:val="00686224"/>
    <w:rsid w:val="0068673B"/>
    <w:rsid w:val="00687B24"/>
    <w:rsid w:val="006922D7"/>
    <w:rsid w:val="00692C51"/>
    <w:rsid w:val="006937E1"/>
    <w:rsid w:val="00693F52"/>
    <w:rsid w:val="006943D5"/>
    <w:rsid w:val="006947CC"/>
    <w:rsid w:val="006947D7"/>
    <w:rsid w:val="00694DB3"/>
    <w:rsid w:val="0069580D"/>
    <w:rsid w:val="00697BDD"/>
    <w:rsid w:val="006A0F75"/>
    <w:rsid w:val="006A33BF"/>
    <w:rsid w:val="006A582F"/>
    <w:rsid w:val="006A5B02"/>
    <w:rsid w:val="006B06D6"/>
    <w:rsid w:val="006B2445"/>
    <w:rsid w:val="006B41C9"/>
    <w:rsid w:val="006C00B1"/>
    <w:rsid w:val="006C0A06"/>
    <w:rsid w:val="006C116B"/>
    <w:rsid w:val="006C29BB"/>
    <w:rsid w:val="006C4904"/>
    <w:rsid w:val="006C5CC5"/>
    <w:rsid w:val="006C6BFC"/>
    <w:rsid w:val="006C6CEC"/>
    <w:rsid w:val="006C7202"/>
    <w:rsid w:val="006D0A5E"/>
    <w:rsid w:val="006D26F2"/>
    <w:rsid w:val="006D4660"/>
    <w:rsid w:val="006D4CD9"/>
    <w:rsid w:val="006D623E"/>
    <w:rsid w:val="006D6D36"/>
    <w:rsid w:val="006E110E"/>
    <w:rsid w:val="006E12DB"/>
    <w:rsid w:val="006E1911"/>
    <w:rsid w:val="006E2332"/>
    <w:rsid w:val="006E32B9"/>
    <w:rsid w:val="006E4DB3"/>
    <w:rsid w:val="006E5996"/>
    <w:rsid w:val="006E5F46"/>
    <w:rsid w:val="006E6549"/>
    <w:rsid w:val="006E6B2B"/>
    <w:rsid w:val="006E78BE"/>
    <w:rsid w:val="006F21E7"/>
    <w:rsid w:val="006F29EA"/>
    <w:rsid w:val="006F2E5E"/>
    <w:rsid w:val="006F4CA3"/>
    <w:rsid w:val="006F58B4"/>
    <w:rsid w:val="006F5B17"/>
    <w:rsid w:val="006F5C5B"/>
    <w:rsid w:val="006F5F74"/>
    <w:rsid w:val="006F6AC5"/>
    <w:rsid w:val="00700024"/>
    <w:rsid w:val="00700A5A"/>
    <w:rsid w:val="00700B46"/>
    <w:rsid w:val="007017A1"/>
    <w:rsid w:val="00702E78"/>
    <w:rsid w:val="00703C67"/>
    <w:rsid w:val="00705D59"/>
    <w:rsid w:val="007073BE"/>
    <w:rsid w:val="00707B2F"/>
    <w:rsid w:val="00710792"/>
    <w:rsid w:val="0071081E"/>
    <w:rsid w:val="007109D2"/>
    <w:rsid w:val="00711BA5"/>
    <w:rsid w:val="00712F88"/>
    <w:rsid w:val="007138CF"/>
    <w:rsid w:val="0071799F"/>
    <w:rsid w:val="00717CCA"/>
    <w:rsid w:val="007202C6"/>
    <w:rsid w:val="007228CE"/>
    <w:rsid w:val="00724043"/>
    <w:rsid w:val="007242BE"/>
    <w:rsid w:val="00730F71"/>
    <w:rsid w:val="00731F8A"/>
    <w:rsid w:val="00732D9A"/>
    <w:rsid w:val="00735CA3"/>
    <w:rsid w:val="00735E6B"/>
    <w:rsid w:val="007364EB"/>
    <w:rsid w:val="00740720"/>
    <w:rsid w:val="00740EB6"/>
    <w:rsid w:val="00741E58"/>
    <w:rsid w:val="007426F9"/>
    <w:rsid w:val="00742751"/>
    <w:rsid w:val="00742D96"/>
    <w:rsid w:val="00743213"/>
    <w:rsid w:val="0074491F"/>
    <w:rsid w:val="00747563"/>
    <w:rsid w:val="00750535"/>
    <w:rsid w:val="00751750"/>
    <w:rsid w:val="007519FF"/>
    <w:rsid w:val="0075323C"/>
    <w:rsid w:val="00754368"/>
    <w:rsid w:val="00755FBF"/>
    <w:rsid w:val="007561E8"/>
    <w:rsid w:val="0075663F"/>
    <w:rsid w:val="00757301"/>
    <w:rsid w:val="00757B43"/>
    <w:rsid w:val="007625C5"/>
    <w:rsid w:val="00762D47"/>
    <w:rsid w:val="00762E48"/>
    <w:rsid w:val="00763DA7"/>
    <w:rsid w:val="00764333"/>
    <w:rsid w:val="00765892"/>
    <w:rsid w:val="00766CF1"/>
    <w:rsid w:val="00772EB1"/>
    <w:rsid w:val="00774363"/>
    <w:rsid w:val="00775AF4"/>
    <w:rsid w:val="00776D0B"/>
    <w:rsid w:val="00777741"/>
    <w:rsid w:val="00780C8B"/>
    <w:rsid w:val="00781227"/>
    <w:rsid w:val="00781E9E"/>
    <w:rsid w:val="00781EEE"/>
    <w:rsid w:val="007823EE"/>
    <w:rsid w:val="007829BD"/>
    <w:rsid w:val="00782E55"/>
    <w:rsid w:val="00783D3D"/>
    <w:rsid w:val="00784DEB"/>
    <w:rsid w:val="00785B11"/>
    <w:rsid w:val="00785DFE"/>
    <w:rsid w:val="00785FA5"/>
    <w:rsid w:val="00787C58"/>
    <w:rsid w:val="00792876"/>
    <w:rsid w:val="00792B10"/>
    <w:rsid w:val="00794D5C"/>
    <w:rsid w:val="0079637A"/>
    <w:rsid w:val="00796928"/>
    <w:rsid w:val="007A0275"/>
    <w:rsid w:val="007A0652"/>
    <w:rsid w:val="007A09DA"/>
    <w:rsid w:val="007A0F0A"/>
    <w:rsid w:val="007A3460"/>
    <w:rsid w:val="007A5734"/>
    <w:rsid w:val="007A7CE9"/>
    <w:rsid w:val="007B0BA0"/>
    <w:rsid w:val="007B4C0C"/>
    <w:rsid w:val="007B4E62"/>
    <w:rsid w:val="007B565F"/>
    <w:rsid w:val="007B6C8C"/>
    <w:rsid w:val="007B727D"/>
    <w:rsid w:val="007B76E8"/>
    <w:rsid w:val="007C3982"/>
    <w:rsid w:val="007C44FA"/>
    <w:rsid w:val="007C546C"/>
    <w:rsid w:val="007C5787"/>
    <w:rsid w:val="007C6554"/>
    <w:rsid w:val="007C6D8A"/>
    <w:rsid w:val="007C7E2D"/>
    <w:rsid w:val="007D1B7B"/>
    <w:rsid w:val="007D22EF"/>
    <w:rsid w:val="007D266D"/>
    <w:rsid w:val="007D495A"/>
    <w:rsid w:val="007D4A58"/>
    <w:rsid w:val="007D4B5A"/>
    <w:rsid w:val="007D61CD"/>
    <w:rsid w:val="007E09FA"/>
    <w:rsid w:val="007E1738"/>
    <w:rsid w:val="007E1BA3"/>
    <w:rsid w:val="007E1CB9"/>
    <w:rsid w:val="007E3D5B"/>
    <w:rsid w:val="007E40C6"/>
    <w:rsid w:val="007E473B"/>
    <w:rsid w:val="007E5083"/>
    <w:rsid w:val="007E533F"/>
    <w:rsid w:val="007E6BEB"/>
    <w:rsid w:val="007E6C4B"/>
    <w:rsid w:val="007F0E83"/>
    <w:rsid w:val="007F1F31"/>
    <w:rsid w:val="007F459D"/>
    <w:rsid w:val="007F7E7D"/>
    <w:rsid w:val="007F7EE5"/>
    <w:rsid w:val="0080065B"/>
    <w:rsid w:val="00800A7F"/>
    <w:rsid w:val="00802895"/>
    <w:rsid w:val="008035C4"/>
    <w:rsid w:val="00804567"/>
    <w:rsid w:val="00805424"/>
    <w:rsid w:val="008063D5"/>
    <w:rsid w:val="008069EF"/>
    <w:rsid w:val="0080715A"/>
    <w:rsid w:val="00807572"/>
    <w:rsid w:val="00811526"/>
    <w:rsid w:val="00811576"/>
    <w:rsid w:val="00811703"/>
    <w:rsid w:val="00812B56"/>
    <w:rsid w:val="008160FD"/>
    <w:rsid w:val="0081768F"/>
    <w:rsid w:val="008203C1"/>
    <w:rsid w:val="008209AA"/>
    <w:rsid w:val="00821861"/>
    <w:rsid w:val="00821C0E"/>
    <w:rsid w:val="008220C1"/>
    <w:rsid w:val="00822281"/>
    <w:rsid w:val="00822ECF"/>
    <w:rsid w:val="00823929"/>
    <w:rsid w:val="00824BAC"/>
    <w:rsid w:val="00824E66"/>
    <w:rsid w:val="0082732A"/>
    <w:rsid w:val="008314AC"/>
    <w:rsid w:val="00832E0C"/>
    <w:rsid w:val="00833E8A"/>
    <w:rsid w:val="00836492"/>
    <w:rsid w:val="0083748A"/>
    <w:rsid w:val="0085055C"/>
    <w:rsid w:val="008507B6"/>
    <w:rsid w:val="00850DD0"/>
    <w:rsid w:val="00850FD7"/>
    <w:rsid w:val="00851AD0"/>
    <w:rsid w:val="00851F76"/>
    <w:rsid w:val="00856324"/>
    <w:rsid w:val="00856911"/>
    <w:rsid w:val="00856A50"/>
    <w:rsid w:val="00856D5D"/>
    <w:rsid w:val="00861C94"/>
    <w:rsid w:val="00864E24"/>
    <w:rsid w:val="00865ECE"/>
    <w:rsid w:val="00866A56"/>
    <w:rsid w:val="00871838"/>
    <w:rsid w:val="008729D4"/>
    <w:rsid w:val="00874E36"/>
    <w:rsid w:val="008764B4"/>
    <w:rsid w:val="00881E07"/>
    <w:rsid w:val="008824C7"/>
    <w:rsid w:val="00882783"/>
    <w:rsid w:val="00883A19"/>
    <w:rsid w:val="00884008"/>
    <w:rsid w:val="0088444F"/>
    <w:rsid w:val="00885B9A"/>
    <w:rsid w:val="00886E77"/>
    <w:rsid w:val="00886EF4"/>
    <w:rsid w:val="008955BB"/>
    <w:rsid w:val="00895D1D"/>
    <w:rsid w:val="00895EB8"/>
    <w:rsid w:val="008A035B"/>
    <w:rsid w:val="008A3DA5"/>
    <w:rsid w:val="008A5061"/>
    <w:rsid w:val="008A5644"/>
    <w:rsid w:val="008A5CDC"/>
    <w:rsid w:val="008A6033"/>
    <w:rsid w:val="008A7641"/>
    <w:rsid w:val="008A7A8E"/>
    <w:rsid w:val="008A7BBF"/>
    <w:rsid w:val="008A7D5F"/>
    <w:rsid w:val="008B1B78"/>
    <w:rsid w:val="008B424F"/>
    <w:rsid w:val="008B520F"/>
    <w:rsid w:val="008B5260"/>
    <w:rsid w:val="008B5B66"/>
    <w:rsid w:val="008B6874"/>
    <w:rsid w:val="008B79EF"/>
    <w:rsid w:val="008C0CFE"/>
    <w:rsid w:val="008C1818"/>
    <w:rsid w:val="008C2881"/>
    <w:rsid w:val="008C30B0"/>
    <w:rsid w:val="008C3397"/>
    <w:rsid w:val="008D0AB1"/>
    <w:rsid w:val="008D2C44"/>
    <w:rsid w:val="008D2CDA"/>
    <w:rsid w:val="008D4B79"/>
    <w:rsid w:val="008D5093"/>
    <w:rsid w:val="008D5E13"/>
    <w:rsid w:val="008D7EA6"/>
    <w:rsid w:val="008E0A9A"/>
    <w:rsid w:val="008E2B87"/>
    <w:rsid w:val="008E3062"/>
    <w:rsid w:val="008E4063"/>
    <w:rsid w:val="008E6DEF"/>
    <w:rsid w:val="008E7556"/>
    <w:rsid w:val="008F0160"/>
    <w:rsid w:val="008F0248"/>
    <w:rsid w:val="008F0D44"/>
    <w:rsid w:val="008F1D9D"/>
    <w:rsid w:val="008F29A4"/>
    <w:rsid w:val="008F7087"/>
    <w:rsid w:val="008F75E5"/>
    <w:rsid w:val="0090025B"/>
    <w:rsid w:val="0090026E"/>
    <w:rsid w:val="00904C7A"/>
    <w:rsid w:val="009058B1"/>
    <w:rsid w:val="009058DD"/>
    <w:rsid w:val="00907626"/>
    <w:rsid w:val="00910291"/>
    <w:rsid w:val="00913E27"/>
    <w:rsid w:val="00913FCC"/>
    <w:rsid w:val="00916721"/>
    <w:rsid w:val="009167D3"/>
    <w:rsid w:val="00916909"/>
    <w:rsid w:val="00916FD9"/>
    <w:rsid w:val="00917C42"/>
    <w:rsid w:val="00920BE0"/>
    <w:rsid w:val="00922B4A"/>
    <w:rsid w:val="009230CE"/>
    <w:rsid w:val="009238B8"/>
    <w:rsid w:val="00923F64"/>
    <w:rsid w:val="00924411"/>
    <w:rsid w:val="00924C32"/>
    <w:rsid w:val="009252C8"/>
    <w:rsid w:val="00925758"/>
    <w:rsid w:val="00931218"/>
    <w:rsid w:val="00935EDD"/>
    <w:rsid w:val="00936EF3"/>
    <w:rsid w:val="00937009"/>
    <w:rsid w:val="00937085"/>
    <w:rsid w:val="00937BA9"/>
    <w:rsid w:val="00941A3D"/>
    <w:rsid w:val="00942657"/>
    <w:rsid w:val="00943BDE"/>
    <w:rsid w:val="00944418"/>
    <w:rsid w:val="009507B7"/>
    <w:rsid w:val="009507E9"/>
    <w:rsid w:val="00951052"/>
    <w:rsid w:val="00951896"/>
    <w:rsid w:val="00951D30"/>
    <w:rsid w:val="00951D32"/>
    <w:rsid w:val="009523CD"/>
    <w:rsid w:val="00953669"/>
    <w:rsid w:val="00953D14"/>
    <w:rsid w:val="00953EC3"/>
    <w:rsid w:val="00957164"/>
    <w:rsid w:val="00960843"/>
    <w:rsid w:val="00960C95"/>
    <w:rsid w:val="00960CF3"/>
    <w:rsid w:val="00963D02"/>
    <w:rsid w:val="00964CE6"/>
    <w:rsid w:val="00964DB4"/>
    <w:rsid w:val="00966BD3"/>
    <w:rsid w:val="0097046E"/>
    <w:rsid w:val="009711BC"/>
    <w:rsid w:val="0097186C"/>
    <w:rsid w:val="0097198E"/>
    <w:rsid w:val="0097339E"/>
    <w:rsid w:val="00973A52"/>
    <w:rsid w:val="00974C08"/>
    <w:rsid w:val="009756E2"/>
    <w:rsid w:val="00975787"/>
    <w:rsid w:val="009760BA"/>
    <w:rsid w:val="009810A3"/>
    <w:rsid w:val="0098148F"/>
    <w:rsid w:val="0098197E"/>
    <w:rsid w:val="0098376E"/>
    <w:rsid w:val="009856AD"/>
    <w:rsid w:val="00985A3C"/>
    <w:rsid w:val="00986396"/>
    <w:rsid w:val="00986CF3"/>
    <w:rsid w:val="00986ED5"/>
    <w:rsid w:val="00987A0E"/>
    <w:rsid w:val="00990522"/>
    <w:rsid w:val="00991621"/>
    <w:rsid w:val="009917BC"/>
    <w:rsid w:val="00991C60"/>
    <w:rsid w:val="00991C88"/>
    <w:rsid w:val="00991EDC"/>
    <w:rsid w:val="00991FBB"/>
    <w:rsid w:val="0099256C"/>
    <w:rsid w:val="00992D4C"/>
    <w:rsid w:val="009932E5"/>
    <w:rsid w:val="00994025"/>
    <w:rsid w:val="0099483C"/>
    <w:rsid w:val="00994BEE"/>
    <w:rsid w:val="00996E98"/>
    <w:rsid w:val="009A01FF"/>
    <w:rsid w:val="009A10F1"/>
    <w:rsid w:val="009A1148"/>
    <w:rsid w:val="009A11C7"/>
    <w:rsid w:val="009A282C"/>
    <w:rsid w:val="009A46EA"/>
    <w:rsid w:val="009A4A79"/>
    <w:rsid w:val="009A4DB9"/>
    <w:rsid w:val="009A7245"/>
    <w:rsid w:val="009B0FEC"/>
    <w:rsid w:val="009B2EDE"/>
    <w:rsid w:val="009B3E98"/>
    <w:rsid w:val="009B3ECA"/>
    <w:rsid w:val="009B583F"/>
    <w:rsid w:val="009C0799"/>
    <w:rsid w:val="009C1677"/>
    <w:rsid w:val="009C1EF2"/>
    <w:rsid w:val="009C26CF"/>
    <w:rsid w:val="009C3407"/>
    <w:rsid w:val="009C3565"/>
    <w:rsid w:val="009C5645"/>
    <w:rsid w:val="009C5DBA"/>
    <w:rsid w:val="009C72F2"/>
    <w:rsid w:val="009D1B7E"/>
    <w:rsid w:val="009D2F51"/>
    <w:rsid w:val="009D5B26"/>
    <w:rsid w:val="009D5C40"/>
    <w:rsid w:val="009D7788"/>
    <w:rsid w:val="009E15D6"/>
    <w:rsid w:val="009E2C7E"/>
    <w:rsid w:val="009E3A01"/>
    <w:rsid w:val="009E4781"/>
    <w:rsid w:val="009E4F69"/>
    <w:rsid w:val="009E673D"/>
    <w:rsid w:val="009E6F21"/>
    <w:rsid w:val="009F10AB"/>
    <w:rsid w:val="009F4CAC"/>
    <w:rsid w:val="009F57C5"/>
    <w:rsid w:val="00A00A7E"/>
    <w:rsid w:val="00A01029"/>
    <w:rsid w:val="00A01D6A"/>
    <w:rsid w:val="00A022DA"/>
    <w:rsid w:val="00A0281A"/>
    <w:rsid w:val="00A028ED"/>
    <w:rsid w:val="00A02D4E"/>
    <w:rsid w:val="00A030DE"/>
    <w:rsid w:val="00A03140"/>
    <w:rsid w:val="00A03372"/>
    <w:rsid w:val="00A03E5B"/>
    <w:rsid w:val="00A04CDD"/>
    <w:rsid w:val="00A053DF"/>
    <w:rsid w:val="00A06CAF"/>
    <w:rsid w:val="00A107B6"/>
    <w:rsid w:val="00A11191"/>
    <w:rsid w:val="00A122F5"/>
    <w:rsid w:val="00A171EF"/>
    <w:rsid w:val="00A17FA7"/>
    <w:rsid w:val="00A17FBE"/>
    <w:rsid w:val="00A20366"/>
    <w:rsid w:val="00A24A2C"/>
    <w:rsid w:val="00A2507C"/>
    <w:rsid w:val="00A2616B"/>
    <w:rsid w:val="00A26EFE"/>
    <w:rsid w:val="00A27C06"/>
    <w:rsid w:val="00A27D94"/>
    <w:rsid w:val="00A27DB8"/>
    <w:rsid w:val="00A30B56"/>
    <w:rsid w:val="00A31DAB"/>
    <w:rsid w:val="00A322D8"/>
    <w:rsid w:val="00A32A8E"/>
    <w:rsid w:val="00A402AA"/>
    <w:rsid w:val="00A437BF"/>
    <w:rsid w:val="00A4381A"/>
    <w:rsid w:val="00A4467C"/>
    <w:rsid w:val="00A447FD"/>
    <w:rsid w:val="00A448D9"/>
    <w:rsid w:val="00A46837"/>
    <w:rsid w:val="00A47706"/>
    <w:rsid w:val="00A5110E"/>
    <w:rsid w:val="00A521B9"/>
    <w:rsid w:val="00A527D0"/>
    <w:rsid w:val="00A53499"/>
    <w:rsid w:val="00A53938"/>
    <w:rsid w:val="00A560D4"/>
    <w:rsid w:val="00A56F54"/>
    <w:rsid w:val="00A638EE"/>
    <w:rsid w:val="00A648A5"/>
    <w:rsid w:val="00A64AEE"/>
    <w:rsid w:val="00A65736"/>
    <w:rsid w:val="00A668D1"/>
    <w:rsid w:val="00A672AE"/>
    <w:rsid w:val="00A67477"/>
    <w:rsid w:val="00A67A25"/>
    <w:rsid w:val="00A72141"/>
    <w:rsid w:val="00A73A17"/>
    <w:rsid w:val="00A74F6A"/>
    <w:rsid w:val="00A75019"/>
    <w:rsid w:val="00A753DA"/>
    <w:rsid w:val="00A8250F"/>
    <w:rsid w:val="00A82DA9"/>
    <w:rsid w:val="00A83119"/>
    <w:rsid w:val="00A85DBE"/>
    <w:rsid w:val="00A867E7"/>
    <w:rsid w:val="00A90C3B"/>
    <w:rsid w:val="00A922DE"/>
    <w:rsid w:val="00A92E0B"/>
    <w:rsid w:val="00A93CAF"/>
    <w:rsid w:val="00A94C27"/>
    <w:rsid w:val="00A95879"/>
    <w:rsid w:val="00A96279"/>
    <w:rsid w:val="00A96861"/>
    <w:rsid w:val="00A96B89"/>
    <w:rsid w:val="00A971A0"/>
    <w:rsid w:val="00A97640"/>
    <w:rsid w:val="00AA00A6"/>
    <w:rsid w:val="00AA368B"/>
    <w:rsid w:val="00AA5609"/>
    <w:rsid w:val="00AA7EF7"/>
    <w:rsid w:val="00AB0385"/>
    <w:rsid w:val="00AB0CA8"/>
    <w:rsid w:val="00AB2E0A"/>
    <w:rsid w:val="00AB3502"/>
    <w:rsid w:val="00AB3704"/>
    <w:rsid w:val="00AB3C98"/>
    <w:rsid w:val="00AB3DE2"/>
    <w:rsid w:val="00AB47D1"/>
    <w:rsid w:val="00AB5682"/>
    <w:rsid w:val="00AB6F95"/>
    <w:rsid w:val="00AB7D4F"/>
    <w:rsid w:val="00AC0268"/>
    <w:rsid w:val="00AC1BEA"/>
    <w:rsid w:val="00AC1CFB"/>
    <w:rsid w:val="00AC2385"/>
    <w:rsid w:val="00AC487E"/>
    <w:rsid w:val="00AC4ECC"/>
    <w:rsid w:val="00AC5410"/>
    <w:rsid w:val="00AC68AA"/>
    <w:rsid w:val="00AC6A70"/>
    <w:rsid w:val="00AC7C98"/>
    <w:rsid w:val="00AD1700"/>
    <w:rsid w:val="00AD29CB"/>
    <w:rsid w:val="00AD2E14"/>
    <w:rsid w:val="00AD5017"/>
    <w:rsid w:val="00AE03FA"/>
    <w:rsid w:val="00AE0C8F"/>
    <w:rsid w:val="00AE2C4D"/>
    <w:rsid w:val="00AE2FF1"/>
    <w:rsid w:val="00AE6A9B"/>
    <w:rsid w:val="00AE6CA6"/>
    <w:rsid w:val="00AF1216"/>
    <w:rsid w:val="00AF2996"/>
    <w:rsid w:val="00AF4B22"/>
    <w:rsid w:val="00AF594B"/>
    <w:rsid w:val="00AF5EB1"/>
    <w:rsid w:val="00AF63AC"/>
    <w:rsid w:val="00AF6519"/>
    <w:rsid w:val="00AF7378"/>
    <w:rsid w:val="00AF7A53"/>
    <w:rsid w:val="00B01227"/>
    <w:rsid w:val="00B016EC"/>
    <w:rsid w:val="00B02465"/>
    <w:rsid w:val="00B027ED"/>
    <w:rsid w:val="00B02945"/>
    <w:rsid w:val="00B04062"/>
    <w:rsid w:val="00B04857"/>
    <w:rsid w:val="00B04983"/>
    <w:rsid w:val="00B04A24"/>
    <w:rsid w:val="00B057B2"/>
    <w:rsid w:val="00B10058"/>
    <w:rsid w:val="00B1298A"/>
    <w:rsid w:val="00B1336A"/>
    <w:rsid w:val="00B138CD"/>
    <w:rsid w:val="00B14C20"/>
    <w:rsid w:val="00B15CB1"/>
    <w:rsid w:val="00B16EE1"/>
    <w:rsid w:val="00B17CF0"/>
    <w:rsid w:val="00B212C8"/>
    <w:rsid w:val="00B23884"/>
    <w:rsid w:val="00B24CAC"/>
    <w:rsid w:val="00B24DDA"/>
    <w:rsid w:val="00B26003"/>
    <w:rsid w:val="00B30D81"/>
    <w:rsid w:val="00B32C98"/>
    <w:rsid w:val="00B372F1"/>
    <w:rsid w:val="00B37A15"/>
    <w:rsid w:val="00B40618"/>
    <w:rsid w:val="00B42005"/>
    <w:rsid w:val="00B428AD"/>
    <w:rsid w:val="00B43774"/>
    <w:rsid w:val="00B448CF"/>
    <w:rsid w:val="00B44E95"/>
    <w:rsid w:val="00B4645D"/>
    <w:rsid w:val="00B503C2"/>
    <w:rsid w:val="00B5064C"/>
    <w:rsid w:val="00B51BF1"/>
    <w:rsid w:val="00B52849"/>
    <w:rsid w:val="00B52E6C"/>
    <w:rsid w:val="00B5316E"/>
    <w:rsid w:val="00B54005"/>
    <w:rsid w:val="00B54988"/>
    <w:rsid w:val="00B54C18"/>
    <w:rsid w:val="00B55124"/>
    <w:rsid w:val="00B55E28"/>
    <w:rsid w:val="00B567EC"/>
    <w:rsid w:val="00B568C5"/>
    <w:rsid w:val="00B6173A"/>
    <w:rsid w:val="00B62EA7"/>
    <w:rsid w:val="00B64558"/>
    <w:rsid w:val="00B64E24"/>
    <w:rsid w:val="00B655D9"/>
    <w:rsid w:val="00B709EE"/>
    <w:rsid w:val="00B72165"/>
    <w:rsid w:val="00B72AB0"/>
    <w:rsid w:val="00B730F9"/>
    <w:rsid w:val="00B758A1"/>
    <w:rsid w:val="00B76835"/>
    <w:rsid w:val="00B811D4"/>
    <w:rsid w:val="00B81841"/>
    <w:rsid w:val="00B842D9"/>
    <w:rsid w:val="00B84E99"/>
    <w:rsid w:val="00B904E7"/>
    <w:rsid w:val="00B90E72"/>
    <w:rsid w:val="00B92B5B"/>
    <w:rsid w:val="00B93A2A"/>
    <w:rsid w:val="00B94531"/>
    <w:rsid w:val="00B9514B"/>
    <w:rsid w:val="00B95A41"/>
    <w:rsid w:val="00B95ABF"/>
    <w:rsid w:val="00BA1E93"/>
    <w:rsid w:val="00BA2622"/>
    <w:rsid w:val="00BA37B1"/>
    <w:rsid w:val="00BA38BE"/>
    <w:rsid w:val="00BA4F13"/>
    <w:rsid w:val="00BA63E3"/>
    <w:rsid w:val="00BA67D6"/>
    <w:rsid w:val="00BA7C55"/>
    <w:rsid w:val="00BB08FD"/>
    <w:rsid w:val="00BB0E6F"/>
    <w:rsid w:val="00BB1AD4"/>
    <w:rsid w:val="00BB1B53"/>
    <w:rsid w:val="00BB6225"/>
    <w:rsid w:val="00BB6227"/>
    <w:rsid w:val="00BB7197"/>
    <w:rsid w:val="00BB7FA9"/>
    <w:rsid w:val="00BC0E1F"/>
    <w:rsid w:val="00BC12CC"/>
    <w:rsid w:val="00BC25C9"/>
    <w:rsid w:val="00BC41C8"/>
    <w:rsid w:val="00BC5E50"/>
    <w:rsid w:val="00BC7744"/>
    <w:rsid w:val="00BD12E4"/>
    <w:rsid w:val="00BD19DB"/>
    <w:rsid w:val="00BD220B"/>
    <w:rsid w:val="00BD24AA"/>
    <w:rsid w:val="00BD6263"/>
    <w:rsid w:val="00BD6DDE"/>
    <w:rsid w:val="00BD6F54"/>
    <w:rsid w:val="00BD7619"/>
    <w:rsid w:val="00BE0CE5"/>
    <w:rsid w:val="00BE100B"/>
    <w:rsid w:val="00BE1995"/>
    <w:rsid w:val="00BE5C4A"/>
    <w:rsid w:val="00BE61C2"/>
    <w:rsid w:val="00BE6213"/>
    <w:rsid w:val="00BE7CC0"/>
    <w:rsid w:val="00BE7E10"/>
    <w:rsid w:val="00BF03C3"/>
    <w:rsid w:val="00BF0426"/>
    <w:rsid w:val="00BF109B"/>
    <w:rsid w:val="00BF4586"/>
    <w:rsid w:val="00BF5A2C"/>
    <w:rsid w:val="00BF63B2"/>
    <w:rsid w:val="00BF6963"/>
    <w:rsid w:val="00BF6D82"/>
    <w:rsid w:val="00BF7A8E"/>
    <w:rsid w:val="00C008BF"/>
    <w:rsid w:val="00C03B3C"/>
    <w:rsid w:val="00C0505D"/>
    <w:rsid w:val="00C057F4"/>
    <w:rsid w:val="00C064D2"/>
    <w:rsid w:val="00C07171"/>
    <w:rsid w:val="00C11A49"/>
    <w:rsid w:val="00C12066"/>
    <w:rsid w:val="00C132FE"/>
    <w:rsid w:val="00C13600"/>
    <w:rsid w:val="00C15B42"/>
    <w:rsid w:val="00C20E84"/>
    <w:rsid w:val="00C2154B"/>
    <w:rsid w:val="00C23D2D"/>
    <w:rsid w:val="00C25735"/>
    <w:rsid w:val="00C259BD"/>
    <w:rsid w:val="00C313B7"/>
    <w:rsid w:val="00C33473"/>
    <w:rsid w:val="00C33F5C"/>
    <w:rsid w:val="00C34EF4"/>
    <w:rsid w:val="00C36028"/>
    <w:rsid w:val="00C36E8A"/>
    <w:rsid w:val="00C37305"/>
    <w:rsid w:val="00C41546"/>
    <w:rsid w:val="00C41F42"/>
    <w:rsid w:val="00C455AA"/>
    <w:rsid w:val="00C458AD"/>
    <w:rsid w:val="00C45BA0"/>
    <w:rsid w:val="00C45BF3"/>
    <w:rsid w:val="00C46AB8"/>
    <w:rsid w:val="00C47364"/>
    <w:rsid w:val="00C473A2"/>
    <w:rsid w:val="00C50C5D"/>
    <w:rsid w:val="00C51495"/>
    <w:rsid w:val="00C51D4B"/>
    <w:rsid w:val="00C53F28"/>
    <w:rsid w:val="00C540BE"/>
    <w:rsid w:val="00C54635"/>
    <w:rsid w:val="00C57953"/>
    <w:rsid w:val="00C57989"/>
    <w:rsid w:val="00C6074A"/>
    <w:rsid w:val="00C607A1"/>
    <w:rsid w:val="00C61AF7"/>
    <w:rsid w:val="00C61CCD"/>
    <w:rsid w:val="00C62885"/>
    <w:rsid w:val="00C66457"/>
    <w:rsid w:val="00C67AAB"/>
    <w:rsid w:val="00C70BF0"/>
    <w:rsid w:val="00C71F65"/>
    <w:rsid w:val="00C72ACD"/>
    <w:rsid w:val="00C753B8"/>
    <w:rsid w:val="00C764A6"/>
    <w:rsid w:val="00C76651"/>
    <w:rsid w:val="00C80CDA"/>
    <w:rsid w:val="00C81403"/>
    <w:rsid w:val="00C848F1"/>
    <w:rsid w:val="00C8624C"/>
    <w:rsid w:val="00C87D2B"/>
    <w:rsid w:val="00C90632"/>
    <w:rsid w:val="00C91952"/>
    <w:rsid w:val="00C94ABE"/>
    <w:rsid w:val="00C96D21"/>
    <w:rsid w:val="00CA3EFB"/>
    <w:rsid w:val="00CA6ACE"/>
    <w:rsid w:val="00CB188B"/>
    <w:rsid w:val="00CB49BC"/>
    <w:rsid w:val="00CB6BCF"/>
    <w:rsid w:val="00CB7FB8"/>
    <w:rsid w:val="00CC1547"/>
    <w:rsid w:val="00CC25EE"/>
    <w:rsid w:val="00CC366C"/>
    <w:rsid w:val="00CC52A9"/>
    <w:rsid w:val="00CC5738"/>
    <w:rsid w:val="00CC621C"/>
    <w:rsid w:val="00CD1248"/>
    <w:rsid w:val="00CD3F77"/>
    <w:rsid w:val="00CD43F2"/>
    <w:rsid w:val="00CE1688"/>
    <w:rsid w:val="00CE2E7A"/>
    <w:rsid w:val="00CE3107"/>
    <w:rsid w:val="00CE324D"/>
    <w:rsid w:val="00CE34EB"/>
    <w:rsid w:val="00CE4E5F"/>
    <w:rsid w:val="00CE7361"/>
    <w:rsid w:val="00CE7FE3"/>
    <w:rsid w:val="00CF08C9"/>
    <w:rsid w:val="00CF194F"/>
    <w:rsid w:val="00CF2B15"/>
    <w:rsid w:val="00CF2B58"/>
    <w:rsid w:val="00CF33F6"/>
    <w:rsid w:val="00CF4E6F"/>
    <w:rsid w:val="00CF625E"/>
    <w:rsid w:val="00CF6844"/>
    <w:rsid w:val="00CF7312"/>
    <w:rsid w:val="00CF7CCB"/>
    <w:rsid w:val="00CF7FAB"/>
    <w:rsid w:val="00D02383"/>
    <w:rsid w:val="00D02785"/>
    <w:rsid w:val="00D02CB5"/>
    <w:rsid w:val="00D02D9B"/>
    <w:rsid w:val="00D03026"/>
    <w:rsid w:val="00D04C7F"/>
    <w:rsid w:val="00D052CE"/>
    <w:rsid w:val="00D06C08"/>
    <w:rsid w:val="00D126A7"/>
    <w:rsid w:val="00D142E2"/>
    <w:rsid w:val="00D1670E"/>
    <w:rsid w:val="00D1692B"/>
    <w:rsid w:val="00D16DAE"/>
    <w:rsid w:val="00D17AA0"/>
    <w:rsid w:val="00D2046C"/>
    <w:rsid w:val="00D230A6"/>
    <w:rsid w:val="00D23A3D"/>
    <w:rsid w:val="00D23F53"/>
    <w:rsid w:val="00D24800"/>
    <w:rsid w:val="00D24ECF"/>
    <w:rsid w:val="00D2562F"/>
    <w:rsid w:val="00D25C62"/>
    <w:rsid w:val="00D26574"/>
    <w:rsid w:val="00D26994"/>
    <w:rsid w:val="00D271E3"/>
    <w:rsid w:val="00D30FA8"/>
    <w:rsid w:val="00D32EA3"/>
    <w:rsid w:val="00D3535C"/>
    <w:rsid w:val="00D35501"/>
    <w:rsid w:val="00D36612"/>
    <w:rsid w:val="00D3670C"/>
    <w:rsid w:val="00D37727"/>
    <w:rsid w:val="00D37D1E"/>
    <w:rsid w:val="00D403E9"/>
    <w:rsid w:val="00D42315"/>
    <w:rsid w:val="00D429DA"/>
    <w:rsid w:val="00D458C5"/>
    <w:rsid w:val="00D564E2"/>
    <w:rsid w:val="00D57ABD"/>
    <w:rsid w:val="00D6160E"/>
    <w:rsid w:val="00D7124A"/>
    <w:rsid w:val="00D71A3A"/>
    <w:rsid w:val="00D71DCA"/>
    <w:rsid w:val="00D73F1B"/>
    <w:rsid w:val="00D76181"/>
    <w:rsid w:val="00D762E9"/>
    <w:rsid w:val="00D81651"/>
    <w:rsid w:val="00D81B97"/>
    <w:rsid w:val="00D82F2F"/>
    <w:rsid w:val="00D84112"/>
    <w:rsid w:val="00D84E2F"/>
    <w:rsid w:val="00D86C0B"/>
    <w:rsid w:val="00D87193"/>
    <w:rsid w:val="00D87433"/>
    <w:rsid w:val="00D87F05"/>
    <w:rsid w:val="00D90E3B"/>
    <w:rsid w:val="00D929F1"/>
    <w:rsid w:val="00D94DC7"/>
    <w:rsid w:val="00D966C4"/>
    <w:rsid w:val="00D97C79"/>
    <w:rsid w:val="00DA005C"/>
    <w:rsid w:val="00DA3084"/>
    <w:rsid w:val="00DA3A7C"/>
    <w:rsid w:val="00DA5470"/>
    <w:rsid w:val="00DA65A7"/>
    <w:rsid w:val="00DA72F0"/>
    <w:rsid w:val="00DA78FD"/>
    <w:rsid w:val="00DB01DE"/>
    <w:rsid w:val="00DB0249"/>
    <w:rsid w:val="00DB024C"/>
    <w:rsid w:val="00DB11E3"/>
    <w:rsid w:val="00DB298D"/>
    <w:rsid w:val="00DB33AC"/>
    <w:rsid w:val="00DB395A"/>
    <w:rsid w:val="00DB63F7"/>
    <w:rsid w:val="00DB77EA"/>
    <w:rsid w:val="00DB79C6"/>
    <w:rsid w:val="00DC1235"/>
    <w:rsid w:val="00DC293D"/>
    <w:rsid w:val="00DC2B59"/>
    <w:rsid w:val="00DC3BE7"/>
    <w:rsid w:val="00DC62DF"/>
    <w:rsid w:val="00DC6AA2"/>
    <w:rsid w:val="00DD0296"/>
    <w:rsid w:val="00DD1458"/>
    <w:rsid w:val="00DD1D70"/>
    <w:rsid w:val="00DD2F96"/>
    <w:rsid w:val="00DD32C9"/>
    <w:rsid w:val="00DD45E8"/>
    <w:rsid w:val="00DD51E8"/>
    <w:rsid w:val="00DD72AB"/>
    <w:rsid w:val="00DE00B8"/>
    <w:rsid w:val="00DE0403"/>
    <w:rsid w:val="00DE04E1"/>
    <w:rsid w:val="00DE3971"/>
    <w:rsid w:val="00DE4F2A"/>
    <w:rsid w:val="00DE57DF"/>
    <w:rsid w:val="00DE6AE4"/>
    <w:rsid w:val="00DF1404"/>
    <w:rsid w:val="00DF301F"/>
    <w:rsid w:val="00DF59A6"/>
    <w:rsid w:val="00DF6651"/>
    <w:rsid w:val="00DF6B99"/>
    <w:rsid w:val="00E00F85"/>
    <w:rsid w:val="00E039A0"/>
    <w:rsid w:val="00E03B00"/>
    <w:rsid w:val="00E07B30"/>
    <w:rsid w:val="00E13160"/>
    <w:rsid w:val="00E14ED2"/>
    <w:rsid w:val="00E16A22"/>
    <w:rsid w:val="00E20513"/>
    <w:rsid w:val="00E25520"/>
    <w:rsid w:val="00E2675F"/>
    <w:rsid w:val="00E26D07"/>
    <w:rsid w:val="00E32967"/>
    <w:rsid w:val="00E3323E"/>
    <w:rsid w:val="00E33785"/>
    <w:rsid w:val="00E338B9"/>
    <w:rsid w:val="00E342D0"/>
    <w:rsid w:val="00E34D4A"/>
    <w:rsid w:val="00E3592B"/>
    <w:rsid w:val="00E365D5"/>
    <w:rsid w:val="00E3724B"/>
    <w:rsid w:val="00E40F01"/>
    <w:rsid w:val="00E41937"/>
    <w:rsid w:val="00E45E43"/>
    <w:rsid w:val="00E4764D"/>
    <w:rsid w:val="00E51DD2"/>
    <w:rsid w:val="00E533FA"/>
    <w:rsid w:val="00E536D0"/>
    <w:rsid w:val="00E5390E"/>
    <w:rsid w:val="00E53A40"/>
    <w:rsid w:val="00E5412A"/>
    <w:rsid w:val="00E5420C"/>
    <w:rsid w:val="00E61C58"/>
    <w:rsid w:val="00E61EAF"/>
    <w:rsid w:val="00E6330D"/>
    <w:rsid w:val="00E640D1"/>
    <w:rsid w:val="00E649DA"/>
    <w:rsid w:val="00E657BF"/>
    <w:rsid w:val="00E72C2A"/>
    <w:rsid w:val="00E736EA"/>
    <w:rsid w:val="00E74EF4"/>
    <w:rsid w:val="00E805A2"/>
    <w:rsid w:val="00E861A3"/>
    <w:rsid w:val="00E862A9"/>
    <w:rsid w:val="00E8645D"/>
    <w:rsid w:val="00E918AF"/>
    <w:rsid w:val="00E91FBB"/>
    <w:rsid w:val="00E922E5"/>
    <w:rsid w:val="00E930E6"/>
    <w:rsid w:val="00E9393A"/>
    <w:rsid w:val="00E96A82"/>
    <w:rsid w:val="00EA03AA"/>
    <w:rsid w:val="00EA0B42"/>
    <w:rsid w:val="00EA23C9"/>
    <w:rsid w:val="00EA2C6B"/>
    <w:rsid w:val="00EA2FC2"/>
    <w:rsid w:val="00EA47A3"/>
    <w:rsid w:val="00EA61DB"/>
    <w:rsid w:val="00EA6E67"/>
    <w:rsid w:val="00EB1063"/>
    <w:rsid w:val="00EB2977"/>
    <w:rsid w:val="00EB3877"/>
    <w:rsid w:val="00EB403F"/>
    <w:rsid w:val="00EB475B"/>
    <w:rsid w:val="00EB4CC3"/>
    <w:rsid w:val="00EB5948"/>
    <w:rsid w:val="00EB5D45"/>
    <w:rsid w:val="00EB5EFC"/>
    <w:rsid w:val="00EB5FEA"/>
    <w:rsid w:val="00EB6DE0"/>
    <w:rsid w:val="00EB6E73"/>
    <w:rsid w:val="00EC0BE2"/>
    <w:rsid w:val="00EC1F5C"/>
    <w:rsid w:val="00EC3161"/>
    <w:rsid w:val="00EC6102"/>
    <w:rsid w:val="00EC76DA"/>
    <w:rsid w:val="00ED056A"/>
    <w:rsid w:val="00ED0FC7"/>
    <w:rsid w:val="00ED15FD"/>
    <w:rsid w:val="00ED1EE7"/>
    <w:rsid w:val="00ED381B"/>
    <w:rsid w:val="00ED674C"/>
    <w:rsid w:val="00ED7BEE"/>
    <w:rsid w:val="00ED7F7C"/>
    <w:rsid w:val="00EE2908"/>
    <w:rsid w:val="00EE30D5"/>
    <w:rsid w:val="00EE3779"/>
    <w:rsid w:val="00EE48A7"/>
    <w:rsid w:val="00EE5935"/>
    <w:rsid w:val="00EE6EBB"/>
    <w:rsid w:val="00EF04AE"/>
    <w:rsid w:val="00EF329F"/>
    <w:rsid w:val="00EF46F9"/>
    <w:rsid w:val="00EF53EA"/>
    <w:rsid w:val="00EF6C3A"/>
    <w:rsid w:val="00EF793F"/>
    <w:rsid w:val="00EF7BC9"/>
    <w:rsid w:val="00EF7FDF"/>
    <w:rsid w:val="00F01990"/>
    <w:rsid w:val="00F01C8A"/>
    <w:rsid w:val="00F02D03"/>
    <w:rsid w:val="00F03D99"/>
    <w:rsid w:val="00F057BF"/>
    <w:rsid w:val="00F111B7"/>
    <w:rsid w:val="00F12161"/>
    <w:rsid w:val="00F12E0C"/>
    <w:rsid w:val="00F13763"/>
    <w:rsid w:val="00F14873"/>
    <w:rsid w:val="00F16827"/>
    <w:rsid w:val="00F17855"/>
    <w:rsid w:val="00F20532"/>
    <w:rsid w:val="00F21266"/>
    <w:rsid w:val="00F240B8"/>
    <w:rsid w:val="00F274F6"/>
    <w:rsid w:val="00F310CE"/>
    <w:rsid w:val="00F314E4"/>
    <w:rsid w:val="00F317DC"/>
    <w:rsid w:val="00F3488D"/>
    <w:rsid w:val="00F363FE"/>
    <w:rsid w:val="00F37CE3"/>
    <w:rsid w:val="00F4301F"/>
    <w:rsid w:val="00F43F25"/>
    <w:rsid w:val="00F4444A"/>
    <w:rsid w:val="00F44D5E"/>
    <w:rsid w:val="00F4535C"/>
    <w:rsid w:val="00F46231"/>
    <w:rsid w:val="00F46AB8"/>
    <w:rsid w:val="00F46E3D"/>
    <w:rsid w:val="00F50602"/>
    <w:rsid w:val="00F50F8F"/>
    <w:rsid w:val="00F5228F"/>
    <w:rsid w:val="00F53663"/>
    <w:rsid w:val="00F53EBD"/>
    <w:rsid w:val="00F5461D"/>
    <w:rsid w:val="00F56B72"/>
    <w:rsid w:val="00F6096E"/>
    <w:rsid w:val="00F6196C"/>
    <w:rsid w:val="00F61BB5"/>
    <w:rsid w:val="00F63FE3"/>
    <w:rsid w:val="00F646A4"/>
    <w:rsid w:val="00F64A3E"/>
    <w:rsid w:val="00F65095"/>
    <w:rsid w:val="00F657BD"/>
    <w:rsid w:val="00F666F0"/>
    <w:rsid w:val="00F67528"/>
    <w:rsid w:val="00F6753C"/>
    <w:rsid w:val="00F70882"/>
    <w:rsid w:val="00F70B1D"/>
    <w:rsid w:val="00F718B5"/>
    <w:rsid w:val="00F74442"/>
    <w:rsid w:val="00F75017"/>
    <w:rsid w:val="00F770DC"/>
    <w:rsid w:val="00F77256"/>
    <w:rsid w:val="00F77BE6"/>
    <w:rsid w:val="00F81408"/>
    <w:rsid w:val="00F8207A"/>
    <w:rsid w:val="00F83935"/>
    <w:rsid w:val="00F84162"/>
    <w:rsid w:val="00F8547F"/>
    <w:rsid w:val="00F86207"/>
    <w:rsid w:val="00F906DD"/>
    <w:rsid w:val="00F91758"/>
    <w:rsid w:val="00F9436A"/>
    <w:rsid w:val="00F9563C"/>
    <w:rsid w:val="00F963FF"/>
    <w:rsid w:val="00F97B4C"/>
    <w:rsid w:val="00FA16F4"/>
    <w:rsid w:val="00FA2CA1"/>
    <w:rsid w:val="00FA2D3C"/>
    <w:rsid w:val="00FA5230"/>
    <w:rsid w:val="00FA7B4E"/>
    <w:rsid w:val="00FB19A7"/>
    <w:rsid w:val="00FB1A99"/>
    <w:rsid w:val="00FB203F"/>
    <w:rsid w:val="00FB22F7"/>
    <w:rsid w:val="00FB2CF8"/>
    <w:rsid w:val="00FB5D3F"/>
    <w:rsid w:val="00FC0FE4"/>
    <w:rsid w:val="00FC17AA"/>
    <w:rsid w:val="00FC1B8B"/>
    <w:rsid w:val="00FC3A6C"/>
    <w:rsid w:val="00FC44DC"/>
    <w:rsid w:val="00FC5279"/>
    <w:rsid w:val="00FC53FB"/>
    <w:rsid w:val="00FC6069"/>
    <w:rsid w:val="00FC6818"/>
    <w:rsid w:val="00FC6E2C"/>
    <w:rsid w:val="00FC78F4"/>
    <w:rsid w:val="00FD1DDA"/>
    <w:rsid w:val="00FD33B4"/>
    <w:rsid w:val="00FD3857"/>
    <w:rsid w:val="00FD3BDF"/>
    <w:rsid w:val="00FD4C8C"/>
    <w:rsid w:val="00FD6937"/>
    <w:rsid w:val="00FD79E9"/>
    <w:rsid w:val="00FE0778"/>
    <w:rsid w:val="00FE077A"/>
    <w:rsid w:val="00FE1DA6"/>
    <w:rsid w:val="00FE27E7"/>
    <w:rsid w:val="00FE3DC8"/>
    <w:rsid w:val="00FE4924"/>
    <w:rsid w:val="00FE4AEC"/>
    <w:rsid w:val="00FE5451"/>
    <w:rsid w:val="00FE65A2"/>
    <w:rsid w:val="00FE6979"/>
    <w:rsid w:val="00FF6261"/>
    <w:rsid w:val="00FF72C0"/>
    <w:rsid w:val="0C755F5B"/>
    <w:rsid w:val="2A0D42E9"/>
    <w:rsid w:val="5B91B2BD"/>
    <w:rsid w:val="7419ABF7"/>
    <w:rsid w:val="768708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E7C91"/>
  <w15:docId w15:val="{B7087D19-6CE3-44CE-94CD-57F5A3FC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pPr>
      <w:spacing w:before="160" w:line="336" w:lineRule="auto"/>
    </w:pPr>
    <w:rPr>
      <w:lang w:val="en-AU"/>
    </w:r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A447FD"/>
    <w:pPr>
      <w:ind w:left="568" w:hanging="284"/>
    </w:pPr>
    <w:rPr>
      <w:b w:val="0"/>
      <w:noProof/>
    </w:rPr>
  </w:style>
  <w:style w:type="paragraph" w:styleId="TOC1">
    <w:name w:val="toc 1"/>
    <w:basedOn w:val="Normal"/>
    <w:next w:val="Normal"/>
    <w:autoRedefine/>
    <w:uiPriority w:val="39"/>
    <w:rsid w:val="00A447FD"/>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semiHidden/>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A447FD"/>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FC6818"/>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FC6818"/>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table" w:customStyle="1" w:styleId="TableGrid1">
    <w:name w:val="Table Grid1"/>
    <w:basedOn w:val="TableNormal"/>
    <w:next w:val="TableGrid"/>
    <w:uiPriority w:val="39"/>
    <w:rsid w:val="001F6B51"/>
    <w:pPr>
      <w:spacing w:after="0" w:line="240" w:lineRule="auto"/>
    </w:pPr>
    <w:tblPr>
      <w:tblStyleRowBandSize w:val="1"/>
      <w:tblBorders>
        <w:insideH w:val="single" w:sz="8" w:space="0" w:color="FFFFFF"/>
      </w:tblBorders>
      <w:tblCellMar>
        <w:top w:w="85" w:type="dxa"/>
        <w:left w:w="85" w:type="dxa"/>
        <w:bottom w:w="85" w:type="dxa"/>
        <w:right w:w="57" w:type="dxa"/>
      </w:tblCellMar>
    </w:tblPr>
    <w:tblStylePr w:type="firstRow">
      <w:rPr>
        <w:b/>
        <w:color w:val="FFFFFF"/>
      </w:rPr>
      <w:tblPr/>
      <w:tcPr>
        <w:shd w:val="clear" w:color="auto" w:fill="4986A0"/>
      </w:tcPr>
    </w:tblStylePr>
    <w:tblStylePr w:type="lastRow">
      <w:rPr>
        <w:b/>
      </w:rPr>
      <w:tblPr/>
      <w:tcPr>
        <w:tcBorders>
          <w:top w:val="nil"/>
          <w:left w:val="nil"/>
          <w:bottom w:val="nil"/>
          <w:right w:val="nil"/>
          <w:insideH w:val="nil"/>
          <w:insideV w:val="nil"/>
          <w:tl2br w:val="nil"/>
          <w:tr2bl w:val="nil"/>
        </w:tcBorders>
        <w:shd w:val="clear" w:color="auto" w:fill="F2F2F2"/>
      </w:tcPr>
    </w:tblStylePr>
    <w:tblStylePr w:type="band1Horz">
      <w:tblPr/>
      <w:tcPr>
        <w:shd w:val="clear" w:color="auto" w:fill="F2F2F2"/>
      </w:tcPr>
    </w:tblStylePr>
    <w:tblStylePr w:type="band2Horz">
      <w:tblPr/>
      <w:tcPr>
        <w:shd w:val="clear" w:color="auto" w:fill="E3E3E4"/>
      </w:tcPr>
    </w:tblStylePr>
  </w:style>
  <w:style w:type="paragraph" w:styleId="Revision">
    <w:name w:val="Revision"/>
    <w:hidden/>
    <w:uiPriority w:val="99"/>
    <w:semiHidden/>
    <w:rsid w:val="00047898"/>
    <w:pPr>
      <w:spacing w:after="0" w:line="240" w:lineRule="auto"/>
    </w:pPr>
    <w:rPr>
      <w:lang w:val="en-AU"/>
    </w:rPr>
  </w:style>
  <w:style w:type="character" w:styleId="CommentReference">
    <w:name w:val="annotation reference"/>
    <w:basedOn w:val="DefaultParagraphFont"/>
    <w:uiPriority w:val="99"/>
    <w:semiHidden/>
    <w:unhideWhenUsed/>
    <w:rsid w:val="00417182"/>
    <w:rPr>
      <w:sz w:val="16"/>
      <w:szCs w:val="16"/>
    </w:rPr>
  </w:style>
  <w:style w:type="paragraph" w:styleId="CommentText">
    <w:name w:val="annotation text"/>
    <w:basedOn w:val="Normal"/>
    <w:link w:val="CommentTextChar"/>
    <w:uiPriority w:val="99"/>
    <w:unhideWhenUsed/>
    <w:rsid w:val="00417182"/>
    <w:pPr>
      <w:spacing w:line="240" w:lineRule="auto"/>
    </w:pPr>
    <w:rPr>
      <w:sz w:val="20"/>
      <w:szCs w:val="20"/>
    </w:rPr>
  </w:style>
  <w:style w:type="character" w:customStyle="1" w:styleId="CommentTextChar">
    <w:name w:val="Comment Text Char"/>
    <w:basedOn w:val="DefaultParagraphFont"/>
    <w:link w:val="CommentText"/>
    <w:uiPriority w:val="99"/>
    <w:rsid w:val="00417182"/>
    <w:rPr>
      <w:sz w:val="20"/>
      <w:szCs w:val="20"/>
      <w:lang w:val="en-AU"/>
    </w:rPr>
  </w:style>
  <w:style w:type="paragraph" w:styleId="CommentSubject">
    <w:name w:val="annotation subject"/>
    <w:basedOn w:val="CommentText"/>
    <w:next w:val="CommentText"/>
    <w:link w:val="CommentSubjectChar"/>
    <w:uiPriority w:val="99"/>
    <w:semiHidden/>
    <w:unhideWhenUsed/>
    <w:rsid w:val="00417182"/>
    <w:rPr>
      <w:b/>
      <w:bCs/>
    </w:rPr>
  </w:style>
  <w:style w:type="character" w:customStyle="1" w:styleId="CommentSubjectChar">
    <w:name w:val="Comment Subject Char"/>
    <w:basedOn w:val="CommentTextChar"/>
    <w:link w:val="CommentSubject"/>
    <w:uiPriority w:val="99"/>
    <w:semiHidden/>
    <w:rsid w:val="00417182"/>
    <w:rPr>
      <w:b/>
      <w:bCs/>
      <w:sz w:val="20"/>
      <w:szCs w:val="20"/>
      <w:lang w:val="en-AU"/>
    </w:rPr>
  </w:style>
  <w:style w:type="character" w:styleId="FollowedHyperlink">
    <w:name w:val="FollowedHyperlink"/>
    <w:basedOn w:val="DefaultParagraphFont"/>
    <w:uiPriority w:val="99"/>
    <w:semiHidden/>
    <w:unhideWhenUsed/>
    <w:rsid w:val="00007F53"/>
    <w:rPr>
      <w:color w:val="000000" w:themeColor="followedHyperlink"/>
      <w:u w:val="single"/>
    </w:rPr>
  </w:style>
  <w:style w:type="character" w:styleId="Mention">
    <w:name w:val="Mention"/>
    <w:basedOn w:val="DefaultParagraphFont"/>
    <w:uiPriority w:val="99"/>
    <w:unhideWhenUsed/>
    <w:rsid w:val="003456D9"/>
    <w:rPr>
      <w:color w:val="2B579A"/>
      <w:shd w:val="clear" w:color="auto" w:fill="E1DFDD"/>
    </w:rPr>
  </w:style>
  <w:style w:type="character" w:styleId="UnresolvedMention">
    <w:name w:val="Unresolved Mention"/>
    <w:basedOn w:val="DefaultParagraphFont"/>
    <w:uiPriority w:val="99"/>
    <w:semiHidden/>
    <w:unhideWhenUsed/>
    <w:rsid w:val="00345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esc.vic.gov.au/revoking-electricity-customer-metering-code-practice-and-electricity-customer-transfer-code-practice" TargetMode="External"/><Relationship Id="rId26" Type="http://schemas.openxmlformats.org/officeDocument/2006/relationships/hyperlink" Target="https://www.gazette.vic.gov.au/gazette/Gazettes2008/GG2008S314.pdf" TargetMode="External"/><Relationship Id="rId39" Type="http://schemas.openxmlformats.org/officeDocument/2006/relationships/fontTable" Target="fontTable.xml"/><Relationship Id="rId21" Type="http://schemas.openxmlformats.org/officeDocument/2006/relationships/footer" Target="footer1.xml"/><Relationship Id="rId34" Type="http://schemas.openxmlformats.org/officeDocument/2006/relationships/image" Target="media/image9.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c.vic.gov.au/electricity-and-gas/codes-guidelines-and-policies/electricity-customer-transfer-code-practice" TargetMode="External"/><Relationship Id="rId20" Type="http://schemas.openxmlformats.org/officeDocument/2006/relationships/header" Target="header5.xml"/><Relationship Id="rId29" Type="http://schemas.openxmlformats.org/officeDocument/2006/relationships/image" Target="media/image4.sv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emc.gov.au/rule-changes/unlocking-CER-benefits-through-flexible-trading" TargetMode="External"/><Relationship Id="rId32" Type="http://schemas.openxmlformats.org/officeDocument/2006/relationships/image" Target="media/image7.png"/><Relationship Id="rId37" Type="http://schemas.openxmlformats.org/officeDocument/2006/relationships/header" Target="header8.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statics.teams.cdn.office.net/evergreen-assets/safelinks/1/atp-safelinks.html" TargetMode="External"/><Relationship Id="rId28" Type="http://schemas.openxmlformats.org/officeDocument/2006/relationships/image" Target="media/image3.png"/><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6.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 TargetMode="External"/><Relationship Id="rId22" Type="http://schemas.openxmlformats.org/officeDocument/2006/relationships/header" Target="header6.xml"/><Relationship Id="rId27" Type="http://schemas.openxmlformats.org/officeDocument/2006/relationships/hyperlink" Target="https://www.gazette.vic.gov.au/gazette/Gazettes2022/GG2022G039.pdf" TargetMode="External"/><Relationship Id="rId30" Type="http://schemas.openxmlformats.org/officeDocument/2006/relationships/image" Target="media/image5.png"/><Relationship Id="rId35" Type="http://schemas.openxmlformats.org/officeDocument/2006/relationships/image" Target="media/image10.sv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esc.vic.gov.au/electricity-and-gas/codes-guidelines-and-policies/electricity-customer-metering-code-practice" TargetMode="External"/><Relationship Id="rId25" Type="http://schemas.openxmlformats.org/officeDocument/2006/relationships/hyperlink" Target="https://www.aemc.gov.au/rule-changes/real-time-data-consumers" TargetMode="External"/><Relationship Id="rId33" Type="http://schemas.openxmlformats.org/officeDocument/2006/relationships/image" Target="media/image8.svg"/><Relationship Id="rId38"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emo.com.au/news/-/media/Files/Stakeholder_Consultation/Consultations/NEM-Consultations/2019/NEM-Customer-Switching/Second-Stage/Customer-Switching-Draft-Report-and-Determination.pdf" TargetMode="External"/><Relationship Id="rId3" Type="http://schemas.openxmlformats.org/officeDocument/2006/relationships/hyperlink" Target="https://media.powercor.com.au/wp-content/uploads/2018/11/26113541/powercor-deemed-distribution-contract-30-april-2018.pdf" TargetMode="External"/><Relationship Id="rId7" Type="http://schemas.openxmlformats.org/officeDocument/2006/relationships/hyperlink" Target="https://www.aemc.gov.au/regulation/national-governance" TargetMode="External"/><Relationship Id="rId2" Type="http://schemas.openxmlformats.org/officeDocument/2006/relationships/hyperlink" Target="https://www.ausnetservices.com.au/-/media/project/ausnet/corporate-website/files/about/codes-and-guidelines/ausnet-services-deemed-distribution-contract-20-april-18.pdf" TargetMode="External"/><Relationship Id="rId1" Type="http://schemas.openxmlformats.org/officeDocument/2006/relationships/hyperlink" Target="https://www.aemc.gov.au/rule-changes/victorian-jurisdictional-derogation%2C-advanced-mete" TargetMode="External"/><Relationship Id="rId6" Type="http://schemas.openxmlformats.org/officeDocument/2006/relationships/hyperlink" Target="https://www.aemc.gov.au/rule-changes/victorian-jurisdictional-derogation%2C-advanced-mete" TargetMode="External"/><Relationship Id="rId11" Type="http://schemas.openxmlformats.org/officeDocument/2006/relationships/hyperlink" Target="https://www.aemo.com.au/news/-/media/Files/Stakeholder_Consultation/Consultations/NEM-Consultations/2019/NEM-Customer-Switching/Second-Stage/Customer-Switching-Draft-Report-and-Determination.pdf" TargetMode="External"/><Relationship Id="rId5" Type="http://schemas.openxmlformats.org/officeDocument/2006/relationships/hyperlink" Target="https://www.jemena.com.au/siteassets/asset-folder/documents/document-centre/electricity/deemed-standard-distribution-contract/jen-deemed-distribution-contract-17-may-2018.pdf" TargetMode="External"/><Relationship Id="rId10" Type="http://schemas.openxmlformats.org/officeDocument/2006/relationships/hyperlink" Target="https://www.aemo.com.au/news/-/media/Files/Stakeholder_Consultation/Consultations/NEM-Consultations/2019/NEM-Customer-Switching/Second-Stage/Customer-Switching-Draft-Report-and-Determination.pdf" TargetMode="External"/><Relationship Id="rId4" Type="http://schemas.openxmlformats.org/officeDocument/2006/relationships/hyperlink" Target="https://media.unitedenergy.com.au/factsheets/United-Energy-Deemed-Distribution-Contract-30-April-2018.pdf" TargetMode="External"/><Relationship Id="rId9" Type="http://schemas.openxmlformats.org/officeDocument/2006/relationships/hyperlink" Target="https://www.aemo.com.au/-/media/files/stakeholder_consultation/consultations/nem-consultations/2020/nem-customer-switching/2021/presentation.pdf?la=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E27B771B0440D0A515618326D42F63"/>
        <w:category>
          <w:name w:val="General"/>
          <w:gallery w:val="placeholder"/>
        </w:category>
        <w:types>
          <w:type w:val="bbPlcHdr"/>
        </w:types>
        <w:behaviors>
          <w:behavior w:val="content"/>
        </w:behaviors>
        <w:guid w:val="{8DEE59B0-0A2E-4745-98F6-C99465EBF066}"/>
      </w:docPartPr>
      <w:docPartBody>
        <w:p w:rsidR="006F40CD" w:rsidRDefault="00833905">
          <w:pPr>
            <w:pStyle w:val="C2E27B771B0440D0A515618326D42F63"/>
          </w:pPr>
          <w:r w:rsidRPr="007E1738">
            <w:rPr>
              <w:rStyle w:val="TitleCentredChar"/>
            </w:rPr>
            <w:t>[Title, use ‘Title’ type style. Content will automatically link to internal footer]</w:t>
          </w:r>
        </w:p>
      </w:docPartBody>
    </w:docPart>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6F03402753C9451895E0C26EA66B635F"/>
        <w:category>
          <w:name w:val="General"/>
          <w:gallery w:val="placeholder"/>
        </w:category>
        <w:types>
          <w:type w:val="bbPlcHdr"/>
        </w:types>
        <w:behaviors>
          <w:behavior w:val="content"/>
        </w:behaviors>
        <w:guid w:val="{421C16AE-5096-4AD2-839F-5E8C6991E1C5}"/>
      </w:docPartPr>
      <w:docPartBody>
        <w:p w:rsidR="006F40CD" w:rsidRDefault="00833905">
          <w:pPr>
            <w:pStyle w:val="6F03402753C9451895E0C26EA66B635F"/>
          </w:pPr>
          <w:r>
            <w:t>[</w:t>
          </w:r>
          <w:r w:rsidRPr="00615C49">
            <w:t>Click or tap to enter a date</w:t>
          </w:r>
          <w:r>
            <w:t>, or click to manually type custom date]</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80FE518C65974B1A944C95F671D1B468"/>
        <w:category>
          <w:name w:val="General"/>
          <w:gallery w:val="placeholder"/>
        </w:category>
        <w:types>
          <w:type w:val="bbPlcHdr"/>
        </w:types>
        <w:behaviors>
          <w:behavior w:val="content"/>
        </w:behaviors>
        <w:guid w:val="{71FBB632-FE78-485A-B775-4D69566F2978}"/>
      </w:docPartPr>
      <w:docPartBody>
        <w:p w:rsidR="006F40CD" w:rsidRDefault="00833905">
          <w:pPr>
            <w:pStyle w:val="80FE518C65974B1A944C95F671D1B468"/>
          </w:pPr>
          <w:r w:rsidRPr="00AD2E14">
            <w:rPr>
              <w:b/>
              <w:highlight w:val="lightGray"/>
            </w:rPr>
            <w:t>[Title]</w:t>
          </w:r>
        </w:p>
      </w:docPartBody>
    </w:docPart>
    <w:docPart>
      <w:docPartPr>
        <w:name w:val="140E192DA8A1450993BE2E5E85F512CC"/>
        <w:category>
          <w:name w:val="General"/>
          <w:gallery w:val="placeholder"/>
        </w:category>
        <w:types>
          <w:type w:val="bbPlcHdr"/>
        </w:types>
        <w:behaviors>
          <w:behavior w:val="content"/>
        </w:behaviors>
        <w:guid w:val="{995E23AD-216A-40F2-9DE6-E2584B33A2CF}"/>
      </w:docPartPr>
      <w:docPartBody>
        <w:p w:rsidR="006F40CD" w:rsidRDefault="00833905" w:rsidP="00833905">
          <w:pPr>
            <w:pStyle w:val="140E192DA8A1450993BE2E5E85F512CC"/>
          </w:pPr>
          <w:r w:rsidRPr="005F3D90">
            <w:rPr>
              <w:highlight w:val="lightGray"/>
            </w:rPr>
            <w:t>[Title]</w:t>
          </w:r>
        </w:p>
      </w:docPartBody>
    </w:docPart>
    <w:docPart>
      <w:docPartPr>
        <w:name w:val="B4436841E4824DCE81F3F32E50702F23"/>
        <w:category>
          <w:name w:val="General"/>
          <w:gallery w:val="placeholder"/>
        </w:category>
        <w:types>
          <w:type w:val="bbPlcHdr"/>
        </w:types>
        <w:behaviors>
          <w:behavior w:val="content"/>
        </w:behaviors>
        <w:guid w:val="{C11A9E1E-2358-41C0-B120-449E6891A729}"/>
      </w:docPartPr>
      <w:docPartBody>
        <w:p w:rsidR="006F40CD" w:rsidRDefault="00833905" w:rsidP="00833905">
          <w:pPr>
            <w:pStyle w:val="B4436841E4824DCE81F3F32E50702F23"/>
          </w:pPr>
          <w:r w:rsidRPr="00563AD8">
            <w:rPr>
              <w:highlight w:val="lightGray"/>
            </w:rPr>
            <w:t>[Subtitle]</w:t>
          </w:r>
        </w:p>
      </w:docPartBody>
    </w:docPart>
    <w:docPart>
      <w:docPartPr>
        <w:name w:val="081541628B584DC4B0333642607BDAD8"/>
        <w:category>
          <w:name w:val="General"/>
          <w:gallery w:val="placeholder"/>
        </w:category>
        <w:types>
          <w:type w:val="bbPlcHdr"/>
        </w:types>
        <w:behaviors>
          <w:behavior w:val="content"/>
        </w:behaviors>
        <w:guid w:val="{2C2A5B0E-4432-4746-AE34-C1747ACEB34A}"/>
      </w:docPartPr>
      <w:docPartBody>
        <w:p w:rsidR="006F40CD" w:rsidRDefault="00833905" w:rsidP="00833905">
          <w:pPr>
            <w:pStyle w:val="081541628B584DC4B0333642607BDAD8"/>
          </w:pPr>
          <w:r w:rsidRPr="005F3D90">
            <w:rPr>
              <w:highlight w:val="lightGray"/>
            </w:rPr>
            <w:t>[Title]</w:t>
          </w:r>
        </w:p>
      </w:docPartBody>
    </w:docPart>
    <w:docPart>
      <w:docPartPr>
        <w:name w:val="26BBEA23A11C415E896C73B9234E2B47"/>
        <w:category>
          <w:name w:val="General"/>
          <w:gallery w:val="placeholder"/>
        </w:category>
        <w:types>
          <w:type w:val="bbPlcHdr"/>
        </w:types>
        <w:behaviors>
          <w:behavior w:val="content"/>
        </w:behaviors>
        <w:guid w:val="{9A3CB3FC-B33D-46BB-8E8E-2437A97E1A08}"/>
      </w:docPartPr>
      <w:docPartBody>
        <w:p w:rsidR="00746BBC" w:rsidRDefault="00833905">
          <w:pPr>
            <w:pStyle w:val="26BBEA23A11C415E896C73B9234E2B47"/>
          </w:pPr>
          <w:r w:rsidRPr="00360763">
            <w:rPr>
              <w:highlight w:val="lightGray"/>
            </w:rPr>
            <w:t>[Click to select a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113D22"/>
    <w:rsid w:val="00193377"/>
    <w:rsid w:val="001F07E6"/>
    <w:rsid w:val="00227113"/>
    <w:rsid w:val="0034627A"/>
    <w:rsid w:val="00445251"/>
    <w:rsid w:val="00495F09"/>
    <w:rsid w:val="00532C18"/>
    <w:rsid w:val="00550E99"/>
    <w:rsid w:val="005D01F3"/>
    <w:rsid w:val="006E78BE"/>
    <w:rsid w:val="006F40CD"/>
    <w:rsid w:val="00746BBC"/>
    <w:rsid w:val="0075037D"/>
    <w:rsid w:val="00833905"/>
    <w:rsid w:val="00913E27"/>
    <w:rsid w:val="0097793E"/>
    <w:rsid w:val="009E4781"/>
    <w:rsid w:val="00A03E5B"/>
    <w:rsid w:val="00BE61C2"/>
    <w:rsid w:val="00C35EA9"/>
    <w:rsid w:val="00CF08C9"/>
    <w:rsid w:val="00CF6844"/>
    <w:rsid w:val="00F948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44546A" w:themeColor="text2"/>
      <w:sz w:val="52"/>
      <w:lang w:val="en-US" w:eastAsia="en-US"/>
    </w:rPr>
  </w:style>
  <w:style w:type="character" w:customStyle="1" w:styleId="TitleCentredChar">
    <w:name w:val="Title Centred Char"/>
    <w:basedOn w:val="TitleChar"/>
    <w:link w:val="TitleCentred"/>
    <w:rPr>
      <w:rFonts w:ascii="Tahoma" w:eastAsiaTheme="majorEastAsia" w:hAnsi="Tahoma" w:cstheme="majorBidi"/>
      <w:color w:val="44546A" w:themeColor="text2"/>
      <w:spacing w:val="-10"/>
      <w:kern w:val="28"/>
      <w:sz w:val="52"/>
      <w:szCs w:val="56"/>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C2E27B771B0440D0A515618326D42F63">
    <w:name w:val="C2E27B771B0440D0A515618326D42F63"/>
  </w:style>
  <w:style w:type="character" w:styleId="PlaceholderText">
    <w:name w:val="Placeholder Text"/>
    <w:basedOn w:val="DefaultParagraphFont"/>
    <w:uiPriority w:val="99"/>
    <w:semiHidden/>
    <w:rPr>
      <w:color w:val="808080"/>
    </w:rPr>
  </w:style>
  <w:style w:type="paragraph" w:customStyle="1" w:styleId="00ED5049FEAF48FBACD1E70E9F41C85C">
    <w:name w:val="00ED5049FEAF48FBACD1E70E9F41C85C"/>
  </w:style>
  <w:style w:type="paragraph" w:customStyle="1" w:styleId="6F03402753C9451895E0C26EA66B635F">
    <w:name w:val="6F03402753C9451895E0C26EA66B635F"/>
  </w:style>
  <w:style w:type="paragraph" w:customStyle="1" w:styleId="89546CF0731A43EEA0DAC878284F1376">
    <w:name w:val="89546CF0731A43EEA0DAC878284F1376"/>
  </w:style>
  <w:style w:type="paragraph" w:customStyle="1" w:styleId="80FE518C65974B1A944C95F671D1B468">
    <w:name w:val="80FE518C65974B1A944C95F671D1B468"/>
  </w:style>
  <w:style w:type="paragraph" w:customStyle="1" w:styleId="140E192DA8A1450993BE2E5E85F512CC">
    <w:name w:val="140E192DA8A1450993BE2E5E85F512CC"/>
    <w:rsid w:val="00833905"/>
  </w:style>
  <w:style w:type="paragraph" w:customStyle="1" w:styleId="B4436841E4824DCE81F3F32E50702F23">
    <w:name w:val="B4436841E4824DCE81F3F32E50702F23"/>
    <w:rsid w:val="00833905"/>
  </w:style>
  <w:style w:type="paragraph" w:customStyle="1" w:styleId="081541628B584DC4B0333642607BDAD8">
    <w:name w:val="081541628B584DC4B0333642607BDAD8"/>
    <w:rsid w:val="00833905"/>
  </w:style>
  <w:style w:type="paragraph" w:customStyle="1" w:styleId="26BBEA23A11C415E896C73B9234E2B47">
    <w:name w:val="26BBEA23A11C415E896C73B9234E2B4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B7A59B0EC06B44B4A2534143EC783A" ma:contentTypeVersion="4" ma:contentTypeDescription="Create a new document." ma:contentTypeScope="" ma:versionID="498cc0bb820c45b49b1f8433596db31b">
  <xsd:schema xmlns:xsd="http://www.w3.org/2001/XMLSchema" xmlns:xs="http://www.w3.org/2001/XMLSchema" xmlns:p="http://schemas.microsoft.com/office/2006/metadata/properties" xmlns:ns2="adc63f6e-03c8-43b6-94fa-d3370aa4263f" targetNamespace="http://schemas.microsoft.com/office/2006/metadata/properties" ma:root="true" ma:fieldsID="e77ea82ada028f8d7bad0637a3a9477e" ns2:_="">
    <xsd:import namespace="adc63f6e-03c8-43b6-94fa-d3370aa426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63f6e-03c8-43b6-94fa-d3370aa42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87A72-BBC5-481E-BCE7-4E93481C8D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18F1C-1DE4-4A05-AD04-5F72ECEDF5AC}">
  <ds:schemaRefs>
    <ds:schemaRef ds:uri="http://schemas.microsoft.com/sharepoint/v3/contenttype/forms"/>
  </ds:schemaRefs>
</ds:datastoreItem>
</file>

<file path=customXml/itemProps3.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customXml/itemProps4.xml><?xml version="1.0" encoding="utf-8"?>
<ds:datastoreItem xmlns:ds="http://schemas.openxmlformats.org/officeDocument/2006/customXml" ds:itemID="{1666D2A4-F850-46EF-A04F-28EC32F8A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63f6e-03c8-43b6-94fa-d3370aa42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4105</Words>
  <Characters>23401</Characters>
  <Application>Microsoft Office Word</Application>
  <DocSecurity>4</DocSecurity>
  <Lines>195</Lines>
  <Paragraphs>54</Paragraphs>
  <ScaleCrop>false</ScaleCrop>
  <Company/>
  <LinksUpToDate>false</LinksUpToDate>
  <CharactersWithSpaces>27452</CharactersWithSpaces>
  <SharedDoc>false</SharedDoc>
  <HLinks>
    <vt:vector size="246" baseType="variant">
      <vt:variant>
        <vt:i4>65547</vt:i4>
      </vt:variant>
      <vt:variant>
        <vt:i4>156</vt:i4>
      </vt:variant>
      <vt:variant>
        <vt:i4>0</vt:i4>
      </vt:variant>
      <vt:variant>
        <vt:i4>5</vt:i4>
      </vt:variant>
      <vt:variant>
        <vt:lpwstr>https://www.gazette.vic.gov.au/gazette/Gazettes2022/GG2022G039.pdf</vt:lpwstr>
      </vt:variant>
      <vt:variant>
        <vt:lpwstr>page=52</vt:lpwstr>
      </vt:variant>
      <vt:variant>
        <vt:i4>3539007</vt:i4>
      </vt:variant>
      <vt:variant>
        <vt:i4>153</vt:i4>
      </vt:variant>
      <vt:variant>
        <vt:i4>0</vt:i4>
      </vt:variant>
      <vt:variant>
        <vt:i4>5</vt:i4>
      </vt:variant>
      <vt:variant>
        <vt:lpwstr>https://www.gazette.vic.gov.au/gazette/Gazettes2008/GG2008S314.pdf</vt:lpwstr>
      </vt:variant>
      <vt:variant>
        <vt:lpwstr/>
      </vt:variant>
      <vt:variant>
        <vt:i4>1769481</vt:i4>
      </vt:variant>
      <vt:variant>
        <vt:i4>150</vt:i4>
      </vt:variant>
      <vt:variant>
        <vt:i4>0</vt:i4>
      </vt:variant>
      <vt:variant>
        <vt:i4>5</vt:i4>
      </vt:variant>
      <vt:variant>
        <vt:lpwstr>https://www.aemc.gov.au/rule-changes/real-time-data-consumers</vt:lpwstr>
      </vt:variant>
      <vt:variant>
        <vt:lpwstr/>
      </vt:variant>
      <vt:variant>
        <vt:i4>262170</vt:i4>
      </vt:variant>
      <vt:variant>
        <vt:i4>147</vt:i4>
      </vt:variant>
      <vt:variant>
        <vt:i4>0</vt:i4>
      </vt:variant>
      <vt:variant>
        <vt:i4>5</vt:i4>
      </vt:variant>
      <vt:variant>
        <vt:lpwstr>https://www.aemc.gov.au/rule-changes/unlocking-CER-benefits-through-flexible-trading</vt:lpwstr>
      </vt:variant>
      <vt:variant>
        <vt:lpwstr/>
      </vt:variant>
      <vt:variant>
        <vt:i4>655443</vt:i4>
      </vt:variant>
      <vt:variant>
        <vt:i4>144</vt:i4>
      </vt:variant>
      <vt:variant>
        <vt:i4>0</vt:i4>
      </vt:variant>
      <vt:variant>
        <vt:i4>5</vt:i4>
      </vt:variant>
      <vt:variant>
        <vt:lpwstr>https://statics.teams.cdn.office.net/evergreen-assets/safelinks/1/atp-safelinks.html</vt:lpwstr>
      </vt:variant>
      <vt:variant>
        <vt:lpwstr/>
      </vt:variant>
      <vt:variant>
        <vt:i4>2228334</vt:i4>
      </vt:variant>
      <vt:variant>
        <vt:i4>141</vt:i4>
      </vt:variant>
      <vt:variant>
        <vt:i4>0</vt:i4>
      </vt:variant>
      <vt:variant>
        <vt:i4>5</vt:i4>
      </vt:variant>
      <vt:variant>
        <vt:lpwstr>https://www.esc.vic.gov.au/revoking-electricity-customer-metering-code-practice-and-electricity-customer-transfer-code-practice</vt:lpwstr>
      </vt:variant>
      <vt:variant>
        <vt:lpwstr/>
      </vt:variant>
      <vt:variant>
        <vt:i4>1572940</vt:i4>
      </vt:variant>
      <vt:variant>
        <vt:i4>138</vt:i4>
      </vt:variant>
      <vt:variant>
        <vt:i4>0</vt:i4>
      </vt:variant>
      <vt:variant>
        <vt:i4>5</vt:i4>
      </vt:variant>
      <vt:variant>
        <vt:lpwstr>https://www.esc.vic.gov.au/electricity-and-gas/codes-guidelines-and-policies/electricity-customer-metering-code-practice</vt:lpwstr>
      </vt:variant>
      <vt:variant>
        <vt:lpwstr/>
      </vt:variant>
      <vt:variant>
        <vt:i4>1966154</vt:i4>
      </vt:variant>
      <vt:variant>
        <vt:i4>135</vt:i4>
      </vt:variant>
      <vt:variant>
        <vt:i4>0</vt:i4>
      </vt:variant>
      <vt:variant>
        <vt:i4>5</vt:i4>
      </vt:variant>
      <vt:variant>
        <vt:lpwstr>https://www.esc.vic.gov.au/electricity-and-gas/codes-guidelines-and-policies/electricity-customer-transfer-code-practice</vt:lpwstr>
      </vt:variant>
      <vt:variant>
        <vt:lpwstr/>
      </vt:variant>
      <vt:variant>
        <vt:i4>1572918</vt:i4>
      </vt:variant>
      <vt:variant>
        <vt:i4>128</vt:i4>
      </vt:variant>
      <vt:variant>
        <vt:i4>0</vt:i4>
      </vt:variant>
      <vt:variant>
        <vt:i4>5</vt:i4>
      </vt:variant>
      <vt:variant>
        <vt:lpwstr/>
      </vt:variant>
      <vt:variant>
        <vt:lpwstr>_Toc204086890</vt:lpwstr>
      </vt:variant>
      <vt:variant>
        <vt:i4>1638454</vt:i4>
      </vt:variant>
      <vt:variant>
        <vt:i4>122</vt:i4>
      </vt:variant>
      <vt:variant>
        <vt:i4>0</vt:i4>
      </vt:variant>
      <vt:variant>
        <vt:i4>5</vt:i4>
      </vt:variant>
      <vt:variant>
        <vt:lpwstr/>
      </vt:variant>
      <vt:variant>
        <vt:lpwstr>_Toc204086889</vt:lpwstr>
      </vt:variant>
      <vt:variant>
        <vt:i4>1638454</vt:i4>
      </vt:variant>
      <vt:variant>
        <vt:i4>116</vt:i4>
      </vt:variant>
      <vt:variant>
        <vt:i4>0</vt:i4>
      </vt:variant>
      <vt:variant>
        <vt:i4>5</vt:i4>
      </vt:variant>
      <vt:variant>
        <vt:lpwstr/>
      </vt:variant>
      <vt:variant>
        <vt:lpwstr>_Toc204086888</vt:lpwstr>
      </vt:variant>
      <vt:variant>
        <vt:i4>1638454</vt:i4>
      </vt:variant>
      <vt:variant>
        <vt:i4>110</vt:i4>
      </vt:variant>
      <vt:variant>
        <vt:i4>0</vt:i4>
      </vt:variant>
      <vt:variant>
        <vt:i4>5</vt:i4>
      </vt:variant>
      <vt:variant>
        <vt:lpwstr/>
      </vt:variant>
      <vt:variant>
        <vt:lpwstr>_Toc204086887</vt:lpwstr>
      </vt:variant>
      <vt:variant>
        <vt:i4>1638454</vt:i4>
      </vt:variant>
      <vt:variant>
        <vt:i4>104</vt:i4>
      </vt:variant>
      <vt:variant>
        <vt:i4>0</vt:i4>
      </vt:variant>
      <vt:variant>
        <vt:i4>5</vt:i4>
      </vt:variant>
      <vt:variant>
        <vt:lpwstr/>
      </vt:variant>
      <vt:variant>
        <vt:lpwstr>_Toc204086886</vt:lpwstr>
      </vt:variant>
      <vt:variant>
        <vt:i4>1638454</vt:i4>
      </vt:variant>
      <vt:variant>
        <vt:i4>98</vt:i4>
      </vt:variant>
      <vt:variant>
        <vt:i4>0</vt:i4>
      </vt:variant>
      <vt:variant>
        <vt:i4>5</vt:i4>
      </vt:variant>
      <vt:variant>
        <vt:lpwstr/>
      </vt:variant>
      <vt:variant>
        <vt:lpwstr>_Toc204086885</vt:lpwstr>
      </vt:variant>
      <vt:variant>
        <vt:i4>1638454</vt:i4>
      </vt:variant>
      <vt:variant>
        <vt:i4>92</vt:i4>
      </vt:variant>
      <vt:variant>
        <vt:i4>0</vt:i4>
      </vt:variant>
      <vt:variant>
        <vt:i4>5</vt:i4>
      </vt:variant>
      <vt:variant>
        <vt:lpwstr/>
      </vt:variant>
      <vt:variant>
        <vt:lpwstr>_Toc204086884</vt:lpwstr>
      </vt:variant>
      <vt:variant>
        <vt:i4>1638454</vt:i4>
      </vt:variant>
      <vt:variant>
        <vt:i4>86</vt:i4>
      </vt:variant>
      <vt:variant>
        <vt:i4>0</vt:i4>
      </vt:variant>
      <vt:variant>
        <vt:i4>5</vt:i4>
      </vt:variant>
      <vt:variant>
        <vt:lpwstr/>
      </vt:variant>
      <vt:variant>
        <vt:lpwstr>_Toc204086883</vt:lpwstr>
      </vt:variant>
      <vt:variant>
        <vt:i4>1638454</vt:i4>
      </vt:variant>
      <vt:variant>
        <vt:i4>80</vt:i4>
      </vt:variant>
      <vt:variant>
        <vt:i4>0</vt:i4>
      </vt:variant>
      <vt:variant>
        <vt:i4>5</vt:i4>
      </vt:variant>
      <vt:variant>
        <vt:lpwstr/>
      </vt:variant>
      <vt:variant>
        <vt:lpwstr>_Toc204086882</vt:lpwstr>
      </vt:variant>
      <vt:variant>
        <vt:i4>1638454</vt:i4>
      </vt:variant>
      <vt:variant>
        <vt:i4>74</vt:i4>
      </vt:variant>
      <vt:variant>
        <vt:i4>0</vt:i4>
      </vt:variant>
      <vt:variant>
        <vt:i4>5</vt:i4>
      </vt:variant>
      <vt:variant>
        <vt:lpwstr/>
      </vt:variant>
      <vt:variant>
        <vt:lpwstr>_Toc204086881</vt:lpwstr>
      </vt:variant>
      <vt:variant>
        <vt:i4>1638454</vt:i4>
      </vt:variant>
      <vt:variant>
        <vt:i4>68</vt:i4>
      </vt:variant>
      <vt:variant>
        <vt:i4>0</vt:i4>
      </vt:variant>
      <vt:variant>
        <vt:i4>5</vt:i4>
      </vt:variant>
      <vt:variant>
        <vt:lpwstr/>
      </vt:variant>
      <vt:variant>
        <vt:lpwstr>_Toc204086880</vt:lpwstr>
      </vt:variant>
      <vt:variant>
        <vt:i4>1441846</vt:i4>
      </vt:variant>
      <vt:variant>
        <vt:i4>62</vt:i4>
      </vt:variant>
      <vt:variant>
        <vt:i4>0</vt:i4>
      </vt:variant>
      <vt:variant>
        <vt:i4>5</vt:i4>
      </vt:variant>
      <vt:variant>
        <vt:lpwstr/>
      </vt:variant>
      <vt:variant>
        <vt:lpwstr>_Toc204086879</vt:lpwstr>
      </vt:variant>
      <vt:variant>
        <vt:i4>1441846</vt:i4>
      </vt:variant>
      <vt:variant>
        <vt:i4>56</vt:i4>
      </vt:variant>
      <vt:variant>
        <vt:i4>0</vt:i4>
      </vt:variant>
      <vt:variant>
        <vt:i4>5</vt:i4>
      </vt:variant>
      <vt:variant>
        <vt:lpwstr/>
      </vt:variant>
      <vt:variant>
        <vt:lpwstr>_Toc204086878</vt:lpwstr>
      </vt:variant>
      <vt:variant>
        <vt:i4>1441846</vt:i4>
      </vt:variant>
      <vt:variant>
        <vt:i4>50</vt:i4>
      </vt:variant>
      <vt:variant>
        <vt:i4>0</vt:i4>
      </vt:variant>
      <vt:variant>
        <vt:i4>5</vt:i4>
      </vt:variant>
      <vt:variant>
        <vt:lpwstr/>
      </vt:variant>
      <vt:variant>
        <vt:lpwstr>_Toc204086877</vt:lpwstr>
      </vt:variant>
      <vt:variant>
        <vt:i4>1441846</vt:i4>
      </vt:variant>
      <vt:variant>
        <vt:i4>44</vt:i4>
      </vt:variant>
      <vt:variant>
        <vt:i4>0</vt:i4>
      </vt:variant>
      <vt:variant>
        <vt:i4>5</vt:i4>
      </vt:variant>
      <vt:variant>
        <vt:lpwstr/>
      </vt:variant>
      <vt:variant>
        <vt:lpwstr>_Toc204086876</vt:lpwstr>
      </vt:variant>
      <vt:variant>
        <vt:i4>1441846</vt:i4>
      </vt:variant>
      <vt:variant>
        <vt:i4>38</vt:i4>
      </vt:variant>
      <vt:variant>
        <vt:i4>0</vt:i4>
      </vt:variant>
      <vt:variant>
        <vt:i4>5</vt:i4>
      </vt:variant>
      <vt:variant>
        <vt:lpwstr/>
      </vt:variant>
      <vt:variant>
        <vt:lpwstr>_Toc204086875</vt:lpwstr>
      </vt:variant>
      <vt:variant>
        <vt:i4>1441846</vt:i4>
      </vt:variant>
      <vt:variant>
        <vt:i4>32</vt:i4>
      </vt:variant>
      <vt:variant>
        <vt:i4>0</vt:i4>
      </vt:variant>
      <vt:variant>
        <vt:i4>5</vt:i4>
      </vt:variant>
      <vt:variant>
        <vt:lpwstr/>
      </vt:variant>
      <vt:variant>
        <vt:lpwstr>_Toc204086874</vt:lpwstr>
      </vt:variant>
      <vt:variant>
        <vt:i4>1441846</vt:i4>
      </vt:variant>
      <vt:variant>
        <vt:i4>26</vt:i4>
      </vt:variant>
      <vt:variant>
        <vt:i4>0</vt:i4>
      </vt:variant>
      <vt:variant>
        <vt:i4>5</vt:i4>
      </vt:variant>
      <vt:variant>
        <vt:lpwstr/>
      </vt:variant>
      <vt:variant>
        <vt:lpwstr>_Toc204086873</vt:lpwstr>
      </vt:variant>
      <vt:variant>
        <vt:i4>1441846</vt:i4>
      </vt:variant>
      <vt:variant>
        <vt:i4>20</vt:i4>
      </vt:variant>
      <vt:variant>
        <vt:i4>0</vt:i4>
      </vt:variant>
      <vt:variant>
        <vt:i4>5</vt:i4>
      </vt:variant>
      <vt:variant>
        <vt:lpwstr/>
      </vt:variant>
      <vt:variant>
        <vt:lpwstr>_Toc204086872</vt:lpwstr>
      </vt:variant>
      <vt:variant>
        <vt:i4>1441846</vt:i4>
      </vt:variant>
      <vt:variant>
        <vt:i4>14</vt:i4>
      </vt:variant>
      <vt:variant>
        <vt:i4>0</vt:i4>
      </vt:variant>
      <vt:variant>
        <vt:i4>5</vt:i4>
      </vt:variant>
      <vt:variant>
        <vt:lpwstr/>
      </vt:variant>
      <vt:variant>
        <vt:lpwstr>_Toc204086871</vt:lpwstr>
      </vt:variant>
      <vt:variant>
        <vt:i4>1441846</vt:i4>
      </vt:variant>
      <vt:variant>
        <vt:i4>8</vt:i4>
      </vt:variant>
      <vt:variant>
        <vt:i4>0</vt:i4>
      </vt:variant>
      <vt:variant>
        <vt:i4>5</vt:i4>
      </vt:variant>
      <vt:variant>
        <vt:lpwstr/>
      </vt:variant>
      <vt:variant>
        <vt:lpwstr>_Toc204086870</vt:lpwstr>
      </vt:variant>
      <vt:variant>
        <vt:i4>1507382</vt:i4>
      </vt:variant>
      <vt:variant>
        <vt:i4>2</vt:i4>
      </vt:variant>
      <vt:variant>
        <vt:i4>0</vt:i4>
      </vt:variant>
      <vt:variant>
        <vt:i4>5</vt:i4>
      </vt:variant>
      <vt:variant>
        <vt:lpwstr/>
      </vt:variant>
      <vt:variant>
        <vt:lpwstr>_Toc204086869</vt:lpwstr>
      </vt:variant>
      <vt:variant>
        <vt:i4>8257613</vt:i4>
      </vt:variant>
      <vt:variant>
        <vt:i4>30</vt:i4>
      </vt:variant>
      <vt:variant>
        <vt:i4>0</vt:i4>
      </vt:variant>
      <vt:variant>
        <vt:i4>5</vt:i4>
      </vt:variant>
      <vt:variant>
        <vt:lpwstr>https://www.aemo.com.au/news/-/media/Files/Stakeholder_Consultation/Consultations/NEM-Consultations/2019/NEM-Customer-Switching/Second-Stage/Customer-Switching-Draft-Report-and-Determination.pdf</vt:lpwstr>
      </vt:variant>
      <vt:variant>
        <vt:lpwstr/>
      </vt:variant>
      <vt:variant>
        <vt:i4>8257613</vt:i4>
      </vt:variant>
      <vt:variant>
        <vt:i4>27</vt:i4>
      </vt:variant>
      <vt:variant>
        <vt:i4>0</vt:i4>
      </vt:variant>
      <vt:variant>
        <vt:i4>5</vt:i4>
      </vt:variant>
      <vt:variant>
        <vt:lpwstr>https://www.aemo.com.au/news/-/media/Files/Stakeholder_Consultation/Consultations/NEM-Consultations/2019/NEM-Customer-Switching/Second-Stage/Customer-Switching-Draft-Report-and-Determination.pdf</vt:lpwstr>
      </vt:variant>
      <vt:variant>
        <vt:lpwstr/>
      </vt:variant>
      <vt:variant>
        <vt:i4>1572965</vt:i4>
      </vt:variant>
      <vt:variant>
        <vt:i4>24</vt:i4>
      </vt:variant>
      <vt:variant>
        <vt:i4>0</vt:i4>
      </vt:variant>
      <vt:variant>
        <vt:i4>5</vt:i4>
      </vt:variant>
      <vt:variant>
        <vt:lpwstr>https://www.aemo.com.au/-/media/files/stakeholder_consultation/consultations/nem-consultations/2020/nem-customer-switching/2021/presentation.pdf?la=en</vt:lpwstr>
      </vt:variant>
      <vt:variant>
        <vt:lpwstr/>
      </vt:variant>
      <vt:variant>
        <vt:i4>8257613</vt:i4>
      </vt:variant>
      <vt:variant>
        <vt:i4>21</vt:i4>
      </vt:variant>
      <vt:variant>
        <vt:i4>0</vt:i4>
      </vt:variant>
      <vt:variant>
        <vt:i4>5</vt:i4>
      </vt:variant>
      <vt:variant>
        <vt:lpwstr>https://www.aemo.com.au/news/-/media/Files/Stakeholder_Consultation/Consultations/NEM-Consultations/2019/NEM-Customer-Switching/Second-Stage/Customer-Switching-Draft-Report-and-Determination.pdf</vt:lpwstr>
      </vt:variant>
      <vt:variant>
        <vt:lpwstr/>
      </vt:variant>
      <vt:variant>
        <vt:i4>3211376</vt:i4>
      </vt:variant>
      <vt:variant>
        <vt:i4>18</vt:i4>
      </vt:variant>
      <vt:variant>
        <vt:i4>0</vt:i4>
      </vt:variant>
      <vt:variant>
        <vt:i4>5</vt:i4>
      </vt:variant>
      <vt:variant>
        <vt:lpwstr>https://www.aemc.gov.au/regulation/national-governance</vt:lpwstr>
      </vt:variant>
      <vt:variant>
        <vt:lpwstr/>
      </vt:variant>
      <vt:variant>
        <vt:i4>5701634</vt:i4>
      </vt:variant>
      <vt:variant>
        <vt:i4>15</vt:i4>
      </vt:variant>
      <vt:variant>
        <vt:i4>0</vt:i4>
      </vt:variant>
      <vt:variant>
        <vt:i4>5</vt:i4>
      </vt:variant>
      <vt:variant>
        <vt:lpwstr>https://www.aemc.gov.au/rule-changes/victorian-jurisdictional-derogation%2C-advanced-mete</vt:lpwstr>
      </vt:variant>
      <vt:variant>
        <vt:lpwstr/>
      </vt:variant>
      <vt:variant>
        <vt:i4>3735649</vt:i4>
      </vt:variant>
      <vt:variant>
        <vt:i4>12</vt:i4>
      </vt:variant>
      <vt:variant>
        <vt:i4>0</vt:i4>
      </vt:variant>
      <vt:variant>
        <vt:i4>5</vt:i4>
      </vt:variant>
      <vt:variant>
        <vt:lpwstr>https://www.jemena.com.au/siteassets/asset-folder/documents/document-centre/electricity/deemed-standard-distribution-contract/jen-deemed-distribution-contract-17-may-2018.pdf</vt:lpwstr>
      </vt:variant>
      <vt:variant>
        <vt:lpwstr/>
      </vt:variant>
      <vt:variant>
        <vt:i4>4849745</vt:i4>
      </vt:variant>
      <vt:variant>
        <vt:i4>9</vt:i4>
      </vt:variant>
      <vt:variant>
        <vt:i4>0</vt:i4>
      </vt:variant>
      <vt:variant>
        <vt:i4>5</vt:i4>
      </vt:variant>
      <vt:variant>
        <vt:lpwstr>https://media.unitedenergy.com.au/factsheets/United-Energy-Deemed-Distribution-Contract-30-April-2018.pdf</vt:lpwstr>
      </vt:variant>
      <vt:variant>
        <vt:lpwstr/>
      </vt:variant>
      <vt:variant>
        <vt:i4>5898335</vt:i4>
      </vt:variant>
      <vt:variant>
        <vt:i4>6</vt:i4>
      </vt:variant>
      <vt:variant>
        <vt:i4>0</vt:i4>
      </vt:variant>
      <vt:variant>
        <vt:i4>5</vt:i4>
      </vt:variant>
      <vt:variant>
        <vt:lpwstr>https://media.powercor.com.au/wp-content/uploads/2018/11/26113541/powercor-deemed-distribution-contract-30-april-2018.pdf</vt:lpwstr>
      </vt:variant>
      <vt:variant>
        <vt:lpwstr/>
      </vt:variant>
      <vt:variant>
        <vt:i4>1245254</vt:i4>
      </vt:variant>
      <vt:variant>
        <vt:i4>3</vt:i4>
      </vt:variant>
      <vt:variant>
        <vt:i4>0</vt:i4>
      </vt:variant>
      <vt:variant>
        <vt:i4>5</vt:i4>
      </vt:variant>
      <vt:variant>
        <vt:lpwstr>https://www.ausnetservices.com.au/-/media/project/ausnet/corporate-website/files/about/codes-and-guidelines/ausnet-services-deemed-distribution-contract-20-april-18.pdf</vt:lpwstr>
      </vt:variant>
      <vt:variant>
        <vt:lpwstr/>
      </vt:variant>
      <vt:variant>
        <vt:i4>5701634</vt:i4>
      </vt:variant>
      <vt:variant>
        <vt:i4>0</vt:i4>
      </vt:variant>
      <vt:variant>
        <vt:i4>0</vt:i4>
      </vt:variant>
      <vt:variant>
        <vt:i4>5</vt:i4>
      </vt:variant>
      <vt:variant>
        <vt:lpwstr>https://www.aemc.gov.au/rule-changes/victorian-jurisdictional-derogation%2C-advanced-mete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Revoking the Electricity Customer Transfer Code of Practice and the Electricity Customer Metering Code of Practice</dc:title>
  <dc:subject/>
  <dc:creator>Isla Cottrill (ESC)</dc:creator>
  <cp:keywords/>
  <dc:description>Final Decision</dc:description>
  <cp:lastModifiedBy>Isla Cottrill (ESC)</cp:lastModifiedBy>
  <cp:revision>8</cp:revision>
  <cp:lastPrinted>2025-08-06T20:44:00Z</cp:lastPrinted>
  <dcterms:created xsi:type="dcterms:W3CDTF">2025-07-24T04:51:00Z</dcterms:created>
  <dcterms:modified xsi:type="dcterms:W3CDTF">2025-08-06T03:45:00Z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3659881b,d4f9943,2d7ca434,3c645a4c,199ce02e,2d74c954,3c6e1b5e,6cb7d4ea,3f64554e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c62a3d98-e4c9-4917-991a-0f0276b71296_Enabled">
    <vt:lpwstr>true</vt:lpwstr>
  </property>
  <property fmtid="{D5CDD505-2E9C-101B-9397-08002B2CF9AE}" pid="6" name="MSIP_Label_c62a3d98-e4c9-4917-991a-0f0276b71296_SetDate">
    <vt:lpwstr>2025-07-04T03:32:52Z</vt:lpwstr>
  </property>
  <property fmtid="{D5CDD505-2E9C-101B-9397-08002B2CF9AE}" pid="7" name="MSIP_Label_c62a3d98-e4c9-4917-991a-0f0276b71296_Method">
    <vt:lpwstr>Standard</vt:lpwstr>
  </property>
  <property fmtid="{D5CDD505-2E9C-101B-9397-08002B2CF9AE}" pid="8" name="MSIP_Label_c62a3d98-e4c9-4917-991a-0f0276b71296_Name">
    <vt:lpwstr>OFFICIAL</vt:lpwstr>
  </property>
  <property fmtid="{D5CDD505-2E9C-101B-9397-08002B2CF9AE}" pid="9" name="MSIP_Label_c62a3d98-e4c9-4917-991a-0f0276b71296_SiteId">
    <vt:lpwstr>5f894de5-5651-487a-aaff-5a8c899b254d</vt:lpwstr>
  </property>
  <property fmtid="{D5CDD505-2E9C-101B-9397-08002B2CF9AE}" pid="10" name="MSIP_Label_c62a3d98-e4c9-4917-991a-0f0276b71296_ActionId">
    <vt:lpwstr>be0f9feb-06f3-40b5-8fa0-a97f1ec61d4a</vt:lpwstr>
  </property>
  <property fmtid="{D5CDD505-2E9C-101B-9397-08002B2CF9AE}" pid="11" name="MSIP_Label_c62a3d98-e4c9-4917-991a-0f0276b71296_ContentBits">
    <vt:lpwstr>1</vt:lpwstr>
  </property>
  <property fmtid="{D5CDD505-2E9C-101B-9397-08002B2CF9AE}" pid="12" name="MSIP_Label_c62a3d98-e4c9-4917-991a-0f0276b71296_Tag">
    <vt:lpwstr>10, 3, 0, 1</vt:lpwstr>
  </property>
  <property fmtid="{D5CDD505-2E9C-101B-9397-08002B2CF9AE}" pid="13" name="ContentTypeId">
    <vt:lpwstr>0x01010027B7A59B0EC06B44B4A2534143EC783A</vt:lpwstr>
  </property>
  <property fmtid="{D5CDD505-2E9C-101B-9397-08002B2CF9AE}" pid="14" name="GrammarlyDocumentId">
    <vt:lpwstr>6ea3dacb-c5ab-45e8-b5fe-f54b71c335f8</vt:lpwstr>
  </property>
</Properties>
</file>