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9910" w14:textId="77777777" w:rsidR="006E621F" w:rsidRPr="00BE1D2C" w:rsidRDefault="006E621F" w:rsidP="006E621F">
      <w:pPr>
        <w:pStyle w:val="Heading1"/>
      </w:pPr>
      <w:bookmarkStart w:id="1" w:name="_Toc104887210"/>
      <w:r w:rsidRPr="00BE1D2C">
        <w:t>Executive summary</w:t>
      </w:r>
      <w:bookmarkEnd w:id="1"/>
    </w:p>
    <w:p w14:paraId="083FE5E4" w14:textId="77777777" w:rsidR="006E621F" w:rsidRPr="002979F7" w:rsidRDefault="006E621F" w:rsidP="006E621F">
      <w:pPr>
        <w:rPr>
          <w:lang w:val="en-US"/>
        </w:rPr>
      </w:pPr>
      <w:r>
        <w:t>The Essential Services Commission promotes protections for consumers experiencing vulnerability and supports access to regulated essential services for all Victorian consumers</w:t>
      </w:r>
      <w:r w:rsidRPr="002979F7">
        <w:rPr>
          <w:lang w:val="en-US"/>
        </w:rPr>
        <w:t xml:space="preserve">. </w:t>
      </w:r>
      <w:r w:rsidRPr="0E2D3ABB">
        <w:rPr>
          <w:lang w:val="en-US"/>
        </w:rPr>
        <w:t>A key objective of the commission</w:t>
      </w:r>
      <w:r w:rsidRPr="002979F7">
        <w:rPr>
          <w:lang w:val="en-US"/>
        </w:rPr>
        <w:t xml:space="preserve"> is breaking down the barriers consumers can face </w:t>
      </w:r>
      <w:r w:rsidRPr="0E2D3ABB">
        <w:rPr>
          <w:lang w:val="en-US"/>
        </w:rPr>
        <w:t>when</w:t>
      </w:r>
      <w:r w:rsidRPr="002979F7">
        <w:rPr>
          <w:lang w:val="en-US"/>
        </w:rPr>
        <w:t xml:space="preserve"> </w:t>
      </w:r>
      <w:r w:rsidRPr="0E2D3ABB">
        <w:rPr>
          <w:lang w:val="en-US"/>
        </w:rPr>
        <w:t>seeking</w:t>
      </w:r>
      <w:r w:rsidRPr="002979F7">
        <w:rPr>
          <w:lang w:val="en-US"/>
        </w:rPr>
        <w:t xml:space="preserve"> information and </w:t>
      </w:r>
      <w:r w:rsidRPr="0E2D3ABB">
        <w:rPr>
          <w:lang w:val="en-US"/>
        </w:rPr>
        <w:t>assistance</w:t>
      </w:r>
      <w:r w:rsidRPr="002979F7">
        <w:rPr>
          <w:lang w:val="en-US"/>
        </w:rPr>
        <w:t>.</w:t>
      </w:r>
    </w:p>
    <w:p w14:paraId="1662FE99" w14:textId="77777777" w:rsidR="006E621F" w:rsidRDefault="006E621F" w:rsidP="006E621F">
      <w:pPr>
        <w:rPr>
          <w:lang w:val="en-US"/>
        </w:rPr>
      </w:pPr>
      <w:r>
        <w:rPr>
          <w:lang w:val="en-US"/>
        </w:rPr>
        <w:t xml:space="preserve">One of our </w:t>
      </w:r>
      <w:r w:rsidRPr="002979F7">
        <w:rPr>
          <w:lang w:val="en-US"/>
        </w:rPr>
        <w:t>role</w:t>
      </w:r>
      <w:r>
        <w:rPr>
          <w:lang w:val="en-US"/>
        </w:rPr>
        <w:t>s</w:t>
      </w:r>
      <w:r w:rsidRPr="002979F7">
        <w:rPr>
          <w:lang w:val="en-US"/>
        </w:rPr>
        <w:t xml:space="preserve"> is to facilitate the effective implementation of </w:t>
      </w:r>
      <w:r w:rsidRPr="0E2D3ABB">
        <w:rPr>
          <w:lang w:val="en-US"/>
        </w:rPr>
        <w:t>regulations</w:t>
      </w:r>
      <w:r w:rsidRPr="002979F7">
        <w:rPr>
          <w:lang w:val="en-US"/>
        </w:rPr>
        <w:t xml:space="preserve"> for the energy industry</w:t>
      </w:r>
      <w:r>
        <w:rPr>
          <w:lang w:val="en-US"/>
        </w:rPr>
        <w:t>,</w:t>
      </w:r>
      <w:r w:rsidRPr="002979F7">
        <w:rPr>
          <w:lang w:val="en-US"/>
        </w:rPr>
        <w:t xml:space="preserve"> </w:t>
      </w:r>
      <w:r>
        <w:rPr>
          <w:lang w:val="en-US"/>
        </w:rPr>
        <w:t xml:space="preserve">which includes support for customers </w:t>
      </w:r>
      <w:r w:rsidRPr="0E2D3ABB">
        <w:rPr>
          <w:lang w:val="en-US"/>
        </w:rPr>
        <w:t xml:space="preserve">who are </w:t>
      </w:r>
      <w:r>
        <w:rPr>
          <w:lang w:val="en-US"/>
        </w:rPr>
        <w:t>having trouble paying</w:t>
      </w:r>
      <w:r w:rsidRPr="002979F7">
        <w:rPr>
          <w:lang w:val="en-US"/>
        </w:rPr>
        <w:t xml:space="preserve"> their energy bills.</w:t>
      </w:r>
      <w:r>
        <w:rPr>
          <w:lang w:val="en-US"/>
        </w:rPr>
        <w:t xml:space="preserve"> The </w:t>
      </w:r>
      <w:r w:rsidRPr="00EB2467">
        <w:rPr>
          <w:lang w:val="en-US"/>
        </w:rPr>
        <w:t xml:space="preserve">energy </w:t>
      </w:r>
      <w:r>
        <w:rPr>
          <w:lang w:val="en-US"/>
        </w:rPr>
        <w:t>p</w:t>
      </w:r>
      <w:r w:rsidRPr="00EB2467">
        <w:rPr>
          <w:lang w:val="en-US"/>
        </w:rPr>
        <w:t xml:space="preserve">ayment </w:t>
      </w:r>
      <w:r>
        <w:rPr>
          <w:lang w:val="en-US"/>
        </w:rPr>
        <w:t>d</w:t>
      </w:r>
      <w:r w:rsidRPr="00EB2467">
        <w:rPr>
          <w:lang w:val="en-US"/>
        </w:rPr>
        <w:t>ifficulty</w:t>
      </w:r>
      <w:r>
        <w:rPr>
          <w:lang w:val="en-US"/>
        </w:rPr>
        <w:t xml:space="preserve"> framework (the framework) was developed by the commission to reduce these barriers and support residential Victorian customers experiencing vulnerability.</w:t>
      </w:r>
    </w:p>
    <w:p w14:paraId="6ECDF1D8" w14:textId="77777777" w:rsidR="006E621F" w:rsidRDefault="006E621F" w:rsidP="006E621F">
      <w:pPr>
        <w:rPr>
          <w:lang w:val="en-US"/>
        </w:rPr>
      </w:pPr>
      <w:r>
        <w:rPr>
          <w:lang w:val="en-US"/>
        </w:rPr>
        <w:t>The framework was introduced in 2017 and came into effect on 1 January 2019 through amendments to the Energy Retail Code (now Energy Retail Code of Practice).</w:t>
      </w:r>
      <w:r>
        <w:rPr>
          <w:rStyle w:val="FootnoteReference"/>
          <w:lang w:val="en-US"/>
        </w:rPr>
        <w:footnoteReference w:id="1"/>
      </w:r>
      <w:r>
        <w:rPr>
          <w:lang w:val="en-US"/>
        </w:rPr>
        <w:t xml:space="preserve"> The framework seeks </w:t>
      </w:r>
      <w:r w:rsidRPr="00D87BBF">
        <w:rPr>
          <w:lang w:val="en-US"/>
        </w:rPr>
        <w:t xml:space="preserve">to </w:t>
      </w:r>
      <w:r w:rsidRPr="00E7691F">
        <w:rPr>
          <w:lang w:val="en-US"/>
        </w:rPr>
        <w:t>reduce the number of customers b</w:t>
      </w:r>
      <w:r w:rsidRPr="00D87BBF">
        <w:rPr>
          <w:lang w:val="en-US"/>
        </w:rPr>
        <w:t>eing disconnected</w:t>
      </w:r>
      <w:r>
        <w:rPr>
          <w:lang w:val="en-US"/>
        </w:rPr>
        <w:t xml:space="preserve"> for having energy </w:t>
      </w:r>
      <w:bookmarkStart w:id="3" w:name="_Int_beQr8kEr"/>
      <w:r>
        <w:rPr>
          <w:lang w:val="en-US"/>
        </w:rPr>
        <w:t>arrears and</w:t>
      </w:r>
      <w:bookmarkEnd w:id="3"/>
      <w:r>
        <w:rPr>
          <w:lang w:val="en-US"/>
        </w:rPr>
        <w:t xml:space="preserve"> does this by protecting and supporting residential customers to help pay their energy bills. The framework entitles Victorian energy customers anticipating or experiencing payment difficulty to </w:t>
      </w:r>
      <w:r w:rsidRPr="00384D41">
        <w:rPr>
          <w:lang w:val="en-US"/>
        </w:rPr>
        <w:t xml:space="preserve">minimum </w:t>
      </w:r>
      <w:r>
        <w:rPr>
          <w:lang w:val="en-US"/>
        </w:rPr>
        <w:t>levels of assistance. These minimum standards of assistance and the obligations for retailers in providing that assistance, are set out in the code.</w:t>
      </w:r>
    </w:p>
    <w:p w14:paraId="6DC3E97F" w14:textId="77777777" w:rsidR="006E621F" w:rsidRDefault="006E621F" w:rsidP="006E621F">
      <w:pPr>
        <w:rPr>
          <w:lang w:val="en-US"/>
        </w:rPr>
      </w:pPr>
      <w:r>
        <w:rPr>
          <w:lang w:val="en-US"/>
        </w:rPr>
        <w:t>The framework was developed to meet the following objectives:</w:t>
      </w:r>
    </w:p>
    <w:p w14:paraId="0FE19B0F" w14:textId="77777777" w:rsidR="006E621F" w:rsidRPr="007476B9" w:rsidRDefault="006E621F" w:rsidP="006E621F">
      <w:pPr>
        <w:pStyle w:val="ListParagraph"/>
        <w:numPr>
          <w:ilvl w:val="0"/>
          <w:numId w:val="35"/>
        </w:numPr>
      </w:pPr>
      <w:r w:rsidRPr="007476B9">
        <w:t xml:space="preserve">To help residential customers avoid getting into </w:t>
      </w:r>
      <w:r>
        <w:t>arrears</w:t>
      </w:r>
      <w:r w:rsidRPr="007476B9">
        <w:t xml:space="preserve"> with their retailer.</w:t>
      </w:r>
    </w:p>
    <w:p w14:paraId="5D0653E8" w14:textId="77777777" w:rsidR="006E621F" w:rsidRDefault="006E621F" w:rsidP="006E621F">
      <w:pPr>
        <w:pStyle w:val="ListParagraph"/>
        <w:numPr>
          <w:ilvl w:val="0"/>
          <w:numId w:val="35"/>
        </w:numPr>
      </w:pPr>
      <w:r w:rsidRPr="007476B9">
        <w:t xml:space="preserve">To make it easier for residential customers to pay for their ongoing energy use, repay their </w:t>
      </w:r>
      <w:r>
        <w:t>arrears</w:t>
      </w:r>
      <w:r w:rsidRPr="007476B9">
        <w:t xml:space="preserve"> when they have missed a bill</w:t>
      </w:r>
      <w:r>
        <w:t>,</w:t>
      </w:r>
      <w:r w:rsidRPr="007476B9">
        <w:t xml:space="preserve"> and lower their energy costs.</w:t>
      </w:r>
    </w:p>
    <w:p w14:paraId="56CDD3BB" w14:textId="77777777" w:rsidR="006E621F" w:rsidRPr="007476B9" w:rsidRDefault="006E621F" w:rsidP="006E621F">
      <w:pPr>
        <w:pStyle w:val="ListParagraph"/>
        <w:numPr>
          <w:ilvl w:val="0"/>
          <w:numId w:val="35"/>
        </w:numPr>
      </w:pPr>
      <w:r w:rsidRPr="007476B9">
        <w:t>To ensure residential customers are only disconnected for non-payment of a bill as a measure of last resort.</w:t>
      </w:r>
    </w:p>
    <w:p w14:paraId="31408EB7" w14:textId="77777777" w:rsidR="006E621F" w:rsidRDefault="006E621F" w:rsidP="006E621F">
      <w:pPr>
        <w:pStyle w:val="Heading2"/>
        <w:rPr>
          <w:lang w:val="en-US"/>
        </w:rPr>
      </w:pPr>
      <w:bookmarkStart w:id="4" w:name="_Toc104887211"/>
      <w:r>
        <w:rPr>
          <w:lang w:val="en-US"/>
        </w:rPr>
        <w:t>Our review of the effectiveness of the framework’s implementation</w:t>
      </w:r>
      <w:bookmarkEnd w:id="4"/>
    </w:p>
    <w:p w14:paraId="14AFDDE5" w14:textId="77777777" w:rsidR="006E621F" w:rsidRDefault="006E621F" w:rsidP="006E621F">
      <w:r>
        <w:t xml:space="preserve">We committed to holding a review into how energy retailers were applying the framework in </w:t>
      </w:r>
      <w:r w:rsidRPr="00FB17E5">
        <w:rPr>
          <w:lang w:val="en-US"/>
        </w:rPr>
        <w:t>practice</w:t>
      </w:r>
      <w:r>
        <w:t xml:space="preserve"> two years after its introduction. The aim was to consider the effectiveness of the framework as implemented by energy retailers against its objectives, and to identify areas for improvement. </w:t>
      </w:r>
    </w:p>
    <w:p w14:paraId="39E064BF" w14:textId="77777777" w:rsidR="006E621F" w:rsidRDefault="006E621F" w:rsidP="006E621F">
      <w:r>
        <w:lastRenderedPageBreak/>
        <w:t>Since September 2021, we have been gathering information to inform our review. This involved receiving and evaluating feedback and data directly from stakeholders, retailer data, publicly available consumers insights research, and analysis of call recordings between retailers and customers receiving payment assistance.</w:t>
      </w:r>
    </w:p>
    <w:p w14:paraId="7085C2F5" w14:textId="77777777" w:rsidR="006E621F" w:rsidRPr="00BD7D58" w:rsidRDefault="006E621F" w:rsidP="006E621F">
      <w:pPr>
        <w:pStyle w:val="Figure-Table-BoxHeading"/>
        <w:numPr>
          <w:ilvl w:val="0"/>
          <w:numId w:val="0"/>
        </w:numPr>
        <w:ind w:left="851" w:hanging="851"/>
      </w:pPr>
      <w:bookmarkStart w:id="5" w:name="_Ref103611256"/>
      <w:bookmarkStart w:id="6" w:name="_Toc102095465"/>
      <w:bookmarkStart w:id="7" w:name="_Ref99709330"/>
      <w:bookmarkStart w:id="8" w:name="_Ref103942618"/>
      <w:bookmarkStart w:id="9" w:name="_Ref103942620"/>
      <w:bookmarkStart w:id="10" w:name="_Toc103943771"/>
      <w:r>
        <w:t xml:space="preserve">Figure </w:t>
      </w:r>
      <w:r>
        <w:fldChar w:fldCharType="begin"/>
      </w:r>
      <w:r>
        <w:instrText>SEQ Figure \* ARABIC</w:instrText>
      </w:r>
      <w:r>
        <w:fldChar w:fldCharType="separate"/>
      </w:r>
      <w:r>
        <w:rPr>
          <w:noProof/>
        </w:rPr>
        <w:t>1</w:t>
      </w:r>
      <w:r>
        <w:fldChar w:fldCharType="end"/>
      </w:r>
      <w:bookmarkEnd w:id="5"/>
      <w:r>
        <w:tab/>
        <w:t>Our review timeline</w:t>
      </w:r>
      <w:bookmarkEnd w:id="6"/>
      <w:bookmarkEnd w:id="7"/>
      <w:bookmarkEnd w:id="8"/>
      <w:bookmarkEnd w:id="9"/>
      <w:bookmarkEnd w:id="10"/>
    </w:p>
    <w:p w14:paraId="56952D75" w14:textId="77777777" w:rsidR="006E621F" w:rsidRDefault="006E621F" w:rsidP="006E621F">
      <w:r>
        <w:rPr>
          <w:noProof/>
        </w:rPr>
        <w:drawing>
          <wp:inline distT="0" distB="0" distL="0" distR="0" wp14:anchorId="0B6F481F" wp14:editId="472E8528">
            <wp:extent cx="6120000" cy="2901192"/>
            <wp:effectExtent l="0" t="0" r="0" b="0"/>
            <wp:docPr id="100646" name="Picture 100646" descr="The timeline of the implementation review divided in two phases. The review launched in September 2021 and ended in May 2022 with the release of the findings report. The second phase involves a better practice program, ending in Augus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6" name="Picture 100646" descr="The timeline of the implementation review divided in two phases. The review launched in September 2021 and ended in May 2022 with the release of the findings report. The second phase involves a better practice program, ending in August 2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0" cy="2901192"/>
                    </a:xfrm>
                    <a:prstGeom prst="rect">
                      <a:avLst/>
                    </a:prstGeom>
                    <a:noFill/>
                  </pic:spPr>
                </pic:pic>
              </a:graphicData>
            </a:graphic>
          </wp:inline>
        </w:drawing>
      </w:r>
    </w:p>
    <w:p w14:paraId="33FDD678" w14:textId="77777777" w:rsidR="006E621F" w:rsidRDefault="006E621F" w:rsidP="006E621F">
      <w:r>
        <w:t>This report presents the key information and insights we have collected through this process. Our key findings provide the basis of our assessment of how effectively the framework has been implemented against its objectives since 2019.</w:t>
      </w:r>
    </w:p>
    <w:p w14:paraId="2C1981D3" w14:textId="77777777" w:rsidR="006E621F" w:rsidRDefault="006E621F" w:rsidP="006E621F">
      <w:r>
        <w:t>It is important to note that the framework’s implementation coincided with stay-at-home orders issued by the Victorian government to help contain the spread of COVID-19 during 2020 and 2021. Various temporary measures and supports providing financial assistance to individuals, households and businesses affected by the pandemic have</w:t>
      </w:r>
      <w:r w:rsidDel="00EB0138">
        <w:t xml:space="preserve"> </w:t>
      </w:r>
      <w:r>
        <w:t>affected how energy retailer responses operate, as well as customer needs and experiences during this period. We have considered this when making our key findings.</w:t>
      </w:r>
    </w:p>
    <w:p w14:paraId="69965963" w14:textId="77777777" w:rsidR="006E621F" w:rsidRDefault="006E621F" w:rsidP="006E621F">
      <w:r>
        <w:t xml:space="preserve">We have also highlighted opportunities for further collaboration across the sector, particularly between the commission, energy retailers, and consumer groups and advocates to improve the framework’s support of customers experiencing vulnerability. </w:t>
      </w:r>
    </w:p>
    <w:p w14:paraId="47F00DB8" w14:textId="77777777" w:rsidR="006E621F" w:rsidRDefault="006E621F" w:rsidP="006E621F">
      <w:bookmarkStart w:id="11" w:name="_Toc100135058"/>
      <w:bookmarkStart w:id="12" w:name="_Toc100098126"/>
      <w:bookmarkStart w:id="13" w:name="_Toc100145009"/>
      <w:r w:rsidRPr="00967DEE">
        <w:t>The release of this report marks the beginning of the next phase of our review. From June to August 2022, we will engage with stakeholders to facilitate discussions about better practice and to develop practical actions that focus on improving the operation of the framework, as identified in this report. The findings from our review, and the actions we develop with stakeholders will then inform our on-going regulatory work to implement the framework.</w:t>
      </w:r>
    </w:p>
    <w:p w14:paraId="5F4B351E" w14:textId="77777777" w:rsidR="006E621F" w:rsidRDefault="006E621F" w:rsidP="006E621F">
      <w:pPr>
        <w:pStyle w:val="Heading2"/>
        <w:pageBreakBefore/>
        <w:spacing w:before="0" w:after="0"/>
      </w:pPr>
      <w:bookmarkStart w:id="14" w:name="_Toc104887212"/>
      <w:r>
        <w:lastRenderedPageBreak/>
        <w:t>Victoria’s energy payment difficulty framework: At a</w:t>
      </w:r>
      <w:r w:rsidRPr="006A67CD">
        <w:t xml:space="preserve"> </w:t>
      </w:r>
      <w:r>
        <w:t>glance</w:t>
      </w:r>
      <w:bookmarkEnd w:id="14"/>
    </w:p>
    <w:p w14:paraId="6341A19A" w14:textId="77777777" w:rsidR="006E621F" w:rsidRPr="006A1639" w:rsidRDefault="006E621F" w:rsidP="006E621F">
      <w:pPr>
        <w:pStyle w:val="Heading2"/>
        <w:spacing w:before="0" w:after="0"/>
        <w:rPr>
          <w:bCs/>
        </w:rPr>
      </w:pPr>
      <w:bookmarkStart w:id="15" w:name="_Toc104887213"/>
      <w:r w:rsidRPr="006A1639">
        <w:rPr>
          <w:rFonts w:cs="Tahoma"/>
          <w:bCs/>
          <w:color w:val="4986A0" w:themeColor="text2"/>
          <w:sz w:val="24"/>
          <w:szCs w:val="24"/>
          <w:lang w:val="en-US"/>
        </w:rPr>
        <w:t>Positive and improved customer outcomes</w:t>
      </w:r>
      <w:bookmarkEnd w:id="15"/>
    </w:p>
    <w:p w14:paraId="67E18BC0" w14:textId="77777777" w:rsidR="006E621F" w:rsidRDefault="006E621F" w:rsidP="006E621F">
      <w:pPr>
        <w:spacing w:before="0" w:after="0" w:line="240" w:lineRule="auto"/>
        <w:jc w:val="center"/>
      </w:pPr>
      <w:r w:rsidRPr="00EF00D5">
        <w:drawing>
          <wp:inline distT="0" distB="0" distL="0" distR="0" wp14:anchorId="5EB73CB3" wp14:editId="36A091D2">
            <wp:extent cx="2773680" cy="1485900"/>
            <wp:effectExtent l="0" t="0" r="7620" b="0"/>
            <wp:docPr id="124" name="Picture 124" descr="Bar chart comparing hardship program customers before the framework in 2017-18 and tailored assistance customers in 2020-21. The number of customers receiving assistance increased by nearly 23000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Bar chart comparing hardship program customers before the framework in 2017-18 and tailored assistance customers in 2020-21. The number of customers receiving assistance increased by nearly 23000 peo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1485900"/>
                    </a:xfrm>
                    <a:prstGeom prst="rect">
                      <a:avLst/>
                    </a:prstGeom>
                    <a:noFill/>
                    <a:ln>
                      <a:noFill/>
                    </a:ln>
                  </pic:spPr>
                </pic:pic>
              </a:graphicData>
            </a:graphic>
          </wp:inline>
        </w:drawing>
      </w:r>
      <w:r>
        <w:tab/>
      </w:r>
      <w:r w:rsidRPr="00EF00D5">
        <w:drawing>
          <wp:inline distT="0" distB="0" distL="0" distR="0" wp14:anchorId="4906E341" wp14:editId="284916C5">
            <wp:extent cx="2773680" cy="1485900"/>
            <wp:effectExtent l="0" t="0" r="7620" b="0"/>
            <wp:docPr id="125" name="Picture 125" descr="Bar chat comparing electricity disconnections for unpaid bills over two time periods of July 2013 to June 2014, and April 2019 to March 2020. The launch of the framework saw a 34% decrease in dis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Bar chat comparing electricity disconnections for unpaid bills over two time periods of July 2013 to June 2014, and April 2019 to March 2020. The launch of the framework saw a 34% decrease in disconne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680" cy="1485900"/>
                    </a:xfrm>
                    <a:prstGeom prst="rect">
                      <a:avLst/>
                    </a:prstGeom>
                    <a:noFill/>
                    <a:ln>
                      <a:noFill/>
                    </a:ln>
                  </pic:spPr>
                </pic:pic>
              </a:graphicData>
            </a:graphic>
          </wp:inline>
        </w:drawing>
      </w:r>
    </w:p>
    <w:p w14:paraId="52BB39CA" w14:textId="77777777" w:rsidR="006E621F" w:rsidRDefault="006E621F" w:rsidP="006E621F">
      <w:pPr>
        <w:spacing w:before="0" w:after="0" w:line="240" w:lineRule="auto"/>
        <w:jc w:val="center"/>
        <w:rPr>
          <w:noProof/>
        </w:rPr>
      </w:pPr>
      <w:r w:rsidRPr="00EF00D5">
        <w:drawing>
          <wp:inline distT="0" distB="0" distL="0" distR="0" wp14:anchorId="16FB5B76" wp14:editId="43F073D1">
            <wp:extent cx="2773680" cy="1485900"/>
            <wp:effectExtent l="0" t="0" r="7620" b="0"/>
            <wp:docPr id="126" name="Picture 126" descr="Bar chart comparing the proportion of applications for utility relief grants after requesting forms from the Department of Families, Fairness, and Housing over two time periods of 2018-19 and 2021-22. There was a 34%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Bar chart comparing the proportion of applications for utility relief grants after requesting forms from the Department of Families, Fairness, and Housing over two time periods of 2018-19 and 2021-22. There was a 34% incr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1485900"/>
                    </a:xfrm>
                    <a:prstGeom prst="rect">
                      <a:avLst/>
                    </a:prstGeom>
                    <a:noFill/>
                    <a:ln>
                      <a:noFill/>
                    </a:ln>
                  </pic:spPr>
                </pic:pic>
              </a:graphicData>
            </a:graphic>
          </wp:inline>
        </w:drawing>
      </w:r>
      <w:r>
        <w:rPr>
          <w:noProof/>
        </w:rPr>
        <w:tab/>
      </w:r>
      <w:r w:rsidRPr="00EF00D5">
        <w:drawing>
          <wp:inline distT="0" distB="0" distL="0" distR="0" wp14:anchorId="7A97EA5F" wp14:editId="3107295C">
            <wp:extent cx="2773680" cy="1485900"/>
            <wp:effectExtent l="0" t="0" r="7620" b="0"/>
            <wp:docPr id="127" name="Picture 127" descr="Bar chart comparing the cost of electricity in dollars per kilo watt hour for tailored assistance customers and customers not receiving assistance in 2019 and 2020. Tailored assistance customers paid 30 cents, while customers not receiving assistance paid 33 c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Bar chart comparing the cost of electricity in dollars per kilo watt hour for tailored assistance customers and customers not receiving assistance in 2019 and 2020. Tailored assistance customers paid 30 cents, while customers not receiving assistance paid 33 c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680" cy="1485900"/>
                    </a:xfrm>
                    <a:prstGeom prst="rect">
                      <a:avLst/>
                    </a:prstGeom>
                    <a:noFill/>
                    <a:ln>
                      <a:noFill/>
                    </a:ln>
                  </pic:spPr>
                </pic:pic>
              </a:graphicData>
            </a:graphic>
          </wp:inline>
        </w:drawing>
      </w:r>
    </w:p>
    <w:p w14:paraId="73A4C994" w14:textId="77777777" w:rsidR="006E621F" w:rsidRDefault="006E621F" w:rsidP="006E621F">
      <w:pPr>
        <w:spacing w:before="0" w:after="120" w:line="259" w:lineRule="auto"/>
        <w:jc w:val="center"/>
      </w:pPr>
      <w:r>
        <w:rPr>
          <w:noProof/>
        </w:rPr>
        <mc:AlternateContent>
          <mc:Choice Requires="wps">
            <w:drawing>
              <wp:anchor distT="0" distB="0" distL="114300" distR="114300" simplePos="0" relativeHeight="251657216" behindDoc="1" locked="0" layoutInCell="1" allowOverlap="1" wp14:anchorId="7ACA8928" wp14:editId="46FCC276">
                <wp:simplePos x="0" y="0"/>
                <wp:positionH relativeFrom="column">
                  <wp:posOffset>-92293</wp:posOffset>
                </wp:positionH>
                <wp:positionV relativeFrom="paragraph">
                  <wp:posOffset>1487198</wp:posOffset>
                </wp:positionV>
                <wp:extent cx="6168390" cy="3385432"/>
                <wp:effectExtent l="0" t="0" r="3810" b="5715"/>
                <wp:wrapNone/>
                <wp:docPr id="99984" name="Rectangle 999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68390" cy="3385432"/>
                        </a:xfrm>
                        <a:prstGeom prst="rect">
                          <a:avLst/>
                        </a:prstGeom>
                        <a:solidFill>
                          <a:srgbClr val="FBFB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B6E48" id="Rectangle 99984" o:spid="_x0000_s1026" alt="&quot;&quot;" style="position:absolute;margin-left:-7.25pt;margin-top:117.1pt;width:485.7pt;height:26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" fillcolor="#fbfbfb" stroked="f" strokeweight="1pt"/>
            </w:pict>
          </mc:Fallback>
        </mc:AlternateContent>
      </w:r>
      <w:r w:rsidRPr="00EF00D5">
        <w:drawing>
          <wp:inline distT="0" distB="0" distL="0" distR="0" wp14:anchorId="69BCF751" wp14:editId="1168BF16">
            <wp:extent cx="1363980" cy="1485900"/>
            <wp:effectExtent l="0" t="0" r="7620" b="0"/>
            <wp:docPr id="99968" name="Picture 99968" descr="Infographic illustrating that 30% of customers cleared their arrears on exiting tailored assistance in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8" name="Picture 99968" descr="Infographic illustrating that 30% of customers cleared their arrears on exiting tailored assistance in 2020-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3980" cy="1485900"/>
                    </a:xfrm>
                    <a:prstGeom prst="rect">
                      <a:avLst/>
                    </a:prstGeom>
                    <a:noFill/>
                    <a:ln>
                      <a:noFill/>
                    </a:ln>
                  </pic:spPr>
                </pic:pic>
              </a:graphicData>
            </a:graphic>
          </wp:inline>
        </w:drawing>
      </w:r>
      <w:r>
        <w:tab/>
      </w:r>
      <w:r w:rsidRPr="00EF00D5">
        <w:drawing>
          <wp:inline distT="0" distB="0" distL="0" distR="0" wp14:anchorId="7A776E9A" wp14:editId="52DB1250">
            <wp:extent cx="1363980" cy="1485900"/>
            <wp:effectExtent l="0" t="0" r="7620" b="0"/>
            <wp:docPr id="99970" name="Picture 99970" descr="Infographic illustrating that 75% of customers accepted the assistance offered by retailers (based on the call recordings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0" name="Picture 99970" descr="Infographic illustrating that 75% of customers accepted the assistance offered by retailers (based on the call recordings stud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980" cy="1485900"/>
                    </a:xfrm>
                    <a:prstGeom prst="rect">
                      <a:avLst/>
                    </a:prstGeom>
                    <a:noFill/>
                    <a:ln>
                      <a:noFill/>
                    </a:ln>
                  </pic:spPr>
                </pic:pic>
              </a:graphicData>
            </a:graphic>
          </wp:inline>
        </w:drawing>
      </w:r>
      <w:r>
        <w:tab/>
      </w:r>
      <w:r w:rsidRPr="006C188B">
        <w:drawing>
          <wp:inline distT="0" distB="0" distL="0" distR="0" wp14:anchorId="395A7761" wp14:editId="5EA2A8CA">
            <wp:extent cx="1363980" cy="1485900"/>
            <wp:effectExtent l="0" t="0" r="7620" b="0"/>
            <wp:docPr id="99977" name="Picture 99977" descr="Infographic illustrating that 98% of operators showed respect for the customer (based on the call recordi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7" name="Picture 99977" descr="Infographic illustrating that 98% of operators showed respect for the customer (based on the call recording stud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3980" cy="1485900"/>
                    </a:xfrm>
                    <a:prstGeom prst="rect">
                      <a:avLst/>
                    </a:prstGeom>
                    <a:noFill/>
                    <a:ln>
                      <a:noFill/>
                    </a:ln>
                  </pic:spPr>
                </pic:pic>
              </a:graphicData>
            </a:graphic>
          </wp:inline>
        </w:drawing>
      </w:r>
    </w:p>
    <w:p w14:paraId="13D632BF" w14:textId="77777777" w:rsidR="006E621F" w:rsidRPr="0087247B" w:rsidRDefault="006E621F" w:rsidP="006E621F">
      <w:pPr>
        <w:spacing w:before="80" w:after="80" w:line="240" w:lineRule="auto"/>
        <w:rPr>
          <w:rFonts w:ascii="Tahoma" w:hAnsi="Tahoma" w:cs="Tahoma"/>
          <w:b/>
          <w:bCs/>
          <w:color w:val="CE0058" w:themeColor="accent2"/>
          <w:sz w:val="24"/>
          <w:szCs w:val="24"/>
          <w:lang w:val="en-US"/>
        </w:rPr>
      </w:pPr>
      <w:r w:rsidRPr="0087247B">
        <w:rPr>
          <w:rFonts w:ascii="Tahoma" w:hAnsi="Tahoma" w:cs="Tahoma"/>
          <w:b/>
          <w:bCs/>
          <w:color w:val="CE0058" w:themeColor="accent2"/>
          <w:sz w:val="24"/>
          <w:szCs w:val="24"/>
          <w:lang w:val="en-US"/>
        </w:rPr>
        <w:t>Negative customer outcomes</w:t>
      </w:r>
    </w:p>
    <w:p w14:paraId="1B658628" w14:textId="77777777" w:rsidR="006E621F" w:rsidRDefault="006E621F" w:rsidP="006E621F">
      <w:pPr>
        <w:spacing w:before="0" w:after="0" w:line="259" w:lineRule="auto"/>
        <w:jc w:val="center"/>
        <w:rPr>
          <w:noProof/>
        </w:rPr>
      </w:pPr>
      <w:r w:rsidRPr="008867BC">
        <w:drawing>
          <wp:inline distT="0" distB="0" distL="0" distR="0" wp14:anchorId="21324472" wp14:editId="207894F2">
            <wp:extent cx="2773680" cy="1485900"/>
            <wp:effectExtent l="0" t="0" r="0" b="0"/>
            <wp:docPr id="99980" name="Picture 99980" descr="Bar chart comparing the median customer electricity usage of tailored assistance customers with customers not receiving assistance. Tailored assistance customers use 5 kilo watt hour per day more than customers not receiving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0" name="Picture 99980" descr="Bar chart comparing the median customer electricity usage of tailored assistance customers with customers not receiving assistance. Tailored assistance customers use 5 kilo watt hour per day more than customers not receiving assista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3680" cy="1485900"/>
                    </a:xfrm>
                    <a:prstGeom prst="rect">
                      <a:avLst/>
                    </a:prstGeom>
                    <a:noFill/>
                    <a:ln>
                      <a:noFill/>
                    </a:ln>
                  </pic:spPr>
                </pic:pic>
              </a:graphicData>
            </a:graphic>
          </wp:inline>
        </w:drawing>
      </w:r>
      <w:r>
        <w:rPr>
          <w:noProof/>
        </w:rPr>
        <w:tab/>
      </w:r>
      <w:r w:rsidRPr="001E1B9A">
        <w:drawing>
          <wp:inline distT="0" distB="0" distL="0" distR="0" wp14:anchorId="4CF6BEFC" wp14:editId="3109B6CB">
            <wp:extent cx="2773680" cy="1485900"/>
            <wp:effectExtent l="0" t="0" r="0" b="0"/>
            <wp:docPr id="99982" name="Picture 99982" descr="Bar chart comparing the average customer arrears when starting tailored assistance over two time periods of 2018-19 and 2020-21. There has been a 16%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2" name="Picture 99982" descr="Bar chart comparing the average customer arrears when starting tailored assistance over two time periods of 2018-19 and 2020-21. There has been a 16% increa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3680" cy="1485900"/>
                    </a:xfrm>
                    <a:prstGeom prst="rect">
                      <a:avLst/>
                    </a:prstGeom>
                    <a:noFill/>
                    <a:ln>
                      <a:noFill/>
                    </a:ln>
                  </pic:spPr>
                </pic:pic>
              </a:graphicData>
            </a:graphic>
          </wp:inline>
        </w:drawing>
      </w:r>
    </w:p>
    <w:p w14:paraId="20D86BEC" w14:textId="77777777" w:rsidR="006E621F" w:rsidRDefault="006E621F" w:rsidP="006E621F">
      <w:pPr>
        <w:spacing w:before="0" w:after="0" w:line="240" w:lineRule="auto"/>
        <w:jc w:val="center"/>
        <w:rPr>
          <w:noProof/>
        </w:rPr>
      </w:pPr>
      <w:r w:rsidRPr="001E1B9A">
        <w:drawing>
          <wp:inline distT="0" distB="0" distL="0" distR="0" wp14:anchorId="5CB65D24" wp14:editId="5B200E49">
            <wp:extent cx="1981200" cy="1485900"/>
            <wp:effectExtent l="0" t="0" r="0" b="0"/>
            <wp:docPr id="99996" name="Picture 99996" descr="Infographic illustrating that 38% of customers exited tailored assistance for not making payments in 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6" name="Picture 99996" descr="Infographic illustrating that 38% of customers exited tailored assistance for not making payments in 2020-20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77D0E90C" wp14:editId="24896C18">
                <wp:simplePos x="0" y="0"/>
                <wp:positionH relativeFrom="column">
                  <wp:posOffset>-139066</wp:posOffset>
                </wp:positionH>
                <wp:positionV relativeFrom="page">
                  <wp:posOffset>9115425</wp:posOffset>
                </wp:positionV>
                <wp:extent cx="6216015" cy="391795"/>
                <wp:effectExtent l="0" t="0" r="0" b="8255"/>
                <wp:wrapNone/>
                <wp:docPr id="12" name="Text Box 12"/>
                <wp:cNvGraphicFramePr/>
                <a:graphic xmlns:a="http://schemas.openxmlformats.org/drawingml/2006/main">
                  <a:graphicData uri="http://schemas.microsoft.com/office/word/2010/wordprocessingShape">
                    <wps:wsp>
                      <wps:cNvSpPr txBox="1"/>
                      <wps:spPr>
                        <a:xfrm>
                          <a:off x="0" y="0"/>
                          <a:ext cx="6216015" cy="391795"/>
                        </a:xfrm>
                        <a:prstGeom prst="rect">
                          <a:avLst/>
                        </a:prstGeom>
                        <a:solidFill>
                          <a:schemeClr val="lt1"/>
                        </a:solidFill>
                        <a:ln w="6350">
                          <a:noFill/>
                        </a:ln>
                      </wps:spPr>
                      <wps:txbx>
                        <w:txbxContent>
                          <w:p w14:paraId="496AE129" w14:textId="77777777" w:rsidR="006E621F" w:rsidRDefault="006E621F" w:rsidP="006E621F">
                            <w:pPr>
                              <w:spacing w:before="0" w:after="0" w:line="240" w:lineRule="auto"/>
                              <w:rPr>
                                <w:color w:val="A6A6A6" w:themeColor="background1" w:themeShade="A6"/>
                                <w:sz w:val="16"/>
                                <w:szCs w:val="16"/>
                                <w:lang w:val="en-US"/>
                              </w:rPr>
                            </w:pPr>
                            <w:r w:rsidRPr="007C2CF7">
                              <w:rPr>
                                <w:color w:val="A6A6A6" w:themeColor="background1" w:themeShade="A6"/>
                                <w:sz w:val="16"/>
                                <w:szCs w:val="16"/>
                                <w:lang w:val="en-US"/>
                              </w:rPr>
                              <w:t>*</w:t>
                            </w:r>
                            <w:r>
                              <w:rPr>
                                <w:color w:val="A6A6A6" w:themeColor="background1" w:themeShade="A6"/>
                                <w:sz w:val="16"/>
                                <w:szCs w:val="16"/>
                                <w:lang w:val="en-US"/>
                              </w:rPr>
                              <w:t>D</w:t>
                            </w:r>
                            <w:r w:rsidRPr="007C2CF7">
                              <w:rPr>
                                <w:color w:val="A6A6A6" w:themeColor="background1" w:themeShade="A6"/>
                                <w:sz w:val="16"/>
                                <w:szCs w:val="16"/>
                                <w:lang w:val="en-US"/>
                              </w:rPr>
                              <w:t xml:space="preserve">efined as hardship customers </w:t>
                            </w:r>
                            <w:r>
                              <w:rPr>
                                <w:color w:val="A6A6A6" w:themeColor="background1" w:themeShade="A6"/>
                                <w:sz w:val="16"/>
                                <w:szCs w:val="16"/>
                                <w:lang w:val="en-US"/>
                              </w:rPr>
                              <w:t xml:space="preserve">in the </w:t>
                            </w:r>
                            <w:r w:rsidRPr="007C2CF7">
                              <w:rPr>
                                <w:color w:val="A6A6A6" w:themeColor="background1" w:themeShade="A6"/>
                                <w:sz w:val="16"/>
                                <w:szCs w:val="16"/>
                                <w:lang w:val="en-US"/>
                              </w:rPr>
                              <w:t>data</w:t>
                            </w:r>
                          </w:p>
                          <w:p w14:paraId="244CC181" w14:textId="77777777" w:rsidR="006E621F" w:rsidRPr="007C2CF7" w:rsidRDefault="006E621F" w:rsidP="006E621F">
                            <w:pPr>
                              <w:spacing w:before="0" w:after="0" w:line="240" w:lineRule="auto"/>
                              <w:rPr>
                                <w:color w:val="A6A6A6" w:themeColor="background1" w:themeShade="A6"/>
                                <w:sz w:val="16"/>
                                <w:szCs w:val="16"/>
                                <w:lang w:val="en-US"/>
                              </w:rPr>
                            </w:pPr>
                            <w:r>
                              <w:rPr>
                                <w:color w:val="A6A6A6" w:themeColor="background1" w:themeShade="A6"/>
                                <w:sz w:val="16"/>
                                <w:szCs w:val="16"/>
                                <w:lang w:val="en-US"/>
                              </w:rPr>
                              <w:t>**Between January 2019 and June 2020, which captures the disconnections that occurred in the period prior to the 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0E90C" id="_x0000_t202" coordsize="21600,21600" o:spt="202" path="m,l,21600r21600,l21600,xe">
                <v:stroke joinstyle="miter"/>
                <v:path gradientshapeok="t" o:connecttype="rect"/>
              </v:shapetype>
              <v:shape id="Text Box 12" o:spid="_x0000_s1026" type="#_x0000_t202" style="position:absolute;left:0;text-align:left;margin-left:-10.95pt;margin-top:717.75pt;width:489.45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" fillcolor="white [3201]" stroked="f" strokeweight=".5pt">
                <v:textbox>
                  <w:txbxContent>
                    <w:p w14:paraId="496AE129" w14:textId="77777777" w:rsidR="006E621F" w:rsidRDefault="006E621F" w:rsidP="006E621F">
                      <w:pPr>
                        <w:spacing w:before="0" w:after="0" w:line="240" w:lineRule="auto"/>
                        <w:rPr>
                          <w:color w:val="A6A6A6" w:themeColor="background1" w:themeShade="A6"/>
                          <w:sz w:val="16"/>
                          <w:szCs w:val="16"/>
                          <w:lang w:val="en-US"/>
                        </w:rPr>
                      </w:pPr>
                      <w:r w:rsidRPr="007C2CF7">
                        <w:rPr>
                          <w:color w:val="A6A6A6" w:themeColor="background1" w:themeShade="A6"/>
                          <w:sz w:val="16"/>
                          <w:szCs w:val="16"/>
                          <w:lang w:val="en-US"/>
                        </w:rPr>
                        <w:t>*</w:t>
                      </w:r>
                      <w:r>
                        <w:rPr>
                          <w:color w:val="A6A6A6" w:themeColor="background1" w:themeShade="A6"/>
                          <w:sz w:val="16"/>
                          <w:szCs w:val="16"/>
                          <w:lang w:val="en-US"/>
                        </w:rPr>
                        <w:t>D</w:t>
                      </w:r>
                      <w:r w:rsidRPr="007C2CF7">
                        <w:rPr>
                          <w:color w:val="A6A6A6" w:themeColor="background1" w:themeShade="A6"/>
                          <w:sz w:val="16"/>
                          <w:szCs w:val="16"/>
                          <w:lang w:val="en-US"/>
                        </w:rPr>
                        <w:t xml:space="preserve">efined as hardship customers </w:t>
                      </w:r>
                      <w:r>
                        <w:rPr>
                          <w:color w:val="A6A6A6" w:themeColor="background1" w:themeShade="A6"/>
                          <w:sz w:val="16"/>
                          <w:szCs w:val="16"/>
                          <w:lang w:val="en-US"/>
                        </w:rPr>
                        <w:t xml:space="preserve">in the </w:t>
                      </w:r>
                      <w:r w:rsidRPr="007C2CF7">
                        <w:rPr>
                          <w:color w:val="A6A6A6" w:themeColor="background1" w:themeShade="A6"/>
                          <w:sz w:val="16"/>
                          <w:szCs w:val="16"/>
                          <w:lang w:val="en-US"/>
                        </w:rPr>
                        <w:t>data</w:t>
                      </w:r>
                    </w:p>
                    <w:p w14:paraId="244CC181" w14:textId="77777777" w:rsidR="006E621F" w:rsidRPr="007C2CF7" w:rsidRDefault="006E621F" w:rsidP="006E621F">
                      <w:pPr>
                        <w:spacing w:before="0" w:after="0" w:line="240" w:lineRule="auto"/>
                        <w:rPr>
                          <w:color w:val="A6A6A6" w:themeColor="background1" w:themeShade="A6"/>
                          <w:sz w:val="16"/>
                          <w:szCs w:val="16"/>
                          <w:lang w:val="en-US"/>
                        </w:rPr>
                      </w:pPr>
                      <w:r>
                        <w:rPr>
                          <w:color w:val="A6A6A6" w:themeColor="background1" w:themeShade="A6"/>
                          <w:sz w:val="16"/>
                          <w:szCs w:val="16"/>
                          <w:lang w:val="en-US"/>
                        </w:rPr>
                        <w:t>**Between January 2019 and June 2020, which captures the disconnections that occurred in the period prior to the pandemic.</w:t>
                      </w:r>
                    </w:p>
                  </w:txbxContent>
                </v:textbox>
                <w10:wrap anchory="page"/>
              </v:shape>
            </w:pict>
          </mc:Fallback>
        </mc:AlternateContent>
      </w:r>
      <w:r w:rsidRPr="00FE09F3">
        <w:rPr>
          <w:noProof/>
        </w:rPr>
        <w:t xml:space="preserve"> </w:t>
      </w:r>
      <w:r>
        <w:rPr>
          <w:noProof/>
        </w:rPr>
        <w:t xml:space="preserve"> </w:t>
      </w:r>
      <w:r w:rsidRPr="008351F2">
        <w:drawing>
          <wp:inline distT="0" distB="0" distL="0" distR="0" wp14:anchorId="47049C93" wp14:editId="16F794A9">
            <wp:extent cx="1981200" cy="1485900"/>
            <wp:effectExtent l="0" t="0" r="0" b="0"/>
            <wp:docPr id="100008" name="Picture 100008" descr="Infographic illustrating that 56% of disconnected customers had not previously received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Picture 100008" descr="Infographic illustrating that 56% of disconnected customers had not previously received assista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14:paraId="29B109D6" w14:textId="77777777" w:rsidR="006E621F" w:rsidRPr="00397008" w:rsidRDefault="006E621F" w:rsidP="006E621F">
      <w:pPr>
        <w:pStyle w:val="Heading2"/>
        <w:rPr>
          <w:color w:val="ED8B00" w:themeColor="accent4"/>
        </w:rPr>
      </w:pPr>
      <w:bookmarkStart w:id="16" w:name="_Toc104887214"/>
      <w:r w:rsidRPr="00397008">
        <w:rPr>
          <w:color w:val="ED8B00" w:themeColor="accent4"/>
        </w:rPr>
        <w:lastRenderedPageBreak/>
        <w:t>Examples of variable customer outcomes across retailers</w:t>
      </w:r>
      <w:bookmarkEnd w:id="16"/>
    </w:p>
    <w:p w14:paraId="07D32D10" w14:textId="77777777" w:rsidR="006E621F" w:rsidRPr="00A26AC4" w:rsidRDefault="006E621F" w:rsidP="006E621F">
      <w:pPr>
        <w:pStyle w:val="Figureheading"/>
        <w:spacing w:before="360"/>
      </w:pPr>
      <w:r w:rsidRPr="00A26AC4">
        <w:t xml:space="preserve">Average customer arrears when </w:t>
      </w:r>
      <w:r>
        <w:t>starting</w:t>
      </w:r>
      <w:r w:rsidRPr="00A26AC4">
        <w:t xml:space="preserve"> tailored assistance</w:t>
      </w:r>
      <w:r>
        <w:t xml:space="preserve"> for c</w:t>
      </w:r>
      <w:r w:rsidRPr="00A26AC4">
        <w:t xml:space="preserve">ustomers who can pay for </w:t>
      </w:r>
      <w:r>
        <w:t xml:space="preserve">their </w:t>
      </w:r>
      <w:r w:rsidRPr="00A26AC4">
        <w:t>on-going usage, 2020-21, by retailer</w:t>
      </w:r>
    </w:p>
    <w:p w14:paraId="4B747BE1" w14:textId="77777777" w:rsidR="006E621F" w:rsidRDefault="006E621F" w:rsidP="006E621F">
      <w:pPr>
        <w:pStyle w:val="Caption"/>
      </w:pPr>
      <w:r w:rsidRPr="00A95A48">
        <w:drawing>
          <wp:inline distT="0" distB="0" distL="0" distR="0" wp14:anchorId="330EE865" wp14:editId="5DF62BBA">
            <wp:extent cx="6120130" cy="2374900"/>
            <wp:effectExtent l="0" t="0" r="0" b="6350"/>
            <wp:docPr id="2" name="Picture 2" descr="Bar chart showing the average electricity arrears for customers who can pay for their ongoing usage when commencing tailored assistance in 2020-21. The chart is sorted by large, medium, and small retailers. There is great variance in the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r chart showing the average electricity arrears for customers who can pay for their ongoing usage when commencing tailored assistance in 2020-21. The chart is sorted by large, medium, and small retailers. There is great variance in the outcom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2374900"/>
                    </a:xfrm>
                    <a:prstGeom prst="rect">
                      <a:avLst/>
                    </a:prstGeom>
                    <a:noFill/>
                    <a:ln>
                      <a:noFill/>
                    </a:ln>
                  </pic:spPr>
                </pic:pic>
              </a:graphicData>
            </a:graphic>
          </wp:inline>
        </w:drawing>
      </w:r>
    </w:p>
    <w:p w14:paraId="4EC14200" w14:textId="77777777" w:rsidR="006E621F" w:rsidRDefault="006E621F" w:rsidP="006E621F">
      <w:pPr>
        <w:pStyle w:val="Caption"/>
      </w:pPr>
      <w:r>
        <w:t>Source:</w:t>
      </w:r>
      <w:r w:rsidRPr="007217E0">
        <w:t xml:space="preserve"> </w:t>
      </w:r>
      <w:r>
        <w:t xml:space="preserve">Voluntary data request to retailers to inform the review. </w:t>
      </w:r>
      <w:r w:rsidRPr="00F72789">
        <w:t>Note: Some small retailers are not shown due to the retailer either not having tailored assistance customers, or no applicable data relevant to this metric for this time-period.</w:t>
      </w:r>
      <w:r>
        <w:t xml:space="preserve"> </w:t>
      </w:r>
    </w:p>
    <w:p w14:paraId="670DDCFA" w14:textId="77777777" w:rsidR="006E621F" w:rsidRPr="00397008" w:rsidRDefault="006E621F" w:rsidP="006E621F">
      <w:pPr>
        <w:pStyle w:val="Figureheading"/>
        <w:spacing w:before="360"/>
      </w:pPr>
      <w:r w:rsidRPr="00397008">
        <w:t>Proportion of applications for utility relief grants after requesting forms from the Department of Families, Fairness and Housing</w:t>
      </w:r>
      <w:r>
        <w:t xml:space="preserve">, </w:t>
      </w:r>
      <w:r w:rsidRPr="00397008">
        <w:t>2020-22, by retailer</w:t>
      </w:r>
    </w:p>
    <w:p w14:paraId="19E36101" w14:textId="77777777" w:rsidR="006E621F" w:rsidRDefault="006E621F" w:rsidP="006E621F">
      <w:pPr>
        <w:spacing w:before="0" w:after="80" w:line="288" w:lineRule="auto"/>
        <w:rPr>
          <w:b/>
          <w:color w:val="4986A0" w:themeColor="accent3"/>
        </w:rPr>
      </w:pPr>
      <w:r w:rsidRPr="00DF183A">
        <w:rPr>
          <w:noProof/>
        </w:rPr>
        <w:drawing>
          <wp:inline distT="0" distB="0" distL="0" distR="0" wp14:anchorId="47F871E3" wp14:editId="2135D9D9">
            <wp:extent cx="6120130" cy="2519045"/>
            <wp:effectExtent l="0" t="0" r="0" b="0"/>
            <wp:docPr id="83" name="Picture 83" descr="Bar chart showing the Percentage of utility relief grant applications being submitted to the Department of Families, Fairness and Housing compared to number of forms being requested, by retailer for two time periods, 2020-21 and 2021-22. Retailers are  deidentified. The chart is sorted by large, medium, and small retailers. There is great variance in the perce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Bar chart showing the Percentage of utility relief grant applications being submitted to the Department of Families, Fairness and Housing compared to number of forms being requested, by retailer for two time periods, 2020-21 and 2021-22. Retailers are  deidentified. The chart is sorted by large, medium, and small retailers. There is great variance in the percentag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2519045"/>
                    </a:xfrm>
                    <a:prstGeom prst="rect">
                      <a:avLst/>
                    </a:prstGeom>
                    <a:noFill/>
                    <a:ln>
                      <a:noFill/>
                    </a:ln>
                  </pic:spPr>
                </pic:pic>
              </a:graphicData>
            </a:graphic>
          </wp:inline>
        </w:drawing>
      </w:r>
    </w:p>
    <w:p w14:paraId="430D1258" w14:textId="77777777" w:rsidR="006E621F" w:rsidRDefault="006E621F" w:rsidP="006E621F">
      <w:pPr>
        <w:spacing w:before="0" w:after="80" w:line="288" w:lineRule="auto"/>
        <w:rPr>
          <w:b/>
          <w:color w:val="4986A0" w:themeColor="accent3"/>
        </w:rPr>
      </w:pPr>
      <w:r w:rsidRPr="00A95A48">
        <w:drawing>
          <wp:inline distT="0" distB="0" distL="0" distR="0" wp14:anchorId="29F31F24" wp14:editId="6EFE8297">
            <wp:extent cx="6116955" cy="2521585"/>
            <wp:effectExtent l="0" t="0" r="0" b="0"/>
            <wp:docPr id="3" name="Picture 3" descr="Bar chart showing the Percentage of utility relief grant applications being submitted to the Department of Families, Fairness and Housing compared to number of forms being requested, by retailer for two time periods, 2020-21 and 2021-22. Retailers are  deidentified. The chart is sorted by large, medium, and small retailers. There is great variance in the perce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 showing the Percentage of utility relief grant applications being submitted to the Department of Families, Fairness and Housing compared to number of forms being requested, by retailer for two time periods, 2020-21 and 2021-22. Retailers are  deidentified. The chart is sorted by large, medium, and small retailers. There is great variance in the percentag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955" cy="2521585"/>
                    </a:xfrm>
                    <a:prstGeom prst="rect">
                      <a:avLst/>
                    </a:prstGeom>
                    <a:noFill/>
                    <a:ln>
                      <a:noFill/>
                    </a:ln>
                  </pic:spPr>
                </pic:pic>
              </a:graphicData>
            </a:graphic>
          </wp:inline>
        </w:drawing>
      </w:r>
    </w:p>
    <w:p w14:paraId="67858F89" w14:textId="77777777" w:rsidR="006E621F" w:rsidRPr="002D57E3" w:rsidRDefault="006E621F" w:rsidP="006E621F">
      <w:pPr>
        <w:pStyle w:val="Caption"/>
      </w:pPr>
      <w:r w:rsidRPr="008A18B9">
        <w:t>Source</w:t>
      </w:r>
      <w:r>
        <w:t>: Data from Department of Families, Fairness and Housing Victoria</w:t>
      </w:r>
    </w:p>
    <w:p w14:paraId="09E0653F" w14:textId="77777777" w:rsidR="006E621F" w:rsidRDefault="006E621F" w:rsidP="006E621F">
      <w:pPr>
        <w:spacing w:before="0" w:line="259" w:lineRule="auto"/>
        <w:rPr>
          <w:rFonts w:asciiTheme="majorHAnsi" w:eastAsiaTheme="majorEastAsia" w:hAnsiTheme="majorHAnsi" w:cstheme="majorBidi"/>
          <w:color w:val="4986A0" w:themeColor="accent3"/>
          <w:szCs w:val="24"/>
          <w:lang w:val="en-US"/>
        </w:rPr>
      </w:pPr>
      <w:r>
        <w:rPr>
          <w:b/>
          <w:color w:val="4986A0" w:themeColor="accent3"/>
        </w:rPr>
        <w:br w:type="page"/>
      </w:r>
    </w:p>
    <w:p w14:paraId="0098D9A3" w14:textId="77777777" w:rsidR="006E621F" w:rsidRDefault="006E621F" w:rsidP="006E621F">
      <w:pPr>
        <w:spacing w:before="0" w:after="80" w:line="288" w:lineRule="auto"/>
        <w:rPr>
          <w:b/>
          <w:color w:val="4986A0" w:themeColor="accent3"/>
        </w:rPr>
      </w:pPr>
    </w:p>
    <w:p w14:paraId="02E1FB17" w14:textId="77777777" w:rsidR="006E621F" w:rsidRPr="00397008" w:rsidRDefault="006E621F" w:rsidP="006E621F">
      <w:pPr>
        <w:pStyle w:val="Figureheading"/>
        <w:spacing w:before="360"/>
      </w:pPr>
      <w:r w:rsidRPr="00397008">
        <w:t>Proportion of customers successfully clearing their arrears on exiting tailored assistance</w:t>
      </w:r>
      <w:r>
        <w:t xml:space="preserve"> for c</w:t>
      </w:r>
      <w:r w:rsidRPr="00397008">
        <w:t>ustomers who can pay for their on-going usage, 2020-21, by retailer</w:t>
      </w:r>
    </w:p>
    <w:p w14:paraId="326A4FAA" w14:textId="77777777" w:rsidR="006E621F" w:rsidRDefault="006E621F" w:rsidP="006E621F">
      <w:pPr>
        <w:spacing w:before="0" w:after="80" w:line="288" w:lineRule="auto"/>
        <w:rPr>
          <w:b/>
          <w:bCs/>
        </w:rPr>
      </w:pPr>
      <w:r w:rsidRPr="001261FB">
        <w:drawing>
          <wp:inline distT="0" distB="0" distL="0" distR="0" wp14:anchorId="34E4C4E1" wp14:editId="4761C67A">
            <wp:extent cx="6109970" cy="2521585"/>
            <wp:effectExtent l="0" t="0" r="5080" b="0"/>
            <wp:docPr id="49" name="Picture 49" descr="Bar chart showing Proportion of customers successfully clearing their arrears on exiting tailored assistance for customers who can pay for their on-going usage, in 2020-21, by retailer. The chart is sorted by large, medium, and small retailers. There is great variance in the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r chart showing Proportion of customers successfully clearing their arrears on exiting tailored assistance for customers who can pay for their on-going usage, in 2020-21, by retailer. The chart is sorted by large, medium, and small retailers. There is great variance in the outcom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9970" cy="2521585"/>
                    </a:xfrm>
                    <a:prstGeom prst="rect">
                      <a:avLst/>
                    </a:prstGeom>
                    <a:noFill/>
                    <a:ln>
                      <a:noFill/>
                    </a:ln>
                  </pic:spPr>
                </pic:pic>
              </a:graphicData>
            </a:graphic>
          </wp:inline>
        </w:drawing>
      </w:r>
    </w:p>
    <w:p w14:paraId="337EF579" w14:textId="77777777" w:rsidR="006E621F" w:rsidRPr="006B7038" w:rsidRDefault="006E621F" w:rsidP="006E621F">
      <w:pPr>
        <w:pStyle w:val="Caption"/>
      </w:pPr>
      <w:r>
        <w:t xml:space="preserve">Source: Voluntary data request to retailers to inform </w:t>
      </w:r>
      <w:r w:rsidRPr="008D156A">
        <w:t>the</w:t>
      </w:r>
      <w:r>
        <w:t xml:space="preserve"> review. </w:t>
      </w:r>
      <w:r w:rsidRPr="00F72789">
        <w:t>Note: Some small retailers are not shown due to the retailer either not having tailored assistance customers, or no applicable data relevant to this metric for this time-period.</w:t>
      </w:r>
      <w:r>
        <w:t xml:space="preserve"> </w:t>
      </w:r>
    </w:p>
    <w:p w14:paraId="289C03CE" w14:textId="77777777" w:rsidR="006E621F" w:rsidRDefault="006E621F" w:rsidP="006E621F">
      <w:pPr>
        <w:spacing w:before="0" w:after="80" w:line="288" w:lineRule="auto"/>
        <w:rPr>
          <w:b/>
          <w:bCs/>
        </w:rPr>
      </w:pPr>
    </w:p>
    <w:p w14:paraId="044AB3B1" w14:textId="77777777" w:rsidR="006E621F" w:rsidRDefault="006E621F" w:rsidP="006E621F">
      <w:pPr>
        <w:pStyle w:val="Figureheading"/>
        <w:spacing w:before="360"/>
        <w:rPr>
          <w:b w:val="0"/>
        </w:rPr>
      </w:pPr>
      <w:r w:rsidRPr="00066137">
        <w:t xml:space="preserve">Disconnections for unpaid bills </w:t>
      </w:r>
      <w:r>
        <w:t>(</w:t>
      </w:r>
      <w:r w:rsidRPr="00066137">
        <w:t>per 100 residential electricity customers</w:t>
      </w:r>
      <w:r>
        <w:t>)</w:t>
      </w:r>
      <w:r w:rsidRPr="00066137">
        <w:t xml:space="preserve"> </w:t>
      </w:r>
      <w:r>
        <w:t>by retailer, deidentified</w:t>
      </w:r>
    </w:p>
    <w:p w14:paraId="40DC51D3" w14:textId="77777777" w:rsidR="006E621F" w:rsidRPr="00EC6B58" w:rsidRDefault="006E621F" w:rsidP="006E621F">
      <w:pPr>
        <w:spacing w:before="0" w:after="80" w:line="288" w:lineRule="auto"/>
        <w:rPr>
          <w:b/>
        </w:rPr>
      </w:pPr>
      <w:r w:rsidRPr="00B63151">
        <w:drawing>
          <wp:inline distT="0" distB="0" distL="0" distR="0" wp14:anchorId="0D080EE4" wp14:editId="092FE8C5">
            <wp:extent cx="6116955" cy="2452370"/>
            <wp:effectExtent l="0" t="0" r="0" b="5080"/>
            <wp:docPr id="60" name="Picture 60" descr="Bar chart showing number of disconnections for unpaid bills, per 100 residential electricity customers, by retailer in 2019, 2020 and 2021.The chart is sorted by large, medium, and small retailers. Retailers are deidentified. There is great variance in the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Bar chart showing number of disconnections for unpaid bills, per 100 residential electricity customers, by retailer in 2019, 2020 and 2021.The chart is sorted by large, medium, and small retailers. Retailers are deidentified. There is great variance in the outcom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955" cy="2452370"/>
                    </a:xfrm>
                    <a:prstGeom prst="rect">
                      <a:avLst/>
                    </a:prstGeom>
                    <a:noFill/>
                    <a:ln>
                      <a:noFill/>
                    </a:ln>
                  </pic:spPr>
                </pic:pic>
              </a:graphicData>
            </a:graphic>
          </wp:inline>
        </w:drawing>
      </w:r>
    </w:p>
    <w:p w14:paraId="5F3BD68B" w14:textId="77777777" w:rsidR="006E621F" w:rsidRPr="00066137" w:rsidRDefault="006E621F" w:rsidP="006E621F">
      <w:pPr>
        <w:pStyle w:val="Caption"/>
        <w:rPr>
          <w:lang w:val="en-US"/>
        </w:rPr>
      </w:pPr>
      <w:r w:rsidRPr="00066137">
        <w:rPr>
          <w:lang w:val="en-US"/>
        </w:rPr>
        <w:t>Note: Some small retailers are not shown due to the retailer either not having tailored assistance customers or had no applicable data relevant to this metric for this time-period.</w:t>
      </w:r>
    </w:p>
    <w:p w14:paraId="15A26E36" w14:textId="77777777" w:rsidR="006E621F" w:rsidRDefault="006E621F" w:rsidP="006E621F">
      <w:pPr>
        <w:spacing w:before="0" w:line="259" w:lineRule="auto"/>
        <w:rPr>
          <w:b/>
        </w:rPr>
      </w:pPr>
      <w:r>
        <w:rPr>
          <w:b/>
        </w:rPr>
        <w:br w:type="page"/>
      </w:r>
    </w:p>
    <w:p w14:paraId="136ACDAF" w14:textId="77777777" w:rsidR="006E621F" w:rsidRPr="00EC6B58" w:rsidRDefault="006E621F" w:rsidP="006E621F">
      <w:pPr>
        <w:spacing w:before="0" w:after="80" w:line="288" w:lineRule="auto"/>
        <w:rPr>
          <w:b/>
        </w:rPr>
      </w:pPr>
    </w:p>
    <w:tbl>
      <w:tblPr>
        <w:tblStyle w:val="TwoColumnImage"/>
        <w:tblW w:w="9639" w:type="dxa"/>
        <w:shd w:val="clear" w:color="auto" w:fill="FFD191" w:themeFill="accent4" w:themeFillTint="66"/>
        <w:tblCellMar>
          <w:top w:w="113" w:type="dxa"/>
          <w:bottom w:w="113" w:type="dxa"/>
        </w:tblCellMar>
        <w:tblLook w:val="04A0" w:firstRow="1" w:lastRow="0" w:firstColumn="1" w:lastColumn="0" w:noHBand="0" w:noVBand="1"/>
      </w:tblPr>
      <w:tblGrid>
        <w:gridCol w:w="2144"/>
        <w:gridCol w:w="7495"/>
      </w:tblGrid>
      <w:tr w:rsidR="006E621F" w:rsidRPr="000179AE" w14:paraId="4C525E59" w14:textId="77777777" w:rsidTr="00EB580A">
        <w:tc>
          <w:tcPr>
            <w:tcW w:w="9639" w:type="dxa"/>
            <w:gridSpan w:val="2"/>
            <w:tcBorders>
              <w:top w:val="single" w:sz="24" w:space="0" w:color="FFBA5B" w:themeColor="accent4" w:themeTint="99"/>
              <w:left w:val="single" w:sz="24" w:space="0" w:color="FFBA5B" w:themeColor="accent4" w:themeTint="99"/>
              <w:right w:val="single" w:sz="24" w:space="0" w:color="FFBA5B" w:themeColor="accent4" w:themeTint="99"/>
            </w:tcBorders>
            <w:shd w:val="clear" w:color="auto" w:fill="FFD191" w:themeFill="accent4" w:themeFillTint="66"/>
            <w:vAlign w:val="center"/>
          </w:tcPr>
          <w:p w14:paraId="036171AB" w14:textId="77777777" w:rsidR="006E621F" w:rsidRPr="000179AE" w:rsidRDefault="006E621F" w:rsidP="00EB580A">
            <w:pPr>
              <w:pStyle w:val="TableBody"/>
              <w:ind w:left="142" w:right="121"/>
              <w:rPr>
                <w:rFonts w:ascii="Tahoma" w:hAnsi="Tahoma" w:cs="Tahoma"/>
                <w:color w:val="262626" w:themeColor="text1" w:themeTint="D9"/>
              </w:rPr>
            </w:pPr>
            <w:r w:rsidRPr="000179AE">
              <w:rPr>
                <w:rFonts w:ascii="Tahoma" w:hAnsi="Tahoma" w:cs="Tahoma"/>
                <w:b/>
                <w:bCs/>
                <w:color w:val="262626" w:themeColor="text1" w:themeTint="D9"/>
                <w:sz w:val="32"/>
                <w:szCs w:val="32"/>
              </w:rPr>
              <w:t>Our key findings</w:t>
            </w:r>
          </w:p>
        </w:tc>
      </w:tr>
      <w:tr w:rsidR="006E621F" w:rsidRPr="000179AE" w14:paraId="36B9F149" w14:textId="77777777" w:rsidTr="00EB580A">
        <w:tc>
          <w:tcPr>
            <w:tcW w:w="9639" w:type="dxa"/>
            <w:gridSpan w:val="2"/>
            <w:tcBorders>
              <w:left w:val="single" w:sz="24" w:space="0" w:color="FFBA5B" w:themeColor="accent4" w:themeTint="99"/>
              <w:right w:val="single" w:sz="24" w:space="0" w:color="FFBA5B" w:themeColor="accent4" w:themeTint="99"/>
            </w:tcBorders>
            <w:shd w:val="clear" w:color="auto" w:fill="FFD191" w:themeFill="accent4" w:themeFillTint="66"/>
            <w:vAlign w:val="center"/>
          </w:tcPr>
          <w:p w14:paraId="0EFA6323" w14:textId="77777777" w:rsidR="006E621F" w:rsidRPr="000179AE" w:rsidRDefault="006E621F" w:rsidP="006E621F">
            <w:pPr>
              <w:pStyle w:val="TableBody"/>
              <w:numPr>
                <w:ilvl w:val="0"/>
                <w:numId w:val="37"/>
              </w:numPr>
              <w:ind w:right="121"/>
              <w:rPr>
                <w:rFonts w:ascii="Tahoma" w:hAnsi="Tahoma" w:cs="Tahoma"/>
                <w:b/>
                <w:bCs/>
                <w:color w:val="262626" w:themeColor="text1" w:themeTint="D9"/>
              </w:rPr>
            </w:pPr>
            <w:r w:rsidRPr="000179AE">
              <w:rPr>
                <w:rFonts w:ascii="Tahoma" w:hAnsi="Tahoma" w:cs="Tahoma"/>
                <w:b/>
                <w:bCs/>
                <w:color w:val="262626" w:themeColor="text1" w:themeTint="D9"/>
                <w:sz w:val="24"/>
                <w:szCs w:val="24"/>
              </w:rPr>
              <w:t>Implementation of the framework is broadly meeting its objectives</w:t>
            </w:r>
          </w:p>
        </w:tc>
      </w:tr>
      <w:tr w:rsidR="006E621F" w:rsidRPr="000179AE" w14:paraId="0A2B0D44" w14:textId="77777777" w:rsidTr="00EB580A">
        <w:tc>
          <w:tcPr>
            <w:tcW w:w="2144" w:type="dxa"/>
            <w:tcBorders>
              <w:left w:val="single" w:sz="24" w:space="0" w:color="FFBA5B" w:themeColor="accent4" w:themeTint="99"/>
              <w:bottom w:val="single" w:sz="24" w:space="0" w:color="FFBA5B" w:themeColor="accent4" w:themeTint="99"/>
            </w:tcBorders>
            <w:shd w:val="clear" w:color="auto" w:fill="FFD191" w:themeFill="accent4" w:themeFillTint="66"/>
            <w:vAlign w:val="center"/>
          </w:tcPr>
          <w:p w14:paraId="166A4082" w14:textId="77777777" w:rsidR="006E621F" w:rsidRPr="000179AE" w:rsidRDefault="006E621F" w:rsidP="00EB580A">
            <w:pPr>
              <w:pStyle w:val="TableBody"/>
              <w:spacing w:after="120"/>
              <w:ind w:left="284" w:right="-2"/>
              <w:rPr>
                <w:rFonts w:ascii="Tahoma" w:hAnsi="Tahoma" w:cs="Tahoma"/>
                <w:color w:val="262626" w:themeColor="text1" w:themeTint="D9"/>
              </w:rPr>
            </w:pPr>
            <w:r w:rsidRPr="000179AE">
              <w:rPr>
                <w:rFonts w:ascii="Tahoma" w:hAnsi="Tahoma" w:cs="Tahoma"/>
                <w:noProof/>
                <w:color w:val="262626" w:themeColor="text1" w:themeTint="D9"/>
              </w:rPr>
              <w:drawing>
                <wp:inline distT="0" distB="0" distL="0" distR="0" wp14:anchorId="0E0179ED" wp14:editId="69AF40F4">
                  <wp:extent cx="900000" cy="900000"/>
                  <wp:effectExtent l="0" t="0" r="0" b="0"/>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7495" w:type="dxa"/>
            <w:tcBorders>
              <w:bottom w:val="single" w:sz="24" w:space="0" w:color="FFBA5B" w:themeColor="accent4" w:themeTint="99"/>
              <w:right w:val="single" w:sz="24" w:space="0" w:color="FFBA5B" w:themeColor="accent4" w:themeTint="99"/>
            </w:tcBorders>
            <w:shd w:val="clear" w:color="auto" w:fill="FFD191" w:themeFill="accent4" w:themeFillTint="66"/>
            <w:vAlign w:val="center"/>
          </w:tcPr>
          <w:p w14:paraId="05397D8B" w14:textId="77777777" w:rsidR="006E621F" w:rsidRPr="000179AE"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More customers are receiving more appropriate assistance.</w:t>
            </w:r>
          </w:p>
          <w:p w14:paraId="0991E776" w14:textId="77777777" w:rsidR="006E621F"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There have been fewer disconnections</w:t>
            </w:r>
            <w:r>
              <w:rPr>
                <w:color w:val="262626" w:themeColor="text1" w:themeTint="D9"/>
              </w:rPr>
              <w:t xml:space="preserve"> for non-payment</w:t>
            </w:r>
            <w:r w:rsidRPr="000179AE">
              <w:rPr>
                <w:color w:val="262626" w:themeColor="text1" w:themeTint="D9"/>
              </w:rPr>
              <w:t xml:space="preserve">, but more than half of these customers had not received assistance beforehand. </w:t>
            </w:r>
          </w:p>
          <w:p w14:paraId="3D69428E" w14:textId="77777777" w:rsidR="006E621F" w:rsidRPr="000179AE"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 xml:space="preserve">Energy customers’ awareness and knowledge of their entitlements </w:t>
            </w:r>
            <w:r>
              <w:rPr>
                <w:color w:val="262626" w:themeColor="text1" w:themeTint="D9"/>
              </w:rPr>
              <w:t>continues to vary</w:t>
            </w:r>
            <w:r w:rsidRPr="000179AE">
              <w:rPr>
                <w:color w:val="262626" w:themeColor="text1" w:themeTint="D9"/>
              </w:rPr>
              <w:t>.</w:t>
            </w:r>
          </w:p>
        </w:tc>
      </w:tr>
      <w:tr w:rsidR="006E621F" w:rsidRPr="000179AE" w14:paraId="5243611F" w14:textId="77777777" w:rsidTr="00EB580A">
        <w:tc>
          <w:tcPr>
            <w:tcW w:w="9639" w:type="dxa"/>
            <w:gridSpan w:val="2"/>
            <w:tcBorders>
              <w:top w:val="single" w:sz="24" w:space="0" w:color="FFBA5B" w:themeColor="accent4" w:themeTint="99"/>
              <w:left w:val="single" w:sz="24" w:space="0" w:color="FFBA5B" w:themeColor="accent4" w:themeTint="99"/>
              <w:right w:val="single" w:sz="24" w:space="0" w:color="FFBA5B" w:themeColor="accent4" w:themeTint="99"/>
            </w:tcBorders>
            <w:shd w:val="clear" w:color="auto" w:fill="FFD191" w:themeFill="accent4" w:themeFillTint="66"/>
            <w:vAlign w:val="center"/>
          </w:tcPr>
          <w:p w14:paraId="30A8AEB7" w14:textId="77777777" w:rsidR="006E621F" w:rsidRPr="00A3539F" w:rsidRDefault="006E621F" w:rsidP="006E621F">
            <w:pPr>
              <w:pStyle w:val="TableBody"/>
              <w:numPr>
                <w:ilvl w:val="0"/>
                <w:numId w:val="37"/>
              </w:numPr>
              <w:ind w:right="121"/>
              <w:rPr>
                <w:rFonts w:ascii="Tahoma" w:hAnsi="Tahoma" w:cs="Tahoma"/>
                <w:b/>
                <w:color w:val="262626" w:themeColor="text1" w:themeTint="D9"/>
                <w:sz w:val="24"/>
                <w:szCs w:val="24"/>
              </w:rPr>
            </w:pPr>
            <w:r w:rsidRPr="00A3539F">
              <w:rPr>
                <w:rFonts w:ascii="Tahoma" w:hAnsi="Tahoma" w:cs="Tahoma"/>
                <w:b/>
                <w:color w:val="262626" w:themeColor="text1" w:themeTint="D9"/>
                <w:sz w:val="24"/>
                <w:szCs w:val="24"/>
              </w:rPr>
              <w:t>Customer outcomes vary significantly between and within retailers</w:t>
            </w:r>
          </w:p>
        </w:tc>
      </w:tr>
      <w:tr w:rsidR="006E621F" w:rsidRPr="000179AE" w14:paraId="7832F4AA" w14:textId="77777777" w:rsidTr="00EB580A">
        <w:tc>
          <w:tcPr>
            <w:tcW w:w="2144" w:type="dxa"/>
            <w:tcBorders>
              <w:left w:val="single" w:sz="24" w:space="0" w:color="FFBA5B" w:themeColor="accent4" w:themeTint="99"/>
              <w:bottom w:val="single" w:sz="24" w:space="0" w:color="FFBA5B" w:themeColor="accent4" w:themeTint="99"/>
            </w:tcBorders>
            <w:shd w:val="clear" w:color="auto" w:fill="FFD191" w:themeFill="accent4" w:themeFillTint="66"/>
            <w:vAlign w:val="center"/>
          </w:tcPr>
          <w:p w14:paraId="7DF1B667" w14:textId="77777777" w:rsidR="006E621F" w:rsidRPr="000179AE" w:rsidRDefault="006E621F" w:rsidP="00EB580A">
            <w:pPr>
              <w:pStyle w:val="TableBody"/>
              <w:spacing w:after="120"/>
              <w:ind w:left="142" w:right="119"/>
              <w:jc w:val="center"/>
              <w:rPr>
                <w:rFonts w:ascii="Tahoma" w:hAnsi="Tahoma" w:cs="Tahoma"/>
                <w:color w:val="262626" w:themeColor="text1" w:themeTint="D9"/>
              </w:rPr>
            </w:pPr>
            <w:r w:rsidRPr="000179AE">
              <w:rPr>
                <w:rFonts w:ascii="Tahoma" w:hAnsi="Tahoma" w:cs="Tahoma"/>
                <w:noProof/>
                <w:color w:val="262626" w:themeColor="text1" w:themeTint="D9"/>
              </w:rPr>
              <w:drawing>
                <wp:inline distT="0" distB="0" distL="0" distR="0" wp14:anchorId="035BB1E7" wp14:editId="6FC4958D">
                  <wp:extent cx="936000" cy="936000"/>
                  <wp:effectExtent l="0" t="0" r="0" b="0"/>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inline>
              </w:drawing>
            </w:r>
          </w:p>
        </w:tc>
        <w:tc>
          <w:tcPr>
            <w:tcW w:w="7495" w:type="dxa"/>
            <w:tcBorders>
              <w:bottom w:val="single" w:sz="24" w:space="0" w:color="FFBA5B" w:themeColor="accent4" w:themeTint="99"/>
              <w:right w:val="single" w:sz="24" w:space="0" w:color="FFBA5B" w:themeColor="accent4" w:themeTint="99"/>
            </w:tcBorders>
            <w:shd w:val="clear" w:color="auto" w:fill="FFD191" w:themeFill="accent4" w:themeFillTint="66"/>
            <w:vAlign w:val="center"/>
          </w:tcPr>
          <w:p w14:paraId="3CEF8CF2" w14:textId="77777777" w:rsidR="006E621F" w:rsidRPr="000179AE" w:rsidRDefault="006E621F" w:rsidP="006E621F">
            <w:pPr>
              <w:pStyle w:val="Pull-out2"/>
              <w:numPr>
                <w:ilvl w:val="0"/>
                <w:numId w:val="36"/>
              </w:numPr>
              <w:spacing w:before="0"/>
              <w:ind w:left="241" w:right="107" w:hanging="241"/>
              <w:contextualSpacing/>
              <w:rPr>
                <w:color w:val="262626" w:themeColor="text1" w:themeTint="D9"/>
              </w:rPr>
            </w:pPr>
            <w:r>
              <w:rPr>
                <w:color w:val="262626" w:themeColor="text1" w:themeTint="D9"/>
              </w:rPr>
              <w:t xml:space="preserve">Average </w:t>
            </w:r>
            <w:r w:rsidRPr="000179AE">
              <w:rPr>
                <w:color w:val="262626" w:themeColor="text1" w:themeTint="D9"/>
              </w:rPr>
              <w:t>customer</w:t>
            </w:r>
            <w:r>
              <w:rPr>
                <w:color w:val="262626" w:themeColor="text1" w:themeTint="D9"/>
              </w:rPr>
              <w:t xml:space="preserve"> arrears vary by retailer</w:t>
            </w:r>
            <w:r w:rsidRPr="000179AE">
              <w:rPr>
                <w:color w:val="262626" w:themeColor="text1" w:themeTint="D9"/>
              </w:rPr>
              <w:t>, despite assistance aiming to help customers avoid getting into arrears.</w:t>
            </w:r>
          </w:p>
          <w:p w14:paraId="4CFEFFBF" w14:textId="77777777" w:rsidR="006E621F" w:rsidRPr="000179AE"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Retailers’ use of discretion in delivering payment plans varies.</w:t>
            </w:r>
          </w:p>
          <w:p w14:paraId="6DA62870" w14:textId="77777777" w:rsidR="006E621F" w:rsidRPr="000179AE"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Concessions and utility relief grants can be more effectively provided to customers as part of payment assistance.</w:t>
            </w:r>
          </w:p>
          <w:p w14:paraId="1A6A39AA" w14:textId="77777777" w:rsidR="006E621F" w:rsidRPr="000179AE"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Lowering energy costs and usage is also key to supporting customers.</w:t>
            </w:r>
          </w:p>
        </w:tc>
      </w:tr>
      <w:tr w:rsidR="006E621F" w:rsidRPr="000179AE" w14:paraId="353C3B16" w14:textId="77777777" w:rsidTr="00EB580A">
        <w:tc>
          <w:tcPr>
            <w:tcW w:w="9639" w:type="dxa"/>
            <w:gridSpan w:val="2"/>
            <w:tcBorders>
              <w:top w:val="single" w:sz="24" w:space="0" w:color="FFBA5B" w:themeColor="accent4" w:themeTint="99"/>
              <w:left w:val="single" w:sz="24" w:space="0" w:color="FFBA5B" w:themeColor="accent4" w:themeTint="99"/>
              <w:right w:val="single" w:sz="24" w:space="0" w:color="FFBA5B" w:themeColor="accent4" w:themeTint="99"/>
            </w:tcBorders>
            <w:shd w:val="clear" w:color="auto" w:fill="FFD191" w:themeFill="accent4" w:themeFillTint="66"/>
            <w:vAlign w:val="center"/>
          </w:tcPr>
          <w:p w14:paraId="55E109A7" w14:textId="77777777" w:rsidR="006E621F" w:rsidRPr="00A3539F" w:rsidRDefault="006E621F" w:rsidP="006E621F">
            <w:pPr>
              <w:pStyle w:val="TableBody"/>
              <w:numPr>
                <w:ilvl w:val="0"/>
                <w:numId w:val="37"/>
              </w:numPr>
              <w:ind w:right="121"/>
              <w:rPr>
                <w:rFonts w:ascii="Tahoma" w:hAnsi="Tahoma" w:cs="Tahoma"/>
                <w:b/>
                <w:color w:val="262626" w:themeColor="text1" w:themeTint="D9"/>
                <w:sz w:val="24"/>
                <w:szCs w:val="24"/>
              </w:rPr>
            </w:pPr>
            <w:r w:rsidRPr="000179AE">
              <w:rPr>
                <w:rFonts w:ascii="Tahoma" w:hAnsi="Tahoma" w:cs="Tahoma"/>
                <w:b/>
                <w:bCs/>
                <w:color w:val="262626" w:themeColor="text1" w:themeTint="D9"/>
                <w:sz w:val="24"/>
                <w:szCs w:val="24"/>
              </w:rPr>
              <w:t xml:space="preserve">The level and quality of retailer-customer engagement </w:t>
            </w:r>
            <w:r>
              <w:rPr>
                <w:rFonts w:ascii="Tahoma" w:hAnsi="Tahoma" w:cs="Tahoma"/>
                <w:b/>
                <w:bCs/>
                <w:color w:val="262626" w:themeColor="text1" w:themeTint="D9"/>
                <w:sz w:val="24"/>
                <w:szCs w:val="24"/>
              </w:rPr>
              <w:t>a</w:t>
            </w:r>
            <w:r w:rsidRPr="000179AE">
              <w:rPr>
                <w:rFonts w:ascii="Tahoma" w:hAnsi="Tahoma" w:cs="Tahoma"/>
                <w:b/>
                <w:bCs/>
                <w:color w:val="262626" w:themeColor="text1" w:themeTint="D9"/>
                <w:sz w:val="24"/>
                <w:szCs w:val="24"/>
              </w:rPr>
              <w:t xml:space="preserve">ffects customer </w:t>
            </w:r>
            <w:r w:rsidRPr="00A3539F">
              <w:rPr>
                <w:rFonts w:ascii="Tahoma" w:hAnsi="Tahoma" w:cs="Tahoma"/>
                <w:b/>
                <w:color w:val="262626" w:themeColor="text1" w:themeTint="D9"/>
                <w:sz w:val="24"/>
                <w:szCs w:val="24"/>
              </w:rPr>
              <w:t>outcomes</w:t>
            </w:r>
          </w:p>
        </w:tc>
      </w:tr>
      <w:tr w:rsidR="006E621F" w:rsidRPr="000179AE" w14:paraId="490E7E6D" w14:textId="77777777" w:rsidTr="00EB580A">
        <w:tc>
          <w:tcPr>
            <w:tcW w:w="2144" w:type="dxa"/>
            <w:tcBorders>
              <w:left w:val="single" w:sz="24" w:space="0" w:color="FFBA5B" w:themeColor="accent4" w:themeTint="99"/>
              <w:bottom w:val="single" w:sz="24" w:space="0" w:color="FFBA5B" w:themeColor="accent4" w:themeTint="99"/>
            </w:tcBorders>
            <w:shd w:val="clear" w:color="auto" w:fill="FFD191" w:themeFill="accent4" w:themeFillTint="66"/>
            <w:vAlign w:val="center"/>
          </w:tcPr>
          <w:p w14:paraId="62B398A7" w14:textId="77777777" w:rsidR="006E621F" w:rsidRPr="000179AE" w:rsidRDefault="006E621F" w:rsidP="00EB580A">
            <w:pPr>
              <w:pStyle w:val="TableBody"/>
              <w:spacing w:after="120"/>
              <w:ind w:left="142" w:right="119"/>
              <w:jc w:val="center"/>
              <w:rPr>
                <w:rFonts w:ascii="Tahoma" w:hAnsi="Tahoma" w:cs="Tahoma"/>
                <w:color w:val="262626" w:themeColor="text1" w:themeTint="D9"/>
              </w:rPr>
            </w:pPr>
            <w:r w:rsidRPr="000179AE">
              <w:rPr>
                <w:noProof/>
                <w:color w:val="262626" w:themeColor="text1" w:themeTint="D9"/>
              </w:rPr>
              <w:drawing>
                <wp:inline distT="0" distB="0" distL="0" distR="0" wp14:anchorId="63AA299F" wp14:editId="120BAC14">
                  <wp:extent cx="972000" cy="972000"/>
                  <wp:effectExtent l="0" t="0" r="0" b="0"/>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tc>
        <w:tc>
          <w:tcPr>
            <w:tcW w:w="7495" w:type="dxa"/>
            <w:tcBorders>
              <w:bottom w:val="single" w:sz="24" w:space="0" w:color="FFBA5B" w:themeColor="accent4" w:themeTint="99"/>
              <w:right w:val="single" w:sz="24" w:space="0" w:color="FFBA5B" w:themeColor="accent4" w:themeTint="99"/>
            </w:tcBorders>
            <w:shd w:val="clear" w:color="auto" w:fill="FFD191" w:themeFill="accent4" w:themeFillTint="66"/>
            <w:vAlign w:val="center"/>
          </w:tcPr>
          <w:p w14:paraId="1EF41A75" w14:textId="77777777" w:rsidR="006E621F" w:rsidRPr="000179AE"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The appropriateness and timing of retailer communication with customers varies.</w:t>
            </w:r>
          </w:p>
          <w:p w14:paraId="15A7C18A" w14:textId="77777777" w:rsidR="006E621F" w:rsidRPr="000179AE"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 xml:space="preserve">Early intervention with customers </w:t>
            </w:r>
            <w:r>
              <w:rPr>
                <w:color w:val="262626" w:themeColor="text1" w:themeTint="D9"/>
              </w:rPr>
              <w:t>improves</w:t>
            </w:r>
            <w:r w:rsidRPr="000179AE">
              <w:rPr>
                <w:color w:val="262626" w:themeColor="text1" w:themeTint="D9"/>
              </w:rPr>
              <w:t xml:space="preserve"> outcomes.</w:t>
            </w:r>
          </w:p>
          <w:p w14:paraId="5FB8861A" w14:textId="77777777" w:rsidR="006E621F" w:rsidRDefault="006E621F" w:rsidP="006E621F">
            <w:pPr>
              <w:pStyle w:val="Pull-out2"/>
              <w:numPr>
                <w:ilvl w:val="0"/>
                <w:numId w:val="36"/>
              </w:numPr>
              <w:spacing w:before="0"/>
              <w:ind w:left="241" w:right="107" w:hanging="241"/>
              <w:contextualSpacing/>
              <w:rPr>
                <w:color w:val="262626" w:themeColor="text1" w:themeTint="D9"/>
              </w:rPr>
            </w:pPr>
            <w:r w:rsidRPr="000179AE">
              <w:rPr>
                <w:color w:val="262626" w:themeColor="text1" w:themeTint="D9"/>
              </w:rPr>
              <w:t>Some retailers are more successful in engaging with customers before they build up large arrears.</w:t>
            </w:r>
          </w:p>
          <w:p w14:paraId="44FD6B69" w14:textId="77777777" w:rsidR="006E621F" w:rsidRPr="000179AE" w:rsidRDefault="006E621F" w:rsidP="006E621F">
            <w:pPr>
              <w:pStyle w:val="Pull-out2"/>
              <w:numPr>
                <w:ilvl w:val="0"/>
                <w:numId w:val="36"/>
              </w:numPr>
              <w:spacing w:before="0" w:after="160"/>
              <w:ind w:left="241" w:right="107" w:hanging="241"/>
              <w:contextualSpacing/>
              <w:rPr>
                <w:color w:val="262626" w:themeColor="text1" w:themeTint="D9"/>
              </w:rPr>
            </w:pPr>
            <w:r w:rsidRPr="000179AE">
              <w:rPr>
                <w:color w:val="262626" w:themeColor="text1" w:themeTint="D9"/>
              </w:rPr>
              <w:t>Some customers requiring support with their energy bills may be experiencing multiple barriers.</w:t>
            </w:r>
          </w:p>
        </w:tc>
      </w:tr>
      <w:tr w:rsidR="006E621F" w:rsidRPr="000179AE" w14:paraId="6A1DDE11" w14:textId="77777777" w:rsidTr="00EB580A">
        <w:tc>
          <w:tcPr>
            <w:tcW w:w="2144" w:type="dxa"/>
            <w:tcBorders>
              <w:top w:val="single" w:sz="24" w:space="0" w:color="FFBA5B" w:themeColor="accent4" w:themeTint="99"/>
              <w:left w:val="single" w:sz="24" w:space="0" w:color="FFBA5B" w:themeColor="accent4" w:themeTint="99"/>
              <w:bottom w:val="single" w:sz="24" w:space="0" w:color="FFBA5B" w:themeColor="accent4" w:themeTint="99"/>
            </w:tcBorders>
            <w:shd w:val="clear" w:color="auto" w:fill="FFD191" w:themeFill="accent4" w:themeFillTint="66"/>
            <w:vAlign w:val="center"/>
          </w:tcPr>
          <w:p w14:paraId="4C14E8EC" w14:textId="77777777" w:rsidR="006E621F" w:rsidRPr="00BA09A0" w:rsidRDefault="006E621F" w:rsidP="00EB580A">
            <w:pPr>
              <w:pStyle w:val="TableBody"/>
              <w:spacing w:after="120"/>
              <w:ind w:left="142" w:right="119"/>
              <w:jc w:val="center"/>
              <w:rPr>
                <w:rFonts w:ascii="Tahoma" w:hAnsi="Tahoma" w:cs="Tahoma"/>
                <w:b/>
                <w:bCs/>
                <w:color w:val="262626" w:themeColor="text1" w:themeTint="D9"/>
              </w:rPr>
            </w:pPr>
            <w:r w:rsidRPr="00BA09A0">
              <w:rPr>
                <w:rFonts w:ascii="Tahoma" w:hAnsi="Tahoma" w:cs="Tahoma"/>
                <w:b/>
                <w:bCs/>
                <w:noProof/>
                <w:color w:val="262626" w:themeColor="text1" w:themeTint="D9"/>
              </w:rPr>
              <w:drawing>
                <wp:inline distT="0" distB="0" distL="0" distR="0" wp14:anchorId="64D543A5" wp14:editId="6490FC9D">
                  <wp:extent cx="900000" cy="900000"/>
                  <wp:effectExtent l="0" t="0" r="0" b="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7495" w:type="dxa"/>
            <w:tcBorders>
              <w:top w:val="single" w:sz="24" w:space="0" w:color="FFBA5B" w:themeColor="accent4" w:themeTint="99"/>
              <w:bottom w:val="single" w:sz="24" w:space="0" w:color="FFBA5B" w:themeColor="accent4" w:themeTint="99"/>
              <w:right w:val="single" w:sz="24" w:space="0" w:color="FFBA5B" w:themeColor="accent4" w:themeTint="99"/>
            </w:tcBorders>
            <w:shd w:val="clear" w:color="auto" w:fill="FFD191" w:themeFill="accent4" w:themeFillTint="66"/>
            <w:vAlign w:val="center"/>
          </w:tcPr>
          <w:p w14:paraId="593890F5" w14:textId="77777777" w:rsidR="006E621F" w:rsidRPr="00BA09A0" w:rsidRDefault="006E621F" w:rsidP="006E621F">
            <w:pPr>
              <w:pStyle w:val="TableBody"/>
              <w:numPr>
                <w:ilvl w:val="0"/>
                <w:numId w:val="37"/>
              </w:numPr>
              <w:pBdr>
                <w:top w:val="single" w:sz="48" w:space="1" w:color="FFD191" w:themeColor="accent4" w:themeTint="66"/>
                <w:left w:val="single" w:sz="48" w:space="4" w:color="FFD191" w:themeColor="accent4" w:themeTint="66"/>
                <w:bottom w:val="single" w:sz="48" w:space="1" w:color="FFD191" w:themeColor="accent4" w:themeTint="66"/>
                <w:right w:val="single" w:sz="48" w:space="4" w:color="FFD191" w:themeColor="accent4" w:themeTint="66"/>
              </w:pBdr>
              <w:ind w:right="121"/>
              <w:rPr>
                <w:rFonts w:ascii="Tahoma" w:hAnsi="Tahoma" w:cs="Tahoma"/>
                <w:b/>
                <w:bCs/>
                <w:color w:val="262626" w:themeColor="text1" w:themeTint="D9"/>
              </w:rPr>
            </w:pPr>
            <w:r w:rsidRPr="00BA09A0">
              <w:rPr>
                <w:rFonts w:ascii="Tahoma" w:hAnsi="Tahoma" w:cs="Tahoma"/>
                <w:b/>
                <w:bCs/>
                <w:color w:val="262626" w:themeColor="text1" w:themeTint="D9"/>
                <w:sz w:val="24"/>
                <w:szCs w:val="24"/>
              </w:rPr>
              <w:t>Customers who can pay for their ongoing energy use benefit most</w:t>
            </w:r>
          </w:p>
        </w:tc>
      </w:tr>
    </w:tbl>
    <w:p w14:paraId="16DD34EE" w14:textId="77777777" w:rsidR="006E621F" w:rsidRDefault="006E621F" w:rsidP="006E621F">
      <w:pPr>
        <w:pStyle w:val="Heading2"/>
      </w:pPr>
      <w:bookmarkStart w:id="17" w:name="_Toc104887215"/>
      <w:r>
        <w:t xml:space="preserve">Summary of </w:t>
      </w:r>
      <w:r w:rsidRPr="00AC62B7">
        <w:t>our key findings</w:t>
      </w:r>
      <w:bookmarkEnd w:id="17"/>
    </w:p>
    <w:p w14:paraId="3F444083" w14:textId="77777777" w:rsidR="006E621F" w:rsidRDefault="006E621F" w:rsidP="006E621F">
      <w:pPr>
        <w:pStyle w:val="Heading3"/>
      </w:pPr>
      <w:r w:rsidRPr="00E91AB8">
        <w:t>Key finding 1: Implementation of the framework is broadly meeting its objectives</w:t>
      </w:r>
      <w:r w:rsidRPr="00E91AB8" w:rsidDel="008E5CD6">
        <w:t xml:space="preserve"> </w:t>
      </w:r>
    </w:p>
    <w:p w14:paraId="386BC851" w14:textId="77777777" w:rsidR="006E621F" w:rsidRDefault="006E621F" w:rsidP="006E621F">
      <w:r>
        <w:t>Our review suggests that over the past two years, the framework has provided a clear basis for customers to receive help when paying their energy bills, especially when they are experiencing payment difficulty.</w:t>
      </w:r>
    </w:p>
    <w:p w14:paraId="19F0A664" w14:textId="77777777" w:rsidR="006E621F" w:rsidRDefault="006E621F" w:rsidP="006E621F">
      <w:r>
        <w:t>Since the framework came into effect in 2019, more customers have been receiving tailored assistance compared to customers in past retailer hardship programs. Consumer groups we consulted with also observed a general reduction in customers being offered unmanageable payment plans by retailers by default or being required to undertake complex or difficult processes to receive assistance.</w:t>
      </w:r>
    </w:p>
    <w:p w14:paraId="402C116F" w14:textId="77777777" w:rsidR="006E621F" w:rsidRDefault="006E621F" w:rsidP="006E621F">
      <w:r>
        <w:t>Interactions between customers and energy retailers are improving. The representative sample of recordings of retailer calls with customers experiencing payment difficulty revealed constructive and friendly interactions with customers when providing support. Of all the call recordings we collected and reviewed, retailer staff were found to be ‘respectful’ in 98 per cent of cases. We also found that in 2020-21, 30 per cent of customers successfully completed their tailored assistance with the support of their retailer, resulting in no arrears.</w:t>
      </w:r>
    </w:p>
    <w:p w14:paraId="75A5B79F" w14:textId="77777777" w:rsidR="006E621F" w:rsidRDefault="006E621F" w:rsidP="006E621F">
      <w:r>
        <w:t xml:space="preserve">These are positive signs. Before the framework, there was little consistency across retailers on whether a customer would receive assistance, what form it would take, and when they would receive it. These factors were subject to retailer discretion. Community stakeholders recognise there have been improvements in the support offered to customers, but also continue to observe examples of poor customer experiences for many of their most vulnerable clients. </w:t>
      </w:r>
    </w:p>
    <w:p w14:paraId="718248F8" w14:textId="77777777" w:rsidR="006E621F" w:rsidRDefault="006E621F" w:rsidP="006E621F">
      <w:r>
        <w:t>However, a significant proportion of customers still do not receive assistance. There are many complex reasons why a customer may not reach out to a retailer for support, but we note that the data indicates some retailers seem to be more effective than others in achieving constructive engagement.</w:t>
      </w:r>
    </w:p>
    <w:p w14:paraId="2E3635D3" w14:textId="77777777" w:rsidR="006E621F" w:rsidRDefault="006E621F" w:rsidP="006E621F">
      <w:r w:rsidRPr="00BA2079">
        <w:t xml:space="preserve">We </w:t>
      </w:r>
      <w:r>
        <w:t>remain</w:t>
      </w:r>
      <w:r w:rsidRPr="00BA2079">
        <w:t xml:space="preserve"> committed to </w:t>
      </w:r>
      <w:r>
        <w:t xml:space="preserve">improving outcomes for customers experiencing vulnerability. This includes, where necessary, </w:t>
      </w:r>
      <w:r w:rsidRPr="00BA2079">
        <w:t xml:space="preserve">acting on </w:t>
      </w:r>
      <w:r>
        <w:t xml:space="preserve">retailer </w:t>
      </w:r>
      <w:r w:rsidRPr="00BA2079">
        <w:t xml:space="preserve">non-compliance we identify. </w:t>
      </w:r>
    </w:p>
    <w:p w14:paraId="70BBB07F" w14:textId="77777777" w:rsidR="006E621F" w:rsidRDefault="006E621F" w:rsidP="006E621F">
      <w:r w:rsidRPr="00BA2079">
        <w:t xml:space="preserve">In </w:t>
      </w:r>
      <w:r>
        <w:t>the last two years, two retailers paid penalties for alleged actions for non-compliance with the framework.</w:t>
      </w:r>
      <w:r w:rsidRPr="00BA2079">
        <w:t xml:space="preserve"> </w:t>
      </w:r>
      <w:r>
        <w:t xml:space="preserve">Alinta Energy paid </w:t>
      </w:r>
      <w:r w:rsidRPr="00BA2079">
        <w:t xml:space="preserve">$1.125 million in penalty notices </w:t>
      </w:r>
      <w:r>
        <w:t xml:space="preserve">we issued </w:t>
      </w:r>
      <w:r w:rsidRPr="00BA2079">
        <w:t xml:space="preserve">for </w:t>
      </w:r>
      <w:r>
        <w:t xml:space="preserve">allegedly </w:t>
      </w:r>
      <w:r w:rsidRPr="00BA2079">
        <w:t>requiring customers to provide person</w:t>
      </w:r>
      <w:r>
        <w:t>al</w:t>
      </w:r>
      <w:r w:rsidRPr="00BA2079">
        <w:t xml:space="preserve"> or financial information</w:t>
      </w:r>
      <w:r>
        <w:t xml:space="preserve"> as a condition</w:t>
      </w:r>
      <w:r w:rsidRPr="00BA2079">
        <w:t xml:space="preserve"> to receive assistance</w:t>
      </w:r>
      <w:r>
        <w:t>.</w:t>
      </w:r>
      <w:r w:rsidRPr="00BA2079">
        <w:t xml:space="preserve"> </w:t>
      </w:r>
      <w:r>
        <w:t>Sumo paid $500,000 for allegedly wrongfully disconnecting 142 customers for not providing enough time for customers after issuing a disconnection warning notice.</w:t>
      </w:r>
      <w:r w:rsidRPr="00BA2079">
        <w:t xml:space="preserve"> We also issued seven </w:t>
      </w:r>
      <w:r>
        <w:t>guidelines</w:t>
      </w:r>
      <w:r w:rsidRPr="00BA2079">
        <w:t xml:space="preserve"> </w:t>
      </w:r>
      <w:r>
        <w:t xml:space="preserve">to help the </w:t>
      </w:r>
      <w:r w:rsidRPr="00BA2079">
        <w:t>industry further support customers in payment difficulty.</w:t>
      </w:r>
    </w:p>
    <w:p w14:paraId="6B6EF7F6" w14:textId="77777777" w:rsidR="006E621F" w:rsidRDefault="006E621F" w:rsidP="006E621F">
      <w:r w:rsidRPr="00822F00">
        <w:t xml:space="preserve">The number of </w:t>
      </w:r>
      <w:r>
        <w:t xml:space="preserve">electricity </w:t>
      </w:r>
      <w:r w:rsidRPr="00822F00">
        <w:t>customers being disconnected for non-payment ha</w:t>
      </w:r>
      <w:r>
        <w:t>s</w:t>
      </w:r>
      <w:r w:rsidRPr="00822F00">
        <w:t xml:space="preserve"> fallen significantly since </w:t>
      </w:r>
      <w:r>
        <w:t xml:space="preserve">reaching a peak </w:t>
      </w:r>
      <w:r w:rsidRPr="00822F00">
        <w:t xml:space="preserve">of </w:t>
      </w:r>
      <w:r>
        <w:t>34,496</w:t>
      </w:r>
      <w:r w:rsidRPr="00822F00">
        <w:t xml:space="preserve"> in 2013-14. Between April 2019 and March 2020,</w:t>
      </w:r>
      <w:r>
        <w:t xml:space="preserve"> electricity</w:t>
      </w:r>
      <w:r w:rsidRPr="00822F00">
        <w:t xml:space="preserve"> disconnection numbers dropped to 2</w:t>
      </w:r>
      <w:r>
        <w:t>2,795</w:t>
      </w:r>
      <w:r w:rsidRPr="00822F00">
        <w:t xml:space="preserve">, a decrease of </w:t>
      </w:r>
      <w:r>
        <w:t>34</w:t>
      </w:r>
      <w:r w:rsidRPr="00822F00">
        <w:t xml:space="preserve"> percent </w:t>
      </w:r>
      <w:r>
        <w:t>from</w:t>
      </w:r>
      <w:r w:rsidRPr="00822F00">
        <w:t xml:space="preserve"> 2013-14</w:t>
      </w:r>
      <w:r>
        <w:t xml:space="preserve"> levels</w:t>
      </w:r>
      <w:r w:rsidRPr="00822F00">
        <w:t>.</w:t>
      </w:r>
      <w:r>
        <w:t xml:space="preserve"> We have also seen a general reduction in wrongful disconnection payments made and reported by retailers. During 2020-21,</w:t>
      </w:r>
      <w:r w:rsidDel="009158E6">
        <w:t xml:space="preserve"> </w:t>
      </w:r>
      <w:r>
        <w:t>430 customers were paid a total of $487,403 in compensation, the lowest number of customers affected and payments made in five years.</w:t>
      </w:r>
    </w:p>
    <w:p w14:paraId="1B2B9414" w14:textId="77777777" w:rsidR="006E621F" w:rsidRDefault="006E621F" w:rsidP="006E621F">
      <w:r>
        <w:t>As most retailers halted disconnections in 2020 and 2021 in line with the commission’s statement of expectations during stay-at-home public health orders, it has been difficult to confirm a trend in these figures attributable to the framework. The pandemic also had a profound effect on the financial capacity of many customers and are likely to have contributed to increased levels of arrears for energy customers.</w:t>
      </w:r>
    </w:p>
    <w:p w14:paraId="71DC728B" w14:textId="77777777" w:rsidR="006E621F" w:rsidRDefault="006E621F" w:rsidP="006E621F">
      <w:r>
        <w:t xml:space="preserve">Despite disruptions to their operations due to the pandemic, energy retailers continued to deliver the payment difficulty framework. More Victorian residential customers accessed tailored assistance, with 61,560 customers receiving assistance by the end of 2021, compared to 57,039 customers in March 2020. Importantly, the average arrears of customers who can now pay for their ongoing usage has not grown over the past two years, despite the difficult economic circumstances. </w:t>
      </w:r>
    </w:p>
    <w:p w14:paraId="31232FF0" w14:textId="77777777" w:rsidR="006E621F" w:rsidRDefault="006E621F" w:rsidP="006E621F">
      <w:r>
        <w:t>These results demonstrate the durability and value of the framework, even during unpredictable and high impact events.</w:t>
      </w:r>
    </w:p>
    <w:p w14:paraId="2DF2E454" w14:textId="77777777" w:rsidR="006E621F" w:rsidRDefault="006E621F" w:rsidP="006E621F">
      <w:pPr>
        <w:pStyle w:val="Heading3"/>
      </w:pPr>
      <w:r>
        <w:t>Key finding 2: Customer outcomes vary significantly between and within retailers</w:t>
      </w:r>
    </w:p>
    <w:p w14:paraId="5A2E31B2" w14:textId="77777777" w:rsidR="006E621F" w:rsidRDefault="006E621F" w:rsidP="006E621F">
      <w:r>
        <w:t xml:space="preserve">Before the framework’s introduction, customers experienced inconsistent approaches and responses to requests for payment assistance from Victorian energy retailers. Retailers had different eligibility criteria for customers to receive </w:t>
      </w:r>
      <w:bookmarkStart w:id="18" w:name="_Int_MpLPCZ07"/>
      <w:r>
        <w:t>assistance and</w:t>
      </w:r>
      <w:bookmarkEnd w:id="18"/>
      <w:r>
        <w:t xml:space="preserve"> offered different types of assistance. The framework sought to address these inconsistencies by providing a minimum set of standards and entitlements that Victorian customers experiencing payment difficulty can expect from their retailers. While the framework sets out the types of assistance that must be offered to customers, retailers have some flexibility regarding how some assistance is offered. </w:t>
      </w:r>
    </w:p>
    <w:p w14:paraId="393568EF" w14:textId="77777777" w:rsidR="006E621F" w:rsidRDefault="006E621F" w:rsidP="006E621F">
      <w:r>
        <w:t xml:space="preserve">This report outlines the various ways the framework is being implemented by </w:t>
      </w:r>
      <w:bookmarkStart w:id="19" w:name="_Int_F0ljPLIQ"/>
      <w:r>
        <w:t>retailers and</w:t>
      </w:r>
      <w:bookmarkEnd w:id="19"/>
      <w:r>
        <w:t xml:space="preserve"> highlights positive instances that demonstrate the framework’s effectiveness. For example, some retailers have taken more proactive approaches to supporting customers with information about their eligibility for energy concessions, and some have been more effective at helping customers successfully apply for utility relief grants. However, many retailers could do more. </w:t>
      </w:r>
    </w:p>
    <w:p w14:paraId="5107688C" w14:textId="77777777" w:rsidR="006E621F" w:rsidRDefault="006E621F" w:rsidP="006E621F">
      <w:r>
        <w:t xml:space="preserve">A critical area for further consideration is the different levels of customer arrears across retailers at the time assistance commences, as well as the timing of when customers commence their assistance with their retailer. In some cases, customers are entering assistance with high levels of arrears accumulated over a </w:t>
      </w:r>
      <w:r w:rsidRPr="00CD52B2">
        <w:t>long time – sometimes the equivalent of an average Victorian’s annual energy bill</w:t>
      </w:r>
      <w:r>
        <w:t xml:space="preserve"> – and that assistance might be too late to provide meaningful debt relief for the customer</w:t>
      </w:r>
      <w:r w:rsidRPr="00CD52B2">
        <w:t>.</w:t>
      </w:r>
    </w:p>
    <w:p w14:paraId="2442A6E4" w14:textId="77777777" w:rsidR="006E621F" w:rsidRDefault="006E621F" w:rsidP="006E621F">
      <w:r w:rsidRPr="007A3CEA">
        <w:t>We also found variation in how retailers support customers to lower their energy costs and usage, which helps to directly reduce a customer’s arrears to more manageable levels. Some retailers are more effective at directly supporting customers to receive utility relief grants, checking whether they are on the best offer, checking eligibility for energy concessions, and providing practical energy efficiency options. There is also a need for better connections with, and referral to, existing government and community supports and programs, to make permanent improvements towards helping customers lower their energy usage and costs.</w:t>
      </w:r>
      <w:r>
        <w:t xml:space="preserve"> </w:t>
      </w:r>
    </w:p>
    <w:p w14:paraId="2C093F1D" w14:textId="77777777" w:rsidR="006E621F" w:rsidRDefault="006E621F" w:rsidP="006E621F">
      <w:pPr>
        <w:pStyle w:val="Heading3"/>
      </w:pPr>
      <w:r w:rsidRPr="00DF2E82">
        <w:t xml:space="preserve">Key finding 3: The level and quality of retailer-customer engagement </w:t>
      </w:r>
      <w:r>
        <w:t>a</w:t>
      </w:r>
      <w:r w:rsidRPr="00DF2E82">
        <w:t>ffects customer outcomes.</w:t>
      </w:r>
    </w:p>
    <w:p w14:paraId="79C6FD8B" w14:textId="77777777" w:rsidR="006E621F" w:rsidRDefault="006E621F" w:rsidP="006E621F">
      <w:r>
        <w:t xml:space="preserve">The payment difficulty framework was designed to promote communication and engagement between retailers and customers. It is critical that customers can effectively engage with their retailers in order to be provided with their full entitlements. </w:t>
      </w:r>
    </w:p>
    <w:p w14:paraId="61F9BEAC" w14:textId="77777777" w:rsidR="006E621F" w:rsidRDefault="006E621F" w:rsidP="006E621F">
      <w:r>
        <w:t xml:space="preserve">Important to this is customer awareness of their entitlements. We found that under the framework, this awareness has grown among customers, as well as community sector organisations and retailer staff. However, there </w:t>
      </w:r>
      <w:r w:rsidRPr="003672D1">
        <w:t xml:space="preserve">are opportunities to improve awareness, which would </w:t>
      </w:r>
      <w:r>
        <w:t xml:space="preserve">better </w:t>
      </w:r>
      <w:r w:rsidRPr="003672D1">
        <w:t xml:space="preserve">enable customers to engage with their retailers earlier, </w:t>
      </w:r>
      <w:r>
        <w:t>as well as enhance retailer response.</w:t>
      </w:r>
      <w:r w:rsidRPr="003672D1">
        <w:t xml:space="preserve"> For example, increasing general awareness of customer entitlements to assistance could encourage and improve timely engagement </w:t>
      </w:r>
      <w:r>
        <w:t xml:space="preserve">of customers </w:t>
      </w:r>
      <w:r w:rsidRPr="003672D1">
        <w:t>with their retailers.</w:t>
      </w:r>
    </w:p>
    <w:p w14:paraId="4514AC05" w14:textId="77777777" w:rsidR="006E621F" w:rsidRDefault="006E621F" w:rsidP="006E621F">
      <w:r>
        <w:t>Retailer call centre staff are showing a greater understanding of the issues faced by customers experiencing vulnerability and requiring payment assistance. This is crucial for them to provide customers with their full entitlements. Call recordings collected for the review demonstrated the positive impact of call centre staff speaking to customers. In most calls, operators were respectful of customers (98 per cent of calls) and were empathetic in their communication (88 per cent of calls).</w:t>
      </w:r>
    </w:p>
    <w:p w14:paraId="451805FF" w14:textId="77777777" w:rsidR="006E621F" w:rsidRDefault="006E621F" w:rsidP="006E621F">
      <w:r>
        <w:t>If customers are unable to or cannot engage with their retailer, retailers are unable to effectively provide customers with their full entitlements. We see opportunities for i</w:t>
      </w:r>
      <w:r w:rsidRPr="003672D1">
        <w:t>mproving the quality of engagement between customers and retailers</w:t>
      </w:r>
      <w:r>
        <w:t xml:space="preserve">, which may </w:t>
      </w:r>
      <w:r w:rsidRPr="003672D1">
        <w:t xml:space="preserve">lead to better application of customer entitlements under the framework. </w:t>
      </w:r>
    </w:p>
    <w:p w14:paraId="45AADABB" w14:textId="77777777" w:rsidR="006E621F" w:rsidRPr="00CD52B2" w:rsidRDefault="006E621F" w:rsidP="006E621F">
      <w:r>
        <w:t xml:space="preserve">The framework was also designed </w:t>
      </w:r>
      <w:r w:rsidRPr="00CD52B2">
        <w:t>to promote early engagement with customers – the importance of this has been confirmed by our findings. Once a customer</w:t>
      </w:r>
      <w:r>
        <w:t>, who has arrears of more than $55</w:t>
      </w:r>
      <w:r w:rsidRPr="00CD52B2">
        <w:t xml:space="preserve"> </w:t>
      </w:r>
      <w:r>
        <w:t xml:space="preserve">including GST) </w:t>
      </w:r>
      <w:r w:rsidRPr="00CD52B2">
        <w:t>misses a bill payment</w:t>
      </w:r>
      <w:r>
        <w:t xml:space="preserve"> by the due date</w:t>
      </w:r>
      <w:r w:rsidRPr="00CD52B2">
        <w:t xml:space="preserve">, retailers must provide a customer with information about their entitlements to assistance. </w:t>
      </w:r>
      <w:r w:rsidRPr="00F25D85">
        <w:t xml:space="preserve">While this early notification is mandated under the code, we have found that the way </w:t>
      </w:r>
      <w:r>
        <w:t xml:space="preserve">call operators </w:t>
      </w:r>
      <w:r w:rsidRPr="00F25D85">
        <w:t>communicate with a customer can improve the support provided to them</w:t>
      </w:r>
      <w:r>
        <w:t>, particularly for customers experiencing vulnerability</w:t>
      </w:r>
      <w:r w:rsidRPr="00F25D85">
        <w:t>.</w:t>
      </w:r>
      <w:r>
        <w:t xml:space="preserve"> </w:t>
      </w:r>
    </w:p>
    <w:p w14:paraId="469622A2" w14:textId="77777777" w:rsidR="006E621F" w:rsidRDefault="006E621F" w:rsidP="006E621F">
      <w:r w:rsidRPr="00CD52B2">
        <w:t>We observed that early intervention can and does help improve longer term or ongoing engagement with customers, therefore improving a customer’s experience of receiving assistance. When a customer initially contacts a retailer who proactively offers support such as help to receive concessions and government grants or advice on the best plan, this improve</w:t>
      </w:r>
      <w:r>
        <w:t>s</w:t>
      </w:r>
      <w:r w:rsidRPr="00CD52B2">
        <w:t xml:space="preserve"> the effectiveness of </w:t>
      </w:r>
      <w:r>
        <w:t xml:space="preserve">the support </w:t>
      </w:r>
      <w:r w:rsidRPr="00CD52B2">
        <w:t xml:space="preserve">over time. This leads to benefits for both customer and retailer, as it focuses on managing customer arrears early and at more manageable levels. </w:t>
      </w:r>
    </w:p>
    <w:p w14:paraId="08BB6D82" w14:textId="77777777" w:rsidR="006E621F" w:rsidRPr="00967DEE" w:rsidRDefault="006E621F" w:rsidP="006E621F">
      <w:r w:rsidRPr="00967DEE">
        <w:t xml:space="preserve">Our work in this review aligns with the work we conducted in developing our ‘Getting to fair’ strategy in 2021. This three-year strategy seeks to improve the experience of consumers facing vulnerability by supporting our regulated and administered sectors to provide more responsive, inclusive, and accessible services. Although the framework is removing barriers for some customers to better access and receive assistance, we have found that some customers requiring support with their energy bills may be experiencing multiple barriers to accessing and receiving assistance. These barriers may be further heightened for some energy customers such as those experiencing family violence, First Nations customers, customers from culturally and linguistically diverse backgrounds and those with low financial or English literacy and LGBTIQA+ customers. </w:t>
      </w:r>
    </w:p>
    <w:p w14:paraId="1964C0BD" w14:textId="77777777" w:rsidR="006E621F" w:rsidRDefault="006E621F" w:rsidP="006E621F">
      <w:r w:rsidRPr="00967DEE">
        <w:t>In this review we also sought to deepen our understanding of the gendered dimension of the framework in practice. This aligns with our new duty under the Victorian Gender Equality Act of 2020 which requires the Victorian public sector to consider and promote gender equality in their policies, programs</w:t>
      </w:r>
      <w:r>
        <w:t>,</w:t>
      </w:r>
      <w:r w:rsidRPr="00967DEE">
        <w:t xml:space="preserve"> and services. We found that women are more likely to be seeking assistance under the framework.</w:t>
      </w:r>
      <w:r>
        <w:t xml:space="preserve"> </w:t>
      </w:r>
    </w:p>
    <w:p w14:paraId="4942C217" w14:textId="77777777" w:rsidR="006E621F" w:rsidRPr="002F3B01" w:rsidRDefault="006E621F" w:rsidP="006E621F">
      <w:pPr>
        <w:pStyle w:val="Heading3"/>
      </w:pPr>
      <w:r w:rsidRPr="00437C95">
        <w:t xml:space="preserve">Key finding </w:t>
      </w:r>
      <w:r>
        <w:t>4</w:t>
      </w:r>
      <w:r w:rsidRPr="00437C95">
        <w:t xml:space="preserve">: </w:t>
      </w:r>
      <w:r w:rsidRPr="00E23E12">
        <w:t>Customers who can pay for their ongoing energy use benefit most</w:t>
      </w:r>
    </w:p>
    <w:p w14:paraId="211CC55F" w14:textId="77777777" w:rsidR="006E621F" w:rsidRDefault="006E621F" w:rsidP="006E621F">
      <w:r>
        <w:t xml:space="preserve">The objective for both energy retailers and community sector organisations to support customers who are unable to or have not engaged with their retailers remains a challenge. In June 2021, over 49,000 energy customers were not receiving assistance from their energy retailer and were in arrears of $1,000 or more. In 2019-20, more than half of customers disconnected for non-payment had not received assistance in the six months prior. These figures suggest there is still much work to be done under the framework to support Victorian customers who are unable to pay their energy bills. </w:t>
      </w:r>
    </w:p>
    <w:p w14:paraId="67CC9F42" w14:textId="77777777" w:rsidR="006E621F" w:rsidRDefault="006E621F" w:rsidP="006E621F">
      <w:pPr>
        <w:keepLines/>
      </w:pPr>
      <w:r>
        <w:t>We found the framework benefits many customers, particularly those who are in arrears with their retailer and able to pay for their ongoing energy use. There were more of this</w:t>
      </w:r>
      <w:r w:rsidDel="00E810F4">
        <w:t xml:space="preserve"> category</w:t>
      </w:r>
      <w:r>
        <w:t xml:space="preserve"> of customers receiving assistance during the pandemic and overall, their average arrears remained stable over the past two years.</w:t>
      </w:r>
    </w:p>
    <w:p w14:paraId="30068756" w14:textId="77777777" w:rsidR="006E621F" w:rsidRPr="00BC1111" w:rsidRDefault="006E621F" w:rsidP="006E621F">
      <w:r>
        <w:t xml:space="preserve">However, our review highlighted the complexities in supporting customers experiencing acute or chronic financial difficulties or </w:t>
      </w:r>
      <w:bookmarkStart w:id="20" w:name="_Int_CLOFNzhF"/>
      <w:r>
        <w:t>vulnerability.</w:t>
      </w:r>
      <w:bookmarkEnd w:id="20"/>
      <w:r>
        <w:t xml:space="preserve"> Based on call recordings we reviewed, customers experiencing payment difficulty are more </w:t>
      </w:r>
      <w:r w:rsidRPr="004126E9">
        <w:t xml:space="preserve">likely to face </w:t>
      </w:r>
      <w:r>
        <w:t xml:space="preserve">multiple </w:t>
      </w:r>
      <w:r w:rsidRPr="004126E9">
        <w:t>barriers</w:t>
      </w:r>
      <w:r>
        <w:t xml:space="preserve">, such as changes to household income, a lack of work, or illness. Many of these customers also use much higher levels of energy than the typical household for a range of reasons, and supporting these customers is particularly challenging. </w:t>
      </w:r>
    </w:p>
    <w:p w14:paraId="0582B85A" w14:textId="77777777" w:rsidR="006E621F" w:rsidRPr="00BC1111" w:rsidRDefault="006E621F" w:rsidP="006E621F">
      <w:r>
        <w:t xml:space="preserve">We recognise that some of these challenges are long-standing and require continued support from a range of stakeholders beyond the framework. That said, initiatives such as retailers being more proactive in </w:t>
      </w:r>
      <w:bookmarkStart w:id="21" w:name="_Hlk103322372"/>
      <w:r>
        <w:t>assisting these customers access concession and utility relief grants, as well as alerting them to other relevant government programs can help</w:t>
      </w:r>
      <w:bookmarkEnd w:id="21"/>
      <w:r>
        <w:t>.</w:t>
      </w:r>
    </w:p>
    <w:tbl>
      <w:tblPr>
        <w:tblStyle w:val="TwoColumnImage"/>
        <w:tblW w:w="9604" w:type="dxa"/>
        <w:tblInd w:w="172" w:type="dxa"/>
        <w:tblBorders>
          <w:top w:val="single" w:sz="24" w:space="0" w:color="6CB59D" w:themeColor="accent5" w:themeTint="80"/>
          <w:left w:val="single" w:sz="24" w:space="0" w:color="6CB59D" w:themeColor="accent5" w:themeTint="80"/>
          <w:bottom w:val="single" w:sz="24" w:space="0" w:color="6CB59D" w:themeColor="accent5" w:themeTint="80"/>
          <w:right w:val="single" w:sz="24" w:space="0" w:color="6CB59D" w:themeColor="accent5" w:themeTint="80"/>
        </w:tblBorders>
        <w:shd w:val="clear" w:color="auto" w:fill="B5DACE" w:themeFill="accent5" w:themeFillTint="40"/>
        <w:tblCellMar>
          <w:top w:w="57" w:type="dxa"/>
          <w:bottom w:w="57" w:type="dxa"/>
        </w:tblCellMar>
        <w:tblLook w:val="04A0" w:firstRow="1" w:lastRow="0" w:firstColumn="1" w:lastColumn="0" w:noHBand="0" w:noVBand="1"/>
      </w:tblPr>
      <w:tblGrid>
        <w:gridCol w:w="1781"/>
        <w:gridCol w:w="31"/>
        <w:gridCol w:w="6411"/>
        <w:gridCol w:w="30"/>
        <w:gridCol w:w="1351"/>
      </w:tblGrid>
      <w:tr w:rsidR="006E621F" w:rsidRPr="000179AE" w14:paraId="72234952" w14:textId="77777777" w:rsidTr="00EB580A">
        <w:tc>
          <w:tcPr>
            <w:tcW w:w="9604" w:type="dxa"/>
            <w:gridSpan w:val="5"/>
            <w:shd w:val="clear" w:color="auto" w:fill="B5DACE" w:themeFill="accent5" w:themeFillTint="40"/>
          </w:tcPr>
          <w:p w14:paraId="02E6FA77" w14:textId="77777777" w:rsidR="006E621F" w:rsidRPr="000179AE" w:rsidRDefault="006E621F" w:rsidP="00EB580A">
            <w:pPr>
              <w:pStyle w:val="TableBody"/>
              <w:keepNext/>
              <w:keepLines/>
              <w:spacing w:before="80" w:after="80"/>
              <w:ind w:left="142" w:right="119"/>
              <w:rPr>
                <w:rFonts w:ascii="Tahoma" w:hAnsi="Tahoma" w:cs="Tahoma"/>
                <w:color w:val="262626" w:themeColor="text1" w:themeTint="D9"/>
              </w:rPr>
            </w:pPr>
            <w:r>
              <w:rPr>
                <w:rFonts w:ascii="Tahoma" w:hAnsi="Tahoma" w:cs="Tahoma"/>
                <w:b/>
                <w:bCs/>
                <w:color w:val="262626" w:themeColor="text1" w:themeTint="D9"/>
                <w:sz w:val="32"/>
                <w:szCs w:val="32"/>
              </w:rPr>
              <w:t>Improving the operation of the framework</w:t>
            </w:r>
          </w:p>
        </w:tc>
      </w:tr>
      <w:tr w:rsidR="006E621F" w:rsidRPr="000179AE" w14:paraId="53C9866E" w14:textId="77777777" w:rsidTr="00EB580A">
        <w:tc>
          <w:tcPr>
            <w:tcW w:w="9604" w:type="dxa"/>
            <w:gridSpan w:val="5"/>
            <w:tcBorders>
              <w:bottom w:val="nil"/>
            </w:tcBorders>
            <w:shd w:val="clear" w:color="auto" w:fill="B5DACE" w:themeFill="accent5" w:themeFillTint="40"/>
          </w:tcPr>
          <w:p w14:paraId="4EC0C16E" w14:textId="77777777" w:rsidR="006E621F" w:rsidRPr="000179AE" w:rsidRDefault="006E621F" w:rsidP="00EB580A">
            <w:pPr>
              <w:pStyle w:val="TableBody"/>
              <w:keepNext/>
              <w:keepLines/>
              <w:spacing w:before="80" w:after="80"/>
              <w:ind w:left="142" w:right="119"/>
              <w:rPr>
                <w:rFonts w:ascii="Tahoma" w:hAnsi="Tahoma" w:cs="Tahoma"/>
                <w:b/>
                <w:bCs/>
                <w:color w:val="262626" w:themeColor="text1" w:themeTint="D9"/>
              </w:rPr>
            </w:pPr>
            <w:r>
              <w:rPr>
                <w:rFonts w:ascii="Tahoma" w:hAnsi="Tahoma" w:cs="Tahoma"/>
                <w:b/>
                <w:bCs/>
                <w:color w:val="262626" w:themeColor="text1" w:themeTint="D9"/>
              </w:rPr>
              <w:t>Customer outcomes vary significantly between and within retailers</w:t>
            </w:r>
          </w:p>
        </w:tc>
      </w:tr>
      <w:tr w:rsidR="006E621F" w:rsidRPr="000179AE" w14:paraId="55BACD9C" w14:textId="77777777" w:rsidTr="00EB580A">
        <w:tc>
          <w:tcPr>
            <w:tcW w:w="1812" w:type="dxa"/>
            <w:gridSpan w:val="2"/>
            <w:vMerge w:val="restart"/>
            <w:shd w:val="clear" w:color="auto" w:fill="B5DACE" w:themeFill="accent5" w:themeFillTint="40"/>
            <w:vAlign w:val="center"/>
          </w:tcPr>
          <w:p w14:paraId="75371242" w14:textId="77777777" w:rsidR="006E621F" w:rsidRPr="000179AE" w:rsidRDefault="006E621F" w:rsidP="00EB580A">
            <w:pPr>
              <w:pStyle w:val="TableBody"/>
              <w:keepNext/>
              <w:keepLines/>
              <w:ind w:left="284" w:right="-2"/>
              <w:jc w:val="center"/>
              <w:rPr>
                <w:rFonts w:ascii="Tahoma" w:hAnsi="Tahoma" w:cs="Tahoma"/>
                <w:noProof/>
                <w:color w:val="262626" w:themeColor="text1" w:themeTint="D9"/>
              </w:rPr>
            </w:pPr>
            <w:r w:rsidRPr="000179AE">
              <w:rPr>
                <w:rFonts w:ascii="Tahoma" w:hAnsi="Tahoma" w:cs="Tahoma"/>
                <w:noProof/>
                <w:color w:val="262626" w:themeColor="text1" w:themeTint="D9"/>
              </w:rPr>
              <w:drawing>
                <wp:inline distT="0" distB="0" distL="0" distR="0" wp14:anchorId="2937ED8D" wp14:editId="61A0FDE2">
                  <wp:extent cx="864000" cy="864000"/>
                  <wp:effectExtent l="0" t="0" r="0" b="0"/>
                  <wp:docPr id="120"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6441" w:type="dxa"/>
            <w:gridSpan w:val="2"/>
            <w:tcBorders>
              <w:top w:val="nil"/>
              <w:bottom w:val="nil"/>
            </w:tcBorders>
            <w:shd w:val="clear" w:color="auto" w:fill="B5DACE" w:themeFill="accent5" w:themeFillTint="40"/>
          </w:tcPr>
          <w:p w14:paraId="5CC4682F" w14:textId="77777777" w:rsidR="006E621F" w:rsidRPr="001551CC" w:rsidRDefault="006E621F" w:rsidP="006E621F">
            <w:pPr>
              <w:pStyle w:val="ListBullet"/>
              <w:keepNext/>
              <w:keepLines/>
              <w:numPr>
                <w:ilvl w:val="0"/>
                <w:numId w:val="1"/>
              </w:numPr>
              <w:spacing w:before="0"/>
              <w:ind w:left="357" w:hanging="357"/>
              <w:contextualSpacing w:val="0"/>
            </w:pPr>
            <w:r w:rsidRPr="001551CC">
              <w:t xml:space="preserve">Improve </w:t>
            </w:r>
            <w:r>
              <w:t xml:space="preserve">retailers’ </w:t>
            </w:r>
            <w:r w:rsidRPr="001551CC">
              <w:t>effectiveness of establishing and reviewing payment arrangements and plans.</w:t>
            </w:r>
          </w:p>
        </w:tc>
        <w:tc>
          <w:tcPr>
            <w:tcW w:w="1351" w:type="dxa"/>
            <w:tcBorders>
              <w:top w:val="nil"/>
              <w:bottom w:val="nil"/>
            </w:tcBorders>
            <w:shd w:val="clear" w:color="auto" w:fill="B5DACE" w:themeFill="accent5" w:themeFillTint="40"/>
            <w:vAlign w:val="center"/>
          </w:tcPr>
          <w:p w14:paraId="75DDB6CD" w14:textId="77777777" w:rsidR="006E621F" w:rsidRPr="00C82D1A" w:rsidRDefault="006E621F" w:rsidP="00EB580A">
            <w:pPr>
              <w:pStyle w:val="ListBullet"/>
              <w:keepNext/>
              <w:keepLines/>
              <w:numPr>
                <w:ilvl w:val="0"/>
                <w:numId w:val="0"/>
              </w:numPr>
              <w:spacing w:before="0" w:line="240" w:lineRule="auto"/>
              <w:ind w:left="360"/>
              <w:jc w:val="center"/>
              <w:rPr>
                <w:b/>
                <w:bCs/>
                <w:color w:val="CE0058" w:themeColor="accent2"/>
              </w:rPr>
            </w:pPr>
            <w:r w:rsidRPr="00046BFF">
              <w:rPr>
                <w:b/>
                <w:bCs/>
                <w:color w:val="CE0058" w:themeColor="accent2"/>
              </w:rPr>
              <w:t>Priority</w:t>
            </w:r>
          </w:p>
        </w:tc>
      </w:tr>
      <w:tr w:rsidR="006E621F" w:rsidRPr="000179AE" w14:paraId="12F5C171" w14:textId="77777777" w:rsidTr="00EB580A">
        <w:tc>
          <w:tcPr>
            <w:tcW w:w="1812" w:type="dxa"/>
            <w:gridSpan w:val="2"/>
            <w:vMerge/>
            <w:shd w:val="clear" w:color="auto" w:fill="B5DACE" w:themeFill="accent5" w:themeFillTint="40"/>
            <w:vAlign w:val="center"/>
          </w:tcPr>
          <w:p w14:paraId="7A6EAC51" w14:textId="77777777" w:rsidR="006E621F" w:rsidRPr="000179AE" w:rsidRDefault="006E621F" w:rsidP="00EB580A">
            <w:pPr>
              <w:pStyle w:val="TableBody"/>
              <w:keepNext/>
              <w:keepLines/>
              <w:ind w:left="284" w:right="-2"/>
              <w:jc w:val="center"/>
              <w:rPr>
                <w:rFonts w:ascii="Tahoma" w:hAnsi="Tahoma" w:cs="Tahoma"/>
                <w:noProof/>
                <w:color w:val="262626" w:themeColor="text1" w:themeTint="D9"/>
              </w:rPr>
            </w:pPr>
          </w:p>
        </w:tc>
        <w:tc>
          <w:tcPr>
            <w:tcW w:w="6441" w:type="dxa"/>
            <w:gridSpan w:val="2"/>
            <w:tcBorders>
              <w:top w:val="nil"/>
              <w:bottom w:val="nil"/>
            </w:tcBorders>
            <w:shd w:val="clear" w:color="auto" w:fill="B5DACE" w:themeFill="accent5" w:themeFillTint="40"/>
          </w:tcPr>
          <w:p w14:paraId="02D586AE" w14:textId="77777777" w:rsidR="006E621F" w:rsidRPr="001551CC" w:rsidRDefault="006E621F" w:rsidP="006E621F">
            <w:pPr>
              <w:pStyle w:val="ListBullet"/>
              <w:keepNext/>
              <w:keepLines/>
              <w:numPr>
                <w:ilvl w:val="0"/>
                <w:numId w:val="1"/>
              </w:numPr>
              <w:spacing w:before="0"/>
              <w:ind w:left="357" w:hanging="357"/>
              <w:contextualSpacing w:val="0"/>
            </w:pPr>
            <w:r w:rsidRPr="00C82D1A">
              <w:t xml:space="preserve">Improve customer access to payment arrangements </w:t>
            </w:r>
            <w:r>
              <w:t>from their retailer</w:t>
            </w:r>
            <w:r w:rsidRPr="00C82D1A">
              <w:t>.</w:t>
            </w:r>
          </w:p>
        </w:tc>
        <w:tc>
          <w:tcPr>
            <w:tcW w:w="1351" w:type="dxa"/>
            <w:tcBorders>
              <w:top w:val="nil"/>
              <w:bottom w:val="nil"/>
            </w:tcBorders>
            <w:shd w:val="clear" w:color="auto" w:fill="B5DACE" w:themeFill="accent5" w:themeFillTint="40"/>
          </w:tcPr>
          <w:p w14:paraId="549C8060" w14:textId="77777777" w:rsidR="006E621F" w:rsidRPr="00C82D1A" w:rsidRDefault="006E621F" w:rsidP="00EB580A">
            <w:pPr>
              <w:pStyle w:val="TableBody"/>
              <w:keepNext/>
              <w:keepLines/>
              <w:ind w:left="360"/>
            </w:pPr>
          </w:p>
        </w:tc>
      </w:tr>
      <w:tr w:rsidR="006E621F" w:rsidRPr="000179AE" w14:paraId="2A5D0F78" w14:textId="77777777" w:rsidTr="00EB580A">
        <w:tc>
          <w:tcPr>
            <w:tcW w:w="1812" w:type="dxa"/>
            <w:gridSpan w:val="2"/>
            <w:vMerge/>
            <w:shd w:val="clear" w:color="auto" w:fill="B5DACE" w:themeFill="accent5" w:themeFillTint="40"/>
            <w:vAlign w:val="center"/>
          </w:tcPr>
          <w:p w14:paraId="790AB901" w14:textId="77777777" w:rsidR="006E621F" w:rsidRPr="000179AE" w:rsidRDefault="006E621F" w:rsidP="00EB580A">
            <w:pPr>
              <w:pStyle w:val="TableBody"/>
              <w:keepNext/>
              <w:keepLines/>
              <w:ind w:left="284" w:right="-2"/>
              <w:jc w:val="center"/>
              <w:rPr>
                <w:rFonts w:ascii="Tahoma" w:hAnsi="Tahoma" w:cs="Tahoma"/>
                <w:noProof/>
                <w:color w:val="262626" w:themeColor="text1" w:themeTint="D9"/>
              </w:rPr>
            </w:pPr>
          </w:p>
        </w:tc>
        <w:tc>
          <w:tcPr>
            <w:tcW w:w="6441" w:type="dxa"/>
            <w:gridSpan w:val="2"/>
            <w:tcBorders>
              <w:top w:val="nil"/>
              <w:bottom w:val="nil"/>
            </w:tcBorders>
            <w:shd w:val="clear" w:color="auto" w:fill="B5DACE" w:themeFill="accent5" w:themeFillTint="40"/>
          </w:tcPr>
          <w:p w14:paraId="2B685AF8" w14:textId="77777777" w:rsidR="006E621F" w:rsidRDefault="006E621F" w:rsidP="006E621F">
            <w:pPr>
              <w:pStyle w:val="ListBullet"/>
              <w:keepNext/>
              <w:keepLines/>
              <w:numPr>
                <w:ilvl w:val="0"/>
                <w:numId w:val="1"/>
              </w:numPr>
              <w:spacing w:before="0"/>
              <w:ind w:left="357" w:hanging="357"/>
              <w:contextualSpacing w:val="0"/>
            </w:pPr>
            <w:r w:rsidRPr="001551CC">
              <w:t>Improve retailer processes to ensure eligible customers are receiving concessions and utility relief grants.</w:t>
            </w:r>
          </w:p>
        </w:tc>
        <w:tc>
          <w:tcPr>
            <w:tcW w:w="1351" w:type="dxa"/>
            <w:tcBorders>
              <w:top w:val="nil"/>
              <w:bottom w:val="nil"/>
            </w:tcBorders>
            <w:shd w:val="clear" w:color="auto" w:fill="B5DACE" w:themeFill="accent5" w:themeFillTint="40"/>
            <w:vAlign w:val="center"/>
          </w:tcPr>
          <w:p w14:paraId="5D769C75" w14:textId="77777777" w:rsidR="006E621F" w:rsidRPr="00C82D1A" w:rsidRDefault="006E621F" w:rsidP="00EB580A">
            <w:pPr>
              <w:pStyle w:val="ListBullet"/>
              <w:keepNext/>
              <w:keepLines/>
              <w:numPr>
                <w:ilvl w:val="0"/>
                <w:numId w:val="0"/>
              </w:numPr>
              <w:spacing w:before="0" w:line="240" w:lineRule="auto"/>
              <w:ind w:left="360"/>
              <w:jc w:val="center"/>
              <w:rPr>
                <w:b/>
                <w:bCs/>
                <w:color w:val="CE0058" w:themeColor="accent2"/>
              </w:rPr>
            </w:pPr>
            <w:r w:rsidRPr="00046BFF">
              <w:rPr>
                <w:b/>
                <w:bCs/>
                <w:color w:val="CE0058" w:themeColor="accent2"/>
              </w:rPr>
              <w:t>Priority</w:t>
            </w:r>
          </w:p>
        </w:tc>
      </w:tr>
      <w:tr w:rsidR="006E621F" w:rsidRPr="000179AE" w14:paraId="417F0B14" w14:textId="77777777" w:rsidTr="00EB580A">
        <w:tc>
          <w:tcPr>
            <w:tcW w:w="1812" w:type="dxa"/>
            <w:gridSpan w:val="2"/>
            <w:vMerge/>
            <w:shd w:val="clear" w:color="auto" w:fill="B5DACE" w:themeFill="accent5" w:themeFillTint="40"/>
            <w:vAlign w:val="center"/>
          </w:tcPr>
          <w:p w14:paraId="4F2735B3" w14:textId="77777777" w:rsidR="006E621F" w:rsidRPr="000179AE" w:rsidRDefault="006E621F" w:rsidP="00EB580A">
            <w:pPr>
              <w:pStyle w:val="TableBody"/>
              <w:keepNext/>
              <w:keepLines/>
              <w:ind w:left="284" w:right="-2"/>
              <w:jc w:val="center"/>
              <w:rPr>
                <w:rFonts w:ascii="Tahoma" w:hAnsi="Tahoma" w:cs="Tahoma"/>
                <w:noProof/>
                <w:color w:val="262626" w:themeColor="text1" w:themeTint="D9"/>
              </w:rPr>
            </w:pPr>
          </w:p>
        </w:tc>
        <w:tc>
          <w:tcPr>
            <w:tcW w:w="6441" w:type="dxa"/>
            <w:gridSpan w:val="2"/>
            <w:tcBorders>
              <w:top w:val="nil"/>
              <w:bottom w:val="nil"/>
            </w:tcBorders>
            <w:shd w:val="clear" w:color="auto" w:fill="B5DACE" w:themeFill="accent5" w:themeFillTint="40"/>
          </w:tcPr>
          <w:p w14:paraId="2E43FC54" w14:textId="77777777" w:rsidR="006E621F" w:rsidRDefault="006E621F" w:rsidP="006E621F">
            <w:pPr>
              <w:pStyle w:val="ListBullet"/>
              <w:keepNext/>
              <w:keepLines/>
              <w:numPr>
                <w:ilvl w:val="0"/>
                <w:numId w:val="1"/>
              </w:numPr>
              <w:spacing w:before="0"/>
              <w:ind w:left="357" w:hanging="357"/>
              <w:contextualSpacing w:val="0"/>
            </w:pPr>
            <w:r w:rsidRPr="001551CC">
              <w:t xml:space="preserve">Improve appropriateness and timing of assistance provided </w:t>
            </w:r>
            <w:r>
              <w:t xml:space="preserve">by retailers </w:t>
            </w:r>
            <w:r w:rsidRPr="001551CC">
              <w:t>to customers about lowering energy usage and costs.</w:t>
            </w:r>
          </w:p>
        </w:tc>
        <w:tc>
          <w:tcPr>
            <w:tcW w:w="1351" w:type="dxa"/>
            <w:tcBorders>
              <w:top w:val="nil"/>
              <w:bottom w:val="nil"/>
            </w:tcBorders>
            <w:shd w:val="clear" w:color="auto" w:fill="B5DACE" w:themeFill="accent5" w:themeFillTint="40"/>
            <w:vAlign w:val="center"/>
          </w:tcPr>
          <w:p w14:paraId="0133F65D" w14:textId="77777777" w:rsidR="006E621F" w:rsidRPr="00C82D1A" w:rsidRDefault="006E621F" w:rsidP="00EB580A">
            <w:pPr>
              <w:pStyle w:val="ListBullet"/>
              <w:keepNext/>
              <w:keepLines/>
              <w:numPr>
                <w:ilvl w:val="0"/>
                <w:numId w:val="0"/>
              </w:numPr>
              <w:spacing w:before="0" w:line="240" w:lineRule="auto"/>
              <w:ind w:left="360"/>
              <w:jc w:val="center"/>
              <w:rPr>
                <w:b/>
                <w:bCs/>
                <w:color w:val="CE0058" w:themeColor="accent2"/>
              </w:rPr>
            </w:pPr>
            <w:r w:rsidRPr="00046BFF">
              <w:rPr>
                <w:b/>
                <w:bCs/>
                <w:color w:val="CE0058" w:themeColor="accent2"/>
              </w:rPr>
              <w:t>Priority</w:t>
            </w:r>
          </w:p>
        </w:tc>
      </w:tr>
      <w:tr w:rsidR="006E621F" w:rsidRPr="000179AE" w14:paraId="10C9CA03" w14:textId="77777777" w:rsidTr="00EB580A">
        <w:tc>
          <w:tcPr>
            <w:tcW w:w="1812" w:type="dxa"/>
            <w:gridSpan w:val="2"/>
            <w:vMerge/>
            <w:shd w:val="clear" w:color="auto" w:fill="B5DACE" w:themeFill="accent5" w:themeFillTint="40"/>
            <w:vAlign w:val="center"/>
          </w:tcPr>
          <w:p w14:paraId="41D8C812" w14:textId="77777777" w:rsidR="006E621F" w:rsidRPr="000179AE" w:rsidRDefault="006E621F" w:rsidP="00EB580A">
            <w:pPr>
              <w:pStyle w:val="TableBody"/>
              <w:keepNext/>
              <w:keepLines/>
              <w:ind w:left="284" w:right="-2"/>
              <w:jc w:val="center"/>
              <w:rPr>
                <w:rFonts w:ascii="Tahoma" w:hAnsi="Tahoma" w:cs="Tahoma"/>
                <w:noProof/>
                <w:color w:val="262626" w:themeColor="text1" w:themeTint="D9"/>
              </w:rPr>
            </w:pPr>
          </w:p>
        </w:tc>
        <w:tc>
          <w:tcPr>
            <w:tcW w:w="6441" w:type="dxa"/>
            <w:gridSpan w:val="2"/>
            <w:tcBorders>
              <w:top w:val="nil"/>
              <w:bottom w:val="nil"/>
            </w:tcBorders>
            <w:shd w:val="clear" w:color="auto" w:fill="B5DACE" w:themeFill="accent5" w:themeFillTint="40"/>
          </w:tcPr>
          <w:p w14:paraId="34803C9F" w14:textId="77777777" w:rsidR="006E621F" w:rsidRDefault="006E621F" w:rsidP="006E621F">
            <w:pPr>
              <w:pStyle w:val="ListBullet"/>
              <w:keepNext/>
              <w:keepLines/>
              <w:numPr>
                <w:ilvl w:val="0"/>
                <w:numId w:val="1"/>
              </w:numPr>
              <w:spacing w:before="0"/>
              <w:ind w:left="357" w:hanging="357"/>
              <w:contextualSpacing w:val="0"/>
            </w:pPr>
            <w:r>
              <w:t xml:space="preserve">Increase retailers’ </w:t>
            </w:r>
            <w:r w:rsidRPr="001551CC">
              <w:t>understanding of customers in payment difficulty with high energy use, to help to tailor approaches to energy efficiency.</w:t>
            </w:r>
          </w:p>
        </w:tc>
        <w:tc>
          <w:tcPr>
            <w:tcW w:w="1351" w:type="dxa"/>
            <w:tcBorders>
              <w:top w:val="nil"/>
              <w:bottom w:val="nil"/>
            </w:tcBorders>
            <w:shd w:val="clear" w:color="auto" w:fill="B5DACE" w:themeFill="accent5" w:themeFillTint="40"/>
            <w:vAlign w:val="center"/>
          </w:tcPr>
          <w:p w14:paraId="36A270AF" w14:textId="77777777" w:rsidR="006E621F" w:rsidRPr="00C22106" w:rsidRDefault="006E621F" w:rsidP="00EB580A">
            <w:pPr>
              <w:pStyle w:val="TableBody"/>
              <w:keepNext/>
              <w:keepLines/>
              <w:ind w:left="360"/>
            </w:pPr>
          </w:p>
        </w:tc>
      </w:tr>
      <w:tr w:rsidR="006E621F" w:rsidRPr="000179AE" w14:paraId="5C3686B5" w14:textId="77777777" w:rsidTr="00EB580A">
        <w:tc>
          <w:tcPr>
            <w:tcW w:w="1812" w:type="dxa"/>
            <w:gridSpan w:val="2"/>
            <w:vMerge/>
            <w:shd w:val="clear" w:color="auto" w:fill="B5DACE" w:themeFill="accent5" w:themeFillTint="40"/>
            <w:vAlign w:val="center"/>
          </w:tcPr>
          <w:p w14:paraId="28577FCD" w14:textId="77777777" w:rsidR="006E621F" w:rsidRPr="000179AE" w:rsidRDefault="006E621F" w:rsidP="00EB580A">
            <w:pPr>
              <w:pStyle w:val="TableBody"/>
              <w:keepNext/>
              <w:keepLines/>
              <w:ind w:left="284" w:right="-2"/>
              <w:jc w:val="center"/>
              <w:rPr>
                <w:rFonts w:ascii="Tahoma" w:hAnsi="Tahoma" w:cs="Tahoma"/>
                <w:noProof/>
                <w:color w:val="262626" w:themeColor="text1" w:themeTint="D9"/>
              </w:rPr>
            </w:pPr>
          </w:p>
        </w:tc>
        <w:tc>
          <w:tcPr>
            <w:tcW w:w="6441" w:type="dxa"/>
            <w:gridSpan w:val="2"/>
            <w:tcBorders>
              <w:top w:val="nil"/>
              <w:bottom w:val="nil"/>
            </w:tcBorders>
            <w:shd w:val="clear" w:color="auto" w:fill="B5DACE" w:themeFill="accent5" w:themeFillTint="40"/>
          </w:tcPr>
          <w:p w14:paraId="3FCEA37B" w14:textId="77777777" w:rsidR="006E621F" w:rsidRDefault="006E621F" w:rsidP="006E621F">
            <w:pPr>
              <w:pStyle w:val="ListBullet"/>
              <w:keepNext/>
              <w:keepLines/>
              <w:numPr>
                <w:ilvl w:val="0"/>
                <w:numId w:val="1"/>
              </w:numPr>
              <w:spacing w:before="0"/>
              <w:ind w:left="357" w:hanging="357"/>
              <w:contextualSpacing w:val="0"/>
            </w:pPr>
            <w:r>
              <w:t xml:space="preserve">Improve the way that retailers link customers </w:t>
            </w:r>
            <w:r w:rsidRPr="001551CC">
              <w:t>to existing energy efficiency and usage schemes and programs.</w:t>
            </w:r>
          </w:p>
        </w:tc>
        <w:tc>
          <w:tcPr>
            <w:tcW w:w="1351" w:type="dxa"/>
            <w:tcBorders>
              <w:top w:val="nil"/>
              <w:bottom w:val="nil"/>
            </w:tcBorders>
            <w:shd w:val="clear" w:color="auto" w:fill="B5DACE" w:themeFill="accent5" w:themeFillTint="40"/>
            <w:vAlign w:val="center"/>
          </w:tcPr>
          <w:p w14:paraId="75626E83" w14:textId="77777777" w:rsidR="006E621F" w:rsidRPr="00C22106" w:rsidRDefault="006E621F" w:rsidP="00EB580A">
            <w:pPr>
              <w:pStyle w:val="TableBody"/>
              <w:keepNext/>
              <w:keepLines/>
              <w:ind w:left="360"/>
            </w:pPr>
          </w:p>
        </w:tc>
      </w:tr>
      <w:tr w:rsidR="006E621F" w:rsidRPr="000179AE" w14:paraId="0B842B10" w14:textId="77777777" w:rsidTr="00EB580A">
        <w:tc>
          <w:tcPr>
            <w:tcW w:w="9604" w:type="dxa"/>
            <w:gridSpan w:val="5"/>
            <w:tcBorders>
              <w:top w:val="single" w:sz="24" w:space="0" w:color="6CB59D" w:themeColor="accent5" w:themeTint="80"/>
              <w:bottom w:val="nil"/>
            </w:tcBorders>
            <w:shd w:val="clear" w:color="auto" w:fill="B5DACE" w:themeFill="accent5" w:themeFillTint="40"/>
          </w:tcPr>
          <w:p w14:paraId="32DAB5FB" w14:textId="77777777" w:rsidR="006E621F" w:rsidRPr="000179AE" w:rsidRDefault="006E621F" w:rsidP="00EB580A">
            <w:pPr>
              <w:pStyle w:val="TableBody"/>
              <w:keepNext/>
              <w:keepLines/>
              <w:spacing w:before="80" w:after="80"/>
              <w:ind w:left="142" w:right="119"/>
              <w:rPr>
                <w:rFonts w:ascii="Tahoma" w:hAnsi="Tahoma" w:cs="Tahoma"/>
                <w:b/>
                <w:bCs/>
                <w:color w:val="262626" w:themeColor="text1" w:themeTint="D9"/>
              </w:rPr>
            </w:pPr>
            <w:r w:rsidRPr="0013353A">
              <w:rPr>
                <w:rFonts w:ascii="Tahoma" w:hAnsi="Tahoma" w:cs="Tahoma"/>
                <w:b/>
                <w:bCs/>
                <w:color w:val="262626" w:themeColor="text1" w:themeTint="D9"/>
              </w:rPr>
              <w:t xml:space="preserve">The level and quality of retailer-customer engagement </w:t>
            </w:r>
            <w:r>
              <w:rPr>
                <w:rFonts w:ascii="Tahoma" w:hAnsi="Tahoma" w:cs="Tahoma"/>
                <w:b/>
                <w:bCs/>
                <w:color w:val="262626" w:themeColor="text1" w:themeTint="D9"/>
              </w:rPr>
              <w:t>a</w:t>
            </w:r>
            <w:r w:rsidRPr="0013353A">
              <w:rPr>
                <w:rFonts w:ascii="Tahoma" w:hAnsi="Tahoma" w:cs="Tahoma"/>
                <w:b/>
                <w:bCs/>
                <w:color w:val="262626" w:themeColor="text1" w:themeTint="D9"/>
              </w:rPr>
              <w:t>ffects customer outcomes</w:t>
            </w:r>
          </w:p>
        </w:tc>
      </w:tr>
      <w:tr w:rsidR="006E621F" w:rsidRPr="000179AE" w14:paraId="52DEEAC2" w14:textId="77777777" w:rsidTr="00EB580A">
        <w:tc>
          <w:tcPr>
            <w:tcW w:w="1812" w:type="dxa"/>
            <w:gridSpan w:val="2"/>
            <w:vMerge w:val="restart"/>
            <w:tcBorders>
              <w:top w:val="nil"/>
            </w:tcBorders>
            <w:shd w:val="clear" w:color="auto" w:fill="B5DACE" w:themeFill="accent5" w:themeFillTint="40"/>
            <w:vAlign w:val="center"/>
          </w:tcPr>
          <w:p w14:paraId="6874C639" w14:textId="77777777" w:rsidR="006E621F" w:rsidRPr="000179AE" w:rsidRDefault="006E621F" w:rsidP="00EB580A">
            <w:pPr>
              <w:pStyle w:val="TableBody"/>
              <w:keepNext/>
              <w:keepLines/>
              <w:ind w:left="284" w:right="-2"/>
              <w:jc w:val="center"/>
              <w:rPr>
                <w:noProof/>
                <w:color w:val="262626" w:themeColor="text1" w:themeTint="D9"/>
              </w:rPr>
            </w:pPr>
            <w:r w:rsidRPr="000179AE">
              <w:rPr>
                <w:noProof/>
                <w:color w:val="262626" w:themeColor="text1" w:themeTint="D9"/>
              </w:rPr>
              <w:drawing>
                <wp:inline distT="0" distB="0" distL="0" distR="0" wp14:anchorId="7838A1C3" wp14:editId="2FA2ADCD">
                  <wp:extent cx="864000" cy="864000"/>
                  <wp:effectExtent l="0" t="0" r="0" b="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6441" w:type="dxa"/>
            <w:gridSpan w:val="2"/>
            <w:tcBorders>
              <w:top w:val="nil"/>
              <w:bottom w:val="nil"/>
            </w:tcBorders>
            <w:shd w:val="clear" w:color="auto" w:fill="B5DACE" w:themeFill="accent5" w:themeFillTint="40"/>
          </w:tcPr>
          <w:p w14:paraId="62E56880" w14:textId="77777777" w:rsidR="006E621F" w:rsidRPr="00046BFF" w:rsidRDefault="006E621F" w:rsidP="006E621F">
            <w:pPr>
              <w:pStyle w:val="ListBullet"/>
              <w:keepNext/>
              <w:keepLines/>
              <w:numPr>
                <w:ilvl w:val="0"/>
                <w:numId w:val="1"/>
              </w:numPr>
              <w:spacing w:before="0"/>
              <w:ind w:left="357" w:hanging="357"/>
              <w:contextualSpacing w:val="0"/>
            </w:pPr>
            <w:r w:rsidRPr="001551CC">
              <w:t>Improve retailer interactions with customers, focusing on communication that recognises a customer's circumstances, including the barriers they may be facing.</w:t>
            </w:r>
          </w:p>
        </w:tc>
        <w:tc>
          <w:tcPr>
            <w:tcW w:w="1351" w:type="dxa"/>
            <w:tcBorders>
              <w:top w:val="nil"/>
              <w:bottom w:val="nil"/>
            </w:tcBorders>
            <w:shd w:val="clear" w:color="auto" w:fill="B5DACE" w:themeFill="accent5" w:themeFillTint="40"/>
            <w:vAlign w:val="center"/>
          </w:tcPr>
          <w:p w14:paraId="15E6D0A4" w14:textId="77777777" w:rsidR="006E621F" w:rsidRPr="00046BFF" w:rsidRDefault="006E621F" w:rsidP="00EB580A">
            <w:pPr>
              <w:pStyle w:val="ListBullet"/>
              <w:keepNext/>
              <w:keepLines/>
              <w:numPr>
                <w:ilvl w:val="0"/>
                <w:numId w:val="0"/>
              </w:numPr>
              <w:spacing w:before="0" w:line="240" w:lineRule="auto"/>
              <w:ind w:left="360"/>
              <w:jc w:val="center"/>
              <w:rPr>
                <w:b/>
                <w:bCs/>
                <w:color w:val="CE0058" w:themeColor="accent2"/>
              </w:rPr>
            </w:pPr>
            <w:r w:rsidRPr="00046BFF">
              <w:rPr>
                <w:b/>
                <w:bCs/>
                <w:color w:val="CE0058" w:themeColor="accent2"/>
              </w:rPr>
              <w:t>Priority</w:t>
            </w:r>
          </w:p>
        </w:tc>
      </w:tr>
      <w:tr w:rsidR="006E621F" w:rsidRPr="000179AE" w14:paraId="78C5C53F" w14:textId="77777777" w:rsidTr="00EB580A">
        <w:tc>
          <w:tcPr>
            <w:tcW w:w="1812" w:type="dxa"/>
            <w:gridSpan w:val="2"/>
            <w:vMerge/>
            <w:shd w:val="clear" w:color="auto" w:fill="B5DACE" w:themeFill="accent5" w:themeFillTint="40"/>
            <w:vAlign w:val="center"/>
          </w:tcPr>
          <w:p w14:paraId="4CE103BF" w14:textId="77777777" w:rsidR="006E621F" w:rsidRPr="0042768D" w:rsidRDefault="006E621F" w:rsidP="00EB580A">
            <w:pPr>
              <w:pStyle w:val="TableBody"/>
              <w:keepNext/>
              <w:keepLines/>
              <w:ind w:left="284" w:right="-2"/>
              <w:jc w:val="center"/>
              <w:rPr>
                <w:rFonts w:ascii="Tahoma" w:hAnsi="Tahoma" w:cs="Tahoma"/>
                <w:color w:val="262626" w:themeColor="text1" w:themeTint="D9"/>
                <w:highlight w:val="yellow"/>
              </w:rPr>
            </w:pPr>
          </w:p>
        </w:tc>
        <w:tc>
          <w:tcPr>
            <w:tcW w:w="6441" w:type="dxa"/>
            <w:gridSpan w:val="2"/>
            <w:tcBorders>
              <w:top w:val="nil"/>
              <w:bottom w:val="nil"/>
            </w:tcBorders>
            <w:shd w:val="clear" w:color="auto" w:fill="B5DACE" w:themeFill="accent5" w:themeFillTint="40"/>
          </w:tcPr>
          <w:p w14:paraId="6F59861C" w14:textId="77777777" w:rsidR="006E621F" w:rsidRDefault="006E621F" w:rsidP="006E621F">
            <w:pPr>
              <w:pStyle w:val="ListBullet"/>
              <w:keepNext/>
              <w:keepLines/>
              <w:numPr>
                <w:ilvl w:val="0"/>
                <w:numId w:val="1"/>
              </w:numPr>
              <w:spacing w:before="0"/>
              <w:ind w:left="357" w:hanging="357"/>
              <w:contextualSpacing w:val="0"/>
            </w:pPr>
            <w:r w:rsidRPr="00BE4702">
              <w:t>Further support customers’ entitlement to assistance during retailer communication</w:t>
            </w:r>
            <w:r w:rsidRPr="00046BFF">
              <w:t>.</w:t>
            </w:r>
          </w:p>
        </w:tc>
        <w:tc>
          <w:tcPr>
            <w:tcW w:w="1351" w:type="dxa"/>
            <w:tcBorders>
              <w:top w:val="nil"/>
              <w:bottom w:val="nil"/>
            </w:tcBorders>
            <w:shd w:val="clear" w:color="auto" w:fill="B5DACE" w:themeFill="accent5" w:themeFillTint="40"/>
            <w:vAlign w:val="center"/>
          </w:tcPr>
          <w:p w14:paraId="587AC433" w14:textId="77777777" w:rsidR="006E621F" w:rsidRPr="00062623" w:rsidRDefault="006E621F" w:rsidP="00EB580A">
            <w:pPr>
              <w:pStyle w:val="TableBody"/>
              <w:keepNext/>
              <w:keepLines/>
              <w:ind w:left="360"/>
            </w:pPr>
          </w:p>
        </w:tc>
      </w:tr>
      <w:tr w:rsidR="006E621F" w:rsidRPr="000179AE" w14:paraId="721F9435" w14:textId="77777777" w:rsidTr="00EB580A">
        <w:tc>
          <w:tcPr>
            <w:tcW w:w="1812" w:type="dxa"/>
            <w:gridSpan w:val="2"/>
            <w:vMerge/>
            <w:shd w:val="clear" w:color="auto" w:fill="B5DACE" w:themeFill="accent5" w:themeFillTint="40"/>
            <w:vAlign w:val="center"/>
          </w:tcPr>
          <w:p w14:paraId="562CF13B" w14:textId="77777777" w:rsidR="006E621F" w:rsidRPr="000179AE" w:rsidRDefault="006E621F" w:rsidP="00EB580A">
            <w:pPr>
              <w:pStyle w:val="TableBody"/>
              <w:keepNext/>
              <w:keepLines/>
              <w:ind w:left="284" w:right="-2"/>
              <w:jc w:val="center"/>
              <w:rPr>
                <w:noProof/>
                <w:color w:val="262626" w:themeColor="text1" w:themeTint="D9"/>
              </w:rPr>
            </w:pPr>
          </w:p>
        </w:tc>
        <w:tc>
          <w:tcPr>
            <w:tcW w:w="6441" w:type="dxa"/>
            <w:gridSpan w:val="2"/>
            <w:tcBorders>
              <w:top w:val="nil"/>
              <w:bottom w:val="nil"/>
            </w:tcBorders>
            <w:shd w:val="clear" w:color="auto" w:fill="B5DACE" w:themeFill="accent5" w:themeFillTint="40"/>
          </w:tcPr>
          <w:p w14:paraId="152F3B47" w14:textId="77777777" w:rsidR="006E621F" w:rsidRPr="0013353A" w:rsidRDefault="006E621F" w:rsidP="006E621F">
            <w:pPr>
              <w:pStyle w:val="ListBullet"/>
              <w:keepNext/>
              <w:keepLines/>
              <w:numPr>
                <w:ilvl w:val="0"/>
                <w:numId w:val="1"/>
              </w:numPr>
              <w:spacing w:before="0"/>
              <w:ind w:left="357" w:hanging="357"/>
              <w:contextualSpacing w:val="0"/>
            </w:pPr>
            <w:r w:rsidRPr="00046BFF">
              <w:t xml:space="preserve">Promote earlier </w:t>
            </w:r>
            <w:r>
              <w:t xml:space="preserve">customer </w:t>
            </w:r>
            <w:r w:rsidRPr="00046BFF">
              <w:t xml:space="preserve">engagement </w:t>
            </w:r>
            <w:r>
              <w:t>by retailers</w:t>
            </w:r>
            <w:r w:rsidRPr="00046BFF">
              <w:t>.</w:t>
            </w:r>
          </w:p>
        </w:tc>
        <w:tc>
          <w:tcPr>
            <w:tcW w:w="1351" w:type="dxa"/>
            <w:tcBorders>
              <w:top w:val="nil"/>
              <w:bottom w:val="nil"/>
            </w:tcBorders>
            <w:shd w:val="clear" w:color="auto" w:fill="B5DACE" w:themeFill="accent5" w:themeFillTint="40"/>
            <w:vAlign w:val="center"/>
          </w:tcPr>
          <w:p w14:paraId="5001DA46" w14:textId="77777777" w:rsidR="006E621F" w:rsidRPr="00062623" w:rsidRDefault="006E621F" w:rsidP="00EB580A">
            <w:pPr>
              <w:pStyle w:val="TableBody"/>
              <w:keepNext/>
              <w:keepLines/>
              <w:ind w:left="360"/>
            </w:pPr>
          </w:p>
        </w:tc>
      </w:tr>
      <w:tr w:rsidR="006E621F" w:rsidRPr="000179AE" w14:paraId="0728F6E8" w14:textId="77777777" w:rsidTr="00EB580A">
        <w:tc>
          <w:tcPr>
            <w:tcW w:w="1812" w:type="dxa"/>
            <w:gridSpan w:val="2"/>
            <w:vMerge/>
            <w:tcBorders>
              <w:bottom w:val="single" w:sz="24" w:space="0" w:color="6CB59D" w:themeColor="accent5" w:themeTint="80"/>
            </w:tcBorders>
            <w:shd w:val="clear" w:color="auto" w:fill="B5DACE" w:themeFill="accent5" w:themeFillTint="40"/>
            <w:vAlign w:val="center"/>
          </w:tcPr>
          <w:p w14:paraId="40859ADB" w14:textId="77777777" w:rsidR="006E621F" w:rsidRPr="000179AE" w:rsidRDefault="006E621F" w:rsidP="00EB580A">
            <w:pPr>
              <w:pStyle w:val="TableBody"/>
              <w:keepNext/>
              <w:keepLines/>
              <w:ind w:left="284" w:right="-2"/>
              <w:jc w:val="center"/>
              <w:rPr>
                <w:noProof/>
                <w:color w:val="262626" w:themeColor="text1" w:themeTint="D9"/>
              </w:rPr>
            </w:pPr>
          </w:p>
        </w:tc>
        <w:tc>
          <w:tcPr>
            <w:tcW w:w="6441" w:type="dxa"/>
            <w:gridSpan w:val="2"/>
            <w:tcBorders>
              <w:top w:val="nil"/>
              <w:bottom w:val="single" w:sz="24" w:space="0" w:color="6CB59D" w:themeColor="accent5" w:themeTint="80"/>
            </w:tcBorders>
            <w:shd w:val="clear" w:color="auto" w:fill="B5DACE" w:themeFill="accent5" w:themeFillTint="40"/>
          </w:tcPr>
          <w:p w14:paraId="6092A916" w14:textId="77777777" w:rsidR="006E621F" w:rsidRPr="0013353A" w:rsidRDefault="006E621F" w:rsidP="006E621F">
            <w:pPr>
              <w:pStyle w:val="ListBullet"/>
              <w:keepNext/>
              <w:keepLines/>
              <w:numPr>
                <w:ilvl w:val="0"/>
                <w:numId w:val="1"/>
              </w:numPr>
              <w:spacing w:before="0"/>
              <w:ind w:left="357" w:hanging="357"/>
              <w:contextualSpacing w:val="0"/>
            </w:pPr>
            <w:r w:rsidRPr="00046BFF">
              <w:t xml:space="preserve">Improve </w:t>
            </w:r>
            <w:r>
              <w:t xml:space="preserve">retailer links with </w:t>
            </w:r>
            <w:r w:rsidRPr="00046BFF">
              <w:t>trusted third parties who support their clients or customers.</w:t>
            </w:r>
          </w:p>
        </w:tc>
        <w:tc>
          <w:tcPr>
            <w:tcW w:w="1351" w:type="dxa"/>
            <w:tcBorders>
              <w:top w:val="nil"/>
              <w:bottom w:val="single" w:sz="24" w:space="0" w:color="6CB59D" w:themeColor="accent5" w:themeTint="80"/>
            </w:tcBorders>
            <w:shd w:val="clear" w:color="auto" w:fill="B5DACE" w:themeFill="accent5" w:themeFillTint="40"/>
            <w:vAlign w:val="center"/>
          </w:tcPr>
          <w:p w14:paraId="756D8F8C" w14:textId="77777777" w:rsidR="006E621F" w:rsidRPr="00046BFF" w:rsidRDefault="006E621F" w:rsidP="00EB580A">
            <w:pPr>
              <w:pStyle w:val="TableBody"/>
              <w:keepNext/>
              <w:keepLines/>
              <w:ind w:left="360"/>
            </w:pPr>
          </w:p>
        </w:tc>
      </w:tr>
      <w:tr w:rsidR="006E621F" w:rsidRPr="000179AE" w14:paraId="6F20F667" w14:textId="77777777" w:rsidTr="00EB580A">
        <w:tc>
          <w:tcPr>
            <w:tcW w:w="9604" w:type="dxa"/>
            <w:gridSpan w:val="5"/>
            <w:tcBorders>
              <w:top w:val="single" w:sz="24" w:space="0" w:color="6CB59D" w:themeColor="accent5" w:themeTint="80"/>
              <w:bottom w:val="nil"/>
            </w:tcBorders>
            <w:shd w:val="clear" w:color="auto" w:fill="B5DACE" w:themeFill="accent5" w:themeFillTint="40"/>
          </w:tcPr>
          <w:p w14:paraId="4994DE4C" w14:textId="77777777" w:rsidR="006E621F" w:rsidRPr="000179AE" w:rsidRDefault="006E621F" w:rsidP="00EB580A">
            <w:pPr>
              <w:pStyle w:val="TableBody"/>
              <w:keepNext/>
              <w:keepLines/>
              <w:spacing w:before="120" w:after="80"/>
              <w:ind w:left="142" w:right="119"/>
              <w:rPr>
                <w:rFonts w:ascii="Tahoma" w:hAnsi="Tahoma" w:cs="Tahoma"/>
                <w:b/>
                <w:bCs/>
                <w:color w:val="262626" w:themeColor="text1" w:themeTint="D9"/>
              </w:rPr>
            </w:pPr>
            <w:r w:rsidRPr="0013353A">
              <w:rPr>
                <w:rFonts w:ascii="Tahoma" w:hAnsi="Tahoma" w:cs="Tahoma"/>
                <w:b/>
                <w:bCs/>
                <w:color w:val="262626" w:themeColor="text1" w:themeTint="D9"/>
              </w:rPr>
              <w:t>Customers who can pay for their ongoing energy use benefit most</w:t>
            </w:r>
          </w:p>
        </w:tc>
      </w:tr>
      <w:tr w:rsidR="006E621F" w:rsidRPr="000179AE" w14:paraId="00CC86D6" w14:textId="77777777" w:rsidTr="00EB580A">
        <w:tc>
          <w:tcPr>
            <w:tcW w:w="1781" w:type="dxa"/>
            <w:tcBorders>
              <w:bottom w:val="single" w:sz="24" w:space="0" w:color="6CB59D" w:themeColor="accent5" w:themeTint="80"/>
            </w:tcBorders>
            <w:shd w:val="clear" w:color="auto" w:fill="B5DACE" w:themeFill="accent5" w:themeFillTint="40"/>
            <w:vAlign w:val="center"/>
          </w:tcPr>
          <w:p w14:paraId="5E99C3BA" w14:textId="77777777" w:rsidR="006E621F" w:rsidRPr="00BA09A0" w:rsidRDefault="006E621F" w:rsidP="00EB580A">
            <w:pPr>
              <w:pStyle w:val="TableBody"/>
              <w:keepNext/>
              <w:keepLines/>
              <w:ind w:left="284" w:right="-2"/>
              <w:jc w:val="center"/>
              <w:rPr>
                <w:rFonts w:ascii="Tahoma" w:hAnsi="Tahoma" w:cs="Tahoma"/>
                <w:b/>
                <w:bCs/>
                <w:noProof/>
                <w:color w:val="262626" w:themeColor="text1" w:themeTint="D9"/>
              </w:rPr>
            </w:pPr>
            <w:r w:rsidRPr="00BA09A0">
              <w:rPr>
                <w:rFonts w:ascii="Tahoma" w:hAnsi="Tahoma" w:cs="Tahoma"/>
                <w:b/>
                <w:bCs/>
                <w:noProof/>
                <w:color w:val="262626" w:themeColor="text1" w:themeTint="D9"/>
              </w:rPr>
              <w:drawing>
                <wp:inline distT="0" distB="0" distL="0" distR="0" wp14:anchorId="0EF263F9" wp14:editId="03F1FA6A">
                  <wp:extent cx="720000" cy="720000"/>
                  <wp:effectExtent l="0" t="0" r="4445" b="0"/>
                  <wp:docPr id="107" name="Pictur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442" w:type="dxa"/>
            <w:gridSpan w:val="2"/>
            <w:tcBorders>
              <w:top w:val="nil"/>
              <w:bottom w:val="single" w:sz="24" w:space="0" w:color="6CB59D" w:themeColor="accent5" w:themeTint="80"/>
            </w:tcBorders>
            <w:shd w:val="clear" w:color="auto" w:fill="B5DACE" w:themeFill="accent5" w:themeFillTint="40"/>
            <w:vAlign w:val="center"/>
          </w:tcPr>
          <w:p w14:paraId="4BF6AF94" w14:textId="77777777" w:rsidR="006E621F" w:rsidRPr="0013353A" w:rsidRDefault="006E621F" w:rsidP="006E621F">
            <w:pPr>
              <w:pStyle w:val="ListBullet"/>
              <w:keepNext/>
              <w:keepLines/>
              <w:numPr>
                <w:ilvl w:val="0"/>
                <w:numId w:val="1"/>
              </w:numPr>
              <w:spacing w:before="0"/>
              <w:ind w:left="357" w:hanging="357"/>
              <w:contextualSpacing w:val="0"/>
            </w:pPr>
            <w:r w:rsidRPr="0013353A">
              <w:t xml:space="preserve">Consider alternative approaches to support customers prior to disconnection, particularly for those who cannot pay </w:t>
            </w:r>
            <w:r>
              <w:t xml:space="preserve">for </w:t>
            </w:r>
            <w:r w:rsidRPr="0013353A">
              <w:t>on-going use</w:t>
            </w:r>
          </w:p>
        </w:tc>
        <w:tc>
          <w:tcPr>
            <w:tcW w:w="1381" w:type="dxa"/>
            <w:gridSpan w:val="2"/>
            <w:tcBorders>
              <w:top w:val="nil"/>
              <w:bottom w:val="single" w:sz="24" w:space="0" w:color="6CB59D" w:themeColor="accent5" w:themeTint="80"/>
            </w:tcBorders>
            <w:shd w:val="clear" w:color="auto" w:fill="B5DACE" w:themeFill="accent5" w:themeFillTint="40"/>
            <w:vAlign w:val="center"/>
          </w:tcPr>
          <w:p w14:paraId="51BAA804" w14:textId="77777777" w:rsidR="006E621F" w:rsidRDefault="006E621F" w:rsidP="00EB580A">
            <w:pPr>
              <w:pStyle w:val="TableBody"/>
              <w:keepNext/>
              <w:keepLines/>
            </w:pPr>
          </w:p>
        </w:tc>
      </w:tr>
    </w:tbl>
    <w:p w14:paraId="3E9FB781" w14:textId="77777777" w:rsidR="006E621F" w:rsidRDefault="006E621F" w:rsidP="006E621F">
      <w:pPr>
        <w:pStyle w:val="Heading2"/>
      </w:pPr>
      <w:bookmarkStart w:id="22" w:name="_Toc104887216"/>
    </w:p>
    <w:p w14:paraId="415D6A01" w14:textId="104F9BC5" w:rsidR="006E621F" w:rsidRDefault="006E621F" w:rsidP="006E621F">
      <w:pPr>
        <w:pStyle w:val="Heading2"/>
      </w:pPr>
      <w:r>
        <w:t>Improving the operation of the framework</w:t>
      </w:r>
      <w:bookmarkEnd w:id="22"/>
    </w:p>
    <w:p w14:paraId="37B86CED" w14:textId="77777777" w:rsidR="006E621F" w:rsidRDefault="006E621F" w:rsidP="006E621F">
      <w:r>
        <w:t xml:space="preserve">Our findings demonstrate that the framework delivers positive outcomes for customers when it is implemented effectively. However, we have identified areas where implementation could be improved for the mutual benefit of customers and retailers. </w:t>
      </w:r>
    </w:p>
    <w:p w14:paraId="393786C1" w14:textId="77777777" w:rsidR="006E621F" w:rsidRDefault="006E621F" w:rsidP="006E621F">
      <w:r>
        <w:t>W</w:t>
      </w:r>
      <w:r w:rsidRPr="00E21C51">
        <w:t xml:space="preserve">e </w:t>
      </w:r>
      <w:r>
        <w:t>have</w:t>
      </w:r>
      <w:r w:rsidRPr="00E21C51">
        <w:t xml:space="preserve"> identified </w:t>
      </w:r>
      <w:r>
        <w:t xml:space="preserve">particular </w:t>
      </w:r>
      <w:r w:rsidRPr="00E21C51">
        <w:t xml:space="preserve">areas </w:t>
      </w:r>
      <w:r>
        <w:t xml:space="preserve">as a priority </w:t>
      </w:r>
      <w:r w:rsidRPr="00E21C51">
        <w:t>for improvement</w:t>
      </w:r>
      <w:r>
        <w:t>,</w:t>
      </w:r>
      <w:r w:rsidRPr="00E21C51">
        <w:t xml:space="preserve"> which we </w:t>
      </w:r>
      <w:r>
        <w:t>aim</w:t>
      </w:r>
      <w:r w:rsidRPr="00E21C51">
        <w:t xml:space="preserve"> to address in the next phase of the review.</w:t>
      </w:r>
    </w:p>
    <w:p w14:paraId="22397EF8" w14:textId="77777777" w:rsidR="006E621F" w:rsidRDefault="006E621F" w:rsidP="006E621F">
      <w:r>
        <w:t>We determined these priorities by considered the areas that are likely to most benefit customer outcomes, and our degree of influence in improving these areas (whether customer outcomes can be improved within the scope of the payment difficulty framework). Stakeholders’ views have also contributed to the development of our priority areas, including the views expressed at our stakeholder webinar in April 2022.</w:t>
      </w:r>
    </w:p>
    <w:p w14:paraId="12C8B64E" w14:textId="77777777" w:rsidR="006E621F" w:rsidRPr="00EC1582" w:rsidRDefault="006E621F" w:rsidP="006E621F">
      <w:pPr>
        <w:pStyle w:val="Heading2"/>
        <w:rPr>
          <w:rStyle w:val="Heading3Char"/>
          <w:b/>
          <w:color w:val="auto"/>
          <w:szCs w:val="26"/>
        </w:rPr>
      </w:pPr>
      <w:bookmarkStart w:id="23" w:name="_Toc104887217"/>
      <w:r w:rsidRPr="00EC1582">
        <w:rPr>
          <w:rStyle w:val="Heading3Char"/>
          <w:b/>
          <w:color w:val="auto"/>
          <w:szCs w:val="26"/>
        </w:rPr>
        <w:t>Next steps</w:t>
      </w:r>
      <w:bookmarkEnd w:id="23"/>
    </w:p>
    <w:p w14:paraId="39068961" w14:textId="77777777" w:rsidR="006E621F" w:rsidRDefault="006E621F" w:rsidP="006E621F">
      <w:pPr>
        <w:keepNext/>
        <w:keepLines/>
      </w:pPr>
      <w:r w:rsidRPr="0049551A">
        <w:t xml:space="preserve">We aim to explore these priority areas further with our stakeholders and develop actions that we and the sector can take to improve the framework’s implementation. Between June and August 2022, we will work with our stakeholders to identify and consider practical solutions, facilitate discussions on better practices and new practical approaches when supporting customers, and including the consumer voice when implementing specific actions. Our findings will also inform our on-going work to support the </w:t>
      </w:r>
      <w:bookmarkEnd w:id="11"/>
      <w:bookmarkEnd w:id="12"/>
      <w:bookmarkEnd w:id="13"/>
      <w:r w:rsidRPr="0049551A">
        <w:t>implementation of the framework.</w:t>
      </w:r>
    </w:p>
    <w:p w14:paraId="4AD12D2C" w14:textId="77777777" w:rsidR="006E621F" w:rsidRPr="005D32C0" w:rsidRDefault="006E621F" w:rsidP="006E621F">
      <w:r>
        <w:t>We also remain committed to using our compliance and enforcement powers to protect consumers – especially those experiencing vulnerability – and to enhance trust in the energy retail market</w:t>
      </w:r>
      <w:r w:rsidRPr="007A31EF">
        <w:t>.</w:t>
      </w:r>
      <w:r>
        <w:t xml:space="preserve"> </w:t>
      </w:r>
      <w:r w:rsidRPr="00EB1281">
        <w:t xml:space="preserve">The framework has </w:t>
      </w:r>
      <w:r>
        <w:t xml:space="preserve">also </w:t>
      </w:r>
      <w:r w:rsidRPr="00EB1281">
        <w:t xml:space="preserve">been a strategic compliance and enforcement priority in recent years. </w:t>
      </w:r>
      <w:r>
        <w:t>This means that we will consider taking enforcement action where it is necessary and appropriate to do so. Our compliance and enforcement approach is informed by our recently published Compliance and Enforcement Policy.</w:t>
      </w:r>
    </w:p>
    <w:p w14:paraId="55BED024" w14:textId="77777777" w:rsidR="006E621F" w:rsidRDefault="006E621F" w:rsidP="006E621F">
      <w:r>
        <w:t>We will also continue our on-going monitoring of retailers’ implementation of the framework. Given the value of additional data sources has provided for this review, we are also considering how to incorporate this into our normal regulatory work. This might include additional performance measures for retailers to report on, and the regular collection of call recordings from retailers.</w:t>
      </w:r>
    </w:p>
    <w:p w14:paraId="1443E925" w14:textId="77777777" w:rsidR="006E621F" w:rsidRDefault="006E621F" w:rsidP="006E621F">
      <w:r>
        <w:t xml:space="preserve">We thank our stakeholders for their participation, and look forward to continuing this work alongside retailers, the community sector, and government to improve the ways we support and deliver essential energy services to Victorians. </w:t>
      </w:r>
    </w:p>
    <w:p w14:paraId="16A996E4" w14:textId="0C53F1C8" w:rsidR="001C750A" w:rsidRPr="006E621F" w:rsidRDefault="006E621F" w:rsidP="006E621F">
      <w:r>
        <w:t xml:space="preserve">If you would like to speak to us about this review or ensure you are on our mailing list, please contact us via email at </w:t>
      </w:r>
      <w:hyperlink r:id="rId29" w:history="1">
        <w:r>
          <w:rPr>
            <w:rStyle w:val="Hyperlink"/>
          </w:rPr>
          <w:t>mailto:</w:t>
        </w:r>
      </w:hyperlink>
      <w:hyperlink r:id="rId30" w:history="1">
        <w:r w:rsidRPr="000E37BC">
          <w:rPr>
            <w:rStyle w:val="Hyperlink"/>
          </w:rPr>
          <w:t>pdfreview@esc.vic.gov.au</w:t>
        </w:r>
      </w:hyperlink>
      <w:r>
        <w:t>.</w:t>
      </w:r>
    </w:p>
    <w:sectPr w:rsidR="001C750A" w:rsidRPr="006E621F" w:rsidSect="00703C67">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D348" w14:textId="77777777" w:rsidR="006E621F" w:rsidRDefault="006E621F" w:rsidP="00AE03FA">
      <w:pPr>
        <w:spacing w:after="0"/>
      </w:pPr>
      <w:r>
        <w:separator/>
      </w:r>
    </w:p>
    <w:p w14:paraId="019154F7" w14:textId="77777777" w:rsidR="006E621F" w:rsidRDefault="006E621F"/>
  </w:endnote>
  <w:endnote w:type="continuationSeparator" w:id="0">
    <w:p w14:paraId="0F1CB58D" w14:textId="77777777" w:rsidR="006E621F" w:rsidRDefault="006E621F" w:rsidP="00AE03FA">
      <w:pPr>
        <w:spacing w:after="0"/>
      </w:pPr>
      <w:r>
        <w:continuationSeparator/>
      </w:r>
    </w:p>
    <w:p w14:paraId="5B6DA103" w14:textId="77777777" w:rsidR="006E621F" w:rsidRDefault="006E6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3069" w14:textId="77777777" w:rsidR="00BE6ABF" w:rsidRDefault="00BE6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1DE1" w14:textId="6F5EA24F" w:rsidR="00F06B55" w:rsidRDefault="006E621F" w:rsidP="00D61055">
    <w:pPr>
      <w:pStyle w:val="FooterSpace"/>
      <w:ind w:right="707"/>
    </w:pPr>
    <w:r>
      <w:t>Payment difficulty framework implementation review 2022</w:t>
    </w:r>
    <w:r>
      <w:t xml:space="preserve"> findings report</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06B55" w14:paraId="690C9FFF" w14:textId="77777777" w:rsidTr="00E345E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5AFF9B" w14:textId="77777777" w:rsidR="00F06B55" w:rsidRPr="009E15D6" w:rsidRDefault="00F06B55" w:rsidP="00E345E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9667D">
            <w:rPr>
              <w:rStyle w:val="PageNumber"/>
              <w:noProof/>
            </w:rPr>
            <w:t>4</w:t>
          </w:r>
          <w:r w:rsidRPr="009E15D6">
            <w:rPr>
              <w:rStyle w:val="PageNumber"/>
            </w:rPr>
            <w:fldChar w:fldCharType="end"/>
          </w:r>
        </w:p>
      </w:tc>
    </w:tr>
  </w:tbl>
  <w:p w14:paraId="2462DD71" w14:textId="57ED5D50" w:rsidR="00F06B55" w:rsidRPr="00F06B55" w:rsidRDefault="00F06B55" w:rsidP="00F06B55">
    <w:pPr>
      <w:pStyle w:val="Footer"/>
      <w:tabs>
        <w:tab w:val="left" w:pos="8910"/>
      </w:tabs>
      <w:ind w:right="818"/>
      <w:rPr>
        <w:b/>
      </w:rPr>
    </w:pPr>
    <w:r>
      <w:t xml:space="preserve">Essential Services Commission </w:t>
    </w:r>
    <w:r w:rsidR="006E621F">
      <w:rPr>
        <w:b/>
      </w:rPr>
      <w:t>Executive Summary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7FE0" w14:textId="77777777" w:rsidR="00BE6ABF" w:rsidRDefault="00BE6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3ADC" w14:textId="77777777" w:rsidR="006E621F" w:rsidRPr="00CF33F6" w:rsidRDefault="006E621F" w:rsidP="00AE03FA">
      <w:pPr>
        <w:spacing w:after="0"/>
        <w:rPr>
          <w:color w:val="75787B" w:themeColor="background2"/>
        </w:rPr>
      </w:pPr>
      <w:bookmarkStart w:id="0" w:name="_Hlk480978878"/>
      <w:bookmarkEnd w:id="0"/>
      <w:r w:rsidRPr="00CF33F6">
        <w:rPr>
          <w:color w:val="75787B" w:themeColor="background2"/>
        </w:rPr>
        <w:separator/>
      </w:r>
    </w:p>
    <w:p w14:paraId="7E58EB8D" w14:textId="77777777" w:rsidR="006E621F" w:rsidRDefault="006E621F" w:rsidP="00CF33F6">
      <w:pPr>
        <w:pStyle w:val="NoSpacing"/>
      </w:pPr>
    </w:p>
  </w:footnote>
  <w:footnote w:type="continuationSeparator" w:id="0">
    <w:p w14:paraId="33DE5CC2" w14:textId="77777777" w:rsidR="006E621F" w:rsidRDefault="006E621F" w:rsidP="00AE03FA">
      <w:pPr>
        <w:spacing w:after="0"/>
      </w:pPr>
      <w:r>
        <w:continuationSeparator/>
      </w:r>
    </w:p>
    <w:p w14:paraId="74995B3C" w14:textId="77777777" w:rsidR="006E621F" w:rsidRDefault="006E621F"/>
  </w:footnote>
  <w:footnote w:id="1">
    <w:p w14:paraId="75205566" w14:textId="77777777" w:rsidR="006E621F" w:rsidRPr="00601902" w:rsidRDefault="006E621F" w:rsidP="006E621F">
      <w:pPr>
        <w:pStyle w:val="FootnoteText"/>
        <w:rPr>
          <w:lang w:val="en-US"/>
        </w:rPr>
      </w:pPr>
      <w:r>
        <w:rPr>
          <w:rStyle w:val="FootnoteReference"/>
        </w:rPr>
        <w:footnoteRef/>
      </w:r>
      <w:r>
        <w:t xml:space="preserve"> At that time, this was version 12 of the </w:t>
      </w:r>
      <w:r>
        <w:rPr>
          <w:lang w:val="en-US"/>
        </w:rPr>
        <w:t xml:space="preserve">Energy Retail Code. The framework is now in the Energy Retail Code of Practice, and specific provisions relating to disconnection have been transferred </w:t>
      </w:r>
      <w:bookmarkStart w:id="2" w:name="_Int_Eb8YGsLX"/>
      <w:r>
        <w:rPr>
          <w:lang w:val="en-US"/>
        </w:rPr>
        <w:t>to</w:t>
      </w:r>
      <w:bookmarkEnd w:id="2"/>
      <w:r>
        <w:rPr>
          <w:lang w:val="en-US"/>
        </w:rPr>
        <w:t xml:space="preserve"> the Electricity Industry Act 2000 and Gas Industry Act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5012" w14:textId="77777777" w:rsidR="00BE6ABF" w:rsidRDefault="00BE6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938E" w14:textId="77777777" w:rsidR="003A30F3" w:rsidRPr="00633068" w:rsidRDefault="006E621F" w:rsidP="00633068">
    <w:pPr>
      <w:pStyle w:val="Header"/>
      <w:tabs>
        <w:tab w:val="clear" w:pos="4680"/>
        <w:tab w:val="clear" w:pos="9360"/>
        <w:tab w:val="left" w:pos="2236"/>
      </w:tabs>
    </w:pPr>
    <w:r>
      <w:rPr>
        <w:noProof/>
      </w:rPr>
      <mc:AlternateContent>
        <mc:Choice Requires="wps">
          <w:drawing>
            <wp:anchor distT="0" distB="0" distL="114300" distR="114300" simplePos="0" relativeHeight="251659264" behindDoc="0" locked="1" layoutInCell="0" allowOverlap="1" wp14:anchorId="054185B6" wp14:editId="12AFDBC4">
              <wp:simplePos x="0" y="0"/>
              <wp:positionH relativeFrom="margin">
                <wp:align>center</wp:align>
              </wp:positionH>
              <wp:positionV relativeFrom="topMargin">
                <wp:align>center</wp:align>
              </wp:positionV>
              <wp:extent cx="892175" cy="546100"/>
              <wp:effectExtent l="0" t="0" r="0" b="6350"/>
              <wp:wrapNone/>
              <wp:docPr id="1" name="janusSEAL SC Header"/>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19D15" w14:textId="20C30085" w:rsidR="006E621F" w:rsidRPr="00BE6ABF" w:rsidRDefault="00BE6ABF" w:rsidP="006E621F">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4185B6" id="_x0000_t202" coordsize="21600,21600" o:spt="202" path="m,l,21600r21600,l21600,xe">
              <v:stroke joinstyle="miter"/>
              <v:path gradientshapeok="t" o:connecttype="rect"/>
            </v:shapetype>
            <v:shape id="janusSEAL SC Header" o:spid="_x0000_s1027" type="#_x0000_t202" style="position:absolute;margin-left:0;margin-top:0;width:70.25pt;height:43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fill o:detectmouseclick="t"/>
              <v:textbox style="mso-fit-shape-to-text:t">
                <w:txbxContent>
                  <w:p w14:paraId="77119D15" w14:textId="20C30085" w:rsidR="006E621F" w:rsidRPr="00BE6ABF" w:rsidRDefault="00BE6ABF" w:rsidP="006E621F">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B52" w14:textId="77777777" w:rsidR="00BE6ABF" w:rsidRDefault="00BE6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2C8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263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4A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2A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851983"/>
    <w:multiLevelType w:val="hybridMultilevel"/>
    <w:tmpl w:val="B51C7078"/>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636E32"/>
    <w:multiLevelType w:val="hybridMultilevel"/>
    <w:tmpl w:val="997CA0B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8B0109"/>
    <w:multiLevelType w:val="multilevel"/>
    <w:tmpl w:val="3D66CBA2"/>
    <w:numStyleLink w:val="CustomNumberlist"/>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337FD4"/>
    <w:multiLevelType w:val="hybridMultilevel"/>
    <w:tmpl w:val="28F0C2F8"/>
    <w:lvl w:ilvl="0" w:tplc="3A040B26">
      <w:start w:val="1"/>
      <w:numFmt w:val="decimal"/>
      <w:lvlText w:val="%1."/>
      <w:lvlJc w:val="left"/>
      <w:pPr>
        <w:ind w:left="502" w:hanging="360"/>
      </w:pPr>
      <w:rPr>
        <w:rFonts w:hint="default"/>
        <w:sz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2"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681023">
    <w:abstractNumId w:val="9"/>
  </w:num>
  <w:num w:numId="2" w16cid:durableId="1916084469">
    <w:abstractNumId w:val="7"/>
  </w:num>
  <w:num w:numId="3" w16cid:durableId="1543516156">
    <w:abstractNumId w:val="6"/>
  </w:num>
  <w:num w:numId="4" w16cid:durableId="1865633922">
    <w:abstractNumId w:val="5"/>
  </w:num>
  <w:num w:numId="5" w16cid:durableId="674966465">
    <w:abstractNumId w:val="4"/>
  </w:num>
  <w:num w:numId="6" w16cid:durableId="1734035887">
    <w:abstractNumId w:val="8"/>
  </w:num>
  <w:num w:numId="7" w16cid:durableId="711728234">
    <w:abstractNumId w:val="3"/>
  </w:num>
  <w:num w:numId="8" w16cid:durableId="510677937">
    <w:abstractNumId w:val="2"/>
  </w:num>
  <w:num w:numId="9" w16cid:durableId="77558271">
    <w:abstractNumId w:val="1"/>
  </w:num>
  <w:num w:numId="10" w16cid:durableId="2008824349">
    <w:abstractNumId w:val="22"/>
  </w:num>
  <w:num w:numId="11" w16cid:durableId="1967197190">
    <w:abstractNumId w:val="17"/>
  </w:num>
  <w:num w:numId="12" w16cid:durableId="2074113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197078">
    <w:abstractNumId w:val="0"/>
  </w:num>
  <w:num w:numId="14" w16cid:durableId="117575614">
    <w:abstractNumId w:val="17"/>
  </w:num>
  <w:num w:numId="15" w16cid:durableId="1408766772">
    <w:abstractNumId w:val="18"/>
  </w:num>
  <w:num w:numId="16" w16cid:durableId="1420129082">
    <w:abstractNumId w:val="11"/>
  </w:num>
  <w:num w:numId="17" w16cid:durableId="1099719746">
    <w:abstractNumId w:val="24"/>
  </w:num>
  <w:num w:numId="18" w16cid:durableId="672611524">
    <w:abstractNumId w:val="24"/>
  </w:num>
  <w:num w:numId="19" w16cid:durableId="1556316152">
    <w:abstractNumId w:val="19"/>
  </w:num>
  <w:num w:numId="20" w16cid:durableId="2093968246">
    <w:abstractNumId w:val="14"/>
  </w:num>
  <w:num w:numId="21" w16cid:durableId="1687518798">
    <w:abstractNumId w:val="26"/>
  </w:num>
  <w:num w:numId="22" w16cid:durableId="1196968504">
    <w:abstractNumId w:val="28"/>
  </w:num>
  <w:num w:numId="23" w16cid:durableId="171770135">
    <w:abstractNumId w:val="12"/>
  </w:num>
  <w:num w:numId="24" w16cid:durableId="533006385">
    <w:abstractNumId w:val="32"/>
  </w:num>
  <w:num w:numId="25" w16cid:durableId="2104641219">
    <w:abstractNumId w:val="27"/>
  </w:num>
  <w:num w:numId="26" w16cid:durableId="1216239809">
    <w:abstractNumId w:val="29"/>
  </w:num>
  <w:num w:numId="27" w16cid:durableId="1829787917">
    <w:abstractNumId w:val="16"/>
  </w:num>
  <w:num w:numId="28" w16cid:durableId="152649286">
    <w:abstractNumId w:val="21"/>
  </w:num>
  <w:num w:numId="29" w16cid:durableId="2082018148">
    <w:abstractNumId w:val="20"/>
  </w:num>
  <w:num w:numId="30" w16cid:durableId="1553468556">
    <w:abstractNumId w:val="15"/>
  </w:num>
  <w:num w:numId="31" w16cid:durableId="1225143846">
    <w:abstractNumId w:val="25"/>
  </w:num>
  <w:num w:numId="32" w16cid:durableId="1789741163">
    <w:abstractNumId w:val="10"/>
  </w:num>
  <w:num w:numId="33" w16cid:durableId="102768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4286927">
    <w:abstractNumId w:val="30"/>
  </w:num>
  <w:num w:numId="35" w16cid:durableId="654798651">
    <w:abstractNumId w:val="23"/>
  </w:num>
  <w:num w:numId="36" w16cid:durableId="1851678925">
    <w:abstractNumId w:val="13"/>
  </w:num>
  <w:num w:numId="37" w16cid:durableId="17523868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1F"/>
    <w:rsid w:val="000046BD"/>
    <w:rsid w:val="00015588"/>
    <w:rsid w:val="000337A0"/>
    <w:rsid w:val="000518F3"/>
    <w:rsid w:val="000566E0"/>
    <w:rsid w:val="00062AE4"/>
    <w:rsid w:val="00067DD9"/>
    <w:rsid w:val="000A1292"/>
    <w:rsid w:val="000A759D"/>
    <w:rsid w:val="000A7FD9"/>
    <w:rsid w:val="000D4547"/>
    <w:rsid w:val="000F0C82"/>
    <w:rsid w:val="00106608"/>
    <w:rsid w:val="00153081"/>
    <w:rsid w:val="00160F48"/>
    <w:rsid w:val="00184CEF"/>
    <w:rsid w:val="001869B0"/>
    <w:rsid w:val="00187ACF"/>
    <w:rsid w:val="00190349"/>
    <w:rsid w:val="001A4ACF"/>
    <w:rsid w:val="001C750A"/>
    <w:rsid w:val="001D07CD"/>
    <w:rsid w:val="001E3CE3"/>
    <w:rsid w:val="001F3997"/>
    <w:rsid w:val="001F64A3"/>
    <w:rsid w:val="00204C88"/>
    <w:rsid w:val="002056BA"/>
    <w:rsid w:val="0022708E"/>
    <w:rsid w:val="00232581"/>
    <w:rsid w:val="00251145"/>
    <w:rsid w:val="002750C4"/>
    <w:rsid w:val="002966CE"/>
    <w:rsid w:val="002A059D"/>
    <w:rsid w:val="002C2ADF"/>
    <w:rsid w:val="002D3B02"/>
    <w:rsid w:val="002D682B"/>
    <w:rsid w:val="002E48AC"/>
    <w:rsid w:val="00317C67"/>
    <w:rsid w:val="00344D56"/>
    <w:rsid w:val="00353663"/>
    <w:rsid w:val="00360763"/>
    <w:rsid w:val="00375CBF"/>
    <w:rsid w:val="00375EFC"/>
    <w:rsid w:val="003837CC"/>
    <w:rsid w:val="003904B9"/>
    <w:rsid w:val="00394187"/>
    <w:rsid w:val="00395CFE"/>
    <w:rsid w:val="003A16E1"/>
    <w:rsid w:val="003A2748"/>
    <w:rsid w:val="003A30F3"/>
    <w:rsid w:val="003B5AB1"/>
    <w:rsid w:val="003C39F4"/>
    <w:rsid w:val="003F1961"/>
    <w:rsid w:val="004064CD"/>
    <w:rsid w:val="00414AB9"/>
    <w:rsid w:val="00421F98"/>
    <w:rsid w:val="0043066B"/>
    <w:rsid w:val="004309BF"/>
    <w:rsid w:val="004558CC"/>
    <w:rsid w:val="0046312A"/>
    <w:rsid w:val="00474670"/>
    <w:rsid w:val="00484F2D"/>
    <w:rsid w:val="004855CE"/>
    <w:rsid w:val="00495E2E"/>
    <w:rsid w:val="00496CF9"/>
    <w:rsid w:val="004A3CCB"/>
    <w:rsid w:val="004E0FF2"/>
    <w:rsid w:val="0050064B"/>
    <w:rsid w:val="005014C6"/>
    <w:rsid w:val="00541F9A"/>
    <w:rsid w:val="00545E3C"/>
    <w:rsid w:val="00563AD8"/>
    <w:rsid w:val="00564BE8"/>
    <w:rsid w:val="00570E5B"/>
    <w:rsid w:val="005A1443"/>
    <w:rsid w:val="005C6E04"/>
    <w:rsid w:val="005E2A78"/>
    <w:rsid w:val="005E2E03"/>
    <w:rsid w:val="005E5FCE"/>
    <w:rsid w:val="005F3D90"/>
    <w:rsid w:val="005F5578"/>
    <w:rsid w:val="00615C49"/>
    <w:rsid w:val="006278C7"/>
    <w:rsid w:val="00633068"/>
    <w:rsid w:val="0063494B"/>
    <w:rsid w:val="00666190"/>
    <w:rsid w:val="006817B0"/>
    <w:rsid w:val="006C4904"/>
    <w:rsid w:val="006D0A5E"/>
    <w:rsid w:val="006D4CD9"/>
    <w:rsid w:val="006E621F"/>
    <w:rsid w:val="006E6549"/>
    <w:rsid w:val="006E6B2B"/>
    <w:rsid w:val="006F29EA"/>
    <w:rsid w:val="00703C67"/>
    <w:rsid w:val="00707B2F"/>
    <w:rsid w:val="00710792"/>
    <w:rsid w:val="00711BA5"/>
    <w:rsid w:val="0071799F"/>
    <w:rsid w:val="00717CCA"/>
    <w:rsid w:val="007202C6"/>
    <w:rsid w:val="00740720"/>
    <w:rsid w:val="00747563"/>
    <w:rsid w:val="00757301"/>
    <w:rsid w:val="00762F1A"/>
    <w:rsid w:val="00764333"/>
    <w:rsid w:val="00772EB1"/>
    <w:rsid w:val="00781227"/>
    <w:rsid w:val="00782E55"/>
    <w:rsid w:val="00784DEB"/>
    <w:rsid w:val="00792B10"/>
    <w:rsid w:val="00796928"/>
    <w:rsid w:val="007A5734"/>
    <w:rsid w:val="007B565F"/>
    <w:rsid w:val="007B6C8C"/>
    <w:rsid w:val="007C7E2D"/>
    <w:rsid w:val="007D495A"/>
    <w:rsid w:val="00865ECE"/>
    <w:rsid w:val="00881E07"/>
    <w:rsid w:val="00882783"/>
    <w:rsid w:val="0089667D"/>
    <w:rsid w:val="008A7A8E"/>
    <w:rsid w:val="008B6874"/>
    <w:rsid w:val="008C1818"/>
    <w:rsid w:val="008D2C44"/>
    <w:rsid w:val="008D5E13"/>
    <w:rsid w:val="008F66B6"/>
    <w:rsid w:val="008F7087"/>
    <w:rsid w:val="009058B1"/>
    <w:rsid w:val="00916721"/>
    <w:rsid w:val="009230CE"/>
    <w:rsid w:val="00935EDD"/>
    <w:rsid w:val="00943BDE"/>
    <w:rsid w:val="00986CF3"/>
    <w:rsid w:val="009A4DB9"/>
    <w:rsid w:val="009B3ECA"/>
    <w:rsid w:val="009B583F"/>
    <w:rsid w:val="009C3565"/>
    <w:rsid w:val="009E15D6"/>
    <w:rsid w:val="009E2C7E"/>
    <w:rsid w:val="00A160AE"/>
    <w:rsid w:val="00A27C06"/>
    <w:rsid w:val="00A27D94"/>
    <w:rsid w:val="00A36E4A"/>
    <w:rsid w:val="00A672AE"/>
    <w:rsid w:val="00A67A25"/>
    <w:rsid w:val="00A93CAF"/>
    <w:rsid w:val="00A95F79"/>
    <w:rsid w:val="00AA5609"/>
    <w:rsid w:val="00AD29CB"/>
    <w:rsid w:val="00AD2E14"/>
    <w:rsid w:val="00AE03FA"/>
    <w:rsid w:val="00AE0C8F"/>
    <w:rsid w:val="00AE2C4D"/>
    <w:rsid w:val="00AF63AC"/>
    <w:rsid w:val="00B027ED"/>
    <w:rsid w:val="00B04857"/>
    <w:rsid w:val="00B20B1A"/>
    <w:rsid w:val="00B37A15"/>
    <w:rsid w:val="00B503C2"/>
    <w:rsid w:val="00B52E6C"/>
    <w:rsid w:val="00B6173A"/>
    <w:rsid w:val="00B655D9"/>
    <w:rsid w:val="00B72AB0"/>
    <w:rsid w:val="00BC0E1F"/>
    <w:rsid w:val="00BC22D1"/>
    <w:rsid w:val="00BC7EAD"/>
    <w:rsid w:val="00BD19DB"/>
    <w:rsid w:val="00BD24AA"/>
    <w:rsid w:val="00BD6DDE"/>
    <w:rsid w:val="00BE6ABF"/>
    <w:rsid w:val="00C03B3C"/>
    <w:rsid w:val="00C313B7"/>
    <w:rsid w:val="00C34EF4"/>
    <w:rsid w:val="00C36028"/>
    <w:rsid w:val="00C36E8A"/>
    <w:rsid w:val="00C41F42"/>
    <w:rsid w:val="00C45BF3"/>
    <w:rsid w:val="00C47364"/>
    <w:rsid w:val="00C55B62"/>
    <w:rsid w:val="00C753B8"/>
    <w:rsid w:val="00C80CDA"/>
    <w:rsid w:val="00C848F1"/>
    <w:rsid w:val="00CB7FB8"/>
    <w:rsid w:val="00CE324D"/>
    <w:rsid w:val="00CF2B15"/>
    <w:rsid w:val="00CF33F6"/>
    <w:rsid w:val="00CF34D6"/>
    <w:rsid w:val="00D02383"/>
    <w:rsid w:val="00D23A3D"/>
    <w:rsid w:val="00D30FA8"/>
    <w:rsid w:val="00D3670C"/>
    <w:rsid w:val="00D61055"/>
    <w:rsid w:val="00DA005C"/>
    <w:rsid w:val="00DB79C6"/>
    <w:rsid w:val="00DC2B59"/>
    <w:rsid w:val="00DC3BE7"/>
    <w:rsid w:val="00DD39C9"/>
    <w:rsid w:val="00E03B00"/>
    <w:rsid w:val="00E5390E"/>
    <w:rsid w:val="00E640D1"/>
    <w:rsid w:val="00E736EA"/>
    <w:rsid w:val="00E9393A"/>
    <w:rsid w:val="00E96A82"/>
    <w:rsid w:val="00EA23C9"/>
    <w:rsid w:val="00EA47A3"/>
    <w:rsid w:val="00EB6E73"/>
    <w:rsid w:val="00EE3779"/>
    <w:rsid w:val="00EE5935"/>
    <w:rsid w:val="00EE6EBB"/>
    <w:rsid w:val="00F06B55"/>
    <w:rsid w:val="00F11F90"/>
    <w:rsid w:val="00F274F6"/>
    <w:rsid w:val="00F666F0"/>
    <w:rsid w:val="00F81408"/>
    <w:rsid w:val="00F83935"/>
    <w:rsid w:val="00F963FF"/>
    <w:rsid w:val="00FB0186"/>
    <w:rsid w:val="00FB2CF8"/>
    <w:rsid w:val="00FC5279"/>
    <w:rsid w:val="00FC6E2C"/>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21F"/>
    <w:pPr>
      <w:spacing w:before="16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C55B62"/>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BC22D1"/>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BC22D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BC22D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6278C7"/>
    <w:pPr>
      <w:ind w:left="568" w:hanging="284"/>
    </w:pPr>
    <w:rPr>
      <w:b w:val="0"/>
      <w:noProof/>
    </w:rPr>
  </w:style>
  <w:style w:type="paragraph" w:styleId="TOC1">
    <w:name w:val="toc 1"/>
    <w:basedOn w:val="Normal"/>
    <w:next w:val="Normal"/>
    <w:autoRedefine/>
    <w:uiPriority w:val="39"/>
    <w:semiHidden/>
    <w:rsid w:val="006278C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762F1A"/>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CF34D6"/>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BC22D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6278C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30"/>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6278C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278C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278C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C55B6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B0186"/>
    <w:rPr>
      <w:color w:val="FF4895" w:themeColor="accent2" w:themeTint="99"/>
    </w:rPr>
  </w:style>
  <w:style w:type="paragraph" w:styleId="TOC7">
    <w:name w:val="toc 7"/>
    <w:basedOn w:val="Normal"/>
    <w:next w:val="Normal"/>
    <w:autoRedefine/>
    <w:uiPriority w:val="39"/>
    <w:semiHidden/>
    <w:unhideWhenUsed/>
    <w:rsid w:val="006278C7"/>
    <w:pPr>
      <w:spacing w:before="40" w:after="40" w:line="288" w:lineRule="auto"/>
      <w:ind w:left="1321"/>
    </w:pPr>
  </w:style>
  <w:style w:type="paragraph" w:styleId="TOC8">
    <w:name w:val="toc 8"/>
    <w:basedOn w:val="Normal"/>
    <w:next w:val="Normal"/>
    <w:autoRedefine/>
    <w:uiPriority w:val="39"/>
    <w:semiHidden/>
    <w:unhideWhenUsed/>
    <w:rsid w:val="006278C7"/>
    <w:pPr>
      <w:spacing w:before="40" w:after="40" w:line="288" w:lineRule="auto"/>
      <w:ind w:left="1542"/>
    </w:pPr>
  </w:style>
  <w:style w:type="paragraph" w:styleId="TOC9">
    <w:name w:val="toc 9"/>
    <w:basedOn w:val="Normal"/>
    <w:next w:val="Normal"/>
    <w:autoRedefine/>
    <w:uiPriority w:val="39"/>
    <w:semiHidden/>
    <w:unhideWhenUsed/>
    <w:rsid w:val="006278C7"/>
    <w:pPr>
      <w:spacing w:before="40" w:after="40" w:line="288" w:lineRule="auto"/>
      <w:ind w:left="1758"/>
    </w:pPr>
  </w:style>
  <w:style w:type="paragraph" w:customStyle="1" w:styleId="Pull-out2">
    <w:name w:val="Pull-out 2"/>
    <w:basedOn w:val="Normal"/>
    <w:link w:val="Pull-out2Char"/>
    <w:qFormat/>
    <w:rsid w:val="006E621F"/>
    <w:pPr>
      <w:pBdr>
        <w:top w:val="single" w:sz="48" w:space="1" w:color="FFD191" w:themeColor="accent4" w:themeTint="66"/>
        <w:left w:val="single" w:sz="48" w:space="4" w:color="FFD191" w:themeColor="accent4" w:themeTint="66"/>
        <w:bottom w:val="single" w:sz="48" w:space="1" w:color="FFD191" w:themeColor="accent4" w:themeTint="66"/>
        <w:right w:val="single" w:sz="48" w:space="4" w:color="FFD191" w:themeColor="accent4" w:themeTint="66"/>
      </w:pBdr>
      <w:shd w:val="clear" w:color="auto" w:fill="FFD191" w:themeFill="accent4" w:themeFillTint="66"/>
      <w:ind w:left="198" w:right="198"/>
    </w:pPr>
  </w:style>
  <w:style w:type="character" w:customStyle="1" w:styleId="Pull-out2Char">
    <w:name w:val="Pull-out 2 Char"/>
    <w:basedOn w:val="DefaultParagraphFont"/>
    <w:link w:val="Pull-out2"/>
    <w:rsid w:val="006E621F"/>
    <w:rPr>
      <w:shd w:val="clear" w:color="auto" w:fill="FFD191" w:themeFill="accent4" w:themeFillTint="66"/>
      <w:lang w:val="en-AU"/>
    </w:rPr>
  </w:style>
  <w:style w:type="paragraph" w:customStyle="1" w:styleId="Figureheading">
    <w:name w:val="Figure heading"/>
    <w:basedOn w:val="Figure-Table-BoxHeading"/>
    <w:link w:val="FigureheadingChar"/>
    <w:qFormat/>
    <w:rsid w:val="006E621F"/>
    <w:pPr>
      <w:numPr>
        <w:ilvl w:val="0"/>
        <w:numId w:val="0"/>
      </w:numPr>
    </w:pPr>
    <w:rPr>
      <w:lang w:val="en-AU"/>
    </w:rPr>
  </w:style>
  <w:style w:type="character" w:customStyle="1" w:styleId="FigureheadingChar">
    <w:name w:val="Figure heading Char"/>
    <w:basedOn w:val="Figure-Table-BoxHeadingChar"/>
    <w:link w:val="Figureheading"/>
    <w:rsid w:val="006E621F"/>
    <w:rPr>
      <w:rFonts w:asciiTheme="majorHAnsi" w:eastAsiaTheme="majorEastAsia" w:hAnsiTheme="majorHAnsi" w:cstheme="majorBidi"/>
      <w:b/>
      <w:color w:val="4986A0" w:themeColor="text2"/>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hyperlink" Target="mailto:pdfreview@esc.vic.gov.au"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ED9B-F36D-4EA2-857A-A3E527A7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3391</Words>
  <Characters>19815</Characters>
  <Application>Microsoft Office Word</Application>
  <DocSecurity>0</DocSecurity>
  <Lines>345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2022-05-31T02:03:00Z</dcterms:created>
  <dcterms:modified xsi:type="dcterms:W3CDTF">2022-05-31T02:13:00Z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AA01B8A11DCB4E2BA236523F0B69B5DA</vt:lpwstr>
  </property>
  <property fmtid="{D5CDD505-2E9C-101B-9397-08002B2CF9AE}" pid="9" name="PM_ProtectiveMarkingValue_Footer">
    <vt:lpwstr>OFFICIAL</vt:lpwstr>
  </property>
  <property fmtid="{D5CDD505-2E9C-101B-9397-08002B2CF9AE}" pid="10" name="PM_Originator_Hash_SHA1">
    <vt:lpwstr>1596D275FA85E6DFF2939A17E9ABECCA89B9CAE3</vt:lpwstr>
  </property>
  <property fmtid="{D5CDD505-2E9C-101B-9397-08002B2CF9AE}" pid="11" name="PM_OriginationTimeStamp">
    <vt:lpwstr>2022-05-31T02:13:09Z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86C4A133AC008F002125D1496477C77D</vt:lpwstr>
  </property>
  <property fmtid="{D5CDD505-2E9C-101B-9397-08002B2CF9AE}" pid="23" name="PM_Hash_Salt">
    <vt:lpwstr>8A93E2ED942F82CB57733D28F05C748B</vt:lpwstr>
  </property>
  <property fmtid="{D5CDD505-2E9C-101B-9397-08002B2CF9AE}" pid="24" name="PM_Hash_SHA1">
    <vt:lpwstr>65C97F50AD42A304F17D061D658E2EF6CDAB6815</vt:lpwstr>
  </property>
  <property fmtid="{D5CDD505-2E9C-101B-9397-08002B2CF9AE}" pid="25" name="PM_OriginatorUserAccountName_SHA256">
    <vt:lpwstr>3AF5A6276A143948CA181464A0C2BC3F6592C40E02F577B700FB57F5E2A753F2</vt:lpwstr>
  </property>
  <property fmtid="{D5CDD505-2E9C-101B-9397-08002B2CF9AE}" pid="26" name="PM_OriginatorDomainName_SHA256">
    <vt:lpwstr>9E5929A2B0C9364118E50F7972B6A4AA763F815A803675E11226272E392AE99C</vt:lpwstr>
  </property>
</Properties>
</file>