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2.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4.xml" ContentType="application/vnd.openxmlformats-officedocument.wordprocessingml.footer+xml"/>
  <Override PartName="/word/header15.xml" ContentType="application/vnd.openxmlformats-officedocument.wordprocessingml.header+xml"/>
  <Override PartName="/word/footer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6.xml" ContentType="application/vnd.openxmlformats-officedocument.wordprocessingml.footer+xml"/>
  <Override PartName="/word/header18.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9.xml" ContentType="application/vnd.openxmlformats-officedocument.wordprocessingml.header+xml"/>
  <Override PartName="/word/header20.xml" ContentType="application/vnd.openxmlformats-officedocument.wordprocessingml.header+xml"/>
  <Override PartName="/word/footer7.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oter8.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footer9.xml" ContentType="application/vnd.openxmlformats-officedocument.wordprocessingml.footer+xml"/>
  <Override PartName="/word/header27.xml" ContentType="application/vnd.openxmlformats-officedocument.wordprocessingml.header+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chart4.xml" ContentType="application/vnd.openxmlformats-officedocument.drawingml.chart+xml"/>
  <Override PartName="/word/charts/style3.xml" ContentType="application/vnd.ms-office.chartstyle+xml"/>
  <Override PartName="/word/charts/colors3.xml" ContentType="application/vnd.ms-office.chartcolorstyle+xml"/>
  <Override PartName="/word/header28.xml" ContentType="application/vnd.openxmlformats-officedocument.wordprocessingml.header+xml"/>
  <Override PartName="/word/header29.xml" ContentType="application/vnd.openxmlformats-officedocument.wordprocessingml.header+xml"/>
  <Override PartName="/word/footer10.xml" ContentType="application/vnd.openxmlformats-officedocument.wordprocessingml.foot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footer11.xml" ContentType="application/vnd.openxmlformats-officedocument.wordprocessingml.foot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footer12.xml" ContentType="application/vnd.openxmlformats-officedocument.wordprocessingml.footer+xml"/>
  <Override PartName="/word/header36.xml" ContentType="application/vnd.openxmlformats-officedocument.wordprocessingml.header+xml"/>
  <Override PartName="/word/footer13.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14.xml" ContentType="application/vnd.openxmlformats-officedocument.wordprocessingml.footer+xml"/>
  <Override PartName="/word/header39.xml" ContentType="application/vnd.openxmlformats-officedocument.wordprocessingml.header+xml"/>
  <Override PartName="/word/footer15.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16.xml" ContentType="application/vnd.openxmlformats-officedocument.wordprocessingml.footer+xml"/>
  <Override PartName="/word/header42.xml" ContentType="application/vnd.openxmlformats-officedocument.wordprocessingml.header+xml"/>
  <Override PartName="/word/footer17.xml" ContentType="application/vnd.openxmlformats-officedocument.wordprocessingml.footer+xml"/>
  <Override PartName="/word/charts/chart5.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6.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7.xml" ContentType="application/vnd.openxmlformats-officedocument.drawingml.chart+xml"/>
  <Override PartName="/word/charts/style6.xml" ContentType="application/vnd.ms-office.chartstyle+xml"/>
  <Override PartName="/word/charts/colors6.xml" ContentType="application/vnd.ms-office.chartcolorstyle+xml"/>
  <Override PartName="/word/footer1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1" w:name="_Toc481138395" w:displacedByCustomXml="next"/>
    <w:bookmarkStart w:id="2" w:name="_Toc481138187" w:displacedByCustomXml="next"/>
    <w:bookmarkStart w:id="3" w:name="_Toc480988875" w:displacedByCustomXml="next"/>
    <w:bookmarkStart w:id="4" w:name="_Hlk481497640" w:displacedByCustomXml="next"/>
    <w:sdt>
      <w:sdtPr>
        <w:rPr>
          <w:lang w:val="en-AU"/>
        </w:rPr>
        <w:id w:val="-1806228930"/>
        <w:docPartObj>
          <w:docPartGallery w:val="Cover Pages"/>
          <w:docPartUnique/>
        </w:docPartObj>
      </w:sdtPr>
      <w:sdtContent>
        <w:sdt>
          <w:sdtPr>
            <w:id w:val="-1193684748"/>
            <w:placeholder>
              <w:docPart w:val="0B26D8CCC9534309B9B5E9DB9F905536"/>
            </w:placeholder>
            <w:showingPlcHdr/>
            <w:text/>
          </w:sdtPr>
          <w:sdtContent>
            <w:p w14:paraId="74954FE5" w14:textId="77777777" w:rsidR="00067DD9" w:rsidRDefault="00067DD9" w:rsidP="00633068">
              <w:pPr>
                <w:pStyle w:val="NoSpacing"/>
                <w:sectPr w:rsidR="00067DD9" w:rsidSect="00703C67">
                  <w:headerReference w:type="even" r:id="rId11"/>
                  <w:headerReference w:type="default" r:id="rId12"/>
                  <w:headerReference w:type="first" r:id="rId13"/>
                  <w:type w:val="continuous"/>
                  <w:pgSz w:w="11906" w:h="16838" w:code="9"/>
                  <w:pgMar w:top="1134" w:right="1134" w:bottom="1134" w:left="1134" w:header="709" w:footer="692" w:gutter="0"/>
                  <w:pgNumType w:start="0"/>
                  <w:cols w:space="708"/>
                  <w:docGrid w:linePitch="360"/>
                </w:sectPr>
              </w:pPr>
              <w:r>
                <w:t xml:space="preserve">  </w:t>
              </w:r>
            </w:p>
          </w:sdtContent>
        </w:sdt>
        <w:p w14:paraId="1F27031F" w14:textId="7F7251EF" w:rsidR="00067DD9" w:rsidRPr="0063494B" w:rsidRDefault="00000000" w:rsidP="00633068">
          <w:pPr>
            <w:pStyle w:val="Title"/>
          </w:pPr>
          <w:sdt>
            <w:sdtPr>
              <w:alias w:val="Title"/>
              <w:tag w:val=""/>
              <w:id w:val="-1656833702"/>
              <w:placeholder>
                <w:docPart w:val="CD34D51FC7ED4B339ADA211D80BD0736"/>
              </w:placeholder>
              <w:dataBinding w:prefixMappings="xmlns:ns0='http://purl.org/dc/elements/1.1/' xmlns:ns1='http://schemas.openxmlformats.org/package/2006/metadata/core-properties' " w:xpath="/ns1:coreProperties[1]/ns0:title[1]" w:storeItemID="{6C3C8BC8-F283-45AE-878A-BAB7291924A1}"/>
              <w:text/>
            </w:sdtPr>
            <w:sdtContent>
              <w:r w:rsidR="00F41E21">
                <w:t>Accident Towing Fees Review 2025</w:t>
              </w:r>
            </w:sdtContent>
          </w:sdt>
        </w:p>
        <w:sdt>
          <w:sdtPr>
            <w:alias w:val="Subtitle"/>
            <w:tag w:val=""/>
            <w:id w:val="1140151582"/>
            <w:placeholder>
              <w:docPart w:val="497FFFCC3E4C42669754D74AE9ACD1A6"/>
            </w:placeholder>
            <w:dataBinding w:prefixMappings="xmlns:ns0='http://purl.org/dc/elements/1.1/' xmlns:ns1='http://schemas.openxmlformats.org/package/2006/metadata/core-properties' " w:xpath="/ns1:coreProperties[1]/ns0:description[1]" w:storeItemID="{6C3C8BC8-F283-45AE-878A-BAB7291924A1}"/>
            <w:text w:multiLine="1"/>
          </w:sdtPr>
          <w:sdtContent>
            <w:p w14:paraId="36AF8AB6" w14:textId="42502C76" w:rsidR="00067DD9" w:rsidRDefault="00AD0FF1" w:rsidP="00633068">
              <w:pPr>
                <w:pStyle w:val="Subtitle"/>
              </w:pPr>
              <w:r>
                <w:t>Final Report</w:t>
              </w:r>
            </w:p>
          </w:sdtContent>
        </w:sdt>
        <w:p w14:paraId="076948C7" w14:textId="353A394E" w:rsidR="00067DD9" w:rsidRDefault="00000000" w:rsidP="000A7FD9">
          <w:pPr>
            <w:pStyle w:val="Subtitle"/>
          </w:pPr>
          <w:sdt>
            <w:sdtPr>
              <w:id w:val="1251166870"/>
              <w:placeholder>
                <w:docPart w:val="A723C0574D55492B9A7CFA29173E400A"/>
              </w:placeholder>
              <w:date w:fullDate="2025-05-21T00:00:00Z">
                <w:dateFormat w:val="d MMMM yyyy"/>
                <w:lid w:val="en-US"/>
                <w:storeMappedDataAs w:val="dateTime"/>
                <w:calendar w:val="gregorian"/>
              </w:date>
            </w:sdtPr>
            <w:sdtContent>
              <w:r w:rsidR="007A2328">
                <w:rPr>
                  <w:lang w:val="en-US"/>
                </w:rPr>
                <w:t>21 May 2025</w:t>
              </w:r>
            </w:sdtContent>
          </w:sdt>
        </w:p>
        <w:p w14:paraId="6D19B9E8" w14:textId="77777777" w:rsidR="00067DD9" w:rsidRDefault="00067DD9"/>
        <w:p w14:paraId="0EFDDB4A" w14:textId="77777777" w:rsidR="00067DD9" w:rsidRDefault="00067DD9">
          <w:pPr>
            <w:spacing w:line="259" w:lineRule="auto"/>
          </w:pPr>
          <w:r>
            <w:br w:type="page"/>
          </w:r>
        </w:p>
      </w:sdtContent>
    </w:sdt>
    <w:p w14:paraId="2916A71C" w14:textId="77777777" w:rsidR="00D04C6D" w:rsidRPr="00D01F41" w:rsidRDefault="00D04C6D" w:rsidP="00D01F41">
      <w:pPr>
        <w:rPr>
          <w:rFonts w:ascii="Tahoma" w:hAnsi="Tahoma" w:cs="Tahoma"/>
          <w:b/>
          <w:bCs/>
          <w:sz w:val="26"/>
          <w:szCs w:val="26"/>
        </w:rPr>
      </w:pPr>
      <w:bookmarkStart w:id="5" w:name="_Toc179299502"/>
      <w:bookmarkStart w:id="6" w:name="_Toc179372182"/>
      <w:r w:rsidRPr="00D01F41">
        <w:rPr>
          <w:rFonts w:ascii="Tahoma" w:hAnsi="Tahoma" w:cs="Tahoma"/>
          <w:b/>
          <w:bCs/>
          <w:sz w:val="26"/>
          <w:szCs w:val="26"/>
        </w:rPr>
        <w:lastRenderedPageBreak/>
        <w:t>Acknowledgement</w:t>
      </w:r>
      <w:bookmarkEnd w:id="5"/>
      <w:bookmarkEnd w:id="6"/>
    </w:p>
    <w:p w14:paraId="6515B091" w14:textId="77777777" w:rsidR="00D04C6D" w:rsidRDefault="00D04C6D" w:rsidP="00D04C6D">
      <w:r>
        <w:t>We acknowledge the Traditional Owners of the lands and waterways on which we work and live.</w:t>
      </w:r>
    </w:p>
    <w:p w14:paraId="0C238AE3" w14:textId="77777777" w:rsidR="00D04C6D" w:rsidRDefault="00D04C6D" w:rsidP="00D04C6D">
      <w:r>
        <w:t xml:space="preserve">We acknowledge all Aboriginal and Torres Strait Islander </w:t>
      </w:r>
      <w:proofErr w:type="gramStart"/>
      <w:r>
        <w:t>communities, and</w:t>
      </w:r>
      <w:proofErr w:type="gramEnd"/>
      <w:r>
        <w:t xml:space="preserve"> pay our respects to Elders past and present.</w:t>
      </w:r>
    </w:p>
    <w:p w14:paraId="4A93E2A2" w14:textId="77777777" w:rsidR="00D04C6D" w:rsidRDefault="00D04C6D" w:rsidP="00D04C6D">
      <w:r>
        <w:t>As the First Peoples of this land, belonging to the world’s oldest living cultures, we recognise and value their knowledge, and ongoing role in shaping and enriching the story of Victoria.  </w:t>
      </w:r>
    </w:p>
    <w:p w14:paraId="266A3539" w14:textId="77777777" w:rsidR="00F83935" w:rsidRDefault="00F83935" w:rsidP="000D4547">
      <w:pPr>
        <w:pStyle w:val="NoSpacing"/>
        <w:rPr>
          <w:b/>
        </w:rPr>
      </w:pPr>
    </w:p>
    <w:p w14:paraId="5388936A" w14:textId="77777777" w:rsidR="00D04C6D" w:rsidRDefault="00D04C6D" w:rsidP="00F83935">
      <w:pPr>
        <w:spacing w:line="259" w:lineRule="auto"/>
        <w:rPr>
          <w:rStyle w:val="Strong"/>
        </w:rPr>
      </w:pPr>
    </w:p>
    <w:p w14:paraId="398C1CD4" w14:textId="77777777" w:rsidR="00D04C6D" w:rsidRDefault="00D04C6D" w:rsidP="00F83935">
      <w:pPr>
        <w:spacing w:line="259" w:lineRule="auto"/>
        <w:rPr>
          <w:rStyle w:val="Strong"/>
        </w:rPr>
      </w:pPr>
    </w:p>
    <w:p w14:paraId="4F3ACA41" w14:textId="77777777" w:rsidR="00D04C6D" w:rsidRDefault="00D04C6D" w:rsidP="00F83935">
      <w:pPr>
        <w:spacing w:line="259" w:lineRule="auto"/>
        <w:rPr>
          <w:rStyle w:val="Strong"/>
        </w:rPr>
      </w:pPr>
    </w:p>
    <w:p w14:paraId="1D6E0644" w14:textId="77777777" w:rsidR="00D04C6D" w:rsidRDefault="00D04C6D" w:rsidP="00F83935">
      <w:pPr>
        <w:spacing w:line="259" w:lineRule="auto"/>
        <w:rPr>
          <w:rStyle w:val="Strong"/>
        </w:rPr>
      </w:pPr>
    </w:p>
    <w:p w14:paraId="08619C44" w14:textId="77777777" w:rsidR="00440AE4" w:rsidRDefault="00440AE4" w:rsidP="00F83935">
      <w:pPr>
        <w:spacing w:line="259" w:lineRule="auto"/>
        <w:rPr>
          <w:rStyle w:val="Strong"/>
        </w:rPr>
      </w:pPr>
    </w:p>
    <w:p w14:paraId="6395A927" w14:textId="77777777" w:rsidR="00440AE4" w:rsidRDefault="00440AE4" w:rsidP="00F83935">
      <w:pPr>
        <w:spacing w:line="259" w:lineRule="auto"/>
        <w:rPr>
          <w:rStyle w:val="Strong"/>
        </w:rPr>
      </w:pPr>
    </w:p>
    <w:p w14:paraId="00A0CA54" w14:textId="77777777" w:rsidR="00440AE4" w:rsidRDefault="00440AE4" w:rsidP="00F83935">
      <w:pPr>
        <w:spacing w:line="259" w:lineRule="auto"/>
        <w:rPr>
          <w:rStyle w:val="Strong"/>
        </w:rPr>
      </w:pPr>
    </w:p>
    <w:p w14:paraId="037EA517" w14:textId="77777777" w:rsidR="0098047A" w:rsidRDefault="0098047A" w:rsidP="00F83935">
      <w:pPr>
        <w:spacing w:line="259" w:lineRule="auto"/>
        <w:rPr>
          <w:rStyle w:val="Strong"/>
        </w:rPr>
      </w:pPr>
    </w:p>
    <w:p w14:paraId="2DC606B1" w14:textId="77777777" w:rsidR="0098047A" w:rsidRDefault="0098047A" w:rsidP="00F83935">
      <w:pPr>
        <w:spacing w:line="259" w:lineRule="auto"/>
        <w:rPr>
          <w:rStyle w:val="Strong"/>
        </w:rPr>
      </w:pPr>
    </w:p>
    <w:p w14:paraId="6B8EE382" w14:textId="77777777" w:rsidR="0098047A" w:rsidRDefault="0098047A" w:rsidP="00F83935">
      <w:pPr>
        <w:spacing w:line="259" w:lineRule="auto"/>
        <w:rPr>
          <w:rStyle w:val="Strong"/>
        </w:rPr>
      </w:pPr>
    </w:p>
    <w:p w14:paraId="20F332B3" w14:textId="77777777" w:rsidR="00881E07" w:rsidRPr="00F83935" w:rsidRDefault="00881E07" w:rsidP="00F83935">
      <w:pPr>
        <w:spacing w:line="259" w:lineRule="auto"/>
        <w:rPr>
          <w:rStyle w:val="Strong"/>
          <w:b w:val="0"/>
          <w:bCs w:val="0"/>
        </w:rPr>
      </w:pPr>
      <w:r w:rsidRPr="00710792">
        <w:rPr>
          <w:rStyle w:val="Strong"/>
        </w:rPr>
        <w:t>An appropriate citation for this paper is:</w:t>
      </w:r>
      <w:bookmarkEnd w:id="3"/>
      <w:bookmarkEnd w:id="2"/>
      <w:bookmarkEnd w:id="1"/>
    </w:p>
    <w:p w14:paraId="2CECC842" w14:textId="6692E404" w:rsidR="00943BDE" w:rsidRDefault="00881E07" w:rsidP="00943BDE">
      <w:r>
        <w:t>Essential Services Commission</w:t>
      </w:r>
      <w:r w:rsidR="003904B9">
        <w:t xml:space="preserve"> </w:t>
      </w:r>
      <w:sdt>
        <w:sdtPr>
          <w:alias w:val="Year"/>
          <w:tag w:val="Year"/>
          <w:id w:val="-1184668763"/>
          <w:placeholder>
            <w:docPart w:val="F0144DCCD14F4430B410C534DEC49CFC"/>
          </w:placeholder>
          <w:dropDownList>
            <w:listItem w:value="Choose an item."/>
            <w:listItem w:displayText="2020" w:value="2020"/>
            <w:listItem w:displayText="2021" w:value="2021"/>
            <w:listItem w:displayText="2022" w:value="2022"/>
            <w:listItem w:displayText="2023" w:value="2023"/>
            <w:listItem w:displayText="2024" w:value="2024"/>
            <w:listItem w:displayText="2025" w:value="2025"/>
          </w:dropDownList>
        </w:sdtPr>
        <w:sdtContent>
          <w:r w:rsidR="002F1E0E">
            <w:t>2025</w:t>
          </w:r>
        </w:sdtContent>
      </w:sdt>
      <w:r>
        <w:t xml:space="preserve">, </w:t>
      </w:r>
      <w:sdt>
        <w:sdtPr>
          <w:rPr>
            <w:i/>
          </w:rPr>
          <w:alias w:val="Title"/>
          <w:tag w:val=""/>
          <w:id w:val="1260560542"/>
          <w:placeholder>
            <w:docPart w:val="26784A1D736647D8B114B513D6A59510"/>
          </w:placeholder>
          <w:dataBinding w:prefixMappings="xmlns:ns0='http://purl.org/dc/elements/1.1/' xmlns:ns1='http://schemas.openxmlformats.org/package/2006/metadata/core-properties' " w:xpath="/ns1:coreProperties[1]/ns0:title[1]" w:storeItemID="{6C3C8BC8-F283-45AE-878A-BAB7291924A1}"/>
          <w:text/>
        </w:sdtPr>
        <w:sdtContent>
          <w:r w:rsidR="00F41E21">
            <w:rPr>
              <w:i/>
            </w:rPr>
            <w:t>Accident Towing Fees Review 2025</w:t>
          </w:r>
        </w:sdtContent>
      </w:sdt>
      <w:r w:rsidR="00633068">
        <w:t xml:space="preserve">: </w:t>
      </w:r>
      <w:sdt>
        <w:sdtPr>
          <w:rPr>
            <w:i/>
            <w:iCs/>
          </w:rPr>
          <w:alias w:val="Subtitle"/>
          <w:tag w:val=""/>
          <w:id w:val="-295916621"/>
          <w:placeholder>
            <w:docPart w:val="C3B5F2BDCEE444C89923D06CD3C3F258"/>
          </w:placeholder>
          <w:dataBinding w:prefixMappings="xmlns:ns0='http://purl.org/dc/elements/1.1/' xmlns:ns1='http://schemas.openxmlformats.org/package/2006/metadata/core-properties' " w:xpath="/ns1:coreProperties[1]/ns0:description[1]" w:storeItemID="{6C3C8BC8-F283-45AE-878A-BAB7291924A1}"/>
          <w:text w:multiLine="1"/>
        </w:sdtPr>
        <w:sdtContent>
          <w:r w:rsidR="00AD0FF1">
            <w:rPr>
              <w:i/>
              <w:iCs/>
            </w:rPr>
            <w:t>Final Report</w:t>
          </w:r>
        </w:sdtContent>
      </w:sdt>
      <w:r w:rsidR="00012434">
        <w:t>,</w:t>
      </w:r>
      <w:r w:rsidR="00633068">
        <w:t xml:space="preserve"> </w:t>
      </w:r>
      <w:sdt>
        <w:sdtPr>
          <w:alias w:val="Date"/>
          <w:tag w:val="Year"/>
          <w:id w:val="-733004738"/>
          <w:placeholder>
            <w:docPart w:val="4D5448C5BCBB48A5ADB9B10F82C7EB18"/>
          </w:placeholder>
          <w:date w:fullDate="2025-05-21T00:00:00Z">
            <w:dateFormat w:val="d MMMM "/>
            <w:lid w:val="en-US"/>
            <w:storeMappedDataAs w:val="dateTime"/>
            <w:calendar w:val="gregorian"/>
          </w:date>
        </w:sdtPr>
        <w:sdtContent>
          <w:r w:rsidR="007A2328">
            <w:rPr>
              <w:lang w:val="en-US"/>
            </w:rPr>
            <w:t xml:space="preserve">21 May </w:t>
          </w:r>
        </w:sdtContent>
      </w:sdt>
    </w:p>
    <w:p w14:paraId="12CB4D8B" w14:textId="77777777" w:rsidR="00710792" w:rsidRDefault="00710792" w:rsidP="00710792">
      <w:pPr>
        <w:rPr>
          <w:rStyle w:val="Strong"/>
        </w:rPr>
      </w:pPr>
      <w:bookmarkStart w:id="7" w:name="_Toc480988876"/>
      <w:bookmarkStart w:id="8" w:name="_Toc481138188"/>
      <w:bookmarkStart w:id="9" w:name="_Toc481138396"/>
    </w:p>
    <w:bookmarkEnd w:id="7"/>
    <w:bookmarkEnd w:id="8"/>
    <w:bookmarkEnd w:id="9"/>
    <w:p w14:paraId="1C6A7E80" w14:textId="06A37120" w:rsidR="0050064B" w:rsidRDefault="00881E07" w:rsidP="00943BDE">
      <w:r>
        <w:t xml:space="preserve">© </w:t>
      </w:r>
      <w:r w:rsidR="00563AD8">
        <w:t>Essential Services Commission</w:t>
      </w:r>
      <w:r w:rsidR="00012434">
        <w:t>,</w:t>
      </w:r>
      <w:r w:rsidR="00563AD8">
        <w:t xml:space="preserve"> </w:t>
      </w:r>
      <w:sdt>
        <w:sdtPr>
          <w:alias w:val="Year"/>
          <w:tag w:val="Year"/>
          <w:id w:val="1606076632"/>
          <w:placeholder>
            <w:docPart w:val="AED240F9F4284DE780CFD1F88DF04FC6"/>
          </w:placeholder>
          <w:dropDownList>
            <w:listItem w:value="Choose an item."/>
            <w:listItem w:displayText="2020" w:value="2020"/>
            <w:listItem w:displayText="2021" w:value="2021"/>
            <w:listItem w:displayText="2022" w:value="2022"/>
            <w:listItem w:displayText="2023" w:value="2023"/>
            <w:listItem w:displayText="2024" w:value="2024"/>
            <w:listItem w:displayText="2025" w:value="2025"/>
          </w:dropDownList>
        </w:sdtPr>
        <w:sdtContent>
          <w:r w:rsidR="002F1E0E">
            <w:t>2025</w:t>
          </w:r>
        </w:sdtContent>
      </w:sdt>
    </w:p>
    <w:p w14:paraId="3C83C666" w14:textId="77777777" w:rsidR="00881E07" w:rsidRDefault="0050064B" w:rsidP="00881E07">
      <w:r w:rsidRPr="00F70F20">
        <w:rPr>
          <w:noProof/>
          <w:lang w:eastAsia="en-AU"/>
        </w:rPr>
        <w:drawing>
          <wp:inline distT="0" distB="0" distL="0" distR="0" wp14:anchorId="35881D8A" wp14:editId="41E2105F">
            <wp:extent cx="1198800" cy="421200"/>
            <wp:effectExtent l="0" t="0" r="1905" b="0"/>
            <wp:docPr id="4" name="Picture 4" descr="untitled">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2" descr="untitled">
                      <a:hlinkClick r:id="rId14"/>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98800" cy="421200"/>
                    </a:xfrm>
                    <a:prstGeom prst="rect">
                      <a:avLst/>
                    </a:prstGeom>
                    <a:noFill/>
                  </pic:spPr>
                </pic:pic>
              </a:graphicData>
            </a:graphic>
          </wp:inline>
        </w:drawing>
      </w:r>
      <w:r w:rsidR="00881E07">
        <w:t xml:space="preserve"> </w:t>
      </w:r>
    </w:p>
    <w:p w14:paraId="265EFEFD" w14:textId="2CCD2569" w:rsidR="00881E07" w:rsidRDefault="00881E07" w:rsidP="00881E07">
      <w:r>
        <w:t xml:space="preserve">This work, </w:t>
      </w:r>
      <w:sdt>
        <w:sdtPr>
          <w:rPr>
            <w:i/>
            <w:iCs/>
          </w:rPr>
          <w:alias w:val="Title"/>
          <w:tag w:val=""/>
          <w:id w:val="1731569904"/>
          <w:placeholder>
            <w:docPart w:val="487FBD851FCC403582D343AFA8BA353C"/>
          </w:placeholder>
          <w:dataBinding w:prefixMappings="xmlns:ns0='http://purl.org/dc/elements/1.1/' xmlns:ns1='http://schemas.openxmlformats.org/package/2006/metadata/core-properties' " w:xpath="/ns1:coreProperties[1]/ns0:title[1]" w:storeItemID="{6C3C8BC8-F283-45AE-878A-BAB7291924A1}"/>
          <w:text/>
        </w:sdtPr>
        <w:sdtContent>
          <w:r w:rsidR="00F41E21">
            <w:rPr>
              <w:i/>
              <w:iCs/>
            </w:rPr>
            <w:t>Accident Towing Fees Review 2025</w:t>
          </w:r>
        </w:sdtContent>
      </w:sdt>
      <w:r>
        <w:t>, is licensed under a Creative Commons Attribution 4.0 licence [creativecommons.org/licen</w:t>
      </w:r>
      <w:r w:rsidR="00563AD8">
        <w:t>ses/by/4.0]. You are free to re-</w:t>
      </w:r>
      <w:r>
        <w:t>use the work under that licence, on the condition that you credit the Essential Services Commission as author, indicate if changes were made and comply with the other licence terms.</w:t>
      </w:r>
    </w:p>
    <w:p w14:paraId="2568F1C6" w14:textId="77777777" w:rsidR="00EA47A3" w:rsidRDefault="00881E07" w:rsidP="00881E07">
      <w:r>
        <w:t>The licence does not apply to any brand logo, images or photographs within the publication.</w:t>
      </w:r>
    </w:p>
    <w:bookmarkEnd w:id="4" w:displacedByCustomXml="next"/>
    <w:sdt>
      <w:sdtPr>
        <w:id w:val="1641840776"/>
        <w:lock w:val="sdtContentLocked"/>
        <w:placeholder>
          <w:docPart w:val="263E7BA8FD8B4D3FB49F8A47DF3F1C90"/>
        </w:placeholder>
        <w:showingPlcHdr/>
        <w:text/>
      </w:sdtPr>
      <w:sdtContent>
        <w:p w14:paraId="0AB42B78" w14:textId="77777777" w:rsidR="004309BF" w:rsidRDefault="004309BF" w:rsidP="004309BF">
          <w:r>
            <w:t xml:space="preserve">  </w:t>
          </w:r>
        </w:p>
      </w:sdtContent>
    </w:sdt>
    <w:p w14:paraId="3CF44E5F" w14:textId="77777777" w:rsidR="008F7087" w:rsidRDefault="008F7087" w:rsidP="00710792">
      <w:pPr>
        <w:pStyle w:val="Heading1"/>
        <w:sectPr w:rsidR="008F7087" w:rsidSect="00AD34D0">
          <w:headerReference w:type="even" r:id="rId16"/>
          <w:headerReference w:type="default" r:id="rId17"/>
          <w:footerReference w:type="default" r:id="rId18"/>
          <w:headerReference w:type="first" r:id="rId19"/>
          <w:type w:val="continuous"/>
          <w:pgSz w:w="11906" w:h="16838" w:code="9"/>
          <w:pgMar w:top="1134" w:right="1134" w:bottom="1134" w:left="1134" w:header="709" w:footer="692" w:gutter="0"/>
          <w:pgNumType w:fmt="lowerRoman" w:start="1"/>
          <w:cols w:space="708"/>
          <w:docGrid w:linePitch="360"/>
        </w:sectPr>
      </w:pPr>
      <w:bookmarkStart w:id="10" w:name="_Toc481138189"/>
      <w:bookmarkStart w:id="11" w:name="_Toc481138397"/>
    </w:p>
    <w:bookmarkEnd w:id="10"/>
    <w:bookmarkEnd w:id="11"/>
    <w:p w14:paraId="297940D4" w14:textId="77777777" w:rsidR="00EE2338" w:rsidRDefault="00EE2338" w:rsidP="00EE2338">
      <w:pPr>
        <w:pStyle w:val="TOCHeading"/>
        <w:rPr>
          <w:rStyle w:val="Hyperlink"/>
          <w:color w:val="ED8B00" w:themeColor="accent4"/>
          <w:u w:val="none"/>
        </w:rPr>
      </w:pPr>
    </w:p>
    <w:p w14:paraId="0A028457" w14:textId="499663A3" w:rsidR="00D3670C" w:rsidRPr="00394187" w:rsidRDefault="00D3670C" w:rsidP="00EE2338">
      <w:pPr>
        <w:pStyle w:val="TOCHeading"/>
        <w:rPr>
          <w:rStyle w:val="Hyperlink"/>
          <w:color w:val="CE0058" w:themeColor="accent2"/>
          <w:u w:val="none"/>
        </w:rPr>
      </w:pPr>
      <w:r w:rsidRPr="00394187">
        <w:rPr>
          <w:rStyle w:val="Hyperlink"/>
          <w:color w:val="CE0058" w:themeColor="accent2"/>
          <w:u w:val="none"/>
        </w:rPr>
        <w:lastRenderedPageBreak/>
        <w:t>Contents</w:t>
      </w:r>
    </w:p>
    <w:p w14:paraId="0CB6D9C6" w14:textId="4BC44757" w:rsidR="00410D92" w:rsidRDefault="00782E55">
      <w:pPr>
        <w:pStyle w:val="TOC1"/>
        <w:rPr>
          <w:rFonts w:eastAsiaTheme="minorEastAsia"/>
          <w:b w:val="0"/>
          <w:noProof/>
          <w:kern w:val="2"/>
          <w:sz w:val="24"/>
          <w:szCs w:val="24"/>
          <w:lang w:eastAsia="en-AU"/>
          <w14:ligatures w14:val="standardContextual"/>
        </w:rPr>
      </w:pPr>
      <w:r>
        <w:rPr>
          <w:bCs/>
          <w:noProof/>
        </w:rPr>
        <w:fldChar w:fldCharType="begin"/>
      </w:r>
      <w:r>
        <w:instrText xml:space="preserve"> TOC \h \z \t "Heading 1,1,Heading 2,3,Heading 3,5,Heading 1 numbered,2,Heading 2 numbered,4,Heading 3 numbered,6" </w:instrText>
      </w:r>
      <w:r>
        <w:rPr>
          <w:bCs/>
          <w:noProof/>
        </w:rPr>
        <w:fldChar w:fldCharType="separate"/>
      </w:r>
      <w:hyperlink w:anchor="_Toc199231531" w:history="1">
        <w:r w:rsidR="00410D92" w:rsidRPr="00B3214F">
          <w:rPr>
            <w:rStyle w:val="Hyperlink"/>
            <w:noProof/>
          </w:rPr>
          <w:t>Recommendations</w:t>
        </w:r>
        <w:r w:rsidR="00410D92">
          <w:rPr>
            <w:noProof/>
            <w:webHidden/>
          </w:rPr>
          <w:tab/>
        </w:r>
        <w:r w:rsidR="00410D92">
          <w:rPr>
            <w:noProof/>
            <w:webHidden/>
          </w:rPr>
          <w:fldChar w:fldCharType="begin"/>
        </w:r>
        <w:r w:rsidR="00410D92">
          <w:rPr>
            <w:noProof/>
            <w:webHidden/>
          </w:rPr>
          <w:instrText xml:space="preserve"> PAGEREF _Toc199231531 \h </w:instrText>
        </w:r>
        <w:r w:rsidR="00410D92">
          <w:rPr>
            <w:noProof/>
            <w:webHidden/>
          </w:rPr>
        </w:r>
        <w:r w:rsidR="00410D92">
          <w:rPr>
            <w:noProof/>
            <w:webHidden/>
          </w:rPr>
          <w:fldChar w:fldCharType="separate"/>
        </w:r>
        <w:r w:rsidR="00C45FA2">
          <w:rPr>
            <w:noProof/>
            <w:webHidden/>
          </w:rPr>
          <w:t>iv</w:t>
        </w:r>
        <w:r w:rsidR="00410D92">
          <w:rPr>
            <w:noProof/>
            <w:webHidden/>
          </w:rPr>
          <w:fldChar w:fldCharType="end"/>
        </w:r>
      </w:hyperlink>
    </w:p>
    <w:p w14:paraId="5DCD3467" w14:textId="799E910A" w:rsidR="00410D92" w:rsidRDefault="00410D92">
      <w:pPr>
        <w:pStyle w:val="TOC1"/>
        <w:rPr>
          <w:rFonts w:eastAsiaTheme="minorEastAsia"/>
          <w:b w:val="0"/>
          <w:noProof/>
          <w:kern w:val="2"/>
          <w:sz w:val="24"/>
          <w:szCs w:val="24"/>
          <w:lang w:eastAsia="en-AU"/>
          <w14:ligatures w14:val="standardContextual"/>
        </w:rPr>
      </w:pPr>
      <w:hyperlink w:anchor="_Toc199231532" w:history="1">
        <w:r w:rsidRPr="00B3214F">
          <w:rPr>
            <w:rStyle w:val="Hyperlink"/>
            <w:noProof/>
          </w:rPr>
          <w:t>Summary</w:t>
        </w:r>
        <w:r>
          <w:rPr>
            <w:noProof/>
            <w:webHidden/>
          </w:rPr>
          <w:tab/>
        </w:r>
        <w:r>
          <w:rPr>
            <w:noProof/>
            <w:webHidden/>
          </w:rPr>
          <w:fldChar w:fldCharType="begin"/>
        </w:r>
        <w:r>
          <w:rPr>
            <w:noProof/>
            <w:webHidden/>
          </w:rPr>
          <w:instrText xml:space="preserve"> PAGEREF _Toc199231532 \h </w:instrText>
        </w:r>
        <w:r>
          <w:rPr>
            <w:noProof/>
            <w:webHidden/>
          </w:rPr>
        </w:r>
        <w:r>
          <w:rPr>
            <w:noProof/>
            <w:webHidden/>
          </w:rPr>
          <w:fldChar w:fldCharType="separate"/>
        </w:r>
        <w:r w:rsidR="00C45FA2">
          <w:rPr>
            <w:noProof/>
            <w:webHidden/>
          </w:rPr>
          <w:t>vi</w:t>
        </w:r>
        <w:r>
          <w:rPr>
            <w:noProof/>
            <w:webHidden/>
          </w:rPr>
          <w:fldChar w:fldCharType="end"/>
        </w:r>
      </w:hyperlink>
    </w:p>
    <w:p w14:paraId="772D1558" w14:textId="3BCD2064" w:rsidR="00410D92" w:rsidRDefault="00410D92">
      <w:pPr>
        <w:pStyle w:val="TOC2"/>
        <w:rPr>
          <w:rFonts w:eastAsiaTheme="minorEastAsia"/>
          <w:b w:val="0"/>
          <w:bCs w:val="0"/>
          <w:kern w:val="2"/>
          <w:sz w:val="24"/>
          <w:szCs w:val="24"/>
          <w:lang w:eastAsia="en-AU"/>
          <w14:ligatures w14:val="standardContextual"/>
        </w:rPr>
      </w:pPr>
      <w:hyperlink w:anchor="_Toc199231541" w:history="1">
        <w:r w:rsidRPr="00B3214F">
          <w:rPr>
            <w:rStyle w:val="Hyperlink"/>
          </w:rPr>
          <w:t>1.</w:t>
        </w:r>
        <w:r>
          <w:rPr>
            <w:rFonts w:eastAsiaTheme="minorEastAsia"/>
            <w:b w:val="0"/>
            <w:bCs w:val="0"/>
            <w:kern w:val="2"/>
            <w:sz w:val="24"/>
            <w:szCs w:val="24"/>
            <w:lang w:eastAsia="en-AU"/>
            <w14:ligatures w14:val="standardContextual"/>
          </w:rPr>
          <w:tab/>
        </w:r>
        <w:r w:rsidRPr="00B3214F">
          <w:rPr>
            <w:rStyle w:val="Hyperlink"/>
          </w:rPr>
          <w:t>Our approach</w:t>
        </w:r>
        <w:r>
          <w:rPr>
            <w:webHidden/>
          </w:rPr>
          <w:tab/>
        </w:r>
        <w:r>
          <w:rPr>
            <w:webHidden/>
          </w:rPr>
          <w:fldChar w:fldCharType="begin"/>
        </w:r>
        <w:r>
          <w:rPr>
            <w:webHidden/>
          </w:rPr>
          <w:instrText xml:space="preserve"> PAGEREF _Toc199231541 \h </w:instrText>
        </w:r>
        <w:r>
          <w:rPr>
            <w:webHidden/>
          </w:rPr>
        </w:r>
        <w:r>
          <w:rPr>
            <w:webHidden/>
          </w:rPr>
          <w:fldChar w:fldCharType="separate"/>
        </w:r>
        <w:r w:rsidR="00C45FA2">
          <w:rPr>
            <w:webHidden/>
          </w:rPr>
          <w:t>1</w:t>
        </w:r>
        <w:r>
          <w:rPr>
            <w:webHidden/>
          </w:rPr>
          <w:fldChar w:fldCharType="end"/>
        </w:r>
      </w:hyperlink>
    </w:p>
    <w:p w14:paraId="1798D1B3" w14:textId="38E375E3" w:rsidR="00410D92" w:rsidRPr="00410D92" w:rsidRDefault="00410D92" w:rsidP="00410D92">
      <w:pPr>
        <w:pStyle w:val="TOC2"/>
        <w:rPr>
          <w:rStyle w:val="Hyperlink"/>
          <w:b w:val="0"/>
          <w:bCs w:val="0"/>
        </w:rPr>
      </w:pPr>
      <w:r w:rsidRPr="00410D92">
        <w:rPr>
          <w:rStyle w:val="Hyperlink"/>
          <w:b w:val="0"/>
          <w:bCs w:val="0"/>
          <w:color w:val="FFFFFF" w:themeColor="background1"/>
        </w:rPr>
        <w:tab/>
      </w:r>
      <w:hyperlink w:anchor="_Toc199231542" w:history="1">
        <w:r w:rsidRPr="00410D92">
          <w:rPr>
            <w:rStyle w:val="Hyperlink"/>
            <w:b w:val="0"/>
            <w:bCs w:val="0"/>
          </w:rPr>
          <w:t>We used benchmarking to assess fees</w:t>
        </w:r>
        <w:r w:rsidRPr="00410D92">
          <w:rPr>
            <w:rStyle w:val="Hyperlink"/>
            <w:b w:val="0"/>
            <w:bCs w:val="0"/>
            <w:webHidden/>
          </w:rPr>
          <w:tab/>
        </w:r>
        <w:r w:rsidRPr="00410D92">
          <w:rPr>
            <w:rStyle w:val="Hyperlink"/>
            <w:b w:val="0"/>
            <w:bCs w:val="0"/>
            <w:webHidden/>
          </w:rPr>
          <w:fldChar w:fldCharType="begin"/>
        </w:r>
        <w:r w:rsidRPr="00410D92">
          <w:rPr>
            <w:rStyle w:val="Hyperlink"/>
            <w:b w:val="0"/>
            <w:bCs w:val="0"/>
            <w:webHidden/>
          </w:rPr>
          <w:instrText xml:space="preserve"> PAGEREF _Toc199231542 \h </w:instrText>
        </w:r>
        <w:r w:rsidRPr="00410D92">
          <w:rPr>
            <w:rStyle w:val="Hyperlink"/>
            <w:b w:val="0"/>
            <w:bCs w:val="0"/>
            <w:webHidden/>
          </w:rPr>
        </w:r>
        <w:r w:rsidRPr="00410D92">
          <w:rPr>
            <w:rStyle w:val="Hyperlink"/>
            <w:b w:val="0"/>
            <w:bCs w:val="0"/>
            <w:webHidden/>
          </w:rPr>
          <w:fldChar w:fldCharType="separate"/>
        </w:r>
        <w:r w:rsidR="00C45FA2">
          <w:rPr>
            <w:rStyle w:val="Hyperlink"/>
            <w:b w:val="0"/>
            <w:bCs w:val="0"/>
            <w:webHidden/>
          </w:rPr>
          <w:t>1</w:t>
        </w:r>
        <w:r w:rsidRPr="00410D92">
          <w:rPr>
            <w:rStyle w:val="Hyperlink"/>
            <w:b w:val="0"/>
            <w:bCs w:val="0"/>
            <w:webHidden/>
          </w:rPr>
          <w:fldChar w:fldCharType="end"/>
        </w:r>
      </w:hyperlink>
    </w:p>
    <w:p w14:paraId="70BE4B9B" w14:textId="7127EFD3" w:rsidR="00410D92" w:rsidRPr="00410D92" w:rsidRDefault="00410D92" w:rsidP="00410D92">
      <w:pPr>
        <w:pStyle w:val="TOC2"/>
        <w:rPr>
          <w:rStyle w:val="Hyperlink"/>
          <w:b w:val="0"/>
          <w:bCs w:val="0"/>
        </w:rPr>
      </w:pPr>
      <w:r w:rsidRPr="00410D92">
        <w:rPr>
          <w:rStyle w:val="Hyperlink"/>
          <w:b w:val="0"/>
          <w:bCs w:val="0"/>
          <w:color w:val="FFFFFF" w:themeColor="background1"/>
        </w:rPr>
        <w:tab/>
      </w:r>
      <w:hyperlink w:anchor="_Toc199231546" w:history="1">
        <w:r w:rsidRPr="00410D92">
          <w:rPr>
            <w:rStyle w:val="Hyperlink"/>
            <w:b w:val="0"/>
            <w:bCs w:val="0"/>
          </w:rPr>
          <w:t>Recommendations informed by industry data and stakeholder views</w:t>
        </w:r>
        <w:r w:rsidRPr="00410D92">
          <w:rPr>
            <w:rStyle w:val="Hyperlink"/>
            <w:b w:val="0"/>
            <w:bCs w:val="0"/>
            <w:webHidden/>
          </w:rPr>
          <w:tab/>
        </w:r>
        <w:r w:rsidRPr="00410D92">
          <w:rPr>
            <w:rStyle w:val="Hyperlink"/>
            <w:b w:val="0"/>
            <w:bCs w:val="0"/>
            <w:webHidden/>
          </w:rPr>
          <w:fldChar w:fldCharType="begin"/>
        </w:r>
        <w:r w:rsidRPr="00410D92">
          <w:rPr>
            <w:rStyle w:val="Hyperlink"/>
            <w:b w:val="0"/>
            <w:bCs w:val="0"/>
            <w:webHidden/>
          </w:rPr>
          <w:instrText xml:space="preserve"> PAGEREF _Toc199231546 \h </w:instrText>
        </w:r>
        <w:r w:rsidRPr="00410D92">
          <w:rPr>
            <w:rStyle w:val="Hyperlink"/>
            <w:b w:val="0"/>
            <w:bCs w:val="0"/>
            <w:webHidden/>
          </w:rPr>
        </w:r>
        <w:r w:rsidRPr="00410D92">
          <w:rPr>
            <w:rStyle w:val="Hyperlink"/>
            <w:b w:val="0"/>
            <w:bCs w:val="0"/>
            <w:webHidden/>
          </w:rPr>
          <w:fldChar w:fldCharType="separate"/>
        </w:r>
        <w:r w:rsidR="00C45FA2">
          <w:rPr>
            <w:rStyle w:val="Hyperlink"/>
            <w:b w:val="0"/>
            <w:bCs w:val="0"/>
            <w:webHidden/>
          </w:rPr>
          <w:t>4</w:t>
        </w:r>
        <w:r w:rsidRPr="00410D92">
          <w:rPr>
            <w:rStyle w:val="Hyperlink"/>
            <w:b w:val="0"/>
            <w:bCs w:val="0"/>
            <w:webHidden/>
          </w:rPr>
          <w:fldChar w:fldCharType="end"/>
        </w:r>
      </w:hyperlink>
    </w:p>
    <w:p w14:paraId="4DECFC83" w14:textId="21C125C6" w:rsidR="00410D92" w:rsidRPr="00410D92" w:rsidRDefault="00410D92" w:rsidP="00410D92">
      <w:pPr>
        <w:pStyle w:val="TOC2"/>
        <w:rPr>
          <w:rFonts w:eastAsiaTheme="minorEastAsia"/>
          <w:b w:val="0"/>
          <w:bCs w:val="0"/>
          <w:kern w:val="2"/>
          <w:sz w:val="24"/>
          <w:szCs w:val="24"/>
          <w:lang w:eastAsia="en-AU"/>
          <w14:ligatures w14:val="standardContextual"/>
        </w:rPr>
      </w:pPr>
      <w:r w:rsidRPr="00410D92">
        <w:rPr>
          <w:rStyle w:val="Hyperlink"/>
          <w:b w:val="0"/>
          <w:bCs w:val="0"/>
          <w:color w:val="FFFFFF" w:themeColor="background1"/>
        </w:rPr>
        <w:tab/>
      </w:r>
      <w:hyperlink w:anchor="_Toc199231548" w:history="1">
        <w:r w:rsidRPr="00410D92">
          <w:rPr>
            <w:rStyle w:val="Hyperlink"/>
            <w:b w:val="0"/>
            <w:bCs w:val="0"/>
          </w:rPr>
          <w:t>Separate electric vehicle charges unnecessary</w:t>
        </w:r>
        <w:r w:rsidRPr="00410D92">
          <w:rPr>
            <w:rStyle w:val="Hyperlink"/>
            <w:b w:val="0"/>
            <w:bCs w:val="0"/>
            <w:webHidden/>
          </w:rPr>
          <w:tab/>
        </w:r>
        <w:r w:rsidRPr="00410D92">
          <w:rPr>
            <w:rStyle w:val="Hyperlink"/>
            <w:b w:val="0"/>
            <w:bCs w:val="0"/>
            <w:webHidden/>
          </w:rPr>
          <w:fldChar w:fldCharType="begin"/>
        </w:r>
        <w:r w:rsidRPr="00410D92">
          <w:rPr>
            <w:rStyle w:val="Hyperlink"/>
            <w:b w:val="0"/>
            <w:bCs w:val="0"/>
            <w:webHidden/>
          </w:rPr>
          <w:instrText xml:space="preserve"> PAGEREF _Toc199231548 \h </w:instrText>
        </w:r>
        <w:r w:rsidRPr="00410D92">
          <w:rPr>
            <w:rStyle w:val="Hyperlink"/>
            <w:b w:val="0"/>
            <w:bCs w:val="0"/>
            <w:webHidden/>
          </w:rPr>
        </w:r>
        <w:r w:rsidRPr="00410D92">
          <w:rPr>
            <w:rStyle w:val="Hyperlink"/>
            <w:b w:val="0"/>
            <w:bCs w:val="0"/>
            <w:webHidden/>
          </w:rPr>
          <w:fldChar w:fldCharType="separate"/>
        </w:r>
        <w:r w:rsidR="00C45FA2">
          <w:rPr>
            <w:rStyle w:val="Hyperlink"/>
            <w:b w:val="0"/>
            <w:bCs w:val="0"/>
            <w:webHidden/>
          </w:rPr>
          <w:t>5</w:t>
        </w:r>
        <w:r w:rsidRPr="00410D92">
          <w:rPr>
            <w:rStyle w:val="Hyperlink"/>
            <w:b w:val="0"/>
            <w:bCs w:val="0"/>
            <w:webHidden/>
          </w:rPr>
          <w:fldChar w:fldCharType="end"/>
        </w:r>
      </w:hyperlink>
    </w:p>
    <w:p w14:paraId="17A004A9" w14:textId="7A80D5D5" w:rsidR="00410D92" w:rsidRDefault="00410D92">
      <w:pPr>
        <w:pStyle w:val="TOC2"/>
        <w:rPr>
          <w:rFonts w:eastAsiaTheme="minorEastAsia"/>
          <w:b w:val="0"/>
          <w:bCs w:val="0"/>
          <w:kern w:val="2"/>
          <w:sz w:val="24"/>
          <w:szCs w:val="24"/>
          <w:lang w:eastAsia="en-AU"/>
          <w14:ligatures w14:val="standardContextual"/>
        </w:rPr>
      </w:pPr>
      <w:hyperlink w:anchor="_Toc199231549" w:history="1">
        <w:r w:rsidRPr="00B3214F">
          <w:rPr>
            <w:rStyle w:val="Hyperlink"/>
          </w:rPr>
          <w:t>2.</w:t>
        </w:r>
        <w:r>
          <w:rPr>
            <w:rFonts w:eastAsiaTheme="minorEastAsia"/>
            <w:b w:val="0"/>
            <w:bCs w:val="0"/>
            <w:kern w:val="2"/>
            <w:sz w:val="24"/>
            <w:szCs w:val="24"/>
            <w:lang w:eastAsia="en-AU"/>
            <w14:ligatures w14:val="standardContextual"/>
          </w:rPr>
          <w:tab/>
        </w:r>
        <w:r w:rsidRPr="00B3214F">
          <w:rPr>
            <w:rStyle w:val="Hyperlink"/>
          </w:rPr>
          <w:t>Regulated accident towing fees</w:t>
        </w:r>
        <w:r>
          <w:rPr>
            <w:webHidden/>
          </w:rPr>
          <w:tab/>
        </w:r>
        <w:r>
          <w:rPr>
            <w:webHidden/>
          </w:rPr>
          <w:fldChar w:fldCharType="begin"/>
        </w:r>
        <w:r>
          <w:rPr>
            <w:webHidden/>
          </w:rPr>
          <w:instrText xml:space="preserve"> PAGEREF _Toc199231549 \h </w:instrText>
        </w:r>
        <w:r>
          <w:rPr>
            <w:webHidden/>
          </w:rPr>
        </w:r>
        <w:r>
          <w:rPr>
            <w:webHidden/>
          </w:rPr>
          <w:fldChar w:fldCharType="separate"/>
        </w:r>
        <w:r w:rsidR="00C45FA2">
          <w:rPr>
            <w:webHidden/>
          </w:rPr>
          <w:t>7</w:t>
        </w:r>
        <w:r>
          <w:rPr>
            <w:webHidden/>
          </w:rPr>
          <w:fldChar w:fldCharType="end"/>
        </w:r>
      </w:hyperlink>
    </w:p>
    <w:p w14:paraId="70DF7D6A" w14:textId="7ABB0744" w:rsidR="00410D92" w:rsidRPr="00410D92" w:rsidRDefault="00410D92" w:rsidP="00410D92">
      <w:pPr>
        <w:pStyle w:val="TOC2"/>
        <w:rPr>
          <w:rStyle w:val="Hyperlink"/>
          <w:b w:val="0"/>
          <w:bCs w:val="0"/>
        </w:rPr>
      </w:pPr>
      <w:r w:rsidRPr="00410D92">
        <w:rPr>
          <w:rStyle w:val="Hyperlink"/>
          <w:b w:val="0"/>
          <w:bCs w:val="0"/>
          <w:color w:val="FFFFFF" w:themeColor="background1"/>
        </w:rPr>
        <w:tab/>
      </w:r>
      <w:hyperlink w:anchor="_Toc199231550" w:history="1">
        <w:r w:rsidRPr="00410D92">
          <w:rPr>
            <w:rStyle w:val="Hyperlink"/>
            <w:b w:val="0"/>
            <w:bCs w:val="0"/>
          </w:rPr>
          <w:t>Stakeholders’ views on current accident towing fees were mixed</w:t>
        </w:r>
        <w:r w:rsidRPr="00410D92">
          <w:rPr>
            <w:rStyle w:val="Hyperlink"/>
            <w:b w:val="0"/>
            <w:bCs w:val="0"/>
            <w:webHidden/>
          </w:rPr>
          <w:tab/>
        </w:r>
        <w:r w:rsidRPr="00410D92">
          <w:rPr>
            <w:rStyle w:val="Hyperlink"/>
            <w:b w:val="0"/>
            <w:bCs w:val="0"/>
            <w:webHidden/>
          </w:rPr>
          <w:fldChar w:fldCharType="begin"/>
        </w:r>
        <w:r w:rsidRPr="00410D92">
          <w:rPr>
            <w:rStyle w:val="Hyperlink"/>
            <w:b w:val="0"/>
            <w:bCs w:val="0"/>
            <w:webHidden/>
          </w:rPr>
          <w:instrText xml:space="preserve"> PAGEREF _Toc199231550 \h </w:instrText>
        </w:r>
        <w:r w:rsidRPr="00410D92">
          <w:rPr>
            <w:rStyle w:val="Hyperlink"/>
            <w:b w:val="0"/>
            <w:bCs w:val="0"/>
            <w:webHidden/>
          </w:rPr>
        </w:r>
        <w:r w:rsidRPr="00410D92">
          <w:rPr>
            <w:rStyle w:val="Hyperlink"/>
            <w:b w:val="0"/>
            <w:bCs w:val="0"/>
            <w:webHidden/>
          </w:rPr>
          <w:fldChar w:fldCharType="separate"/>
        </w:r>
        <w:r w:rsidR="00C45FA2">
          <w:rPr>
            <w:rStyle w:val="Hyperlink"/>
            <w:b w:val="0"/>
            <w:bCs w:val="0"/>
            <w:webHidden/>
          </w:rPr>
          <w:t>7</w:t>
        </w:r>
        <w:r w:rsidRPr="00410D92">
          <w:rPr>
            <w:rStyle w:val="Hyperlink"/>
            <w:b w:val="0"/>
            <w:bCs w:val="0"/>
            <w:webHidden/>
          </w:rPr>
          <w:fldChar w:fldCharType="end"/>
        </w:r>
      </w:hyperlink>
    </w:p>
    <w:p w14:paraId="4C7880D9" w14:textId="7E5E7792" w:rsidR="00410D92" w:rsidRPr="00410D92" w:rsidRDefault="00410D92" w:rsidP="00410D92">
      <w:pPr>
        <w:pStyle w:val="TOC2"/>
        <w:rPr>
          <w:rStyle w:val="Hyperlink"/>
          <w:b w:val="0"/>
          <w:bCs w:val="0"/>
        </w:rPr>
      </w:pPr>
      <w:r w:rsidRPr="00410D92">
        <w:rPr>
          <w:rStyle w:val="Hyperlink"/>
          <w:b w:val="0"/>
          <w:bCs w:val="0"/>
          <w:color w:val="FFFFFF" w:themeColor="background1"/>
        </w:rPr>
        <w:tab/>
      </w:r>
      <w:hyperlink w:anchor="_Toc199231553" w:history="1">
        <w:r w:rsidRPr="00410D92">
          <w:rPr>
            <w:rStyle w:val="Hyperlink"/>
            <w:b w:val="0"/>
            <w:bCs w:val="0"/>
          </w:rPr>
          <w:t>Benchmarking indicates current accident towing fees are appropriate</w:t>
        </w:r>
        <w:r w:rsidRPr="00410D92">
          <w:rPr>
            <w:rStyle w:val="Hyperlink"/>
            <w:b w:val="0"/>
            <w:bCs w:val="0"/>
            <w:webHidden/>
          </w:rPr>
          <w:tab/>
        </w:r>
        <w:r w:rsidRPr="00410D92">
          <w:rPr>
            <w:rStyle w:val="Hyperlink"/>
            <w:b w:val="0"/>
            <w:bCs w:val="0"/>
            <w:webHidden/>
          </w:rPr>
          <w:fldChar w:fldCharType="begin"/>
        </w:r>
        <w:r w:rsidRPr="00410D92">
          <w:rPr>
            <w:rStyle w:val="Hyperlink"/>
            <w:b w:val="0"/>
            <w:bCs w:val="0"/>
            <w:webHidden/>
          </w:rPr>
          <w:instrText xml:space="preserve"> PAGEREF _Toc199231553 \h </w:instrText>
        </w:r>
        <w:r w:rsidRPr="00410D92">
          <w:rPr>
            <w:rStyle w:val="Hyperlink"/>
            <w:b w:val="0"/>
            <w:bCs w:val="0"/>
            <w:webHidden/>
          </w:rPr>
        </w:r>
        <w:r w:rsidRPr="00410D92">
          <w:rPr>
            <w:rStyle w:val="Hyperlink"/>
            <w:b w:val="0"/>
            <w:bCs w:val="0"/>
            <w:webHidden/>
          </w:rPr>
          <w:fldChar w:fldCharType="separate"/>
        </w:r>
        <w:r w:rsidR="00C45FA2">
          <w:rPr>
            <w:rStyle w:val="Hyperlink"/>
            <w:b w:val="0"/>
            <w:bCs w:val="0"/>
            <w:webHidden/>
          </w:rPr>
          <w:t>8</w:t>
        </w:r>
        <w:r w:rsidRPr="00410D92">
          <w:rPr>
            <w:rStyle w:val="Hyperlink"/>
            <w:b w:val="0"/>
            <w:bCs w:val="0"/>
            <w:webHidden/>
          </w:rPr>
          <w:fldChar w:fldCharType="end"/>
        </w:r>
      </w:hyperlink>
    </w:p>
    <w:p w14:paraId="2817BD47" w14:textId="07A52928" w:rsidR="00410D92" w:rsidRPr="00410D92" w:rsidRDefault="00410D92" w:rsidP="00410D92">
      <w:pPr>
        <w:pStyle w:val="TOC2"/>
        <w:rPr>
          <w:rFonts w:eastAsiaTheme="minorEastAsia"/>
          <w:b w:val="0"/>
          <w:bCs w:val="0"/>
          <w:kern w:val="2"/>
          <w:sz w:val="24"/>
          <w:szCs w:val="24"/>
          <w:lang w:eastAsia="en-AU"/>
          <w14:ligatures w14:val="standardContextual"/>
        </w:rPr>
      </w:pPr>
      <w:r w:rsidRPr="00410D92">
        <w:rPr>
          <w:rStyle w:val="Hyperlink"/>
          <w:b w:val="0"/>
          <w:bCs w:val="0"/>
          <w:color w:val="FFFFFF" w:themeColor="background1"/>
        </w:rPr>
        <w:tab/>
      </w:r>
      <w:hyperlink w:anchor="_Toc199231556" w:history="1">
        <w:r w:rsidRPr="00410D92">
          <w:rPr>
            <w:rStyle w:val="Hyperlink"/>
            <w:b w:val="0"/>
            <w:bCs w:val="0"/>
          </w:rPr>
          <w:t>We recommend no change to accident towing fees beyond indexation</w:t>
        </w:r>
        <w:r w:rsidRPr="00410D92">
          <w:rPr>
            <w:rStyle w:val="Hyperlink"/>
            <w:b w:val="0"/>
            <w:bCs w:val="0"/>
            <w:webHidden/>
          </w:rPr>
          <w:tab/>
        </w:r>
        <w:r w:rsidRPr="00410D92">
          <w:rPr>
            <w:rStyle w:val="Hyperlink"/>
            <w:b w:val="0"/>
            <w:bCs w:val="0"/>
            <w:webHidden/>
          </w:rPr>
          <w:fldChar w:fldCharType="begin"/>
        </w:r>
        <w:r w:rsidRPr="00410D92">
          <w:rPr>
            <w:rStyle w:val="Hyperlink"/>
            <w:b w:val="0"/>
            <w:bCs w:val="0"/>
            <w:webHidden/>
          </w:rPr>
          <w:instrText xml:space="preserve"> PAGEREF _Toc199231556 \h </w:instrText>
        </w:r>
        <w:r w:rsidRPr="00410D92">
          <w:rPr>
            <w:rStyle w:val="Hyperlink"/>
            <w:b w:val="0"/>
            <w:bCs w:val="0"/>
            <w:webHidden/>
          </w:rPr>
        </w:r>
        <w:r w:rsidRPr="00410D92">
          <w:rPr>
            <w:rStyle w:val="Hyperlink"/>
            <w:b w:val="0"/>
            <w:bCs w:val="0"/>
            <w:webHidden/>
          </w:rPr>
          <w:fldChar w:fldCharType="separate"/>
        </w:r>
        <w:r w:rsidR="00C45FA2">
          <w:rPr>
            <w:rStyle w:val="Hyperlink"/>
            <w:b w:val="0"/>
            <w:bCs w:val="0"/>
            <w:webHidden/>
          </w:rPr>
          <w:t>14</w:t>
        </w:r>
        <w:r w:rsidRPr="00410D92">
          <w:rPr>
            <w:rStyle w:val="Hyperlink"/>
            <w:b w:val="0"/>
            <w:bCs w:val="0"/>
            <w:webHidden/>
          </w:rPr>
          <w:fldChar w:fldCharType="end"/>
        </w:r>
      </w:hyperlink>
    </w:p>
    <w:p w14:paraId="31C50A16" w14:textId="7A7D4455" w:rsidR="00410D92" w:rsidRDefault="00410D92">
      <w:pPr>
        <w:pStyle w:val="TOC2"/>
        <w:rPr>
          <w:rFonts w:eastAsiaTheme="minorEastAsia"/>
          <w:b w:val="0"/>
          <w:bCs w:val="0"/>
          <w:kern w:val="2"/>
          <w:sz w:val="24"/>
          <w:szCs w:val="24"/>
          <w:lang w:eastAsia="en-AU"/>
          <w14:ligatures w14:val="standardContextual"/>
        </w:rPr>
      </w:pPr>
      <w:hyperlink w:anchor="_Toc199231557" w:history="1">
        <w:r w:rsidRPr="00B3214F">
          <w:rPr>
            <w:rStyle w:val="Hyperlink"/>
          </w:rPr>
          <w:t>3.</w:t>
        </w:r>
        <w:r>
          <w:rPr>
            <w:rFonts w:eastAsiaTheme="minorEastAsia"/>
            <w:b w:val="0"/>
            <w:bCs w:val="0"/>
            <w:kern w:val="2"/>
            <w:sz w:val="24"/>
            <w:szCs w:val="24"/>
            <w:lang w:eastAsia="en-AU"/>
            <w14:ligatures w14:val="standardContextual"/>
          </w:rPr>
          <w:tab/>
        </w:r>
        <w:r w:rsidRPr="00B3214F">
          <w:rPr>
            <w:rStyle w:val="Hyperlink"/>
          </w:rPr>
          <w:t>Regulated storage fees</w:t>
        </w:r>
        <w:r>
          <w:rPr>
            <w:webHidden/>
          </w:rPr>
          <w:tab/>
        </w:r>
        <w:r>
          <w:rPr>
            <w:webHidden/>
          </w:rPr>
          <w:fldChar w:fldCharType="begin"/>
        </w:r>
        <w:r>
          <w:rPr>
            <w:webHidden/>
          </w:rPr>
          <w:instrText xml:space="preserve"> PAGEREF _Toc199231557 \h </w:instrText>
        </w:r>
        <w:r>
          <w:rPr>
            <w:webHidden/>
          </w:rPr>
        </w:r>
        <w:r>
          <w:rPr>
            <w:webHidden/>
          </w:rPr>
          <w:fldChar w:fldCharType="separate"/>
        </w:r>
        <w:r w:rsidR="00C45FA2">
          <w:rPr>
            <w:webHidden/>
          </w:rPr>
          <w:t>15</w:t>
        </w:r>
        <w:r>
          <w:rPr>
            <w:webHidden/>
          </w:rPr>
          <w:fldChar w:fldCharType="end"/>
        </w:r>
      </w:hyperlink>
    </w:p>
    <w:p w14:paraId="6F20B7CB" w14:textId="50F8491F" w:rsidR="00410D92" w:rsidRPr="00410D92" w:rsidRDefault="00410D92" w:rsidP="00410D92">
      <w:pPr>
        <w:pStyle w:val="TOC2"/>
        <w:rPr>
          <w:rStyle w:val="Hyperlink"/>
          <w:b w:val="0"/>
          <w:bCs w:val="0"/>
        </w:rPr>
      </w:pPr>
      <w:r w:rsidRPr="00410D92">
        <w:rPr>
          <w:rStyle w:val="Hyperlink"/>
          <w:b w:val="0"/>
          <w:bCs w:val="0"/>
          <w:color w:val="FFFFFF" w:themeColor="background1"/>
        </w:rPr>
        <w:tab/>
      </w:r>
      <w:hyperlink w:anchor="_Toc199231558" w:history="1">
        <w:r w:rsidRPr="00410D92">
          <w:rPr>
            <w:rStyle w:val="Hyperlink"/>
            <w:b w:val="0"/>
            <w:bCs w:val="0"/>
          </w:rPr>
          <w:t>Stakeholders’ views on current storage fees were mixed</w:t>
        </w:r>
        <w:r w:rsidRPr="00410D92">
          <w:rPr>
            <w:rStyle w:val="Hyperlink"/>
            <w:b w:val="0"/>
            <w:bCs w:val="0"/>
            <w:webHidden/>
          </w:rPr>
          <w:tab/>
        </w:r>
        <w:r w:rsidRPr="00410D92">
          <w:rPr>
            <w:rStyle w:val="Hyperlink"/>
            <w:b w:val="0"/>
            <w:bCs w:val="0"/>
            <w:webHidden/>
          </w:rPr>
          <w:fldChar w:fldCharType="begin"/>
        </w:r>
        <w:r w:rsidRPr="00410D92">
          <w:rPr>
            <w:rStyle w:val="Hyperlink"/>
            <w:b w:val="0"/>
            <w:bCs w:val="0"/>
            <w:webHidden/>
          </w:rPr>
          <w:instrText xml:space="preserve"> PAGEREF _Toc199231558 \h </w:instrText>
        </w:r>
        <w:r w:rsidRPr="00410D92">
          <w:rPr>
            <w:rStyle w:val="Hyperlink"/>
            <w:b w:val="0"/>
            <w:bCs w:val="0"/>
            <w:webHidden/>
          </w:rPr>
        </w:r>
        <w:r w:rsidRPr="00410D92">
          <w:rPr>
            <w:rStyle w:val="Hyperlink"/>
            <w:b w:val="0"/>
            <w:bCs w:val="0"/>
            <w:webHidden/>
          </w:rPr>
          <w:fldChar w:fldCharType="separate"/>
        </w:r>
        <w:r w:rsidR="00C45FA2">
          <w:rPr>
            <w:rStyle w:val="Hyperlink"/>
            <w:b w:val="0"/>
            <w:bCs w:val="0"/>
            <w:webHidden/>
          </w:rPr>
          <w:t>15</w:t>
        </w:r>
        <w:r w:rsidRPr="00410D92">
          <w:rPr>
            <w:rStyle w:val="Hyperlink"/>
            <w:b w:val="0"/>
            <w:bCs w:val="0"/>
            <w:webHidden/>
          </w:rPr>
          <w:fldChar w:fldCharType="end"/>
        </w:r>
      </w:hyperlink>
    </w:p>
    <w:p w14:paraId="5537E3BA" w14:textId="4F46E9E5" w:rsidR="00410D92" w:rsidRPr="00410D92" w:rsidRDefault="00410D92" w:rsidP="00410D92">
      <w:pPr>
        <w:pStyle w:val="TOC2"/>
        <w:rPr>
          <w:rStyle w:val="Hyperlink"/>
          <w:b w:val="0"/>
          <w:bCs w:val="0"/>
        </w:rPr>
      </w:pPr>
      <w:r w:rsidRPr="00410D92">
        <w:rPr>
          <w:rStyle w:val="Hyperlink"/>
          <w:b w:val="0"/>
          <w:bCs w:val="0"/>
          <w:color w:val="FFFFFF" w:themeColor="background1"/>
        </w:rPr>
        <w:tab/>
      </w:r>
      <w:hyperlink w:anchor="_Toc199231559" w:history="1">
        <w:r w:rsidRPr="00410D92">
          <w:rPr>
            <w:rStyle w:val="Hyperlink"/>
            <w:b w:val="0"/>
            <w:bCs w:val="0"/>
          </w:rPr>
          <w:t>Benchmarking indicates current storage fees are appropriate</w:t>
        </w:r>
        <w:r w:rsidRPr="00410D92">
          <w:rPr>
            <w:rStyle w:val="Hyperlink"/>
            <w:b w:val="0"/>
            <w:bCs w:val="0"/>
            <w:webHidden/>
          </w:rPr>
          <w:tab/>
        </w:r>
        <w:r w:rsidRPr="00410D92">
          <w:rPr>
            <w:rStyle w:val="Hyperlink"/>
            <w:b w:val="0"/>
            <w:bCs w:val="0"/>
            <w:webHidden/>
          </w:rPr>
          <w:fldChar w:fldCharType="begin"/>
        </w:r>
        <w:r w:rsidRPr="00410D92">
          <w:rPr>
            <w:rStyle w:val="Hyperlink"/>
            <w:b w:val="0"/>
            <w:bCs w:val="0"/>
            <w:webHidden/>
          </w:rPr>
          <w:instrText xml:space="preserve"> PAGEREF _Toc199231559 \h </w:instrText>
        </w:r>
        <w:r w:rsidRPr="00410D92">
          <w:rPr>
            <w:rStyle w:val="Hyperlink"/>
            <w:b w:val="0"/>
            <w:bCs w:val="0"/>
            <w:webHidden/>
          </w:rPr>
        </w:r>
        <w:r w:rsidRPr="00410D92">
          <w:rPr>
            <w:rStyle w:val="Hyperlink"/>
            <w:b w:val="0"/>
            <w:bCs w:val="0"/>
            <w:webHidden/>
          </w:rPr>
          <w:fldChar w:fldCharType="separate"/>
        </w:r>
        <w:r w:rsidR="00C45FA2">
          <w:rPr>
            <w:rStyle w:val="Hyperlink"/>
            <w:b w:val="0"/>
            <w:bCs w:val="0"/>
            <w:webHidden/>
          </w:rPr>
          <w:t>16</w:t>
        </w:r>
        <w:r w:rsidRPr="00410D92">
          <w:rPr>
            <w:rStyle w:val="Hyperlink"/>
            <w:b w:val="0"/>
            <w:bCs w:val="0"/>
            <w:webHidden/>
          </w:rPr>
          <w:fldChar w:fldCharType="end"/>
        </w:r>
      </w:hyperlink>
    </w:p>
    <w:p w14:paraId="33BF7338" w14:textId="0ACCEC93" w:rsidR="00410D92" w:rsidRPr="00410D92" w:rsidRDefault="00410D92" w:rsidP="00410D92">
      <w:pPr>
        <w:pStyle w:val="TOC2"/>
        <w:rPr>
          <w:rStyle w:val="Hyperlink"/>
          <w:b w:val="0"/>
          <w:bCs w:val="0"/>
        </w:rPr>
      </w:pPr>
      <w:r w:rsidRPr="00410D92">
        <w:rPr>
          <w:rStyle w:val="Hyperlink"/>
          <w:b w:val="0"/>
          <w:bCs w:val="0"/>
          <w:color w:val="FFFFFF" w:themeColor="background1"/>
        </w:rPr>
        <w:tab/>
      </w:r>
      <w:hyperlink w:anchor="_Toc199231563" w:history="1">
        <w:r w:rsidRPr="00410D92">
          <w:rPr>
            <w:rStyle w:val="Hyperlink"/>
            <w:b w:val="0"/>
            <w:bCs w:val="0"/>
          </w:rPr>
          <w:t>We recommend no change to storage fees beyond indexation</w:t>
        </w:r>
        <w:r w:rsidRPr="00410D92">
          <w:rPr>
            <w:rStyle w:val="Hyperlink"/>
            <w:b w:val="0"/>
            <w:bCs w:val="0"/>
            <w:webHidden/>
          </w:rPr>
          <w:tab/>
        </w:r>
        <w:r w:rsidRPr="00410D92">
          <w:rPr>
            <w:rStyle w:val="Hyperlink"/>
            <w:b w:val="0"/>
            <w:bCs w:val="0"/>
            <w:webHidden/>
          </w:rPr>
          <w:fldChar w:fldCharType="begin"/>
        </w:r>
        <w:r w:rsidRPr="00410D92">
          <w:rPr>
            <w:rStyle w:val="Hyperlink"/>
            <w:b w:val="0"/>
            <w:bCs w:val="0"/>
            <w:webHidden/>
          </w:rPr>
          <w:instrText xml:space="preserve"> PAGEREF _Toc199231563 \h </w:instrText>
        </w:r>
        <w:r w:rsidRPr="00410D92">
          <w:rPr>
            <w:rStyle w:val="Hyperlink"/>
            <w:b w:val="0"/>
            <w:bCs w:val="0"/>
            <w:webHidden/>
          </w:rPr>
        </w:r>
        <w:r w:rsidRPr="00410D92">
          <w:rPr>
            <w:rStyle w:val="Hyperlink"/>
            <w:b w:val="0"/>
            <w:bCs w:val="0"/>
            <w:webHidden/>
          </w:rPr>
          <w:fldChar w:fldCharType="separate"/>
        </w:r>
        <w:r w:rsidR="00C45FA2">
          <w:rPr>
            <w:rStyle w:val="Hyperlink"/>
            <w:b w:val="0"/>
            <w:bCs w:val="0"/>
            <w:webHidden/>
          </w:rPr>
          <w:t>19</w:t>
        </w:r>
        <w:r w:rsidRPr="00410D92">
          <w:rPr>
            <w:rStyle w:val="Hyperlink"/>
            <w:b w:val="0"/>
            <w:bCs w:val="0"/>
            <w:webHidden/>
          </w:rPr>
          <w:fldChar w:fldCharType="end"/>
        </w:r>
      </w:hyperlink>
    </w:p>
    <w:p w14:paraId="52B3FAFE" w14:textId="19127AC1" w:rsidR="00410D92" w:rsidRDefault="00410D92">
      <w:pPr>
        <w:pStyle w:val="TOC2"/>
        <w:rPr>
          <w:rFonts w:eastAsiaTheme="minorEastAsia"/>
          <w:b w:val="0"/>
          <w:bCs w:val="0"/>
          <w:kern w:val="2"/>
          <w:sz w:val="24"/>
          <w:szCs w:val="24"/>
          <w:lang w:eastAsia="en-AU"/>
          <w14:ligatures w14:val="standardContextual"/>
        </w:rPr>
      </w:pPr>
      <w:hyperlink w:anchor="_Toc199231564" w:history="1">
        <w:r w:rsidRPr="00B3214F">
          <w:rPr>
            <w:rStyle w:val="Hyperlink"/>
          </w:rPr>
          <w:t>4.</w:t>
        </w:r>
        <w:r>
          <w:rPr>
            <w:rFonts w:eastAsiaTheme="minorEastAsia"/>
            <w:b w:val="0"/>
            <w:bCs w:val="0"/>
            <w:kern w:val="2"/>
            <w:sz w:val="24"/>
            <w:szCs w:val="24"/>
            <w:lang w:eastAsia="en-AU"/>
            <w14:ligatures w14:val="standardContextual"/>
          </w:rPr>
          <w:tab/>
        </w:r>
        <w:r w:rsidRPr="00B3214F">
          <w:rPr>
            <w:rStyle w:val="Hyperlink"/>
          </w:rPr>
          <w:t>Productivity adjustment</w:t>
        </w:r>
        <w:r>
          <w:rPr>
            <w:webHidden/>
          </w:rPr>
          <w:tab/>
        </w:r>
        <w:r>
          <w:rPr>
            <w:webHidden/>
          </w:rPr>
          <w:fldChar w:fldCharType="begin"/>
        </w:r>
        <w:r>
          <w:rPr>
            <w:webHidden/>
          </w:rPr>
          <w:instrText xml:space="preserve"> PAGEREF _Toc199231564 \h </w:instrText>
        </w:r>
        <w:r>
          <w:rPr>
            <w:webHidden/>
          </w:rPr>
        </w:r>
        <w:r>
          <w:rPr>
            <w:webHidden/>
          </w:rPr>
          <w:fldChar w:fldCharType="separate"/>
        </w:r>
        <w:r w:rsidR="00C45FA2">
          <w:rPr>
            <w:webHidden/>
          </w:rPr>
          <w:t>20</w:t>
        </w:r>
        <w:r>
          <w:rPr>
            <w:webHidden/>
          </w:rPr>
          <w:fldChar w:fldCharType="end"/>
        </w:r>
      </w:hyperlink>
    </w:p>
    <w:p w14:paraId="60A910A5" w14:textId="5DF47664" w:rsidR="00410D92" w:rsidRPr="00410D92" w:rsidRDefault="00410D92" w:rsidP="00410D92">
      <w:pPr>
        <w:pStyle w:val="TOC2"/>
        <w:rPr>
          <w:rStyle w:val="Hyperlink"/>
          <w:b w:val="0"/>
          <w:bCs w:val="0"/>
        </w:rPr>
      </w:pPr>
      <w:r w:rsidRPr="00410D92">
        <w:rPr>
          <w:rStyle w:val="Hyperlink"/>
          <w:b w:val="0"/>
          <w:bCs w:val="0"/>
          <w:color w:val="FFFFFF" w:themeColor="background1"/>
        </w:rPr>
        <w:tab/>
      </w:r>
      <w:hyperlink w:anchor="_Toc199231566" w:history="1">
        <w:r w:rsidRPr="00410D92">
          <w:rPr>
            <w:rStyle w:val="Hyperlink"/>
            <w:b w:val="0"/>
            <w:bCs w:val="0"/>
          </w:rPr>
          <w:t>The VACC disagrees with using a productivity adjustment factor</w:t>
        </w:r>
        <w:r w:rsidRPr="00410D92">
          <w:rPr>
            <w:rStyle w:val="Hyperlink"/>
            <w:b w:val="0"/>
            <w:bCs w:val="0"/>
            <w:webHidden/>
          </w:rPr>
          <w:tab/>
        </w:r>
        <w:r w:rsidRPr="00410D92">
          <w:rPr>
            <w:rStyle w:val="Hyperlink"/>
            <w:b w:val="0"/>
            <w:bCs w:val="0"/>
            <w:webHidden/>
          </w:rPr>
          <w:fldChar w:fldCharType="begin"/>
        </w:r>
        <w:r w:rsidRPr="00410D92">
          <w:rPr>
            <w:rStyle w:val="Hyperlink"/>
            <w:b w:val="0"/>
            <w:bCs w:val="0"/>
            <w:webHidden/>
          </w:rPr>
          <w:instrText xml:space="preserve"> PAGEREF _Toc199231566 \h </w:instrText>
        </w:r>
        <w:r w:rsidRPr="00410D92">
          <w:rPr>
            <w:rStyle w:val="Hyperlink"/>
            <w:b w:val="0"/>
            <w:bCs w:val="0"/>
            <w:webHidden/>
          </w:rPr>
        </w:r>
        <w:r w:rsidRPr="00410D92">
          <w:rPr>
            <w:rStyle w:val="Hyperlink"/>
            <w:b w:val="0"/>
            <w:bCs w:val="0"/>
            <w:webHidden/>
          </w:rPr>
          <w:fldChar w:fldCharType="separate"/>
        </w:r>
        <w:r w:rsidR="00C45FA2">
          <w:rPr>
            <w:rStyle w:val="Hyperlink"/>
            <w:b w:val="0"/>
            <w:bCs w:val="0"/>
            <w:webHidden/>
          </w:rPr>
          <w:t>21</w:t>
        </w:r>
        <w:r w:rsidRPr="00410D92">
          <w:rPr>
            <w:rStyle w:val="Hyperlink"/>
            <w:b w:val="0"/>
            <w:bCs w:val="0"/>
            <w:webHidden/>
          </w:rPr>
          <w:fldChar w:fldCharType="end"/>
        </w:r>
      </w:hyperlink>
    </w:p>
    <w:p w14:paraId="50F071F1" w14:textId="68B7DFB8" w:rsidR="00410D92" w:rsidRPr="00410D92" w:rsidRDefault="00410D92" w:rsidP="00410D92">
      <w:pPr>
        <w:pStyle w:val="TOC2"/>
        <w:rPr>
          <w:rStyle w:val="Hyperlink"/>
          <w:b w:val="0"/>
          <w:bCs w:val="0"/>
        </w:rPr>
      </w:pPr>
      <w:r w:rsidRPr="00410D92">
        <w:rPr>
          <w:rStyle w:val="Hyperlink"/>
          <w:b w:val="0"/>
          <w:bCs w:val="0"/>
          <w:color w:val="FFFFFF" w:themeColor="background1"/>
        </w:rPr>
        <w:tab/>
      </w:r>
      <w:hyperlink w:anchor="_Toc199231567" w:history="1">
        <w:r w:rsidRPr="00410D92">
          <w:rPr>
            <w:rStyle w:val="Hyperlink"/>
            <w:b w:val="0"/>
            <w:bCs w:val="0"/>
          </w:rPr>
          <w:t>Recent data suggests current productivity factor still appropriate</w:t>
        </w:r>
        <w:r w:rsidRPr="00410D92">
          <w:rPr>
            <w:rStyle w:val="Hyperlink"/>
            <w:b w:val="0"/>
            <w:bCs w:val="0"/>
            <w:webHidden/>
          </w:rPr>
          <w:tab/>
        </w:r>
        <w:r w:rsidRPr="00410D92">
          <w:rPr>
            <w:rStyle w:val="Hyperlink"/>
            <w:b w:val="0"/>
            <w:bCs w:val="0"/>
            <w:webHidden/>
          </w:rPr>
          <w:fldChar w:fldCharType="begin"/>
        </w:r>
        <w:r w:rsidRPr="00410D92">
          <w:rPr>
            <w:rStyle w:val="Hyperlink"/>
            <w:b w:val="0"/>
            <w:bCs w:val="0"/>
            <w:webHidden/>
          </w:rPr>
          <w:instrText xml:space="preserve"> PAGEREF _Toc199231567 \h </w:instrText>
        </w:r>
        <w:r w:rsidRPr="00410D92">
          <w:rPr>
            <w:rStyle w:val="Hyperlink"/>
            <w:b w:val="0"/>
            <w:bCs w:val="0"/>
            <w:webHidden/>
          </w:rPr>
        </w:r>
        <w:r w:rsidRPr="00410D92">
          <w:rPr>
            <w:rStyle w:val="Hyperlink"/>
            <w:b w:val="0"/>
            <w:bCs w:val="0"/>
            <w:webHidden/>
          </w:rPr>
          <w:fldChar w:fldCharType="separate"/>
        </w:r>
        <w:r w:rsidR="00C45FA2">
          <w:rPr>
            <w:rStyle w:val="Hyperlink"/>
            <w:b w:val="0"/>
            <w:bCs w:val="0"/>
            <w:webHidden/>
          </w:rPr>
          <w:t>22</w:t>
        </w:r>
        <w:r w:rsidRPr="00410D92">
          <w:rPr>
            <w:rStyle w:val="Hyperlink"/>
            <w:b w:val="0"/>
            <w:bCs w:val="0"/>
            <w:webHidden/>
          </w:rPr>
          <w:fldChar w:fldCharType="end"/>
        </w:r>
      </w:hyperlink>
    </w:p>
    <w:p w14:paraId="4602A4D4" w14:textId="677F0E1C" w:rsidR="00410D92" w:rsidRPr="00410D92" w:rsidRDefault="00410D92" w:rsidP="00410D92">
      <w:pPr>
        <w:pStyle w:val="TOC2"/>
        <w:rPr>
          <w:rStyle w:val="Hyperlink"/>
          <w:b w:val="0"/>
          <w:bCs w:val="0"/>
        </w:rPr>
      </w:pPr>
      <w:r w:rsidRPr="00410D92">
        <w:rPr>
          <w:rStyle w:val="Hyperlink"/>
          <w:b w:val="0"/>
          <w:bCs w:val="0"/>
          <w:color w:val="FFFFFF" w:themeColor="background1"/>
        </w:rPr>
        <w:tab/>
      </w:r>
      <w:hyperlink w:anchor="_Toc199231570" w:history="1">
        <w:r w:rsidRPr="00410D92">
          <w:rPr>
            <w:rStyle w:val="Hyperlink"/>
            <w:b w:val="0"/>
            <w:bCs w:val="0"/>
          </w:rPr>
          <w:t>Productivity factor had no impact because fees cannot decrease</w:t>
        </w:r>
        <w:r w:rsidRPr="00410D92">
          <w:rPr>
            <w:rStyle w:val="Hyperlink"/>
            <w:b w:val="0"/>
            <w:bCs w:val="0"/>
            <w:webHidden/>
          </w:rPr>
          <w:tab/>
        </w:r>
        <w:r w:rsidRPr="00410D92">
          <w:rPr>
            <w:rStyle w:val="Hyperlink"/>
            <w:b w:val="0"/>
            <w:bCs w:val="0"/>
            <w:webHidden/>
          </w:rPr>
          <w:fldChar w:fldCharType="begin"/>
        </w:r>
        <w:r w:rsidRPr="00410D92">
          <w:rPr>
            <w:rStyle w:val="Hyperlink"/>
            <w:b w:val="0"/>
            <w:bCs w:val="0"/>
            <w:webHidden/>
          </w:rPr>
          <w:instrText xml:space="preserve"> PAGEREF _Toc199231570 \h </w:instrText>
        </w:r>
        <w:r w:rsidRPr="00410D92">
          <w:rPr>
            <w:rStyle w:val="Hyperlink"/>
            <w:b w:val="0"/>
            <w:bCs w:val="0"/>
            <w:webHidden/>
          </w:rPr>
        </w:r>
        <w:r w:rsidRPr="00410D92">
          <w:rPr>
            <w:rStyle w:val="Hyperlink"/>
            <w:b w:val="0"/>
            <w:bCs w:val="0"/>
            <w:webHidden/>
          </w:rPr>
          <w:fldChar w:fldCharType="separate"/>
        </w:r>
        <w:r w:rsidR="00C45FA2">
          <w:rPr>
            <w:rStyle w:val="Hyperlink"/>
            <w:b w:val="0"/>
            <w:bCs w:val="0"/>
            <w:webHidden/>
          </w:rPr>
          <w:t>26</w:t>
        </w:r>
        <w:r w:rsidRPr="00410D92">
          <w:rPr>
            <w:rStyle w:val="Hyperlink"/>
            <w:b w:val="0"/>
            <w:bCs w:val="0"/>
            <w:webHidden/>
          </w:rPr>
          <w:fldChar w:fldCharType="end"/>
        </w:r>
      </w:hyperlink>
    </w:p>
    <w:p w14:paraId="6E7A3DB7" w14:textId="5744D94F" w:rsidR="00410D92" w:rsidRPr="00410D92" w:rsidRDefault="00410D92" w:rsidP="00410D92">
      <w:pPr>
        <w:pStyle w:val="TOC2"/>
        <w:rPr>
          <w:rStyle w:val="Hyperlink"/>
          <w:b w:val="0"/>
          <w:bCs w:val="0"/>
        </w:rPr>
      </w:pPr>
      <w:r w:rsidRPr="00410D92">
        <w:rPr>
          <w:rStyle w:val="Hyperlink"/>
          <w:b w:val="0"/>
          <w:bCs w:val="0"/>
          <w:color w:val="FFFFFF" w:themeColor="background1"/>
        </w:rPr>
        <w:tab/>
      </w:r>
      <w:hyperlink w:anchor="_Toc199231571" w:history="1">
        <w:r w:rsidRPr="00410D92">
          <w:rPr>
            <w:rStyle w:val="Hyperlink"/>
            <w:b w:val="0"/>
            <w:bCs w:val="0"/>
          </w:rPr>
          <w:t>We recommend the default productivity adjustment factor remains</w:t>
        </w:r>
        <w:r w:rsidRPr="00410D92">
          <w:rPr>
            <w:rStyle w:val="Hyperlink"/>
            <w:b w:val="0"/>
            <w:bCs w:val="0"/>
            <w:webHidden/>
          </w:rPr>
          <w:tab/>
        </w:r>
        <w:r w:rsidRPr="00410D92">
          <w:rPr>
            <w:rStyle w:val="Hyperlink"/>
            <w:b w:val="0"/>
            <w:bCs w:val="0"/>
            <w:webHidden/>
          </w:rPr>
          <w:fldChar w:fldCharType="begin"/>
        </w:r>
        <w:r w:rsidRPr="00410D92">
          <w:rPr>
            <w:rStyle w:val="Hyperlink"/>
            <w:b w:val="0"/>
            <w:bCs w:val="0"/>
            <w:webHidden/>
          </w:rPr>
          <w:instrText xml:space="preserve"> PAGEREF _Toc199231571 \h </w:instrText>
        </w:r>
        <w:r w:rsidRPr="00410D92">
          <w:rPr>
            <w:rStyle w:val="Hyperlink"/>
            <w:b w:val="0"/>
            <w:bCs w:val="0"/>
            <w:webHidden/>
          </w:rPr>
        </w:r>
        <w:r w:rsidRPr="00410D92">
          <w:rPr>
            <w:rStyle w:val="Hyperlink"/>
            <w:b w:val="0"/>
            <w:bCs w:val="0"/>
            <w:webHidden/>
          </w:rPr>
          <w:fldChar w:fldCharType="separate"/>
        </w:r>
        <w:r w:rsidR="00C45FA2">
          <w:rPr>
            <w:rStyle w:val="Hyperlink"/>
            <w:b w:val="0"/>
            <w:bCs w:val="0"/>
            <w:webHidden/>
          </w:rPr>
          <w:t>27</w:t>
        </w:r>
        <w:r w:rsidRPr="00410D92">
          <w:rPr>
            <w:rStyle w:val="Hyperlink"/>
            <w:b w:val="0"/>
            <w:bCs w:val="0"/>
            <w:webHidden/>
          </w:rPr>
          <w:fldChar w:fldCharType="end"/>
        </w:r>
      </w:hyperlink>
    </w:p>
    <w:p w14:paraId="629E9A7A" w14:textId="61379990" w:rsidR="00410D92" w:rsidRDefault="00410D92">
      <w:pPr>
        <w:pStyle w:val="TOC2"/>
        <w:rPr>
          <w:rFonts w:eastAsiaTheme="minorEastAsia"/>
          <w:b w:val="0"/>
          <w:bCs w:val="0"/>
          <w:kern w:val="2"/>
          <w:sz w:val="24"/>
          <w:szCs w:val="24"/>
          <w:lang w:eastAsia="en-AU"/>
          <w14:ligatures w14:val="standardContextual"/>
        </w:rPr>
      </w:pPr>
      <w:hyperlink w:anchor="_Toc199231572" w:history="1">
        <w:r w:rsidRPr="00B3214F">
          <w:rPr>
            <w:rStyle w:val="Hyperlink"/>
          </w:rPr>
          <w:t>5.</w:t>
        </w:r>
        <w:r>
          <w:rPr>
            <w:rFonts w:eastAsiaTheme="minorEastAsia"/>
            <w:b w:val="0"/>
            <w:bCs w:val="0"/>
            <w:kern w:val="2"/>
            <w:sz w:val="24"/>
            <w:szCs w:val="24"/>
            <w:lang w:eastAsia="en-AU"/>
            <w14:ligatures w14:val="standardContextual"/>
          </w:rPr>
          <w:tab/>
        </w:r>
        <w:r w:rsidRPr="00B3214F">
          <w:rPr>
            <w:rStyle w:val="Hyperlink"/>
          </w:rPr>
          <w:t>Salvage fees</w:t>
        </w:r>
        <w:r>
          <w:rPr>
            <w:webHidden/>
          </w:rPr>
          <w:tab/>
        </w:r>
        <w:r>
          <w:rPr>
            <w:webHidden/>
          </w:rPr>
          <w:fldChar w:fldCharType="begin"/>
        </w:r>
        <w:r>
          <w:rPr>
            <w:webHidden/>
          </w:rPr>
          <w:instrText xml:space="preserve"> PAGEREF _Toc199231572 \h </w:instrText>
        </w:r>
        <w:r>
          <w:rPr>
            <w:webHidden/>
          </w:rPr>
        </w:r>
        <w:r>
          <w:rPr>
            <w:webHidden/>
          </w:rPr>
          <w:fldChar w:fldCharType="separate"/>
        </w:r>
        <w:r w:rsidR="00C45FA2">
          <w:rPr>
            <w:webHidden/>
          </w:rPr>
          <w:t>28</w:t>
        </w:r>
        <w:r>
          <w:rPr>
            <w:webHidden/>
          </w:rPr>
          <w:fldChar w:fldCharType="end"/>
        </w:r>
      </w:hyperlink>
    </w:p>
    <w:p w14:paraId="7999240A" w14:textId="082EDFBC" w:rsidR="00410D92" w:rsidRPr="00410D92" w:rsidRDefault="00410D92" w:rsidP="00410D92">
      <w:pPr>
        <w:pStyle w:val="TOC2"/>
        <w:rPr>
          <w:rStyle w:val="Hyperlink"/>
          <w:b w:val="0"/>
          <w:bCs w:val="0"/>
        </w:rPr>
      </w:pPr>
      <w:r w:rsidRPr="00410D92">
        <w:rPr>
          <w:rStyle w:val="Hyperlink"/>
          <w:b w:val="0"/>
          <w:bCs w:val="0"/>
          <w:color w:val="FFFFFF" w:themeColor="background1"/>
        </w:rPr>
        <w:tab/>
      </w:r>
      <w:hyperlink w:anchor="_Toc199231573" w:history="1">
        <w:r w:rsidRPr="00410D92">
          <w:rPr>
            <w:rStyle w:val="Hyperlink"/>
            <w:b w:val="0"/>
            <w:bCs w:val="0"/>
          </w:rPr>
          <w:t>Stakeholders’ views on salvage fee regulation were mixed</w:t>
        </w:r>
        <w:r w:rsidRPr="00410D92">
          <w:rPr>
            <w:rStyle w:val="Hyperlink"/>
            <w:b w:val="0"/>
            <w:bCs w:val="0"/>
            <w:webHidden/>
          </w:rPr>
          <w:tab/>
        </w:r>
        <w:r w:rsidRPr="00410D92">
          <w:rPr>
            <w:rStyle w:val="Hyperlink"/>
            <w:b w:val="0"/>
            <w:bCs w:val="0"/>
            <w:webHidden/>
          </w:rPr>
          <w:fldChar w:fldCharType="begin"/>
        </w:r>
        <w:r w:rsidRPr="00410D92">
          <w:rPr>
            <w:rStyle w:val="Hyperlink"/>
            <w:b w:val="0"/>
            <w:bCs w:val="0"/>
            <w:webHidden/>
          </w:rPr>
          <w:instrText xml:space="preserve"> PAGEREF _Toc199231573 \h </w:instrText>
        </w:r>
        <w:r w:rsidRPr="00410D92">
          <w:rPr>
            <w:rStyle w:val="Hyperlink"/>
            <w:b w:val="0"/>
            <w:bCs w:val="0"/>
            <w:webHidden/>
          </w:rPr>
        </w:r>
        <w:r w:rsidRPr="00410D92">
          <w:rPr>
            <w:rStyle w:val="Hyperlink"/>
            <w:b w:val="0"/>
            <w:bCs w:val="0"/>
            <w:webHidden/>
          </w:rPr>
          <w:fldChar w:fldCharType="separate"/>
        </w:r>
        <w:r w:rsidR="00C45FA2">
          <w:rPr>
            <w:rStyle w:val="Hyperlink"/>
            <w:b w:val="0"/>
            <w:bCs w:val="0"/>
            <w:webHidden/>
          </w:rPr>
          <w:t>28</w:t>
        </w:r>
        <w:r w:rsidRPr="00410D92">
          <w:rPr>
            <w:rStyle w:val="Hyperlink"/>
            <w:b w:val="0"/>
            <w:bCs w:val="0"/>
            <w:webHidden/>
          </w:rPr>
          <w:fldChar w:fldCharType="end"/>
        </w:r>
      </w:hyperlink>
    </w:p>
    <w:p w14:paraId="7CCE5708" w14:textId="270CAD11" w:rsidR="00410D92" w:rsidRPr="00410D92" w:rsidRDefault="00410D92" w:rsidP="00410D92">
      <w:pPr>
        <w:pStyle w:val="TOC2"/>
        <w:rPr>
          <w:rStyle w:val="Hyperlink"/>
          <w:b w:val="0"/>
          <w:bCs w:val="0"/>
        </w:rPr>
      </w:pPr>
      <w:r w:rsidRPr="00410D92">
        <w:rPr>
          <w:rStyle w:val="Hyperlink"/>
          <w:b w:val="0"/>
          <w:bCs w:val="0"/>
          <w:color w:val="FFFFFF" w:themeColor="background1"/>
        </w:rPr>
        <w:tab/>
      </w:r>
      <w:hyperlink w:anchor="_Toc199231575" w:history="1">
        <w:r w:rsidRPr="00410D92">
          <w:rPr>
            <w:rStyle w:val="Hyperlink"/>
            <w:b w:val="0"/>
            <w:bCs w:val="0"/>
          </w:rPr>
          <w:t>No evidence to suggest salvage fees are unreasonable</w:t>
        </w:r>
        <w:r w:rsidRPr="00410D92">
          <w:rPr>
            <w:rStyle w:val="Hyperlink"/>
            <w:b w:val="0"/>
            <w:bCs w:val="0"/>
            <w:webHidden/>
          </w:rPr>
          <w:tab/>
        </w:r>
        <w:r w:rsidRPr="00410D92">
          <w:rPr>
            <w:rStyle w:val="Hyperlink"/>
            <w:b w:val="0"/>
            <w:bCs w:val="0"/>
            <w:webHidden/>
          </w:rPr>
          <w:fldChar w:fldCharType="begin"/>
        </w:r>
        <w:r w:rsidRPr="00410D92">
          <w:rPr>
            <w:rStyle w:val="Hyperlink"/>
            <w:b w:val="0"/>
            <w:bCs w:val="0"/>
            <w:webHidden/>
          </w:rPr>
          <w:instrText xml:space="preserve"> PAGEREF _Toc199231575 \h </w:instrText>
        </w:r>
        <w:r w:rsidRPr="00410D92">
          <w:rPr>
            <w:rStyle w:val="Hyperlink"/>
            <w:b w:val="0"/>
            <w:bCs w:val="0"/>
            <w:webHidden/>
          </w:rPr>
        </w:r>
        <w:r w:rsidRPr="00410D92">
          <w:rPr>
            <w:rStyle w:val="Hyperlink"/>
            <w:b w:val="0"/>
            <w:bCs w:val="0"/>
            <w:webHidden/>
          </w:rPr>
          <w:fldChar w:fldCharType="separate"/>
        </w:r>
        <w:r w:rsidR="00C45FA2">
          <w:rPr>
            <w:rStyle w:val="Hyperlink"/>
            <w:b w:val="0"/>
            <w:bCs w:val="0"/>
            <w:webHidden/>
          </w:rPr>
          <w:t>29</w:t>
        </w:r>
        <w:r w:rsidRPr="00410D92">
          <w:rPr>
            <w:rStyle w:val="Hyperlink"/>
            <w:b w:val="0"/>
            <w:bCs w:val="0"/>
            <w:webHidden/>
          </w:rPr>
          <w:fldChar w:fldCharType="end"/>
        </w:r>
      </w:hyperlink>
    </w:p>
    <w:p w14:paraId="12EDD322" w14:textId="0C470C15" w:rsidR="00410D92" w:rsidRPr="00410D92" w:rsidRDefault="00410D92" w:rsidP="00410D92">
      <w:pPr>
        <w:pStyle w:val="TOC2"/>
        <w:rPr>
          <w:rStyle w:val="Hyperlink"/>
          <w:b w:val="0"/>
          <w:bCs w:val="0"/>
        </w:rPr>
      </w:pPr>
      <w:r w:rsidRPr="00410D92">
        <w:rPr>
          <w:rStyle w:val="Hyperlink"/>
          <w:b w:val="0"/>
          <w:bCs w:val="0"/>
          <w:color w:val="FFFFFF" w:themeColor="background1"/>
        </w:rPr>
        <w:tab/>
      </w:r>
      <w:hyperlink w:anchor="_Toc199231576" w:history="1">
        <w:r w:rsidRPr="00410D92">
          <w:rPr>
            <w:rStyle w:val="Hyperlink"/>
            <w:b w:val="0"/>
            <w:bCs w:val="0"/>
          </w:rPr>
          <w:t>We recommend salvage fees are not regulated</w:t>
        </w:r>
        <w:r w:rsidRPr="00410D92">
          <w:rPr>
            <w:rStyle w:val="Hyperlink"/>
            <w:b w:val="0"/>
            <w:bCs w:val="0"/>
            <w:webHidden/>
          </w:rPr>
          <w:tab/>
        </w:r>
        <w:r w:rsidRPr="00410D92">
          <w:rPr>
            <w:rStyle w:val="Hyperlink"/>
            <w:b w:val="0"/>
            <w:bCs w:val="0"/>
            <w:webHidden/>
          </w:rPr>
          <w:fldChar w:fldCharType="begin"/>
        </w:r>
        <w:r w:rsidRPr="00410D92">
          <w:rPr>
            <w:rStyle w:val="Hyperlink"/>
            <w:b w:val="0"/>
            <w:bCs w:val="0"/>
            <w:webHidden/>
          </w:rPr>
          <w:instrText xml:space="preserve"> PAGEREF _Toc199231576 \h </w:instrText>
        </w:r>
        <w:r w:rsidRPr="00410D92">
          <w:rPr>
            <w:rStyle w:val="Hyperlink"/>
            <w:b w:val="0"/>
            <w:bCs w:val="0"/>
            <w:webHidden/>
          </w:rPr>
        </w:r>
        <w:r w:rsidRPr="00410D92">
          <w:rPr>
            <w:rStyle w:val="Hyperlink"/>
            <w:b w:val="0"/>
            <w:bCs w:val="0"/>
            <w:webHidden/>
          </w:rPr>
          <w:fldChar w:fldCharType="separate"/>
        </w:r>
        <w:r w:rsidR="00C45FA2">
          <w:rPr>
            <w:rStyle w:val="Hyperlink"/>
            <w:b w:val="0"/>
            <w:bCs w:val="0"/>
            <w:webHidden/>
          </w:rPr>
          <w:t>29</w:t>
        </w:r>
        <w:r w:rsidRPr="00410D92">
          <w:rPr>
            <w:rStyle w:val="Hyperlink"/>
            <w:b w:val="0"/>
            <w:bCs w:val="0"/>
            <w:webHidden/>
          </w:rPr>
          <w:fldChar w:fldCharType="end"/>
        </w:r>
      </w:hyperlink>
    </w:p>
    <w:p w14:paraId="48C98842" w14:textId="21ED5DF6" w:rsidR="00410D92" w:rsidRDefault="00410D92">
      <w:pPr>
        <w:pStyle w:val="TOC1"/>
        <w:rPr>
          <w:rFonts w:eastAsiaTheme="minorEastAsia"/>
          <w:b w:val="0"/>
          <w:noProof/>
          <w:kern w:val="2"/>
          <w:sz w:val="24"/>
          <w:szCs w:val="24"/>
          <w:lang w:eastAsia="en-AU"/>
          <w14:ligatures w14:val="standardContextual"/>
        </w:rPr>
      </w:pPr>
      <w:hyperlink w:anchor="_Toc199231577" w:history="1">
        <w:r w:rsidRPr="00B3214F">
          <w:rPr>
            <w:rStyle w:val="Hyperlink"/>
            <w:noProof/>
          </w:rPr>
          <w:t>Glossary</w:t>
        </w:r>
        <w:r>
          <w:rPr>
            <w:noProof/>
            <w:webHidden/>
          </w:rPr>
          <w:tab/>
        </w:r>
        <w:r>
          <w:rPr>
            <w:noProof/>
            <w:webHidden/>
          </w:rPr>
          <w:fldChar w:fldCharType="begin"/>
        </w:r>
        <w:r>
          <w:rPr>
            <w:noProof/>
            <w:webHidden/>
          </w:rPr>
          <w:instrText xml:space="preserve"> PAGEREF _Toc199231577 \h </w:instrText>
        </w:r>
        <w:r>
          <w:rPr>
            <w:noProof/>
            <w:webHidden/>
          </w:rPr>
        </w:r>
        <w:r>
          <w:rPr>
            <w:noProof/>
            <w:webHidden/>
          </w:rPr>
          <w:fldChar w:fldCharType="separate"/>
        </w:r>
        <w:r w:rsidR="00C45FA2">
          <w:rPr>
            <w:noProof/>
            <w:webHidden/>
          </w:rPr>
          <w:t>30</w:t>
        </w:r>
        <w:r>
          <w:rPr>
            <w:noProof/>
            <w:webHidden/>
          </w:rPr>
          <w:fldChar w:fldCharType="end"/>
        </w:r>
      </w:hyperlink>
    </w:p>
    <w:p w14:paraId="21687651" w14:textId="039FEE3E" w:rsidR="00410D92" w:rsidRPr="00410D92" w:rsidRDefault="00410D92" w:rsidP="00410D92">
      <w:pPr>
        <w:pStyle w:val="TOC1"/>
        <w:rPr>
          <w:rFonts w:eastAsiaTheme="minorEastAsia"/>
          <w:b w:val="0"/>
          <w:noProof/>
          <w:kern w:val="2"/>
          <w:sz w:val="24"/>
          <w:szCs w:val="24"/>
          <w:lang w:eastAsia="en-AU"/>
          <w14:ligatures w14:val="standardContextual"/>
        </w:rPr>
      </w:pPr>
      <w:hyperlink w:anchor="_Toc199231578" w:history="1">
        <w:r w:rsidRPr="00B3214F">
          <w:rPr>
            <w:rStyle w:val="Hyperlink"/>
            <w:noProof/>
          </w:rPr>
          <w:t>Appendix A: Accident towing industry reviews and regulation</w:t>
        </w:r>
        <w:r>
          <w:rPr>
            <w:noProof/>
            <w:webHidden/>
          </w:rPr>
          <w:tab/>
        </w:r>
        <w:r>
          <w:rPr>
            <w:noProof/>
            <w:webHidden/>
          </w:rPr>
          <w:fldChar w:fldCharType="begin"/>
        </w:r>
        <w:r>
          <w:rPr>
            <w:noProof/>
            <w:webHidden/>
          </w:rPr>
          <w:instrText xml:space="preserve"> PAGEREF _Toc199231578 \h </w:instrText>
        </w:r>
        <w:r>
          <w:rPr>
            <w:noProof/>
            <w:webHidden/>
          </w:rPr>
        </w:r>
        <w:r>
          <w:rPr>
            <w:noProof/>
            <w:webHidden/>
          </w:rPr>
          <w:fldChar w:fldCharType="separate"/>
        </w:r>
        <w:r w:rsidR="00C45FA2">
          <w:rPr>
            <w:noProof/>
            <w:webHidden/>
          </w:rPr>
          <w:t>33</w:t>
        </w:r>
        <w:r>
          <w:rPr>
            <w:noProof/>
            <w:webHidden/>
          </w:rPr>
          <w:fldChar w:fldCharType="end"/>
        </w:r>
      </w:hyperlink>
    </w:p>
    <w:p w14:paraId="3F8FBC78" w14:textId="63E0EE96" w:rsidR="00410D92" w:rsidRDefault="00410D92">
      <w:pPr>
        <w:pStyle w:val="TOC1"/>
        <w:rPr>
          <w:rFonts w:eastAsiaTheme="minorEastAsia"/>
          <w:b w:val="0"/>
          <w:noProof/>
          <w:kern w:val="2"/>
          <w:sz w:val="24"/>
          <w:szCs w:val="24"/>
          <w:lang w:eastAsia="en-AU"/>
          <w14:ligatures w14:val="standardContextual"/>
        </w:rPr>
      </w:pPr>
      <w:hyperlink w:anchor="_Toc199231587" w:history="1">
        <w:r w:rsidRPr="00B3214F">
          <w:rPr>
            <w:rStyle w:val="Hyperlink"/>
            <w:noProof/>
          </w:rPr>
          <w:t>Appendix B: Regulated accident towing fees benchmarking analysis</w:t>
        </w:r>
        <w:r>
          <w:rPr>
            <w:noProof/>
            <w:webHidden/>
          </w:rPr>
          <w:tab/>
        </w:r>
        <w:r>
          <w:rPr>
            <w:noProof/>
            <w:webHidden/>
          </w:rPr>
          <w:fldChar w:fldCharType="begin"/>
        </w:r>
        <w:r>
          <w:rPr>
            <w:noProof/>
            <w:webHidden/>
          </w:rPr>
          <w:instrText xml:space="preserve"> PAGEREF _Toc199231587 \h </w:instrText>
        </w:r>
        <w:r>
          <w:rPr>
            <w:noProof/>
            <w:webHidden/>
          </w:rPr>
        </w:r>
        <w:r>
          <w:rPr>
            <w:noProof/>
            <w:webHidden/>
          </w:rPr>
          <w:fldChar w:fldCharType="separate"/>
        </w:r>
        <w:r w:rsidR="00C45FA2">
          <w:rPr>
            <w:noProof/>
            <w:webHidden/>
          </w:rPr>
          <w:t>38</w:t>
        </w:r>
        <w:r>
          <w:rPr>
            <w:noProof/>
            <w:webHidden/>
          </w:rPr>
          <w:fldChar w:fldCharType="end"/>
        </w:r>
      </w:hyperlink>
    </w:p>
    <w:p w14:paraId="546702C8" w14:textId="5B3650CA" w:rsidR="00410D92" w:rsidRPr="00410D92" w:rsidRDefault="00410D92" w:rsidP="00410D92">
      <w:pPr>
        <w:pStyle w:val="TOC1"/>
        <w:rPr>
          <w:rFonts w:eastAsiaTheme="minorEastAsia"/>
          <w:b w:val="0"/>
          <w:noProof/>
          <w:kern w:val="2"/>
          <w:sz w:val="24"/>
          <w:szCs w:val="24"/>
          <w:lang w:eastAsia="en-AU"/>
          <w14:ligatures w14:val="standardContextual"/>
        </w:rPr>
      </w:pPr>
      <w:hyperlink w:anchor="_Toc199231594" w:history="1">
        <w:r w:rsidRPr="00B3214F">
          <w:rPr>
            <w:rStyle w:val="Hyperlink"/>
            <w:noProof/>
          </w:rPr>
          <w:t>Appendix C: Regulated storage fees benchmarking analysis</w:t>
        </w:r>
        <w:r>
          <w:rPr>
            <w:noProof/>
            <w:webHidden/>
          </w:rPr>
          <w:tab/>
        </w:r>
        <w:r>
          <w:rPr>
            <w:noProof/>
            <w:webHidden/>
          </w:rPr>
          <w:fldChar w:fldCharType="begin"/>
        </w:r>
        <w:r>
          <w:rPr>
            <w:noProof/>
            <w:webHidden/>
          </w:rPr>
          <w:instrText xml:space="preserve"> PAGEREF _Toc199231594 \h </w:instrText>
        </w:r>
        <w:r>
          <w:rPr>
            <w:noProof/>
            <w:webHidden/>
          </w:rPr>
        </w:r>
        <w:r>
          <w:rPr>
            <w:noProof/>
            <w:webHidden/>
          </w:rPr>
          <w:fldChar w:fldCharType="separate"/>
        </w:r>
        <w:r w:rsidR="00C45FA2">
          <w:rPr>
            <w:noProof/>
            <w:webHidden/>
          </w:rPr>
          <w:t>46</w:t>
        </w:r>
        <w:r>
          <w:rPr>
            <w:noProof/>
            <w:webHidden/>
          </w:rPr>
          <w:fldChar w:fldCharType="end"/>
        </w:r>
      </w:hyperlink>
    </w:p>
    <w:p w14:paraId="3F690F28" w14:textId="6182C0C3" w:rsidR="00410D92" w:rsidRPr="00410D92" w:rsidRDefault="00410D92" w:rsidP="00410D92">
      <w:pPr>
        <w:pStyle w:val="TOC1"/>
        <w:rPr>
          <w:rFonts w:eastAsiaTheme="minorEastAsia"/>
          <w:b w:val="0"/>
          <w:noProof/>
          <w:kern w:val="2"/>
          <w:sz w:val="24"/>
          <w:szCs w:val="24"/>
          <w:lang w:eastAsia="en-AU"/>
          <w14:ligatures w14:val="standardContextual"/>
        </w:rPr>
      </w:pPr>
      <w:hyperlink w:anchor="_Toc199231599" w:history="1">
        <w:r w:rsidRPr="00B3214F">
          <w:rPr>
            <w:rStyle w:val="Hyperlink"/>
            <w:noProof/>
          </w:rPr>
          <w:t>Appendix D: Productivity analysis</w:t>
        </w:r>
        <w:r>
          <w:rPr>
            <w:noProof/>
            <w:webHidden/>
          </w:rPr>
          <w:tab/>
        </w:r>
        <w:r>
          <w:rPr>
            <w:noProof/>
            <w:webHidden/>
          </w:rPr>
          <w:fldChar w:fldCharType="begin"/>
        </w:r>
        <w:r>
          <w:rPr>
            <w:noProof/>
            <w:webHidden/>
          </w:rPr>
          <w:instrText xml:space="preserve"> PAGEREF _Toc199231599 \h </w:instrText>
        </w:r>
        <w:r>
          <w:rPr>
            <w:noProof/>
            <w:webHidden/>
          </w:rPr>
        </w:r>
        <w:r>
          <w:rPr>
            <w:noProof/>
            <w:webHidden/>
          </w:rPr>
          <w:fldChar w:fldCharType="separate"/>
        </w:r>
        <w:r w:rsidR="00C45FA2">
          <w:rPr>
            <w:noProof/>
            <w:webHidden/>
          </w:rPr>
          <w:t>51</w:t>
        </w:r>
        <w:r>
          <w:rPr>
            <w:noProof/>
            <w:webHidden/>
          </w:rPr>
          <w:fldChar w:fldCharType="end"/>
        </w:r>
      </w:hyperlink>
    </w:p>
    <w:p w14:paraId="40D592CF" w14:textId="6C429E6A" w:rsidR="003A30F3" w:rsidRPr="00410D92" w:rsidRDefault="00410D92" w:rsidP="00410D92">
      <w:pPr>
        <w:pStyle w:val="TOC1"/>
        <w:tabs>
          <w:tab w:val="left" w:pos="1702"/>
        </w:tabs>
        <w:rPr>
          <w:rFonts w:eastAsiaTheme="minorEastAsia"/>
          <w:b w:val="0"/>
          <w:noProof/>
          <w:kern w:val="2"/>
          <w:sz w:val="24"/>
          <w:szCs w:val="24"/>
          <w:lang w:eastAsia="en-AU"/>
          <w14:ligatures w14:val="standardContextual"/>
        </w:rPr>
        <w:sectPr w:rsidR="003A30F3" w:rsidRPr="00410D92" w:rsidSect="00A236AB">
          <w:headerReference w:type="even" r:id="rId20"/>
          <w:headerReference w:type="default" r:id="rId21"/>
          <w:footerReference w:type="default" r:id="rId22"/>
          <w:headerReference w:type="first" r:id="rId23"/>
          <w:type w:val="continuous"/>
          <w:pgSz w:w="11906" w:h="16838" w:code="9"/>
          <w:pgMar w:top="1134" w:right="1558" w:bottom="1134" w:left="1134" w:header="709" w:footer="692" w:gutter="0"/>
          <w:pgNumType w:fmt="lowerRoman"/>
          <w:cols w:space="708"/>
          <w:docGrid w:linePitch="360"/>
        </w:sectPr>
      </w:pPr>
      <w:hyperlink w:anchor="_Toc199231607" w:history="1">
        <w:r w:rsidRPr="00B3214F">
          <w:rPr>
            <w:rStyle w:val="Hyperlink"/>
            <w:noProof/>
          </w:rPr>
          <w:t>Appendix E:</w:t>
        </w:r>
        <w:r>
          <w:rPr>
            <w:rFonts w:eastAsiaTheme="minorEastAsia"/>
            <w:b w:val="0"/>
            <w:noProof/>
            <w:kern w:val="2"/>
            <w:sz w:val="24"/>
            <w:szCs w:val="24"/>
            <w:lang w:eastAsia="en-AU"/>
            <w14:ligatures w14:val="standardContextual"/>
          </w:rPr>
          <w:t xml:space="preserve"> </w:t>
        </w:r>
        <w:r w:rsidRPr="00B3214F">
          <w:rPr>
            <w:rStyle w:val="Hyperlink"/>
            <w:noProof/>
          </w:rPr>
          <w:t>Accident towing industry performance</w:t>
        </w:r>
        <w:r>
          <w:rPr>
            <w:noProof/>
            <w:webHidden/>
          </w:rPr>
          <w:tab/>
        </w:r>
        <w:r>
          <w:rPr>
            <w:noProof/>
            <w:webHidden/>
          </w:rPr>
          <w:fldChar w:fldCharType="begin"/>
        </w:r>
        <w:r>
          <w:rPr>
            <w:noProof/>
            <w:webHidden/>
          </w:rPr>
          <w:instrText xml:space="preserve"> PAGEREF _Toc199231607 \h </w:instrText>
        </w:r>
        <w:r>
          <w:rPr>
            <w:noProof/>
            <w:webHidden/>
          </w:rPr>
        </w:r>
        <w:r>
          <w:rPr>
            <w:noProof/>
            <w:webHidden/>
          </w:rPr>
          <w:fldChar w:fldCharType="separate"/>
        </w:r>
        <w:r w:rsidR="00C45FA2">
          <w:rPr>
            <w:noProof/>
            <w:webHidden/>
          </w:rPr>
          <w:t>56</w:t>
        </w:r>
        <w:r>
          <w:rPr>
            <w:noProof/>
            <w:webHidden/>
          </w:rPr>
          <w:fldChar w:fldCharType="end"/>
        </w:r>
      </w:hyperlink>
      <w:r w:rsidR="00782E55">
        <w:rPr>
          <w:color w:val="236192" w:themeColor="accent1"/>
        </w:rPr>
        <w:fldChar w:fldCharType="end"/>
      </w:r>
    </w:p>
    <w:p w14:paraId="5C6DE36B" w14:textId="5A43D1EB" w:rsidR="00710792" w:rsidRDefault="00CF6C50" w:rsidP="00710792">
      <w:pPr>
        <w:pStyle w:val="Heading1"/>
      </w:pPr>
      <w:bookmarkStart w:id="12" w:name="_Toc199231531"/>
      <w:r>
        <w:lastRenderedPageBreak/>
        <w:t>R</w:t>
      </w:r>
      <w:r w:rsidR="001D15D4">
        <w:t>ecommendations</w:t>
      </w:r>
      <w:bookmarkEnd w:id="12"/>
    </w:p>
    <w:p w14:paraId="0D7A29CA" w14:textId="77777777" w:rsidR="00B503C2" w:rsidRPr="00B503C2" w:rsidRDefault="00B503C2" w:rsidP="00B503C2">
      <w:pPr>
        <w:sectPr w:rsidR="00B503C2" w:rsidRPr="00B503C2" w:rsidSect="008F7087">
          <w:headerReference w:type="even" r:id="rId24"/>
          <w:headerReference w:type="default" r:id="rId25"/>
          <w:footerReference w:type="default" r:id="rId26"/>
          <w:headerReference w:type="first" r:id="rId27"/>
          <w:type w:val="continuous"/>
          <w:pgSz w:w="11906" w:h="16838" w:code="9"/>
          <w:pgMar w:top="1134" w:right="1134" w:bottom="1134" w:left="1134" w:header="709" w:footer="692" w:gutter="0"/>
          <w:pgNumType w:fmt="lowerRoman"/>
          <w:cols w:space="708"/>
          <w:docGrid w:linePitch="360"/>
        </w:sectPr>
      </w:pPr>
      <w:bookmarkStart w:id="13" w:name="_Toc480988882"/>
      <w:bookmarkStart w:id="14" w:name="_Toc481138193"/>
      <w:bookmarkStart w:id="15" w:name="_Toc481138401"/>
    </w:p>
    <w:p w14:paraId="6A0E1681" w14:textId="5AAE678B" w:rsidR="00CF6C50" w:rsidRDefault="00AD4676" w:rsidP="00E64E75">
      <w:r>
        <w:t>Th</w:t>
      </w:r>
      <w:r w:rsidR="00837C05">
        <w:t>is final report sets out th</w:t>
      </w:r>
      <w:r>
        <w:t>e Essential Services Commission</w:t>
      </w:r>
      <w:r w:rsidR="00837C05">
        <w:t>’s</w:t>
      </w:r>
      <w:r>
        <w:t xml:space="preserve"> </w:t>
      </w:r>
      <w:r w:rsidRPr="008D0DAF">
        <w:t xml:space="preserve">recommendations </w:t>
      </w:r>
      <w:r>
        <w:t xml:space="preserve">to the Minister for Roads and Road Safety </w:t>
      </w:r>
      <w:r w:rsidRPr="008D0DAF" w:rsidDel="00631573">
        <w:t>on</w:t>
      </w:r>
      <w:r w:rsidRPr="008D0DAF">
        <w:t xml:space="preserve"> accident towing</w:t>
      </w:r>
      <w:r w:rsidR="00E54D30">
        <w:t xml:space="preserve"> and</w:t>
      </w:r>
      <w:r w:rsidRPr="008D0DAF">
        <w:t xml:space="preserve"> storage</w:t>
      </w:r>
      <w:r w:rsidR="00E54D30">
        <w:t xml:space="preserve"> fe</w:t>
      </w:r>
      <w:r w:rsidR="00D94E28">
        <w:t>e</w:t>
      </w:r>
      <w:r w:rsidR="00E54D30">
        <w:t>s</w:t>
      </w:r>
      <w:r w:rsidRPr="008D0DAF">
        <w:t xml:space="preserve"> and </w:t>
      </w:r>
      <w:r w:rsidR="006359F9">
        <w:t xml:space="preserve">basic </w:t>
      </w:r>
      <w:r w:rsidRPr="008D0DAF">
        <w:t>salvage</w:t>
      </w:r>
      <w:r w:rsidR="00994CE8">
        <w:t xml:space="preserve"> service</w:t>
      </w:r>
      <w:r w:rsidR="00564FAF">
        <w:t>s</w:t>
      </w:r>
      <w:r w:rsidRPr="008D0DAF">
        <w:t xml:space="preserve"> in the Melbourne controlled are</w:t>
      </w:r>
      <w:r>
        <w:t>a</w:t>
      </w:r>
      <w:r w:rsidR="00837C05">
        <w:t>.</w:t>
      </w:r>
      <w:r w:rsidR="00C401B1">
        <w:rPr>
          <w:rStyle w:val="FootnoteReference"/>
        </w:rPr>
        <w:footnoteReference w:id="2"/>
      </w:r>
    </w:p>
    <w:p w14:paraId="22A1D698" w14:textId="0C4F6785" w:rsidR="00B503C2" w:rsidRDefault="00A57D25" w:rsidP="0084221A">
      <w:pPr>
        <w:pStyle w:val="Pull-out"/>
      </w:pPr>
      <w:r w:rsidRPr="00A57D25">
        <w:rPr>
          <w:b/>
          <w:bCs/>
        </w:rPr>
        <w:t>Recommendation 1:</w:t>
      </w:r>
      <w:r>
        <w:t xml:space="preserve"> The </w:t>
      </w:r>
      <w:r w:rsidRPr="00FF5150">
        <w:t>current regulated</w:t>
      </w:r>
      <w:r w:rsidR="00C43DDC">
        <w:t xml:space="preserve"> accident</w:t>
      </w:r>
      <w:r w:rsidRPr="00FF5150">
        <w:t xml:space="preserve"> towing fees for the Melbourne controlled area </w:t>
      </w:r>
      <w:r w:rsidR="00925F68">
        <w:t xml:space="preserve">are appropriate </w:t>
      </w:r>
      <w:r w:rsidR="003B36A2">
        <w:t xml:space="preserve">and </w:t>
      </w:r>
      <w:r w:rsidRPr="00FF5150">
        <w:t>should not be changed beyond the annual adjustment mechanism.</w:t>
      </w:r>
    </w:p>
    <w:p w14:paraId="52563957" w14:textId="43D97D03" w:rsidR="00A57D25" w:rsidRDefault="00A57D25" w:rsidP="0084221A">
      <w:pPr>
        <w:pStyle w:val="Pull-out"/>
      </w:pPr>
      <w:r w:rsidRPr="00A57D25">
        <w:rPr>
          <w:b/>
          <w:bCs/>
        </w:rPr>
        <w:t>Recommendation 2:</w:t>
      </w:r>
      <w:r>
        <w:t xml:space="preserve"> </w:t>
      </w:r>
      <w:r w:rsidRPr="00FF5150">
        <w:t xml:space="preserve">The current regulated storage fees for the Melbourne controlled area </w:t>
      </w:r>
      <w:r w:rsidR="00925F68">
        <w:t xml:space="preserve">are appropriate </w:t>
      </w:r>
      <w:r w:rsidR="003B36A2">
        <w:t xml:space="preserve">and </w:t>
      </w:r>
      <w:r w:rsidRPr="00FF5150">
        <w:t>should not be changed beyond the annual adjustment mechanism.</w:t>
      </w:r>
    </w:p>
    <w:p w14:paraId="012043C9" w14:textId="6AD50447" w:rsidR="00A57D25" w:rsidRDefault="00A57D25" w:rsidP="0084221A">
      <w:pPr>
        <w:pStyle w:val="Pull-out"/>
      </w:pPr>
      <w:r w:rsidRPr="00A57D25">
        <w:rPr>
          <w:b/>
          <w:bCs/>
        </w:rPr>
        <w:t>Recommendation 3:</w:t>
      </w:r>
      <w:r>
        <w:t xml:space="preserve"> </w:t>
      </w:r>
      <w:r w:rsidRPr="00FF5150">
        <w:t>The productivity adjustment factor should remain unchanged at 0.5 per cent.</w:t>
      </w:r>
    </w:p>
    <w:p w14:paraId="7CFE15A6" w14:textId="07D814B1" w:rsidR="00A57D25" w:rsidRDefault="00A57D25" w:rsidP="0084221A">
      <w:pPr>
        <w:pStyle w:val="Pull-out"/>
      </w:pPr>
      <w:r w:rsidRPr="00F97788">
        <w:rPr>
          <w:b/>
          <w:bCs/>
        </w:rPr>
        <w:t>Recommendation 4:</w:t>
      </w:r>
      <w:r w:rsidR="00F97788">
        <w:t xml:space="preserve"> </w:t>
      </w:r>
      <w:r w:rsidR="00F97788" w:rsidRPr="00FF5150">
        <w:t>Basic salvage services should not</w:t>
      </w:r>
      <w:r w:rsidR="00925F68">
        <w:t xml:space="preserve"> </w:t>
      </w:r>
      <w:r w:rsidR="00F97788" w:rsidRPr="00FF5150">
        <w:t xml:space="preserve">be subject to a determination under </w:t>
      </w:r>
      <w:r w:rsidR="00526599">
        <w:t xml:space="preserve">section </w:t>
      </w:r>
      <w:r w:rsidR="00F97788" w:rsidRPr="00FF5150">
        <w:t xml:space="preserve">211 of the </w:t>
      </w:r>
      <w:r w:rsidR="00F97788" w:rsidRPr="00E64E75">
        <w:rPr>
          <w:i/>
        </w:rPr>
        <w:t>Accident Towing Services Act</w:t>
      </w:r>
      <w:r w:rsidR="005E280D">
        <w:t xml:space="preserve"> 2007</w:t>
      </w:r>
      <w:r w:rsidR="00F97788" w:rsidRPr="00FF5150">
        <w:t>.</w:t>
      </w:r>
    </w:p>
    <w:p w14:paraId="045DBBE0" w14:textId="5949FFE8" w:rsidR="005D157B" w:rsidRDefault="000F22D4" w:rsidP="009905FB">
      <w:r>
        <w:t xml:space="preserve">The Minister for Roads and Road Safety </w:t>
      </w:r>
      <w:r w:rsidR="001B4817">
        <w:t xml:space="preserve">determines </w:t>
      </w:r>
      <w:r>
        <w:t>accident towing fees for regular vehicles in the Melbourne controlled area. The minister</w:t>
      </w:r>
      <w:r w:rsidR="00870953">
        <w:t xml:space="preserve"> may only </w:t>
      </w:r>
      <w:proofErr w:type="gramStart"/>
      <w:r w:rsidR="00870953">
        <w:t>make a determination</w:t>
      </w:r>
      <w:proofErr w:type="gramEnd"/>
      <w:r w:rsidR="00870953">
        <w:t xml:space="preserve"> after receiving </w:t>
      </w:r>
      <w:r w:rsidR="005F7FDC">
        <w:t>a</w:t>
      </w:r>
      <w:r w:rsidR="00870953">
        <w:t xml:space="preserve"> recommendation</w:t>
      </w:r>
      <w:r w:rsidR="005F7FDC">
        <w:t xml:space="preserve"> from the commission</w:t>
      </w:r>
      <w:r w:rsidR="00870953">
        <w:t xml:space="preserve"> and a report from the Secretary, Department of Transport and Planning.</w:t>
      </w:r>
      <w:bookmarkStart w:id="16" w:name="_Toc195721870"/>
    </w:p>
    <w:bookmarkEnd w:id="16"/>
    <w:p w14:paraId="0A59BC7A" w14:textId="02B5A7F0" w:rsidR="0008282B" w:rsidRDefault="0008282B" w:rsidP="009905FB">
      <w:r>
        <w:t>We conducted a review of accident towing fees</w:t>
      </w:r>
      <w:r w:rsidR="00F07EF5">
        <w:t xml:space="preserve"> </w:t>
      </w:r>
      <w:r w:rsidR="00E5413C">
        <w:t xml:space="preserve">under </w:t>
      </w:r>
      <w:r w:rsidR="00837C05">
        <w:t xml:space="preserve">section 212A of the Accident Towing Services Act </w:t>
      </w:r>
      <w:r w:rsidR="00F07EF5">
        <w:t xml:space="preserve">and </w:t>
      </w:r>
      <w:r w:rsidR="00B04F9D">
        <w:t>consulted with</w:t>
      </w:r>
      <w:r w:rsidR="00F07EF5">
        <w:t xml:space="preserve"> stakeholders including the Victorian Autom</w:t>
      </w:r>
      <w:r w:rsidR="00FA79EF">
        <w:t>otive</w:t>
      </w:r>
      <w:r w:rsidR="00F07EF5">
        <w:t xml:space="preserve"> Chamber of Commerce</w:t>
      </w:r>
      <w:r w:rsidR="001B4817">
        <w:t xml:space="preserve">, </w:t>
      </w:r>
      <w:r w:rsidR="004423B6">
        <w:t>AllCar Towing Group (</w:t>
      </w:r>
      <w:r w:rsidR="001B4817">
        <w:t>a towing operator</w:t>
      </w:r>
      <w:r w:rsidR="004423B6">
        <w:t>)</w:t>
      </w:r>
      <w:r w:rsidR="00426CD6">
        <w:t xml:space="preserve"> and the Insurance Council of Australia</w:t>
      </w:r>
      <w:r w:rsidR="00B04F9D">
        <w:t>.</w:t>
      </w:r>
      <w:r w:rsidR="00F07EF5">
        <w:t xml:space="preserve"> </w:t>
      </w:r>
      <w:r w:rsidR="00EC10B0">
        <w:t xml:space="preserve">This </w:t>
      </w:r>
      <w:r w:rsidR="000C5310">
        <w:t xml:space="preserve">report </w:t>
      </w:r>
      <w:r w:rsidR="001B4817">
        <w:t>set</w:t>
      </w:r>
      <w:r w:rsidR="004423B6">
        <w:t>s</w:t>
      </w:r>
      <w:r w:rsidR="001B4817">
        <w:t xml:space="preserve"> out the reasons for </w:t>
      </w:r>
      <w:r w:rsidR="00EC10B0">
        <w:t>our recommendations</w:t>
      </w:r>
      <w:r w:rsidR="000C5310">
        <w:t>.</w:t>
      </w:r>
    </w:p>
    <w:p w14:paraId="3977A04A" w14:textId="65A83456" w:rsidR="00290D88" w:rsidRDefault="00006B66" w:rsidP="001A0546">
      <w:pPr>
        <w:sectPr w:rsidR="00290D88" w:rsidSect="00AF5F0C">
          <w:headerReference w:type="even" r:id="rId28"/>
          <w:headerReference w:type="default" r:id="rId29"/>
          <w:footerReference w:type="default" r:id="rId30"/>
          <w:headerReference w:type="first" r:id="rId31"/>
          <w:type w:val="continuous"/>
          <w:pgSz w:w="11906" w:h="16838" w:code="9"/>
          <w:pgMar w:top="1134" w:right="1134" w:bottom="1134" w:left="1134" w:header="709" w:footer="692" w:gutter="0"/>
          <w:pgNumType w:fmt="lowerRoman"/>
          <w:cols w:space="708"/>
          <w:docGrid w:linePitch="360"/>
        </w:sectPr>
      </w:pPr>
      <w:bookmarkStart w:id="17" w:name="_Hlk197675053"/>
      <w:r>
        <w:t>In making our recommendation</w:t>
      </w:r>
      <w:r w:rsidR="00990FE6">
        <w:t>s</w:t>
      </w:r>
      <w:r>
        <w:t>, we</w:t>
      </w:r>
      <w:r w:rsidR="00990FE6">
        <w:t xml:space="preserve"> had regard to the Accident Towing Services Act objective</w:t>
      </w:r>
      <w:r w:rsidR="00B96719">
        <w:t xml:space="preserve"> – </w:t>
      </w:r>
      <w:r w:rsidR="00990FE6">
        <w:t>to promote the safe, efficient and timely provision of accident towing services and other related services.</w:t>
      </w:r>
      <w:r w:rsidR="00990FE6">
        <w:rPr>
          <w:rStyle w:val="FootnoteReference"/>
        </w:rPr>
        <w:footnoteReference w:id="3"/>
      </w:r>
      <w:r w:rsidR="00990FE6">
        <w:t xml:space="preserve"> </w:t>
      </w:r>
      <w:r w:rsidR="00B96719">
        <w:t>We r</w:t>
      </w:r>
      <w:r w:rsidR="00990FE6">
        <w:t>eview</w:t>
      </w:r>
      <w:r w:rsidR="00B96719">
        <w:t>ed</w:t>
      </w:r>
      <w:r w:rsidR="00990FE6">
        <w:t xml:space="preserve"> accident towing fees in other jurisdictions and those applicable for competitive (unregulated) trade towing services, along with industry and market demand and supply characteristics</w:t>
      </w:r>
      <w:r w:rsidR="00B96719">
        <w:t>.</w:t>
      </w:r>
      <w:r w:rsidR="00990FE6">
        <w:t xml:space="preserve"> </w:t>
      </w:r>
      <w:r w:rsidR="00C550D6">
        <w:t>W</w:t>
      </w:r>
      <w:r w:rsidR="00990FE6">
        <w:t>e found no substantive evidence to suggest the current level</w:t>
      </w:r>
      <w:r w:rsidR="0045234B">
        <w:t>s</w:t>
      </w:r>
      <w:r w:rsidR="00990FE6">
        <w:t xml:space="preserve"> of regulated </w:t>
      </w:r>
      <w:r w:rsidR="00990FE6">
        <w:lastRenderedPageBreak/>
        <w:t xml:space="preserve">accident towing fees </w:t>
      </w:r>
      <w:r w:rsidR="0045234B">
        <w:t>are</w:t>
      </w:r>
      <w:r w:rsidR="00990FE6">
        <w:t xml:space="preserve"> having an adverse impact on the safe, efficient or timely provision of these services. Our recommendations reflect this finding.</w:t>
      </w:r>
      <w:bookmarkEnd w:id="17"/>
    </w:p>
    <w:p w14:paraId="39BB9B2A" w14:textId="0D42DA9C" w:rsidR="00503F6A" w:rsidRDefault="00503F6A" w:rsidP="00E64E75">
      <w:pPr>
        <w:pStyle w:val="Heading1"/>
      </w:pPr>
      <w:bookmarkStart w:id="18" w:name="_Toc199231532"/>
      <w:r>
        <w:lastRenderedPageBreak/>
        <w:t>Summary</w:t>
      </w:r>
      <w:bookmarkEnd w:id="18"/>
    </w:p>
    <w:p w14:paraId="1195140C" w14:textId="2A450537" w:rsidR="00AC57C3" w:rsidRDefault="00AC57C3" w:rsidP="00AC57C3">
      <w:pPr>
        <w:pStyle w:val="Heading2"/>
      </w:pPr>
      <w:bookmarkStart w:id="19" w:name="_Toc195721872"/>
      <w:bookmarkStart w:id="20" w:name="_Toc197345228"/>
      <w:bookmarkStart w:id="21" w:name="_Toc197942398"/>
      <w:bookmarkStart w:id="22" w:name="_Toc197977671"/>
      <w:bookmarkStart w:id="23" w:name="_Toc198048660"/>
      <w:bookmarkStart w:id="24" w:name="_Toc199231533"/>
      <w:r>
        <w:t>Recommendation 1: regulated accident towing fees</w:t>
      </w:r>
      <w:r w:rsidR="006F6104">
        <w:t xml:space="preserve"> remain unchanged</w:t>
      </w:r>
      <w:bookmarkEnd w:id="19"/>
      <w:bookmarkEnd w:id="20"/>
      <w:bookmarkEnd w:id="21"/>
      <w:bookmarkEnd w:id="22"/>
      <w:bookmarkEnd w:id="23"/>
      <w:bookmarkEnd w:id="24"/>
    </w:p>
    <w:p w14:paraId="1F2EDAD7" w14:textId="4D378C13" w:rsidR="00AC57C3" w:rsidRDefault="00AC57C3" w:rsidP="00AC57C3">
      <w:r>
        <w:t>The</w:t>
      </w:r>
      <w:r w:rsidR="004B56AC">
        <w:t xml:space="preserve"> current</w:t>
      </w:r>
      <w:r>
        <w:t xml:space="preserve"> regulated accident towing fees are appropriate and should not be changed beyond the </w:t>
      </w:r>
      <w:r w:rsidR="007A52DC">
        <w:t>‘</w:t>
      </w:r>
      <w:r>
        <w:t>annual adjustment mechanism</w:t>
      </w:r>
      <w:r w:rsidR="007A52DC">
        <w:t>’</w:t>
      </w:r>
      <w:r w:rsidR="00F9100A">
        <w:t xml:space="preserve"> </w:t>
      </w:r>
      <w:r w:rsidR="00F9100A" w:rsidRPr="00F9100A">
        <w:t>(that is, current indexation arrangements).</w:t>
      </w:r>
      <w:r w:rsidR="006C1CAA">
        <w:rPr>
          <w:rStyle w:val="FootnoteReference"/>
        </w:rPr>
        <w:footnoteReference w:id="4"/>
      </w:r>
      <w:r w:rsidR="00130485" w:rsidRPr="006C664B">
        <w:rPr>
          <w:vertAlign w:val="superscript"/>
        </w:rPr>
        <w:t>,</w:t>
      </w:r>
      <w:r w:rsidR="00260C47">
        <w:rPr>
          <w:rStyle w:val="FootnoteReference"/>
        </w:rPr>
        <w:footnoteReference w:id="5"/>
      </w:r>
      <w:r w:rsidR="00F9100A" w:rsidRPr="00F9100A">
        <w:t xml:space="preserve"> </w:t>
      </w:r>
    </w:p>
    <w:p w14:paraId="638E32B6" w14:textId="77777777" w:rsidR="00AC57C3" w:rsidRDefault="00AC57C3" w:rsidP="00AC57C3">
      <w:r>
        <w:t>The current regulated accident towing fees are:</w:t>
      </w:r>
    </w:p>
    <w:p w14:paraId="613C4A54" w14:textId="4FF111D5" w:rsidR="00AC57C3" w:rsidRDefault="00054DBB" w:rsidP="00054DBB">
      <w:pPr>
        <w:pStyle w:val="ListBullet"/>
      </w:pPr>
      <w:r>
        <w:t>b</w:t>
      </w:r>
      <w:r w:rsidR="00AC57C3">
        <w:t xml:space="preserve">roadly </w:t>
      </w:r>
      <w:proofErr w:type="gramStart"/>
      <w:r w:rsidR="00AC57C3">
        <w:t>similar to</w:t>
      </w:r>
      <w:proofErr w:type="gramEnd"/>
      <w:r w:rsidR="00AC57C3">
        <w:t xml:space="preserve"> regulated accident towing fees in other Australian </w:t>
      </w:r>
      <w:proofErr w:type="gramStart"/>
      <w:r w:rsidR="00AC57C3">
        <w:t>jurisdictions</w:t>
      </w:r>
      <w:proofErr w:type="gramEnd"/>
      <w:r w:rsidR="00AC57C3">
        <w:t xml:space="preserve"> (Sydney, Adelaide, Queensland and Perth)</w:t>
      </w:r>
    </w:p>
    <w:p w14:paraId="60FC6D07" w14:textId="23370435" w:rsidR="00AC57C3" w:rsidRPr="009F154A" w:rsidRDefault="00054DBB" w:rsidP="00054DBB">
      <w:pPr>
        <w:pStyle w:val="ListBullet"/>
      </w:pPr>
      <w:r>
        <w:t>h</w:t>
      </w:r>
      <w:r w:rsidR="00AC57C3">
        <w:t xml:space="preserve">igher than unregulated trade towing fees in Melbourne, </w:t>
      </w:r>
      <w:r w:rsidR="00B24AB3">
        <w:t>due to</w:t>
      </w:r>
      <w:r w:rsidR="00AC57C3">
        <w:t xml:space="preserve"> additional costs </w:t>
      </w:r>
      <w:r w:rsidR="00B24AB3">
        <w:t xml:space="preserve">incurred </w:t>
      </w:r>
      <w:r w:rsidR="00AC57C3">
        <w:t>in providing accident towing services.</w:t>
      </w:r>
    </w:p>
    <w:p w14:paraId="4EEF90B1" w14:textId="0A3EBD79" w:rsidR="00AC57C3" w:rsidRDefault="00AC57C3" w:rsidP="00AC57C3">
      <w:pPr>
        <w:pStyle w:val="Heading2"/>
      </w:pPr>
      <w:bookmarkStart w:id="26" w:name="_Toc195721873"/>
      <w:bookmarkStart w:id="27" w:name="_Toc197345229"/>
      <w:bookmarkStart w:id="28" w:name="_Toc197942399"/>
      <w:bookmarkStart w:id="29" w:name="_Toc197977672"/>
      <w:bookmarkStart w:id="30" w:name="_Toc198048661"/>
      <w:bookmarkStart w:id="31" w:name="_Toc199231534"/>
      <w:r>
        <w:t>Recommendation 2: regulated storage fees</w:t>
      </w:r>
      <w:r w:rsidR="006F6104">
        <w:t xml:space="preserve"> remain unchanged</w:t>
      </w:r>
      <w:bookmarkEnd w:id="26"/>
      <w:bookmarkEnd w:id="27"/>
      <w:bookmarkEnd w:id="28"/>
      <w:bookmarkEnd w:id="29"/>
      <w:bookmarkEnd w:id="30"/>
      <w:bookmarkEnd w:id="31"/>
    </w:p>
    <w:p w14:paraId="578EA666" w14:textId="49118763" w:rsidR="00AC57C3" w:rsidRDefault="00AC57C3" w:rsidP="00AC57C3">
      <w:r>
        <w:t xml:space="preserve">The </w:t>
      </w:r>
      <w:r w:rsidR="004B56AC">
        <w:t xml:space="preserve">current </w:t>
      </w:r>
      <w:r>
        <w:t xml:space="preserve">regulated </w:t>
      </w:r>
      <w:r w:rsidR="009355E3">
        <w:t>storage</w:t>
      </w:r>
      <w:r>
        <w:t xml:space="preserve"> fees are appropriate and should not be changed beyond the annual adjustment mechanism.</w:t>
      </w:r>
      <w:r w:rsidR="006C1CAA">
        <w:rPr>
          <w:rStyle w:val="FootnoteReference"/>
        </w:rPr>
        <w:footnoteReference w:id="6"/>
      </w:r>
    </w:p>
    <w:p w14:paraId="16927791" w14:textId="0EF39568" w:rsidR="00AC57C3" w:rsidRDefault="00AC57C3" w:rsidP="00AC57C3">
      <w:r>
        <w:t>The current regulated storage fees are:</w:t>
      </w:r>
    </w:p>
    <w:p w14:paraId="0C01A75B" w14:textId="39D78B02" w:rsidR="00AC57C3" w:rsidRDefault="00054DBB" w:rsidP="00054DBB">
      <w:pPr>
        <w:pStyle w:val="ListBullet"/>
      </w:pPr>
      <w:r>
        <w:t>b</w:t>
      </w:r>
      <w:r w:rsidR="00AC57C3">
        <w:t xml:space="preserve">roadly </w:t>
      </w:r>
      <w:proofErr w:type="gramStart"/>
      <w:r w:rsidR="00AC57C3">
        <w:t>similar to</w:t>
      </w:r>
      <w:proofErr w:type="gramEnd"/>
      <w:r w:rsidR="00AC57C3">
        <w:t xml:space="preserve"> regulated storage fees in other Australian </w:t>
      </w:r>
      <w:proofErr w:type="gramStart"/>
      <w:r w:rsidR="00AC57C3">
        <w:t>jurisdictions</w:t>
      </w:r>
      <w:proofErr w:type="gramEnd"/>
      <w:r w:rsidR="00AC57C3">
        <w:t xml:space="preserve"> (Sydney, Adelaide, Queensland and Perth)</w:t>
      </w:r>
    </w:p>
    <w:p w14:paraId="367E11F2" w14:textId="231DCC2D" w:rsidR="00AC57C3" w:rsidRPr="00835B79" w:rsidRDefault="00054DBB" w:rsidP="00054DBB">
      <w:pPr>
        <w:pStyle w:val="ListBullet"/>
      </w:pPr>
      <w:r>
        <w:t>w</w:t>
      </w:r>
      <w:r w:rsidR="00AC57C3">
        <w:t>ithin range of unregulated storage fees for trade towing in Melbourne</w:t>
      </w:r>
      <w:r w:rsidR="009E05D5">
        <w:t>.</w:t>
      </w:r>
    </w:p>
    <w:p w14:paraId="1D833A1F" w14:textId="779F01E6" w:rsidR="00AC57C3" w:rsidRDefault="00AC57C3" w:rsidP="00AC57C3">
      <w:pPr>
        <w:pStyle w:val="Heading2"/>
      </w:pPr>
      <w:bookmarkStart w:id="32" w:name="_Toc195721874"/>
      <w:bookmarkStart w:id="33" w:name="_Toc197345230"/>
      <w:bookmarkStart w:id="34" w:name="_Toc197942400"/>
      <w:bookmarkStart w:id="35" w:name="_Toc197977673"/>
      <w:bookmarkStart w:id="36" w:name="_Toc198048662"/>
      <w:bookmarkStart w:id="37" w:name="_Toc199231535"/>
      <w:r>
        <w:t xml:space="preserve">Recommendation 3: </w:t>
      </w:r>
      <w:r w:rsidR="002968F9">
        <w:t xml:space="preserve">default </w:t>
      </w:r>
      <w:r>
        <w:t>productivity adjustment factor</w:t>
      </w:r>
      <w:r w:rsidR="002968F9">
        <w:t xml:space="preserve"> remains</w:t>
      </w:r>
      <w:bookmarkEnd w:id="32"/>
      <w:bookmarkEnd w:id="33"/>
      <w:bookmarkEnd w:id="34"/>
      <w:bookmarkEnd w:id="35"/>
      <w:bookmarkEnd w:id="36"/>
      <w:bookmarkEnd w:id="37"/>
    </w:p>
    <w:p w14:paraId="5C765412" w14:textId="46C4E01A" w:rsidR="00CA79A1" w:rsidRDefault="00CA79A1" w:rsidP="00CA79A1">
      <w:r w:rsidRPr="00FF5150">
        <w:t>The productivity adjustment factor should remain unchanged at 0.5 per cent.</w:t>
      </w:r>
    </w:p>
    <w:p w14:paraId="6207C7CF" w14:textId="12F75CA8" w:rsidR="00B023CD" w:rsidRPr="00A54D04" w:rsidRDefault="00121582" w:rsidP="004F57E4">
      <w:r>
        <w:t>P</w:t>
      </w:r>
      <w:r w:rsidR="00A02E3F">
        <w:t xml:space="preserve">roductivity growth </w:t>
      </w:r>
      <w:r>
        <w:t xml:space="preserve">(as measured by Australian Bureau of Statistics data) </w:t>
      </w:r>
      <w:r w:rsidR="00A02E3F">
        <w:t xml:space="preserve">has historically ranged </w:t>
      </w:r>
      <w:r w:rsidR="00A02E3F" w:rsidRPr="00A54D04">
        <w:t xml:space="preserve">from </w:t>
      </w:r>
      <w:r w:rsidR="00A24030">
        <w:t>-</w:t>
      </w:r>
      <w:r w:rsidR="00A02E3F" w:rsidRPr="00A54D04">
        <w:t>1.2</w:t>
      </w:r>
      <w:r w:rsidR="003911FD" w:rsidRPr="00A54D04">
        <w:t xml:space="preserve"> </w:t>
      </w:r>
      <w:r w:rsidR="00A02E3F" w:rsidRPr="00A54D04">
        <w:t xml:space="preserve">to </w:t>
      </w:r>
      <w:r w:rsidR="00351BDF" w:rsidRPr="00A54D04">
        <w:t>5.0</w:t>
      </w:r>
      <w:r w:rsidR="00A02E3F" w:rsidRPr="00A54D04">
        <w:t xml:space="preserve"> per cent. The default 0.5 per cent productivity adjustment factor specified in the </w:t>
      </w:r>
      <w:r w:rsidR="005C4340" w:rsidRPr="00A54D04">
        <w:t xml:space="preserve">Accident Towing Services </w:t>
      </w:r>
      <w:r w:rsidR="00A02E3F" w:rsidRPr="00A54D04">
        <w:t>Act falls within this range.</w:t>
      </w:r>
    </w:p>
    <w:p w14:paraId="5FAEE365" w14:textId="193C3C67" w:rsidR="00D61550" w:rsidRPr="00A54D04" w:rsidRDefault="00B023CD" w:rsidP="00CA79A1">
      <w:r w:rsidRPr="00A54D04">
        <w:lastRenderedPageBreak/>
        <w:t xml:space="preserve">We did </w:t>
      </w:r>
      <w:r w:rsidR="003A3A08">
        <w:t xml:space="preserve">not </w:t>
      </w:r>
      <w:r w:rsidR="009010CF">
        <w:t>find sufficient</w:t>
      </w:r>
      <w:r w:rsidRPr="00A54D04">
        <w:t xml:space="preserve"> evidence to recommend a different productivity adjustment factor.</w:t>
      </w:r>
    </w:p>
    <w:p w14:paraId="4E597C7F" w14:textId="2DC1FA58" w:rsidR="00AC57C3" w:rsidRPr="00A54D04" w:rsidRDefault="00AC57C3" w:rsidP="00AC57C3">
      <w:pPr>
        <w:pStyle w:val="Heading2"/>
      </w:pPr>
      <w:bookmarkStart w:id="38" w:name="_Toc195721875"/>
      <w:bookmarkStart w:id="39" w:name="_Toc197345231"/>
      <w:bookmarkStart w:id="40" w:name="_Toc197942401"/>
      <w:bookmarkStart w:id="41" w:name="_Toc197977674"/>
      <w:bookmarkStart w:id="42" w:name="_Toc198048663"/>
      <w:bookmarkStart w:id="43" w:name="_Toc199231536"/>
      <w:r w:rsidRPr="00A54D04">
        <w:t xml:space="preserve">Recommendation 4: basic salvage services </w:t>
      </w:r>
      <w:r w:rsidR="00E41E51" w:rsidRPr="00A54D04">
        <w:t>not subject to determination</w:t>
      </w:r>
      <w:bookmarkEnd w:id="38"/>
      <w:bookmarkEnd w:id="39"/>
      <w:bookmarkEnd w:id="40"/>
      <w:bookmarkEnd w:id="41"/>
      <w:bookmarkEnd w:id="42"/>
      <w:bookmarkEnd w:id="43"/>
    </w:p>
    <w:p w14:paraId="68C90434" w14:textId="2178FAB5" w:rsidR="00EB3856" w:rsidRPr="00A54D04" w:rsidRDefault="00AC57C3" w:rsidP="00643079">
      <w:r w:rsidRPr="00A54D04">
        <w:t xml:space="preserve">Basic salvage services should not be subject to a determination under </w:t>
      </w:r>
      <w:r w:rsidR="0060215B" w:rsidRPr="00A54D04">
        <w:t>section</w:t>
      </w:r>
      <w:r w:rsidRPr="00A54D04">
        <w:t xml:space="preserve"> 211 of the Accident Towing Services Act.</w:t>
      </w:r>
      <w:r w:rsidR="0027049F" w:rsidRPr="0027049F">
        <w:t xml:space="preserve"> </w:t>
      </w:r>
      <w:r w:rsidR="0027049F" w:rsidRPr="00A54D04">
        <w:t xml:space="preserve">We </w:t>
      </w:r>
      <w:r w:rsidR="0027049F">
        <w:t>found no evidence or information that indicates</w:t>
      </w:r>
      <w:r w:rsidR="0027049F" w:rsidRPr="00A54D04">
        <w:t xml:space="preserve"> </w:t>
      </w:r>
      <w:r w:rsidR="0027049F">
        <w:t>current</w:t>
      </w:r>
      <w:r w:rsidR="0027049F" w:rsidRPr="00A54D04">
        <w:t xml:space="preserve"> salvage fees are unreasonable</w:t>
      </w:r>
      <w:r w:rsidR="0027049F">
        <w:t>.</w:t>
      </w:r>
      <w:bookmarkEnd w:id="13"/>
      <w:bookmarkEnd w:id="14"/>
      <w:bookmarkEnd w:id="15"/>
    </w:p>
    <w:p w14:paraId="76D6F633" w14:textId="09CFC964" w:rsidR="007077BE" w:rsidRPr="00A54D04" w:rsidRDefault="006C6AF9" w:rsidP="007077BE">
      <w:pPr>
        <w:pStyle w:val="Heading2"/>
      </w:pPr>
      <w:bookmarkStart w:id="44" w:name="_Toc197345232"/>
      <w:bookmarkStart w:id="45" w:name="_Toc197942402"/>
      <w:bookmarkStart w:id="46" w:name="_Toc197977675"/>
      <w:bookmarkStart w:id="47" w:name="_Toc198048664"/>
      <w:bookmarkStart w:id="48" w:name="_Toc199231537"/>
      <w:bookmarkStart w:id="49" w:name="_Toc195721876"/>
      <w:r w:rsidRPr="00A54D04">
        <w:t xml:space="preserve">Current </w:t>
      </w:r>
      <w:r w:rsidR="007077BE" w:rsidRPr="00A54D04">
        <w:t>fees</w:t>
      </w:r>
      <w:r w:rsidR="00642B11" w:rsidRPr="00A54D04">
        <w:t xml:space="preserve"> </w:t>
      </w:r>
      <w:r w:rsidRPr="00A54D04">
        <w:t xml:space="preserve">apply until </w:t>
      </w:r>
      <w:r w:rsidR="00992008">
        <w:t>m</w:t>
      </w:r>
      <w:r w:rsidRPr="00A54D04">
        <w:t>inister makes new determination</w:t>
      </w:r>
      <w:bookmarkEnd w:id="44"/>
      <w:bookmarkEnd w:id="45"/>
      <w:bookmarkEnd w:id="46"/>
      <w:bookmarkEnd w:id="47"/>
      <w:bookmarkEnd w:id="48"/>
      <w:r w:rsidRPr="00A54D04">
        <w:t xml:space="preserve"> </w:t>
      </w:r>
      <w:bookmarkEnd w:id="49"/>
    </w:p>
    <w:p w14:paraId="60A33058" w14:textId="01902B19" w:rsidR="006C6AF9" w:rsidRPr="00A54D04" w:rsidRDefault="0027049F" w:rsidP="006C6AF9">
      <w:r>
        <w:t>The c</w:t>
      </w:r>
      <w:r w:rsidR="006C6AF9" w:rsidRPr="00A54D04">
        <w:t xml:space="preserve">urrent regulated </w:t>
      </w:r>
      <w:r w:rsidR="00797886">
        <w:t xml:space="preserve">accident towing and storage </w:t>
      </w:r>
      <w:r w:rsidR="006C6AF9" w:rsidRPr="00A54D04">
        <w:t>fees (see Table 1) and indexation arrangements continue to apply until the minister makes a new fee determination.</w:t>
      </w:r>
    </w:p>
    <w:p w14:paraId="574AE414" w14:textId="18D3BF01" w:rsidR="004875E2" w:rsidRPr="00A54D04" w:rsidRDefault="003D71A1" w:rsidP="000A6BD0">
      <w:r>
        <w:t xml:space="preserve">The </w:t>
      </w:r>
      <w:r w:rsidR="004875E2" w:rsidRPr="00A54D04">
        <w:t xml:space="preserve">Australian Bureau of </w:t>
      </w:r>
      <w:r w:rsidR="0039611D" w:rsidRPr="00A54D04">
        <w:t>S</w:t>
      </w:r>
      <w:r w:rsidR="004875E2" w:rsidRPr="00A54D04">
        <w:t xml:space="preserve">tatistics </w:t>
      </w:r>
      <w:r w:rsidR="008262F0">
        <w:t>released data</w:t>
      </w:r>
      <w:r w:rsidR="008262F0" w:rsidRPr="008262F0">
        <w:t xml:space="preserve"> </w:t>
      </w:r>
      <w:r w:rsidR="008262F0" w:rsidRPr="00A54D04">
        <w:t xml:space="preserve">on 30 April 2025 </w:t>
      </w:r>
      <w:r>
        <w:t xml:space="preserve">that </w:t>
      </w:r>
      <w:r w:rsidR="008262F0">
        <w:t>indicat</w:t>
      </w:r>
      <w:r w:rsidR="0027049F">
        <w:t>ed</w:t>
      </w:r>
      <w:r w:rsidR="008262F0">
        <w:t xml:space="preserve"> </w:t>
      </w:r>
      <w:r w:rsidR="004875E2" w:rsidRPr="00A54D04">
        <w:t xml:space="preserve">the </w:t>
      </w:r>
      <w:r w:rsidR="008C3EBA" w:rsidRPr="00A54D04">
        <w:t xml:space="preserve">Melbourne </w:t>
      </w:r>
      <w:r w:rsidR="004875E2" w:rsidRPr="00A54D04">
        <w:t xml:space="preserve">Transport </w:t>
      </w:r>
      <w:r w:rsidR="00130485">
        <w:t xml:space="preserve">consumer price index </w:t>
      </w:r>
      <w:r w:rsidR="00593AC5" w:rsidRPr="00A54D04">
        <w:t xml:space="preserve">was </w:t>
      </w:r>
      <w:r w:rsidR="00A24030">
        <w:t>-</w:t>
      </w:r>
      <w:r w:rsidR="00593AC5" w:rsidRPr="00A54D04">
        <w:t>1.3 per cent</w:t>
      </w:r>
      <w:r w:rsidR="008262F0">
        <w:t xml:space="preserve"> </w:t>
      </w:r>
      <w:r w:rsidR="0027049F">
        <w:t>in</w:t>
      </w:r>
      <w:r w:rsidR="008262F0">
        <w:t xml:space="preserve"> the </w:t>
      </w:r>
      <w:r w:rsidR="0027049F">
        <w:t>year</w:t>
      </w:r>
      <w:r w:rsidR="008262F0">
        <w:t xml:space="preserve"> to March 2025</w:t>
      </w:r>
      <w:r w:rsidR="004875E2" w:rsidRPr="00A54D04">
        <w:t>.</w:t>
      </w:r>
      <w:r w:rsidR="000A6BD0" w:rsidRPr="00A54D04">
        <w:t xml:space="preserve"> This means that if the minister accepts our recommendations, the regulated fees for</w:t>
      </w:r>
      <w:r w:rsidR="004875E2" w:rsidRPr="00A54D04">
        <w:t xml:space="preserve"> 2025–26</w:t>
      </w:r>
      <w:r w:rsidR="000A6BD0" w:rsidRPr="00A54D04">
        <w:t xml:space="preserve"> </w:t>
      </w:r>
      <w:r w:rsidR="004875E2" w:rsidRPr="00A54D04">
        <w:t>w</w:t>
      </w:r>
      <w:r w:rsidR="000A6BD0" w:rsidRPr="00A54D04">
        <w:t>ould</w:t>
      </w:r>
      <w:r w:rsidR="004875E2" w:rsidRPr="00A54D04">
        <w:t xml:space="preserve"> be the same as those f</w:t>
      </w:r>
      <w:r w:rsidR="000A6BD0" w:rsidRPr="00A54D04">
        <w:t>or</w:t>
      </w:r>
      <w:r w:rsidR="004875E2" w:rsidRPr="00A54D04">
        <w:t xml:space="preserve"> 2024–25</w:t>
      </w:r>
      <w:r w:rsidR="000A6BD0" w:rsidRPr="00A54D04">
        <w:t>.</w:t>
      </w:r>
      <w:r w:rsidR="004F57E4">
        <w:rPr>
          <w:rStyle w:val="FootnoteReference"/>
        </w:rPr>
        <w:footnoteReference w:id="7"/>
      </w:r>
    </w:p>
    <w:p w14:paraId="6F827DA0" w14:textId="734EBD86" w:rsidR="006C6AF9" w:rsidRPr="00A54D04" w:rsidRDefault="0039611D" w:rsidP="00B85B8D">
      <w:pPr>
        <w:pStyle w:val="Figure-Table-BoxHeading"/>
        <w:numPr>
          <w:ilvl w:val="0"/>
          <w:numId w:val="0"/>
        </w:numPr>
        <w:spacing w:after="0"/>
      </w:pPr>
      <w:r w:rsidRPr="00A54D04">
        <w:t xml:space="preserve">Table 1. </w:t>
      </w:r>
      <w:r w:rsidR="006C6AF9" w:rsidRPr="00A54D04">
        <w:t xml:space="preserve">Regulated fees and charges in the Melbourne controlled area </w:t>
      </w:r>
      <w:r w:rsidRPr="00A54D04">
        <w:t>(</w:t>
      </w:r>
      <w:r w:rsidR="006C6AF9" w:rsidRPr="00A54D04">
        <w:t>2024–25</w:t>
      </w:r>
      <w:r w:rsidRPr="00A54D04">
        <w:t>)</w:t>
      </w:r>
    </w:p>
    <w:tbl>
      <w:tblPr>
        <w:tblStyle w:val="TableGrid"/>
        <w:tblW w:w="0" w:type="auto"/>
        <w:tblLook w:val="04A0" w:firstRow="1" w:lastRow="0" w:firstColumn="1" w:lastColumn="0" w:noHBand="0" w:noVBand="1"/>
      </w:tblPr>
      <w:tblGrid>
        <w:gridCol w:w="8036"/>
        <w:gridCol w:w="1602"/>
      </w:tblGrid>
      <w:tr w:rsidR="006C6AF9" w:rsidRPr="00A54D04" w14:paraId="34B72EEE" w14:textId="77777777" w:rsidTr="00BC165D">
        <w:trPr>
          <w:cnfStyle w:val="100000000000" w:firstRow="1" w:lastRow="0" w:firstColumn="0" w:lastColumn="0" w:oddVBand="0" w:evenVBand="0" w:oddHBand="0" w:evenHBand="0" w:firstRowFirstColumn="0" w:firstRowLastColumn="0" w:lastRowFirstColumn="0" w:lastRowLastColumn="0"/>
        </w:trPr>
        <w:tc>
          <w:tcPr>
            <w:tcW w:w="8165" w:type="dxa"/>
          </w:tcPr>
          <w:p w14:paraId="7C1A6546" w14:textId="77777777" w:rsidR="006C6AF9" w:rsidRPr="00A54D04" w:rsidRDefault="006C6AF9" w:rsidP="00BC165D">
            <w:pPr>
              <w:pStyle w:val="TableBody"/>
            </w:pPr>
            <w:r w:rsidRPr="00A54D04">
              <w:t>Fee or charge description</w:t>
            </w:r>
          </w:p>
        </w:tc>
        <w:tc>
          <w:tcPr>
            <w:tcW w:w="1615" w:type="dxa"/>
          </w:tcPr>
          <w:p w14:paraId="1BAC1BE7" w14:textId="77777777" w:rsidR="006C6AF9" w:rsidRPr="00A54D04" w:rsidRDefault="006C6AF9" w:rsidP="00BC165D">
            <w:pPr>
              <w:pStyle w:val="TableBody"/>
            </w:pPr>
            <w:r w:rsidRPr="00A54D04">
              <w:t xml:space="preserve">Charge </w:t>
            </w:r>
            <w:r w:rsidRPr="00A54D04">
              <w:br/>
              <w:t>($ incl. GST)</w:t>
            </w:r>
          </w:p>
        </w:tc>
      </w:tr>
      <w:tr w:rsidR="006C6AF9" w:rsidRPr="00A54D04" w14:paraId="5E238CFC" w14:textId="77777777" w:rsidTr="00BC165D">
        <w:trPr>
          <w:cnfStyle w:val="000000100000" w:firstRow="0" w:lastRow="0" w:firstColumn="0" w:lastColumn="0" w:oddVBand="0" w:evenVBand="0" w:oddHBand="1" w:evenHBand="0" w:firstRowFirstColumn="0" w:firstRowLastColumn="0" w:lastRowFirstColumn="0" w:lastRowLastColumn="0"/>
        </w:trPr>
        <w:tc>
          <w:tcPr>
            <w:tcW w:w="8165" w:type="dxa"/>
          </w:tcPr>
          <w:p w14:paraId="72903B45" w14:textId="77777777" w:rsidR="006C6AF9" w:rsidRPr="00A54D04" w:rsidRDefault="006C6AF9" w:rsidP="00BC165D">
            <w:pPr>
              <w:pStyle w:val="TableBody"/>
              <w:rPr>
                <w:b/>
              </w:rPr>
            </w:pPr>
            <w:r w:rsidRPr="00A54D04">
              <w:rPr>
                <w:b/>
              </w:rPr>
              <w:t>Towing fees</w:t>
            </w:r>
          </w:p>
        </w:tc>
        <w:tc>
          <w:tcPr>
            <w:tcW w:w="1615" w:type="dxa"/>
          </w:tcPr>
          <w:p w14:paraId="223ECBF7" w14:textId="77777777" w:rsidR="006C6AF9" w:rsidRPr="00A54D04" w:rsidRDefault="006C6AF9" w:rsidP="00BC165D">
            <w:pPr>
              <w:pStyle w:val="TableBody"/>
            </w:pPr>
          </w:p>
        </w:tc>
      </w:tr>
      <w:tr w:rsidR="006C6AF9" w:rsidRPr="00A54D04" w14:paraId="35863047" w14:textId="77777777" w:rsidTr="00BC165D">
        <w:trPr>
          <w:cnfStyle w:val="000000010000" w:firstRow="0" w:lastRow="0" w:firstColumn="0" w:lastColumn="0" w:oddVBand="0" w:evenVBand="0" w:oddHBand="0" w:evenHBand="1" w:firstRowFirstColumn="0" w:firstRowLastColumn="0" w:lastRowFirstColumn="0" w:lastRowLastColumn="0"/>
        </w:trPr>
        <w:tc>
          <w:tcPr>
            <w:tcW w:w="8165" w:type="dxa"/>
          </w:tcPr>
          <w:p w14:paraId="14E4799D" w14:textId="77777777" w:rsidR="006C6AF9" w:rsidRPr="00A54D04" w:rsidRDefault="006C6AF9" w:rsidP="00BC165D">
            <w:pPr>
              <w:pStyle w:val="TableBody"/>
            </w:pPr>
            <w:r w:rsidRPr="00A54D04">
              <w:t>Base fee (including first 8 km travel by tow truck)</w:t>
            </w:r>
          </w:p>
        </w:tc>
        <w:tc>
          <w:tcPr>
            <w:tcW w:w="1615" w:type="dxa"/>
          </w:tcPr>
          <w:p w14:paraId="1C1A3C40" w14:textId="77777777" w:rsidR="006C6AF9" w:rsidRPr="00A54D04" w:rsidRDefault="006C6AF9" w:rsidP="00BC165D">
            <w:pPr>
              <w:pStyle w:val="TableBody"/>
              <w:jc w:val="right"/>
            </w:pPr>
            <w:r w:rsidRPr="00A54D04">
              <w:t>272.80</w:t>
            </w:r>
          </w:p>
        </w:tc>
      </w:tr>
      <w:tr w:rsidR="006C6AF9" w:rsidRPr="00A54D04" w14:paraId="7B81D286" w14:textId="77777777" w:rsidTr="00BC165D">
        <w:trPr>
          <w:cnfStyle w:val="000000100000" w:firstRow="0" w:lastRow="0" w:firstColumn="0" w:lastColumn="0" w:oddVBand="0" w:evenVBand="0" w:oddHBand="1" w:evenHBand="0" w:firstRowFirstColumn="0" w:firstRowLastColumn="0" w:lastRowFirstColumn="0" w:lastRowLastColumn="0"/>
        </w:trPr>
        <w:tc>
          <w:tcPr>
            <w:tcW w:w="8165" w:type="dxa"/>
          </w:tcPr>
          <w:p w14:paraId="77F6E324" w14:textId="77777777" w:rsidR="006C6AF9" w:rsidRPr="00A54D04" w:rsidRDefault="006C6AF9" w:rsidP="00BC165D">
            <w:pPr>
              <w:pStyle w:val="TableBody"/>
            </w:pPr>
            <w:r w:rsidRPr="00A54D04">
              <w:t xml:space="preserve">Additional fee per </w:t>
            </w:r>
            <w:r w:rsidRPr="00A54D04">
              <w:rPr>
                <w:lang w:val="en-AU"/>
              </w:rPr>
              <w:t>kilometre</w:t>
            </w:r>
            <w:r w:rsidRPr="00A54D04">
              <w:t xml:space="preserve"> beyond 8 km </w:t>
            </w:r>
          </w:p>
        </w:tc>
        <w:tc>
          <w:tcPr>
            <w:tcW w:w="1615" w:type="dxa"/>
          </w:tcPr>
          <w:p w14:paraId="5574C3A1" w14:textId="77777777" w:rsidR="006C6AF9" w:rsidRPr="00A54D04" w:rsidRDefault="006C6AF9" w:rsidP="00BC165D">
            <w:pPr>
              <w:pStyle w:val="TableBody"/>
              <w:jc w:val="right"/>
            </w:pPr>
            <w:r w:rsidRPr="00A54D04">
              <w:t>4.30</w:t>
            </w:r>
          </w:p>
        </w:tc>
      </w:tr>
      <w:tr w:rsidR="006C6AF9" w:rsidRPr="00A54D04" w14:paraId="5846B53A" w14:textId="77777777" w:rsidTr="00BC165D">
        <w:trPr>
          <w:cnfStyle w:val="000000010000" w:firstRow="0" w:lastRow="0" w:firstColumn="0" w:lastColumn="0" w:oddVBand="0" w:evenVBand="0" w:oddHBand="0" w:evenHBand="1" w:firstRowFirstColumn="0" w:firstRowLastColumn="0" w:lastRowFirstColumn="0" w:lastRowLastColumn="0"/>
        </w:trPr>
        <w:tc>
          <w:tcPr>
            <w:tcW w:w="8165" w:type="dxa"/>
          </w:tcPr>
          <w:p w14:paraId="3E76531E" w14:textId="77777777" w:rsidR="006C6AF9" w:rsidRPr="00A54D04" w:rsidRDefault="006C6AF9" w:rsidP="00BC165D">
            <w:pPr>
              <w:pStyle w:val="TableBody"/>
              <w:rPr>
                <w:vertAlign w:val="superscript"/>
              </w:rPr>
            </w:pPr>
            <w:r w:rsidRPr="00A54D04">
              <w:t>After hours surcharge</w:t>
            </w:r>
            <w:r w:rsidRPr="00A54D04">
              <w:rPr>
                <w:vertAlign w:val="superscript"/>
              </w:rPr>
              <w:t>*</w:t>
            </w:r>
          </w:p>
        </w:tc>
        <w:tc>
          <w:tcPr>
            <w:tcW w:w="1615" w:type="dxa"/>
          </w:tcPr>
          <w:p w14:paraId="5C5F8A3A" w14:textId="77777777" w:rsidR="006C6AF9" w:rsidRPr="00A54D04" w:rsidRDefault="006C6AF9" w:rsidP="00BC165D">
            <w:pPr>
              <w:pStyle w:val="TableBody"/>
              <w:jc w:val="right"/>
            </w:pPr>
            <w:r w:rsidRPr="00A54D04">
              <w:t>93.10</w:t>
            </w:r>
          </w:p>
        </w:tc>
      </w:tr>
      <w:tr w:rsidR="006C6AF9" w:rsidRPr="00A54D04" w14:paraId="24C66AA9" w14:textId="77777777" w:rsidTr="00BC165D">
        <w:trPr>
          <w:cnfStyle w:val="000000100000" w:firstRow="0" w:lastRow="0" w:firstColumn="0" w:lastColumn="0" w:oddVBand="0" w:evenVBand="0" w:oddHBand="1" w:evenHBand="0" w:firstRowFirstColumn="0" w:firstRowLastColumn="0" w:lastRowFirstColumn="0" w:lastRowLastColumn="0"/>
        </w:trPr>
        <w:tc>
          <w:tcPr>
            <w:tcW w:w="8165" w:type="dxa"/>
          </w:tcPr>
          <w:p w14:paraId="2BA349F6" w14:textId="77777777" w:rsidR="006C6AF9" w:rsidRPr="00A54D04" w:rsidRDefault="006C6AF9" w:rsidP="00BC165D">
            <w:pPr>
              <w:pStyle w:val="TableBody"/>
              <w:rPr>
                <w:b/>
              </w:rPr>
            </w:pPr>
            <w:r w:rsidRPr="00A54D04">
              <w:rPr>
                <w:b/>
              </w:rPr>
              <w:t>Storage fees (charge per day)</w:t>
            </w:r>
          </w:p>
        </w:tc>
        <w:tc>
          <w:tcPr>
            <w:tcW w:w="1615" w:type="dxa"/>
          </w:tcPr>
          <w:p w14:paraId="32593EAE" w14:textId="77777777" w:rsidR="006C6AF9" w:rsidRPr="00A54D04" w:rsidRDefault="006C6AF9" w:rsidP="00BC165D">
            <w:pPr>
              <w:pStyle w:val="TableBody"/>
              <w:jc w:val="right"/>
            </w:pPr>
          </w:p>
        </w:tc>
      </w:tr>
      <w:tr w:rsidR="006C6AF9" w:rsidRPr="00A54D04" w14:paraId="16438C39" w14:textId="77777777" w:rsidTr="00BC165D">
        <w:trPr>
          <w:cnfStyle w:val="000000010000" w:firstRow="0" w:lastRow="0" w:firstColumn="0" w:lastColumn="0" w:oddVBand="0" w:evenVBand="0" w:oddHBand="0" w:evenHBand="1" w:firstRowFirstColumn="0" w:firstRowLastColumn="0" w:lastRowFirstColumn="0" w:lastRowLastColumn="0"/>
        </w:trPr>
        <w:tc>
          <w:tcPr>
            <w:tcW w:w="8165" w:type="dxa"/>
          </w:tcPr>
          <w:p w14:paraId="6AF699E0" w14:textId="77777777" w:rsidR="006C6AF9" w:rsidRPr="00A54D04" w:rsidRDefault="006C6AF9" w:rsidP="00BC165D">
            <w:pPr>
              <w:pStyle w:val="TableBody"/>
            </w:pPr>
            <w:r w:rsidRPr="00A54D04">
              <w:t>Car – under cover</w:t>
            </w:r>
          </w:p>
        </w:tc>
        <w:tc>
          <w:tcPr>
            <w:tcW w:w="1615" w:type="dxa"/>
          </w:tcPr>
          <w:p w14:paraId="117A2754" w14:textId="77777777" w:rsidR="006C6AF9" w:rsidRPr="00A54D04" w:rsidRDefault="006C6AF9" w:rsidP="00BC165D">
            <w:pPr>
              <w:pStyle w:val="TableBody"/>
              <w:jc w:val="right"/>
            </w:pPr>
            <w:r w:rsidRPr="00A54D04">
              <w:t>30.90</w:t>
            </w:r>
          </w:p>
        </w:tc>
      </w:tr>
      <w:tr w:rsidR="006C6AF9" w:rsidRPr="00A54D04" w14:paraId="4CA8136B" w14:textId="77777777" w:rsidTr="00BC165D">
        <w:trPr>
          <w:cnfStyle w:val="000000100000" w:firstRow="0" w:lastRow="0" w:firstColumn="0" w:lastColumn="0" w:oddVBand="0" w:evenVBand="0" w:oddHBand="1" w:evenHBand="0" w:firstRowFirstColumn="0" w:firstRowLastColumn="0" w:lastRowFirstColumn="0" w:lastRowLastColumn="0"/>
        </w:trPr>
        <w:tc>
          <w:tcPr>
            <w:tcW w:w="8165" w:type="dxa"/>
          </w:tcPr>
          <w:p w14:paraId="38671DDB" w14:textId="77777777" w:rsidR="006C6AF9" w:rsidRPr="00A54D04" w:rsidRDefault="006C6AF9" w:rsidP="00BC165D">
            <w:pPr>
              <w:pStyle w:val="TableBody"/>
            </w:pPr>
            <w:r w:rsidRPr="00A54D04">
              <w:t>Car – in locked yard</w:t>
            </w:r>
          </w:p>
        </w:tc>
        <w:tc>
          <w:tcPr>
            <w:tcW w:w="1615" w:type="dxa"/>
          </w:tcPr>
          <w:p w14:paraId="66F12868" w14:textId="77777777" w:rsidR="006C6AF9" w:rsidRPr="00A54D04" w:rsidRDefault="006C6AF9" w:rsidP="00BC165D">
            <w:pPr>
              <w:pStyle w:val="TableBody"/>
              <w:jc w:val="right"/>
            </w:pPr>
            <w:r w:rsidRPr="00A54D04">
              <w:t>20.90</w:t>
            </w:r>
          </w:p>
        </w:tc>
      </w:tr>
      <w:tr w:rsidR="006C6AF9" w:rsidRPr="00A54D04" w14:paraId="628E84EE" w14:textId="77777777" w:rsidTr="00BC165D">
        <w:trPr>
          <w:cnfStyle w:val="000000010000" w:firstRow="0" w:lastRow="0" w:firstColumn="0" w:lastColumn="0" w:oddVBand="0" w:evenVBand="0" w:oddHBand="0" w:evenHBand="1" w:firstRowFirstColumn="0" w:firstRowLastColumn="0" w:lastRowFirstColumn="0" w:lastRowLastColumn="0"/>
        </w:trPr>
        <w:tc>
          <w:tcPr>
            <w:tcW w:w="8165" w:type="dxa"/>
          </w:tcPr>
          <w:p w14:paraId="66FDD074" w14:textId="77777777" w:rsidR="006C6AF9" w:rsidRPr="00A54D04" w:rsidRDefault="006C6AF9" w:rsidP="00BC165D">
            <w:pPr>
              <w:pStyle w:val="TableBody"/>
            </w:pPr>
            <w:r w:rsidRPr="00A54D04">
              <w:t>Motorcycle – under cover</w:t>
            </w:r>
          </w:p>
        </w:tc>
        <w:tc>
          <w:tcPr>
            <w:tcW w:w="1615" w:type="dxa"/>
          </w:tcPr>
          <w:p w14:paraId="3232D127" w14:textId="77777777" w:rsidR="006C6AF9" w:rsidRPr="00A54D04" w:rsidRDefault="006C6AF9" w:rsidP="00BC165D">
            <w:pPr>
              <w:pStyle w:val="TableBody"/>
              <w:jc w:val="right"/>
            </w:pPr>
            <w:r w:rsidRPr="00A54D04">
              <w:t>10.20</w:t>
            </w:r>
          </w:p>
        </w:tc>
      </w:tr>
      <w:tr w:rsidR="006C6AF9" w:rsidRPr="00A54D04" w14:paraId="5A18E013" w14:textId="77777777" w:rsidTr="00BC165D">
        <w:trPr>
          <w:cnfStyle w:val="000000100000" w:firstRow="0" w:lastRow="0" w:firstColumn="0" w:lastColumn="0" w:oddVBand="0" w:evenVBand="0" w:oddHBand="1" w:evenHBand="0" w:firstRowFirstColumn="0" w:firstRowLastColumn="0" w:lastRowFirstColumn="0" w:lastRowLastColumn="0"/>
        </w:trPr>
        <w:tc>
          <w:tcPr>
            <w:tcW w:w="8165" w:type="dxa"/>
          </w:tcPr>
          <w:p w14:paraId="108E8E68" w14:textId="77777777" w:rsidR="006C6AF9" w:rsidRPr="00A54D04" w:rsidRDefault="006C6AF9" w:rsidP="00BC165D">
            <w:pPr>
              <w:pStyle w:val="TableBody"/>
            </w:pPr>
            <w:r w:rsidRPr="00A54D04">
              <w:t>Motorcycle – in locked yard</w:t>
            </w:r>
          </w:p>
        </w:tc>
        <w:tc>
          <w:tcPr>
            <w:tcW w:w="1615" w:type="dxa"/>
          </w:tcPr>
          <w:p w14:paraId="47F9ED7E" w14:textId="77777777" w:rsidR="006C6AF9" w:rsidRPr="00A54D04" w:rsidRDefault="006C6AF9" w:rsidP="00BC165D">
            <w:pPr>
              <w:pStyle w:val="TableBody"/>
              <w:jc w:val="right"/>
            </w:pPr>
            <w:r w:rsidRPr="00A54D04">
              <w:t>6.50</w:t>
            </w:r>
          </w:p>
        </w:tc>
      </w:tr>
    </w:tbl>
    <w:p w14:paraId="075928ED" w14:textId="77777777" w:rsidR="006C6AF9" w:rsidRPr="00A54D04" w:rsidRDefault="006C6AF9" w:rsidP="006C6AF9">
      <w:pPr>
        <w:pStyle w:val="Source"/>
        <w:jc w:val="left"/>
      </w:pPr>
      <w:r w:rsidRPr="00A54D04">
        <w:t>* Applies 5 pm to 8 pm Monday to Friday, 5 pm Friday to 8 am Monday, and midnight to midnight on public holidays.</w:t>
      </w:r>
    </w:p>
    <w:p w14:paraId="764FFFB1" w14:textId="23833FB1" w:rsidR="002D495E" w:rsidRPr="00A54D04" w:rsidRDefault="0083429D" w:rsidP="002B5F61">
      <w:pPr>
        <w:pStyle w:val="Heading2"/>
      </w:pPr>
      <w:bookmarkStart w:id="50" w:name="_Toc195721877"/>
      <w:bookmarkStart w:id="51" w:name="_Toc197345233"/>
      <w:bookmarkStart w:id="52" w:name="_Toc197942403"/>
      <w:bookmarkStart w:id="53" w:name="_Toc197977676"/>
      <w:bookmarkStart w:id="54" w:name="_Toc198048665"/>
      <w:bookmarkStart w:id="55" w:name="_Toc199231538"/>
      <w:r w:rsidRPr="00A54D04">
        <w:lastRenderedPageBreak/>
        <w:t>Our regulatory role</w:t>
      </w:r>
      <w:bookmarkEnd w:id="50"/>
      <w:bookmarkEnd w:id="51"/>
      <w:bookmarkEnd w:id="52"/>
      <w:bookmarkEnd w:id="53"/>
      <w:bookmarkEnd w:id="54"/>
      <w:bookmarkEnd w:id="55"/>
      <w:r w:rsidRPr="00A54D04">
        <w:t xml:space="preserve"> </w:t>
      </w:r>
    </w:p>
    <w:p w14:paraId="0A1EDAE0" w14:textId="77777777" w:rsidR="002D495E" w:rsidRPr="00A54D04" w:rsidRDefault="002D495E" w:rsidP="002D495E">
      <w:r w:rsidRPr="00A54D04">
        <w:t>Every four years, we conduct a review and make recommendations to the Minister for Roads and Road Safety about:</w:t>
      </w:r>
    </w:p>
    <w:p w14:paraId="5CBF7101" w14:textId="47B22EC8" w:rsidR="002D495E" w:rsidRPr="00A54D04" w:rsidRDefault="002D495E" w:rsidP="00EC5E90">
      <w:pPr>
        <w:pStyle w:val="ListBullet"/>
      </w:pPr>
      <w:r w:rsidRPr="00A54D04">
        <w:t xml:space="preserve">whether </w:t>
      </w:r>
      <w:r w:rsidR="00721532">
        <w:t xml:space="preserve">current </w:t>
      </w:r>
      <w:r w:rsidRPr="00A54D04">
        <w:t>accident towing and storage fees are appropriate</w:t>
      </w:r>
    </w:p>
    <w:p w14:paraId="26C54B36" w14:textId="3B2954FD" w:rsidR="00C604FF" w:rsidRPr="00A54D04" w:rsidRDefault="00C604FF" w:rsidP="00EC5E90">
      <w:pPr>
        <w:pStyle w:val="ListBullet"/>
      </w:pPr>
      <w:r>
        <w:t>a figure for the productivity adjustment factor to apply to fees</w:t>
      </w:r>
    </w:p>
    <w:p w14:paraId="6BFB177B" w14:textId="715A7E1F" w:rsidR="00A33FF5" w:rsidRPr="00A54D04" w:rsidRDefault="002D495E" w:rsidP="00A33FF5">
      <w:pPr>
        <w:pStyle w:val="ListBullet"/>
      </w:pPr>
      <w:r w:rsidRPr="00A54D04">
        <w:t xml:space="preserve">whether </w:t>
      </w:r>
      <w:r w:rsidR="00721532" w:rsidRPr="00A54D04">
        <w:t xml:space="preserve">salvage </w:t>
      </w:r>
      <w:r w:rsidRPr="00A54D04">
        <w:t>fees should be regulated.</w:t>
      </w:r>
      <w:r w:rsidR="00715EE2">
        <w:rPr>
          <w:rStyle w:val="FootnoteReference"/>
        </w:rPr>
        <w:footnoteReference w:id="8"/>
      </w:r>
    </w:p>
    <w:p w14:paraId="13DE6A93" w14:textId="2C67B8B3" w:rsidR="001610E4" w:rsidRPr="00A54D04" w:rsidRDefault="005C7964" w:rsidP="002D495E">
      <w:r w:rsidRPr="00A54D04">
        <w:t xml:space="preserve">The </w:t>
      </w:r>
      <w:r w:rsidR="00C72078">
        <w:t xml:space="preserve">Accident Towing Services </w:t>
      </w:r>
      <w:r w:rsidRPr="00A54D04">
        <w:t>Act limits the scope of our review</w:t>
      </w:r>
      <w:r w:rsidR="007D1E0C" w:rsidRPr="00A54D04">
        <w:t xml:space="preserve"> to regular vehicles (less than four tonnes) in the Melbourne controlled area (within metropolitan Melbourne) only.</w:t>
      </w:r>
      <w:r w:rsidR="007D1E0C" w:rsidRPr="00A54D04">
        <w:rPr>
          <w:rStyle w:val="FootnoteReference"/>
        </w:rPr>
        <w:footnoteReference w:id="9"/>
      </w:r>
      <w:r w:rsidR="007D1E0C" w:rsidRPr="00A54D04">
        <w:t xml:space="preserve"> </w:t>
      </w:r>
    </w:p>
    <w:p w14:paraId="14B46DE5" w14:textId="1CEF05FA" w:rsidR="002D495E" w:rsidRPr="00A54D04" w:rsidRDefault="002369D1" w:rsidP="002D495E">
      <w:r>
        <w:t>M</w:t>
      </w:r>
      <w:r w:rsidR="005C7964" w:rsidRPr="00A54D04">
        <w:t>atters</w:t>
      </w:r>
      <w:r>
        <w:t xml:space="preserve"> not within scope of</w:t>
      </w:r>
      <w:r w:rsidR="00326BC7" w:rsidRPr="00A54D04">
        <w:t xml:space="preserve"> our review</w:t>
      </w:r>
      <w:r w:rsidR="00583C21" w:rsidRPr="00A54D04">
        <w:t xml:space="preserve"> include</w:t>
      </w:r>
      <w:r w:rsidR="002D495E" w:rsidRPr="00A54D04">
        <w:t xml:space="preserve"> fees for heavy vehicle and trade towing, licence boundar</w:t>
      </w:r>
      <w:r w:rsidR="003B6A84" w:rsidRPr="00A54D04">
        <w:t>y amendments</w:t>
      </w:r>
      <w:r w:rsidR="002D495E" w:rsidRPr="00A54D04">
        <w:t xml:space="preserve">, </w:t>
      </w:r>
      <w:r w:rsidR="003B6A84" w:rsidRPr="00A54D04">
        <w:t xml:space="preserve">operation of </w:t>
      </w:r>
      <w:r w:rsidR="002D495E" w:rsidRPr="00A54D04">
        <w:t xml:space="preserve">the accident allocation scheme </w:t>
      </w:r>
      <w:r w:rsidR="00E44ECB" w:rsidRPr="00A54D04">
        <w:t>and</w:t>
      </w:r>
      <w:r w:rsidR="002D495E" w:rsidRPr="00A54D04">
        <w:t xml:space="preserve"> accident towing fees outside the Melbourne controlled area.</w:t>
      </w:r>
      <w:r w:rsidR="00856CDC">
        <w:t xml:space="preserve"> </w:t>
      </w:r>
      <w:r w:rsidR="00856CDC" w:rsidRPr="00A54D04">
        <w:t>(</w:t>
      </w:r>
      <w:r w:rsidR="00856CDC">
        <w:t>S</w:t>
      </w:r>
      <w:r w:rsidR="00856CDC" w:rsidRPr="00A54D04">
        <w:t xml:space="preserve">ee Appendix </w:t>
      </w:r>
      <w:r w:rsidR="00856CDC">
        <w:t>A</w:t>
      </w:r>
      <w:r w:rsidR="00856CDC" w:rsidRPr="00A54D04">
        <w:t xml:space="preserve"> for more information on</w:t>
      </w:r>
      <w:r w:rsidR="00856CDC">
        <w:t xml:space="preserve"> the</w:t>
      </w:r>
      <w:r w:rsidR="00856CDC" w:rsidRPr="00A54D04">
        <w:t xml:space="preserve"> accident towing industry and our role</w:t>
      </w:r>
      <w:r w:rsidR="00856CDC">
        <w:t>).</w:t>
      </w:r>
    </w:p>
    <w:p w14:paraId="7218B1D9" w14:textId="77777777" w:rsidR="000708E8" w:rsidRPr="00A54D04" w:rsidRDefault="001A7012" w:rsidP="000708E8">
      <w:pPr>
        <w:pStyle w:val="Pull-out"/>
      </w:pPr>
      <w:r w:rsidRPr="00A54D04">
        <w:t xml:space="preserve">Accident towing is the towing of damaged vehicles from road accident scenes. </w:t>
      </w:r>
    </w:p>
    <w:p w14:paraId="687F34F4" w14:textId="569C2648" w:rsidR="000708E8" w:rsidRPr="00A54D04" w:rsidRDefault="000708E8" w:rsidP="000708E8">
      <w:pPr>
        <w:pStyle w:val="Pull-out"/>
      </w:pPr>
      <w:r w:rsidRPr="00A54D04">
        <w:t>In Victoria, there are three geographic areas for accident towing, and regulation varies across these</w:t>
      </w:r>
      <w:r w:rsidR="00793F31" w:rsidRPr="00A54D04">
        <w:t xml:space="preserve"> </w:t>
      </w:r>
      <w:r w:rsidR="00316CC6" w:rsidRPr="00A54D04">
        <w:t>zones</w:t>
      </w:r>
      <w:r w:rsidRPr="00A54D04">
        <w:t>:</w:t>
      </w:r>
    </w:p>
    <w:p w14:paraId="2E1949B0" w14:textId="1C94995B" w:rsidR="000708E8" w:rsidRPr="00A54D04" w:rsidRDefault="000708E8" w:rsidP="00484C60">
      <w:pPr>
        <w:pStyle w:val="Pull-outBullet1"/>
      </w:pPr>
      <w:r w:rsidRPr="00A54D04">
        <w:t>the Melbourne controlled area (within metropolitan Melbourne)</w:t>
      </w:r>
    </w:p>
    <w:p w14:paraId="3B9EF788" w14:textId="77777777" w:rsidR="000708E8" w:rsidRPr="00A54D04" w:rsidRDefault="000708E8" w:rsidP="00484C60">
      <w:pPr>
        <w:pStyle w:val="Pull-outBullet1"/>
      </w:pPr>
      <w:r w:rsidRPr="00A54D04">
        <w:t>the Self-management area of Geelong (Geelong and surrounding areas)</w:t>
      </w:r>
    </w:p>
    <w:p w14:paraId="7A4BC290" w14:textId="3EE67052" w:rsidR="00C573EB" w:rsidRPr="00A54D04" w:rsidRDefault="000708E8" w:rsidP="00484C60">
      <w:pPr>
        <w:pStyle w:val="Pull-outBullet1"/>
      </w:pPr>
      <w:r w:rsidRPr="00A54D04">
        <w:t>the remainder of Victoria.</w:t>
      </w:r>
    </w:p>
    <w:p w14:paraId="263B3F0E" w14:textId="5D232104" w:rsidR="002B5F61" w:rsidRPr="00A54D04" w:rsidRDefault="00374D5B" w:rsidP="002B5F61">
      <w:pPr>
        <w:pStyle w:val="Heading2"/>
      </w:pPr>
      <w:bookmarkStart w:id="56" w:name="_Toc195721878"/>
      <w:bookmarkStart w:id="57" w:name="_Toc197345234"/>
      <w:bookmarkStart w:id="58" w:name="_Toc197942404"/>
      <w:bookmarkStart w:id="59" w:name="_Toc197977677"/>
      <w:bookmarkStart w:id="60" w:name="_Toc198048666"/>
      <w:bookmarkStart w:id="61" w:name="_Toc199231539"/>
      <w:r w:rsidRPr="00A54D04">
        <w:t>We used benchmarking</w:t>
      </w:r>
      <w:r w:rsidR="002B5F61" w:rsidRPr="00A54D04">
        <w:t xml:space="preserve"> to assess</w:t>
      </w:r>
      <w:r w:rsidR="00526599" w:rsidRPr="00A54D04">
        <w:t xml:space="preserve"> towing and storage</w:t>
      </w:r>
      <w:r w:rsidR="002B5F61" w:rsidRPr="00A54D04">
        <w:t xml:space="preserve"> fees</w:t>
      </w:r>
      <w:bookmarkEnd w:id="56"/>
      <w:bookmarkEnd w:id="57"/>
      <w:bookmarkEnd w:id="58"/>
      <w:bookmarkEnd w:id="59"/>
      <w:bookmarkEnd w:id="60"/>
      <w:bookmarkEnd w:id="61"/>
    </w:p>
    <w:p w14:paraId="38AFFF55" w14:textId="3F07300B" w:rsidR="00EB18C8" w:rsidRPr="00A54D04" w:rsidRDefault="00E1735D" w:rsidP="00EB18C8">
      <w:r w:rsidRPr="00A54D04">
        <w:t xml:space="preserve">We used a </w:t>
      </w:r>
      <w:r w:rsidR="00E84D92" w:rsidRPr="00A54D04">
        <w:t xml:space="preserve">benchmarking approach to assess accident towing and storage fees for the Melbourne controlled area. </w:t>
      </w:r>
      <w:r w:rsidR="007A3418" w:rsidRPr="00A54D04">
        <w:t>Benchmarking is a fit-for-purpose</w:t>
      </w:r>
      <w:r w:rsidR="00425EF9">
        <w:t xml:space="preserve">, </w:t>
      </w:r>
      <w:r w:rsidR="007A3418" w:rsidRPr="00A54D04">
        <w:t>sound and reliable basis of assessment</w:t>
      </w:r>
      <w:r w:rsidR="00E84D92" w:rsidRPr="00A54D04">
        <w:t>.</w:t>
      </w:r>
    </w:p>
    <w:p w14:paraId="0649D4EA" w14:textId="789D68E0" w:rsidR="00EB18C8" w:rsidRPr="00A54D04" w:rsidRDefault="0072137C" w:rsidP="00EB18C8">
      <w:r w:rsidRPr="00A54D04">
        <w:lastRenderedPageBreak/>
        <w:t>Along with benchmarking analysis, our views were informed by Department of Transport data</w:t>
      </w:r>
      <w:r w:rsidR="00EC2F81" w:rsidRPr="00A54D04">
        <w:t>, Australian Bureau of Statistics data</w:t>
      </w:r>
      <w:r w:rsidRPr="00A54D04">
        <w:t xml:space="preserve"> and stakeholder feedback, which provided the basis for the recommendations in this</w:t>
      </w:r>
      <w:r w:rsidR="00F11212">
        <w:t xml:space="preserve"> final</w:t>
      </w:r>
      <w:r w:rsidRPr="00A54D04">
        <w:t xml:space="preserve"> report.</w:t>
      </w:r>
    </w:p>
    <w:p w14:paraId="693FB3AE" w14:textId="2E1AF3C0" w:rsidR="003937DC" w:rsidRPr="00A54D04" w:rsidRDefault="003937DC" w:rsidP="00850E95">
      <w:pPr>
        <w:pStyle w:val="Heading2"/>
      </w:pPr>
      <w:bookmarkStart w:id="62" w:name="_Toc195721879"/>
      <w:bookmarkStart w:id="63" w:name="_Toc197345235"/>
      <w:bookmarkStart w:id="64" w:name="_Toc197942405"/>
      <w:bookmarkStart w:id="65" w:name="_Toc197977678"/>
      <w:bookmarkStart w:id="66" w:name="_Toc198048667"/>
      <w:bookmarkStart w:id="67" w:name="_Toc199231540"/>
      <w:r w:rsidRPr="00A54D04">
        <w:t xml:space="preserve">We considered stakeholder views in </w:t>
      </w:r>
      <w:r w:rsidR="00A32391" w:rsidRPr="00A54D04">
        <w:t>our</w:t>
      </w:r>
      <w:r w:rsidRPr="00A54D04">
        <w:t xml:space="preserve"> review</w:t>
      </w:r>
      <w:bookmarkEnd w:id="62"/>
      <w:bookmarkEnd w:id="63"/>
      <w:bookmarkEnd w:id="64"/>
      <w:bookmarkEnd w:id="65"/>
      <w:bookmarkEnd w:id="66"/>
      <w:bookmarkEnd w:id="67"/>
    </w:p>
    <w:p w14:paraId="77907089" w14:textId="27A2DF87" w:rsidR="003937DC" w:rsidRPr="00A54D04" w:rsidRDefault="003937DC" w:rsidP="003937DC">
      <w:r w:rsidRPr="00A54D04">
        <w:t>We received submissions from three stakeholders</w:t>
      </w:r>
      <w:r w:rsidR="008050D7" w:rsidRPr="00A54D04">
        <w:t xml:space="preserve"> </w:t>
      </w:r>
      <w:r w:rsidRPr="00A54D04">
        <w:t xml:space="preserve">– </w:t>
      </w:r>
      <w:r w:rsidR="00CD6D2C" w:rsidRPr="00A54D04">
        <w:t xml:space="preserve">the </w:t>
      </w:r>
      <w:r w:rsidRPr="00A54D04">
        <w:t>Insurance Council of Australia,</w:t>
      </w:r>
      <w:r w:rsidR="00CD6D2C" w:rsidRPr="00A54D04">
        <w:t xml:space="preserve"> the</w:t>
      </w:r>
      <w:r w:rsidRPr="00A54D04">
        <w:t xml:space="preserve"> Victorian Automotive Chamber of Commerce</w:t>
      </w:r>
      <w:r w:rsidR="008F55C5">
        <w:t xml:space="preserve"> (VACC)</w:t>
      </w:r>
      <w:r w:rsidRPr="00A54D04">
        <w:t xml:space="preserve"> and All</w:t>
      </w:r>
      <w:r w:rsidR="003E6E7B" w:rsidRPr="00A54D04">
        <w:t>C</w:t>
      </w:r>
      <w:r w:rsidRPr="00A54D04">
        <w:t>ar Towing Group</w:t>
      </w:r>
      <w:r w:rsidR="00E23306" w:rsidRPr="00A54D04">
        <w:t xml:space="preserve"> (a towing operator)</w:t>
      </w:r>
      <w:r w:rsidRPr="00A54D04">
        <w:t>.</w:t>
      </w:r>
    </w:p>
    <w:p w14:paraId="36559C0D" w14:textId="2E660DE1" w:rsidR="00B85B8D" w:rsidRPr="00A54D04" w:rsidRDefault="000B29C6" w:rsidP="003937DC">
      <w:r w:rsidRPr="00A54D04">
        <w:t xml:space="preserve">Stakeholders </w:t>
      </w:r>
      <w:r w:rsidR="00E15E32" w:rsidRPr="00A54D04">
        <w:t>ha</w:t>
      </w:r>
      <w:r w:rsidR="007C67E9" w:rsidRPr="00A54D04">
        <w:t>d</w:t>
      </w:r>
      <w:r w:rsidR="00E15E32" w:rsidRPr="00A54D04">
        <w:t xml:space="preserve"> a range of </w:t>
      </w:r>
      <w:r w:rsidR="00335605" w:rsidRPr="00A54D04">
        <w:t>views</w:t>
      </w:r>
      <w:r w:rsidR="00F06726" w:rsidRPr="00A54D04">
        <w:t xml:space="preserve">. </w:t>
      </w:r>
      <w:r w:rsidR="00D13A28" w:rsidRPr="00A54D04">
        <w:t>In general,</w:t>
      </w:r>
      <w:r w:rsidR="00E23306" w:rsidRPr="00A54D04">
        <w:t xml:space="preserve"> the</w:t>
      </w:r>
      <w:r w:rsidR="00D13A28" w:rsidRPr="00A54D04">
        <w:t xml:space="preserve"> </w:t>
      </w:r>
      <w:r w:rsidR="00C004D1">
        <w:t>I</w:t>
      </w:r>
      <w:r w:rsidR="00C550D6" w:rsidRPr="00A54D04">
        <w:t>nsurance Council of Australia</w:t>
      </w:r>
      <w:r w:rsidR="00BD6F8B" w:rsidRPr="00A54D04" w:rsidDel="00BD6F8B">
        <w:t xml:space="preserve"> </w:t>
      </w:r>
      <w:r w:rsidR="00D4715C" w:rsidRPr="00A54D04">
        <w:t>consider</w:t>
      </w:r>
      <w:r w:rsidR="009F2738" w:rsidRPr="00A54D04">
        <w:t>ed</w:t>
      </w:r>
      <w:r w:rsidR="00D4715C" w:rsidRPr="00A54D04">
        <w:t xml:space="preserve"> </w:t>
      </w:r>
      <w:r w:rsidR="008E7B96" w:rsidRPr="00A54D04">
        <w:t>current</w:t>
      </w:r>
      <w:r w:rsidR="00053F95" w:rsidRPr="00A54D04">
        <w:t xml:space="preserve"> regulated</w:t>
      </w:r>
      <w:r w:rsidR="008E7B96" w:rsidRPr="00A54D04">
        <w:t xml:space="preserve"> fees </w:t>
      </w:r>
      <w:r w:rsidR="00053F95" w:rsidRPr="00A54D04">
        <w:t>to be</w:t>
      </w:r>
      <w:r w:rsidR="008E7B96" w:rsidRPr="00A54D04">
        <w:t xml:space="preserve"> appropriate</w:t>
      </w:r>
      <w:r w:rsidR="00053F95" w:rsidRPr="00A54D04">
        <w:t>. W</w:t>
      </w:r>
      <w:r w:rsidR="008E7B96" w:rsidRPr="00A54D04">
        <w:t xml:space="preserve">hereas </w:t>
      </w:r>
      <w:r w:rsidR="002122E8" w:rsidRPr="00A54D04">
        <w:t xml:space="preserve">the </w:t>
      </w:r>
      <w:r w:rsidR="008F55C5">
        <w:t>VACC</w:t>
      </w:r>
      <w:r w:rsidR="008E7B96" w:rsidRPr="00A54D04">
        <w:t xml:space="preserve"> and All</w:t>
      </w:r>
      <w:r w:rsidR="00013208" w:rsidRPr="00A54D04">
        <w:t>C</w:t>
      </w:r>
      <w:r w:rsidR="008E7B96" w:rsidRPr="00A54D04">
        <w:t>ar Towing Group</w:t>
      </w:r>
      <w:r w:rsidR="00594A3C" w:rsidRPr="00A54D04">
        <w:t xml:space="preserve"> </w:t>
      </w:r>
      <w:r w:rsidR="009F2738" w:rsidRPr="00A54D04">
        <w:t xml:space="preserve">contended </w:t>
      </w:r>
      <w:r w:rsidR="00FD18CA" w:rsidRPr="00A54D04">
        <w:t xml:space="preserve">that </w:t>
      </w:r>
      <w:r w:rsidR="0040635E" w:rsidRPr="00A54D04">
        <w:t>current fees do not cover</w:t>
      </w:r>
      <w:r w:rsidR="00C96AE3" w:rsidRPr="00A54D04">
        <w:t xml:space="preserve"> </w:t>
      </w:r>
      <w:r w:rsidR="0040635E" w:rsidRPr="00A54D04">
        <w:t>operational cost</w:t>
      </w:r>
      <w:r w:rsidR="00C96AE3" w:rsidRPr="00A54D04">
        <w:t>s</w:t>
      </w:r>
      <w:r w:rsidR="00210464" w:rsidRPr="00A54D04">
        <w:t>.</w:t>
      </w:r>
    </w:p>
    <w:p w14:paraId="7FC78E9C" w14:textId="6393E272" w:rsidR="000B29C6" w:rsidRPr="00A54D04" w:rsidRDefault="00113560" w:rsidP="003937DC">
      <w:r w:rsidRPr="00A54D04">
        <w:t xml:space="preserve">Despite data we received suggesting possible service quality declines, AllCar Towing Group referred to </w:t>
      </w:r>
      <w:r w:rsidR="00F11212">
        <w:t xml:space="preserve">its </w:t>
      </w:r>
      <w:r w:rsidRPr="00A54D04">
        <w:t xml:space="preserve">recent </w:t>
      </w:r>
      <w:r w:rsidR="00F11212" w:rsidRPr="00A54D04">
        <w:t xml:space="preserve">service </w:t>
      </w:r>
      <w:r w:rsidRPr="00A54D04">
        <w:t xml:space="preserve">improvements </w:t>
      </w:r>
      <w:r w:rsidR="001B4817" w:rsidRPr="00A54D04">
        <w:t xml:space="preserve">on account of </w:t>
      </w:r>
      <w:r w:rsidR="00F11212">
        <w:t>latest</w:t>
      </w:r>
      <w:r w:rsidR="00F11212" w:rsidRPr="00A54D04" w:rsidDel="00F11212">
        <w:t xml:space="preserve"> </w:t>
      </w:r>
      <w:r w:rsidR="001B4817" w:rsidRPr="00A54D04">
        <w:t>investment</w:t>
      </w:r>
      <w:r w:rsidR="00F11212">
        <w:t>s</w:t>
      </w:r>
      <w:r w:rsidR="001B4817" w:rsidRPr="00A54D04">
        <w:t xml:space="preserve"> to uplift its capacity and performance</w:t>
      </w:r>
      <w:r w:rsidRPr="00A54D04">
        <w:t>.</w:t>
      </w:r>
    </w:p>
    <w:p w14:paraId="7B3A2EAD" w14:textId="068E8640" w:rsidR="003937DC" w:rsidRPr="00A54D04" w:rsidRDefault="00151D57" w:rsidP="003937DC">
      <w:r w:rsidRPr="00A54D04">
        <w:t>Stak</w:t>
      </w:r>
      <w:r w:rsidR="00D121DB" w:rsidRPr="00A54D04">
        <w:t xml:space="preserve">eholders </w:t>
      </w:r>
      <w:r w:rsidR="00793F31" w:rsidRPr="00A54D04">
        <w:t>said</w:t>
      </w:r>
      <w:r w:rsidR="00AD2C64" w:rsidRPr="00A54D04">
        <w:t xml:space="preserve"> we should</w:t>
      </w:r>
      <w:r w:rsidR="003937DC" w:rsidRPr="00A54D04">
        <w:t>:</w:t>
      </w:r>
    </w:p>
    <w:p w14:paraId="730A018E" w14:textId="57E50878" w:rsidR="000F731F" w:rsidRPr="00A54D04" w:rsidRDefault="00F62765" w:rsidP="00850E95">
      <w:pPr>
        <w:pStyle w:val="ListBullet"/>
      </w:pPr>
      <w:r w:rsidRPr="00A54D04">
        <w:t>Use</w:t>
      </w:r>
      <w:r w:rsidR="00A44970" w:rsidRPr="00A54D04">
        <w:t xml:space="preserve"> </w:t>
      </w:r>
      <w:r w:rsidR="003937DC" w:rsidRPr="00A54D04">
        <w:t>a cost-of-service methodology</w:t>
      </w:r>
      <w:r w:rsidR="00B31B1C" w:rsidRPr="00A54D04">
        <w:t>,</w:t>
      </w:r>
      <w:r w:rsidR="003937DC" w:rsidRPr="00A54D04">
        <w:t xml:space="preserve"> instead of benchmarking</w:t>
      </w:r>
      <w:r w:rsidR="00B31B1C" w:rsidRPr="00A54D04">
        <w:t>,</w:t>
      </w:r>
      <w:r w:rsidR="003937DC" w:rsidRPr="00A54D04">
        <w:t xml:space="preserve"> </w:t>
      </w:r>
      <w:r w:rsidR="005328A0" w:rsidRPr="00A54D04">
        <w:t>to reflect towing operators’ actual operating costs</w:t>
      </w:r>
      <w:r w:rsidR="000F731F" w:rsidRPr="00A54D04">
        <w:t>.</w:t>
      </w:r>
    </w:p>
    <w:p w14:paraId="47270BE3" w14:textId="0532C081" w:rsidR="000F731F" w:rsidRPr="00A54D04" w:rsidRDefault="00455337" w:rsidP="00850E95">
      <w:pPr>
        <w:pStyle w:val="ListBullet"/>
      </w:pPr>
      <w:r w:rsidRPr="00A54D04">
        <w:t>E</w:t>
      </w:r>
      <w:r w:rsidR="003937DC" w:rsidRPr="00A54D04">
        <w:t>stablish a separate fee structure for electric vehicle</w:t>
      </w:r>
      <w:r w:rsidR="007A3418" w:rsidRPr="00A54D04">
        <w:t xml:space="preserve"> towing</w:t>
      </w:r>
      <w:r w:rsidR="003937DC" w:rsidRPr="00A54D04">
        <w:t xml:space="preserve"> to reflect </w:t>
      </w:r>
      <w:r w:rsidR="00B31B1C" w:rsidRPr="00A54D04">
        <w:t xml:space="preserve">towing operators’ </w:t>
      </w:r>
      <w:r w:rsidR="003937DC" w:rsidRPr="00A54D04">
        <w:t>additional costs and risks</w:t>
      </w:r>
      <w:r w:rsidR="000F731F" w:rsidRPr="00A54D04">
        <w:t>.</w:t>
      </w:r>
    </w:p>
    <w:p w14:paraId="0AEBE95A" w14:textId="3B630FD9" w:rsidR="000F731F" w:rsidRPr="00A54D04" w:rsidRDefault="00455337" w:rsidP="00850E95">
      <w:pPr>
        <w:pStyle w:val="ListBullet"/>
      </w:pPr>
      <w:r w:rsidRPr="00A54D04">
        <w:t>S</w:t>
      </w:r>
      <w:r w:rsidR="003937DC" w:rsidRPr="00A54D04">
        <w:t>et the productivity adjustment factor to zero</w:t>
      </w:r>
      <w:r w:rsidR="005328A0" w:rsidRPr="00A54D04">
        <w:t xml:space="preserve"> </w:t>
      </w:r>
      <w:r w:rsidR="00F11212">
        <w:t>because</w:t>
      </w:r>
      <w:r w:rsidR="00F11212" w:rsidRPr="00A54D04">
        <w:t xml:space="preserve"> </w:t>
      </w:r>
      <w:r w:rsidR="004D5BD7" w:rsidRPr="00A54D04">
        <w:t>pro</w:t>
      </w:r>
      <w:r w:rsidR="00957A6C" w:rsidRPr="00A54D04">
        <w:t xml:space="preserve">ductivity </w:t>
      </w:r>
      <w:r w:rsidR="00A90D82" w:rsidRPr="00A54D04">
        <w:t xml:space="preserve">improvements </w:t>
      </w:r>
      <w:r w:rsidR="0068381D" w:rsidRPr="00A54D04">
        <w:t xml:space="preserve">are </w:t>
      </w:r>
      <w:r w:rsidR="00586FC5" w:rsidRPr="00A54D04">
        <w:t>difficult to achieve in practice</w:t>
      </w:r>
      <w:r w:rsidR="000F731F" w:rsidRPr="00A54D04">
        <w:t>.</w:t>
      </w:r>
    </w:p>
    <w:p w14:paraId="36ABAF53" w14:textId="181073A4" w:rsidR="003937DC" w:rsidRPr="00A54D04" w:rsidRDefault="00455337" w:rsidP="00850E95">
      <w:pPr>
        <w:pStyle w:val="ListBullet"/>
      </w:pPr>
      <w:bookmarkStart w:id="68" w:name="_Hlk197337997"/>
      <w:r w:rsidRPr="00A54D04">
        <w:t>R</w:t>
      </w:r>
      <w:r w:rsidR="003937DC" w:rsidRPr="00A54D04">
        <w:t>egulate salvage fees</w:t>
      </w:r>
      <w:r w:rsidR="00586FC5" w:rsidRPr="00A54D04">
        <w:t xml:space="preserve"> </w:t>
      </w:r>
      <w:r w:rsidR="00A959D3" w:rsidRPr="00A54D04">
        <w:t xml:space="preserve">to minimise the risk of </w:t>
      </w:r>
      <w:r w:rsidR="009A67E0" w:rsidRPr="00A54D04">
        <w:t>unreasonable</w:t>
      </w:r>
      <w:r w:rsidR="00BB4E60" w:rsidRPr="00A54D04">
        <w:t xml:space="preserve"> </w:t>
      </w:r>
      <w:r w:rsidR="008F6BC5" w:rsidRPr="00A54D04">
        <w:t>salvage charges</w:t>
      </w:r>
      <w:r w:rsidR="000F731F" w:rsidRPr="00A54D04">
        <w:t>.</w:t>
      </w:r>
    </w:p>
    <w:bookmarkEnd w:id="68"/>
    <w:p w14:paraId="7371D9FE" w14:textId="4DAA6C83" w:rsidR="003937DC" w:rsidRPr="00A54D04" w:rsidRDefault="007B1B91" w:rsidP="003937DC">
      <w:pPr>
        <w:sectPr w:rsidR="003937DC" w:rsidRPr="00A54D04" w:rsidSect="00AF5F0C">
          <w:footerReference w:type="default" r:id="rId32"/>
          <w:pgSz w:w="11906" w:h="16838" w:code="9"/>
          <w:pgMar w:top="1134" w:right="1134" w:bottom="1134" w:left="1134" w:header="709" w:footer="692" w:gutter="0"/>
          <w:pgNumType w:fmt="lowerRoman"/>
          <w:cols w:space="708"/>
          <w:docGrid w:linePitch="360"/>
        </w:sectPr>
      </w:pPr>
      <w:r w:rsidRPr="00A54D04">
        <w:t xml:space="preserve">We </w:t>
      </w:r>
      <w:r w:rsidR="007A3418" w:rsidRPr="00A54D04">
        <w:t xml:space="preserve">found insufficient evidence to support these proposals. We </w:t>
      </w:r>
      <w:r w:rsidRPr="00A54D04">
        <w:t xml:space="preserve">consider </w:t>
      </w:r>
      <w:r w:rsidR="007017DD" w:rsidRPr="00A54D04">
        <w:t xml:space="preserve">our current </w:t>
      </w:r>
      <w:r w:rsidR="007A3418" w:rsidRPr="00A54D04">
        <w:t xml:space="preserve">benchmarking </w:t>
      </w:r>
      <w:r w:rsidR="007017DD" w:rsidRPr="00A54D04">
        <w:t>methodology</w:t>
      </w:r>
      <w:r w:rsidR="00F11212">
        <w:t xml:space="preserve"> </w:t>
      </w:r>
      <w:r w:rsidR="00F11212" w:rsidRPr="00A54D04">
        <w:t xml:space="preserve">to be </w:t>
      </w:r>
      <w:r w:rsidR="00F11212">
        <w:t xml:space="preserve">an </w:t>
      </w:r>
      <w:r w:rsidR="00F11212" w:rsidRPr="00A54D04">
        <w:t>appropriate</w:t>
      </w:r>
      <w:r w:rsidR="00F11212">
        <w:t xml:space="preserve"> </w:t>
      </w:r>
      <w:r w:rsidR="007A3418" w:rsidRPr="00A54D04">
        <w:t>basis for assessing fees</w:t>
      </w:r>
      <w:r w:rsidR="00663572" w:rsidRPr="00A54D04">
        <w:t xml:space="preserve">. </w:t>
      </w:r>
      <w:r w:rsidR="003937DC" w:rsidRPr="00A54D04">
        <w:t xml:space="preserve">Our detailed responses to </w:t>
      </w:r>
      <w:r w:rsidR="007A3418" w:rsidRPr="00A54D04">
        <w:t>submitters’</w:t>
      </w:r>
      <w:r w:rsidR="00663572" w:rsidRPr="00A54D04">
        <w:t xml:space="preserve"> views</w:t>
      </w:r>
      <w:r w:rsidR="00970BC2" w:rsidRPr="00A54D04">
        <w:t xml:space="preserve"> </w:t>
      </w:r>
      <w:r w:rsidR="003937DC" w:rsidRPr="00A54D04">
        <w:t xml:space="preserve">are set out in the relevant chapters of this </w:t>
      </w:r>
      <w:r w:rsidR="004765AF" w:rsidRPr="00A54D04">
        <w:t xml:space="preserve">final </w:t>
      </w:r>
      <w:r w:rsidR="003937DC" w:rsidRPr="00A54D04">
        <w:t>report</w:t>
      </w:r>
      <w:r w:rsidR="00D867DC" w:rsidRPr="00A54D04">
        <w:t>.</w:t>
      </w:r>
    </w:p>
    <w:p w14:paraId="6256ED2F" w14:textId="77777777" w:rsidR="00EB18C8" w:rsidRPr="00A54D04" w:rsidRDefault="00EB18C8" w:rsidP="00850E95"/>
    <w:p w14:paraId="37F36FDE" w14:textId="77777777" w:rsidR="002D495E" w:rsidRPr="00A54D04" w:rsidRDefault="002D495E" w:rsidP="002D495E"/>
    <w:p w14:paraId="7F616E9B" w14:textId="77777777" w:rsidR="001A0546" w:rsidRPr="00A54D04" w:rsidRDefault="001A0546" w:rsidP="00D75DF3"/>
    <w:p w14:paraId="1ED9C911" w14:textId="17446720" w:rsidR="001A0546" w:rsidRPr="00A54D04" w:rsidRDefault="001A0546" w:rsidP="00D75DF3">
      <w:pPr>
        <w:sectPr w:rsidR="001A0546" w:rsidRPr="00A54D04" w:rsidSect="00375CBF">
          <w:headerReference w:type="even" r:id="rId33"/>
          <w:headerReference w:type="default" r:id="rId34"/>
          <w:footerReference w:type="default" r:id="rId35"/>
          <w:headerReference w:type="first" r:id="rId36"/>
          <w:type w:val="continuous"/>
          <w:pgSz w:w="11906" w:h="16838" w:code="9"/>
          <w:pgMar w:top="1134" w:right="1134" w:bottom="1134" w:left="1134" w:header="709" w:footer="692" w:gutter="0"/>
          <w:pgNumType w:start="0"/>
          <w:cols w:space="708"/>
          <w:docGrid w:linePitch="360"/>
        </w:sectPr>
      </w:pPr>
    </w:p>
    <w:p w14:paraId="220D72AE" w14:textId="062DCAC0" w:rsidR="006D0A5E" w:rsidRPr="00A54D04" w:rsidRDefault="000E7EE3" w:rsidP="000E7EE3">
      <w:pPr>
        <w:pStyle w:val="Heading1numbered"/>
      </w:pPr>
      <w:bookmarkStart w:id="69" w:name="_Toc199231541"/>
      <w:r w:rsidRPr="00A54D04">
        <w:lastRenderedPageBreak/>
        <w:t>Our approach</w:t>
      </w:r>
      <w:bookmarkEnd w:id="69"/>
    </w:p>
    <w:p w14:paraId="079E818D" w14:textId="35FB7D50" w:rsidR="000471AD" w:rsidRPr="00A54D04" w:rsidRDefault="000471AD" w:rsidP="000471AD">
      <w:pPr>
        <w:pStyle w:val="Pull-out"/>
      </w:pPr>
      <w:r w:rsidRPr="00A54D04">
        <w:t xml:space="preserve">We used a benchmarking approach to assess accident towing </w:t>
      </w:r>
      <w:r w:rsidR="00DA2BCB">
        <w:t xml:space="preserve">and storage </w:t>
      </w:r>
      <w:r w:rsidRPr="00A54D04">
        <w:t xml:space="preserve">fees, based on comparisons with fees charged in other Australian </w:t>
      </w:r>
      <w:r w:rsidR="00526599" w:rsidRPr="00A54D04">
        <w:t>jurisdictions</w:t>
      </w:r>
      <w:r w:rsidRPr="00A54D04">
        <w:t xml:space="preserve"> and </w:t>
      </w:r>
      <w:r w:rsidR="005D157B" w:rsidRPr="00A54D04">
        <w:t xml:space="preserve">trade </w:t>
      </w:r>
      <w:r w:rsidRPr="00A54D04">
        <w:t>towing services.</w:t>
      </w:r>
    </w:p>
    <w:p w14:paraId="66DCBE6F" w14:textId="31A374F2" w:rsidR="000471AD" w:rsidRPr="00A54D04" w:rsidRDefault="000471AD" w:rsidP="000471AD">
      <w:pPr>
        <w:pStyle w:val="Pull-out"/>
      </w:pPr>
      <w:r w:rsidRPr="00A54D04">
        <w:t>Our views were informed by</w:t>
      </w:r>
      <w:r w:rsidR="00666520" w:rsidRPr="00A54D04">
        <w:t xml:space="preserve"> benchmarks,</w:t>
      </w:r>
      <w:r w:rsidRPr="00A54D04">
        <w:t xml:space="preserve"> industry data and stakeholder</w:t>
      </w:r>
      <w:r w:rsidR="00AB2187" w:rsidRPr="00A54D04">
        <w:t xml:space="preserve"> feedback</w:t>
      </w:r>
      <w:r w:rsidRPr="00A54D04">
        <w:t>, which provided the basis for the recommendations in this report.</w:t>
      </w:r>
    </w:p>
    <w:p w14:paraId="3A364740" w14:textId="0C0330B2" w:rsidR="00C03122" w:rsidRPr="00A54D04" w:rsidRDefault="002369D1" w:rsidP="000471AD">
      <w:pPr>
        <w:pStyle w:val="Pull-out"/>
      </w:pPr>
      <w:r>
        <w:t>We consider that s</w:t>
      </w:r>
      <w:r w:rsidR="000471AD" w:rsidRPr="00A54D04">
        <w:t>eparate charges for the towing and storage of electric vehicles</w:t>
      </w:r>
      <w:r w:rsidR="00920697" w:rsidRPr="00A54D04">
        <w:t xml:space="preserve"> </w:t>
      </w:r>
      <w:r w:rsidR="00AF4197" w:rsidRPr="00A54D04">
        <w:t>are not</w:t>
      </w:r>
      <w:r w:rsidR="00A37259" w:rsidRPr="00A54D04">
        <w:t xml:space="preserve"> </w:t>
      </w:r>
      <w:r w:rsidR="00920697" w:rsidRPr="00A54D04">
        <w:t>necessary at present</w:t>
      </w:r>
      <w:r w:rsidR="000471AD" w:rsidRPr="00A54D04">
        <w:t>. They currently comprise a small proportion of the total Victorian vehicle fleet.</w:t>
      </w:r>
    </w:p>
    <w:p w14:paraId="603EAD9E" w14:textId="300AC9F6" w:rsidR="00970A39" w:rsidRPr="00A54D04" w:rsidRDefault="009A6A12" w:rsidP="0060786B">
      <w:r w:rsidRPr="00A54D04">
        <w:t>This chapter outlines the approach we used to assess and make recommendations on accident towin</w:t>
      </w:r>
      <w:r w:rsidR="009B01A1" w:rsidRPr="00A54D04">
        <w:t>g</w:t>
      </w:r>
      <w:r w:rsidR="00DA2BCB">
        <w:t xml:space="preserve"> and</w:t>
      </w:r>
      <w:r w:rsidR="009B01A1" w:rsidRPr="00A54D04">
        <w:t xml:space="preserve"> </w:t>
      </w:r>
      <w:r w:rsidRPr="00A54D04">
        <w:t>storage</w:t>
      </w:r>
      <w:r w:rsidR="00DA2BCB">
        <w:t xml:space="preserve"> fees</w:t>
      </w:r>
      <w:r w:rsidRPr="00A54D04">
        <w:t>.</w:t>
      </w:r>
      <w:r w:rsidR="0062663F">
        <w:rPr>
          <w:rStyle w:val="FootnoteReference"/>
        </w:rPr>
        <w:footnoteReference w:id="10"/>
      </w:r>
      <w:r w:rsidRPr="00A54D04">
        <w:t xml:space="preserve"> </w:t>
      </w:r>
      <w:r w:rsidR="000D5DDE" w:rsidRPr="000D5DDE">
        <w:t>It also sets out the main sources of information and views we have relied upon and our</w:t>
      </w:r>
      <w:r w:rsidR="000D5DDE">
        <w:t xml:space="preserve"> view on separate </w:t>
      </w:r>
      <w:r w:rsidR="000D5DDE" w:rsidRPr="00A54D04">
        <w:t>electric vehicle charges</w:t>
      </w:r>
      <w:r w:rsidR="000D5DDE">
        <w:t>.</w:t>
      </w:r>
    </w:p>
    <w:p w14:paraId="756090FF" w14:textId="5DDE4605" w:rsidR="00C621A8" w:rsidRPr="00A54D04" w:rsidRDefault="00C621A8" w:rsidP="002D4BF3">
      <w:pPr>
        <w:pStyle w:val="Heading2"/>
      </w:pPr>
      <w:bookmarkStart w:id="70" w:name="_Toc199231542"/>
      <w:r w:rsidRPr="00A54D04">
        <w:t>We used benchmarking to assess</w:t>
      </w:r>
      <w:r w:rsidR="000A529E" w:rsidRPr="00A54D04">
        <w:t xml:space="preserve"> fees</w:t>
      </w:r>
      <w:bookmarkEnd w:id="70"/>
      <w:r w:rsidR="000A529E" w:rsidRPr="00A54D04">
        <w:t xml:space="preserve"> </w:t>
      </w:r>
    </w:p>
    <w:p w14:paraId="5AAFE853" w14:textId="31FE8925" w:rsidR="00000A0A" w:rsidRPr="00A54D04" w:rsidRDefault="00741AE6" w:rsidP="00741AE6">
      <w:r w:rsidRPr="00A54D04">
        <w:t>We use</w:t>
      </w:r>
      <w:r w:rsidR="004D7B2B" w:rsidRPr="00A54D04">
        <w:t>d</w:t>
      </w:r>
      <w:r w:rsidRPr="00A54D04">
        <w:t xml:space="preserve"> </w:t>
      </w:r>
      <w:r w:rsidR="00E1639E" w:rsidRPr="00A54D04">
        <w:t xml:space="preserve">a </w:t>
      </w:r>
      <w:r w:rsidRPr="00A54D04">
        <w:t xml:space="preserve">benchmarking </w:t>
      </w:r>
      <w:r w:rsidR="00E1639E" w:rsidRPr="00A54D04">
        <w:t>approach</w:t>
      </w:r>
      <w:r w:rsidRPr="00A54D04">
        <w:t xml:space="preserve"> to assess accident towing and storage fees</w:t>
      </w:r>
      <w:r w:rsidR="008B6AFF" w:rsidRPr="00A54D04">
        <w:t xml:space="preserve"> for the Melbourne controlled area.</w:t>
      </w:r>
      <w:r w:rsidR="0045234B">
        <w:t xml:space="preserve"> </w:t>
      </w:r>
      <w:r w:rsidR="000C7759">
        <w:t xml:space="preserve">Benchmarking </w:t>
      </w:r>
      <w:r w:rsidR="003B6A84" w:rsidRPr="00A54D04">
        <w:t>is a standard practice used in Australia by other regulat</w:t>
      </w:r>
      <w:r w:rsidR="002F1E0E" w:rsidRPr="00A54D04">
        <w:t>ors</w:t>
      </w:r>
      <w:r w:rsidR="003B6A84" w:rsidRPr="00A54D04">
        <w:t xml:space="preserve"> such as the Australian Competition </w:t>
      </w:r>
      <w:r w:rsidR="00B57D24">
        <w:t xml:space="preserve">and </w:t>
      </w:r>
      <w:r w:rsidR="003B6A84" w:rsidRPr="00A54D04">
        <w:t>Consumer Commission</w:t>
      </w:r>
      <w:r w:rsidR="004C125E" w:rsidRPr="00A54D04">
        <w:t>,</w:t>
      </w:r>
      <w:r w:rsidR="003B6A84" w:rsidRPr="00A54D04">
        <w:t xml:space="preserve"> the Australian Energy Regulator</w:t>
      </w:r>
      <w:r w:rsidR="004C125E" w:rsidRPr="00A54D04">
        <w:t xml:space="preserve"> and the Australian Securities and Investments Commission</w:t>
      </w:r>
      <w:r w:rsidR="003B6A84" w:rsidRPr="00A54D04">
        <w:t>.</w:t>
      </w:r>
    </w:p>
    <w:p w14:paraId="24BC7976" w14:textId="1E11BB41" w:rsidR="00741AE6" w:rsidRPr="00A54D04" w:rsidRDefault="00443768" w:rsidP="00741AE6">
      <w:r w:rsidRPr="00A54D04">
        <w:t xml:space="preserve">In deciding </w:t>
      </w:r>
      <w:r w:rsidR="00FA75A2" w:rsidRPr="00A54D04">
        <w:t>our basis for assessment</w:t>
      </w:r>
      <w:r w:rsidRPr="00A54D04">
        <w:t>, w</w:t>
      </w:r>
      <w:r w:rsidR="00741AE6" w:rsidRPr="00A54D04">
        <w:t xml:space="preserve">e considered the relative benefits and costs </w:t>
      </w:r>
      <w:r w:rsidR="00DE6ABF" w:rsidRPr="00A54D04">
        <w:t xml:space="preserve">of </w:t>
      </w:r>
      <w:r w:rsidR="00000A0A" w:rsidRPr="00A54D04">
        <w:t xml:space="preserve">the following </w:t>
      </w:r>
      <w:r w:rsidR="00FA4863">
        <w:t xml:space="preserve">two </w:t>
      </w:r>
      <w:r w:rsidR="00A8540A">
        <w:t>methods</w:t>
      </w:r>
      <w:r w:rsidR="00000A0A" w:rsidRPr="00A54D04">
        <w:t>:</w:t>
      </w:r>
    </w:p>
    <w:p w14:paraId="43D1DBAA" w14:textId="1C2F4C0A" w:rsidR="00B015C7" w:rsidRPr="00A54D04" w:rsidRDefault="00C550D6" w:rsidP="00850E95">
      <w:pPr>
        <w:pStyle w:val="ListBullet"/>
      </w:pPr>
      <w:r>
        <w:rPr>
          <w:b/>
          <w:bCs/>
        </w:rPr>
        <w:t>B</w:t>
      </w:r>
      <w:r w:rsidR="00B015C7" w:rsidRPr="00A54D04">
        <w:rPr>
          <w:b/>
          <w:bCs/>
        </w:rPr>
        <w:t>enchmarking approach</w:t>
      </w:r>
      <w:r w:rsidR="00B015C7" w:rsidRPr="00A54D04">
        <w:t>: an examination of existing fees based on comparisons to fees charged for similar services in other</w:t>
      </w:r>
      <w:r w:rsidR="00130485">
        <w:t xml:space="preserve"> Australian</w:t>
      </w:r>
      <w:r w:rsidR="00B015C7" w:rsidRPr="00A54D04">
        <w:t xml:space="preserve"> jurisdictions and for non-regulated trade towing services in </w:t>
      </w:r>
      <w:r w:rsidR="00F64C12" w:rsidRPr="00A54D04">
        <w:t>Melbourne</w:t>
      </w:r>
      <w:r w:rsidR="00B015C7" w:rsidRPr="00A54D04">
        <w:t>.</w:t>
      </w:r>
    </w:p>
    <w:p w14:paraId="78CEA641" w14:textId="5D84EEEA" w:rsidR="00B015C7" w:rsidRPr="00A54D04" w:rsidRDefault="00C550D6" w:rsidP="00B015C7">
      <w:pPr>
        <w:pStyle w:val="ListBullet"/>
      </w:pPr>
      <w:r>
        <w:rPr>
          <w:b/>
          <w:bCs/>
        </w:rPr>
        <w:t>C</w:t>
      </w:r>
      <w:r w:rsidR="00B015C7" w:rsidRPr="00A54D04">
        <w:rPr>
          <w:b/>
          <w:bCs/>
        </w:rPr>
        <w:t>ost-of-service approach</w:t>
      </w:r>
      <w:r w:rsidR="00B015C7" w:rsidRPr="00A54D04">
        <w:t>: an examination of existing fees based on the estimated costs of efficiently providing that service.</w:t>
      </w:r>
    </w:p>
    <w:p w14:paraId="18054650" w14:textId="64C4E767" w:rsidR="00B015C7" w:rsidRPr="00A54D04" w:rsidRDefault="00A55FA7" w:rsidP="00741AE6">
      <w:r w:rsidRPr="00A54D04">
        <w:lastRenderedPageBreak/>
        <w:t xml:space="preserve">In conducting </w:t>
      </w:r>
      <w:r w:rsidR="004B14C9" w:rsidRPr="00A54D04">
        <w:t>our evaluation</w:t>
      </w:r>
      <w:r w:rsidRPr="00A54D04">
        <w:t>, w</w:t>
      </w:r>
      <w:r w:rsidR="00A076C3" w:rsidRPr="00A54D04">
        <w:t xml:space="preserve">e sought evidence that </w:t>
      </w:r>
      <w:r w:rsidR="000B6604">
        <w:t xml:space="preserve">the </w:t>
      </w:r>
      <w:r w:rsidR="00A076C3" w:rsidRPr="00A54D04">
        <w:t xml:space="preserve">current fee levels </w:t>
      </w:r>
      <w:r w:rsidR="004C072F" w:rsidRPr="00A54D04">
        <w:t xml:space="preserve">were </w:t>
      </w:r>
      <w:r w:rsidR="00FC7158">
        <w:t>having an adverse impact on</w:t>
      </w:r>
      <w:r w:rsidR="004C072F" w:rsidRPr="00A54D04">
        <w:t xml:space="preserve"> the safe, efficient and timely provision of accident towing services and other related services</w:t>
      </w:r>
      <w:r w:rsidR="008E67B8" w:rsidRPr="00A54D04">
        <w:t>.</w:t>
      </w:r>
      <w:r w:rsidR="00325A17" w:rsidRPr="00A54D04">
        <w:rPr>
          <w:rStyle w:val="FootnoteReference"/>
        </w:rPr>
        <w:footnoteReference w:id="11"/>
      </w:r>
    </w:p>
    <w:p w14:paraId="0371BA26" w14:textId="5D8B6D6D" w:rsidR="00863992" w:rsidRPr="00A54D04" w:rsidRDefault="00781C17" w:rsidP="00863992">
      <w:pPr>
        <w:pStyle w:val="Heading3"/>
      </w:pPr>
      <w:bookmarkStart w:id="71" w:name="_Toc195721882"/>
      <w:bookmarkStart w:id="72" w:name="_Toc197345238"/>
      <w:bookmarkStart w:id="73" w:name="_Toc197942408"/>
      <w:bookmarkStart w:id="74" w:name="_Toc197977681"/>
      <w:bookmarkStart w:id="75" w:name="_Toc198048670"/>
      <w:bookmarkStart w:id="76" w:name="_Toc199231543"/>
      <w:r w:rsidRPr="00A54D04">
        <w:t>The VACC preferred a cost-of-service approach</w:t>
      </w:r>
      <w:bookmarkEnd w:id="71"/>
      <w:bookmarkEnd w:id="72"/>
      <w:bookmarkEnd w:id="73"/>
      <w:bookmarkEnd w:id="74"/>
      <w:bookmarkEnd w:id="75"/>
      <w:bookmarkEnd w:id="76"/>
    </w:p>
    <w:p w14:paraId="13F4DD6B" w14:textId="4FCE6FF2" w:rsidR="006327A5" w:rsidRPr="00A54D04" w:rsidRDefault="000A529E" w:rsidP="000A529E">
      <w:r w:rsidRPr="00A54D04">
        <w:t xml:space="preserve">The Victorian Automotive Chamber of Commerce (VACC) proposed </w:t>
      </w:r>
      <w:r w:rsidR="00742FBB" w:rsidRPr="00A54D04">
        <w:t xml:space="preserve">a </w:t>
      </w:r>
      <w:r w:rsidR="00AB61FD" w:rsidRPr="00A54D04">
        <w:t>cost-of-service</w:t>
      </w:r>
      <w:r w:rsidR="00742FBB" w:rsidRPr="00A54D04">
        <w:t xml:space="preserve"> approach</w:t>
      </w:r>
      <w:r w:rsidR="00AB61FD" w:rsidRPr="00A54D04">
        <w:t xml:space="preserve"> be used in place of a benchmarking approach</w:t>
      </w:r>
      <w:r w:rsidR="00AA68F6" w:rsidRPr="00A54D04">
        <w:t>:</w:t>
      </w:r>
    </w:p>
    <w:p w14:paraId="4C30B9CA" w14:textId="77777777" w:rsidR="00A26C79" w:rsidRDefault="006327A5" w:rsidP="00A26C79">
      <w:pPr>
        <w:pStyle w:val="Quote"/>
        <w:spacing w:after="0"/>
      </w:pPr>
      <w:r w:rsidRPr="00A54D04">
        <w:t>A</w:t>
      </w:r>
      <w:r w:rsidR="00AB61FD" w:rsidRPr="00A54D04">
        <w:t xml:space="preserve"> benchmarking approach does not accurately reflect the true cost changes e</w:t>
      </w:r>
      <w:r w:rsidR="003F7FA1" w:rsidRPr="00A54D04">
        <w:t>xperienced by operators, while a cost-of-service approach would allow fees to be recalibrated in line with actual costs faced by operators.</w:t>
      </w:r>
      <w:r w:rsidR="003F7FA1" w:rsidRPr="00A54D04">
        <w:rPr>
          <w:rStyle w:val="FootnoteReference"/>
        </w:rPr>
        <w:footnoteReference w:id="12"/>
      </w:r>
    </w:p>
    <w:p w14:paraId="39C99B9B" w14:textId="19D7CDAC" w:rsidR="0062427B" w:rsidRPr="00A54D04" w:rsidRDefault="00AA68F6" w:rsidP="00A26C79">
      <w:pPr>
        <w:pStyle w:val="Quote"/>
        <w:spacing w:after="0"/>
      </w:pPr>
      <w:r w:rsidRPr="00A54D04">
        <w:t>T</w:t>
      </w:r>
      <w:r w:rsidR="0062427B" w:rsidRPr="00A54D04">
        <w:t xml:space="preserve">here are </w:t>
      </w:r>
      <w:r w:rsidR="00703149">
        <w:t xml:space="preserve">significant </w:t>
      </w:r>
      <w:r w:rsidR="0062427B" w:rsidRPr="00A54D04">
        <w:t xml:space="preserve">differences between metropolitan Melbourne and other cities due to market conditions, regulatory environments and cost structures making </w:t>
      </w:r>
      <w:r w:rsidR="00970C2D" w:rsidRPr="00A54D04">
        <w:t xml:space="preserve">benchmarking </w:t>
      </w:r>
      <w:r w:rsidR="0062427B" w:rsidRPr="00A54D04">
        <w:t xml:space="preserve">comparisons invalid and leading to </w:t>
      </w:r>
      <w:r w:rsidR="00755A1E" w:rsidRPr="00A54D04">
        <w:t>in</w:t>
      </w:r>
      <w:r w:rsidR="0062427B" w:rsidRPr="00A54D04">
        <w:t>accurate cost assessments.</w:t>
      </w:r>
      <w:r w:rsidR="0062427B" w:rsidRPr="00A54D04">
        <w:rPr>
          <w:rStyle w:val="FootnoteReference"/>
        </w:rPr>
        <w:footnoteReference w:id="13"/>
      </w:r>
    </w:p>
    <w:p w14:paraId="0097591A" w14:textId="4A255D6C" w:rsidR="006732CB" w:rsidRPr="00A54D04" w:rsidRDefault="004B14C9" w:rsidP="00A57E6A">
      <w:pPr>
        <w:pStyle w:val="Heading3"/>
      </w:pPr>
      <w:bookmarkStart w:id="77" w:name="_Toc195721883"/>
      <w:bookmarkStart w:id="78" w:name="_Toc197345239"/>
      <w:bookmarkStart w:id="79" w:name="_Toc197942409"/>
      <w:bookmarkStart w:id="80" w:name="_Toc197977682"/>
      <w:bookmarkStart w:id="81" w:name="_Toc198048671"/>
      <w:bookmarkStart w:id="82" w:name="_Toc199231544"/>
      <w:r w:rsidRPr="00A54D04">
        <w:t>B</w:t>
      </w:r>
      <w:r w:rsidR="00DE486D" w:rsidRPr="00A54D04">
        <w:t xml:space="preserve">enchmarking is </w:t>
      </w:r>
      <w:r w:rsidR="002D4BF3" w:rsidRPr="00A54D04">
        <w:t>fit-for-purpose</w:t>
      </w:r>
      <w:bookmarkEnd w:id="77"/>
      <w:bookmarkEnd w:id="78"/>
      <w:bookmarkEnd w:id="79"/>
      <w:bookmarkEnd w:id="80"/>
      <w:bookmarkEnd w:id="81"/>
      <w:bookmarkEnd w:id="82"/>
    </w:p>
    <w:p w14:paraId="17F64DE1" w14:textId="3AD70F3B" w:rsidR="00A97489" w:rsidRPr="00A54D04" w:rsidRDefault="0045234B" w:rsidP="006964EE">
      <w:r>
        <w:t>In our view, b</w:t>
      </w:r>
      <w:r w:rsidRPr="00A54D04">
        <w:t xml:space="preserve">enchmarking is fit-for-purpose and </w:t>
      </w:r>
      <w:r w:rsidR="00021F91">
        <w:t xml:space="preserve">is a </w:t>
      </w:r>
      <w:r w:rsidRPr="00A54D04">
        <w:t>sound and reliable basis of assessment</w:t>
      </w:r>
      <w:r>
        <w:t>.</w:t>
      </w:r>
      <w:r w:rsidRPr="00A54D04" w:rsidDel="0083159A">
        <w:t xml:space="preserve"> </w:t>
      </w:r>
      <w:r w:rsidR="003A6D09">
        <w:t>The</w:t>
      </w:r>
      <w:r w:rsidR="002F1E0E" w:rsidRPr="00A54D04">
        <w:t xml:space="preserve"> </w:t>
      </w:r>
      <w:r w:rsidR="00A97489" w:rsidRPr="00A54D04">
        <w:t>advantages</w:t>
      </w:r>
      <w:r w:rsidR="003A6D09">
        <w:t xml:space="preserve"> of benchmarking</w:t>
      </w:r>
      <w:r w:rsidR="00A97489" w:rsidRPr="00A54D04">
        <w:t xml:space="preserve"> are that we do not need to:</w:t>
      </w:r>
    </w:p>
    <w:p w14:paraId="4959CF7B" w14:textId="4D3E6ADB" w:rsidR="00A97489" w:rsidRPr="00A54D04" w:rsidRDefault="006C311E" w:rsidP="00415D87">
      <w:pPr>
        <w:pStyle w:val="ListBullet"/>
      </w:pPr>
      <w:r w:rsidRPr="00A54D04">
        <w:t>obtain</w:t>
      </w:r>
      <w:r w:rsidR="008E4CF8" w:rsidRPr="00A54D04">
        <w:t xml:space="preserve"> data</w:t>
      </w:r>
      <w:r w:rsidR="00AB025A" w:rsidRPr="00A54D04">
        <w:t xml:space="preserve"> from </w:t>
      </w:r>
      <w:r w:rsidR="00407ED8" w:rsidRPr="00A54D04">
        <w:t xml:space="preserve">accident towing </w:t>
      </w:r>
      <w:r w:rsidR="00050021" w:rsidRPr="00A54D04">
        <w:t>operators</w:t>
      </w:r>
    </w:p>
    <w:p w14:paraId="60DEE98F" w14:textId="6E962168" w:rsidR="00A97489" w:rsidRPr="00A54D04" w:rsidRDefault="00B91EBB" w:rsidP="00415D87">
      <w:pPr>
        <w:pStyle w:val="ListBullet"/>
      </w:pPr>
      <w:r w:rsidRPr="00A54D04">
        <w:t>rely on firm-specific costs</w:t>
      </w:r>
    </w:p>
    <w:p w14:paraId="32134F24" w14:textId="75F96DE3" w:rsidR="00D54729" w:rsidRPr="00A54D04" w:rsidRDefault="00B91EBB" w:rsidP="00850E95">
      <w:pPr>
        <w:pStyle w:val="ListBullet"/>
      </w:pPr>
      <w:r w:rsidRPr="00A54D04">
        <w:t>assess every cost item for prudency and efficiency.</w:t>
      </w:r>
    </w:p>
    <w:p w14:paraId="7D1CD866" w14:textId="77777777" w:rsidR="009B4B78" w:rsidRPr="00A54D04" w:rsidRDefault="00B91EBB" w:rsidP="003E5ABF">
      <w:r w:rsidRPr="00A54D04">
        <w:t>Importantly, r</w:t>
      </w:r>
      <w:r w:rsidR="00EC22AC" w:rsidRPr="00A54D04">
        <w:t xml:space="preserve">egulated </w:t>
      </w:r>
      <w:r w:rsidR="00A618D1" w:rsidRPr="00A54D04">
        <w:t>fee</w:t>
      </w:r>
      <w:r w:rsidR="00BC0ED9" w:rsidRPr="00A54D04">
        <w:t xml:space="preserve"> levels </w:t>
      </w:r>
      <w:r w:rsidR="00EC22AC" w:rsidRPr="00A54D04">
        <w:t>can</w:t>
      </w:r>
      <w:r w:rsidR="00BC0ED9" w:rsidRPr="00A54D04">
        <w:t xml:space="preserve"> be</w:t>
      </w:r>
      <w:r w:rsidR="00EC22AC" w:rsidRPr="00A54D04">
        <w:t xml:space="preserve"> benchmarked against unregulated trade towing fees. This is significant because</w:t>
      </w:r>
      <w:r w:rsidR="002C4721" w:rsidRPr="00A54D04">
        <w:t xml:space="preserve"> towing operators provide both accident towing and trade towing services using the same trucks, depots and storage yards.</w:t>
      </w:r>
    </w:p>
    <w:p w14:paraId="4A79F1DF" w14:textId="43B1BB17" w:rsidR="008F40A6" w:rsidRPr="00A54D04" w:rsidRDefault="002C4721" w:rsidP="003E5ABF">
      <w:r w:rsidRPr="00A54D04">
        <w:t>Further, trade towing services are provided in a contestable, competitive</w:t>
      </w:r>
      <w:r w:rsidR="00D54729" w:rsidRPr="00A54D04">
        <w:t xml:space="preserve"> market. We consider fees in a contestable market will better reflect efficient costs</w:t>
      </w:r>
      <w:r w:rsidR="004C125E" w:rsidRPr="00A54D04">
        <w:t>.</w:t>
      </w:r>
    </w:p>
    <w:p w14:paraId="4DFED1A5" w14:textId="12980762" w:rsidR="00CB18D6" w:rsidRPr="00A54D04" w:rsidRDefault="00531525" w:rsidP="00791466">
      <w:r w:rsidRPr="00A54D04">
        <w:t xml:space="preserve">However, benchmarking </w:t>
      </w:r>
      <w:r w:rsidR="002369D1">
        <w:t>has some</w:t>
      </w:r>
      <w:r w:rsidRPr="00A54D04">
        <w:t xml:space="preserve"> limitations. </w:t>
      </w:r>
      <w:proofErr w:type="gramStart"/>
      <w:r w:rsidR="003D7F64" w:rsidRPr="00A54D04">
        <w:t xml:space="preserve">In particular, </w:t>
      </w:r>
      <w:r w:rsidR="0007338D">
        <w:t>we</w:t>
      </w:r>
      <w:proofErr w:type="gramEnd"/>
      <w:r w:rsidR="0007338D">
        <w:t xml:space="preserve"> needed to make </w:t>
      </w:r>
      <w:proofErr w:type="gramStart"/>
      <w:r w:rsidR="005F2FDD">
        <w:t>a number of</w:t>
      </w:r>
      <w:proofErr w:type="gramEnd"/>
      <w:r w:rsidR="0007338D">
        <w:t xml:space="preserve"> assumptions and adjus</w:t>
      </w:r>
      <w:r w:rsidR="0045234B">
        <w:t>t</w:t>
      </w:r>
      <w:r w:rsidR="00E47DF7">
        <w:t xml:space="preserve">ments </w:t>
      </w:r>
      <w:r w:rsidR="0007338D">
        <w:t xml:space="preserve">to </w:t>
      </w:r>
      <w:r w:rsidR="00EA32DA">
        <w:t>account for</w:t>
      </w:r>
      <w:r w:rsidR="0007338D">
        <w:t xml:space="preserve"> </w:t>
      </w:r>
      <w:r w:rsidR="00E47DF7">
        <w:t xml:space="preserve">differences in the fee structures of each </w:t>
      </w:r>
      <w:proofErr w:type="gramStart"/>
      <w:r w:rsidR="00E47DF7">
        <w:t>jurisdiction</w:t>
      </w:r>
      <w:proofErr w:type="gramEnd"/>
      <w:r w:rsidR="0007338D">
        <w:t xml:space="preserve"> </w:t>
      </w:r>
      <w:r w:rsidR="0007338D">
        <w:lastRenderedPageBreak/>
        <w:t>and</w:t>
      </w:r>
      <w:r w:rsidR="00E47DF7">
        <w:t xml:space="preserve"> in</w:t>
      </w:r>
      <w:r w:rsidR="0007338D">
        <w:t xml:space="preserve"> </w:t>
      </w:r>
      <w:r w:rsidR="00E47DF7">
        <w:t>the types of towing</w:t>
      </w:r>
      <w:r w:rsidR="0007338D">
        <w:t xml:space="preserve">. </w:t>
      </w:r>
      <w:r w:rsidR="003B5572" w:rsidRPr="00A54D04">
        <w:t>This</w:t>
      </w:r>
      <w:r w:rsidR="00475759" w:rsidRPr="00A54D04">
        <w:t xml:space="preserve"> means the benchmarks do not strictly reflect the efficient costs for all accident towing jobs.</w:t>
      </w:r>
      <w:r w:rsidR="00AA1CBC">
        <w:t xml:space="preserve"> D</w:t>
      </w:r>
      <w:r w:rsidR="00A66DC6">
        <w:t xml:space="preserve">espite these limitations, benchmarking is, in our view, the most appropriate basis for the assessment of accident towing and storage fees. </w:t>
      </w:r>
    </w:p>
    <w:p w14:paraId="5754EF79" w14:textId="748B1A96" w:rsidR="00412575" w:rsidRPr="00A54D04" w:rsidRDefault="00546836" w:rsidP="00546836">
      <w:pPr>
        <w:pStyle w:val="Heading3"/>
      </w:pPr>
      <w:bookmarkStart w:id="83" w:name="_Toc195721884"/>
      <w:bookmarkStart w:id="84" w:name="_Toc197345240"/>
      <w:bookmarkStart w:id="85" w:name="_Toc197942410"/>
      <w:bookmarkStart w:id="86" w:name="_Toc197977683"/>
      <w:bookmarkStart w:id="87" w:name="_Toc198048672"/>
      <w:bookmarkStart w:id="88" w:name="_Toc199231545"/>
      <w:r w:rsidRPr="00A54D04">
        <w:t>A cost-of-service</w:t>
      </w:r>
      <w:r w:rsidR="00545B35" w:rsidRPr="00A54D04">
        <w:t xml:space="preserve"> approach</w:t>
      </w:r>
      <w:r w:rsidRPr="00A54D04">
        <w:t xml:space="preserve"> </w:t>
      </w:r>
      <w:bookmarkEnd w:id="83"/>
      <w:r w:rsidR="004B14C9" w:rsidRPr="00A54D04">
        <w:t>has significant burdens</w:t>
      </w:r>
      <w:bookmarkEnd w:id="84"/>
      <w:bookmarkEnd w:id="85"/>
      <w:bookmarkEnd w:id="86"/>
      <w:bookmarkEnd w:id="87"/>
      <w:bookmarkEnd w:id="88"/>
    </w:p>
    <w:p w14:paraId="0BFBD56A" w14:textId="77C8A797" w:rsidR="00145605" w:rsidRPr="00A54D04" w:rsidRDefault="00405D30" w:rsidP="00791466">
      <w:r w:rsidRPr="00A54D04">
        <w:t xml:space="preserve">In our view, </w:t>
      </w:r>
      <w:r w:rsidR="0063797E" w:rsidRPr="00A54D04">
        <w:t>a</w:t>
      </w:r>
      <w:r w:rsidR="001A1E04" w:rsidRPr="00A54D04">
        <w:t xml:space="preserve"> </w:t>
      </w:r>
      <w:r w:rsidR="004B7A51" w:rsidRPr="00A54D04">
        <w:t>cost-of-ser</w:t>
      </w:r>
      <w:r w:rsidR="006D57D9" w:rsidRPr="00A54D04">
        <w:t>v</w:t>
      </w:r>
      <w:r w:rsidR="0001647F" w:rsidRPr="00A54D04">
        <w:t xml:space="preserve">ice approach </w:t>
      </w:r>
      <w:r w:rsidR="007F0DEE" w:rsidRPr="00A54D04">
        <w:t>was</w:t>
      </w:r>
      <w:r w:rsidR="001A1E04" w:rsidRPr="00A54D04">
        <w:t xml:space="preserve"> </w:t>
      </w:r>
      <w:r w:rsidR="008B0A72" w:rsidRPr="00A54D04">
        <w:t>not</w:t>
      </w:r>
      <w:r w:rsidR="00B200EF" w:rsidRPr="00A54D04">
        <w:t xml:space="preserve"> feasible</w:t>
      </w:r>
      <w:r w:rsidR="008B0A72" w:rsidRPr="00A54D04">
        <w:t xml:space="preserve"> </w:t>
      </w:r>
      <w:r w:rsidR="001A1E04" w:rsidRPr="00A54D04">
        <w:t>for</w:t>
      </w:r>
      <w:r w:rsidR="00C858F2">
        <w:t xml:space="preserve"> our review.</w:t>
      </w:r>
      <w:r w:rsidR="004D2CC8">
        <w:t xml:space="preserve"> </w:t>
      </w:r>
      <w:r w:rsidR="002F4076" w:rsidRPr="00A54D04">
        <w:t>Any beneficial outcomes that might be derived</w:t>
      </w:r>
      <w:r w:rsidR="002F1E0E" w:rsidRPr="00A54D04">
        <w:t xml:space="preserve"> were not considered</w:t>
      </w:r>
      <w:r w:rsidR="002F4076" w:rsidRPr="00A54D04">
        <w:t xml:space="preserve"> to outweigh the </w:t>
      </w:r>
      <w:r w:rsidR="00CA751A" w:rsidRPr="00A54D04">
        <w:t xml:space="preserve">administrative </w:t>
      </w:r>
      <w:r w:rsidR="00B200EF" w:rsidRPr="00A54D04">
        <w:t xml:space="preserve">burden </w:t>
      </w:r>
      <w:r w:rsidR="00CA751A" w:rsidRPr="00A54D04">
        <w:t xml:space="preserve">for parties to gather, collate and provide </w:t>
      </w:r>
      <w:r w:rsidR="00E4541B" w:rsidRPr="00A54D04">
        <w:t>the required</w:t>
      </w:r>
      <w:r w:rsidR="00CA751A" w:rsidRPr="00A54D04">
        <w:t xml:space="preserve"> information</w:t>
      </w:r>
      <w:r w:rsidR="00E4541B" w:rsidRPr="00A54D04">
        <w:t>.</w:t>
      </w:r>
      <w:r w:rsidR="00662391" w:rsidRPr="00A54D04">
        <w:t xml:space="preserve"> Th</w:t>
      </w:r>
      <w:r w:rsidR="0062506D" w:rsidRPr="00A54D04">
        <w:t>is burden is</w:t>
      </w:r>
      <w:r w:rsidR="00662391" w:rsidRPr="00A54D04">
        <w:t xml:space="preserve"> particularly relevant for small and medium-sized businesses, which are prevalent in the accident towing industry.</w:t>
      </w:r>
    </w:p>
    <w:p w14:paraId="025500BB" w14:textId="4D687149" w:rsidR="00743181" w:rsidRPr="00A54D04" w:rsidRDefault="00A75BFB" w:rsidP="00791466">
      <w:r w:rsidRPr="00A54D04">
        <w:t xml:space="preserve">If such an approach were </w:t>
      </w:r>
      <w:r w:rsidR="0009256F" w:rsidRPr="00A54D04">
        <w:t xml:space="preserve">contemplated in the future, </w:t>
      </w:r>
      <w:r w:rsidR="00AC2C5A" w:rsidRPr="00A54D04">
        <w:t>considerable work would need to be done to agree:</w:t>
      </w:r>
    </w:p>
    <w:p w14:paraId="6BCDC5FB" w14:textId="1CCE6FCB" w:rsidR="00AC2C5A" w:rsidRPr="00A54D04" w:rsidRDefault="00976EAE" w:rsidP="00AC2C5A">
      <w:pPr>
        <w:pStyle w:val="ListBullet"/>
      </w:pPr>
      <w:r w:rsidRPr="00A54D04">
        <w:t>what costs should be included</w:t>
      </w:r>
    </w:p>
    <w:p w14:paraId="3BCB738E" w14:textId="14633966" w:rsidR="00976EAE" w:rsidRPr="00A54D04" w:rsidRDefault="00976EAE" w:rsidP="00AC2C5A">
      <w:pPr>
        <w:pStyle w:val="ListBullet"/>
      </w:pPr>
      <w:r w:rsidRPr="00A54D04">
        <w:t>how cost information is gathered and verified</w:t>
      </w:r>
    </w:p>
    <w:p w14:paraId="20311923" w14:textId="201DAED1" w:rsidR="00976EAE" w:rsidRPr="00A54D04" w:rsidRDefault="00976EAE" w:rsidP="00546836">
      <w:pPr>
        <w:pStyle w:val="ListBullet"/>
      </w:pPr>
      <w:r w:rsidRPr="00A54D04">
        <w:t>how regulated costs are ring-fenced or allocated between regulated and unregulated services.</w:t>
      </w:r>
    </w:p>
    <w:p w14:paraId="1273BD5F" w14:textId="3D9DC1F1" w:rsidR="00A8540A" w:rsidRDefault="00B8303F" w:rsidP="004D45EE">
      <w:r w:rsidRPr="00A54D04">
        <w:t xml:space="preserve">We further note </w:t>
      </w:r>
      <w:r w:rsidR="00E73FE3" w:rsidRPr="00A54D04">
        <w:t xml:space="preserve">a cost-of-service approach would require </w:t>
      </w:r>
      <w:r w:rsidR="004D2CC8">
        <w:t>many</w:t>
      </w:r>
      <w:r w:rsidR="00E73FE3" w:rsidRPr="00A54D04">
        <w:t xml:space="preserve"> assumptions to be made</w:t>
      </w:r>
      <w:r w:rsidR="0013191F" w:rsidRPr="00A54D04">
        <w:t>,</w:t>
      </w:r>
      <w:r w:rsidR="00E73FE3" w:rsidRPr="00A54D04">
        <w:t xml:space="preserve"> which would limit the accuracy of results. </w:t>
      </w:r>
      <w:r w:rsidR="00D86DDA" w:rsidRPr="00A54D04">
        <w:t xml:space="preserve">Chief among them is the need to </w:t>
      </w:r>
      <w:r w:rsidR="00C858F2">
        <w:t>a</w:t>
      </w:r>
      <w:r w:rsidR="00836243">
        <w:t xml:space="preserve">pportion </w:t>
      </w:r>
      <w:r w:rsidR="00C858F2">
        <w:t>towing operators</w:t>
      </w:r>
      <w:r w:rsidR="00421060">
        <w:t>’</w:t>
      </w:r>
      <w:r w:rsidR="008B3535">
        <w:t xml:space="preserve"> costs</w:t>
      </w:r>
      <w:r w:rsidR="00C858F2">
        <w:t xml:space="preserve"> in providing </w:t>
      </w:r>
      <w:r w:rsidR="00D86DDA" w:rsidRPr="00A54D04">
        <w:t>accident towing services</w:t>
      </w:r>
      <w:r w:rsidR="00C858F2">
        <w:t xml:space="preserve">, with the costs of any </w:t>
      </w:r>
      <w:r w:rsidR="00D86DDA" w:rsidRPr="00A54D04">
        <w:t xml:space="preserve">other </w:t>
      </w:r>
      <w:r w:rsidR="00A8540A">
        <w:t xml:space="preserve">unregulated </w:t>
      </w:r>
      <w:r w:rsidR="00D86DDA" w:rsidRPr="00A54D04">
        <w:t xml:space="preserve">services </w:t>
      </w:r>
      <w:r w:rsidR="00C858F2">
        <w:t xml:space="preserve">they may </w:t>
      </w:r>
      <w:r w:rsidR="00D86DDA" w:rsidRPr="00A54D04">
        <w:t>provide.</w:t>
      </w:r>
    </w:p>
    <w:p w14:paraId="23A34B49" w14:textId="31BE9226" w:rsidR="00B8303F" w:rsidRPr="00A54D04" w:rsidRDefault="00D86DDA" w:rsidP="004D45EE">
      <w:r w:rsidRPr="00A54D04">
        <w:t xml:space="preserve">Isolating </w:t>
      </w:r>
      <w:r w:rsidR="0039611D" w:rsidRPr="00A54D04">
        <w:t xml:space="preserve">accident </w:t>
      </w:r>
      <w:r w:rsidRPr="00A54D04">
        <w:t>towing specific costs from other</w:t>
      </w:r>
      <w:r w:rsidR="003F6E91" w:rsidRPr="00A54D04">
        <w:t xml:space="preserve"> expenditure</w:t>
      </w:r>
      <w:r w:rsidRPr="00A54D04">
        <w:t xml:space="preserve">s </w:t>
      </w:r>
      <w:r w:rsidR="008B3535">
        <w:t>would be</w:t>
      </w:r>
      <w:r w:rsidRPr="00A54D04">
        <w:t xml:space="preserve"> a significant exercise for both </w:t>
      </w:r>
      <w:r w:rsidR="00DA2BCB">
        <w:t xml:space="preserve">towing </w:t>
      </w:r>
      <w:r w:rsidR="00325ECE">
        <w:t>operators</w:t>
      </w:r>
      <w:r w:rsidRPr="00A54D04">
        <w:t xml:space="preserve"> and </w:t>
      </w:r>
      <w:r w:rsidR="00325ECE">
        <w:t>the commission</w:t>
      </w:r>
      <w:r w:rsidR="00425EF9">
        <w:t>.</w:t>
      </w:r>
      <w:r w:rsidRPr="00A54D04">
        <w:t xml:space="preserve"> </w:t>
      </w:r>
      <w:r w:rsidR="005748A3">
        <w:t>This</w:t>
      </w:r>
      <w:r w:rsidR="00425EF9">
        <w:t xml:space="preserve"> would be</w:t>
      </w:r>
      <w:r w:rsidRPr="00A54D04">
        <w:t xml:space="preserve"> essential</w:t>
      </w:r>
      <w:r w:rsidR="005748A3">
        <w:t>,</w:t>
      </w:r>
      <w:r w:rsidRPr="00A54D04">
        <w:t xml:space="preserve"> if a cost-of-service approach </w:t>
      </w:r>
      <w:r w:rsidR="008B3535">
        <w:t>were</w:t>
      </w:r>
      <w:r w:rsidR="008B3535" w:rsidRPr="00A54D04">
        <w:t xml:space="preserve"> </w:t>
      </w:r>
      <w:r w:rsidRPr="00A54D04">
        <w:t>to be adopted.</w:t>
      </w:r>
    </w:p>
    <w:p w14:paraId="4962CAA8" w14:textId="1FAF2750" w:rsidR="00E30562" w:rsidRPr="00A54D04" w:rsidRDefault="00D90BB2" w:rsidP="002D4BF3">
      <w:pPr>
        <w:pStyle w:val="Heading4"/>
      </w:pPr>
      <w:bookmarkStart w:id="89" w:name="_Hlk196940747"/>
      <w:r w:rsidRPr="00A54D04">
        <w:t xml:space="preserve">Published indices </w:t>
      </w:r>
      <w:r w:rsidR="00F850E4" w:rsidRPr="00A54D04">
        <w:t>s</w:t>
      </w:r>
      <w:r w:rsidR="008F1507" w:rsidRPr="00A54D04">
        <w:t>uggest</w:t>
      </w:r>
      <w:r w:rsidR="00014C3A" w:rsidRPr="00A54D04">
        <w:t xml:space="preserve"> </w:t>
      </w:r>
      <w:r w:rsidR="00CB3D12" w:rsidRPr="00A54D04">
        <w:t xml:space="preserve">costs </w:t>
      </w:r>
      <w:r w:rsidR="00D60FE9" w:rsidRPr="00A54D04">
        <w:t>contain</w:t>
      </w:r>
      <w:r w:rsidR="003F6E91" w:rsidRPr="00A54D04">
        <w:t>ment</w:t>
      </w:r>
      <w:r w:rsidR="00AD63DD" w:rsidRPr="00A54D04">
        <w:t xml:space="preserve"> </w:t>
      </w:r>
    </w:p>
    <w:p w14:paraId="24386A9E" w14:textId="156AEEB7" w:rsidR="008F1507" w:rsidRPr="00A54D04" w:rsidRDefault="001B4817" w:rsidP="004D45EE">
      <w:r w:rsidRPr="00A54D04">
        <w:t>AllCar Towing Group and t</w:t>
      </w:r>
      <w:r w:rsidR="008F1507" w:rsidRPr="00A54D04">
        <w:t>he VACC raised concerns about the rising cost pressures facing the accident towing industry</w:t>
      </w:r>
      <w:r w:rsidR="0066547C" w:rsidRPr="00A54D04">
        <w:t>.</w:t>
      </w:r>
      <w:r w:rsidR="00D131EE" w:rsidRPr="00A54D04">
        <w:t xml:space="preserve"> </w:t>
      </w:r>
    </w:p>
    <w:p w14:paraId="483A7093" w14:textId="0E5B92D5" w:rsidR="00131D2D" w:rsidRPr="00A54D04" w:rsidRDefault="00954C92" w:rsidP="004D45EE">
      <w:r w:rsidRPr="00A54D04">
        <w:t>We referred to published cost indices in relation to these concerns</w:t>
      </w:r>
      <w:r>
        <w:t xml:space="preserve">. </w:t>
      </w:r>
      <w:r w:rsidR="00AB7EDD" w:rsidRPr="00A54D04">
        <w:t xml:space="preserve">According to </w:t>
      </w:r>
      <w:r w:rsidR="00021F91">
        <w:t xml:space="preserve">the </w:t>
      </w:r>
      <w:r w:rsidR="00AB7EDD" w:rsidRPr="00A54D04">
        <w:t>indices we analysed, the major costs underpinning accident towing services in Melbourne</w:t>
      </w:r>
      <w:r w:rsidR="003B6A84" w:rsidRPr="00A54D04">
        <w:t xml:space="preserve">, despite some volatility, </w:t>
      </w:r>
      <w:r w:rsidR="00AB7EDD" w:rsidRPr="00A54D04">
        <w:t>have not significantly changed since our last</w:t>
      </w:r>
      <w:r w:rsidR="003F6E91" w:rsidRPr="00A54D04">
        <w:t xml:space="preserve"> </w:t>
      </w:r>
      <w:r w:rsidR="00AB7EDD" w:rsidRPr="00A54D04">
        <w:t>review</w:t>
      </w:r>
      <w:r w:rsidR="00307ED6" w:rsidRPr="00A54D04">
        <w:t>.</w:t>
      </w:r>
    </w:p>
    <w:p w14:paraId="173CBF17" w14:textId="19029A95" w:rsidR="002F31BD" w:rsidRPr="00A54D04" w:rsidRDefault="008F1507" w:rsidP="004D45EE">
      <w:r w:rsidRPr="00A54D04">
        <w:t xml:space="preserve">We found </w:t>
      </w:r>
      <w:r w:rsidR="003B6A84" w:rsidRPr="00A54D04">
        <w:t>that accident</w:t>
      </w:r>
      <w:r w:rsidRPr="00A54D04">
        <w:t xml:space="preserve"> towing costs increased at a slower rate than estimated revenue</w:t>
      </w:r>
      <w:r w:rsidR="003F6E91" w:rsidRPr="00A54D04">
        <w:t xml:space="preserve"> at aggregate industry level</w:t>
      </w:r>
      <w:r w:rsidR="00135D63" w:rsidRPr="00A54D04">
        <w:t xml:space="preserve"> (see Appendix </w:t>
      </w:r>
      <w:r w:rsidR="00F170DF">
        <w:t>E</w:t>
      </w:r>
      <w:r w:rsidR="00135D63" w:rsidRPr="00A54D04">
        <w:t xml:space="preserve"> for more</w:t>
      </w:r>
      <w:r w:rsidR="00021F91">
        <w:t xml:space="preserve"> information</w:t>
      </w:r>
      <w:r w:rsidR="00135D63" w:rsidRPr="00A54D04">
        <w:t>)</w:t>
      </w:r>
      <w:r w:rsidR="003F6E91" w:rsidRPr="00A54D04">
        <w:t xml:space="preserve">. </w:t>
      </w:r>
      <w:r w:rsidR="004D2CC8">
        <w:t>We recognise that</w:t>
      </w:r>
      <w:r w:rsidR="00B35105">
        <w:t>,</w:t>
      </w:r>
      <w:r w:rsidR="00675A19">
        <w:t xml:space="preserve"> </w:t>
      </w:r>
      <w:r w:rsidR="004D2CC8">
        <w:t>for some towing operators</w:t>
      </w:r>
      <w:r w:rsidR="00CC2753">
        <w:t>,</w:t>
      </w:r>
      <w:r w:rsidR="004D2CC8">
        <w:t xml:space="preserve"> revenue from accident towing services may not be keeping pace with their </w:t>
      </w:r>
      <w:r w:rsidR="00954C92">
        <w:t xml:space="preserve">own </w:t>
      </w:r>
      <w:r w:rsidR="004D2CC8">
        <w:t xml:space="preserve">costs. </w:t>
      </w:r>
      <w:r w:rsidR="00C43DDC">
        <w:t>However, t</w:t>
      </w:r>
      <w:r w:rsidR="00131D2D" w:rsidRPr="00A54D04">
        <w:t xml:space="preserve">his is </w:t>
      </w:r>
      <w:r w:rsidR="003F6E91" w:rsidRPr="00A54D04">
        <w:t>simply part of operating in a functioning market where exposure to cost</w:t>
      </w:r>
      <w:r w:rsidR="00021F91">
        <w:t>s and</w:t>
      </w:r>
      <w:r w:rsidR="003F6E91" w:rsidRPr="00A54D04">
        <w:t xml:space="preserve"> risk </w:t>
      </w:r>
      <w:r w:rsidR="00021F91">
        <w:t xml:space="preserve">should provide towing operators with the </w:t>
      </w:r>
      <w:r w:rsidR="003F6E91" w:rsidRPr="00A54D04">
        <w:t xml:space="preserve">discipline </w:t>
      </w:r>
      <w:r w:rsidR="00021F91">
        <w:t xml:space="preserve">to </w:t>
      </w:r>
      <w:r w:rsidR="003F6E91" w:rsidRPr="00A54D04">
        <w:t xml:space="preserve">be prudent and </w:t>
      </w:r>
      <w:r w:rsidR="00131D2D" w:rsidRPr="00A54D04">
        <w:t>operate efficiently.</w:t>
      </w:r>
      <w:r w:rsidR="00954C92">
        <w:t xml:space="preserve"> </w:t>
      </w:r>
      <w:r w:rsidR="00B03058">
        <w:t xml:space="preserve">It </w:t>
      </w:r>
      <w:r w:rsidR="00954C92">
        <w:t>does not mean that costs actually incurred should automatically be recovered via regulated charges. Doing so would reduce incentives to operate efficiently.</w:t>
      </w:r>
    </w:p>
    <w:p w14:paraId="64D19C36" w14:textId="09FEC8C6" w:rsidR="00C0434F" w:rsidRPr="00A54D04" w:rsidRDefault="00CD7875" w:rsidP="002D4BF3">
      <w:pPr>
        <w:pStyle w:val="Heading2"/>
      </w:pPr>
      <w:bookmarkStart w:id="90" w:name="_Toc199231546"/>
      <w:bookmarkEnd w:id="89"/>
      <w:r w:rsidRPr="00A54D04">
        <w:lastRenderedPageBreak/>
        <w:t xml:space="preserve">Recommendations informed by industry </w:t>
      </w:r>
      <w:r w:rsidR="00AD0AE1" w:rsidRPr="00A54D04">
        <w:t>data and</w:t>
      </w:r>
      <w:r w:rsidR="00146024" w:rsidRPr="00A54D04">
        <w:t xml:space="preserve"> stakeholder views</w:t>
      </w:r>
      <w:bookmarkEnd w:id="90"/>
      <w:r w:rsidR="006C7B37" w:rsidRPr="00A54D04">
        <w:t xml:space="preserve"> </w:t>
      </w:r>
    </w:p>
    <w:p w14:paraId="2F36EAF8" w14:textId="3BA1D9EC" w:rsidR="00E5043B" w:rsidRPr="00A54D04" w:rsidRDefault="005B17D6" w:rsidP="00E5043B">
      <w:r w:rsidRPr="00A54D04">
        <w:t>We obtained data and information from the Department of Transport and Planning</w:t>
      </w:r>
      <w:r w:rsidR="00055EF4" w:rsidRPr="00A54D04">
        <w:t xml:space="preserve"> and an insurance company. We also sourced publ</w:t>
      </w:r>
      <w:r w:rsidR="00E25510" w:rsidRPr="00A54D04">
        <w:t>icly available</w:t>
      </w:r>
      <w:r w:rsidR="00055EF4" w:rsidRPr="00A54D04">
        <w:t xml:space="preserve"> data from the Australian Bureau of Statistics.</w:t>
      </w:r>
    </w:p>
    <w:p w14:paraId="6C90127C" w14:textId="3E7F3227" w:rsidR="00055EF4" w:rsidRPr="00A54D04" w:rsidRDefault="00B2242B" w:rsidP="00E5043B">
      <w:r>
        <w:t>O</w:t>
      </w:r>
      <w:r w:rsidR="00B44EAE" w:rsidRPr="00A54D04">
        <w:t>ur</w:t>
      </w:r>
      <w:r w:rsidR="00055EF4" w:rsidRPr="00A54D04">
        <w:t xml:space="preserve"> </w:t>
      </w:r>
      <w:r w:rsidR="0039611D" w:rsidRPr="00A54D04">
        <w:t>d</w:t>
      </w:r>
      <w:r w:rsidR="00055EF4" w:rsidRPr="00A54D04">
        <w:t xml:space="preserve">raft </w:t>
      </w:r>
      <w:r w:rsidR="0039611D" w:rsidRPr="00A54D04">
        <w:t>r</w:t>
      </w:r>
      <w:r w:rsidR="00055EF4" w:rsidRPr="00A54D04">
        <w:t>eport</w:t>
      </w:r>
      <w:r>
        <w:t xml:space="preserve"> released</w:t>
      </w:r>
      <w:r w:rsidR="00055EF4" w:rsidRPr="00A54D04">
        <w:t xml:space="preserve"> on 19 December 2024 s</w:t>
      </w:r>
      <w:r>
        <w:t>ought</w:t>
      </w:r>
      <w:r w:rsidR="00055EF4" w:rsidRPr="00A54D04">
        <w:t xml:space="preserve"> stakeholder views on our </w:t>
      </w:r>
      <w:r w:rsidR="00E44A2A" w:rsidRPr="00A54D04">
        <w:t xml:space="preserve">preliminary </w:t>
      </w:r>
      <w:r w:rsidR="00055EF4" w:rsidRPr="00A54D04">
        <w:t xml:space="preserve">conclusions and recommendations. </w:t>
      </w:r>
      <w:r w:rsidR="00AD7A3E" w:rsidRPr="00A54D04">
        <w:t xml:space="preserve">We received </w:t>
      </w:r>
      <w:r w:rsidR="00EA044F" w:rsidRPr="00A54D04">
        <w:t>submission</w:t>
      </w:r>
      <w:r w:rsidR="00AA18D8" w:rsidRPr="00A54D04">
        <w:t>s</w:t>
      </w:r>
      <w:r w:rsidR="00EA044F" w:rsidRPr="00A54D04">
        <w:t xml:space="preserve"> from </w:t>
      </w:r>
      <w:r w:rsidR="00AD7A3E" w:rsidRPr="00A54D04">
        <w:t xml:space="preserve">three </w:t>
      </w:r>
      <w:r w:rsidR="00034D12" w:rsidRPr="00A54D04">
        <w:t>stakeholders</w:t>
      </w:r>
      <w:r w:rsidR="00046E4C" w:rsidRPr="00A54D04">
        <w:t xml:space="preserve"> (see Table </w:t>
      </w:r>
      <w:r w:rsidR="005725AF" w:rsidRPr="00A54D04">
        <w:t>2</w:t>
      </w:r>
      <w:r w:rsidR="00046E4C" w:rsidRPr="00A54D04">
        <w:t>).</w:t>
      </w:r>
      <w:r w:rsidR="003B7AD8" w:rsidRPr="00A54D04">
        <w:t xml:space="preserve"> We met with the Insurance Council of Australia</w:t>
      </w:r>
      <w:r w:rsidR="00AA5D18" w:rsidRPr="00A54D04">
        <w:t xml:space="preserve"> and the VACC on </w:t>
      </w:r>
      <w:r w:rsidR="00B24B17" w:rsidRPr="00A54D04">
        <w:t xml:space="preserve">several </w:t>
      </w:r>
      <w:r w:rsidR="00AA5D18" w:rsidRPr="00A54D04">
        <w:t>occasions to discuss their submissions and views.</w:t>
      </w:r>
    </w:p>
    <w:p w14:paraId="07E607FF" w14:textId="1BDB139F" w:rsidR="00737253" w:rsidRPr="00A54D04" w:rsidRDefault="00737253" w:rsidP="00E90164">
      <w:pPr>
        <w:pStyle w:val="Figure-Table-BoxHeading"/>
        <w:keepNext/>
        <w:numPr>
          <w:ilvl w:val="0"/>
          <w:numId w:val="0"/>
        </w:numPr>
        <w:spacing w:after="0"/>
        <w:ind w:left="851" w:hanging="851"/>
      </w:pPr>
      <w:r w:rsidRPr="00A54D04">
        <w:t xml:space="preserve">Table </w:t>
      </w:r>
      <w:r w:rsidR="005725AF" w:rsidRPr="00A54D04">
        <w:t>2</w:t>
      </w:r>
      <w:r w:rsidRPr="00A54D04">
        <w:t xml:space="preserve">. Stakeholder submissions to </w:t>
      </w:r>
      <w:r w:rsidR="0039611D" w:rsidRPr="00A54D04">
        <w:t>d</w:t>
      </w:r>
      <w:r w:rsidRPr="00A54D04">
        <w:t xml:space="preserve">raft </w:t>
      </w:r>
      <w:r w:rsidR="0039611D" w:rsidRPr="00A54D04">
        <w:t>r</w:t>
      </w:r>
      <w:r w:rsidRPr="00A54D04">
        <w:t xml:space="preserve">eport </w:t>
      </w:r>
      <w:r w:rsidR="00FF3E14" w:rsidRPr="00A54D04">
        <w:tab/>
      </w:r>
    </w:p>
    <w:tbl>
      <w:tblPr>
        <w:tblStyle w:val="TableGrid"/>
        <w:tblW w:w="0" w:type="auto"/>
        <w:tblLook w:val="04A0" w:firstRow="1" w:lastRow="0" w:firstColumn="1" w:lastColumn="0" w:noHBand="0" w:noVBand="1"/>
      </w:tblPr>
      <w:tblGrid>
        <w:gridCol w:w="3212"/>
        <w:gridCol w:w="4103"/>
        <w:gridCol w:w="2323"/>
      </w:tblGrid>
      <w:tr w:rsidR="00737253" w:rsidRPr="00A54D04" w14:paraId="13D4788B" w14:textId="77777777" w:rsidTr="52C2B051">
        <w:trPr>
          <w:cnfStyle w:val="100000000000" w:firstRow="1" w:lastRow="0" w:firstColumn="0" w:lastColumn="0" w:oddVBand="0" w:evenVBand="0" w:oddHBand="0" w:evenHBand="0" w:firstRowFirstColumn="0" w:firstRowLastColumn="0" w:lastRowFirstColumn="0" w:lastRowLastColumn="0"/>
          <w:cantSplit/>
        </w:trPr>
        <w:tc>
          <w:tcPr>
            <w:tcW w:w="3212" w:type="dxa"/>
          </w:tcPr>
          <w:p w14:paraId="1ECD7F3B" w14:textId="77777777" w:rsidR="00737253" w:rsidRPr="00A54D04" w:rsidRDefault="00737253" w:rsidP="00223EE6">
            <w:pPr>
              <w:spacing w:before="0"/>
            </w:pPr>
            <w:r w:rsidRPr="00A54D04">
              <w:t>Stakeholder</w:t>
            </w:r>
          </w:p>
        </w:tc>
        <w:tc>
          <w:tcPr>
            <w:tcW w:w="4103" w:type="dxa"/>
          </w:tcPr>
          <w:p w14:paraId="4C96B9BF" w14:textId="77777777" w:rsidR="00737253" w:rsidRPr="00A54D04" w:rsidRDefault="00737253" w:rsidP="00223EE6">
            <w:pPr>
              <w:spacing w:before="0"/>
            </w:pPr>
            <w:r w:rsidRPr="00A54D04">
              <w:t>Stakeholder description</w:t>
            </w:r>
          </w:p>
        </w:tc>
        <w:tc>
          <w:tcPr>
            <w:tcW w:w="2323" w:type="dxa"/>
          </w:tcPr>
          <w:p w14:paraId="4D60C0E2" w14:textId="77777777" w:rsidR="00737253" w:rsidRPr="00A54D04" w:rsidRDefault="00737253" w:rsidP="00223EE6">
            <w:pPr>
              <w:spacing w:before="0"/>
            </w:pPr>
            <w:r w:rsidRPr="00A54D04">
              <w:t>Date received</w:t>
            </w:r>
          </w:p>
        </w:tc>
      </w:tr>
      <w:tr w:rsidR="00737253" w:rsidRPr="00A54D04" w14:paraId="10B2EC68" w14:textId="77777777" w:rsidTr="52C2B051">
        <w:trPr>
          <w:cnfStyle w:val="000000100000" w:firstRow="0" w:lastRow="0" w:firstColumn="0" w:lastColumn="0" w:oddVBand="0" w:evenVBand="0" w:oddHBand="1" w:evenHBand="0" w:firstRowFirstColumn="0" w:firstRowLastColumn="0" w:lastRowFirstColumn="0" w:lastRowLastColumn="0"/>
          <w:cantSplit/>
        </w:trPr>
        <w:tc>
          <w:tcPr>
            <w:tcW w:w="3212" w:type="dxa"/>
          </w:tcPr>
          <w:p w14:paraId="59212930" w14:textId="77777777" w:rsidR="00737253" w:rsidRPr="00A54D04" w:rsidRDefault="00737253">
            <w:pPr>
              <w:pStyle w:val="TableBody"/>
            </w:pPr>
            <w:r w:rsidRPr="00A54D04">
              <w:t>Insurance Council of Australia</w:t>
            </w:r>
          </w:p>
        </w:tc>
        <w:tc>
          <w:tcPr>
            <w:tcW w:w="4103" w:type="dxa"/>
          </w:tcPr>
          <w:p w14:paraId="6835F538" w14:textId="77777777" w:rsidR="00737253" w:rsidRPr="00A54D04" w:rsidRDefault="00737253">
            <w:pPr>
              <w:pStyle w:val="TableBody"/>
            </w:pPr>
            <w:r w:rsidRPr="00A54D04">
              <w:t xml:space="preserve">Australia’s representative body for the general insurance industry in Australia </w:t>
            </w:r>
          </w:p>
        </w:tc>
        <w:tc>
          <w:tcPr>
            <w:tcW w:w="2323" w:type="dxa"/>
          </w:tcPr>
          <w:p w14:paraId="790D5CED" w14:textId="09B7EA14" w:rsidR="00737253" w:rsidRPr="00A54D04" w:rsidRDefault="00EA5C6A">
            <w:pPr>
              <w:pStyle w:val="TableBody"/>
            </w:pPr>
            <w:r w:rsidRPr="00A54D04">
              <w:t>21</w:t>
            </w:r>
            <w:r w:rsidR="00737253" w:rsidRPr="00A54D04">
              <w:t xml:space="preserve"> November 2024</w:t>
            </w:r>
          </w:p>
        </w:tc>
      </w:tr>
      <w:tr w:rsidR="00737253" w:rsidRPr="00A54D04" w14:paraId="53DA09A6" w14:textId="77777777" w:rsidTr="52C2B051">
        <w:trPr>
          <w:cnfStyle w:val="000000010000" w:firstRow="0" w:lastRow="0" w:firstColumn="0" w:lastColumn="0" w:oddVBand="0" w:evenVBand="0" w:oddHBand="0" w:evenHBand="1" w:firstRowFirstColumn="0" w:firstRowLastColumn="0" w:lastRowFirstColumn="0" w:lastRowLastColumn="0"/>
          <w:cantSplit/>
        </w:trPr>
        <w:tc>
          <w:tcPr>
            <w:tcW w:w="3212" w:type="dxa"/>
          </w:tcPr>
          <w:p w14:paraId="3B241272" w14:textId="1C4DE779" w:rsidR="00737253" w:rsidRPr="00A54D04" w:rsidRDefault="00737253">
            <w:pPr>
              <w:pStyle w:val="TableBody"/>
            </w:pPr>
            <w:r w:rsidRPr="00A54D04">
              <w:rPr>
                <w:lang w:val="en-AU"/>
              </w:rPr>
              <w:t>AllCar Towing</w:t>
            </w:r>
            <w:r w:rsidR="00AA5D18" w:rsidRPr="00A54D04">
              <w:rPr>
                <w:lang w:val="en-AU"/>
              </w:rPr>
              <w:t xml:space="preserve"> Group</w:t>
            </w:r>
          </w:p>
        </w:tc>
        <w:tc>
          <w:tcPr>
            <w:tcW w:w="4103" w:type="dxa"/>
          </w:tcPr>
          <w:p w14:paraId="71E46FE2" w14:textId="77777777" w:rsidR="00737253" w:rsidRPr="00A54D04" w:rsidRDefault="00737253">
            <w:pPr>
              <w:pStyle w:val="TableBody"/>
            </w:pPr>
            <w:r w:rsidRPr="00A54D04">
              <w:t>Towing operator</w:t>
            </w:r>
          </w:p>
        </w:tc>
        <w:tc>
          <w:tcPr>
            <w:tcW w:w="2323" w:type="dxa"/>
          </w:tcPr>
          <w:p w14:paraId="63A53473" w14:textId="77777777" w:rsidR="00737253" w:rsidRPr="00A54D04" w:rsidRDefault="00737253">
            <w:pPr>
              <w:pStyle w:val="TableBody"/>
            </w:pPr>
            <w:r w:rsidRPr="00A54D04">
              <w:t>3 March 2025</w:t>
            </w:r>
          </w:p>
        </w:tc>
      </w:tr>
      <w:tr w:rsidR="00737253" w:rsidRPr="00A54D04" w14:paraId="25EE9387" w14:textId="77777777" w:rsidTr="52C2B051">
        <w:trPr>
          <w:cnfStyle w:val="000000100000" w:firstRow="0" w:lastRow="0" w:firstColumn="0" w:lastColumn="0" w:oddVBand="0" w:evenVBand="0" w:oddHBand="1" w:evenHBand="0" w:firstRowFirstColumn="0" w:firstRowLastColumn="0" w:lastRowFirstColumn="0" w:lastRowLastColumn="0"/>
          <w:cantSplit/>
        </w:trPr>
        <w:tc>
          <w:tcPr>
            <w:tcW w:w="3212" w:type="dxa"/>
          </w:tcPr>
          <w:p w14:paraId="6EB11864" w14:textId="77777777" w:rsidR="00737253" w:rsidRPr="00A54D04" w:rsidRDefault="00737253">
            <w:pPr>
              <w:pStyle w:val="TableBody"/>
            </w:pPr>
            <w:r w:rsidRPr="00A54D04">
              <w:t>Victorian Automotive Chamber of Commerce</w:t>
            </w:r>
          </w:p>
        </w:tc>
        <w:tc>
          <w:tcPr>
            <w:tcW w:w="4103" w:type="dxa"/>
          </w:tcPr>
          <w:p w14:paraId="1B01B488" w14:textId="77777777" w:rsidR="00737253" w:rsidRPr="00A54D04" w:rsidRDefault="00737253">
            <w:pPr>
              <w:pStyle w:val="TableBody"/>
            </w:pPr>
            <w:r w:rsidRPr="00A54D04">
              <w:t>Victoria’s peak automotive industry association</w:t>
            </w:r>
          </w:p>
        </w:tc>
        <w:tc>
          <w:tcPr>
            <w:tcW w:w="2323" w:type="dxa"/>
          </w:tcPr>
          <w:p w14:paraId="2B779728" w14:textId="77777777" w:rsidR="00737253" w:rsidRPr="00A54D04" w:rsidRDefault="00737253">
            <w:pPr>
              <w:pStyle w:val="TableBody"/>
            </w:pPr>
            <w:r w:rsidRPr="00A54D04">
              <w:t>6 March 2025</w:t>
            </w:r>
          </w:p>
        </w:tc>
      </w:tr>
    </w:tbl>
    <w:p w14:paraId="577B0024" w14:textId="13FA317A" w:rsidR="005667F6" w:rsidRPr="00A54D04" w:rsidRDefault="00034D12" w:rsidP="00D01B8F">
      <w:pPr>
        <w:pStyle w:val="Heading3"/>
      </w:pPr>
      <w:bookmarkStart w:id="91" w:name="_Toc90279047"/>
      <w:bookmarkStart w:id="92" w:name="_Toc195721886"/>
      <w:bookmarkStart w:id="93" w:name="_Toc197345242"/>
      <w:bookmarkStart w:id="94" w:name="_Toc197942412"/>
      <w:bookmarkStart w:id="95" w:name="_Toc197977685"/>
      <w:bookmarkStart w:id="96" w:name="_Toc198048674"/>
      <w:bookmarkStart w:id="97" w:name="_Toc199231547"/>
      <w:r w:rsidRPr="00A54D04">
        <w:t xml:space="preserve">Removing </w:t>
      </w:r>
      <w:r w:rsidR="005667F6" w:rsidRPr="00A54D04">
        <w:t>Coronavirus pandemic</w:t>
      </w:r>
      <w:bookmarkEnd w:id="91"/>
      <w:r w:rsidR="005667F6" w:rsidRPr="00A54D04">
        <w:t xml:space="preserve"> </w:t>
      </w:r>
      <w:bookmarkEnd w:id="92"/>
      <w:r w:rsidRPr="00A54D04">
        <w:t>impacts</w:t>
      </w:r>
      <w:bookmarkEnd w:id="93"/>
      <w:bookmarkEnd w:id="94"/>
      <w:bookmarkEnd w:id="95"/>
      <w:bookmarkEnd w:id="96"/>
      <w:bookmarkEnd w:id="97"/>
    </w:p>
    <w:p w14:paraId="24C15493" w14:textId="187BDEB1" w:rsidR="005667F6" w:rsidRPr="00A54D04" w:rsidRDefault="005667F6" w:rsidP="005667F6">
      <w:r w:rsidRPr="00A54D04">
        <w:t xml:space="preserve">We observed some significant changes during 2019–20, 2020–21 and 2021–22 in much of the data we received (as exemplified in Figure </w:t>
      </w:r>
      <w:r w:rsidR="0096085A" w:rsidRPr="00A54D04">
        <w:t>1</w:t>
      </w:r>
      <w:r w:rsidRPr="00A54D04">
        <w:t>). This is likely due, in large part, to the impacts of the coronavirus pandemic.</w:t>
      </w:r>
    </w:p>
    <w:p w14:paraId="52132272" w14:textId="66C678BF" w:rsidR="00631B10" w:rsidRPr="00A54D04" w:rsidRDefault="005667F6" w:rsidP="00850E95">
      <w:pPr>
        <w:pStyle w:val="Figure-Table-BoxHeading"/>
        <w:keepNext/>
        <w:numPr>
          <w:ilvl w:val="0"/>
          <w:numId w:val="0"/>
        </w:numPr>
      </w:pPr>
      <w:r w:rsidRPr="00A54D04">
        <w:lastRenderedPageBreak/>
        <w:t xml:space="preserve">Figure </w:t>
      </w:r>
      <w:r w:rsidR="0096085A" w:rsidRPr="00A54D04">
        <w:t>1</w:t>
      </w:r>
      <w:r w:rsidR="00875A5B" w:rsidRPr="00A54D04">
        <w:t xml:space="preserve">. </w:t>
      </w:r>
      <w:r w:rsidRPr="00A54D04">
        <w:t>Monthly accident towing allocations 2014–202</w:t>
      </w:r>
      <w:r w:rsidR="000A7ABB" w:rsidRPr="00A54D04">
        <w:t>4</w:t>
      </w:r>
    </w:p>
    <w:p w14:paraId="3CAA7374" w14:textId="43874E2C" w:rsidR="00631B10" w:rsidRPr="00A54D04" w:rsidRDefault="005B04AD" w:rsidP="005667F6">
      <w:r w:rsidRPr="00A54D04">
        <w:rPr>
          <w:noProof/>
        </w:rPr>
        <w:drawing>
          <wp:inline distT="0" distB="0" distL="0" distR="0" wp14:anchorId="38CEC1E8" wp14:editId="1B73A0F3">
            <wp:extent cx="6120130" cy="3702050"/>
            <wp:effectExtent l="0" t="0" r="13970" b="12700"/>
            <wp:docPr id="411841849" name="Chart 1">
              <a:extLst xmlns:a="http://schemas.openxmlformats.org/drawingml/2006/main">
                <a:ext uri="{FF2B5EF4-FFF2-40B4-BE49-F238E27FC236}">
                  <a16:creationId xmlns:a16="http://schemas.microsoft.com/office/drawing/2014/main" id="{AE36676A-E9CE-42AE-852D-7124187A23A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14:paraId="1FF298CB" w14:textId="77777777" w:rsidR="005667F6" w:rsidRPr="00A54D04" w:rsidRDefault="005667F6" w:rsidP="00CB5060">
      <w:pPr>
        <w:pStyle w:val="Caption"/>
        <w:spacing w:before="0"/>
      </w:pPr>
      <w:r w:rsidRPr="00A54D04">
        <w:rPr>
          <w:b/>
          <w:bCs/>
        </w:rPr>
        <w:t>Source:</w:t>
      </w:r>
      <w:r w:rsidRPr="00A54D04">
        <w:t xml:space="preserve"> Department of Transport and Planning.</w:t>
      </w:r>
    </w:p>
    <w:p w14:paraId="3956859C" w14:textId="178D111E" w:rsidR="007C63DD" w:rsidRPr="00A54D04" w:rsidRDefault="005667F6" w:rsidP="00BB5638">
      <w:r w:rsidRPr="00A54D04">
        <w:t xml:space="preserve">Since 2021–22, much of </w:t>
      </w:r>
      <w:r w:rsidR="00E63AC6" w:rsidRPr="00A54D04">
        <w:t>the</w:t>
      </w:r>
      <w:r w:rsidRPr="00A54D04">
        <w:t xml:space="preserve"> data indicates that the </w:t>
      </w:r>
      <w:r w:rsidRPr="00A54D04" w:rsidDel="00BA4EC6">
        <w:t xml:space="preserve">accident towing industry </w:t>
      </w:r>
      <w:r w:rsidR="00B81618" w:rsidRPr="00A54D04">
        <w:t>has</w:t>
      </w:r>
      <w:r w:rsidRPr="00A54D04">
        <w:t xml:space="preserve"> returned to the levels recorded prior to the coronavirus pandemic. We therefore regard the results recorded during 2019–20, 2020–21 and 2021–22 as outliers. We have reported data from these years in our final report, but it has not informed our conclusions or recommendations.</w:t>
      </w:r>
    </w:p>
    <w:p w14:paraId="611B38CA" w14:textId="5DEBBE77" w:rsidR="00DB354C" w:rsidRPr="00A54D04" w:rsidRDefault="00DB354C" w:rsidP="002D4BF3">
      <w:pPr>
        <w:pStyle w:val="Heading2"/>
      </w:pPr>
      <w:bookmarkStart w:id="98" w:name="_Toc199231548"/>
      <w:r w:rsidRPr="00A54D04">
        <w:t xml:space="preserve">Separate electric vehicle charges </w:t>
      </w:r>
      <w:r w:rsidR="00034D12" w:rsidRPr="00A54D04">
        <w:t>un</w:t>
      </w:r>
      <w:r w:rsidRPr="00A54D04">
        <w:t>necessary</w:t>
      </w:r>
      <w:bookmarkEnd w:id="98"/>
    </w:p>
    <w:p w14:paraId="6C5E878E" w14:textId="76A42914" w:rsidR="00DB354C" w:rsidRPr="00A54D04" w:rsidRDefault="00DB354C" w:rsidP="00DB354C">
      <w:r w:rsidRPr="00A54D04">
        <w:t xml:space="preserve">The VACC suggested a separate fee structure be introduced for electric vehicles. </w:t>
      </w:r>
      <w:r w:rsidR="0074580B" w:rsidRPr="00A54D04">
        <w:t>It</w:t>
      </w:r>
      <w:r w:rsidRPr="00A54D04">
        <w:t xml:space="preserve"> referred to the increasing number of electric vehicles and higher levels of complexity and costs associated with towing and storing these</w:t>
      </w:r>
      <w:r w:rsidR="00021F91">
        <w:t xml:space="preserve"> vehicles</w:t>
      </w:r>
      <w:r w:rsidRPr="00A54D04">
        <w:t>.</w:t>
      </w:r>
      <w:r w:rsidRPr="00A54D04">
        <w:rPr>
          <w:rStyle w:val="FootnoteReference"/>
        </w:rPr>
        <w:footnoteReference w:id="14"/>
      </w:r>
    </w:p>
    <w:p w14:paraId="01833B31" w14:textId="3CE876C0" w:rsidR="00DB354C" w:rsidRPr="00A54D04" w:rsidRDefault="00DB354C" w:rsidP="00DB354C">
      <w:r w:rsidRPr="00A54D04">
        <w:lastRenderedPageBreak/>
        <w:t xml:space="preserve">Specifically, the VACC </w:t>
      </w:r>
      <w:r w:rsidR="00B854A1" w:rsidRPr="00A54D04">
        <w:t>claimed</w:t>
      </w:r>
      <w:r w:rsidRPr="00A54D04">
        <w:t xml:space="preserve"> </w:t>
      </w:r>
      <w:r w:rsidR="00995CFD" w:rsidRPr="00A54D04">
        <w:t xml:space="preserve">that </w:t>
      </w:r>
      <w:r w:rsidRPr="00A54D04">
        <w:t>electric vehicles are more complex and riskier to tow</w:t>
      </w:r>
      <w:r w:rsidR="00021F91">
        <w:t>,</w:t>
      </w:r>
      <w:r w:rsidRPr="00A54D04">
        <w:t xml:space="preserve"> requiring additional equipment and expertise</w:t>
      </w:r>
      <w:r w:rsidR="00B854A1" w:rsidRPr="00A54D04">
        <w:t>. It a</w:t>
      </w:r>
      <w:r w:rsidR="008B3702" w:rsidRPr="00A54D04">
        <w:t>lso</w:t>
      </w:r>
      <w:r w:rsidR="00AB6D3E" w:rsidRPr="00A54D04">
        <w:t xml:space="preserve"> noted</w:t>
      </w:r>
      <w:r w:rsidR="00142B81" w:rsidRPr="00A54D04">
        <w:t xml:space="preserve"> that</w:t>
      </w:r>
      <w:r w:rsidRPr="00A54D04">
        <w:t xml:space="preserve"> </w:t>
      </w:r>
      <w:r w:rsidR="006210EF">
        <w:t xml:space="preserve">towing </w:t>
      </w:r>
      <w:r w:rsidRPr="00A54D04">
        <w:t>operators are exposed to additional safety risks when dealing with these vehicles.</w:t>
      </w:r>
      <w:r w:rsidRPr="00A54D04">
        <w:rPr>
          <w:rStyle w:val="FootnoteReference"/>
        </w:rPr>
        <w:footnoteReference w:id="15"/>
      </w:r>
      <w:r w:rsidRPr="00A54D04">
        <w:t xml:space="preserve"> </w:t>
      </w:r>
    </w:p>
    <w:p w14:paraId="228269CB" w14:textId="190BFC6A" w:rsidR="00DB354C" w:rsidRPr="00A54D04" w:rsidRDefault="00DB354C" w:rsidP="00DB354C">
      <w:r w:rsidRPr="00A54D04">
        <w:t>Further, the VACC noted that electric vehicles have specific storage restrictions and must have 15 sq</w:t>
      </w:r>
      <w:r w:rsidR="00E3018C" w:rsidRPr="00A54D04">
        <w:t xml:space="preserve">uare </w:t>
      </w:r>
      <w:r w:rsidRPr="00A54D04">
        <w:t>m</w:t>
      </w:r>
      <w:r w:rsidR="00E3018C" w:rsidRPr="00A54D04">
        <w:t>etres</w:t>
      </w:r>
      <w:r w:rsidRPr="00A54D04">
        <w:t xml:space="preserve"> of open space surround</w:t>
      </w:r>
      <w:r w:rsidR="00675A19">
        <w:t>ing</w:t>
      </w:r>
      <w:r w:rsidRPr="00A54D04">
        <w:t xml:space="preserve"> them</w:t>
      </w:r>
      <w:r w:rsidR="003B6B06" w:rsidRPr="00A54D04">
        <w:t xml:space="preserve">. This </w:t>
      </w:r>
      <w:r w:rsidR="0054752E" w:rsidRPr="00A54D04">
        <w:t>presents an</w:t>
      </w:r>
      <w:r w:rsidRPr="00A54D04">
        <w:t xml:space="preserve"> additional cost for the storage operators who cannot make use of the floorspace surrounding the vehicle.</w:t>
      </w:r>
      <w:r w:rsidRPr="00A54D04">
        <w:rPr>
          <w:rStyle w:val="FootnoteReference"/>
        </w:rPr>
        <w:footnoteReference w:id="16"/>
      </w:r>
    </w:p>
    <w:p w14:paraId="002163EC" w14:textId="77777777" w:rsidR="00DB354C" w:rsidRPr="00A54D04" w:rsidRDefault="00DB354C" w:rsidP="00DB354C">
      <w:r w:rsidRPr="00A54D04">
        <w:t>We do not consider it necessary to have separate charges to cover the additional costs that may be associated with towing and storing electric vehicles. These vehicles comprise only a very small proportion of the total Victorian vehicle fleet at present.</w:t>
      </w:r>
      <w:r w:rsidRPr="00A54D04">
        <w:rPr>
          <w:rStyle w:val="FootnoteReference"/>
        </w:rPr>
        <w:footnoteReference w:id="17"/>
      </w:r>
    </w:p>
    <w:p w14:paraId="3455615B" w14:textId="2CADA17E" w:rsidR="00DB354C" w:rsidRPr="00A54D04" w:rsidRDefault="00DB354C" w:rsidP="00BB5638">
      <w:pPr>
        <w:sectPr w:rsidR="00DB354C" w:rsidRPr="00A54D04" w:rsidSect="000E7EE3">
          <w:headerReference w:type="even" r:id="rId38"/>
          <w:headerReference w:type="default" r:id="rId39"/>
          <w:footerReference w:type="default" r:id="rId40"/>
          <w:headerReference w:type="first" r:id="rId41"/>
          <w:pgSz w:w="11906" w:h="16838" w:code="9"/>
          <w:pgMar w:top="1134" w:right="1134" w:bottom="1134" w:left="1134" w:header="709" w:footer="692" w:gutter="0"/>
          <w:cols w:space="708"/>
          <w:docGrid w:linePitch="360"/>
        </w:sectPr>
      </w:pPr>
      <w:r w:rsidRPr="00A54D04">
        <w:t xml:space="preserve">Further analysis of electric vehicle towing and storage may be necessary as they become </w:t>
      </w:r>
      <w:r w:rsidR="0054748D">
        <w:t>more prevalent</w:t>
      </w:r>
      <w:r w:rsidRPr="00A54D04">
        <w:t xml:space="preserve">, </w:t>
      </w:r>
      <w:r w:rsidR="00B05C94">
        <w:t>and operators can demonstrate additional marginal costs associated with specific regulatory requirements for towing and storing electric vehicles.</w:t>
      </w:r>
    </w:p>
    <w:p w14:paraId="02640ABE" w14:textId="7B554649" w:rsidR="000E7EE3" w:rsidRPr="00A54D04" w:rsidRDefault="00D37E1E" w:rsidP="00C51E66">
      <w:pPr>
        <w:pStyle w:val="Heading1numbered"/>
      </w:pPr>
      <w:bookmarkStart w:id="99" w:name="_Toc199231549"/>
      <w:r w:rsidRPr="00A54D04">
        <w:lastRenderedPageBreak/>
        <w:t>Regulated accident towing fees</w:t>
      </w:r>
      <w:bookmarkEnd w:id="99"/>
    </w:p>
    <w:p w14:paraId="7D1DF08B" w14:textId="23665502" w:rsidR="00CE2A50" w:rsidRPr="00A54D04" w:rsidRDefault="00CE2A50" w:rsidP="00A27F5B">
      <w:pPr>
        <w:pStyle w:val="Pull-out"/>
        <w:ind w:left="0"/>
      </w:pPr>
      <w:r w:rsidRPr="00A54D04">
        <w:rPr>
          <w:b/>
          <w:bCs/>
        </w:rPr>
        <w:t>Recommendation 1:</w:t>
      </w:r>
      <w:r w:rsidRPr="00A54D04">
        <w:t xml:space="preserve"> </w:t>
      </w:r>
      <w:r w:rsidRPr="00A54D04">
        <w:rPr>
          <w:b/>
        </w:rPr>
        <w:t>The current regulated</w:t>
      </w:r>
      <w:r w:rsidR="00FA4863">
        <w:rPr>
          <w:b/>
        </w:rPr>
        <w:t xml:space="preserve"> accident</w:t>
      </w:r>
      <w:r w:rsidRPr="00A54D04">
        <w:rPr>
          <w:b/>
        </w:rPr>
        <w:t xml:space="preserve"> towing fees for the Melbourne controlled area </w:t>
      </w:r>
      <w:r w:rsidR="00B646E6">
        <w:rPr>
          <w:b/>
        </w:rPr>
        <w:t xml:space="preserve">are appropriate </w:t>
      </w:r>
      <w:r w:rsidR="00992008">
        <w:rPr>
          <w:b/>
        </w:rPr>
        <w:t xml:space="preserve">and </w:t>
      </w:r>
      <w:r w:rsidRPr="00A54D04">
        <w:rPr>
          <w:b/>
        </w:rPr>
        <w:t>should not be changed beyond the annual adjustment mechanism.</w:t>
      </w:r>
      <w:r w:rsidR="00B120A7" w:rsidRPr="00A54D04">
        <w:t xml:space="preserve"> </w:t>
      </w:r>
    </w:p>
    <w:p w14:paraId="64753971" w14:textId="499D635A" w:rsidR="00005467" w:rsidRPr="00A54D04" w:rsidRDefault="00005467" w:rsidP="00172B99">
      <w:pPr>
        <w:pStyle w:val="Pull-out"/>
        <w:ind w:left="0"/>
      </w:pPr>
      <w:r w:rsidRPr="00A54D04">
        <w:t xml:space="preserve">Regulated accident towing fees for the Melbourne controlled area are broadly </w:t>
      </w:r>
      <w:proofErr w:type="gramStart"/>
      <w:r w:rsidRPr="00A54D04">
        <w:t>similar to</w:t>
      </w:r>
      <w:proofErr w:type="gramEnd"/>
      <w:r w:rsidRPr="00A54D04">
        <w:t xml:space="preserve"> regulated</w:t>
      </w:r>
      <w:r w:rsidR="00D11340">
        <w:t xml:space="preserve"> accident towing</w:t>
      </w:r>
      <w:r w:rsidRPr="00A54D04">
        <w:t xml:space="preserve"> fees in Sydney, Adelaide, Queensland and Perth.</w:t>
      </w:r>
    </w:p>
    <w:p w14:paraId="520AD7C2" w14:textId="68FD137E" w:rsidR="00005467" w:rsidRDefault="00005467" w:rsidP="00172B99">
      <w:pPr>
        <w:pStyle w:val="Pull-out"/>
        <w:ind w:left="0"/>
      </w:pPr>
      <w:r w:rsidRPr="00A54D04">
        <w:t>Regulated accident towing fees are higher than</w:t>
      </w:r>
      <w:r w:rsidR="003D1817">
        <w:t xml:space="preserve"> unregulated</w:t>
      </w:r>
      <w:r w:rsidRPr="00A54D04">
        <w:t xml:space="preserve"> trade towing fees</w:t>
      </w:r>
      <w:r w:rsidR="00D11340">
        <w:t xml:space="preserve"> in Melbourne</w:t>
      </w:r>
      <w:r w:rsidRPr="00A54D04">
        <w:t>, which is to be expected given the additional costs to provide accident towing services.</w:t>
      </w:r>
    </w:p>
    <w:p w14:paraId="3D6CD5F9" w14:textId="30B3E992" w:rsidR="0031284C" w:rsidRPr="00A54D04" w:rsidRDefault="0031284C" w:rsidP="00172B99">
      <w:pPr>
        <w:pStyle w:val="Pull-out"/>
        <w:ind w:left="0"/>
      </w:pPr>
      <w:r w:rsidRPr="00A54D04">
        <w:t xml:space="preserve">Our benchmarking </w:t>
      </w:r>
      <w:r w:rsidR="00FE7478">
        <w:t>indicates</w:t>
      </w:r>
      <w:r w:rsidRPr="00A54D04">
        <w:t xml:space="preserve"> current regulated </w:t>
      </w:r>
      <w:r w:rsidR="00FA4863">
        <w:t xml:space="preserve">accident </w:t>
      </w:r>
      <w:r w:rsidRPr="00A54D04">
        <w:t>towing fees for the Melbourne controlled area are appropriate.</w:t>
      </w:r>
    </w:p>
    <w:p w14:paraId="42B0F0EF" w14:textId="011452FF" w:rsidR="0046043F" w:rsidRPr="00A54D04" w:rsidRDefault="000D783B" w:rsidP="000D783B">
      <w:r w:rsidRPr="00A54D04">
        <w:t xml:space="preserve">We are required under section 212A(1)(a) of the Accident Towing Services Act to recommend to the Minister for Roads and Road Safety whether any amount </w:t>
      </w:r>
      <w:r w:rsidR="000A4544" w:rsidRPr="00A54D04">
        <w:t xml:space="preserve">the minister has previously determined for </w:t>
      </w:r>
      <w:r w:rsidR="00FA4863">
        <w:t xml:space="preserve">accident </w:t>
      </w:r>
      <w:r w:rsidR="000A4544" w:rsidRPr="00A54D04">
        <w:t>towing fees is appropriate</w:t>
      </w:r>
      <w:r w:rsidR="00846295" w:rsidRPr="00A54D04">
        <w:t>.</w:t>
      </w:r>
      <w:r w:rsidR="00B120A7" w:rsidRPr="00ED0CE0">
        <w:rPr>
          <w:rStyle w:val="FootnoteReference"/>
          <w:bCs/>
        </w:rPr>
        <w:footnoteReference w:id="18"/>
      </w:r>
    </w:p>
    <w:p w14:paraId="3E3DDB20" w14:textId="50BD517E" w:rsidR="000A4544" w:rsidRPr="00A54D04" w:rsidRDefault="00934835" w:rsidP="000D783B">
      <w:r w:rsidRPr="00A54D04">
        <w:t xml:space="preserve">This chapter sets out our assessment of the regulated </w:t>
      </w:r>
      <w:r w:rsidR="00C31ECB" w:rsidRPr="00A54D04">
        <w:t>accident towing fees for the Melbourne controlled area.</w:t>
      </w:r>
    </w:p>
    <w:p w14:paraId="756A0C14" w14:textId="6306423F" w:rsidR="00187CF6" w:rsidRPr="00A54D04" w:rsidRDefault="00187CF6" w:rsidP="007305C7">
      <w:pPr>
        <w:pStyle w:val="Heading2"/>
      </w:pPr>
      <w:bookmarkStart w:id="100" w:name="_Toc199231550"/>
      <w:r w:rsidRPr="00A54D04">
        <w:t>Stakeholder</w:t>
      </w:r>
      <w:r w:rsidR="00DC5CB8" w:rsidRPr="00A54D04">
        <w:t>s’</w:t>
      </w:r>
      <w:r w:rsidRPr="00A54D04">
        <w:t xml:space="preserve"> views</w:t>
      </w:r>
      <w:r w:rsidR="00C14527" w:rsidRPr="00A54D04">
        <w:t xml:space="preserve"> on current</w:t>
      </w:r>
      <w:r w:rsidR="003D1817">
        <w:t xml:space="preserve"> accident</w:t>
      </w:r>
      <w:r w:rsidR="00C14527" w:rsidRPr="00A54D04">
        <w:t xml:space="preserve"> towing fees were mixed</w:t>
      </w:r>
      <w:bookmarkEnd w:id="100"/>
      <w:r w:rsidR="00C14527" w:rsidRPr="00A54D04">
        <w:t xml:space="preserve"> </w:t>
      </w:r>
      <w:r w:rsidR="00A44000" w:rsidRPr="00A54D04">
        <w:tab/>
      </w:r>
    </w:p>
    <w:p w14:paraId="73CB3629" w14:textId="41BD4C61" w:rsidR="00DC5CB8" w:rsidRPr="00A54D04" w:rsidRDefault="00DC5CB8" w:rsidP="00DC5CB8">
      <w:pPr>
        <w:pStyle w:val="Heading3"/>
      </w:pPr>
      <w:bookmarkStart w:id="101" w:name="_Toc195721890"/>
      <w:bookmarkStart w:id="102" w:name="_Toc197345246"/>
      <w:bookmarkStart w:id="103" w:name="_Toc197942416"/>
      <w:bookmarkStart w:id="104" w:name="_Toc197977689"/>
      <w:bookmarkStart w:id="105" w:name="_Toc198048678"/>
      <w:bookmarkStart w:id="106" w:name="_Toc199231551"/>
      <w:r w:rsidRPr="00A54D04">
        <w:t xml:space="preserve">Level of </w:t>
      </w:r>
      <w:r w:rsidR="003D1817">
        <w:t xml:space="preserve">accident </w:t>
      </w:r>
      <w:r w:rsidRPr="00A54D04">
        <w:t>towing fees</w:t>
      </w:r>
      <w:bookmarkEnd w:id="101"/>
      <w:bookmarkEnd w:id="102"/>
      <w:bookmarkEnd w:id="103"/>
      <w:bookmarkEnd w:id="104"/>
      <w:bookmarkEnd w:id="105"/>
      <w:bookmarkEnd w:id="106"/>
    </w:p>
    <w:p w14:paraId="06DB1F0F" w14:textId="1C1F8D5E" w:rsidR="00E8046F" w:rsidRDefault="00A44000" w:rsidP="00A44000">
      <w:r w:rsidRPr="00A54D04">
        <w:t xml:space="preserve">The Insurance Council of Australia considers the current </w:t>
      </w:r>
      <w:r w:rsidR="003D1817">
        <w:t xml:space="preserve">accident </w:t>
      </w:r>
      <w:r w:rsidRPr="00A54D04">
        <w:t>towing fees to be appropriate.</w:t>
      </w:r>
      <w:r w:rsidRPr="00A54D04">
        <w:rPr>
          <w:rStyle w:val="FootnoteReference"/>
        </w:rPr>
        <w:footnoteReference w:id="19"/>
      </w:r>
      <w:r w:rsidRPr="00A54D04">
        <w:t xml:space="preserve"> </w:t>
      </w:r>
    </w:p>
    <w:p w14:paraId="134FE8F7" w14:textId="03C0A2A8" w:rsidR="00091F33" w:rsidRPr="00A54D04" w:rsidRDefault="00A44000" w:rsidP="00091F33">
      <w:r w:rsidRPr="00A54D04">
        <w:t>In contrast, the VACC</w:t>
      </w:r>
      <w:r w:rsidR="00E63AC6" w:rsidRPr="00A54D04">
        <w:t xml:space="preserve"> </w:t>
      </w:r>
      <w:r w:rsidR="00191DDF" w:rsidRPr="00A54D04">
        <w:t>stated</w:t>
      </w:r>
      <w:r w:rsidRPr="00A54D04">
        <w:t xml:space="preserve"> the current </w:t>
      </w:r>
      <w:r w:rsidR="003D1817">
        <w:t xml:space="preserve">accident </w:t>
      </w:r>
      <w:r w:rsidRPr="00A54D04">
        <w:t xml:space="preserve">towing fees are too low. </w:t>
      </w:r>
      <w:r w:rsidR="00D4573C">
        <w:t>It</w:t>
      </w:r>
      <w:r w:rsidRPr="00A54D04">
        <w:t xml:space="preserve"> noted that for many accident towing operators the current </w:t>
      </w:r>
      <w:r w:rsidR="003D1817">
        <w:t xml:space="preserve">accident </w:t>
      </w:r>
      <w:r w:rsidRPr="00A54D04">
        <w:t>towing fees do not cover their operational costs.</w:t>
      </w:r>
      <w:r w:rsidRPr="00A54D04">
        <w:rPr>
          <w:rStyle w:val="FootnoteReference"/>
        </w:rPr>
        <w:footnoteReference w:id="20"/>
      </w:r>
      <w:r w:rsidR="00E8046F">
        <w:t xml:space="preserve"> </w:t>
      </w:r>
      <w:r w:rsidR="00B26191" w:rsidRPr="00A54D04">
        <w:lastRenderedPageBreak/>
        <w:t xml:space="preserve">Similarly, AllCar Towing Group contended that the current </w:t>
      </w:r>
      <w:r w:rsidR="003D1817">
        <w:t xml:space="preserve">accident </w:t>
      </w:r>
      <w:r w:rsidR="00B26191" w:rsidRPr="00A54D04">
        <w:t>towing fees no longer</w:t>
      </w:r>
      <w:r w:rsidR="00091F33" w:rsidRPr="00A54D04">
        <w:t xml:space="preserve"> </w:t>
      </w:r>
      <w:r w:rsidR="00B26191" w:rsidRPr="00A54D04">
        <w:t>reflect the true costs of maintaining their service standards.</w:t>
      </w:r>
      <w:r w:rsidR="00B26191" w:rsidRPr="00A54D04">
        <w:rPr>
          <w:rStyle w:val="FootnoteReference"/>
        </w:rPr>
        <w:footnoteReference w:id="21"/>
      </w:r>
    </w:p>
    <w:p w14:paraId="295925F3" w14:textId="3A2AB335" w:rsidR="00DC5CB8" w:rsidRPr="00A54D04" w:rsidRDefault="00DC5CB8" w:rsidP="00DC5CB8">
      <w:pPr>
        <w:pStyle w:val="Heading3"/>
      </w:pPr>
      <w:bookmarkStart w:id="107" w:name="_Toc195721891"/>
      <w:bookmarkStart w:id="108" w:name="_Toc197345247"/>
      <w:bookmarkStart w:id="109" w:name="_Toc197942417"/>
      <w:bookmarkStart w:id="110" w:name="_Toc197977690"/>
      <w:bookmarkStart w:id="111" w:name="_Toc198048679"/>
      <w:bookmarkStart w:id="112" w:name="_Toc199231552"/>
      <w:r w:rsidRPr="00A54D04">
        <w:t>Fee structure</w:t>
      </w:r>
      <w:bookmarkEnd w:id="107"/>
      <w:bookmarkEnd w:id="108"/>
      <w:bookmarkEnd w:id="109"/>
      <w:bookmarkEnd w:id="110"/>
      <w:bookmarkEnd w:id="111"/>
      <w:bookmarkEnd w:id="112"/>
    </w:p>
    <w:p w14:paraId="07615FB7" w14:textId="79C11891" w:rsidR="0044336F" w:rsidRPr="00A54D04" w:rsidRDefault="00CD6739" w:rsidP="0044336F">
      <w:r w:rsidRPr="00A54D04">
        <w:t xml:space="preserve">The VACC </w:t>
      </w:r>
      <w:r w:rsidR="00383A9F" w:rsidRPr="00A54D04">
        <w:t>raised concerns about the fee structure</w:t>
      </w:r>
      <w:r w:rsidR="001A62D8" w:rsidRPr="00A54D04">
        <w:t xml:space="preserve">, </w:t>
      </w:r>
      <w:r w:rsidR="00932B73" w:rsidRPr="00A54D04">
        <w:t>not</w:t>
      </w:r>
      <w:r w:rsidR="001A62D8" w:rsidRPr="00A54D04">
        <w:t>ing</w:t>
      </w:r>
      <w:r w:rsidR="00932B73" w:rsidRPr="00A54D04">
        <w:t>:</w:t>
      </w:r>
    </w:p>
    <w:p w14:paraId="24D96505" w14:textId="5F5FE6F6" w:rsidR="00932B73" w:rsidRPr="00A54D04" w:rsidRDefault="002A0E21" w:rsidP="002A0E21">
      <w:pPr>
        <w:pStyle w:val="Quote"/>
      </w:pPr>
      <w:r w:rsidRPr="00A54D04">
        <w:rPr>
          <w:rStyle w:val="QuoteChar"/>
        </w:rPr>
        <w:t>… most costs for an operator occur due to time spent waiting at the scene, inspecting the situation and loading and unloading the vehicle and having staff available to respond to an accident. The costs associated with driving a few extra kilometres to an accident are low compared with the other costs an operator faces</w:t>
      </w:r>
      <w:r w:rsidRPr="00A54D04">
        <w:t>.</w:t>
      </w:r>
      <w:r w:rsidRPr="00A54D04">
        <w:rPr>
          <w:rStyle w:val="FootnoteReference"/>
        </w:rPr>
        <w:footnoteReference w:id="22"/>
      </w:r>
    </w:p>
    <w:p w14:paraId="788FA672" w14:textId="0EA37CE7" w:rsidR="00AB43EA" w:rsidRPr="00A54D04" w:rsidRDefault="002F1E0E" w:rsidP="00AB43EA">
      <w:r w:rsidRPr="00A54D04">
        <w:t>T</w:t>
      </w:r>
      <w:r w:rsidR="00AB43EA" w:rsidRPr="00A54D04">
        <w:t xml:space="preserve">he VACC </w:t>
      </w:r>
      <w:r w:rsidR="00E21E64" w:rsidRPr="00A54D04">
        <w:t>recommended</w:t>
      </w:r>
      <w:r w:rsidRPr="00A54D04">
        <w:t xml:space="preserve"> </w:t>
      </w:r>
      <w:r w:rsidR="00AB43EA" w:rsidRPr="00A54D04">
        <w:t xml:space="preserve">the </w:t>
      </w:r>
      <w:r w:rsidR="00E21E64" w:rsidRPr="00A54D04">
        <w:t xml:space="preserve">Perth </w:t>
      </w:r>
      <w:r w:rsidR="00AB43EA" w:rsidRPr="00A54D04">
        <w:t>fee structure be adopted for the Melbourne controlled area</w:t>
      </w:r>
      <w:r w:rsidR="00E21E64" w:rsidRPr="00A54D04">
        <w:t>. In its view,</w:t>
      </w:r>
      <w:r w:rsidR="00AB43EA" w:rsidRPr="00A54D04">
        <w:t xml:space="preserve"> </w:t>
      </w:r>
      <w:r w:rsidR="00E21E64" w:rsidRPr="00A54D04">
        <w:t>the Perth fee structure is</w:t>
      </w:r>
      <w:r w:rsidR="00AB43EA" w:rsidRPr="00A54D04">
        <w:t xml:space="preserve"> based on the most up</w:t>
      </w:r>
      <w:r w:rsidR="00E60F81" w:rsidRPr="00A54D04">
        <w:t>-</w:t>
      </w:r>
      <w:r w:rsidR="00AB43EA" w:rsidRPr="00A54D04">
        <w:t>to</w:t>
      </w:r>
      <w:r w:rsidR="00E60F81" w:rsidRPr="00A54D04">
        <w:t>-</w:t>
      </w:r>
      <w:r w:rsidR="00AB43EA" w:rsidRPr="00A54D04">
        <w:t xml:space="preserve">date costs and reflects the high fixed costs of the sector by incorporating a higher proportion of the total fees in the base fee. </w:t>
      </w:r>
      <w:r w:rsidR="00E21E64" w:rsidRPr="00A54D04">
        <w:t xml:space="preserve">As part of their recommendation, the VACC proposed </w:t>
      </w:r>
      <w:r w:rsidR="00AB43EA" w:rsidRPr="00A54D04">
        <w:t>that:</w:t>
      </w:r>
    </w:p>
    <w:p w14:paraId="49B32498" w14:textId="75E24556" w:rsidR="00AB43EA" w:rsidRPr="00A54D04" w:rsidRDefault="00AB43EA" w:rsidP="00AB43EA">
      <w:pPr>
        <w:pStyle w:val="Quote"/>
      </w:pPr>
      <w:r w:rsidRPr="00A54D04">
        <w:t>Melbourne fees should include the first 50 kilometres worth of distance fees in the base fee, and any additional distance fee should only be charged beyond 50 kilometres.</w:t>
      </w:r>
      <w:r w:rsidRPr="00A54D04">
        <w:rPr>
          <w:rStyle w:val="FootnoteReference"/>
        </w:rPr>
        <w:footnoteReference w:id="23"/>
      </w:r>
      <w:r w:rsidRPr="00A54D04">
        <w:t xml:space="preserve"> </w:t>
      </w:r>
    </w:p>
    <w:p w14:paraId="7736BB6D" w14:textId="21A80B9E" w:rsidR="00C31ECB" w:rsidRPr="00A54D04" w:rsidRDefault="00D4573C" w:rsidP="007305C7">
      <w:pPr>
        <w:pStyle w:val="Heading2"/>
      </w:pPr>
      <w:bookmarkStart w:id="113" w:name="_Toc199231553"/>
      <w:r>
        <w:t>B</w:t>
      </w:r>
      <w:r w:rsidR="00C31ECB" w:rsidRPr="00A54D04">
        <w:t xml:space="preserve">enchmarking </w:t>
      </w:r>
      <w:r w:rsidR="00FE7478">
        <w:t>indicates</w:t>
      </w:r>
      <w:r w:rsidR="00C31ECB" w:rsidRPr="00A54D04">
        <w:t xml:space="preserve"> current </w:t>
      </w:r>
      <w:r w:rsidR="003D1817">
        <w:t xml:space="preserve">accident </w:t>
      </w:r>
      <w:r w:rsidR="00C31ECB" w:rsidRPr="00A54D04">
        <w:t>towing fees are appropriate</w:t>
      </w:r>
      <w:bookmarkEnd w:id="113"/>
    </w:p>
    <w:p w14:paraId="09E56B30" w14:textId="05827A68" w:rsidR="008200AF" w:rsidRPr="00A54D04" w:rsidRDefault="008200AF" w:rsidP="008200AF">
      <w:r w:rsidRPr="00A54D04">
        <w:t xml:space="preserve">Our benchmarking </w:t>
      </w:r>
      <w:r w:rsidR="00D4573C">
        <w:t>indicates</w:t>
      </w:r>
      <w:r w:rsidR="00D4573C" w:rsidRPr="00A54D04">
        <w:t xml:space="preserve"> </w:t>
      </w:r>
      <w:r w:rsidRPr="00A54D04">
        <w:t xml:space="preserve">current </w:t>
      </w:r>
      <w:r w:rsidR="003D1817">
        <w:t xml:space="preserve">accident </w:t>
      </w:r>
      <w:r w:rsidRPr="00A54D04">
        <w:t>towing fees for the Melbourne controlled area are appropriate. We considered a range of benchmark</w:t>
      </w:r>
      <w:r w:rsidR="009C064D" w:rsidRPr="00A54D04">
        <w:t>s</w:t>
      </w:r>
      <w:r w:rsidRPr="00A54D04">
        <w:t xml:space="preserve"> for </w:t>
      </w:r>
      <w:r w:rsidR="003D1817">
        <w:t xml:space="preserve">accident </w:t>
      </w:r>
      <w:r w:rsidRPr="00A54D04">
        <w:t>towing fees including:</w:t>
      </w:r>
    </w:p>
    <w:p w14:paraId="1A01AAC2" w14:textId="017EFE35" w:rsidR="009C064D" w:rsidRPr="00A54D04" w:rsidRDefault="00021F91" w:rsidP="009C064D">
      <w:pPr>
        <w:pStyle w:val="ListBullet"/>
      </w:pPr>
      <w:r>
        <w:t>R</w:t>
      </w:r>
      <w:r w:rsidR="009C064D" w:rsidRPr="00A54D04">
        <w:t>egulated accident towing fees in four other Australian jurisdictions – New South Wales (Sydney), South Australia (Adelaide), Queensland and Western Australia (Perth).</w:t>
      </w:r>
      <w:r w:rsidR="009C064D" w:rsidRPr="00A54D04">
        <w:rPr>
          <w:rStyle w:val="FootnoteReference"/>
        </w:rPr>
        <w:footnoteReference w:id="24"/>
      </w:r>
    </w:p>
    <w:p w14:paraId="11B7B65E" w14:textId="7FEAED6C" w:rsidR="008200AF" w:rsidRPr="00A54D04" w:rsidRDefault="00021F91" w:rsidP="008200AF">
      <w:pPr>
        <w:pStyle w:val="ListBullet"/>
      </w:pPr>
      <w:r>
        <w:t>U</w:t>
      </w:r>
      <w:r w:rsidR="009C064D" w:rsidRPr="00A54D04">
        <w:t>nregulated fees for trade towing services in Melbourne. This includes breakdown towing, abandoned (or derelict) vehicle towing and clearway towing.</w:t>
      </w:r>
    </w:p>
    <w:p w14:paraId="6DDD57E2" w14:textId="5B388AF7" w:rsidR="001C17B6" w:rsidRPr="00A54D04" w:rsidRDefault="001C17B6" w:rsidP="001C17B6">
      <w:r w:rsidRPr="00A54D04">
        <w:lastRenderedPageBreak/>
        <w:t xml:space="preserve">Regulated accident towing fees in other jurisdictions are a useful benchmark as the services and underlying costs are </w:t>
      </w:r>
      <w:r w:rsidR="00D4573C">
        <w:t>comparable</w:t>
      </w:r>
      <w:r w:rsidRPr="00A54D04">
        <w:t xml:space="preserve"> to accident towing in Melbourne. However, regulated fees may be less reflective of efficient costs compared to fees set in a contestable market.</w:t>
      </w:r>
    </w:p>
    <w:p w14:paraId="5F816C7D" w14:textId="2341CABD" w:rsidR="001C17B6" w:rsidRPr="00A54D04" w:rsidRDefault="001C17B6" w:rsidP="001C17B6">
      <w:r w:rsidRPr="00A54D04">
        <w:t xml:space="preserve">We also compared </w:t>
      </w:r>
      <w:r w:rsidR="00FA4863">
        <w:t xml:space="preserve">regulated </w:t>
      </w:r>
      <w:r w:rsidRPr="00A54D04">
        <w:t xml:space="preserve">accident towing fees with </w:t>
      </w:r>
      <w:r w:rsidR="00696324" w:rsidRPr="00A54D04">
        <w:t xml:space="preserve">unregulated </w:t>
      </w:r>
      <w:r w:rsidRPr="00A54D04">
        <w:t xml:space="preserve">trade towing fees in </w:t>
      </w:r>
      <w:r w:rsidR="00E8046F">
        <w:t>Melbourne</w:t>
      </w:r>
      <w:r w:rsidR="00FA4863">
        <w:t xml:space="preserve">, </w:t>
      </w:r>
      <w:r w:rsidR="00696324" w:rsidRPr="00A54D04">
        <w:t xml:space="preserve">which are </w:t>
      </w:r>
      <w:r w:rsidRPr="00A54D04">
        <w:t>often set via competitive tender processes.</w:t>
      </w:r>
      <w:r w:rsidR="00696324" w:rsidRPr="00A54D04">
        <w:rPr>
          <w:rStyle w:val="FootnoteReference"/>
        </w:rPr>
        <w:footnoteReference w:id="25"/>
      </w:r>
      <w:r w:rsidRPr="00A54D04">
        <w:t xml:space="preserve"> The services and underlying costs are likely to be different for trade towing compared to accident towing, but the fees are more likely to reflect efficient costs.</w:t>
      </w:r>
    </w:p>
    <w:p w14:paraId="21032D3F" w14:textId="6C76283D" w:rsidR="00937C9F" w:rsidRPr="00A54D04" w:rsidRDefault="00937C9F" w:rsidP="00937C9F">
      <w:pPr>
        <w:pStyle w:val="Heading3"/>
      </w:pPr>
      <w:bookmarkStart w:id="114" w:name="_Toc184041447"/>
      <w:bookmarkStart w:id="115" w:name="_Toc185321777"/>
      <w:bookmarkStart w:id="116" w:name="_Toc190265300"/>
      <w:bookmarkStart w:id="117" w:name="_Toc195721893"/>
      <w:bookmarkStart w:id="118" w:name="_Toc197345249"/>
      <w:bookmarkStart w:id="119" w:name="_Toc197942419"/>
      <w:bookmarkStart w:id="120" w:name="_Toc197977692"/>
      <w:bookmarkStart w:id="121" w:name="_Toc198048681"/>
      <w:bookmarkStart w:id="122" w:name="_Toc199231554"/>
      <w:r w:rsidRPr="00A54D04">
        <w:t>Regulated</w:t>
      </w:r>
      <w:r w:rsidR="004B56AC">
        <w:t xml:space="preserve"> accident</w:t>
      </w:r>
      <w:r w:rsidRPr="00A54D04">
        <w:t xml:space="preserve"> towing fees are broadly similar in other Australian jurisdictions</w:t>
      </w:r>
      <w:bookmarkEnd w:id="114"/>
      <w:bookmarkEnd w:id="115"/>
      <w:bookmarkEnd w:id="116"/>
      <w:bookmarkEnd w:id="117"/>
      <w:bookmarkEnd w:id="118"/>
      <w:bookmarkEnd w:id="119"/>
      <w:bookmarkEnd w:id="120"/>
      <w:bookmarkEnd w:id="121"/>
      <w:bookmarkEnd w:id="122"/>
    </w:p>
    <w:p w14:paraId="11EB97AA" w14:textId="45D81E6E" w:rsidR="00937C9F" w:rsidRPr="00A54D04" w:rsidRDefault="00937C9F" w:rsidP="00937C9F">
      <w:r w:rsidRPr="00A54D04">
        <w:t>Regulated accident towing fees in the Melbourne controlled area are with</w:t>
      </w:r>
      <w:r w:rsidR="001C6697" w:rsidRPr="00A54D04">
        <w:t>in the range of</w:t>
      </w:r>
      <w:r w:rsidRPr="00A54D04">
        <w:t xml:space="preserve"> regulated fees in other Australian jurisdictions, when adjusted to account for different regulatory settings </w:t>
      </w:r>
      <w:r w:rsidR="000C0C87" w:rsidRPr="00A54D04">
        <w:t>across</w:t>
      </w:r>
      <w:r w:rsidRPr="00A54D04">
        <w:t xml:space="preserve"> jurisdictions.</w:t>
      </w:r>
    </w:p>
    <w:p w14:paraId="16261D11" w14:textId="7C4B6B43" w:rsidR="00937C9F" w:rsidRPr="00A54D04" w:rsidRDefault="006669E1" w:rsidP="00937C9F">
      <w:r w:rsidRPr="00A54D04">
        <w:t xml:space="preserve">As each jurisdiction’s </w:t>
      </w:r>
      <w:r w:rsidR="00DA2BCB">
        <w:t>published</w:t>
      </w:r>
      <w:r w:rsidRPr="00A54D04">
        <w:t xml:space="preserve"> fees do not represent a like</w:t>
      </w:r>
      <w:r w:rsidR="00FB47CA" w:rsidRPr="00A54D04">
        <w:t>-</w:t>
      </w:r>
      <w:r w:rsidRPr="00A54D04">
        <w:t>for</w:t>
      </w:r>
      <w:r w:rsidR="00FB47CA" w:rsidRPr="00A54D04">
        <w:t>-</w:t>
      </w:r>
      <w:r w:rsidRPr="00A54D04">
        <w:t>like comparison, w</w:t>
      </w:r>
      <w:r w:rsidR="00937C9F" w:rsidRPr="00A54D04">
        <w:t xml:space="preserve">e estimated a ‘standard’ accident towing fee for each jurisdiction </w:t>
      </w:r>
      <w:r w:rsidR="00191DDF" w:rsidRPr="00A54D04">
        <w:t>(see Table 3)</w:t>
      </w:r>
      <w:r w:rsidR="00937C9F" w:rsidRPr="00A54D04">
        <w:t>.</w:t>
      </w:r>
      <w:r w:rsidR="0026408A" w:rsidRPr="00A54D04">
        <w:t xml:space="preserve"> </w:t>
      </w:r>
      <w:r w:rsidR="00937C9F" w:rsidRPr="00A54D04">
        <w:t xml:space="preserve">To estimate the standard fee, we made </w:t>
      </w:r>
      <w:proofErr w:type="gramStart"/>
      <w:r w:rsidR="00937C9F" w:rsidRPr="00A54D04">
        <w:t>a number of</w:t>
      </w:r>
      <w:proofErr w:type="gramEnd"/>
      <w:r w:rsidR="00937C9F" w:rsidRPr="00A54D04">
        <w:t xml:space="preserve"> assumptions such as a </w:t>
      </w:r>
      <w:r w:rsidRPr="00A54D04">
        <w:t>total</w:t>
      </w:r>
      <w:r w:rsidR="00937C9F" w:rsidRPr="00A54D04">
        <w:t xml:space="preserve"> travel distance </w:t>
      </w:r>
      <w:r w:rsidRPr="00A54D04">
        <w:t xml:space="preserve">of </w:t>
      </w:r>
      <w:proofErr w:type="gramStart"/>
      <w:r w:rsidRPr="00A54D04">
        <w:t>22</w:t>
      </w:r>
      <w:proofErr w:type="gramEnd"/>
      <w:r w:rsidR="0026408A" w:rsidRPr="00A54D04">
        <w:t> </w:t>
      </w:r>
      <w:r w:rsidRPr="00A54D04">
        <w:t xml:space="preserve">kilometres </w:t>
      </w:r>
      <w:r w:rsidR="00937C9F" w:rsidRPr="00A54D04">
        <w:t xml:space="preserve">and </w:t>
      </w:r>
      <w:r w:rsidRPr="00A54D04">
        <w:t xml:space="preserve">a total </w:t>
      </w:r>
      <w:r w:rsidR="00937C9F" w:rsidRPr="00A54D04">
        <w:t>tow time</w:t>
      </w:r>
      <w:r w:rsidRPr="00A54D04">
        <w:t xml:space="preserve"> of 90 minutes</w:t>
      </w:r>
      <w:r w:rsidR="00937C9F" w:rsidRPr="00A54D04">
        <w:t xml:space="preserve"> (see Appendix </w:t>
      </w:r>
      <w:r w:rsidR="00F170DF">
        <w:t>B</w:t>
      </w:r>
      <w:r w:rsidR="00937C9F" w:rsidRPr="00A54D04">
        <w:t xml:space="preserve"> for more detail</w:t>
      </w:r>
      <w:r w:rsidR="00021F91">
        <w:t>s</w:t>
      </w:r>
      <w:r w:rsidR="00937C9F" w:rsidRPr="00A54D04">
        <w:t>).</w:t>
      </w:r>
      <w:r w:rsidR="00937C9F" w:rsidRPr="00A54D04">
        <w:rPr>
          <w:rStyle w:val="FootnoteReference"/>
        </w:rPr>
        <w:footnoteReference w:id="26"/>
      </w:r>
      <w:r w:rsidR="00937C9F" w:rsidRPr="00A54D04">
        <w:t xml:space="preserve"> </w:t>
      </w:r>
    </w:p>
    <w:p w14:paraId="34F0B0B9" w14:textId="53B23D8C" w:rsidR="00042C63" w:rsidRPr="00A54D04" w:rsidRDefault="001C6DB1" w:rsidP="00937C9F">
      <w:r w:rsidRPr="00A54D04">
        <w:t>We also made some adjustments to account for jurisdictional differences</w:t>
      </w:r>
      <w:r w:rsidR="00CB59DB" w:rsidRPr="00A54D04">
        <w:t>.</w:t>
      </w:r>
      <w:r w:rsidRPr="00A54D04">
        <w:t xml:space="preserve"> However, there were limits to the adjustments we could </w:t>
      </w:r>
      <w:r w:rsidR="001D6739" w:rsidRPr="00A54D04">
        <w:t>make,</w:t>
      </w:r>
      <w:r w:rsidRPr="00A54D04">
        <w:t xml:space="preserve"> and this may explain some of the differences in the estimated standard fees across jurisdictions. </w:t>
      </w:r>
    </w:p>
    <w:p w14:paraId="7D0D83DC" w14:textId="1E8813A3" w:rsidR="00A16707" w:rsidRDefault="001C6DB1" w:rsidP="00937C9F">
      <w:r w:rsidRPr="00A54D04">
        <w:t>For example, the base fees in Sydney and Adelaide include some salvage, while the base fee in Melbourne does not</w:t>
      </w:r>
      <w:r w:rsidR="00042C63" w:rsidRPr="00A54D04">
        <w:t>, and we did not have sufficient information to adjust for this.</w:t>
      </w:r>
      <w:r w:rsidRPr="00A54D04">
        <w:t xml:space="preserve"> </w:t>
      </w:r>
    </w:p>
    <w:p w14:paraId="0EE11045" w14:textId="32B29604" w:rsidR="001C6DB1" w:rsidRPr="00A54D04" w:rsidRDefault="001C6DB1" w:rsidP="00937C9F">
      <w:r w:rsidRPr="00A54D04">
        <w:t xml:space="preserve">It is also difficult to make comparisons with Queensland’s fees, as they apply to both metropolitan and regional areas whereas Melbourne’s regulated </w:t>
      </w:r>
      <w:r w:rsidR="00BC2FCA">
        <w:t xml:space="preserve">accident </w:t>
      </w:r>
      <w:r w:rsidRPr="00A54D04">
        <w:t xml:space="preserve">towing fees apply to the metropolitan area only. </w:t>
      </w:r>
    </w:p>
    <w:p w14:paraId="427423F6" w14:textId="48CD5D89" w:rsidR="00DA6D7C" w:rsidRPr="00A54D04" w:rsidRDefault="00DA6D7C" w:rsidP="00DA6D7C">
      <w:pPr>
        <w:pStyle w:val="Figure-Table-BoxHeading"/>
        <w:keepNext/>
        <w:numPr>
          <w:ilvl w:val="0"/>
          <w:numId w:val="0"/>
        </w:numPr>
        <w:spacing w:after="0"/>
        <w:rPr>
          <w:lang w:val="en-AU"/>
        </w:rPr>
      </w:pPr>
      <w:r w:rsidRPr="00A54D04">
        <w:rPr>
          <w:lang w:val="en-AU"/>
        </w:rPr>
        <w:lastRenderedPageBreak/>
        <w:t xml:space="preserve">Table 3. Estimated </w:t>
      </w:r>
      <w:r w:rsidR="00BC2FCA">
        <w:rPr>
          <w:lang w:val="en-AU"/>
        </w:rPr>
        <w:t>‘</w:t>
      </w:r>
      <w:r w:rsidRPr="00A54D04">
        <w:rPr>
          <w:lang w:val="en-AU"/>
        </w:rPr>
        <w:t>standard</w:t>
      </w:r>
      <w:r w:rsidR="00BC2FCA">
        <w:rPr>
          <w:lang w:val="en-AU"/>
        </w:rPr>
        <w:t>’</w:t>
      </w:r>
      <w:r w:rsidRPr="00A54D04">
        <w:rPr>
          <w:lang w:val="en-AU"/>
        </w:rPr>
        <w:t xml:space="preserve"> accident towing fees by jurisdiction</w:t>
      </w:r>
      <w:r w:rsidR="00FB5EF9" w:rsidRPr="00A54D04">
        <w:rPr>
          <w:lang w:val="en-AU"/>
        </w:rPr>
        <w:t xml:space="preserve"> (</w:t>
      </w:r>
      <w:r w:rsidRPr="00A54D04">
        <w:rPr>
          <w:lang w:val="en-AU"/>
        </w:rPr>
        <w:t>2024–25</w:t>
      </w:r>
      <w:r w:rsidR="00FB5EF9" w:rsidRPr="00A54D04">
        <w:rPr>
          <w:lang w:val="en-AU"/>
        </w:rPr>
        <w:t>)</w:t>
      </w:r>
    </w:p>
    <w:tbl>
      <w:tblPr>
        <w:tblStyle w:val="TableGrid"/>
        <w:tblW w:w="9639" w:type="dxa"/>
        <w:tblLook w:val="04A0" w:firstRow="1" w:lastRow="0" w:firstColumn="1" w:lastColumn="0" w:noHBand="0" w:noVBand="1"/>
      </w:tblPr>
      <w:tblGrid>
        <w:gridCol w:w="2835"/>
        <w:gridCol w:w="2268"/>
        <w:gridCol w:w="2268"/>
        <w:gridCol w:w="2268"/>
      </w:tblGrid>
      <w:tr w:rsidR="00DA6D7C" w:rsidRPr="00A54D04" w14:paraId="5138E8E3" w14:textId="77777777">
        <w:trPr>
          <w:cnfStyle w:val="100000000000" w:firstRow="1" w:lastRow="0" w:firstColumn="0" w:lastColumn="0" w:oddVBand="0" w:evenVBand="0" w:oddHBand="0" w:evenHBand="0" w:firstRowFirstColumn="0" w:firstRowLastColumn="0" w:lastRowFirstColumn="0" w:lastRowLastColumn="0"/>
          <w:cantSplit/>
        </w:trPr>
        <w:tc>
          <w:tcPr>
            <w:tcW w:w="2835" w:type="dxa"/>
          </w:tcPr>
          <w:p w14:paraId="7C9472B3" w14:textId="77777777" w:rsidR="00DA6D7C" w:rsidRPr="00A54D04" w:rsidRDefault="00DA6D7C">
            <w:pPr>
              <w:pStyle w:val="TableHeading"/>
              <w:keepNext/>
              <w:keepLines/>
            </w:pPr>
          </w:p>
        </w:tc>
        <w:tc>
          <w:tcPr>
            <w:tcW w:w="2268" w:type="dxa"/>
          </w:tcPr>
          <w:p w14:paraId="6601312A" w14:textId="77777777" w:rsidR="00DA6D7C" w:rsidRPr="00A54D04" w:rsidRDefault="00DA6D7C">
            <w:pPr>
              <w:pStyle w:val="TableHeading"/>
              <w:keepNext/>
              <w:keepLines/>
              <w:jc w:val="right"/>
            </w:pPr>
            <w:r w:rsidRPr="00A54D04">
              <w:t>Business hours</w:t>
            </w:r>
          </w:p>
        </w:tc>
        <w:tc>
          <w:tcPr>
            <w:tcW w:w="2268" w:type="dxa"/>
          </w:tcPr>
          <w:p w14:paraId="56C80713" w14:textId="77777777" w:rsidR="00DA6D7C" w:rsidRPr="00A54D04" w:rsidRDefault="00DA6D7C">
            <w:pPr>
              <w:pStyle w:val="TableHeading"/>
              <w:keepNext/>
              <w:keepLines/>
              <w:jc w:val="right"/>
            </w:pPr>
            <w:r w:rsidRPr="00A54D04">
              <w:t>After hours</w:t>
            </w:r>
          </w:p>
        </w:tc>
        <w:tc>
          <w:tcPr>
            <w:tcW w:w="2268" w:type="dxa"/>
          </w:tcPr>
          <w:p w14:paraId="52C4568B" w14:textId="77777777" w:rsidR="00DA6D7C" w:rsidRPr="00A54D04" w:rsidRDefault="00DA6D7C">
            <w:pPr>
              <w:pStyle w:val="TableHeading"/>
              <w:keepNext/>
              <w:keepLines/>
              <w:jc w:val="right"/>
            </w:pPr>
            <w:r w:rsidRPr="00A54D04">
              <w:t>Weighted average</w:t>
            </w:r>
          </w:p>
        </w:tc>
      </w:tr>
      <w:tr w:rsidR="00DA6D7C" w:rsidRPr="00A54D04" w14:paraId="52B1E2ED" w14:textId="77777777">
        <w:trPr>
          <w:cnfStyle w:val="000000100000" w:firstRow="0" w:lastRow="0" w:firstColumn="0" w:lastColumn="0" w:oddVBand="0" w:evenVBand="0" w:oddHBand="1" w:evenHBand="0" w:firstRowFirstColumn="0" w:firstRowLastColumn="0" w:lastRowFirstColumn="0" w:lastRowLastColumn="0"/>
          <w:cantSplit/>
        </w:trPr>
        <w:tc>
          <w:tcPr>
            <w:tcW w:w="2835" w:type="dxa"/>
          </w:tcPr>
          <w:p w14:paraId="0F4B36DE" w14:textId="77777777" w:rsidR="00DA6D7C" w:rsidRPr="00A54D04" w:rsidRDefault="00DA6D7C">
            <w:pPr>
              <w:pStyle w:val="TableBody"/>
              <w:keepNext/>
              <w:keepLines/>
            </w:pPr>
            <w:r w:rsidRPr="00A54D04">
              <w:t>Melbourne controlled area</w:t>
            </w:r>
          </w:p>
        </w:tc>
        <w:tc>
          <w:tcPr>
            <w:tcW w:w="2268" w:type="dxa"/>
          </w:tcPr>
          <w:p w14:paraId="5384936D" w14:textId="77777777" w:rsidR="00DA6D7C" w:rsidRPr="00A54D04" w:rsidRDefault="00DA6D7C">
            <w:pPr>
              <w:pStyle w:val="TableBody"/>
              <w:keepNext/>
              <w:keepLines/>
              <w:jc w:val="right"/>
            </w:pPr>
            <w:r w:rsidRPr="00A54D04">
              <w:t>$333.00</w:t>
            </w:r>
          </w:p>
        </w:tc>
        <w:tc>
          <w:tcPr>
            <w:tcW w:w="2268" w:type="dxa"/>
          </w:tcPr>
          <w:p w14:paraId="20189FF4" w14:textId="77777777" w:rsidR="00DA6D7C" w:rsidRPr="00A54D04" w:rsidRDefault="00DA6D7C">
            <w:pPr>
              <w:pStyle w:val="TableBody"/>
              <w:keepNext/>
              <w:keepLines/>
              <w:jc w:val="right"/>
            </w:pPr>
            <w:r w:rsidRPr="00A54D04">
              <w:t>$426.10</w:t>
            </w:r>
          </w:p>
        </w:tc>
        <w:tc>
          <w:tcPr>
            <w:tcW w:w="2268" w:type="dxa"/>
          </w:tcPr>
          <w:p w14:paraId="6BBD27EF" w14:textId="77777777" w:rsidR="00DA6D7C" w:rsidRPr="00A54D04" w:rsidRDefault="00DA6D7C">
            <w:pPr>
              <w:pStyle w:val="TableBody"/>
              <w:keepNext/>
              <w:keepLines/>
              <w:jc w:val="right"/>
              <w:rPr>
                <w:b/>
              </w:rPr>
            </w:pPr>
            <w:r w:rsidRPr="00A54D04">
              <w:rPr>
                <w:b/>
              </w:rPr>
              <w:t>$383.25</w:t>
            </w:r>
          </w:p>
        </w:tc>
      </w:tr>
      <w:tr w:rsidR="00DA6D7C" w:rsidRPr="00A54D04" w14:paraId="7727DDD3" w14:textId="77777777">
        <w:trPr>
          <w:cnfStyle w:val="000000010000" w:firstRow="0" w:lastRow="0" w:firstColumn="0" w:lastColumn="0" w:oddVBand="0" w:evenVBand="0" w:oddHBand="0" w:evenHBand="1" w:firstRowFirstColumn="0" w:firstRowLastColumn="0" w:lastRowFirstColumn="0" w:lastRowLastColumn="0"/>
          <w:cantSplit/>
        </w:trPr>
        <w:tc>
          <w:tcPr>
            <w:tcW w:w="2835" w:type="dxa"/>
          </w:tcPr>
          <w:p w14:paraId="0D5B758B" w14:textId="77777777" w:rsidR="00DA6D7C" w:rsidRPr="00A54D04" w:rsidRDefault="00DA6D7C">
            <w:pPr>
              <w:pStyle w:val="TableBody"/>
              <w:keepNext/>
              <w:keepLines/>
            </w:pPr>
            <w:r w:rsidRPr="00A54D04">
              <w:t>Sydney</w:t>
            </w:r>
          </w:p>
        </w:tc>
        <w:tc>
          <w:tcPr>
            <w:tcW w:w="2268" w:type="dxa"/>
          </w:tcPr>
          <w:p w14:paraId="08B90800" w14:textId="77777777" w:rsidR="00DA6D7C" w:rsidRPr="00A54D04" w:rsidRDefault="00DA6D7C">
            <w:pPr>
              <w:pStyle w:val="TableBody"/>
              <w:keepNext/>
              <w:keepLines/>
              <w:jc w:val="right"/>
            </w:pPr>
            <w:r w:rsidRPr="00A54D04">
              <w:t>$385.00</w:t>
            </w:r>
          </w:p>
        </w:tc>
        <w:tc>
          <w:tcPr>
            <w:tcW w:w="2268" w:type="dxa"/>
          </w:tcPr>
          <w:p w14:paraId="3D74ABD0" w14:textId="77777777" w:rsidR="00DA6D7C" w:rsidRPr="00A54D04" w:rsidRDefault="00DA6D7C">
            <w:pPr>
              <w:pStyle w:val="TableBody"/>
              <w:keepNext/>
              <w:keepLines/>
              <w:jc w:val="right"/>
            </w:pPr>
            <w:r w:rsidRPr="00A54D04">
              <w:t>$462.00</w:t>
            </w:r>
          </w:p>
        </w:tc>
        <w:tc>
          <w:tcPr>
            <w:tcW w:w="2268" w:type="dxa"/>
          </w:tcPr>
          <w:p w14:paraId="3FF00CCD" w14:textId="77777777" w:rsidR="00DA6D7C" w:rsidRPr="00A54D04" w:rsidRDefault="00DA6D7C">
            <w:pPr>
              <w:pStyle w:val="TableBody"/>
              <w:keepNext/>
              <w:keepLines/>
              <w:jc w:val="right"/>
              <w:rPr>
                <w:b/>
              </w:rPr>
            </w:pPr>
            <w:r w:rsidRPr="00A54D04">
              <w:rPr>
                <w:b/>
              </w:rPr>
              <w:t>$426.56</w:t>
            </w:r>
          </w:p>
        </w:tc>
      </w:tr>
      <w:tr w:rsidR="00DA6D7C" w:rsidRPr="00A54D04" w14:paraId="197335CD" w14:textId="77777777">
        <w:trPr>
          <w:cnfStyle w:val="000000100000" w:firstRow="0" w:lastRow="0" w:firstColumn="0" w:lastColumn="0" w:oddVBand="0" w:evenVBand="0" w:oddHBand="1" w:evenHBand="0" w:firstRowFirstColumn="0" w:firstRowLastColumn="0" w:lastRowFirstColumn="0" w:lastRowLastColumn="0"/>
          <w:cantSplit/>
        </w:trPr>
        <w:tc>
          <w:tcPr>
            <w:tcW w:w="2835" w:type="dxa"/>
          </w:tcPr>
          <w:p w14:paraId="4F75E12F" w14:textId="77777777" w:rsidR="00DA6D7C" w:rsidRPr="00A54D04" w:rsidRDefault="00DA6D7C">
            <w:pPr>
              <w:pStyle w:val="TableBody"/>
              <w:keepNext/>
              <w:keepLines/>
            </w:pPr>
            <w:r w:rsidRPr="00A54D04">
              <w:t>Adelaide</w:t>
            </w:r>
          </w:p>
        </w:tc>
        <w:tc>
          <w:tcPr>
            <w:tcW w:w="2268" w:type="dxa"/>
          </w:tcPr>
          <w:p w14:paraId="784CB9E3" w14:textId="77777777" w:rsidR="00DA6D7C" w:rsidRPr="00A54D04" w:rsidRDefault="00DA6D7C">
            <w:pPr>
              <w:pStyle w:val="TableBody"/>
              <w:keepNext/>
              <w:keepLines/>
              <w:jc w:val="right"/>
            </w:pPr>
            <w:r w:rsidRPr="00A54D04">
              <w:t>$438.00</w:t>
            </w:r>
          </w:p>
        </w:tc>
        <w:tc>
          <w:tcPr>
            <w:tcW w:w="2268" w:type="dxa"/>
          </w:tcPr>
          <w:p w14:paraId="3284364C" w14:textId="77777777" w:rsidR="00DA6D7C" w:rsidRPr="00A54D04" w:rsidRDefault="00DA6D7C">
            <w:pPr>
              <w:pStyle w:val="TableBody"/>
              <w:keepNext/>
              <w:keepLines/>
              <w:jc w:val="right"/>
            </w:pPr>
            <w:r w:rsidRPr="00A54D04">
              <w:t>$538.00</w:t>
            </w:r>
          </w:p>
        </w:tc>
        <w:tc>
          <w:tcPr>
            <w:tcW w:w="2268" w:type="dxa"/>
          </w:tcPr>
          <w:p w14:paraId="1523CCC4" w14:textId="77777777" w:rsidR="00DA6D7C" w:rsidRPr="00A54D04" w:rsidRDefault="00DA6D7C">
            <w:pPr>
              <w:pStyle w:val="TableBody"/>
              <w:keepNext/>
              <w:keepLines/>
              <w:jc w:val="right"/>
              <w:rPr>
                <w:b/>
              </w:rPr>
            </w:pPr>
            <w:r w:rsidRPr="00A54D04">
              <w:rPr>
                <w:b/>
              </w:rPr>
              <w:t>$489.42</w:t>
            </w:r>
          </w:p>
        </w:tc>
      </w:tr>
      <w:tr w:rsidR="00DA6D7C" w:rsidRPr="00A54D04" w14:paraId="497CD3B4" w14:textId="77777777">
        <w:trPr>
          <w:cnfStyle w:val="000000010000" w:firstRow="0" w:lastRow="0" w:firstColumn="0" w:lastColumn="0" w:oddVBand="0" w:evenVBand="0" w:oddHBand="0" w:evenHBand="1" w:firstRowFirstColumn="0" w:firstRowLastColumn="0" w:lastRowFirstColumn="0" w:lastRowLastColumn="0"/>
          <w:cantSplit/>
        </w:trPr>
        <w:tc>
          <w:tcPr>
            <w:tcW w:w="2835" w:type="dxa"/>
          </w:tcPr>
          <w:p w14:paraId="73E3AE98" w14:textId="77777777" w:rsidR="00DA6D7C" w:rsidRPr="00A54D04" w:rsidRDefault="00DA6D7C">
            <w:pPr>
              <w:pStyle w:val="TableBody"/>
              <w:keepNext/>
              <w:keepLines/>
            </w:pPr>
            <w:r w:rsidRPr="00A54D04">
              <w:t>Queensland</w:t>
            </w:r>
          </w:p>
        </w:tc>
        <w:tc>
          <w:tcPr>
            <w:tcW w:w="2268" w:type="dxa"/>
          </w:tcPr>
          <w:p w14:paraId="00ADF51C" w14:textId="77777777" w:rsidR="00DA6D7C" w:rsidRPr="00A54D04" w:rsidRDefault="00DA6D7C">
            <w:pPr>
              <w:pStyle w:val="TableBody"/>
              <w:keepNext/>
              <w:keepLines/>
              <w:jc w:val="right"/>
            </w:pPr>
            <w:r w:rsidRPr="00A54D04">
              <w:t>$332.05</w:t>
            </w:r>
          </w:p>
        </w:tc>
        <w:tc>
          <w:tcPr>
            <w:tcW w:w="2268" w:type="dxa"/>
          </w:tcPr>
          <w:p w14:paraId="2CA0D843" w14:textId="77777777" w:rsidR="00DA6D7C" w:rsidRPr="00A54D04" w:rsidRDefault="00DA6D7C">
            <w:pPr>
              <w:pStyle w:val="TableBody"/>
              <w:keepNext/>
              <w:keepLines/>
              <w:jc w:val="right"/>
            </w:pPr>
            <w:r w:rsidRPr="00A54D04">
              <w:t>$332.05</w:t>
            </w:r>
          </w:p>
        </w:tc>
        <w:tc>
          <w:tcPr>
            <w:tcW w:w="2268" w:type="dxa"/>
          </w:tcPr>
          <w:p w14:paraId="319558CF" w14:textId="77777777" w:rsidR="00DA6D7C" w:rsidRPr="00A54D04" w:rsidRDefault="00DA6D7C">
            <w:pPr>
              <w:pStyle w:val="TableBody"/>
              <w:keepNext/>
              <w:keepLines/>
              <w:jc w:val="right"/>
              <w:rPr>
                <w:b/>
              </w:rPr>
            </w:pPr>
            <w:r w:rsidRPr="00A54D04">
              <w:rPr>
                <w:b/>
              </w:rPr>
              <w:t>$332.05</w:t>
            </w:r>
          </w:p>
        </w:tc>
      </w:tr>
      <w:tr w:rsidR="00DA6D7C" w:rsidRPr="00A54D04" w14:paraId="6F3997D2" w14:textId="77777777">
        <w:trPr>
          <w:cnfStyle w:val="000000100000" w:firstRow="0" w:lastRow="0" w:firstColumn="0" w:lastColumn="0" w:oddVBand="0" w:evenVBand="0" w:oddHBand="1" w:evenHBand="0" w:firstRowFirstColumn="0" w:firstRowLastColumn="0" w:lastRowFirstColumn="0" w:lastRowLastColumn="0"/>
          <w:cantSplit/>
        </w:trPr>
        <w:tc>
          <w:tcPr>
            <w:tcW w:w="2835" w:type="dxa"/>
          </w:tcPr>
          <w:p w14:paraId="54D2820F" w14:textId="77777777" w:rsidR="00DA6D7C" w:rsidRPr="00A54D04" w:rsidRDefault="00DA6D7C">
            <w:pPr>
              <w:pStyle w:val="TableBody"/>
              <w:keepNext/>
              <w:keepLines/>
            </w:pPr>
            <w:r w:rsidRPr="00A54D04">
              <w:t>Perth</w:t>
            </w:r>
          </w:p>
        </w:tc>
        <w:tc>
          <w:tcPr>
            <w:tcW w:w="2268" w:type="dxa"/>
          </w:tcPr>
          <w:p w14:paraId="2AD45D8E" w14:textId="77777777" w:rsidR="00DA6D7C" w:rsidRPr="00A54D04" w:rsidRDefault="00DA6D7C">
            <w:pPr>
              <w:pStyle w:val="TableBody"/>
              <w:keepNext/>
              <w:keepLines/>
              <w:jc w:val="right"/>
            </w:pPr>
            <w:r w:rsidRPr="00A54D04">
              <w:t>$485.00</w:t>
            </w:r>
          </w:p>
        </w:tc>
        <w:tc>
          <w:tcPr>
            <w:tcW w:w="2268" w:type="dxa"/>
          </w:tcPr>
          <w:p w14:paraId="3015DDD7" w14:textId="3E0291F2" w:rsidR="00DA6D7C" w:rsidRPr="00A54D04" w:rsidRDefault="00DA6D7C">
            <w:pPr>
              <w:pStyle w:val="TableBody"/>
              <w:keepNext/>
              <w:keepLines/>
              <w:jc w:val="right"/>
            </w:pPr>
            <w:r w:rsidRPr="00A54D04">
              <w:t>$</w:t>
            </w:r>
            <w:r w:rsidR="00D5294D" w:rsidRPr="00A54D04">
              <w:t>623.00</w:t>
            </w:r>
          </w:p>
        </w:tc>
        <w:tc>
          <w:tcPr>
            <w:tcW w:w="2268" w:type="dxa"/>
          </w:tcPr>
          <w:p w14:paraId="51EC3EFF" w14:textId="77777777" w:rsidR="00DA6D7C" w:rsidRPr="00A54D04" w:rsidRDefault="00DA6D7C">
            <w:pPr>
              <w:pStyle w:val="TableBody"/>
              <w:keepNext/>
              <w:keepLines/>
              <w:jc w:val="right"/>
              <w:rPr>
                <w:b/>
              </w:rPr>
            </w:pPr>
            <w:r w:rsidRPr="00A54D04">
              <w:rPr>
                <w:b/>
              </w:rPr>
              <w:t>$559.49</w:t>
            </w:r>
          </w:p>
        </w:tc>
      </w:tr>
    </w:tbl>
    <w:p w14:paraId="66BCA39B" w14:textId="7FB2FDC4" w:rsidR="001C17B6" w:rsidRPr="00A54D04" w:rsidRDefault="00DA6D7C" w:rsidP="00DA6D7C">
      <w:pPr>
        <w:pStyle w:val="Source"/>
        <w:keepLines/>
        <w:jc w:val="left"/>
      </w:pPr>
      <w:r w:rsidRPr="00A54D04">
        <w:rPr>
          <w:b/>
          <w:bCs/>
        </w:rPr>
        <w:t>Source:</w:t>
      </w:r>
      <w:r w:rsidRPr="00A54D04">
        <w:t xml:space="preserve"> Essential Services Commission analysis.</w:t>
      </w:r>
    </w:p>
    <w:p w14:paraId="657280B2" w14:textId="61408652" w:rsidR="00D10E6D" w:rsidRPr="00A54D04" w:rsidRDefault="00B05C94" w:rsidP="00A563F7">
      <w:pPr>
        <w:pStyle w:val="Heading4"/>
      </w:pPr>
      <w:r>
        <w:t>Insufficient evidence to increase regulated fees to match Perth</w:t>
      </w:r>
    </w:p>
    <w:p w14:paraId="55231679" w14:textId="4F382D51" w:rsidR="0053435A" w:rsidRPr="00A54D04" w:rsidRDefault="0053435A" w:rsidP="0053435A">
      <w:r w:rsidRPr="00A54D04">
        <w:t xml:space="preserve">The VACC raised concerns </w:t>
      </w:r>
      <w:r w:rsidR="00226089" w:rsidRPr="00A54D04">
        <w:t>that</w:t>
      </w:r>
      <w:r w:rsidR="007458AE" w:rsidRPr="00A54D04">
        <w:t xml:space="preserve"> </w:t>
      </w:r>
      <w:r w:rsidR="003D1817">
        <w:t xml:space="preserve">accident </w:t>
      </w:r>
      <w:r w:rsidR="007C7DD2" w:rsidRPr="00A54D04">
        <w:t>towing fee</w:t>
      </w:r>
      <w:r w:rsidR="008903CC" w:rsidRPr="00A54D04">
        <w:t xml:space="preserve"> levels</w:t>
      </w:r>
      <w:r w:rsidR="007C7DD2" w:rsidRPr="00A54D04">
        <w:t xml:space="preserve"> </w:t>
      </w:r>
      <w:r w:rsidR="008903CC" w:rsidRPr="00A54D04">
        <w:t>are</w:t>
      </w:r>
      <w:r w:rsidR="00226089" w:rsidRPr="00A54D04">
        <w:t xml:space="preserve"> much lower in </w:t>
      </w:r>
      <w:r w:rsidR="00127C3D" w:rsidRPr="00A54D04">
        <w:t>Melbourne</w:t>
      </w:r>
      <w:r w:rsidR="00226089" w:rsidRPr="00A54D04">
        <w:t xml:space="preserve"> compared to Perth</w:t>
      </w:r>
      <w:r w:rsidR="00C65BE2" w:rsidRPr="00A54D04">
        <w:t xml:space="preserve">. It </w:t>
      </w:r>
      <w:r w:rsidR="007C7DD2" w:rsidRPr="00A54D04">
        <w:t xml:space="preserve">advocated </w:t>
      </w:r>
      <w:r w:rsidR="001C6697" w:rsidRPr="00A54D04">
        <w:t>for</w:t>
      </w:r>
      <w:r w:rsidR="007C7DD2" w:rsidRPr="00A54D04">
        <w:t xml:space="preserve"> </w:t>
      </w:r>
      <w:r w:rsidR="003D1817">
        <w:t xml:space="preserve">accident </w:t>
      </w:r>
      <w:r w:rsidR="007C7DD2" w:rsidRPr="00A54D04">
        <w:t xml:space="preserve">towing fees in Melbourne </w:t>
      </w:r>
      <w:r w:rsidR="001C6697" w:rsidRPr="00A54D04">
        <w:t xml:space="preserve">to </w:t>
      </w:r>
      <w:r w:rsidR="007C7DD2" w:rsidRPr="00A54D04">
        <w:t>be set at the same level as</w:t>
      </w:r>
      <w:r w:rsidR="00D27D91" w:rsidRPr="00A54D04">
        <w:t xml:space="preserve"> </w:t>
      </w:r>
      <w:r w:rsidR="00C65BE2" w:rsidRPr="00A54D04">
        <w:t xml:space="preserve">those </w:t>
      </w:r>
      <w:r w:rsidR="00D27D91" w:rsidRPr="00A54D04">
        <w:t>in</w:t>
      </w:r>
      <w:r w:rsidR="007C7DD2" w:rsidRPr="00A54D04">
        <w:t xml:space="preserve"> Perth.</w:t>
      </w:r>
    </w:p>
    <w:p w14:paraId="2245E15B" w14:textId="2011B294" w:rsidR="00336941" w:rsidRPr="00A54D04" w:rsidRDefault="000B74EC" w:rsidP="00336941">
      <w:r w:rsidRPr="00A54D04">
        <w:t>W</w:t>
      </w:r>
      <w:r w:rsidR="0053435A" w:rsidRPr="00A54D04">
        <w:t xml:space="preserve">hile </w:t>
      </w:r>
      <w:r w:rsidR="003D1817">
        <w:t xml:space="preserve">accident </w:t>
      </w:r>
      <w:r w:rsidR="008903CC" w:rsidRPr="00A54D04">
        <w:t xml:space="preserve">towing fee levels are </w:t>
      </w:r>
      <w:r w:rsidR="00127C3D" w:rsidRPr="00A54D04">
        <w:t xml:space="preserve">lower </w:t>
      </w:r>
      <w:r w:rsidR="007458AE" w:rsidRPr="00A54D04">
        <w:t xml:space="preserve">in Melbourne </w:t>
      </w:r>
      <w:r w:rsidR="00C526E4" w:rsidRPr="00A54D04">
        <w:t>compared to</w:t>
      </w:r>
      <w:r w:rsidR="00127C3D" w:rsidRPr="00A54D04">
        <w:t xml:space="preserve"> Perth</w:t>
      </w:r>
      <w:r w:rsidR="0053435A" w:rsidRPr="00A54D04">
        <w:t xml:space="preserve">, this reflects </w:t>
      </w:r>
      <w:r w:rsidR="006973A6" w:rsidRPr="00A54D04">
        <w:t>several</w:t>
      </w:r>
      <w:r w:rsidR="0053435A" w:rsidRPr="00A54D04">
        <w:t xml:space="preserve"> differences between the two jurisdictions</w:t>
      </w:r>
      <w:r w:rsidR="002D7FEC" w:rsidRPr="00A54D04">
        <w:t xml:space="preserve">. </w:t>
      </w:r>
      <w:r w:rsidR="007C7DD2" w:rsidRPr="00A54D04">
        <w:t>T</w:t>
      </w:r>
      <w:r w:rsidR="00D36C4C" w:rsidRPr="00A54D04">
        <w:t xml:space="preserve">he </w:t>
      </w:r>
      <w:r w:rsidR="00C77A04" w:rsidRPr="00A54D04">
        <w:t xml:space="preserve">Western Australia Department of Transport </w:t>
      </w:r>
      <w:r w:rsidR="007C7DD2" w:rsidRPr="00A54D04">
        <w:t>noted</w:t>
      </w:r>
      <w:r w:rsidR="00E45113" w:rsidRPr="00A54D04">
        <w:t xml:space="preserve"> </w:t>
      </w:r>
      <w:r w:rsidR="00C77A04" w:rsidRPr="00A54D04">
        <w:t>s</w:t>
      </w:r>
      <w:r w:rsidR="00336941" w:rsidRPr="00A54D04">
        <w:t>ome key reasons for higher fees in Perth compared to other jurisdictions</w:t>
      </w:r>
      <w:r w:rsidR="007C7DD2" w:rsidRPr="00A54D04">
        <w:t xml:space="preserve"> in its Decision Regulatory Impact Statement made in June 2024</w:t>
      </w:r>
      <w:r w:rsidR="00336941" w:rsidRPr="00A54D04">
        <w:t>:</w:t>
      </w:r>
    </w:p>
    <w:p w14:paraId="6DE317F4" w14:textId="77777777" w:rsidR="00336941" w:rsidRPr="00A54D04" w:rsidRDefault="00336941" w:rsidP="00336941">
      <w:pPr>
        <w:pStyle w:val="ListBullet"/>
      </w:pPr>
      <w:r w:rsidRPr="00A54D04">
        <w:t>higher salary costs in Western Australia due to competition with the mining industry</w:t>
      </w:r>
    </w:p>
    <w:p w14:paraId="3C1AD8D0" w14:textId="77777777" w:rsidR="00336941" w:rsidRPr="00A54D04" w:rsidRDefault="00336941" w:rsidP="00336941">
      <w:pPr>
        <w:pStyle w:val="ListBullet"/>
      </w:pPr>
      <w:r w:rsidRPr="00A54D04">
        <w:t>higher vehicle costs in Western Australia due to a smaller market</w:t>
      </w:r>
    </w:p>
    <w:p w14:paraId="6CFC7010" w14:textId="77777777" w:rsidR="00336941" w:rsidRPr="00A54D04" w:rsidRDefault="00336941" w:rsidP="00336941">
      <w:pPr>
        <w:pStyle w:val="ListBullet"/>
      </w:pPr>
      <w:r w:rsidRPr="00A54D04">
        <w:t>Western Australia has not proposed a towing allocation system, reducing the reliability of crash towing as an income source for Perth tow truck drivers</w:t>
      </w:r>
    </w:p>
    <w:p w14:paraId="034BD564" w14:textId="730CE7CB" w:rsidR="00D27D91" w:rsidRPr="00A54D04" w:rsidRDefault="00336941" w:rsidP="00D27D91">
      <w:pPr>
        <w:pStyle w:val="ListBullet"/>
      </w:pPr>
      <w:r w:rsidRPr="00A54D04">
        <w:t>the model allows for longer waiting and working times than Melbourne.</w:t>
      </w:r>
      <w:r w:rsidRPr="00A54D04">
        <w:rPr>
          <w:rStyle w:val="FootnoteReference"/>
        </w:rPr>
        <w:footnoteReference w:id="27"/>
      </w:r>
    </w:p>
    <w:p w14:paraId="14CAF165" w14:textId="389D8D9C" w:rsidR="00D27D91" w:rsidRPr="00A54D04" w:rsidRDefault="00D27D91" w:rsidP="00CA323C">
      <w:r w:rsidRPr="00A54D04">
        <w:t>T</w:t>
      </w:r>
      <w:r w:rsidR="007458AE" w:rsidRPr="00A54D04">
        <w:t>he</w:t>
      </w:r>
      <w:r w:rsidR="007C7DD2" w:rsidRPr="00A54D04">
        <w:t xml:space="preserve"> VACC </w:t>
      </w:r>
      <w:r w:rsidR="00C82544" w:rsidRPr="00A54D04">
        <w:t xml:space="preserve">also suggested </w:t>
      </w:r>
      <w:r w:rsidR="00EB6461" w:rsidRPr="00A54D04">
        <w:t xml:space="preserve">Melbourne’s </w:t>
      </w:r>
      <w:r w:rsidR="00E8046F">
        <w:t xml:space="preserve">accident </w:t>
      </w:r>
      <w:r w:rsidR="00C82544" w:rsidRPr="00A54D04">
        <w:t xml:space="preserve">towing fee structure be aligned with that </w:t>
      </w:r>
      <w:r w:rsidR="00EB6461" w:rsidRPr="00A54D04">
        <w:t xml:space="preserve">of </w:t>
      </w:r>
      <w:r w:rsidR="00C82544" w:rsidRPr="00A54D04">
        <w:t>Perth</w:t>
      </w:r>
      <w:r w:rsidR="00AF138D" w:rsidRPr="00A54D04">
        <w:t xml:space="preserve">. This would </w:t>
      </w:r>
      <w:r w:rsidR="00FA79EF">
        <w:t>necessitate</w:t>
      </w:r>
      <w:r w:rsidR="00FA79EF" w:rsidRPr="00A54D04">
        <w:t xml:space="preserve"> </w:t>
      </w:r>
      <w:r w:rsidR="00FC0569" w:rsidRPr="00A54D04">
        <w:t xml:space="preserve">including </w:t>
      </w:r>
      <w:r w:rsidR="007C7DD2" w:rsidRPr="00A54D04">
        <w:t>50 kilometres</w:t>
      </w:r>
      <w:r w:rsidR="00FC0569" w:rsidRPr="00A54D04">
        <w:t xml:space="preserve"> of distance in the base fee.</w:t>
      </w:r>
      <w:r w:rsidR="0074137A" w:rsidRPr="00A54D04">
        <w:rPr>
          <w:rStyle w:val="FootnoteReference"/>
        </w:rPr>
        <w:footnoteReference w:id="28"/>
      </w:r>
      <w:r w:rsidR="0074137A" w:rsidRPr="00A54D04">
        <w:t xml:space="preserve"> </w:t>
      </w:r>
      <w:r w:rsidR="007C7DD2" w:rsidRPr="00A54D04">
        <w:t>This would also</w:t>
      </w:r>
      <w:r w:rsidR="00F95FFA">
        <w:t xml:space="preserve"> mean </w:t>
      </w:r>
      <w:r w:rsidR="007C7DD2" w:rsidRPr="00A54D04">
        <w:t xml:space="preserve">distance fees </w:t>
      </w:r>
      <w:r w:rsidR="00FC0569" w:rsidRPr="00A54D04">
        <w:t xml:space="preserve">would only apply </w:t>
      </w:r>
      <w:r w:rsidR="007C7DD2" w:rsidRPr="00A54D04">
        <w:t>after 50 kilometres.</w:t>
      </w:r>
    </w:p>
    <w:p w14:paraId="179F8609" w14:textId="5B1DFACE" w:rsidR="00B846E7" w:rsidRPr="00A54D04" w:rsidRDefault="0074137A" w:rsidP="00CA323C">
      <w:r w:rsidRPr="00A54D04">
        <w:lastRenderedPageBreak/>
        <w:t>On a like</w:t>
      </w:r>
      <w:r w:rsidR="00FC0569" w:rsidRPr="00A54D04">
        <w:t>-</w:t>
      </w:r>
      <w:r w:rsidRPr="00A54D04">
        <w:t>for</w:t>
      </w:r>
      <w:r w:rsidR="00FC0569" w:rsidRPr="00A54D04">
        <w:t>-</w:t>
      </w:r>
      <w:r w:rsidRPr="00A54D04">
        <w:t xml:space="preserve">like comparison, </w:t>
      </w:r>
      <w:r w:rsidR="006853A3" w:rsidRPr="00A54D04">
        <w:t>t</w:t>
      </w:r>
      <w:r w:rsidR="002B5C57" w:rsidRPr="00A54D04">
        <w:t xml:space="preserve">he </w:t>
      </w:r>
      <w:r w:rsidR="001D6739" w:rsidRPr="00A54D04">
        <w:t>estimated fees</w:t>
      </w:r>
      <w:r w:rsidR="002B5C57" w:rsidRPr="00A54D04">
        <w:t xml:space="preserve"> </w:t>
      </w:r>
      <w:r w:rsidR="00D27D91" w:rsidRPr="00A54D04">
        <w:t>for a 50</w:t>
      </w:r>
      <w:r w:rsidR="00EE2338" w:rsidRPr="00A54D04">
        <w:t>-</w:t>
      </w:r>
      <w:r w:rsidR="00D27D91" w:rsidRPr="00A54D04">
        <w:t xml:space="preserve">kilometre tow </w:t>
      </w:r>
      <w:r w:rsidR="002B5C57" w:rsidRPr="00A54D04">
        <w:t>would be similar</w:t>
      </w:r>
      <w:r w:rsidR="00BB32A1" w:rsidRPr="00A54D04">
        <w:t xml:space="preserve"> </w:t>
      </w:r>
      <w:r w:rsidR="00D27D91" w:rsidRPr="00A54D04">
        <w:t xml:space="preserve">in </w:t>
      </w:r>
      <w:r w:rsidR="00BB32A1" w:rsidRPr="00A54D04">
        <w:t>both</w:t>
      </w:r>
      <w:r w:rsidR="00B4401A" w:rsidRPr="00A54D04">
        <w:t xml:space="preserve"> jurisdictions</w:t>
      </w:r>
      <w:r w:rsidR="00467874" w:rsidRPr="00A54D04">
        <w:t>,</w:t>
      </w:r>
      <w:r w:rsidR="00FE29E0" w:rsidRPr="00A54D04">
        <w:t xml:space="preserve"> which </w:t>
      </w:r>
      <w:r w:rsidR="00D33AD0" w:rsidRPr="00A54D04">
        <w:t>we calculate</w:t>
      </w:r>
      <w:r w:rsidR="00851872" w:rsidRPr="00A54D04">
        <w:t xml:space="preserve"> to be</w:t>
      </w:r>
      <w:r w:rsidR="00B4401A" w:rsidRPr="00A54D04">
        <w:t xml:space="preserve"> </w:t>
      </w:r>
      <w:r w:rsidR="0053435A" w:rsidRPr="00A54D04">
        <w:t xml:space="preserve">$525 in Melbourne </w:t>
      </w:r>
      <w:r w:rsidR="00E331C2" w:rsidRPr="00A54D04">
        <w:t>and</w:t>
      </w:r>
      <w:r w:rsidR="0053435A" w:rsidRPr="00A54D04">
        <w:t xml:space="preserve"> $559</w:t>
      </w:r>
      <w:r w:rsidR="00482879" w:rsidRPr="00A54D04">
        <w:t xml:space="preserve"> </w:t>
      </w:r>
      <w:r w:rsidR="0053435A" w:rsidRPr="00A54D04">
        <w:t>in Perth.</w:t>
      </w:r>
      <w:r w:rsidR="0053435A" w:rsidRPr="00A54D04">
        <w:rPr>
          <w:rStyle w:val="FootnoteReference"/>
        </w:rPr>
        <w:footnoteReference w:id="29"/>
      </w:r>
      <w:r w:rsidR="002C28DB" w:rsidRPr="00A54D04">
        <w:t xml:space="preserve"> </w:t>
      </w:r>
      <w:r w:rsidR="00F95FFA">
        <w:t>As such,</w:t>
      </w:r>
      <w:r w:rsidR="00F52674" w:rsidRPr="00A54D04">
        <w:t xml:space="preserve"> </w:t>
      </w:r>
      <w:r w:rsidR="001928F5" w:rsidRPr="00A54D04">
        <w:t xml:space="preserve">Melbourne tow truck operators </w:t>
      </w:r>
      <w:r w:rsidR="00F52674" w:rsidRPr="00A54D04">
        <w:t xml:space="preserve">already </w:t>
      </w:r>
      <w:r w:rsidR="00147105" w:rsidRPr="00A54D04">
        <w:t xml:space="preserve">receive </w:t>
      </w:r>
      <w:r w:rsidR="003738E7" w:rsidRPr="00A54D04">
        <w:t xml:space="preserve">similar </w:t>
      </w:r>
      <w:r w:rsidR="0057118F" w:rsidRPr="00A54D04">
        <w:t>revenues</w:t>
      </w:r>
      <w:r w:rsidR="00E80A6F" w:rsidRPr="00A54D04">
        <w:t xml:space="preserve"> for </w:t>
      </w:r>
      <w:r w:rsidR="00104C71" w:rsidRPr="00A54D04">
        <w:t xml:space="preserve">jobs of </w:t>
      </w:r>
      <w:r w:rsidR="00780CB8" w:rsidRPr="00A54D04">
        <w:t>such distances</w:t>
      </w:r>
      <w:r w:rsidR="00F52674" w:rsidRPr="00A54D04">
        <w:t>.</w:t>
      </w:r>
    </w:p>
    <w:p w14:paraId="0C1BB3BE" w14:textId="08B16DC3" w:rsidR="002F1E0E" w:rsidRPr="00A54D04" w:rsidRDefault="002F1E0E" w:rsidP="00CA323C">
      <w:r w:rsidRPr="00A54D04">
        <w:t xml:space="preserve">Further, we note that </w:t>
      </w:r>
      <w:r w:rsidR="007324E3" w:rsidRPr="00A54D04">
        <w:t>under th</w:t>
      </w:r>
      <w:r w:rsidR="00FF767E" w:rsidRPr="00A54D04">
        <w:t xml:space="preserve">e VACC’s </w:t>
      </w:r>
      <w:r w:rsidR="007324E3" w:rsidRPr="00A54D04">
        <w:t>proposal,</w:t>
      </w:r>
      <w:r w:rsidRPr="00A54D04">
        <w:t xml:space="preserve"> consumers </w:t>
      </w:r>
      <w:r w:rsidR="007324E3" w:rsidRPr="00A54D04">
        <w:t>who</w:t>
      </w:r>
      <w:r w:rsidRPr="00A54D04">
        <w:t xml:space="preserve"> </w:t>
      </w:r>
      <w:r w:rsidR="007324E3" w:rsidRPr="00A54D04">
        <w:t xml:space="preserve">had tows of </w:t>
      </w:r>
      <w:r w:rsidRPr="00A54D04">
        <w:t>less than 50 kilometres</w:t>
      </w:r>
      <w:r w:rsidR="007324E3" w:rsidRPr="00A54D04">
        <w:t>,</w:t>
      </w:r>
      <w:r w:rsidRPr="00A54D04">
        <w:t xml:space="preserve"> would pay more than they do under the existing fee structure.</w:t>
      </w:r>
      <w:r w:rsidR="00127A9E" w:rsidRPr="00A54D04">
        <w:rPr>
          <w:rStyle w:val="FootnoteReference"/>
        </w:rPr>
        <w:footnoteReference w:id="30"/>
      </w:r>
      <w:r w:rsidRPr="00A54D04">
        <w:t xml:space="preserve"> We do not consider this to be appropriate.</w:t>
      </w:r>
    </w:p>
    <w:p w14:paraId="2B90A188" w14:textId="1F5D2878" w:rsidR="0053435A" w:rsidRPr="00A54D04" w:rsidDel="00D27D91" w:rsidRDefault="0053435A" w:rsidP="0053435A">
      <w:r w:rsidRPr="00A54D04" w:rsidDel="00D27D91">
        <w:t xml:space="preserve">While we recognise there are differences in </w:t>
      </w:r>
      <w:r w:rsidR="003D1817">
        <w:t xml:space="preserve">accident </w:t>
      </w:r>
      <w:r w:rsidRPr="00A54D04" w:rsidDel="00D27D91">
        <w:t>towing fee</w:t>
      </w:r>
      <w:r w:rsidR="00C82544" w:rsidRPr="00A54D04">
        <w:t xml:space="preserve"> </w:t>
      </w:r>
      <w:r w:rsidR="00FA4863">
        <w:t xml:space="preserve">levels and </w:t>
      </w:r>
      <w:r w:rsidR="0074137A" w:rsidRPr="00A54D04">
        <w:t>structures</w:t>
      </w:r>
      <w:r w:rsidRPr="00A54D04" w:rsidDel="00D27D91">
        <w:t xml:space="preserve"> across jurisdictions, </w:t>
      </w:r>
      <w:r w:rsidR="00952D42">
        <w:t xml:space="preserve">we do not consider </w:t>
      </w:r>
      <w:r w:rsidRPr="00A54D04" w:rsidDel="00D27D91">
        <w:t xml:space="preserve">this </w:t>
      </w:r>
      <w:r w:rsidR="00952D42">
        <w:t>to</w:t>
      </w:r>
      <w:r w:rsidRPr="00A54D04" w:rsidDel="00D27D91">
        <w:t xml:space="preserve"> mean </w:t>
      </w:r>
      <w:r w:rsidR="00F26FCA" w:rsidRPr="00A54D04" w:rsidDel="00D27D91">
        <w:t>those</w:t>
      </w:r>
      <w:r w:rsidRPr="00A54D04" w:rsidDel="00D27D91">
        <w:t xml:space="preserve"> in Melbourne need to be changed to match </w:t>
      </w:r>
      <w:r w:rsidR="009A0ACE" w:rsidRPr="00A54D04" w:rsidDel="00D27D91">
        <w:t xml:space="preserve">those of </w:t>
      </w:r>
      <w:r w:rsidR="0074137A" w:rsidRPr="00A54D04">
        <w:t>elsewhere</w:t>
      </w:r>
      <w:r w:rsidRPr="00A54D04" w:rsidDel="00D27D91">
        <w:t>.</w:t>
      </w:r>
    </w:p>
    <w:p w14:paraId="540C7A2A" w14:textId="601A971E" w:rsidR="00FB2590" w:rsidRPr="00A54D04" w:rsidRDefault="00FB2590" w:rsidP="00FB2590">
      <w:pPr>
        <w:pStyle w:val="Heading3"/>
      </w:pPr>
      <w:bookmarkStart w:id="123" w:name="_Toc195721894"/>
      <w:bookmarkStart w:id="124" w:name="_Toc197345250"/>
      <w:bookmarkStart w:id="125" w:name="_Toc197942420"/>
      <w:bookmarkStart w:id="126" w:name="_Toc197977693"/>
      <w:bookmarkStart w:id="127" w:name="_Toc198048682"/>
      <w:bookmarkStart w:id="128" w:name="_Toc199231555"/>
      <w:r w:rsidRPr="00A54D04">
        <w:t>Regulated towing fees are expectedly higher than unregulated trade towing fees</w:t>
      </w:r>
      <w:bookmarkEnd w:id="123"/>
      <w:bookmarkEnd w:id="124"/>
      <w:bookmarkEnd w:id="125"/>
      <w:bookmarkEnd w:id="126"/>
      <w:bookmarkEnd w:id="127"/>
      <w:bookmarkEnd w:id="128"/>
      <w:r w:rsidRPr="00A54D04">
        <w:t xml:space="preserve"> </w:t>
      </w:r>
    </w:p>
    <w:p w14:paraId="7DB780E9" w14:textId="72A354F3" w:rsidR="00FB2590" w:rsidRPr="00A54D04" w:rsidRDefault="00FB2590" w:rsidP="00FB2590">
      <w:r w:rsidRPr="00A54D04">
        <w:t xml:space="preserve">Regulated accident towing fees for the Melbourne controlled area are higher than unregulated trade towing fees in Melbourne. </w:t>
      </w:r>
      <w:r w:rsidR="002A4FF1">
        <w:t>B</w:t>
      </w:r>
      <w:r w:rsidRPr="00A54D04">
        <w:t>reakdown towing fees are much less than the estimated standard accident towing fee</w:t>
      </w:r>
      <w:r w:rsidR="002A4FF1">
        <w:t xml:space="preserve"> (see Table 4)</w:t>
      </w:r>
      <w:r w:rsidRPr="00A54D04">
        <w:t>. Clearway towing fees and abandoned (or derelict) vehicle towing fees are also lower, though higher than breakdown towing fees.</w:t>
      </w:r>
    </w:p>
    <w:p w14:paraId="03D971D2" w14:textId="77777777" w:rsidR="00FB2590" w:rsidRPr="00A54D04" w:rsidRDefault="00FB2590" w:rsidP="00FB2590">
      <w:pPr>
        <w:pStyle w:val="Figure-Table-BoxHeading"/>
        <w:keepNext/>
        <w:keepLines/>
        <w:numPr>
          <w:ilvl w:val="0"/>
          <w:numId w:val="0"/>
        </w:numPr>
        <w:spacing w:after="0"/>
        <w:ind w:left="851" w:hanging="851"/>
      </w:pPr>
      <w:r w:rsidRPr="00A54D04">
        <w:lastRenderedPageBreak/>
        <w:t>Table 4. Comparison of fees for accident towing and trade towing</w:t>
      </w:r>
    </w:p>
    <w:tbl>
      <w:tblPr>
        <w:tblStyle w:val="TableGrid"/>
        <w:tblW w:w="9780" w:type="dxa"/>
        <w:tblLook w:val="04A0" w:firstRow="1" w:lastRow="0" w:firstColumn="1" w:lastColumn="0" w:noHBand="0" w:noVBand="1"/>
      </w:tblPr>
      <w:tblGrid>
        <w:gridCol w:w="6039"/>
        <w:gridCol w:w="1616"/>
        <w:gridCol w:w="2125"/>
      </w:tblGrid>
      <w:tr w:rsidR="00FB2590" w:rsidRPr="00A54D04" w14:paraId="46E0162D" w14:textId="77777777" w:rsidTr="00B36168">
        <w:trPr>
          <w:cnfStyle w:val="100000000000" w:firstRow="1" w:lastRow="0" w:firstColumn="0" w:lastColumn="0" w:oddVBand="0" w:evenVBand="0" w:oddHBand="0" w:evenHBand="0" w:firstRowFirstColumn="0" w:firstRowLastColumn="0" w:lastRowFirstColumn="0" w:lastRowLastColumn="0"/>
        </w:trPr>
        <w:tc>
          <w:tcPr>
            <w:tcW w:w="6039" w:type="dxa"/>
          </w:tcPr>
          <w:p w14:paraId="47F02C7A" w14:textId="77777777" w:rsidR="00FB2590" w:rsidRPr="00A54D04" w:rsidRDefault="00FB2590">
            <w:pPr>
              <w:pStyle w:val="TableHeading"/>
              <w:keepNext/>
              <w:keepLines/>
            </w:pPr>
            <w:r w:rsidRPr="00A54D04">
              <w:t>Type of towing service</w:t>
            </w:r>
          </w:p>
        </w:tc>
        <w:tc>
          <w:tcPr>
            <w:tcW w:w="1616" w:type="dxa"/>
          </w:tcPr>
          <w:p w14:paraId="63E71E15" w14:textId="77777777" w:rsidR="00FB2590" w:rsidRPr="00A54D04" w:rsidRDefault="00FB2590" w:rsidP="00B36168">
            <w:pPr>
              <w:pStyle w:val="TableHeading"/>
              <w:keepNext/>
              <w:keepLines/>
              <w:jc w:val="right"/>
            </w:pPr>
            <w:r w:rsidRPr="00A54D04">
              <w:t>Average fee</w:t>
            </w:r>
          </w:p>
        </w:tc>
        <w:tc>
          <w:tcPr>
            <w:tcW w:w="2125" w:type="dxa"/>
          </w:tcPr>
          <w:p w14:paraId="3479FCB2" w14:textId="77777777" w:rsidR="00FB2590" w:rsidRPr="00A54D04" w:rsidRDefault="00FB2590" w:rsidP="00B36168">
            <w:pPr>
              <w:pStyle w:val="TableHeading"/>
              <w:keepNext/>
              <w:keepLines/>
              <w:jc w:val="right"/>
            </w:pPr>
            <w:r w:rsidRPr="00A54D04">
              <w:t>Range of fees</w:t>
            </w:r>
          </w:p>
        </w:tc>
      </w:tr>
      <w:tr w:rsidR="00FB2590" w:rsidRPr="00A54D04" w14:paraId="121E8A19" w14:textId="77777777" w:rsidTr="00B36168">
        <w:trPr>
          <w:cnfStyle w:val="000000100000" w:firstRow="0" w:lastRow="0" w:firstColumn="0" w:lastColumn="0" w:oddVBand="0" w:evenVBand="0" w:oddHBand="1" w:evenHBand="0" w:firstRowFirstColumn="0" w:firstRowLastColumn="0" w:lastRowFirstColumn="0" w:lastRowLastColumn="0"/>
        </w:trPr>
        <w:tc>
          <w:tcPr>
            <w:tcW w:w="6039" w:type="dxa"/>
          </w:tcPr>
          <w:p w14:paraId="1DBF8A33" w14:textId="77777777" w:rsidR="00FB2590" w:rsidRPr="00A54D04" w:rsidRDefault="00FB2590">
            <w:pPr>
              <w:pStyle w:val="TableBody"/>
              <w:keepNext/>
              <w:keepLines/>
            </w:pPr>
            <w:r w:rsidRPr="00A54D04">
              <w:t>Accident towing</w:t>
            </w:r>
          </w:p>
        </w:tc>
        <w:tc>
          <w:tcPr>
            <w:tcW w:w="1616" w:type="dxa"/>
          </w:tcPr>
          <w:p w14:paraId="582595CD" w14:textId="77777777" w:rsidR="00FB2590" w:rsidRPr="00A54D04" w:rsidRDefault="00FB2590" w:rsidP="00B36168">
            <w:pPr>
              <w:pStyle w:val="TableBody"/>
              <w:keepNext/>
              <w:keepLines/>
              <w:jc w:val="right"/>
            </w:pPr>
            <w:r w:rsidRPr="00A54D04">
              <w:t>$383</w:t>
            </w:r>
          </w:p>
        </w:tc>
        <w:tc>
          <w:tcPr>
            <w:tcW w:w="2125" w:type="dxa"/>
          </w:tcPr>
          <w:p w14:paraId="34F0BA0E" w14:textId="73968294" w:rsidR="00FB2590" w:rsidRPr="00A54D04" w:rsidRDefault="00EE2338" w:rsidP="00B36168">
            <w:pPr>
              <w:pStyle w:val="TableBody"/>
              <w:keepNext/>
              <w:keepLines/>
              <w:jc w:val="right"/>
            </w:pPr>
            <w:r w:rsidRPr="00A54D04">
              <w:t>Not applicable</w:t>
            </w:r>
          </w:p>
        </w:tc>
      </w:tr>
      <w:tr w:rsidR="00FB2590" w:rsidRPr="00A54D04" w14:paraId="48343BA6" w14:textId="77777777" w:rsidTr="00B36168">
        <w:trPr>
          <w:cnfStyle w:val="000000010000" w:firstRow="0" w:lastRow="0" w:firstColumn="0" w:lastColumn="0" w:oddVBand="0" w:evenVBand="0" w:oddHBand="0" w:evenHBand="1" w:firstRowFirstColumn="0" w:firstRowLastColumn="0" w:lastRowFirstColumn="0" w:lastRowLastColumn="0"/>
        </w:trPr>
        <w:tc>
          <w:tcPr>
            <w:tcW w:w="6039" w:type="dxa"/>
          </w:tcPr>
          <w:p w14:paraId="38A4A0D9" w14:textId="77777777" w:rsidR="00FB2590" w:rsidRPr="00A54D04" w:rsidRDefault="00FB2590">
            <w:pPr>
              <w:pStyle w:val="TableBody"/>
              <w:keepNext/>
              <w:keepLines/>
            </w:pPr>
            <w:r w:rsidRPr="00A54D04">
              <w:t>Breakdown towing</w:t>
            </w:r>
          </w:p>
        </w:tc>
        <w:tc>
          <w:tcPr>
            <w:tcW w:w="1616" w:type="dxa"/>
          </w:tcPr>
          <w:p w14:paraId="1EBB6E6A" w14:textId="77777777" w:rsidR="00FB2590" w:rsidRPr="00A54D04" w:rsidRDefault="00FB2590" w:rsidP="00B36168">
            <w:pPr>
              <w:pStyle w:val="TableBody"/>
              <w:keepNext/>
              <w:keepLines/>
              <w:jc w:val="right"/>
            </w:pPr>
            <w:r w:rsidRPr="00A54D04">
              <w:t>$188</w:t>
            </w:r>
          </w:p>
        </w:tc>
        <w:tc>
          <w:tcPr>
            <w:tcW w:w="2125" w:type="dxa"/>
          </w:tcPr>
          <w:p w14:paraId="17879A39" w14:textId="77777777" w:rsidR="00FB2590" w:rsidRPr="00A54D04" w:rsidRDefault="00FB2590" w:rsidP="00B36168">
            <w:pPr>
              <w:pStyle w:val="TableBody"/>
              <w:keepNext/>
              <w:keepLines/>
              <w:jc w:val="right"/>
            </w:pPr>
            <w:r w:rsidRPr="00A54D04">
              <w:t>$132 – $220</w:t>
            </w:r>
          </w:p>
        </w:tc>
      </w:tr>
      <w:tr w:rsidR="00FB2590" w:rsidRPr="00A54D04" w14:paraId="0DD34587" w14:textId="77777777" w:rsidTr="00B36168">
        <w:trPr>
          <w:cnfStyle w:val="000000100000" w:firstRow="0" w:lastRow="0" w:firstColumn="0" w:lastColumn="0" w:oddVBand="0" w:evenVBand="0" w:oddHBand="1" w:evenHBand="0" w:firstRowFirstColumn="0" w:firstRowLastColumn="0" w:lastRowFirstColumn="0" w:lastRowLastColumn="0"/>
        </w:trPr>
        <w:tc>
          <w:tcPr>
            <w:tcW w:w="6039" w:type="dxa"/>
          </w:tcPr>
          <w:p w14:paraId="16E118F6" w14:textId="77777777" w:rsidR="00FB2590" w:rsidRPr="00A54D04" w:rsidRDefault="00FB2590">
            <w:pPr>
              <w:pStyle w:val="TableBody"/>
              <w:keepNext/>
              <w:keepLines/>
            </w:pPr>
            <w:r w:rsidRPr="00A54D04">
              <w:t>Abandoned (or derelict) vehicle towing</w:t>
            </w:r>
          </w:p>
        </w:tc>
        <w:tc>
          <w:tcPr>
            <w:tcW w:w="1616" w:type="dxa"/>
          </w:tcPr>
          <w:p w14:paraId="54875E0C" w14:textId="77777777" w:rsidR="00FB2590" w:rsidRPr="00A54D04" w:rsidRDefault="00FB2590" w:rsidP="00B36168">
            <w:pPr>
              <w:pStyle w:val="TableBody"/>
              <w:keepNext/>
              <w:keepLines/>
              <w:jc w:val="right"/>
            </w:pPr>
            <w:r w:rsidRPr="00A54D04">
              <w:t>$276</w:t>
            </w:r>
          </w:p>
        </w:tc>
        <w:tc>
          <w:tcPr>
            <w:tcW w:w="2125" w:type="dxa"/>
          </w:tcPr>
          <w:p w14:paraId="682FD38A" w14:textId="77777777" w:rsidR="00FB2590" w:rsidRPr="00A54D04" w:rsidRDefault="00FB2590" w:rsidP="00B36168">
            <w:pPr>
              <w:pStyle w:val="TableBody"/>
              <w:keepNext/>
              <w:keepLines/>
              <w:jc w:val="right"/>
            </w:pPr>
            <w:r w:rsidRPr="00A54D04">
              <w:t>$192 – $358</w:t>
            </w:r>
          </w:p>
        </w:tc>
      </w:tr>
      <w:tr w:rsidR="00FB2590" w:rsidRPr="00A54D04" w14:paraId="6066D0CA" w14:textId="77777777" w:rsidTr="00B36168">
        <w:trPr>
          <w:cnfStyle w:val="000000010000" w:firstRow="0" w:lastRow="0" w:firstColumn="0" w:lastColumn="0" w:oddVBand="0" w:evenVBand="0" w:oddHBand="0" w:evenHBand="1" w:firstRowFirstColumn="0" w:firstRowLastColumn="0" w:lastRowFirstColumn="0" w:lastRowLastColumn="0"/>
        </w:trPr>
        <w:tc>
          <w:tcPr>
            <w:tcW w:w="6039" w:type="dxa"/>
          </w:tcPr>
          <w:p w14:paraId="7D1F1133" w14:textId="77777777" w:rsidR="00FB2590" w:rsidRPr="00A54D04" w:rsidRDefault="00FB2590">
            <w:pPr>
              <w:pStyle w:val="TableBody"/>
              <w:keepNext/>
              <w:keepLines/>
            </w:pPr>
            <w:r w:rsidRPr="00A54D04">
              <w:t>Clearway towing</w:t>
            </w:r>
          </w:p>
        </w:tc>
        <w:tc>
          <w:tcPr>
            <w:tcW w:w="1616" w:type="dxa"/>
          </w:tcPr>
          <w:p w14:paraId="2BE3C478" w14:textId="77777777" w:rsidR="00FB2590" w:rsidRPr="00A54D04" w:rsidRDefault="00FB2590" w:rsidP="00B36168">
            <w:pPr>
              <w:pStyle w:val="TableBody"/>
              <w:keepNext/>
              <w:keepLines/>
              <w:jc w:val="right"/>
            </w:pPr>
          </w:p>
        </w:tc>
        <w:tc>
          <w:tcPr>
            <w:tcW w:w="2125" w:type="dxa"/>
          </w:tcPr>
          <w:p w14:paraId="5BF4FBA5" w14:textId="77777777" w:rsidR="00FB2590" w:rsidRPr="00A54D04" w:rsidRDefault="00FB2590" w:rsidP="00B36168">
            <w:pPr>
              <w:pStyle w:val="TableBody"/>
              <w:keepNext/>
              <w:keepLines/>
              <w:jc w:val="right"/>
            </w:pPr>
          </w:p>
        </w:tc>
      </w:tr>
      <w:tr w:rsidR="00FB2590" w:rsidRPr="00A54D04" w14:paraId="01151DFC" w14:textId="77777777" w:rsidTr="00B36168">
        <w:trPr>
          <w:cnfStyle w:val="000000100000" w:firstRow="0" w:lastRow="0" w:firstColumn="0" w:lastColumn="0" w:oddVBand="0" w:evenVBand="0" w:oddHBand="1" w:evenHBand="0" w:firstRowFirstColumn="0" w:firstRowLastColumn="0" w:lastRowFirstColumn="0" w:lastRowLastColumn="0"/>
        </w:trPr>
        <w:tc>
          <w:tcPr>
            <w:tcW w:w="6039" w:type="dxa"/>
          </w:tcPr>
          <w:p w14:paraId="6364CC24" w14:textId="77777777" w:rsidR="00FB2590" w:rsidRPr="00A54D04" w:rsidRDefault="00FB2590">
            <w:pPr>
              <w:pStyle w:val="TableBody"/>
              <w:keepNext/>
              <w:keepLines/>
              <w:ind w:left="720"/>
            </w:pPr>
            <w:r w:rsidRPr="00A54D04">
              <w:t>Councils adopting Department of Transport and Planning release fee</w:t>
            </w:r>
          </w:p>
        </w:tc>
        <w:tc>
          <w:tcPr>
            <w:tcW w:w="1616" w:type="dxa"/>
          </w:tcPr>
          <w:p w14:paraId="2CF87D76" w14:textId="77777777" w:rsidR="00FB2590" w:rsidRPr="00A54D04" w:rsidRDefault="00FB2590" w:rsidP="00B36168">
            <w:pPr>
              <w:pStyle w:val="TableBody"/>
              <w:keepNext/>
              <w:keepLines/>
              <w:jc w:val="right"/>
            </w:pPr>
            <w:r w:rsidRPr="00A54D04">
              <w:t>$157</w:t>
            </w:r>
          </w:p>
        </w:tc>
        <w:tc>
          <w:tcPr>
            <w:tcW w:w="2125" w:type="dxa"/>
          </w:tcPr>
          <w:p w14:paraId="53F1DF6C" w14:textId="1ED22DE8" w:rsidR="00FB2590" w:rsidRPr="00A54D04" w:rsidRDefault="00EE2338" w:rsidP="00B36168">
            <w:pPr>
              <w:pStyle w:val="TableBody"/>
              <w:keepNext/>
              <w:keepLines/>
              <w:jc w:val="right"/>
            </w:pPr>
            <w:r w:rsidRPr="00A54D04">
              <w:t>Not applicable</w:t>
            </w:r>
          </w:p>
        </w:tc>
      </w:tr>
      <w:tr w:rsidR="00FB2590" w:rsidRPr="00A54D04" w14:paraId="00211C8D" w14:textId="77777777" w:rsidTr="00B36168">
        <w:trPr>
          <w:cnfStyle w:val="000000010000" w:firstRow="0" w:lastRow="0" w:firstColumn="0" w:lastColumn="0" w:oddVBand="0" w:evenVBand="0" w:oddHBand="0" w:evenHBand="1" w:firstRowFirstColumn="0" w:firstRowLastColumn="0" w:lastRowFirstColumn="0" w:lastRowLastColumn="0"/>
        </w:trPr>
        <w:tc>
          <w:tcPr>
            <w:tcW w:w="6039" w:type="dxa"/>
          </w:tcPr>
          <w:p w14:paraId="222C07AB" w14:textId="77777777" w:rsidR="00FB2590" w:rsidRPr="00A54D04" w:rsidRDefault="00FB2590">
            <w:pPr>
              <w:pStyle w:val="TableBody"/>
              <w:keepNext/>
              <w:keepLines/>
              <w:ind w:left="720"/>
            </w:pPr>
            <w:r w:rsidRPr="00A54D04">
              <w:t>Councils adopting different release fee</w:t>
            </w:r>
          </w:p>
        </w:tc>
        <w:tc>
          <w:tcPr>
            <w:tcW w:w="1616" w:type="dxa"/>
          </w:tcPr>
          <w:p w14:paraId="0E2EEAAA" w14:textId="77777777" w:rsidR="00FB2590" w:rsidRPr="00A54D04" w:rsidRDefault="00FB2590" w:rsidP="00B36168">
            <w:pPr>
              <w:pStyle w:val="TableBody"/>
              <w:keepNext/>
              <w:keepLines/>
              <w:jc w:val="right"/>
            </w:pPr>
            <w:r w:rsidRPr="00A54D04">
              <w:t>$211</w:t>
            </w:r>
          </w:p>
        </w:tc>
        <w:tc>
          <w:tcPr>
            <w:tcW w:w="2125" w:type="dxa"/>
          </w:tcPr>
          <w:p w14:paraId="38ED3BEF" w14:textId="77777777" w:rsidR="00FB2590" w:rsidRPr="00A54D04" w:rsidRDefault="00FB2590" w:rsidP="00B36168">
            <w:pPr>
              <w:pStyle w:val="TableBody"/>
              <w:keepNext/>
              <w:keepLines/>
              <w:jc w:val="right"/>
            </w:pPr>
            <w:r w:rsidRPr="00A54D04">
              <w:t>$203 – $221</w:t>
            </w:r>
          </w:p>
        </w:tc>
      </w:tr>
      <w:tr w:rsidR="00FB2590" w:rsidRPr="00A54D04" w14:paraId="469F1363" w14:textId="77777777" w:rsidTr="00B36168">
        <w:trPr>
          <w:cnfStyle w:val="000000100000" w:firstRow="0" w:lastRow="0" w:firstColumn="0" w:lastColumn="0" w:oddVBand="0" w:evenVBand="0" w:oddHBand="1" w:evenHBand="0" w:firstRowFirstColumn="0" w:firstRowLastColumn="0" w:lastRowFirstColumn="0" w:lastRowLastColumn="0"/>
        </w:trPr>
        <w:tc>
          <w:tcPr>
            <w:tcW w:w="6039" w:type="dxa"/>
          </w:tcPr>
          <w:p w14:paraId="11510B6B" w14:textId="77777777" w:rsidR="00FB2590" w:rsidRPr="00A54D04" w:rsidRDefault="00FB2590">
            <w:pPr>
              <w:pStyle w:val="TableBody"/>
              <w:keepNext/>
              <w:keepLines/>
              <w:ind w:left="720"/>
            </w:pPr>
            <w:r w:rsidRPr="00A54D04">
              <w:t>Average (all)</w:t>
            </w:r>
          </w:p>
        </w:tc>
        <w:tc>
          <w:tcPr>
            <w:tcW w:w="1616" w:type="dxa"/>
          </w:tcPr>
          <w:p w14:paraId="6D2FB234" w14:textId="77777777" w:rsidR="00FB2590" w:rsidRPr="00A54D04" w:rsidRDefault="00FB2590" w:rsidP="00B36168">
            <w:pPr>
              <w:pStyle w:val="TableBody"/>
              <w:keepNext/>
              <w:keepLines/>
              <w:jc w:val="right"/>
            </w:pPr>
            <w:r w:rsidRPr="00A54D04">
              <w:t>$200</w:t>
            </w:r>
          </w:p>
        </w:tc>
        <w:tc>
          <w:tcPr>
            <w:tcW w:w="2125" w:type="dxa"/>
          </w:tcPr>
          <w:p w14:paraId="59D47526" w14:textId="77777777" w:rsidR="00FB2590" w:rsidRPr="00A54D04" w:rsidRDefault="00FB2590" w:rsidP="00B36168">
            <w:pPr>
              <w:pStyle w:val="TableBody"/>
              <w:keepNext/>
              <w:keepLines/>
              <w:jc w:val="right"/>
            </w:pPr>
            <w:r w:rsidRPr="00A54D04">
              <w:t>$157 – $221</w:t>
            </w:r>
          </w:p>
        </w:tc>
      </w:tr>
    </w:tbl>
    <w:p w14:paraId="5FB79BF9" w14:textId="77777777" w:rsidR="00FB2590" w:rsidRPr="00A54D04" w:rsidRDefault="00FB2590" w:rsidP="00FB2590">
      <w:pPr>
        <w:pStyle w:val="Source"/>
        <w:keepNext/>
        <w:keepLines/>
        <w:jc w:val="left"/>
      </w:pPr>
      <w:r w:rsidRPr="00A54D04">
        <w:rPr>
          <w:b/>
          <w:bCs/>
        </w:rPr>
        <w:t>Source:</w:t>
      </w:r>
      <w:r w:rsidRPr="00A54D04">
        <w:t xml:space="preserve"> Essential Services Commission analysis.</w:t>
      </w:r>
    </w:p>
    <w:p w14:paraId="21E78596" w14:textId="53E6362B" w:rsidR="00FB2590" w:rsidRPr="00A54D04" w:rsidRDefault="00FB2590" w:rsidP="00FB2590">
      <w:r w:rsidRPr="00A54D04">
        <w:t>In our view, higher accident towing fees are to be expected as operators incur additional costs in undertaking accident towing jobs compared to trade towing jobs. This is</w:t>
      </w:r>
      <w:r w:rsidR="00E24E69" w:rsidRPr="00A54D04">
        <w:t>, in part,</w:t>
      </w:r>
      <w:r w:rsidR="00D12E93" w:rsidRPr="00A54D04">
        <w:t xml:space="preserve"> </w:t>
      </w:r>
      <w:r w:rsidRPr="00A54D04">
        <w:t>due to the extra time it may take to complete these jobs including:</w:t>
      </w:r>
    </w:p>
    <w:p w14:paraId="49FC9512" w14:textId="77777777" w:rsidR="00FB2590" w:rsidRPr="00A54D04" w:rsidRDefault="00FB2590" w:rsidP="00FB2590">
      <w:pPr>
        <w:pStyle w:val="ListBullet"/>
      </w:pPr>
      <w:r w:rsidRPr="00A54D04">
        <w:t>waiting at an accident site (for police to clear the site and declare it safe to move a vehicle)</w:t>
      </w:r>
    </w:p>
    <w:p w14:paraId="79EFBB9C" w14:textId="77777777" w:rsidR="00FB2590" w:rsidRPr="00A54D04" w:rsidRDefault="00FB2590" w:rsidP="00FB2590">
      <w:pPr>
        <w:pStyle w:val="ListBullet"/>
      </w:pPr>
      <w:r w:rsidRPr="00A54D04">
        <w:t>photographing and documenting an accident (if necessary)</w:t>
      </w:r>
    </w:p>
    <w:p w14:paraId="7CFD5B56" w14:textId="77777777" w:rsidR="00FB2590" w:rsidRPr="00A54D04" w:rsidRDefault="00FB2590" w:rsidP="00FB2590">
      <w:pPr>
        <w:pStyle w:val="ListBullet"/>
      </w:pPr>
      <w:r w:rsidRPr="00A54D04">
        <w:t>working at the site (accident towing operators are responsible for clearing the site of debris).</w:t>
      </w:r>
    </w:p>
    <w:p w14:paraId="1EA5E243" w14:textId="77777777" w:rsidR="00FB2590" w:rsidRPr="00A54D04" w:rsidRDefault="00FB2590" w:rsidP="00FB2590">
      <w:r w:rsidRPr="00A54D04">
        <w:t>Accident towing operators are also required to take reasonable steps to attend an accident site within 30 minutes of receiving an allocation.</w:t>
      </w:r>
      <w:r w:rsidRPr="00A54D04">
        <w:rPr>
          <w:rStyle w:val="FootnoteReference"/>
        </w:rPr>
        <w:footnoteReference w:id="31"/>
      </w:r>
      <w:r w:rsidRPr="00A54D04">
        <w:t xml:space="preserve"> This means they need to have tow trucks on standby to meet this requirement, which in turn impacts their tow truck utilisation rates.</w:t>
      </w:r>
    </w:p>
    <w:p w14:paraId="0350F67B" w14:textId="0B2569F8" w:rsidR="00FB2590" w:rsidRPr="00A54D04" w:rsidRDefault="00AA1CBC" w:rsidP="00140E92">
      <w:pPr>
        <w:rPr>
          <w:rStyle w:val="Heading4Char"/>
        </w:rPr>
      </w:pPr>
      <w:r>
        <w:rPr>
          <w:rStyle w:val="Heading4Char"/>
        </w:rPr>
        <w:t>In Sydney, a</w:t>
      </w:r>
      <w:r w:rsidR="002B517F" w:rsidRPr="00A54D04">
        <w:rPr>
          <w:rStyle w:val="Heading4Char"/>
        </w:rPr>
        <w:t xml:space="preserve">ccident </w:t>
      </w:r>
      <w:r w:rsidR="0039611D" w:rsidRPr="00A54D04">
        <w:rPr>
          <w:rStyle w:val="Heading4Char"/>
        </w:rPr>
        <w:t xml:space="preserve">towing fees </w:t>
      </w:r>
      <w:r>
        <w:rPr>
          <w:rStyle w:val="Heading4Char"/>
        </w:rPr>
        <w:t xml:space="preserve">are </w:t>
      </w:r>
      <w:r w:rsidR="0039611D" w:rsidRPr="00A54D04">
        <w:rPr>
          <w:rStyle w:val="Heading4Char"/>
        </w:rPr>
        <w:t>higher than</w:t>
      </w:r>
      <w:r w:rsidR="001D6739" w:rsidRPr="00A54D04">
        <w:rPr>
          <w:rStyle w:val="Heading4Char"/>
        </w:rPr>
        <w:t xml:space="preserve"> trade towing fees</w:t>
      </w:r>
    </w:p>
    <w:p w14:paraId="7B768DB9" w14:textId="355F05CB" w:rsidR="000F4C69" w:rsidRPr="00A54D04" w:rsidRDefault="000F4C69" w:rsidP="00140E92">
      <w:r w:rsidRPr="00A54D04">
        <w:t xml:space="preserve">We </w:t>
      </w:r>
      <w:r w:rsidR="00D80512">
        <w:t xml:space="preserve">used regulated fees in Sydney to </w:t>
      </w:r>
      <w:r w:rsidRPr="00A54D04">
        <w:t>estimate a benchmark proxy for the additional cost to perform accident towing jobs</w:t>
      </w:r>
      <w:r w:rsidR="000E2B5A" w:rsidRPr="00A54D04">
        <w:t xml:space="preserve"> compared to trade towing jobs</w:t>
      </w:r>
      <w:r w:rsidR="008E389C" w:rsidRPr="00A54D04">
        <w:t xml:space="preserve">. </w:t>
      </w:r>
      <w:r w:rsidR="00050134" w:rsidRPr="00A54D04">
        <w:t>To do this, w</w:t>
      </w:r>
      <w:r w:rsidR="008E389C" w:rsidRPr="00A54D04">
        <w:t>e</w:t>
      </w:r>
      <w:r w:rsidRPr="00A54D04">
        <w:t xml:space="preserve"> calculat</w:t>
      </w:r>
      <w:r w:rsidR="008E389C" w:rsidRPr="00A54D04">
        <w:t>ed</w:t>
      </w:r>
      <w:r w:rsidRPr="00A54D04">
        <w:t xml:space="preserve"> the difference between</w:t>
      </w:r>
      <w:r w:rsidR="000E5476" w:rsidRPr="00A54D04">
        <w:t xml:space="preserve"> regulated</w:t>
      </w:r>
      <w:r w:rsidRPr="00A54D04">
        <w:t xml:space="preserve"> accident towing fees and regulated towing fees for recovered stolen vehicles in Sydney. </w:t>
      </w:r>
      <w:r w:rsidR="005A0C47" w:rsidRPr="00A54D04">
        <w:t xml:space="preserve">We estimated this </w:t>
      </w:r>
      <w:r w:rsidR="002A6C7D" w:rsidRPr="00A54D04">
        <w:t xml:space="preserve">additional cost </w:t>
      </w:r>
      <w:r w:rsidR="005A0C47" w:rsidRPr="00A54D04">
        <w:t>to be 37 per</w:t>
      </w:r>
      <w:r w:rsidR="00FA5CA7" w:rsidRPr="00A54D04">
        <w:t> </w:t>
      </w:r>
      <w:r w:rsidR="005A0C47" w:rsidRPr="00A54D04">
        <w:t>cent.</w:t>
      </w:r>
    </w:p>
    <w:p w14:paraId="2EFC861D" w14:textId="4F08A0B5" w:rsidR="002F1523" w:rsidRPr="00A54D04" w:rsidRDefault="00425EF9" w:rsidP="002F1523">
      <w:r>
        <w:t>In comparison, our</w:t>
      </w:r>
      <w:r w:rsidR="002F1523" w:rsidRPr="00A54D04">
        <w:t xml:space="preserve"> estimated additional cost for accident towing </w:t>
      </w:r>
      <w:r w:rsidR="000E2B5A" w:rsidRPr="00A54D04">
        <w:t xml:space="preserve">jobs </w:t>
      </w:r>
      <w:r w:rsidR="002F1523" w:rsidRPr="00A54D04">
        <w:t>compared to abandoned (or derelict) vehicle towing and clearway towing</w:t>
      </w:r>
      <w:r w:rsidR="000E2B5A" w:rsidRPr="00A54D04">
        <w:t xml:space="preserve"> jobs</w:t>
      </w:r>
      <w:r w:rsidR="002F1523" w:rsidRPr="00A54D04">
        <w:t xml:space="preserve"> in Melbourne is 28 per cent and</w:t>
      </w:r>
      <w:r w:rsidR="00FA5CA7" w:rsidRPr="00A54D04">
        <w:t> </w:t>
      </w:r>
      <w:r w:rsidR="002F1523" w:rsidRPr="00A54D04">
        <w:t xml:space="preserve">48 per cent, </w:t>
      </w:r>
      <w:r w:rsidR="002F1523" w:rsidRPr="00A54D04">
        <w:lastRenderedPageBreak/>
        <w:t>respectively</w:t>
      </w:r>
      <w:r w:rsidR="00F63EB3">
        <w:t xml:space="preserve"> (see Table 5)</w:t>
      </w:r>
      <w:r w:rsidR="002F1523" w:rsidRPr="00A54D04">
        <w:t xml:space="preserve">. </w:t>
      </w:r>
      <w:r w:rsidR="00B05C94">
        <w:t xml:space="preserve">The average of </w:t>
      </w:r>
      <w:r>
        <w:t xml:space="preserve">both </w:t>
      </w:r>
      <w:r w:rsidR="00B05C94">
        <w:t xml:space="preserve">is 38 per cent, </w:t>
      </w:r>
      <w:r>
        <w:t xml:space="preserve">which is </w:t>
      </w:r>
      <w:r w:rsidR="00FA79EF">
        <w:t>almost identical to Sydney</w:t>
      </w:r>
      <w:r w:rsidR="00B05C94">
        <w:t>.</w:t>
      </w:r>
      <w:r w:rsidR="00F740CA" w:rsidRPr="00A54D04">
        <w:t xml:space="preserve"> </w:t>
      </w:r>
      <w:r w:rsidR="00B05C94">
        <w:t xml:space="preserve">This </w:t>
      </w:r>
      <w:r w:rsidR="00F740CA" w:rsidRPr="00A54D04">
        <w:t xml:space="preserve">suggests the </w:t>
      </w:r>
      <w:r>
        <w:t>additional cost</w:t>
      </w:r>
      <w:r w:rsidRPr="00A54D04">
        <w:t xml:space="preserve"> </w:t>
      </w:r>
      <w:r w:rsidR="00F740CA" w:rsidRPr="00A54D04">
        <w:t>we observe in Melbourne is appropriate.</w:t>
      </w:r>
    </w:p>
    <w:p w14:paraId="28B1E2B3" w14:textId="77777777" w:rsidR="002F1523" w:rsidRPr="00A54D04" w:rsidRDefault="002F1523" w:rsidP="002F1523">
      <w:pPr>
        <w:pStyle w:val="Figure-Table-BoxHeading"/>
        <w:numPr>
          <w:ilvl w:val="0"/>
          <w:numId w:val="0"/>
        </w:numPr>
        <w:spacing w:after="0"/>
        <w:ind w:left="851" w:hanging="851"/>
      </w:pPr>
      <w:r w:rsidRPr="00A54D04">
        <w:rPr>
          <w:lang w:val="en-AU"/>
        </w:rPr>
        <w:t>Table 5. Additional cost to perform accident towing jobs</w:t>
      </w:r>
    </w:p>
    <w:tbl>
      <w:tblPr>
        <w:tblStyle w:val="TableGrid"/>
        <w:tblW w:w="0" w:type="auto"/>
        <w:tblLook w:val="04A0" w:firstRow="1" w:lastRow="0" w:firstColumn="1" w:lastColumn="0" w:noHBand="0" w:noVBand="1"/>
      </w:tblPr>
      <w:tblGrid>
        <w:gridCol w:w="6501"/>
        <w:gridCol w:w="3137"/>
      </w:tblGrid>
      <w:tr w:rsidR="002F1523" w:rsidRPr="00A54D04" w14:paraId="6E4F53C2" w14:textId="77777777">
        <w:trPr>
          <w:cnfStyle w:val="100000000000" w:firstRow="1" w:lastRow="0" w:firstColumn="0" w:lastColumn="0" w:oddVBand="0" w:evenVBand="0" w:oddHBand="0" w:evenHBand="0" w:firstRowFirstColumn="0" w:firstRowLastColumn="0" w:lastRowFirstColumn="0" w:lastRowLastColumn="0"/>
        </w:trPr>
        <w:tc>
          <w:tcPr>
            <w:tcW w:w="6501" w:type="dxa"/>
          </w:tcPr>
          <w:p w14:paraId="4B52B08A" w14:textId="77777777" w:rsidR="002F1523" w:rsidRPr="00A54D04" w:rsidRDefault="002F1523">
            <w:pPr>
              <w:pStyle w:val="TableHeading"/>
            </w:pPr>
            <w:r w:rsidRPr="00A54D04">
              <w:t>Benchmark comparison</w:t>
            </w:r>
          </w:p>
        </w:tc>
        <w:tc>
          <w:tcPr>
            <w:tcW w:w="3137" w:type="dxa"/>
          </w:tcPr>
          <w:p w14:paraId="3E4B6ADC" w14:textId="77777777" w:rsidR="002F1523" w:rsidRPr="00A54D04" w:rsidRDefault="002F1523">
            <w:pPr>
              <w:pStyle w:val="TableHeading"/>
              <w:jc w:val="right"/>
            </w:pPr>
            <w:r w:rsidRPr="00A54D04">
              <w:rPr>
                <w:lang w:val="en-AU"/>
              </w:rPr>
              <w:t>Additional cost as percentage of accident towing fees</w:t>
            </w:r>
          </w:p>
        </w:tc>
      </w:tr>
      <w:tr w:rsidR="002F1523" w:rsidRPr="00A54D04" w14:paraId="24E8F63A" w14:textId="77777777">
        <w:trPr>
          <w:cnfStyle w:val="000000100000" w:firstRow="0" w:lastRow="0" w:firstColumn="0" w:lastColumn="0" w:oddVBand="0" w:evenVBand="0" w:oddHBand="1" w:evenHBand="0" w:firstRowFirstColumn="0" w:firstRowLastColumn="0" w:lastRowFirstColumn="0" w:lastRowLastColumn="0"/>
        </w:trPr>
        <w:tc>
          <w:tcPr>
            <w:tcW w:w="6501" w:type="dxa"/>
          </w:tcPr>
          <w:p w14:paraId="744D3182" w14:textId="77777777" w:rsidR="002F1523" w:rsidRPr="00A54D04" w:rsidRDefault="002F1523">
            <w:pPr>
              <w:pStyle w:val="TableBody"/>
            </w:pPr>
            <w:r w:rsidRPr="00A54D04">
              <w:t>Sydney accident towing fees compared to Sydney towing fees for recovered stolen vehicles</w:t>
            </w:r>
          </w:p>
        </w:tc>
        <w:tc>
          <w:tcPr>
            <w:tcW w:w="3137" w:type="dxa"/>
          </w:tcPr>
          <w:p w14:paraId="50714821" w14:textId="77777777" w:rsidR="002F1523" w:rsidRPr="00A54D04" w:rsidRDefault="002F1523">
            <w:pPr>
              <w:pStyle w:val="TableBody"/>
              <w:jc w:val="right"/>
            </w:pPr>
            <w:r w:rsidRPr="00A54D04">
              <w:t>37%</w:t>
            </w:r>
          </w:p>
        </w:tc>
      </w:tr>
      <w:tr w:rsidR="002F1523" w:rsidRPr="00A54D04" w14:paraId="5E7DA53A" w14:textId="77777777">
        <w:trPr>
          <w:cnfStyle w:val="000000010000" w:firstRow="0" w:lastRow="0" w:firstColumn="0" w:lastColumn="0" w:oddVBand="0" w:evenVBand="0" w:oddHBand="0" w:evenHBand="1" w:firstRowFirstColumn="0" w:firstRowLastColumn="0" w:lastRowFirstColumn="0" w:lastRowLastColumn="0"/>
        </w:trPr>
        <w:tc>
          <w:tcPr>
            <w:tcW w:w="6501" w:type="dxa"/>
          </w:tcPr>
          <w:p w14:paraId="183AD98D" w14:textId="77777777" w:rsidR="002F1523" w:rsidRPr="00A54D04" w:rsidRDefault="002F1523">
            <w:pPr>
              <w:pStyle w:val="TableBody"/>
            </w:pPr>
            <w:r w:rsidRPr="00A54D04">
              <w:t>Melbourne accident towing fees compared to Melbourne average benchmark for abandoned (or derelict) vehicle towing fees</w:t>
            </w:r>
          </w:p>
        </w:tc>
        <w:tc>
          <w:tcPr>
            <w:tcW w:w="3137" w:type="dxa"/>
          </w:tcPr>
          <w:p w14:paraId="24B8BED5" w14:textId="77777777" w:rsidR="002F1523" w:rsidRPr="00A54D04" w:rsidRDefault="002F1523">
            <w:pPr>
              <w:pStyle w:val="TableBody"/>
              <w:jc w:val="right"/>
            </w:pPr>
            <w:r w:rsidRPr="00A54D04">
              <w:t>28%</w:t>
            </w:r>
          </w:p>
        </w:tc>
      </w:tr>
      <w:tr w:rsidR="002F1523" w:rsidRPr="00A54D04" w14:paraId="0C6B1CE5" w14:textId="77777777">
        <w:trPr>
          <w:cnfStyle w:val="000000100000" w:firstRow="0" w:lastRow="0" w:firstColumn="0" w:lastColumn="0" w:oddVBand="0" w:evenVBand="0" w:oddHBand="1" w:evenHBand="0" w:firstRowFirstColumn="0" w:firstRowLastColumn="0" w:lastRowFirstColumn="0" w:lastRowLastColumn="0"/>
        </w:trPr>
        <w:tc>
          <w:tcPr>
            <w:tcW w:w="6501" w:type="dxa"/>
          </w:tcPr>
          <w:p w14:paraId="15389696" w14:textId="77777777" w:rsidR="002F1523" w:rsidRPr="00A54D04" w:rsidRDefault="002F1523">
            <w:pPr>
              <w:pStyle w:val="TableBody"/>
            </w:pPr>
            <w:r w:rsidRPr="00A54D04">
              <w:t>Melbourne accident towing fees compared to Melbourne average benchmark for clearway towing fees</w:t>
            </w:r>
          </w:p>
        </w:tc>
        <w:tc>
          <w:tcPr>
            <w:tcW w:w="3137" w:type="dxa"/>
          </w:tcPr>
          <w:p w14:paraId="36F5BD47" w14:textId="77777777" w:rsidR="002F1523" w:rsidRPr="00A54D04" w:rsidRDefault="002F1523">
            <w:pPr>
              <w:pStyle w:val="TableBody"/>
              <w:jc w:val="right"/>
            </w:pPr>
            <w:r w:rsidRPr="00A54D04">
              <w:t>48%</w:t>
            </w:r>
          </w:p>
        </w:tc>
      </w:tr>
    </w:tbl>
    <w:p w14:paraId="7FC74831" w14:textId="04D063D4" w:rsidR="006E133E" w:rsidRDefault="002F1523" w:rsidP="00740516">
      <w:pPr>
        <w:pStyle w:val="Source"/>
        <w:jc w:val="left"/>
      </w:pPr>
      <w:r w:rsidRPr="00A54D04">
        <w:rPr>
          <w:b/>
          <w:bCs/>
        </w:rPr>
        <w:t xml:space="preserve">Source: </w:t>
      </w:r>
      <w:r w:rsidRPr="00A54D04">
        <w:t xml:space="preserve">Essential Services Commission analysis; </w:t>
      </w:r>
      <w:hyperlink r:id="rId42" w:history="1">
        <w:r w:rsidR="00456CAC" w:rsidRPr="002928D2">
          <w:rPr>
            <w:rStyle w:val="Hyperlink"/>
          </w:rPr>
          <w:t>https://www.fairtrading.nsw.gov.au/buying-products-and-services/buying-services/motor-repairs/tow-truck-fees-for-light-vehicles</w:t>
        </w:r>
      </w:hyperlink>
      <w:r w:rsidRPr="00A54D04">
        <w:t>.</w:t>
      </w:r>
    </w:p>
    <w:p w14:paraId="09C66552" w14:textId="7A197FAC" w:rsidR="00456CAC" w:rsidRDefault="00456CAC" w:rsidP="00456CAC">
      <w:pPr>
        <w:pStyle w:val="Heading4"/>
      </w:pPr>
      <w:r>
        <w:t xml:space="preserve">Unregulated trade towing fees increased at similar rate to accident towing fees </w:t>
      </w:r>
    </w:p>
    <w:p w14:paraId="24F48C63" w14:textId="77777777" w:rsidR="00F375F3" w:rsidRDefault="00456CAC">
      <w:r>
        <w:t>We compared changes in unregulated trade towing fees with changes in regulated accident towing fees in Melbourne.</w:t>
      </w:r>
    </w:p>
    <w:p w14:paraId="3C8E3A99" w14:textId="4E393AAB" w:rsidR="00456CAC" w:rsidRPr="00456CAC" w:rsidRDefault="00456CAC" w:rsidP="00CD3717">
      <w:r>
        <w:t xml:space="preserve">We estimated </w:t>
      </w:r>
      <w:r w:rsidR="0048426F">
        <w:t xml:space="preserve">breakdown towing </w:t>
      </w:r>
      <w:r>
        <w:t>fees increased by 22 per cent and abandoned (or derelict) vehicle towing</w:t>
      </w:r>
      <w:r w:rsidR="0048426F">
        <w:t xml:space="preserve"> fees</w:t>
      </w:r>
      <w:r>
        <w:t xml:space="preserve"> increased by 21 per cent from 2021–22 to 2024–25.</w:t>
      </w:r>
      <w:r>
        <w:rPr>
          <w:rStyle w:val="FootnoteReference"/>
        </w:rPr>
        <w:footnoteReference w:id="32"/>
      </w:r>
      <w:r>
        <w:t xml:space="preserve"> This is </w:t>
      </w:r>
      <w:proofErr w:type="gramStart"/>
      <w:r>
        <w:t>similar to</w:t>
      </w:r>
      <w:proofErr w:type="gramEnd"/>
      <w:r>
        <w:t xml:space="preserve"> the rate of increase for accident towing fees over the same period (20 per cent). If the underlying costs of providing towing services had increased significantly, we </w:t>
      </w:r>
      <w:r w:rsidR="00D107ED">
        <w:t>would expect to see unregulated trade towing fees rising faster than regulated accident towing fees. This is because tow truck operators can freely pass on</w:t>
      </w:r>
      <w:r w:rsidR="00714A2E">
        <w:t xml:space="preserve"> </w:t>
      </w:r>
      <w:r w:rsidR="00D107ED">
        <w:t>increased costs to trade towing customers.</w:t>
      </w:r>
    </w:p>
    <w:p w14:paraId="7C3DE3AB" w14:textId="048C8512" w:rsidR="00C31ECB" w:rsidRPr="00A54D04" w:rsidRDefault="003F204F" w:rsidP="007305C7">
      <w:pPr>
        <w:pStyle w:val="Heading2"/>
      </w:pPr>
      <w:bookmarkStart w:id="129" w:name="_Toc199231556"/>
      <w:r w:rsidRPr="00A54D04">
        <w:lastRenderedPageBreak/>
        <w:t>We recommend</w:t>
      </w:r>
      <w:r w:rsidR="00C31ECB" w:rsidRPr="00A54D04">
        <w:t xml:space="preserve"> no change to</w:t>
      </w:r>
      <w:r w:rsidR="00BD3F45" w:rsidRPr="00A54D04">
        <w:t xml:space="preserve"> </w:t>
      </w:r>
      <w:r w:rsidR="003D1817">
        <w:t xml:space="preserve">accident </w:t>
      </w:r>
      <w:r w:rsidR="00BD3F45" w:rsidRPr="00A54D04">
        <w:t xml:space="preserve">towing fees </w:t>
      </w:r>
      <w:r w:rsidR="00A21904">
        <w:t>beyond</w:t>
      </w:r>
      <w:r w:rsidR="00BD3F45" w:rsidRPr="00A54D04">
        <w:t xml:space="preserve"> indexation</w:t>
      </w:r>
      <w:bookmarkEnd w:id="129"/>
      <w:r w:rsidR="00BD3F45" w:rsidRPr="00A54D04">
        <w:t xml:space="preserve"> </w:t>
      </w:r>
    </w:p>
    <w:p w14:paraId="2125BEAD" w14:textId="2856A111" w:rsidR="00B06B5F" w:rsidRPr="00A54D04" w:rsidRDefault="00B06B5F" w:rsidP="00B06B5F">
      <w:r w:rsidRPr="00A54D04">
        <w:t>Based on our benchmarking</w:t>
      </w:r>
      <w:r w:rsidR="00F1573B" w:rsidRPr="00A54D04">
        <w:t xml:space="preserve"> analysis</w:t>
      </w:r>
      <w:r w:rsidRPr="00A54D04">
        <w:t xml:space="preserve"> and consideration of stakeholders’ views, we conclude that current</w:t>
      </w:r>
      <w:r w:rsidR="002A6C7D" w:rsidRPr="00A54D04">
        <w:t xml:space="preserve"> regulated</w:t>
      </w:r>
      <w:r w:rsidRPr="00A54D04">
        <w:t xml:space="preserve"> </w:t>
      </w:r>
      <w:r w:rsidR="001E17A6">
        <w:t xml:space="preserve">accident </w:t>
      </w:r>
      <w:r w:rsidRPr="00A54D04">
        <w:t xml:space="preserve">towing fees are appropriate. </w:t>
      </w:r>
      <w:r w:rsidR="0024745B" w:rsidRPr="00A54D04">
        <w:t>We therefore reco</w:t>
      </w:r>
      <w:r w:rsidR="00636C30" w:rsidRPr="00A54D04">
        <w:t>mmend</w:t>
      </w:r>
      <w:r w:rsidR="002A6C7D" w:rsidRPr="00A54D04">
        <w:t xml:space="preserve"> </w:t>
      </w:r>
      <w:r w:rsidR="00636C30" w:rsidRPr="00A54D04">
        <w:t>accident</w:t>
      </w:r>
      <w:r w:rsidR="002A6C7D" w:rsidRPr="00A54D04">
        <w:t xml:space="preserve"> </w:t>
      </w:r>
      <w:r w:rsidRPr="00A54D04">
        <w:t xml:space="preserve">towing fees for the Melbourne controlled area </w:t>
      </w:r>
      <w:r w:rsidR="00A545AE" w:rsidRPr="00A54D04">
        <w:t>are not</w:t>
      </w:r>
      <w:r w:rsidRPr="00A54D04">
        <w:t xml:space="preserve"> changed beyond </w:t>
      </w:r>
      <w:r w:rsidR="00B71C30" w:rsidRPr="00A54D04">
        <w:t>the annual adjustment mechanism.</w:t>
      </w:r>
    </w:p>
    <w:p w14:paraId="1913A175" w14:textId="77777777" w:rsidR="00B06B5F" w:rsidRPr="00A54D04" w:rsidRDefault="00B06B5F" w:rsidP="00B06B5F"/>
    <w:p w14:paraId="6B8A89BE" w14:textId="77777777" w:rsidR="00187CF6" w:rsidRPr="00A54D04" w:rsidRDefault="00187CF6" w:rsidP="00187CF6"/>
    <w:p w14:paraId="275C45F7" w14:textId="34E986F7" w:rsidR="00187CF6" w:rsidRPr="00A54D04" w:rsidRDefault="00187CF6" w:rsidP="00187CF6">
      <w:pPr>
        <w:sectPr w:rsidR="00187CF6" w:rsidRPr="00A54D04" w:rsidSect="00262DD6">
          <w:headerReference w:type="even" r:id="rId43"/>
          <w:headerReference w:type="default" r:id="rId44"/>
          <w:footerReference w:type="default" r:id="rId45"/>
          <w:headerReference w:type="first" r:id="rId46"/>
          <w:type w:val="continuous"/>
          <w:pgSz w:w="11906" w:h="16838" w:code="9"/>
          <w:pgMar w:top="1134" w:right="1134" w:bottom="1134" w:left="1134" w:header="709" w:footer="692" w:gutter="0"/>
          <w:cols w:space="708"/>
          <w:docGrid w:linePitch="360"/>
        </w:sectPr>
      </w:pPr>
    </w:p>
    <w:p w14:paraId="048FEE4C" w14:textId="54E1534A" w:rsidR="00D37E1E" w:rsidRPr="00A54D04" w:rsidRDefault="00D37E1E">
      <w:pPr>
        <w:pStyle w:val="Heading1numbered"/>
      </w:pPr>
      <w:bookmarkStart w:id="130" w:name="_Toc199231557"/>
      <w:r w:rsidRPr="00A54D04">
        <w:lastRenderedPageBreak/>
        <w:t>Regulated storage fees</w:t>
      </w:r>
      <w:bookmarkEnd w:id="130"/>
    </w:p>
    <w:p w14:paraId="38E3C2EC" w14:textId="5435F96F" w:rsidR="00005467" w:rsidRPr="00A54D04" w:rsidRDefault="00C963B1" w:rsidP="00532D88">
      <w:pPr>
        <w:pStyle w:val="Pull-out"/>
      </w:pPr>
      <w:r w:rsidRPr="00A54D04">
        <w:rPr>
          <w:b/>
          <w:bCs/>
        </w:rPr>
        <w:t>Recommendation 2:</w:t>
      </w:r>
      <w:r w:rsidRPr="00A54D04">
        <w:t xml:space="preserve"> </w:t>
      </w:r>
      <w:r w:rsidRPr="00A54D04">
        <w:rPr>
          <w:b/>
        </w:rPr>
        <w:t xml:space="preserve">The current regulated storage fees for the Melbourne controlled area </w:t>
      </w:r>
      <w:r w:rsidR="00B646E6">
        <w:rPr>
          <w:b/>
        </w:rPr>
        <w:t xml:space="preserve">are appropriate and </w:t>
      </w:r>
      <w:r w:rsidRPr="00A54D04">
        <w:rPr>
          <w:b/>
        </w:rPr>
        <w:t>should not be changed beyond the annual adjustment mechanism</w:t>
      </w:r>
      <w:r w:rsidR="00B57D24">
        <w:rPr>
          <w:b/>
        </w:rPr>
        <w:t>.</w:t>
      </w:r>
    </w:p>
    <w:p w14:paraId="61752742" w14:textId="7FB0221D" w:rsidR="007030AD" w:rsidRPr="00A54D04" w:rsidRDefault="008B34B5" w:rsidP="007F3591">
      <w:pPr>
        <w:pStyle w:val="Pull-out"/>
      </w:pPr>
      <w:r w:rsidRPr="00A54D04">
        <w:t>Regulated storage fees for the Melbourne controlled area are in line with regulated fees in Sydney, Adelaide, Queensland and Perth.</w:t>
      </w:r>
    </w:p>
    <w:p w14:paraId="5923EF86" w14:textId="08EEFB1C" w:rsidR="007030AD" w:rsidRDefault="008B34B5" w:rsidP="007030AD">
      <w:pPr>
        <w:pStyle w:val="Pull-out"/>
      </w:pPr>
      <w:r w:rsidRPr="00A54D04">
        <w:t xml:space="preserve">Regulated storage fees are </w:t>
      </w:r>
      <w:r w:rsidR="00191DDF" w:rsidRPr="00A54D04">
        <w:t>within range of</w:t>
      </w:r>
      <w:r w:rsidR="008C2ED7" w:rsidRPr="00A54D04">
        <w:t xml:space="preserve"> </w:t>
      </w:r>
      <w:r w:rsidR="00BC48A5">
        <w:t xml:space="preserve">unregulated </w:t>
      </w:r>
      <w:r w:rsidR="008C2ED7" w:rsidRPr="00A54D04">
        <w:t xml:space="preserve">storage fees </w:t>
      </w:r>
      <w:r w:rsidR="00162B0B" w:rsidRPr="00A54D04">
        <w:t xml:space="preserve">for </w:t>
      </w:r>
      <w:r w:rsidR="00BC48A5">
        <w:t>trade towing in Melbourne.</w:t>
      </w:r>
    </w:p>
    <w:p w14:paraId="1A92795B" w14:textId="2337FB4D" w:rsidR="0031284C" w:rsidRPr="00A54D04" w:rsidRDefault="0031284C" w:rsidP="0031284C">
      <w:pPr>
        <w:pStyle w:val="Pull-out"/>
      </w:pPr>
      <w:r w:rsidRPr="00A54D04">
        <w:t xml:space="preserve">Our benchmarking </w:t>
      </w:r>
      <w:r w:rsidR="00FE7478">
        <w:t>indicates</w:t>
      </w:r>
      <w:r w:rsidRPr="00A54D04">
        <w:t xml:space="preserve"> the current regulated storage fees for the Melbourne controlled area are appropriate.</w:t>
      </w:r>
    </w:p>
    <w:p w14:paraId="61D90E98" w14:textId="57457367" w:rsidR="00AA4614" w:rsidRPr="00A54D04" w:rsidRDefault="00AA4614" w:rsidP="00AA4614">
      <w:r w:rsidRPr="00A54D04">
        <w:t>We are required under section 212A(1)(a) of the Accident Towing Services Act to recommend to the Minister for Roads and Road Safety whether any amount the minister has previously determined for storage fees is appropriate.</w:t>
      </w:r>
      <w:r w:rsidR="00B120A7" w:rsidRPr="00ED0CE0">
        <w:rPr>
          <w:rStyle w:val="FootnoteReference"/>
          <w:bCs/>
        </w:rPr>
        <w:footnoteReference w:id="33"/>
      </w:r>
    </w:p>
    <w:p w14:paraId="3BC584A7" w14:textId="77777777" w:rsidR="00AA4614" w:rsidRPr="00A54D04" w:rsidRDefault="00AA4614" w:rsidP="00AA4614">
      <w:r w:rsidRPr="00A54D04">
        <w:t xml:space="preserve">This chapter outlines our assessment of the regulated storage fees for the Melbourne controlled area. </w:t>
      </w:r>
    </w:p>
    <w:p w14:paraId="67796E47" w14:textId="40040D8E" w:rsidR="001633E9" w:rsidRPr="00A54D04" w:rsidRDefault="001633E9" w:rsidP="007305C7">
      <w:pPr>
        <w:pStyle w:val="Heading2"/>
      </w:pPr>
      <w:bookmarkStart w:id="131" w:name="_Toc199231558"/>
      <w:r w:rsidRPr="00A54D04">
        <w:t>Stakeholders</w:t>
      </w:r>
      <w:r w:rsidR="00824F4F" w:rsidRPr="00A54D04">
        <w:t>’</w:t>
      </w:r>
      <w:r w:rsidRPr="00A54D04">
        <w:t xml:space="preserve"> views on current storage fees were mixed</w:t>
      </w:r>
      <w:bookmarkEnd w:id="131"/>
    </w:p>
    <w:p w14:paraId="2CF62C54" w14:textId="6440CC49" w:rsidR="004D19B5" w:rsidRPr="00A54D04" w:rsidRDefault="001F1795" w:rsidP="004D19B5">
      <w:r w:rsidRPr="00A54D04">
        <w:t>The</w:t>
      </w:r>
      <w:r w:rsidR="004D19B5" w:rsidRPr="00A54D04">
        <w:t xml:space="preserve"> I</w:t>
      </w:r>
      <w:r w:rsidR="00F63EB3">
        <w:t xml:space="preserve">nsurance </w:t>
      </w:r>
      <w:r w:rsidR="003B36A2">
        <w:t>C</w:t>
      </w:r>
      <w:r w:rsidR="00F63EB3">
        <w:t xml:space="preserve">ouncil of </w:t>
      </w:r>
      <w:r w:rsidR="003B36A2">
        <w:t>A</w:t>
      </w:r>
      <w:r w:rsidR="00F63EB3">
        <w:t>ustralia</w:t>
      </w:r>
      <w:r w:rsidR="00317799">
        <w:t xml:space="preserve"> </w:t>
      </w:r>
      <w:r w:rsidRPr="00A54D04">
        <w:t xml:space="preserve">considered </w:t>
      </w:r>
      <w:r w:rsidR="004D19B5" w:rsidRPr="00A54D04">
        <w:t>storage fees are appropriate.</w:t>
      </w:r>
      <w:r w:rsidR="004D19B5" w:rsidRPr="00A54D04">
        <w:rPr>
          <w:rStyle w:val="FootnoteReference"/>
        </w:rPr>
        <w:footnoteReference w:id="34"/>
      </w:r>
      <w:r w:rsidR="004D19B5" w:rsidRPr="00A54D04">
        <w:t xml:space="preserve"> In contrast, the VACC</w:t>
      </w:r>
      <w:r w:rsidR="00597553" w:rsidRPr="00A54D04">
        <w:t xml:space="preserve"> and AllCar Towing Group</w:t>
      </w:r>
      <w:r w:rsidR="004D19B5" w:rsidRPr="00A54D04">
        <w:t xml:space="preserve"> </w:t>
      </w:r>
      <w:r w:rsidRPr="00A54D04">
        <w:t>said</w:t>
      </w:r>
      <w:r w:rsidR="004D19B5" w:rsidRPr="00A54D04">
        <w:t xml:space="preserve"> fees </w:t>
      </w:r>
      <w:r w:rsidR="007E16FB" w:rsidRPr="00A54D04">
        <w:t>are</w:t>
      </w:r>
      <w:r w:rsidR="0080012F" w:rsidRPr="00A54D04">
        <w:t xml:space="preserve"> </w:t>
      </w:r>
      <w:r w:rsidR="004D19B5" w:rsidRPr="00A54D04">
        <w:t xml:space="preserve">too low. The VACC suggested </w:t>
      </w:r>
      <w:r w:rsidR="00783D2C" w:rsidRPr="00A54D04">
        <w:t>the</w:t>
      </w:r>
      <w:r w:rsidR="00F83262" w:rsidRPr="00A54D04">
        <w:t>se fees</w:t>
      </w:r>
      <w:r w:rsidR="00783D2C" w:rsidRPr="00A54D04">
        <w:t xml:space="preserve"> </w:t>
      </w:r>
      <w:r w:rsidR="004D19B5" w:rsidRPr="00A54D04">
        <w:t xml:space="preserve">be set at the same level as </w:t>
      </w:r>
      <w:r w:rsidR="00F83262" w:rsidRPr="00A54D04">
        <w:t>those</w:t>
      </w:r>
      <w:r w:rsidR="004D19B5" w:rsidRPr="00A54D04">
        <w:t xml:space="preserve"> in Perth.</w:t>
      </w:r>
      <w:r w:rsidR="004D19B5" w:rsidRPr="00A54D04">
        <w:rPr>
          <w:rStyle w:val="FootnoteReference"/>
          <w:bCs/>
        </w:rPr>
        <w:footnoteReference w:id="35"/>
      </w:r>
      <w:r w:rsidRPr="00A54D04">
        <w:t xml:space="preserve"> </w:t>
      </w:r>
      <w:r w:rsidR="00FE350D">
        <w:t>It</w:t>
      </w:r>
      <w:r w:rsidRPr="00A54D04">
        <w:t xml:space="preserve"> advocated a one-off administration fee (</w:t>
      </w:r>
      <w:proofErr w:type="gramStart"/>
      <w:r w:rsidRPr="00A54D04">
        <w:t>similar to</w:t>
      </w:r>
      <w:proofErr w:type="gramEnd"/>
      <w:r w:rsidRPr="00A54D04">
        <w:t xml:space="preserve"> that in Perth) </w:t>
      </w:r>
      <w:proofErr w:type="gramStart"/>
      <w:r w:rsidRPr="00A54D04">
        <w:t>be implemented</w:t>
      </w:r>
      <w:proofErr w:type="gramEnd"/>
      <w:r w:rsidRPr="00A54D04">
        <w:t xml:space="preserve"> to cover the administrative overhead costs associated with vehicle storage.</w:t>
      </w:r>
      <w:r w:rsidRPr="00A54D04">
        <w:rPr>
          <w:rStyle w:val="FootnoteReference"/>
          <w:bCs/>
        </w:rPr>
        <w:footnoteReference w:id="36"/>
      </w:r>
    </w:p>
    <w:p w14:paraId="5BCC989E" w14:textId="4DFE6767" w:rsidR="00675FCF" w:rsidRPr="00A54D04" w:rsidRDefault="00FE350D" w:rsidP="007305C7">
      <w:pPr>
        <w:pStyle w:val="Heading2"/>
      </w:pPr>
      <w:bookmarkStart w:id="132" w:name="_Toc199231559"/>
      <w:r>
        <w:lastRenderedPageBreak/>
        <w:t>B</w:t>
      </w:r>
      <w:r w:rsidR="00675FCF" w:rsidRPr="00A54D04">
        <w:t xml:space="preserve">enchmarking </w:t>
      </w:r>
      <w:r w:rsidR="00BB39E4">
        <w:t xml:space="preserve">indicates </w:t>
      </w:r>
      <w:r w:rsidR="00675FCF" w:rsidRPr="00A54D04">
        <w:t>current storage fees</w:t>
      </w:r>
      <w:r w:rsidR="00BB39E4">
        <w:t xml:space="preserve"> are appropriate</w:t>
      </w:r>
      <w:bookmarkEnd w:id="132"/>
    </w:p>
    <w:p w14:paraId="5307BF9C" w14:textId="752C5885" w:rsidR="00675FCF" w:rsidRPr="00A54D04" w:rsidRDefault="00675FCF" w:rsidP="00675FCF">
      <w:r w:rsidRPr="00A54D04">
        <w:t>Our benchmark</w:t>
      </w:r>
      <w:r w:rsidR="00EA32DA">
        <w:t>ing</w:t>
      </w:r>
      <w:r w:rsidRPr="00A54D04">
        <w:t xml:space="preserve"> </w:t>
      </w:r>
      <w:r w:rsidR="00FE7478">
        <w:t>indicates</w:t>
      </w:r>
      <w:r w:rsidRPr="00A54D04">
        <w:t xml:space="preserve"> current regulated storage fees are appropriate. We considered a range of benchmarks for storage fees including:</w:t>
      </w:r>
    </w:p>
    <w:p w14:paraId="6B4EB82F" w14:textId="414CD91B" w:rsidR="00675FCF" w:rsidRPr="00A54D04" w:rsidRDefault="00FE7478" w:rsidP="00675FCF">
      <w:pPr>
        <w:pStyle w:val="ListBullet"/>
      </w:pPr>
      <w:r>
        <w:t>r</w:t>
      </w:r>
      <w:r w:rsidR="00675FCF" w:rsidRPr="00A54D04">
        <w:t>egulated storage fees for accident towing in other Australian jurisdictions</w:t>
      </w:r>
    </w:p>
    <w:p w14:paraId="45FCCE39" w14:textId="3C31C523" w:rsidR="00675FCF" w:rsidRPr="00A54D04" w:rsidRDefault="00FE7478" w:rsidP="00675FCF">
      <w:pPr>
        <w:pStyle w:val="ListBullet"/>
      </w:pPr>
      <w:r>
        <w:t>u</w:t>
      </w:r>
      <w:r w:rsidR="00675FCF" w:rsidRPr="00A54D04">
        <w:t>nregulated storage fees for trade towing in Melbourne</w:t>
      </w:r>
    </w:p>
    <w:p w14:paraId="10FA722B" w14:textId="5C64B1DF" w:rsidR="00675FCF" w:rsidRPr="00A54D04" w:rsidRDefault="00FE7478" w:rsidP="00174B52">
      <w:pPr>
        <w:pStyle w:val="ListBullet"/>
      </w:pPr>
      <w:r>
        <w:t>e</w:t>
      </w:r>
      <w:r w:rsidR="00675FCF" w:rsidRPr="00A54D04">
        <w:t xml:space="preserve">stimated storage fees based on land rental values in Melbourne. </w:t>
      </w:r>
    </w:p>
    <w:p w14:paraId="2DAD82FF" w14:textId="77777777" w:rsidR="00DD735E" w:rsidRPr="00A54D04" w:rsidRDefault="00DD735E" w:rsidP="00DD735E">
      <w:pPr>
        <w:pStyle w:val="Heading3"/>
      </w:pPr>
      <w:bookmarkStart w:id="133" w:name="_Toc184041452"/>
      <w:bookmarkStart w:id="134" w:name="_Toc185321782"/>
      <w:bookmarkStart w:id="135" w:name="_Toc190265306"/>
      <w:bookmarkStart w:id="136" w:name="_Toc195721901"/>
      <w:bookmarkStart w:id="137" w:name="_Toc197345256"/>
      <w:bookmarkStart w:id="138" w:name="_Toc197942425"/>
      <w:bookmarkStart w:id="139" w:name="_Toc197977698"/>
      <w:bookmarkStart w:id="140" w:name="_Toc198048687"/>
      <w:bookmarkStart w:id="141" w:name="_Toc199231560"/>
      <w:r w:rsidRPr="00A54D04">
        <w:t>Regulated storage fees are broadly similar in other Australian jurisdictions</w:t>
      </w:r>
      <w:bookmarkEnd w:id="133"/>
      <w:bookmarkEnd w:id="134"/>
      <w:bookmarkEnd w:id="135"/>
      <w:bookmarkEnd w:id="136"/>
      <w:bookmarkEnd w:id="137"/>
      <w:bookmarkEnd w:id="138"/>
      <w:bookmarkEnd w:id="139"/>
      <w:bookmarkEnd w:id="140"/>
      <w:bookmarkEnd w:id="141"/>
    </w:p>
    <w:p w14:paraId="4A3C98FD" w14:textId="12C549A6" w:rsidR="007305C7" w:rsidRPr="00A54D04" w:rsidRDefault="00DD735E" w:rsidP="00DD735E">
      <w:r w:rsidRPr="00A54D04">
        <w:t xml:space="preserve">Regulated storage fees in the Melbourne controlled area are in line with regulated storage fees in other Australian jurisdictions. </w:t>
      </w:r>
      <w:r w:rsidR="006926EC" w:rsidRPr="00A54D04">
        <w:t xml:space="preserve">Not all fees apply in each jurisdiction. </w:t>
      </w:r>
      <w:r w:rsidR="001F1795" w:rsidRPr="00A54D04">
        <w:t>For those that do,</w:t>
      </w:r>
      <w:r w:rsidR="006926EC" w:rsidRPr="00A54D04" w:rsidDel="006926EC">
        <w:t xml:space="preserve"> </w:t>
      </w:r>
      <w:r w:rsidRPr="00A54D04">
        <w:t>Melbourne</w:t>
      </w:r>
      <w:r w:rsidR="006926EC" w:rsidRPr="00A54D04">
        <w:t xml:space="preserve"> fees</w:t>
      </w:r>
      <w:r w:rsidRPr="00A54D04">
        <w:t xml:space="preserve"> are slightly higher than Adelaide but lower than Sydney, Queensland and Perth (see Table 6).</w:t>
      </w:r>
      <w:r w:rsidRPr="00A54D04">
        <w:rPr>
          <w:rStyle w:val="FootnoteReference"/>
        </w:rPr>
        <w:footnoteReference w:id="37"/>
      </w:r>
      <w:r w:rsidR="007E3E56" w:rsidRPr="00A54D04">
        <w:t xml:space="preserve"> </w:t>
      </w:r>
      <w:r w:rsidR="00A63CCD" w:rsidRPr="00A54D04">
        <w:t>The difference in storage fees across jurisdictions is likely due to varying</w:t>
      </w:r>
      <w:r w:rsidR="00DB4C97" w:rsidRPr="00A54D04">
        <w:t xml:space="preserve"> land rental values.</w:t>
      </w:r>
      <w:r w:rsidR="00DB4C97" w:rsidRPr="00A54D04">
        <w:rPr>
          <w:rStyle w:val="FootnoteReference"/>
        </w:rPr>
        <w:footnoteReference w:id="38"/>
      </w:r>
    </w:p>
    <w:p w14:paraId="4AC28D42" w14:textId="28A46F05" w:rsidR="002E0F28" w:rsidRPr="00A54D04" w:rsidRDefault="002E0F28" w:rsidP="00BB57BE">
      <w:pPr>
        <w:pStyle w:val="Figure-Table-BoxHeading"/>
        <w:keepNext/>
        <w:keepLines/>
        <w:numPr>
          <w:ilvl w:val="0"/>
          <w:numId w:val="0"/>
        </w:numPr>
        <w:spacing w:after="0"/>
        <w:rPr>
          <w:lang w:val="en-AU"/>
        </w:rPr>
      </w:pPr>
      <w:r w:rsidRPr="00A54D04">
        <w:rPr>
          <w:lang w:val="en-AU"/>
        </w:rPr>
        <w:t>Table 6. Regulated storage fee (per day) by jurisdiction</w:t>
      </w:r>
      <w:r w:rsidR="00881BBB" w:rsidRPr="00A54D04">
        <w:rPr>
          <w:lang w:val="en-AU"/>
        </w:rPr>
        <w:t xml:space="preserve"> (</w:t>
      </w:r>
      <w:r w:rsidRPr="00A54D04">
        <w:rPr>
          <w:lang w:val="en-AU"/>
        </w:rPr>
        <w:t>2024–25</w:t>
      </w:r>
      <w:r w:rsidR="00881BBB" w:rsidRPr="00A54D04">
        <w:rPr>
          <w:lang w:val="en-AU"/>
        </w:rPr>
        <w:t>)</w:t>
      </w:r>
    </w:p>
    <w:tbl>
      <w:tblPr>
        <w:tblStyle w:val="TableGrid"/>
        <w:tblW w:w="0" w:type="auto"/>
        <w:tblLook w:val="04A0" w:firstRow="1" w:lastRow="0" w:firstColumn="1" w:lastColumn="0" w:noHBand="0" w:noVBand="1"/>
      </w:tblPr>
      <w:tblGrid>
        <w:gridCol w:w="2835"/>
        <w:gridCol w:w="1700"/>
        <w:gridCol w:w="1701"/>
        <w:gridCol w:w="1701"/>
        <w:gridCol w:w="1701"/>
      </w:tblGrid>
      <w:tr w:rsidR="002E0F28" w:rsidRPr="00A54D04" w14:paraId="656C8CEC" w14:textId="77777777">
        <w:trPr>
          <w:cnfStyle w:val="100000000000" w:firstRow="1" w:lastRow="0" w:firstColumn="0" w:lastColumn="0" w:oddVBand="0" w:evenVBand="0" w:oddHBand="0" w:evenHBand="0" w:firstRowFirstColumn="0" w:firstRowLastColumn="0" w:lastRowFirstColumn="0" w:lastRowLastColumn="0"/>
        </w:trPr>
        <w:tc>
          <w:tcPr>
            <w:tcW w:w="2835" w:type="dxa"/>
          </w:tcPr>
          <w:p w14:paraId="24B1F638" w14:textId="77777777" w:rsidR="002E0F28" w:rsidRPr="00A54D04" w:rsidRDefault="002E0F28">
            <w:pPr>
              <w:pStyle w:val="TableHeading"/>
              <w:keepNext/>
              <w:keepLines/>
            </w:pPr>
          </w:p>
        </w:tc>
        <w:tc>
          <w:tcPr>
            <w:tcW w:w="1700" w:type="dxa"/>
          </w:tcPr>
          <w:p w14:paraId="5A3F82A2" w14:textId="77777777" w:rsidR="002E0F28" w:rsidRPr="00A54D04" w:rsidRDefault="002E0F28">
            <w:pPr>
              <w:pStyle w:val="TableHeading"/>
              <w:keepNext/>
              <w:keepLines/>
              <w:jc w:val="right"/>
              <w:rPr>
                <w:b w:val="0"/>
              </w:rPr>
            </w:pPr>
            <w:r w:rsidRPr="00A54D04">
              <w:t>Car</w:t>
            </w:r>
          </w:p>
          <w:p w14:paraId="518354D8" w14:textId="77777777" w:rsidR="002E0F28" w:rsidRPr="00A54D04" w:rsidRDefault="002E0F28">
            <w:pPr>
              <w:pStyle w:val="TableHeading"/>
              <w:keepNext/>
              <w:keepLines/>
              <w:jc w:val="right"/>
            </w:pPr>
            <w:r w:rsidRPr="00A54D04">
              <w:t>Under cover</w:t>
            </w:r>
          </w:p>
        </w:tc>
        <w:tc>
          <w:tcPr>
            <w:tcW w:w="1701" w:type="dxa"/>
          </w:tcPr>
          <w:p w14:paraId="365AD410" w14:textId="77777777" w:rsidR="002E0F28" w:rsidRPr="00A54D04" w:rsidRDefault="002E0F28">
            <w:pPr>
              <w:pStyle w:val="TableHeading"/>
              <w:keepNext/>
              <w:keepLines/>
              <w:jc w:val="right"/>
              <w:rPr>
                <w:b w:val="0"/>
              </w:rPr>
            </w:pPr>
            <w:r w:rsidRPr="00A54D04">
              <w:t>Car</w:t>
            </w:r>
          </w:p>
          <w:p w14:paraId="55862B60" w14:textId="77777777" w:rsidR="002E0F28" w:rsidRPr="00A54D04" w:rsidRDefault="002E0F28">
            <w:pPr>
              <w:pStyle w:val="TableHeading"/>
              <w:keepNext/>
              <w:keepLines/>
              <w:jc w:val="right"/>
            </w:pPr>
            <w:r w:rsidRPr="00A54D04">
              <w:t>Locked yard</w:t>
            </w:r>
          </w:p>
        </w:tc>
        <w:tc>
          <w:tcPr>
            <w:tcW w:w="1701" w:type="dxa"/>
          </w:tcPr>
          <w:p w14:paraId="173AD93F" w14:textId="77777777" w:rsidR="002E0F28" w:rsidRPr="00A54D04" w:rsidRDefault="002E0F28">
            <w:pPr>
              <w:pStyle w:val="TableHeading"/>
              <w:keepNext/>
              <w:keepLines/>
              <w:jc w:val="right"/>
              <w:rPr>
                <w:b w:val="0"/>
              </w:rPr>
            </w:pPr>
            <w:r w:rsidRPr="00A54D04">
              <w:t>Motorcycle</w:t>
            </w:r>
          </w:p>
          <w:p w14:paraId="47ACF16B" w14:textId="77777777" w:rsidR="002E0F28" w:rsidRPr="00A54D04" w:rsidRDefault="002E0F28">
            <w:pPr>
              <w:pStyle w:val="TableHeading"/>
              <w:keepNext/>
              <w:keepLines/>
              <w:jc w:val="right"/>
            </w:pPr>
            <w:r w:rsidRPr="00A54D04">
              <w:t>Under cover</w:t>
            </w:r>
          </w:p>
        </w:tc>
        <w:tc>
          <w:tcPr>
            <w:tcW w:w="1701" w:type="dxa"/>
          </w:tcPr>
          <w:p w14:paraId="50B6842A" w14:textId="77777777" w:rsidR="002E0F28" w:rsidRPr="00A54D04" w:rsidRDefault="002E0F28">
            <w:pPr>
              <w:pStyle w:val="TableHeading"/>
              <w:keepNext/>
              <w:keepLines/>
              <w:jc w:val="right"/>
              <w:rPr>
                <w:b w:val="0"/>
              </w:rPr>
            </w:pPr>
            <w:r w:rsidRPr="00A54D04">
              <w:t>Motorcycle</w:t>
            </w:r>
          </w:p>
          <w:p w14:paraId="04F9277D" w14:textId="77777777" w:rsidR="002E0F28" w:rsidRPr="00A54D04" w:rsidRDefault="002E0F28">
            <w:pPr>
              <w:pStyle w:val="TableHeading"/>
              <w:keepNext/>
              <w:keepLines/>
              <w:jc w:val="right"/>
              <w:rPr>
                <w:b w:val="0"/>
              </w:rPr>
            </w:pPr>
            <w:r w:rsidRPr="00A54D04">
              <w:t>Locked yard</w:t>
            </w:r>
          </w:p>
        </w:tc>
      </w:tr>
      <w:tr w:rsidR="002E0F28" w:rsidRPr="00A54D04" w14:paraId="7A5FA4B0" w14:textId="77777777">
        <w:trPr>
          <w:cnfStyle w:val="000000100000" w:firstRow="0" w:lastRow="0" w:firstColumn="0" w:lastColumn="0" w:oddVBand="0" w:evenVBand="0" w:oddHBand="1" w:evenHBand="0" w:firstRowFirstColumn="0" w:firstRowLastColumn="0" w:lastRowFirstColumn="0" w:lastRowLastColumn="0"/>
        </w:trPr>
        <w:tc>
          <w:tcPr>
            <w:tcW w:w="2835" w:type="dxa"/>
          </w:tcPr>
          <w:p w14:paraId="10672183" w14:textId="77777777" w:rsidR="002E0F28" w:rsidRPr="00A54D04" w:rsidRDefault="002E0F28">
            <w:pPr>
              <w:pStyle w:val="TableBody"/>
              <w:keepNext/>
              <w:keepLines/>
            </w:pPr>
            <w:r w:rsidRPr="00A54D04">
              <w:t>Melbourne controlled area</w:t>
            </w:r>
          </w:p>
        </w:tc>
        <w:tc>
          <w:tcPr>
            <w:tcW w:w="1700" w:type="dxa"/>
          </w:tcPr>
          <w:p w14:paraId="5F7D6805" w14:textId="77777777" w:rsidR="002E0F28" w:rsidRPr="00A54D04" w:rsidRDefault="002E0F28">
            <w:pPr>
              <w:pStyle w:val="TableBody"/>
              <w:keepNext/>
              <w:keepLines/>
              <w:jc w:val="right"/>
            </w:pPr>
            <w:r w:rsidRPr="00A54D04">
              <w:t>$30.90</w:t>
            </w:r>
          </w:p>
        </w:tc>
        <w:tc>
          <w:tcPr>
            <w:tcW w:w="1701" w:type="dxa"/>
          </w:tcPr>
          <w:p w14:paraId="690C61F4" w14:textId="77777777" w:rsidR="002E0F28" w:rsidRPr="00A54D04" w:rsidRDefault="002E0F28">
            <w:pPr>
              <w:pStyle w:val="TableBody"/>
              <w:keepNext/>
              <w:keepLines/>
              <w:jc w:val="right"/>
            </w:pPr>
            <w:r w:rsidRPr="00A54D04">
              <w:t>$20.90</w:t>
            </w:r>
          </w:p>
        </w:tc>
        <w:tc>
          <w:tcPr>
            <w:tcW w:w="1701" w:type="dxa"/>
          </w:tcPr>
          <w:p w14:paraId="1B16BB30" w14:textId="77777777" w:rsidR="002E0F28" w:rsidRPr="00A54D04" w:rsidRDefault="002E0F28">
            <w:pPr>
              <w:pStyle w:val="TableBody"/>
              <w:keepNext/>
              <w:keepLines/>
              <w:jc w:val="right"/>
            </w:pPr>
            <w:r w:rsidRPr="00A54D04">
              <w:t>$10.20</w:t>
            </w:r>
          </w:p>
        </w:tc>
        <w:tc>
          <w:tcPr>
            <w:tcW w:w="1701" w:type="dxa"/>
          </w:tcPr>
          <w:p w14:paraId="5217E958" w14:textId="77777777" w:rsidR="002E0F28" w:rsidRPr="00A54D04" w:rsidRDefault="002E0F28">
            <w:pPr>
              <w:pStyle w:val="TableBody"/>
              <w:keepNext/>
              <w:keepLines/>
              <w:jc w:val="right"/>
            </w:pPr>
            <w:r w:rsidRPr="00A54D04">
              <w:t>$6.50</w:t>
            </w:r>
          </w:p>
        </w:tc>
      </w:tr>
      <w:tr w:rsidR="002E0F28" w:rsidRPr="00A54D04" w14:paraId="416DCCFA" w14:textId="77777777">
        <w:trPr>
          <w:cnfStyle w:val="000000010000" w:firstRow="0" w:lastRow="0" w:firstColumn="0" w:lastColumn="0" w:oddVBand="0" w:evenVBand="0" w:oddHBand="0" w:evenHBand="1" w:firstRowFirstColumn="0" w:firstRowLastColumn="0" w:lastRowFirstColumn="0" w:lastRowLastColumn="0"/>
        </w:trPr>
        <w:tc>
          <w:tcPr>
            <w:tcW w:w="2835" w:type="dxa"/>
          </w:tcPr>
          <w:p w14:paraId="423DFE55" w14:textId="77777777" w:rsidR="002E0F28" w:rsidRPr="00A54D04" w:rsidRDefault="002E0F28">
            <w:pPr>
              <w:pStyle w:val="TableBody"/>
              <w:keepNext/>
              <w:keepLines/>
            </w:pPr>
            <w:r w:rsidRPr="00A54D04">
              <w:t>Sydney</w:t>
            </w:r>
          </w:p>
        </w:tc>
        <w:tc>
          <w:tcPr>
            <w:tcW w:w="1700" w:type="dxa"/>
          </w:tcPr>
          <w:p w14:paraId="5F52C93C" w14:textId="77777777" w:rsidR="002E0F28" w:rsidRPr="00A54D04" w:rsidRDefault="002E0F28">
            <w:pPr>
              <w:pStyle w:val="TableBody"/>
              <w:keepNext/>
              <w:keepLines/>
              <w:jc w:val="right"/>
            </w:pPr>
          </w:p>
        </w:tc>
        <w:tc>
          <w:tcPr>
            <w:tcW w:w="1701" w:type="dxa"/>
          </w:tcPr>
          <w:p w14:paraId="05FEF225" w14:textId="77777777" w:rsidR="002E0F28" w:rsidRPr="00A54D04" w:rsidRDefault="002E0F28">
            <w:pPr>
              <w:pStyle w:val="TableBody"/>
              <w:keepNext/>
              <w:keepLines/>
              <w:jc w:val="right"/>
            </w:pPr>
            <w:r w:rsidRPr="00A54D04">
              <w:t>$35.20</w:t>
            </w:r>
          </w:p>
        </w:tc>
        <w:tc>
          <w:tcPr>
            <w:tcW w:w="1701" w:type="dxa"/>
          </w:tcPr>
          <w:p w14:paraId="209C25C6" w14:textId="77777777" w:rsidR="002E0F28" w:rsidRPr="00A54D04" w:rsidRDefault="002E0F28">
            <w:pPr>
              <w:pStyle w:val="TableBody"/>
              <w:keepNext/>
              <w:keepLines/>
              <w:jc w:val="right"/>
            </w:pPr>
          </w:p>
        </w:tc>
        <w:tc>
          <w:tcPr>
            <w:tcW w:w="1701" w:type="dxa"/>
          </w:tcPr>
          <w:p w14:paraId="2161D67A" w14:textId="77777777" w:rsidR="002E0F28" w:rsidRPr="00A54D04" w:rsidRDefault="002E0F28">
            <w:pPr>
              <w:pStyle w:val="TableBody"/>
              <w:keepNext/>
              <w:keepLines/>
              <w:jc w:val="right"/>
            </w:pPr>
            <w:r w:rsidRPr="00A54D04">
              <w:t>$16.50</w:t>
            </w:r>
          </w:p>
        </w:tc>
      </w:tr>
      <w:tr w:rsidR="002E0F28" w:rsidRPr="00A54D04" w14:paraId="623C14B5" w14:textId="77777777">
        <w:trPr>
          <w:cnfStyle w:val="000000100000" w:firstRow="0" w:lastRow="0" w:firstColumn="0" w:lastColumn="0" w:oddVBand="0" w:evenVBand="0" w:oddHBand="1" w:evenHBand="0" w:firstRowFirstColumn="0" w:firstRowLastColumn="0" w:lastRowFirstColumn="0" w:lastRowLastColumn="0"/>
        </w:trPr>
        <w:tc>
          <w:tcPr>
            <w:tcW w:w="2835" w:type="dxa"/>
          </w:tcPr>
          <w:p w14:paraId="2C5D77AD" w14:textId="77777777" w:rsidR="002E0F28" w:rsidRPr="00A54D04" w:rsidRDefault="002E0F28">
            <w:pPr>
              <w:pStyle w:val="TableBody"/>
              <w:keepNext/>
              <w:keepLines/>
            </w:pPr>
            <w:r w:rsidRPr="00A54D04">
              <w:t>Adelaide</w:t>
            </w:r>
          </w:p>
        </w:tc>
        <w:tc>
          <w:tcPr>
            <w:tcW w:w="1700" w:type="dxa"/>
          </w:tcPr>
          <w:p w14:paraId="18C4EE0F" w14:textId="77777777" w:rsidR="002E0F28" w:rsidRPr="00A54D04" w:rsidRDefault="002E0F28">
            <w:pPr>
              <w:pStyle w:val="TableBody"/>
              <w:keepNext/>
              <w:keepLines/>
              <w:jc w:val="right"/>
            </w:pPr>
            <w:r w:rsidRPr="00A54D04">
              <w:t>$28.00</w:t>
            </w:r>
          </w:p>
        </w:tc>
        <w:tc>
          <w:tcPr>
            <w:tcW w:w="1701" w:type="dxa"/>
          </w:tcPr>
          <w:p w14:paraId="55ED707E" w14:textId="77777777" w:rsidR="002E0F28" w:rsidRPr="00A54D04" w:rsidRDefault="002E0F28">
            <w:pPr>
              <w:pStyle w:val="TableBody"/>
              <w:keepNext/>
              <w:keepLines/>
              <w:jc w:val="right"/>
            </w:pPr>
            <w:r w:rsidRPr="00A54D04">
              <w:t>$16.00</w:t>
            </w:r>
          </w:p>
        </w:tc>
        <w:tc>
          <w:tcPr>
            <w:tcW w:w="1701" w:type="dxa"/>
          </w:tcPr>
          <w:p w14:paraId="110170B6" w14:textId="77777777" w:rsidR="002E0F28" w:rsidRPr="00A54D04" w:rsidRDefault="002E0F28">
            <w:pPr>
              <w:pStyle w:val="TableBody"/>
              <w:keepNext/>
              <w:keepLines/>
              <w:jc w:val="right"/>
            </w:pPr>
            <w:r w:rsidRPr="00A54D04">
              <w:t>Not applicable</w:t>
            </w:r>
          </w:p>
        </w:tc>
        <w:tc>
          <w:tcPr>
            <w:tcW w:w="1701" w:type="dxa"/>
          </w:tcPr>
          <w:p w14:paraId="7F4DAEE9" w14:textId="77777777" w:rsidR="002E0F28" w:rsidRPr="00A54D04" w:rsidRDefault="002E0F28">
            <w:pPr>
              <w:pStyle w:val="TableBody"/>
              <w:keepNext/>
              <w:keepLines/>
              <w:jc w:val="right"/>
            </w:pPr>
            <w:r w:rsidRPr="00A54D04">
              <w:t>Not applicable</w:t>
            </w:r>
          </w:p>
        </w:tc>
      </w:tr>
      <w:tr w:rsidR="002E0F28" w:rsidRPr="00A54D04" w14:paraId="00643753" w14:textId="77777777">
        <w:trPr>
          <w:cnfStyle w:val="000000010000" w:firstRow="0" w:lastRow="0" w:firstColumn="0" w:lastColumn="0" w:oddVBand="0" w:evenVBand="0" w:oddHBand="0" w:evenHBand="1" w:firstRowFirstColumn="0" w:firstRowLastColumn="0" w:lastRowFirstColumn="0" w:lastRowLastColumn="0"/>
        </w:trPr>
        <w:tc>
          <w:tcPr>
            <w:tcW w:w="2835" w:type="dxa"/>
          </w:tcPr>
          <w:p w14:paraId="35F34B88" w14:textId="77777777" w:rsidR="002E0F28" w:rsidRPr="00A54D04" w:rsidRDefault="002E0F28">
            <w:pPr>
              <w:pStyle w:val="TableBody"/>
              <w:keepNext/>
              <w:keepLines/>
            </w:pPr>
            <w:r w:rsidRPr="00A54D04">
              <w:t>Queensland</w:t>
            </w:r>
          </w:p>
        </w:tc>
        <w:tc>
          <w:tcPr>
            <w:tcW w:w="1700" w:type="dxa"/>
          </w:tcPr>
          <w:p w14:paraId="51A569D6" w14:textId="77777777" w:rsidR="002E0F28" w:rsidRPr="00A54D04" w:rsidRDefault="002E0F28">
            <w:pPr>
              <w:pStyle w:val="TableBody"/>
              <w:keepNext/>
              <w:keepLines/>
              <w:jc w:val="right"/>
            </w:pPr>
          </w:p>
        </w:tc>
        <w:tc>
          <w:tcPr>
            <w:tcW w:w="1701" w:type="dxa"/>
          </w:tcPr>
          <w:p w14:paraId="51DA10E1" w14:textId="77777777" w:rsidR="002E0F28" w:rsidRPr="00A54D04" w:rsidRDefault="002E0F28">
            <w:pPr>
              <w:pStyle w:val="TableBody"/>
              <w:keepNext/>
              <w:keepLines/>
              <w:jc w:val="right"/>
            </w:pPr>
            <w:r w:rsidRPr="00A54D04">
              <w:t>$29.00</w:t>
            </w:r>
          </w:p>
        </w:tc>
        <w:tc>
          <w:tcPr>
            <w:tcW w:w="1701" w:type="dxa"/>
          </w:tcPr>
          <w:p w14:paraId="35C67549" w14:textId="77777777" w:rsidR="002E0F28" w:rsidRPr="00A54D04" w:rsidRDefault="002E0F28">
            <w:pPr>
              <w:pStyle w:val="TableBody"/>
              <w:keepNext/>
              <w:keepLines/>
              <w:jc w:val="right"/>
            </w:pPr>
            <w:r w:rsidRPr="00A54D04">
              <w:t>Not applicable</w:t>
            </w:r>
          </w:p>
        </w:tc>
        <w:tc>
          <w:tcPr>
            <w:tcW w:w="1701" w:type="dxa"/>
          </w:tcPr>
          <w:p w14:paraId="198E3A6D" w14:textId="77777777" w:rsidR="002E0F28" w:rsidRPr="00A54D04" w:rsidRDefault="002E0F28">
            <w:pPr>
              <w:pStyle w:val="TableBody"/>
              <w:keepNext/>
              <w:keepLines/>
              <w:jc w:val="right"/>
            </w:pPr>
            <w:r w:rsidRPr="00A54D04">
              <w:t>Not applicable</w:t>
            </w:r>
          </w:p>
        </w:tc>
      </w:tr>
      <w:tr w:rsidR="002E0F28" w:rsidRPr="00A54D04" w14:paraId="7B433E42" w14:textId="77777777">
        <w:trPr>
          <w:cnfStyle w:val="000000100000" w:firstRow="0" w:lastRow="0" w:firstColumn="0" w:lastColumn="0" w:oddVBand="0" w:evenVBand="0" w:oddHBand="1" w:evenHBand="0" w:firstRowFirstColumn="0" w:firstRowLastColumn="0" w:lastRowFirstColumn="0" w:lastRowLastColumn="0"/>
        </w:trPr>
        <w:tc>
          <w:tcPr>
            <w:tcW w:w="2835" w:type="dxa"/>
          </w:tcPr>
          <w:p w14:paraId="1FAB28D2" w14:textId="77777777" w:rsidR="002E0F28" w:rsidRPr="00A54D04" w:rsidRDefault="002E0F28">
            <w:pPr>
              <w:pStyle w:val="TableBody"/>
              <w:keepNext/>
              <w:keepLines/>
            </w:pPr>
            <w:r w:rsidRPr="00A54D04">
              <w:t>Perth</w:t>
            </w:r>
          </w:p>
        </w:tc>
        <w:tc>
          <w:tcPr>
            <w:tcW w:w="1700" w:type="dxa"/>
          </w:tcPr>
          <w:p w14:paraId="0449C694" w14:textId="77777777" w:rsidR="002E0F28" w:rsidRPr="00A54D04" w:rsidRDefault="002E0F28">
            <w:pPr>
              <w:pStyle w:val="TableBody"/>
              <w:keepNext/>
              <w:keepLines/>
              <w:jc w:val="right"/>
            </w:pPr>
          </w:p>
        </w:tc>
        <w:tc>
          <w:tcPr>
            <w:tcW w:w="1701" w:type="dxa"/>
          </w:tcPr>
          <w:p w14:paraId="1D53C5CE" w14:textId="77777777" w:rsidR="002E0F28" w:rsidRPr="00A54D04" w:rsidRDefault="002E0F28">
            <w:pPr>
              <w:pStyle w:val="TableBody"/>
              <w:keepNext/>
              <w:keepLines/>
              <w:jc w:val="right"/>
            </w:pPr>
            <w:r w:rsidRPr="00A54D04">
              <w:t>$25.00</w:t>
            </w:r>
          </w:p>
        </w:tc>
        <w:tc>
          <w:tcPr>
            <w:tcW w:w="1701" w:type="dxa"/>
          </w:tcPr>
          <w:p w14:paraId="31D81F7E" w14:textId="77777777" w:rsidR="002E0F28" w:rsidRPr="00A54D04" w:rsidRDefault="002E0F28">
            <w:pPr>
              <w:pStyle w:val="TableBody"/>
              <w:keepNext/>
              <w:keepLines/>
              <w:jc w:val="right"/>
            </w:pPr>
          </w:p>
        </w:tc>
        <w:tc>
          <w:tcPr>
            <w:tcW w:w="1701" w:type="dxa"/>
          </w:tcPr>
          <w:p w14:paraId="4B3CEC54" w14:textId="77777777" w:rsidR="002E0F28" w:rsidRPr="00A54D04" w:rsidRDefault="002E0F28">
            <w:pPr>
              <w:pStyle w:val="TableBody"/>
              <w:keepNext/>
              <w:keepLines/>
              <w:jc w:val="right"/>
            </w:pPr>
            <w:r w:rsidRPr="00A54D04">
              <w:t>$12.50</w:t>
            </w:r>
          </w:p>
        </w:tc>
      </w:tr>
    </w:tbl>
    <w:p w14:paraId="774737EE" w14:textId="20A0EFB0" w:rsidR="00182CD9" w:rsidRPr="00A54D04" w:rsidRDefault="00182CD9" w:rsidP="006C664B">
      <w:pPr>
        <w:pStyle w:val="Source"/>
        <w:keepNext/>
        <w:keepLines/>
        <w:spacing w:after="0"/>
        <w:jc w:val="left"/>
      </w:pPr>
      <w:r w:rsidRPr="00A54D04">
        <w:rPr>
          <w:b/>
          <w:bCs/>
        </w:rPr>
        <w:t>Note:</w:t>
      </w:r>
      <w:r w:rsidRPr="00A54D04">
        <w:t xml:space="preserve"> Perth </w:t>
      </w:r>
      <w:r w:rsidR="001857EA" w:rsidRPr="00A54D04">
        <w:t>applies a one</w:t>
      </w:r>
      <w:r w:rsidR="000C3731" w:rsidRPr="00A54D04">
        <w:t>-off</w:t>
      </w:r>
      <w:r w:rsidR="00D56790" w:rsidRPr="00A54D04">
        <w:t xml:space="preserve"> </w:t>
      </w:r>
      <w:r w:rsidR="000C3731" w:rsidRPr="00A54D04">
        <w:t>administration fee</w:t>
      </w:r>
      <w:r w:rsidR="00BA38F6" w:rsidRPr="00A54D04">
        <w:t xml:space="preserve"> of $88,</w:t>
      </w:r>
      <w:r w:rsidR="00844EDA" w:rsidRPr="00A54D04">
        <w:t xml:space="preserve"> that covers all requests and expenses incurred while a vehicle is stored </w:t>
      </w:r>
      <w:r w:rsidR="00B70831" w:rsidRPr="00A54D04">
        <w:t xml:space="preserve">in </w:t>
      </w:r>
      <w:r w:rsidR="00FB5916" w:rsidRPr="00A54D04">
        <w:t>a yard.</w:t>
      </w:r>
    </w:p>
    <w:p w14:paraId="78381AF8" w14:textId="1B6F98C7" w:rsidR="00060E54" w:rsidRPr="00A54D04" w:rsidRDefault="00060E54" w:rsidP="006C664B">
      <w:pPr>
        <w:pStyle w:val="Source"/>
        <w:keepNext/>
        <w:keepLines/>
        <w:spacing w:before="0"/>
        <w:jc w:val="left"/>
      </w:pPr>
      <w:r w:rsidRPr="00A54D04">
        <w:rPr>
          <w:b/>
          <w:bCs/>
        </w:rPr>
        <w:t>Source:</w:t>
      </w:r>
      <w:r w:rsidRPr="00A54D04">
        <w:t xml:space="preserve"> Essential Services Commission analysis.</w:t>
      </w:r>
    </w:p>
    <w:p w14:paraId="4B3206CA" w14:textId="4C1D835B" w:rsidR="009E310D" w:rsidRPr="00A54D04" w:rsidRDefault="00807505" w:rsidP="00850E95">
      <w:r w:rsidRPr="00A54D04">
        <w:t>T</w:t>
      </w:r>
      <w:r w:rsidR="009E310D" w:rsidRPr="00A54D04">
        <w:t xml:space="preserve">he VACC proposed storage fees </w:t>
      </w:r>
      <w:r w:rsidR="00EC1A2D" w:rsidRPr="00A54D04">
        <w:t xml:space="preserve">for the Melbourne controlled area </w:t>
      </w:r>
      <w:r w:rsidR="009E310D" w:rsidRPr="00A54D04">
        <w:t>be set at</w:t>
      </w:r>
      <w:r w:rsidR="00EC1A2D" w:rsidRPr="00A54D04">
        <w:t xml:space="preserve"> the same level as in</w:t>
      </w:r>
      <w:r w:rsidR="009E310D" w:rsidRPr="00A54D04">
        <w:t xml:space="preserve"> </w:t>
      </w:r>
      <w:r w:rsidR="001D6739" w:rsidRPr="00A54D04">
        <w:t>Perth</w:t>
      </w:r>
      <w:r w:rsidR="00D429A8" w:rsidRPr="00A54D04">
        <w:t>.</w:t>
      </w:r>
      <w:r w:rsidR="008D36A8" w:rsidRPr="00A54D04">
        <w:t xml:space="preserve"> </w:t>
      </w:r>
      <w:r w:rsidR="00877E3C" w:rsidRPr="00A54D04">
        <w:t>U</w:t>
      </w:r>
      <w:r w:rsidR="007E4943" w:rsidRPr="00A54D04">
        <w:t xml:space="preserve">nlike Melbourne, </w:t>
      </w:r>
      <w:r w:rsidR="00E05183" w:rsidRPr="00A54D04">
        <w:t xml:space="preserve">Perth has </w:t>
      </w:r>
      <w:r w:rsidR="00EC33DF" w:rsidRPr="00A54D04">
        <w:t xml:space="preserve">only </w:t>
      </w:r>
      <w:r w:rsidR="00E05183" w:rsidRPr="00A54D04">
        <w:t xml:space="preserve">a single </w:t>
      </w:r>
      <w:r w:rsidR="00176FB6" w:rsidRPr="00A54D04">
        <w:t xml:space="preserve">car </w:t>
      </w:r>
      <w:r w:rsidR="00E05183" w:rsidRPr="00A54D04">
        <w:t xml:space="preserve">storage fee </w:t>
      </w:r>
      <w:r w:rsidR="00FF767E" w:rsidRPr="00A54D04">
        <w:t>that does not distinguish between locked yard and under</w:t>
      </w:r>
      <w:r w:rsidR="00FB47CA" w:rsidRPr="00A54D04">
        <w:t xml:space="preserve"> </w:t>
      </w:r>
      <w:r w:rsidR="00FF767E" w:rsidRPr="00A54D04">
        <w:t>cover storage.</w:t>
      </w:r>
      <w:r w:rsidR="00003202" w:rsidRPr="00A54D04">
        <w:t xml:space="preserve"> </w:t>
      </w:r>
      <w:r w:rsidR="001F6595" w:rsidRPr="00A54D04">
        <w:t>W</w:t>
      </w:r>
      <w:r w:rsidR="001E47F7" w:rsidRPr="00A54D04">
        <w:t xml:space="preserve">hile the </w:t>
      </w:r>
      <w:r w:rsidR="00082615" w:rsidRPr="00A54D04">
        <w:t>Melbourne locked yard storage fee is lower</w:t>
      </w:r>
      <w:r w:rsidR="00EB3D01" w:rsidRPr="00A54D04">
        <w:t xml:space="preserve"> </w:t>
      </w:r>
      <w:r w:rsidR="00EB3D01" w:rsidRPr="00A54D04">
        <w:lastRenderedPageBreak/>
        <w:t>($20.9</w:t>
      </w:r>
      <w:r w:rsidR="00770CB7" w:rsidRPr="00A54D04">
        <w:t>0)</w:t>
      </w:r>
      <w:r w:rsidR="00EB3D01" w:rsidRPr="00A54D04">
        <w:t xml:space="preserve"> than</w:t>
      </w:r>
      <w:r w:rsidR="00EA7EE5" w:rsidRPr="00A54D04">
        <w:t xml:space="preserve"> Perth’s</w:t>
      </w:r>
      <w:r w:rsidR="00EB3D01" w:rsidRPr="00A54D04">
        <w:t xml:space="preserve"> single </w:t>
      </w:r>
      <w:r w:rsidR="00A0514B" w:rsidRPr="00A54D04">
        <w:t xml:space="preserve">car </w:t>
      </w:r>
      <w:r w:rsidR="00EB3D01" w:rsidRPr="00A54D04">
        <w:t>storage fee</w:t>
      </w:r>
      <w:r w:rsidR="00770CB7" w:rsidRPr="00A54D04">
        <w:t xml:space="preserve"> ($25)</w:t>
      </w:r>
      <w:r w:rsidR="00EB3D01" w:rsidRPr="00A54D04">
        <w:t xml:space="preserve">, the </w:t>
      </w:r>
      <w:r w:rsidR="00EA7EE5" w:rsidRPr="00A54D04">
        <w:t xml:space="preserve">Melbourne </w:t>
      </w:r>
      <w:r w:rsidR="00EB3D01" w:rsidRPr="00A54D04">
        <w:t>under cover storage fee is</w:t>
      </w:r>
      <w:r w:rsidR="00770CB7" w:rsidRPr="00A54D04">
        <w:t xml:space="preserve"> higher ($30.90). </w:t>
      </w:r>
      <w:r w:rsidR="00CE196C" w:rsidRPr="00A54D04">
        <w:t>G</w:t>
      </w:r>
      <w:r w:rsidR="00D26632" w:rsidRPr="00A54D04">
        <w:t xml:space="preserve">iven </w:t>
      </w:r>
      <w:r w:rsidR="003226A3" w:rsidRPr="00A54D04">
        <w:t>Perth’s</w:t>
      </w:r>
      <w:r w:rsidR="00B726F1" w:rsidRPr="00A54D04">
        <w:t xml:space="preserve"> single</w:t>
      </w:r>
      <w:r w:rsidR="003226A3" w:rsidRPr="00A54D04">
        <w:t xml:space="preserve"> fe</w:t>
      </w:r>
      <w:r w:rsidR="0063759F" w:rsidRPr="00A54D04">
        <w:t>e is</w:t>
      </w:r>
      <w:r w:rsidR="00E352C5" w:rsidRPr="00A54D04">
        <w:t xml:space="preserve"> within the range of </w:t>
      </w:r>
      <w:r w:rsidR="00F05BA4" w:rsidRPr="00A54D04">
        <w:t xml:space="preserve">both </w:t>
      </w:r>
      <w:r w:rsidR="00E352C5" w:rsidRPr="00A54D04">
        <w:t xml:space="preserve">Melbourne’s </w:t>
      </w:r>
      <w:r w:rsidR="00EC33DF" w:rsidRPr="00A54D04">
        <w:t>fees, we do</w:t>
      </w:r>
      <w:r w:rsidR="00E352C5" w:rsidRPr="00A54D04">
        <w:t xml:space="preserve"> not consider </w:t>
      </w:r>
      <w:r w:rsidR="00F05BA4" w:rsidRPr="00A54D04">
        <w:t xml:space="preserve">any change to be </w:t>
      </w:r>
      <w:r w:rsidR="00E352C5" w:rsidRPr="00A54D04">
        <w:t>necessary.</w:t>
      </w:r>
      <w:r w:rsidR="00355A38" w:rsidRPr="00A54D04">
        <w:t xml:space="preserve"> </w:t>
      </w:r>
    </w:p>
    <w:p w14:paraId="20B66137" w14:textId="3053AEDE" w:rsidR="00020DE5" w:rsidRPr="00A54D04" w:rsidRDefault="00042C63" w:rsidP="00020DE5">
      <w:pPr>
        <w:pStyle w:val="Heading4"/>
      </w:pPr>
      <w:r w:rsidRPr="00A54D04">
        <w:t>O</w:t>
      </w:r>
      <w:r w:rsidR="00CC5357" w:rsidRPr="00A54D04">
        <w:t>ne-off</w:t>
      </w:r>
      <w:r w:rsidR="00153DD2" w:rsidRPr="00A54D04">
        <w:t xml:space="preserve"> </w:t>
      </w:r>
      <w:r w:rsidR="00020DE5" w:rsidRPr="00A54D04">
        <w:t xml:space="preserve">administration fee </w:t>
      </w:r>
      <w:r w:rsidR="004A16A3">
        <w:t xml:space="preserve">is </w:t>
      </w:r>
      <w:r w:rsidR="00EC33DF" w:rsidRPr="00A54D04">
        <w:t>not</w:t>
      </w:r>
      <w:r w:rsidR="00153DD2" w:rsidRPr="00A54D04">
        <w:t xml:space="preserve"> necessary for Melbourne</w:t>
      </w:r>
    </w:p>
    <w:p w14:paraId="6B55165A" w14:textId="20F29CE2" w:rsidR="00794777" w:rsidRPr="00A54D04" w:rsidRDefault="00E97738" w:rsidP="00020DE5">
      <w:r w:rsidRPr="00A54D04">
        <w:t xml:space="preserve">The VACC suggested </w:t>
      </w:r>
      <w:r w:rsidR="00EE0E27" w:rsidRPr="00A54D04">
        <w:t>Melbourne’s regulated storage fees include a</w:t>
      </w:r>
      <w:r w:rsidR="00D94ECD" w:rsidRPr="00A54D04">
        <w:t xml:space="preserve">n </w:t>
      </w:r>
      <w:r w:rsidR="00EE0E27" w:rsidRPr="00A54D04">
        <w:t>administration fee</w:t>
      </w:r>
      <w:r w:rsidR="00B14DA5" w:rsidRPr="00A54D04">
        <w:t xml:space="preserve"> as applies in Perth</w:t>
      </w:r>
      <w:r w:rsidR="00EE0E27" w:rsidRPr="00A54D04">
        <w:t>. This</w:t>
      </w:r>
      <w:r w:rsidR="00D94ECD" w:rsidRPr="00A54D04">
        <w:t xml:space="preserve"> one-off</w:t>
      </w:r>
      <w:r w:rsidR="00EE0E27" w:rsidRPr="00A54D04">
        <w:t xml:space="preserve"> </w:t>
      </w:r>
      <w:r w:rsidR="00B14DA5" w:rsidRPr="00A54D04">
        <w:t xml:space="preserve">$88 </w:t>
      </w:r>
      <w:r w:rsidR="00EE0E27" w:rsidRPr="00A54D04">
        <w:t>fee</w:t>
      </w:r>
      <w:r w:rsidR="00D94ECD" w:rsidRPr="00A54D04">
        <w:t>, which is charged i</w:t>
      </w:r>
      <w:r w:rsidR="00020DE5" w:rsidRPr="00A54D04">
        <w:t xml:space="preserve">n addition </w:t>
      </w:r>
      <w:r w:rsidR="00D94ECD" w:rsidRPr="00A54D04">
        <w:t xml:space="preserve">to </w:t>
      </w:r>
      <w:r w:rsidR="00020DE5" w:rsidRPr="00A54D04">
        <w:t>daily storage fee</w:t>
      </w:r>
      <w:r w:rsidR="00D94ECD" w:rsidRPr="00A54D04">
        <w:t>s</w:t>
      </w:r>
      <w:r w:rsidR="00020DE5" w:rsidRPr="00A54D04">
        <w:t>, covers all requests and expenses while a vehicle is stored in</w:t>
      </w:r>
      <w:r w:rsidR="00D94ECD" w:rsidRPr="00A54D04">
        <w:t xml:space="preserve"> a</w:t>
      </w:r>
      <w:r w:rsidR="00020DE5" w:rsidRPr="00A54D04">
        <w:t xml:space="preserve"> yard.</w:t>
      </w:r>
      <w:r w:rsidR="00020DE5" w:rsidRPr="00A54D04">
        <w:rPr>
          <w:rStyle w:val="FootnoteReference"/>
        </w:rPr>
        <w:footnoteReference w:id="39"/>
      </w:r>
    </w:p>
    <w:p w14:paraId="7042C9FD" w14:textId="3092E918" w:rsidR="00020DE5" w:rsidRPr="00A54D04" w:rsidRDefault="00A44D64" w:rsidP="00020DE5">
      <w:r w:rsidRPr="00A54D04">
        <w:t xml:space="preserve">In our view, there is no need for </w:t>
      </w:r>
      <w:r w:rsidR="00414E84" w:rsidRPr="00A54D04">
        <w:t>a similar one-off administration fee</w:t>
      </w:r>
      <w:r w:rsidR="00F116C5" w:rsidRPr="00A54D04">
        <w:t xml:space="preserve"> for Melbourne. </w:t>
      </w:r>
      <w:r w:rsidR="00EC33DF" w:rsidRPr="00A54D04">
        <w:t>This is because t</w:t>
      </w:r>
      <w:r w:rsidR="00566872" w:rsidRPr="00A54D04">
        <w:t>he type of cost</w:t>
      </w:r>
      <w:r w:rsidR="00F12D16" w:rsidRPr="00A54D04">
        <w:t>s</w:t>
      </w:r>
      <w:r w:rsidR="00B47090" w:rsidRPr="00A54D04">
        <w:t xml:space="preserve"> it is meant to cover</w:t>
      </w:r>
      <w:r w:rsidR="00566872" w:rsidRPr="00A54D04">
        <w:t xml:space="preserve"> are </w:t>
      </w:r>
      <w:r w:rsidR="00F12D16" w:rsidRPr="00A54D04">
        <w:t xml:space="preserve">accounted </w:t>
      </w:r>
      <w:r w:rsidR="006C7FE9" w:rsidRPr="00A54D04">
        <w:t>for</w:t>
      </w:r>
      <w:r w:rsidR="00F12D16" w:rsidRPr="00A54D04">
        <w:t xml:space="preserve"> </w:t>
      </w:r>
      <w:r w:rsidR="00DB3A99" w:rsidRPr="00A54D04">
        <w:t>elsewhere within</w:t>
      </w:r>
      <w:r w:rsidR="008B4628" w:rsidRPr="00A54D04">
        <w:t xml:space="preserve"> Melbourne</w:t>
      </w:r>
      <w:r w:rsidR="00251F5C" w:rsidRPr="00A54D04">
        <w:t>’s regulated fee structure</w:t>
      </w:r>
      <w:r w:rsidR="007938FA" w:rsidRPr="00A54D04">
        <w:t>. These costs are mainly included in</w:t>
      </w:r>
      <w:r w:rsidR="00B42ECE" w:rsidRPr="00A54D04">
        <w:t xml:space="preserve"> t</w:t>
      </w:r>
      <w:r w:rsidR="00020DE5" w:rsidRPr="00A54D04">
        <w:t>he base fee</w:t>
      </w:r>
      <w:r w:rsidR="00B42ECE" w:rsidRPr="00A54D04">
        <w:t>, which</w:t>
      </w:r>
      <w:r w:rsidR="00020DE5" w:rsidRPr="00A54D04">
        <w:t xml:space="preserve"> covers all relevant costs </w:t>
      </w:r>
      <w:r w:rsidR="0064281F" w:rsidRPr="00A54D04">
        <w:t>of</w:t>
      </w:r>
      <w:r w:rsidR="00020DE5" w:rsidRPr="00A54D04">
        <w:t xml:space="preserve"> an accident towing business.</w:t>
      </w:r>
      <w:r w:rsidR="00020DE5" w:rsidRPr="00A54D04">
        <w:rPr>
          <w:rStyle w:val="FootnoteReference"/>
        </w:rPr>
        <w:footnoteReference w:id="40"/>
      </w:r>
      <w:r w:rsidR="00020DE5" w:rsidRPr="00A54D04">
        <w:t xml:space="preserve"> </w:t>
      </w:r>
    </w:p>
    <w:p w14:paraId="0B98B27A" w14:textId="4DD383BF" w:rsidR="003D2517" w:rsidRPr="00A54D04" w:rsidRDefault="003D2517" w:rsidP="003D2517">
      <w:pPr>
        <w:pStyle w:val="Heading3"/>
      </w:pPr>
      <w:bookmarkStart w:id="142" w:name="_Toc195721902"/>
      <w:bookmarkStart w:id="143" w:name="_Toc197345257"/>
      <w:bookmarkStart w:id="144" w:name="_Toc197942426"/>
      <w:bookmarkStart w:id="145" w:name="_Toc197977699"/>
      <w:bookmarkStart w:id="146" w:name="_Toc198048688"/>
      <w:bookmarkStart w:id="147" w:name="_Toc199231561"/>
      <w:r w:rsidRPr="00A54D04">
        <w:t xml:space="preserve">Regulated storage fees are </w:t>
      </w:r>
      <w:r w:rsidR="003B0C26" w:rsidRPr="00A54D04">
        <w:t xml:space="preserve">generally </w:t>
      </w:r>
      <w:r w:rsidRPr="00A54D04">
        <w:t>consistent with trade towing storage fees</w:t>
      </w:r>
      <w:bookmarkEnd w:id="142"/>
      <w:bookmarkEnd w:id="143"/>
      <w:bookmarkEnd w:id="144"/>
      <w:bookmarkEnd w:id="145"/>
      <w:bookmarkEnd w:id="146"/>
      <w:bookmarkEnd w:id="147"/>
    </w:p>
    <w:p w14:paraId="34E59D79" w14:textId="7C838662" w:rsidR="00EC33DF" w:rsidRPr="00A54D04" w:rsidRDefault="003D2517" w:rsidP="00020DE5">
      <w:r w:rsidRPr="00A54D04">
        <w:t xml:space="preserve">Regulated storage fees in the Melbourne controlled area are within range of </w:t>
      </w:r>
      <w:r w:rsidR="00605D20">
        <w:t xml:space="preserve">unregulated </w:t>
      </w:r>
      <w:r w:rsidRPr="00A54D04">
        <w:t>storage fees for trade towing in Melbourne (see Table 7).</w:t>
      </w:r>
      <w:r w:rsidR="00EA20A6" w:rsidRPr="00A54D04">
        <w:rPr>
          <w:rStyle w:val="FootnoteReference"/>
        </w:rPr>
        <w:footnoteReference w:id="41"/>
      </w:r>
      <w:r w:rsidRPr="00A54D04">
        <w:t xml:space="preserve"> The average storage fee for clearway towing</w:t>
      </w:r>
      <w:r w:rsidR="00250C13" w:rsidRPr="00A54D04">
        <w:t xml:space="preserve"> ($18.56)</w:t>
      </w:r>
      <w:r w:rsidRPr="00A54D04">
        <w:t xml:space="preserve"> is lower than both regulated storage fees. </w:t>
      </w:r>
    </w:p>
    <w:p w14:paraId="63563BC6" w14:textId="1160428C" w:rsidR="003D2517" w:rsidRPr="00A54D04" w:rsidRDefault="003D2517" w:rsidP="00020DE5">
      <w:r w:rsidRPr="00A54D04">
        <w:t>The average storage fee for abandoned (or derelict) vehicle towing</w:t>
      </w:r>
      <w:r w:rsidR="00250C13" w:rsidRPr="00A54D04">
        <w:t xml:space="preserve"> ($31</w:t>
      </w:r>
      <w:r w:rsidR="00B3216F" w:rsidRPr="00A54D04">
        <w:t>.06)</w:t>
      </w:r>
      <w:r w:rsidRPr="00A54D04">
        <w:t xml:space="preserve"> is higher than the regulated locked yard storage fee but </w:t>
      </w:r>
      <w:proofErr w:type="gramStart"/>
      <w:r w:rsidRPr="00A54D04">
        <w:t>similar to</w:t>
      </w:r>
      <w:proofErr w:type="gramEnd"/>
      <w:r w:rsidRPr="00A54D04">
        <w:t xml:space="preserve"> the regulated </w:t>
      </w:r>
      <w:r w:rsidR="005846DB" w:rsidRPr="00A54D04">
        <w:t>under cover</w:t>
      </w:r>
      <w:r w:rsidRPr="00A54D04">
        <w:t xml:space="preserve"> storage fee.</w:t>
      </w:r>
    </w:p>
    <w:p w14:paraId="310C1A03" w14:textId="02F1A5BA" w:rsidR="00027A63" w:rsidRPr="00A54D04" w:rsidRDefault="00027A63" w:rsidP="00027A63">
      <w:pPr>
        <w:pStyle w:val="Figure-Table-BoxHeading"/>
        <w:keepNext/>
        <w:keepLines/>
        <w:numPr>
          <w:ilvl w:val="0"/>
          <w:numId w:val="0"/>
        </w:numPr>
        <w:spacing w:before="0" w:after="0"/>
        <w:ind w:left="851" w:hanging="851"/>
      </w:pPr>
      <w:r w:rsidRPr="00A54D04">
        <w:lastRenderedPageBreak/>
        <w:t>Table 7. Published storage fees for trade towing in Melbourne</w:t>
      </w:r>
      <w:r w:rsidR="002634A1" w:rsidRPr="00A54D04">
        <w:t xml:space="preserve"> (</w:t>
      </w:r>
      <w:r w:rsidRPr="00A54D04">
        <w:t>2024</w:t>
      </w:r>
      <w:r w:rsidRPr="00A54D04">
        <w:rPr>
          <w:lang w:val="en-AU"/>
        </w:rPr>
        <w:t>–</w:t>
      </w:r>
      <w:r w:rsidRPr="00A54D04">
        <w:t>25</w:t>
      </w:r>
      <w:r w:rsidR="002634A1" w:rsidRPr="00A54D04">
        <w:t>)</w:t>
      </w:r>
    </w:p>
    <w:tbl>
      <w:tblPr>
        <w:tblStyle w:val="TableGrid"/>
        <w:tblW w:w="0" w:type="auto"/>
        <w:tblInd w:w="85" w:type="dxa"/>
        <w:tblLook w:val="04A0" w:firstRow="1" w:lastRow="0" w:firstColumn="1" w:lastColumn="0" w:noHBand="0" w:noVBand="1"/>
      </w:tblPr>
      <w:tblGrid>
        <w:gridCol w:w="2609"/>
        <w:gridCol w:w="4677"/>
        <w:gridCol w:w="2267"/>
      </w:tblGrid>
      <w:tr w:rsidR="00027A63" w:rsidRPr="00A54D04" w14:paraId="767E263A" w14:textId="77777777" w:rsidTr="00975AFA">
        <w:trPr>
          <w:cnfStyle w:val="100000000000" w:firstRow="1" w:lastRow="0" w:firstColumn="0" w:lastColumn="0" w:oddVBand="0" w:evenVBand="0" w:oddHBand="0" w:evenHBand="0" w:firstRowFirstColumn="0" w:firstRowLastColumn="0" w:lastRowFirstColumn="0" w:lastRowLastColumn="0"/>
        </w:trPr>
        <w:tc>
          <w:tcPr>
            <w:tcW w:w="2609" w:type="dxa"/>
          </w:tcPr>
          <w:p w14:paraId="384EB903" w14:textId="77777777" w:rsidR="00027A63" w:rsidRPr="00A54D04" w:rsidRDefault="00027A63">
            <w:pPr>
              <w:pStyle w:val="TableHeading"/>
              <w:keepNext/>
              <w:keepLines/>
            </w:pPr>
            <w:r w:rsidRPr="00A54D04">
              <w:t>Type of towing service</w:t>
            </w:r>
          </w:p>
        </w:tc>
        <w:tc>
          <w:tcPr>
            <w:tcW w:w="4677" w:type="dxa"/>
          </w:tcPr>
          <w:p w14:paraId="3F1C6C5A" w14:textId="77777777" w:rsidR="00027A63" w:rsidRPr="00A54D04" w:rsidRDefault="00027A63">
            <w:pPr>
              <w:pStyle w:val="TableHeading"/>
              <w:keepNext/>
              <w:keepLines/>
            </w:pPr>
            <w:r w:rsidRPr="00A54D04">
              <w:t>Council</w:t>
            </w:r>
          </w:p>
        </w:tc>
        <w:tc>
          <w:tcPr>
            <w:tcW w:w="2267" w:type="dxa"/>
          </w:tcPr>
          <w:p w14:paraId="40757E61" w14:textId="77777777" w:rsidR="00027A63" w:rsidRPr="00A54D04" w:rsidRDefault="00027A63">
            <w:pPr>
              <w:pStyle w:val="TableHeading"/>
              <w:keepNext/>
              <w:keepLines/>
              <w:jc w:val="right"/>
            </w:pPr>
            <w:r w:rsidRPr="00A54D04">
              <w:t>Average storage fee (per day)</w:t>
            </w:r>
          </w:p>
        </w:tc>
      </w:tr>
      <w:tr w:rsidR="00027A63" w:rsidRPr="00A54D04" w14:paraId="04E3C14A" w14:textId="77777777">
        <w:trPr>
          <w:cnfStyle w:val="000000100000" w:firstRow="0" w:lastRow="0" w:firstColumn="0" w:lastColumn="0" w:oddVBand="0" w:evenVBand="0" w:oddHBand="1" w:evenHBand="0" w:firstRowFirstColumn="0" w:firstRowLastColumn="0" w:lastRowFirstColumn="0" w:lastRowLastColumn="0"/>
        </w:trPr>
        <w:tc>
          <w:tcPr>
            <w:tcW w:w="7286" w:type="dxa"/>
            <w:gridSpan w:val="2"/>
          </w:tcPr>
          <w:p w14:paraId="608D7ADA" w14:textId="77777777" w:rsidR="00027A63" w:rsidRPr="00A54D04" w:rsidRDefault="00027A63">
            <w:pPr>
              <w:pStyle w:val="TableBody"/>
              <w:keepNext/>
              <w:keepLines/>
              <w:rPr>
                <w:b/>
                <w:bCs/>
              </w:rPr>
            </w:pPr>
            <w:r w:rsidRPr="00A54D04">
              <w:rPr>
                <w:b/>
                <w:bCs/>
              </w:rPr>
              <w:t>Clearway towing</w:t>
            </w:r>
          </w:p>
        </w:tc>
        <w:tc>
          <w:tcPr>
            <w:tcW w:w="2267" w:type="dxa"/>
          </w:tcPr>
          <w:p w14:paraId="2EAED9BC" w14:textId="77777777" w:rsidR="00027A63" w:rsidRPr="00A54D04" w:rsidRDefault="00027A63">
            <w:pPr>
              <w:pStyle w:val="TableBody"/>
              <w:keepNext/>
              <w:keepLines/>
            </w:pPr>
          </w:p>
        </w:tc>
      </w:tr>
      <w:tr w:rsidR="00027A63" w:rsidRPr="00A54D04" w14:paraId="1AA30D0C" w14:textId="77777777" w:rsidTr="00975AFA">
        <w:trPr>
          <w:cnfStyle w:val="000000010000" w:firstRow="0" w:lastRow="0" w:firstColumn="0" w:lastColumn="0" w:oddVBand="0" w:evenVBand="0" w:oddHBand="0" w:evenHBand="1" w:firstRowFirstColumn="0" w:firstRowLastColumn="0" w:lastRowFirstColumn="0" w:lastRowLastColumn="0"/>
        </w:trPr>
        <w:tc>
          <w:tcPr>
            <w:tcW w:w="2609" w:type="dxa"/>
          </w:tcPr>
          <w:p w14:paraId="307AEC01" w14:textId="77777777" w:rsidR="00027A63" w:rsidRPr="00A54D04" w:rsidRDefault="00027A63">
            <w:pPr>
              <w:pStyle w:val="TableBody"/>
              <w:keepNext/>
              <w:keepLines/>
            </w:pPr>
          </w:p>
        </w:tc>
        <w:tc>
          <w:tcPr>
            <w:tcW w:w="4677" w:type="dxa"/>
          </w:tcPr>
          <w:p w14:paraId="76BCBE13" w14:textId="77777777" w:rsidR="00027A63" w:rsidRPr="00A54D04" w:rsidRDefault="00027A63">
            <w:pPr>
              <w:pStyle w:val="TableBody"/>
              <w:keepNext/>
              <w:keepLines/>
            </w:pPr>
            <w:r w:rsidRPr="00A54D04">
              <w:t>Councils adopting Department of Transport and Planning fee</w:t>
            </w:r>
          </w:p>
        </w:tc>
        <w:tc>
          <w:tcPr>
            <w:tcW w:w="2267" w:type="dxa"/>
          </w:tcPr>
          <w:p w14:paraId="41D4C554" w14:textId="77777777" w:rsidR="00027A63" w:rsidRPr="00A54D04" w:rsidRDefault="00027A63">
            <w:pPr>
              <w:pStyle w:val="TableBody"/>
              <w:keepNext/>
              <w:keepLines/>
              <w:jc w:val="right"/>
            </w:pPr>
            <w:r w:rsidRPr="00A54D04">
              <w:t>$15.20</w:t>
            </w:r>
          </w:p>
        </w:tc>
      </w:tr>
      <w:tr w:rsidR="00027A63" w:rsidRPr="00A54D04" w14:paraId="5FDA246C" w14:textId="77777777" w:rsidTr="00975AFA">
        <w:trPr>
          <w:cnfStyle w:val="000000100000" w:firstRow="0" w:lastRow="0" w:firstColumn="0" w:lastColumn="0" w:oddVBand="0" w:evenVBand="0" w:oddHBand="1" w:evenHBand="0" w:firstRowFirstColumn="0" w:firstRowLastColumn="0" w:lastRowFirstColumn="0" w:lastRowLastColumn="0"/>
        </w:trPr>
        <w:tc>
          <w:tcPr>
            <w:tcW w:w="2609" w:type="dxa"/>
          </w:tcPr>
          <w:p w14:paraId="7C383D8D" w14:textId="77777777" w:rsidR="00027A63" w:rsidRPr="00A54D04" w:rsidRDefault="00027A63">
            <w:pPr>
              <w:pStyle w:val="TableBody"/>
              <w:keepNext/>
              <w:keepLines/>
            </w:pPr>
          </w:p>
        </w:tc>
        <w:tc>
          <w:tcPr>
            <w:tcW w:w="4677" w:type="dxa"/>
          </w:tcPr>
          <w:p w14:paraId="149E5345" w14:textId="77777777" w:rsidR="00027A63" w:rsidRPr="00A54D04" w:rsidRDefault="00027A63">
            <w:pPr>
              <w:pStyle w:val="TableBody"/>
              <w:keepNext/>
              <w:keepLines/>
            </w:pPr>
            <w:r w:rsidRPr="00A54D04">
              <w:t>Councils adopting a different fee</w:t>
            </w:r>
          </w:p>
        </w:tc>
        <w:tc>
          <w:tcPr>
            <w:tcW w:w="2267" w:type="dxa"/>
          </w:tcPr>
          <w:p w14:paraId="18ED3A16" w14:textId="77777777" w:rsidR="00027A63" w:rsidRPr="00A54D04" w:rsidRDefault="00027A63">
            <w:pPr>
              <w:pStyle w:val="TableBody"/>
              <w:keepNext/>
              <w:keepLines/>
              <w:jc w:val="right"/>
            </w:pPr>
            <w:r w:rsidRPr="00A54D04">
              <w:t>$19.40</w:t>
            </w:r>
          </w:p>
        </w:tc>
      </w:tr>
      <w:tr w:rsidR="00027A63" w:rsidRPr="00A54D04" w14:paraId="5658B219" w14:textId="77777777" w:rsidTr="00975AFA">
        <w:trPr>
          <w:cnfStyle w:val="000000010000" w:firstRow="0" w:lastRow="0" w:firstColumn="0" w:lastColumn="0" w:oddVBand="0" w:evenVBand="0" w:oddHBand="0" w:evenHBand="1" w:firstRowFirstColumn="0" w:firstRowLastColumn="0" w:lastRowFirstColumn="0" w:lastRowLastColumn="0"/>
        </w:trPr>
        <w:tc>
          <w:tcPr>
            <w:tcW w:w="2609" w:type="dxa"/>
          </w:tcPr>
          <w:p w14:paraId="4EB4398C" w14:textId="77777777" w:rsidR="00027A63" w:rsidRPr="00A54D04" w:rsidRDefault="00027A63">
            <w:pPr>
              <w:pStyle w:val="TableBody"/>
              <w:keepNext/>
              <w:keepLines/>
            </w:pPr>
          </w:p>
        </w:tc>
        <w:tc>
          <w:tcPr>
            <w:tcW w:w="4677" w:type="dxa"/>
          </w:tcPr>
          <w:p w14:paraId="7310826D" w14:textId="77777777" w:rsidR="00027A63" w:rsidRPr="00A54D04" w:rsidRDefault="00027A63">
            <w:pPr>
              <w:pStyle w:val="TableBody"/>
              <w:keepNext/>
              <w:keepLines/>
            </w:pPr>
            <w:r w:rsidRPr="00A54D04">
              <w:t>All</w:t>
            </w:r>
          </w:p>
        </w:tc>
        <w:tc>
          <w:tcPr>
            <w:tcW w:w="2267" w:type="dxa"/>
          </w:tcPr>
          <w:p w14:paraId="5B68963E" w14:textId="77777777" w:rsidR="00027A63" w:rsidRPr="00A54D04" w:rsidRDefault="00027A63">
            <w:pPr>
              <w:pStyle w:val="TableBody"/>
              <w:keepNext/>
              <w:keepLines/>
              <w:jc w:val="right"/>
            </w:pPr>
            <w:r w:rsidRPr="00A54D04">
              <w:t>$18.56</w:t>
            </w:r>
          </w:p>
        </w:tc>
      </w:tr>
      <w:tr w:rsidR="00027A63" w:rsidRPr="00A54D04" w14:paraId="2801DA00" w14:textId="77777777">
        <w:trPr>
          <w:cnfStyle w:val="000000100000" w:firstRow="0" w:lastRow="0" w:firstColumn="0" w:lastColumn="0" w:oddVBand="0" w:evenVBand="0" w:oddHBand="1" w:evenHBand="0" w:firstRowFirstColumn="0" w:firstRowLastColumn="0" w:lastRowFirstColumn="0" w:lastRowLastColumn="0"/>
        </w:trPr>
        <w:tc>
          <w:tcPr>
            <w:tcW w:w="7286" w:type="dxa"/>
            <w:gridSpan w:val="2"/>
          </w:tcPr>
          <w:p w14:paraId="23B5404D" w14:textId="77777777" w:rsidR="00027A63" w:rsidRPr="00A54D04" w:rsidRDefault="00027A63">
            <w:pPr>
              <w:pStyle w:val="TableBody"/>
              <w:keepNext/>
              <w:keepLines/>
              <w:rPr>
                <w:b/>
                <w:bCs/>
              </w:rPr>
            </w:pPr>
            <w:r w:rsidRPr="00A54D04">
              <w:rPr>
                <w:b/>
                <w:bCs/>
              </w:rPr>
              <w:t>Abandoned (or derelict) vehicle towing</w:t>
            </w:r>
          </w:p>
        </w:tc>
        <w:tc>
          <w:tcPr>
            <w:tcW w:w="2267" w:type="dxa"/>
          </w:tcPr>
          <w:p w14:paraId="7B708DEE" w14:textId="77777777" w:rsidR="00027A63" w:rsidRPr="00A54D04" w:rsidRDefault="00027A63">
            <w:pPr>
              <w:pStyle w:val="TableBody"/>
              <w:keepNext/>
              <w:keepLines/>
              <w:jc w:val="right"/>
            </w:pPr>
          </w:p>
        </w:tc>
      </w:tr>
      <w:tr w:rsidR="00027A63" w:rsidRPr="00A54D04" w14:paraId="7644AC4A" w14:textId="77777777" w:rsidTr="00975AFA">
        <w:trPr>
          <w:cnfStyle w:val="000000010000" w:firstRow="0" w:lastRow="0" w:firstColumn="0" w:lastColumn="0" w:oddVBand="0" w:evenVBand="0" w:oddHBand="0" w:evenHBand="1" w:firstRowFirstColumn="0" w:firstRowLastColumn="0" w:lastRowFirstColumn="0" w:lastRowLastColumn="0"/>
        </w:trPr>
        <w:tc>
          <w:tcPr>
            <w:tcW w:w="2609" w:type="dxa"/>
          </w:tcPr>
          <w:p w14:paraId="6A14F343" w14:textId="77777777" w:rsidR="00027A63" w:rsidRPr="00A54D04" w:rsidRDefault="00027A63">
            <w:pPr>
              <w:pStyle w:val="TableBody"/>
              <w:keepNext/>
              <w:keepLines/>
            </w:pPr>
          </w:p>
        </w:tc>
        <w:tc>
          <w:tcPr>
            <w:tcW w:w="4677" w:type="dxa"/>
          </w:tcPr>
          <w:p w14:paraId="40C53332" w14:textId="77777777" w:rsidR="00027A63" w:rsidRPr="00A54D04" w:rsidRDefault="00027A63">
            <w:pPr>
              <w:pStyle w:val="TableBody"/>
              <w:keepNext/>
              <w:keepLines/>
            </w:pPr>
            <w:r w:rsidRPr="00A54D04">
              <w:t>Inner Melbourne</w:t>
            </w:r>
          </w:p>
        </w:tc>
        <w:tc>
          <w:tcPr>
            <w:tcW w:w="2267" w:type="dxa"/>
          </w:tcPr>
          <w:p w14:paraId="6849E78B" w14:textId="77777777" w:rsidR="00027A63" w:rsidRPr="00A54D04" w:rsidRDefault="00027A63">
            <w:pPr>
              <w:pStyle w:val="TableBody"/>
              <w:keepNext/>
              <w:keepLines/>
              <w:jc w:val="right"/>
            </w:pPr>
            <w:r w:rsidRPr="00A54D04">
              <w:t>$21.46</w:t>
            </w:r>
          </w:p>
        </w:tc>
      </w:tr>
      <w:tr w:rsidR="00027A63" w:rsidRPr="00A54D04" w14:paraId="29025A28" w14:textId="77777777" w:rsidTr="00975AFA">
        <w:trPr>
          <w:cnfStyle w:val="000000100000" w:firstRow="0" w:lastRow="0" w:firstColumn="0" w:lastColumn="0" w:oddVBand="0" w:evenVBand="0" w:oddHBand="1" w:evenHBand="0" w:firstRowFirstColumn="0" w:firstRowLastColumn="0" w:lastRowFirstColumn="0" w:lastRowLastColumn="0"/>
        </w:trPr>
        <w:tc>
          <w:tcPr>
            <w:tcW w:w="2609" w:type="dxa"/>
          </w:tcPr>
          <w:p w14:paraId="43928932" w14:textId="77777777" w:rsidR="00027A63" w:rsidRPr="00A54D04" w:rsidRDefault="00027A63">
            <w:pPr>
              <w:pStyle w:val="TableBody"/>
              <w:keepNext/>
              <w:keepLines/>
            </w:pPr>
          </w:p>
        </w:tc>
        <w:tc>
          <w:tcPr>
            <w:tcW w:w="4677" w:type="dxa"/>
          </w:tcPr>
          <w:p w14:paraId="67A615CF" w14:textId="77777777" w:rsidR="00027A63" w:rsidRPr="00A54D04" w:rsidRDefault="00027A63">
            <w:pPr>
              <w:pStyle w:val="TableBody"/>
              <w:keepNext/>
              <w:keepLines/>
            </w:pPr>
            <w:r w:rsidRPr="00A54D04">
              <w:t xml:space="preserve">Outer Melbourne </w:t>
            </w:r>
          </w:p>
        </w:tc>
        <w:tc>
          <w:tcPr>
            <w:tcW w:w="2267" w:type="dxa"/>
          </w:tcPr>
          <w:p w14:paraId="699F8D73" w14:textId="77777777" w:rsidR="00027A63" w:rsidRPr="00A54D04" w:rsidRDefault="00027A63">
            <w:pPr>
              <w:pStyle w:val="TableBody"/>
              <w:keepNext/>
              <w:keepLines/>
              <w:jc w:val="right"/>
            </w:pPr>
            <w:r w:rsidRPr="00A54D04">
              <w:t>$35.42</w:t>
            </w:r>
          </w:p>
        </w:tc>
      </w:tr>
      <w:tr w:rsidR="00027A63" w:rsidRPr="00A54D04" w14:paraId="78599E83" w14:textId="77777777" w:rsidTr="00975AFA">
        <w:trPr>
          <w:cnfStyle w:val="000000010000" w:firstRow="0" w:lastRow="0" w:firstColumn="0" w:lastColumn="0" w:oddVBand="0" w:evenVBand="0" w:oddHBand="0" w:evenHBand="1" w:firstRowFirstColumn="0" w:firstRowLastColumn="0" w:lastRowFirstColumn="0" w:lastRowLastColumn="0"/>
        </w:trPr>
        <w:tc>
          <w:tcPr>
            <w:tcW w:w="2609" w:type="dxa"/>
          </w:tcPr>
          <w:p w14:paraId="5A498127" w14:textId="77777777" w:rsidR="00027A63" w:rsidRPr="00A54D04" w:rsidRDefault="00027A63">
            <w:pPr>
              <w:pStyle w:val="TableBody"/>
              <w:keepNext/>
              <w:keepLines/>
            </w:pPr>
          </w:p>
        </w:tc>
        <w:tc>
          <w:tcPr>
            <w:tcW w:w="4677" w:type="dxa"/>
          </w:tcPr>
          <w:p w14:paraId="50ECA017" w14:textId="77777777" w:rsidR="00027A63" w:rsidRPr="00A54D04" w:rsidRDefault="00027A63">
            <w:pPr>
              <w:pStyle w:val="TableBody"/>
              <w:keepNext/>
              <w:keepLines/>
            </w:pPr>
            <w:r w:rsidRPr="00A54D04">
              <w:t>All</w:t>
            </w:r>
          </w:p>
        </w:tc>
        <w:tc>
          <w:tcPr>
            <w:tcW w:w="2267" w:type="dxa"/>
          </w:tcPr>
          <w:p w14:paraId="20C673EA" w14:textId="77777777" w:rsidR="00027A63" w:rsidRPr="00A54D04" w:rsidRDefault="00027A63">
            <w:pPr>
              <w:pStyle w:val="TableBody"/>
              <w:keepNext/>
              <w:keepLines/>
              <w:jc w:val="right"/>
            </w:pPr>
            <w:r w:rsidRPr="00A54D04">
              <w:t>$31.06</w:t>
            </w:r>
          </w:p>
        </w:tc>
      </w:tr>
    </w:tbl>
    <w:p w14:paraId="212304DF" w14:textId="77777777" w:rsidR="00027A63" w:rsidRPr="00A54D04" w:rsidRDefault="00027A63" w:rsidP="00027A63">
      <w:pPr>
        <w:pStyle w:val="Source"/>
        <w:jc w:val="left"/>
      </w:pPr>
      <w:r w:rsidRPr="00A54D04">
        <w:rPr>
          <w:b/>
          <w:bCs/>
        </w:rPr>
        <w:t>Source:</w:t>
      </w:r>
      <w:r w:rsidRPr="00A54D04">
        <w:t xml:space="preserve"> Essential Services Commission analysis. </w:t>
      </w:r>
    </w:p>
    <w:p w14:paraId="30A7EAD0" w14:textId="77777777" w:rsidR="00A41E3A" w:rsidRPr="00A54D04" w:rsidRDefault="00A41E3A" w:rsidP="00A41E3A">
      <w:pPr>
        <w:pStyle w:val="Heading3"/>
      </w:pPr>
      <w:bookmarkStart w:id="148" w:name="_Toc184041454"/>
      <w:bookmarkStart w:id="149" w:name="_Toc185321784"/>
      <w:bookmarkStart w:id="150" w:name="_Toc190265308"/>
      <w:bookmarkStart w:id="151" w:name="_Toc195721903"/>
      <w:bookmarkStart w:id="152" w:name="_Toc197345258"/>
      <w:bookmarkStart w:id="153" w:name="_Toc197942427"/>
      <w:bookmarkStart w:id="154" w:name="_Toc197977700"/>
      <w:bookmarkStart w:id="155" w:name="_Toc198048689"/>
      <w:bookmarkStart w:id="156" w:name="_Toc199231562"/>
      <w:r w:rsidRPr="00A54D04">
        <w:t>Regulated storage fees accord with benchmarks based on land rental values</w:t>
      </w:r>
      <w:bookmarkEnd w:id="148"/>
      <w:bookmarkEnd w:id="149"/>
      <w:bookmarkEnd w:id="150"/>
      <w:bookmarkEnd w:id="151"/>
      <w:bookmarkEnd w:id="152"/>
      <w:bookmarkEnd w:id="153"/>
      <w:bookmarkEnd w:id="154"/>
      <w:bookmarkEnd w:id="155"/>
      <w:bookmarkEnd w:id="156"/>
    </w:p>
    <w:p w14:paraId="34E7EBFB" w14:textId="77777777" w:rsidR="00A41E3A" w:rsidRPr="00A54D04" w:rsidRDefault="00A41E3A" w:rsidP="00A41E3A">
      <w:r w:rsidRPr="00A54D04">
        <w:t xml:space="preserve">Regulated storage fees in the Melbourne controlled area are </w:t>
      </w:r>
      <w:proofErr w:type="gramStart"/>
      <w:r w:rsidRPr="00A54D04">
        <w:t>similar to</w:t>
      </w:r>
      <w:proofErr w:type="gramEnd"/>
      <w:r w:rsidRPr="00A54D04">
        <w:t xml:space="preserve"> benchmarks based on land rental values and storage utilisation.</w:t>
      </w:r>
      <w:r w:rsidRPr="00A54D04">
        <w:rPr>
          <w:rStyle w:val="FootnoteReference"/>
        </w:rPr>
        <w:footnoteReference w:id="42"/>
      </w:r>
      <w:r w:rsidRPr="00A54D04">
        <w:t xml:space="preserve"> </w:t>
      </w:r>
    </w:p>
    <w:p w14:paraId="4054BB6C" w14:textId="209AFA75" w:rsidR="00A41E3A" w:rsidRPr="00A54D04" w:rsidRDefault="00A41E3A" w:rsidP="00A41E3A">
      <w:r w:rsidRPr="00A54D04">
        <w:t xml:space="preserve">The estimated storage fees based on land rental values for Melbourne were between $22.18 and $31.73 depending on the utilisation rate and distance from the CBD (see Table 8). These are </w:t>
      </w:r>
      <w:proofErr w:type="gramStart"/>
      <w:r w:rsidRPr="00A54D04">
        <w:t>s</w:t>
      </w:r>
      <w:r w:rsidR="00C67AED">
        <w:t>imilar to</w:t>
      </w:r>
      <w:proofErr w:type="gramEnd"/>
      <w:r w:rsidRPr="00A54D04">
        <w:t xml:space="preserve"> the regulated storage fees.</w:t>
      </w:r>
    </w:p>
    <w:p w14:paraId="0DA703C4" w14:textId="77777777" w:rsidR="00A41E3A" w:rsidRPr="00A54D04" w:rsidRDefault="00A41E3A" w:rsidP="00A41E3A">
      <w:pPr>
        <w:pStyle w:val="Figure-Table-BoxHeading"/>
        <w:keepNext/>
        <w:keepLines/>
        <w:numPr>
          <w:ilvl w:val="0"/>
          <w:numId w:val="0"/>
        </w:numPr>
        <w:spacing w:line="240" w:lineRule="auto"/>
        <w:ind w:left="851" w:hanging="851"/>
      </w:pPr>
      <w:r w:rsidRPr="00A54D04">
        <w:t>Table 8. Estimated storage fees for Melbourne based on land rental values</w:t>
      </w:r>
      <w:r w:rsidRPr="00A54D04">
        <w:tab/>
      </w:r>
    </w:p>
    <w:p w14:paraId="5B482E66" w14:textId="77777777" w:rsidR="00A41E3A" w:rsidRPr="00A54D04" w:rsidRDefault="00A41E3A" w:rsidP="52C2B051">
      <w:pPr>
        <w:pStyle w:val="Figure-Table-BoxSubtitle"/>
        <w:keepNext/>
        <w:spacing w:after="0"/>
        <w:rPr>
          <w:lang w:val="en-AU"/>
        </w:rPr>
      </w:pPr>
      <w:r w:rsidRPr="00A54D04">
        <w:rPr>
          <w:lang w:val="en-AU"/>
        </w:rPr>
        <w:t xml:space="preserve">As </w:t>
      </w:r>
      <w:proofErr w:type="gramStart"/>
      <w:r w:rsidRPr="00A54D04">
        <w:rPr>
          <w:lang w:val="en-AU"/>
        </w:rPr>
        <w:t>at</w:t>
      </w:r>
      <w:proofErr w:type="gramEnd"/>
      <w:r w:rsidRPr="00A54D04">
        <w:rPr>
          <w:lang w:val="en-AU"/>
        </w:rPr>
        <w:t xml:space="preserve"> 1 November 2024</w:t>
      </w:r>
      <w:r w:rsidRPr="00A54D04">
        <w:tab/>
      </w:r>
    </w:p>
    <w:tbl>
      <w:tblPr>
        <w:tblStyle w:val="TableGrid"/>
        <w:tblW w:w="0" w:type="auto"/>
        <w:tblLook w:val="04A0" w:firstRow="1" w:lastRow="0" w:firstColumn="1" w:lastColumn="0" w:noHBand="0" w:noVBand="1"/>
      </w:tblPr>
      <w:tblGrid>
        <w:gridCol w:w="3422"/>
        <w:gridCol w:w="2073"/>
        <w:gridCol w:w="2074"/>
        <w:gridCol w:w="2069"/>
      </w:tblGrid>
      <w:tr w:rsidR="00A41E3A" w:rsidRPr="00A54D04" w14:paraId="3134CA33" w14:textId="77777777">
        <w:trPr>
          <w:cnfStyle w:val="100000000000" w:firstRow="1" w:lastRow="0" w:firstColumn="0" w:lastColumn="0" w:oddVBand="0" w:evenVBand="0" w:oddHBand="0" w:evenHBand="0" w:firstRowFirstColumn="0" w:firstRowLastColumn="0" w:lastRowFirstColumn="0" w:lastRowLastColumn="0"/>
        </w:trPr>
        <w:tc>
          <w:tcPr>
            <w:tcW w:w="3487" w:type="dxa"/>
          </w:tcPr>
          <w:p w14:paraId="7B28E1BB" w14:textId="77777777" w:rsidR="00A41E3A" w:rsidRPr="00A54D04" w:rsidRDefault="00A41E3A">
            <w:pPr>
              <w:pStyle w:val="TableHeading"/>
              <w:keepNext/>
              <w:keepLines/>
            </w:pPr>
          </w:p>
        </w:tc>
        <w:tc>
          <w:tcPr>
            <w:tcW w:w="2097" w:type="dxa"/>
          </w:tcPr>
          <w:p w14:paraId="6A68CB9A" w14:textId="77777777" w:rsidR="00A41E3A" w:rsidRPr="00A54D04" w:rsidRDefault="00A41E3A">
            <w:pPr>
              <w:pStyle w:val="TableHeading"/>
              <w:keepNext/>
              <w:keepLines/>
              <w:jc w:val="right"/>
            </w:pPr>
            <w:r w:rsidRPr="00A54D04">
              <w:t>40% utilisation</w:t>
            </w:r>
          </w:p>
        </w:tc>
        <w:tc>
          <w:tcPr>
            <w:tcW w:w="2098" w:type="dxa"/>
          </w:tcPr>
          <w:p w14:paraId="5157B8C6" w14:textId="77777777" w:rsidR="00A41E3A" w:rsidRPr="00A54D04" w:rsidRDefault="00A41E3A">
            <w:pPr>
              <w:pStyle w:val="TableHeading"/>
              <w:keepNext/>
              <w:keepLines/>
              <w:jc w:val="right"/>
            </w:pPr>
            <w:r w:rsidRPr="00A54D04">
              <w:t>45% utilisation</w:t>
            </w:r>
          </w:p>
        </w:tc>
        <w:tc>
          <w:tcPr>
            <w:tcW w:w="2098" w:type="dxa"/>
          </w:tcPr>
          <w:p w14:paraId="2D585800" w14:textId="77777777" w:rsidR="00A41E3A" w:rsidRPr="00A54D04" w:rsidRDefault="00A41E3A">
            <w:pPr>
              <w:pStyle w:val="TableHeading"/>
              <w:keepNext/>
              <w:keepLines/>
              <w:jc w:val="right"/>
            </w:pPr>
            <w:r w:rsidRPr="00A54D04">
              <w:t>Average</w:t>
            </w:r>
          </w:p>
        </w:tc>
      </w:tr>
      <w:tr w:rsidR="00A41E3A" w:rsidRPr="00A54D04" w14:paraId="13BF7498" w14:textId="77777777">
        <w:trPr>
          <w:cnfStyle w:val="000000100000" w:firstRow="0" w:lastRow="0" w:firstColumn="0" w:lastColumn="0" w:oddVBand="0" w:evenVBand="0" w:oddHBand="1" w:evenHBand="0" w:firstRowFirstColumn="0" w:firstRowLastColumn="0" w:lastRowFirstColumn="0" w:lastRowLastColumn="0"/>
        </w:trPr>
        <w:tc>
          <w:tcPr>
            <w:tcW w:w="3487" w:type="dxa"/>
          </w:tcPr>
          <w:p w14:paraId="513DC3F8" w14:textId="77777777" w:rsidR="00A41E3A" w:rsidRPr="00A54D04" w:rsidRDefault="00A41E3A">
            <w:pPr>
              <w:pStyle w:val="TableBody"/>
              <w:keepNext/>
              <w:keepLines/>
            </w:pPr>
            <w:r w:rsidRPr="00A54D04">
              <w:t>10 km or less from CBD</w:t>
            </w:r>
          </w:p>
        </w:tc>
        <w:tc>
          <w:tcPr>
            <w:tcW w:w="2097" w:type="dxa"/>
          </w:tcPr>
          <w:p w14:paraId="4993D8D6" w14:textId="77777777" w:rsidR="00A41E3A" w:rsidRPr="00A54D04" w:rsidRDefault="00A41E3A">
            <w:pPr>
              <w:pStyle w:val="TableBody"/>
              <w:keepNext/>
              <w:keepLines/>
              <w:jc w:val="right"/>
            </w:pPr>
            <w:r w:rsidRPr="00A54D04">
              <w:t>$31.73</w:t>
            </w:r>
          </w:p>
        </w:tc>
        <w:tc>
          <w:tcPr>
            <w:tcW w:w="2098" w:type="dxa"/>
          </w:tcPr>
          <w:p w14:paraId="47F2581E" w14:textId="77777777" w:rsidR="00A41E3A" w:rsidRPr="00A54D04" w:rsidRDefault="00A41E3A">
            <w:pPr>
              <w:pStyle w:val="TableBody"/>
              <w:keepNext/>
              <w:keepLines/>
              <w:jc w:val="right"/>
            </w:pPr>
            <w:r w:rsidRPr="00A54D04">
              <w:t>$28.21</w:t>
            </w:r>
          </w:p>
        </w:tc>
        <w:tc>
          <w:tcPr>
            <w:tcW w:w="2098" w:type="dxa"/>
          </w:tcPr>
          <w:p w14:paraId="372B5097" w14:textId="77777777" w:rsidR="00A41E3A" w:rsidRPr="00A54D04" w:rsidRDefault="00A41E3A">
            <w:pPr>
              <w:pStyle w:val="TableBody"/>
              <w:keepNext/>
              <w:keepLines/>
              <w:jc w:val="right"/>
            </w:pPr>
            <w:r w:rsidRPr="00A54D04">
              <w:t>$29.97</w:t>
            </w:r>
          </w:p>
        </w:tc>
      </w:tr>
      <w:tr w:rsidR="00A41E3A" w:rsidRPr="00A54D04" w14:paraId="58AEFA64" w14:textId="77777777">
        <w:trPr>
          <w:cnfStyle w:val="000000010000" w:firstRow="0" w:lastRow="0" w:firstColumn="0" w:lastColumn="0" w:oddVBand="0" w:evenVBand="0" w:oddHBand="0" w:evenHBand="1" w:firstRowFirstColumn="0" w:firstRowLastColumn="0" w:lastRowFirstColumn="0" w:lastRowLastColumn="0"/>
        </w:trPr>
        <w:tc>
          <w:tcPr>
            <w:tcW w:w="3487" w:type="dxa"/>
          </w:tcPr>
          <w:p w14:paraId="32E8A67D" w14:textId="77777777" w:rsidR="00A41E3A" w:rsidRPr="00A54D04" w:rsidRDefault="00A41E3A">
            <w:pPr>
              <w:pStyle w:val="TableBody"/>
              <w:keepNext/>
              <w:keepLines/>
            </w:pPr>
            <w:r w:rsidRPr="00A54D04">
              <w:t>Greater than 10 km from CBD</w:t>
            </w:r>
          </w:p>
        </w:tc>
        <w:tc>
          <w:tcPr>
            <w:tcW w:w="2097" w:type="dxa"/>
          </w:tcPr>
          <w:p w14:paraId="2247D6E3" w14:textId="77777777" w:rsidR="00A41E3A" w:rsidRPr="00A54D04" w:rsidRDefault="00A41E3A">
            <w:pPr>
              <w:pStyle w:val="TableBody"/>
              <w:keepNext/>
              <w:keepLines/>
              <w:jc w:val="right"/>
            </w:pPr>
            <w:r w:rsidRPr="00A54D04">
              <w:t>$24.96</w:t>
            </w:r>
          </w:p>
        </w:tc>
        <w:tc>
          <w:tcPr>
            <w:tcW w:w="2098" w:type="dxa"/>
          </w:tcPr>
          <w:p w14:paraId="390B9543" w14:textId="77777777" w:rsidR="00A41E3A" w:rsidRPr="00A54D04" w:rsidRDefault="00A41E3A">
            <w:pPr>
              <w:pStyle w:val="TableBody"/>
              <w:keepNext/>
              <w:keepLines/>
              <w:jc w:val="right"/>
            </w:pPr>
            <w:r w:rsidRPr="00A54D04">
              <w:t>$22.18</w:t>
            </w:r>
          </w:p>
        </w:tc>
        <w:tc>
          <w:tcPr>
            <w:tcW w:w="2098" w:type="dxa"/>
          </w:tcPr>
          <w:p w14:paraId="0C69FA2B" w14:textId="77777777" w:rsidR="00A41E3A" w:rsidRPr="00A54D04" w:rsidRDefault="00A41E3A">
            <w:pPr>
              <w:pStyle w:val="TableBody"/>
              <w:keepNext/>
              <w:keepLines/>
              <w:jc w:val="right"/>
            </w:pPr>
            <w:r w:rsidRPr="00A54D04">
              <w:t>$23.57</w:t>
            </w:r>
          </w:p>
        </w:tc>
      </w:tr>
      <w:tr w:rsidR="00A41E3A" w:rsidRPr="00A54D04" w14:paraId="325E9309" w14:textId="77777777">
        <w:trPr>
          <w:cnfStyle w:val="000000100000" w:firstRow="0" w:lastRow="0" w:firstColumn="0" w:lastColumn="0" w:oddVBand="0" w:evenVBand="0" w:oddHBand="1" w:evenHBand="0" w:firstRowFirstColumn="0" w:firstRowLastColumn="0" w:lastRowFirstColumn="0" w:lastRowLastColumn="0"/>
        </w:trPr>
        <w:tc>
          <w:tcPr>
            <w:tcW w:w="3487" w:type="dxa"/>
          </w:tcPr>
          <w:p w14:paraId="4BC8C610" w14:textId="77777777" w:rsidR="00A41E3A" w:rsidRPr="00A54D04" w:rsidRDefault="00A41E3A">
            <w:pPr>
              <w:pStyle w:val="TableBody"/>
              <w:keepNext/>
              <w:keepLines/>
              <w:rPr>
                <w:b/>
                <w:bCs/>
              </w:rPr>
            </w:pPr>
            <w:r w:rsidRPr="00A54D04">
              <w:rPr>
                <w:b/>
                <w:bCs/>
              </w:rPr>
              <w:t>Average</w:t>
            </w:r>
          </w:p>
        </w:tc>
        <w:tc>
          <w:tcPr>
            <w:tcW w:w="2097" w:type="dxa"/>
          </w:tcPr>
          <w:p w14:paraId="706337B0" w14:textId="77777777" w:rsidR="00A41E3A" w:rsidRPr="00A54D04" w:rsidRDefault="00A41E3A">
            <w:pPr>
              <w:pStyle w:val="TableBody"/>
              <w:keepNext/>
              <w:keepLines/>
              <w:jc w:val="right"/>
            </w:pPr>
            <w:r w:rsidRPr="00A54D04">
              <w:t>$26.80</w:t>
            </w:r>
          </w:p>
        </w:tc>
        <w:tc>
          <w:tcPr>
            <w:tcW w:w="2098" w:type="dxa"/>
          </w:tcPr>
          <w:p w14:paraId="295C6003" w14:textId="77777777" w:rsidR="00A41E3A" w:rsidRPr="00A54D04" w:rsidRDefault="00A41E3A">
            <w:pPr>
              <w:pStyle w:val="TableBody"/>
              <w:keepNext/>
              <w:keepLines/>
              <w:jc w:val="right"/>
            </w:pPr>
            <w:r w:rsidRPr="00A54D04">
              <w:t>$23.83</w:t>
            </w:r>
          </w:p>
        </w:tc>
        <w:tc>
          <w:tcPr>
            <w:tcW w:w="2098" w:type="dxa"/>
          </w:tcPr>
          <w:p w14:paraId="57DC1D58" w14:textId="77777777" w:rsidR="00A41E3A" w:rsidRPr="00A54D04" w:rsidRDefault="00A41E3A">
            <w:pPr>
              <w:pStyle w:val="TableBody"/>
              <w:keepNext/>
              <w:keepLines/>
              <w:jc w:val="right"/>
            </w:pPr>
            <w:r w:rsidRPr="00A54D04">
              <w:t>$25.32</w:t>
            </w:r>
          </w:p>
        </w:tc>
      </w:tr>
    </w:tbl>
    <w:p w14:paraId="2125916B" w14:textId="74BFBFBB" w:rsidR="00E9500A" w:rsidRPr="00A54D04" w:rsidRDefault="00A41E3A" w:rsidP="00E3407E">
      <w:pPr>
        <w:pStyle w:val="Source"/>
        <w:jc w:val="left"/>
      </w:pPr>
      <w:r w:rsidRPr="00A54D04">
        <w:rPr>
          <w:b/>
          <w:bCs/>
        </w:rPr>
        <w:t>Source:</w:t>
      </w:r>
      <w:r w:rsidRPr="00A54D04">
        <w:t xml:space="preserve"> Essential Services Commission analysis.</w:t>
      </w:r>
    </w:p>
    <w:p w14:paraId="12BCE214" w14:textId="78131627" w:rsidR="00A41E3A" w:rsidRPr="00A54D04" w:rsidRDefault="003F204F" w:rsidP="0047094B">
      <w:pPr>
        <w:pStyle w:val="Heading2"/>
      </w:pPr>
      <w:bookmarkStart w:id="157" w:name="_Toc199231563"/>
      <w:r w:rsidRPr="00A54D04">
        <w:lastRenderedPageBreak/>
        <w:t>We recommend no change to storage fees</w:t>
      </w:r>
      <w:r w:rsidR="00A41E3A" w:rsidRPr="00A54D04">
        <w:t xml:space="preserve"> beyond indexation</w:t>
      </w:r>
      <w:bookmarkEnd w:id="157"/>
    </w:p>
    <w:p w14:paraId="4C8D0416" w14:textId="5BB3FF74" w:rsidR="00A41E3A" w:rsidRPr="00A54D04" w:rsidRDefault="00A41E3A" w:rsidP="00020DE5">
      <w:pPr>
        <w:sectPr w:rsidR="00A41E3A" w:rsidRPr="00A54D04" w:rsidSect="000E7EE3">
          <w:headerReference w:type="even" r:id="rId47"/>
          <w:headerReference w:type="default" r:id="rId48"/>
          <w:footerReference w:type="default" r:id="rId49"/>
          <w:headerReference w:type="first" r:id="rId50"/>
          <w:pgSz w:w="11906" w:h="16838" w:code="9"/>
          <w:pgMar w:top="1134" w:right="1134" w:bottom="1134" w:left="1134" w:header="709" w:footer="692" w:gutter="0"/>
          <w:cols w:space="708"/>
          <w:docGrid w:linePitch="360"/>
        </w:sectPr>
      </w:pPr>
      <w:r w:rsidRPr="00A54D04">
        <w:t>Based on our benchmarking</w:t>
      </w:r>
      <w:r w:rsidR="00F1573B" w:rsidRPr="00A54D04">
        <w:t xml:space="preserve"> analysis</w:t>
      </w:r>
      <w:r w:rsidRPr="00A54D04">
        <w:t xml:space="preserve"> and consideration of stakeholders’ views, we conclude that current </w:t>
      </w:r>
      <w:r w:rsidR="002A6C7D" w:rsidRPr="00A54D04">
        <w:t xml:space="preserve">regulated </w:t>
      </w:r>
      <w:r w:rsidRPr="00A54D04">
        <w:t xml:space="preserve">storage fees are appropriate. </w:t>
      </w:r>
      <w:r w:rsidR="00BD58EB" w:rsidRPr="00A54D04">
        <w:t xml:space="preserve">We </w:t>
      </w:r>
      <w:r w:rsidR="00085EF3" w:rsidRPr="00A54D04">
        <w:t>therefore</w:t>
      </w:r>
      <w:r w:rsidR="00BD58EB" w:rsidRPr="00A54D04">
        <w:t xml:space="preserve"> recommend</w:t>
      </w:r>
      <w:r w:rsidRPr="00A54D04">
        <w:t xml:space="preserve"> storage fees </w:t>
      </w:r>
      <w:r w:rsidR="006E49F5" w:rsidRPr="00A54D04">
        <w:t>for</w:t>
      </w:r>
      <w:r w:rsidRPr="00A54D04">
        <w:t xml:space="preserve"> the Melbourne controlled area </w:t>
      </w:r>
      <w:r w:rsidR="00A545AE" w:rsidRPr="00A54D04">
        <w:t>are not</w:t>
      </w:r>
      <w:r w:rsidR="00B71C30" w:rsidRPr="00A54D04">
        <w:t xml:space="preserve"> </w:t>
      </w:r>
      <w:r w:rsidRPr="00A54D04">
        <w:t xml:space="preserve">changed beyond </w:t>
      </w:r>
      <w:r w:rsidR="005D3C62" w:rsidRPr="00A54D04">
        <w:t>the annual adjustment mechanism.</w:t>
      </w:r>
    </w:p>
    <w:p w14:paraId="5A480E23" w14:textId="314D65FA" w:rsidR="00F8760D" w:rsidRPr="00A54D04" w:rsidRDefault="00FE3CE5" w:rsidP="00F8760D">
      <w:pPr>
        <w:pStyle w:val="Heading1numbered"/>
      </w:pPr>
      <w:bookmarkStart w:id="158" w:name="_Toc199231564"/>
      <w:r w:rsidRPr="00A54D04">
        <w:lastRenderedPageBreak/>
        <w:t>Productivity adjustment</w:t>
      </w:r>
      <w:bookmarkEnd w:id="158"/>
    </w:p>
    <w:p w14:paraId="09E6C337" w14:textId="77777777" w:rsidR="003B1402" w:rsidRPr="00A54D04" w:rsidRDefault="00E854D2" w:rsidP="006659A4">
      <w:pPr>
        <w:pStyle w:val="Pull-out"/>
      </w:pPr>
      <w:bookmarkStart w:id="159" w:name="_Toc87891231"/>
      <w:bookmarkStart w:id="160" w:name="_Toc88486952"/>
      <w:bookmarkStart w:id="161" w:name="_Toc90279073"/>
      <w:bookmarkStart w:id="162" w:name="_Toc97931405"/>
      <w:bookmarkStart w:id="163" w:name="_Toc99634701"/>
      <w:r w:rsidRPr="00A54D04">
        <w:rPr>
          <w:b/>
          <w:bCs/>
        </w:rPr>
        <w:t xml:space="preserve">Recommendation 3: </w:t>
      </w:r>
      <w:r w:rsidRPr="00A54D04">
        <w:rPr>
          <w:b/>
        </w:rPr>
        <w:t>The productivity adjustment factor should remain unchanged at 0.5 per cent.</w:t>
      </w:r>
    </w:p>
    <w:p w14:paraId="3F258519" w14:textId="4484F1F1" w:rsidR="00FA1610" w:rsidRDefault="00FB6534" w:rsidP="006659A4">
      <w:pPr>
        <w:pStyle w:val="Pull-out"/>
      </w:pPr>
      <w:r w:rsidRPr="00FB6534">
        <w:t>We are required to recommend a value for the productivity adjustment factor. In doing this, we are guided by the ‘default’ 0.5 per cent specified in the Accident Towing Services Act.</w:t>
      </w:r>
    </w:p>
    <w:p w14:paraId="0AD120D0" w14:textId="60B37D40" w:rsidR="00FB6534" w:rsidRPr="00A54D04" w:rsidRDefault="00FA1610" w:rsidP="006659A4">
      <w:pPr>
        <w:pStyle w:val="Pull-out"/>
      </w:pPr>
      <w:r w:rsidRPr="00FA1610">
        <w:t xml:space="preserve">The purpose of the productivity adjustment factor is to provide incentives for tow truck operators to </w:t>
      </w:r>
      <w:r w:rsidR="00556F43">
        <w:t>improve their</w:t>
      </w:r>
      <w:r w:rsidRPr="00FA1610">
        <w:t xml:space="preserve"> efficienc</w:t>
      </w:r>
      <w:r w:rsidR="00556F43">
        <w:t>y</w:t>
      </w:r>
      <w:r w:rsidRPr="00FA1610">
        <w:t xml:space="preserve"> over time.</w:t>
      </w:r>
    </w:p>
    <w:p w14:paraId="709BF8E6" w14:textId="248F1677" w:rsidR="003458BB" w:rsidRPr="00A54D04" w:rsidRDefault="003458BB" w:rsidP="006659A4">
      <w:pPr>
        <w:pStyle w:val="Pull-out"/>
      </w:pPr>
      <w:r w:rsidRPr="00A54D04">
        <w:t xml:space="preserve">Despite declines </w:t>
      </w:r>
      <w:r w:rsidR="00F2286B">
        <w:t xml:space="preserve">of productivity associated with </w:t>
      </w:r>
      <w:r w:rsidRPr="00A54D04">
        <w:t>the coronavirus pandemic, there has been a recent up-</w:t>
      </w:r>
      <w:r w:rsidR="00F2286B" w:rsidRPr="00A54D04">
        <w:t>t</w:t>
      </w:r>
      <w:r w:rsidR="00F2286B">
        <w:t>ick</w:t>
      </w:r>
      <w:r w:rsidR="00F2286B" w:rsidRPr="00A54D04">
        <w:t xml:space="preserve"> </w:t>
      </w:r>
      <w:r w:rsidRPr="00A54D04">
        <w:t xml:space="preserve">in </w:t>
      </w:r>
      <w:r w:rsidR="00941A06" w:rsidRPr="00A54D04">
        <w:t>most</w:t>
      </w:r>
      <w:r w:rsidRPr="00A54D04">
        <w:t xml:space="preserve"> productivity measures.</w:t>
      </w:r>
    </w:p>
    <w:p w14:paraId="78F1B751" w14:textId="2C6C0DCA" w:rsidR="0039389D" w:rsidRPr="00A54D04" w:rsidRDefault="006659A4" w:rsidP="006659A4">
      <w:pPr>
        <w:pStyle w:val="Pull-out"/>
      </w:pPr>
      <w:r w:rsidRPr="00A54D04">
        <w:t>T</w:t>
      </w:r>
      <w:r w:rsidR="003458BB" w:rsidRPr="00A54D04">
        <w:t xml:space="preserve">he </w:t>
      </w:r>
      <w:r w:rsidR="00B2242B">
        <w:t>default</w:t>
      </w:r>
      <w:r w:rsidR="003458BB" w:rsidRPr="00A54D04">
        <w:t xml:space="preserve"> productivity adjustment factor of 0.5 per cent falls within the range of </w:t>
      </w:r>
      <w:r w:rsidR="00191DDF" w:rsidRPr="00A54D04">
        <w:t>the</w:t>
      </w:r>
      <w:r w:rsidR="003458BB" w:rsidRPr="00A54D04">
        <w:t xml:space="preserve"> measures we examined.</w:t>
      </w:r>
    </w:p>
    <w:p w14:paraId="13E6D303" w14:textId="3FAEF1B3" w:rsidR="00AF0680" w:rsidRDefault="003D2332" w:rsidP="00793735">
      <w:pPr>
        <w:pStyle w:val="Pull-out"/>
      </w:pPr>
      <w:r w:rsidRPr="00A54D04">
        <w:t>A</w:t>
      </w:r>
      <w:r w:rsidR="0075664F" w:rsidRPr="00A54D04">
        <w:t xml:space="preserve"> </w:t>
      </w:r>
      <w:r w:rsidR="00F2286B">
        <w:t>rule</w:t>
      </w:r>
      <w:r w:rsidR="00FA79EF">
        <w:t xml:space="preserve"> in the annual adjustment mechanism</w:t>
      </w:r>
      <w:r w:rsidR="00F2286B" w:rsidRPr="00A54D04">
        <w:t xml:space="preserve"> </w:t>
      </w:r>
      <w:r w:rsidR="00F2286B">
        <w:t>which prevents</w:t>
      </w:r>
      <w:r w:rsidR="0075664F" w:rsidRPr="00A54D04">
        <w:t xml:space="preserve"> fees from decreasing</w:t>
      </w:r>
      <w:r w:rsidR="00F2286B">
        <w:t xml:space="preserve">, </w:t>
      </w:r>
      <w:r w:rsidR="00CD0015" w:rsidRPr="00A54D04">
        <w:t xml:space="preserve">has </w:t>
      </w:r>
      <w:r w:rsidR="00F2286B">
        <w:t>allowed</w:t>
      </w:r>
      <w:r w:rsidR="00E340B3" w:rsidRPr="00A54D04">
        <w:t xml:space="preserve"> tow</w:t>
      </w:r>
      <w:r w:rsidR="007F48F4" w:rsidRPr="00A54D04">
        <w:t xml:space="preserve"> t</w:t>
      </w:r>
      <w:r w:rsidR="007E1D9A" w:rsidRPr="00A54D04">
        <w:t>ruck operators</w:t>
      </w:r>
      <w:r w:rsidRPr="00A54D04">
        <w:t xml:space="preserve"> </w:t>
      </w:r>
      <w:r w:rsidR="00F2286B">
        <w:t>to benefit from productivity gains rather than pass those savings on to consumers</w:t>
      </w:r>
      <w:r w:rsidR="0039389D" w:rsidRPr="00A54D04">
        <w:t>.</w:t>
      </w:r>
    </w:p>
    <w:p w14:paraId="1B967D31" w14:textId="2506C098" w:rsidR="0031284C" w:rsidRPr="00A54D04" w:rsidRDefault="0031284C" w:rsidP="0031284C">
      <w:pPr>
        <w:pStyle w:val="Pull-out"/>
      </w:pPr>
      <w:r w:rsidRPr="00A54D04">
        <w:t xml:space="preserve">We did </w:t>
      </w:r>
      <w:r w:rsidR="00076530">
        <w:t xml:space="preserve">not </w:t>
      </w:r>
      <w:r w:rsidR="00556F43">
        <w:t xml:space="preserve">find sufficient </w:t>
      </w:r>
      <w:r w:rsidR="004310D8">
        <w:t xml:space="preserve">evidence to </w:t>
      </w:r>
      <w:r w:rsidRPr="00A54D04">
        <w:t>recommend a different productivity adjustment factor.</w:t>
      </w:r>
    </w:p>
    <w:p w14:paraId="7FEF8725" w14:textId="77777777" w:rsidR="00037D5E" w:rsidRDefault="003458BB" w:rsidP="003458BB">
      <w:r w:rsidRPr="00A54D04">
        <w:t xml:space="preserve">We are required under section 212A(1)(c) of the Accident Towing Services Act to recommend to the Minister for Roads and Road Safety </w:t>
      </w:r>
      <w:r w:rsidR="00D92A9D" w:rsidRPr="00A54D04">
        <w:t>a</w:t>
      </w:r>
      <w:r w:rsidRPr="00A54D04">
        <w:t xml:space="preserve"> </w:t>
      </w:r>
      <w:r w:rsidR="00EB1280" w:rsidRPr="00A54D04">
        <w:t xml:space="preserve">figure for the </w:t>
      </w:r>
      <w:r w:rsidRPr="00A54D04">
        <w:t>productivity adjustment factor to</w:t>
      </w:r>
      <w:r w:rsidR="00D92A9D" w:rsidRPr="00A54D04">
        <w:t xml:space="preserve"> </w:t>
      </w:r>
      <w:r w:rsidR="00EB1280" w:rsidRPr="00A54D04">
        <w:t xml:space="preserve">apply to </w:t>
      </w:r>
      <w:r w:rsidRPr="00A54D04">
        <w:t>fees.</w:t>
      </w:r>
      <w:r w:rsidR="00504CEA">
        <w:t xml:space="preserve"> </w:t>
      </w:r>
    </w:p>
    <w:p w14:paraId="2BAD0A87" w14:textId="349967B5" w:rsidR="003458BB" w:rsidRDefault="003458BB" w:rsidP="003458BB">
      <w:r w:rsidRPr="00A54D04">
        <w:t xml:space="preserve">This chapter </w:t>
      </w:r>
      <w:r w:rsidR="000B7B63" w:rsidRPr="00A54D04">
        <w:t xml:space="preserve">summarises stakeholder views, </w:t>
      </w:r>
      <w:r w:rsidRPr="00A54D04">
        <w:t xml:space="preserve">explores how productivity has been changing in the </w:t>
      </w:r>
      <w:r w:rsidR="001D6739" w:rsidRPr="00A54D04">
        <w:t xml:space="preserve">Melbourne </w:t>
      </w:r>
      <w:r w:rsidRPr="00A54D04">
        <w:t>accident towing industry and explains the reason</w:t>
      </w:r>
      <w:r w:rsidR="001D6739" w:rsidRPr="00A54D04">
        <w:t>s</w:t>
      </w:r>
      <w:r w:rsidRPr="00A54D04">
        <w:t xml:space="preserve"> for our recommendation.</w:t>
      </w:r>
    </w:p>
    <w:p w14:paraId="1CB8501F" w14:textId="7C569519" w:rsidR="00037D5E" w:rsidRDefault="00037D5E" w:rsidP="00CD3717">
      <w:pPr>
        <w:pStyle w:val="Heading3"/>
      </w:pPr>
      <w:bookmarkStart w:id="164" w:name="_Toc199231565"/>
      <w:r>
        <w:t>The annual adjustment mechanism</w:t>
      </w:r>
      <w:r w:rsidR="00B63DB3">
        <w:t xml:space="preserve"> and </w:t>
      </w:r>
      <w:r w:rsidRPr="00037D5E">
        <w:t>our role</w:t>
      </w:r>
      <w:bookmarkEnd w:id="164"/>
    </w:p>
    <w:p w14:paraId="64305DDA" w14:textId="429CAACE" w:rsidR="00451A47" w:rsidRDefault="00B63DB3" w:rsidP="00451A47">
      <w:r>
        <w:t>R</w:t>
      </w:r>
      <w:r w:rsidRPr="00A54D04">
        <w:t xml:space="preserve">egulated </w:t>
      </w:r>
      <w:r>
        <w:t xml:space="preserve">accident </w:t>
      </w:r>
      <w:r w:rsidRPr="00A54D04">
        <w:t>towing and storage fees are adjusted by an ‘annual adjustment mechanism’ each year according to a formula to account for changes in costs and productivity</w:t>
      </w:r>
      <w:r>
        <w:t>.</w:t>
      </w:r>
      <w:r w:rsidRPr="00A54D04">
        <w:t xml:space="preserve"> (</w:t>
      </w:r>
      <w:r>
        <w:t>S</w:t>
      </w:r>
      <w:r w:rsidRPr="00A54D04">
        <w:t xml:space="preserve">ee Appendix </w:t>
      </w:r>
      <w:r w:rsidR="00F170DF">
        <w:t>D</w:t>
      </w:r>
      <w:r w:rsidRPr="00A54D04">
        <w:t xml:space="preserve"> for more information on the formula and how the mechanism works</w:t>
      </w:r>
      <w:r>
        <w:t>.</w:t>
      </w:r>
      <w:r w:rsidRPr="00A54D04">
        <w:t>)</w:t>
      </w:r>
      <w:r>
        <w:t xml:space="preserve"> </w:t>
      </w:r>
      <w:r w:rsidR="00451A47" w:rsidRPr="00B63DB3">
        <w:t>The formula is set out in section 212H of the</w:t>
      </w:r>
      <w:r w:rsidR="00451A47" w:rsidRPr="00451A47">
        <w:t xml:space="preserve"> </w:t>
      </w:r>
      <w:r w:rsidR="00451A47">
        <w:t xml:space="preserve">Accident Towing Services </w:t>
      </w:r>
      <w:r w:rsidR="00451A47" w:rsidRPr="00A54D04">
        <w:t>Act</w:t>
      </w:r>
      <w:r w:rsidR="00451A47">
        <w:t>.</w:t>
      </w:r>
    </w:p>
    <w:p w14:paraId="54091285" w14:textId="5F095D64" w:rsidR="00FB6534" w:rsidRDefault="00451A47" w:rsidP="003458BB">
      <w:r>
        <w:t xml:space="preserve">The formula includes a </w:t>
      </w:r>
      <w:r w:rsidRPr="00A54D04">
        <w:t>productivity adjustment factor</w:t>
      </w:r>
      <w:r>
        <w:t xml:space="preserve">, which </w:t>
      </w:r>
      <w:r w:rsidRPr="00A54D04">
        <w:t xml:space="preserve">the </w:t>
      </w:r>
      <w:r>
        <w:t xml:space="preserve">Accident Towing Services </w:t>
      </w:r>
      <w:r w:rsidRPr="00A54D04">
        <w:t>Act specifies is 0.5 per cent unless we recommend a different figure.</w:t>
      </w:r>
      <w:r w:rsidR="00320F16">
        <w:t xml:space="preserve"> It is designed to </w:t>
      </w:r>
      <w:r w:rsidR="00320F16" w:rsidRPr="00320F16">
        <w:t>provid</w:t>
      </w:r>
      <w:r w:rsidR="00320F16">
        <w:t xml:space="preserve">e </w:t>
      </w:r>
      <w:r w:rsidR="00320F16" w:rsidRPr="00320F16">
        <w:t xml:space="preserve">an incentive for </w:t>
      </w:r>
      <w:r w:rsidR="00FA1610">
        <w:t>tow truck operators</w:t>
      </w:r>
      <w:r w:rsidR="00320F16" w:rsidRPr="00320F16">
        <w:t xml:space="preserve"> to improve their efficiency</w:t>
      </w:r>
      <w:r w:rsidR="00320F16">
        <w:t xml:space="preserve"> over time, so that </w:t>
      </w:r>
      <w:r w:rsidR="00FB6534">
        <w:t>cost savings are passed on to consumers.</w:t>
      </w:r>
    </w:p>
    <w:p w14:paraId="45845314" w14:textId="628BC673" w:rsidR="00037D5E" w:rsidRPr="00A54D04" w:rsidRDefault="00B63DB3" w:rsidP="003458BB">
      <w:r w:rsidRPr="00B63DB3">
        <w:lastRenderedPageBreak/>
        <w:t xml:space="preserve">Our role is to recommend a figure for the productivity adjustment factor. In doing this, we are guided by the 0.005 (0.5 per cent) specified in the formula. It is effectively a </w:t>
      </w:r>
      <w:r w:rsidR="00BC2FCA">
        <w:t>‘</w:t>
      </w:r>
      <w:r w:rsidRPr="00B63DB3">
        <w:t>default’ and acts as a reference point. This means we consider whether the default is appropriate. If we find that it is not appropriate, we make a recommendation on what value the productivity adjustment factor should be</w:t>
      </w:r>
      <w:r w:rsidR="00FB6534">
        <w:t>.</w:t>
      </w:r>
      <w:r w:rsidR="00FB6534">
        <w:rPr>
          <w:rStyle w:val="FootnoteReference"/>
        </w:rPr>
        <w:footnoteReference w:id="43"/>
      </w:r>
    </w:p>
    <w:p w14:paraId="78C552BA" w14:textId="1A1953AE" w:rsidR="00865D26" w:rsidRPr="00A54D04" w:rsidRDefault="001536F1" w:rsidP="00A62ADB">
      <w:pPr>
        <w:pStyle w:val="Heading2"/>
      </w:pPr>
      <w:bookmarkStart w:id="165" w:name="_Toc199231566"/>
      <w:r w:rsidRPr="00A54D04">
        <w:t>The VACC d</w:t>
      </w:r>
      <w:r w:rsidR="00A929B8" w:rsidRPr="00A54D04">
        <w:t>isagrees</w:t>
      </w:r>
      <w:r w:rsidR="00B3396C" w:rsidRPr="00A54D04">
        <w:t xml:space="preserve"> with</w:t>
      </w:r>
      <w:r w:rsidR="00927903" w:rsidRPr="00A54D04">
        <w:t xml:space="preserve"> using a</w:t>
      </w:r>
      <w:r w:rsidR="000D265F" w:rsidRPr="00A54D04">
        <w:t xml:space="preserve"> productivity adjustment factor</w:t>
      </w:r>
      <w:bookmarkEnd w:id="165"/>
    </w:p>
    <w:p w14:paraId="45039C23" w14:textId="460483FF" w:rsidR="00865D26" w:rsidRPr="00A54D04" w:rsidRDefault="00865D26" w:rsidP="00865D26">
      <w:r w:rsidRPr="00A54D04">
        <w:t xml:space="preserve">The VACC </w:t>
      </w:r>
      <w:r w:rsidR="00BA14F5" w:rsidRPr="00A54D04">
        <w:t xml:space="preserve">considered </w:t>
      </w:r>
      <w:r w:rsidR="00C5340F" w:rsidRPr="00A54D04">
        <w:t>a productivity adjustment factor should not be used</w:t>
      </w:r>
      <w:r w:rsidRPr="00A54D04">
        <w:t xml:space="preserve"> not</w:t>
      </w:r>
      <w:r w:rsidR="003075A9" w:rsidRPr="00A54D04">
        <w:t>ing</w:t>
      </w:r>
      <w:r w:rsidR="009D1EBD" w:rsidRPr="00A54D04">
        <w:t>:</w:t>
      </w:r>
    </w:p>
    <w:p w14:paraId="3689BA37" w14:textId="3CE232FD" w:rsidR="00865D26" w:rsidRPr="00A54D04" w:rsidDel="001D6739" w:rsidRDefault="00E46B67" w:rsidP="00865D26">
      <w:pPr>
        <w:pStyle w:val="Quote"/>
      </w:pPr>
      <w:r w:rsidRPr="00A54D04" w:rsidDel="001D6739">
        <w:t>…m</w:t>
      </w:r>
      <w:r w:rsidR="00865D26" w:rsidRPr="00A54D04" w:rsidDel="001D6739">
        <w:t>uch of the efficiencies within the industry have already been realised or are outside of its control and imposing further efficiency targets will impact on the long</w:t>
      </w:r>
      <w:r w:rsidR="00626BCB" w:rsidRPr="00A54D04" w:rsidDel="001D6739">
        <w:t>-</w:t>
      </w:r>
      <w:r w:rsidR="00865D26" w:rsidRPr="00A54D04" w:rsidDel="001D6739">
        <w:t>term viability of the industry…</w:t>
      </w:r>
      <w:r w:rsidR="00060E54" w:rsidRPr="00A54D04">
        <w:rPr>
          <w:rStyle w:val="FootnoteReference"/>
        </w:rPr>
        <w:footnoteReference w:id="44"/>
      </w:r>
    </w:p>
    <w:p w14:paraId="5CB99F1A" w14:textId="1E088FE8" w:rsidR="00865D26" w:rsidRPr="00A54D04" w:rsidRDefault="00865D26" w:rsidP="00865D26">
      <w:r w:rsidRPr="00A54D04">
        <w:t xml:space="preserve">The VACC contended accident towing operators’ ability to improve productivity is limited by </w:t>
      </w:r>
      <w:r w:rsidR="004201CA">
        <w:t>multiple</w:t>
      </w:r>
      <w:r w:rsidRPr="00A54D04">
        <w:t xml:space="preserve"> factors, including:</w:t>
      </w:r>
    </w:p>
    <w:p w14:paraId="5819A174" w14:textId="77777777" w:rsidR="00865D26" w:rsidRPr="00A54D04" w:rsidRDefault="00865D26" w:rsidP="00865D26">
      <w:pPr>
        <w:pStyle w:val="ListBullet"/>
      </w:pPr>
      <w:r w:rsidRPr="00A54D04">
        <w:t>the volume and allocation of output is not controlled by the industry</w:t>
      </w:r>
    </w:p>
    <w:p w14:paraId="6A53C664" w14:textId="30D2F317" w:rsidR="00865D26" w:rsidRPr="00A54D04" w:rsidRDefault="00865D26" w:rsidP="00865D26">
      <w:pPr>
        <w:pStyle w:val="ListBullet"/>
      </w:pPr>
      <w:r w:rsidRPr="00A54D04">
        <w:t>rising operational and compliance costs</w:t>
      </w:r>
    </w:p>
    <w:p w14:paraId="792E8FE1" w14:textId="309AAECD" w:rsidR="008561A1" w:rsidRPr="00A54D04" w:rsidRDefault="00CA0302" w:rsidP="00865D26">
      <w:pPr>
        <w:pStyle w:val="ListBullet"/>
      </w:pPr>
      <w:r w:rsidRPr="00A54D04">
        <w:t>increasing</w:t>
      </w:r>
      <w:r w:rsidR="008561A1" w:rsidRPr="00A54D04">
        <w:t xml:space="preserve"> congestion </w:t>
      </w:r>
      <w:r w:rsidRPr="00A54D04">
        <w:t>is likely to be contributing</w:t>
      </w:r>
      <w:r w:rsidR="008561A1" w:rsidRPr="00A54D04">
        <w:t xml:space="preserve"> </w:t>
      </w:r>
      <w:r w:rsidRPr="00A54D04">
        <w:t>to cost increases</w:t>
      </w:r>
    </w:p>
    <w:p w14:paraId="17415456" w14:textId="025FECFF" w:rsidR="001305C0" w:rsidRPr="00A54D04" w:rsidRDefault="00FA17A6" w:rsidP="003F6DAC">
      <w:pPr>
        <w:pStyle w:val="ListBullet"/>
      </w:pPr>
      <w:r w:rsidRPr="00A54D04">
        <w:t xml:space="preserve">capital productivity is hampered by </w:t>
      </w:r>
      <w:r w:rsidR="00865D26" w:rsidRPr="00A54D04">
        <w:t>tight regulations (for example, legislation prohibiting towing operators from towing two vehicles via one truck).</w:t>
      </w:r>
      <w:r w:rsidR="00865D26" w:rsidRPr="00A54D04">
        <w:rPr>
          <w:rStyle w:val="FootnoteReference"/>
        </w:rPr>
        <w:footnoteReference w:id="45"/>
      </w:r>
    </w:p>
    <w:p w14:paraId="70548B44" w14:textId="49856D3B" w:rsidR="003F6DAC" w:rsidRPr="00A54D04" w:rsidRDefault="00222CBB" w:rsidP="00850E95">
      <w:r>
        <w:t>Our role is to make a recommendation on the figure for the productivity adjustment factor only</w:t>
      </w:r>
      <w:r w:rsidR="00625F0F">
        <w:t>, not on whether the productivity adjustment factor should exist</w:t>
      </w:r>
      <w:r>
        <w:t>.</w:t>
      </w:r>
      <w:r w:rsidR="00EC1A2D" w:rsidRPr="00A54D04">
        <w:t xml:space="preserve"> </w:t>
      </w:r>
      <w:r w:rsidR="00532DBA">
        <w:t>W</w:t>
      </w:r>
      <w:r w:rsidR="00EC1A2D" w:rsidRPr="00A54D04">
        <w:t xml:space="preserve">e could consider a </w:t>
      </w:r>
      <w:r w:rsidR="00706911" w:rsidRPr="00A54D04">
        <w:t>figure</w:t>
      </w:r>
      <w:r w:rsidR="00EC1A2D" w:rsidRPr="00A54D04">
        <w:t xml:space="preserve"> </w:t>
      </w:r>
      <w:r>
        <w:t>of</w:t>
      </w:r>
      <w:r w:rsidR="00D92A9D" w:rsidRPr="00A54D04">
        <w:t xml:space="preserve"> zero </w:t>
      </w:r>
      <w:r w:rsidR="00EC1A2D" w:rsidRPr="00A54D04">
        <w:t xml:space="preserve">which </w:t>
      </w:r>
      <w:r w:rsidR="00D92A9D" w:rsidRPr="00A54D04">
        <w:t xml:space="preserve">would have </w:t>
      </w:r>
      <w:r w:rsidR="00A92179" w:rsidRPr="00A54D04">
        <w:t>the same effect</w:t>
      </w:r>
      <w:r w:rsidR="00263A5B" w:rsidRPr="00A54D04">
        <w:t xml:space="preserve">. </w:t>
      </w:r>
      <w:r w:rsidR="00532DBA">
        <w:t>However, the information available to us does not support</w:t>
      </w:r>
      <w:r w:rsidR="004201CA">
        <w:t xml:space="preserve"> moving to</w:t>
      </w:r>
      <w:r w:rsidR="00532DBA">
        <w:t xml:space="preserve"> this.</w:t>
      </w:r>
    </w:p>
    <w:p w14:paraId="24B7CC81" w14:textId="37383F96" w:rsidR="007722C1" w:rsidRPr="00A54D04" w:rsidRDefault="00611B92" w:rsidP="007722C1">
      <w:pPr>
        <w:pStyle w:val="Heading2"/>
      </w:pPr>
      <w:bookmarkStart w:id="166" w:name="_Toc199231567"/>
      <w:r w:rsidRPr="00A54D04">
        <w:lastRenderedPageBreak/>
        <w:t xml:space="preserve">Recent </w:t>
      </w:r>
      <w:r w:rsidR="004201CA">
        <w:t>data</w:t>
      </w:r>
      <w:r w:rsidRPr="00A54D04">
        <w:t xml:space="preserve"> suggests current productivity factor still appropriate</w:t>
      </w:r>
      <w:bookmarkEnd w:id="166"/>
      <w:r w:rsidRPr="00A54D04">
        <w:t xml:space="preserve"> </w:t>
      </w:r>
    </w:p>
    <w:p w14:paraId="48B94879" w14:textId="196EEC65" w:rsidR="009641A4" w:rsidRPr="00A54D04" w:rsidRDefault="00423CD3" w:rsidP="001A5624">
      <w:r w:rsidRPr="00A54D04">
        <w:t xml:space="preserve">While there have </w:t>
      </w:r>
      <w:r w:rsidR="00927CAC" w:rsidRPr="00A54D04">
        <w:t xml:space="preserve">been </w:t>
      </w:r>
      <w:r w:rsidRPr="00A54D04">
        <w:t xml:space="preserve">declines in productivity growth, there </w:t>
      </w:r>
      <w:r w:rsidR="00927CAC" w:rsidRPr="00A54D04">
        <w:t>was</w:t>
      </w:r>
      <w:r w:rsidR="001A5624" w:rsidRPr="00A54D04">
        <w:t xml:space="preserve"> a recent up-turn in </w:t>
      </w:r>
      <w:r w:rsidRPr="00A54D04">
        <w:t xml:space="preserve">many </w:t>
      </w:r>
      <w:r w:rsidR="001A5624" w:rsidRPr="00A54D04">
        <w:t xml:space="preserve">of </w:t>
      </w:r>
      <w:r w:rsidR="006915A3" w:rsidRPr="00A54D04">
        <w:t xml:space="preserve">the </w:t>
      </w:r>
      <w:r w:rsidR="001A5624" w:rsidRPr="00A54D04">
        <w:t xml:space="preserve">productivity measures </w:t>
      </w:r>
      <w:r w:rsidRPr="00A54D04">
        <w:t>we examined</w:t>
      </w:r>
      <w:r w:rsidR="00405D64" w:rsidRPr="00A54D04">
        <w:t xml:space="preserve">. </w:t>
      </w:r>
      <w:r w:rsidRPr="00A54D04">
        <w:t xml:space="preserve">This </w:t>
      </w:r>
      <w:r w:rsidR="001A5624" w:rsidRPr="00A54D04">
        <w:t>suggest</w:t>
      </w:r>
      <w:r w:rsidRPr="00A54D04">
        <w:t>s</w:t>
      </w:r>
      <w:r w:rsidR="001A5624" w:rsidRPr="00A54D04">
        <w:t xml:space="preserve"> the current productivity adjustment factor is within the range of that which might be achieved in the accident towing industry.</w:t>
      </w:r>
    </w:p>
    <w:p w14:paraId="1BDC505E" w14:textId="460BC997" w:rsidR="005A24E2" w:rsidRPr="00A54D04" w:rsidRDefault="00423CD3" w:rsidP="005A24E2">
      <w:r w:rsidRPr="00A54D04">
        <w:t>The</w:t>
      </w:r>
      <w:r w:rsidR="000B72EF" w:rsidRPr="00A54D04">
        <w:t xml:space="preserve"> measures</w:t>
      </w:r>
      <w:r w:rsidR="006A788D" w:rsidRPr="00A54D04">
        <w:t xml:space="preserve"> </w:t>
      </w:r>
      <w:r w:rsidRPr="00A54D04">
        <w:t xml:space="preserve">we used </w:t>
      </w:r>
      <w:r w:rsidR="002F7B42" w:rsidRPr="00A54D04">
        <w:t xml:space="preserve">to estimate </w:t>
      </w:r>
      <w:r w:rsidR="006A788D" w:rsidRPr="00A54D04">
        <w:t>productivity</w:t>
      </w:r>
      <w:r w:rsidR="00A62C9C" w:rsidRPr="00A54D04">
        <w:t xml:space="preserve"> changes</w:t>
      </w:r>
      <w:r w:rsidR="002F7B42" w:rsidRPr="00A54D04">
        <w:t xml:space="preserve"> </w:t>
      </w:r>
      <w:r w:rsidR="00927CAC" w:rsidRPr="00A54D04">
        <w:t xml:space="preserve">in </w:t>
      </w:r>
      <w:r w:rsidR="002F7B42" w:rsidRPr="00A54D04">
        <w:t xml:space="preserve">the accident towing industry </w:t>
      </w:r>
      <w:r w:rsidR="00927CAC" w:rsidRPr="00A54D04">
        <w:t>included</w:t>
      </w:r>
      <w:r w:rsidR="000B72EF" w:rsidRPr="00A54D04">
        <w:t>:</w:t>
      </w:r>
    </w:p>
    <w:p w14:paraId="428A826E" w14:textId="0F50E286" w:rsidR="000B72EF" w:rsidRPr="00A54D04" w:rsidRDefault="00FE7478" w:rsidP="00F66635">
      <w:pPr>
        <w:pStyle w:val="ListBullet"/>
      </w:pPr>
      <w:r>
        <w:rPr>
          <w:b/>
          <w:bCs/>
        </w:rPr>
        <w:t>m</w:t>
      </w:r>
      <w:r w:rsidR="000B72EF" w:rsidRPr="00A54D04">
        <w:rPr>
          <w:b/>
          <w:bCs/>
        </w:rPr>
        <w:t>ultifactor productivity</w:t>
      </w:r>
      <w:r w:rsidR="000B72EF" w:rsidRPr="00A54D04">
        <w:t xml:space="preserve"> </w:t>
      </w:r>
      <w:r w:rsidR="000B72EF" w:rsidRPr="00A54D04">
        <w:rPr>
          <w:b/>
          <w:bCs/>
        </w:rPr>
        <w:t>and partial productivity</w:t>
      </w:r>
      <w:r w:rsidR="000B72EF" w:rsidRPr="00A54D04">
        <w:t xml:space="preserve"> measures published by the Australian Bureau of Statistics (ABS)</w:t>
      </w:r>
    </w:p>
    <w:p w14:paraId="48314D8C" w14:textId="2D0EDA4A" w:rsidR="00726408" w:rsidRPr="00A54D04" w:rsidRDefault="00FE7478" w:rsidP="007C47B8">
      <w:pPr>
        <w:pStyle w:val="ListBullet"/>
      </w:pPr>
      <w:r>
        <w:rPr>
          <w:b/>
          <w:bCs/>
        </w:rPr>
        <w:t>p</w:t>
      </w:r>
      <w:r w:rsidR="000B72EF" w:rsidRPr="00A54D04">
        <w:rPr>
          <w:b/>
          <w:bCs/>
        </w:rPr>
        <w:t>artial productivity</w:t>
      </w:r>
      <w:r w:rsidR="000B72EF" w:rsidRPr="00A54D04">
        <w:t xml:space="preserve"> measures derived from data </w:t>
      </w:r>
      <w:r w:rsidR="00C14DD3" w:rsidRPr="00A54D04">
        <w:t xml:space="preserve">specific </w:t>
      </w:r>
      <w:r w:rsidR="000B72EF" w:rsidRPr="00A54D04">
        <w:t>to the accident towing industry.</w:t>
      </w:r>
    </w:p>
    <w:p w14:paraId="201C384A" w14:textId="368F21A9" w:rsidR="00726408" w:rsidRPr="00A54D04" w:rsidRDefault="00726408" w:rsidP="007C47B8">
      <w:r w:rsidRPr="00A54D04">
        <w:t>Multifactor productivity measures capture all relevant inputs and outputs for the transport, postal and warehousing sector. Partial productivity measures capture either labour productivity or capital productivity separately.</w:t>
      </w:r>
    </w:p>
    <w:p w14:paraId="6009BF4E" w14:textId="01AD1D92" w:rsidR="002B5CCD" w:rsidRPr="00A54D04" w:rsidRDefault="004767C0" w:rsidP="004767C0">
      <w:r w:rsidRPr="00A54D04">
        <w:t xml:space="preserve">Ideally, the measures we use would include all inputs and outputs that apply exactly to the accident towing industry in Melbourne. However, a </w:t>
      </w:r>
      <w:r w:rsidR="00CA5A30">
        <w:t>complete</w:t>
      </w:r>
      <w:r w:rsidRPr="00A54D04">
        <w:t xml:space="preserve"> set of information that is wholly representative of the accident towing industry is not available. </w:t>
      </w:r>
      <w:r w:rsidR="00936843" w:rsidRPr="00A54D04">
        <w:t>Therefore, w</w:t>
      </w:r>
      <w:r w:rsidR="002B5CCD" w:rsidRPr="00A54D04">
        <w:t>hile one measure alone does not capture the accident towing industry in Melbourne exactly, together they may provide a better view on how productivity has changed.</w:t>
      </w:r>
    </w:p>
    <w:p w14:paraId="1788252F" w14:textId="53BE0D67" w:rsidR="001F2244" w:rsidRPr="00A54D04" w:rsidRDefault="00506B78" w:rsidP="007C47B8">
      <w:r w:rsidRPr="00A54D04">
        <w:t xml:space="preserve">We estimated productivity growth </w:t>
      </w:r>
      <w:r w:rsidR="00FA6A95" w:rsidRPr="00A54D04">
        <w:t>for each measure</w:t>
      </w:r>
      <w:r w:rsidR="00C9211B" w:rsidRPr="00A54D04">
        <w:t xml:space="preserve"> over short, medium and long-term periods between 2013–14 and 2023–24</w:t>
      </w:r>
      <w:r w:rsidR="00CF5B91" w:rsidRPr="00A54D04">
        <w:t xml:space="preserve">. </w:t>
      </w:r>
      <w:r w:rsidR="00C722A5" w:rsidRPr="00A54D04">
        <w:t xml:space="preserve">Table </w:t>
      </w:r>
      <w:r w:rsidR="00A67E57" w:rsidRPr="00A54D04">
        <w:t>9</w:t>
      </w:r>
      <w:r w:rsidR="00C722A5" w:rsidRPr="00A54D04">
        <w:t xml:space="preserve"> shows a range </w:t>
      </w:r>
      <w:r w:rsidR="00D47E4F" w:rsidRPr="00A54D04">
        <w:t xml:space="preserve">of </w:t>
      </w:r>
      <w:r w:rsidR="005F0E7C" w:rsidRPr="00A54D04">
        <w:t xml:space="preserve">growth </w:t>
      </w:r>
      <w:r w:rsidR="005C6058" w:rsidRPr="00A54D04">
        <w:t>rates</w:t>
      </w:r>
      <w:r w:rsidR="00364F89" w:rsidRPr="00A54D04">
        <w:t xml:space="preserve"> </w:t>
      </w:r>
      <w:r w:rsidR="001C6993" w:rsidRPr="00A54D04">
        <w:t>for the different measures we consid</w:t>
      </w:r>
      <w:r w:rsidR="00684441" w:rsidRPr="00A54D04">
        <w:t>ered</w:t>
      </w:r>
      <w:r w:rsidR="006E41C1" w:rsidRPr="00A54D04">
        <w:t xml:space="preserve"> from </w:t>
      </w:r>
      <w:r w:rsidR="00A24030">
        <w:t>-</w:t>
      </w:r>
      <w:r w:rsidR="00640CF6" w:rsidRPr="00A54D04">
        <w:t>1.2</w:t>
      </w:r>
      <w:r w:rsidR="00CF5B91" w:rsidRPr="00A54D04">
        <w:t> </w:t>
      </w:r>
      <w:r w:rsidR="00640CF6" w:rsidRPr="00A54D04">
        <w:t>per</w:t>
      </w:r>
      <w:r w:rsidR="00CF5B91" w:rsidRPr="00A54D04">
        <w:t> </w:t>
      </w:r>
      <w:r w:rsidR="00640CF6" w:rsidRPr="00A54D04">
        <w:t xml:space="preserve">cent </w:t>
      </w:r>
      <w:r w:rsidR="006E41C1" w:rsidRPr="00A54D04">
        <w:t xml:space="preserve">to </w:t>
      </w:r>
      <w:r w:rsidR="00640CF6" w:rsidRPr="00A54D04">
        <w:t>8.3 per cent.</w:t>
      </w:r>
      <w:r w:rsidR="00D47E4F" w:rsidRPr="00A54D04">
        <w:t xml:space="preserve"> </w:t>
      </w:r>
    </w:p>
    <w:p w14:paraId="5C10BF50" w14:textId="561E8C37" w:rsidR="006A788D" w:rsidRPr="00A54D04" w:rsidRDefault="006A788D" w:rsidP="006A788D">
      <w:pPr>
        <w:pStyle w:val="Figure-Table-BoxHeading"/>
        <w:keepNext/>
        <w:numPr>
          <w:ilvl w:val="0"/>
          <w:numId w:val="0"/>
        </w:numPr>
        <w:spacing w:after="0"/>
      </w:pPr>
      <w:r w:rsidRPr="00A54D04">
        <w:t xml:space="preserve">Table </w:t>
      </w:r>
      <w:r w:rsidR="00A67E57" w:rsidRPr="00A54D04">
        <w:t>9</w:t>
      </w:r>
      <w:r w:rsidRPr="00A54D04">
        <w:t xml:space="preserve">. </w:t>
      </w:r>
      <w:r w:rsidR="0027523B" w:rsidRPr="00A54D04">
        <w:t>Estimated p</w:t>
      </w:r>
      <w:r w:rsidRPr="00A54D04">
        <w:t>roductivity growth, 201</w:t>
      </w:r>
      <w:r w:rsidR="00592D8A" w:rsidRPr="00A54D04">
        <w:t>3</w:t>
      </w:r>
      <w:r w:rsidRPr="00A54D04">
        <w:t>–1</w:t>
      </w:r>
      <w:r w:rsidR="00592D8A" w:rsidRPr="00A54D04">
        <w:t>4</w:t>
      </w:r>
      <w:r w:rsidRPr="00A54D04">
        <w:t xml:space="preserve"> to 2023–24</w:t>
      </w:r>
    </w:p>
    <w:tbl>
      <w:tblPr>
        <w:tblW w:w="0" w:type="auto"/>
        <w:tblBorders>
          <w:insideH w:val="single" w:sz="8" w:space="0" w:color="FFFFFF"/>
        </w:tblBorders>
        <w:tblCellMar>
          <w:top w:w="85" w:type="dxa"/>
          <w:left w:w="85" w:type="dxa"/>
          <w:bottom w:w="85" w:type="dxa"/>
          <w:right w:w="57" w:type="dxa"/>
        </w:tblCellMar>
        <w:tblLook w:val="04A0" w:firstRow="1" w:lastRow="0" w:firstColumn="1" w:lastColumn="0" w:noHBand="0" w:noVBand="1"/>
      </w:tblPr>
      <w:tblGrid>
        <w:gridCol w:w="4536"/>
        <w:gridCol w:w="2552"/>
        <w:gridCol w:w="2550"/>
      </w:tblGrid>
      <w:tr w:rsidR="006A788D" w:rsidRPr="00A54D04" w14:paraId="5F2641C2" w14:textId="77777777" w:rsidTr="00532A3A">
        <w:tc>
          <w:tcPr>
            <w:tcW w:w="4536" w:type="dxa"/>
            <w:shd w:val="clear" w:color="auto" w:fill="4986A0"/>
          </w:tcPr>
          <w:p w14:paraId="0988563A" w14:textId="77777777" w:rsidR="006A788D" w:rsidRPr="00A54D04" w:rsidRDefault="006A788D" w:rsidP="009F6333">
            <w:pPr>
              <w:pStyle w:val="TableHeading"/>
              <w:rPr>
                <w:b/>
              </w:rPr>
            </w:pPr>
            <w:r w:rsidRPr="00A54D04">
              <w:rPr>
                <w:b/>
              </w:rPr>
              <w:t>Measure</w:t>
            </w:r>
          </w:p>
        </w:tc>
        <w:tc>
          <w:tcPr>
            <w:tcW w:w="2552" w:type="dxa"/>
            <w:shd w:val="clear" w:color="auto" w:fill="4986A0"/>
          </w:tcPr>
          <w:p w14:paraId="4E60B3B4" w14:textId="77777777" w:rsidR="006A788D" w:rsidRPr="00A54D04" w:rsidRDefault="006A788D" w:rsidP="00364F89">
            <w:pPr>
              <w:pStyle w:val="TableHeading"/>
              <w:jc w:val="right"/>
              <w:rPr>
                <w:b/>
              </w:rPr>
            </w:pPr>
            <w:r w:rsidRPr="00A54D04">
              <w:rPr>
                <w:b/>
              </w:rPr>
              <w:t>Time periods considered</w:t>
            </w:r>
          </w:p>
        </w:tc>
        <w:tc>
          <w:tcPr>
            <w:tcW w:w="2550" w:type="dxa"/>
            <w:shd w:val="clear" w:color="auto" w:fill="4986A0"/>
          </w:tcPr>
          <w:p w14:paraId="6EDAE8EA" w14:textId="77777777" w:rsidR="006A788D" w:rsidRPr="00A54D04" w:rsidRDefault="006A788D" w:rsidP="00364F89">
            <w:pPr>
              <w:pStyle w:val="TableHeading"/>
              <w:jc w:val="right"/>
              <w:rPr>
                <w:b/>
              </w:rPr>
            </w:pPr>
            <w:r w:rsidRPr="00A54D04">
              <w:rPr>
                <w:b/>
              </w:rPr>
              <w:t>Productivity growth per year (%)</w:t>
            </w:r>
          </w:p>
        </w:tc>
      </w:tr>
      <w:tr w:rsidR="006A788D" w:rsidRPr="00A54D04" w14:paraId="7A392BB1" w14:textId="77777777" w:rsidTr="00532A3A">
        <w:trPr>
          <w:trHeight w:val="463"/>
        </w:trPr>
        <w:tc>
          <w:tcPr>
            <w:tcW w:w="4536" w:type="dxa"/>
            <w:shd w:val="clear" w:color="auto" w:fill="F2F2F2"/>
          </w:tcPr>
          <w:p w14:paraId="59B586EB" w14:textId="77777777" w:rsidR="006A788D" w:rsidRPr="00A54D04" w:rsidRDefault="006A788D" w:rsidP="009F6333">
            <w:pPr>
              <w:pStyle w:val="TableBody"/>
            </w:pPr>
            <w:r w:rsidRPr="00A54D04">
              <w:t>Multifactor productivity using ABS transport, postal and warehousing sector</w:t>
            </w:r>
          </w:p>
        </w:tc>
        <w:tc>
          <w:tcPr>
            <w:tcW w:w="2552" w:type="dxa"/>
            <w:shd w:val="clear" w:color="auto" w:fill="F2F2F2"/>
          </w:tcPr>
          <w:p w14:paraId="2405BE3D" w14:textId="77777777" w:rsidR="006A788D" w:rsidRPr="00A54D04" w:rsidRDefault="006A788D" w:rsidP="00364F89">
            <w:pPr>
              <w:pStyle w:val="TableBody"/>
              <w:jc w:val="right"/>
            </w:pPr>
            <w:r w:rsidRPr="00A54D04">
              <w:t>3, 5 and 10 years</w:t>
            </w:r>
          </w:p>
        </w:tc>
        <w:tc>
          <w:tcPr>
            <w:tcW w:w="2550" w:type="dxa"/>
            <w:shd w:val="clear" w:color="auto" w:fill="F2F2F2"/>
          </w:tcPr>
          <w:p w14:paraId="0B5FEDF9" w14:textId="69831577" w:rsidR="006A788D" w:rsidRPr="00A54D04" w:rsidRDefault="00A24030" w:rsidP="00364F89">
            <w:pPr>
              <w:pStyle w:val="TableBody"/>
              <w:jc w:val="right"/>
            </w:pPr>
            <w:r>
              <w:t>-</w:t>
            </w:r>
            <w:r w:rsidR="006A788D" w:rsidRPr="00A54D04">
              <w:t>0.5 to 4.5</w:t>
            </w:r>
          </w:p>
        </w:tc>
      </w:tr>
      <w:tr w:rsidR="006A788D" w:rsidRPr="00A54D04" w14:paraId="69081C45" w14:textId="77777777" w:rsidTr="00532A3A">
        <w:tc>
          <w:tcPr>
            <w:tcW w:w="4536" w:type="dxa"/>
            <w:shd w:val="clear" w:color="auto" w:fill="E3E3E4"/>
          </w:tcPr>
          <w:p w14:paraId="7E4E1504" w14:textId="77777777" w:rsidR="006A788D" w:rsidRPr="00A54D04" w:rsidRDefault="006A788D" w:rsidP="009F6333">
            <w:pPr>
              <w:pStyle w:val="TableBody"/>
            </w:pPr>
            <w:r w:rsidRPr="00A54D04">
              <w:rPr>
                <w:lang w:val="en-AU"/>
              </w:rPr>
              <w:t>Labour</w:t>
            </w:r>
            <w:r w:rsidRPr="00A54D04">
              <w:t xml:space="preserve"> productivity growth using ABS transport, postal and warehousing sector</w:t>
            </w:r>
          </w:p>
        </w:tc>
        <w:tc>
          <w:tcPr>
            <w:tcW w:w="2552" w:type="dxa"/>
            <w:shd w:val="clear" w:color="auto" w:fill="E3E3E4"/>
          </w:tcPr>
          <w:p w14:paraId="14893411" w14:textId="77777777" w:rsidR="006A788D" w:rsidRPr="00A54D04" w:rsidRDefault="006A788D" w:rsidP="00364F89">
            <w:pPr>
              <w:pStyle w:val="TableBody"/>
              <w:jc w:val="right"/>
            </w:pPr>
            <w:r w:rsidRPr="00A54D04">
              <w:t>3, 5 and 10 years</w:t>
            </w:r>
          </w:p>
        </w:tc>
        <w:tc>
          <w:tcPr>
            <w:tcW w:w="2550" w:type="dxa"/>
            <w:shd w:val="clear" w:color="auto" w:fill="E3E3E4"/>
          </w:tcPr>
          <w:p w14:paraId="6E9F1C28" w14:textId="77777777" w:rsidR="006A788D" w:rsidRPr="00A54D04" w:rsidRDefault="006A788D" w:rsidP="00364F89">
            <w:pPr>
              <w:pStyle w:val="TableBody"/>
              <w:jc w:val="right"/>
            </w:pPr>
            <w:r w:rsidRPr="00A54D04">
              <w:t>0.2 to 4.1</w:t>
            </w:r>
          </w:p>
        </w:tc>
      </w:tr>
      <w:tr w:rsidR="006A788D" w:rsidRPr="00A54D04" w14:paraId="060CD81E" w14:textId="77777777" w:rsidTr="00532A3A">
        <w:tc>
          <w:tcPr>
            <w:tcW w:w="4536" w:type="dxa"/>
            <w:shd w:val="clear" w:color="auto" w:fill="F2F2F2"/>
          </w:tcPr>
          <w:p w14:paraId="77317913" w14:textId="77777777" w:rsidR="006A788D" w:rsidRPr="00A54D04" w:rsidRDefault="006A788D" w:rsidP="009F6333">
            <w:pPr>
              <w:pStyle w:val="TableBody"/>
            </w:pPr>
            <w:r w:rsidRPr="00A54D04">
              <w:t>Capital productivity growth using ABS transport, postal and warehousing sector</w:t>
            </w:r>
          </w:p>
        </w:tc>
        <w:tc>
          <w:tcPr>
            <w:tcW w:w="2552" w:type="dxa"/>
            <w:shd w:val="clear" w:color="auto" w:fill="F2F2F2"/>
          </w:tcPr>
          <w:p w14:paraId="3FFED154" w14:textId="77777777" w:rsidR="006A788D" w:rsidRPr="00A54D04" w:rsidRDefault="006A788D" w:rsidP="00364F89">
            <w:pPr>
              <w:pStyle w:val="TableBody"/>
              <w:jc w:val="right"/>
            </w:pPr>
            <w:r w:rsidRPr="00A54D04">
              <w:t>3, 5 and 10 years</w:t>
            </w:r>
          </w:p>
        </w:tc>
        <w:tc>
          <w:tcPr>
            <w:tcW w:w="2550" w:type="dxa"/>
            <w:shd w:val="clear" w:color="auto" w:fill="F2F2F2"/>
          </w:tcPr>
          <w:p w14:paraId="2DB14E12" w14:textId="5155BDC4" w:rsidR="006A788D" w:rsidRPr="00A54D04" w:rsidRDefault="00A24030" w:rsidP="00364F89">
            <w:pPr>
              <w:pStyle w:val="TableBody"/>
              <w:jc w:val="right"/>
            </w:pPr>
            <w:r>
              <w:t>-</w:t>
            </w:r>
            <w:r w:rsidR="006A788D" w:rsidRPr="00A54D04">
              <w:t>1.2 to 5.0</w:t>
            </w:r>
          </w:p>
        </w:tc>
      </w:tr>
      <w:tr w:rsidR="006A788D" w:rsidRPr="00A54D04" w14:paraId="487AE556" w14:textId="77777777" w:rsidTr="00532A3A">
        <w:tc>
          <w:tcPr>
            <w:tcW w:w="4536" w:type="dxa"/>
            <w:shd w:val="clear" w:color="auto" w:fill="E3E3E4"/>
          </w:tcPr>
          <w:p w14:paraId="35CBA6A1" w14:textId="77777777" w:rsidR="006A788D" w:rsidRPr="00A54D04" w:rsidRDefault="006A788D" w:rsidP="009F6333">
            <w:pPr>
              <w:pStyle w:val="TableBody"/>
            </w:pPr>
            <w:r w:rsidRPr="00A54D04">
              <w:t xml:space="preserve">Industry measures – tow truck </w:t>
            </w:r>
            <w:r w:rsidRPr="00A54D04">
              <w:rPr>
                <w:lang w:val="en-AU"/>
              </w:rPr>
              <w:t>utilisation</w:t>
            </w:r>
            <w:r w:rsidRPr="00A54D04">
              <w:t xml:space="preserve"> and number of tows per licence   </w:t>
            </w:r>
          </w:p>
        </w:tc>
        <w:tc>
          <w:tcPr>
            <w:tcW w:w="2552" w:type="dxa"/>
            <w:shd w:val="clear" w:color="auto" w:fill="E3E3E4"/>
          </w:tcPr>
          <w:p w14:paraId="60C43D03" w14:textId="77777777" w:rsidR="006A788D" w:rsidRPr="00A54D04" w:rsidRDefault="006A788D" w:rsidP="00364F89">
            <w:pPr>
              <w:pStyle w:val="TableBody"/>
              <w:jc w:val="right"/>
            </w:pPr>
            <w:r w:rsidRPr="00A54D04">
              <w:t>2, 3 and 5 years</w:t>
            </w:r>
          </w:p>
        </w:tc>
        <w:tc>
          <w:tcPr>
            <w:tcW w:w="2550" w:type="dxa"/>
            <w:shd w:val="clear" w:color="auto" w:fill="E3E3E4"/>
          </w:tcPr>
          <w:p w14:paraId="636583B7" w14:textId="77777777" w:rsidR="006A788D" w:rsidRPr="00A54D04" w:rsidRDefault="006A788D" w:rsidP="00364F89">
            <w:pPr>
              <w:pStyle w:val="TableBody"/>
              <w:jc w:val="right"/>
            </w:pPr>
            <w:r w:rsidRPr="00A54D04">
              <w:t>0.8 to 8.3</w:t>
            </w:r>
          </w:p>
        </w:tc>
      </w:tr>
    </w:tbl>
    <w:p w14:paraId="1561C6CF" w14:textId="516090E7" w:rsidR="000C0FD2" w:rsidRPr="00A54D04" w:rsidRDefault="006A788D" w:rsidP="00D47E4F">
      <w:pPr>
        <w:pStyle w:val="Source"/>
        <w:jc w:val="left"/>
      </w:pPr>
      <w:r w:rsidRPr="00A54D04">
        <w:rPr>
          <w:b/>
          <w:bCs/>
        </w:rPr>
        <w:t>Note:</w:t>
      </w:r>
      <w:r w:rsidRPr="00A54D04">
        <w:t xml:space="preserve"> Growth rates are based on a compound annual growth rate</w:t>
      </w:r>
      <w:r w:rsidR="00F63EB3">
        <w:t>:</w:t>
      </w:r>
      <w:r w:rsidRPr="00A54D04">
        <w:t xml:space="preserve"> 2-year period is </w:t>
      </w:r>
      <w:r w:rsidR="006523AB" w:rsidRPr="00A54D04">
        <w:t>2021</w:t>
      </w:r>
      <w:r w:rsidRPr="00A54D04">
        <w:t>–</w:t>
      </w:r>
      <w:r w:rsidR="006523AB" w:rsidRPr="00A54D04">
        <w:t xml:space="preserve">22 </w:t>
      </w:r>
      <w:r w:rsidRPr="00A54D04">
        <w:t>to 2023–24</w:t>
      </w:r>
      <w:r w:rsidR="00F63EB3">
        <w:t>,</w:t>
      </w:r>
      <w:r w:rsidRPr="00A54D04">
        <w:t xml:space="preserve"> 3-year period is </w:t>
      </w:r>
      <w:r w:rsidR="00321DC5" w:rsidRPr="00A54D04">
        <w:t>2020</w:t>
      </w:r>
      <w:r w:rsidRPr="00A54D04">
        <w:t>–</w:t>
      </w:r>
      <w:r w:rsidR="00321DC5" w:rsidRPr="00A54D04">
        <w:t xml:space="preserve">21 </w:t>
      </w:r>
      <w:r w:rsidRPr="00A54D04">
        <w:t xml:space="preserve">to </w:t>
      </w:r>
      <w:r w:rsidR="00CE6E29" w:rsidRPr="00A54D04">
        <w:t>2023</w:t>
      </w:r>
      <w:r w:rsidRPr="00A54D04">
        <w:t>–</w:t>
      </w:r>
      <w:r w:rsidR="00CE6E29" w:rsidRPr="00A54D04">
        <w:t>24</w:t>
      </w:r>
      <w:r w:rsidR="00F63EB3">
        <w:t>,</w:t>
      </w:r>
      <w:r w:rsidRPr="00A54D04">
        <w:t xml:space="preserve"> 5-year period is </w:t>
      </w:r>
      <w:r w:rsidR="00CE6E29" w:rsidRPr="00A54D04">
        <w:t>2018</w:t>
      </w:r>
      <w:r w:rsidRPr="00A54D04">
        <w:t>–</w:t>
      </w:r>
      <w:r w:rsidR="00CE6E29" w:rsidRPr="00A54D04">
        <w:t xml:space="preserve">19 </w:t>
      </w:r>
      <w:r w:rsidRPr="00A54D04">
        <w:t>to 2023–24</w:t>
      </w:r>
      <w:r w:rsidR="00F63EB3">
        <w:t>, and</w:t>
      </w:r>
      <w:r w:rsidRPr="00A54D04">
        <w:t xml:space="preserve"> 10- year period is </w:t>
      </w:r>
      <w:r w:rsidR="00FE3271" w:rsidRPr="00A54D04">
        <w:t>2013</w:t>
      </w:r>
      <w:r w:rsidRPr="00A54D04">
        <w:t>–</w:t>
      </w:r>
      <w:r w:rsidR="00FE3271" w:rsidRPr="00A54D04">
        <w:t xml:space="preserve">14 </w:t>
      </w:r>
      <w:r w:rsidRPr="00A54D04">
        <w:t xml:space="preserve">to </w:t>
      </w:r>
      <w:r w:rsidR="00FE3271" w:rsidRPr="00A54D04">
        <w:t>2023</w:t>
      </w:r>
      <w:r w:rsidRPr="00A54D04">
        <w:t>–</w:t>
      </w:r>
      <w:r w:rsidR="00FE3271" w:rsidRPr="00A54D04">
        <w:t>24</w:t>
      </w:r>
      <w:r w:rsidR="00F63EB3">
        <w:t>.</w:t>
      </w:r>
    </w:p>
    <w:p w14:paraId="6825D370" w14:textId="2749135A" w:rsidR="00200D96" w:rsidRPr="00A54D04" w:rsidRDefault="00200D96" w:rsidP="00200D96">
      <w:r w:rsidRPr="00A54D04">
        <w:t xml:space="preserve">See Appendix </w:t>
      </w:r>
      <w:r w:rsidR="00F170DF">
        <w:t>D</w:t>
      </w:r>
      <w:r w:rsidRPr="00A54D04">
        <w:t xml:space="preserve"> for further information on our productivity analysis.</w:t>
      </w:r>
    </w:p>
    <w:p w14:paraId="58D78AA2" w14:textId="6F525A7B" w:rsidR="00EB69E0" w:rsidRPr="00A54D04" w:rsidRDefault="00170E11" w:rsidP="00DA2B22">
      <w:pPr>
        <w:pStyle w:val="Heading3"/>
      </w:pPr>
      <w:bookmarkStart w:id="167" w:name="_Toc195721908"/>
      <w:bookmarkStart w:id="168" w:name="_Toc197345263"/>
      <w:bookmarkStart w:id="169" w:name="_Toc197942432"/>
      <w:bookmarkStart w:id="170" w:name="_Toc197977705"/>
      <w:bookmarkStart w:id="171" w:name="_Toc198048694"/>
      <w:bookmarkStart w:id="172" w:name="_Toc199231568"/>
      <w:r w:rsidRPr="00A54D04">
        <w:lastRenderedPageBreak/>
        <w:t>ABS</w:t>
      </w:r>
      <w:r w:rsidR="00EB69E0" w:rsidRPr="00A54D04">
        <w:t xml:space="preserve"> measures show productivity growth since the coronavirus pandemic</w:t>
      </w:r>
      <w:bookmarkEnd w:id="167"/>
      <w:bookmarkEnd w:id="168"/>
      <w:bookmarkEnd w:id="169"/>
      <w:bookmarkEnd w:id="170"/>
      <w:bookmarkEnd w:id="171"/>
      <w:bookmarkEnd w:id="172"/>
    </w:p>
    <w:p w14:paraId="4B38AF08" w14:textId="39783AEA" w:rsidR="007D039B" w:rsidRPr="00A54D04" w:rsidRDefault="007D039B" w:rsidP="007D039B">
      <w:r w:rsidRPr="00A54D04">
        <w:t>We observed a significant drop in all productivity measures during 2019–20, 2020–2</w:t>
      </w:r>
      <w:r w:rsidR="00B05C94">
        <w:t>1</w:t>
      </w:r>
      <w:r w:rsidRPr="00A54D04">
        <w:t xml:space="preserve"> and 2021–22</w:t>
      </w:r>
      <w:r w:rsidR="00537104" w:rsidRPr="00A54D04">
        <w:t>.</w:t>
      </w:r>
      <w:r w:rsidRPr="00A54D04">
        <w:t xml:space="preserve"> This was likely due to the coronavirus pandemic. </w:t>
      </w:r>
      <w:r w:rsidR="00F63EB3">
        <w:t>T</w:t>
      </w:r>
      <w:r w:rsidR="00BA4F67" w:rsidRPr="00A54D04">
        <w:t>he transport, postal and warehousing sector recorded sharp declines in multifactor productivity and partial capital and labour productivity during these years</w:t>
      </w:r>
      <w:r w:rsidR="00F63EB3">
        <w:t xml:space="preserve"> (see Figure 2)</w:t>
      </w:r>
      <w:r w:rsidR="00BA4F67" w:rsidRPr="00A54D04">
        <w:t>.</w:t>
      </w:r>
      <w:r w:rsidR="00537104" w:rsidRPr="00A54D04">
        <w:rPr>
          <w:rStyle w:val="FootnoteReference"/>
        </w:rPr>
        <w:footnoteReference w:id="46"/>
      </w:r>
    </w:p>
    <w:p w14:paraId="589FA570" w14:textId="2DD917C9" w:rsidR="007D039B" w:rsidRPr="00A54D04" w:rsidRDefault="007D039B" w:rsidP="007D039B">
      <w:r w:rsidRPr="00A54D04">
        <w:t xml:space="preserve">However, the measures indicate that productivity growth has been largely positive since </w:t>
      </w:r>
      <w:r w:rsidR="003D6B2C" w:rsidRPr="00A54D04">
        <w:t>2021–22</w:t>
      </w:r>
      <w:r w:rsidRPr="00A54D04">
        <w:t xml:space="preserve">. At the present time, we are unable to ascertain whether this </w:t>
      </w:r>
      <w:r w:rsidR="00ED4283">
        <w:t>trend</w:t>
      </w:r>
      <w:r w:rsidR="00ED4283" w:rsidRPr="00A54D04">
        <w:t xml:space="preserve"> </w:t>
      </w:r>
      <w:r w:rsidRPr="00A54D04">
        <w:t>will be sustained</w:t>
      </w:r>
      <w:r w:rsidR="00927CAC" w:rsidRPr="00A54D04">
        <w:t>.</w:t>
      </w:r>
      <w:r w:rsidRPr="00A54D04">
        <w:t xml:space="preserve"> </w:t>
      </w:r>
    </w:p>
    <w:p w14:paraId="7B240DAC" w14:textId="7C7237C2" w:rsidR="00FF71CE" w:rsidRPr="00A54D04" w:rsidRDefault="001C0258" w:rsidP="00FF71CE">
      <w:r w:rsidRPr="00A54D04">
        <w:t>As the</w:t>
      </w:r>
      <w:r w:rsidR="00FF71CE" w:rsidRPr="00A54D04">
        <w:t xml:space="preserve"> Australia Bureau of Statistics data captures productivity growth in the transport, postal and warehousing sector</w:t>
      </w:r>
      <w:r w:rsidR="002367A1" w:rsidRPr="00A54D04">
        <w:t xml:space="preserve"> Australia-wide</w:t>
      </w:r>
      <w:r w:rsidR="00FF71CE" w:rsidRPr="00A54D04">
        <w:t xml:space="preserve">, it </w:t>
      </w:r>
      <w:r w:rsidR="00ED4283">
        <w:t xml:space="preserve">does </w:t>
      </w:r>
      <w:r w:rsidR="001416CF" w:rsidRPr="00A54D04">
        <w:t xml:space="preserve">not </w:t>
      </w:r>
      <w:r w:rsidR="00FF71CE" w:rsidRPr="00A54D04">
        <w:t>reflect what is occurring in the accident towing industry in Melbourne</w:t>
      </w:r>
      <w:r w:rsidR="00ED4283">
        <w:t xml:space="preserve"> alone</w:t>
      </w:r>
      <w:r w:rsidR="00FF71CE" w:rsidRPr="00A54D04">
        <w:t>.</w:t>
      </w:r>
    </w:p>
    <w:p w14:paraId="7E9AC198" w14:textId="106F58BD" w:rsidR="008B0F3D" w:rsidRPr="00A54D04" w:rsidRDefault="008B0F3D" w:rsidP="008B0F3D">
      <w:pPr>
        <w:pStyle w:val="Figure-Table-BoxHeading"/>
        <w:keepNext/>
        <w:numPr>
          <w:ilvl w:val="0"/>
          <w:numId w:val="0"/>
        </w:numPr>
        <w:spacing w:line="240" w:lineRule="auto"/>
        <w:rPr>
          <w:noProof/>
        </w:rPr>
      </w:pPr>
      <w:r w:rsidRPr="00A54D04">
        <w:lastRenderedPageBreak/>
        <w:t xml:space="preserve">Figure </w:t>
      </w:r>
      <w:r w:rsidR="0096085A" w:rsidRPr="00A54D04">
        <w:t>2</w:t>
      </w:r>
      <w:r w:rsidRPr="00A54D04">
        <w:t>. ABS Multifactor and partial productivity measures</w:t>
      </w:r>
      <w:r w:rsidR="00114EC2" w:rsidRPr="00A54D04">
        <w:rPr>
          <w:noProof/>
        </w:rPr>
        <w:t xml:space="preserve"> (</w:t>
      </w:r>
      <w:r w:rsidRPr="00A54D04">
        <w:rPr>
          <w:noProof/>
        </w:rPr>
        <w:t>2002</w:t>
      </w:r>
      <w:r w:rsidRPr="00A54D04">
        <w:t>–</w:t>
      </w:r>
      <w:r w:rsidRPr="00A54D04">
        <w:rPr>
          <w:noProof/>
        </w:rPr>
        <w:t>03 to 202</w:t>
      </w:r>
      <w:r w:rsidR="00453EAB" w:rsidRPr="00A54D04">
        <w:rPr>
          <w:noProof/>
        </w:rPr>
        <w:t>3</w:t>
      </w:r>
      <w:r w:rsidRPr="00A54D04">
        <w:t>–</w:t>
      </w:r>
      <w:r w:rsidRPr="00A54D04">
        <w:rPr>
          <w:noProof/>
        </w:rPr>
        <w:t>2</w:t>
      </w:r>
      <w:r w:rsidR="00DB29FE" w:rsidRPr="00A54D04">
        <w:rPr>
          <w:noProof/>
        </w:rPr>
        <w:t>4</w:t>
      </w:r>
      <w:r w:rsidR="00114EC2" w:rsidRPr="00A54D04">
        <w:rPr>
          <w:noProof/>
        </w:rPr>
        <w:t>)</w:t>
      </w:r>
    </w:p>
    <w:p w14:paraId="764A5E2B" w14:textId="27801849" w:rsidR="008B0F3D" w:rsidRPr="00A54D04" w:rsidRDefault="008B0F3D" w:rsidP="008B0F3D">
      <w:pPr>
        <w:pStyle w:val="Figure-Table-BoxSubtitle"/>
        <w:keepNext/>
        <w:spacing w:line="240" w:lineRule="auto"/>
      </w:pPr>
      <w:r w:rsidRPr="00A54D04">
        <w:t xml:space="preserve">  T</w:t>
      </w:r>
      <w:r w:rsidRPr="00A54D04">
        <w:rPr>
          <w:noProof/>
        </w:rPr>
        <w:t>ransport, postal and warehousing sector</w:t>
      </w:r>
    </w:p>
    <w:p w14:paraId="7E1352E4" w14:textId="08A2FA33" w:rsidR="007722C1" w:rsidRPr="00A54D04" w:rsidRDefault="003B7ED9" w:rsidP="003B7ED9">
      <w:pPr>
        <w:pStyle w:val="Figure-Table-BoxSubtitle"/>
        <w:keepNext/>
        <w:spacing w:line="240" w:lineRule="auto"/>
        <w:ind w:left="0"/>
      </w:pPr>
      <w:r w:rsidRPr="00A54D04">
        <w:rPr>
          <w:noProof/>
        </w:rPr>
        <w:drawing>
          <wp:inline distT="0" distB="0" distL="0" distR="0" wp14:anchorId="46FBE75A" wp14:editId="7EF9587F">
            <wp:extent cx="6120130" cy="4229100"/>
            <wp:effectExtent l="0" t="0" r="13970" b="0"/>
            <wp:docPr id="1448603690" name="Chart 1">
              <a:extLst xmlns:a="http://schemas.openxmlformats.org/drawingml/2006/main">
                <a:ext uri="{FF2B5EF4-FFF2-40B4-BE49-F238E27FC236}">
                  <a16:creationId xmlns:a16="http://schemas.microsoft.com/office/drawing/2014/main" id="{6A8A243A-672F-44C3-A830-6897E31DA8B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14:paraId="3F489D24" w14:textId="63F6E8EC" w:rsidR="00D464DE" w:rsidRPr="00A54D04" w:rsidRDefault="00D464DE" w:rsidP="00D464DE">
      <w:pPr>
        <w:pStyle w:val="Source"/>
        <w:jc w:val="left"/>
      </w:pPr>
      <w:r w:rsidRPr="00A54D04">
        <w:rPr>
          <w:b/>
          <w:bCs/>
        </w:rPr>
        <w:t>Source:</w:t>
      </w:r>
      <w:r w:rsidRPr="00A54D04">
        <w:t xml:space="preserve"> Australian Bureau of Statistics.</w:t>
      </w:r>
    </w:p>
    <w:p w14:paraId="2E48BEE4" w14:textId="518FDDD6" w:rsidR="00673086" w:rsidRPr="00A54D04" w:rsidRDefault="009F02A2" w:rsidP="00DA2B22">
      <w:pPr>
        <w:pStyle w:val="Heading3"/>
      </w:pPr>
      <w:bookmarkStart w:id="173" w:name="_Toc195721909"/>
      <w:bookmarkStart w:id="174" w:name="_Toc197345264"/>
      <w:bookmarkStart w:id="175" w:name="_Toc197942433"/>
      <w:bookmarkStart w:id="176" w:name="_Toc197977706"/>
      <w:bookmarkStart w:id="177" w:name="_Toc198048695"/>
      <w:bookmarkStart w:id="178" w:name="_Toc199231569"/>
      <w:r w:rsidRPr="00A54D04">
        <w:t xml:space="preserve">Industry </w:t>
      </w:r>
      <w:r w:rsidR="000E1016" w:rsidRPr="00A54D04">
        <w:t xml:space="preserve">data </w:t>
      </w:r>
      <w:r w:rsidR="00E37207" w:rsidRPr="00A54D04">
        <w:t>shows</w:t>
      </w:r>
      <w:r w:rsidR="008465E4" w:rsidRPr="00A54D04">
        <w:t xml:space="preserve"> mixed productivity </w:t>
      </w:r>
      <w:r w:rsidR="000A30D2" w:rsidRPr="00A54D04">
        <w:t>growth results</w:t>
      </w:r>
      <w:bookmarkEnd w:id="173"/>
      <w:bookmarkEnd w:id="174"/>
      <w:bookmarkEnd w:id="175"/>
      <w:bookmarkEnd w:id="176"/>
      <w:bookmarkEnd w:id="177"/>
      <w:bookmarkEnd w:id="178"/>
    </w:p>
    <w:p w14:paraId="054A7A04" w14:textId="71CC740B" w:rsidR="004814EC" w:rsidRPr="00A54D04" w:rsidRDefault="00EB0723" w:rsidP="004814EC">
      <w:r w:rsidRPr="00A54D04">
        <w:t>We</w:t>
      </w:r>
      <w:r w:rsidR="00582863" w:rsidRPr="00A54D04">
        <w:t xml:space="preserve"> </w:t>
      </w:r>
      <w:r w:rsidR="008244C5" w:rsidRPr="00A54D04">
        <w:t>used</w:t>
      </w:r>
      <w:r w:rsidR="0012580A" w:rsidRPr="00A54D04">
        <w:t xml:space="preserve"> three</w:t>
      </w:r>
      <w:r w:rsidR="002A44CF" w:rsidRPr="00A54D04">
        <w:t xml:space="preserve"> </w:t>
      </w:r>
      <w:r w:rsidR="00E46A74" w:rsidRPr="00A54D04">
        <w:t>partial</w:t>
      </w:r>
      <w:r w:rsidR="00DF67DA" w:rsidRPr="00A54D04">
        <w:t xml:space="preserve"> productivity</w:t>
      </w:r>
      <w:r w:rsidR="003270FF" w:rsidRPr="00A54D04">
        <w:t xml:space="preserve"> measures</w:t>
      </w:r>
      <w:r w:rsidR="00E46A74" w:rsidRPr="00A54D04">
        <w:t xml:space="preserve"> </w:t>
      </w:r>
      <w:r w:rsidR="002A44CF" w:rsidRPr="00A54D04">
        <w:t>specific to the accident towing industry in Melbourne</w:t>
      </w:r>
      <w:r w:rsidR="001F19EB" w:rsidRPr="00A54D04">
        <w:t>:</w:t>
      </w:r>
    </w:p>
    <w:p w14:paraId="6A877C10" w14:textId="77777777" w:rsidR="00354DAF" w:rsidRPr="00A54D04" w:rsidRDefault="00354DAF" w:rsidP="00354DAF">
      <w:pPr>
        <w:pStyle w:val="ListBullet"/>
      </w:pPr>
      <w:r w:rsidRPr="00A54D04">
        <w:t xml:space="preserve">the number of accident tows per licence </w:t>
      </w:r>
    </w:p>
    <w:p w14:paraId="1537AB85" w14:textId="54FBD16B" w:rsidR="004814EC" w:rsidRPr="00A54D04" w:rsidRDefault="004814EC" w:rsidP="004814EC">
      <w:pPr>
        <w:pStyle w:val="ListBullet"/>
      </w:pPr>
      <w:r w:rsidRPr="00A54D04">
        <w:t>the number of accident tows per licensed truck</w:t>
      </w:r>
      <w:r w:rsidR="00644D0C" w:rsidRPr="00A54D04">
        <w:t xml:space="preserve"> </w:t>
      </w:r>
    </w:p>
    <w:p w14:paraId="5FB406E8" w14:textId="54B2830C" w:rsidR="00833EC0" w:rsidRPr="00A54D04" w:rsidRDefault="004814EC" w:rsidP="00D5708E">
      <w:pPr>
        <w:pStyle w:val="ListBullet"/>
      </w:pPr>
      <w:r w:rsidRPr="00A54D04">
        <w:t>the</w:t>
      </w:r>
      <w:r w:rsidR="00126109" w:rsidRPr="00A54D04">
        <w:t xml:space="preserve"> average</w:t>
      </w:r>
      <w:r w:rsidRPr="00A54D04">
        <w:t xml:space="preserve"> time to </w:t>
      </w:r>
      <w:r w:rsidR="00126109" w:rsidRPr="00A54D04">
        <w:t xml:space="preserve">complete </w:t>
      </w:r>
      <w:r w:rsidRPr="00A54D04">
        <w:t>an accident tow.</w:t>
      </w:r>
    </w:p>
    <w:p w14:paraId="163654CE" w14:textId="6960CA30" w:rsidR="00833EC0" w:rsidRPr="00A54D04" w:rsidRDefault="00AC5843" w:rsidP="00D5708E">
      <w:r w:rsidRPr="00A54D04">
        <w:t>Overall, t</w:t>
      </w:r>
      <w:r w:rsidR="00833EC0" w:rsidRPr="00A54D04">
        <w:t>hese measures show that the</w:t>
      </w:r>
      <w:r w:rsidR="00C6451C" w:rsidRPr="00A54D04">
        <w:t>re are more</w:t>
      </w:r>
      <w:r w:rsidR="002F55F1" w:rsidRPr="00A54D04">
        <w:t xml:space="preserve"> tows per licence and tows per licensed truck </w:t>
      </w:r>
      <w:r w:rsidR="00D5708E" w:rsidRPr="00A54D04">
        <w:t>than in 2020, but the</w:t>
      </w:r>
      <w:r w:rsidR="008E248C" w:rsidRPr="00A54D04">
        <w:t xml:space="preserve"> </w:t>
      </w:r>
      <w:r w:rsidR="006F4E73" w:rsidRPr="00A54D04">
        <w:t>average</w:t>
      </w:r>
      <w:r w:rsidR="00D5708E" w:rsidRPr="00A54D04">
        <w:t xml:space="preserve"> time to complete an accident tow is </w:t>
      </w:r>
      <w:r w:rsidR="008F40B4" w:rsidRPr="00A54D04">
        <w:t>longer</w:t>
      </w:r>
      <w:r w:rsidR="00FF56E2" w:rsidRPr="00A54D04">
        <w:t xml:space="preserve"> than in 2020</w:t>
      </w:r>
      <w:r w:rsidR="00D5708E" w:rsidRPr="00A54D04">
        <w:t>.</w:t>
      </w:r>
    </w:p>
    <w:p w14:paraId="15AFC3DB" w14:textId="67DCF20F" w:rsidR="008E3255" w:rsidRPr="00A54D04" w:rsidRDefault="00BE748D" w:rsidP="008032A4">
      <w:r w:rsidRPr="00A54D04">
        <w:t>As these are</w:t>
      </w:r>
      <w:r w:rsidR="008032A4" w:rsidRPr="00A54D04">
        <w:t xml:space="preserve"> partial measures of productivity, the results could be driven by other inputs. Further, the output does not include storage services or other business activities that might affect productivity (such as trade towing).</w:t>
      </w:r>
    </w:p>
    <w:p w14:paraId="0E5AD21C" w14:textId="083A861D" w:rsidR="00115315" w:rsidRPr="00A54D04" w:rsidRDefault="00115315" w:rsidP="00115315">
      <w:pPr>
        <w:pStyle w:val="Heading4"/>
      </w:pPr>
      <w:r w:rsidRPr="00A54D04">
        <w:lastRenderedPageBreak/>
        <w:t xml:space="preserve">Accident tows per </w:t>
      </w:r>
      <w:r w:rsidR="00DA684C" w:rsidRPr="00A54D04">
        <w:t>lice</w:t>
      </w:r>
      <w:r w:rsidR="00354DAF" w:rsidRPr="00A54D04">
        <w:t>nce</w:t>
      </w:r>
      <w:r w:rsidRPr="00A54D04">
        <w:t xml:space="preserve"> and licen</w:t>
      </w:r>
      <w:r w:rsidR="00354DAF" w:rsidRPr="00A54D04">
        <w:t>sed truck</w:t>
      </w:r>
      <w:r w:rsidRPr="00A54D04">
        <w:t xml:space="preserve"> </w:t>
      </w:r>
      <w:r w:rsidR="00B305FD" w:rsidRPr="00A54D04">
        <w:t>are higher</w:t>
      </w:r>
    </w:p>
    <w:p w14:paraId="6B35C228" w14:textId="41B19E02" w:rsidR="00C24B86" w:rsidRPr="00A54D04" w:rsidRDefault="00735C17" w:rsidP="00C838C2">
      <w:r w:rsidRPr="00A54D04">
        <w:t xml:space="preserve">The number of accident tows per licence and the number of accident tows per licensed truck fell in </w:t>
      </w:r>
      <w:r w:rsidR="00C24B86" w:rsidRPr="00A54D04">
        <w:t>2020 but have since increased</w:t>
      </w:r>
      <w:r w:rsidR="00794CE7" w:rsidRPr="00A54D04">
        <w:t xml:space="preserve"> (see Figure </w:t>
      </w:r>
      <w:r w:rsidR="0096085A" w:rsidRPr="00A54D04">
        <w:t>3</w:t>
      </w:r>
      <w:r w:rsidR="00794CE7" w:rsidRPr="00A54D04">
        <w:t>)</w:t>
      </w:r>
      <w:r w:rsidR="00C24B86" w:rsidRPr="00A54D04">
        <w:t>.</w:t>
      </w:r>
      <w:r w:rsidR="00090A86" w:rsidRPr="00A54D04">
        <w:rPr>
          <w:rStyle w:val="FootnoteReference"/>
        </w:rPr>
        <w:footnoteReference w:id="47"/>
      </w:r>
    </w:p>
    <w:p w14:paraId="54F25591" w14:textId="33AD2D60" w:rsidR="005369C0" w:rsidRPr="00A54D04" w:rsidRDefault="00E27BA8" w:rsidP="00C838C2">
      <w:r w:rsidRPr="00A54D04">
        <w:t xml:space="preserve">For these two measures, </w:t>
      </w:r>
      <w:r w:rsidR="00AC3E36">
        <w:t>w</w:t>
      </w:r>
      <w:r w:rsidR="00C94825" w:rsidRPr="00A54D04">
        <w:t>e estimated productivity growth for two-year, three-year and five-year time periods</w:t>
      </w:r>
      <w:r w:rsidR="003F7B94" w:rsidRPr="00A54D04">
        <w:t xml:space="preserve"> </w:t>
      </w:r>
      <w:r w:rsidR="000166A2" w:rsidRPr="00A54D04">
        <w:t>between</w:t>
      </w:r>
      <w:r w:rsidR="003F7B94" w:rsidRPr="00A54D04">
        <w:t xml:space="preserve"> 2019 </w:t>
      </w:r>
      <w:r w:rsidR="000166A2" w:rsidRPr="00A54D04">
        <w:t>and</w:t>
      </w:r>
      <w:r w:rsidR="003F7B94" w:rsidRPr="00A54D04">
        <w:t xml:space="preserve"> 2024</w:t>
      </w:r>
      <w:r w:rsidR="00203967" w:rsidRPr="00A54D04">
        <w:t xml:space="preserve">. </w:t>
      </w:r>
      <w:r w:rsidR="00A57ACA" w:rsidRPr="00A54D04">
        <w:t>T</w:t>
      </w:r>
      <w:r w:rsidR="005369C0" w:rsidRPr="00A54D04">
        <w:t xml:space="preserve">he </w:t>
      </w:r>
      <w:r w:rsidR="00853C9D" w:rsidRPr="00A54D04">
        <w:t>growth rates</w:t>
      </w:r>
      <w:r w:rsidR="00BF028B" w:rsidRPr="00A54D04">
        <w:t xml:space="preserve"> </w:t>
      </w:r>
      <w:r w:rsidR="005369C0" w:rsidRPr="00A54D04">
        <w:t>ranged from 0.</w:t>
      </w:r>
      <w:r w:rsidR="00B260C5" w:rsidRPr="00A54D04">
        <w:t>8</w:t>
      </w:r>
      <w:r w:rsidR="005369C0" w:rsidRPr="00A54D04">
        <w:t xml:space="preserve"> per cent to </w:t>
      </w:r>
      <w:r w:rsidR="003B0F98" w:rsidRPr="00A54D04">
        <w:t>8.3</w:t>
      </w:r>
      <w:r w:rsidR="005369C0" w:rsidRPr="00A54D04">
        <w:t xml:space="preserve"> per cent</w:t>
      </w:r>
      <w:r w:rsidR="00EE2338" w:rsidRPr="00A54D04">
        <w:t>.</w:t>
      </w:r>
    </w:p>
    <w:p w14:paraId="761A3F5B" w14:textId="124A605E" w:rsidR="0096085A" w:rsidRPr="00A54D04" w:rsidRDefault="000F1A92" w:rsidP="00453EAB">
      <w:pPr>
        <w:pStyle w:val="Figure-Table-BoxHeading"/>
        <w:keepNext/>
        <w:numPr>
          <w:ilvl w:val="0"/>
          <w:numId w:val="0"/>
        </w:numPr>
        <w:spacing w:after="0"/>
        <w:ind w:left="851" w:hanging="851"/>
      </w:pPr>
      <w:r w:rsidRPr="00A54D04">
        <w:t xml:space="preserve">Figure </w:t>
      </w:r>
      <w:r w:rsidR="0096085A" w:rsidRPr="00A54D04">
        <w:t>3</w:t>
      </w:r>
      <w:r w:rsidRPr="00A54D04">
        <w:t>. Number of accident tows per licence and licensed truck</w:t>
      </w:r>
    </w:p>
    <w:p w14:paraId="31EE4F4C" w14:textId="00B0496B" w:rsidR="000F1A92" w:rsidRPr="00A54D04" w:rsidRDefault="000F1A92" w:rsidP="000F1A92">
      <w:pPr>
        <w:pStyle w:val="Source"/>
        <w:jc w:val="left"/>
      </w:pPr>
      <w:r w:rsidRPr="00A54D04">
        <w:rPr>
          <w:noProof/>
        </w:rPr>
        <w:drawing>
          <wp:inline distT="0" distB="0" distL="0" distR="0" wp14:anchorId="1E64F34C" wp14:editId="0060F9C3">
            <wp:extent cx="6120130" cy="2871470"/>
            <wp:effectExtent l="0" t="0" r="13970" b="5080"/>
            <wp:docPr id="1309087114" name="Chart 1">
              <a:extLst xmlns:a="http://schemas.openxmlformats.org/drawingml/2006/main">
                <a:ext uri="{FF2B5EF4-FFF2-40B4-BE49-F238E27FC236}">
                  <a16:creationId xmlns:a16="http://schemas.microsoft.com/office/drawing/2014/main" id="{54294A18-7B6D-2609-4701-A97C1065B3E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r w:rsidRPr="00A54D04">
        <w:rPr>
          <w:b/>
          <w:bCs/>
        </w:rPr>
        <w:t>Source:</w:t>
      </w:r>
      <w:r w:rsidRPr="00A54D04">
        <w:t xml:space="preserve"> Department of Transport and Planning.</w:t>
      </w:r>
    </w:p>
    <w:p w14:paraId="3B5D7C4D" w14:textId="377E9D61" w:rsidR="00BA5194" w:rsidRPr="00A54D04" w:rsidRDefault="00D607D7" w:rsidP="00BA5194">
      <w:pPr>
        <w:pStyle w:val="Heading4"/>
      </w:pPr>
      <w:r w:rsidRPr="00A54D04">
        <w:t xml:space="preserve">Average time to </w:t>
      </w:r>
      <w:r w:rsidR="000D33AD" w:rsidRPr="00A54D04">
        <w:t>complete an</w:t>
      </w:r>
      <w:r w:rsidRPr="00A54D04">
        <w:t xml:space="preserve"> accident tow </w:t>
      </w:r>
      <w:r w:rsidR="00B305FD" w:rsidRPr="00A54D04">
        <w:t>is longer</w:t>
      </w:r>
    </w:p>
    <w:p w14:paraId="02FA34D4" w14:textId="6BCF35BB" w:rsidR="00D10AFB" w:rsidRPr="00A54D04" w:rsidRDefault="00F63EB3" w:rsidP="00D10AFB">
      <w:r>
        <w:t>T</w:t>
      </w:r>
      <w:r w:rsidR="00D10AFB" w:rsidRPr="00A54D04">
        <w:t xml:space="preserve">he average time to complete an accident tow fell from </w:t>
      </w:r>
      <w:r w:rsidR="00743399" w:rsidRPr="00A54D04">
        <w:t>78.2</w:t>
      </w:r>
      <w:r w:rsidR="00D10AFB" w:rsidRPr="00A54D04">
        <w:t xml:space="preserve"> minutes to 70.4 minutes between 201</w:t>
      </w:r>
      <w:r w:rsidR="00743399" w:rsidRPr="00A54D04">
        <w:t>8</w:t>
      </w:r>
      <w:r w:rsidR="00D10AFB" w:rsidRPr="00A54D04">
        <w:t xml:space="preserve"> and 2020 but has since increased to </w:t>
      </w:r>
      <w:r w:rsidR="0005584B" w:rsidRPr="00A54D04">
        <w:t>90.0</w:t>
      </w:r>
      <w:r w:rsidR="00D10AFB" w:rsidRPr="00A54D04">
        <w:t xml:space="preserve"> </w:t>
      </w:r>
      <w:r w:rsidR="00AE4DEE">
        <w:t>minutes</w:t>
      </w:r>
      <w:r>
        <w:t xml:space="preserve"> (see Table 10)</w:t>
      </w:r>
      <w:r w:rsidR="00D10AFB" w:rsidRPr="00A54D04">
        <w:t>.</w:t>
      </w:r>
      <w:r w:rsidR="00D10AFB" w:rsidRPr="00A54D04">
        <w:rPr>
          <w:rStyle w:val="FootnoteReference"/>
        </w:rPr>
        <w:footnoteReference w:id="48"/>
      </w:r>
      <w:r w:rsidR="00D10AFB" w:rsidRPr="00A54D04">
        <w:t xml:space="preserve"> </w:t>
      </w:r>
    </w:p>
    <w:p w14:paraId="53C9506D" w14:textId="48D1C8F5" w:rsidR="00D10AFB" w:rsidRPr="00A54D04" w:rsidRDefault="000C535E" w:rsidP="00D10AFB">
      <w:r w:rsidRPr="00A54D04">
        <w:t>T</w:t>
      </w:r>
      <w:r w:rsidR="00D10AFB" w:rsidRPr="00A54D04">
        <w:t xml:space="preserve">he average time to complete an accident tow </w:t>
      </w:r>
      <w:r w:rsidR="00BB4875" w:rsidRPr="00A54D04">
        <w:t xml:space="preserve">has </w:t>
      </w:r>
      <w:r w:rsidR="00D10AFB" w:rsidRPr="00A54D04">
        <w:t xml:space="preserve">increased by </w:t>
      </w:r>
      <w:r w:rsidR="00425BC0">
        <w:t>6</w:t>
      </w:r>
      <w:r w:rsidR="00521F94" w:rsidRPr="00A54D04">
        <w:t>.</w:t>
      </w:r>
      <w:r w:rsidR="00425BC0">
        <w:t>5</w:t>
      </w:r>
      <w:r w:rsidR="00425BC0" w:rsidRPr="00A54D04">
        <w:t xml:space="preserve"> </w:t>
      </w:r>
      <w:r w:rsidR="00D10AFB" w:rsidRPr="00A54D04">
        <w:t xml:space="preserve">per cent per year since </w:t>
      </w:r>
      <w:r w:rsidR="00425BC0" w:rsidRPr="00A54D04">
        <w:t>202</w:t>
      </w:r>
      <w:r w:rsidR="00425BC0">
        <w:t>1</w:t>
      </w:r>
      <w:r w:rsidR="00C95BF4" w:rsidRPr="00A54D04">
        <w:t>, on average</w:t>
      </w:r>
      <w:r w:rsidR="00D10AFB" w:rsidRPr="00A54D04">
        <w:t>.</w:t>
      </w:r>
      <w:r w:rsidR="000D537F" w:rsidRPr="00A54D04">
        <w:t xml:space="preserve"> </w:t>
      </w:r>
    </w:p>
    <w:p w14:paraId="5006DA8B" w14:textId="6F20FD9F" w:rsidR="00F54585" w:rsidRPr="00A54D04" w:rsidRDefault="00F54585" w:rsidP="00F54585">
      <w:pPr>
        <w:pStyle w:val="Figure-Table-BoxHeading"/>
        <w:keepNext/>
        <w:numPr>
          <w:ilvl w:val="0"/>
          <w:numId w:val="0"/>
        </w:numPr>
        <w:spacing w:after="0"/>
      </w:pPr>
      <w:r w:rsidRPr="00A54D04">
        <w:lastRenderedPageBreak/>
        <w:t xml:space="preserve">Table </w:t>
      </w:r>
      <w:r w:rsidR="00A67E57" w:rsidRPr="00A54D04">
        <w:t>1</w:t>
      </w:r>
      <w:r w:rsidR="00EC2F81" w:rsidRPr="00A54D04">
        <w:t>0</w:t>
      </w:r>
      <w:r w:rsidRPr="00A54D04">
        <w:t>. Average time to complete an accident tow (minutes)</w:t>
      </w:r>
    </w:p>
    <w:tbl>
      <w:tblPr>
        <w:tblStyle w:val="TableGrid"/>
        <w:tblW w:w="0" w:type="auto"/>
        <w:tblLook w:val="04A0" w:firstRow="1" w:lastRow="0" w:firstColumn="1" w:lastColumn="0" w:noHBand="0" w:noVBand="1"/>
      </w:tblPr>
      <w:tblGrid>
        <w:gridCol w:w="1846"/>
        <w:gridCol w:w="961"/>
        <w:gridCol w:w="1184"/>
        <w:gridCol w:w="1015"/>
        <w:gridCol w:w="1185"/>
        <w:gridCol w:w="1184"/>
        <w:gridCol w:w="1185"/>
        <w:gridCol w:w="1078"/>
      </w:tblGrid>
      <w:tr w:rsidR="00F54585" w:rsidRPr="00A54D04" w14:paraId="3D6E2638" w14:textId="77777777" w:rsidTr="009F6333">
        <w:trPr>
          <w:cnfStyle w:val="100000000000" w:firstRow="1" w:lastRow="0" w:firstColumn="0" w:lastColumn="0" w:oddVBand="0" w:evenVBand="0" w:oddHBand="0" w:evenHBand="0" w:firstRowFirstColumn="0" w:firstRowLastColumn="0" w:lastRowFirstColumn="0" w:lastRowLastColumn="0"/>
        </w:trPr>
        <w:tc>
          <w:tcPr>
            <w:tcW w:w="1846" w:type="dxa"/>
          </w:tcPr>
          <w:p w14:paraId="31FAD925" w14:textId="77777777" w:rsidR="00F54585" w:rsidRPr="00A54D04" w:rsidRDefault="00F54585" w:rsidP="009F6333">
            <w:pPr>
              <w:pStyle w:val="TableHeading"/>
            </w:pPr>
          </w:p>
        </w:tc>
        <w:tc>
          <w:tcPr>
            <w:tcW w:w="961" w:type="dxa"/>
          </w:tcPr>
          <w:p w14:paraId="7F692153" w14:textId="77777777" w:rsidR="00F54585" w:rsidRPr="00A54D04" w:rsidRDefault="00F54585" w:rsidP="00F64C9D">
            <w:pPr>
              <w:pStyle w:val="TableHeading"/>
              <w:jc w:val="right"/>
            </w:pPr>
            <w:r w:rsidRPr="00A54D04">
              <w:t>2018</w:t>
            </w:r>
          </w:p>
        </w:tc>
        <w:tc>
          <w:tcPr>
            <w:tcW w:w="1184" w:type="dxa"/>
          </w:tcPr>
          <w:p w14:paraId="7F3078E4" w14:textId="77777777" w:rsidR="00F54585" w:rsidRPr="00A54D04" w:rsidRDefault="00F54585" w:rsidP="00F64C9D">
            <w:pPr>
              <w:pStyle w:val="TableHeading"/>
              <w:jc w:val="right"/>
            </w:pPr>
            <w:r w:rsidRPr="00A54D04">
              <w:t>2019</w:t>
            </w:r>
          </w:p>
        </w:tc>
        <w:tc>
          <w:tcPr>
            <w:tcW w:w="1015" w:type="dxa"/>
          </w:tcPr>
          <w:p w14:paraId="019AB9E5" w14:textId="77777777" w:rsidR="00F54585" w:rsidRPr="00A54D04" w:rsidRDefault="00F54585" w:rsidP="00F64C9D">
            <w:pPr>
              <w:pStyle w:val="TableHeading"/>
              <w:jc w:val="right"/>
            </w:pPr>
            <w:r w:rsidRPr="00A54D04">
              <w:t>2020</w:t>
            </w:r>
          </w:p>
        </w:tc>
        <w:tc>
          <w:tcPr>
            <w:tcW w:w="1185" w:type="dxa"/>
          </w:tcPr>
          <w:p w14:paraId="27DA2B6F" w14:textId="77777777" w:rsidR="00F54585" w:rsidRPr="00A54D04" w:rsidRDefault="00F54585" w:rsidP="00F64C9D">
            <w:pPr>
              <w:pStyle w:val="TableHeading"/>
              <w:jc w:val="right"/>
            </w:pPr>
            <w:r w:rsidRPr="00A54D04">
              <w:t>2021</w:t>
            </w:r>
          </w:p>
        </w:tc>
        <w:tc>
          <w:tcPr>
            <w:tcW w:w="1184" w:type="dxa"/>
          </w:tcPr>
          <w:p w14:paraId="77C0FF5D" w14:textId="77777777" w:rsidR="00F54585" w:rsidRPr="00A54D04" w:rsidRDefault="00F54585" w:rsidP="00F64C9D">
            <w:pPr>
              <w:pStyle w:val="TableHeading"/>
              <w:jc w:val="right"/>
            </w:pPr>
            <w:r w:rsidRPr="00A54D04">
              <w:t>2022</w:t>
            </w:r>
          </w:p>
        </w:tc>
        <w:tc>
          <w:tcPr>
            <w:tcW w:w="1185" w:type="dxa"/>
          </w:tcPr>
          <w:p w14:paraId="42118769" w14:textId="77777777" w:rsidR="00F54585" w:rsidRPr="00A54D04" w:rsidRDefault="00F54585" w:rsidP="00F64C9D">
            <w:pPr>
              <w:pStyle w:val="TableHeading"/>
              <w:jc w:val="right"/>
            </w:pPr>
            <w:r w:rsidRPr="00A54D04">
              <w:t>2023</w:t>
            </w:r>
          </w:p>
        </w:tc>
        <w:tc>
          <w:tcPr>
            <w:tcW w:w="1078" w:type="dxa"/>
          </w:tcPr>
          <w:p w14:paraId="3584A9AD" w14:textId="77777777" w:rsidR="00F54585" w:rsidRPr="00A54D04" w:rsidRDefault="00F54585" w:rsidP="00F64C9D">
            <w:pPr>
              <w:pStyle w:val="TableHeading"/>
              <w:jc w:val="right"/>
            </w:pPr>
            <w:r w:rsidRPr="00A54D04">
              <w:t>2024</w:t>
            </w:r>
          </w:p>
        </w:tc>
      </w:tr>
      <w:tr w:rsidR="00F54585" w:rsidRPr="00A54D04" w14:paraId="00C6D522" w14:textId="77777777" w:rsidTr="009F6333">
        <w:trPr>
          <w:cnfStyle w:val="000000100000" w:firstRow="0" w:lastRow="0" w:firstColumn="0" w:lastColumn="0" w:oddVBand="0" w:evenVBand="0" w:oddHBand="1" w:evenHBand="0" w:firstRowFirstColumn="0" w:firstRowLastColumn="0" w:lastRowFirstColumn="0" w:lastRowLastColumn="0"/>
        </w:trPr>
        <w:tc>
          <w:tcPr>
            <w:tcW w:w="1846" w:type="dxa"/>
          </w:tcPr>
          <w:p w14:paraId="45BCFA0D" w14:textId="43AE0919" w:rsidR="00F54585" w:rsidRPr="00A54D04" w:rsidRDefault="00F54585" w:rsidP="009F6333">
            <w:pPr>
              <w:pStyle w:val="TableBody"/>
            </w:pPr>
            <w:r w:rsidRPr="00A54D04">
              <w:t>Average</w:t>
            </w:r>
            <w:r w:rsidR="00DB5605" w:rsidRPr="00A54D04">
              <w:t xml:space="preserve"> time to complete</w:t>
            </w:r>
            <w:r w:rsidRPr="00A54D04">
              <w:t xml:space="preserve"> </w:t>
            </w:r>
            <w:r w:rsidR="00DB5605" w:rsidRPr="00A54D04">
              <w:t>tow</w:t>
            </w:r>
          </w:p>
        </w:tc>
        <w:tc>
          <w:tcPr>
            <w:tcW w:w="961" w:type="dxa"/>
          </w:tcPr>
          <w:p w14:paraId="7DD1980A" w14:textId="77777777" w:rsidR="00F54585" w:rsidRPr="00A54D04" w:rsidRDefault="00F54585" w:rsidP="00F64C9D">
            <w:pPr>
              <w:pStyle w:val="TableBody"/>
              <w:jc w:val="right"/>
            </w:pPr>
            <w:r w:rsidRPr="00A54D04">
              <w:t>78.2</w:t>
            </w:r>
          </w:p>
        </w:tc>
        <w:tc>
          <w:tcPr>
            <w:tcW w:w="1184" w:type="dxa"/>
          </w:tcPr>
          <w:p w14:paraId="6CC2B73C" w14:textId="56AA3474" w:rsidR="00F54585" w:rsidRPr="00A54D04" w:rsidRDefault="00F54585" w:rsidP="00F64C9D">
            <w:pPr>
              <w:pStyle w:val="TableBody"/>
              <w:jc w:val="right"/>
            </w:pPr>
            <w:r w:rsidRPr="00A54D04">
              <w:t>75</w:t>
            </w:r>
            <w:r w:rsidR="005C3BA5" w:rsidRPr="00A54D04">
              <w:t>.0</w:t>
            </w:r>
          </w:p>
        </w:tc>
        <w:tc>
          <w:tcPr>
            <w:tcW w:w="1015" w:type="dxa"/>
          </w:tcPr>
          <w:p w14:paraId="04FC5F87" w14:textId="77777777" w:rsidR="00F54585" w:rsidRPr="00A54D04" w:rsidRDefault="00F54585" w:rsidP="00F64C9D">
            <w:pPr>
              <w:pStyle w:val="TableBody"/>
              <w:jc w:val="right"/>
            </w:pPr>
            <w:r w:rsidRPr="00A54D04">
              <w:t>70.4</w:t>
            </w:r>
          </w:p>
        </w:tc>
        <w:tc>
          <w:tcPr>
            <w:tcW w:w="1185" w:type="dxa"/>
          </w:tcPr>
          <w:p w14:paraId="60E972B7" w14:textId="77777777" w:rsidR="00F54585" w:rsidRPr="00A54D04" w:rsidRDefault="00F54585" w:rsidP="00F64C9D">
            <w:pPr>
              <w:pStyle w:val="TableBody"/>
              <w:jc w:val="right"/>
            </w:pPr>
            <w:r w:rsidRPr="00A54D04">
              <w:t xml:space="preserve"> 74.5 </w:t>
            </w:r>
          </w:p>
        </w:tc>
        <w:tc>
          <w:tcPr>
            <w:tcW w:w="1184" w:type="dxa"/>
          </w:tcPr>
          <w:p w14:paraId="76E2CAEA" w14:textId="77777777" w:rsidR="00F54585" w:rsidRPr="00A54D04" w:rsidRDefault="00F54585" w:rsidP="00F64C9D">
            <w:pPr>
              <w:pStyle w:val="TableBody"/>
              <w:jc w:val="right"/>
            </w:pPr>
            <w:r w:rsidRPr="00A54D04">
              <w:t xml:space="preserve"> 86.3 </w:t>
            </w:r>
          </w:p>
        </w:tc>
        <w:tc>
          <w:tcPr>
            <w:tcW w:w="1185" w:type="dxa"/>
          </w:tcPr>
          <w:p w14:paraId="758F7D8C" w14:textId="77777777" w:rsidR="00F54585" w:rsidRPr="00A54D04" w:rsidRDefault="00F54585" w:rsidP="00F64C9D">
            <w:pPr>
              <w:pStyle w:val="TableBody"/>
              <w:jc w:val="right"/>
            </w:pPr>
            <w:r w:rsidRPr="00A54D04">
              <w:t xml:space="preserve"> 89.4 </w:t>
            </w:r>
          </w:p>
        </w:tc>
        <w:tc>
          <w:tcPr>
            <w:tcW w:w="1078" w:type="dxa"/>
          </w:tcPr>
          <w:p w14:paraId="1CD05E85" w14:textId="06D12811" w:rsidR="00F54585" w:rsidRPr="00A54D04" w:rsidRDefault="00BB6D2F" w:rsidP="00F64C9D">
            <w:pPr>
              <w:pStyle w:val="TableBody"/>
              <w:jc w:val="right"/>
            </w:pPr>
            <w:r w:rsidRPr="00A54D04">
              <w:t>90.0</w:t>
            </w:r>
          </w:p>
        </w:tc>
      </w:tr>
    </w:tbl>
    <w:p w14:paraId="66EB3165" w14:textId="77777777" w:rsidR="00F54585" w:rsidRPr="00A54D04" w:rsidRDefault="00F54585" w:rsidP="00F54585">
      <w:pPr>
        <w:pStyle w:val="Caption"/>
        <w:spacing w:after="0"/>
      </w:pPr>
      <w:r w:rsidRPr="00A54D04">
        <w:rPr>
          <w:b/>
          <w:bCs/>
        </w:rPr>
        <w:t>Note:</w:t>
      </w:r>
      <w:r w:rsidRPr="00A54D04">
        <w:t xml:space="preserve"> The data excludes values less than 20 minutes and more than 600 minutes. </w:t>
      </w:r>
    </w:p>
    <w:p w14:paraId="2AA102A6" w14:textId="205DFC85" w:rsidR="005A6898" w:rsidRPr="00A54D04" w:rsidRDefault="00F54585" w:rsidP="00D75D14">
      <w:pPr>
        <w:pStyle w:val="Caption"/>
        <w:spacing w:before="0" w:after="0"/>
      </w:pPr>
      <w:r w:rsidRPr="00A54D04">
        <w:rPr>
          <w:b/>
          <w:bCs/>
        </w:rPr>
        <w:t>Source:</w:t>
      </w:r>
      <w:r w:rsidRPr="00A54D04">
        <w:t xml:space="preserve"> Department of Transport and Planning.</w:t>
      </w:r>
    </w:p>
    <w:p w14:paraId="014AC2FF" w14:textId="6D32466E" w:rsidR="003458BB" w:rsidRPr="00A54D04" w:rsidRDefault="0067265E" w:rsidP="0018569A">
      <w:pPr>
        <w:pStyle w:val="Heading2"/>
      </w:pPr>
      <w:bookmarkStart w:id="179" w:name="_Toc87891225"/>
      <w:bookmarkStart w:id="180" w:name="_Toc88486946"/>
      <w:bookmarkStart w:id="181" w:name="_Toc90279067"/>
      <w:bookmarkStart w:id="182" w:name="_Toc97931399"/>
      <w:bookmarkStart w:id="183" w:name="_Toc99634695"/>
      <w:bookmarkStart w:id="184" w:name="_Toc184041461"/>
      <w:bookmarkStart w:id="185" w:name="_Toc185321791"/>
      <w:bookmarkStart w:id="186" w:name="_Toc190265315"/>
      <w:bookmarkStart w:id="187" w:name="_Toc199231570"/>
      <w:bookmarkStart w:id="188" w:name="_Hlk89686615"/>
      <w:r w:rsidRPr="00A54D04">
        <w:t xml:space="preserve">Productivity factor had no impact because </w:t>
      </w:r>
      <w:r w:rsidR="003458BB" w:rsidRPr="00A54D04">
        <w:t>fees cannot decrease</w:t>
      </w:r>
      <w:bookmarkEnd w:id="179"/>
      <w:bookmarkEnd w:id="180"/>
      <w:bookmarkEnd w:id="181"/>
      <w:bookmarkEnd w:id="182"/>
      <w:bookmarkEnd w:id="183"/>
      <w:bookmarkEnd w:id="184"/>
      <w:bookmarkEnd w:id="185"/>
      <w:bookmarkEnd w:id="186"/>
      <w:bookmarkEnd w:id="187"/>
    </w:p>
    <w:p w14:paraId="4BC788BC" w14:textId="69541A5E" w:rsidR="007B2080" w:rsidRPr="00A54D04" w:rsidRDefault="00E862BA" w:rsidP="003458BB">
      <w:r w:rsidRPr="00A54D04">
        <w:t xml:space="preserve">Any impact the productivity adjustment factor </w:t>
      </w:r>
      <w:r w:rsidR="003501D3" w:rsidRPr="00A54D04">
        <w:t>may have</w:t>
      </w:r>
      <w:r w:rsidR="008E38E2" w:rsidRPr="00A54D04">
        <w:t xml:space="preserve"> </w:t>
      </w:r>
      <w:r w:rsidR="003501D3" w:rsidRPr="00A54D04">
        <w:t xml:space="preserve">on </w:t>
      </w:r>
      <w:r w:rsidR="00AD4B8D" w:rsidRPr="00A54D04">
        <w:t xml:space="preserve">the </w:t>
      </w:r>
      <w:r w:rsidR="003501D3" w:rsidRPr="00A54D04">
        <w:t xml:space="preserve">accident towing industry has been </w:t>
      </w:r>
      <w:r w:rsidR="00555EC7" w:rsidRPr="00A54D04">
        <w:t>more than countered</w:t>
      </w:r>
      <w:r w:rsidR="00403569" w:rsidRPr="00A54D04">
        <w:t xml:space="preserve"> </w:t>
      </w:r>
      <w:r w:rsidR="00DA09B6" w:rsidRPr="00A54D04">
        <w:t>over the last ten years</w:t>
      </w:r>
      <w:r w:rsidR="00AF4E99" w:rsidRPr="00A54D04">
        <w:t>,</w:t>
      </w:r>
      <w:r w:rsidR="001A63B4" w:rsidRPr="00A54D04">
        <w:t xml:space="preserve"> </w:t>
      </w:r>
      <w:r w:rsidR="00A26EA9" w:rsidRPr="00A54D04">
        <w:t xml:space="preserve">by a </w:t>
      </w:r>
      <w:r w:rsidR="00CA5A30">
        <w:t>requirement</w:t>
      </w:r>
      <w:r w:rsidR="00A26EA9" w:rsidRPr="00A54D04">
        <w:t xml:space="preserve"> that </w:t>
      </w:r>
      <w:r w:rsidR="00AF4E99" w:rsidRPr="00A54D04">
        <w:t xml:space="preserve">prevents </w:t>
      </w:r>
      <w:r w:rsidR="001B1FAC" w:rsidRPr="00A54D04">
        <w:t xml:space="preserve">regulated </w:t>
      </w:r>
      <w:r w:rsidR="00AF4E99" w:rsidRPr="00A54D04">
        <w:t>fees from</w:t>
      </w:r>
      <w:r w:rsidR="00DA09B6" w:rsidRPr="00A54D04">
        <w:t xml:space="preserve"> decreas</w:t>
      </w:r>
      <w:r w:rsidR="00AF4E99" w:rsidRPr="00A54D04">
        <w:t>ing</w:t>
      </w:r>
      <w:r w:rsidR="00DA09B6" w:rsidRPr="00A54D04">
        <w:t>.</w:t>
      </w:r>
    </w:p>
    <w:p w14:paraId="2C2753A1" w14:textId="4AE71538" w:rsidR="003458BB" w:rsidRPr="00A54D04" w:rsidRDefault="00A62ADB" w:rsidP="003458BB">
      <w:r w:rsidRPr="00A54D04">
        <w:t xml:space="preserve">Regulated </w:t>
      </w:r>
      <w:r w:rsidR="007A2095">
        <w:t xml:space="preserve">accident </w:t>
      </w:r>
      <w:r w:rsidRPr="00A54D04">
        <w:t>towing and storage fees are adjusted by an ‘annual adjustment mechanism’ each year</w:t>
      </w:r>
      <w:r w:rsidR="008E3C5A" w:rsidRPr="00A54D04">
        <w:t xml:space="preserve"> </w:t>
      </w:r>
      <w:r w:rsidR="00105288" w:rsidRPr="00A54D04">
        <w:t>according to a formula</w:t>
      </w:r>
      <w:r w:rsidR="00751CB9" w:rsidRPr="00A54D04">
        <w:t xml:space="preserve"> </w:t>
      </w:r>
      <w:r w:rsidR="005D763E" w:rsidRPr="00A54D04">
        <w:t>to account for changes in costs and productivity</w:t>
      </w:r>
      <w:r w:rsidR="00F63EB3">
        <w:t>.</w:t>
      </w:r>
      <w:r w:rsidR="009E436D" w:rsidRPr="00A54D04">
        <w:t xml:space="preserve"> </w:t>
      </w:r>
      <w:r w:rsidR="001D24F4" w:rsidRPr="00A54D04">
        <w:t>(</w:t>
      </w:r>
      <w:r w:rsidR="00F63EB3">
        <w:t>S</w:t>
      </w:r>
      <w:r w:rsidRPr="00A54D04">
        <w:t xml:space="preserve">ee Appendix </w:t>
      </w:r>
      <w:r w:rsidR="00F170DF">
        <w:t>D</w:t>
      </w:r>
      <w:r w:rsidR="00F63EB3">
        <w:t>.</w:t>
      </w:r>
      <w:r w:rsidR="001D24F4" w:rsidRPr="00A54D04">
        <w:t>)</w:t>
      </w:r>
      <w:r w:rsidR="00D769DD" w:rsidRPr="00A54D04">
        <w:t xml:space="preserve"> This </w:t>
      </w:r>
      <w:r w:rsidR="003458BB" w:rsidRPr="00A54D04">
        <w:t xml:space="preserve">includes a </w:t>
      </w:r>
      <w:r w:rsidR="00CA5A30">
        <w:t>requirement</w:t>
      </w:r>
      <w:r w:rsidR="003458BB" w:rsidRPr="00A54D04">
        <w:t xml:space="preserve"> that fees will not </w:t>
      </w:r>
      <w:proofErr w:type="gramStart"/>
      <w:r w:rsidR="003458BB" w:rsidRPr="00A54D04">
        <w:t>be amended</w:t>
      </w:r>
      <w:proofErr w:type="gramEnd"/>
      <w:r w:rsidR="003458BB" w:rsidRPr="00A54D04">
        <w:t xml:space="preserve"> </w:t>
      </w:r>
      <w:proofErr w:type="gramStart"/>
      <w:r w:rsidR="003458BB" w:rsidRPr="00A54D04">
        <w:t>in a given year</w:t>
      </w:r>
      <w:proofErr w:type="gramEnd"/>
      <w:r w:rsidR="003458BB" w:rsidRPr="00A54D04">
        <w:t>, if the formula results in</w:t>
      </w:r>
      <w:r w:rsidR="008262F0">
        <w:t xml:space="preserve"> lower</w:t>
      </w:r>
      <w:r w:rsidR="008262F0" w:rsidRPr="00A54D04">
        <w:t xml:space="preserve"> </w:t>
      </w:r>
      <w:r w:rsidR="008262F0">
        <w:t>fees</w:t>
      </w:r>
      <w:r w:rsidR="003458BB" w:rsidRPr="00A54D04">
        <w:t>.</w:t>
      </w:r>
      <w:r w:rsidR="003458BB" w:rsidRPr="00A54D04">
        <w:rPr>
          <w:rStyle w:val="FootnoteReference"/>
        </w:rPr>
        <w:footnoteReference w:id="49"/>
      </w:r>
      <w:r w:rsidR="003458BB" w:rsidRPr="00A54D04">
        <w:t xml:space="preserve"> Instead, accident towing and storage fees </w:t>
      </w:r>
      <w:proofErr w:type="gramStart"/>
      <w:r w:rsidR="003458BB" w:rsidRPr="00A54D04">
        <w:t>remain</w:t>
      </w:r>
      <w:proofErr w:type="gramEnd"/>
      <w:r w:rsidR="003458BB" w:rsidRPr="00A54D04">
        <w:t xml:space="preserve"> unchanged for the year in question. We refer to this as the ‘zero-price floor’ on price changes.</w:t>
      </w:r>
    </w:p>
    <w:p w14:paraId="7BC01AA8" w14:textId="2498E51D" w:rsidR="003458BB" w:rsidRPr="00A54D04" w:rsidRDefault="003458BB" w:rsidP="003458BB">
      <w:r w:rsidRPr="00A54D04">
        <w:t xml:space="preserve">There is also no ‘catch-up’ </w:t>
      </w:r>
      <w:r w:rsidR="00CA5A30">
        <w:t>requirement</w:t>
      </w:r>
      <w:r w:rsidRPr="00A54D04">
        <w:t xml:space="preserve"> included in the formula. This means accident towing and storage fees increase again (after a year in which they were unchanged), once the formula results in a positive value. They do not pause to allow prices to reach parity or to ‘catch-up’.</w:t>
      </w:r>
    </w:p>
    <w:p w14:paraId="49B83718" w14:textId="3FDCAF5E" w:rsidR="00ED4283" w:rsidRDefault="00005265" w:rsidP="0070635E">
      <w:r w:rsidRPr="00A54D04">
        <w:t>Figure</w:t>
      </w:r>
      <w:r w:rsidR="003458BB" w:rsidRPr="00A54D04">
        <w:t xml:space="preserve"> </w:t>
      </w:r>
      <w:r w:rsidR="00675D5E" w:rsidRPr="00A54D04">
        <w:t xml:space="preserve">4 </w:t>
      </w:r>
      <w:r w:rsidR="003458BB" w:rsidRPr="00A54D04">
        <w:t xml:space="preserve">compares </w:t>
      </w:r>
      <w:r w:rsidR="0086545A" w:rsidRPr="00A54D04">
        <w:t xml:space="preserve">changes </w:t>
      </w:r>
      <w:r w:rsidR="003458BB" w:rsidRPr="00A54D04">
        <w:t>in regulated fees</w:t>
      </w:r>
      <w:r w:rsidR="0086545A" w:rsidRPr="00A54D04">
        <w:t xml:space="preserve"> </w:t>
      </w:r>
      <w:r w:rsidR="00456D38" w:rsidRPr="00A54D04">
        <w:t xml:space="preserve">with changes in </w:t>
      </w:r>
      <w:r w:rsidR="00AD2AB0" w:rsidRPr="00A54D04">
        <w:t>the</w:t>
      </w:r>
      <w:r w:rsidR="006E3282" w:rsidRPr="00A54D04">
        <w:t xml:space="preserve"> </w:t>
      </w:r>
      <w:r w:rsidR="002A396C" w:rsidRPr="00A54D04">
        <w:t xml:space="preserve">Melbourne Transport </w:t>
      </w:r>
      <w:r w:rsidR="005F6F1A">
        <w:t>consumer price index (</w:t>
      </w:r>
      <w:r w:rsidR="002A396C" w:rsidRPr="00A54D04">
        <w:t>CPI</w:t>
      </w:r>
      <w:r w:rsidR="005F6F1A">
        <w:t>)</w:t>
      </w:r>
      <w:r w:rsidR="00AD2AB0" w:rsidRPr="00A54D04">
        <w:t>.</w:t>
      </w:r>
      <w:r w:rsidR="00AD2AB0" w:rsidRPr="00A54D04">
        <w:rPr>
          <w:rStyle w:val="FootnoteReference"/>
        </w:rPr>
        <w:footnoteReference w:id="50"/>
      </w:r>
      <w:r w:rsidR="003458BB" w:rsidRPr="00A54D04">
        <w:t xml:space="preserve"> </w:t>
      </w:r>
      <w:r w:rsidR="00784F03">
        <w:t xml:space="preserve">There were </w:t>
      </w:r>
      <w:r w:rsidR="00425FD4" w:rsidRPr="00A54D04">
        <w:t>four</w:t>
      </w:r>
      <w:r w:rsidR="003458BB" w:rsidRPr="00A54D04">
        <w:t xml:space="preserve"> occasions</w:t>
      </w:r>
      <w:r w:rsidR="00784F03">
        <w:t xml:space="preserve"> when the formula resulted in a negative value (2015–16, 2016–17, 2019</w:t>
      </w:r>
      <w:r w:rsidR="00741823">
        <w:t>–</w:t>
      </w:r>
      <w:r w:rsidR="00784F03">
        <w:t xml:space="preserve">20 and 2021–22) yet the zero-price floor required the fees to remain </w:t>
      </w:r>
      <w:r w:rsidR="00A32449">
        <w:t>unchanged</w:t>
      </w:r>
      <w:r w:rsidR="00784F03">
        <w:t>.</w:t>
      </w:r>
      <w:r w:rsidR="00A32449">
        <w:t xml:space="preserve"> </w:t>
      </w:r>
      <w:r w:rsidR="00873C37" w:rsidRPr="00A54D04">
        <w:t>Th</w:t>
      </w:r>
      <w:r w:rsidR="00A55DDC" w:rsidRPr="00A54D04">
        <w:t>is and the</w:t>
      </w:r>
      <w:r w:rsidR="00873C37" w:rsidRPr="00A54D04">
        <w:t xml:space="preserve"> lack of a ‘catch-up’ </w:t>
      </w:r>
      <w:r w:rsidR="00C36893" w:rsidRPr="00A54D04">
        <w:t>means</w:t>
      </w:r>
      <w:r w:rsidR="00F15178" w:rsidRPr="00A54D04">
        <w:t xml:space="preserve"> the growth in fees </w:t>
      </w:r>
      <w:r w:rsidR="00210FDD" w:rsidRPr="00A54D04">
        <w:t xml:space="preserve">has </w:t>
      </w:r>
      <w:r w:rsidR="00B93FB2" w:rsidRPr="00A54D04">
        <w:t>exceeded</w:t>
      </w:r>
      <w:r w:rsidR="00210FDD" w:rsidRPr="00A54D04">
        <w:t xml:space="preserve"> </w:t>
      </w:r>
      <w:r w:rsidR="003F7553" w:rsidRPr="00A54D04">
        <w:t xml:space="preserve">the </w:t>
      </w:r>
      <w:r w:rsidR="00AD2AB0" w:rsidRPr="00A54D04">
        <w:t>growth in the Melbourne Transport CPI.</w:t>
      </w:r>
    </w:p>
    <w:p w14:paraId="0675B6FD" w14:textId="13470DBF" w:rsidR="00276D5A" w:rsidRPr="00A54D04" w:rsidRDefault="008305C9" w:rsidP="0070635E">
      <w:r w:rsidRPr="00A54D04">
        <w:t>As a result,</w:t>
      </w:r>
      <w:r w:rsidR="004A2AB6" w:rsidRPr="00A54D04">
        <w:t xml:space="preserve"> </w:t>
      </w:r>
      <w:r w:rsidR="00F147BE" w:rsidRPr="00A54D04">
        <w:t xml:space="preserve">the </w:t>
      </w:r>
      <w:r w:rsidR="00AF7165" w:rsidRPr="00A54D04">
        <w:t>productivity</w:t>
      </w:r>
      <w:r w:rsidR="00F147BE" w:rsidRPr="00A54D04">
        <w:t xml:space="preserve"> </w:t>
      </w:r>
      <w:r w:rsidR="00A55DDC" w:rsidRPr="00A54D04">
        <w:t xml:space="preserve">adjustment </w:t>
      </w:r>
      <w:r w:rsidR="00F147BE" w:rsidRPr="00A54D04">
        <w:t>factor</w:t>
      </w:r>
      <w:r w:rsidR="00256033" w:rsidRPr="00A54D04">
        <w:t xml:space="preserve"> has had </w:t>
      </w:r>
      <w:r w:rsidR="005B4291" w:rsidRPr="00A54D04">
        <w:t>little impact</w:t>
      </w:r>
      <w:r w:rsidR="001D2A5A" w:rsidRPr="00A54D04">
        <w:t xml:space="preserve"> over this period</w:t>
      </w:r>
      <w:r w:rsidR="00110541" w:rsidRPr="00A54D04">
        <w:t>.</w:t>
      </w:r>
      <w:r w:rsidR="00757885" w:rsidRPr="00A54D04">
        <w:t xml:space="preserve"> It</w:t>
      </w:r>
      <w:r w:rsidR="00555EC7" w:rsidRPr="00A54D04">
        <w:t xml:space="preserve"> may</w:t>
      </w:r>
      <w:r w:rsidR="00757885" w:rsidRPr="00A54D04">
        <w:t xml:space="preserve"> also have limited to no impact in the immediate future</w:t>
      </w:r>
      <w:r w:rsidR="00ED4283">
        <w:t xml:space="preserve"> depending on how the </w:t>
      </w:r>
      <w:r w:rsidR="00ED4283" w:rsidRPr="00A54D04">
        <w:t>Melbourne Transport CPI</w:t>
      </w:r>
      <w:r w:rsidR="00ED4283">
        <w:t xml:space="preserve"> moves</w:t>
      </w:r>
      <w:r w:rsidR="00757885" w:rsidRPr="00A54D04">
        <w:t>.</w:t>
      </w:r>
    </w:p>
    <w:p w14:paraId="053427D3" w14:textId="05E24F6D" w:rsidR="003458BB" w:rsidRPr="00A54D04" w:rsidRDefault="007F3C2A" w:rsidP="00DE6235">
      <w:pPr>
        <w:pStyle w:val="Figure-Table-BoxHeading"/>
        <w:keepNext/>
        <w:numPr>
          <w:ilvl w:val="0"/>
          <w:numId w:val="0"/>
        </w:numPr>
        <w:spacing w:after="0"/>
      </w:pPr>
      <w:r w:rsidRPr="00A54D04">
        <w:lastRenderedPageBreak/>
        <w:t>Figure</w:t>
      </w:r>
      <w:r w:rsidR="003458BB" w:rsidRPr="00A54D04">
        <w:t xml:space="preserve"> </w:t>
      </w:r>
      <w:r w:rsidR="0098581A" w:rsidRPr="00A54D04">
        <w:t>4</w:t>
      </w:r>
      <w:r w:rsidR="006F17FD" w:rsidRPr="00A54D04">
        <w:t>.</w:t>
      </w:r>
      <w:r w:rsidR="00AB007B" w:rsidRPr="00A54D04">
        <w:t xml:space="preserve"> </w:t>
      </w:r>
      <w:bookmarkStart w:id="190" w:name="_Hlk196926282"/>
      <w:r w:rsidR="00565C52" w:rsidRPr="00A54D04">
        <w:t>C</w:t>
      </w:r>
      <w:r w:rsidR="00AB007B" w:rsidRPr="00A54D04">
        <w:t>hange</w:t>
      </w:r>
      <w:r w:rsidR="00565C52" w:rsidRPr="00A54D04">
        <w:t>s</w:t>
      </w:r>
      <w:r w:rsidR="00AB007B" w:rsidRPr="00A54D04">
        <w:t xml:space="preserve"> in regulated fees</w:t>
      </w:r>
      <w:r w:rsidR="005A1524" w:rsidRPr="00A54D04">
        <w:t xml:space="preserve"> compared with Melbourne Transport </w:t>
      </w:r>
      <w:bookmarkEnd w:id="190"/>
      <w:r w:rsidR="005A1524" w:rsidRPr="00A54D04">
        <w:t>CPI</w:t>
      </w:r>
    </w:p>
    <w:p w14:paraId="5FBB8DC4" w14:textId="559C44F6" w:rsidR="00B74F59" w:rsidRPr="00A54D04" w:rsidRDefault="007F3C2A" w:rsidP="006F2E72">
      <w:pPr>
        <w:pStyle w:val="Figure-Table-BoxHeading"/>
        <w:numPr>
          <w:ilvl w:val="0"/>
          <w:numId w:val="0"/>
        </w:numPr>
        <w:spacing w:after="0"/>
        <w:ind w:left="1440" w:hanging="1440"/>
      </w:pPr>
      <w:r w:rsidRPr="00A54D04">
        <w:rPr>
          <w:noProof/>
        </w:rPr>
        <w:drawing>
          <wp:inline distT="0" distB="0" distL="0" distR="0" wp14:anchorId="670E740C" wp14:editId="662E0B1F">
            <wp:extent cx="6120130" cy="3500755"/>
            <wp:effectExtent l="0" t="0" r="13970" b="4445"/>
            <wp:docPr id="1680164985" name="Chart 1">
              <a:extLst xmlns:a="http://schemas.openxmlformats.org/drawingml/2006/main">
                <a:ext uri="{FF2B5EF4-FFF2-40B4-BE49-F238E27FC236}">
                  <a16:creationId xmlns:a16="http://schemas.microsoft.com/office/drawing/2014/main" id="{1229F1C1-EE3D-6204-FCAC-9173382DDA6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14:paraId="3153CE0B" w14:textId="1E0CD615" w:rsidR="000246A4" w:rsidRDefault="000273D5" w:rsidP="00BE6D2A">
      <w:pPr>
        <w:pStyle w:val="Caption"/>
        <w:spacing w:before="0" w:after="0"/>
      </w:pPr>
      <w:r w:rsidRPr="00A54D04">
        <w:rPr>
          <w:b/>
          <w:bCs/>
        </w:rPr>
        <w:t>Note</w:t>
      </w:r>
      <w:r w:rsidR="008544D7">
        <w:rPr>
          <w:b/>
          <w:bCs/>
        </w:rPr>
        <w:t xml:space="preserve"> 1</w:t>
      </w:r>
      <w:r w:rsidRPr="00A54D04">
        <w:rPr>
          <w:b/>
          <w:bCs/>
        </w:rPr>
        <w:t>:</w:t>
      </w:r>
      <w:r w:rsidRPr="00A54D04">
        <w:t xml:space="preserve"> </w:t>
      </w:r>
      <w:r w:rsidR="00DE6235" w:rsidRPr="00A54D04">
        <w:t>T</w:t>
      </w:r>
      <w:r w:rsidR="003458BB" w:rsidRPr="00A54D04">
        <w:t>h</w:t>
      </w:r>
      <w:r w:rsidR="003064A1">
        <w:t>e</w:t>
      </w:r>
      <w:r w:rsidR="003458BB" w:rsidRPr="00A54D04">
        <w:t xml:space="preserve"> </w:t>
      </w:r>
      <w:r w:rsidR="003064A1">
        <w:t>‘A</w:t>
      </w:r>
      <w:r w:rsidR="008544D7">
        <w:t xml:space="preserve">ctual increase </w:t>
      </w:r>
      <w:r w:rsidR="003064A1">
        <w:t xml:space="preserve">in fees’ (blue line) is </w:t>
      </w:r>
      <w:r w:rsidR="003458BB" w:rsidRPr="00A54D04">
        <w:t>fee increases related to the annual adjustment mechanism</w:t>
      </w:r>
      <w:r w:rsidR="003064A1">
        <w:t xml:space="preserve"> only</w:t>
      </w:r>
      <w:r w:rsidR="003458BB" w:rsidRPr="00A54D04">
        <w:t xml:space="preserve">. </w:t>
      </w:r>
      <w:r w:rsidR="00DE6235" w:rsidRPr="00A54D04">
        <w:t>It does not include the 47 per cent increase in regulated storage fees in 2018</w:t>
      </w:r>
      <w:r w:rsidR="00F63EB3">
        <w:t>–</w:t>
      </w:r>
      <w:r w:rsidR="00DE6235" w:rsidRPr="00A54D04">
        <w:t>19.</w:t>
      </w:r>
    </w:p>
    <w:p w14:paraId="37AD6280" w14:textId="4C46B55B" w:rsidR="008544D7" w:rsidRPr="008544D7" w:rsidRDefault="008544D7" w:rsidP="008544D7">
      <w:pPr>
        <w:pStyle w:val="Caption"/>
        <w:spacing w:before="0" w:after="0"/>
      </w:pPr>
      <w:r w:rsidRPr="00CD3717">
        <w:rPr>
          <w:b/>
          <w:bCs/>
        </w:rPr>
        <w:t>Note 2:</w:t>
      </w:r>
      <w:r w:rsidRPr="00CD3717">
        <w:t xml:space="preserve"> </w:t>
      </w:r>
      <w:r w:rsidR="00A51C11">
        <w:t xml:space="preserve">Each point of the ‘Actual increase in fees’ (blue line) and </w:t>
      </w:r>
      <w:r w:rsidR="00A51C11" w:rsidRPr="006E7CD4">
        <w:t>Melbourne Transport CP</w:t>
      </w:r>
      <w:r w:rsidR="00096008">
        <w:t>I</w:t>
      </w:r>
      <w:r w:rsidR="00A51C11">
        <w:t xml:space="preserve"> (red line) </w:t>
      </w:r>
      <w:r w:rsidRPr="00CD3717">
        <w:t>of a given year</w:t>
      </w:r>
      <w:r w:rsidR="00A51C11">
        <w:t xml:space="preserve"> represents</w:t>
      </w:r>
      <w:r w:rsidRPr="00CD3717">
        <w:t xml:space="preserve"> the annual change (March quarter to March quarter)</w:t>
      </w:r>
      <w:r w:rsidR="00A51C11">
        <w:t xml:space="preserve"> </w:t>
      </w:r>
      <w:r w:rsidRPr="00CD3717">
        <w:t xml:space="preserve">of the previous year. For example, the </w:t>
      </w:r>
      <w:r w:rsidR="00A51C11">
        <w:t>Melbourne Transport CPI</w:t>
      </w:r>
      <w:r w:rsidRPr="00CD3717">
        <w:t xml:space="preserve"> for 2023–24, is based on the</w:t>
      </w:r>
      <w:r w:rsidR="00A51C11">
        <w:t xml:space="preserve"> annual change </w:t>
      </w:r>
      <w:r w:rsidRPr="00CD3717">
        <w:t>of 2022–23</w:t>
      </w:r>
      <w:r w:rsidR="00A51C11">
        <w:t xml:space="preserve"> (March quarter 2022 to March quarter 2023).</w:t>
      </w:r>
    </w:p>
    <w:p w14:paraId="6F70A7AB" w14:textId="666E66A0" w:rsidR="00042C63" w:rsidRPr="00A54D04" w:rsidRDefault="00042C63" w:rsidP="00BE6D2A">
      <w:pPr>
        <w:pStyle w:val="Caption"/>
        <w:spacing w:before="0"/>
        <w:rPr>
          <w:b/>
          <w:bCs/>
        </w:rPr>
      </w:pPr>
      <w:r w:rsidRPr="00A54D04">
        <w:rPr>
          <w:b/>
          <w:bCs/>
        </w:rPr>
        <w:t xml:space="preserve">Source: </w:t>
      </w:r>
      <w:r w:rsidRPr="00A54D04">
        <w:t>Australian Bureau of Statistics; Essential Services Commission analysis.</w:t>
      </w:r>
    </w:p>
    <w:p w14:paraId="76ABC18C" w14:textId="77777777" w:rsidR="003458BB" w:rsidRPr="00A54D04" w:rsidRDefault="003458BB" w:rsidP="006513AC">
      <w:pPr>
        <w:pStyle w:val="Heading2"/>
      </w:pPr>
      <w:bookmarkStart w:id="191" w:name="_Toc199231571"/>
      <w:bookmarkEnd w:id="188"/>
      <w:r w:rsidRPr="00A54D04">
        <w:t>We recommend the default productivity adjustment factor remains</w:t>
      </w:r>
      <w:bookmarkEnd w:id="191"/>
    </w:p>
    <w:p w14:paraId="7B236E01" w14:textId="6D7DB35A" w:rsidR="003458BB" w:rsidRPr="00A54D04" w:rsidRDefault="003458BB" w:rsidP="003458BB">
      <w:r w:rsidRPr="00A54D04">
        <w:t>A</w:t>
      </w:r>
      <w:r w:rsidR="00BC2FCA">
        <w:t>ustralian Bureau of Statistics</w:t>
      </w:r>
      <w:r w:rsidRPr="00A54D04">
        <w:t xml:space="preserve"> data shows productivity growth declined during the coronavirus pandemic but appears to have rebounded since. </w:t>
      </w:r>
      <w:r w:rsidR="00F9765B" w:rsidRPr="00A54D04">
        <w:t xml:space="preserve">Department of Transport and Planning data also suggests some productivity growth. </w:t>
      </w:r>
      <w:r w:rsidRPr="00A54D04">
        <w:t xml:space="preserve">While this does not provide conclusive evidence on the exact level of productivity growth that has occurred, we note the </w:t>
      </w:r>
      <w:r w:rsidR="0081502B">
        <w:t>default</w:t>
      </w:r>
      <w:r w:rsidRPr="00A54D04">
        <w:t xml:space="preserve"> productivity adjustment factor of 0.5 per cent falls within th</w:t>
      </w:r>
      <w:r w:rsidR="00C36893" w:rsidRPr="00A54D04">
        <w:t>e</w:t>
      </w:r>
      <w:r w:rsidRPr="00A54D04">
        <w:t xml:space="preserve"> range</w:t>
      </w:r>
      <w:r w:rsidR="00C36893" w:rsidRPr="00A54D04">
        <w:t xml:space="preserve"> of the measures we considered</w:t>
      </w:r>
      <w:r w:rsidRPr="00A54D04">
        <w:t>.</w:t>
      </w:r>
    </w:p>
    <w:p w14:paraId="729441BF" w14:textId="1413EA02" w:rsidR="00191DDF" w:rsidRPr="00A54D04" w:rsidRDefault="003458BB" w:rsidP="00191DDF">
      <w:r w:rsidRPr="00A54D04">
        <w:t xml:space="preserve">As a result, </w:t>
      </w:r>
      <w:r w:rsidR="0074766E">
        <w:t xml:space="preserve">the information available to us </w:t>
      </w:r>
      <w:r w:rsidR="003610A0">
        <w:t xml:space="preserve">does not </w:t>
      </w:r>
      <w:r w:rsidR="001E17A6">
        <w:t>indicate</w:t>
      </w:r>
      <w:r w:rsidR="003610A0">
        <w:t xml:space="preserve"> a need</w:t>
      </w:r>
      <w:r w:rsidRPr="00A54D04">
        <w:t xml:space="preserve"> to recommend a different productivity adjustment factor.</w:t>
      </w:r>
      <w:r w:rsidR="00191DDF" w:rsidRPr="00A54D04">
        <w:t xml:space="preserve"> We recommend</w:t>
      </w:r>
      <w:r w:rsidR="0022666F" w:rsidRPr="00A54D04">
        <w:t xml:space="preserve"> it</w:t>
      </w:r>
      <w:r w:rsidR="00191DDF" w:rsidRPr="00A54D04">
        <w:t xml:space="preserve"> remains unchanged</w:t>
      </w:r>
      <w:r w:rsidR="00675143" w:rsidRPr="00A54D04">
        <w:t xml:space="preserve"> at 0.5 per cent</w:t>
      </w:r>
      <w:r w:rsidR="00191DDF" w:rsidRPr="00A54D04">
        <w:t>.</w:t>
      </w:r>
    </w:p>
    <w:p w14:paraId="194017FF" w14:textId="3CAB2F67" w:rsidR="003458BB" w:rsidRPr="00A54D04" w:rsidRDefault="003458BB" w:rsidP="003458BB">
      <w:pPr>
        <w:pStyle w:val="TableBullet2"/>
        <w:numPr>
          <w:ilvl w:val="0"/>
          <w:numId w:val="0"/>
        </w:numPr>
      </w:pPr>
    </w:p>
    <w:p w14:paraId="314C1EB2" w14:textId="77777777" w:rsidR="005836EA" w:rsidRPr="00A54D04" w:rsidRDefault="005836EA" w:rsidP="002F19A8">
      <w:pPr>
        <w:rPr>
          <w:rFonts w:asciiTheme="majorHAnsi" w:eastAsiaTheme="majorEastAsia" w:hAnsiTheme="majorHAnsi" w:cstheme="majorBidi"/>
          <w:b/>
          <w:color w:val="4986A0" w:themeColor="text2"/>
          <w:szCs w:val="24"/>
          <w:lang w:val="en-US"/>
        </w:rPr>
      </w:pPr>
    </w:p>
    <w:bookmarkEnd w:id="159"/>
    <w:bookmarkEnd w:id="160"/>
    <w:bookmarkEnd w:id="161"/>
    <w:bookmarkEnd w:id="162"/>
    <w:bookmarkEnd w:id="163"/>
    <w:p w14:paraId="22FAB896" w14:textId="2D4E29C3" w:rsidR="00806360" w:rsidRPr="00A54D04" w:rsidRDefault="00806360" w:rsidP="0060786B">
      <w:pPr>
        <w:sectPr w:rsidR="00806360" w:rsidRPr="00A54D04" w:rsidSect="000E7EE3">
          <w:headerReference w:type="even" r:id="rId54"/>
          <w:headerReference w:type="default" r:id="rId55"/>
          <w:footerReference w:type="default" r:id="rId56"/>
          <w:headerReference w:type="first" r:id="rId57"/>
          <w:pgSz w:w="11906" w:h="16838" w:code="9"/>
          <w:pgMar w:top="1134" w:right="1134" w:bottom="1134" w:left="1134" w:header="709" w:footer="692" w:gutter="0"/>
          <w:cols w:space="708"/>
          <w:docGrid w:linePitch="360"/>
        </w:sectPr>
      </w:pPr>
    </w:p>
    <w:p w14:paraId="26ED95BA" w14:textId="1A66015C" w:rsidR="00FE3CE5" w:rsidRPr="00A54D04" w:rsidRDefault="008654C0" w:rsidP="00FE3CE5">
      <w:pPr>
        <w:pStyle w:val="Heading1numbered"/>
      </w:pPr>
      <w:bookmarkStart w:id="192" w:name="_Toc199231572"/>
      <w:r w:rsidRPr="00A54D04">
        <w:lastRenderedPageBreak/>
        <w:t>Salvage fees</w:t>
      </w:r>
      <w:bookmarkEnd w:id="192"/>
    </w:p>
    <w:p w14:paraId="1ACD853D" w14:textId="18D4AEFE" w:rsidR="009B0EAC" w:rsidRPr="00A54D04" w:rsidRDefault="009B0EAC" w:rsidP="009B0EAC">
      <w:pPr>
        <w:pStyle w:val="Pull-out"/>
        <w:rPr>
          <w:b/>
          <w:bCs/>
        </w:rPr>
      </w:pPr>
      <w:r w:rsidRPr="00A54D04">
        <w:rPr>
          <w:b/>
          <w:bCs/>
        </w:rPr>
        <w:t xml:space="preserve">Recommendation 4: </w:t>
      </w:r>
      <w:r w:rsidRPr="00A54D04">
        <w:rPr>
          <w:b/>
        </w:rPr>
        <w:t xml:space="preserve">Basic salvage services should not be subject to a determination under </w:t>
      </w:r>
      <w:r w:rsidR="003741F6" w:rsidRPr="00A54D04">
        <w:rPr>
          <w:b/>
        </w:rPr>
        <w:t xml:space="preserve">section </w:t>
      </w:r>
      <w:r w:rsidRPr="00A54D04">
        <w:rPr>
          <w:b/>
        </w:rPr>
        <w:t>211 of the Accident Towing Services Act</w:t>
      </w:r>
      <w:r w:rsidRPr="00A54D04">
        <w:t>.</w:t>
      </w:r>
    </w:p>
    <w:p w14:paraId="757FE8A6" w14:textId="7A397B36" w:rsidR="000419EC" w:rsidRPr="00A54D04" w:rsidRDefault="000419EC" w:rsidP="0084221A">
      <w:pPr>
        <w:pStyle w:val="Pull-out"/>
      </w:pPr>
      <w:r w:rsidRPr="00A54D04">
        <w:t xml:space="preserve">We did not receive </w:t>
      </w:r>
      <w:r w:rsidR="00DA6ABE">
        <w:t>detailed feedback</w:t>
      </w:r>
      <w:r>
        <w:t xml:space="preserve"> t</w:t>
      </w:r>
      <w:r w:rsidR="00DA6ABE">
        <w:t>hat</w:t>
      </w:r>
      <w:r>
        <w:t xml:space="preserve"> indicate</w:t>
      </w:r>
      <w:r w:rsidR="00DA6ABE">
        <w:t>s</w:t>
      </w:r>
      <w:r w:rsidRPr="00A54D04">
        <w:t xml:space="preserve"> </w:t>
      </w:r>
      <w:r>
        <w:t xml:space="preserve">the </w:t>
      </w:r>
      <w:r w:rsidRPr="00A54D04">
        <w:t>salvage fees being charged are unreasonable</w:t>
      </w:r>
      <w:r w:rsidR="00C604FF">
        <w:t>.</w:t>
      </w:r>
    </w:p>
    <w:p w14:paraId="0561B8A1" w14:textId="419B0046" w:rsidR="00D50DDD" w:rsidRPr="00A54D04" w:rsidRDefault="00D50DDD" w:rsidP="00D50DDD">
      <w:bookmarkStart w:id="193" w:name="_Toc480988885"/>
      <w:bookmarkStart w:id="194" w:name="_Toc481138196"/>
      <w:bookmarkStart w:id="195" w:name="_Toc481138404"/>
      <w:r w:rsidRPr="00A54D04">
        <w:t>We are required under section 212A(1)(b) of the Accident Towing Services Act to recommend whether fees for storage and salvage</w:t>
      </w:r>
      <w:r w:rsidR="009515BD">
        <w:t xml:space="preserve"> </w:t>
      </w:r>
      <w:r w:rsidRPr="00A54D04">
        <w:t>services that are unregulated should be regulated and, if so, what regulated fees should be applied.</w:t>
      </w:r>
      <w:r w:rsidR="004A52E2">
        <w:rPr>
          <w:rStyle w:val="FootnoteReference"/>
        </w:rPr>
        <w:footnoteReference w:id="51"/>
      </w:r>
      <w:r w:rsidR="00F04A26" w:rsidRPr="00F04A26">
        <w:rPr>
          <w:rStyle w:val="FootnoteReference"/>
        </w:rPr>
        <w:t xml:space="preserve"> </w:t>
      </w:r>
    </w:p>
    <w:p w14:paraId="722AE248" w14:textId="1754E9F2" w:rsidR="00166B53" w:rsidRPr="00A54D04" w:rsidRDefault="00D50DDD" w:rsidP="00D50DDD">
      <w:r w:rsidRPr="00A54D04">
        <w:t>Fees for basic salvage</w:t>
      </w:r>
      <w:r w:rsidR="00B03058">
        <w:t xml:space="preserve"> services</w:t>
      </w:r>
      <w:r w:rsidRPr="00A54D04">
        <w:t xml:space="preserve"> in the Melbourne controlled area are not currently regulated under section 211 of the</w:t>
      </w:r>
      <w:r w:rsidR="00C72078">
        <w:t xml:space="preserve"> Accident Towing Services</w:t>
      </w:r>
      <w:r w:rsidRPr="00A54D04">
        <w:t xml:space="preserve"> Act. Instead, basic salvage fees must be a ‘reasonable charge for the provision of that service’.</w:t>
      </w:r>
      <w:r w:rsidRPr="00A54D04">
        <w:rPr>
          <w:rStyle w:val="FootnoteReference"/>
        </w:rPr>
        <w:footnoteReference w:id="52"/>
      </w:r>
    </w:p>
    <w:p w14:paraId="6E5FD9DB" w14:textId="1D94FF80" w:rsidR="00166B53" w:rsidRPr="00A54D04" w:rsidRDefault="00166B53" w:rsidP="00850E95">
      <w:pPr>
        <w:sectPr w:rsidR="00166B53" w:rsidRPr="00A54D04" w:rsidSect="000E7EE3">
          <w:headerReference w:type="even" r:id="rId58"/>
          <w:headerReference w:type="default" r:id="rId59"/>
          <w:footerReference w:type="default" r:id="rId60"/>
          <w:headerReference w:type="first" r:id="rId61"/>
          <w:pgSz w:w="11906" w:h="16838" w:code="9"/>
          <w:pgMar w:top="1134" w:right="1134" w:bottom="1134" w:left="1134" w:header="709" w:footer="692" w:gutter="0"/>
          <w:cols w:space="708"/>
          <w:docGrid w:linePitch="360"/>
        </w:sectPr>
      </w:pPr>
      <w:r w:rsidRPr="00A54D04">
        <w:t>This chapter outlines stakeholders’ views and the basis for our recommendation.</w:t>
      </w:r>
    </w:p>
    <w:p w14:paraId="6E35AA5B" w14:textId="429B11D2" w:rsidR="00CB7FB8" w:rsidRPr="00A54D04" w:rsidRDefault="00D73C98" w:rsidP="00990BA3">
      <w:pPr>
        <w:pStyle w:val="Heading2"/>
      </w:pPr>
      <w:bookmarkStart w:id="196" w:name="_Toc199231573"/>
      <w:r w:rsidRPr="00A54D04">
        <w:t xml:space="preserve">Stakeholders’ views </w:t>
      </w:r>
      <w:r w:rsidR="00B85573" w:rsidRPr="00A54D04">
        <w:t xml:space="preserve">on </w:t>
      </w:r>
      <w:r w:rsidRPr="00A54D04">
        <w:t xml:space="preserve">salvage fee regulation </w:t>
      </w:r>
      <w:r w:rsidR="00B85573" w:rsidRPr="00A54D04">
        <w:t>were mixed</w:t>
      </w:r>
      <w:bookmarkEnd w:id="196"/>
    </w:p>
    <w:p w14:paraId="379D5FDC" w14:textId="77777777" w:rsidR="008758C1" w:rsidRDefault="00EB754D" w:rsidP="00EB754D">
      <w:r w:rsidRPr="00A54D04">
        <w:t xml:space="preserve">We heard mixed views from stakeholders on salvage fee regulation. </w:t>
      </w:r>
    </w:p>
    <w:p w14:paraId="4E9B5BE7" w14:textId="72664416" w:rsidR="00EB754D" w:rsidRPr="00A54D04" w:rsidRDefault="00E63AC6" w:rsidP="00EB754D">
      <w:r w:rsidRPr="00A54D04">
        <w:t>T</w:t>
      </w:r>
      <w:r w:rsidR="00EB754D" w:rsidRPr="00A54D04">
        <w:t>he VACC</w:t>
      </w:r>
      <w:r w:rsidRPr="00A54D04">
        <w:t xml:space="preserve"> contended that</w:t>
      </w:r>
      <w:r w:rsidR="00EB754D" w:rsidRPr="00A54D04">
        <w:t xml:space="preserve"> basic salvage services should not</w:t>
      </w:r>
      <w:r w:rsidR="00CE5114" w:rsidRPr="00A54D04">
        <w:t xml:space="preserve"> be</w:t>
      </w:r>
      <w:r w:rsidR="00EB754D" w:rsidRPr="00A54D04">
        <w:t xml:space="preserve"> subject to regulation.</w:t>
      </w:r>
      <w:r w:rsidR="00643E43" w:rsidRPr="00A54D04">
        <w:rPr>
          <w:rStyle w:val="FootnoteReference"/>
        </w:rPr>
        <w:footnoteReference w:id="53"/>
      </w:r>
      <w:r w:rsidR="00EB754D" w:rsidRPr="00A54D04">
        <w:t xml:space="preserve"> </w:t>
      </w:r>
      <w:r w:rsidR="008758C1">
        <w:t>It</w:t>
      </w:r>
      <w:r w:rsidR="00EB754D" w:rsidRPr="00A54D04">
        <w:t xml:space="preserve"> noted</w:t>
      </w:r>
      <w:r w:rsidR="00EF66D1" w:rsidRPr="00A54D04">
        <w:t xml:space="preserve"> sufficient protection against any </w:t>
      </w:r>
      <w:r w:rsidR="009A67E0" w:rsidRPr="00A54D04">
        <w:t xml:space="preserve">unreasonable </w:t>
      </w:r>
      <w:r w:rsidR="00EF66D1" w:rsidRPr="00A54D04">
        <w:t>charging is already provided for in the Accident Towing Services Act.</w:t>
      </w:r>
      <w:r w:rsidR="00EF66D1" w:rsidRPr="00A54D04">
        <w:rPr>
          <w:rStyle w:val="FootnoteReference"/>
        </w:rPr>
        <w:footnoteReference w:id="54"/>
      </w:r>
    </w:p>
    <w:p w14:paraId="19799983" w14:textId="48890881" w:rsidR="00E465E1" w:rsidRPr="00A54D04" w:rsidRDefault="00E465E1" w:rsidP="00EB754D">
      <w:r w:rsidRPr="00A54D04">
        <w:lastRenderedPageBreak/>
        <w:t xml:space="preserve">In contrast, the </w:t>
      </w:r>
      <w:r w:rsidR="00EE0792" w:rsidRPr="00A54D04">
        <w:t>I</w:t>
      </w:r>
      <w:r w:rsidR="00F63EB3">
        <w:t xml:space="preserve">nsurance </w:t>
      </w:r>
      <w:r w:rsidR="00EE0792" w:rsidRPr="00A54D04">
        <w:t>C</w:t>
      </w:r>
      <w:r w:rsidR="00F63EB3">
        <w:t xml:space="preserve">ouncil of </w:t>
      </w:r>
      <w:r w:rsidR="00EE0792" w:rsidRPr="00A54D04">
        <w:t>A</w:t>
      </w:r>
      <w:r w:rsidR="00F63EB3">
        <w:t>ustralia</w:t>
      </w:r>
      <w:r w:rsidR="00EE0792" w:rsidRPr="00A54D04">
        <w:t xml:space="preserve"> </w:t>
      </w:r>
      <w:r w:rsidRPr="00A54D04">
        <w:t>supports salvage fee reg</w:t>
      </w:r>
      <w:r w:rsidR="003D4734" w:rsidRPr="00A54D04">
        <w:t xml:space="preserve">ulation. </w:t>
      </w:r>
      <w:r w:rsidR="008758C1">
        <w:t>It</w:t>
      </w:r>
      <w:r w:rsidR="00B86D8A" w:rsidRPr="00A54D04">
        <w:t xml:space="preserve"> considers that</w:t>
      </w:r>
      <w:r w:rsidR="00EE0792" w:rsidRPr="00A54D04">
        <w:t xml:space="preserve"> the lack of regulated salvage fees at present</w:t>
      </w:r>
      <w:r w:rsidR="00BA1B8F" w:rsidRPr="00A54D04">
        <w:t xml:space="preserve"> </w:t>
      </w:r>
      <w:r w:rsidR="00EE0792" w:rsidRPr="00A54D04">
        <w:t>is a ‘gap’</w:t>
      </w:r>
      <w:r w:rsidR="00CD1100" w:rsidRPr="00A54D04">
        <w:t xml:space="preserve"> which is ‘susceptible to misuse by less scrupulous operators, which in turn may introduce </w:t>
      </w:r>
      <w:r w:rsidR="006B2187" w:rsidRPr="00A54D04">
        <w:t>unwarranted costs into the system’.</w:t>
      </w:r>
      <w:r w:rsidR="006B2187" w:rsidRPr="00A54D04">
        <w:rPr>
          <w:rStyle w:val="FootnoteReference"/>
        </w:rPr>
        <w:footnoteReference w:id="55"/>
      </w:r>
    </w:p>
    <w:p w14:paraId="7BFCF8B1" w14:textId="61291A5E" w:rsidR="004414F4" w:rsidRPr="00A54D04" w:rsidRDefault="001B5BE6" w:rsidP="00BE6336">
      <w:pPr>
        <w:pStyle w:val="Heading3"/>
      </w:pPr>
      <w:bookmarkStart w:id="197" w:name="_Toc195721914"/>
      <w:bookmarkStart w:id="198" w:name="_Toc197345269"/>
      <w:bookmarkStart w:id="199" w:name="_Toc197942438"/>
      <w:bookmarkStart w:id="200" w:name="_Toc197977711"/>
      <w:bookmarkStart w:id="201" w:name="_Toc198048700"/>
      <w:bookmarkStart w:id="202" w:name="_Toc199231574"/>
      <w:r w:rsidRPr="00A54D04">
        <w:t>Amend</w:t>
      </w:r>
      <w:r w:rsidR="00D400E9" w:rsidRPr="00A54D04">
        <w:t>ing s</w:t>
      </w:r>
      <w:r w:rsidR="001A60DD" w:rsidRPr="00A54D04">
        <w:t xml:space="preserve">alvage </w:t>
      </w:r>
      <w:r w:rsidR="003D2E02" w:rsidRPr="00A54D04">
        <w:t>definition</w:t>
      </w:r>
      <w:r w:rsidR="00346623" w:rsidRPr="00A54D04">
        <w:t xml:space="preserve"> for electric vehicles</w:t>
      </w:r>
      <w:r w:rsidR="00D400E9" w:rsidRPr="00A54D04">
        <w:t xml:space="preserve"> </w:t>
      </w:r>
      <w:r w:rsidR="004414F4" w:rsidRPr="00A54D04">
        <w:t>out</w:t>
      </w:r>
      <w:r w:rsidR="003D2E02" w:rsidRPr="00A54D04">
        <w:t xml:space="preserve"> of </w:t>
      </w:r>
      <w:r w:rsidR="002B3CBD" w:rsidRPr="00A54D04">
        <w:t xml:space="preserve">our </w:t>
      </w:r>
      <w:r w:rsidR="00524493" w:rsidRPr="00A54D04">
        <w:t xml:space="preserve">review </w:t>
      </w:r>
      <w:r w:rsidR="004414F4" w:rsidRPr="00A54D04">
        <w:t>scope</w:t>
      </w:r>
      <w:bookmarkEnd w:id="197"/>
      <w:bookmarkEnd w:id="198"/>
      <w:bookmarkEnd w:id="199"/>
      <w:bookmarkEnd w:id="200"/>
      <w:bookmarkEnd w:id="201"/>
      <w:bookmarkEnd w:id="202"/>
    </w:p>
    <w:p w14:paraId="32DDAAB8" w14:textId="324A0EF4" w:rsidR="004414F4" w:rsidRPr="00A54D04" w:rsidRDefault="004414F4" w:rsidP="004414F4">
      <w:r w:rsidRPr="00A54D04">
        <w:t xml:space="preserve">The VACC recommended the </w:t>
      </w:r>
      <w:r w:rsidR="00F63EB3">
        <w:t>Victorian G</w:t>
      </w:r>
      <w:r w:rsidRPr="00A54D04">
        <w:t xml:space="preserve">overnment amend the definition of ‘salvage’ under the Accident Towing Services Act to include electric vehicles and noted that it will pursue this </w:t>
      </w:r>
      <w:r w:rsidR="008758C1">
        <w:t>separately to this</w:t>
      </w:r>
      <w:r w:rsidRPr="00A54D04">
        <w:t xml:space="preserve"> review.</w:t>
      </w:r>
      <w:r w:rsidR="004F44FA" w:rsidRPr="00A54D04">
        <w:rPr>
          <w:rStyle w:val="FootnoteReference"/>
        </w:rPr>
        <w:footnoteReference w:id="56"/>
      </w:r>
      <w:r w:rsidRPr="00A54D04">
        <w:t xml:space="preserve"> </w:t>
      </w:r>
    </w:p>
    <w:p w14:paraId="7CEB179A" w14:textId="53B3E4CD" w:rsidR="004414F4" w:rsidRPr="00A54D04" w:rsidRDefault="00225BB8" w:rsidP="004414F4">
      <w:r w:rsidRPr="00A54D04">
        <w:t>W</w:t>
      </w:r>
      <w:r w:rsidR="004414F4" w:rsidRPr="00A54D04">
        <w:t xml:space="preserve">e </w:t>
      </w:r>
      <w:r w:rsidR="00701F70">
        <w:t xml:space="preserve">note that this is not a relevant consideration </w:t>
      </w:r>
      <w:r w:rsidR="008758C1">
        <w:t xml:space="preserve">in </w:t>
      </w:r>
      <w:r w:rsidR="00701F70">
        <w:t>our review</w:t>
      </w:r>
      <w:r w:rsidR="00AE4DEE">
        <w:t>,</w:t>
      </w:r>
      <w:r w:rsidR="00701F70">
        <w:t xml:space="preserve"> and we have not taken it into account. </w:t>
      </w:r>
      <w:r w:rsidR="004414F4" w:rsidRPr="00A54D04">
        <w:t xml:space="preserve"> </w:t>
      </w:r>
    </w:p>
    <w:p w14:paraId="1C7D6C57" w14:textId="646D243D" w:rsidR="00BE6336" w:rsidRPr="00A54D04" w:rsidRDefault="008758C1" w:rsidP="00990BA3">
      <w:pPr>
        <w:pStyle w:val="Heading2"/>
      </w:pPr>
      <w:bookmarkStart w:id="203" w:name="_Toc199231575"/>
      <w:r>
        <w:t>No</w:t>
      </w:r>
      <w:r w:rsidR="00BE6336" w:rsidRPr="00A54D04">
        <w:t xml:space="preserve"> evidence</w:t>
      </w:r>
      <w:r w:rsidR="00294406" w:rsidRPr="00A54D04">
        <w:t xml:space="preserve"> to suggest</w:t>
      </w:r>
      <w:r w:rsidR="00BE6336" w:rsidRPr="00A54D04">
        <w:t xml:space="preserve"> </w:t>
      </w:r>
      <w:r w:rsidR="00294406" w:rsidRPr="00A54D04">
        <w:t>salvage fees are unreasonable</w:t>
      </w:r>
      <w:bookmarkEnd w:id="203"/>
    </w:p>
    <w:p w14:paraId="37F94D80" w14:textId="4A14252E" w:rsidR="009F326E" w:rsidRPr="00A54D04" w:rsidRDefault="00FE4D49" w:rsidP="009F326E">
      <w:r w:rsidRPr="00A54D04">
        <w:t>We did not receive</w:t>
      </w:r>
      <w:r w:rsidR="00E60B65" w:rsidRPr="00A54D04">
        <w:t xml:space="preserve"> </w:t>
      </w:r>
      <w:r w:rsidR="00A40BD7">
        <w:t>detailed feedback</w:t>
      </w:r>
      <w:r w:rsidR="00290DAB">
        <w:t xml:space="preserve"> </w:t>
      </w:r>
      <w:r w:rsidR="005F7FDC" w:rsidRPr="00A54D04">
        <w:t>from</w:t>
      </w:r>
      <w:r w:rsidR="00D913F6" w:rsidRPr="00A54D04">
        <w:t xml:space="preserve"> stakeholders </w:t>
      </w:r>
      <w:r w:rsidR="00A40BD7">
        <w:t>that</w:t>
      </w:r>
      <w:r w:rsidR="00CB301C">
        <w:t xml:space="preserve"> indicate</w:t>
      </w:r>
      <w:r w:rsidR="00A40BD7">
        <w:t>s</w:t>
      </w:r>
      <w:r w:rsidR="00CB301C">
        <w:t xml:space="preserve"> </w:t>
      </w:r>
      <w:r w:rsidR="00EC083A" w:rsidRPr="00A54D04">
        <w:t xml:space="preserve">the </w:t>
      </w:r>
      <w:r w:rsidR="00D913F6" w:rsidRPr="00A54D04">
        <w:t>salvage fees being charged are unreasonable</w:t>
      </w:r>
      <w:r w:rsidR="00DA6ABE">
        <w:t xml:space="preserve"> that would justify more direct price regulation.</w:t>
      </w:r>
      <w:r w:rsidR="008758C1">
        <w:t xml:space="preserve"> We found no data or information to suggest otherwise.</w:t>
      </w:r>
    </w:p>
    <w:p w14:paraId="2A17E238" w14:textId="2CF48E1E" w:rsidR="00381563" w:rsidRPr="00A54D04" w:rsidRDefault="00FA6187" w:rsidP="00381563">
      <w:r w:rsidRPr="00A54D04">
        <w:t>We note salvage issues have previously been addressed by industry regulation. For example, there is a requirement</w:t>
      </w:r>
      <w:r w:rsidRPr="00A54D04">
        <w:rPr>
          <w:rFonts w:ascii="Times New Roman" w:hAnsi="Times New Roman" w:cs="Times New Roman"/>
          <w:color w:val="000000"/>
          <w:sz w:val="24"/>
          <w:szCs w:val="24"/>
        </w:rPr>
        <w:t xml:space="preserve"> </w:t>
      </w:r>
      <w:r w:rsidRPr="00A54D04">
        <w:t>in the Accident Towing Services Regulations 2019 for tow truck drivers to take photographs of salvage operations.</w:t>
      </w:r>
      <w:r w:rsidRPr="00A54D04">
        <w:rPr>
          <w:rStyle w:val="FootnoteReference"/>
        </w:rPr>
        <w:footnoteReference w:id="57"/>
      </w:r>
      <w:r w:rsidRPr="00A54D04">
        <w:t xml:space="preserve"> This may improve fee transparency and protect against</w:t>
      </w:r>
      <w:r w:rsidR="009A67E0" w:rsidRPr="00A54D04">
        <w:t xml:space="preserve"> unreasonable </w:t>
      </w:r>
      <w:r w:rsidRPr="00A54D04">
        <w:t>charging</w:t>
      </w:r>
      <w:r w:rsidR="008758C1">
        <w:t>, given photographic evidence is provided to insurers and customers as proof of salvage</w:t>
      </w:r>
      <w:r w:rsidRPr="00A54D04">
        <w:t xml:space="preserve">. It is possible that industry regulation, rather than price regulation, may be suitable for other issues related to </w:t>
      </w:r>
      <w:r w:rsidR="009A67E0" w:rsidRPr="00A54D04">
        <w:t xml:space="preserve">unreasonable </w:t>
      </w:r>
      <w:r w:rsidRPr="00A54D04">
        <w:t>salvage fees, should they arise.</w:t>
      </w:r>
    </w:p>
    <w:p w14:paraId="0C7B9482" w14:textId="5E2C87D2" w:rsidR="004414F4" w:rsidRPr="00A54D04" w:rsidRDefault="00AF0214" w:rsidP="00990BA3">
      <w:pPr>
        <w:pStyle w:val="Heading2"/>
      </w:pPr>
      <w:bookmarkStart w:id="204" w:name="_Toc199231576"/>
      <w:r w:rsidRPr="00A54D04">
        <w:t>We recommend</w:t>
      </w:r>
      <w:r w:rsidR="00BE6336" w:rsidRPr="00A54D04">
        <w:t xml:space="preserve"> </w:t>
      </w:r>
      <w:r w:rsidR="00B03058">
        <w:t>salvage fees</w:t>
      </w:r>
      <w:r w:rsidR="00BE6336" w:rsidRPr="00A54D04">
        <w:t xml:space="preserve"> are not regulated</w:t>
      </w:r>
      <w:bookmarkEnd w:id="204"/>
      <w:r w:rsidR="00BE6336" w:rsidRPr="00A54D04">
        <w:t xml:space="preserve"> </w:t>
      </w:r>
    </w:p>
    <w:p w14:paraId="13E8552E" w14:textId="48D00226" w:rsidR="00FA6187" w:rsidRPr="00A54D04" w:rsidRDefault="00952D42" w:rsidP="00FA6187">
      <w:r>
        <w:t>The information available to us does not</w:t>
      </w:r>
      <w:r w:rsidR="00FA6187" w:rsidRPr="00A54D04">
        <w:t xml:space="preserve"> support regulation of salvage fees. </w:t>
      </w:r>
      <w:r w:rsidR="00F73A1E" w:rsidRPr="00A54D04">
        <w:t>We recommend</w:t>
      </w:r>
      <w:r w:rsidR="00E777AA" w:rsidRPr="00A54D04">
        <w:t xml:space="preserve"> that </w:t>
      </w:r>
      <w:r w:rsidR="00B03058">
        <w:t>basic salvage services</w:t>
      </w:r>
      <w:r w:rsidR="00E777AA" w:rsidRPr="00A54D04">
        <w:t xml:space="preserve"> </w:t>
      </w:r>
      <w:r w:rsidR="0096636C" w:rsidRPr="00A54D04">
        <w:t>not</w:t>
      </w:r>
      <w:r w:rsidR="002A3B88">
        <w:t xml:space="preserve"> </w:t>
      </w:r>
      <w:r w:rsidR="0096636C" w:rsidRPr="00A54D04">
        <w:t>be</w:t>
      </w:r>
      <w:r w:rsidR="00E777AA" w:rsidRPr="00A54D04">
        <w:t xml:space="preserve"> subject to a price determination. </w:t>
      </w:r>
    </w:p>
    <w:p w14:paraId="70DBFDC3" w14:textId="77777777" w:rsidR="0041357C" w:rsidRPr="00A54D04" w:rsidRDefault="0041357C" w:rsidP="00FF7062">
      <w:pPr>
        <w:pStyle w:val="Heading1"/>
        <w:sectPr w:rsidR="0041357C" w:rsidRPr="00A54D04" w:rsidSect="005E5FCE">
          <w:headerReference w:type="even" r:id="rId62"/>
          <w:headerReference w:type="default" r:id="rId63"/>
          <w:footerReference w:type="default" r:id="rId64"/>
          <w:headerReference w:type="first" r:id="rId65"/>
          <w:type w:val="continuous"/>
          <w:pgSz w:w="11906" w:h="16838" w:code="9"/>
          <w:pgMar w:top="1134" w:right="1134" w:bottom="1134" w:left="1134" w:header="709" w:footer="692" w:gutter="0"/>
          <w:cols w:space="708"/>
          <w:docGrid w:linePitch="360"/>
        </w:sectPr>
      </w:pPr>
      <w:bookmarkStart w:id="205" w:name="_Toc480988886"/>
      <w:bookmarkStart w:id="206" w:name="_Toc481138197"/>
      <w:bookmarkStart w:id="207" w:name="_Toc481138405"/>
      <w:bookmarkEnd w:id="193"/>
      <w:bookmarkEnd w:id="194"/>
      <w:bookmarkEnd w:id="195"/>
    </w:p>
    <w:p w14:paraId="4B70752D" w14:textId="2B032EBD" w:rsidR="006F5145" w:rsidRPr="00A54D04" w:rsidRDefault="005E2A78" w:rsidP="00FF7062">
      <w:pPr>
        <w:pStyle w:val="Heading1"/>
      </w:pPr>
      <w:bookmarkStart w:id="208" w:name="_Toc199231577"/>
      <w:r w:rsidRPr="00A54D04">
        <w:lastRenderedPageBreak/>
        <w:t>Glossary</w:t>
      </w:r>
      <w:bookmarkEnd w:id="205"/>
      <w:bookmarkEnd w:id="206"/>
      <w:bookmarkEnd w:id="207"/>
      <w:bookmarkEnd w:id="208"/>
    </w:p>
    <w:tbl>
      <w:tblPr>
        <w:tblStyle w:val="TableGrid"/>
        <w:tblW w:w="0" w:type="auto"/>
        <w:tblLook w:val="04A0" w:firstRow="1" w:lastRow="0" w:firstColumn="1" w:lastColumn="0" w:noHBand="0" w:noVBand="1"/>
      </w:tblPr>
      <w:tblGrid>
        <w:gridCol w:w="3580"/>
        <w:gridCol w:w="6058"/>
      </w:tblGrid>
      <w:tr w:rsidR="001C1C62" w:rsidRPr="00A54D04" w14:paraId="38AE07A8" w14:textId="77777777" w:rsidTr="52C2B051">
        <w:trPr>
          <w:cnfStyle w:val="100000000000" w:firstRow="1" w:lastRow="0" w:firstColumn="0" w:lastColumn="0" w:oddVBand="0" w:evenVBand="0" w:oddHBand="0" w:evenHBand="0" w:firstRowFirstColumn="0" w:firstRowLastColumn="0" w:lastRowFirstColumn="0" w:lastRowLastColumn="0"/>
          <w:cantSplit/>
          <w:tblHeader/>
        </w:trPr>
        <w:tc>
          <w:tcPr>
            <w:tcW w:w="3580" w:type="dxa"/>
          </w:tcPr>
          <w:p w14:paraId="2D83E01E" w14:textId="77777777" w:rsidR="001C1C62" w:rsidRPr="00A54D04" w:rsidRDefault="001C1C62">
            <w:pPr>
              <w:pStyle w:val="TableBody"/>
            </w:pPr>
            <w:r w:rsidRPr="00A54D04">
              <w:t>Term</w:t>
            </w:r>
          </w:p>
        </w:tc>
        <w:tc>
          <w:tcPr>
            <w:tcW w:w="6058" w:type="dxa"/>
          </w:tcPr>
          <w:p w14:paraId="37399FA3" w14:textId="77777777" w:rsidR="001C1C62" w:rsidRPr="00A54D04" w:rsidRDefault="001C1C62">
            <w:pPr>
              <w:pStyle w:val="TableBody"/>
            </w:pPr>
            <w:r w:rsidRPr="00A54D04">
              <w:t>Definition</w:t>
            </w:r>
          </w:p>
        </w:tc>
      </w:tr>
      <w:tr w:rsidR="001C1C62" w:rsidRPr="00A54D04" w14:paraId="716E5762" w14:textId="77777777" w:rsidTr="52C2B051">
        <w:trPr>
          <w:cnfStyle w:val="000000100000" w:firstRow="0" w:lastRow="0" w:firstColumn="0" w:lastColumn="0" w:oddVBand="0" w:evenVBand="0" w:oddHBand="1" w:evenHBand="0" w:firstRowFirstColumn="0" w:firstRowLastColumn="0" w:lastRowFirstColumn="0" w:lastRowLastColumn="0"/>
          <w:cantSplit/>
        </w:trPr>
        <w:tc>
          <w:tcPr>
            <w:tcW w:w="3580" w:type="dxa"/>
          </w:tcPr>
          <w:p w14:paraId="076890E6" w14:textId="77777777" w:rsidR="001C1C62" w:rsidRPr="00A54D04" w:rsidRDefault="001C1C62">
            <w:pPr>
              <w:pStyle w:val="TableBody"/>
            </w:pPr>
            <w:r w:rsidRPr="00A54D04">
              <w:t>accident allocation scheme</w:t>
            </w:r>
          </w:p>
        </w:tc>
        <w:tc>
          <w:tcPr>
            <w:tcW w:w="6058" w:type="dxa"/>
          </w:tcPr>
          <w:p w14:paraId="518B8B5D" w14:textId="2AE81FF8" w:rsidR="001C1C62" w:rsidRPr="00A54D04" w:rsidRDefault="001C1C62">
            <w:pPr>
              <w:pStyle w:val="TableBody"/>
            </w:pPr>
            <w:r w:rsidRPr="00A54D04">
              <w:rPr>
                <w:lang w:val="en-AU"/>
              </w:rPr>
              <w:t>A roster-based system for allocating accident towing jobs between tow truck licence holders. Separate schemes operate in the Melbourne controlled area and the Self</w:t>
            </w:r>
            <w:r w:rsidR="002F3F33" w:rsidRPr="00A54D04">
              <w:rPr>
                <w:lang w:val="en-AU"/>
              </w:rPr>
              <w:t>-</w:t>
            </w:r>
            <w:r w:rsidRPr="00A54D04">
              <w:rPr>
                <w:lang w:val="en-AU"/>
              </w:rPr>
              <w:t>management area of Geelong.</w:t>
            </w:r>
          </w:p>
        </w:tc>
      </w:tr>
      <w:tr w:rsidR="000869D3" w:rsidRPr="00A54D04" w14:paraId="6CFE11CD" w14:textId="77777777" w:rsidTr="52C2B051">
        <w:trPr>
          <w:cnfStyle w:val="000000010000" w:firstRow="0" w:lastRow="0" w:firstColumn="0" w:lastColumn="0" w:oddVBand="0" w:evenVBand="0" w:oddHBand="0" w:evenHBand="1" w:firstRowFirstColumn="0" w:firstRowLastColumn="0" w:lastRowFirstColumn="0" w:lastRowLastColumn="0"/>
          <w:cantSplit/>
        </w:trPr>
        <w:tc>
          <w:tcPr>
            <w:tcW w:w="3580" w:type="dxa"/>
          </w:tcPr>
          <w:p w14:paraId="63BBA4EF" w14:textId="09F6F00E" w:rsidR="000869D3" w:rsidRPr="00A54D04" w:rsidRDefault="000869D3">
            <w:pPr>
              <w:pStyle w:val="TableBody"/>
            </w:pPr>
            <w:r>
              <w:t xml:space="preserve">accident damaged motor vehicle </w:t>
            </w:r>
          </w:p>
        </w:tc>
        <w:tc>
          <w:tcPr>
            <w:tcW w:w="6058" w:type="dxa"/>
          </w:tcPr>
          <w:p w14:paraId="30B36387" w14:textId="2606F4C0" w:rsidR="000869D3" w:rsidRPr="00A54D04" w:rsidRDefault="000869D3">
            <w:pPr>
              <w:pStyle w:val="TableBody"/>
            </w:pPr>
            <w:r>
              <w:t xml:space="preserve">A </w:t>
            </w:r>
            <w:r w:rsidRPr="000869D3">
              <w:t>motor vehicle that has been damaged as the result of a road</w:t>
            </w:r>
            <w:r>
              <w:t xml:space="preserve"> accident.</w:t>
            </w:r>
            <w:r>
              <w:br/>
            </w:r>
            <w:r>
              <w:br/>
            </w:r>
            <w:r w:rsidRPr="00A54D04">
              <w:t xml:space="preserve">(Definition as per section </w:t>
            </w:r>
            <w:r>
              <w:t>1(3)</w:t>
            </w:r>
            <w:r w:rsidRPr="00A54D04">
              <w:t xml:space="preserve"> of the Accident Towing Services Act</w:t>
            </w:r>
            <w:r w:rsidR="00F63EB3">
              <w:t>.</w:t>
            </w:r>
            <w:r w:rsidRPr="00A54D04">
              <w:t>)</w:t>
            </w:r>
          </w:p>
        </w:tc>
      </w:tr>
      <w:tr w:rsidR="001C1C62" w:rsidRPr="00A54D04" w14:paraId="1BAE3E8B" w14:textId="77777777" w:rsidTr="52C2B051">
        <w:trPr>
          <w:cnfStyle w:val="000000100000" w:firstRow="0" w:lastRow="0" w:firstColumn="0" w:lastColumn="0" w:oddVBand="0" w:evenVBand="0" w:oddHBand="1" w:evenHBand="0" w:firstRowFirstColumn="0" w:firstRowLastColumn="0" w:lastRowFirstColumn="0" w:lastRowLastColumn="0"/>
          <w:cantSplit/>
        </w:trPr>
        <w:tc>
          <w:tcPr>
            <w:tcW w:w="3580" w:type="dxa"/>
          </w:tcPr>
          <w:p w14:paraId="311B3A52" w14:textId="77777777" w:rsidR="001C1C62" w:rsidRPr="00A54D04" w:rsidRDefault="001C1C62">
            <w:pPr>
              <w:pStyle w:val="TableBody"/>
            </w:pPr>
            <w:r w:rsidRPr="00A54D04">
              <w:t>accident towing</w:t>
            </w:r>
          </w:p>
        </w:tc>
        <w:tc>
          <w:tcPr>
            <w:tcW w:w="6058" w:type="dxa"/>
          </w:tcPr>
          <w:p w14:paraId="7C992F08" w14:textId="55FA4BEE" w:rsidR="001C1C62" w:rsidRPr="00A54D04" w:rsidRDefault="001C1C62">
            <w:pPr>
              <w:pStyle w:val="TableBody"/>
            </w:pPr>
            <w:r w:rsidRPr="00A54D04">
              <w:t>The towing and storage of accident-damaged motor vehicles from road accident scenes. Accident towing and storage fees are regulated in the Melbourne controlled area.</w:t>
            </w:r>
          </w:p>
        </w:tc>
      </w:tr>
      <w:tr w:rsidR="00064E1B" w:rsidRPr="00A54D04" w14:paraId="660E303C" w14:textId="77777777" w:rsidTr="52C2B051">
        <w:trPr>
          <w:cnfStyle w:val="000000010000" w:firstRow="0" w:lastRow="0" w:firstColumn="0" w:lastColumn="0" w:oddVBand="0" w:evenVBand="0" w:oddHBand="0" w:evenHBand="1" w:firstRowFirstColumn="0" w:firstRowLastColumn="0" w:lastRowFirstColumn="0" w:lastRowLastColumn="0"/>
          <w:cantSplit/>
        </w:trPr>
        <w:tc>
          <w:tcPr>
            <w:tcW w:w="3580" w:type="dxa"/>
          </w:tcPr>
          <w:p w14:paraId="78210610" w14:textId="047598EC" w:rsidR="00064E1B" w:rsidRPr="00A54D04" w:rsidRDefault="00064E1B">
            <w:pPr>
              <w:pStyle w:val="TableBody"/>
            </w:pPr>
            <w:r>
              <w:t>annual adjustment mechanism</w:t>
            </w:r>
          </w:p>
        </w:tc>
        <w:tc>
          <w:tcPr>
            <w:tcW w:w="6058" w:type="dxa"/>
          </w:tcPr>
          <w:p w14:paraId="2A4DE679" w14:textId="77777777" w:rsidR="00837C05" w:rsidRDefault="00064E1B">
            <w:pPr>
              <w:pStyle w:val="TableBody"/>
              <w:rPr>
                <w:lang w:val="en-AU"/>
              </w:rPr>
            </w:pPr>
            <w:r w:rsidRPr="00064E1B">
              <w:rPr>
                <w:lang w:val="en-AU"/>
              </w:rPr>
              <w:t xml:space="preserve">Each </w:t>
            </w:r>
            <w:r>
              <w:rPr>
                <w:lang w:val="en-AU"/>
              </w:rPr>
              <w:t xml:space="preserve">year, regulated accident towing </w:t>
            </w:r>
            <w:r w:rsidR="00D20BF1">
              <w:rPr>
                <w:lang w:val="en-AU"/>
              </w:rPr>
              <w:t xml:space="preserve">and storage </w:t>
            </w:r>
            <w:r w:rsidRPr="00064E1B">
              <w:rPr>
                <w:lang w:val="en-AU"/>
              </w:rPr>
              <w:t>fee</w:t>
            </w:r>
            <w:r>
              <w:rPr>
                <w:lang w:val="en-AU"/>
              </w:rPr>
              <w:t>s</w:t>
            </w:r>
            <w:r w:rsidRPr="00064E1B">
              <w:rPr>
                <w:lang w:val="en-AU"/>
              </w:rPr>
              <w:t xml:space="preserve"> </w:t>
            </w:r>
            <w:r>
              <w:rPr>
                <w:lang w:val="en-AU"/>
              </w:rPr>
              <w:t>are</w:t>
            </w:r>
            <w:r w:rsidRPr="00064E1B">
              <w:rPr>
                <w:lang w:val="en-AU"/>
              </w:rPr>
              <w:t xml:space="preserve"> </w:t>
            </w:r>
            <w:r>
              <w:rPr>
                <w:lang w:val="en-AU"/>
              </w:rPr>
              <w:t>amended</w:t>
            </w:r>
            <w:r w:rsidRPr="00064E1B">
              <w:rPr>
                <w:lang w:val="en-AU"/>
              </w:rPr>
              <w:t xml:space="preserve"> </w:t>
            </w:r>
            <w:r>
              <w:rPr>
                <w:lang w:val="en-AU"/>
              </w:rPr>
              <w:t>according to</w:t>
            </w:r>
            <w:r w:rsidRPr="00064E1B">
              <w:rPr>
                <w:lang w:val="en-AU"/>
              </w:rPr>
              <w:t xml:space="preserve"> a formula </w:t>
            </w:r>
            <w:r>
              <w:rPr>
                <w:lang w:val="en-AU"/>
              </w:rPr>
              <w:t xml:space="preserve">– the </w:t>
            </w:r>
            <w:r w:rsidRPr="00064E1B">
              <w:rPr>
                <w:lang w:val="en-AU"/>
              </w:rPr>
              <w:t xml:space="preserve">percentage change in the Melbourne Transport </w:t>
            </w:r>
            <w:r w:rsidR="00D20BF1">
              <w:rPr>
                <w:lang w:val="en-AU"/>
              </w:rPr>
              <w:t>c</w:t>
            </w:r>
            <w:r w:rsidRPr="00064E1B">
              <w:rPr>
                <w:lang w:val="en-AU"/>
              </w:rPr>
              <w:t xml:space="preserve">onsumer </w:t>
            </w:r>
            <w:r w:rsidR="00D20BF1">
              <w:rPr>
                <w:lang w:val="en-AU"/>
              </w:rPr>
              <w:t>p</w:t>
            </w:r>
            <w:r w:rsidRPr="00064E1B">
              <w:rPr>
                <w:lang w:val="en-AU"/>
              </w:rPr>
              <w:t xml:space="preserve">rice </w:t>
            </w:r>
            <w:r w:rsidR="00D20BF1">
              <w:rPr>
                <w:lang w:val="en-AU"/>
              </w:rPr>
              <w:t>i</w:t>
            </w:r>
            <w:r w:rsidRPr="00064E1B">
              <w:rPr>
                <w:lang w:val="en-AU"/>
              </w:rPr>
              <w:t>ndex (CPI)</w:t>
            </w:r>
            <w:r w:rsidR="00D20BF1">
              <w:rPr>
                <w:lang w:val="en-AU"/>
              </w:rPr>
              <w:t>*</w:t>
            </w:r>
            <w:r w:rsidRPr="00064E1B">
              <w:rPr>
                <w:lang w:val="en-AU"/>
              </w:rPr>
              <w:t xml:space="preserve"> less a productivity adjustment factor of </w:t>
            </w:r>
            <w:r w:rsidRPr="00A54D04">
              <w:t>0.5 per cent</w:t>
            </w:r>
            <w:r w:rsidRPr="00064E1B">
              <w:rPr>
                <w:lang w:val="en-AU"/>
              </w:rPr>
              <w:t xml:space="preserve">. </w:t>
            </w:r>
            <w:r w:rsidR="00D20BF1" w:rsidRPr="00D20BF1">
              <w:rPr>
                <w:lang w:val="en-AU"/>
              </w:rPr>
              <w:t xml:space="preserve">Fees </w:t>
            </w:r>
            <w:proofErr w:type="gramStart"/>
            <w:r w:rsidR="00D20BF1" w:rsidRPr="00D20BF1">
              <w:rPr>
                <w:lang w:val="en-AU"/>
              </w:rPr>
              <w:t xml:space="preserve">are not </w:t>
            </w:r>
            <w:r w:rsidR="00D20BF1">
              <w:rPr>
                <w:lang w:val="en-AU"/>
              </w:rPr>
              <w:t>amended</w:t>
            </w:r>
            <w:proofErr w:type="gramEnd"/>
            <w:r w:rsidR="00D20BF1" w:rsidRPr="00D20BF1">
              <w:rPr>
                <w:lang w:val="en-AU"/>
              </w:rPr>
              <w:t xml:space="preserve"> if </w:t>
            </w:r>
            <w:proofErr w:type="gramStart"/>
            <w:r w:rsidR="00D20BF1">
              <w:rPr>
                <w:lang w:val="en-AU"/>
              </w:rPr>
              <w:t>in a given year</w:t>
            </w:r>
            <w:proofErr w:type="gramEnd"/>
            <w:r w:rsidR="00D20BF1">
              <w:rPr>
                <w:lang w:val="en-AU"/>
              </w:rPr>
              <w:t xml:space="preserve">, </w:t>
            </w:r>
            <w:r w:rsidR="00D20BF1" w:rsidRPr="00D20BF1">
              <w:rPr>
                <w:lang w:val="en-AU"/>
              </w:rPr>
              <w:t>the formula results in a lower amount.</w:t>
            </w:r>
          </w:p>
          <w:p w14:paraId="25F2936B" w14:textId="1F5F690D" w:rsidR="00064E1B" w:rsidRPr="00A54D04" w:rsidRDefault="00D20BF1">
            <w:pPr>
              <w:pStyle w:val="TableBody"/>
              <w:rPr>
                <w:lang w:val="en-AU"/>
              </w:rPr>
            </w:pPr>
            <w:r>
              <w:rPr>
                <w:lang w:val="en-AU"/>
              </w:rPr>
              <w:br/>
              <w:t xml:space="preserve">* For a given year, the percentage change is between </w:t>
            </w:r>
            <w:r w:rsidRPr="00D20BF1">
              <w:rPr>
                <w:lang w:val="en-AU"/>
              </w:rPr>
              <w:t>the current March quarter and the previous March quarter</w:t>
            </w:r>
            <w:r>
              <w:rPr>
                <w:lang w:val="en-AU"/>
              </w:rPr>
              <w:t>.</w:t>
            </w:r>
          </w:p>
        </w:tc>
      </w:tr>
      <w:tr w:rsidR="001C1C62" w:rsidRPr="00A54D04" w14:paraId="2FDFA973" w14:textId="77777777" w:rsidTr="52C2B051">
        <w:trPr>
          <w:cnfStyle w:val="000000100000" w:firstRow="0" w:lastRow="0" w:firstColumn="0" w:lastColumn="0" w:oddVBand="0" w:evenVBand="0" w:oddHBand="1" w:evenHBand="0" w:firstRowFirstColumn="0" w:firstRowLastColumn="0" w:lastRowFirstColumn="0" w:lastRowLastColumn="0"/>
          <w:cantSplit/>
        </w:trPr>
        <w:tc>
          <w:tcPr>
            <w:tcW w:w="3580" w:type="dxa"/>
          </w:tcPr>
          <w:p w14:paraId="06A21F0F" w14:textId="77777777" w:rsidR="001C1C62" w:rsidRPr="00A54D04" w:rsidRDefault="001C1C62">
            <w:pPr>
              <w:pStyle w:val="TableBody"/>
            </w:pPr>
            <w:r w:rsidRPr="00A54D04">
              <w:t>breakdown towing</w:t>
            </w:r>
          </w:p>
        </w:tc>
        <w:tc>
          <w:tcPr>
            <w:tcW w:w="6058" w:type="dxa"/>
          </w:tcPr>
          <w:p w14:paraId="148E3DA5" w14:textId="77777777" w:rsidR="001C1C62" w:rsidRPr="00A54D04" w:rsidRDefault="001C1C62">
            <w:pPr>
              <w:pStyle w:val="TableBody"/>
            </w:pPr>
            <w:r w:rsidRPr="00A54D04">
              <w:rPr>
                <w:lang w:val="en-AU"/>
              </w:rPr>
              <w:t xml:space="preserve">The towing of vehicles as part of the roadside assistance service offered by car insurance providers and car dealerships. Breakdown towing fees are not regulated. </w:t>
            </w:r>
          </w:p>
        </w:tc>
      </w:tr>
      <w:tr w:rsidR="001C1C62" w:rsidRPr="00A54D04" w14:paraId="36F75732" w14:textId="77777777" w:rsidTr="52C2B051">
        <w:trPr>
          <w:cnfStyle w:val="000000010000" w:firstRow="0" w:lastRow="0" w:firstColumn="0" w:lastColumn="0" w:oddVBand="0" w:evenVBand="0" w:oddHBand="0" w:evenHBand="1" w:firstRowFirstColumn="0" w:firstRowLastColumn="0" w:lastRowFirstColumn="0" w:lastRowLastColumn="0"/>
          <w:cantSplit/>
        </w:trPr>
        <w:tc>
          <w:tcPr>
            <w:tcW w:w="3580" w:type="dxa"/>
          </w:tcPr>
          <w:p w14:paraId="327477B2" w14:textId="77777777" w:rsidR="001C1C62" w:rsidRPr="00A54D04" w:rsidRDefault="001C1C62">
            <w:pPr>
              <w:pStyle w:val="TableBody"/>
            </w:pPr>
            <w:r w:rsidRPr="00A54D04">
              <w:t>clearway towing</w:t>
            </w:r>
          </w:p>
        </w:tc>
        <w:tc>
          <w:tcPr>
            <w:tcW w:w="6058" w:type="dxa"/>
          </w:tcPr>
          <w:p w14:paraId="3920B61D" w14:textId="77777777" w:rsidR="001C1C62" w:rsidRPr="00A54D04" w:rsidRDefault="001C1C62">
            <w:pPr>
              <w:pStyle w:val="TableBody"/>
            </w:pPr>
            <w:r w:rsidRPr="00A54D04">
              <w:t>The towing of vehicles illegally parked in designated clearway zones during specified times, under contract with the responsible authority. Clearway towing fees are not regulated.</w:t>
            </w:r>
          </w:p>
        </w:tc>
      </w:tr>
      <w:tr w:rsidR="001C1C62" w:rsidRPr="00A54D04" w14:paraId="0B0D4FEE" w14:textId="77777777" w:rsidTr="52C2B051">
        <w:trPr>
          <w:cnfStyle w:val="000000100000" w:firstRow="0" w:lastRow="0" w:firstColumn="0" w:lastColumn="0" w:oddVBand="0" w:evenVBand="0" w:oddHBand="1" w:evenHBand="0" w:firstRowFirstColumn="0" w:firstRowLastColumn="0" w:lastRowFirstColumn="0" w:lastRowLastColumn="0"/>
          <w:cantSplit/>
        </w:trPr>
        <w:tc>
          <w:tcPr>
            <w:tcW w:w="3580" w:type="dxa"/>
          </w:tcPr>
          <w:p w14:paraId="49D8D8C7" w14:textId="14ACF243" w:rsidR="001C1C62" w:rsidRPr="00A54D04" w:rsidRDefault="001C1C62">
            <w:pPr>
              <w:pStyle w:val="TableBody"/>
            </w:pPr>
            <w:r w:rsidRPr="00A54D04">
              <w:t>Department of Transport</w:t>
            </w:r>
            <w:r w:rsidR="00287E98" w:rsidRPr="00A54D04">
              <w:t xml:space="preserve"> and Planning</w:t>
            </w:r>
          </w:p>
        </w:tc>
        <w:tc>
          <w:tcPr>
            <w:tcW w:w="6058" w:type="dxa"/>
          </w:tcPr>
          <w:p w14:paraId="1F012C4D" w14:textId="20A39D9A" w:rsidR="001C1C62" w:rsidRPr="00A54D04" w:rsidRDefault="001C1C62">
            <w:pPr>
              <w:pStyle w:val="TableBody"/>
            </w:pPr>
            <w:r w:rsidRPr="00A54D04">
              <w:t>The accident towing industry regulator. The Department of Transport</w:t>
            </w:r>
            <w:r w:rsidR="00287E98" w:rsidRPr="00A54D04">
              <w:t xml:space="preserve"> and Planning</w:t>
            </w:r>
            <w:r w:rsidRPr="00A54D04">
              <w:t xml:space="preserve"> is the Victorian Government agency responsible for administering the Accident Towing Services Act.</w:t>
            </w:r>
          </w:p>
        </w:tc>
      </w:tr>
      <w:tr w:rsidR="001C1C62" w:rsidRPr="00A54D04" w14:paraId="7D882FAC" w14:textId="77777777" w:rsidTr="52C2B051">
        <w:trPr>
          <w:cnfStyle w:val="000000010000" w:firstRow="0" w:lastRow="0" w:firstColumn="0" w:lastColumn="0" w:oddVBand="0" w:evenVBand="0" w:oddHBand="0" w:evenHBand="1" w:firstRowFirstColumn="0" w:firstRowLastColumn="0" w:lastRowFirstColumn="0" w:lastRowLastColumn="0"/>
          <w:cantSplit/>
        </w:trPr>
        <w:tc>
          <w:tcPr>
            <w:tcW w:w="3580" w:type="dxa"/>
          </w:tcPr>
          <w:p w14:paraId="18C01BA7" w14:textId="77777777" w:rsidR="001C1C62" w:rsidRPr="00A54D04" w:rsidRDefault="001C1C62">
            <w:pPr>
              <w:pStyle w:val="TableBody"/>
            </w:pPr>
            <w:r w:rsidRPr="00A54D04">
              <w:t>depot</w:t>
            </w:r>
          </w:p>
        </w:tc>
        <w:tc>
          <w:tcPr>
            <w:tcW w:w="6058" w:type="dxa"/>
          </w:tcPr>
          <w:p w14:paraId="1CF1A65E" w14:textId="77777777" w:rsidR="001C1C62" w:rsidRPr="00A54D04" w:rsidRDefault="001C1C62">
            <w:pPr>
              <w:pStyle w:val="TableBody"/>
            </w:pPr>
            <w:r w:rsidRPr="00A54D04">
              <w:rPr>
                <w:lang w:val="en-AU"/>
              </w:rPr>
              <w:t>Premises from which accident tow trucks operate. A single depot may be shared by multiple accident towing service businesses.</w:t>
            </w:r>
          </w:p>
        </w:tc>
      </w:tr>
      <w:tr w:rsidR="001C1C62" w:rsidRPr="00A54D04" w14:paraId="37DE22C2" w14:textId="77777777" w:rsidTr="52C2B051">
        <w:trPr>
          <w:cnfStyle w:val="000000100000" w:firstRow="0" w:lastRow="0" w:firstColumn="0" w:lastColumn="0" w:oddVBand="0" w:evenVBand="0" w:oddHBand="1" w:evenHBand="0" w:firstRowFirstColumn="0" w:firstRowLastColumn="0" w:lastRowFirstColumn="0" w:lastRowLastColumn="0"/>
          <w:cantSplit/>
        </w:trPr>
        <w:tc>
          <w:tcPr>
            <w:tcW w:w="3580" w:type="dxa"/>
          </w:tcPr>
          <w:p w14:paraId="6C99DD48" w14:textId="77777777" w:rsidR="001C1C62" w:rsidRPr="00A54D04" w:rsidRDefault="001C1C62">
            <w:pPr>
              <w:pStyle w:val="TableBody"/>
            </w:pPr>
            <w:r w:rsidRPr="00A54D04">
              <w:t>driver</w:t>
            </w:r>
          </w:p>
        </w:tc>
        <w:tc>
          <w:tcPr>
            <w:tcW w:w="6058" w:type="dxa"/>
          </w:tcPr>
          <w:p w14:paraId="65CB007A" w14:textId="3FE1D5AB" w:rsidR="001C1C62" w:rsidRPr="00A54D04" w:rsidRDefault="001C1C62">
            <w:pPr>
              <w:pStyle w:val="TableBody"/>
            </w:pPr>
            <w:r w:rsidRPr="00A54D04">
              <w:t>A person who drives a tow truck to accident scenes and performs the tow. Under the Accident Towing Services Act, drivers must be accredited by the Department of Transport</w:t>
            </w:r>
            <w:r w:rsidR="00287E98" w:rsidRPr="00A54D04">
              <w:t xml:space="preserve"> and Planning</w:t>
            </w:r>
            <w:r w:rsidRPr="00A54D04">
              <w:t>.</w:t>
            </w:r>
          </w:p>
        </w:tc>
      </w:tr>
      <w:tr w:rsidR="001C1C62" w:rsidRPr="00A54D04" w14:paraId="26617006" w14:textId="77777777" w:rsidTr="52C2B051">
        <w:trPr>
          <w:cnfStyle w:val="000000010000" w:firstRow="0" w:lastRow="0" w:firstColumn="0" w:lastColumn="0" w:oddVBand="0" w:evenVBand="0" w:oddHBand="0" w:evenHBand="1" w:firstRowFirstColumn="0" w:firstRowLastColumn="0" w:lastRowFirstColumn="0" w:lastRowLastColumn="0"/>
          <w:cantSplit/>
        </w:trPr>
        <w:tc>
          <w:tcPr>
            <w:tcW w:w="3580" w:type="dxa"/>
          </w:tcPr>
          <w:p w14:paraId="5FE84F88" w14:textId="77777777" w:rsidR="001C1C62" w:rsidRPr="00A54D04" w:rsidRDefault="001C1C62">
            <w:pPr>
              <w:pStyle w:val="TableBody"/>
            </w:pPr>
            <w:r w:rsidRPr="00A54D04">
              <w:t>heavy vehicle</w:t>
            </w:r>
          </w:p>
        </w:tc>
        <w:tc>
          <w:tcPr>
            <w:tcW w:w="6058" w:type="dxa"/>
          </w:tcPr>
          <w:p w14:paraId="6E3FF330" w14:textId="77777777" w:rsidR="001C1C62" w:rsidRPr="00A54D04" w:rsidRDefault="001C1C62">
            <w:pPr>
              <w:pStyle w:val="TableBody"/>
            </w:pPr>
            <w:r w:rsidRPr="00A54D04">
              <w:t>A vehicle with a gross vehicle mass of more than four tonnes.</w:t>
            </w:r>
          </w:p>
        </w:tc>
      </w:tr>
      <w:tr w:rsidR="001C1C62" w:rsidRPr="00A54D04" w14:paraId="6038AF7C" w14:textId="77777777" w:rsidTr="52C2B051">
        <w:trPr>
          <w:cnfStyle w:val="000000100000" w:firstRow="0" w:lastRow="0" w:firstColumn="0" w:lastColumn="0" w:oddVBand="0" w:evenVBand="0" w:oddHBand="1" w:evenHBand="0" w:firstRowFirstColumn="0" w:firstRowLastColumn="0" w:lastRowFirstColumn="0" w:lastRowLastColumn="0"/>
          <w:cantSplit/>
        </w:trPr>
        <w:tc>
          <w:tcPr>
            <w:tcW w:w="3580" w:type="dxa"/>
          </w:tcPr>
          <w:p w14:paraId="03136C20" w14:textId="77777777" w:rsidR="001C1C62" w:rsidRPr="00A54D04" w:rsidRDefault="001C1C62">
            <w:pPr>
              <w:pStyle w:val="TableBody"/>
            </w:pPr>
            <w:r w:rsidRPr="00A54D04">
              <w:lastRenderedPageBreak/>
              <w:t>impound towing</w:t>
            </w:r>
          </w:p>
        </w:tc>
        <w:tc>
          <w:tcPr>
            <w:tcW w:w="6058" w:type="dxa"/>
          </w:tcPr>
          <w:p w14:paraId="1B27C837" w14:textId="77777777" w:rsidR="001C1C62" w:rsidRPr="00A54D04" w:rsidRDefault="001C1C62">
            <w:pPr>
              <w:pStyle w:val="TableBody"/>
            </w:pPr>
            <w:r w:rsidRPr="00A54D04">
              <w:t>The towing of vehicles that are either abandoned, derelict or otherwise causing obstruction, as arranged by the local council. Impound towing fees are not regulated.</w:t>
            </w:r>
          </w:p>
        </w:tc>
      </w:tr>
      <w:tr w:rsidR="001C1C62" w:rsidRPr="00A54D04" w14:paraId="6EAFBB14" w14:textId="77777777" w:rsidTr="52C2B051">
        <w:trPr>
          <w:cnfStyle w:val="000000010000" w:firstRow="0" w:lastRow="0" w:firstColumn="0" w:lastColumn="0" w:oddVBand="0" w:evenVBand="0" w:oddHBand="0" w:evenHBand="1" w:firstRowFirstColumn="0" w:firstRowLastColumn="0" w:lastRowFirstColumn="0" w:lastRowLastColumn="0"/>
          <w:cantSplit/>
        </w:trPr>
        <w:tc>
          <w:tcPr>
            <w:tcW w:w="3580" w:type="dxa"/>
          </w:tcPr>
          <w:p w14:paraId="79B12027" w14:textId="77777777" w:rsidR="001C1C62" w:rsidRPr="00A54D04" w:rsidRDefault="001C1C62">
            <w:pPr>
              <w:pStyle w:val="TableBody"/>
            </w:pPr>
            <w:r w:rsidRPr="00A54D04">
              <w:t>Melbourne controlled area</w:t>
            </w:r>
          </w:p>
        </w:tc>
        <w:tc>
          <w:tcPr>
            <w:tcW w:w="6058" w:type="dxa"/>
          </w:tcPr>
          <w:p w14:paraId="1B2B7EE4" w14:textId="78D5E204" w:rsidR="001C1C62" w:rsidRPr="00A54D04" w:rsidRDefault="001C1C62">
            <w:pPr>
              <w:pStyle w:val="TableBody"/>
            </w:pPr>
            <w:r w:rsidRPr="00A54D04">
              <w:t xml:space="preserve">A declared area </w:t>
            </w:r>
            <w:r w:rsidR="00E4526D" w:rsidRPr="00A54D04">
              <w:t>within metropolitan</w:t>
            </w:r>
            <w:r w:rsidRPr="00A54D04">
              <w:t xml:space="preserve"> Melbourne. Accident towing and storage fees are regulated in the Melbourne controlled area.</w:t>
            </w:r>
          </w:p>
        </w:tc>
      </w:tr>
      <w:tr w:rsidR="001C1C62" w:rsidRPr="00A54D04" w14:paraId="36E75E82" w14:textId="77777777" w:rsidTr="52C2B051">
        <w:trPr>
          <w:cnfStyle w:val="000000100000" w:firstRow="0" w:lastRow="0" w:firstColumn="0" w:lastColumn="0" w:oddVBand="0" w:evenVBand="0" w:oddHBand="1" w:evenHBand="0" w:firstRowFirstColumn="0" w:firstRowLastColumn="0" w:lastRowFirstColumn="0" w:lastRowLastColumn="0"/>
          <w:cantSplit/>
        </w:trPr>
        <w:tc>
          <w:tcPr>
            <w:tcW w:w="3580" w:type="dxa"/>
          </w:tcPr>
          <w:p w14:paraId="66A8EEB1" w14:textId="77777777" w:rsidR="001C1C62" w:rsidRPr="00A54D04" w:rsidRDefault="001C1C62">
            <w:pPr>
              <w:pStyle w:val="TableBody"/>
            </w:pPr>
            <w:r w:rsidRPr="00A54D04">
              <w:t>operator</w:t>
            </w:r>
          </w:p>
        </w:tc>
        <w:tc>
          <w:tcPr>
            <w:tcW w:w="6058" w:type="dxa"/>
          </w:tcPr>
          <w:p w14:paraId="79D9E306" w14:textId="404C9BE7" w:rsidR="001C1C62" w:rsidRPr="00A54D04" w:rsidRDefault="001C1C62">
            <w:pPr>
              <w:pStyle w:val="TableBody"/>
            </w:pPr>
            <w:r w:rsidRPr="00A54D04">
              <w:rPr>
                <w:lang w:val="en-AU"/>
              </w:rPr>
              <w:t>A person who owns or operates a tow truck business. Under the Accident Towing Services Act, operators must be accredited by the Department of Transport</w:t>
            </w:r>
            <w:r w:rsidR="00287E98" w:rsidRPr="00A54D04">
              <w:rPr>
                <w:lang w:val="en-AU"/>
              </w:rPr>
              <w:t xml:space="preserve"> and Planning</w:t>
            </w:r>
            <w:r w:rsidRPr="00A54D04">
              <w:rPr>
                <w:lang w:val="en-AU"/>
              </w:rPr>
              <w:t>.</w:t>
            </w:r>
          </w:p>
        </w:tc>
      </w:tr>
      <w:tr w:rsidR="001C1C62" w:rsidRPr="00A54D04" w14:paraId="47722556" w14:textId="77777777" w:rsidTr="52C2B051">
        <w:trPr>
          <w:cnfStyle w:val="000000010000" w:firstRow="0" w:lastRow="0" w:firstColumn="0" w:lastColumn="0" w:oddVBand="0" w:evenVBand="0" w:oddHBand="0" w:evenHBand="1" w:firstRowFirstColumn="0" w:firstRowLastColumn="0" w:lastRowFirstColumn="0" w:lastRowLastColumn="0"/>
          <w:cantSplit/>
        </w:trPr>
        <w:tc>
          <w:tcPr>
            <w:tcW w:w="3580" w:type="dxa"/>
          </w:tcPr>
          <w:p w14:paraId="6521687B" w14:textId="77777777" w:rsidR="001C1C62" w:rsidRPr="00A54D04" w:rsidRDefault="001C1C62">
            <w:pPr>
              <w:pStyle w:val="TableBody"/>
            </w:pPr>
            <w:r w:rsidRPr="00A54D04">
              <w:t>regular vehicle</w:t>
            </w:r>
          </w:p>
        </w:tc>
        <w:tc>
          <w:tcPr>
            <w:tcW w:w="6058" w:type="dxa"/>
          </w:tcPr>
          <w:p w14:paraId="4DB22CEC" w14:textId="77777777" w:rsidR="001C1C62" w:rsidRPr="00A54D04" w:rsidRDefault="001C1C62">
            <w:pPr>
              <w:pStyle w:val="TableBody"/>
            </w:pPr>
            <w:r w:rsidRPr="00A54D04">
              <w:t>A vehicle with a gross vehicle mass of less than four tonnes.</w:t>
            </w:r>
          </w:p>
        </w:tc>
      </w:tr>
      <w:tr w:rsidR="001C1C62" w:rsidRPr="00A54D04" w14:paraId="6DEF2D99" w14:textId="77777777" w:rsidTr="52C2B051">
        <w:trPr>
          <w:cnfStyle w:val="000000100000" w:firstRow="0" w:lastRow="0" w:firstColumn="0" w:lastColumn="0" w:oddVBand="0" w:evenVBand="0" w:oddHBand="1" w:evenHBand="0" w:firstRowFirstColumn="0" w:firstRowLastColumn="0" w:lastRowFirstColumn="0" w:lastRowLastColumn="0"/>
          <w:cantSplit/>
        </w:trPr>
        <w:tc>
          <w:tcPr>
            <w:tcW w:w="3580" w:type="dxa"/>
          </w:tcPr>
          <w:p w14:paraId="010F38A6" w14:textId="77777777" w:rsidR="001C1C62" w:rsidRPr="00A54D04" w:rsidRDefault="001C1C62">
            <w:pPr>
              <w:pStyle w:val="TableBody"/>
            </w:pPr>
            <w:r w:rsidRPr="00A54D04">
              <w:t>road accident</w:t>
            </w:r>
          </w:p>
        </w:tc>
        <w:tc>
          <w:tcPr>
            <w:tcW w:w="6058" w:type="dxa"/>
          </w:tcPr>
          <w:p w14:paraId="3FFCFB11" w14:textId="5605CED9" w:rsidR="001C1C62" w:rsidRPr="00A54D04" w:rsidRDefault="001C1C62">
            <w:pPr>
              <w:pStyle w:val="TableBody"/>
            </w:pPr>
            <w:r w:rsidRPr="00A54D04">
              <w:rPr>
                <w:lang w:val="en-AU"/>
              </w:rPr>
              <w:t>An impact or collision of one or more motor vehicles</w:t>
            </w:r>
            <w:r w:rsidR="00E4526D" w:rsidRPr="00A54D04">
              <w:rPr>
                <w:lang w:val="en-AU"/>
              </w:rPr>
              <w:t>:</w:t>
            </w:r>
            <w:r w:rsidRPr="00A54D04">
              <w:br/>
            </w:r>
            <w:r w:rsidRPr="00A54D04">
              <w:rPr>
                <w:lang w:val="en-AU"/>
              </w:rPr>
              <w:t xml:space="preserve">(a) </w:t>
            </w:r>
            <w:r w:rsidRPr="00A54D04">
              <w:tab/>
            </w:r>
            <w:r w:rsidRPr="00A54D04">
              <w:rPr>
                <w:lang w:val="en-AU"/>
              </w:rPr>
              <w:t xml:space="preserve">on a road or road related area, or </w:t>
            </w:r>
            <w:r w:rsidRPr="00A54D04">
              <w:br/>
            </w:r>
            <w:r w:rsidRPr="00A54D04">
              <w:rPr>
                <w:lang w:val="en-AU"/>
              </w:rPr>
              <w:t>(b)</w:t>
            </w:r>
            <w:r w:rsidRPr="00A54D04">
              <w:tab/>
            </w:r>
            <w:r w:rsidRPr="00A54D04">
              <w:rPr>
                <w:lang w:val="en-AU"/>
              </w:rPr>
              <w:t xml:space="preserve">not on a road or road related area, if immediately </w:t>
            </w:r>
          </w:p>
          <w:p w14:paraId="67388EF2" w14:textId="77777777" w:rsidR="001C1C62" w:rsidRPr="00A54D04" w:rsidRDefault="001C1C62">
            <w:pPr>
              <w:pStyle w:val="TableBody"/>
            </w:pPr>
            <w:r w:rsidRPr="00A54D04">
              <w:tab/>
              <w:t xml:space="preserve">before the impact or collision one or more of the </w:t>
            </w:r>
          </w:p>
          <w:p w14:paraId="7FD0C210" w14:textId="77777777" w:rsidR="001C1C62" w:rsidRPr="00A54D04" w:rsidRDefault="001C1C62">
            <w:pPr>
              <w:pStyle w:val="TableBody"/>
            </w:pPr>
            <w:r w:rsidRPr="00A54D04">
              <w:t xml:space="preserve"> </w:t>
            </w:r>
            <w:r w:rsidRPr="00A54D04">
              <w:tab/>
              <w:t xml:space="preserve">vehicles involved in the impact or collision had been </w:t>
            </w:r>
            <w:r w:rsidRPr="00A54D04">
              <w:tab/>
              <w:t>travelling on a road or road related area.</w:t>
            </w:r>
          </w:p>
          <w:p w14:paraId="06B1CC16" w14:textId="287A2DB4" w:rsidR="001C1C62" w:rsidRPr="00A54D04" w:rsidRDefault="001C1C62">
            <w:pPr>
              <w:pStyle w:val="TableBody"/>
            </w:pPr>
            <w:r w:rsidRPr="00A54D04">
              <w:br/>
              <w:t>(Definition as per section 3 of the Accident Towing Services Act</w:t>
            </w:r>
            <w:r w:rsidR="00F63EB3">
              <w:t>.</w:t>
            </w:r>
            <w:r w:rsidRPr="00A54D04">
              <w:t>)</w:t>
            </w:r>
          </w:p>
        </w:tc>
      </w:tr>
      <w:tr w:rsidR="001C1C62" w:rsidRPr="00A54D04" w14:paraId="43A29AF7" w14:textId="77777777" w:rsidTr="52C2B051">
        <w:trPr>
          <w:cnfStyle w:val="000000010000" w:firstRow="0" w:lastRow="0" w:firstColumn="0" w:lastColumn="0" w:oddVBand="0" w:evenVBand="0" w:oddHBand="0" w:evenHBand="1" w:firstRowFirstColumn="0" w:firstRowLastColumn="0" w:lastRowFirstColumn="0" w:lastRowLastColumn="0"/>
          <w:cantSplit/>
        </w:trPr>
        <w:tc>
          <w:tcPr>
            <w:tcW w:w="3580" w:type="dxa"/>
          </w:tcPr>
          <w:p w14:paraId="0BB53CF9" w14:textId="77777777" w:rsidR="001C1C62" w:rsidRPr="00A54D04" w:rsidRDefault="001C1C62">
            <w:pPr>
              <w:pStyle w:val="TableBody"/>
            </w:pPr>
            <w:r w:rsidRPr="00A54D04">
              <w:t>road accident scene</w:t>
            </w:r>
          </w:p>
        </w:tc>
        <w:tc>
          <w:tcPr>
            <w:tcW w:w="6058" w:type="dxa"/>
          </w:tcPr>
          <w:p w14:paraId="42F0CFA2" w14:textId="3E8D8163" w:rsidR="001C1C62" w:rsidRPr="00A54D04" w:rsidRDefault="001C1C62">
            <w:pPr>
              <w:pStyle w:val="TableBody"/>
            </w:pPr>
            <w:r w:rsidRPr="00A54D04">
              <w:t>An area within a 2</w:t>
            </w:r>
            <w:r w:rsidR="00E4526D" w:rsidRPr="00A54D04">
              <w:t>-</w:t>
            </w:r>
            <w:r w:rsidRPr="00A54D04">
              <w:rPr>
                <w:lang w:val="en-AU"/>
              </w:rPr>
              <w:t>kilometre</w:t>
            </w:r>
            <w:r w:rsidRPr="00A54D04">
              <w:t xml:space="preserve"> radius of a road accident.</w:t>
            </w:r>
          </w:p>
          <w:p w14:paraId="2B5A5604" w14:textId="69EDA2F8" w:rsidR="001C1C62" w:rsidRPr="00A54D04" w:rsidRDefault="001C1C62">
            <w:pPr>
              <w:pStyle w:val="TableBody"/>
            </w:pPr>
            <w:r w:rsidRPr="00A54D04">
              <w:br/>
              <w:t>(Definition as per section 3 of the Accident Towing Services Act</w:t>
            </w:r>
            <w:r w:rsidR="00F63EB3">
              <w:t>.</w:t>
            </w:r>
            <w:r w:rsidRPr="00A54D04">
              <w:t>)</w:t>
            </w:r>
          </w:p>
        </w:tc>
      </w:tr>
      <w:tr w:rsidR="001C1C62" w:rsidRPr="00A54D04" w14:paraId="3A230910" w14:textId="77777777" w:rsidTr="52C2B051">
        <w:trPr>
          <w:cnfStyle w:val="000000100000" w:firstRow="0" w:lastRow="0" w:firstColumn="0" w:lastColumn="0" w:oddVBand="0" w:evenVBand="0" w:oddHBand="1" w:evenHBand="0" w:firstRowFirstColumn="0" w:firstRowLastColumn="0" w:lastRowFirstColumn="0" w:lastRowLastColumn="0"/>
          <w:cantSplit/>
        </w:trPr>
        <w:tc>
          <w:tcPr>
            <w:tcW w:w="3580" w:type="dxa"/>
          </w:tcPr>
          <w:p w14:paraId="501FC275" w14:textId="77777777" w:rsidR="001C1C62" w:rsidRPr="00A54D04" w:rsidRDefault="001C1C62">
            <w:pPr>
              <w:pStyle w:val="TableBody"/>
            </w:pPr>
            <w:r w:rsidRPr="00A54D04">
              <w:t>salvage</w:t>
            </w:r>
          </w:p>
        </w:tc>
        <w:tc>
          <w:tcPr>
            <w:tcW w:w="6058" w:type="dxa"/>
          </w:tcPr>
          <w:p w14:paraId="6D73DC57" w14:textId="659EB67E" w:rsidR="001C1C62" w:rsidRPr="00A54D04" w:rsidRDefault="001C1C62">
            <w:pPr>
              <w:pStyle w:val="TableBody"/>
            </w:pPr>
            <w:r w:rsidRPr="00A54D04">
              <w:t>Salvage, in the case of an accident damaged motor vehicle that, as a result of the accident</w:t>
            </w:r>
            <w:r w:rsidR="00F63EB3">
              <w:t>:</w:t>
            </w:r>
            <w:r w:rsidRPr="00A54D04">
              <w:br/>
              <w:t xml:space="preserve">(a) </w:t>
            </w:r>
            <w:r w:rsidRPr="00A54D04">
              <w:tab/>
              <w:t>is in a location that is not a road or road related area</w:t>
            </w:r>
            <w:r w:rsidRPr="00A54D04">
              <w:br/>
              <w:t>(b)</w:t>
            </w:r>
            <w:r w:rsidRPr="00A54D04">
              <w:tab/>
              <w:t xml:space="preserve">is embedded in a building or in an object that is not a </w:t>
            </w:r>
            <w:r w:rsidRPr="00A54D04">
              <w:tab/>
              <w:t>motor vehicle</w:t>
            </w:r>
            <w:r w:rsidRPr="00A54D04">
              <w:br/>
              <w:t>(c)</w:t>
            </w:r>
            <w:r w:rsidRPr="00A54D04">
              <w:tab/>
              <w:t>is overturned or on its side</w:t>
            </w:r>
            <w:r w:rsidR="00F63EB3">
              <w:t>:</w:t>
            </w:r>
            <w:r w:rsidRPr="00A54D04">
              <w:br/>
              <w:t xml:space="preserve">means the moving of the motor vehicle to a place on a road or road-related area or into an upright position or both so that it may be towed by a tow truck without assistance. </w:t>
            </w:r>
            <w:r w:rsidRPr="00A54D04">
              <w:br/>
            </w:r>
          </w:p>
          <w:p w14:paraId="10D8EDA5" w14:textId="631E7CEE" w:rsidR="001C1C62" w:rsidRPr="00A54D04" w:rsidRDefault="001C1C62">
            <w:pPr>
              <w:pStyle w:val="TableBody"/>
            </w:pPr>
            <w:r w:rsidRPr="00A54D04">
              <w:t>(Definition as per section 3 of the Accident Towing Services Act)</w:t>
            </w:r>
            <w:r w:rsidRPr="00A54D04">
              <w:br/>
            </w:r>
          </w:p>
          <w:p w14:paraId="6D21861D" w14:textId="77777777" w:rsidR="001C1C62" w:rsidRPr="00A54D04" w:rsidRDefault="001C1C62">
            <w:pPr>
              <w:pStyle w:val="TableBody"/>
            </w:pPr>
            <w:r w:rsidRPr="00A54D04">
              <w:rPr>
                <w:lang w:val="en-AU"/>
              </w:rPr>
              <w:t>Salvage may involve the use of additional tow trucks or equipment. Specific salvage fees are not regulated, but fees are required to be ‘reasonable’.</w:t>
            </w:r>
          </w:p>
        </w:tc>
      </w:tr>
      <w:tr w:rsidR="001C1C62" w:rsidRPr="00A54D04" w14:paraId="02B18F83" w14:textId="77777777" w:rsidTr="52C2B051">
        <w:trPr>
          <w:cnfStyle w:val="000000010000" w:firstRow="0" w:lastRow="0" w:firstColumn="0" w:lastColumn="0" w:oddVBand="0" w:evenVBand="0" w:oddHBand="0" w:evenHBand="1" w:firstRowFirstColumn="0" w:firstRowLastColumn="0" w:lastRowFirstColumn="0" w:lastRowLastColumn="0"/>
          <w:cantSplit/>
        </w:trPr>
        <w:tc>
          <w:tcPr>
            <w:tcW w:w="3580" w:type="dxa"/>
          </w:tcPr>
          <w:p w14:paraId="6D1F6E78" w14:textId="77777777" w:rsidR="001C1C62" w:rsidRPr="00A54D04" w:rsidRDefault="001C1C62">
            <w:pPr>
              <w:pStyle w:val="TableBody"/>
            </w:pPr>
            <w:r w:rsidRPr="00A54D04">
              <w:t>secondary tow</w:t>
            </w:r>
          </w:p>
        </w:tc>
        <w:tc>
          <w:tcPr>
            <w:tcW w:w="6058" w:type="dxa"/>
          </w:tcPr>
          <w:p w14:paraId="69DDF29E" w14:textId="6C5C99B7" w:rsidR="001C1C62" w:rsidRPr="00A54D04" w:rsidRDefault="001C1C62">
            <w:pPr>
              <w:pStyle w:val="TableBody"/>
            </w:pPr>
            <w:r w:rsidRPr="00A54D04">
              <w:rPr>
                <w:lang w:val="en-AU"/>
              </w:rPr>
              <w:t xml:space="preserve">Occurs when an accident-damaged vehicle is towed from the accident scene and delivered to the destination listed on the </w:t>
            </w:r>
            <w:r w:rsidR="00F63EB3">
              <w:rPr>
                <w:lang w:val="en-AU"/>
              </w:rPr>
              <w:t>A</w:t>
            </w:r>
            <w:r w:rsidRPr="00A54D04">
              <w:rPr>
                <w:lang w:val="en-AU"/>
              </w:rPr>
              <w:t xml:space="preserve">uthority to </w:t>
            </w:r>
            <w:r w:rsidR="00F63EB3">
              <w:rPr>
                <w:lang w:val="en-AU"/>
              </w:rPr>
              <w:t>T</w:t>
            </w:r>
            <w:r w:rsidRPr="00A54D04">
              <w:rPr>
                <w:lang w:val="en-AU"/>
              </w:rPr>
              <w:t>ow docket and then is subsequently towed to another destination. Secondary tow fees are not regulated.</w:t>
            </w:r>
          </w:p>
        </w:tc>
      </w:tr>
      <w:tr w:rsidR="001C1C62" w:rsidRPr="00A54D04" w14:paraId="69D1C2B6" w14:textId="77777777" w:rsidTr="52C2B051">
        <w:trPr>
          <w:cnfStyle w:val="000000100000" w:firstRow="0" w:lastRow="0" w:firstColumn="0" w:lastColumn="0" w:oddVBand="0" w:evenVBand="0" w:oddHBand="1" w:evenHBand="0" w:firstRowFirstColumn="0" w:firstRowLastColumn="0" w:lastRowFirstColumn="0" w:lastRowLastColumn="0"/>
          <w:cantSplit/>
        </w:trPr>
        <w:tc>
          <w:tcPr>
            <w:tcW w:w="3580" w:type="dxa"/>
          </w:tcPr>
          <w:p w14:paraId="70DB4E95" w14:textId="77777777" w:rsidR="001C1C62" w:rsidRPr="00A54D04" w:rsidRDefault="001C1C62">
            <w:pPr>
              <w:pStyle w:val="TableBody"/>
            </w:pPr>
            <w:r w:rsidRPr="00A54D04">
              <w:lastRenderedPageBreak/>
              <w:t>Self-management area of Geelong</w:t>
            </w:r>
          </w:p>
        </w:tc>
        <w:tc>
          <w:tcPr>
            <w:tcW w:w="6058" w:type="dxa"/>
          </w:tcPr>
          <w:p w14:paraId="28629A9A" w14:textId="77777777" w:rsidR="001C1C62" w:rsidRPr="00A54D04" w:rsidRDefault="001C1C62">
            <w:pPr>
              <w:pStyle w:val="TableBody"/>
            </w:pPr>
            <w:r w:rsidRPr="00A54D04">
              <w:rPr>
                <w:lang w:val="en-AU"/>
              </w:rPr>
              <w:t>A declared area consisting of Geelong and surrounding areas. Tow truck drivers may only attend an accident scene after receiving an allocation through the self-managed allocation scheme. Accident towing and storage fees are not regulated beyond a requirement to be ‘reasonable’.</w:t>
            </w:r>
          </w:p>
        </w:tc>
      </w:tr>
      <w:tr w:rsidR="001C1C62" w:rsidRPr="00A54D04" w14:paraId="3D1D13DA" w14:textId="77777777" w:rsidTr="52C2B051">
        <w:trPr>
          <w:cnfStyle w:val="000000010000" w:firstRow="0" w:lastRow="0" w:firstColumn="0" w:lastColumn="0" w:oddVBand="0" w:evenVBand="0" w:oddHBand="0" w:evenHBand="1" w:firstRowFirstColumn="0" w:firstRowLastColumn="0" w:lastRowFirstColumn="0" w:lastRowLastColumn="0"/>
          <w:cantSplit/>
        </w:trPr>
        <w:tc>
          <w:tcPr>
            <w:tcW w:w="3580" w:type="dxa"/>
          </w:tcPr>
          <w:p w14:paraId="2F27A5DF" w14:textId="77777777" w:rsidR="001C1C62" w:rsidRPr="00A54D04" w:rsidRDefault="001C1C62">
            <w:pPr>
              <w:pStyle w:val="TableBody"/>
            </w:pPr>
            <w:r w:rsidRPr="00A54D04">
              <w:t>storage</w:t>
            </w:r>
          </w:p>
        </w:tc>
        <w:tc>
          <w:tcPr>
            <w:tcW w:w="6058" w:type="dxa"/>
          </w:tcPr>
          <w:p w14:paraId="1F13291E" w14:textId="455029BE" w:rsidR="001C1C62" w:rsidRPr="00A54D04" w:rsidRDefault="001C1C62">
            <w:pPr>
              <w:pStyle w:val="TableBody"/>
            </w:pPr>
            <w:r w:rsidRPr="00A54D04">
              <w:rPr>
                <w:lang w:val="en-AU"/>
              </w:rPr>
              <w:t>Occurs when an accident</w:t>
            </w:r>
            <w:r w:rsidR="00060FC6" w:rsidRPr="00A54D04">
              <w:rPr>
                <w:lang w:val="en-AU"/>
              </w:rPr>
              <w:t>-</w:t>
            </w:r>
            <w:r w:rsidRPr="00A54D04">
              <w:rPr>
                <w:lang w:val="en-AU"/>
              </w:rPr>
              <w:t>damaged vehicle is transported to the tow truck operator’s depot and stored in a secure location to await repair or towing to another location.</w:t>
            </w:r>
          </w:p>
        </w:tc>
      </w:tr>
      <w:tr w:rsidR="001C1C62" w:rsidRPr="00A54D04" w14:paraId="6B1EF6F1" w14:textId="77777777" w:rsidTr="52C2B051">
        <w:trPr>
          <w:cnfStyle w:val="000000100000" w:firstRow="0" w:lastRow="0" w:firstColumn="0" w:lastColumn="0" w:oddVBand="0" w:evenVBand="0" w:oddHBand="1" w:evenHBand="0" w:firstRowFirstColumn="0" w:firstRowLastColumn="0" w:lastRowFirstColumn="0" w:lastRowLastColumn="0"/>
          <w:cantSplit/>
        </w:trPr>
        <w:tc>
          <w:tcPr>
            <w:tcW w:w="3580" w:type="dxa"/>
          </w:tcPr>
          <w:p w14:paraId="1F8F75A1" w14:textId="77777777" w:rsidR="001C1C62" w:rsidRPr="00A54D04" w:rsidRDefault="001C1C62">
            <w:pPr>
              <w:pStyle w:val="TableBody"/>
            </w:pPr>
            <w:r w:rsidRPr="00A54D04">
              <w:t>trade towing</w:t>
            </w:r>
          </w:p>
        </w:tc>
        <w:tc>
          <w:tcPr>
            <w:tcW w:w="6058" w:type="dxa"/>
          </w:tcPr>
          <w:p w14:paraId="5DA05663" w14:textId="0F59C16A" w:rsidR="001C1C62" w:rsidRPr="00A54D04" w:rsidRDefault="001C1C62">
            <w:pPr>
              <w:pStyle w:val="TableBody"/>
            </w:pPr>
            <w:r w:rsidRPr="00A54D04">
              <w:t xml:space="preserve">General towing and storage services that are not the immediate result of a road accident, including any tows following the delivery of an accident-damaged vehicle to the location specified on the </w:t>
            </w:r>
            <w:r w:rsidR="00E70BBA">
              <w:t>A</w:t>
            </w:r>
            <w:r w:rsidRPr="00A54D04">
              <w:t xml:space="preserve">uthority to </w:t>
            </w:r>
            <w:r w:rsidR="00E70BBA">
              <w:t>T</w:t>
            </w:r>
            <w:r w:rsidRPr="00A54D04">
              <w:t>ow docket. Examples include breakdown, clearway, impound and secondary tows. Trade towing fees are not regulated.</w:t>
            </w:r>
          </w:p>
        </w:tc>
      </w:tr>
      <w:tr w:rsidR="001C1C62" w:rsidRPr="00A54D04" w14:paraId="52B9095C" w14:textId="77777777" w:rsidTr="52C2B051">
        <w:trPr>
          <w:cnfStyle w:val="000000010000" w:firstRow="0" w:lastRow="0" w:firstColumn="0" w:lastColumn="0" w:oddVBand="0" w:evenVBand="0" w:oddHBand="0" w:evenHBand="1" w:firstRowFirstColumn="0" w:firstRowLastColumn="0" w:lastRowFirstColumn="0" w:lastRowLastColumn="0"/>
          <w:cantSplit/>
        </w:trPr>
        <w:tc>
          <w:tcPr>
            <w:tcW w:w="3580" w:type="dxa"/>
          </w:tcPr>
          <w:p w14:paraId="1DF479BC" w14:textId="77777777" w:rsidR="001C1C62" w:rsidRPr="00A54D04" w:rsidRDefault="001C1C62">
            <w:pPr>
              <w:pStyle w:val="TableBody"/>
            </w:pPr>
            <w:r w:rsidRPr="00A54D04">
              <w:t>unregulated area</w:t>
            </w:r>
          </w:p>
        </w:tc>
        <w:tc>
          <w:tcPr>
            <w:tcW w:w="6058" w:type="dxa"/>
          </w:tcPr>
          <w:p w14:paraId="46EED047" w14:textId="6C794D4A" w:rsidR="001C1C62" w:rsidRPr="00A54D04" w:rsidRDefault="001C1C62">
            <w:pPr>
              <w:pStyle w:val="TableBody"/>
            </w:pPr>
            <w:r w:rsidRPr="00A54D04">
              <w:rPr>
                <w:lang w:val="en-AU"/>
              </w:rPr>
              <w:t>For regular vehicle accident tows, refers to areas of Victoria excluding the Melbourne controlled area and the Self</w:t>
            </w:r>
            <w:r w:rsidR="00060FC6" w:rsidRPr="00A54D04">
              <w:rPr>
                <w:lang w:val="en-AU"/>
              </w:rPr>
              <w:t>-</w:t>
            </w:r>
            <w:r w:rsidRPr="00A54D04">
              <w:rPr>
                <w:lang w:val="en-AU"/>
              </w:rPr>
              <w:t>management area of Geelong.</w:t>
            </w:r>
          </w:p>
        </w:tc>
      </w:tr>
    </w:tbl>
    <w:p w14:paraId="0CDC6574" w14:textId="594E0705" w:rsidR="00317C67" w:rsidRPr="00A54D04" w:rsidRDefault="00317C67" w:rsidP="00317C67"/>
    <w:p w14:paraId="3F547B10" w14:textId="77777777" w:rsidR="00772EB1" w:rsidRPr="00A54D04" w:rsidRDefault="00772EB1">
      <w:pPr>
        <w:spacing w:line="259" w:lineRule="auto"/>
      </w:pPr>
    </w:p>
    <w:p w14:paraId="2701EB5B" w14:textId="77777777" w:rsidR="00772EB1" w:rsidRPr="00A54D04" w:rsidRDefault="00772EB1" w:rsidP="00772EB1"/>
    <w:p w14:paraId="0FAED409" w14:textId="77777777" w:rsidR="00772EB1" w:rsidRPr="00A54D04" w:rsidRDefault="00772EB1" w:rsidP="00772EB1">
      <w:pPr>
        <w:pStyle w:val="Heading1"/>
        <w:sectPr w:rsidR="00772EB1" w:rsidRPr="00A54D04" w:rsidSect="005E5FCE">
          <w:footerReference w:type="default" r:id="rId66"/>
          <w:type w:val="continuous"/>
          <w:pgSz w:w="11906" w:h="16838" w:code="9"/>
          <w:pgMar w:top="1134" w:right="1134" w:bottom="1134" w:left="1134" w:header="709" w:footer="692" w:gutter="0"/>
          <w:cols w:space="708"/>
          <w:docGrid w:linePitch="360"/>
        </w:sectPr>
      </w:pPr>
    </w:p>
    <w:p w14:paraId="547C6A59" w14:textId="071DBA7C" w:rsidR="00E7639E" w:rsidRPr="00A54D04" w:rsidRDefault="00E7639E" w:rsidP="0000634B">
      <w:pPr>
        <w:pStyle w:val="Heading1"/>
      </w:pPr>
      <w:bookmarkStart w:id="209" w:name="_Toc199231578"/>
      <w:r w:rsidRPr="00A54D04">
        <w:lastRenderedPageBreak/>
        <w:t xml:space="preserve">Appendix </w:t>
      </w:r>
      <w:r w:rsidR="008E0CB3">
        <w:t>A</w:t>
      </w:r>
      <w:r w:rsidRPr="00A54D04">
        <w:t>: Accident towing industry</w:t>
      </w:r>
      <w:r w:rsidR="00B14E5E" w:rsidRPr="00A54D04">
        <w:t xml:space="preserve"> reviews and regulation</w:t>
      </w:r>
      <w:bookmarkEnd w:id="209"/>
    </w:p>
    <w:p w14:paraId="632B2B72" w14:textId="446B15AE" w:rsidR="00E25281" w:rsidRPr="00A54D04" w:rsidRDefault="00E25281" w:rsidP="00E25281">
      <w:r w:rsidRPr="00A54D04">
        <w:t xml:space="preserve">This </w:t>
      </w:r>
      <w:r w:rsidR="0015457E" w:rsidRPr="00A54D04">
        <w:t>appendix</w:t>
      </w:r>
      <w:r w:rsidRPr="00A54D04">
        <w:t xml:space="preserve"> provides an overview of the accident towing industry and our role in reviewing fees and making recommendations to the Minister for Roads and Road Safety. </w:t>
      </w:r>
    </w:p>
    <w:p w14:paraId="0A2EAF9A" w14:textId="77777777" w:rsidR="00E25281" w:rsidRPr="00A54D04" w:rsidRDefault="00E25281" w:rsidP="00C120DF">
      <w:pPr>
        <w:pStyle w:val="Heading2"/>
      </w:pPr>
      <w:bookmarkStart w:id="210" w:name="_Toc195721920"/>
      <w:bookmarkStart w:id="211" w:name="_Toc197345275"/>
      <w:bookmarkStart w:id="212" w:name="_Toc197942444"/>
      <w:bookmarkStart w:id="213" w:name="_Toc197977717"/>
      <w:bookmarkStart w:id="214" w:name="_Toc198048706"/>
      <w:bookmarkStart w:id="215" w:name="_Toc199231579"/>
      <w:r w:rsidRPr="00A54D04">
        <w:t>What is accident towing?</w:t>
      </w:r>
      <w:bookmarkEnd w:id="210"/>
      <w:bookmarkEnd w:id="211"/>
      <w:bookmarkEnd w:id="212"/>
      <w:bookmarkEnd w:id="213"/>
      <w:bookmarkEnd w:id="214"/>
      <w:bookmarkEnd w:id="215"/>
    </w:p>
    <w:p w14:paraId="3C134BBC" w14:textId="77777777" w:rsidR="00E25281" w:rsidRPr="00A54D04" w:rsidRDefault="00E25281" w:rsidP="00E25281">
      <w:r w:rsidRPr="00A54D04">
        <w:t>Accident towing is the towing of damaged vehicles from road accident scenes.</w:t>
      </w:r>
      <w:r w:rsidRPr="00A54D04">
        <w:rPr>
          <w:rStyle w:val="FootnoteReference"/>
        </w:rPr>
        <w:footnoteReference w:id="58"/>
      </w:r>
      <w:r w:rsidRPr="00A54D04">
        <w:t xml:space="preserve"> There are three main parties who provide accident towing services:</w:t>
      </w:r>
    </w:p>
    <w:p w14:paraId="4B4D4C41" w14:textId="77777777" w:rsidR="00E25281" w:rsidRPr="00A54D04" w:rsidRDefault="00E25281" w:rsidP="00E25281">
      <w:pPr>
        <w:pStyle w:val="ListBullet"/>
      </w:pPr>
      <w:r w:rsidRPr="00A54D04">
        <w:rPr>
          <w:b/>
          <w:bCs/>
        </w:rPr>
        <w:t>depots</w:t>
      </w:r>
      <w:r w:rsidRPr="00A54D04">
        <w:t xml:space="preserve"> – a premise from which accident tow trucks operate </w:t>
      </w:r>
    </w:p>
    <w:p w14:paraId="6F733519" w14:textId="77777777" w:rsidR="00E25281" w:rsidRPr="00A54D04" w:rsidRDefault="00E25281" w:rsidP="00E25281">
      <w:pPr>
        <w:pStyle w:val="ListBullet"/>
      </w:pPr>
      <w:r w:rsidRPr="00A54D04">
        <w:rPr>
          <w:b/>
          <w:bCs/>
        </w:rPr>
        <w:t>operators</w:t>
      </w:r>
      <w:r w:rsidRPr="00A54D04">
        <w:t xml:space="preserve"> – a person or corporation that owns or operates a tow truck business</w:t>
      </w:r>
    </w:p>
    <w:p w14:paraId="31C8F7F8" w14:textId="77777777" w:rsidR="00E25281" w:rsidRPr="00A54D04" w:rsidRDefault="00E25281" w:rsidP="00E25281">
      <w:pPr>
        <w:pStyle w:val="ListBullet"/>
      </w:pPr>
      <w:r w:rsidRPr="00A54D04">
        <w:rPr>
          <w:b/>
          <w:bCs/>
        </w:rPr>
        <w:t>drivers</w:t>
      </w:r>
      <w:r w:rsidRPr="00A54D04">
        <w:t xml:space="preserve"> – a person who drives a tow truck to the accident scene and performs the towing job.</w:t>
      </w:r>
    </w:p>
    <w:p w14:paraId="05DDB08D" w14:textId="28F6C6CA" w:rsidR="00E25281" w:rsidRPr="00A54D04" w:rsidRDefault="00E25281" w:rsidP="00E25281">
      <w:r w:rsidRPr="00A54D04">
        <w:t>Operators and drivers provide customers three distinct accident towing services</w:t>
      </w:r>
      <w:r w:rsidR="00A3244C">
        <w:t>. Although these have defined terms in legislation (see Glossary), we have given them practical expression here</w:t>
      </w:r>
      <w:r w:rsidRPr="00A54D04">
        <w:t>:</w:t>
      </w:r>
    </w:p>
    <w:p w14:paraId="24CAC154" w14:textId="3DAD1DC8" w:rsidR="00E25281" w:rsidRPr="00A54D04" w:rsidRDefault="00E25281" w:rsidP="00E25281">
      <w:pPr>
        <w:pStyle w:val="ListBullet"/>
      </w:pPr>
      <w:r w:rsidRPr="00A54D04">
        <w:rPr>
          <w:b/>
          <w:bCs/>
        </w:rPr>
        <w:t>towing</w:t>
      </w:r>
      <w:r w:rsidRPr="00A54D04">
        <w:t xml:space="preserve"> – </w:t>
      </w:r>
      <w:r w:rsidR="000869D3">
        <w:t>lifting and carrying</w:t>
      </w:r>
      <w:r w:rsidR="000869D3" w:rsidRPr="00A54D04">
        <w:t xml:space="preserve"> </w:t>
      </w:r>
      <w:r w:rsidRPr="00A54D04">
        <w:t>a damaged vehicle from a road accident scene to the location requested by the vehicle driver or owner</w:t>
      </w:r>
    </w:p>
    <w:p w14:paraId="11677E86" w14:textId="77777777" w:rsidR="00E25281" w:rsidRPr="00A54D04" w:rsidRDefault="00E25281" w:rsidP="00E25281">
      <w:pPr>
        <w:pStyle w:val="ListBullet"/>
      </w:pPr>
      <w:r w:rsidRPr="00A54D04">
        <w:rPr>
          <w:b/>
          <w:bCs/>
        </w:rPr>
        <w:t>storage</w:t>
      </w:r>
      <w:r w:rsidRPr="00A54D04">
        <w:t xml:space="preserve"> – storing a damaged vehicle in a secure location at the tow truck operator’s depot to await repair or towing to another location</w:t>
      </w:r>
    </w:p>
    <w:p w14:paraId="4A6D8756" w14:textId="77777777" w:rsidR="00E25281" w:rsidRPr="00A54D04" w:rsidRDefault="00E25281" w:rsidP="00E25281">
      <w:pPr>
        <w:pStyle w:val="ListBullet"/>
      </w:pPr>
      <w:r w:rsidRPr="00A54D04">
        <w:rPr>
          <w:b/>
          <w:bCs/>
        </w:rPr>
        <w:t>salvage</w:t>
      </w:r>
      <w:r w:rsidRPr="00A54D04">
        <w:t xml:space="preserve"> – moving a damaged vehicle into a position where it can be safely towed without assistance. Salvage is required when a damaged vehicle is not on a road or is embedded in a building or object (that is not another vehicle), is overturned or on its side. For some accident scenes, additional equipment or another vehicle may be required as part of this service.</w:t>
      </w:r>
    </w:p>
    <w:p w14:paraId="6E862B27" w14:textId="348FFF75" w:rsidR="008C57A1" w:rsidRPr="00A54D04" w:rsidRDefault="0022666F" w:rsidP="00152FB9">
      <w:pPr>
        <w:pStyle w:val="Heading3"/>
      </w:pPr>
      <w:bookmarkStart w:id="216" w:name="_Toc197345276"/>
      <w:bookmarkStart w:id="217" w:name="_Toc197942445"/>
      <w:bookmarkStart w:id="218" w:name="_Toc197977718"/>
      <w:bookmarkStart w:id="219" w:name="_Toc198048707"/>
      <w:bookmarkStart w:id="220" w:name="_Toc199231580"/>
      <w:r w:rsidRPr="00A54D04">
        <w:t>Other types of tow</w:t>
      </w:r>
      <w:r w:rsidR="00EE7AFA" w:rsidRPr="00A54D04">
        <w:t>ing</w:t>
      </w:r>
      <w:bookmarkEnd w:id="216"/>
      <w:bookmarkEnd w:id="217"/>
      <w:bookmarkEnd w:id="218"/>
      <w:bookmarkEnd w:id="219"/>
      <w:bookmarkEnd w:id="220"/>
    </w:p>
    <w:p w14:paraId="66EDD1F8" w14:textId="1EBDB2EF" w:rsidR="00E25281" w:rsidRPr="00A54D04" w:rsidRDefault="00E25281" w:rsidP="00E25281">
      <w:r w:rsidRPr="00A54D04">
        <w:t xml:space="preserve">Any towing services that are not the immediate result of a road accident are referred to as </w:t>
      </w:r>
      <w:r w:rsidRPr="00A54D04">
        <w:rPr>
          <w:b/>
          <w:bCs/>
        </w:rPr>
        <w:t>trade towing</w:t>
      </w:r>
      <w:r w:rsidRPr="00A54D04">
        <w:t>. This can include:</w:t>
      </w:r>
    </w:p>
    <w:p w14:paraId="4C9D0E3B" w14:textId="77777777" w:rsidR="00E25281" w:rsidRPr="00A54D04" w:rsidRDefault="00E25281" w:rsidP="00E25281">
      <w:pPr>
        <w:pStyle w:val="ListBullet"/>
      </w:pPr>
      <w:r w:rsidRPr="00A54D04">
        <w:t>clearway towing</w:t>
      </w:r>
    </w:p>
    <w:p w14:paraId="4037BFEE" w14:textId="77777777" w:rsidR="00E25281" w:rsidRPr="00A54D04" w:rsidRDefault="00E25281" w:rsidP="00E25281">
      <w:pPr>
        <w:pStyle w:val="ListBullet"/>
      </w:pPr>
      <w:r w:rsidRPr="00A54D04">
        <w:t>abandoned (or derelict) vehicle towing</w:t>
      </w:r>
    </w:p>
    <w:p w14:paraId="35CAE6C7" w14:textId="77777777" w:rsidR="00E25281" w:rsidRPr="00A54D04" w:rsidRDefault="00E25281" w:rsidP="00E25281">
      <w:pPr>
        <w:pStyle w:val="ListBullet"/>
      </w:pPr>
      <w:r w:rsidRPr="00A54D04">
        <w:t>breakdown towing</w:t>
      </w:r>
    </w:p>
    <w:p w14:paraId="4404278D" w14:textId="77777777" w:rsidR="00E25281" w:rsidRPr="00A54D04" w:rsidRDefault="00E25281" w:rsidP="00E25281">
      <w:pPr>
        <w:pStyle w:val="ListBullet"/>
      </w:pPr>
      <w:r w:rsidRPr="00A54D04">
        <w:lastRenderedPageBreak/>
        <w:t>other general trade towing (for example, the towing of a vehicle from a depot to a smash repairer).</w:t>
      </w:r>
    </w:p>
    <w:p w14:paraId="6E6E1C18" w14:textId="77777777" w:rsidR="00E25281" w:rsidRPr="00A54D04" w:rsidRDefault="00E25281" w:rsidP="00E25281">
      <w:r w:rsidRPr="00A54D04">
        <w:t>Trade towing is not regulated in Victoria due to the competitive nature of the sector and the ability of consumers to make informed choices relating to trade towing services.</w:t>
      </w:r>
      <w:r w:rsidRPr="00A54D04">
        <w:rPr>
          <w:rStyle w:val="FootnoteReference"/>
        </w:rPr>
        <w:footnoteReference w:id="59"/>
      </w:r>
    </w:p>
    <w:p w14:paraId="1138B6B0" w14:textId="77777777" w:rsidR="00E25281" w:rsidRPr="00A54D04" w:rsidRDefault="00E25281" w:rsidP="00C120DF">
      <w:pPr>
        <w:pStyle w:val="Heading2"/>
      </w:pPr>
      <w:bookmarkStart w:id="221" w:name="_Toc195721921"/>
      <w:bookmarkStart w:id="222" w:name="_Toc197345277"/>
      <w:bookmarkStart w:id="223" w:name="_Toc197942446"/>
      <w:bookmarkStart w:id="224" w:name="_Toc197977719"/>
      <w:bookmarkStart w:id="225" w:name="_Toc198048708"/>
      <w:bookmarkStart w:id="226" w:name="_Toc199231581"/>
      <w:r w:rsidRPr="00A54D04">
        <w:t>How is accident towing regulated?</w:t>
      </w:r>
      <w:bookmarkEnd w:id="221"/>
      <w:bookmarkEnd w:id="222"/>
      <w:bookmarkEnd w:id="223"/>
      <w:bookmarkEnd w:id="224"/>
      <w:bookmarkEnd w:id="225"/>
      <w:bookmarkEnd w:id="226"/>
    </w:p>
    <w:p w14:paraId="47C53C0E" w14:textId="0CFF08E6" w:rsidR="00E25281" w:rsidRPr="00A54D04" w:rsidRDefault="00E25281" w:rsidP="00E25281">
      <w:r w:rsidRPr="00A54D04">
        <w:t xml:space="preserve">Accident towing services in Victoria are regulated under the </w:t>
      </w:r>
      <w:r w:rsidRPr="00A54D04">
        <w:rPr>
          <w:i/>
        </w:rPr>
        <w:t>Accident Towing Services Act 2007</w:t>
      </w:r>
      <w:r w:rsidRPr="00A54D04">
        <w:t xml:space="preserve">. The </w:t>
      </w:r>
      <w:r w:rsidR="00C72078">
        <w:t xml:space="preserve">Accident Towing Services </w:t>
      </w:r>
      <w:r w:rsidRPr="00A54D04">
        <w:t>Act requires accident towing operators and drivers who are performing accident towing services to be licensed by</w:t>
      </w:r>
      <w:r w:rsidR="008C57A1" w:rsidRPr="00A54D04">
        <w:t xml:space="preserve"> the</w:t>
      </w:r>
      <w:r w:rsidRPr="00A54D04">
        <w:t xml:space="preserve"> </w:t>
      </w:r>
      <w:r w:rsidR="008C57A1" w:rsidRPr="00A54D04">
        <w:t xml:space="preserve">Department of Transport and Planning, </w:t>
      </w:r>
      <w:r w:rsidRPr="00A54D04">
        <w:t>the industry regulator</w:t>
      </w:r>
      <w:r w:rsidR="008C57A1" w:rsidRPr="00A54D04">
        <w:t>.</w:t>
      </w:r>
      <w:r w:rsidR="008C57A1" w:rsidRPr="00A54D04">
        <w:rPr>
          <w:rStyle w:val="FootnoteReference"/>
        </w:rPr>
        <w:footnoteReference w:id="60"/>
      </w:r>
    </w:p>
    <w:p w14:paraId="749DAED0" w14:textId="77777777" w:rsidR="00E25281" w:rsidRPr="00A54D04" w:rsidRDefault="00E25281" w:rsidP="00E25281">
      <w:pPr>
        <w:pStyle w:val="Heading3"/>
      </w:pPr>
      <w:bookmarkStart w:id="227" w:name="_Toc195721922"/>
      <w:bookmarkStart w:id="228" w:name="_Toc197345278"/>
      <w:bookmarkStart w:id="229" w:name="_Toc197942447"/>
      <w:bookmarkStart w:id="230" w:name="_Toc197977720"/>
      <w:bookmarkStart w:id="231" w:name="_Toc198048709"/>
      <w:bookmarkStart w:id="232" w:name="_Toc199231582"/>
      <w:r w:rsidRPr="00A54D04">
        <w:t>Victoria’s accident towing areas</w:t>
      </w:r>
      <w:bookmarkEnd w:id="227"/>
      <w:bookmarkEnd w:id="228"/>
      <w:bookmarkEnd w:id="229"/>
      <w:bookmarkEnd w:id="230"/>
      <w:bookmarkEnd w:id="231"/>
      <w:bookmarkEnd w:id="232"/>
      <w:r w:rsidRPr="00A54D04">
        <w:t xml:space="preserve"> </w:t>
      </w:r>
    </w:p>
    <w:p w14:paraId="60485793" w14:textId="1347FCA8" w:rsidR="00E25281" w:rsidRPr="00A54D04" w:rsidRDefault="00E25281" w:rsidP="00E25281">
      <w:r w:rsidRPr="00A54D04">
        <w:t xml:space="preserve">Accident towing licenses are subject to geographical restrictions on where an accident tow can be performed. In Victoria, there are three geographic areas for accident towing, and regulation varies across these </w:t>
      </w:r>
      <w:r w:rsidR="008C57A1" w:rsidRPr="00A54D04">
        <w:t>zones</w:t>
      </w:r>
      <w:r w:rsidRPr="00A54D04">
        <w:t>:</w:t>
      </w:r>
    </w:p>
    <w:p w14:paraId="52547F8A" w14:textId="77777777" w:rsidR="00E25281" w:rsidRPr="00A54D04" w:rsidRDefault="00E25281" w:rsidP="00E25281">
      <w:pPr>
        <w:pStyle w:val="ListBullet"/>
      </w:pPr>
      <w:r w:rsidRPr="00A54D04">
        <w:t>the Melbourne controlled area (within metropolitan Melbourne)</w:t>
      </w:r>
      <w:r w:rsidRPr="00A54D04">
        <w:rPr>
          <w:rStyle w:val="FootnoteReference"/>
        </w:rPr>
        <w:footnoteReference w:id="61"/>
      </w:r>
    </w:p>
    <w:p w14:paraId="0EADA282" w14:textId="77777777" w:rsidR="00E25281" w:rsidRPr="00A54D04" w:rsidRDefault="00E25281" w:rsidP="00E25281">
      <w:pPr>
        <w:pStyle w:val="ListBullet"/>
      </w:pPr>
      <w:r w:rsidRPr="00A54D04">
        <w:t>the Self-management area of Geelong (Geelong and surrounding areas)</w:t>
      </w:r>
    </w:p>
    <w:p w14:paraId="364012BE" w14:textId="77777777" w:rsidR="00E25281" w:rsidRPr="00A54D04" w:rsidRDefault="00E25281" w:rsidP="00E25281">
      <w:pPr>
        <w:pStyle w:val="ListBullet"/>
      </w:pPr>
      <w:r w:rsidRPr="00A54D04">
        <w:t>the remainder of Victoria.</w:t>
      </w:r>
    </w:p>
    <w:p w14:paraId="531BE1BB" w14:textId="03B5BECD" w:rsidR="00E25281" w:rsidRPr="00A54D04" w:rsidRDefault="00E25281" w:rsidP="00E25281">
      <w:r w:rsidRPr="00A54D04">
        <w:t>The Melbourne controlled area and Self-management area of Geelong boundaries</w:t>
      </w:r>
      <w:r w:rsidR="008C57A1" w:rsidRPr="00A54D04">
        <w:t xml:space="preserve"> </w:t>
      </w:r>
      <w:r w:rsidRPr="00A54D04">
        <w:t xml:space="preserve">are shown in Figure </w:t>
      </w:r>
      <w:r w:rsidR="00DC386C" w:rsidRPr="00A54D04">
        <w:t>5</w:t>
      </w:r>
      <w:r w:rsidRPr="00A54D04">
        <w:t>.</w:t>
      </w:r>
    </w:p>
    <w:p w14:paraId="6FAFB38C" w14:textId="1E9C8DE9" w:rsidR="00E25281" w:rsidRPr="00A54D04" w:rsidRDefault="00E25281" w:rsidP="00E25281">
      <w:pPr>
        <w:pStyle w:val="Figure-Table-BoxHeading"/>
        <w:keepNext/>
        <w:numPr>
          <w:ilvl w:val="0"/>
          <w:numId w:val="0"/>
        </w:numPr>
        <w:spacing w:after="0"/>
        <w:ind w:left="851" w:hanging="851"/>
      </w:pPr>
      <w:r w:rsidRPr="00A54D04">
        <w:rPr>
          <w:rStyle w:val="Figure-Table-BoxHeadingChar"/>
          <w:b/>
        </w:rPr>
        <w:lastRenderedPageBreak/>
        <w:t xml:space="preserve">Figure </w:t>
      </w:r>
      <w:r w:rsidR="00DC386C" w:rsidRPr="00A54D04">
        <w:rPr>
          <w:rStyle w:val="Figure-Table-BoxHeadingChar"/>
          <w:b/>
        </w:rPr>
        <w:t>5</w:t>
      </w:r>
      <w:r w:rsidRPr="00A54D04">
        <w:rPr>
          <w:rStyle w:val="Figure-Table-BoxHeadingChar"/>
          <w:b/>
        </w:rPr>
        <w:t xml:space="preserve">. </w:t>
      </w:r>
      <w:r w:rsidR="00B92BC3" w:rsidRPr="00A54D04">
        <w:rPr>
          <w:rStyle w:val="Figure-Table-BoxHeadingChar"/>
          <w:b/>
        </w:rPr>
        <w:t xml:space="preserve">Victoria geographic </w:t>
      </w:r>
      <w:r w:rsidRPr="00A54D04">
        <w:rPr>
          <w:rStyle w:val="Figure-Table-BoxHeadingChar"/>
          <w:b/>
        </w:rPr>
        <w:t>boundaries</w:t>
      </w:r>
      <w:r w:rsidR="00983668" w:rsidRPr="00A54D04">
        <w:rPr>
          <w:rStyle w:val="Figure-Table-BoxHeadingChar"/>
          <w:b/>
        </w:rPr>
        <w:t xml:space="preserve"> for accident towing</w:t>
      </w:r>
    </w:p>
    <w:p w14:paraId="42880249" w14:textId="26D18748" w:rsidR="00E25281" w:rsidRPr="00A54D04" w:rsidRDefault="00C50B71" w:rsidP="00E64E75">
      <w:r w:rsidRPr="00A54D04">
        <w:rPr>
          <w:noProof/>
        </w:rPr>
        <mc:AlternateContent>
          <mc:Choice Requires="wps">
            <w:drawing>
              <wp:anchor distT="0" distB="0" distL="114300" distR="114300" simplePos="0" relativeHeight="251658240" behindDoc="0" locked="0" layoutInCell="1" allowOverlap="1" wp14:anchorId="6BBA9BD9" wp14:editId="2F93E584">
                <wp:simplePos x="0" y="0"/>
                <wp:positionH relativeFrom="column">
                  <wp:posOffset>0</wp:posOffset>
                </wp:positionH>
                <wp:positionV relativeFrom="paragraph">
                  <wp:posOffset>4034790</wp:posOffset>
                </wp:positionV>
                <wp:extent cx="1294228" cy="250061"/>
                <wp:effectExtent l="0" t="0" r="1270" b="0"/>
                <wp:wrapNone/>
                <wp:docPr id="846576527" name="Rectangle 2"/>
                <wp:cNvGraphicFramePr/>
                <a:graphic xmlns:a="http://schemas.openxmlformats.org/drawingml/2006/main">
                  <a:graphicData uri="http://schemas.microsoft.com/office/word/2010/wordprocessingShape">
                    <wps:wsp>
                      <wps:cNvSpPr/>
                      <wps:spPr>
                        <a:xfrm>
                          <a:off x="0" y="0"/>
                          <a:ext cx="1294228" cy="250061"/>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V relativeFrom="margin">
                  <wp14:pctHeight>0</wp14:pctHeight>
                </wp14:sizeRelV>
              </wp:anchor>
            </w:drawing>
          </mc:Choice>
          <mc:Fallback>
            <w:pict>
              <v:rect w14:anchorId="5457079F" id="Rectangle 2" o:spid="_x0000_s1026" style="position:absolute;margin-left:0;margin-top:317.7pt;width:101.9pt;height:19.7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" fillcolor="white [3212]" stroked="f" strokeweight="1pt"/>
            </w:pict>
          </mc:Fallback>
        </mc:AlternateContent>
      </w:r>
      <w:r w:rsidR="00E25281" w:rsidRPr="00A54D04">
        <w:rPr>
          <w:noProof/>
        </w:rPr>
        <w:drawing>
          <wp:inline distT="0" distB="0" distL="0" distR="0" wp14:anchorId="23580502" wp14:editId="704F8511">
            <wp:extent cx="6055200" cy="4518000"/>
            <wp:effectExtent l="0" t="0" r="3175" b="0"/>
            <wp:docPr id="2016682647" name="Picture 7" descr="A map of the australian region&#10;&#10;AI-generated content may be incorrect.">
              <a:extLst xmlns:a="http://schemas.openxmlformats.org/drawingml/2006/main">
                <a:ext uri="{FF2B5EF4-FFF2-40B4-BE49-F238E27FC236}">
                  <a16:creationId xmlns:a16="http://schemas.microsoft.com/office/drawing/2014/main" id="{6372745B-093D-4731-85D1-DC4AA8C53CA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6682647" name="Picture 7" descr="A map of the australian region&#10;&#10;AI-generated content may be incorrect.">
                      <a:extLst>
                        <a:ext uri="{FF2B5EF4-FFF2-40B4-BE49-F238E27FC236}">
                          <a16:creationId xmlns:a16="http://schemas.microsoft.com/office/drawing/2014/main" id="{6372745B-093D-4731-85D1-DC4AA8C53CA0}"/>
                        </a:ext>
                      </a:extLst>
                    </pic:cNvPr>
                    <pic:cNvPicPr>
                      <a:picLocks noChangeAspect="1"/>
                    </pic:cNvPicPr>
                  </pic:nvPicPr>
                  <pic:blipFill>
                    <a:blip r:embed="rId67"/>
                    <a:srcRect/>
                    <a:stretch>
                      <a:fillRect/>
                    </a:stretch>
                  </pic:blipFill>
                  <pic:spPr bwMode="auto">
                    <a:xfrm>
                      <a:off x="0" y="0"/>
                      <a:ext cx="6055200" cy="4518000"/>
                    </a:xfrm>
                    <a:prstGeom prst="rect">
                      <a:avLst/>
                    </a:prstGeom>
                    <a:solidFill>
                      <a:schemeClr val="bg1"/>
                    </a:solidFill>
                    <a:ln w="9525">
                      <a:noFill/>
                      <a:miter lim="800000"/>
                      <a:headEnd/>
                      <a:tailEnd/>
                    </a:ln>
                  </pic:spPr>
                </pic:pic>
              </a:graphicData>
            </a:graphic>
          </wp:inline>
        </w:drawing>
      </w:r>
    </w:p>
    <w:p w14:paraId="29C9F215" w14:textId="60E19809" w:rsidR="002B23C0" w:rsidRPr="00A54D04" w:rsidRDefault="002B23C0" w:rsidP="00E25281">
      <w:pPr>
        <w:rPr>
          <w:rStyle w:val="Heading4Char"/>
        </w:rPr>
      </w:pPr>
      <w:r w:rsidRPr="00A54D04">
        <w:rPr>
          <w:color w:val="4986A0" w:themeColor="text2"/>
          <w:sz w:val="18"/>
          <w:szCs w:val="18"/>
        </w:rPr>
        <w:t>Source:</w:t>
      </w:r>
      <w:r w:rsidRPr="00A54D04">
        <w:rPr>
          <w:color w:val="4986A0" w:themeColor="text2"/>
          <w:sz w:val="18"/>
          <w:szCs w:val="18"/>
        </w:rPr>
        <w:tab/>
        <w:t>Department of Transport and Planning 2024, Accident towing allocation map, accessed on 15 December 2024 at</w:t>
      </w:r>
      <w:r w:rsidRPr="00A54D04">
        <w:t xml:space="preserve"> </w:t>
      </w:r>
      <w:hyperlink r:id="rId68" w:history="1">
        <w:r w:rsidRPr="00A54D04">
          <w:rPr>
            <w:rStyle w:val="Hyperlink"/>
            <w:sz w:val="18"/>
            <w:szCs w:val="18"/>
          </w:rPr>
          <w:t>https://transport.vic.gov.au/plan-a-journey/maps/accident-towing-allocation-map</w:t>
        </w:r>
      </w:hyperlink>
    </w:p>
    <w:p w14:paraId="76CC913E" w14:textId="34BBF59A" w:rsidR="00E25281" w:rsidRPr="00A54D04" w:rsidRDefault="00E25281" w:rsidP="00E25281">
      <w:r w:rsidRPr="00A54D04">
        <w:rPr>
          <w:rStyle w:val="Heading4Char"/>
        </w:rPr>
        <w:t>Melbourne controlled area</w:t>
      </w:r>
      <w:r w:rsidRPr="00A54D04">
        <w:br/>
        <w:t>Road accidents in the Melbourne controlled area are assigned to tow truck drivers via an accident allocation scheme administered by the Department of Transport and Planning. The Department has contracted a third-party service provider to operate the call centre that allocates accident towing jobs to operators.</w:t>
      </w:r>
    </w:p>
    <w:p w14:paraId="20ECF8DA" w14:textId="77777777" w:rsidR="00E25281" w:rsidRPr="00A54D04" w:rsidRDefault="00E25281" w:rsidP="00E25281">
      <w:r w:rsidRPr="00A54D04">
        <w:t>The accident allocation scheme has been designed for accidents to be responded to within 30 minutes and jobs to be shared evenly between tow truck operators.</w:t>
      </w:r>
    </w:p>
    <w:p w14:paraId="3E138A74" w14:textId="77777777" w:rsidR="00E25281" w:rsidRPr="00A54D04" w:rsidRDefault="00E25281" w:rsidP="00E25281">
      <w:r w:rsidRPr="00A54D04">
        <w:t xml:space="preserve">The scheme functions on a roster basis. Each new job </w:t>
      </w:r>
      <w:proofErr w:type="gramStart"/>
      <w:r w:rsidRPr="00A54D04">
        <w:t>in a given</w:t>
      </w:r>
      <w:proofErr w:type="gramEnd"/>
      <w:r w:rsidRPr="00A54D04">
        <w:t xml:space="preserve"> zone of the Melbourne controlled area is </w:t>
      </w:r>
      <w:proofErr w:type="gramStart"/>
      <w:r w:rsidRPr="00A54D04">
        <w:t>allocated</w:t>
      </w:r>
      <w:proofErr w:type="gramEnd"/>
      <w:r w:rsidRPr="00A54D04">
        <w:t xml:space="preserve"> to the licence that has received the least allocations during a particular month.</w:t>
      </w:r>
    </w:p>
    <w:p w14:paraId="0EB35404" w14:textId="735FFF5A" w:rsidR="00E25281" w:rsidRPr="00A54D04" w:rsidRDefault="00E25281" w:rsidP="00E25281">
      <w:r w:rsidRPr="00A54D04">
        <w:t xml:space="preserve">See Appendix </w:t>
      </w:r>
      <w:r w:rsidR="00F170DF">
        <w:t>E</w:t>
      </w:r>
      <w:r w:rsidRPr="00A54D04">
        <w:t xml:space="preserve"> for further information on licences, allocations and the performance of the </w:t>
      </w:r>
      <w:r w:rsidR="0096085A" w:rsidRPr="00A54D04">
        <w:t>accident towing</w:t>
      </w:r>
      <w:r w:rsidRPr="00A54D04">
        <w:t xml:space="preserve"> industry.</w:t>
      </w:r>
    </w:p>
    <w:p w14:paraId="10AAE90F" w14:textId="77777777" w:rsidR="00E25281" w:rsidRPr="00A54D04" w:rsidRDefault="00E25281" w:rsidP="00E25281">
      <w:pPr>
        <w:pStyle w:val="Heading4"/>
      </w:pPr>
      <w:r w:rsidRPr="00A54D04">
        <w:lastRenderedPageBreak/>
        <w:t>Self</w:t>
      </w:r>
      <w:r w:rsidRPr="00A54D04">
        <w:noBreakHyphen/>
        <w:t>management area of Geelong and the remainder of Victoria</w:t>
      </w:r>
    </w:p>
    <w:p w14:paraId="07BBA27E" w14:textId="77777777" w:rsidR="00E25281" w:rsidRPr="00A54D04" w:rsidRDefault="00E25281" w:rsidP="00E25281">
      <w:r w:rsidRPr="00A54D04">
        <w:t>The accident allocation scheme in the Self</w:t>
      </w:r>
      <w:r w:rsidRPr="00A54D04">
        <w:noBreakHyphen/>
        <w:t>management area of Geelong operates on a roster basis, like the Melbourne controlled area. Accident towing jobs are allocated by an allocation body.</w:t>
      </w:r>
    </w:p>
    <w:p w14:paraId="44557E89" w14:textId="77777777" w:rsidR="00E25281" w:rsidRPr="00A54D04" w:rsidRDefault="00E25281" w:rsidP="00E25281">
      <w:r w:rsidRPr="00A54D04">
        <w:t>There is no formal allocation system for the remainder of Victoria. Tow truck drivers can attend any accident scene they are called to outside the Melbourne controlled area and the Self-management area of Geelong.</w:t>
      </w:r>
    </w:p>
    <w:p w14:paraId="30E787D2" w14:textId="283BB6F4" w:rsidR="00E25281" w:rsidRDefault="00E25281" w:rsidP="006C664B">
      <w:pPr>
        <w:pStyle w:val="Heading3"/>
      </w:pPr>
      <w:bookmarkStart w:id="233" w:name="_Toc195721923"/>
      <w:bookmarkStart w:id="234" w:name="_Toc197345279"/>
      <w:bookmarkStart w:id="235" w:name="_Toc197942448"/>
      <w:bookmarkStart w:id="236" w:name="_Toc197977721"/>
      <w:bookmarkStart w:id="237" w:name="_Toc198048710"/>
      <w:bookmarkStart w:id="238" w:name="_Toc199231583"/>
      <w:r w:rsidRPr="00A54D04">
        <w:t>Accident allocation schemes for regular vehicles only</w:t>
      </w:r>
      <w:bookmarkEnd w:id="233"/>
      <w:bookmarkEnd w:id="234"/>
      <w:bookmarkEnd w:id="235"/>
      <w:bookmarkEnd w:id="236"/>
      <w:bookmarkEnd w:id="237"/>
      <w:bookmarkEnd w:id="238"/>
    </w:p>
    <w:p w14:paraId="61B0CE02" w14:textId="6565F965" w:rsidR="00925F68" w:rsidRPr="00A54D04" w:rsidRDefault="00925F68" w:rsidP="00E25281">
      <w:r>
        <w:t>There is a distinction in the type of vehicles for the purposes of accident towing</w:t>
      </w:r>
      <w:r w:rsidR="00C72078">
        <w:t xml:space="preserve"> in Victoria</w:t>
      </w:r>
      <w:r>
        <w:t>:</w:t>
      </w:r>
    </w:p>
    <w:p w14:paraId="3D525137" w14:textId="21928674" w:rsidR="00E25281" w:rsidRPr="00A54D04" w:rsidRDefault="00511F02" w:rsidP="00E25281">
      <w:pPr>
        <w:pStyle w:val="ListBullet"/>
        <w:rPr>
          <w:rStyle w:val="ListBulletChar"/>
          <w:shd w:val="clear" w:color="auto" w:fill="FFFFFF"/>
        </w:rPr>
      </w:pPr>
      <w:r>
        <w:rPr>
          <w:rStyle w:val="ListBulletChar"/>
          <w:b/>
          <w:bCs/>
        </w:rPr>
        <w:t>r</w:t>
      </w:r>
      <w:r w:rsidR="00E25281" w:rsidRPr="00A54D04">
        <w:rPr>
          <w:rStyle w:val="ListBulletChar"/>
          <w:b/>
          <w:bCs/>
        </w:rPr>
        <w:t>egular vehicles</w:t>
      </w:r>
      <w:r w:rsidR="00E25281" w:rsidRPr="00A54D04">
        <w:rPr>
          <w:rStyle w:val="ListBulletChar"/>
        </w:rPr>
        <w:t xml:space="preserve"> have a gross vehicle mass of less than four tonnes.</w:t>
      </w:r>
    </w:p>
    <w:p w14:paraId="1A02813A" w14:textId="0D3CE6FC" w:rsidR="00E25281" w:rsidRPr="00A54D04" w:rsidRDefault="00511F02" w:rsidP="00E25281">
      <w:pPr>
        <w:pStyle w:val="ListBullet"/>
        <w:rPr>
          <w:rStyle w:val="ListBulletChar"/>
          <w:shd w:val="clear" w:color="auto" w:fill="FFFFFF"/>
        </w:rPr>
      </w:pPr>
      <w:r>
        <w:rPr>
          <w:rStyle w:val="ListBulletChar"/>
          <w:b/>
          <w:bCs/>
        </w:rPr>
        <w:t>h</w:t>
      </w:r>
      <w:r w:rsidR="00E25281" w:rsidRPr="00A54D04">
        <w:rPr>
          <w:rStyle w:val="ListBulletChar"/>
          <w:b/>
          <w:bCs/>
        </w:rPr>
        <w:t>eavy vehicles</w:t>
      </w:r>
      <w:r w:rsidR="00E25281" w:rsidRPr="00A54D04">
        <w:rPr>
          <w:rStyle w:val="ListBulletChar"/>
        </w:rPr>
        <w:t xml:space="preserve"> have a gross vehicle mass of four tonnes or more.</w:t>
      </w:r>
    </w:p>
    <w:p w14:paraId="6D24442B" w14:textId="77777777" w:rsidR="00E25281" w:rsidRPr="00A54D04" w:rsidRDefault="00E25281" w:rsidP="00E25281">
      <w:pPr>
        <w:rPr>
          <w:rStyle w:val="ListBulletChar"/>
        </w:rPr>
      </w:pPr>
      <w:r w:rsidRPr="00A54D04">
        <w:rPr>
          <w:rStyle w:val="ListBulletChar"/>
        </w:rPr>
        <w:t>The accident allocation schemes for the Melbourne controlled area and the Self-management area of Geelong apply to regular vehicles only.</w:t>
      </w:r>
    </w:p>
    <w:p w14:paraId="35F81A4B" w14:textId="77777777" w:rsidR="008F0B66" w:rsidRPr="00A54D04" w:rsidRDefault="008F0B66" w:rsidP="009F3DA3">
      <w:pPr>
        <w:pStyle w:val="Heading2"/>
      </w:pPr>
      <w:bookmarkStart w:id="239" w:name="_Toc195721924"/>
      <w:bookmarkStart w:id="240" w:name="_Toc197345280"/>
      <w:bookmarkStart w:id="241" w:name="_Toc197942449"/>
      <w:bookmarkStart w:id="242" w:name="_Toc197977722"/>
      <w:bookmarkStart w:id="243" w:name="_Toc198048711"/>
      <w:bookmarkStart w:id="244" w:name="_Toc199231584"/>
      <w:r w:rsidRPr="00A54D04">
        <w:t>Who sets and regulates accident towing fees?</w:t>
      </w:r>
      <w:bookmarkEnd w:id="239"/>
      <w:bookmarkEnd w:id="240"/>
      <w:bookmarkEnd w:id="241"/>
      <w:bookmarkEnd w:id="242"/>
      <w:bookmarkEnd w:id="243"/>
      <w:bookmarkEnd w:id="244"/>
    </w:p>
    <w:p w14:paraId="0A15893D" w14:textId="77777777" w:rsidR="008F0B66" w:rsidRPr="00A54D04" w:rsidRDefault="008F0B66" w:rsidP="008F0B66">
      <w:r w:rsidRPr="00A54D04">
        <w:t>The Minister for Roads and Road Safety sets accident towing and storage fees for regular vehicles in the Melbourne controlled area.</w:t>
      </w:r>
      <w:r w:rsidRPr="00A54D04">
        <w:rPr>
          <w:rStyle w:val="FootnoteReference"/>
        </w:rPr>
        <w:footnoteReference w:id="62"/>
      </w:r>
    </w:p>
    <w:p w14:paraId="773EA267" w14:textId="77777777" w:rsidR="008F0B66" w:rsidRPr="00A54D04" w:rsidRDefault="008F0B66" w:rsidP="008F0B66">
      <w:r w:rsidRPr="00A54D04">
        <w:t>Each year, accident towing and storage fees are amended by an ‘annual adjustment mechanism’. This is a form of indexation used to account for changes in costs and productivity in the sector.</w:t>
      </w:r>
    </w:p>
    <w:p w14:paraId="38E940EE" w14:textId="6F9853A0" w:rsidR="008F0B66" w:rsidRPr="00A54D04" w:rsidRDefault="008F0B66" w:rsidP="008F0B66">
      <w:r w:rsidRPr="00A54D04">
        <w:t xml:space="preserve">The minister also has the power under the </w:t>
      </w:r>
      <w:r w:rsidR="00C72078">
        <w:t xml:space="preserve">Accident Towing Services </w:t>
      </w:r>
      <w:r w:rsidRPr="00A54D04">
        <w:t>Act to determine a regulated fee for basic salvage services in the Melbourne controlled area. The minister has made no such determination yet.</w:t>
      </w:r>
    </w:p>
    <w:p w14:paraId="676CB982" w14:textId="77777777" w:rsidR="008F0B66" w:rsidRPr="00A54D04" w:rsidRDefault="008F0B66" w:rsidP="008F0B66">
      <w:r w:rsidRPr="00A54D04">
        <w:t xml:space="preserve">The minister may only </w:t>
      </w:r>
      <w:proofErr w:type="gramStart"/>
      <w:r w:rsidRPr="00A54D04">
        <w:t>make a determination</w:t>
      </w:r>
      <w:proofErr w:type="gramEnd"/>
      <w:r w:rsidRPr="00A54D04">
        <w:t xml:space="preserve"> of accident towing, storage and salvage fees after receiving a recommendation from the commission and a separate report from the Secretary, Department of Transport and Planning.</w:t>
      </w:r>
      <w:r w:rsidRPr="00A54D04">
        <w:rPr>
          <w:rStyle w:val="FootnoteReference"/>
        </w:rPr>
        <w:footnoteReference w:id="63"/>
      </w:r>
    </w:p>
    <w:p w14:paraId="5115A244" w14:textId="77777777" w:rsidR="008F0B66" w:rsidRPr="00A54D04" w:rsidRDefault="008F0B66" w:rsidP="008F0B66">
      <w:r w:rsidRPr="00A54D04">
        <w:t xml:space="preserve">The minister last </w:t>
      </w:r>
      <w:proofErr w:type="gramStart"/>
      <w:r w:rsidRPr="00A54D04">
        <w:t>made a determination</w:t>
      </w:r>
      <w:proofErr w:type="gramEnd"/>
      <w:r w:rsidRPr="00A54D04">
        <w:t xml:space="preserve"> of fees in the Melbourne controlled area in July 2019.</w:t>
      </w:r>
      <w:r w:rsidRPr="00A54D04">
        <w:rPr>
          <w:rStyle w:val="FootnoteReference"/>
        </w:rPr>
        <w:footnoteReference w:id="64"/>
      </w:r>
    </w:p>
    <w:p w14:paraId="45FEF613" w14:textId="466F3654" w:rsidR="008F0B66" w:rsidRPr="00A54D04" w:rsidRDefault="008F0B66" w:rsidP="008F0B66">
      <w:r w:rsidRPr="00A54D04">
        <w:lastRenderedPageBreak/>
        <w:t xml:space="preserve">Accident towing and storage fees for regular and heavy vehicles </w:t>
      </w:r>
      <w:r w:rsidR="008C57A1" w:rsidRPr="00A54D04">
        <w:t>outside of the Melbourne controlled area</w:t>
      </w:r>
      <w:r w:rsidRPr="00A54D04">
        <w:t xml:space="preserve"> are not set by a specific determination. That is, fee regulation does not apply. However, there is a requirement that fees be reasonable.</w:t>
      </w:r>
      <w:r w:rsidRPr="00A54D04">
        <w:rPr>
          <w:rStyle w:val="FootnoteReference"/>
        </w:rPr>
        <w:footnoteReference w:id="65"/>
      </w:r>
    </w:p>
    <w:p w14:paraId="61331BE7" w14:textId="77777777" w:rsidR="008F0B66" w:rsidRPr="00A54D04" w:rsidRDefault="008F0B66" w:rsidP="009F3DA3">
      <w:pPr>
        <w:pStyle w:val="Heading2"/>
      </w:pPr>
      <w:bookmarkStart w:id="245" w:name="_Toc195721925"/>
      <w:bookmarkStart w:id="246" w:name="_Toc197345281"/>
      <w:bookmarkStart w:id="247" w:name="_Toc197942450"/>
      <w:bookmarkStart w:id="248" w:name="_Toc197977723"/>
      <w:bookmarkStart w:id="249" w:name="_Toc198048712"/>
      <w:bookmarkStart w:id="250" w:name="_Toc199231585"/>
      <w:r w:rsidRPr="00A54D04">
        <w:t>What is our regulatory role?</w:t>
      </w:r>
      <w:bookmarkEnd w:id="245"/>
      <w:bookmarkEnd w:id="246"/>
      <w:bookmarkEnd w:id="247"/>
      <w:bookmarkEnd w:id="248"/>
      <w:bookmarkEnd w:id="249"/>
      <w:bookmarkEnd w:id="250"/>
    </w:p>
    <w:p w14:paraId="62D0F8BF" w14:textId="3E9D85AC" w:rsidR="00C43DDC" w:rsidRDefault="00680D98" w:rsidP="006C664B">
      <w:r>
        <w:t xml:space="preserve">We are required to </w:t>
      </w:r>
      <w:r w:rsidRPr="00A54D04">
        <w:t>conduct and complete a review</w:t>
      </w:r>
      <w:r>
        <w:t xml:space="preserve"> every four years</w:t>
      </w:r>
      <w:r w:rsidRPr="00A54D04">
        <w:t xml:space="preserve"> and make a recommendation to the </w:t>
      </w:r>
      <w:r>
        <w:t>M</w:t>
      </w:r>
      <w:r w:rsidRPr="00A54D04">
        <w:t xml:space="preserve">inister for Roads and Road Safety </w:t>
      </w:r>
      <w:r>
        <w:t>about</w:t>
      </w:r>
      <w:r w:rsidR="00DA6ABE">
        <w:t xml:space="preserve"> accident towing</w:t>
      </w:r>
      <w:r>
        <w:t xml:space="preserve"> services</w:t>
      </w:r>
      <w:r w:rsidR="00DA6ABE">
        <w:t xml:space="preserve"> and storage fees for regular vehicles in the Melbourne controlled</w:t>
      </w:r>
      <w:r>
        <w:t xml:space="preserve"> area, including</w:t>
      </w:r>
      <w:r w:rsidR="008F0B66" w:rsidRPr="00A54D04">
        <w:t>:</w:t>
      </w:r>
      <w:r w:rsidR="008F0B66" w:rsidRPr="00A54D04">
        <w:rPr>
          <w:rStyle w:val="FootnoteReference"/>
        </w:rPr>
        <w:footnoteReference w:id="66"/>
      </w:r>
    </w:p>
    <w:p w14:paraId="352222FC" w14:textId="77777777" w:rsidR="00C43DDC" w:rsidRDefault="00C43DDC" w:rsidP="00C43DDC">
      <w:pPr>
        <w:pStyle w:val="ListBullet"/>
      </w:pPr>
      <w:r>
        <w:t>whether accident towing and storage fees previously determined by the minister are appropriate</w:t>
      </w:r>
    </w:p>
    <w:p w14:paraId="79A4E21A" w14:textId="72D68909" w:rsidR="00C43DDC" w:rsidRDefault="00C43DDC" w:rsidP="00C43DDC">
      <w:pPr>
        <w:pStyle w:val="ListBullet"/>
      </w:pPr>
      <w:r>
        <w:t>a figure for the productivity adjustment of services that are or are to be subject to a determination made by the minister (see Appendix E for further explanation)</w:t>
      </w:r>
    </w:p>
    <w:p w14:paraId="1B0EE793" w14:textId="3C1DF6A5" w:rsidR="00C43DDC" w:rsidRDefault="00C43DDC" w:rsidP="00C43DDC">
      <w:pPr>
        <w:pStyle w:val="ListBullet"/>
      </w:pPr>
      <w:r>
        <w:t>whether a storage or salvage service for which no amount has been determined by the minister should be subject to a determination and i</w:t>
      </w:r>
      <w:r w:rsidR="00680D98">
        <w:t>f</w:t>
      </w:r>
      <w:r>
        <w:t xml:space="preserve"> so, what that determination should be </w:t>
      </w:r>
    </w:p>
    <w:p w14:paraId="019967CA" w14:textId="547D6F04" w:rsidR="00D84650" w:rsidRPr="00A54D04" w:rsidRDefault="00C43DDC" w:rsidP="009C5C37">
      <w:pPr>
        <w:pStyle w:val="ListBullet"/>
      </w:pPr>
      <w:r>
        <w:t>any other matter relating to accident towing services, the storage of accident damaged vehicles or salvage that the minister specifies in writing.</w:t>
      </w:r>
      <w:r w:rsidRPr="00A54D04">
        <w:rPr>
          <w:rStyle w:val="FootnoteReference"/>
        </w:rPr>
        <w:footnoteReference w:id="67"/>
      </w:r>
      <w:r>
        <w:t xml:space="preserve"> </w:t>
      </w:r>
    </w:p>
    <w:p w14:paraId="14A541C5" w14:textId="7160340B" w:rsidR="0096565A" w:rsidRPr="00A54D04" w:rsidRDefault="00C43DDC" w:rsidP="0096565A">
      <w:pPr>
        <w:pStyle w:val="Heading2"/>
      </w:pPr>
      <w:bookmarkStart w:id="251" w:name="_Toc197942451"/>
      <w:bookmarkStart w:id="252" w:name="_Toc197977724"/>
      <w:bookmarkStart w:id="253" w:name="_Toc198048713"/>
      <w:bookmarkStart w:id="254" w:name="_Toc199231586"/>
      <w:r>
        <w:t>Matters not within scope of our review</w:t>
      </w:r>
      <w:bookmarkEnd w:id="251"/>
      <w:bookmarkEnd w:id="252"/>
      <w:bookmarkEnd w:id="253"/>
      <w:bookmarkEnd w:id="254"/>
    </w:p>
    <w:p w14:paraId="77D1050A" w14:textId="65F5AC47" w:rsidR="0096565A" w:rsidRPr="00A54D04" w:rsidRDefault="0096565A" w:rsidP="0096565A">
      <w:r w:rsidRPr="00A54D04">
        <w:t xml:space="preserve">The </w:t>
      </w:r>
      <w:r w:rsidR="00C72078">
        <w:t xml:space="preserve">Accident Towing Services </w:t>
      </w:r>
      <w:r w:rsidRPr="00A54D04">
        <w:t>Act limi</w:t>
      </w:r>
      <w:r w:rsidR="00615118" w:rsidRPr="00A54D04">
        <w:t>ts</w:t>
      </w:r>
      <w:r w:rsidRPr="00A54D04">
        <w:t xml:space="preserve"> the scope of our review </w:t>
      </w:r>
      <w:r w:rsidR="00925F68">
        <w:t>to accident towing</w:t>
      </w:r>
      <w:r w:rsidR="00680D98">
        <w:t xml:space="preserve"> services</w:t>
      </w:r>
      <w:r w:rsidR="00925F68">
        <w:t xml:space="preserve">, storage and salvage </w:t>
      </w:r>
      <w:r w:rsidR="00680D98">
        <w:t xml:space="preserve">fees </w:t>
      </w:r>
      <w:r w:rsidR="00925F68">
        <w:t xml:space="preserve">in the Melbourne controlled area only. </w:t>
      </w:r>
      <w:r w:rsidR="00C43DDC">
        <w:t>M</w:t>
      </w:r>
      <w:r w:rsidRPr="00A54D04">
        <w:t>atters</w:t>
      </w:r>
      <w:r w:rsidR="00C43DDC">
        <w:t xml:space="preserve"> not within scope of our review</w:t>
      </w:r>
      <w:r w:rsidRPr="00A54D04">
        <w:t xml:space="preserve"> include: </w:t>
      </w:r>
    </w:p>
    <w:p w14:paraId="28BB4167" w14:textId="4A5A060E" w:rsidR="0096565A" w:rsidRPr="00A54D04" w:rsidRDefault="0096565A" w:rsidP="00D24BE8">
      <w:pPr>
        <w:pStyle w:val="ListBullet"/>
      </w:pPr>
      <w:r w:rsidRPr="00A54D04">
        <w:t xml:space="preserve">fees for heavy vehicle and trade towing </w:t>
      </w:r>
    </w:p>
    <w:p w14:paraId="32C8CE22" w14:textId="773D29E6" w:rsidR="0096565A" w:rsidRPr="00A54D04" w:rsidRDefault="00615118" w:rsidP="00D24BE8">
      <w:pPr>
        <w:pStyle w:val="ListBullet"/>
      </w:pPr>
      <w:r w:rsidRPr="00A54D04">
        <w:t>changes to</w:t>
      </w:r>
      <w:r w:rsidR="0096565A" w:rsidRPr="00A54D04">
        <w:t xml:space="preserve"> licence boundaries </w:t>
      </w:r>
    </w:p>
    <w:p w14:paraId="5C98AD4A" w14:textId="6C2A09D3" w:rsidR="0096565A" w:rsidRPr="00A54D04" w:rsidRDefault="0096565A" w:rsidP="00D24BE8">
      <w:pPr>
        <w:pStyle w:val="ListBullet"/>
      </w:pPr>
      <w:r w:rsidRPr="00A54D04">
        <w:t xml:space="preserve">the functioning of the allocation system for accident towing jobs </w:t>
      </w:r>
    </w:p>
    <w:p w14:paraId="2BF0D2A7" w14:textId="425B5467" w:rsidR="0096565A" w:rsidRPr="00A54D04" w:rsidRDefault="0096565A" w:rsidP="00E25281">
      <w:pPr>
        <w:pStyle w:val="ListBullet"/>
        <w:sectPr w:rsidR="0096565A" w:rsidRPr="00A54D04" w:rsidSect="00703C67">
          <w:headerReference w:type="even" r:id="rId69"/>
          <w:headerReference w:type="default" r:id="rId70"/>
          <w:footerReference w:type="default" r:id="rId71"/>
          <w:headerReference w:type="first" r:id="rId72"/>
          <w:pgSz w:w="11906" w:h="16838" w:code="9"/>
          <w:pgMar w:top="1134" w:right="1134" w:bottom="1134" w:left="1134" w:header="709" w:footer="692" w:gutter="0"/>
          <w:cols w:space="708"/>
          <w:docGrid w:linePitch="360"/>
        </w:sectPr>
      </w:pPr>
      <w:r w:rsidRPr="00A54D04">
        <w:t>accident towing, storage and salvage fees in areas outside the Melbourne controlled area.</w:t>
      </w:r>
    </w:p>
    <w:p w14:paraId="2A485F98" w14:textId="44D408E5" w:rsidR="001C750A" w:rsidRPr="00A54D04" w:rsidRDefault="006A6113" w:rsidP="0000634B">
      <w:pPr>
        <w:pStyle w:val="Heading1"/>
      </w:pPr>
      <w:bookmarkStart w:id="255" w:name="_Toc199231587"/>
      <w:r w:rsidRPr="00A54D04">
        <w:lastRenderedPageBreak/>
        <w:t xml:space="preserve">Appendix </w:t>
      </w:r>
      <w:r w:rsidR="008E0CB3">
        <w:t>B</w:t>
      </w:r>
      <w:r w:rsidR="0000634B" w:rsidRPr="00A54D04">
        <w:t xml:space="preserve">: </w:t>
      </w:r>
      <w:r w:rsidRPr="00A54D04">
        <w:t xml:space="preserve">Regulated </w:t>
      </w:r>
      <w:r w:rsidR="00341F01" w:rsidRPr="00A54D04">
        <w:t>accident towing fees</w:t>
      </w:r>
      <w:r w:rsidR="0000634B" w:rsidRPr="00A54D04">
        <w:t xml:space="preserve"> </w:t>
      </w:r>
      <w:r w:rsidR="005D7651" w:rsidRPr="00A54D04">
        <w:t>benchmarking analysis</w:t>
      </w:r>
      <w:bookmarkEnd w:id="255"/>
    </w:p>
    <w:p w14:paraId="3139C417" w14:textId="1FA57721" w:rsidR="00210E57" w:rsidRPr="00A54D04" w:rsidRDefault="00210E57" w:rsidP="00210E57">
      <w:r w:rsidRPr="00A54D04">
        <w:t>We considered a range of benchmarks for regulated accident towing fees in the Melbourne controlled area including</w:t>
      </w:r>
      <w:r w:rsidR="00D3667D">
        <w:t>:</w:t>
      </w:r>
      <w:r w:rsidR="00D3667D">
        <w:rPr>
          <w:rStyle w:val="FootnoteReference"/>
        </w:rPr>
        <w:footnoteReference w:id="68"/>
      </w:r>
    </w:p>
    <w:p w14:paraId="10247196" w14:textId="015DB35D" w:rsidR="00210E57" w:rsidRPr="00A54D04" w:rsidRDefault="00BE29D4" w:rsidP="00210E57">
      <w:pPr>
        <w:pStyle w:val="ListBullet"/>
      </w:pPr>
      <w:r>
        <w:t>r</w:t>
      </w:r>
      <w:r w:rsidR="00210E57" w:rsidRPr="00A54D04">
        <w:t>egulated accident towing fees in four other Australian jurisdictions: New South Wales (Sydney), South Australia (Adelaide),</w:t>
      </w:r>
      <w:r w:rsidR="00594190" w:rsidRPr="00A54D04">
        <w:t xml:space="preserve"> </w:t>
      </w:r>
      <w:r w:rsidR="00210E57" w:rsidRPr="00A54D04">
        <w:t>Queensland and Western Australia (Perth)</w:t>
      </w:r>
    </w:p>
    <w:p w14:paraId="6126490E" w14:textId="335A73A9" w:rsidR="00210E57" w:rsidRPr="00A54D04" w:rsidRDefault="00BE29D4" w:rsidP="00210E57">
      <w:pPr>
        <w:pStyle w:val="ListBullet"/>
      </w:pPr>
      <w:r>
        <w:t>u</w:t>
      </w:r>
      <w:r w:rsidR="00210E57" w:rsidRPr="00A54D04">
        <w:t>nregulated trade towing fees in Melbourne: breakdown towing, abandoned (or derelict) vehicle towing and clearway towing.</w:t>
      </w:r>
    </w:p>
    <w:p w14:paraId="14CD7575" w14:textId="2710F996" w:rsidR="00210E57" w:rsidRPr="00A54D04" w:rsidRDefault="00210E57" w:rsidP="00210E57">
      <w:r w:rsidRPr="00A54D04">
        <w:t xml:space="preserve">Our analysis of towing fees is explained in detail in this appendix. </w:t>
      </w:r>
    </w:p>
    <w:p w14:paraId="291FB50A" w14:textId="230B0619" w:rsidR="00210E57" w:rsidRPr="00A54D04" w:rsidRDefault="00210E57" w:rsidP="00210E57">
      <w:pPr>
        <w:pStyle w:val="Heading2"/>
      </w:pPr>
      <w:bookmarkStart w:id="256" w:name="_Toc184041472"/>
      <w:bookmarkStart w:id="257" w:name="_Toc185321802"/>
      <w:bookmarkStart w:id="258" w:name="_Toc190265328"/>
      <w:bookmarkStart w:id="259" w:name="_Toc195721928"/>
      <w:bookmarkStart w:id="260" w:name="_Toc197345284"/>
      <w:bookmarkStart w:id="261" w:name="_Toc197942453"/>
      <w:bookmarkStart w:id="262" w:name="_Toc197977726"/>
      <w:bookmarkStart w:id="263" w:name="_Toc198048715"/>
      <w:bookmarkStart w:id="264" w:name="_Toc199231588"/>
      <w:r w:rsidRPr="00A54D04">
        <w:t xml:space="preserve">Regulated </w:t>
      </w:r>
      <w:r w:rsidR="00EE4750">
        <w:t xml:space="preserve">accident </w:t>
      </w:r>
      <w:r w:rsidRPr="00A54D04">
        <w:t xml:space="preserve">towing fees </w:t>
      </w:r>
      <w:r w:rsidR="00111E94" w:rsidRPr="00A54D04">
        <w:t xml:space="preserve">are </w:t>
      </w:r>
      <w:r w:rsidR="00AB5414" w:rsidRPr="00A54D04">
        <w:t xml:space="preserve">broadly </w:t>
      </w:r>
      <w:r w:rsidR="00111E94" w:rsidRPr="00A54D04">
        <w:t xml:space="preserve">similar </w:t>
      </w:r>
      <w:r w:rsidRPr="00A54D04">
        <w:t>in other jurisdictions</w:t>
      </w:r>
      <w:bookmarkEnd w:id="256"/>
      <w:bookmarkEnd w:id="257"/>
      <w:bookmarkEnd w:id="258"/>
      <w:bookmarkEnd w:id="259"/>
      <w:bookmarkEnd w:id="260"/>
      <w:bookmarkEnd w:id="261"/>
      <w:bookmarkEnd w:id="262"/>
      <w:bookmarkEnd w:id="263"/>
      <w:bookmarkEnd w:id="264"/>
    </w:p>
    <w:p w14:paraId="40710890" w14:textId="3F25964C" w:rsidR="00210E57" w:rsidRPr="00A54D04" w:rsidRDefault="00210E57" w:rsidP="00210E57">
      <w:r w:rsidRPr="00A54D04">
        <w:t xml:space="preserve">We compared regulated </w:t>
      </w:r>
      <w:r w:rsidR="00797886">
        <w:t xml:space="preserve">accident </w:t>
      </w:r>
      <w:r w:rsidRPr="00A54D04">
        <w:t xml:space="preserve">towing fees in the Melbourne controlled area with regulated </w:t>
      </w:r>
      <w:r w:rsidR="00797886">
        <w:t xml:space="preserve">accident </w:t>
      </w:r>
      <w:r w:rsidRPr="00A54D04">
        <w:t>towing fees in New South Wales (Sydney), South Australia (Adelaide), Queensland and Western Australia (Perth). The regulated fees for these jurisdictions are shown in Table 1</w:t>
      </w:r>
      <w:r w:rsidR="008C3EBA" w:rsidRPr="00A54D04">
        <w:t>1</w:t>
      </w:r>
      <w:r w:rsidRPr="00A54D04">
        <w:t xml:space="preserve">. </w:t>
      </w:r>
    </w:p>
    <w:p w14:paraId="53369E2A" w14:textId="77777777" w:rsidR="00680D98" w:rsidRDefault="00210E57" w:rsidP="00210E57">
      <w:r w:rsidRPr="00A54D04">
        <w:t xml:space="preserve">We did not include the regulated </w:t>
      </w:r>
      <w:r w:rsidR="00797886">
        <w:t xml:space="preserve">accident </w:t>
      </w:r>
      <w:r w:rsidRPr="00A54D04">
        <w:t>towing fees for non-metropolitan areas of New South Wales as we do not consider these fees to be relevant to the Melbourne controlled area.</w:t>
      </w:r>
    </w:p>
    <w:p w14:paraId="4B62648A" w14:textId="3013E134" w:rsidR="00210E57" w:rsidRPr="00A54D04" w:rsidRDefault="00210E57" w:rsidP="00210E57">
      <w:r w:rsidRPr="00A54D04">
        <w:t xml:space="preserve">We also note that the regulated </w:t>
      </w:r>
      <w:r w:rsidR="00797886">
        <w:t xml:space="preserve">accident </w:t>
      </w:r>
      <w:r w:rsidRPr="00A54D04">
        <w:t xml:space="preserve">towing fees in Queensland apply to both metropolitan and regional areas. This differs from Melbourne where the regulated </w:t>
      </w:r>
      <w:r w:rsidR="00797886">
        <w:t xml:space="preserve">accident </w:t>
      </w:r>
      <w:r w:rsidRPr="00A54D04">
        <w:t xml:space="preserve">towing fees apply to the metropolitan area only. </w:t>
      </w:r>
    </w:p>
    <w:p w14:paraId="50AF0105" w14:textId="5499040D" w:rsidR="001272B9" w:rsidRPr="00A54D04" w:rsidRDefault="00210E57">
      <w:pPr>
        <w:pStyle w:val="Figure-Table-BoxHeading"/>
        <w:keepNext/>
        <w:keepLines/>
        <w:numPr>
          <w:ilvl w:val="0"/>
          <w:numId w:val="0"/>
        </w:numPr>
        <w:spacing w:before="0" w:after="0"/>
        <w:rPr>
          <w:lang w:val="en-AU"/>
        </w:rPr>
      </w:pPr>
      <w:r w:rsidRPr="00A54D04">
        <w:rPr>
          <w:lang w:val="en-AU"/>
        </w:rPr>
        <w:lastRenderedPageBreak/>
        <w:t>Table 1</w:t>
      </w:r>
      <w:r w:rsidR="008C3EBA" w:rsidRPr="00A54D04">
        <w:rPr>
          <w:lang w:val="en-AU"/>
        </w:rPr>
        <w:t>1</w:t>
      </w:r>
      <w:r w:rsidRPr="00A54D04">
        <w:rPr>
          <w:lang w:val="en-AU"/>
        </w:rPr>
        <w:t>. Published regulated accident towing fees by jurisdiction</w:t>
      </w:r>
      <w:r w:rsidR="001272B9" w:rsidRPr="00A54D04">
        <w:rPr>
          <w:lang w:val="en-AU"/>
        </w:rPr>
        <w:t xml:space="preserve"> (2024–25)</w:t>
      </w:r>
    </w:p>
    <w:tbl>
      <w:tblPr>
        <w:tblStyle w:val="TableGrid"/>
        <w:tblW w:w="0" w:type="auto"/>
        <w:tblLook w:val="04A0" w:firstRow="1" w:lastRow="0" w:firstColumn="1" w:lastColumn="0" w:noHBand="0" w:noVBand="1"/>
      </w:tblPr>
      <w:tblGrid>
        <w:gridCol w:w="2113"/>
        <w:gridCol w:w="1574"/>
        <w:gridCol w:w="1487"/>
        <w:gridCol w:w="1488"/>
        <w:gridCol w:w="1488"/>
        <w:gridCol w:w="1488"/>
      </w:tblGrid>
      <w:tr w:rsidR="00210E57" w:rsidRPr="00A54D04" w14:paraId="451B8456" w14:textId="77777777">
        <w:trPr>
          <w:cnfStyle w:val="100000000000" w:firstRow="1" w:lastRow="0" w:firstColumn="0" w:lastColumn="0" w:oddVBand="0" w:evenVBand="0" w:oddHBand="0" w:evenHBand="0" w:firstRowFirstColumn="0" w:firstRowLastColumn="0" w:lastRowFirstColumn="0" w:lastRowLastColumn="0"/>
        </w:trPr>
        <w:tc>
          <w:tcPr>
            <w:tcW w:w="2113" w:type="dxa"/>
          </w:tcPr>
          <w:p w14:paraId="5E8D6780" w14:textId="77777777" w:rsidR="00210E57" w:rsidRPr="00A54D04" w:rsidRDefault="00210E57">
            <w:pPr>
              <w:pStyle w:val="TableHeading"/>
              <w:keepNext/>
              <w:keepLines/>
            </w:pPr>
          </w:p>
        </w:tc>
        <w:tc>
          <w:tcPr>
            <w:tcW w:w="1574" w:type="dxa"/>
          </w:tcPr>
          <w:p w14:paraId="71C8894A" w14:textId="77777777" w:rsidR="00210E57" w:rsidRPr="00A54D04" w:rsidRDefault="00210E57">
            <w:pPr>
              <w:pStyle w:val="TableHeading"/>
              <w:keepNext/>
              <w:keepLines/>
              <w:jc w:val="right"/>
            </w:pPr>
            <w:r w:rsidRPr="00A54D04">
              <w:t>Melbourne controlled area</w:t>
            </w:r>
          </w:p>
        </w:tc>
        <w:tc>
          <w:tcPr>
            <w:tcW w:w="1487" w:type="dxa"/>
          </w:tcPr>
          <w:p w14:paraId="3547DC63" w14:textId="77777777" w:rsidR="00210E57" w:rsidRPr="00A54D04" w:rsidRDefault="00210E57">
            <w:pPr>
              <w:pStyle w:val="TableHeading"/>
              <w:keepNext/>
              <w:keepLines/>
              <w:jc w:val="right"/>
            </w:pPr>
            <w:r w:rsidRPr="00A54D04">
              <w:t>Sydney</w:t>
            </w:r>
          </w:p>
        </w:tc>
        <w:tc>
          <w:tcPr>
            <w:tcW w:w="1488" w:type="dxa"/>
          </w:tcPr>
          <w:p w14:paraId="20DE8939" w14:textId="77777777" w:rsidR="00210E57" w:rsidRPr="00A54D04" w:rsidRDefault="00210E57">
            <w:pPr>
              <w:pStyle w:val="TableHeading"/>
              <w:keepNext/>
              <w:keepLines/>
              <w:jc w:val="right"/>
            </w:pPr>
            <w:r w:rsidRPr="00A54D04">
              <w:t>Adelaide</w:t>
            </w:r>
          </w:p>
        </w:tc>
        <w:tc>
          <w:tcPr>
            <w:tcW w:w="1488" w:type="dxa"/>
          </w:tcPr>
          <w:p w14:paraId="14431F95" w14:textId="77777777" w:rsidR="00210E57" w:rsidRPr="00A54D04" w:rsidRDefault="00210E57">
            <w:pPr>
              <w:pStyle w:val="TableHeading"/>
              <w:keepNext/>
              <w:keepLines/>
              <w:jc w:val="right"/>
            </w:pPr>
            <w:r w:rsidRPr="00A54D04">
              <w:t>Queensland</w:t>
            </w:r>
          </w:p>
        </w:tc>
        <w:tc>
          <w:tcPr>
            <w:tcW w:w="1488" w:type="dxa"/>
          </w:tcPr>
          <w:p w14:paraId="6E1F62BB" w14:textId="77777777" w:rsidR="00210E57" w:rsidRPr="00A54D04" w:rsidRDefault="00210E57">
            <w:pPr>
              <w:pStyle w:val="TableHeading"/>
              <w:keepNext/>
              <w:keepLines/>
              <w:jc w:val="right"/>
            </w:pPr>
            <w:r w:rsidRPr="00A54D04">
              <w:t>Perth</w:t>
            </w:r>
          </w:p>
        </w:tc>
      </w:tr>
      <w:tr w:rsidR="00210E57" w:rsidRPr="00A54D04" w14:paraId="706A62C0" w14:textId="77777777">
        <w:trPr>
          <w:cnfStyle w:val="000000100000" w:firstRow="0" w:lastRow="0" w:firstColumn="0" w:lastColumn="0" w:oddVBand="0" w:evenVBand="0" w:oddHBand="1" w:evenHBand="0" w:firstRowFirstColumn="0" w:firstRowLastColumn="0" w:lastRowFirstColumn="0" w:lastRowLastColumn="0"/>
        </w:trPr>
        <w:tc>
          <w:tcPr>
            <w:tcW w:w="2113" w:type="dxa"/>
          </w:tcPr>
          <w:p w14:paraId="4BB0C05E" w14:textId="77777777" w:rsidR="00210E57" w:rsidRPr="00A54D04" w:rsidRDefault="00210E57">
            <w:pPr>
              <w:pStyle w:val="TableBody"/>
              <w:keepNext/>
              <w:keepLines/>
              <w:rPr>
                <w:b/>
                <w:bCs/>
              </w:rPr>
            </w:pPr>
            <w:r w:rsidRPr="00A54D04">
              <w:rPr>
                <w:b/>
                <w:bCs/>
              </w:rPr>
              <w:t>Base fee</w:t>
            </w:r>
          </w:p>
        </w:tc>
        <w:tc>
          <w:tcPr>
            <w:tcW w:w="1574" w:type="dxa"/>
          </w:tcPr>
          <w:p w14:paraId="56D0A9EB" w14:textId="77777777" w:rsidR="00210E57" w:rsidRPr="00A54D04" w:rsidRDefault="00210E57">
            <w:pPr>
              <w:pStyle w:val="TableBody"/>
              <w:keepNext/>
              <w:keepLines/>
              <w:jc w:val="right"/>
            </w:pPr>
          </w:p>
        </w:tc>
        <w:tc>
          <w:tcPr>
            <w:tcW w:w="1487" w:type="dxa"/>
          </w:tcPr>
          <w:p w14:paraId="1E13790F" w14:textId="77777777" w:rsidR="00210E57" w:rsidRPr="00A54D04" w:rsidRDefault="00210E57">
            <w:pPr>
              <w:pStyle w:val="TableBody"/>
              <w:keepNext/>
              <w:keepLines/>
              <w:jc w:val="right"/>
            </w:pPr>
          </w:p>
        </w:tc>
        <w:tc>
          <w:tcPr>
            <w:tcW w:w="1488" w:type="dxa"/>
          </w:tcPr>
          <w:p w14:paraId="6C18025F" w14:textId="77777777" w:rsidR="00210E57" w:rsidRPr="00A54D04" w:rsidRDefault="00210E57">
            <w:pPr>
              <w:pStyle w:val="TableBody"/>
              <w:keepNext/>
              <w:keepLines/>
              <w:jc w:val="right"/>
            </w:pPr>
          </w:p>
        </w:tc>
        <w:tc>
          <w:tcPr>
            <w:tcW w:w="1488" w:type="dxa"/>
          </w:tcPr>
          <w:p w14:paraId="701FF31D" w14:textId="77777777" w:rsidR="00210E57" w:rsidRPr="00A54D04" w:rsidRDefault="00210E57">
            <w:pPr>
              <w:pStyle w:val="TableBody"/>
              <w:keepNext/>
              <w:keepLines/>
              <w:jc w:val="right"/>
            </w:pPr>
          </w:p>
        </w:tc>
        <w:tc>
          <w:tcPr>
            <w:tcW w:w="1488" w:type="dxa"/>
          </w:tcPr>
          <w:p w14:paraId="14BEA270" w14:textId="77777777" w:rsidR="00210E57" w:rsidRPr="00A54D04" w:rsidRDefault="00210E57">
            <w:pPr>
              <w:pStyle w:val="TableBody"/>
              <w:keepNext/>
              <w:keepLines/>
              <w:jc w:val="right"/>
            </w:pPr>
          </w:p>
        </w:tc>
      </w:tr>
      <w:tr w:rsidR="00210E57" w:rsidRPr="00A54D04" w14:paraId="055635C0" w14:textId="77777777">
        <w:trPr>
          <w:cnfStyle w:val="000000010000" w:firstRow="0" w:lastRow="0" w:firstColumn="0" w:lastColumn="0" w:oddVBand="0" w:evenVBand="0" w:oddHBand="0" w:evenHBand="1" w:firstRowFirstColumn="0" w:firstRowLastColumn="0" w:lastRowFirstColumn="0" w:lastRowLastColumn="0"/>
        </w:trPr>
        <w:tc>
          <w:tcPr>
            <w:tcW w:w="2113" w:type="dxa"/>
          </w:tcPr>
          <w:p w14:paraId="3C5B4534" w14:textId="77777777" w:rsidR="00210E57" w:rsidRPr="00A54D04" w:rsidRDefault="00210E57">
            <w:pPr>
              <w:pStyle w:val="TableBody"/>
              <w:keepNext/>
              <w:keepLines/>
              <w:ind w:left="284"/>
            </w:pPr>
            <w:r w:rsidRPr="00A54D04">
              <w:t>Business hours</w:t>
            </w:r>
          </w:p>
        </w:tc>
        <w:tc>
          <w:tcPr>
            <w:tcW w:w="1574" w:type="dxa"/>
          </w:tcPr>
          <w:p w14:paraId="147AB3A2" w14:textId="77777777" w:rsidR="00210E57" w:rsidRPr="00A54D04" w:rsidRDefault="00210E57">
            <w:pPr>
              <w:pStyle w:val="TableBody"/>
              <w:keepNext/>
              <w:keepLines/>
              <w:jc w:val="right"/>
            </w:pPr>
            <w:r w:rsidRPr="00A54D04">
              <w:t>$272.80</w:t>
            </w:r>
          </w:p>
        </w:tc>
        <w:tc>
          <w:tcPr>
            <w:tcW w:w="1487" w:type="dxa"/>
          </w:tcPr>
          <w:p w14:paraId="424A1C3A" w14:textId="77777777" w:rsidR="00210E57" w:rsidRPr="00A54D04" w:rsidRDefault="00210E57">
            <w:pPr>
              <w:pStyle w:val="TableBody"/>
              <w:keepNext/>
              <w:keepLines/>
              <w:jc w:val="right"/>
            </w:pPr>
            <w:r w:rsidRPr="00A54D04">
              <w:t>$331.10</w:t>
            </w:r>
          </w:p>
        </w:tc>
        <w:tc>
          <w:tcPr>
            <w:tcW w:w="1488" w:type="dxa"/>
          </w:tcPr>
          <w:p w14:paraId="3029B6C3" w14:textId="77777777" w:rsidR="00210E57" w:rsidRPr="00A54D04" w:rsidRDefault="00210E57">
            <w:pPr>
              <w:pStyle w:val="TableBody"/>
              <w:keepNext/>
              <w:keepLines/>
              <w:jc w:val="right"/>
            </w:pPr>
            <w:r w:rsidRPr="00A54D04">
              <w:t>$375.00</w:t>
            </w:r>
          </w:p>
        </w:tc>
        <w:tc>
          <w:tcPr>
            <w:tcW w:w="1488" w:type="dxa"/>
          </w:tcPr>
          <w:p w14:paraId="4B551A93" w14:textId="77777777" w:rsidR="00210E57" w:rsidRPr="00A54D04" w:rsidRDefault="00210E57">
            <w:pPr>
              <w:pStyle w:val="TableBody"/>
              <w:keepNext/>
              <w:keepLines/>
              <w:jc w:val="right"/>
            </w:pPr>
            <w:r w:rsidRPr="00A54D04">
              <w:t>$419.05</w:t>
            </w:r>
          </w:p>
        </w:tc>
        <w:tc>
          <w:tcPr>
            <w:tcW w:w="1488" w:type="dxa"/>
          </w:tcPr>
          <w:p w14:paraId="1AE95B09" w14:textId="5002F596" w:rsidR="00210E57" w:rsidRPr="00A54D04" w:rsidRDefault="00210E57">
            <w:pPr>
              <w:pStyle w:val="TableBody"/>
              <w:keepNext/>
              <w:keepLines/>
              <w:jc w:val="right"/>
            </w:pPr>
            <w:r w:rsidRPr="00A54D04">
              <w:t>$485</w:t>
            </w:r>
            <w:r w:rsidR="004E42A7" w:rsidRPr="00A54D04">
              <w:t>.00</w:t>
            </w:r>
          </w:p>
        </w:tc>
      </w:tr>
      <w:tr w:rsidR="00210E57" w:rsidRPr="00A54D04" w14:paraId="2D173F3F" w14:textId="77777777">
        <w:trPr>
          <w:cnfStyle w:val="000000100000" w:firstRow="0" w:lastRow="0" w:firstColumn="0" w:lastColumn="0" w:oddVBand="0" w:evenVBand="0" w:oddHBand="1" w:evenHBand="0" w:firstRowFirstColumn="0" w:firstRowLastColumn="0" w:lastRowFirstColumn="0" w:lastRowLastColumn="0"/>
        </w:trPr>
        <w:tc>
          <w:tcPr>
            <w:tcW w:w="2113" w:type="dxa"/>
          </w:tcPr>
          <w:p w14:paraId="5758B32E" w14:textId="77777777" w:rsidR="00210E57" w:rsidRPr="00A54D04" w:rsidRDefault="00210E57">
            <w:pPr>
              <w:pStyle w:val="TableBody"/>
              <w:keepNext/>
              <w:keepLines/>
              <w:ind w:left="284"/>
            </w:pPr>
            <w:r w:rsidRPr="00A54D04">
              <w:t>After hours surcharge</w:t>
            </w:r>
          </w:p>
        </w:tc>
        <w:tc>
          <w:tcPr>
            <w:tcW w:w="1574" w:type="dxa"/>
          </w:tcPr>
          <w:p w14:paraId="00DEE0E7" w14:textId="77777777" w:rsidR="00210E57" w:rsidRPr="00A54D04" w:rsidRDefault="00210E57">
            <w:pPr>
              <w:pStyle w:val="TableBody"/>
              <w:keepNext/>
              <w:keepLines/>
              <w:jc w:val="right"/>
            </w:pPr>
            <w:r w:rsidRPr="00A54D04">
              <w:t>$93.10</w:t>
            </w:r>
          </w:p>
        </w:tc>
        <w:tc>
          <w:tcPr>
            <w:tcW w:w="1487" w:type="dxa"/>
          </w:tcPr>
          <w:p w14:paraId="0166B4B2" w14:textId="77777777" w:rsidR="00210E57" w:rsidRPr="00A54D04" w:rsidRDefault="00210E57">
            <w:pPr>
              <w:pStyle w:val="TableBody"/>
              <w:keepNext/>
              <w:keepLines/>
              <w:jc w:val="right"/>
            </w:pPr>
            <w:r w:rsidRPr="00A54D04">
              <w:t>20%</w:t>
            </w:r>
          </w:p>
        </w:tc>
        <w:tc>
          <w:tcPr>
            <w:tcW w:w="1488" w:type="dxa"/>
          </w:tcPr>
          <w:p w14:paraId="5C2EBBAC" w14:textId="77777777" w:rsidR="00210E57" w:rsidRPr="00A54D04" w:rsidRDefault="00210E57">
            <w:pPr>
              <w:pStyle w:val="TableBody"/>
              <w:keepNext/>
              <w:keepLines/>
              <w:jc w:val="right"/>
            </w:pPr>
            <w:r w:rsidRPr="00A54D04">
              <w:t>$66.00</w:t>
            </w:r>
          </w:p>
        </w:tc>
        <w:tc>
          <w:tcPr>
            <w:tcW w:w="1488" w:type="dxa"/>
          </w:tcPr>
          <w:p w14:paraId="07E2A4DE" w14:textId="77777777" w:rsidR="00210E57" w:rsidRPr="00A54D04" w:rsidRDefault="00210E57">
            <w:pPr>
              <w:pStyle w:val="TableBody"/>
              <w:keepNext/>
              <w:keepLines/>
              <w:jc w:val="right"/>
            </w:pPr>
            <w:r w:rsidRPr="00A54D04">
              <w:t>Not applicable</w:t>
            </w:r>
          </w:p>
        </w:tc>
        <w:tc>
          <w:tcPr>
            <w:tcW w:w="1488" w:type="dxa"/>
          </w:tcPr>
          <w:p w14:paraId="1CDB88AE" w14:textId="6196A4E1" w:rsidR="00210E57" w:rsidRPr="00A54D04" w:rsidRDefault="00210E57">
            <w:pPr>
              <w:pStyle w:val="TableBody"/>
              <w:keepNext/>
              <w:keepLines/>
              <w:jc w:val="right"/>
            </w:pPr>
            <w:r w:rsidRPr="00A54D04">
              <w:t>$138</w:t>
            </w:r>
            <w:r w:rsidR="004E42A7" w:rsidRPr="00A54D04">
              <w:t>.00</w:t>
            </w:r>
          </w:p>
        </w:tc>
      </w:tr>
      <w:tr w:rsidR="00210E57" w:rsidRPr="00A54D04" w14:paraId="16094897" w14:textId="77777777">
        <w:trPr>
          <w:cnfStyle w:val="000000010000" w:firstRow="0" w:lastRow="0" w:firstColumn="0" w:lastColumn="0" w:oddVBand="0" w:evenVBand="0" w:oddHBand="0" w:evenHBand="1" w:firstRowFirstColumn="0" w:firstRowLastColumn="0" w:lastRowFirstColumn="0" w:lastRowLastColumn="0"/>
        </w:trPr>
        <w:tc>
          <w:tcPr>
            <w:tcW w:w="2113" w:type="dxa"/>
          </w:tcPr>
          <w:p w14:paraId="6FE22B07" w14:textId="77777777" w:rsidR="00210E57" w:rsidRPr="00A54D04" w:rsidRDefault="00210E57">
            <w:pPr>
              <w:pStyle w:val="TableBody"/>
              <w:keepNext/>
              <w:keepLines/>
              <w:rPr>
                <w:i/>
                <w:iCs/>
              </w:rPr>
            </w:pPr>
            <w:r w:rsidRPr="00A54D04">
              <w:rPr>
                <w:i/>
                <w:iCs/>
              </w:rPr>
              <w:t>Included in base fee</w:t>
            </w:r>
          </w:p>
        </w:tc>
        <w:tc>
          <w:tcPr>
            <w:tcW w:w="1574" w:type="dxa"/>
          </w:tcPr>
          <w:p w14:paraId="52998EE6" w14:textId="77777777" w:rsidR="00210E57" w:rsidRPr="00A54D04" w:rsidRDefault="00210E57">
            <w:pPr>
              <w:pStyle w:val="TableBody"/>
              <w:keepNext/>
              <w:keepLines/>
              <w:jc w:val="right"/>
            </w:pPr>
          </w:p>
        </w:tc>
        <w:tc>
          <w:tcPr>
            <w:tcW w:w="1487" w:type="dxa"/>
          </w:tcPr>
          <w:p w14:paraId="680BE1FF" w14:textId="77777777" w:rsidR="00210E57" w:rsidRPr="00A54D04" w:rsidRDefault="00210E57">
            <w:pPr>
              <w:pStyle w:val="TableBody"/>
              <w:keepNext/>
              <w:keepLines/>
              <w:jc w:val="right"/>
            </w:pPr>
          </w:p>
        </w:tc>
        <w:tc>
          <w:tcPr>
            <w:tcW w:w="1488" w:type="dxa"/>
          </w:tcPr>
          <w:p w14:paraId="2AE9E8AD" w14:textId="77777777" w:rsidR="00210E57" w:rsidRPr="00A54D04" w:rsidRDefault="00210E57">
            <w:pPr>
              <w:pStyle w:val="TableBody"/>
              <w:keepNext/>
              <w:keepLines/>
              <w:jc w:val="right"/>
            </w:pPr>
          </w:p>
        </w:tc>
        <w:tc>
          <w:tcPr>
            <w:tcW w:w="1488" w:type="dxa"/>
          </w:tcPr>
          <w:p w14:paraId="6A90040B" w14:textId="77777777" w:rsidR="00210E57" w:rsidRPr="00A54D04" w:rsidRDefault="00210E57">
            <w:pPr>
              <w:pStyle w:val="TableBody"/>
              <w:keepNext/>
              <w:keepLines/>
              <w:jc w:val="right"/>
            </w:pPr>
          </w:p>
        </w:tc>
        <w:tc>
          <w:tcPr>
            <w:tcW w:w="1488" w:type="dxa"/>
          </w:tcPr>
          <w:p w14:paraId="31F819FA" w14:textId="77777777" w:rsidR="00210E57" w:rsidRPr="00A54D04" w:rsidRDefault="00210E57">
            <w:pPr>
              <w:pStyle w:val="TableBody"/>
              <w:keepNext/>
              <w:keepLines/>
              <w:jc w:val="right"/>
            </w:pPr>
          </w:p>
        </w:tc>
      </w:tr>
      <w:tr w:rsidR="00210E57" w:rsidRPr="00A54D04" w14:paraId="37736C7A" w14:textId="77777777">
        <w:trPr>
          <w:cnfStyle w:val="000000100000" w:firstRow="0" w:lastRow="0" w:firstColumn="0" w:lastColumn="0" w:oddVBand="0" w:evenVBand="0" w:oddHBand="1" w:evenHBand="0" w:firstRowFirstColumn="0" w:firstRowLastColumn="0" w:lastRowFirstColumn="0" w:lastRowLastColumn="0"/>
        </w:trPr>
        <w:tc>
          <w:tcPr>
            <w:tcW w:w="2113" w:type="dxa"/>
          </w:tcPr>
          <w:p w14:paraId="7D32883E" w14:textId="77777777" w:rsidR="00210E57" w:rsidRPr="00A54D04" w:rsidRDefault="00210E57">
            <w:pPr>
              <w:pStyle w:val="TableBody"/>
              <w:keepNext/>
              <w:keepLines/>
              <w:ind w:left="284"/>
            </w:pPr>
            <w:r w:rsidRPr="00A54D04">
              <w:t>Distance</w:t>
            </w:r>
          </w:p>
        </w:tc>
        <w:tc>
          <w:tcPr>
            <w:tcW w:w="1574" w:type="dxa"/>
          </w:tcPr>
          <w:p w14:paraId="16A1A5FE" w14:textId="77777777" w:rsidR="00210E57" w:rsidRPr="00A54D04" w:rsidRDefault="00210E57">
            <w:pPr>
              <w:pStyle w:val="TableBody"/>
              <w:keepNext/>
              <w:keepLines/>
              <w:jc w:val="right"/>
            </w:pPr>
            <w:r w:rsidRPr="00A54D04">
              <w:t>8 km</w:t>
            </w:r>
          </w:p>
        </w:tc>
        <w:tc>
          <w:tcPr>
            <w:tcW w:w="1487" w:type="dxa"/>
          </w:tcPr>
          <w:p w14:paraId="5269B14D" w14:textId="77777777" w:rsidR="00210E57" w:rsidRPr="00A54D04" w:rsidRDefault="00210E57">
            <w:pPr>
              <w:pStyle w:val="TableBody"/>
              <w:keepNext/>
              <w:keepLines/>
              <w:jc w:val="right"/>
            </w:pPr>
            <w:r w:rsidRPr="00A54D04">
              <w:t>10 km</w:t>
            </w:r>
          </w:p>
        </w:tc>
        <w:tc>
          <w:tcPr>
            <w:tcW w:w="1488" w:type="dxa"/>
          </w:tcPr>
          <w:p w14:paraId="3BC3C15F" w14:textId="77777777" w:rsidR="00210E57" w:rsidRPr="00A54D04" w:rsidRDefault="00210E57">
            <w:pPr>
              <w:pStyle w:val="TableBody"/>
              <w:keepNext/>
              <w:keepLines/>
              <w:jc w:val="right"/>
            </w:pPr>
            <w:r w:rsidRPr="00A54D04">
              <w:t>20 km</w:t>
            </w:r>
          </w:p>
        </w:tc>
        <w:tc>
          <w:tcPr>
            <w:tcW w:w="1488" w:type="dxa"/>
          </w:tcPr>
          <w:p w14:paraId="5FDE30A7" w14:textId="77777777" w:rsidR="00210E57" w:rsidRPr="00A54D04" w:rsidRDefault="00210E57">
            <w:pPr>
              <w:pStyle w:val="TableBody"/>
              <w:keepNext/>
              <w:keepLines/>
              <w:jc w:val="right"/>
            </w:pPr>
            <w:r w:rsidRPr="00A54D04">
              <w:t>50 km</w:t>
            </w:r>
          </w:p>
        </w:tc>
        <w:tc>
          <w:tcPr>
            <w:tcW w:w="1488" w:type="dxa"/>
          </w:tcPr>
          <w:p w14:paraId="69FD5A05" w14:textId="4BD793A4" w:rsidR="00210E57" w:rsidRPr="00A54D04" w:rsidRDefault="00210E57">
            <w:pPr>
              <w:pStyle w:val="TableBody"/>
              <w:keepNext/>
              <w:keepLines/>
              <w:jc w:val="right"/>
            </w:pPr>
            <w:r w:rsidRPr="00A54D04">
              <w:t>50</w:t>
            </w:r>
            <w:r w:rsidR="001F0A7B" w:rsidRPr="00A54D04">
              <w:t xml:space="preserve"> </w:t>
            </w:r>
            <w:r w:rsidRPr="00A54D04">
              <w:t>km</w:t>
            </w:r>
          </w:p>
        </w:tc>
      </w:tr>
      <w:tr w:rsidR="00210E57" w:rsidRPr="00A54D04" w14:paraId="23901682" w14:textId="77777777">
        <w:trPr>
          <w:cnfStyle w:val="000000010000" w:firstRow="0" w:lastRow="0" w:firstColumn="0" w:lastColumn="0" w:oddVBand="0" w:evenVBand="0" w:oddHBand="0" w:evenHBand="1" w:firstRowFirstColumn="0" w:firstRowLastColumn="0" w:lastRowFirstColumn="0" w:lastRowLastColumn="0"/>
        </w:trPr>
        <w:tc>
          <w:tcPr>
            <w:tcW w:w="2113" w:type="dxa"/>
          </w:tcPr>
          <w:p w14:paraId="6215450E" w14:textId="77777777" w:rsidR="00210E57" w:rsidRPr="00A54D04" w:rsidRDefault="00210E57">
            <w:pPr>
              <w:pStyle w:val="TableBody"/>
              <w:keepNext/>
              <w:keepLines/>
              <w:ind w:left="284"/>
            </w:pPr>
            <w:r w:rsidRPr="00A54D04">
              <w:t>Waiting and working time</w:t>
            </w:r>
          </w:p>
        </w:tc>
        <w:tc>
          <w:tcPr>
            <w:tcW w:w="1574" w:type="dxa"/>
          </w:tcPr>
          <w:p w14:paraId="650727E3" w14:textId="77777777" w:rsidR="00210E57" w:rsidRPr="00A54D04" w:rsidRDefault="00210E57">
            <w:pPr>
              <w:pStyle w:val="TableBody"/>
              <w:keepNext/>
              <w:keepLines/>
              <w:jc w:val="right"/>
            </w:pPr>
            <w:r w:rsidRPr="00A54D04">
              <w:t>All waiting and working time</w:t>
            </w:r>
          </w:p>
        </w:tc>
        <w:tc>
          <w:tcPr>
            <w:tcW w:w="1487" w:type="dxa"/>
          </w:tcPr>
          <w:p w14:paraId="5E922EB1" w14:textId="77777777" w:rsidR="00210E57" w:rsidRPr="00A54D04" w:rsidRDefault="00210E57">
            <w:pPr>
              <w:pStyle w:val="TableBody"/>
              <w:keepNext/>
              <w:keepLines/>
              <w:jc w:val="right"/>
            </w:pPr>
            <w:r w:rsidRPr="00A54D04">
              <w:t>All waiting and working time</w:t>
            </w:r>
          </w:p>
        </w:tc>
        <w:tc>
          <w:tcPr>
            <w:tcW w:w="1488" w:type="dxa"/>
          </w:tcPr>
          <w:p w14:paraId="2916267A" w14:textId="77777777" w:rsidR="00210E57" w:rsidRPr="00A54D04" w:rsidRDefault="00210E57">
            <w:pPr>
              <w:pStyle w:val="TableBody"/>
              <w:keepNext/>
              <w:keepLines/>
              <w:jc w:val="right"/>
            </w:pPr>
            <w:r w:rsidRPr="00A54D04">
              <w:t>30 minutes waiting and working time</w:t>
            </w:r>
          </w:p>
        </w:tc>
        <w:tc>
          <w:tcPr>
            <w:tcW w:w="1488" w:type="dxa"/>
          </w:tcPr>
          <w:p w14:paraId="51CED88E" w14:textId="2847E979" w:rsidR="00210E57" w:rsidRPr="00A54D04" w:rsidRDefault="00210E57">
            <w:pPr>
              <w:pStyle w:val="TableBody"/>
              <w:keepNext/>
              <w:keepLines/>
              <w:jc w:val="right"/>
            </w:pPr>
            <w:r w:rsidRPr="00A54D04">
              <w:t xml:space="preserve">All waiting time </w:t>
            </w:r>
            <w:r w:rsidR="001F0A7B" w:rsidRPr="00A54D04">
              <w:br/>
            </w:r>
            <w:r w:rsidRPr="00A54D04">
              <w:t>60 minutes working time</w:t>
            </w:r>
          </w:p>
        </w:tc>
        <w:tc>
          <w:tcPr>
            <w:tcW w:w="1488" w:type="dxa"/>
          </w:tcPr>
          <w:p w14:paraId="0756AF4F" w14:textId="77777777" w:rsidR="00210E57" w:rsidRPr="00A54D04" w:rsidRDefault="00210E57">
            <w:pPr>
              <w:pStyle w:val="TableBody"/>
              <w:keepNext/>
              <w:keepLines/>
              <w:jc w:val="right"/>
            </w:pPr>
            <w:r w:rsidRPr="00A54D04">
              <w:t>All waiting and working time</w:t>
            </w:r>
          </w:p>
        </w:tc>
      </w:tr>
      <w:tr w:rsidR="00210E57" w:rsidRPr="00A54D04" w14:paraId="741CA724" w14:textId="77777777">
        <w:trPr>
          <w:cnfStyle w:val="000000100000" w:firstRow="0" w:lastRow="0" w:firstColumn="0" w:lastColumn="0" w:oddVBand="0" w:evenVBand="0" w:oddHBand="1" w:evenHBand="0" w:firstRowFirstColumn="0" w:firstRowLastColumn="0" w:lastRowFirstColumn="0" w:lastRowLastColumn="0"/>
        </w:trPr>
        <w:tc>
          <w:tcPr>
            <w:tcW w:w="2113" w:type="dxa"/>
          </w:tcPr>
          <w:p w14:paraId="69BC4487" w14:textId="77777777" w:rsidR="00210E57" w:rsidRPr="00A54D04" w:rsidRDefault="00210E57">
            <w:pPr>
              <w:pStyle w:val="TableBody"/>
              <w:keepNext/>
              <w:keepLines/>
              <w:ind w:left="284"/>
            </w:pPr>
            <w:r w:rsidRPr="00A54D04">
              <w:t>Salvage</w:t>
            </w:r>
          </w:p>
        </w:tc>
        <w:tc>
          <w:tcPr>
            <w:tcW w:w="1574" w:type="dxa"/>
          </w:tcPr>
          <w:p w14:paraId="769DDDEF" w14:textId="77777777" w:rsidR="00210E57" w:rsidRPr="00A54D04" w:rsidRDefault="00210E57">
            <w:pPr>
              <w:pStyle w:val="TableBody"/>
              <w:keepNext/>
              <w:keepLines/>
              <w:jc w:val="right"/>
            </w:pPr>
            <w:r w:rsidRPr="00A54D04">
              <w:t>Not included</w:t>
            </w:r>
          </w:p>
        </w:tc>
        <w:tc>
          <w:tcPr>
            <w:tcW w:w="1487" w:type="dxa"/>
          </w:tcPr>
          <w:p w14:paraId="2158136F" w14:textId="77777777" w:rsidR="00210E57" w:rsidRPr="00A54D04" w:rsidRDefault="00210E57">
            <w:pPr>
              <w:pStyle w:val="TableBody"/>
              <w:keepNext/>
              <w:keepLines/>
              <w:jc w:val="right"/>
            </w:pPr>
            <w:r w:rsidRPr="00A54D04">
              <w:t>All basic salvage; 30 minutes other</w:t>
            </w:r>
          </w:p>
        </w:tc>
        <w:tc>
          <w:tcPr>
            <w:tcW w:w="1488" w:type="dxa"/>
          </w:tcPr>
          <w:p w14:paraId="4AEE5BAC" w14:textId="77777777" w:rsidR="00210E57" w:rsidRPr="00A54D04" w:rsidRDefault="00210E57">
            <w:pPr>
              <w:pStyle w:val="TableBody"/>
              <w:keepNext/>
              <w:keepLines/>
              <w:jc w:val="right"/>
            </w:pPr>
            <w:r w:rsidRPr="00A54D04">
              <w:t>Included in 30 minutes waiting and working time</w:t>
            </w:r>
          </w:p>
        </w:tc>
        <w:tc>
          <w:tcPr>
            <w:tcW w:w="1488" w:type="dxa"/>
          </w:tcPr>
          <w:p w14:paraId="353FA0DD" w14:textId="77777777" w:rsidR="00210E57" w:rsidRPr="00A54D04" w:rsidRDefault="00210E57">
            <w:pPr>
              <w:pStyle w:val="TableBody"/>
              <w:keepNext/>
              <w:keepLines/>
              <w:jc w:val="right"/>
            </w:pPr>
            <w:r w:rsidRPr="00A54D04">
              <w:t>Not included</w:t>
            </w:r>
          </w:p>
        </w:tc>
        <w:tc>
          <w:tcPr>
            <w:tcW w:w="1488" w:type="dxa"/>
          </w:tcPr>
          <w:p w14:paraId="650B0DC8" w14:textId="77777777" w:rsidR="00210E57" w:rsidRPr="00A54D04" w:rsidRDefault="00210E57">
            <w:pPr>
              <w:pStyle w:val="TableBody"/>
              <w:keepNext/>
              <w:keepLines/>
              <w:jc w:val="right"/>
            </w:pPr>
            <w:r w:rsidRPr="00A54D04">
              <w:t>Not included</w:t>
            </w:r>
          </w:p>
        </w:tc>
      </w:tr>
      <w:tr w:rsidR="00210E57" w:rsidRPr="00A54D04" w14:paraId="3FD2535B" w14:textId="77777777">
        <w:trPr>
          <w:cnfStyle w:val="000000010000" w:firstRow="0" w:lastRow="0" w:firstColumn="0" w:lastColumn="0" w:oddVBand="0" w:evenVBand="0" w:oddHBand="0" w:evenHBand="1" w:firstRowFirstColumn="0" w:firstRowLastColumn="0" w:lastRowFirstColumn="0" w:lastRowLastColumn="0"/>
        </w:trPr>
        <w:tc>
          <w:tcPr>
            <w:tcW w:w="2113" w:type="dxa"/>
          </w:tcPr>
          <w:p w14:paraId="0A450917" w14:textId="77777777" w:rsidR="00210E57" w:rsidRPr="00A54D04" w:rsidRDefault="00210E57">
            <w:pPr>
              <w:pStyle w:val="TableBody"/>
              <w:keepNext/>
              <w:keepLines/>
              <w:ind w:left="284"/>
            </w:pPr>
            <w:r w:rsidRPr="00A54D04">
              <w:t xml:space="preserve">Storage </w:t>
            </w:r>
          </w:p>
        </w:tc>
        <w:tc>
          <w:tcPr>
            <w:tcW w:w="1574" w:type="dxa"/>
          </w:tcPr>
          <w:p w14:paraId="157A7852" w14:textId="77777777" w:rsidR="00210E57" w:rsidRPr="00A54D04" w:rsidRDefault="00210E57">
            <w:pPr>
              <w:pStyle w:val="TableBody"/>
              <w:keepNext/>
              <w:keepLines/>
              <w:jc w:val="right"/>
            </w:pPr>
            <w:r w:rsidRPr="00A54D04">
              <w:t>Not included</w:t>
            </w:r>
          </w:p>
        </w:tc>
        <w:tc>
          <w:tcPr>
            <w:tcW w:w="1487" w:type="dxa"/>
          </w:tcPr>
          <w:p w14:paraId="1666A7C6" w14:textId="77777777" w:rsidR="00210E57" w:rsidRPr="00A54D04" w:rsidRDefault="00210E57">
            <w:pPr>
              <w:pStyle w:val="TableBody"/>
              <w:keepNext/>
              <w:keepLines/>
              <w:jc w:val="right"/>
            </w:pPr>
            <w:r w:rsidRPr="00A54D04">
              <w:t>Not included</w:t>
            </w:r>
          </w:p>
        </w:tc>
        <w:tc>
          <w:tcPr>
            <w:tcW w:w="1488" w:type="dxa"/>
          </w:tcPr>
          <w:p w14:paraId="7B3F236E" w14:textId="77777777" w:rsidR="00210E57" w:rsidRPr="00A54D04" w:rsidRDefault="00210E57">
            <w:pPr>
              <w:pStyle w:val="TableBody"/>
              <w:keepNext/>
              <w:keepLines/>
              <w:jc w:val="right"/>
            </w:pPr>
            <w:r w:rsidRPr="00A54D04">
              <w:t>Not included</w:t>
            </w:r>
          </w:p>
        </w:tc>
        <w:tc>
          <w:tcPr>
            <w:tcW w:w="1488" w:type="dxa"/>
          </w:tcPr>
          <w:p w14:paraId="403F1E42" w14:textId="77777777" w:rsidR="00210E57" w:rsidRPr="00A54D04" w:rsidRDefault="00210E57">
            <w:pPr>
              <w:pStyle w:val="TableBody"/>
              <w:keepNext/>
              <w:keepLines/>
              <w:jc w:val="right"/>
            </w:pPr>
            <w:r w:rsidRPr="00A54D04">
              <w:t>3 days</w:t>
            </w:r>
          </w:p>
        </w:tc>
        <w:tc>
          <w:tcPr>
            <w:tcW w:w="1488" w:type="dxa"/>
          </w:tcPr>
          <w:p w14:paraId="5078A803" w14:textId="77777777" w:rsidR="00210E57" w:rsidRPr="00A54D04" w:rsidRDefault="00210E57">
            <w:pPr>
              <w:pStyle w:val="TableBody"/>
              <w:keepNext/>
              <w:keepLines/>
              <w:jc w:val="right"/>
            </w:pPr>
            <w:r w:rsidRPr="00A54D04">
              <w:t>Not included</w:t>
            </w:r>
          </w:p>
        </w:tc>
      </w:tr>
      <w:tr w:rsidR="00210E57" w:rsidRPr="00A54D04" w14:paraId="5FA195CB" w14:textId="77777777">
        <w:trPr>
          <w:cnfStyle w:val="000000100000" w:firstRow="0" w:lastRow="0" w:firstColumn="0" w:lastColumn="0" w:oddVBand="0" w:evenVBand="0" w:oddHBand="1" w:evenHBand="0" w:firstRowFirstColumn="0" w:firstRowLastColumn="0" w:lastRowFirstColumn="0" w:lastRowLastColumn="0"/>
        </w:trPr>
        <w:tc>
          <w:tcPr>
            <w:tcW w:w="2113" w:type="dxa"/>
          </w:tcPr>
          <w:p w14:paraId="02D4A2DA" w14:textId="77777777" w:rsidR="00210E57" w:rsidRPr="00A54D04" w:rsidRDefault="00210E57">
            <w:pPr>
              <w:pStyle w:val="TableBody"/>
              <w:keepNext/>
              <w:keepLines/>
              <w:rPr>
                <w:b/>
                <w:bCs/>
              </w:rPr>
            </w:pPr>
            <w:r w:rsidRPr="00A54D04">
              <w:rPr>
                <w:b/>
                <w:bCs/>
              </w:rPr>
              <w:t>Distance fee</w:t>
            </w:r>
          </w:p>
        </w:tc>
        <w:tc>
          <w:tcPr>
            <w:tcW w:w="1574" w:type="dxa"/>
          </w:tcPr>
          <w:p w14:paraId="3278420A" w14:textId="77777777" w:rsidR="00210E57" w:rsidRPr="00A54D04" w:rsidRDefault="00210E57">
            <w:pPr>
              <w:pStyle w:val="TableBody"/>
              <w:keepNext/>
              <w:keepLines/>
              <w:jc w:val="right"/>
            </w:pPr>
          </w:p>
        </w:tc>
        <w:tc>
          <w:tcPr>
            <w:tcW w:w="1487" w:type="dxa"/>
          </w:tcPr>
          <w:p w14:paraId="4A8A3FFE" w14:textId="77777777" w:rsidR="00210E57" w:rsidRPr="00A54D04" w:rsidRDefault="00210E57">
            <w:pPr>
              <w:pStyle w:val="TableBody"/>
              <w:keepNext/>
              <w:keepLines/>
              <w:jc w:val="right"/>
            </w:pPr>
          </w:p>
        </w:tc>
        <w:tc>
          <w:tcPr>
            <w:tcW w:w="1488" w:type="dxa"/>
          </w:tcPr>
          <w:p w14:paraId="34C5D342" w14:textId="77777777" w:rsidR="00210E57" w:rsidRPr="00A54D04" w:rsidRDefault="00210E57">
            <w:pPr>
              <w:pStyle w:val="TableBody"/>
              <w:keepNext/>
              <w:keepLines/>
              <w:jc w:val="right"/>
            </w:pPr>
          </w:p>
        </w:tc>
        <w:tc>
          <w:tcPr>
            <w:tcW w:w="1488" w:type="dxa"/>
          </w:tcPr>
          <w:p w14:paraId="2446589B" w14:textId="77777777" w:rsidR="00210E57" w:rsidRPr="00A54D04" w:rsidRDefault="00210E57">
            <w:pPr>
              <w:pStyle w:val="TableBody"/>
              <w:keepNext/>
              <w:keepLines/>
              <w:jc w:val="right"/>
            </w:pPr>
          </w:p>
        </w:tc>
        <w:tc>
          <w:tcPr>
            <w:tcW w:w="1488" w:type="dxa"/>
          </w:tcPr>
          <w:p w14:paraId="39C1ECAE" w14:textId="77777777" w:rsidR="00210E57" w:rsidRPr="00A54D04" w:rsidRDefault="00210E57">
            <w:pPr>
              <w:pStyle w:val="TableBody"/>
              <w:keepNext/>
              <w:keepLines/>
              <w:jc w:val="right"/>
            </w:pPr>
          </w:p>
        </w:tc>
      </w:tr>
      <w:tr w:rsidR="00210E57" w:rsidRPr="00A54D04" w14:paraId="5973852D" w14:textId="77777777">
        <w:trPr>
          <w:cnfStyle w:val="000000010000" w:firstRow="0" w:lastRow="0" w:firstColumn="0" w:lastColumn="0" w:oddVBand="0" w:evenVBand="0" w:oddHBand="0" w:evenHBand="1" w:firstRowFirstColumn="0" w:firstRowLastColumn="0" w:lastRowFirstColumn="0" w:lastRowLastColumn="0"/>
        </w:trPr>
        <w:tc>
          <w:tcPr>
            <w:tcW w:w="2113" w:type="dxa"/>
          </w:tcPr>
          <w:p w14:paraId="54FC6AA1" w14:textId="77777777" w:rsidR="00210E57" w:rsidRPr="00A54D04" w:rsidRDefault="00210E57">
            <w:pPr>
              <w:pStyle w:val="TableBody"/>
              <w:keepNext/>
              <w:keepLines/>
              <w:ind w:left="284"/>
            </w:pPr>
            <w:r w:rsidRPr="00A54D04">
              <w:t>Distance fee (per km)</w:t>
            </w:r>
          </w:p>
        </w:tc>
        <w:tc>
          <w:tcPr>
            <w:tcW w:w="1574" w:type="dxa"/>
          </w:tcPr>
          <w:p w14:paraId="7293932D" w14:textId="77777777" w:rsidR="00210E57" w:rsidRPr="00A54D04" w:rsidRDefault="00210E57">
            <w:pPr>
              <w:pStyle w:val="TableBody"/>
              <w:keepNext/>
              <w:keepLines/>
              <w:jc w:val="right"/>
            </w:pPr>
            <w:r w:rsidRPr="00A54D04">
              <w:t>$4.30</w:t>
            </w:r>
          </w:p>
        </w:tc>
        <w:tc>
          <w:tcPr>
            <w:tcW w:w="1487" w:type="dxa"/>
          </w:tcPr>
          <w:p w14:paraId="22822CBF" w14:textId="77777777" w:rsidR="00210E57" w:rsidRPr="00A54D04" w:rsidRDefault="00210E57">
            <w:pPr>
              <w:pStyle w:val="TableBody"/>
              <w:keepNext/>
              <w:keepLines/>
              <w:jc w:val="right"/>
            </w:pPr>
            <w:r w:rsidRPr="00A54D04">
              <w:t>$7.70</w:t>
            </w:r>
          </w:p>
        </w:tc>
        <w:tc>
          <w:tcPr>
            <w:tcW w:w="1488" w:type="dxa"/>
          </w:tcPr>
          <w:p w14:paraId="76FB578D" w14:textId="77777777" w:rsidR="00210E57" w:rsidRPr="00A54D04" w:rsidRDefault="00210E57">
            <w:pPr>
              <w:pStyle w:val="TableBody"/>
              <w:keepNext/>
              <w:keepLines/>
              <w:jc w:val="right"/>
            </w:pPr>
            <w:r w:rsidRPr="00A54D04">
              <w:t>$3.00</w:t>
            </w:r>
          </w:p>
        </w:tc>
        <w:tc>
          <w:tcPr>
            <w:tcW w:w="1488" w:type="dxa"/>
          </w:tcPr>
          <w:p w14:paraId="235AB6F5" w14:textId="77777777" w:rsidR="00210E57" w:rsidRPr="00A54D04" w:rsidRDefault="00210E57">
            <w:pPr>
              <w:pStyle w:val="TableBody"/>
              <w:keepNext/>
              <w:keepLines/>
              <w:jc w:val="right"/>
            </w:pPr>
            <w:r w:rsidRPr="00A54D04">
              <w:t>$8.35</w:t>
            </w:r>
          </w:p>
        </w:tc>
        <w:tc>
          <w:tcPr>
            <w:tcW w:w="1488" w:type="dxa"/>
          </w:tcPr>
          <w:p w14:paraId="6A299CDC" w14:textId="77777777" w:rsidR="00210E57" w:rsidRPr="00A54D04" w:rsidRDefault="00210E57">
            <w:pPr>
              <w:pStyle w:val="TableBody"/>
              <w:keepNext/>
              <w:keepLines/>
              <w:jc w:val="right"/>
            </w:pPr>
            <w:r w:rsidRPr="00A54D04">
              <w:t>$4.40</w:t>
            </w:r>
          </w:p>
        </w:tc>
      </w:tr>
      <w:tr w:rsidR="00210E57" w:rsidRPr="00A54D04" w14:paraId="77C88AC9" w14:textId="77777777">
        <w:trPr>
          <w:cnfStyle w:val="000000100000" w:firstRow="0" w:lastRow="0" w:firstColumn="0" w:lastColumn="0" w:oddVBand="0" w:evenVBand="0" w:oddHBand="1" w:evenHBand="0" w:firstRowFirstColumn="0" w:firstRowLastColumn="0" w:lastRowFirstColumn="0" w:lastRowLastColumn="0"/>
        </w:trPr>
        <w:tc>
          <w:tcPr>
            <w:tcW w:w="2113" w:type="dxa"/>
          </w:tcPr>
          <w:p w14:paraId="3FC906B5" w14:textId="77777777" w:rsidR="00210E57" w:rsidRPr="00A54D04" w:rsidRDefault="00210E57">
            <w:pPr>
              <w:pStyle w:val="TableBody"/>
              <w:keepNext/>
              <w:keepLines/>
              <w:ind w:left="284"/>
            </w:pPr>
            <w:r w:rsidRPr="00A54D04">
              <w:t>After hours surcharge</w:t>
            </w:r>
          </w:p>
        </w:tc>
        <w:tc>
          <w:tcPr>
            <w:tcW w:w="1574" w:type="dxa"/>
          </w:tcPr>
          <w:p w14:paraId="1E133528" w14:textId="77777777" w:rsidR="00210E57" w:rsidRPr="00A54D04" w:rsidRDefault="00210E57">
            <w:pPr>
              <w:pStyle w:val="TableBody"/>
              <w:keepNext/>
              <w:keepLines/>
              <w:jc w:val="right"/>
            </w:pPr>
            <w:r w:rsidRPr="00A54D04">
              <w:t>Not applicable</w:t>
            </w:r>
          </w:p>
        </w:tc>
        <w:tc>
          <w:tcPr>
            <w:tcW w:w="1487" w:type="dxa"/>
          </w:tcPr>
          <w:p w14:paraId="61EB0C7B" w14:textId="77777777" w:rsidR="00210E57" w:rsidRPr="00A54D04" w:rsidRDefault="00210E57">
            <w:pPr>
              <w:pStyle w:val="TableBody"/>
              <w:keepNext/>
              <w:keepLines/>
              <w:jc w:val="right"/>
            </w:pPr>
            <w:r w:rsidRPr="00A54D04">
              <w:t>20%</w:t>
            </w:r>
          </w:p>
        </w:tc>
        <w:tc>
          <w:tcPr>
            <w:tcW w:w="1488" w:type="dxa"/>
          </w:tcPr>
          <w:p w14:paraId="114AB96E" w14:textId="77777777" w:rsidR="00210E57" w:rsidRPr="00A54D04" w:rsidRDefault="00210E57">
            <w:pPr>
              <w:pStyle w:val="TableBody"/>
              <w:keepNext/>
              <w:keepLines/>
              <w:jc w:val="right"/>
            </w:pPr>
            <w:r w:rsidRPr="00A54D04">
              <w:t>$2.00</w:t>
            </w:r>
          </w:p>
        </w:tc>
        <w:tc>
          <w:tcPr>
            <w:tcW w:w="1488" w:type="dxa"/>
          </w:tcPr>
          <w:p w14:paraId="7AB87644" w14:textId="77777777" w:rsidR="00210E57" w:rsidRPr="00A54D04" w:rsidRDefault="00210E57">
            <w:pPr>
              <w:pStyle w:val="TableBody"/>
              <w:keepNext/>
              <w:keepLines/>
              <w:jc w:val="right"/>
            </w:pPr>
            <w:r w:rsidRPr="00A54D04">
              <w:t>Not applicable</w:t>
            </w:r>
          </w:p>
        </w:tc>
        <w:tc>
          <w:tcPr>
            <w:tcW w:w="1488" w:type="dxa"/>
          </w:tcPr>
          <w:p w14:paraId="119E0F95" w14:textId="77777777" w:rsidR="00210E57" w:rsidRPr="00A54D04" w:rsidRDefault="00210E57">
            <w:pPr>
              <w:pStyle w:val="TableBody"/>
              <w:keepNext/>
              <w:keepLines/>
              <w:jc w:val="right"/>
            </w:pPr>
            <w:r w:rsidRPr="00A54D04">
              <w:t>Not applicable</w:t>
            </w:r>
          </w:p>
        </w:tc>
      </w:tr>
      <w:tr w:rsidR="00210E57" w:rsidRPr="00A54D04" w14:paraId="18571EBB" w14:textId="77777777">
        <w:trPr>
          <w:cnfStyle w:val="000000010000" w:firstRow="0" w:lastRow="0" w:firstColumn="0" w:lastColumn="0" w:oddVBand="0" w:evenVBand="0" w:oddHBand="0" w:evenHBand="1" w:firstRowFirstColumn="0" w:firstRowLastColumn="0" w:lastRowFirstColumn="0" w:lastRowLastColumn="0"/>
        </w:trPr>
        <w:tc>
          <w:tcPr>
            <w:tcW w:w="2113" w:type="dxa"/>
          </w:tcPr>
          <w:p w14:paraId="6381420B" w14:textId="77777777" w:rsidR="00210E57" w:rsidRPr="00A54D04" w:rsidRDefault="00210E57">
            <w:pPr>
              <w:pStyle w:val="TableBody"/>
              <w:keepNext/>
              <w:keepLines/>
              <w:ind w:left="284"/>
            </w:pPr>
            <w:r w:rsidRPr="00A54D04">
              <w:t>Distance measured</w:t>
            </w:r>
          </w:p>
        </w:tc>
        <w:tc>
          <w:tcPr>
            <w:tcW w:w="1574" w:type="dxa"/>
          </w:tcPr>
          <w:p w14:paraId="70CF981A" w14:textId="77777777" w:rsidR="00210E57" w:rsidRPr="00A54D04" w:rsidRDefault="00210E57">
            <w:pPr>
              <w:pStyle w:val="TableBody"/>
              <w:keepNext/>
              <w:keepLines/>
              <w:jc w:val="right"/>
            </w:pPr>
            <w:r w:rsidRPr="00A54D04">
              <w:t>Operator depot to tow destination</w:t>
            </w:r>
          </w:p>
        </w:tc>
        <w:tc>
          <w:tcPr>
            <w:tcW w:w="1487" w:type="dxa"/>
          </w:tcPr>
          <w:p w14:paraId="670B242A" w14:textId="77777777" w:rsidR="00210E57" w:rsidRPr="00A54D04" w:rsidRDefault="00210E57">
            <w:pPr>
              <w:pStyle w:val="TableBody"/>
              <w:keepNext/>
              <w:keepLines/>
              <w:jc w:val="right"/>
            </w:pPr>
            <w:r w:rsidRPr="00A54D04">
              <w:t>Accident site to tow destination</w:t>
            </w:r>
          </w:p>
        </w:tc>
        <w:tc>
          <w:tcPr>
            <w:tcW w:w="1488" w:type="dxa"/>
          </w:tcPr>
          <w:p w14:paraId="31774FE0" w14:textId="77777777" w:rsidR="00210E57" w:rsidRPr="00A54D04" w:rsidRDefault="00210E57">
            <w:pPr>
              <w:pStyle w:val="TableBody"/>
              <w:keepNext/>
              <w:keepLines/>
              <w:jc w:val="right"/>
            </w:pPr>
            <w:r w:rsidRPr="00A54D04">
              <w:t>Operator depot to tow destination</w:t>
            </w:r>
          </w:p>
        </w:tc>
        <w:tc>
          <w:tcPr>
            <w:tcW w:w="1488" w:type="dxa"/>
          </w:tcPr>
          <w:p w14:paraId="49401E70" w14:textId="77777777" w:rsidR="00210E57" w:rsidRPr="00A54D04" w:rsidRDefault="00210E57">
            <w:pPr>
              <w:pStyle w:val="TableBody"/>
              <w:keepNext/>
              <w:keepLines/>
              <w:jc w:val="right"/>
            </w:pPr>
            <w:r w:rsidRPr="00A54D04">
              <w:t>Accident site to tow destination</w:t>
            </w:r>
          </w:p>
        </w:tc>
        <w:tc>
          <w:tcPr>
            <w:tcW w:w="1488" w:type="dxa"/>
          </w:tcPr>
          <w:p w14:paraId="3BDC9544" w14:textId="77777777" w:rsidR="00210E57" w:rsidRPr="00A54D04" w:rsidRDefault="00210E57">
            <w:pPr>
              <w:pStyle w:val="TableBody"/>
              <w:keepNext/>
              <w:keepLines/>
              <w:jc w:val="right"/>
            </w:pPr>
            <w:r w:rsidRPr="00A54D04">
              <w:t>Accident site to tow destination</w:t>
            </w:r>
          </w:p>
        </w:tc>
      </w:tr>
      <w:tr w:rsidR="00210E57" w:rsidRPr="00A54D04" w14:paraId="248E231C" w14:textId="77777777">
        <w:trPr>
          <w:cnfStyle w:val="000000100000" w:firstRow="0" w:lastRow="0" w:firstColumn="0" w:lastColumn="0" w:oddVBand="0" w:evenVBand="0" w:oddHBand="1" w:evenHBand="0" w:firstRowFirstColumn="0" w:firstRowLastColumn="0" w:lastRowFirstColumn="0" w:lastRowLastColumn="0"/>
        </w:trPr>
        <w:tc>
          <w:tcPr>
            <w:tcW w:w="2113" w:type="dxa"/>
          </w:tcPr>
          <w:p w14:paraId="6142BB48" w14:textId="77777777" w:rsidR="00210E57" w:rsidRPr="00A54D04" w:rsidRDefault="00210E57">
            <w:pPr>
              <w:pStyle w:val="TableBody"/>
              <w:keepNext/>
              <w:keepLines/>
              <w:rPr>
                <w:b/>
                <w:bCs/>
              </w:rPr>
            </w:pPr>
            <w:r w:rsidRPr="00A54D04">
              <w:rPr>
                <w:b/>
                <w:bCs/>
              </w:rPr>
              <w:t>Business hours</w:t>
            </w:r>
          </w:p>
        </w:tc>
        <w:tc>
          <w:tcPr>
            <w:tcW w:w="1574" w:type="dxa"/>
          </w:tcPr>
          <w:p w14:paraId="5817A0B5" w14:textId="602B56BE" w:rsidR="00210E57" w:rsidRPr="00A54D04" w:rsidRDefault="00210E57">
            <w:pPr>
              <w:pStyle w:val="TableBody"/>
              <w:keepNext/>
              <w:keepLines/>
              <w:jc w:val="right"/>
            </w:pPr>
            <w:r w:rsidRPr="00A54D04">
              <w:t>8</w:t>
            </w:r>
            <w:r w:rsidR="00D736E3" w:rsidRPr="00A54D04">
              <w:t xml:space="preserve"> </w:t>
            </w:r>
            <w:r w:rsidRPr="00A54D04">
              <w:t>am to 5</w:t>
            </w:r>
            <w:r w:rsidR="00D736E3" w:rsidRPr="00A54D04">
              <w:t xml:space="preserve"> </w:t>
            </w:r>
            <w:r w:rsidRPr="00A54D04">
              <w:t>pm</w:t>
            </w:r>
          </w:p>
        </w:tc>
        <w:tc>
          <w:tcPr>
            <w:tcW w:w="1487" w:type="dxa"/>
          </w:tcPr>
          <w:p w14:paraId="1D7D1AA5" w14:textId="025F153E" w:rsidR="00210E57" w:rsidRPr="00A54D04" w:rsidRDefault="00210E57">
            <w:pPr>
              <w:pStyle w:val="TableBody"/>
              <w:keepNext/>
              <w:keepLines/>
              <w:jc w:val="right"/>
            </w:pPr>
            <w:r w:rsidRPr="00A54D04">
              <w:t>8</w:t>
            </w:r>
            <w:r w:rsidR="00D736E3" w:rsidRPr="00A54D04">
              <w:t xml:space="preserve"> </w:t>
            </w:r>
            <w:r w:rsidRPr="00A54D04">
              <w:t>am to 5</w:t>
            </w:r>
            <w:r w:rsidR="00D736E3" w:rsidRPr="00A54D04">
              <w:t xml:space="preserve"> </w:t>
            </w:r>
            <w:r w:rsidRPr="00A54D04">
              <w:t>pm</w:t>
            </w:r>
          </w:p>
        </w:tc>
        <w:tc>
          <w:tcPr>
            <w:tcW w:w="1488" w:type="dxa"/>
          </w:tcPr>
          <w:p w14:paraId="6373EC14" w14:textId="7931DF78" w:rsidR="00210E57" w:rsidRPr="00A54D04" w:rsidRDefault="00210E57">
            <w:pPr>
              <w:pStyle w:val="TableBody"/>
              <w:keepNext/>
              <w:keepLines/>
              <w:jc w:val="right"/>
            </w:pPr>
            <w:r w:rsidRPr="00A54D04">
              <w:t>7.30</w:t>
            </w:r>
            <w:r w:rsidR="00D736E3" w:rsidRPr="00A54D04">
              <w:t xml:space="preserve"> </w:t>
            </w:r>
            <w:r w:rsidRPr="00A54D04">
              <w:t>am to 5</w:t>
            </w:r>
            <w:r w:rsidR="00D736E3" w:rsidRPr="00A54D04">
              <w:t> </w:t>
            </w:r>
            <w:r w:rsidRPr="00A54D04">
              <w:t>pm</w:t>
            </w:r>
          </w:p>
        </w:tc>
        <w:tc>
          <w:tcPr>
            <w:tcW w:w="1488" w:type="dxa"/>
          </w:tcPr>
          <w:p w14:paraId="7134A7AF" w14:textId="77777777" w:rsidR="00210E57" w:rsidRPr="00A54D04" w:rsidRDefault="00210E57">
            <w:pPr>
              <w:pStyle w:val="TableBody"/>
              <w:keepNext/>
              <w:keepLines/>
              <w:jc w:val="right"/>
            </w:pPr>
            <w:r w:rsidRPr="00A54D04">
              <w:t>Not applicable</w:t>
            </w:r>
          </w:p>
        </w:tc>
        <w:tc>
          <w:tcPr>
            <w:tcW w:w="1488" w:type="dxa"/>
          </w:tcPr>
          <w:p w14:paraId="0C11DE69" w14:textId="015DEB67" w:rsidR="00210E57" w:rsidRPr="00A54D04" w:rsidRDefault="00210E57">
            <w:pPr>
              <w:pStyle w:val="TableBody"/>
              <w:keepNext/>
              <w:keepLines/>
              <w:jc w:val="right"/>
            </w:pPr>
            <w:r w:rsidRPr="00A54D04">
              <w:t>8</w:t>
            </w:r>
            <w:r w:rsidR="00D736E3" w:rsidRPr="00A54D04">
              <w:t xml:space="preserve"> </w:t>
            </w:r>
            <w:r w:rsidRPr="00A54D04">
              <w:t>am to 5</w:t>
            </w:r>
            <w:r w:rsidR="00D736E3" w:rsidRPr="00A54D04">
              <w:t xml:space="preserve"> </w:t>
            </w:r>
            <w:r w:rsidRPr="00A54D04">
              <w:t>pm</w:t>
            </w:r>
          </w:p>
        </w:tc>
      </w:tr>
    </w:tbl>
    <w:p w14:paraId="7BE5AF27" w14:textId="02B69E93" w:rsidR="00210E57" w:rsidRPr="00E70BBA" w:rsidRDefault="00210E57" w:rsidP="00210E57">
      <w:pPr>
        <w:pStyle w:val="Source"/>
        <w:jc w:val="left"/>
      </w:pPr>
      <w:r w:rsidRPr="00A54D04">
        <w:rPr>
          <w:b/>
          <w:bCs/>
        </w:rPr>
        <w:t>Source:</w:t>
      </w:r>
      <w:r w:rsidRPr="00A54D04">
        <w:t xml:space="preserve"> </w:t>
      </w:r>
      <w:r w:rsidRPr="00A54D04">
        <w:rPr>
          <w:i/>
          <w:iCs w:val="0"/>
        </w:rPr>
        <w:t>Victoria Government Gazette</w:t>
      </w:r>
      <w:r w:rsidRPr="00A54D04">
        <w:t xml:space="preserve">, 11 June 2024, No. S 304; </w:t>
      </w:r>
      <w:hyperlink r:id="rId73" w:history="1">
        <w:r w:rsidRPr="00A54D04">
          <w:rPr>
            <w:rStyle w:val="Hyperlink"/>
            <w:color w:val="4986A0" w:themeColor="text2"/>
          </w:rPr>
          <w:t>https://www.fairtrading.nsw.gov.au/buying-products-and-services/buying-services/motor-repairs/tow-truck-fees-for-light-vehicles</w:t>
        </w:r>
      </w:hyperlink>
      <w:r w:rsidRPr="00A54D04">
        <w:t xml:space="preserve">; </w:t>
      </w:r>
      <w:r w:rsidRPr="00A54D04">
        <w:rPr>
          <w:i/>
          <w:iCs w:val="0"/>
        </w:rPr>
        <w:t>South Australian Government Gazette</w:t>
      </w:r>
      <w:r w:rsidRPr="00A54D04">
        <w:t xml:space="preserve">, 9 March 2023, No. 16, p. 517; </w:t>
      </w:r>
      <w:hyperlink r:id="rId74" w:anchor="max-reg-tow-charges" w:history="1">
        <w:r w:rsidRPr="00A54D04">
          <w:rPr>
            <w:rStyle w:val="Hyperlink"/>
            <w:color w:val="4986A0" w:themeColor="text2"/>
          </w:rPr>
          <w:t>https://www.tmr.qld.gov.au/business-industry/accreditations/tow-truck-licensing-scheme#max-reg-tow-charges</w:t>
        </w:r>
      </w:hyperlink>
      <w:r w:rsidR="00E70BBA">
        <w:rPr>
          <w:rStyle w:val="Hyperlink"/>
          <w:color w:val="4986A0" w:themeColor="text2"/>
          <w:u w:val="none"/>
        </w:rPr>
        <w:t>.</w:t>
      </w:r>
    </w:p>
    <w:p w14:paraId="357D5E09" w14:textId="0D3D48CF" w:rsidR="00210E57" w:rsidRPr="00A54D04" w:rsidRDefault="00210E57" w:rsidP="00210E57">
      <w:r w:rsidRPr="00A54D04">
        <w:t>As shown in Table 1</w:t>
      </w:r>
      <w:r w:rsidR="008C3EBA" w:rsidRPr="00A54D04">
        <w:t>1</w:t>
      </w:r>
      <w:r w:rsidRPr="00A54D04">
        <w:t xml:space="preserve">, the structure of regulated accident towing fees is broadly similar across Australian jurisdictions generally comprising a </w:t>
      </w:r>
      <w:r w:rsidR="007D030A" w:rsidRPr="00A54D04">
        <w:t>‘</w:t>
      </w:r>
      <w:r w:rsidRPr="00A54D04">
        <w:t>base fee</w:t>
      </w:r>
      <w:r w:rsidR="007D030A" w:rsidRPr="00A54D04">
        <w:t>’</w:t>
      </w:r>
      <w:r w:rsidRPr="00A54D04">
        <w:t xml:space="preserve"> which includes a </w:t>
      </w:r>
      <w:r w:rsidR="007260CD" w:rsidRPr="00A54D04">
        <w:t>specific</w:t>
      </w:r>
      <w:r w:rsidR="00615118" w:rsidRPr="00A54D04">
        <w:t xml:space="preserve"> </w:t>
      </w:r>
      <w:r w:rsidRPr="00A54D04">
        <w:t xml:space="preserve">distance and a </w:t>
      </w:r>
      <w:r w:rsidR="007D030A" w:rsidRPr="00A54D04">
        <w:t>‘</w:t>
      </w:r>
      <w:r w:rsidRPr="00A54D04">
        <w:t>distance fee</w:t>
      </w:r>
      <w:r w:rsidR="007D030A" w:rsidRPr="00A54D04">
        <w:t>’</w:t>
      </w:r>
      <w:r w:rsidRPr="00A54D04">
        <w:t xml:space="preserve"> for any kilometres</w:t>
      </w:r>
      <w:r w:rsidR="007D030A" w:rsidRPr="00A54D04">
        <w:t xml:space="preserve"> travelled</w:t>
      </w:r>
      <w:r w:rsidRPr="00A54D04">
        <w:t xml:space="preserve"> beyond the included distance. </w:t>
      </w:r>
    </w:p>
    <w:p w14:paraId="258D4448" w14:textId="77777777" w:rsidR="00210E57" w:rsidRPr="00A54D04" w:rsidRDefault="00210E57" w:rsidP="00210E57"/>
    <w:p w14:paraId="3CD34CEF" w14:textId="77777777" w:rsidR="00CF1E21" w:rsidRPr="00A54D04" w:rsidRDefault="00CF1E21" w:rsidP="00210E57"/>
    <w:p w14:paraId="2A96F37B" w14:textId="4757C04B" w:rsidR="00CF1E21" w:rsidRPr="00A54D04" w:rsidRDefault="00CF1E21" w:rsidP="00CF1E21">
      <w:pPr>
        <w:pStyle w:val="Heading3"/>
      </w:pPr>
      <w:bookmarkStart w:id="265" w:name="_Toc197345285"/>
      <w:bookmarkStart w:id="266" w:name="_Toc197942454"/>
      <w:bookmarkStart w:id="267" w:name="_Toc197977727"/>
      <w:bookmarkStart w:id="268" w:name="_Toc198048716"/>
      <w:bookmarkStart w:id="269" w:name="_Toc199231589"/>
      <w:r w:rsidRPr="00A54D04">
        <w:lastRenderedPageBreak/>
        <w:t xml:space="preserve">We estimated a </w:t>
      </w:r>
      <w:r w:rsidR="00370250" w:rsidRPr="00A54D04">
        <w:t>‘</w:t>
      </w:r>
      <w:r w:rsidRPr="00A54D04">
        <w:t>standard</w:t>
      </w:r>
      <w:r w:rsidR="00370250" w:rsidRPr="00A54D04">
        <w:t>’</w:t>
      </w:r>
      <w:r w:rsidRPr="00A54D04">
        <w:t xml:space="preserve"> accident towing fee for each jurisdiction</w:t>
      </w:r>
      <w:bookmarkEnd w:id="265"/>
      <w:bookmarkEnd w:id="266"/>
      <w:bookmarkEnd w:id="267"/>
      <w:bookmarkEnd w:id="268"/>
      <w:bookmarkEnd w:id="269"/>
      <w:r w:rsidRPr="00A54D04">
        <w:t xml:space="preserve"> </w:t>
      </w:r>
    </w:p>
    <w:p w14:paraId="37813CCC" w14:textId="247F9BD4" w:rsidR="00210E57" w:rsidRPr="00A54D04" w:rsidRDefault="00F1131B" w:rsidP="00210E57">
      <w:r w:rsidRPr="00A54D04">
        <w:t>As each jurisdiction’s published fees are not directly comparable, w</w:t>
      </w:r>
      <w:r w:rsidR="00210E57" w:rsidRPr="00A54D04">
        <w:t>e estimated a ‘standard’ accident towing fee for each jurisdiction. To estimate the ‘standard’ accident towing fee, we made the following assumptions:</w:t>
      </w:r>
    </w:p>
    <w:p w14:paraId="74063240" w14:textId="77777777" w:rsidR="00210E57" w:rsidRPr="00A54D04" w:rsidRDefault="00210E57" w:rsidP="00210E57">
      <w:pPr>
        <w:pStyle w:val="ListBullet"/>
      </w:pPr>
      <w:r w:rsidRPr="00A54D04">
        <w:t xml:space="preserve">A total travel distance of 22 kilometres (of which 17 kilometres is the tow distance). </w:t>
      </w:r>
    </w:p>
    <w:p w14:paraId="2CC2C0C8" w14:textId="58F144DC" w:rsidR="00210E57" w:rsidRPr="00A54D04" w:rsidRDefault="00210E57" w:rsidP="00210E57">
      <w:pPr>
        <w:pStyle w:val="ListBullet"/>
      </w:pPr>
      <w:r w:rsidRPr="00A54D04">
        <w:t xml:space="preserve">A total tow time of </w:t>
      </w:r>
      <w:r w:rsidR="00AA643F" w:rsidRPr="00A54D04">
        <w:t>90.0</w:t>
      </w:r>
      <w:r w:rsidRPr="00A54D04">
        <w:t> minutes, of which 33.0 minutes is travel time and 5</w:t>
      </w:r>
      <w:r w:rsidR="00AA643F" w:rsidRPr="00A54D04">
        <w:t>7.0</w:t>
      </w:r>
      <w:r w:rsidRPr="00A54D04">
        <w:t xml:space="preserve"> minutes is ‘waiting and working’ time at the scene.</w:t>
      </w:r>
    </w:p>
    <w:p w14:paraId="466A7220" w14:textId="77777777" w:rsidR="00210E57" w:rsidRPr="00A54D04" w:rsidRDefault="00210E57" w:rsidP="00210E57">
      <w:pPr>
        <w:pStyle w:val="ListBullet"/>
      </w:pPr>
      <w:r w:rsidRPr="00A54D04">
        <w:t>An average speed of 40 kilometres per hour.</w:t>
      </w:r>
    </w:p>
    <w:p w14:paraId="7CA91BAD" w14:textId="048DA97E" w:rsidR="00210E57" w:rsidRPr="00A54D04" w:rsidRDefault="00412BFD" w:rsidP="00210E57">
      <w:pPr>
        <w:pStyle w:val="ListBullet"/>
      </w:pPr>
      <w:r w:rsidRPr="00A54D04">
        <w:t>46</w:t>
      </w:r>
      <w:r w:rsidR="00210E57" w:rsidRPr="00A54D04">
        <w:t xml:space="preserve"> per cent of jobs occur during business hours and 54 per cent of jobs occur after hours.</w:t>
      </w:r>
      <w:r w:rsidR="00210E57" w:rsidRPr="00A54D04">
        <w:rPr>
          <w:rStyle w:val="FootnoteReference"/>
        </w:rPr>
        <w:footnoteReference w:id="69"/>
      </w:r>
      <w:r w:rsidR="00210E57" w:rsidRPr="00A54D04">
        <w:t xml:space="preserve"> </w:t>
      </w:r>
    </w:p>
    <w:p w14:paraId="7E97A4D2" w14:textId="0C207520" w:rsidR="00210E57" w:rsidRPr="00A54D04" w:rsidRDefault="00EA338A" w:rsidP="00210E57">
      <w:pPr>
        <w:pStyle w:val="Heading4"/>
      </w:pPr>
      <w:r w:rsidRPr="00A54D04">
        <w:t>We accounted for jurisdictional differences where possible</w:t>
      </w:r>
    </w:p>
    <w:p w14:paraId="1A9AF890" w14:textId="77777777" w:rsidR="00210E57" w:rsidRPr="00A54D04" w:rsidRDefault="00210E57" w:rsidP="00210E57">
      <w:r w:rsidRPr="00A54D04">
        <w:t>There are some key differences in fee structures across jurisdictions including:</w:t>
      </w:r>
    </w:p>
    <w:p w14:paraId="463E71EC" w14:textId="77777777" w:rsidR="00210E57" w:rsidRPr="00A54D04" w:rsidRDefault="00210E57" w:rsidP="00210E57">
      <w:pPr>
        <w:pStyle w:val="ListBullet"/>
      </w:pPr>
      <w:r w:rsidRPr="00A54D04">
        <w:t>The base fees in Melbourne, Sydney and Perth include all waiting and working times, while Queensland includes all waiting times and 60 minutes of working time, and Adelaide includes 30 minutes of waiting and working time.</w:t>
      </w:r>
    </w:p>
    <w:p w14:paraId="64A53AC2" w14:textId="05B35452" w:rsidR="00210E57" w:rsidRPr="00A54D04" w:rsidRDefault="00210E57" w:rsidP="00210E57">
      <w:pPr>
        <w:pStyle w:val="ListBullet"/>
      </w:pPr>
      <w:r w:rsidRPr="00A54D04">
        <w:t>The base fees in Sydney and Adelaide include some allowance for salvage, while Melbourne, Queensland and Perth do not.</w:t>
      </w:r>
    </w:p>
    <w:p w14:paraId="31CBFE04" w14:textId="77777777" w:rsidR="00210E57" w:rsidRPr="00A54D04" w:rsidRDefault="00210E57" w:rsidP="00210E57">
      <w:pPr>
        <w:pStyle w:val="ListBullet"/>
      </w:pPr>
      <w:r w:rsidRPr="00A54D04">
        <w:t>The base fee in Queensland includes three days of storage, while Melbourne, Sydney, Adelaide and Perth do not include any storage.</w:t>
      </w:r>
    </w:p>
    <w:p w14:paraId="79DCBB9D" w14:textId="77777777" w:rsidR="00210E57" w:rsidRPr="00A54D04" w:rsidRDefault="00210E57" w:rsidP="00210E57">
      <w:pPr>
        <w:pStyle w:val="ListBullet"/>
      </w:pPr>
      <w:r w:rsidRPr="00A54D04">
        <w:t>The distance included in the base fee varies from eight kilometres in Melbourne to 50 kilometres in Queensland and Perth.</w:t>
      </w:r>
    </w:p>
    <w:p w14:paraId="24165FE9" w14:textId="1B0F62A5" w:rsidR="00210E57" w:rsidRPr="00A54D04" w:rsidRDefault="00210E57" w:rsidP="00210E57">
      <w:pPr>
        <w:pStyle w:val="ListBullet"/>
      </w:pPr>
      <w:r w:rsidRPr="00A54D04">
        <w:t>In Melbourne and Adelaide, the distance</w:t>
      </w:r>
      <w:r w:rsidR="00FB2282" w:rsidRPr="00A54D04">
        <w:t xml:space="preserve"> travelled</w:t>
      </w:r>
      <w:r w:rsidRPr="00A54D04">
        <w:t xml:space="preserve"> is measured from the towing depot to the tow destination (that is, it includes travel to the accident scene), while in Sydney, Queensland and Perth, the distance is measured from the accident scene to the tow destination.</w:t>
      </w:r>
    </w:p>
    <w:p w14:paraId="096A3A73" w14:textId="4A162038" w:rsidR="00210E57" w:rsidRPr="00A54D04" w:rsidRDefault="00210E57" w:rsidP="00210E57">
      <w:r w:rsidRPr="00A54D04">
        <w:t>To account for some of these differences</w:t>
      </w:r>
      <w:r w:rsidR="00615118" w:rsidRPr="00A54D04">
        <w:t xml:space="preserve"> to </w:t>
      </w:r>
      <w:r w:rsidR="00927CD3" w:rsidRPr="00A54D04">
        <w:t>make</w:t>
      </w:r>
      <w:r w:rsidR="00615118" w:rsidRPr="00A54D04">
        <w:t xml:space="preserve"> a like</w:t>
      </w:r>
      <w:r w:rsidR="00BE6D2A" w:rsidRPr="00A54D04">
        <w:t>-</w:t>
      </w:r>
      <w:r w:rsidR="00615118" w:rsidRPr="00A54D04">
        <w:t>for</w:t>
      </w:r>
      <w:r w:rsidR="00BE6D2A" w:rsidRPr="00A54D04">
        <w:t>-</w:t>
      </w:r>
      <w:r w:rsidR="00615118" w:rsidRPr="00A54D04">
        <w:t>like comparison with Melbourne</w:t>
      </w:r>
      <w:r w:rsidRPr="00A54D04">
        <w:t>, we made the following adjustments:</w:t>
      </w:r>
    </w:p>
    <w:p w14:paraId="4B510839" w14:textId="77777777" w:rsidR="00210E57" w:rsidRPr="00A54D04" w:rsidRDefault="00210E57" w:rsidP="00210E57">
      <w:pPr>
        <w:pStyle w:val="ListBullet"/>
      </w:pPr>
      <w:r w:rsidRPr="00A54D04">
        <w:t>The base fee in Queensland includes three days of storage, so we subtracted three days of storage (at $29.00 per day) from the Queensland base fee.</w:t>
      </w:r>
    </w:p>
    <w:p w14:paraId="7EB54041" w14:textId="3F2DE001" w:rsidR="00210E57" w:rsidRPr="00A54D04" w:rsidRDefault="00210E57" w:rsidP="00210E57">
      <w:pPr>
        <w:pStyle w:val="ListBullet"/>
      </w:pPr>
      <w:r w:rsidRPr="00A54D04">
        <w:lastRenderedPageBreak/>
        <w:t xml:space="preserve">The distance is measured from the towing depot in Melbourne and Adelaide, and from the accident scene in Sydney, Queensland and Perth, so we applied the distance fee to the </w:t>
      </w:r>
      <w:r w:rsidRPr="00A54D04">
        <w:rPr>
          <w:b/>
          <w:bCs/>
        </w:rPr>
        <w:t>total travel distance</w:t>
      </w:r>
      <w:r w:rsidRPr="00A54D04">
        <w:t xml:space="preserve"> in Melbourne and Adelaide, and the </w:t>
      </w:r>
      <w:r w:rsidRPr="00A54D04">
        <w:rPr>
          <w:b/>
          <w:bCs/>
        </w:rPr>
        <w:t>tow distance</w:t>
      </w:r>
      <w:r w:rsidRPr="00A54D04">
        <w:t xml:space="preserve"> in Sydney, Queensland and Perth (after taking into account the distance included in the base fee for each jurisdiction).</w:t>
      </w:r>
    </w:p>
    <w:p w14:paraId="0A6EFDBF" w14:textId="2A07EE1C" w:rsidR="00210E57" w:rsidRPr="00A54D04" w:rsidRDefault="00210E57" w:rsidP="00210E57">
      <w:pPr>
        <w:pStyle w:val="ListBullet"/>
      </w:pPr>
      <w:r w:rsidRPr="00A54D04">
        <w:t>The base fee in Adelaide includes only 30 minutes of waiting and working time, so we added an additional 2</w:t>
      </w:r>
      <w:r w:rsidR="00AA643F" w:rsidRPr="00A54D04">
        <w:t>7.0</w:t>
      </w:r>
      <w:r w:rsidRPr="00A54D04">
        <w:t xml:space="preserve"> minutes of waiting</w:t>
      </w:r>
      <w:r w:rsidR="00A573B6">
        <w:t xml:space="preserve"> and working</w:t>
      </w:r>
      <w:r w:rsidRPr="00A54D04">
        <w:t xml:space="preserve"> time for Adelaide.</w:t>
      </w:r>
      <w:r w:rsidRPr="00A54D04">
        <w:rPr>
          <w:rStyle w:val="FootnoteReference"/>
        </w:rPr>
        <w:footnoteReference w:id="70"/>
      </w:r>
    </w:p>
    <w:p w14:paraId="5F092CE0" w14:textId="4E017AC8" w:rsidR="00210E57" w:rsidRPr="00A54D04" w:rsidRDefault="00210E57" w:rsidP="00210E57">
      <w:r w:rsidRPr="00A54D04">
        <w:t>The estimated ‘standard’ accident towing fee for each jurisdiction is shown in Table 1</w:t>
      </w:r>
      <w:r w:rsidR="008C3EBA" w:rsidRPr="00A54D04">
        <w:t>2</w:t>
      </w:r>
      <w:r w:rsidRPr="00A54D04">
        <w:t xml:space="preserve">. The estimated </w:t>
      </w:r>
      <w:r w:rsidR="00A573B6">
        <w:t>‘</w:t>
      </w:r>
      <w:r w:rsidRPr="00A54D04">
        <w:t>standard</w:t>
      </w:r>
      <w:r w:rsidR="00A573B6">
        <w:t>’</w:t>
      </w:r>
      <w:r w:rsidRPr="00A54D04">
        <w:t xml:space="preserve"> fee in the Melbourne controlled area is much lower than Adelaide and Perth and slightly lower than Sydney, but higher than Queensland. </w:t>
      </w:r>
    </w:p>
    <w:p w14:paraId="7E0B78D2" w14:textId="51480DE9" w:rsidR="00210E57" w:rsidRPr="00A54D04" w:rsidRDefault="00210E57" w:rsidP="00210E57">
      <w:pPr>
        <w:pStyle w:val="Figure-Table-BoxHeading"/>
        <w:keepNext/>
        <w:keepLines/>
        <w:numPr>
          <w:ilvl w:val="0"/>
          <w:numId w:val="0"/>
        </w:numPr>
        <w:spacing w:after="0"/>
        <w:ind w:left="851" w:hanging="851"/>
        <w:rPr>
          <w:lang w:val="en-AU"/>
        </w:rPr>
      </w:pPr>
      <w:r w:rsidRPr="00A54D04">
        <w:rPr>
          <w:lang w:val="en-AU"/>
        </w:rPr>
        <w:t>Table 1</w:t>
      </w:r>
      <w:r w:rsidR="008C3EBA" w:rsidRPr="00A54D04">
        <w:rPr>
          <w:lang w:val="en-AU"/>
        </w:rPr>
        <w:t>2</w:t>
      </w:r>
      <w:r w:rsidRPr="00A54D04">
        <w:rPr>
          <w:lang w:val="en-AU"/>
        </w:rPr>
        <w:t>. Estimated ‘standard’ accident towing fees by jurisdiction</w:t>
      </w:r>
      <w:r w:rsidR="001272B9" w:rsidRPr="00A54D04">
        <w:rPr>
          <w:lang w:val="en-AU"/>
        </w:rPr>
        <w:t xml:space="preserve"> (</w:t>
      </w:r>
      <w:r w:rsidRPr="00A54D04">
        <w:rPr>
          <w:lang w:val="en-AU"/>
        </w:rPr>
        <w:t>2024–25</w:t>
      </w:r>
      <w:r w:rsidR="001272B9" w:rsidRPr="00A54D04">
        <w:rPr>
          <w:lang w:val="en-AU"/>
        </w:rPr>
        <w:t>)</w:t>
      </w:r>
    </w:p>
    <w:tbl>
      <w:tblPr>
        <w:tblStyle w:val="TableGrid"/>
        <w:tblW w:w="9639" w:type="dxa"/>
        <w:tblLook w:val="04A0" w:firstRow="1" w:lastRow="0" w:firstColumn="1" w:lastColumn="0" w:noHBand="0" w:noVBand="1"/>
      </w:tblPr>
      <w:tblGrid>
        <w:gridCol w:w="2835"/>
        <w:gridCol w:w="2268"/>
        <w:gridCol w:w="2268"/>
        <w:gridCol w:w="2268"/>
      </w:tblGrid>
      <w:tr w:rsidR="00210E57" w:rsidRPr="00A54D04" w14:paraId="0544A225" w14:textId="77777777">
        <w:trPr>
          <w:cnfStyle w:val="100000000000" w:firstRow="1" w:lastRow="0" w:firstColumn="0" w:lastColumn="0" w:oddVBand="0" w:evenVBand="0" w:oddHBand="0" w:evenHBand="0" w:firstRowFirstColumn="0" w:firstRowLastColumn="0" w:lastRowFirstColumn="0" w:lastRowLastColumn="0"/>
          <w:cantSplit/>
        </w:trPr>
        <w:tc>
          <w:tcPr>
            <w:tcW w:w="2835" w:type="dxa"/>
          </w:tcPr>
          <w:p w14:paraId="1926FC43" w14:textId="77777777" w:rsidR="00210E57" w:rsidRPr="00A54D04" w:rsidRDefault="00210E57">
            <w:pPr>
              <w:pStyle w:val="TableHeading"/>
              <w:keepNext/>
              <w:keepLines/>
            </w:pPr>
          </w:p>
        </w:tc>
        <w:tc>
          <w:tcPr>
            <w:tcW w:w="2268" w:type="dxa"/>
          </w:tcPr>
          <w:p w14:paraId="07A86671" w14:textId="77777777" w:rsidR="00210E57" w:rsidRPr="00A54D04" w:rsidRDefault="00210E57">
            <w:pPr>
              <w:pStyle w:val="TableHeading"/>
              <w:keepNext/>
              <w:keepLines/>
              <w:jc w:val="right"/>
            </w:pPr>
            <w:r w:rsidRPr="00A54D04">
              <w:t>Business hours</w:t>
            </w:r>
          </w:p>
        </w:tc>
        <w:tc>
          <w:tcPr>
            <w:tcW w:w="2268" w:type="dxa"/>
          </w:tcPr>
          <w:p w14:paraId="626EB732" w14:textId="77777777" w:rsidR="00210E57" w:rsidRPr="00A54D04" w:rsidRDefault="00210E57">
            <w:pPr>
              <w:pStyle w:val="TableHeading"/>
              <w:keepNext/>
              <w:keepLines/>
              <w:jc w:val="right"/>
            </w:pPr>
            <w:r w:rsidRPr="00A54D04">
              <w:t>After hours</w:t>
            </w:r>
          </w:p>
        </w:tc>
        <w:tc>
          <w:tcPr>
            <w:tcW w:w="2268" w:type="dxa"/>
          </w:tcPr>
          <w:p w14:paraId="4C76D134" w14:textId="77777777" w:rsidR="00210E57" w:rsidRPr="00A54D04" w:rsidRDefault="00210E57">
            <w:pPr>
              <w:pStyle w:val="TableHeading"/>
              <w:keepNext/>
              <w:keepLines/>
              <w:jc w:val="right"/>
            </w:pPr>
            <w:r w:rsidRPr="00A54D04">
              <w:t>Weighted average</w:t>
            </w:r>
          </w:p>
        </w:tc>
      </w:tr>
      <w:tr w:rsidR="00210E57" w:rsidRPr="00A54D04" w14:paraId="10716FA4" w14:textId="77777777">
        <w:trPr>
          <w:cnfStyle w:val="000000100000" w:firstRow="0" w:lastRow="0" w:firstColumn="0" w:lastColumn="0" w:oddVBand="0" w:evenVBand="0" w:oddHBand="1" w:evenHBand="0" w:firstRowFirstColumn="0" w:firstRowLastColumn="0" w:lastRowFirstColumn="0" w:lastRowLastColumn="0"/>
          <w:cantSplit/>
        </w:trPr>
        <w:tc>
          <w:tcPr>
            <w:tcW w:w="2835" w:type="dxa"/>
          </w:tcPr>
          <w:p w14:paraId="350D0849" w14:textId="77777777" w:rsidR="00210E57" w:rsidRPr="00A54D04" w:rsidRDefault="00210E57">
            <w:pPr>
              <w:pStyle w:val="TableBody"/>
              <w:keepNext/>
              <w:keepLines/>
            </w:pPr>
            <w:r w:rsidRPr="00A54D04">
              <w:t>Melbourne controlled area</w:t>
            </w:r>
          </w:p>
        </w:tc>
        <w:tc>
          <w:tcPr>
            <w:tcW w:w="2268" w:type="dxa"/>
          </w:tcPr>
          <w:p w14:paraId="50039DC1" w14:textId="77777777" w:rsidR="00210E57" w:rsidRPr="00A54D04" w:rsidRDefault="00210E57">
            <w:pPr>
              <w:pStyle w:val="TableBody"/>
              <w:keepNext/>
              <w:keepLines/>
              <w:jc w:val="right"/>
            </w:pPr>
            <w:r w:rsidRPr="00A54D04">
              <w:t>$333.00</w:t>
            </w:r>
          </w:p>
        </w:tc>
        <w:tc>
          <w:tcPr>
            <w:tcW w:w="2268" w:type="dxa"/>
          </w:tcPr>
          <w:p w14:paraId="35C7C8A9" w14:textId="77777777" w:rsidR="00210E57" w:rsidRPr="00A54D04" w:rsidRDefault="00210E57">
            <w:pPr>
              <w:pStyle w:val="TableBody"/>
              <w:keepNext/>
              <w:keepLines/>
              <w:jc w:val="right"/>
            </w:pPr>
            <w:r w:rsidRPr="00A54D04">
              <w:t>$426.10</w:t>
            </w:r>
          </w:p>
        </w:tc>
        <w:tc>
          <w:tcPr>
            <w:tcW w:w="2268" w:type="dxa"/>
          </w:tcPr>
          <w:p w14:paraId="4C69C32D" w14:textId="77777777" w:rsidR="00210E57" w:rsidRPr="00A54D04" w:rsidRDefault="00210E57">
            <w:pPr>
              <w:pStyle w:val="TableBody"/>
              <w:keepNext/>
              <w:keepLines/>
              <w:jc w:val="right"/>
            </w:pPr>
            <w:r w:rsidRPr="00A54D04">
              <w:t>$383.25</w:t>
            </w:r>
          </w:p>
        </w:tc>
      </w:tr>
      <w:tr w:rsidR="00210E57" w:rsidRPr="00A54D04" w14:paraId="4755FFA4" w14:textId="77777777">
        <w:trPr>
          <w:cnfStyle w:val="000000010000" w:firstRow="0" w:lastRow="0" w:firstColumn="0" w:lastColumn="0" w:oddVBand="0" w:evenVBand="0" w:oddHBand="0" w:evenHBand="1" w:firstRowFirstColumn="0" w:firstRowLastColumn="0" w:lastRowFirstColumn="0" w:lastRowLastColumn="0"/>
          <w:cantSplit/>
        </w:trPr>
        <w:tc>
          <w:tcPr>
            <w:tcW w:w="2835" w:type="dxa"/>
          </w:tcPr>
          <w:p w14:paraId="6AD49555" w14:textId="77777777" w:rsidR="00210E57" w:rsidRPr="00A54D04" w:rsidRDefault="00210E57">
            <w:pPr>
              <w:pStyle w:val="TableBody"/>
              <w:keepNext/>
              <w:keepLines/>
            </w:pPr>
            <w:r w:rsidRPr="00A54D04">
              <w:t>Sydney</w:t>
            </w:r>
          </w:p>
        </w:tc>
        <w:tc>
          <w:tcPr>
            <w:tcW w:w="2268" w:type="dxa"/>
          </w:tcPr>
          <w:p w14:paraId="7871C4E7" w14:textId="77777777" w:rsidR="00210E57" w:rsidRPr="00A54D04" w:rsidRDefault="00210E57">
            <w:pPr>
              <w:pStyle w:val="TableBody"/>
              <w:keepNext/>
              <w:keepLines/>
              <w:jc w:val="right"/>
            </w:pPr>
            <w:r w:rsidRPr="00A54D04">
              <w:t>$385.00</w:t>
            </w:r>
          </w:p>
        </w:tc>
        <w:tc>
          <w:tcPr>
            <w:tcW w:w="2268" w:type="dxa"/>
          </w:tcPr>
          <w:p w14:paraId="3F9BC8D4" w14:textId="77777777" w:rsidR="00210E57" w:rsidRPr="00A54D04" w:rsidRDefault="00210E57">
            <w:pPr>
              <w:pStyle w:val="TableBody"/>
              <w:keepNext/>
              <w:keepLines/>
              <w:jc w:val="right"/>
            </w:pPr>
            <w:r w:rsidRPr="00A54D04">
              <w:t>$462.00</w:t>
            </w:r>
          </w:p>
        </w:tc>
        <w:tc>
          <w:tcPr>
            <w:tcW w:w="2268" w:type="dxa"/>
          </w:tcPr>
          <w:p w14:paraId="5674510B" w14:textId="77777777" w:rsidR="00210E57" w:rsidRPr="00A54D04" w:rsidRDefault="00210E57">
            <w:pPr>
              <w:pStyle w:val="TableBody"/>
              <w:keepNext/>
              <w:keepLines/>
              <w:jc w:val="right"/>
            </w:pPr>
            <w:r w:rsidRPr="00A54D04">
              <w:t>$426.56</w:t>
            </w:r>
          </w:p>
        </w:tc>
      </w:tr>
      <w:tr w:rsidR="00210E57" w:rsidRPr="00A54D04" w14:paraId="4D8CF8A3" w14:textId="77777777">
        <w:trPr>
          <w:cnfStyle w:val="000000100000" w:firstRow="0" w:lastRow="0" w:firstColumn="0" w:lastColumn="0" w:oddVBand="0" w:evenVBand="0" w:oddHBand="1" w:evenHBand="0" w:firstRowFirstColumn="0" w:firstRowLastColumn="0" w:lastRowFirstColumn="0" w:lastRowLastColumn="0"/>
          <w:cantSplit/>
        </w:trPr>
        <w:tc>
          <w:tcPr>
            <w:tcW w:w="2835" w:type="dxa"/>
          </w:tcPr>
          <w:p w14:paraId="493D1EF4" w14:textId="77777777" w:rsidR="00210E57" w:rsidRPr="00A54D04" w:rsidRDefault="00210E57">
            <w:pPr>
              <w:pStyle w:val="TableBody"/>
              <w:keepNext/>
              <w:keepLines/>
            </w:pPr>
            <w:r w:rsidRPr="00A54D04">
              <w:t>Adelaide</w:t>
            </w:r>
          </w:p>
        </w:tc>
        <w:tc>
          <w:tcPr>
            <w:tcW w:w="2268" w:type="dxa"/>
          </w:tcPr>
          <w:p w14:paraId="48D95174" w14:textId="77777777" w:rsidR="00210E57" w:rsidRPr="00A54D04" w:rsidRDefault="00210E57">
            <w:pPr>
              <w:pStyle w:val="TableBody"/>
              <w:keepNext/>
              <w:keepLines/>
              <w:jc w:val="right"/>
            </w:pPr>
            <w:r w:rsidRPr="00A54D04">
              <w:t>$438.00</w:t>
            </w:r>
          </w:p>
        </w:tc>
        <w:tc>
          <w:tcPr>
            <w:tcW w:w="2268" w:type="dxa"/>
          </w:tcPr>
          <w:p w14:paraId="5416AEAC" w14:textId="77777777" w:rsidR="00210E57" w:rsidRPr="00A54D04" w:rsidRDefault="00210E57">
            <w:pPr>
              <w:pStyle w:val="TableBody"/>
              <w:keepNext/>
              <w:keepLines/>
              <w:jc w:val="right"/>
            </w:pPr>
            <w:r w:rsidRPr="00A54D04">
              <w:t>$538.00</w:t>
            </w:r>
          </w:p>
        </w:tc>
        <w:tc>
          <w:tcPr>
            <w:tcW w:w="2268" w:type="dxa"/>
          </w:tcPr>
          <w:p w14:paraId="0537ED08" w14:textId="77777777" w:rsidR="00210E57" w:rsidRPr="00A54D04" w:rsidRDefault="00210E57">
            <w:pPr>
              <w:pStyle w:val="TableBody"/>
              <w:keepNext/>
              <w:keepLines/>
              <w:jc w:val="right"/>
            </w:pPr>
            <w:r w:rsidRPr="00A54D04">
              <w:t>$489.42</w:t>
            </w:r>
          </w:p>
        </w:tc>
      </w:tr>
      <w:tr w:rsidR="00210E57" w:rsidRPr="00A54D04" w14:paraId="3718E0C4" w14:textId="77777777">
        <w:trPr>
          <w:cnfStyle w:val="000000010000" w:firstRow="0" w:lastRow="0" w:firstColumn="0" w:lastColumn="0" w:oddVBand="0" w:evenVBand="0" w:oddHBand="0" w:evenHBand="1" w:firstRowFirstColumn="0" w:firstRowLastColumn="0" w:lastRowFirstColumn="0" w:lastRowLastColumn="0"/>
          <w:cantSplit/>
        </w:trPr>
        <w:tc>
          <w:tcPr>
            <w:tcW w:w="2835" w:type="dxa"/>
          </w:tcPr>
          <w:p w14:paraId="342B6FEA" w14:textId="77777777" w:rsidR="00210E57" w:rsidRPr="00A54D04" w:rsidRDefault="00210E57">
            <w:pPr>
              <w:pStyle w:val="TableBody"/>
              <w:keepNext/>
              <w:keepLines/>
            </w:pPr>
            <w:r w:rsidRPr="00A54D04">
              <w:t>Queensland</w:t>
            </w:r>
          </w:p>
        </w:tc>
        <w:tc>
          <w:tcPr>
            <w:tcW w:w="2268" w:type="dxa"/>
          </w:tcPr>
          <w:p w14:paraId="017130AA" w14:textId="77777777" w:rsidR="00210E57" w:rsidRPr="00A54D04" w:rsidRDefault="00210E57">
            <w:pPr>
              <w:pStyle w:val="TableBody"/>
              <w:keepNext/>
              <w:keepLines/>
              <w:jc w:val="right"/>
            </w:pPr>
            <w:r w:rsidRPr="00A54D04">
              <w:t>$332.05</w:t>
            </w:r>
          </w:p>
        </w:tc>
        <w:tc>
          <w:tcPr>
            <w:tcW w:w="2268" w:type="dxa"/>
          </w:tcPr>
          <w:p w14:paraId="6E649643" w14:textId="77777777" w:rsidR="00210E57" w:rsidRPr="00A54D04" w:rsidRDefault="00210E57">
            <w:pPr>
              <w:pStyle w:val="TableBody"/>
              <w:keepNext/>
              <w:keepLines/>
              <w:jc w:val="right"/>
            </w:pPr>
            <w:r w:rsidRPr="00A54D04">
              <w:t>$332.05</w:t>
            </w:r>
          </w:p>
        </w:tc>
        <w:tc>
          <w:tcPr>
            <w:tcW w:w="2268" w:type="dxa"/>
          </w:tcPr>
          <w:p w14:paraId="23E58480" w14:textId="77777777" w:rsidR="00210E57" w:rsidRPr="00A54D04" w:rsidRDefault="00210E57">
            <w:pPr>
              <w:pStyle w:val="TableBody"/>
              <w:keepNext/>
              <w:keepLines/>
              <w:jc w:val="right"/>
            </w:pPr>
            <w:r w:rsidRPr="00A54D04">
              <w:t>$332.05</w:t>
            </w:r>
          </w:p>
        </w:tc>
      </w:tr>
      <w:tr w:rsidR="00210E57" w:rsidRPr="00A54D04" w14:paraId="3FEF47FA" w14:textId="77777777">
        <w:trPr>
          <w:cnfStyle w:val="000000100000" w:firstRow="0" w:lastRow="0" w:firstColumn="0" w:lastColumn="0" w:oddVBand="0" w:evenVBand="0" w:oddHBand="1" w:evenHBand="0" w:firstRowFirstColumn="0" w:firstRowLastColumn="0" w:lastRowFirstColumn="0" w:lastRowLastColumn="0"/>
          <w:cantSplit/>
        </w:trPr>
        <w:tc>
          <w:tcPr>
            <w:tcW w:w="2835" w:type="dxa"/>
          </w:tcPr>
          <w:p w14:paraId="507396DE" w14:textId="77777777" w:rsidR="00210E57" w:rsidRPr="00A54D04" w:rsidRDefault="00210E57">
            <w:pPr>
              <w:pStyle w:val="TableBody"/>
              <w:keepNext/>
              <w:keepLines/>
            </w:pPr>
            <w:r w:rsidRPr="00A54D04">
              <w:t>Perth</w:t>
            </w:r>
          </w:p>
        </w:tc>
        <w:tc>
          <w:tcPr>
            <w:tcW w:w="2268" w:type="dxa"/>
          </w:tcPr>
          <w:p w14:paraId="7D6FB06A" w14:textId="77777777" w:rsidR="00210E57" w:rsidRPr="00A54D04" w:rsidRDefault="00210E57">
            <w:pPr>
              <w:pStyle w:val="TableBody"/>
              <w:keepNext/>
              <w:keepLines/>
              <w:jc w:val="right"/>
            </w:pPr>
            <w:r w:rsidRPr="00A54D04">
              <w:t>$485.00</w:t>
            </w:r>
          </w:p>
        </w:tc>
        <w:tc>
          <w:tcPr>
            <w:tcW w:w="2268" w:type="dxa"/>
          </w:tcPr>
          <w:p w14:paraId="40CFD6AE" w14:textId="68BE5C9C" w:rsidR="00210E57" w:rsidRPr="00A54D04" w:rsidRDefault="00210E57">
            <w:pPr>
              <w:pStyle w:val="TableBody"/>
              <w:keepNext/>
              <w:keepLines/>
              <w:jc w:val="right"/>
            </w:pPr>
            <w:r w:rsidRPr="00A54D04">
              <w:t>$</w:t>
            </w:r>
            <w:r w:rsidR="000E0EF0" w:rsidRPr="00A54D04">
              <w:t>623.00</w:t>
            </w:r>
          </w:p>
        </w:tc>
        <w:tc>
          <w:tcPr>
            <w:tcW w:w="2268" w:type="dxa"/>
          </w:tcPr>
          <w:p w14:paraId="006BBAF0" w14:textId="77777777" w:rsidR="00210E57" w:rsidRPr="00A54D04" w:rsidRDefault="00210E57">
            <w:pPr>
              <w:pStyle w:val="TableBody"/>
              <w:keepNext/>
              <w:keepLines/>
              <w:jc w:val="right"/>
            </w:pPr>
            <w:r w:rsidRPr="00A54D04">
              <w:t>$559.49</w:t>
            </w:r>
          </w:p>
        </w:tc>
      </w:tr>
    </w:tbl>
    <w:p w14:paraId="59A923E7" w14:textId="77777777" w:rsidR="00210E57" w:rsidRPr="00A54D04" w:rsidRDefault="00210E57" w:rsidP="00210E57">
      <w:pPr>
        <w:pStyle w:val="Source"/>
        <w:keepLines/>
        <w:jc w:val="left"/>
      </w:pPr>
      <w:r w:rsidRPr="00A54D04">
        <w:rPr>
          <w:b/>
          <w:bCs/>
        </w:rPr>
        <w:t>Source:</w:t>
      </w:r>
      <w:r w:rsidRPr="00A54D04">
        <w:t xml:space="preserve"> Essential Services Commission analysis.</w:t>
      </w:r>
    </w:p>
    <w:p w14:paraId="48D3314E" w14:textId="0F745D48" w:rsidR="00210E57" w:rsidRPr="00A54D04" w:rsidRDefault="00210E57" w:rsidP="00210E57">
      <w:r w:rsidRPr="00A54D04">
        <w:t xml:space="preserve">We consider the adjustments outlined above make the benchmarks across jurisdictions comparable. However, </w:t>
      </w:r>
      <w:r w:rsidR="00615118" w:rsidRPr="00A54D04">
        <w:t xml:space="preserve">we acknowledge </w:t>
      </w:r>
      <w:r w:rsidRPr="00A54D04">
        <w:t>there were limits to the adjustments we could make. For example:</w:t>
      </w:r>
    </w:p>
    <w:p w14:paraId="032774A5" w14:textId="77777777" w:rsidR="00615118" w:rsidRPr="00A54D04" w:rsidRDefault="00210E57" w:rsidP="00210E57">
      <w:pPr>
        <w:pStyle w:val="ListBullet"/>
      </w:pPr>
      <w:r w:rsidRPr="00A54D04">
        <w:t>We did not make an adjustment for salvage, which is included in the base fee for Sydney and Adelaide.</w:t>
      </w:r>
    </w:p>
    <w:p w14:paraId="39CD2D75" w14:textId="3B0D1DF4" w:rsidR="00927CD3" w:rsidRPr="00A54D04" w:rsidRDefault="00210E57">
      <w:pPr>
        <w:pStyle w:val="ListBullet2"/>
      </w:pPr>
      <w:r w:rsidRPr="00A54D04">
        <w:t>We did not have sufficient information on salvage requirements in each jurisdiction to make the necessary adjustment.</w:t>
      </w:r>
    </w:p>
    <w:p w14:paraId="691755C0" w14:textId="0142E266" w:rsidR="00210E57" w:rsidRPr="00A54D04" w:rsidRDefault="00210E57" w:rsidP="00152FB9">
      <w:pPr>
        <w:pStyle w:val="ListBullet2"/>
      </w:pPr>
      <w:r w:rsidRPr="00A54D04">
        <w:t>This may result in the estimated ‘standard’ fee being overestimated for Sydney and Adelaide.</w:t>
      </w:r>
    </w:p>
    <w:p w14:paraId="3F418D7A" w14:textId="77777777" w:rsidR="00210E57" w:rsidRPr="00A54D04" w:rsidRDefault="00210E57" w:rsidP="00210E57">
      <w:pPr>
        <w:pStyle w:val="ListBullet"/>
      </w:pPr>
      <w:r w:rsidRPr="00A54D04">
        <w:t>We have not accounted for the fact that tow truck operators in Melbourne have a relatively higher degree of certainty in relation to accident towing jobs through the accident allocation scheme.</w:t>
      </w:r>
    </w:p>
    <w:p w14:paraId="3A3059A2" w14:textId="77777777" w:rsidR="00615118" w:rsidRPr="00A54D04" w:rsidRDefault="00210E57" w:rsidP="00210E57">
      <w:pPr>
        <w:pStyle w:val="ListBullet"/>
      </w:pPr>
      <w:r w:rsidRPr="00A54D04">
        <w:lastRenderedPageBreak/>
        <w:t xml:space="preserve">We subtracted three days of storage from the base fee in Queensland. </w:t>
      </w:r>
    </w:p>
    <w:p w14:paraId="50DD5C48" w14:textId="7DF424D7" w:rsidR="00210E57" w:rsidRPr="00A54D04" w:rsidRDefault="00927CD3" w:rsidP="00152FB9">
      <w:pPr>
        <w:pStyle w:val="ListBullet2"/>
      </w:pPr>
      <w:r w:rsidRPr="00A54D04">
        <w:t>I</w:t>
      </w:r>
      <w:r w:rsidR="00210E57" w:rsidRPr="00A54D04">
        <w:t>n practice, customers do not have the option to do this. Regardless of whether they require storage, they would be charged more than the estimated ‘standard’ fee.</w:t>
      </w:r>
    </w:p>
    <w:p w14:paraId="572A23A0" w14:textId="0A5199BB" w:rsidR="00210E57" w:rsidRPr="00A54D04" w:rsidRDefault="00210E57" w:rsidP="00210E57">
      <w:pPr>
        <w:pStyle w:val="ListBullet"/>
      </w:pPr>
      <w:r w:rsidRPr="00A54D04">
        <w:t>The regulated fees in Queensland apply to both metropolitan and regional areas</w:t>
      </w:r>
      <w:r w:rsidR="00615118" w:rsidRPr="00A54D04">
        <w:t>, with the latter</w:t>
      </w:r>
      <w:r w:rsidRPr="00A54D04">
        <w:t xml:space="preserve"> less likely to be comparable to the Melbourne controlled area. </w:t>
      </w:r>
    </w:p>
    <w:p w14:paraId="1F2DEA68" w14:textId="745DC50D" w:rsidR="00D906E3" w:rsidRPr="00A54D04" w:rsidRDefault="00210E57" w:rsidP="00A33FF5">
      <w:r w:rsidRPr="00A54D04">
        <w:t xml:space="preserve">We also </w:t>
      </w:r>
      <w:r w:rsidR="00CF6CDB" w:rsidRPr="00A54D04">
        <w:t xml:space="preserve">accept </w:t>
      </w:r>
      <w:r w:rsidRPr="00A54D04">
        <w:t xml:space="preserve">that there are some challenges in standardising the distance travelled. Accident towing jobs in Adelaide, Queensland and Perth </w:t>
      </w:r>
      <w:r w:rsidR="00BD7830" w:rsidRPr="00A54D04">
        <w:t xml:space="preserve">are </w:t>
      </w:r>
      <w:r w:rsidRPr="00A54D04">
        <w:t xml:space="preserve">likely </w:t>
      </w:r>
      <w:r w:rsidR="00BD7830" w:rsidRPr="00A54D04">
        <w:t>to be</w:t>
      </w:r>
      <w:r w:rsidR="00E92C85" w:rsidRPr="00A54D04">
        <w:t xml:space="preserve"> </w:t>
      </w:r>
      <w:r w:rsidR="00927CD3" w:rsidRPr="00A54D04">
        <w:t>longer distances</w:t>
      </w:r>
      <w:r w:rsidR="00CF6CDB" w:rsidRPr="00A54D04">
        <w:t xml:space="preserve"> </w:t>
      </w:r>
      <w:r w:rsidRPr="00A54D04">
        <w:t>on average, than those in Melbourne and Sydney. This is reflected in the longer distances included in the base fees in these jurisdictions.</w:t>
      </w:r>
      <w:r w:rsidR="0043054E" w:rsidRPr="00A54D04">
        <w:t xml:space="preserve"> </w:t>
      </w:r>
      <w:bookmarkStart w:id="270" w:name="_Toc184041473"/>
      <w:bookmarkStart w:id="271" w:name="_Toc185321803"/>
      <w:bookmarkStart w:id="272" w:name="_Toc190265329"/>
    </w:p>
    <w:p w14:paraId="19FBBE72" w14:textId="3D255A73" w:rsidR="00210E57" w:rsidRPr="00A54D04" w:rsidRDefault="00111E94" w:rsidP="00210E57">
      <w:pPr>
        <w:pStyle w:val="Heading2"/>
      </w:pPr>
      <w:bookmarkStart w:id="273" w:name="_Toc195721929"/>
      <w:bookmarkStart w:id="274" w:name="_Toc197345286"/>
      <w:bookmarkStart w:id="275" w:name="_Toc197942455"/>
      <w:bookmarkStart w:id="276" w:name="_Toc197977728"/>
      <w:bookmarkStart w:id="277" w:name="_Toc198048717"/>
      <w:bookmarkStart w:id="278" w:name="_Toc199231590"/>
      <w:r w:rsidRPr="00A54D04">
        <w:t xml:space="preserve">Regulated </w:t>
      </w:r>
      <w:r w:rsidR="00797886">
        <w:t xml:space="preserve">accident </w:t>
      </w:r>
      <w:r w:rsidRPr="00A54D04">
        <w:t>towing fees are expectedly higher than</w:t>
      </w:r>
      <w:r w:rsidR="00AB5414" w:rsidRPr="00A54D04">
        <w:t xml:space="preserve"> unregulated</w:t>
      </w:r>
      <w:r w:rsidRPr="00A54D04">
        <w:t xml:space="preserve"> t</w:t>
      </w:r>
      <w:r w:rsidR="00210E57" w:rsidRPr="00A54D04">
        <w:t>rade towing fees</w:t>
      </w:r>
      <w:bookmarkEnd w:id="270"/>
      <w:bookmarkEnd w:id="271"/>
      <w:bookmarkEnd w:id="272"/>
      <w:bookmarkEnd w:id="273"/>
      <w:bookmarkEnd w:id="274"/>
      <w:bookmarkEnd w:id="275"/>
      <w:bookmarkEnd w:id="276"/>
      <w:bookmarkEnd w:id="277"/>
      <w:bookmarkEnd w:id="278"/>
    </w:p>
    <w:p w14:paraId="69C5D8B4" w14:textId="77777777" w:rsidR="00210E57" w:rsidRPr="00A54D04" w:rsidRDefault="00210E57" w:rsidP="00210E57">
      <w:r w:rsidRPr="00A54D04">
        <w:t>We compared regulated accident towing fees in the Melbourne controlled area to trade towing fees for breakdown towing, abandoned (or derelict) vehicle towing and clearway towing in Melbourne. Trade towing services are unregulated in Victoria.</w:t>
      </w:r>
    </w:p>
    <w:p w14:paraId="6617618E" w14:textId="04C3B0F9" w:rsidR="00210E57" w:rsidRPr="00A54D04" w:rsidRDefault="00210E57" w:rsidP="00210E57">
      <w:pPr>
        <w:pStyle w:val="Heading3"/>
      </w:pPr>
      <w:bookmarkStart w:id="279" w:name="_Toc184041474"/>
      <w:bookmarkStart w:id="280" w:name="_Toc185321804"/>
      <w:bookmarkStart w:id="281" w:name="_Toc190265330"/>
      <w:bookmarkStart w:id="282" w:name="_Toc195721930"/>
      <w:bookmarkStart w:id="283" w:name="_Toc197345287"/>
      <w:bookmarkStart w:id="284" w:name="_Toc197942456"/>
      <w:bookmarkStart w:id="285" w:name="_Toc197977729"/>
      <w:bookmarkStart w:id="286" w:name="_Toc198048718"/>
      <w:bookmarkStart w:id="287" w:name="_Toc199231591"/>
      <w:r w:rsidRPr="00A54D04">
        <w:t>Breakdown towing and general trade towing</w:t>
      </w:r>
      <w:bookmarkEnd w:id="279"/>
      <w:bookmarkEnd w:id="280"/>
      <w:bookmarkEnd w:id="281"/>
      <w:bookmarkEnd w:id="282"/>
      <w:r w:rsidRPr="00A54D04">
        <w:t xml:space="preserve"> </w:t>
      </w:r>
      <w:r w:rsidR="00B068B7" w:rsidRPr="00A54D04">
        <w:t>fees</w:t>
      </w:r>
      <w:bookmarkEnd w:id="283"/>
      <w:bookmarkEnd w:id="284"/>
      <w:bookmarkEnd w:id="285"/>
      <w:bookmarkEnd w:id="286"/>
      <w:bookmarkEnd w:id="287"/>
    </w:p>
    <w:p w14:paraId="2A068191" w14:textId="77777777" w:rsidR="00210E57" w:rsidRPr="00A54D04" w:rsidRDefault="00210E57" w:rsidP="00210E57">
      <w:r w:rsidRPr="00A54D04">
        <w:t>Tow truck operators compete for the general towing of vehicles as customers can seek quotes from several operators to obtain the most appropriate service for their requirements (for example, the cheapest service or convenience).</w:t>
      </w:r>
    </w:p>
    <w:p w14:paraId="56A5709D" w14:textId="551F0173" w:rsidR="00210E57" w:rsidRPr="00A54D04" w:rsidRDefault="00210E57" w:rsidP="00210E57">
      <w:r w:rsidRPr="00A54D04">
        <w:t>The cost of a trade tow will depend on the type of tow required and a range of factors including the type of vehicle, distance and destination of the tow, and the time and day of the tow.</w:t>
      </w:r>
    </w:p>
    <w:p w14:paraId="23DE282E" w14:textId="77777777" w:rsidR="00210E57" w:rsidRPr="00A54D04" w:rsidRDefault="00210E57" w:rsidP="00210E57">
      <w:r w:rsidRPr="00A54D04">
        <w:t>We obtained five online quotes from tow truck operators in the Melbourne area which indicated that the current market price for general trade tows similar in conditions to a standard accident tow was between $132 and $220, with an average of $188. This is much lower than the regulated accident towing fee ($383).</w:t>
      </w:r>
    </w:p>
    <w:p w14:paraId="1CB82AD4" w14:textId="2AB6B6D4" w:rsidR="00210E57" w:rsidRPr="00A54D04" w:rsidRDefault="00210E57" w:rsidP="00210E57">
      <w:pPr>
        <w:pStyle w:val="Heading3"/>
      </w:pPr>
      <w:bookmarkStart w:id="288" w:name="_Toc184041475"/>
      <w:bookmarkStart w:id="289" w:name="_Toc185321805"/>
      <w:bookmarkStart w:id="290" w:name="_Toc190265331"/>
      <w:bookmarkStart w:id="291" w:name="_Toc195721931"/>
      <w:bookmarkStart w:id="292" w:name="_Toc197345288"/>
      <w:bookmarkStart w:id="293" w:name="_Toc197942457"/>
      <w:bookmarkStart w:id="294" w:name="_Toc197977730"/>
      <w:bookmarkStart w:id="295" w:name="_Toc198048719"/>
      <w:bookmarkStart w:id="296" w:name="_Toc199231592"/>
      <w:r w:rsidRPr="00A54D04">
        <w:t>Abandoned (or derelict) vehicle towing</w:t>
      </w:r>
      <w:bookmarkEnd w:id="288"/>
      <w:bookmarkEnd w:id="289"/>
      <w:bookmarkEnd w:id="290"/>
      <w:bookmarkEnd w:id="291"/>
      <w:r w:rsidRPr="00A54D04">
        <w:t xml:space="preserve"> </w:t>
      </w:r>
      <w:r w:rsidR="00B068B7" w:rsidRPr="00A54D04">
        <w:t>fees</w:t>
      </w:r>
      <w:bookmarkEnd w:id="292"/>
      <w:bookmarkEnd w:id="293"/>
      <w:bookmarkEnd w:id="294"/>
      <w:bookmarkEnd w:id="295"/>
      <w:bookmarkEnd w:id="296"/>
    </w:p>
    <w:p w14:paraId="604FD0BE" w14:textId="77777777" w:rsidR="00210E57" w:rsidRPr="00A54D04" w:rsidRDefault="00210E57" w:rsidP="00210E57">
      <w:r w:rsidRPr="00A54D04">
        <w:t>Local councils are responsible for clearing vehicles which have been deemed to be abandoned, are derelict or causing obstruction. To do so, they generally have a contract (often arranged via commercial tender) with a tow truck company or operator who will be responsible for these tows.</w:t>
      </w:r>
    </w:p>
    <w:p w14:paraId="7107FF08" w14:textId="77777777" w:rsidR="00210E57" w:rsidRPr="00A54D04" w:rsidRDefault="00210E57" w:rsidP="00210E57">
      <w:r w:rsidRPr="00A54D04">
        <w:t xml:space="preserve">A ‘release fee’ is charged to retrieve an abandoned (or derelict) vehicle that has been towed and impounded. This release fee generally includes a towing fee component and an administration fee component. Most councils publish the release fee in their annual budget. Some councils publish the disaggregated towing fee and administration fee. </w:t>
      </w:r>
    </w:p>
    <w:p w14:paraId="5ACFD954" w14:textId="544A74B8" w:rsidR="00210E57" w:rsidRPr="00A54D04" w:rsidRDefault="00210E57" w:rsidP="00210E57">
      <w:r w:rsidRPr="00A54D04">
        <w:lastRenderedPageBreak/>
        <w:t>For 2024–25, five councils in the Melbourne area</w:t>
      </w:r>
      <w:r w:rsidR="00412DAA" w:rsidRPr="00A54D04">
        <w:t xml:space="preserve"> </w:t>
      </w:r>
      <w:r w:rsidRPr="00A54D04">
        <w:t>published towing fees rang</w:t>
      </w:r>
      <w:r w:rsidR="00412DAA" w:rsidRPr="00A54D04">
        <w:t>ing</w:t>
      </w:r>
      <w:r w:rsidRPr="00A54D04">
        <w:t xml:space="preserve"> from $192 to $358, with an average of $276 (see Table 1</w:t>
      </w:r>
      <w:r w:rsidR="008C3EBA" w:rsidRPr="00A54D04">
        <w:t>3</w:t>
      </w:r>
      <w:r w:rsidRPr="00A54D04">
        <w:t>). The towing fees for these five councils are lower than the regulated accident towing fee in Melbourne ($383).</w:t>
      </w:r>
    </w:p>
    <w:p w14:paraId="72D15C6E" w14:textId="476C95DA" w:rsidR="00210E57" w:rsidRPr="00A54D04" w:rsidRDefault="00210E57" w:rsidP="00210E57">
      <w:pPr>
        <w:pStyle w:val="Figure-Table-BoxHeading"/>
        <w:keepNext/>
        <w:keepLines/>
        <w:numPr>
          <w:ilvl w:val="0"/>
          <w:numId w:val="0"/>
        </w:numPr>
        <w:spacing w:after="0"/>
        <w:ind w:left="851" w:hanging="851"/>
      </w:pPr>
      <w:r w:rsidRPr="00A54D04">
        <w:t>Table 1</w:t>
      </w:r>
      <w:r w:rsidR="008C3EBA" w:rsidRPr="00A54D04">
        <w:t>3</w:t>
      </w:r>
      <w:r w:rsidRPr="00A54D04">
        <w:t>. Published towing fees for abandoned or derelict vehicles by council</w:t>
      </w:r>
      <w:r w:rsidR="006956E3" w:rsidRPr="00A54D04">
        <w:t xml:space="preserve"> (</w:t>
      </w:r>
      <w:r w:rsidRPr="00A54D04">
        <w:t>2024</w:t>
      </w:r>
      <w:r w:rsidRPr="00A54D04">
        <w:rPr>
          <w:lang w:val="en-AU"/>
        </w:rPr>
        <w:t>–</w:t>
      </w:r>
      <w:r w:rsidRPr="00A54D04">
        <w:t>25</w:t>
      </w:r>
      <w:r w:rsidR="006956E3" w:rsidRPr="00A54D04">
        <w:t>)</w:t>
      </w:r>
    </w:p>
    <w:tbl>
      <w:tblPr>
        <w:tblStyle w:val="TableGrid"/>
        <w:tblW w:w="0" w:type="auto"/>
        <w:tblLook w:val="04A0" w:firstRow="1" w:lastRow="0" w:firstColumn="1" w:lastColumn="0" w:noHBand="0" w:noVBand="1"/>
      </w:tblPr>
      <w:tblGrid>
        <w:gridCol w:w="4826"/>
        <w:gridCol w:w="4812"/>
      </w:tblGrid>
      <w:tr w:rsidR="00210E57" w:rsidRPr="00A54D04" w14:paraId="7849EC91" w14:textId="77777777">
        <w:trPr>
          <w:cnfStyle w:val="100000000000" w:firstRow="1" w:lastRow="0" w:firstColumn="0" w:lastColumn="0" w:oddVBand="0" w:evenVBand="0" w:oddHBand="0" w:evenHBand="0" w:firstRowFirstColumn="0" w:firstRowLastColumn="0" w:lastRowFirstColumn="0" w:lastRowLastColumn="0"/>
        </w:trPr>
        <w:tc>
          <w:tcPr>
            <w:tcW w:w="4892" w:type="dxa"/>
          </w:tcPr>
          <w:p w14:paraId="64D3DDE5" w14:textId="77777777" w:rsidR="00210E57" w:rsidRPr="00A54D04" w:rsidRDefault="00210E57">
            <w:pPr>
              <w:pStyle w:val="TableHeading"/>
              <w:keepNext/>
              <w:keepLines/>
            </w:pPr>
            <w:r w:rsidRPr="00A54D04">
              <w:t xml:space="preserve">Council </w:t>
            </w:r>
          </w:p>
        </w:tc>
        <w:tc>
          <w:tcPr>
            <w:tcW w:w="4888" w:type="dxa"/>
          </w:tcPr>
          <w:p w14:paraId="2EF496CC" w14:textId="77777777" w:rsidR="00210E57" w:rsidRPr="00A54D04" w:rsidRDefault="00210E57">
            <w:pPr>
              <w:pStyle w:val="TableHeading"/>
              <w:keepNext/>
              <w:keepLines/>
            </w:pPr>
            <w:r w:rsidRPr="00A54D04">
              <w:t xml:space="preserve">Towing fee </w:t>
            </w:r>
          </w:p>
        </w:tc>
      </w:tr>
      <w:tr w:rsidR="00210E57" w:rsidRPr="00A54D04" w14:paraId="191F7C51" w14:textId="77777777">
        <w:trPr>
          <w:cnfStyle w:val="000000100000" w:firstRow="0" w:lastRow="0" w:firstColumn="0" w:lastColumn="0" w:oddVBand="0" w:evenVBand="0" w:oddHBand="1" w:evenHBand="0" w:firstRowFirstColumn="0" w:firstRowLastColumn="0" w:lastRowFirstColumn="0" w:lastRowLastColumn="0"/>
        </w:trPr>
        <w:tc>
          <w:tcPr>
            <w:tcW w:w="4892" w:type="dxa"/>
          </w:tcPr>
          <w:p w14:paraId="47057C6C" w14:textId="77777777" w:rsidR="00210E57" w:rsidRPr="00A54D04" w:rsidRDefault="00210E57">
            <w:pPr>
              <w:pStyle w:val="TableBody"/>
              <w:keepNext/>
              <w:keepLines/>
            </w:pPr>
            <w:r w:rsidRPr="00A54D04">
              <w:t>Darebin City Council</w:t>
            </w:r>
          </w:p>
        </w:tc>
        <w:tc>
          <w:tcPr>
            <w:tcW w:w="4888" w:type="dxa"/>
          </w:tcPr>
          <w:p w14:paraId="38831DEA" w14:textId="77777777" w:rsidR="00210E57" w:rsidRPr="00A54D04" w:rsidRDefault="00210E57">
            <w:pPr>
              <w:pStyle w:val="TableBody"/>
              <w:keepNext/>
              <w:keepLines/>
            </w:pPr>
            <w:r w:rsidRPr="00A54D04">
              <w:t>$300.00</w:t>
            </w:r>
          </w:p>
        </w:tc>
      </w:tr>
      <w:tr w:rsidR="00210E57" w:rsidRPr="00A54D04" w14:paraId="02D66DC1" w14:textId="77777777">
        <w:trPr>
          <w:cnfStyle w:val="000000010000" w:firstRow="0" w:lastRow="0" w:firstColumn="0" w:lastColumn="0" w:oddVBand="0" w:evenVBand="0" w:oddHBand="0" w:evenHBand="1" w:firstRowFirstColumn="0" w:firstRowLastColumn="0" w:lastRowFirstColumn="0" w:lastRowLastColumn="0"/>
        </w:trPr>
        <w:tc>
          <w:tcPr>
            <w:tcW w:w="4892" w:type="dxa"/>
          </w:tcPr>
          <w:p w14:paraId="67F0EEE3" w14:textId="77777777" w:rsidR="00210E57" w:rsidRPr="00A54D04" w:rsidRDefault="00210E57">
            <w:pPr>
              <w:pStyle w:val="TableBody"/>
              <w:keepNext/>
              <w:keepLines/>
            </w:pPr>
            <w:r w:rsidRPr="00A54D04">
              <w:t>Knox City Council</w:t>
            </w:r>
          </w:p>
        </w:tc>
        <w:tc>
          <w:tcPr>
            <w:tcW w:w="4888" w:type="dxa"/>
          </w:tcPr>
          <w:p w14:paraId="210974E6" w14:textId="77777777" w:rsidR="00210E57" w:rsidRPr="00A54D04" w:rsidRDefault="00210E57">
            <w:pPr>
              <w:pStyle w:val="TableBody"/>
              <w:keepNext/>
              <w:keepLines/>
            </w:pPr>
            <w:r w:rsidRPr="00A54D04">
              <w:t>$358.00</w:t>
            </w:r>
          </w:p>
        </w:tc>
      </w:tr>
      <w:tr w:rsidR="00210E57" w:rsidRPr="00A54D04" w14:paraId="1DEB90E5" w14:textId="77777777">
        <w:trPr>
          <w:cnfStyle w:val="000000100000" w:firstRow="0" w:lastRow="0" w:firstColumn="0" w:lastColumn="0" w:oddVBand="0" w:evenVBand="0" w:oddHBand="1" w:evenHBand="0" w:firstRowFirstColumn="0" w:firstRowLastColumn="0" w:lastRowFirstColumn="0" w:lastRowLastColumn="0"/>
        </w:trPr>
        <w:tc>
          <w:tcPr>
            <w:tcW w:w="4892" w:type="dxa"/>
          </w:tcPr>
          <w:p w14:paraId="773D428D" w14:textId="77777777" w:rsidR="00210E57" w:rsidRPr="00A54D04" w:rsidRDefault="00210E57">
            <w:pPr>
              <w:pStyle w:val="TableBody"/>
              <w:keepNext/>
              <w:keepLines/>
            </w:pPr>
            <w:r w:rsidRPr="00A54D04">
              <w:t>Manningham City Council</w:t>
            </w:r>
          </w:p>
        </w:tc>
        <w:tc>
          <w:tcPr>
            <w:tcW w:w="4888" w:type="dxa"/>
          </w:tcPr>
          <w:p w14:paraId="042F1955" w14:textId="77777777" w:rsidR="00210E57" w:rsidRPr="00A54D04" w:rsidRDefault="00210E57">
            <w:pPr>
              <w:pStyle w:val="TableBody"/>
              <w:keepNext/>
              <w:keepLines/>
            </w:pPr>
            <w:r w:rsidRPr="00A54D04">
              <w:t>$197.10</w:t>
            </w:r>
          </w:p>
        </w:tc>
      </w:tr>
      <w:tr w:rsidR="00210E57" w:rsidRPr="00A54D04" w14:paraId="15DF2DAE" w14:textId="77777777">
        <w:trPr>
          <w:cnfStyle w:val="000000010000" w:firstRow="0" w:lastRow="0" w:firstColumn="0" w:lastColumn="0" w:oddVBand="0" w:evenVBand="0" w:oddHBand="0" w:evenHBand="1" w:firstRowFirstColumn="0" w:firstRowLastColumn="0" w:lastRowFirstColumn="0" w:lastRowLastColumn="0"/>
        </w:trPr>
        <w:tc>
          <w:tcPr>
            <w:tcW w:w="4892" w:type="dxa"/>
          </w:tcPr>
          <w:p w14:paraId="712271D0" w14:textId="77777777" w:rsidR="00210E57" w:rsidRPr="00A54D04" w:rsidRDefault="00210E57">
            <w:pPr>
              <w:pStyle w:val="TableBody"/>
              <w:keepNext/>
              <w:keepLines/>
            </w:pPr>
            <w:r w:rsidRPr="00A54D04">
              <w:t>Melbourne City Council</w:t>
            </w:r>
          </w:p>
        </w:tc>
        <w:tc>
          <w:tcPr>
            <w:tcW w:w="4888" w:type="dxa"/>
          </w:tcPr>
          <w:p w14:paraId="5175237C" w14:textId="77777777" w:rsidR="00210E57" w:rsidRPr="00A54D04" w:rsidRDefault="00210E57">
            <w:pPr>
              <w:pStyle w:val="TableBody"/>
              <w:keepNext/>
              <w:keepLines/>
            </w:pPr>
            <w:r w:rsidRPr="00A54D04">
              <w:t>$335.00</w:t>
            </w:r>
          </w:p>
        </w:tc>
      </w:tr>
      <w:tr w:rsidR="00210E57" w:rsidRPr="00A54D04" w14:paraId="4E3BE61F" w14:textId="77777777">
        <w:trPr>
          <w:cnfStyle w:val="000000100000" w:firstRow="0" w:lastRow="0" w:firstColumn="0" w:lastColumn="0" w:oddVBand="0" w:evenVBand="0" w:oddHBand="1" w:evenHBand="0" w:firstRowFirstColumn="0" w:firstRowLastColumn="0" w:lastRowFirstColumn="0" w:lastRowLastColumn="0"/>
        </w:trPr>
        <w:tc>
          <w:tcPr>
            <w:tcW w:w="4892" w:type="dxa"/>
          </w:tcPr>
          <w:p w14:paraId="2DE839B0" w14:textId="77777777" w:rsidR="00210E57" w:rsidRPr="00A54D04" w:rsidRDefault="00210E57">
            <w:pPr>
              <w:pStyle w:val="TableBody"/>
              <w:keepNext/>
              <w:keepLines/>
            </w:pPr>
            <w:r w:rsidRPr="00A54D04">
              <w:t>Nillumbik Shire Council</w:t>
            </w:r>
          </w:p>
        </w:tc>
        <w:tc>
          <w:tcPr>
            <w:tcW w:w="4888" w:type="dxa"/>
          </w:tcPr>
          <w:p w14:paraId="40F9E7BC" w14:textId="77777777" w:rsidR="00210E57" w:rsidRPr="00A54D04" w:rsidRDefault="00210E57">
            <w:pPr>
              <w:pStyle w:val="TableBody"/>
              <w:keepNext/>
              <w:keepLines/>
            </w:pPr>
            <w:r w:rsidRPr="00A54D04">
              <w:t>$192.00</w:t>
            </w:r>
          </w:p>
        </w:tc>
      </w:tr>
      <w:tr w:rsidR="00210E57" w:rsidRPr="00A54D04" w14:paraId="30C33BA1" w14:textId="77777777">
        <w:trPr>
          <w:cnfStyle w:val="000000010000" w:firstRow="0" w:lastRow="0" w:firstColumn="0" w:lastColumn="0" w:oddVBand="0" w:evenVBand="0" w:oddHBand="0" w:evenHBand="1" w:firstRowFirstColumn="0" w:firstRowLastColumn="0" w:lastRowFirstColumn="0" w:lastRowLastColumn="0"/>
        </w:trPr>
        <w:tc>
          <w:tcPr>
            <w:tcW w:w="4892" w:type="dxa"/>
          </w:tcPr>
          <w:p w14:paraId="6AF81065" w14:textId="77777777" w:rsidR="00210E57" w:rsidRPr="00A54D04" w:rsidRDefault="00210E57">
            <w:pPr>
              <w:pStyle w:val="TableBody"/>
              <w:keepNext/>
              <w:keepLines/>
              <w:rPr>
                <w:b/>
                <w:bCs/>
              </w:rPr>
            </w:pPr>
            <w:r w:rsidRPr="00A54D04">
              <w:rPr>
                <w:b/>
                <w:bCs/>
              </w:rPr>
              <w:t>Average</w:t>
            </w:r>
          </w:p>
        </w:tc>
        <w:tc>
          <w:tcPr>
            <w:tcW w:w="4888" w:type="dxa"/>
          </w:tcPr>
          <w:p w14:paraId="4999EA6D" w14:textId="77777777" w:rsidR="00210E57" w:rsidRPr="00A54D04" w:rsidRDefault="00210E57">
            <w:pPr>
              <w:pStyle w:val="TableBody"/>
              <w:keepNext/>
              <w:keepLines/>
              <w:rPr>
                <w:b/>
                <w:bCs/>
              </w:rPr>
            </w:pPr>
            <w:r w:rsidRPr="00A54D04">
              <w:rPr>
                <w:b/>
                <w:bCs/>
              </w:rPr>
              <w:t>$276.42</w:t>
            </w:r>
          </w:p>
        </w:tc>
      </w:tr>
    </w:tbl>
    <w:p w14:paraId="4CD355C5" w14:textId="77777777" w:rsidR="00210E57" w:rsidRPr="00A54D04" w:rsidRDefault="00210E57" w:rsidP="00210E57">
      <w:pPr>
        <w:pStyle w:val="Source"/>
        <w:jc w:val="left"/>
      </w:pPr>
      <w:r w:rsidRPr="00A54D04">
        <w:rPr>
          <w:b/>
          <w:bCs/>
        </w:rPr>
        <w:t>Source:</w:t>
      </w:r>
      <w:r w:rsidRPr="00A54D04">
        <w:t xml:space="preserve"> Darebin City Council, Annual Budget 2024–25; Knox City Council, Annual Budget 2024–25; Manningham City Council, Annual Budget 2024–25; Melbourne City Council, Annual Budget 2024–25; Nillumbik Shire Council, Annual Budget 2024–25.</w:t>
      </w:r>
    </w:p>
    <w:p w14:paraId="628E4EF1" w14:textId="04A48B06" w:rsidR="00210E57" w:rsidRPr="00A54D04" w:rsidRDefault="00210E57" w:rsidP="00210E57">
      <w:pPr>
        <w:pStyle w:val="Heading3"/>
      </w:pPr>
      <w:bookmarkStart w:id="297" w:name="_Toc184041476"/>
      <w:bookmarkStart w:id="298" w:name="_Toc185321806"/>
      <w:bookmarkStart w:id="299" w:name="_Toc190265332"/>
      <w:bookmarkStart w:id="300" w:name="_Toc195721932"/>
      <w:bookmarkStart w:id="301" w:name="_Toc197345289"/>
      <w:bookmarkStart w:id="302" w:name="_Toc197942458"/>
      <w:bookmarkStart w:id="303" w:name="_Toc197977731"/>
      <w:bookmarkStart w:id="304" w:name="_Toc198048720"/>
      <w:bookmarkStart w:id="305" w:name="_Toc199231593"/>
      <w:r w:rsidRPr="00A54D04">
        <w:t>Clearway towing</w:t>
      </w:r>
      <w:bookmarkEnd w:id="297"/>
      <w:bookmarkEnd w:id="298"/>
      <w:bookmarkEnd w:id="299"/>
      <w:bookmarkEnd w:id="300"/>
      <w:r w:rsidRPr="00A54D04">
        <w:t xml:space="preserve"> </w:t>
      </w:r>
      <w:r w:rsidR="00B068B7" w:rsidRPr="00A54D04">
        <w:t>fees</w:t>
      </w:r>
      <w:bookmarkEnd w:id="301"/>
      <w:bookmarkEnd w:id="302"/>
      <w:bookmarkEnd w:id="303"/>
      <w:bookmarkEnd w:id="304"/>
      <w:bookmarkEnd w:id="305"/>
    </w:p>
    <w:p w14:paraId="08774E5E" w14:textId="77777777" w:rsidR="00210E57" w:rsidRPr="00A54D04" w:rsidRDefault="00210E57" w:rsidP="00210E57">
      <w:r w:rsidRPr="00A54D04">
        <w:t>Clearway towing is the towing of a vehicle parked in a clearway marked as a tow-away zone during the posted restricted times. All clearways on major roads within 20 kilometres of Melbourne’s CBD are tow-away zones. Clearway towing in Melbourne is mainly operated by the Department of Transport and Planning. However, some councils manage clearway towing in their respective municipalities instead.</w:t>
      </w:r>
    </w:p>
    <w:p w14:paraId="64062551" w14:textId="77777777" w:rsidR="00210E57" w:rsidRPr="00A54D04" w:rsidRDefault="00210E57" w:rsidP="00210E57">
      <w:proofErr w:type="gramStart"/>
      <w:r w:rsidRPr="00A54D04">
        <w:t>Similar to</w:t>
      </w:r>
      <w:proofErr w:type="gramEnd"/>
      <w:r w:rsidRPr="00A54D04">
        <w:t xml:space="preserve"> abandoned (or derelict) vehicle towing, a ‘release fee’ </w:t>
      </w:r>
      <w:proofErr w:type="gramStart"/>
      <w:r w:rsidRPr="00A54D04">
        <w:t>is charged</w:t>
      </w:r>
      <w:proofErr w:type="gramEnd"/>
      <w:r w:rsidRPr="00A54D04">
        <w:t xml:space="preserve"> to retrieve a vehicle that has </w:t>
      </w:r>
      <w:proofErr w:type="gramStart"/>
      <w:r w:rsidRPr="00A54D04">
        <w:t>been towed</w:t>
      </w:r>
      <w:proofErr w:type="gramEnd"/>
      <w:r w:rsidRPr="00A54D04">
        <w:t xml:space="preserve"> from a clearway zone and impounded. This release fee generally includes a towing fee component, administration fee component, and storage fee component.</w:t>
      </w:r>
      <w:r w:rsidRPr="00A54D04">
        <w:rPr>
          <w:rStyle w:val="FootnoteReference"/>
        </w:rPr>
        <w:footnoteReference w:id="71"/>
      </w:r>
      <w:r w:rsidRPr="00A54D04">
        <w:t xml:space="preserve"> </w:t>
      </w:r>
    </w:p>
    <w:p w14:paraId="5AD284F7" w14:textId="77777777" w:rsidR="00210E57" w:rsidRPr="00A54D04" w:rsidRDefault="00210E57" w:rsidP="00210E57">
      <w:r w:rsidRPr="00A54D04">
        <w:t xml:space="preserve">Most councils in Melbourne have adopted a release fee which has been negotiated by the Department of Transport and Planning. Four councils have negotiated a different release fee. </w:t>
      </w:r>
    </w:p>
    <w:p w14:paraId="5943F130" w14:textId="77777777" w:rsidR="00210E57" w:rsidRPr="00A54D04" w:rsidRDefault="00210E57" w:rsidP="00210E57">
      <w:r w:rsidRPr="00A54D04">
        <w:t xml:space="preserve">Unlike abandoned (or derelict) vehicle towing, no councils publish the disaggregated towing fee and administration fee for clearway towing. Therefore, we have used the towing fee as a proportion </w:t>
      </w:r>
      <w:r w:rsidRPr="00A54D04">
        <w:lastRenderedPageBreak/>
        <w:t>of the release fee for abandoned (or derelict) vehicle towing as a proxy to estimate the towing fee for clearway towing. Our analysis shows councils that publish a towing fee and administration fee for abandoned (or derelict) vehicle towing, the towing fee accounts for 47 per cent, on average, of the release fee.</w:t>
      </w:r>
    </w:p>
    <w:p w14:paraId="1E88A923" w14:textId="77777777" w:rsidR="00210E57" w:rsidRPr="00A54D04" w:rsidRDefault="00210E57" w:rsidP="00210E57">
      <w:r w:rsidRPr="00A54D04">
        <w:t>To estimate the towing fee for clearway towing, we:</w:t>
      </w:r>
    </w:p>
    <w:p w14:paraId="7BCD705D" w14:textId="77777777" w:rsidR="00210E57" w:rsidRPr="00A54D04" w:rsidRDefault="00210E57" w:rsidP="00210E57">
      <w:pPr>
        <w:pStyle w:val="ListBullet"/>
      </w:pPr>
      <w:r w:rsidRPr="00A54D04">
        <w:t>estimated the storage fee component as the published storage fee multiplied by the number of days of storage included in the release fee</w:t>
      </w:r>
      <w:r w:rsidRPr="00A54D04">
        <w:rPr>
          <w:rStyle w:val="FootnoteReference"/>
        </w:rPr>
        <w:footnoteReference w:id="72"/>
      </w:r>
    </w:p>
    <w:p w14:paraId="135C9906" w14:textId="77777777" w:rsidR="00210E57" w:rsidRPr="00A54D04" w:rsidRDefault="00210E57" w:rsidP="00210E57">
      <w:pPr>
        <w:pStyle w:val="ListBullet"/>
      </w:pPr>
      <w:r w:rsidRPr="00A54D04">
        <w:t xml:space="preserve">estimated the release fee without storage as the published release fee less the estimated storage fee component </w:t>
      </w:r>
    </w:p>
    <w:p w14:paraId="62672AC2" w14:textId="77777777" w:rsidR="00210E57" w:rsidRPr="00A54D04" w:rsidRDefault="00210E57" w:rsidP="00210E57">
      <w:pPr>
        <w:pStyle w:val="ListBullet"/>
      </w:pPr>
      <w:r w:rsidRPr="00A54D04">
        <w:t>estimated the towing fee as 47 per cent of the release fee without storage.</w:t>
      </w:r>
    </w:p>
    <w:p w14:paraId="2AE03B6E" w14:textId="2BBDB253" w:rsidR="00210E57" w:rsidRPr="00A54D04" w:rsidRDefault="00210E57" w:rsidP="00210E57">
      <w:r w:rsidRPr="00A54D04">
        <w:t>The estimated towing fee for the councils adopting the Department of Transport and Planning release fee is $157, and ranges from $203 to $221 for the four councils adopting a different fee (</w:t>
      </w:r>
      <w:r w:rsidR="00BC35DB" w:rsidRPr="00A54D04">
        <w:t xml:space="preserve">see </w:t>
      </w:r>
      <w:r w:rsidRPr="00A54D04">
        <w:t>Table 1</w:t>
      </w:r>
      <w:r w:rsidR="008C3EBA" w:rsidRPr="00A54D04">
        <w:t>4</w:t>
      </w:r>
      <w:r w:rsidRPr="00A54D04">
        <w:t>). These are lower than the regulated accident towing fee in Melbourne ($383).</w:t>
      </w:r>
    </w:p>
    <w:p w14:paraId="7754B476" w14:textId="276EE3BC" w:rsidR="00210E57" w:rsidRPr="00A54D04" w:rsidRDefault="00210E57" w:rsidP="00210E57">
      <w:pPr>
        <w:pStyle w:val="Figure-Table-BoxHeading"/>
        <w:keepNext/>
        <w:keepLines/>
        <w:numPr>
          <w:ilvl w:val="0"/>
          <w:numId w:val="0"/>
        </w:numPr>
        <w:spacing w:after="0" w:line="360" w:lineRule="auto"/>
        <w:ind w:left="851" w:hanging="851"/>
      </w:pPr>
      <w:r w:rsidRPr="00A54D04">
        <w:lastRenderedPageBreak/>
        <w:t>Table 1</w:t>
      </w:r>
      <w:r w:rsidR="008C3EBA" w:rsidRPr="00A54D04">
        <w:t>4</w:t>
      </w:r>
      <w:r w:rsidRPr="00A54D04">
        <w:t xml:space="preserve">. Published release fee and estimated towing fee for clearway towing </w:t>
      </w:r>
    </w:p>
    <w:p w14:paraId="079C1A57" w14:textId="77777777" w:rsidR="00210E57" w:rsidRPr="00A54D04" w:rsidRDefault="00210E57" w:rsidP="00210E57">
      <w:pPr>
        <w:pStyle w:val="Figure-Table-BoxSubtitle"/>
        <w:keepNext/>
        <w:keepLines/>
        <w:spacing w:before="0" w:after="0" w:line="360" w:lineRule="auto"/>
      </w:pPr>
      <w:r w:rsidRPr="00A54D04">
        <w:rPr>
          <w:lang w:val="en-AU"/>
        </w:rPr>
        <w:t xml:space="preserve">   As </w:t>
      </w:r>
      <w:proofErr w:type="gramStart"/>
      <w:r w:rsidRPr="00A54D04">
        <w:rPr>
          <w:lang w:val="en-AU"/>
        </w:rPr>
        <w:t>at</w:t>
      </w:r>
      <w:proofErr w:type="gramEnd"/>
      <w:r w:rsidRPr="00A54D04">
        <w:rPr>
          <w:lang w:val="en-AU"/>
        </w:rPr>
        <w:t xml:space="preserve"> 24 March 2025 (rounded to nearest dollar)</w:t>
      </w:r>
    </w:p>
    <w:tbl>
      <w:tblPr>
        <w:tblStyle w:val="TableGrid"/>
        <w:tblW w:w="9778" w:type="dxa"/>
        <w:tblLayout w:type="fixed"/>
        <w:tblLook w:val="04A0" w:firstRow="1" w:lastRow="0" w:firstColumn="1" w:lastColumn="0" w:noHBand="0" w:noVBand="1"/>
      </w:tblPr>
      <w:tblGrid>
        <w:gridCol w:w="3261"/>
        <w:gridCol w:w="1213"/>
        <w:gridCol w:w="1768"/>
        <w:gridCol w:w="1768"/>
        <w:gridCol w:w="1768"/>
      </w:tblGrid>
      <w:tr w:rsidR="00210E57" w:rsidRPr="00A54D04" w14:paraId="1CC653FD" w14:textId="77777777" w:rsidTr="00A573B6">
        <w:trPr>
          <w:cnfStyle w:val="100000000000" w:firstRow="1" w:lastRow="0" w:firstColumn="0" w:lastColumn="0" w:oddVBand="0" w:evenVBand="0" w:oddHBand="0" w:evenHBand="0" w:firstRowFirstColumn="0" w:firstRowLastColumn="0" w:lastRowFirstColumn="0" w:lastRowLastColumn="0"/>
          <w:trHeight w:val="517"/>
        </w:trPr>
        <w:tc>
          <w:tcPr>
            <w:tcW w:w="3261" w:type="dxa"/>
          </w:tcPr>
          <w:p w14:paraId="0AAB3EAB" w14:textId="77777777" w:rsidR="00210E57" w:rsidRPr="00A54D04" w:rsidRDefault="00210E57">
            <w:pPr>
              <w:pStyle w:val="TableHeading"/>
              <w:keepNext/>
              <w:keepLines/>
            </w:pPr>
          </w:p>
        </w:tc>
        <w:tc>
          <w:tcPr>
            <w:tcW w:w="1213" w:type="dxa"/>
          </w:tcPr>
          <w:p w14:paraId="668FEF66" w14:textId="77777777" w:rsidR="00210E57" w:rsidRPr="00A54D04" w:rsidRDefault="00210E57">
            <w:pPr>
              <w:pStyle w:val="TableHeading"/>
              <w:keepNext/>
              <w:keepLines/>
              <w:jc w:val="right"/>
            </w:pPr>
            <w:r w:rsidRPr="00A54D04">
              <w:t>Release fee</w:t>
            </w:r>
          </w:p>
        </w:tc>
        <w:tc>
          <w:tcPr>
            <w:tcW w:w="1768" w:type="dxa"/>
          </w:tcPr>
          <w:p w14:paraId="3AE00E9F" w14:textId="77777777" w:rsidR="00210E57" w:rsidRPr="00A54D04" w:rsidRDefault="00210E57">
            <w:pPr>
              <w:pStyle w:val="TableHeading"/>
              <w:keepNext/>
              <w:keepLines/>
              <w:jc w:val="right"/>
            </w:pPr>
            <w:r w:rsidRPr="00A54D04">
              <w:rPr>
                <w:lang w:val="en-AU"/>
              </w:rPr>
              <w:t>Estimated storage fee component</w:t>
            </w:r>
          </w:p>
        </w:tc>
        <w:tc>
          <w:tcPr>
            <w:tcW w:w="1768" w:type="dxa"/>
          </w:tcPr>
          <w:p w14:paraId="409DB930" w14:textId="77777777" w:rsidR="00210E57" w:rsidRPr="00A54D04" w:rsidRDefault="00210E57">
            <w:pPr>
              <w:pStyle w:val="TableHeading"/>
              <w:keepNext/>
              <w:keepLines/>
              <w:jc w:val="right"/>
            </w:pPr>
            <w:r w:rsidRPr="00A54D04">
              <w:t>Estimated administration fee</w:t>
            </w:r>
          </w:p>
        </w:tc>
        <w:tc>
          <w:tcPr>
            <w:tcW w:w="1768" w:type="dxa"/>
          </w:tcPr>
          <w:p w14:paraId="7DD62E97" w14:textId="77777777" w:rsidR="00210E57" w:rsidRPr="00A54D04" w:rsidRDefault="00210E57">
            <w:pPr>
              <w:pStyle w:val="TableHeading"/>
              <w:keepNext/>
              <w:keepLines/>
              <w:jc w:val="right"/>
            </w:pPr>
            <w:r w:rsidRPr="00A54D04">
              <w:t>Estimated towing fee</w:t>
            </w:r>
          </w:p>
        </w:tc>
      </w:tr>
      <w:tr w:rsidR="00210E57" w:rsidRPr="00A54D04" w14:paraId="2011827D" w14:textId="77777777" w:rsidTr="00A573B6">
        <w:trPr>
          <w:cnfStyle w:val="000000100000" w:firstRow="0" w:lastRow="0" w:firstColumn="0" w:lastColumn="0" w:oddVBand="0" w:evenVBand="0" w:oddHBand="1" w:evenHBand="0" w:firstRowFirstColumn="0" w:firstRowLastColumn="0" w:lastRowFirstColumn="0" w:lastRowLastColumn="0"/>
          <w:trHeight w:val="756"/>
        </w:trPr>
        <w:tc>
          <w:tcPr>
            <w:tcW w:w="3261" w:type="dxa"/>
          </w:tcPr>
          <w:p w14:paraId="7F90D192" w14:textId="77777777" w:rsidR="00210E57" w:rsidRPr="00A54D04" w:rsidRDefault="00210E57">
            <w:pPr>
              <w:pStyle w:val="TableBody"/>
              <w:keepNext/>
              <w:keepLines/>
            </w:pPr>
            <w:r w:rsidRPr="00A54D04">
              <w:t>Councils adopting Department of Transport and Planning release fee</w:t>
            </w:r>
          </w:p>
        </w:tc>
        <w:tc>
          <w:tcPr>
            <w:tcW w:w="1213" w:type="dxa"/>
          </w:tcPr>
          <w:p w14:paraId="71C4C4DF" w14:textId="77777777" w:rsidR="00210E57" w:rsidRPr="00A54D04" w:rsidRDefault="00210E57">
            <w:pPr>
              <w:pStyle w:val="TableBody"/>
              <w:keepNext/>
              <w:keepLines/>
              <w:jc w:val="right"/>
            </w:pPr>
            <w:r w:rsidRPr="00A54D04">
              <w:t>$361</w:t>
            </w:r>
          </w:p>
        </w:tc>
        <w:tc>
          <w:tcPr>
            <w:tcW w:w="1768" w:type="dxa"/>
          </w:tcPr>
          <w:p w14:paraId="24C1A283" w14:textId="77777777" w:rsidR="00210E57" w:rsidRPr="00A54D04" w:rsidRDefault="00210E57">
            <w:pPr>
              <w:pStyle w:val="TableBody"/>
              <w:keepNext/>
              <w:keepLines/>
              <w:jc w:val="right"/>
            </w:pPr>
            <w:r w:rsidRPr="00A54D04">
              <w:t>$30.40</w:t>
            </w:r>
          </w:p>
        </w:tc>
        <w:tc>
          <w:tcPr>
            <w:tcW w:w="1768" w:type="dxa"/>
          </w:tcPr>
          <w:p w14:paraId="33844D0A" w14:textId="77777777" w:rsidR="00210E57" w:rsidRPr="00A54D04" w:rsidRDefault="00210E57">
            <w:pPr>
              <w:pStyle w:val="TableBody"/>
              <w:keepNext/>
              <w:keepLines/>
              <w:jc w:val="right"/>
            </w:pPr>
            <w:r w:rsidRPr="00A54D04">
              <w:t>$174</w:t>
            </w:r>
          </w:p>
        </w:tc>
        <w:tc>
          <w:tcPr>
            <w:tcW w:w="1768" w:type="dxa"/>
          </w:tcPr>
          <w:p w14:paraId="758C3D1D" w14:textId="77777777" w:rsidR="00210E57" w:rsidRPr="00A54D04" w:rsidRDefault="00210E57">
            <w:pPr>
              <w:pStyle w:val="TableBody"/>
              <w:keepNext/>
              <w:keepLines/>
              <w:jc w:val="right"/>
            </w:pPr>
            <w:r w:rsidRPr="00A54D04">
              <w:t>$157</w:t>
            </w:r>
          </w:p>
        </w:tc>
      </w:tr>
      <w:tr w:rsidR="00210E57" w:rsidRPr="00A54D04" w14:paraId="215EC7F9" w14:textId="77777777" w:rsidTr="00A573B6">
        <w:trPr>
          <w:cnfStyle w:val="000000010000" w:firstRow="0" w:lastRow="0" w:firstColumn="0" w:lastColumn="0" w:oddVBand="0" w:evenVBand="0" w:oddHBand="0" w:evenHBand="1" w:firstRowFirstColumn="0" w:firstRowLastColumn="0" w:lastRowFirstColumn="0" w:lastRowLastColumn="0"/>
          <w:trHeight w:val="258"/>
        </w:trPr>
        <w:tc>
          <w:tcPr>
            <w:tcW w:w="3261" w:type="dxa"/>
          </w:tcPr>
          <w:p w14:paraId="5AC7C01D" w14:textId="77777777" w:rsidR="00210E57" w:rsidRPr="00A54D04" w:rsidRDefault="00210E57">
            <w:pPr>
              <w:pStyle w:val="TableBody"/>
              <w:keepNext/>
              <w:keepLines/>
            </w:pPr>
            <w:r w:rsidRPr="00A54D04">
              <w:t>Melbourne City Council</w:t>
            </w:r>
          </w:p>
        </w:tc>
        <w:tc>
          <w:tcPr>
            <w:tcW w:w="1213" w:type="dxa"/>
          </w:tcPr>
          <w:p w14:paraId="3C21F60C" w14:textId="77777777" w:rsidR="00210E57" w:rsidRPr="00A54D04" w:rsidRDefault="00210E57">
            <w:pPr>
              <w:pStyle w:val="TableBody"/>
              <w:keepNext/>
              <w:keepLines/>
              <w:jc w:val="right"/>
            </w:pPr>
            <w:r w:rsidRPr="00A54D04">
              <w:t>$490</w:t>
            </w:r>
          </w:p>
        </w:tc>
        <w:tc>
          <w:tcPr>
            <w:tcW w:w="1768" w:type="dxa"/>
          </w:tcPr>
          <w:p w14:paraId="7DE8F835" w14:textId="77777777" w:rsidR="00210E57" w:rsidRPr="00A54D04" w:rsidRDefault="00210E57">
            <w:pPr>
              <w:pStyle w:val="TableBody"/>
              <w:keepNext/>
              <w:keepLines/>
              <w:jc w:val="right"/>
            </w:pPr>
            <w:r w:rsidRPr="00A54D04">
              <w:t>$35.20</w:t>
            </w:r>
          </w:p>
        </w:tc>
        <w:tc>
          <w:tcPr>
            <w:tcW w:w="1768" w:type="dxa"/>
          </w:tcPr>
          <w:p w14:paraId="6D86FEE4" w14:textId="77777777" w:rsidR="00210E57" w:rsidRPr="00A54D04" w:rsidRDefault="00210E57">
            <w:pPr>
              <w:pStyle w:val="TableBody"/>
              <w:keepNext/>
              <w:keepLines/>
              <w:jc w:val="right"/>
            </w:pPr>
            <w:r w:rsidRPr="00A54D04">
              <w:t>$239</w:t>
            </w:r>
          </w:p>
        </w:tc>
        <w:tc>
          <w:tcPr>
            <w:tcW w:w="1768" w:type="dxa"/>
          </w:tcPr>
          <w:p w14:paraId="6EED518F" w14:textId="77777777" w:rsidR="00210E57" w:rsidRPr="00A54D04" w:rsidRDefault="00210E57">
            <w:pPr>
              <w:pStyle w:val="TableBody"/>
              <w:keepNext/>
              <w:keepLines/>
              <w:jc w:val="right"/>
            </w:pPr>
            <w:r w:rsidRPr="00A54D04">
              <w:t>$215</w:t>
            </w:r>
          </w:p>
        </w:tc>
      </w:tr>
      <w:tr w:rsidR="00210E57" w:rsidRPr="00A54D04" w14:paraId="230F3A6C" w14:textId="77777777" w:rsidTr="00A573B6">
        <w:trPr>
          <w:cnfStyle w:val="000000100000" w:firstRow="0" w:lastRow="0" w:firstColumn="0" w:lastColumn="0" w:oddVBand="0" w:evenVBand="0" w:oddHBand="1" w:evenHBand="0" w:firstRowFirstColumn="0" w:firstRowLastColumn="0" w:lastRowFirstColumn="0" w:lastRowLastColumn="0"/>
          <w:trHeight w:val="278"/>
        </w:trPr>
        <w:tc>
          <w:tcPr>
            <w:tcW w:w="3261" w:type="dxa"/>
          </w:tcPr>
          <w:p w14:paraId="4C2A5A06" w14:textId="77777777" w:rsidR="00210E57" w:rsidRPr="00A54D04" w:rsidRDefault="00210E57">
            <w:pPr>
              <w:pStyle w:val="TableBody"/>
              <w:keepNext/>
              <w:keepLines/>
            </w:pPr>
            <w:r w:rsidRPr="00A54D04">
              <w:t>Port Phillip City Council</w:t>
            </w:r>
          </w:p>
        </w:tc>
        <w:tc>
          <w:tcPr>
            <w:tcW w:w="1213" w:type="dxa"/>
          </w:tcPr>
          <w:p w14:paraId="0FCC655C" w14:textId="77777777" w:rsidR="00210E57" w:rsidRPr="00A54D04" w:rsidRDefault="00210E57">
            <w:pPr>
              <w:pStyle w:val="TableBody"/>
              <w:keepNext/>
              <w:keepLines/>
              <w:jc w:val="right"/>
            </w:pPr>
            <w:r w:rsidRPr="00A54D04">
              <w:t>$485</w:t>
            </w:r>
          </w:p>
        </w:tc>
        <w:tc>
          <w:tcPr>
            <w:tcW w:w="1768" w:type="dxa"/>
          </w:tcPr>
          <w:p w14:paraId="2F593158" w14:textId="77777777" w:rsidR="00210E57" w:rsidRPr="00A54D04" w:rsidRDefault="00210E57">
            <w:pPr>
              <w:pStyle w:val="TableBody"/>
              <w:keepNext/>
              <w:keepLines/>
              <w:jc w:val="right"/>
            </w:pPr>
            <w:r w:rsidRPr="00A54D04">
              <w:t>$56.00</w:t>
            </w:r>
          </w:p>
        </w:tc>
        <w:tc>
          <w:tcPr>
            <w:tcW w:w="1768" w:type="dxa"/>
          </w:tcPr>
          <w:p w14:paraId="0BC6DC48" w14:textId="77777777" w:rsidR="00210E57" w:rsidRPr="00A54D04" w:rsidRDefault="00210E57">
            <w:pPr>
              <w:pStyle w:val="TableBody"/>
              <w:keepNext/>
              <w:keepLines/>
              <w:jc w:val="right"/>
            </w:pPr>
            <w:r w:rsidRPr="00A54D04">
              <w:t>$226</w:t>
            </w:r>
          </w:p>
        </w:tc>
        <w:tc>
          <w:tcPr>
            <w:tcW w:w="1768" w:type="dxa"/>
          </w:tcPr>
          <w:p w14:paraId="66FD6B6E" w14:textId="77777777" w:rsidR="00210E57" w:rsidRPr="00A54D04" w:rsidRDefault="00210E57">
            <w:pPr>
              <w:pStyle w:val="TableBody"/>
              <w:keepNext/>
              <w:keepLines/>
              <w:jc w:val="right"/>
            </w:pPr>
            <w:r w:rsidRPr="00A54D04">
              <w:t>$203</w:t>
            </w:r>
          </w:p>
        </w:tc>
      </w:tr>
      <w:tr w:rsidR="00210E57" w:rsidRPr="00A54D04" w14:paraId="4CD0CB97" w14:textId="77777777" w:rsidTr="00A573B6">
        <w:trPr>
          <w:cnfStyle w:val="000000010000" w:firstRow="0" w:lastRow="0" w:firstColumn="0" w:lastColumn="0" w:oddVBand="0" w:evenVBand="0" w:oddHBand="0" w:evenHBand="1" w:firstRowFirstColumn="0" w:firstRowLastColumn="0" w:lastRowFirstColumn="0" w:lastRowLastColumn="0"/>
          <w:trHeight w:val="258"/>
        </w:trPr>
        <w:tc>
          <w:tcPr>
            <w:tcW w:w="3261" w:type="dxa"/>
          </w:tcPr>
          <w:p w14:paraId="1A410473" w14:textId="77777777" w:rsidR="00210E57" w:rsidRPr="00A54D04" w:rsidRDefault="00210E57">
            <w:pPr>
              <w:pStyle w:val="TableBody"/>
              <w:keepNext/>
              <w:keepLines/>
            </w:pPr>
            <w:r w:rsidRPr="00A54D04">
              <w:t>Stonnington City Council</w:t>
            </w:r>
          </w:p>
        </w:tc>
        <w:tc>
          <w:tcPr>
            <w:tcW w:w="1213" w:type="dxa"/>
          </w:tcPr>
          <w:p w14:paraId="4B5460A1" w14:textId="77777777" w:rsidR="00210E57" w:rsidRPr="00A54D04" w:rsidRDefault="00210E57">
            <w:pPr>
              <w:pStyle w:val="TableBody"/>
              <w:keepNext/>
              <w:keepLines/>
              <w:jc w:val="right"/>
            </w:pPr>
            <w:r w:rsidRPr="00A54D04">
              <w:t>$500</w:t>
            </w:r>
          </w:p>
        </w:tc>
        <w:tc>
          <w:tcPr>
            <w:tcW w:w="1768" w:type="dxa"/>
          </w:tcPr>
          <w:p w14:paraId="7F0BEACF" w14:textId="77777777" w:rsidR="00210E57" w:rsidRPr="00A54D04" w:rsidRDefault="00210E57">
            <w:pPr>
              <w:pStyle w:val="TableBody"/>
              <w:keepNext/>
              <w:keepLines/>
              <w:jc w:val="right"/>
            </w:pPr>
            <w:r w:rsidRPr="00A54D04">
              <w:t>$32.18</w:t>
            </w:r>
          </w:p>
        </w:tc>
        <w:tc>
          <w:tcPr>
            <w:tcW w:w="1768" w:type="dxa"/>
          </w:tcPr>
          <w:p w14:paraId="073BFDBD" w14:textId="77777777" w:rsidR="00210E57" w:rsidRPr="00A54D04" w:rsidRDefault="00210E57">
            <w:pPr>
              <w:pStyle w:val="TableBody"/>
              <w:keepNext/>
              <w:keepLines/>
              <w:jc w:val="right"/>
            </w:pPr>
            <w:r w:rsidRPr="00A54D04">
              <w:t>$246</w:t>
            </w:r>
          </w:p>
        </w:tc>
        <w:tc>
          <w:tcPr>
            <w:tcW w:w="1768" w:type="dxa"/>
          </w:tcPr>
          <w:p w14:paraId="2381FCED" w14:textId="77777777" w:rsidR="00210E57" w:rsidRPr="00A54D04" w:rsidRDefault="00210E57">
            <w:pPr>
              <w:pStyle w:val="TableBody"/>
              <w:keepNext/>
              <w:keepLines/>
              <w:jc w:val="right"/>
            </w:pPr>
            <w:r w:rsidRPr="00A54D04">
              <w:t>$221</w:t>
            </w:r>
          </w:p>
        </w:tc>
      </w:tr>
      <w:tr w:rsidR="00210E57" w:rsidRPr="00A54D04" w14:paraId="1B5FF069" w14:textId="77777777" w:rsidTr="00A573B6">
        <w:trPr>
          <w:cnfStyle w:val="000000100000" w:firstRow="0" w:lastRow="0" w:firstColumn="0" w:lastColumn="0" w:oddVBand="0" w:evenVBand="0" w:oddHBand="1" w:evenHBand="0" w:firstRowFirstColumn="0" w:firstRowLastColumn="0" w:lastRowFirstColumn="0" w:lastRowLastColumn="0"/>
          <w:trHeight w:val="258"/>
        </w:trPr>
        <w:tc>
          <w:tcPr>
            <w:tcW w:w="3261" w:type="dxa"/>
          </w:tcPr>
          <w:p w14:paraId="011F423E" w14:textId="77777777" w:rsidR="00210E57" w:rsidRPr="00A54D04" w:rsidRDefault="00210E57">
            <w:pPr>
              <w:pStyle w:val="TableBody"/>
              <w:keepNext/>
              <w:keepLines/>
            </w:pPr>
            <w:r w:rsidRPr="00A54D04">
              <w:t>Yarra City Council</w:t>
            </w:r>
          </w:p>
        </w:tc>
        <w:tc>
          <w:tcPr>
            <w:tcW w:w="1213" w:type="dxa"/>
          </w:tcPr>
          <w:p w14:paraId="273CE498" w14:textId="77777777" w:rsidR="00210E57" w:rsidRPr="00A54D04" w:rsidRDefault="00210E57">
            <w:pPr>
              <w:pStyle w:val="TableBody"/>
              <w:keepNext/>
              <w:keepLines/>
              <w:jc w:val="right"/>
            </w:pPr>
            <w:r w:rsidRPr="00A54D04">
              <w:t>$460</w:t>
            </w:r>
          </w:p>
        </w:tc>
        <w:tc>
          <w:tcPr>
            <w:tcW w:w="1768" w:type="dxa"/>
          </w:tcPr>
          <w:p w14:paraId="661A6B2B" w14:textId="77777777" w:rsidR="00210E57" w:rsidRPr="00A54D04" w:rsidRDefault="00210E57">
            <w:pPr>
              <w:pStyle w:val="TableBody"/>
              <w:keepNext/>
              <w:keepLines/>
              <w:jc w:val="right"/>
            </w:pPr>
            <w:r w:rsidRPr="00A54D04">
              <w:t>$31.80</w:t>
            </w:r>
          </w:p>
        </w:tc>
        <w:tc>
          <w:tcPr>
            <w:tcW w:w="1768" w:type="dxa"/>
          </w:tcPr>
          <w:p w14:paraId="1E8E2EB2" w14:textId="77777777" w:rsidR="00210E57" w:rsidRPr="00A54D04" w:rsidRDefault="00210E57">
            <w:pPr>
              <w:pStyle w:val="TableBody"/>
              <w:keepNext/>
              <w:keepLines/>
              <w:jc w:val="right"/>
            </w:pPr>
            <w:r w:rsidRPr="00A54D04">
              <w:t>$225</w:t>
            </w:r>
          </w:p>
        </w:tc>
        <w:tc>
          <w:tcPr>
            <w:tcW w:w="1768" w:type="dxa"/>
          </w:tcPr>
          <w:p w14:paraId="4FA22B32" w14:textId="77777777" w:rsidR="00210E57" w:rsidRPr="00A54D04" w:rsidRDefault="00210E57">
            <w:pPr>
              <w:pStyle w:val="TableBody"/>
              <w:keepNext/>
              <w:keepLines/>
              <w:jc w:val="right"/>
            </w:pPr>
            <w:r w:rsidRPr="00A54D04">
              <w:t>$203</w:t>
            </w:r>
          </w:p>
        </w:tc>
      </w:tr>
      <w:tr w:rsidR="00210E57" w:rsidRPr="00A54D04" w14:paraId="2145E9C1" w14:textId="77777777" w:rsidTr="00A573B6">
        <w:trPr>
          <w:cnfStyle w:val="000000010000" w:firstRow="0" w:lastRow="0" w:firstColumn="0" w:lastColumn="0" w:oddVBand="0" w:evenVBand="0" w:oddHBand="0" w:evenHBand="1" w:firstRowFirstColumn="0" w:firstRowLastColumn="0" w:lastRowFirstColumn="0" w:lastRowLastColumn="0"/>
          <w:trHeight w:val="258"/>
        </w:trPr>
        <w:tc>
          <w:tcPr>
            <w:tcW w:w="3261" w:type="dxa"/>
          </w:tcPr>
          <w:p w14:paraId="4A96BE6A" w14:textId="77777777" w:rsidR="00210E57" w:rsidRPr="00A54D04" w:rsidRDefault="00210E57">
            <w:pPr>
              <w:pStyle w:val="TableBody"/>
              <w:keepNext/>
              <w:keepLines/>
              <w:rPr>
                <w:b/>
                <w:bCs/>
              </w:rPr>
            </w:pPr>
            <w:r w:rsidRPr="00A54D04">
              <w:rPr>
                <w:b/>
                <w:bCs/>
              </w:rPr>
              <w:t>Average (all)</w:t>
            </w:r>
          </w:p>
        </w:tc>
        <w:tc>
          <w:tcPr>
            <w:tcW w:w="1213" w:type="dxa"/>
          </w:tcPr>
          <w:p w14:paraId="1413D349" w14:textId="77777777" w:rsidR="00210E57" w:rsidRPr="00A54D04" w:rsidRDefault="00210E57">
            <w:pPr>
              <w:pStyle w:val="TableBody"/>
              <w:keepNext/>
              <w:keepLines/>
              <w:jc w:val="right"/>
              <w:rPr>
                <w:b/>
                <w:bCs/>
              </w:rPr>
            </w:pPr>
            <w:r w:rsidRPr="00A54D04">
              <w:rPr>
                <w:b/>
                <w:bCs/>
              </w:rPr>
              <w:t>$459</w:t>
            </w:r>
          </w:p>
        </w:tc>
        <w:tc>
          <w:tcPr>
            <w:tcW w:w="1768" w:type="dxa"/>
          </w:tcPr>
          <w:p w14:paraId="579D44C6" w14:textId="77777777" w:rsidR="00210E57" w:rsidRPr="00A54D04" w:rsidRDefault="00210E57">
            <w:pPr>
              <w:pStyle w:val="TableBody"/>
              <w:keepNext/>
              <w:keepLines/>
              <w:jc w:val="right"/>
              <w:rPr>
                <w:b/>
                <w:bCs/>
              </w:rPr>
            </w:pPr>
            <w:r w:rsidRPr="00A54D04">
              <w:rPr>
                <w:b/>
                <w:bCs/>
              </w:rPr>
              <w:t>$37.12</w:t>
            </w:r>
          </w:p>
        </w:tc>
        <w:tc>
          <w:tcPr>
            <w:tcW w:w="1768" w:type="dxa"/>
          </w:tcPr>
          <w:p w14:paraId="4764550B" w14:textId="77777777" w:rsidR="00210E57" w:rsidRPr="00A54D04" w:rsidRDefault="00210E57">
            <w:pPr>
              <w:pStyle w:val="TableBody"/>
              <w:keepNext/>
              <w:keepLines/>
              <w:jc w:val="right"/>
              <w:rPr>
                <w:b/>
                <w:bCs/>
              </w:rPr>
            </w:pPr>
            <w:r w:rsidRPr="00A54D04">
              <w:rPr>
                <w:b/>
                <w:bCs/>
              </w:rPr>
              <w:t>$222</w:t>
            </w:r>
          </w:p>
        </w:tc>
        <w:tc>
          <w:tcPr>
            <w:tcW w:w="1768" w:type="dxa"/>
          </w:tcPr>
          <w:p w14:paraId="6F1F5D29" w14:textId="77777777" w:rsidR="00210E57" w:rsidRPr="00A54D04" w:rsidRDefault="00210E57">
            <w:pPr>
              <w:pStyle w:val="TableBody"/>
              <w:keepNext/>
              <w:keepLines/>
              <w:jc w:val="right"/>
              <w:rPr>
                <w:b/>
                <w:bCs/>
              </w:rPr>
            </w:pPr>
            <w:r w:rsidRPr="00A54D04">
              <w:rPr>
                <w:b/>
                <w:bCs/>
              </w:rPr>
              <w:t>$200</w:t>
            </w:r>
          </w:p>
        </w:tc>
      </w:tr>
      <w:tr w:rsidR="00210E57" w:rsidRPr="00A54D04" w14:paraId="41CB52A3" w14:textId="77777777" w:rsidTr="00A573B6">
        <w:trPr>
          <w:cnfStyle w:val="000000100000" w:firstRow="0" w:lastRow="0" w:firstColumn="0" w:lastColumn="0" w:oddVBand="0" w:evenVBand="0" w:oddHBand="1" w:evenHBand="0" w:firstRowFirstColumn="0" w:firstRowLastColumn="0" w:lastRowFirstColumn="0" w:lastRowLastColumn="0"/>
          <w:trHeight w:val="517"/>
        </w:trPr>
        <w:tc>
          <w:tcPr>
            <w:tcW w:w="3261" w:type="dxa"/>
          </w:tcPr>
          <w:p w14:paraId="12254E55" w14:textId="77777777" w:rsidR="00210E57" w:rsidRPr="00A54D04" w:rsidRDefault="00210E57">
            <w:pPr>
              <w:pStyle w:val="TableBody"/>
              <w:keepNext/>
              <w:keepLines/>
              <w:rPr>
                <w:b/>
                <w:bCs/>
              </w:rPr>
            </w:pPr>
            <w:r w:rsidRPr="00A54D04">
              <w:rPr>
                <w:b/>
                <w:bCs/>
              </w:rPr>
              <w:t>Average (councils adopting different release fee)</w:t>
            </w:r>
          </w:p>
        </w:tc>
        <w:tc>
          <w:tcPr>
            <w:tcW w:w="1213" w:type="dxa"/>
          </w:tcPr>
          <w:p w14:paraId="3C3AD5B7" w14:textId="77777777" w:rsidR="00210E57" w:rsidRPr="00A54D04" w:rsidRDefault="00210E57">
            <w:pPr>
              <w:pStyle w:val="TableBody"/>
              <w:keepNext/>
              <w:keepLines/>
              <w:jc w:val="right"/>
              <w:rPr>
                <w:b/>
                <w:bCs/>
              </w:rPr>
            </w:pPr>
            <w:r w:rsidRPr="00A54D04">
              <w:rPr>
                <w:b/>
                <w:bCs/>
              </w:rPr>
              <w:t>$484</w:t>
            </w:r>
          </w:p>
        </w:tc>
        <w:tc>
          <w:tcPr>
            <w:tcW w:w="1768" w:type="dxa"/>
          </w:tcPr>
          <w:p w14:paraId="3825A838" w14:textId="77777777" w:rsidR="00210E57" w:rsidRPr="00A54D04" w:rsidRDefault="00210E57">
            <w:pPr>
              <w:pStyle w:val="TableBody"/>
              <w:keepNext/>
              <w:keepLines/>
              <w:jc w:val="right"/>
              <w:rPr>
                <w:b/>
                <w:bCs/>
              </w:rPr>
            </w:pPr>
            <w:r w:rsidRPr="00A54D04">
              <w:rPr>
                <w:b/>
                <w:bCs/>
              </w:rPr>
              <w:t>$38.30</w:t>
            </w:r>
          </w:p>
        </w:tc>
        <w:tc>
          <w:tcPr>
            <w:tcW w:w="1768" w:type="dxa"/>
          </w:tcPr>
          <w:p w14:paraId="17B344E9" w14:textId="77777777" w:rsidR="00210E57" w:rsidRPr="00A54D04" w:rsidRDefault="00210E57">
            <w:pPr>
              <w:pStyle w:val="TableBody"/>
              <w:keepNext/>
              <w:keepLines/>
              <w:jc w:val="right"/>
              <w:rPr>
                <w:b/>
                <w:bCs/>
              </w:rPr>
            </w:pPr>
            <w:r w:rsidRPr="00A54D04">
              <w:rPr>
                <w:b/>
                <w:bCs/>
              </w:rPr>
              <w:t>$234</w:t>
            </w:r>
          </w:p>
        </w:tc>
        <w:tc>
          <w:tcPr>
            <w:tcW w:w="1768" w:type="dxa"/>
          </w:tcPr>
          <w:p w14:paraId="53676CF2" w14:textId="77777777" w:rsidR="00210E57" w:rsidRPr="00A54D04" w:rsidRDefault="00210E57">
            <w:pPr>
              <w:pStyle w:val="TableBody"/>
              <w:keepNext/>
              <w:keepLines/>
              <w:jc w:val="right"/>
              <w:rPr>
                <w:b/>
                <w:bCs/>
              </w:rPr>
            </w:pPr>
            <w:r w:rsidRPr="00A54D04">
              <w:rPr>
                <w:b/>
                <w:bCs/>
              </w:rPr>
              <w:t>$211</w:t>
            </w:r>
          </w:p>
        </w:tc>
      </w:tr>
    </w:tbl>
    <w:p w14:paraId="302DFF13" w14:textId="77777777" w:rsidR="00210E57" w:rsidRPr="00A54D04" w:rsidRDefault="00210E57" w:rsidP="00210E57">
      <w:pPr>
        <w:pStyle w:val="Source"/>
        <w:keepNext/>
        <w:keepLines/>
        <w:spacing w:after="0"/>
        <w:jc w:val="left"/>
      </w:pPr>
      <w:r w:rsidRPr="00A54D04">
        <w:rPr>
          <w:b/>
          <w:bCs/>
        </w:rPr>
        <w:t>Source:</w:t>
      </w:r>
      <w:r w:rsidRPr="00A54D04">
        <w:t xml:space="preserve"> Essential Services Commission analysis. </w:t>
      </w:r>
    </w:p>
    <w:p w14:paraId="515E7EF8" w14:textId="77777777" w:rsidR="00210E57" w:rsidRPr="00A54D04" w:rsidRDefault="00210E57" w:rsidP="00210E57"/>
    <w:p w14:paraId="248412A0" w14:textId="336276EC" w:rsidR="008C29A8" w:rsidRPr="00A54D04" w:rsidRDefault="008C29A8" w:rsidP="005D7651"/>
    <w:p w14:paraId="1CADC4DE" w14:textId="77777777" w:rsidR="0061181C" w:rsidRPr="00A54D04" w:rsidRDefault="0061181C" w:rsidP="0000634B">
      <w:pPr>
        <w:sectPr w:rsidR="0061181C" w:rsidRPr="00A54D04" w:rsidSect="00703C67">
          <w:footerReference w:type="default" r:id="rId75"/>
          <w:pgSz w:w="11906" w:h="16838" w:code="9"/>
          <w:pgMar w:top="1134" w:right="1134" w:bottom="1134" w:left="1134" w:header="709" w:footer="692" w:gutter="0"/>
          <w:cols w:space="708"/>
          <w:docGrid w:linePitch="360"/>
        </w:sectPr>
      </w:pPr>
    </w:p>
    <w:p w14:paraId="6DEF9163" w14:textId="53D487B4" w:rsidR="005D7651" w:rsidRPr="00A54D04" w:rsidRDefault="00404647" w:rsidP="003B3C3A">
      <w:pPr>
        <w:pStyle w:val="Heading1"/>
      </w:pPr>
      <w:bookmarkStart w:id="306" w:name="_Toc199231594"/>
      <w:r w:rsidRPr="00A54D04">
        <w:lastRenderedPageBreak/>
        <w:t xml:space="preserve">Appendix </w:t>
      </w:r>
      <w:r w:rsidR="008E0CB3">
        <w:t>C</w:t>
      </w:r>
      <w:r w:rsidR="0000634B" w:rsidRPr="00A54D04">
        <w:t xml:space="preserve">: </w:t>
      </w:r>
      <w:r w:rsidR="00A109D4" w:rsidRPr="00A54D04">
        <w:t>Regulated</w:t>
      </w:r>
      <w:r w:rsidR="00174729" w:rsidRPr="00A54D04">
        <w:t xml:space="preserve"> storage fees benchmarking analysis</w:t>
      </w:r>
      <w:bookmarkEnd w:id="306"/>
      <w:r w:rsidR="001C22F9" w:rsidRPr="00A54D04">
        <w:tab/>
      </w:r>
    </w:p>
    <w:p w14:paraId="1512A2FA" w14:textId="41498EDD" w:rsidR="00F708CF" w:rsidRPr="00A54D04" w:rsidRDefault="00F708CF" w:rsidP="00F708CF">
      <w:r w:rsidRPr="00A54D04">
        <w:t>We considered a range of benchmarks for regulated storage fees for accident towing in the Melbourne controlled area including</w:t>
      </w:r>
      <w:r w:rsidR="00D3667D">
        <w:t>:</w:t>
      </w:r>
      <w:r w:rsidR="00D3667D">
        <w:rPr>
          <w:rStyle w:val="FootnoteReference"/>
        </w:rPr>
        <w:footnoteReference w:id="73"/>
      </w:r>
    </w:p>
    <w:p w14:paraId="07030ECA" w14:textId="77777777" w:rsidR="00F708CF" w:rsidRPr="00A54D04" w:rsidRDefault="00F708CF" w:rsidP="00F708CF">
      <w:pPr>
        <w:pStyle w:val="ListBullet"/>
      </w:pPr>
      <w:r w:rsidRPr="00A54D04">
        <w:t>regulated storage fees for accident towing in other Australian jurisdictions</w:t>
      </w:r>
    </w:p>
    <w:p w14:paraId="1B5B172E" w14:textId="77777777" w:rsidR="00F708CF" w:rsidRPr="00A54D04" w:rsidRDefault="00F708CF" w:rsidP="00F708CF">
      <w:pPr>
        <w:pStyle w:val="ListBullet"/>
      </w:pPr>
      <w:r w:rsidRPr="00A54D04">
        <w:t>unregulated storage fees for trade towing in Melbourne</w:t>
      </w:r>
    </w:p>
    <w:p w14:paraId="1094F13E" w14:textId="77777777" w:rsidR="00F708CF" w:rsidRPr="00A54D04" w:rsidRDefault="00F708CF" w:rsidP="00F708CF">
      <w:pPr>
        <w:pStyle w:val="ListBullet"/>
      </w:pPr>
      <w:r w:rsidRPr="00A54D04">
        <w:t xml:space="preserve">estimated storage fees based on land rental values in Melbourne. </w:t>
      </w:r>
    </w:p>
    <w:p w14:paraId="3CF78D79" w14:textId="77777777" w:rsidR="00F708CF" w:rsidRPr="00A54D04" w:rsidRDefault="00F708CF" w:rsidP="00F708CF">
      <w:r w:rsidRPr="00A54D04">
        <w:t>Our analysis of unregulated storage fees and land rental values is explained in detail in this appendix.</w:t>
      </w:r>
    </w:p>
    <w:p w14:paraId="7FFB2C67" w14:textId="77777777" w:rsidR="00F708CF" w:rsidRPr="00A54D04" w:rsidRDefault="00F708CF" w:rsidP="00F708CF">
      <w:pPr>
        <w:pStyle w:val="Heading2"/>
      </w:pPr>
      <w:bookmarkStart w:id="307" w:name="_Toc184041478"/>
      <w:bookmarkStart w:id="308" w:name="_Toc185321808"/>
      <w:bookmarkStart w:id="309" w:name="_Toc190265334"/>
      <w:bookmarkStart w:id="310" w:name="_Toc195721934"/>
      <w:bookmarkStart w:id="311" w:name="_Toc197345291"/>
      <w:bookmarkStart w:id="312" w:name="_Toc197942460"/>
      <w:bookmarkStart w:id="313" w:name="_Toc197977733"/>
      <w:bookmarkStart w:id="314" w:name="_Toc198048722"/>
      <w:bookmarkStart w:id="315" w:name="_Toc199231595"/>
      <w:r w:rsidRPr="00A54D04">
        <w:t xml:space="preserve">Regulated storage fees are broadly </w:t>
      </w:r>
      <w:proofErr w:type="gramStart"/>
      <w:r w:rsidRPr="00A54D04">
        <w:t>similar to</w:t>
      </w:r>
      <w:proofErr w:type="gramEnd"/>
      <w:r w:rsidRPr="00A54D04">
        <w:t xml:space="preserve"> trade towing storage </w:t>
      </w:r>
      <w:proofErr w:type="gramStart"/>
      <w:r w:rsidRPr="00A54D04">
        <w:t>fees</w:t>
      </w:r>
      <w:bookmarkEnd w:id="307"/>
      <w:bookmarkEnd w:id="308"/>
      <w:bookmarkEnd w:id="309"/>
      <w:bookmarkEnd w:id="310"/>
      <w:bookmarkEnd w:id="311"/>
      <w:bookmarkEnd w:id="312"/>
      <w:bookmarkEnd w:id="313"/>
      <w:bookmarkEnd w:id="314"/>
      <w:bookmarkEnd w:id="315"/>
      <w:proofErr w:type="gramEnd"/>
      <w:r w:rsidRPr="00A54D04">
        <w:t xml:space="preserve"> </w:t>
      </w:r>
    </w:p>
    <w:p w14:paraId="61E35644" w14:textId="1094F435" w:rsidR="00F708CF" w:rsidRPr="00A54D04" w:rsidRDefault="00B068B7" w:rsidP="00F708CF">
      <w:pPr>
        <w:pStyle w:val="Heading3"/>
      </w:pPr>
      <w:bookmarkStart w:id="316" w:name="_Toc184041479"/>
      <w:bookmarkStart w:id="317" w:name="_Toc185321809"/>
      <w:bookmarkStart w:id="318" w:name="_Toc190265335"/>
      <w:bookmarkStart w:id="319" w:name="_Toc195721935"/>
      <w:bookmarkStart w:id="320" w:name="_Toc197345292"/>
      <w:bookmarkStart w:id="321" w:name="_Toc197942461"/>
      <w:bookmarkStart w:id="322" w:name="_Toc197977734"/>
      <w:bookmarkStart w:id="323" w:name="_Toc198048723"/>
      <w:bookmarkStart w:id="324" w:name="_Toc199231596"/>
      <w:r w:rsidRPr="00A54D04">
        <w:t>Storage fees for c</w:t>
      </w:r>
      <w:r w:rsidR="00F708CF" w:rsidRPr="00A54D04">
        <w:t>learway towing</w:t>
      </w:r>
      <w:bookmarkEnd w:id="316"/>
      <w:bookmarkEnd w:id="317"/>
      <w:bookmarkEnd w:id="318"/>
      <w:bookmarkEnd w:id="319"/>
      <w:bookmarkEnd w:id="320"/>
      <w:bookmarkEnd w:id="321"/>
      <w:bookmarkEnd w:id="322"/>
      <w:bookmarkEnd w:id="323"/>
      <w:bookmarkEnd w:id="324"/>
      <w:r w:rsidR="00F708CF" w:rsidRPr="00A54D04">
        <w:t xml:space="preserve"> </w:t>
      </w:r>
    </w:p>
    <w:p w14:paraId="69714970" w14:textId="64236502" w:rsidR="00F708CF" w:rsidRPr="00A54D04" w:rsidRDefault="00F708CF" w:rsidP="00F708CF">
      <w:r w:rsidRPr="00A54D04">
        <w:t>Most councils have adopted a storage fee for clearway towing which has been negotiated by the Department of Transport and Planning. Four councils have negotiated a different storage fee. The storage fees are shown in Table 1</w:t>
      </w:r>
      <w:r w:rsidR="008C3EBA" w:rsidRPr="00A54D04">
        <w:t>5</w:t>
      </w:r>
      <w:r w:rsidRPr="00A54D04">
        <w:t>.</w:t>
      </w:r>
    </w:p>
    <w:p w14:paraId="3A1B4C9E" w14:textId="4EE1DEA3" w:rsidR="00F708CF" w:rsidRPr="00A54D04" w:rsidRDefault="00F708CF" w:rsidP="00F708CF">
      <w:r w:rsidRPr="00A54D04">
        <w:t xml:space="preserve">For councils adopting the Department of Transport and Planning fee, the storage fee is applied after five days of storage. </w:t>
      </w:r>
      <w:r w:rsidR="00016A35" w:rsidRPr="00A54D04">
        <w:t>F</w:t>
      </w:r>
      <w:r w:rsidRPr="00A54D04">
        <w:t xml:space="preserve">or the other four councils, the storage fee is applied after two days of storage. </w:t>
      </w:r>
    </w:p>
    <w:p w14:paraId="445717B3" w14:textId="3CE6E308" w:rsidR="00F708CF" w:rsidRPr="00A54D04" w:rsidRDefault="00F708CF" w:rsidP="00F708CF">
      <w:pPr>
        <w:pStyle w:val="Figure-Table-BoxHeading"/>
        <w:keepNext/>
        <w:keepLines/>
        <w:numPr>
          <w:ilvl w:val="0"/>
          <w:numId w:val="0"/>
        </w:numPr>
        <w:spacing w:after="0" w:line="360" w:lineRule="auto"/>
        <w:ind w:left="851" w:hanging="851"/>
      </w:pPr>
      <w:r w:rsidRPr="00A54D04">
        <w:lastRenderedPageBreak/>
        <w:t>Table 1</w:t>
      </w:r>
      <w:r w:rsidR="008C3EBA" w:rsidRPr="00A54D04">
        <w:t>5</w:t>
      </w:r>
      <w:r w:rsidRPr="00A54D04">
        <w:t>. Published storage fees for vehicles towed from a clearway zone</w:t>
      </w:r>
    </w:p>
    <w:p w14:paraId="5C3500BF" w14:textId="77777777" w:rsidR="00F708CF" w:rsidRPr="00A54D04" w:rsidRDefault="00F708CF" w:rsidP="00F708CF">
      <w:pPr>
        <w:pStyle w:val="Figure-Table-BoxSubtitle"/>
        <w:keepNext/>
        <w:keepLines/>
        <w:spacing w:before="0" w:after="0" w:line="360" w:lineRule="auto"/>
      </w:pPr>
      <w:r w:rsidRPr="00A54D04">
        <w:rPr>
          <w:lang w:val="en-AU"/>
        </w:rPr>
        <w:t xml:space="preserve">   As </w:t>
      </w:r>
      <w:proofErr w:type="gramStart"/>
      <w:r w:rsidRPr="00A54D04">
        <w:rPr>
          <w:lang w:val="en-AU"/>
        </w:rPr>
        <w:t>at</w:t>
      </w:r>
      <w:proofErr w:type="gramEnd"/>
      <w:r w:rsidRPr="00A54D04">
        <w:rPr>
          <w:lang w:val="en-AU"/>
        </w:rPr>
        <w:t xml:space="preserve"> 24 March 2025</w:t>
      </w:r>
    </w:p>
    <w:tbl>
      <w:tblPr>
        <w:tblStyle w:val="TableGrid"/>
        <w:tblW w:w="0" w:type="auto"/>
        <w:tblLook w:val="04A0" w:firstRow="1" w:lastRow="0" w:firstColumn="1" w:lastColumn="0" w:noHBand="0" w:noVBand="1"/>
      </w:tblPr>
      <w:tblGrid>
        <w:gridCol w:w="6645"/>
        <w:gridCol w:w="2993"/>
      </w:tblGrid>
      <w:tr w:rsidR="00F708CF" w:rsidRPr="00A54D04" w14:paraId="3C040FD3" w14:textId="77777777">
        <w:trPr>
          <w:cnfStyle w:val="100000000000" w:firstRow="1" w:lastRow="0" w:firstColumn="0" w:lastColumn="0" w:oddVBand="0" w:evenVBand="0" w:oddHBand="0" w:evenHBand="0" w:firstRowFirstColumn="0" w:firstRowLastColumn="0" w:lastRowFirstColumn="0" w:lastRowLastColumn="0"/>
        </w:trPr>
        <w:tc>
          <w:tcPr>
            <w:tcW w:w="6748" w:type="dxa"/>
          </w:tcPr>
          <w:p w14:paraId="786A8D9A" w14:textId="77777777" w:rsidR="00F708CF" w:rsidRPr="00A54D04" w:rsidRDefault="00F708CF">
            <w:pPr>
              <w:pStyle w:val="TableHeading"/>
              <w:keepNext/>
              <w:keepLines/>
            </w:pPr>
            <w:r w:rsidRPr="00A54D04">
              <w:t>Council</w:t>
            </w:r>
          </w:p>
        </w:tc>
        <w:tc>
          <w:tcPr>
            <w:tcW w:w="3032" w:type="dxa"/>
          </w:tcPr>
          <w:p w14:paraId="2AC75491" w14:textId="77777777" w:rsidR="00F708CF" w:rsidRPr="00A54D04" w:rsidRDefault="00F708CF" w:rsidP="00BE6D2A">
            <w:pPr>
              <w:pStyle w:val="TableHeading"/>
              <w:keepNext/>
              <w:keepLines/>
              <w:jc w:val="right"/>
            </w:pPr>
            <w:r w:rsidRPr="00A54D04">
              <w:t>Storage fee (per day)</w:t>
            </w:r>
          </w:p>
        </w:tc>
      </w:tr>
      <w:tr w:rsidR="00F708CF" w:rsidRPr="00A54D04" w14:paraId="1BA07EAA" w14:textId="77777777">
        <w:trPr>
          <w:cnfStyle w:val="000000100000" w:firstRow="0" w:lastRow="0" w:firstColumn="0" w:lastColumn="0" w:oddVBand="0" w:evenVBand="0" w:oddHBand="1" w:evenHBand="0" w:firstRowFirstColumn="0" w:firstRowLastColumn="0" w:lastRowFirstColumn="0" w:lastRowLastColumn="0"/>
        </w:trPr>
        <w:tc>
          <w:tcPr>
            <w:tcW w:w="6748" w:type="dxa"/>
          </w:tcPr>
          <w:p w14:paraId="02DFE0A1" w14:textId="77777777" w:rsidR="00F708CF" w:rsidRPr="00A54D04" w:rsidRDefault="00F708CF">
            <w:pPr>
              <w:pStyle w:val="TableBody"/>
              <w:keepNext/>
              <w:keepLines/>
            </w:pPr>
            <w:r w:rsidRPr="00A54D04">
              <w:t>Melbourne City Council</w:t>
            </w:r>
          </w:p>
        </w:tc>
        <w:tc>
          <w:tcPr>
            <w:tcW w:w="3032" w:type="dxa"/>
          </w:tcPr>
          <w:p w14:paraId="61B94532" w14:textId="77777777" w:rsidR="00F708CF" w:rsidRPr="00A54D04" w:rsidRDefault="00F708CF" w:rsidP="00BE6D2A">
            <w:pPr>
              <w:pStyle w:val="TableBody"/>
              <w:keepNext/>
              <w:keepLines/>
              <w:jc w:val="right"/>
            </w:pPr>
            <w:r w:rsidRPr="00A54D04">
              <w:t>$17.60</w:t>
            </w:r>
          </w:p>
        </w:tc>
      </w:tr>
      <w:tr w:rsidR="00F708CF" w:rsidRPr="00A54D04" w14:paraId="41C297BA" w14:textId="77777777">
        <w:trPr>
          <w:cnfStyle w:val="000000010000" w:firstRow="0" w:lastRow="0" w:firstColumn="0" w:lastColumn="0" w:oddVBand="0" w:evenVBand="0" w:oddHBand="0" w:evenHBand="1" w:firstRowFirstColumn="0" w:firstRowLastColumn="0" w:lastRowFirstColumn="0" w:lastRowLastColumn="0"/>
        </w:trPr>
        <w:tc>
          <w:tcPr>
            <w:tcW w:w="6748" w:type="dxa"/>
          </w:tcPr>
          <w:p w14:paraId="7727EEA9" w14:textId="77777777" w:rsidR="00F708CF" w:rsidRPr="00A54D04" w:rsidRDefault="00F708CF">
            <w:pPr>
              <w:pStyle w:val="TableBody"/>
              <w:keepNext/>
              <w:keepLines/>
            </w:pPr>
            <w:r w:rsidRPr="00A54D04">
              <w:t>Port Phillip City Council</w:t>
            </w:r>
          </w:p>
        </w:tc>
        <w:tc>
          <w:tcPr>
            <w:tcW w:w="3032" w:type="dxa"/>
          </w:tcPr>
          <w:p w14:paraId="51FBBE5B" w14:textId="77777777" w:rsidR="00F708CF" w:rsidRPr="00A54D04" w:rsidRDefault="00F708CF" w:rsidP="00BE6D2A">
            <w:pPr>
              <w:pStyle w:val="TableBody"/>
              <w:keepNext/>
              <w:keepLines/>
              <w:jc w:val="right"/>
            </w:pPr>
            <w:r w:rsidRPr="00A54D04">
              <w:t>$28.00</w:t>
            </w:r>
          </w:p>
        </w:tc>
      </w:tr>
      <w:tr w:rsidR="00F708CF" w:rsidRPr="00A54D04" w14:paraId="55AE9276" w14:textId="77777777">
        <w:trPr>
          <w:cnfStyle w:val="000000100000" w:firstRow="0" w:lastRow="0" w:firstColumn="0" w:lastColumn="0" w:oddVBand="0" w:evenVBand="0" w:oddHBand="1" w:evenHBand="0" w:firstRowFirstColumn="0" w:firstRowLastColumn="0" w:lastRowFirstColumn="0" w:lastRowLastColumn="0"/>
        </w:trPr>
        <w:tc>
          <w:tcPr>
            <w:tcW w:w="6748" w:type="dxa"/>
          </w:tcPr>
          <w:p w14:paraId="61439F46" w14:textId="77777777" w:rsidR="00F708CF" w:rsidRPr="00A54D04" w:rsidRDefault="00F708CF">
            <w:pPr>
              <w:pStyle w:val="TableBody"/>
              <w:keepNext/>
              <w:keepLines/>
            </w:pPr>
            <w:r w:rsidRPr="00A54D04">
              <w:t>Stonnington City Council</w:t>
            </w:r>
          </w:p>
        </w:tc>
        <w:tc>
          <w:tcPr>
            <w:tcW w:w="3032" w:type="dxa"/>
          </w:tcPr>
          <w:p w14:paraId="7A421F10" w14:textId="77777777" w:rsidR="00F708CF" w:rsidRPr="00A54D04" w:rsidRDefault="00F708CF" w:rsidP="00BE6D2A">
            <w:pPr>
              <w:pStyle w:val="TableBody"/>
              <w:keepNext/>
              <w:keepLines/>
              <w:jc w:val="right"/>
            </w:pPr>
            <w:r w:rsidRPr="00A54D04">
              <w:t>$16.09</w:t>
            </w:r>
          </w:p>
        </w:tc>
      </w:tr>
      <w:tr w:rsidR="00F708CF" w:rsidRPr="00A54D04" w14:paraId="70C02F6D" w14:textId="77777777">
        <w:trPr>
          <w:cnfStyle w:val="000000010000" w:firstRow="0" w:lastRow="0" w:firstColumn="0" w:lastColumn="0" w:oddVBand="0" w:evenVBand="0" w:oddHBand="0" w:evenHBand="1" w:firstRowFirstColumn="0" w:firstRowLastColumn="0" w:lastRowFirstColumn="0" w:lastRowLastColumn="0"/>
        </w:trPr>
        <w:tc>
          <w:tcPr>
            <w:tcW w:w="6748" w:type="dxa"/>
          </w:tcPr>
          <w:p w14:paraId="25359734" w14:textId="77777777" w:rsidR="00F708CF" w:rsidRPr="00A54D04" w:rsidRDefault="00F708CF">
            <w:pPr>
              <w:pStyle w:val="TableBody"/>
              <w:keepNext/>
              <w:keepLines/>
            </w:pPr>
            <w:r w:rsidRPr="00A54D04">
              <w:t>Yarra City Council</w:t>
            </w:r>
          </w:p>
        </w:tc>
        <w:tc>
          <w:tcPr>
            <w:tcW w:w="3032" w:type="dxa"/>
          </w:tcPr>
          <w:p w14:paraId="13F673AB" w14:textId="77777777" w:rsidR="00F708CF" w:rsidRPr="00A54D04" w:rsidRDefault="00F708CF" w:rsidP="00BE6D2A">
            <w:pPr>
              <w:pStyle w:val="TableBody"/>
              <w:keepNext/>
              <w:keepLines/>
              <w:jc w:val="right"/>
            </w:pPr>
            <w:r w:rsidRPr="00A54D04">
              <w:t>$15.90</w:t>
            </w:r>
          </w:p>
        </w:tc>
      </w:tr>
      <w:tr w:rsidR="00F708CF" w:rsidRPr="00A54D04" w14:paraId="4BAF60F5" w14:textId="77777777">
        <w:trPr>
          <w:cnfStyle w:val="000000100000" w:firstRow="0" w:lastRow="0" w:firstColumn="0" w:lastColumn="0" w:oddVBand="0" w:evenVBand="0" w:oddHBand="1" w:evenHBand="0" w:firstRowFirstColumn="0" w:firstRowLastColumn="0" w:lastRowFirstColumn="0" w:lastRowLastColumn="0"/>
        </w:trPr>
        <w:tc>
          <w:tcPr>
            <w:tcW w:w="6748" w:type="dxa"/>
          </w:tcPr>
          <w:p w14:paraId="17E84D4E" w14:textId="77777777" w:rsidR="00F708CF" w:rsidRPr="00A54D04" w:rsidRDefault="00F708CF">
            <w:pPr>
              <w:pStyle w:val="TableBody"/>
              <w:keepNext/>
              <w:keepLines/>
              <w:rPr>
                <w:b/>
                <w:bCs/>
              </w:rPr>
            </w:pPr>
            <w:r w:rsidRPr="00A54D04">
              <w:rPr>
                <w:b/>
                <w:bCs/>
              </w:rPr>
              <w:t>Councils adopting Department of Transport and Planning fee</w:t>
            </w:r>
          </w:p>
        </w:tc>
        <w:tc>
          <w:tcPr>
            <w:tcW w:w="3032" w:type="dxa"/>
          </w:tcPr>
          <w:p w14:paraId="45EA619B" w14:textId="77777777" w:rsidR="00F708CF" w:rsidRPr="00A54D04" w:rsidRDefault="00F708CF" w:rsidP="00BE6D2A">
            <w:pPr>
              <w:pStyle w:val="TableBody"/>
              <w:keepNext/>
              <w:keepLines/>
              <w:jc w:val="right"/>
              <w:rPr>
                <w:b/>
                <w:bCs/>
              </w:rPr>
            </w:pPr>
            <w:r w:rsidRPr="00A54D04">
              <w:rPr>
                <w:b/>
                <w:bCs/>
              </w:rPr>
              <w:t>$15.20</w:t>
            </w:r>
          </w:p>
        </w:tc>
      </w:tr>
      <w:tr w:rsidR="00F708CF" w:rsidRPr="00A54D04" w14:paraId="2A379C21" w14:textId="77777777">
        <w:trPr>
          <w:cnfStyle w:val="000000010000" w:firstRow="0" w:lastRow="0" w:firstColumn="0" w:lastColumn="0" w:oddVBand="0" w:evenVBand="0" w:oddHBand="0" w:evenHBand="1" w:firstRowFirstColumn="0" w:firstRowLastColumn="0" w:lastRowFirstColumn="0" w:lastRowLastColumn="0"/>
        </w:trPr>
        <w:tc>
          <w:tcPr>
            <w:tcW w:w="6748" w:type="dxa"/>
          </w:tcPr>
          <w:p w14:paraId="22277531" w14:textId="77777777" w:rsidR="00F708CF" w:rsidRPr="00A54D04" w:rsidRDefault="00F708CF">
            <w:pPr>
              <w:pStyle w:val="TableBody"/>
              <w:keepNext/>
              <w:keepLines/>
              <w:rPr>
                <w:b/>
                <w:bCs/>
              </w:rPr>
            </w:pPr>
            <w:r w:rsidRPr="00A54D04">
              <w:rPr>
                <w:b/>
                <w:bCs/>
              </w:rPr>
              <w:t>Average (all)</w:t>
            </w:r>
          </w:p>
        </w:tc>
        <w:tc>
          <w:tcPr>
            <w:tcW w:w="3032" w:type="dxa"/>
          </w:tcPr>
          <w:p w14:paraId="5EC798A3" w14:textId="77777777" w:rsidR="00F708CF" w:rsidRPr="00A54D04" w:rsidRDefault="00F708CF" w:rsidP="00BE6D2A">
            <w:pPr>
              <w:pStyle w:val="TableBody"/>
              <w:keepNext/>
              <w:keepLines/>
              <w:jc w:val="right"/>
              <w:rPr>
                <w:b/>
                <w:bCs/>
              </w:rPr>
            </w:pPr>
            <w:r w:rsidRPr="00A54D04">
              <w:rPr>
                <w:b/>
                <w:bCs/>
              </w:rPr>
              <w:t>$18.56</w:t>
            </w:r>
          </w:p>
        </w:tc>
      </w:tr>
      <w:tr w:rsidR="00F708CF" w:rsidRPr="00A54D04" w14:paraId="64B9358C" w14:textId="77777777">
        <w:trPr>
          <w:cnfStyle w:val="000000100000" w:firstRow="0" w:lastRow="0" w:firstColumn="0" w:lastColumn="0" w:oddVBand="0" w:evenVBand="0" w:oddHBand="1" w:evenHBand="0" w:firstRowFirstColumn="0" w:firstRowLastColumn="0" w:lastRowFirstColumn="0" w:lastRowLastColumn="0"/>
        </w:trPr>
        <w:tc>
          <w:tcPr>
            <w:tcW w:w="6748" w:type="dxa"/>
          </w:tcPr>
          <w:p w14:paraId="326D5B95" w14:textId="77777777" w:rsidR="00F708CF" w:rsidRPr="00A54D04" w:rsidRDefault="00F708CF">
            <w:pPr>
              <w:pStyle w:val="TableBody"/>
              <w:keepNext/>
              <w:keepLines/>
              <w:rPr>
                <w:b/>
                <w:bCs/>
              </w:rPr>
            </w:pPr>
            <w:r w:rsidRPr="00A54D04">
              <w:rPr>
                <w:b/>
                <w:bCs/>
              </w:rPr>
              <w:t xml:space="preserve">Average (councils adopting different storage fee) </w:t>
            </w:r>
          </w:p>
        </w:tc>
        <w:tc>
          <w:tcPr>
            <w:tcW w:w="3032" w:type="dxa"/>
          </w:tcPr>
          <w:p w14:paraId="285F2272" w14:textId="77777777" w:rsidR="00F708CF" w:rsidRPr="00A54D04" w:rsidRDefault="00F708CF" w:rsidP="00BE6D2A">
            <w:pPr>
              <w:pStyle w:val="TableBody"/>
              <w:keepNext/>
              <w:keepLines/>
              <w:jc w:val="right"/>
              <w:rPr>
                <w:b/>
                <w:bCs/>
              </w:rPr>
            </w:pPr>
            <w:r w:rsidRPr="00A54D04">
              <w:rPr>
                <w:b/>
                <w:bCs/>
              </w:rPr>
              <w:t>$19.40</w:t>
            </w:r>
          </w:p>
        </w:tc>
      </w:tr>
    </w:tbl>
    <w:p w14:paraId="00ED3988" w14:textId="459AD3D0" w:rsidR="00C1748E" w:rsidRPr="00A54D04" w:rsidRDefault="00C1748E" w:rsidP="00C1748E">
      <w:pPr>
        <w:pStyle w:val="Source"/>
        <w:jc w:val="left"/>
      </w:pPr>
      <w:r w:rsidRPr="00A54D04">
        <w:rPr>
          <w:b/>
          <w:bCs/>
        </w:rPr>
        <w:t>Source:</w:t>
      </w:r>
      <w:r w:rsidRPr="00A54D04">
        <w:t xml:space="preserve"> Essential Services Commission analysis</w:t>
      </w:r>
    </w:p>
    <w:p w14:paraId="3048164D" w14:textId="77777777" w:rsidR="00F708CF" w:rsidRPr="00A54D04" w:rsidRDefault="00F708CF" w:rsidP="00F708CF">
      <w:r w:rsidRPr="00A54D04">
        <w:t>The clearway towing storage fees are slightly lower than the regulated locked yard storage fee ($20.90) and much lower than the regulated under cover storage fee ($30.90).</w:t>
      </w:r>
    </w:p>
    <w:p w14:paraId="588C44AA" w14:textId="77777777" w:rsidR="00F708CF" w:rsidRPr="00A54D04" w:rsidRDefault="00F708CF" w:rsidP="00F708CF">
      <w:pPr>
        <w:pStyle w:val="Heading4"/>
      </w:pPr>
      <w:r w:rsidRPr="00A54D04">
        <w:t>Average storage fees much lower if outlier excluded</w:t>
      </w:r>
    </w:p>
    <w:p w14:paraId="18330C8B" w14:textId="564B0502" w:rsidR="00F708CF" w:rsidRPr="00A54D04" w:rsidRDefault="00F708CF" w:rsidP="00F708CF">
      <w:r w:rsidRPr="00A54D04">
        <w:t xml:space="preserve">Port Phillip City Council has a storage fee that is significantly higher than </w:t>
      </w:r>
      <w:r w:rsidR="00625CD4" w:rsidRPr="00A54D04">
        <w:t>all</w:t>
      </w:r>
      <w:r w:rsidRPr="00A54D04">
        <w:t xml:space="preserve"> the other councils ($28.00). If we exclude this council, the average storage fee for all councils is $16.20. While the average for the remaining three councils charging their own storage fee is $16.53. Both these average fees are much lower than the regulated locked yard </w:t>
      </w:r>
      <w:r w:rsidR="00BE6D2A" w:rsidRPr="00A54D04">
        <w:t xml:space="preserve">and under cover </w:t>
      </w:r>
      <w:r w:rsidRPr="00A54D04">
        <w:t>storage fee</w:t>
      </w:r>
      <w:r w:rsidR="00BE6D2A" w:rsidRPr="00A54D04">
        <w:t>s.</w:t>
      </w:r>
    </w:p>
    <w:p w14:paraId="797501B7" w14:textId="6C561624" w:rsidR="00F708CF" w:rsidRPr="00A54D04" w:rsidRDefault="00B068B7" w:rsidP="00F708CF">
      <w:pPr>
        <w:pStyle w:val="Heading3"/>
      </w:pPr>
      <w:bookmarkStart w:id="325" w:name="_Toc184041480"/>
      <w:bookmarkStart w:id="326" w:name="_Toc185321810"/>
      <w:bookmarkStart w:id="327" w:name="_Toc190265336"/>
      <w:bookmarkStart w:id="328" w:name="_Toc195721936"/>
      <w:bookmarkStart w:id="329" w:name="_Toc197345293"/>
      <w:bookmarkStart w:id="330" w:name="_Toc197942462"/>
      <w:bookmarkStart w:id="331" w:name="_Toc197977735"/>
      <w:bookmarkStart w:id="332" w:name="_Toc198048724"/>
      <w:bookmarkStart w:id="333" w:name="_Toc199231597"/>
      <w:r w:rsidRPr="00A54D04">
        <w:t>Storage fees for a</w:t>
      </w:r>
      <w:r w:rsidR="00F708CF" w:rsidRPr="00A54D04">
        <w:t>bandoned (or derelict) vehicle towing</w:t>
      </w:r>
      <w:bookmarkEnd w:id="325"/>
      <w:bookmarkEnd w:id="326"/>
      <w:bookmarkEnd w:id="327"/>
      <w:bookmarkEnd w:id="328"/>
      <w:bookmarkEnd w:id="329"/>
      <w:bookmarkEnd w:id="330"/>
      <w:bookmarkEnd w:id="331"/>
      <w:bookmarkEnd w:id="332"/>
      <w:bookmarkEnd w:id="333"/>
      <w:r w:rsidR="00F708CF" w:rsidRPr="00A54D04">
        <w:t xml:space="preserve"> </w:t>
      </w:r>
      <w:r w:rsidR="00F708CF" w:rsidRPr="00A54D04">
        <w:tab/>
      </w:r>
    </w:p>
    <w:p w14:paraId="18CFC5CA" w14:textId="77777777" w:rsidR="00F708CF" w:rsidRPr="00A54D04" w:rsidRDefault="00F708CF" w:rsidP="00F708CF">
      <w:r w:rsidRPr="00A54D04">
        <w:t xml:space="preserve">Local councils negotiate contracts with towing operators to provide towing of abandoned (or derelict) vehicles. Some councils publish the storage fee for abandoned (or derelict) vehicles that have been towed and impounded. </w:t>
      </w:r>
    </w:p>
    <w:p w14:paraId="75E3970B" w14:textId="00A07391" w:rsidR="00F708CF" w:rsidRPr="00A54D04" w:rsidRDefault="00F708CF" w:rsidP="00F708CF">
      <w:r w:rsidRPr="00A54D04">
        <w:t>Storage fees for abandoned (or derelict) vehicles vary greatly by council, ranging from $12.50 to $60.00 per day with an average of $31.06 (</w:t>
      </w:r>
      <w:r w:rsidR="00BC35DB" w:rsidRPr="00A54D04">
        <w:t>see</w:t>
      </w:r>
      <w:r w:rsidRPr="00A54D04">
        <w:t xml:space="preserve"> Table </w:t>
      </w:r>
      <w:r w:rsidR="007260CD" w:rsidRPr="00A54D04">
        <w:t>1</w:t>
      </w:r>
      <w:r w:rsidR="008C3EBA" w:rsidRPr="00A54D04">
        <w:t>6</w:t>
      </w:r>
      <w:r w:rsidRPr="00A54D04">
        <w:t xml:space="preserve">). This is </w:t>
      </w:r>
      <w:proofErr w:type="gramStart"/>
      <w:r w:rsidRPr="00A54D04">
        <w:t>similar to</w:t>
      </w:r>
      <w:proofErr w:type="gramEnd"/>
      <w:r w:rsidRPr="00A54D04">
        <w:t xml:space="preserve"> the regulated under cover storage fee in Melbourne ($30.90), but much higher than the regulated locked yard storage fee ($20.90).</w:t>
      </w:r>
    </w:p>
    <w:p w14:paraId="372677D5" w14:textId="77777777" w:rsidR="00F708CF" w:rsidRPr="00A54D04" w:rsidRDefault="00F708CF" w:rsidP="00F708CF">
      <w:r w:rsidRPr="00A54D04">
        <w:t>We note that the storage fees for outer Melbourne councils are generally higher than for inner Melbourne councils. This is counterintuitive as we would expect land rental rates to be lower in outer Melbourne councils. The average storage fee for outer Melbourne councils is $35.42 (higher than both regulated storage fees) compared to $21.46 for inner Melbourne councils (</w:t>
      </w:r>
      <w:proofErr w:type="gramStart"/>
      <w:r w:rsidRPr="00A54D04">
        <w:t>similar to</w:t>
      </w:r>
      <w:proofErr w:type="gramEnd"/>
      <w:r w:rsidRPr="00A54D04">
        <w:t xml:space="preserve"> the regulated locked yard storage fee, but lower than the regulated under cover storage fee).</w:t>
      </w:r>
    </w:p>
    <w:p w14:paraId="59D00383" w14:textId="267E23FF" w:rsidR="00F708CF" w:rsidRPr="00A54D04" w:rsidRDefault="00F708CF" w:rsidP="00F708CF">
      <w:pPr>
        <w:pStyle w:val="Figure-Table-BoxHeading"/>
        <w:keepNext/>
        <w:keepLines/>
        <w:numPr>
          <w:ilvl w:val="0"/>
          <w:numId w:val="0"/>
        </w:numPr>
        <w:spacing w:after="0" w:line="360" w:lineRule="auto"/>
        <w:ind w:left="1440" w:hanging="1440"/>
      </w:pPr>
      <w:r w:rsidRPr="00A54D04">
        <w:lastRenderedPageBreak/>
        <w:t xml:space="preserve">Table </w:t>
      </w:r>
      <w:r w:rsidR="007260CD" w:rsidRPr="00A54D04">
        <w:t>1</w:t>
      </w:r>
      <w:r w:rsidR="008C3EBA" w:rsidRPr="00A54D04">
        <w:t>6</w:t>
      </w:r>
      <w:r w:rsidRPr="00A54D04">
        <w:t>. Published storage fee for abandoned (or derelict) vehicles by council</w:t>
      </w:r>
      <w:r w:rsidR="00A97AB6" w:rsidRPr="00A54D04">
        <w:t xml:space="preserve"> (</w:t>
      </w:r>
      <w:r w:rsidRPr="00A54D04">
        <w:t>2024–25</w:t>
      </w:r>
      <w:r w:rsidR="00A97AB6" w:rsidRPr="00A54D04">
        <w:t>)</w:t>
      </w:r>
    </w:p>
    <w:tbl>
      <w:tblPr>
        <w:tblStyle w:val="TableGrid"/>
        <w:tblW w:w="9866" w:type="dxa"/>
        <w:tblLook w:val="04A0" w:firstRow="1" w:lastRow="0" w:firstColumn="1" w:lastColumn="0" w:noHBand="0" w:noVBand="1"/>
      </w:tblPr>
      <w:tblGrid>
        <w:gridCol w:w="5047"/>
        <w:gridCol w:w="4819"/>
      </w:tblGrid>
      <w:tr w:rsidR="00F708CF" w:rsidRPr="00A54D04" w14:paraId="76AEC59D" w14:textId="77777777">
        <w:trPr>
          <w:cnfStyle w:val="100000000000" w:firstRow="1" w:lastRow="0" w:firstColumn="0" w:lastColumn="0" w:oddVBand="0" w:evenVBand="0" w:oddHBand="0" w:evenHBand="0" w:firstRowFirstColumn="0" w:firstRowLastColumn="0" w:lastRowFirstColumn="0" w:lastRowLastColumn="0"/>
        </w:trPr>
        <w:tc>
          <w:tcPr>
            <w:tcW w:w="5047" w:type="dxa"/>
          </w:tcPr>
          <w:p w14:paraId="1C23B054" w14:textId="77777777" w:rsidR="00F708CF" w:rsidRPr="00A54D04" w:rsidRDefault="00F708CF">
            <w:pPr>
              <w:pStyle w:val="TableHeading"/>
              <w:keepNext/>
              <w:keepLines/>
            </w:pPr>
            <w:r w:rsidRPr="00A54D04">
              <w:t>Council</w:t>
            </w:r>
          </w:p>
        </w:tc>
        <w:tc>
          <w:tcPr>
            <w:tcW w:w="4819" w:type="dxa"/>
          </w:tcPr>
          <w:p w14:paraId="20304409" w14:textId="77777777" w:rsidR="00F708CF" w:rsidRPr="00A54D04" w:rsidRDefault="00F708CF" w:rsidP="000C241E">
            <w:pPr>
              <w:pStyle w:val="TableHeading"/>
              <w:keepNext/>
              <w:keepLines/>
              <w:tabs>
                <w:tab w:val="right" w:pos="4677"/>
              </w:tabs>
              <w:jc w:val="right"/>
            </w:pPr>
            <w:r w:rsidRPr="00A54D04">
              <w:t>Storage fee (per day)</w:t>
            </w:r>
          </w:p>
        </w:tc>
      </w:tr>
      <w:tr w:rsidR="00F708CF" w:rsidRPr="00A54D04" w14:paraId="55FC7461" w14:textId="77777777">
        <w:trPr>
          <w:cnfStyle w:val="000000100000" w:firstRow="0" w:lastRow="0" w:firstColumn="0" w:lastColumn="0" w:oddVBand="0" w:evenVBand="0" w:oddHBand="1" w:evenHBand="0" w:firstRowFirstColumn="0" w:firstRowLastColumn="0" w:lastRowFirstColumn="0" w:lastRowLastColumn="0"/>
        </w:trPr>
        <w:tc>
          <w:tcPr>
            <w:tcW w:w="5047" w:type="dxa"/>
          </w:tcPr>
          <w:p w14:paraId="29E008A7" w14:textId="77777777" w:rsidR="00F708CF" w:rsidRPr="00A54D04" w:rsidRDefault="00F708CF">
            <w:pPr>
              <w:pStyle w:val="TableBody"/>
              <w:keepNext/>
              <w:keepLines/>
            </w:pPr>
            <w:r w:rsidRPr="00A54D04">
              <w:t>Boroondara City Council</w:t>
            </w:r>
          </w:p>
        </w:tc>
        <w:tc>
          <w:tcPr>
            <w:tcW w:w="4819" w:type="dxa"/>
          </w:tcPr>
          <w:p w14:paraId="12B8C8CF" w14:textId="77777777" w:rsidR="00F708CF" w:rsidRPr="00A54D04" w:rsidRDefault="00F708CF" w:rsidP="000C241E">
            <w:pPr>
              <w:pStyle w:val="TableBody"/>
              <w:keepNext/>
              <w:keepLines/>
              <w:tabs>
                <w:tab w:val="left" w:pos="1840"/>
              </w:tabs>
              <w:jc w:val="right"/>
            </w:pPr>
            <w:r w:rsidRPr="00A54D04">
              <w:t>$12.50</w:t>
            </w:r>
          </w:p>
        </w:tc>
      </w:tr>
      <w:tr w:rsidR="00F708CF" w:rsidRPr="00A54D04" w14:paraId="5D9FAC4E" w14:textId="77777777">
        <w:trPr>
          <w:cnfStyle w:val="000000010000" w:firstRow="0" w:lastRow="0" w:firstColumn="0" w:lastColumn="0" w:oddVBand="0" w:evenVBand="0" w:oddHBand="0" w:evenHBand="1" w:firstRowFirstColumn="0" w:firstRowLastColumn="0" w:lastRowFirstColumn="0" w:lastRowLastColumn="0"/>
        </w:trPr>
        <w:tc>
          <w:tcPr>
            <w:tcW w:w="5047" w:type="dxa"/>
          </w:tcPr>
          <w:p w14:paraId="51099C82" w14:textId="77777777" w:rsidR="00F708CF" w:rsidRPr="00A54D04" w:rsidRDefault="00F708CF">
            <w:pPr>
              <w:pStyle w:val="TableBody"/>
              <w:keepNext/>
              <w:keepLines/>
            </w:pPr>
            <w:r w:rsidRPr="00A54D04">
              <w:t>Casey City Council</w:t>
            </w:r>
          </w:p>
        </w:tc>
        <w:tc>
          <w:tcPr>
            <w:tcW w:w="4819" w:type="dxa"/>
          </w:tcPr>
          <w:p w14:paraId="78C5F6F2" w14:textId="77777777" w:rsidR="00F708CF" w:rsidRPr="00A54D04" w:rsidRDefault="00F708CF" w:rsidP="000C241E">
            <w:pPr>
              <w:pStyle w:val="TableBody"/>
              <w:keepNext/>
              <w:keepLines/>
              <w:tabs>
                <w:tab w:val="left" w:pos="1840"/>
              </w:tabs>
              <w:jc w:val="right"/>
            </w:pPr>
            <w:r w:rsidRPr="00A54D04">
              <w:t>$25.00</w:t>
            </w:r>
          </w:p>
        </w:tc>
      </w:tr>
      <w:tr w:rsidR="00F708CF" w:rsidRPr="00A54D04" w14:paraId="167DDBA8" w14:textId="77777777">
        <w:trPr>
          <w:cnfStyle w:val="000000100000" w:firstRow="0" w:lastRow="0" w:firstColumn="0" w:lastColumn="0" w:oddVBand="0" w:evenVBand="0" w:oddHBand="1" w:evenHBand="0" w:firstRowFirstColumn="0" w:firstRowLastColumn="0" w:lastRowFirstColumn="0" w:lastRowLastColumn="0"/>
        </w:trPr>
        <w:tc>
          <w:tcPr>
            <w:tcW w:w="5047" w:type="dxa"/>
          </w:tcPr>
          <w:p w14:paraId="51A2190E" w14:textId="77777777" w:rsidR="00F708CF" w:rsidRPr="00A54D04" w:rsidRDefault="00F708CF">
            <w:pPr>
              <w:pStyle w:val="TableBody"/>
              <w:keepNext/>
              <w:keepLines/>
            </w:pPr>
            <w:r w:rsidRPr="00A54D04">
              <w:t>Darebin City Council</w:t>
            </w:r>
          </w:p>
        </w:tc>
        <w:tc>
          <w:tcPr>
            <w:tcW w:w="4819" w:type="dxa"/>
          </w:tcPr>
          <w:p w14:paraId="52A81D6E" w14:textId="77777777" w:rsidR="00F708CF" w:rsidRPr="00A54D04" w:rsidRDefault="00F708CF" w:rsidP="000C241E">
            <w:pPr>
              <w:pStyle w:val="TableBody"/>
              <w:keepNext/>
              <w:keepLines/>
              <w:tabs>
                <w:tab w:val="left" w:pos="1840"/>
              </w:tabs>
              <w:jc w:val="right"/>
            </w:pPr>
            <w:r w:rsidRPr="00A54D04">
              <w:t>$48.00</w:t>
            </w:r>
          </w:p>
        </w:tc>
      </w:tr>
      <w:tr w:rsidR="00F708CF" w:rsidRPr="00A54D04" w14:paraId="51249529" w14:textId="77777777">
        <w:trPr>
          <w:cnfStyle w:val="000000010000" w:firstRow="0" w:lastRow="0" w:firstColumn="0" w:lastColumn="0" w:oddVBand="0" w:evenVBand="0" w:oddHBand="0" w:evenHBand="1" w:firstRowFirstColumn="0" w:firstRowLastColumn="0" w:lastRowFirstColumn="0" w:lastRowLastColumn="0"/>
        </w:trPr>
        <w:tc>
          <w:tcPr>
            <w:tcW w:w="5047" w:type="dxa"/>
          </w:tcPr>
          <w:p w14:paraId="75607593" w14:textId="77777777" w:rsidR="00F708CF" w:rsidRPr="00A54D04" w:rsidRDefault="00F708CF">
            <w:pPr>
              <w:pStyle w:val="TableBody"/>
              <w:keepNext/>
              <w:keepLines/>
            </w:pPr>
            <w:r w:rsidRPr="00A54D04">
              <w:t>Frankston City Council</w:t>
            </w:r>
          </w:p>
        </w:tc>
        <w:tc>
          <w:tcPr>
            <w:tcW w:w="4819" w:type="dxa"/>
          </w:tcPr>
          <w:p w14:paraId="108B756D" w14:textId="77777777" w:rsidR="00F708CF" w:rsidRPr="00A54D04" w:rsidRDefault="00F708CF" w:rsidP="000C241E">
            <w:pPr>
              <w:pStyle w:val="TableBody"/>
              <w:keepNext/>
              <w:keepLines/>
              <w:tabs>
                <w:tab w:val="left" w:pos="1840"/>
              </w:tabs>
              <w:jc w:val="right"/>
            </w:pPr>
            <w:r w:rsidRPr="00A54D04">
              <w:t>$60.00</w:t>
            </w:r>
          </w:p>
        </w:tc>
      </w:tr>
      <w:tr w:rsidR="00F708CF" w:rsidRPr="00A54D04" w14:paraId="118A23FC" w14:textId="77777777">
        <w:trPr>
          <w:cnfStyle w:val="000000100000" w:firstRow="0" w:lastRow="0" w:firstColumn="0" w:lastColumn="0" w:oddVBand="0" w:evenVBand="0" w:oddHBand="1" w:evenHBand="0" w:firstRowFirstColumn="0" w:firstRowLastColumn="0" w:lastRowFirstColumn="0" w:lastRowLastColumn="0"/>
        </w:trPr>
        <w:tc>
          <w:tcPr>
            <w:tcW w:w="5047" w:type="dxa"/>
          </w:tcPr>
          <w:p w14:paraId="037B3970" w14:textId="77777777" w:rsidR="00F708CF" w:rsidRPr="00A54D04" w:rsidRDefault="00F708CF">
            <w:pPr>
              <w:pStyle w:val="TableBody"/>
              <w:keepNext/>
              <w:keepLines/>
            </w:pPr>
            <w:r w:rsidRPr="00A54D04">
              <w:t>Kingston City Council</w:t>
            </w:r>
          </w:p>
        </w:tc>
        <w:tc>
          <w:tcPr>
            <w:tcW w:w="4819" w:type="dxa"/>
          </w:tcPr>
          <w:p w14:paraId="2957349D" w14:textId="77777777" w:rsidR="00F708CF" w:rsidRPr="00A54D04" w:rsidRDefault="00F708CF" w:rsidP="000C241E">
            <w:pPr>
              <w:pStyle w:val="TableBody"/>
              <w:keepNext/>
              <w:keepLines/>
              <w:tabs>
                <w:tab w:val="left" w:pos="1840"/>
              </w:tabs>
              <w:jc w:val="right"/>
            </w:pPr>
            <w:r w:rsidRPr="00A54D04">
              <w:t>$31.00</w:t>
            </w:r>
          </w:p>
        </w:tc>
      </w:tr>
      <w:tr w:rsidR="00F708CF" w:rsidRPr="00A54D04" w14:paraId="50720B1C" w14:textId="77777777">
        <w:trPr>
          <w:cnfStyle w:val="000000010000" w:firstRow="0" w:lastRow="0" w:firstColumn="0" w:lastColumn="0" w:oddVBand="0" w:evenVBand="0" w:oddHBand="0" w:evenHBand="1" w:firstRowFirstColumn="0" w:firstRowLastColumn="0" w:lastRowFirstColumn="0" w:lastRowLastColumn="0"/>
        </w:trPr>
        <w:tc>
          <w:tcPr>
            <w:tcW w:w="5047" w:type="dxa"/>
          </w:tcPr>
          <w:p w14:paraId="7B932FD1" w14:textId="77777777" w:rsidR="00F708CF" w:rsidRPr="00A54D04" w:rsidRDefault="00F708CF">
            <w:pPr>
              <w:pStyle w:val="TableBody"/>
              <w:keepNext/>
              <w:keepLines/>
            </w:pPr>
            <w:r w:rsidRPr="00A54D04">
              <w:t>Manningham City Council</w:t>
            </w:r>
          </w:p>
        </w:tc>
        <w:tc>
          <w:tcPr>
            <w:tcW w:w="4819" w:type="dxa"/>
          </w:tcPr>
          <w:p w14:paraId="589E6ABF" w14:textId="77777777" w:rsidR="00F708CF" w:rsidRPr="00A54D04" w:rsidRDefault="00F708CF" w:rsidP="000C241E">
            <w:pPr>
              <w:pStyle w:val="TableBody"/>
              <w:keepNext/>
              <w:keepLines/>
              <w:tabs>
                <w:tab w:val="left" w:pos="1840"/>
              </w:tabs>
              <w:jc w:val="right"/>
            </w:pPr>
            <w:r w:rsidRPr="00A54D04">
              <w:t>$32.60</w:t>
            </w:r>
          </w:p>
        </w:tc>
      </w:tr>
      <w:tr w:rsidR="00F708CF" w:rsidRPr="00A54D04" w14:paraId="78ACDEB7" w14:textId="77777777">
        <w:trPr>
          <w:cnfStyle w:val="000000100000" w:firstRow="0" w:lastRow="0" w:firstColumn="0" w:lastColumn="0" w:oddVBand="0" w:evenVBand="0" w:oddHBand="1" w:evenHBand="0" w:firstRowFirstColumn="0" w:firstRowLastColumn="0" w:lastRowFirstColumn="0" w:lastRowLastColumn="0"/>
        </w:trPr>
        <w:tc>
          <w:tcPr>
            <w:tcW w:w="5047" w:type="dxa"/>
          </w:tcPr>
          <w:p w14:paraId="42211653" w14:textId="77777777" w:rsidR="00F708CF" w:rsidRPr="00A54D04" w:rsidRDefault="00F708CF">
            <w:pPr>
              <w:pStyle w:val="TableBody"/>
              <w:keepNext/>
              <w:keepLines/>
            </w:pPr>
            <w:r w:rsidRPr="00A54D04">
              <w:t>Maribyrnong City Council</w:t>
            </w:r>
          </w:p>
        </w:tc>
        <w:tc>
          <w:tcPr>
            <w:tcW w:w="4819" w:type="dxa"/>
          </w:tcPr>
          <w:p w14:paraId="0A62503D" w14:textId="77777777" w:rsidR="00F708CF" w:rsidRPr="00A54D04" w:rsidRDefault="00F708CF" w:rsidP="000C241E">
            <w:pPr>
              <w:pStyle w:val="TableBody"/>
              <w:keepNext/>
              <w:keepLines/>
              <w:tabs>
                <w:tab w:val="left" w:pos="1840"/>
              </w:tabs>
              <w:jc w:val="right"/>
            </w:pPr>
            <w:r w:rsidRPr="00A54D04">
              <w:t>$54.50</w:t>
            </w:r>
          </w:p>
        </w:tc>
      </w:tr>
      <w:tr w:rsidR="00F708CF" w:rsidRPr="00A54D04" w14:paraId="4D67B186" w14:textId="77777777">
        <w:trPr>
          <w:cnfStyle w:val="000000010000" w:firstRow="0" w:lastRow="0" w:firstColumn="0" w:lastColumn="0" w:oddVBand="0" w:evenVBand="0" w:oddHBand="0" w:evenHBand="1" w:firstRowFirstColumn="0" w:firstRowLastColumn="0" w:lastRowFirstColumn="0" w:lastRowLastColumn="0"/>
        </w:trPr>
        <w:tc>
          <w:tcPr>
            <w:tcW w:w="5047" w:type="dxa"/>
          </w:tcPr>
          <w:p w14:paraId="1AE91947" w14:textId="77777777" w:rsidR="00F708CF" w:rsidRPr="00A54D04" w:rsidRDefault="00F708CF">
            <w:pPr>
              <w:pStyle w:val="TableBody"/>
              <w:keepNext/>
              <w:keepLines/>
            </w:pPr>
            <w:r w:rsidRPr="00A54D04">
              <w:t>Maroondah City Council</w:t>
            </w:r>
          </w:p>
        </w:tc>
        <w:tc>
          <w:tcPr>
            <w:tcW w:w="4819" w:type="dxa"/>
          </w:tcPr>
          <w:p w14:paraId="7B7B89F0" w14:textId="77777777" w:rsidR="00F708CF" w:rsidRPr="00A54D04" w:rsidRDefault="00F708CF" w:rsidP="000C241E">
            <w:pPr>
              <w:pStyle w:val="TableBody"/>
              <w:keepNext/>
              <w:keepLines/>
              <w:tabs>
                <w:tab w:val="left" w:pos="1840"/>
              </w:tabs>
              <w:jc w:val="right"/>
            </w:pPr>
            <w:r w:rsidRPr="00A54D04">
              <w:t>$30.00</w:t>
            </w:r>
          </w:p>
        </w:tc>
      </w:tr>
      <w:tr w:rsidR="00F708CF" w:rsidRPr="00A54D04" w14:paraId="59216FEF" w14:textId="77777777">
        <w:trPr>
          <w:cnfStyle w:val="000000100000" w:firstRow="0" w:lastRow="0" w:firstColumn="0" w:lastColumn="0" w:oddVBand="0" w:evenVBand="0" w:oddHBand="1" w:evenHBand="0" w:firstRowFirstColumn="0" w:firstRowLastColumn="0" w:lastRowFirstColumn="0" w:lastRowLastColumn="0"/>
        </w:trPr>
        <w:tc>
          <w:tcPr>
            <w:tcW w:w="5047" w:type="dxa"/>
          </w:tcPr>
          <w:p w14:paraId="1E124CE8" w14:textId="77777777" w:rsidR="00F708CF" w:rsidRPr="00A54D04" w:rsidRDefault="00F708CF">
            <w:pPr>
              <w:pStyle w:val="TableBody"/>
              <w:keepNext/>
              <w:keepLines/>
            </w:pPr>
            <w:r w:rsidRPr="00A54D04">
              <w:t>Melbourne City Council</w:t>
            </w:r>
          </w:p>
        </w:tc>
        <w:tc>
          <w:tcPr>
            <w:tcW w:w="4819" w:type="dxa"/>
          </w:tcPr>
          <w:p w14:paraId="3F1D10FC" w14:textId="77777777" w:rsidR="00F708CF" w:rsidRPr="00A54D04" w:rsidRDefault="00F708CF" w:rsidP="000C241E">
            <w:pPr>
              <w:pStyle w:val="TableBody"/>
              <w:keepNext/>
              <w:keepLines/>
              <w:tabs>
                <w:tab w:val="left" w:pos="1840"/>
              </w:tabs>
              <w:jc w:val="right"/>
            </w:pPr>
            <w:r w:rsidRPr="00A54D04">
              <w:t>$23.78</w:t>
            </w:r>
          </w:p>
        </w:tc>
      </w:tr>
      <w:tr w:rsidR="00F708CF" w:rsidRPr="00A54D04" w14:paraId="6E055D80" w14:textId="77777777">
        <w:trPr>
          <w:cnfStyle w:val="000000010000" w:firstRow="0" w:lastRow="0" w:firstColumn="0" w:lastColumn="0" w:oddVBand="0" w:evenVBand="0" w:oddHBand="0" w:evenHBand="1" w:firstRowFirstColumn="0" w:firstRowLastColumn="0" w:lastRowFirstColumn="0" w:lastRowLastColumn="0"/>
        </w:trPr>
        <w:tc>
          <w:tcPr>
            <w:tcW w:w="5047" w:type="dxa"/>
          </w:tcPr>
          <w:p w14:paraId="72CFFC3D" w14:textId="77777777" w:rsidR="00F708CF" w:rsidRPr="00A54D04" w:rsidRDefault="00F708CF">
            <w:pPr>
              <w:pStyle w:val="TableBody"/>
              <w:keepNext/>
              <w:keepLines/>
            </w:pPr>
            <w:r w:rsidRPr="00A54D04">
              <w:t>Melton City Council</w:t>
            </w:r>
          </w:p>
        </w:tc>
        <w:tc>
          <w:tcPr>
            <w:tcW w:w="4819" w:type="dxa"/>
          </w:tcPr>
          <w:p w14:paraId="300C96E3" w14:textId="77777777" w:rsidR="00F708CF" w:rsidRPr="00A54D04" w:rsidRDefault="00F708CF" w:rsidP="000C241E">
            <w:pPr>
              <w:pStyle w:val="TableBody"/>
              <w:keepNext/>
              <w:keepLines/>
              <w:tabs>
                <w:tab w:val="left" w:pos="1840"/>
              </w:tabs>
              <w:jc w:val="right"/>
            </w:pPr>
            <w:r w:rsidRPr="00A54D04">
              <w:t>$23.65</w:t>
            </w:r>
          </w:p>
        </w:tc>
      </w:tr>
      <w:tr w:rsidR="00F708CF" w:rsidRPr="00A54D04" w14:paraId="1D79BC1D" w14:textId="77777777">
        <w:trPr>
          <w:cnfStyle w:val="000000100000" w:firstRow="0" w:lastRow="0" w:firstColumn="0" w:lastColumn="0" w:oddVBand="0" w:evenVBand="0" w:oddHBand="1" w:evenHBand="0" w:firstRowFirstColumn="0" w:firstRowLastColumn="0" w:lastRowFirstColumn="0" w:lastRowLastColumn="0"/>
        </w:trPr>
        <w:tc>
          <w:tcPr>
            <w:tcW w:w="5047" w:type="dxa"/>
          </w:tcPr>
          <w:p w14:paraId="5EE0EBF0" w14:textId="77777777" w:rsidR="00F708CF" w:rsidRPr="00A54D04" w:rsidRDefault="00F708CF">
            <w:pPr>
              <w:pStyle w:val="TableBody"/>
              <w:keepNext/>
              <w:keepLines/>
            </w:pPr>
            <w:r w:rsidRPr="00A54D04">
              <w:rPr>
                <w:lang w:val="en-AU"/>
              </w:rPr>
              <w:t>Merri-bek City Council</w:t>
            </w:r>
          </w:p>
        </w:tc>
        <w:tc>
          <w:tcPr>
            <w:tcW w:w="4819" w:type="dxa"/>
          </w:tcPr>
          <w:p w14:paraId="75C83A83" w14:textId="77777777" w:rsidR="00F708CF" w:rsidRPr="00A54D04" w:rsidRDefault="00F708CF" w:rsidP="000C241E">
            <w:pPr>
              <w:pStyle w:val="TableBody"/>
              <w:keepNext/>
              <w:keepLines/>
              <w:tabs>
                <w:tab w:val="left" w:pos="1840"/>
              </w:tabs>
              <w:jc w:val="right"/>
            </w:pPr>
            <w:r w:rsidRPr="00A54D04">
              <w:t>$21.00</w:t>
            </w:r>
          </w:p>
        </w:tc>
      </w:tr>
      <w:tr w:rsidR="00F708CF" w:rsidRPr="00A54D04" w14:paraId="7CF8F0DA" w14:textId="77777777">
        <w:trPr>
          <w:cnfStyle w:val="000000010000" w:firstRow="0" w:lastRow="0" w:firstColumn="0" w:lastColumn="0" w:oddVBand="0" w:evenVBand="0" w:oddHBand="0" w:evenHBand="1" w:firstRowFirstColumn="0" w:firstRowLastColumn="0" w:lastRowFirstColumn="0" w:lastRowLastColumn="0"/>
        </w:trPr>
        <w:tc>
          <w:tcPr>
            <w:tcW w:w="5047" w:type="dxa"/>
          </w:tcPr>
          <w:p w14:paraId="62325636" w14:textId="77777777" w:rsidR="00F708CF" w:rsidRPr="00A54D04" w:rsidRDefault="00F708CF">
            <w:pPr>
              <w:pStyle w:val="TableBody"/>
              <w:keepNext/>
              <w:keepLines/>
            </w:pPr>
            <w:r w:rsidRPr="00A54D04">
              <w:t>Monash City Council</w:t>
            </w:r>
          </w:p>
        </w:tc>
        <w:tc>
          <w:tcPr>
            <w:tcW w:w="4819" w:type="dxa"/>
          </w:tcPr>
          <w:p w14:paraId="40223FDE" w14:textId="77777777" w:rsidR="00F708CF" w:rsidRPr="00A54D04" w:rsidRDefault="00F708CF" w:rsidP="000C241E">
            <w:pPr>
              <w:pStyle w:val="TableBody"/>
              <w:keepNext/>
              <w:keepLines/>
              <w:tabs>
                <w:tab w:val="left" w:pos="1840"/>
              </w:tabs>
              <w:jc w:val="right"/>
            </w:pPr>
            <w:r w:rsidRPr="00A54D04">
              <w:t>$34.90</w:t>
            </w:r>
          </w:p>
        </w:tc>
      </w:tr>
      <w:tr w:rsidR="00F708CF" w:rsidRPr="00A54D04" w14:paraId="0A0D5E1B" w14:textId="77777777">
        <w:trPr>
          <w:cnfStyle w:val="000000100000" w:firstRow="0" w:lastRow="0" w:firstColumn="0" w:lastColumn="0" w:oddVBand="0" w:evenVBand="0" w:oddHBand="1" w:evenHBand="0" w:firstRowFirstColumn="0" w:firstRowLastColumn="0" w:lastRowFirstColumn="0" w:lastRowLastColumn="0"/>
        </w:trPr>
        <w:tc>
          <w:tcPr>
            <w:tcW w:w="5047" w:type="dxa"/>
          </w:tcPr>
          <w:p w14:paraId="753CC6CA" w14:textId="77777777" w:rsidR="00F708CF" w:rsidRPr="00A54D04" w:rsidRDefault="00F708CF">
            <w:pPr>
              <w:pStyle w:val="TableBody"/>
              <w:keepNext/>
              <w:keepLines/>
            </w:pPr>
            <w:r w:rsidRPr="00A54D04">
              <w:t>Nillumbik Shire Council</w:t>
            </w:r>
          </w:p>
        </w:tc>
        <w:tc>
          <w:tcPr>
            <w:tcW w:w="4819" w:type="dxa"/>
          </w:tcPr>
          <w:p w14:paraId="37A32D4B" w14:textId="77777777" w:rsidR="00F708CF" w:rsidRPr="00A54D04" w:rsidRDefault="00F708CF" w:rsidP="000C241E">
            <w:pPr>
              <w:pStyle w:val="TableBody"/>
              <w:keepNext/>
              <w:keepLines/>
              <w:tabs>
                <w:tab w:val="left" w:pos="1840"/>
              </w:tabs>
              <w:jc w:val="right"/>
            </w:pPr>
            <w:r w:rsidRPr="00A54D04">
              <w:t>$29.00</w:t>
            </w:r>
          </w:p>
        </w:tc>
      </w:tr>
      <w:tr w:rsidR="00F708CF" w:rsidRPr="00A54D04" w14:paraId="5A986B5D" w14:textId="77777777">
        <w:trPr>
          <w:cnfStyle w:val="000000010000" w:firstRow="0" w:lastRow="0" w:firstColumn="0" w:lastColumn="0" w:oddVBand="0" w:evenVBand="0" w:oddHBand="0" w:evenHBand="1" w:firstRowFirstColumn="0" w:firstRowLastColumn="0" w:lastRowFirstColumn="0" w:lastRowLastColumn="0"/>
        </w:trPr>
        <w:tc>
          <w:tcPr>
            <w:tcW w:w="5047" w:type="dxa"/>
          </w:tcPr>
          <w:p w14:paraId="3DDFECB4" w14:textId="77777777" w:rsidR="00F708CF" w:rsidRPr="00A54D04" w:rsidRDefault="00F708CF">
            <w:pPr>
              <w:pStyle w:val="TableBody"/>
              <w:keepNext/>
              <w:keepLines/>
            </w:pPr>
            <w:r w:rsidRPr="00A54D04">
              <w:t>Port Phillip City Council</w:t>
            </w:r>
          </w:p>
        </w:tc>
        <w:tc>
          <w:tcPr>
            <w:tcW w:w="4819" w:type="dxa"/>
          </w:tcPr>
          <w:p w14:paraId="52888663" w14:textId="77777777" w:rsidR="00F708CF" w:rsidRPr="00A54D04" w:rsidRDefault="00F708CF" w:rsidP="000C241E">
            <w:pPr>
              <w:pStyle w:val="TableBody"/>
              <w:keepNext/>
              <w:keepLines/>
              <w:tabs>
                <w:tab w:val="left" w:pos="1840"/>
              </w:tabs>
              <w:jc w:val="right"/>
            </w:pPr>
            <w:r w:rsidRPr="00A54D04">
              <w:t>$28.00</w:t>
            </w:r>
          </w:p>
        </w:tc>
      </w:tr>
      <w:tr w:rsidR="00F708CF" w:rsidRPr="00A54D04" w14:paraId="722EB552" w14:textId="77777777">
        <w:trPr>
          <w:cnfStyle w:val="000000100000" w:firstRow="0" w:lastRow="0" w:firstColumn="0" w:lastColumn="0" w:oddVBand="0" w:evenVBand="0" w:oddHBand="1" w:evenHBand="0" w:firstRowFirstColumn="0" w:firstRowLastColumn="0" w:lastRowFirstColumn="0" w:lastRowLastColumn="0"/>
        </w:trPr>
        <w:tc>
          <w:tcPr>
            <w:tcW w:w="5047" w:type="dxa"/>
          </w:tcPr>
          <w:p w14:paraId="245BC21A" w14:textId="77777777" w:rsidR="00F708CF" w:rsidRPr="00A54D04" w:rsidRDefault="00F708CF">
            <w:pPr>
              <w:pStyle w:val="TableBody"/>
              <w:keepNext/>
              <w:keepLines/>
            </w:pPr>
            <w:r w:rsidRPr="00A54D04">
              <w:t>Stonnington City Council</w:t>
            </w:r>
          </w:p>
        </w:tc>
        <w:tc>
          <w:tcPr>
            <w:tcW w:w="4819" w:type="dxa"/>
          </w:tcPr>
          <w:p w14:paraId="6F3227D3" w14:textId="77777777" w:rsidR="00F708CF" w:rsidRPr="00A54D04" w:rsidRDefault="00F708CF" w:rsidP="000C241E">
            <w:pPr>
              <w:pStyle w:val="TableBody"/>
              <w:keepNext/>
              <w:keepLines/>
              <w:tabs>
                <w:tab w:val="left" w:pos="1840"/>
              </w:tabs>
              <w:jc w:val="right"/>
            </w:pPr>
            <w:r w:rsidRPr="00A54D04">
              <w:t>$18.00</w:t>
            </w:r>
          </w:p>
        </w:tc>
      </w:tr>
      <w:tr w:rsidR="00F708CF" w:rsidRPr="00A54D04" w14:paraId="28E6B715" w14:textId="77777777">
        <w:trPr>
          <w:cnfStyle w:val="000000010000" w:firstRow="0" w:lastRow="0" w:firstColumn="0" w:lastColumn="0" w:oddVBand="0" w:evenVBand="0" w:oddHBand="0" w:evenHBand="1" w:firstRowFirstColumn="0" w:firstRowLastColumn="0" w:lastRowFirstColumn="0" w:lastRowLastColumn="0"/>
        </w:trPr>
        <w:tc>
          <w:tcPr>
            <w:tcW w:w="5047" w:type="dxa"/>
          </w:tcPr>
          <w:p w14:paraId="04EF0BBF" w14:textId="77777777" w:rsidR="00F708CF" w:rsidRPr="00A54D04" w:rsidRDefault="00F708CF">
            <w:pPr>
              <w:pStyle w:val="TableBody"/>
              <w:keepNext/>
              <w:keepLines/>
            </w:pPr>
            <w:r w:rsidRPr="00A54D04">
              <w:t>Yarra City Council</w:t>
            </w:r>
          </w:p>
        </w:tc>
        <w:tc>
          <w:tcPr>
            <w:tcW w:w="4819" w:type="dxa"/>
          </w:tcPr>
          <w:p w14:paraId="61A242BA" w14:textId="77777777" w:rsidR="00F708CF" w:rsidRPr="00A54D04" w:rsidRDefault="00F708CF" w:rsidP="000C241E">
            <w:pPr>
              <w:pStyle w:val="TableBody"/>
              <w:keepNext/>
              <w:keepLines/>
              <w:tabs>
                <w:tab w:val="left" w:pos="1840"/>
              </w:tabs>
              <w:jc w:val="right"/>
            </w:pPr>
            <w:r w:rsidRPr="00A54D04">
              <w:t>$25.00</w:t>
            </w:r>
          </w:p>
        </w:tc>
      </w:tr>
      <w:tr w:rsidR="00F708CF" w:rsidRPr="00A54D04" w14:paraId="4BFF1E96" w14:textId="77777777">
        <w:trPr>
          <w:cnfStyle w:val="000000100000" w:firstRow="0" w:lastRow="0" w:firstColumn="0" w:lastColumn="0" w:oddVBand="0" w:evenVBand="0" w:oddHBand="1" w:evenHBand="0" w:firstRowFirstColumn="0" w:firstRowLastColumn="0" w:lastRowFirstColumn="0" w:lastRowLastColumn="0"/>
        </w:trPr>
        <w:tc>
          <w:tcPr>
            <w:tcW w:w="5047" w:type="dxa"/>
          </w:tcPr>
          <w:p w14:paraId="360A6E7B" w14:textId="77777777" w:rsidR="00F708CF" w:rsidRPr="00A54D04" w:rsidRDefault="00F708CF">
            <w:pPr>
              <w:pStyle w:val="TableBody"/>
              <w:keepNext/>
              <w:keepLines/>
            </w:pPr>
            <w:r w:rsidRPr="00A54D04">
              <w:rPr>
                <w:b/>
                <w:bCs/>
              </w:rPr>
              <w:t>Average (all)</w:t>
            </w:r>
          </w:p>
        </w:tc>
        <w:tc>
          <w:tcPr>
            <w:tcW w:w="4819" w:type="dxa"/>
          </w:tcPr>
          <w:p w14:paraId="493D33F5" w14:textId="77777777" w:rsidR="00F708CF" w:rsidRPr="00A54D04" w:rsidRDefault="00F708CF" w:rsidP="000C241E">
            <w:pPr>
              <w:pStyle w:val="TableBody"/>
              <w:keepNext/>
              <w:keepLines/>
              <w:tabs>
                <w:tab w:val="left" w:pos="1840"/>
              </w:tabs>
              <w:jc w:val="right"/>
            </w:pPr>
            <w:r w:rsidRPr="00A54D04">
              <w:rPr>
                <w:b/>
                <w:bCs/>
              </w:rPr>
              <w:t>$31.06</w:t>
            </w:r>
          </w:p>
        </w:tc>
      </w:tr>
      <w:tr w:rsidR="00F708CF" w:rsidRPr="00A54D04" w14:paraId="0CA5A512" w14:textId="77777777">
        <w:trPr>
          <w:cnfStyle w:val="000000010000" w:firstRow="0" w:lastRow="0" w:firstColumn="0" w:lastColumn="0" w:oddVBand="0" w:evenVBand="0" w:oddHBand="0" w:evenHBand="1" w:firstRowFirstColumn="0" w:firstRowLastColumn="0" w:lastRowFirstColumn="0" w:lastRowLastColumn="0"/>
        </w:trPr>
        <w:tc>
          <w:tcPr>
            <w:tcW w:w="5047" w:type="dxa"/>
          </w:tcPr>
          <w:p w14:paraId="15453F81" w14:textId="77777777" w:rsidR="00F708CF" w:rsidRPr="00A54D04" w:rsidRDefault="00F708CF">
            <w:pPr>
              <w:pStyle w:val="TableBody"/>
              <w:keepNext/>
              <w:keepLines/>
              <w:rPr>
                <w:b/>
                <w:bCs/>
              </w:rPr>
            </w:pPr>
            <w:r w:rsidRPr="00A54D04">
              <w:rPr>
                <w:b/>
                <w:bCs/>
              </w:rPr>
              <w:t>Average (inner Melbourne councils)</w:t>
            </w:r>
          </w:p>
        </w:tc>
        <w:tc>
          <w:tcPr>
            <w:tcW w:w="4819" w:type="dxa"/>
          </w:tcPr>
          <w:p w14:paraId="1CA1F7A1" w14:textId="77777777" w:rsidR="00F708CF" w:rsidRPr="00A54D04" w:rsidRDefault="00F708CF" w:rsidP="000C241E">
            <w:pPr>
              <w:pStyle w:val="TableBody"/>
              <w:keepNext/>
              <w:keepLines/>
              <w:tabs>
                <w:tab w:val="left" w:pos="1840"/>
              </w:tabs>
              <w:jc w:val="right"/>
              <w:rPr>
                <w:b/>
                <w:bCs/>
              </w:rPr>
            </w:pPr>
            <w:r w:rsidRPr="00A54D04">
              <w:rPr>
                <w:b/>
                <w:bCs/>
              </w:rPr>
              <w:t>$21.46</w:t>
            </w:r>
          </w:p>
        </w:tc>
      </w:tr>
      <w:tr w:rsidR="00F708CF" w:rsidRPr="00A54D04" w14:paraId="239F6A3E" w14:textId="77777777">
        <w:trPr>
          <w:cnfStyle w:val="000000100000" w:firstRow="0" w:lastRow="0" w:firstColumn="0" w:lastColumn="0" w:oddVBand="0" w:evenVBand="0" w:oddHBand="1" w:evenHBand="0" w:firstRowFirstColumn="0" w:firstRowLastColumn="0" w:lastRowFirstColumn="0" w:lastRowLastColumn="0"/>
        </w:trPr>
        <w:tc>
          <w:tcPr>
            <w:tcW w:w="5047" w:type="dxa"/>
          </w:tcPr>
          <w:p w14:paraId="49BA6540" w14:textId="77777777" w:rsidR="00F708CF" w:rsidRPr="00A54D04" w:rsidRDefault="00F708CF">
            <w:pPr>
              <w:pStyle w:val="TableBody"/>
              <w:keepNext/>
              <w:keepLines/>
              <w:rPr>
                <w:b/>
                <w:bCs/>
              </w:rPr>
            </w:pPr>
            <w:r w:rsidRPr="00A54D04">
              <w:rPr>
                <w:b/>
                <w:bCs/>
              </w:rPr>
              <w:t xml:space="preserve">Average (outer Melbourne councils) </w:t>
            </w:r>
          </w:p>
        </w:tc>
        <w:tc>
          <w:tcPr>
            <w:tcW w:w="4819" w:type="dxa"/>
          </w:tcPr>
          <w:p w14:paraId="0ECB2D8E" w14:textId="77777777" w:rsidR="00F708CF" w:rsidRPr="00A54D04" w:rsidRDefault="00F708CF" w:rsidP="000C241E">
            <w:pPr>
              <w:pStyle w:val="TableBody"/>
              <w:keepNext/>
              <w:keepLines/>
              <w:jc w:val="right"/>
              <w:rPr>
                <w:b/>
                <w:bCs/>
              </w:rPr>
            </w:pPr>
            <w:r w:rsidRPr="00A54D04">
              <w:rPr>
                <w:b/>
                <w:bCs/>
              </w:rPr>
              <w:t>$35.42</w:t>
            </w:r>
          </w:p>
        </w:tc>
      </w:tr>
    </w:tbl>
    <w:p w14:paraId="35BB9534" w14:textId="04C609DD" w:rsidR="00F708CF" w:rsidRPr="00A54D04" w:rsidRDefault="00F708CF" w:rsidP="00F708CF">
      <w:pPr>
        <w:pStyle w:val="Heading2"/>
      </w:pPr>
      <w:bookmarkStart w:id="334" w:name="_Toc197345294"/>
      <w:bookmarkStart w:id="335" w:name="_Toc197942463"/>
      <w:bookmarkStart w:id="336" w:name="_Toc197977736"/>
      <w:bookmarkStart w:id="337" w:name="_Toc198048725"/>
      <w:bookmarkStart w:id="338" w:name="_Toc199231598"/>
      <w:bookmarkStart w:id="339" w:name="_Toc184041481"/>
      <w:bookmarkStart w:id="340" w:name="_Toc185321811"/>
      <w:bookmarkStart w:id="341" w:name="_Toc190265337"/>
      <w:bookmarkStart w:id="342" w:name="_Toc195721937"/>
      <w:r w:rsidRPr="00A54D04">
        <w:t xml:space="preserve">Regulated storage fees are consistent with </w:t>
      </w:r>
      <w:r w:rsidR="00640F77" w:rsidRPr="00A54D04">
        <w:t>estimated storage fees</w:t>
      </w:r>
      <w:bookmarkEnd w:id="334"/>
      <w:bookmarkEnd w:id="335"/>
      <w:bookmarkEnd w:id="336"/>
      <w:bookmarkEnd w:id="337"/>
      <w:bookmarkEnd w:id="338"/>
      <w:r w:rsidR="00640F77" w:rsidRPr="00A54D04">
        <w:t xml:space="preserve"> </w:t>
      </w:r>
      <w:bookmarkEnd w:id="339"/>
      <w:bookmarkEnd w:id="340"/>
      <w:bookmarkEnd w:id="341"/>
      <w:bookmarkEnd w:id="342"/>
    </w:p>
    <w:p w14:paraId="7857CD12" w14:textId="3DE5C4A7" w:rsidR="00F708CF" w:rsidRPr="00A54D04" w:rsidRDefault="00FA0D13" w:rsidP="00F708CF">
      <w:r w:rsidRPr="00A54D04">
        <w:t>The value of l</w:t>
      </w:r>
      <w:r w:rsidR="00F708CF" w:rsidRPr="00A54D04">
        <w:t>and</w:t>
      </w:r>
      <w:r w:rsidRPr="00A54D04">
        <w:t xml:space="preserve"> </w:t>
      </w:r>
      <w:r w:rsidR="00F708CF" w:rsidRPr="00A54D04">
        <w:t>and</w:t>
      </w:r>
      <w:r w:rsidRPr="00A54D04">
        <w:t xml:space="preserve"> </w:t>
      </w:r>
      <w:r w:rsidR="00F708CF" w:rsidRPr="00A54D04">
        <w:t xml:space="preserve">associated rental prices are a major </w:t>
      </w:r>
      <w:r w:rsidRPr="00A54D04">
        <w:t>contributor to the costs of storing vehicles</w:t>
      </w:r>
      <w:r w:rsidR="00F708CF" w:rsidRPr="00A54D04">
        <w:t xml:space="preserve">. We estimated storage fees based on land rental values using an approach </w:t>
      </w:r>
      <w:proofErr w:type="gramStart"/>
      <w:r w:rsidR="00F708CF" w:rsidRPr="00A54D04">
        <w:t>similar to</w:t>
      </w:r>
      <w:proofErr w:type="gramEnd"/>
      <w:r w:rsidR="00F708CF" w:rsidRPr="00A54D04">
        <w:t xml:space="preserve"> that applied by the Independent Pricing and Regulatory Tribunal (IPART) of New South Wales in its </w:t>
      </w:r>
      <w:r w:rsidR="00F708CF" w:rsidRPr="00A54D04">
        <w:lastRenderedPageBreak/>
        <w:t>2014 review of tow truck fees and licensing. We used the same proportion of storage fee to land value that IPART applied.</w:t>
      </w:r>
      <w:r w:rsidR="00F708CF" w:rsidRPr="00A54D04">
        <w:rPr>
          <w:rStyle w:val="FootnoteReference"/>
        </w:rPr>
        <w:footnoteReference w:id="74"/>
      </w:r>
      <w:r w:rsidR="00F708CF" w:rsidRPr="00A54D04">
        <w:t xml:space="preserve"> </w:t>
      </w:r>
    </w:p>
    <w:p w14:paraId="5B631BEE" w14:textId="77777777" w:rsidR="00F708CF" w:rsidRPr="00A54D04" w:rsidRDefault="00F708CF" w:rsidP="00F708CF">
      <w:r w:rsidRPr="00A54D04">
        <w:t>To calculate the estimated storage fees, we:</w:t>
      </w:r>
    </w:p>
    <w:p w14:paraId="043364FD" w14:textId="77777777" w:rsidR="00F708CF" w:rsidRPr="00A54D04" w:rsidRDefault="00F708CF" w:rsidP="00F708CF">
      <w:pPr>
        <w:pStyle w:val="ListBullet"/>
      </w:pPr>
      <w:r w:rsidRPr="00A54D04">
        <w:t>collected publicly available rental values for commercial properties in Melbourne and Sydney in areas which have storage or towing depots</w:t>
      </w:r>
    </w:p>
    <w:p w14:paraId="42B5E420" w14:textId="77777777" w:rsidR="00F708CF" w:rsidRPr="00A54D04" w:rsidRDefault="00F708CF" w:rsidP="00F708CF">
      <w:pPr>
        <w:pStyle w:val="ListBullet"/>
      </w:pPr>
      <w:r w:rsidRPr="00A54D04">
        <w:t xml:space="preserve">converted the rental values to </w:t>
      </w:r>
      <w:r w:rsidRPr="00A54D04">
        <w:rPr>
          <w:b/>
          <w:bCs/>
        </w:rPr>
        <w:t>rent per square metre per annum</w:t>
      </w:r>
    </w:p>
    <w:p w14:paraId="56FD6B87" w14:textId="77777777" w:rsidR="00F708CF" w:rsidRPr="00A54D04" w:rsidRDefault="00F708CF" w:rsidP="00F708CF">
      <w:pPr>
        <w:pStyle w:val="ListBullet"/>
      </w:pPr>
      <w:r w:rsidRPr="00A54D04">
        <w:t xml:space="preserve">calculated the </w:t>
      </w:r>
      <w:r w:rsidRPr="00A54D04">
        <w:rPr>
          <w:b/>
          <w:bCs/>
        </w:rPr>
        <w:t>average rent</w:t>
      </w:r>
      <w:r w:rsidRPr="00A54D04">
        <w:t xml:space="preserve"> for properties 10 kilometres or less from the CBD and greater than 10 kilometres from the CBD</w:t>
      </w:r>
    </w:p>
    <w:p w14:paraId="5312F3F5" w14:textId="77777777" w:rsidR="00F708CF" w:rsidRPr="00A54D04" w:rsidRDefault="00F708CF" w:rsidP="00F708CF">
      <w:pPr>
        <w:pStyle w:val="ListBullet"/>
      </w:pPr>
      <w:r w:rsidRPr="00A54D04">
        <w:t>converted the average rent to an estimated storage fee using a 40 per cent and 45 per cent level of storage utilisation.</w:t>
      </w:r>
      <w:r w:rsidRPr="00A54D04">
        <w:rPr>
          <w:rStyle w:val="FootnoteReference"/>
        </w:rPr>
        <w:footnoteReference w:id="75"/>
      </w:r>
    </w:p>
    <w:p w14:paraId="1925D6A6" w14:textId="5037A875" w:rsidR="00F708CF" w:rsidRPr="00A54D04" w:rsidRDefault="00F708CF" w:rsidP="00F708CF">
      <w:r w:rsidRPr="00A54D04">
        <w:t xml:space="preserve">As shown in Table </w:t>
      </w:r>
      <w:r w:rsidR="00194A79" w:rsidRPr="00A54D04">
        <w:t>1</w:t>
      </w:r>
      <w:r w:rsidR="008C3EBA" w:rsidRPr="00A54D04">
        <w:t>7</w:t>
      </w:r>
      <w:r w:rsidRPr="00A54D04">
        <w:t>, the average estimated storage fee for Melbourne is $25.32. This is higher than the regulated locked yard storage fee ($20.90) but lower than the regulated under cover storage fee ($30.90).</w:t>
      </w:r>
    </w:p>
    <w:p w14:paraId="5E957B4C" w14:textId="21DAF804" w:rsidR="00F708CF" w:rsidRPr="00A54D04" w:rsidRDefault="00F708CF" w:rsidP="00B068B7">
      <w:r w:rsidRPr="00A54D04">
        <w:t>The estimated storage fees are higher for Sydney compared to Melbourne at all distances and utilisation rates. The estimated storage fee for Melbourne is $29.97 for 10 kilometres or less from the CBD and $23.57 for greater than 10 kilometres</w:t>
      </w:r>
      <w:r w:rsidR="0020100F" w:rsidRPr="00A54D04">
        <w:t xml:space="preserve"> (see Table 1</w:t>
      </w:r>
      <w:r w:rsidR="00EE3803">
        <w:t>7</w:t>
      </w:r>
      <w:r w:rsidR="0020100F" w:rsidRPr="00A54D04">
        <w:t>)</w:t>
      </w:r>
      <w:r w:rsidRPr="00A54D04">
        <w:t>. For the equivalent areas in Sydney, the estimated storage fees are $46.63 and $39.35.</w:t>
      </w:r>
    </w:p>
    <w:p w14:paraId="27A8046D" w14:textId="0246660A" w:rsidR="00F708CF" w:rsidRPr="00A54D04" w:rsidRDefault="00F708CF" w:rsidP="00F708CF">
      <w:pPr>
        <w:pStyle w:val="Figure-Table-BoxHeading"/>
        <w:keepNext/>
        <w:numPr>
          <w:ilvl w:val="0"/>
          <w:numId w:val="0"/>
        </w:numPr>
        <w:spacing w:after="0" w:line="360" w:lineRule="auto"/>
      </w:pPr>
      <w:r w:rsidRPr="00A54D04">
        <w:lastRenderedPageBreak/>
        <w:t xml:space="preserve">Table </w:t>
      </w:r>
      <w:r w:rsidR="00194A79" w:rsidRPr="00A54D04">
        <w:t>1</w:t>
      </w:r>
      <w:r w:rsidR="008C3EBA" w:rsidRPr="00A54D04">
        <w:t>7</w:t>
      </w:r>
      <w:r w:rsidRPr="00A54D04">
        <w:t>. Estimated storage fees for Melbourne and Sydney based on land rental values</w:t>
      </w:r>
    </w:p>
    <w:p w14:paraId="73BEA010" w14:textId="34213F60" w:rsidR="00F708CF" w:rsidRPr="00A54D04" w:rsidRDefault="00F708CF" w:rsidP="00F708CF">
      <w:pPr>
        <w:pStyle w:val="Figure-Table-BoxSubtitle"/>
        <w:keepNext/>
        <w:keepLines/>
        <w:spacing w:before="0" w:after="0" w:line="360" w:lineRule="auto"/>
        <w:rPr>
          <w:lang w:val="en-AU"/>
        </w:rPr>
      </w:pPr>
      <w:r w:rsidRPr="00A54D04">
        <w:rPr>
          <w:lang w:val="en-AU"/>
        </w:rPr>
        <w:t xml:space="preserve">   As </w:t>
      </w:r>
      <w:proofErr w:type="gramStart"/>
      <w:r w:rsidRPr="00A54D04">
        <w:rPr>
          <w:lang w:val="en-AU"/>
        </w:rPr>
        <w:t>at</w:t>
      </w:r>
      <w:proofErr w:type="gramEnd"/>
      <w:r w:rsidRPr="00A54D04">
        <w:rPr>
          <w:lang w:val="en-AU"/>
        </w:rPr>
        <w:t xml:space="preserve"> 1 November 2024 </w:t>
      </w:r>
    </w:p>
    <w:tbl>
      <w:tblPr>
        <w:tblStyle w:val="TableGrid"/>
        <w:tblW w:w="9780" w:type="dxa"/>
        <w:tblLook w:val="04A0" w:firstRow="1" w:lastRow="0" w:firstColumn="1" w:lastColumn="0" w:noHBand="0" w:noVBand="1"/>
      </w:tblPr>
      <w:tblGrid>
        <w:gridCol w:w="4338"/>
        <w:gridCol w:w="1814"/>
        <w:gridCol w:w="1814"/>
        <w:gridCol w:w="1814"/>
      </w:tblGrid>
      <w:tr w:rsidR="00F708CF" w:rsidRPr="00A54D04" w14:paraId="42987AFF" w14:textId="77777777">
        <w:trPr>
          <w:cnfStyle w:val="100000000000" w:firstRow="1" w:lastRow="0" w:firstColumn="0" w:lastColumn="0" w:oddVBand="0" w:evenVBand="0" w:oddHBand="0" w:evenHBand="0" w:firstRowFirstColumn="0" w:firstRowLastColumn="0" w:lastRowFirstColumn="0" w:lastRowLastColumn="0"/>
        </w:trPr>
        <w:tc>
          <w:tcPr>
            <w:tcW w:w="4338" w:type="dxa"/>
          </w:tcPr>
          <w:p w14:paraId="730F772D" w14:textId="77777777" w:rsidR="00F708CF" w:rsidRPr="00A54D04" w:rsidRDefault="00F708CF">
            <w:pPr>
              <w:pStyle w:val="TableHeading"/>
              <w:keepNext/>
              <w:keepLines/>
            </w:pPr>
          </w:p>
        </w:tc>
        <w:tc>
          <w:tcPr>
            <w:tcW w:w="1814" w:type="dxa"/>
          </w:tcPr>
          <w:p w14:paraId="335BF2CF" w14:textId="77777777" w:rsidR="00F708CF" w:rsidRPr="00A54D04" w:rsidRDefault="00F708CF" w:rsidP="00BA6AF2">
            <w:pPr>
              <w:pStyle w:val="TableHeading"/>
              <w:keepNext/>
              <w:keepLines/>
              <w:jc w:val="right"/>
            </w:pPr>
            <w:r w:rsidRPr="00A54D04">
              <w:t xml:space="preserve">40% utilisation </w:t>
            </w:r>
          </w:p>
        </w:tc>
        <w:tc>
          <w:tcPr>
            <w:tcW w:w="1814" w:type="dxa"/>
          </w:tcPr>
          <w:p w14:paraId="697EB39B" w14:textId="77777777" w:rsidR="00F708CF" w:rsidRPr="00A54D04" w:rsidRDefault="00F708CF" w:rsidP="00BA6AF2">
            <w:pPr>
              <w:pStyle w:val="TableHeading"/>
              <w:keepNext/>
              <w:keepLines/>
              <w:jc w:val="right"/>
            </w:pPr>
            <w:r w:rsidRPr="00A54D04">
              <w:t>45% utilisation</w:t>
            </w:r>
          </w:p>
        </w:tc>
        <w:tc>
          <w:tcPr>
            <w:tcW w:w="1814" w:type="dxa"/>
          </w:tcPr>
          <w:p w14:paraId="3CBD3B4B" w14:textId="77777777" w:rsidR="00F708CF" w:rsidRPr="00A54D04" w:rsidRDefault="00F708CF" w:rsidP="00BA6AF2">
            <w:pPr>
              <w:pStyle w:val="TableHeading"/>
              <w:keepNext/>
              <w:keepLines/>
              <w:jc w:val="right"/>
            </w:pPr>
            <w:r w:rsidRPr="00A54D04">
              <w:t>Average</w:t>
            </w:r>
          </w:p>
        </w:tc>
      </w:tr>
      <w:tr w:rsidR="00F708CF" w:rsidRPr="00A54D04" w14:paraId="5326DB0E" w14:textId="77777777">
        <w:trPr>
          <w:cnfStyle w:val="000000100000" w:firstRow="0" w:lastRow="0" w:firstColumn="0" w:lastColumn="0" w:oddVBand="0" w:evenVBand="0" w:oddHBand="1" w:evenHBand="0" w:firstRowFirstColumn="0" w:firstRowLastColumn="0" w:lastRowFirstColumn="0" w:lastRowLastColumn="0"/>
        </w:trPr>
        <w:tc>
          <w:tcPr>
            <w:tcW w:w="4338" w:type="dxa"/>
          </w:tcPr>
          <w:p w14:paraId="6EB35ECD" w14:textId="77777777" w:rsidR="00F708CF" w:rsidRPr="00A54D04" w:rsidRDefault="00F708CF">
            <w:pPr>
              <w:pStyle w:val="TableBody"/>
              <w:keepNext/>
              <w:keepLines/>
              <w:rPr>
                <w:b/>
                <w:bCs/>
              </w:rPr>
            </w:pPr>
            <w:r w:rsidRPr="00A54D04">
              <w:rPr>
                <w:b/>
                <w:bCs/>
              </w:rPr>
              <w:t xml:space="preserve">Melbourne </w:t>
            </w:r>
          </w:p>
        </w:tc>
        <w:tc>
          <w:tcPr>
            <w:tcW w:w="1814" w:type="dxa"/>
          </w:tcPr>
          <w:p w14:paraId="7248DA54" w14:textId="77777777" w:rsidR="00F708CF" w:rsidRPr="00A54D04" w:rsidRDefault="00F708CF">
            <w:pPr>
              <w:pStyle w:val="TableBody"/>
              <w:keepNext/>
              <w:keepLines/>
            </w:pPr>
          </w:p>
        </w:tc>
        <w:tc>
          <w:tcPr>
            <w:tcW w:w="1814" w:type="dxa"/>
          </w:tcPr>
          <w:p w14:paraId="6FECAC18" w14:textId="77777777" w:rsidR="00F708CF" w:rsidRPr="00A54D04" w:rsidRDefault="00F708CF">
            <w:pPr>
              <w:pStyle w:val="TableBody"/>
              <w:keepNext/>
              <w:keepLines/>
            </w:pPr>
          </w:p>
        </w:tc>
        <w:tc>
          <w:tcPr>
            <w:tcW w:w="1814" w:type="dxa"/>
          </w:tcPr>
          <w:p w14:paraId="6592FDFE" w14:textId="77777777" w:rsidR="00F708CF" w:rsidRPr="00A54D04" w:rsidRDefault="00F708CF">
            <w:pPr>
              <w:pStyle w:val="TableBody"/>
              <w:keepNext/>
              <w:keepLines/>
            </w:pPr>
          </w:p>
        </w:tc>
      </w:tr>
      <w:tr w:rsidR="00F708CF" w:rsidRPr="00A54D04" w14:paraId="306466F0" w14:textId="77777777">
        <w:trPr>
          <w:cnfStyle w:val="000000010000" w:firstRow="0" w:lastRow="0" w:firstColumn="0" w:lastColumn="0" w:oddVBand="0" w:evenVBand="0" w:oddHBand="0" w:evenHBand="1" w:firstRowFirstColumn="0" w:firstRowLastColumn="0" w:lastRowFirstColumn="0" w:lastRowLastColumn="0"/>
        </w:trPr>
        <w:tc>
          <w:tcPr>
            <w:tcW w:w="4338" w:type="dxa"/>
          </w:tcPr>
          <w:p w14:paraId="14AE8380" w14:textId="77777777" w:rsidR="00F708CF" w:rsidRPr="00A54D04" w:rsidRDefault="00F708CF">
            <w:pPr>
              <w:pStyle w:val="TableBody"/>
              <w:keepNext/>
              <w:keepLines/>
              <w:ind w:left="720"/>
            </w:pPr>
            <w:r w:rsidRPr="00A54D04">
              <w:t>10 km or less from CBD</w:t>
            </w:r>
          </w:p>
        </w:tc>
        <w:tc>
          <w:tcPr>
            <w:tcW w:w="1814" w:type="dxa"/>
          </w:tcPr>
          <w:p w14:paraId="05F7900F" w14:textId="77777777" w:rsidR="00F708CF" w:rsidRPr="00A54D04" w:rsidRDefault="00F708CF" w:rsidP="00BA6AF2">
            <w:pPr>
              <w:pStyle w:val="TableBody"/>
              <w:keepNext/>
              <w:keepLines/>
              <w:jc w:val="right"/>
            </w:pPr>
            <w:r w:rsidRPr="00A54D04">
              <w:t>$31.73</w:t>
            </w:r>
          </w:p>
        </w:tc>
        <w:tc>
          <w:tcPr>
            <w:tcW w:w="1814" w:type="dxa"/>
          </w:tcPr>
          <w:p w14:paraId="055E38AA" w14:textId="77777777" w:rsidR="00F708CF" w:rsidRPr="00A54D04" w:rsidRDefault="00F708CF" w:rsidP="00BA6AF2">
            <w:pPr>
              <w:pStyle w:val="TableBody"/>
              <w:keepNext/>
              <w:keepLines/>
              <w:jc w:val="right"/>
            </w:pPr>
            <w:r w:rsidRPr="00A54D04">
              <w:t>$28.21</w:t>
            </w:r>
          </w:p>
        </w:tc>
        <w:tc>
          <w:tcPr>
            <w:tcW w:w="1814" w:type="dxa"/>
          </w:tcPr>
          <w:p w14:paraId="0AB0817E" w14:textId="77777777" w:rsidR="00F708CF" w:rsidRPr="00A54D04" w:rsidRDefault="00F708CF" w:rsidP="00BA6AF2">
            <w:pPr>
              <w:pStyle w:val="TableBody"/>
              <w:keepNext/>
              <w:keepLines/>
              <w:jc w:val="right"/>
            </w:pPr>
            <w:r w:rsidRPr="00A54D04">
              <w:t>$29.97</w:t>
            </w:r>
          </w:p>
        </w:tc>
      </w:tr>
      <w:tr w:rsidR="00F708CF" w:rsidRPr="00A54D04" w14:paraId="21722354" w14:textId="77777777">
        <w:trPr>
          <w:cnfStyle w:val="000000100000" w:firstRow="0" w:lastRow="0" w:firstColumn="0" w:lastColumn="0" w:oddVBand="0" w:evenVBand="0" w:oddHBand="1" w:evenHBand="0" w:firstRowFirstColumn="0" w:firstRowLastColumn="0" w:lastRowFirstColumn="0" w:lastRowLastColumn="0"/>
        </w:trPr>
        <w:tc>
          <w:tcPr>
            <w:tcW w:w="4338" w:type="dxa"/>
          </w:tcPr>
          <w:p w14:paraId="16CDC674" w14:textId="77777777" w:rsidR="00F708CF" w:rsidRPr="00A54D04" w:rsidRDefault="00F708CF">
            <w:pPr>
              <w:pStyle w:val="TableBody"/>
              <w:keepNext/>
              <w:keepLines/>
              <w:ind w:left="720"/>
            </w:pPr>
            <w:r w:rsidRPr="00A54D04">
              <w:t>Greater than 10 km from CBD</w:t>
            </w:r>
          </w:p>
        </w:tc>
        <w:tc>
          <w:tcPr>
            <w:tcW w:w="1814" w:type="dxa"/>
          </w:tcPr>
          <w:p w14:paraId="6F430BA2" w14:textId="77777777" w:rsidR="00F708CF" w:rsidRPr="00A54D04" w:rsidRDefault="00F708CF" w:rsidP="00BA6AF2">
            <w:pPr>
              <w:pStyle w:val="TableBody"/>
              <w:keepNext/>
              <w:keepLines/>
              <w:jc w:val="right"/>
            </w:pPr>
            <w:r w:rsidRPr="00A54D04">
              <w:t>$24.96</w:t>
            </w:r>
          </w:p>
        </w:tc>
        <w:tc>
          <w:tcPr>
            <w:tcW w:w="1814" w:type="dxa"/>
          </w:tcPr>
          <w:p w14:paraId="7A22283B" w14:textId="77777777" w:rsidR="00F708CF" w:rsidRPr="00A54D04" w:rsidRDefault="00F708CF" w:rsidP="00BA6AF2">
            <w:pPr>
              <w:pStyle w:val="TableBody"/>
              <w:keepNext/>
              <w:keepLines/>
              <w:jc w:val="right"/>
            </w:pPr>
            <w:r w:rsidRPr="00A54D04">
              <w:t>$22.18</w:t>
            </w:r>
          </w:p>
        </w:tc>
        <w:tc>
          <w:tcPr>
            <w:tcW w:w="1814" w:type="dxa"/>
          </w:tcPr>
          <w:p w14:paraId="0B6E4C4F" w14:textId="77777777" w:rsidR="00F708CF" w:rsidRPr="00A54D04" w:rsidRDefault="00F708CF" w:rsidP="00BA6AF2">
            <w:pPr>
              <w:pStyle w:val="TableBody"/>
              <w:keepNext/>
              <w:keepLines/>
              <w:jc w:val="right"/>
            </w:pPr>
            <w:r w:rsidRPr="00A54D04">
              <w:t>$23.57</w:t>
            </w:r>
          </w:p>
        </w:tc>
      </w:tr>
      <w:tr w:rsidR="00F708CF" w:rsidRPr="00A54D04" w14:paraId="487A6A38" w14:textId="77777777">
        <w:trPr>
          <w:cnfStyle w:val="000000010000" w:firstRow="0" w:lastRow="0" w:firstColumn="0" w:lastColumn="0" w:oddVBand="0" w:evenVBand="0" w:oddHBand="0" w:evenHBand="1" w:firstRowFirstColumn="0" w:firstRowLastColumn="0" w:lastRowFirstColumn="0" w:lastRowLastColumn="0"/>
        </w:trPr>
        <w:tc>
          <w:tcPr>
            <w:tcW w:w="4338" w:type="dxa"/>
          </w:tcPr>
          <w:p w14:paraId="32C222EF" w14:textId="77777777" w:rsidR="00F708CF" w:rsidRPr="00A54D04" w:rsidRDefault="00F708CF">
            <w:pPr>
              <w:pStyle w:val="TableBody"/>
              <w:keepNext/>
              <w:keepLines/>
              <w:ind w:left="720"/>
            </w:pPr>
            <w:r w:rsidRPr="00A54D04">
              <w:t>Average</w:t>
            </w:r>
          </w:p>
        </w:tc>
        <w:tc>
          <w:tcPr>
            <w:tcW w:w="1814" w:type="dxa"/>
          </w:tcPr>
          <w:p w14:paraId="5CC3075C" w14:textId="77777777" w:rsidR="00F708CF" w:rsidRPr="00A54D04" w:rsidRDefault="00F708CF" w:rsidP="00BA6AF2">
            <w:pPr>
              <w:pStyle w:val="TableBody"/>
              <w:keepNext/>
              <w:keepLines/>
              <w:jc w:val="right"/>
            </w:pPr>
            <w:r w:rsidRPr="00A54D04">
              <w:t>$26.80</w:t>
            </w:r>
          </w:p>
        </w:tc>
        <w:tc>
          <w:tcPr>
            <w:tcW w:w="1814" w:type="dxa"/>
          </w:tcPr>
          <w:p w14:paraId="40FE3AC6" w14:textId="77777777" w:rsidR="00F708CF" w:rsidRPr="00A54D04" w:rsidRDefault="00F708CF" w:rsidP="00BA6AF2">
            <w:pPr>
              <w:pStyle w:val="TableBody"/>
              <w:keepNext/>
              <w:keepLines/>
              <w:jc w:val="right"/>
            </w:pPr>
            <w:r w:rsidRPr="00A54D04">
              <w:t>$23.83</w:t>
            </w:r>
          </w:p>
        </w:tc>
        <w:tc>
          <w:tcPr>
            <w:tcW w:w="1814" w:type="dxa"/>
          </w:tcPr>
          <w:p w14:paraId="74219C69" w14:textId="77777777" w:rsidR="00F708CF" w:rsidRPr="00A54D04" w:rsidRDefault="00F708CF" w:rsidP="00BA6AF2">
            <w:pPr>
              <w:pStyle w:val="TableBody"/>
              <w:keepNext/>
              <w:keepLines/>
              <w:jc w:val="right"/>
            </w:pPr>
            <w:r w:rsidRPr="00A54D04">
              <w:t>$25.32</w:t>
            </w:r>
          </w:p>
        </w:tc>
      </w:tr>
      <w:tr w:rsidR="00F708CF" w:rsidRPr="00A54D04" w14:paraId="72CD53EE" w14:textId="77777777">
        <w:trPr>
          <w:cnfStyle w:val="000000100000" w:firstRow="0" w:lastRow="0" w:firstColumn="0" w:lastColumn="0" w:oddVBand="0" w:evenVBand="0" w:oddHBand="1" w:evenHBand="0" w:firstRowFirstColumn="0" w:firstRowLastColumn="0" w:lastRowFirstColumn="0" w:lastRowLastColumn="0"/>
        </w:trPr>
        <w:tc>
          <w:tcPr>
            <w:tcW w:w="4338" w:type="dxa"/>
          </w:tcPr>
          <w:p w14:paraId="1B49CCC6" w14:textId="77777777" w:rsidR="00F708CF" w:rsidRPr="00A54D04" w:rsidRDefault="00F708CF">
            <w:pPr>
              <w:pStyle w:val="TableBody"/>
              <w:keepNext/>
              <w:keepLines/>
              <w:rPr>
                <w:b/>
                <w:bCs/>
              </w:rPr>
            </w:pPr>
            <w:r w:rsidRPr="00A54D04">
              <w:rPr>
                <w:b/>
                <w:bCs/>
              </w:rPr>
              <w:t>Sydney</w:t>
            </w:r>
          </w:p>
        </w:tc>
        <w:tc>
          <w:tcPr>
            <w:tcW w:w="1814" w:type="dxa"/>
          </w:tcPr>
          <w:p w14:paraId="79418704" w14:textId="77777777" w:rsidR="00F708CF" w:rsidRPr="00A54D04" w:rsidRDefault="00F708CF" w:rsidP="00BA6AF2">
            <w:pPr>
              <w:pStyle w:val="TableBody"/>
              <w:keepNext/>
              <w:keepLines/>
              <w:jc w:val="right"/>
            </w:pPr>
          </w:p>
        </w:tc>
        <w:tc>
          <w:tcPr>
            <w:tcW w:w="1814" w:type="dxa"/>
          </w:tcPr>
          <w:p w14:paraId="61E5A268" w14:textId="77777777" w:rsidR="00F708CF" w:rsidRPr="00A54D04" w:rsidRDefault="00F708CF" w:rsidP="00BA6AF2">
            <w:pPr>
              <w:pStyle w:val="TableBody"/>
              <w:keepNext/>
              <w:keepLines/>
              <w:jc w:val="right"/>
            </w:pPr>
          </w:p>
        </w:tc>
        <w:tc>
          <w:tcPr>
            <w:tcW w:w="1814" w:type="dxa"/>
          </w:tcPr>
          <w:p w14:paraId="419456A8" w14:textId="77777777" w:rsidR="00F708CF" w:rsidRPr="00A54D04" w:rsidRDefault="00F708CF" w:rsidP="00BA6AF2">
            <w:pPr>
              <w:pStyle w:val="TableBody"/>
              <w:keepNext/>
              <w:keepLines/>
              <w:jc w:val="right"/>
            </w:pPr>
          </w:p>
        </w:tc>
      </w:tr>
      <w:tr w:rsidR="00F708CF" w:rsidRPr="00A54D04" w14:paraId="2E2153DA" w14:textId="77777777">
        <w:trPr>
          <w:cnfStyle w:val="000000010000" w:firstRow="0" w:lastRow="0" w:firstColumn="0" w:lastColumn="0" w:oddVBand="0" w:evenVBand="0" w:oddHBand="0" w:evenHBand="1" w:firstRowFirstColumn="0" w:firstRowLastColumn="0" w:lastRowFirstColumn="0" w:lastRowLastColumn="0"/>
        </w:trPr>
        <w:tc>
          <w:tcPr>
            <w:tcW w:w="4338" w:type="dxa"/>
          </w:tcPr>
          <w:p w14:paraId="4A19B6B0" w14:textId="621CE1D0" w:rsidR="00F708CF" w:rsidRPr="00A54D04" w:rsidRDefault="00F708CF">
            <w:pPr>
              <w:pStyle w:val="TableBody"/>
              <w:keepNext/>
              <w:keepLines/>
              <w:ind w:left="720"/>
              <w:rPr>
                <w:b/>
                <w:bCs/>
              </w:rPr>
            </w:pPr>
            <w:r w:rsidRPr="00A54D04">
              <w:t>10</w:t>
            </w:r>
            <w:r w:rsidR="009C3698" w:rsidRPr="00A54D04">
              <w:t xml:space="preserve"> </w:t>
            </w:r>
            <w:r w:rsidRPr="00A54D04">
              <w:t>km or less from CBD</w:t>
            </w:r>
          </w:p>
        </w:tc>
        <w:tc>
          <w:tcPr>
            <w:tcW w:w="1814" w:type="dxa"/>
          </w:tcPr>
          <w:p w14:paraId="57826710" w14:textId="77777777" w:rsidR="00F708CF" w:rsidRPr="00A54D04" w:rsidRDefault="00F708CF" w:rsidP="00BA6AF2">
            <w:pPr>
              <w:pStyle w:val="TableBody"/>
              <w:keepNext/>
              <w:keepLines/>
              <w:jc w:val="right"/>
            </w:pPr>
            <w:r w:rsidRPr="00A54D04">
              <w:t>$49.73</w:t>
            </w:r>
          </w:p>
        </w:tc>
        <w:tc>
          <w:tcPr>
            <w:tcW w:w="1814" w:type="dxa"/>
          </w:tcPr>
          <w:p w14:paraId="40B8A495" w14:textId="77777777" w:rsidR="00F708CF" w:rsidRPr="00A54D04" w:rsidRDefault="00F708CF" w:rsidP="00BA6AF2">
            <w:pPr>
              <w:pStyle w:val="TableBody"/>
              <w:keepNext/>
              <w:keepLines/>
              <w:jc w:val="right"/>
            </w:pPr>
            <w:r w:rsidRPr="00A54D04">
              <w:t>$43.88</w:t>
            </w:r>
          </w:p>
        </w:tc>
        <w:tc>
          <w:tcPr>
            <w:tcW w:w="1814" w:type="dxa"/>
          </w:tcPr>
          <w:p w14:paraId="068EC4D2" w14:textId="77777777" w:rsidR="00F708CF" w:rsidRPr="00A54D04" w:rsidRDefault="00F708CF" w:rsidP="00BA6AF2">
            <w:pPr>
              <w:pStyle w:val="TableBody"/>
              <w:keepNext/>
              <w:keepLines/>
              <w:jc w:val="right"/>
            </w:pPr>
            <w:r w:rsidRPr="00A54D04">
              <w:t>$46.63</w:t>
            </w:r>
          </w:p>
        </w:tc>
      </w:tr>
      <w:tr w:rsidR="00F708CF" w:rsidRPr="00A54D04" w14:paraId="784CDF34" w14:textId="77777777">
        <w:trPr>
          <w:cnfStyle w:val="000000100000" w:firstRow="0" w:lastRow="0" w:firstColumn="0" w:lastColumn="0" w:oddVBand="0" w:evenVBand="0" w:oddHBand="1" w:evenHBand="0" w:firstRowFirstColumn="0" w:firstRowLastColumn="0" w:lastRowFirstColumn="0" w:lastRowLastColumn="0"/>
        </w:trPr>
        <w:tc>
          <w:tcPr>
            <w:tcW w:w="4338" w:type="dxa"/>
          </w:tcPr>
          <w:p w14:paraId="4F9AA870" w14:textId="77777777" w:rsidR="00F708CF" w:rsidRPr="00A54D04" w:rsidRDefault="00F708CF">
            <w:pPr>
              <w:pStyle w:val="TableBody"/>
              <w:keepNext/>
              <w:keepLines/>
              <w:ind w:left="720"/>
              <w:rPr>
                <w:b/>
                <w:bCs/>
              </w:rPr>
            </w:pPr>
            <w:r w:rsidRPr="00A54D04">
              <w:t>Greater than 10 km from CBD</w:t>
            </w:r>
          </w:p>
        </w:tc>
        <w:tc>
          <w:tcPr>
            <w:tcW w:w="1814" w:type="dxa"/>
          </w:tcPr>
          <w:p w14:paraId="7B3CAD25" w14:textId="77777777" w:rsidR="00F708CF" w:rsidRPr="00A54D04" w:rsidRDefault="00F708CF" w:rsidP="00BA6AF2">
            <w:pPr>
              <w:pStyle w:val="TableBody"/>
              <w:keepNext/>
              <w:keepLines/>
              <w:jc w:val="right"/>
            </w:pPr>
            <w:r w:rsidRPr="00A54D04">
              <w:t>$41.66</w:t>
            </w:r>
          </w:p>
        </w:tc>
        <w:tc>
          <w:tcPr>
            <w:tcW w:w="1814" w:type="dxa"/>
          </w:tcPr>
          <w:p w14:paraId="61CB6A30" w14:textId="77777777" w:rsidR="00F708CF" w:rsidRPr="00A54D04" w:rsidRDefault="00F708CF" w:rsidP="00BA6AF2">
            <w:pPr>
              <w:pStyle w:val="TableBody"/>
              <w:keepNext/>
              <w:keepLines/>
              <w:jc w:val="right"/>
            </w:pPr>
            <w:r w:rsidRPr="00A54D04">
              <w:t>$37.03</w:t>
            </w:r>
          </w:p>
        </w:tc>
        <w:tc>
          <w:tcPr>
            <w:tcW w:w="1814" w:type="dxa"/>
          </w:tcPr>
          <w:p w14:paraId="53B5961E" w14:textId="77777777" w:rsidR="00F708CF" w:rsidRPr="00A54D04" w:rsidRDefault="00F708CF" w:rsidP="00BA6AF2">
            <w:pPr>
              <w:pStyle w:val="TableBody"/>
              <w:keepNext/>
              <w:keepLines/>
              <w:jc w:val="right"/>
            </w:pPr>
            <w:r w:rsidRPr="00A54D04">
              <w:t>$39.35</w:t>
            </w:r>
          </w:p>
        </w:tc>
      </w:tr>
      <w:tr w:rsidR="00F708CF" w:rsidRPr="00A54D04" w14:paraId="1417669C" w14:textId="77777777">
        <w:trPr>
          <w:cnfStyle w:val="000000010000" w:firstRow="0" w:lastRow="0" w:firstColumn="0" w:lastColumn="0" w:oddVBand="0" w:evenVBand="0" w:oddHBand="0" w:evenHBand="1" w:firstRowFirstColumn="0" w:firstRowLastColumn="0" w:lastRowFirstColumn="0" w:lastRowLastColumn="0"/>
        </w:trPr>
        <w:tc>
          <w:tcPr>
            <w:tcW w:w="4338" w:type="dxa"/>
          </w:tcPr>
          <w:p w14:paraId="381BB3B8" w14:textId="77777777" w:rsidR="00F708CF" w:rsidRPr="00A54D04" w:rsidRDefault="00F708CF">
            <w:pPr>
              <w:pStyle w:val="TableBody"/>
              <w:keepNext/>
              <w:keepLines/>
              <w:ind w:left="720"/>
            </w:pPr>
            <w:r w:rsidRPr="00A54D04">
              <w:t>Average</w:t>
            </w:r>
          </w:p>
        </w:tc>
        <w:tc>
          <w:tcPr>
            <w:tcW w:w="1814" w:type="dxa"/>
          </w:tcPr>
          <w:p w14:paraId="19CA6DFE" w14:textId="77777777" w:rsidR="00F708CF" w:rsidRPr="00A54D04" w:rsidRDefault="00F708CF" w:rsidP="00BA6AF2">
            <w:pPr>
              <w:pStyle w:val="TableBody"/>
              <w:keepNext/>
              <w:keepLines/>
              <w:jc w:val="right"/>
            </w:pPr>
            <w:r w:rsidRPr="00A54D04">
              <w:t>$44.23</w:t>
            </w:r>
          </w:p>
        </w:tc>
        <w:tc>
          <w:tcPr>
            <w:tcW w:w="1814" w:type="dxa"/>
          </w:tcPr>
          <w:p w14:paraId="05EA5C14" w14:textId="77777777" w:rsidR="00F708CF" w:rsidRPr="00A54D04" w:rsidRDefault="00F708CF" w:rsidP="00BA6AF2">
            <w:pPr>
              <w:pStyle w:val="TableBody"/>
              <w:keepNext/>
              <w:keepLines/>
              <w:jc w:val="right"/>
            </w:pPr>
            <w:r w:rsidRPr="00A54D04">
              <w:t>$39.32</w:t>
            </w:r>
          </w:p>
        </w:tc>
        <w:tc>
          <w:tcPr>
            <w:tcW w:w="1814" w:type="dxa"/>
          </w:tcPr>
          <w:p w14:paraId="0ADB2497" w14:textId="77777777" w:rsidR="00F708CF" w:rsidRPr="00A54D04" w:rsidRDefault="00F708CF" w:rsidP="00BA6AF2">
            <w:pPr>
              <w:pStyle w:val="TableBody"/>
              <w:keepNext/>
              <w:keepLines/>
              <w:jc w:val="right"/>
            </w:pPr>
            <w:r w:rsidRPr="00A54D04">
              <w:t>$41.77</w:t>
            </w:r>
          </w:p>
        </w:tc>
      </w:tr>
    </w:tbl>
    <w:p w14:paraId="46D92FFC" w14:textId="0E940555" w:rsidR="00F708CF" w:rsidRPr="00A54D04" w:rsidRDefault="00944445" w:rsidP="00944445">
      <w:pPr>
        <w:pStyle w:val="Source"/>
        <w:jc w:val="left"/>
      </w:pPr>
      <w:r w:rsidRPr="00A54D04">
        <w:rPr>
          <w:b/>
          <w:bCs/>
        </w:rPr>
        <w:t>Source:</w:t>
      </w:r>
      <w:r w:rsidRPr="00A54D04">
        <w:t xml:space="preserve"> Essential Services Commission analysis</w:t>
      </w:r>
      <w:r w:rsidR="005F1214" w:rsidRPr="00A54D04">
        <w:t>.</w:t>
      </w:r>
    </w:p>
    <w:p w14:paraId="2FE9AA04" w14:textId="77777777" w:rsidR="003B3C3A" w:rsidRPr="00A54D04" w:rsidRDefault="003B3C3A" w:rsidP="00C46D5A">
      <w:pPr>
        <w:sectPr w:rsidR="003B3C3A" w:rsidRPr="00A54D04" w:rsidSect="00703C67">
          <w:headerReference w:type="even" r:id="rId76"/>
          <w:headerReference w:type="default" r:id="rId77"/>
          <w:footerReference w:type="default" r:id="rId78"/>
          <w:headerReference w:type="first" r:id="rId79"/>
          <w:pgSz w:w="11906" w:h="16838" w:code="9"/>
          <w:pgMar w:top="1134" w:right="1134" w:bottom="1134" w:left="1134" w:header="709" w:footer="692" w:gutter="0"/>
          <w:cols w:space="708"/>
          <w:docGrid w:linePitch="360"/>
        </w:sectPr>
      </w:pPr>
    </w:p>
    <w:p w14:paraId="535D84F3" w14:textId="44A8462B" w:rsidR="00AD14C1" w:rsidRPr="00A54D04" w:rsidRDefault="00AD14C1" w:rsidP="00AD14C1">
      <w:pPr>
        <w:pStyle w:val="Heading1"/>
      </w:pPr>
      <w:bookmarkStart w:id="343" w:name="_Toc199231599"/>
      <w:r w:rsidRPr="00A54D04">
        <w:lastRenderedPageBreak/>
        <w:t xml:space="preserve">Appendix </w:t>
      </w:r>
      <w:r w:rsidR="008E0CB3">
        <w:t>D</w:t>
      </w:r>
      <w:r w:rsidRPr="00A54D04">
        <w:t>: Productivity analysis</w:t>
      </w:r>
      <w:bookmarkEnd w:id="343"/>
    </w:p>
    <w:p w14:paraId="1F093F39" w14:textId="77777777" w:rsidR="00BF772A" w:rsidRPr="00A54D04" w:rsidRDefault="00BF772A" w:rsidP="00FA3EBA">
      <w:pPr>
        <w:pStyle w:val="Heading2"/>
      </w:pPr>
      <w:bookmarkStart w:id="344" w:name="_Toc195721939"/>
      <w:bookmarkStart w:id="345" w:name="_Toc197345296"/>
      <w:bookmarkStart w:id="346" w:name="_Toc197942465"/>
      <w:bookmarkStart w:id="347" w:name="_Toc197977738"/>
      <w:bookmarkStart w:id="348" w:name="_Toc198048727"/>
      <w:bookmarkStart w:id="349" w:name="_Toc199231600"/>
      <w:r w:rsidRPr="00A54D04">
        <w:t>Regulated fees are adjusted each year by a set formula</w:t>
      </w:r>
      <w:bookmarkEnd w:id="344"/>
      <w:bookmarkEnd w:id="345"/>
      <w:bookmarkEnd w:id="346"/>
      <w:bookmarkEnd w:id="347"/>
      <w:bookmarkEnd w:id="348"/>
      <w:bookmarkEnd w:id="349"/>
    </w:p>
    <w:p w14:paraId="40CB2B86" w14:textId="5621D47C" w:rsidR="00BF772A" w:rsidRPr="00A54D04" w:rsidRDefault="00BF772A" w:rsidP="00BF772A">
      <w:r w:rsidRPr="00A54D04">
        <w:t xml:space="preserve">Each year, regulated accident towing and storage fees in the Melbourne controlled area are amended by an ‘annual adjustment mechanism’ to account for changes in costs and productivity in the sector. The formula for this adjustment is set out in section 212H of the </w:t>
      </w:r>
      <w:r w:rsidR="00C72078">
        <w:t xml:space="preserve">Accident Towing Services </w:t>
      </w:r>
      <w:r w:rsidRPr="00A54D04">
        <w:t>Act:</w:t>
      </w:r>
    </w:p>
    <w:p w14:paraId="4D5187E6" w14:textId="77777777" w:rsidR="00BF772A" w:rsidRPr="00A54D04" w:rsidRDefault="00BF772A" w:rsidP="00BF772A">
      <m:oMathPara>
        <m:oMathParaPr>
          <m:jc m:val="left"/>
        </m:oMathParaPr>
        <m:oMath>
          <m:r>
            <w:rPr>
              <w:rFonts w:ascii="Cambria Math" w:hAnsi="Cambria Math"/>
            </w:rPr>
            <m:t>A×</m:t>
          </m:r>
          <m:d>
            <m:dPr>
              <m:ctrlPr>
                <w:rPr>
                  <w:rFonts w:ascii="Cambria Math" w:hAnsi="Cambria Math"/>
                  <w:i/>
                </w:rPr>
              </m:ctrlPr>
            </m:dPr>
            <m:e>
              <m:f>
                <m:fPr>
                  <m:ctrlPr>
                    <w:rPr>
                      <w:rFonts w:ascii="Cambria Math" w:hAnsi="Cambria Math"/>
                      <w:i/>
                    </w:rPr>
                  </m:ctrlPr>
                </m:fPr>
                <m:num>
                  <m:r>
                    <w:rPr>
                      <w:rFonts w:ascii="Cambria Math" w:hAnsi="Cambria Math"/>
                    </w:rPr>
                    <m:t>B</m:t>
                  </m:r>
                </m:num>
                <m:den>
                  <m:r>
                    <w:rPr>
                      <w:rFonts w:ascii="Cambria Math" w:hAnsi="Cambria Math"/>
                    </w:rPr>
                    <m:t>C</m:t>
                  </m:r>
                </m:den>
              </m:f>
              <m:r>
                <w:rPr>
                  <w:rFonts w:ascii="Cambria Math" w:hAnsi="Cambria Math"/>
                </w:rPr>
                <m:t>-D</m:t>
              </m:r>
            </m:e>
          </m:d>
        </m:oMath>
      </m:oMathPara>
    </w:p>
    <w:p w14:paraId="20F1D581" w14:textId="77777777" w:rsidR="00BF772A" w:rsidRPr="00A54D04" w:rsidRDefault="00BF772A" w:rsidP="00BF772A">
      <w:pPr>
        <w:rPr>
          <w:rFonts w:eastAsia="SimHei"/>
        </w:rPr>
      </w:pPr>
      <w:r w:rsidRPr="00A54D04">
        <w:rPr>
          <w:rFonts w:eastAsia="SimHei"/>
        </w:rPr>
        <w:t xml:space="preserve">where: </w:t>
      </w:r>
    </w:p>
    <w:p w14:paraId="789867FD" w14:textId="77777777" w:rsidR="00BF772A" w:rsidRPr="00A54D04" w:rsidRDefault="00BF772A" w:rsidP="00BF772A">
      <w:pPr>
        <w:pStyle w:val="ListBullet2"/>
      </w:pPr>
      <w:r w:rsidRPr="00A54D04">
        <w:rPr>
          <w:b/>
          <w:bCs/>
        </w:rPr>
        <w:t>A</w:t>
      </w:r>
      <w:r w:rsidRPr="00A54D04">
        <w:t xml:space="preserve"> is the regulated fee for the previous year</w:t>
      </w:r>
    </w:p>
    <w:p w14:paraId="09DA429C" w14:textId="77777777" w:rsidR="00BF772A" w:rsidRPr="00A54D04" w:rsidRDefault="00BF772A" w:rsidP="00BF772A">
      <w:pPr>
        <w:pStyle w:val="ListBullet2"/>
      </w:pPr>
      <w:r w:rsidRPr="00A54D04">
        <w:rPr>
          <w:b/>
          <w:bCs/>
        </w:rPr>
        <w:t>B</w:t>
      </w:r>
      <w:r w:rsidRPr="00A54D04">
        <w:t xml:space="preserve"> is the most recent March quarter value of Melbourne Transport consumer price index (or CPI)</w:t>
      </w:r>
      <w:r w:rsidRPr="00A54D04">
        <w:rPr>
          <w:rStyle w:val="FootnoteReference"/>
        </w:rPr>
        <w:footnoteReference w:id="76"/>
      </w:r>
    </w:p>
    <w:p w14:paraId="153A0B27" w14:textId="77777777" w:rsidR="00BF772A" w:rsidRPr="00A54D04" w:rsidRDefault="00BF772A" w:rsidP="00BF772A">
      <w:pPr>
        <w:pStyle w:val="ListBullet2"/>
      </w:pPr>
      <w:r w:rsidRPr="00A54D04">
        <w:rPr>
          <w:b/>
          <w:bCs/>
        </w:rPr>
        <w:t>C</w:t>
      </w:r>
      <w:r w:rsidRPr="00A54D04">
        <w:t xml:space="preserve"> is the previous year March quarter value of Melbourne Transport consumer price index</w:t>
      </w:r>
    </w:p>
    <w:p w14:paraId="6ECA9EA6" w14:textId="008A1150" w:rsidR="00BF772A" w:rsidRPr="00A54D04" w:rsidRDefault="00BF772A" w:rsidP="00BF772A">
      <w:pPr>
        <w:pStyle w:val="ListBullet2"/>
      </w:pPr>
      <w:r w:rsidRPr="00A54D04">
        <w:rPr>
          <w:b/>
          <w:bCs/>
        </w:rPr>
        <w:t>D</w:t>
      </w:r>
      <w:r w:rsidRPr="00A54D04">
        <w:t xml:space="preserve"> is the productivity adjustment factor</w:t>
      </w:r>
      <w:r w:rsidR="006018EA">
        <w:t xml:space="preserve">, </w:t>
      </w:r>
      <w:r w:rsidR="00FA79EF">
        <w:t>equal to</w:t>
      </w:r>
      <w:r w:rsidRPr="00A54D04">
        <w:t xml:space="preserve"> 0.005 (unless we recommend a different value).</w:t>
      </w:r>
    </w:p>
    <w:p w14:paraId="6E352B15" w14:textId="77777777" w:rsidR="00BF772A" w:rsidRPr="00A54D04" w:rsidRDefault="00BF772A" w:rsidP="00BF772A">
      <w:pPr>
        <w:pStyle w:val="Heading3"/>
      </w:pPr>
      <w:bookmarkStart w:id="350" w:name="_Toc195721940"/>
      <w:bookmarkStart w:id="351" w:name="_Toc197345297"/>
      <w:bookmarkStart w:id="352" w:name="_Toc197942466"/>
      <w:bookmarkStart w:id="353" w:name="_Toc197977739"/>
      <w:bookmarkStart w:id="354" w:name="_Toc198048728"/>
      <w:bookmarkStart w:id="355" w:name="_Toc199231601"/>
      <w:r w:rsidRPr="00A54D04">
        <w:t>What our role is and what we take into consideration</w:t>
      </w:r>
      <w:bookmarkEnd w:id="350"/>
      <w:bookmarkEnd w:id="351"/>
      <w:bookmarkEnd w:id="352"/>
      <w:bookmarkEnd w:id="353"/>
      <w:bookmarkEnd w:id="354"/>
      <w:bookmarkEnd w:id="355"/>
    </w:p>
    <w:p w14:paraId="08C2AA4F" w14:textId="77777777" w:rsidR="00BF772A" w:rsidRPr="00A54D04" w:rsidRDefault="00BF772A" w:rsidP="00BF772A">
      <w:r w:rsidRPr="00A54D04">
        <w:t>Our role is to recommend a figure for the productivity adjustment factor. In doing this, we are guided by the 0.005 (0.5 per cent) specified in the formula. It is effectively ‘a default’ and acts as a reference point. This means we consider whether the default is appropriate. If we find that it is not appropriate, we make a recommendation on what value the productivity adjustment factor should be.</w:t>
      </w:r>
      <w:r w:rsidRPr="00A54D04">
        <w:rPr>
          <w:rStyle w:val="FootnoteReference"/>
        </w:rPr>
        <w:footnoteReference w:id="77"/>
      </w:r>
    </w:p>
    <w:p w14:paraId="2F0C5EE9" w14:textId="77777777" w:rsidR="00BF772A" w:rsidRPr="00A54D04" w:rsidRDefault="00BF772A" w:rsidP="00BF772A">
      <w:pPr>
        <w:pStyle w:val="Heading3"/>
      </w:pPr>
      <w:bookmarkStart w:id="356" w:name="_Toc195721941"/>
      <w:bookmarkStart w:id="357" w:name="_Toc197345298"/>
      <w:bookmarkStart w:id="358" w:name="_Toc197942467"/>
      <w:bookmarkStart w:id="359" w:name="_Toc197977740"/>
      <w:bookmarkStart w:id="360" w:name="_Toc198048729"/>
      <w:bookmarkStart w:id="361" w:name="_Toc199231602"/>
      <w:r w:rsidRPr="00A54D04">
        <w:t>How the formula for adjusting regulated fees works</w:t>
      </w:r>
      <w:bookmarkEnd w:id="356"/>
      <w:bookmarkEnd w:id="357"/>
      <w:bookmarkEnd w:id="358"/>
      <w:bookmarkEnd w:id="359"/>
      <w:bookmarkEnd w:id="360"/>
      <w:bookmarkEnd w:id="361"/>
    </w:p>
    <w:p w14:paraId="08A1CBB1" w14:textId="77777777" w:rsidR="00BF772A" w:rsidRPr="00A54D04" w:rsidRDefault="00BF772A" w:rsidP="00BF772A">
      <w:r w:rsidRPr="00A54D04">
        <w:t>The formula for adjusting regulated fees is a form of a ‘CPI minus X’ price regulation. It is intended to increase fees in line with changes to costs, while providing an incentive for businesses to continually improve their efficiency.</w:t>
      </w:r>
    </w:p>
    <w:p w14:paraId="420FFDDF" w14:textId="77777777" w:rsidR="00BF772A" w:rsidRPr="00A54D04" w:rsidRDefault="00BF772A" w:rsidP="00BF772A">
      <w:r w:rsidRPr="00A54D04">
        <w:lastRenderedPageBreak/>
        <w:t>For the Melbourne accident towing industry, the CPI measure is the Melbourne Transport consumer price index. This means accident towing and storage fees will increase in response to transport related price rises in Melbourne, such as fuel and vehicle maintenance.</w:t>
      </w:r>
    </w:p>
    <w:p w14:paraId="7A8B332B" w14:textId="3E5E9A46" w:rsidR="00BF772A" w:rsidRPr="00A54D04" w:rsidRDefault="00BF772A" w:rsidP="00BF772A">
      <w:r w:rsidRPr="00A54D04">
        <w:t>For a 0.5 per cent productivity adjustment factor, tow truck operators must improve their productivity by at least 0.5 per cent to recover the price increases associated with accident towing.</w:t>
      </w:r>
    </w:p>
    <w:p w14:paraId="4936ECAF" w14:textId="77777777" w:rsidR="00BF772A" w:rsidRPr="00A54D04" w:rsidRDefault="00BF772A" w:rsidP="00BF772A">
      <w:pPr>
        <w:pStyle w:val="Heading3"/>
      </w:pPr>
      <w:bookmarkStart w:id="362" w:name="_Toc195721942"/>
      <w:bookmarkStart w:id="363" w:name="_Toc197345299"/>
      <w:bookmarkStart w:id="364" w:name="_Toc197942468"/>
      <w:bookmarkStart w:id="365" w:name="_Toc197977741"/>
      <w:bookmarkStart w:id="366" w:name="_Toc198048730"/>
      <w:bookmarkStart w:id="367" w:name="_Toc199231603"/>
      <w:r w:rsidRPr="00A54D04">
        <w:t>What it means to improve productivity</w:t>
      </w:r>
      <w:bookmarkEnd w:id="362"/>
      <w:bookmarkEnd w:id="363"/>
      <w:bookmarkEnd w:id="364"/>
      <w:bookmarkEnd w:id="365"/>
      <w:bookmarkEnd w:id="366"/>
      <w:bookmarkEnd w:id="367"/>
    </w:p>
    <w:p w14:paraId="5B22DD59" w14:textId="4C9E1998" w:rsidR="00BF772A" w:rsidRPr="00A54D04" w:rsidRDefault="00BF772A" w:rsidP="00BF772A">
      <w:r w:rsidRPr="00A54D04">
        <w:t xml:space="preserve">Productivity growth measures how inputs change relative to outputs (as represented in Figure </w:t>
      </w:r>
      <w:r w:rsidR="00F141F4" w:rsidRPr="00A54D04">
        <w:t>6</w:t>
      </w:r>
      <w:r w:rsidRPr="00A54D04">
        <w:t>). For example, this could mean how the cost of tow trucks (a capital input) and drivers (a labour input) are changing relative to the amount of revenue tow truck operators receive from accident allocations (an output). In this case, productivity would improve when the cost of tow truck operators’ inputs decreases, while increasing or maintaining the same amount of revenue.</w:t>
      </w:r>
    </w:p>
    <w:p w14:paraId="63928F20" w14:textId="6848A951" w:rsidR="00BF772A" w:rsidRDefault="00BF772A" w:rsidP="00BF772A">
      <w:pPr>
        <w:pStyle w:val="Figure-Table-BoxHeading"/>
        <w:numPr>
          <w:ilvl w:val="0"/>
          <w:numId w:val="0"/>
        </w:numPr>
        <w:spacing w:after="0"/>
      </w:pPr>
      <w:r w:rsidRPr="00A54D04">
        <w:t xml:space="preserve">Figure </w:t>
      </w:r>
      <w:r w:rsidR="00F141F4" w:rsidRPr="00A54D04">
        <w:t>6</w:t>
      </w:r>
      <w:r w:rsidRPr="00A54D04">
        <w:t>. Productivity illustration</w:t>
      </w:r>
    </w:p>
    <w:tbl>
      <w:tblPr>
        <w:tblW w:w="9918" w:type="dxa"/>
        <w:tblBorders>
          <w:top w:val="single" w:sz="4" w:space="0" w:color="auto"/>
          <w:left w:val="single" w:sz="4" w:space="0" w:color="auto"/>
          <w:bottom w:val="single" w:sz="4" w:space="0" w:color="auto"/>
          <w:right w:val="single" w:sz="4" w:space="0" w:color="auto"/>
        </w:tblBorders>
        <w:tblCellMar>
          <w:left w:w="0" w:type="dxa"/>
          <w:right w:w="170" w:type="dxa"/>
        </w:tblCellMar>
        <w:tblLook w:val="04A0" w:firstRow="1" w:lastRow="0" w:firstColumn="1" w:lastColumn="0" w:noHBand="0" w:noVBand="1"/>
      </w:tblPr>
      <w:tblGrid>
        <w:gridCol w:w="2552"/>
        <w:gridCol w:w="992"/>
        <w:gridCol w:w="2591"/>
        <w:gridCol w:w="956"/>
        <w:gridCol w:w="2827"/>
      </w:tblGrid>
      <w:tr w:rsidR="00BF772A" w:rsidRPr="003538CB" w14:paraId="4B406EBC" w14:textId="77777777" w:rsidTr="009355E3">
        <w:trPr>
          <w:cantSplit/>
          <w:trHeight w:val="624"/>
        </w:trPr>
        <w:tc>
          <w:tcPr>
            <w:tcW w:w="9918" w:type="dxa"/>
            <w:gridSpan w:val="5"/>
            <w:shd w:val="clear" w:color="auto" w:fill="4986A0"/>
          </w:tcPr>
          <w:p w14:paraId="088998C4" w14:textId="77777777" w:rsidR="00BF772A" w:rsidRPr="003538CB" w:rsidRDefault="00BF772A" w:rsidP="009355E3">
            <w:pPr>
              <w:pStyle w:val="TableHeading"/>
              <w:spacing w:before="120"/>
              <w:jc w:val="center"/>
              <w:rPr>
                <w:rFonts w:ascii="Tahoma" w:hAnsi="Tahoma" w:cs="Tahoma"/>
                <w:b/>
                <w:bCs/>
                <w:noProof/>
                <w:sz w:val="4"/>
                <w:szCs w:val="4"/>
              </w:rPr>
            </w:pPr>
          </w:p>
          <w:p w14:paraId="21B65E63" w14:textId="77777777" w:rsidR="00BF772A" w:rsidRPr="003538CB" w:rsidRDefault="00BF772A" w:rsidP="009355E3">
            <w:pPr>
              <w:pStyle w:val="TableHeading"/>
              <w:spacing w:before="120"/>
              <w:jc w:val="center"/>
              <w:rPr>
                <w:rFonts w:ascii="Tahoma" w:hAnsi="Tahoma" w:cs="Tahoma"/>
                <w:b/>
                <w:bCs/>
                <w:noProof/>
                <w:sz w:val="52"/>
                <w:szCs w:val="52"/>
              </w:rPr>
            </w:pPr>
            <w:r w:rsidRPr="003538CB">
              <w:rPr>
                <w:rFonts w:ascii="Tahoma" w:hAnsi="Tahoma" w:cs="Tahoma"/>
                <w:b/>
                <w:bCs/>
                <w:noProof/>
                <w:sz w:val="52"/>
                <w:szCs w:val="52"/>
              </w:rPr>
              <w:t>What is productivity?</w:t>
            </w:r>
          </w:p>
          <w:p w14:paraId="6C4FC4DE" w14:textId="77777777" w:rsidR="00BF772A" w:rsidRPr="003538CB" w:rsidRDefault="00BF772A" w:rsidP="009355E3">
            <w:pPr>
              <w:pStyle w:val="TableHeading"/>
              <w:spacing w:before="120"/>
              <w:jc w:val="center"/>
              <w:rPr>
                <w:rFonts w:ascii="Tahoma" w:hAnsi="Tahoma" w:cs="Tahoma"/>
                <w:b/>
                <w:bCs/>
                <w:noProof/>
                <w:sz w:val="16"/>
                <w:szCs w:val="16"/>
              </w:rPr>
            </w:pPr>
          </w:p>
        </w:tc>
      </w:tr>
      <w:tr w:rsidR="00BF772A" w:rsidRPr="003538CB" w14:paraId="038ACFA1" w14:textId="77777777" w:rsidTr="009355E3">
        <w:trPr>
          <w:cantSplit/>
          <w:trHeight w:val="441"/>
        </w:trPr>
        <w:tc>
          <w:tcPr>
            <w:tcW w:w="2552" w:type="dxa"/>
            <w:shd w:val="clear" w:color="auto" w:fill="F2F2F2"/>
          </w:tcPr>
          <w:p w14:paraId="01E50655" w14:textId="77777777" w:rsidR="00BF772A" w:rsidRPr="003538CB" w:rsidRDefault="00BF772A" w:rsidP="009355E3">
            <w:pPr>
              <w:pStyle w:val="TableHeading"/>
              <w:spacing w:before="80"/>
              <w:jc w:val="center"/>
              <w:rPr>
                <w:rFonts w:ascii="Tahoma" w:hAnsi="Tahoma" w:cs="Tahoma"/>
                <w:b/>
                <w:bCs/>
                <w:noProof/>
                <w:color w:val="4986A0"/>
                <w:sz w:val="8"/>
                <w:szCs w:val="8"/>
              </w:rPr>
            </w:pPr>
          </w:p>
          <w:p w14:paraId="4A308ACC" w14:textId="77777777" w:rsidR="00BF772A" w:rsidRPr="003538CB" w:rsidRDefault="00BF772A" w:rsidP="009355E3">
            <w:pPr>
              <w:pStyle w:val="TableHeading"/>
              <w:spacing w:before="80"/>
              <w:jc w:val="center"/>
              <w:rPr>
                <w:rFonts w:ascii="Tahoma" w:hAnsi="Tahoma" w:cs="Tahoma"/>
                <w:b/>
                <w:bCs/>
                <w:noProof/>
                <w:color w:val="4986A0"/>
                <w:sz w:val="36"/>
                <w:szCs w:val="36"/>
              </w:rPr>
            </w:pPr>
            <w:r w:rsidRPr="003538CB">
              <w:rPr>
                <w:rFonts w:ascii="Tahoma" w:hAnsi="Tahoma" w:cs="Tahoma"/>
                <w:b/>
                <w:bCs/>
                <w:noProof/>
                <w:color w:val="4986A0"/>
                <w:sz w:val="36"/>
                <w:szCs w:val="36"/>
              </w:rPr>
              <w:t>Productivity</w:t>
            </w:r>
          </w:p>
        </w:tc>
        <w:tc>
          <w:tcPr>
            <w:tcW w:w="992" w:type="dxa"/>
            <w:vMerge w:val="restart"/>
            <w:shd w:val="clear" w:color="auto" w:fill="F2F2F2"/>
            <w:vAlign w:val="center"/>
          </w:tcPr>
          <w:p w14:paraId="43499C7D" w14:textId="77777777" w:rsidR="00BF772A" w:rsidRPr="003538CB" w:rsidRDefault="00BF772A" w:rsidP="009355E3">
            <w:pPr>
              <w:pStyle w:val="TableHeading"/>
              <w:jc w:val="center"/>
              <w:rPr>
                <w:rFonts w:ascii="Tahoma" w:hAnsi="Tahoma" w:cs="Tahoma"/>
                <w:b/>
                <w:bCs/>
                <w:noProof/>
                <w:color w:val="4986A0"/>
                <w:sz w:val="96"/>
                <w:szCs w:val="96"/>
              </w:rPr>
            </w:pPr>
            <w:r w:rsidRPr="003538CB">
              <w:rPr>
                <w:rFonts w:ascii="Tahoma" w:hAnsi="Tahoma" w:cs="Tahoma"/>
                <w:b/>
                <w:bCs/>
                <w:noProof/>
                <w:color w:val="auto"/>
                <w:sz w:val="96"/>
                <w:szCs w:val="96"/>
              </w:rPr>
              <w:t>=</w:t>
            </w:r>
          </w:p>
        </w:tc>
        <w:tc>
          <w:tcPr>
            <w:tcW w:w="2591" w:type="dxa"/>
            <w:shd w:val="clear" w:color="auto" w:fill="F2F2F2"/>
          </w:tcPr>
          <w:p w14:paraId="7A0532DC" w14:textId="77777777" w:rsidR="00BF772A" w:rsidRPr="003538CB" w:rsidRDefault="00BF772A" w:rsidP="009355E3">
            <w:pPr>
              <w:pStyle w:val="TableHeading"/>
              <w:spacing w:before="80"/>
              <w:jc w:val="center"/>
              <w:rPr>
                <w:rFonts w:ascii="Tahoma" w:hAnsi="Tahoma" w:cs="Tahoma"/>
                <w:b/>
                <w:bCs/>
                <w:noProof/>
                <w:color w:val="4986A0"/>
                <w:sz w:val="8"/>
                <w:szCs w:val="8"/>
              </w:rPr>
            </w:pPr>
          </w:p>
          <w:p w14:paraId="347D1EC1" w14:textId="77777777" w:rsidR="00BF772A" w:rsidRPr="003538CB" w:rsidRDefault="00BF772A" w:rsidP="009355E3">
            <w:pPr>
              <w:pStyle w:val="TableHeading"/>
              <w:spacing w:before="80"/>
              <w:jc w:val="center"/>
              <w:rPr>
                <w:rFonts w:ascii="Tahoma" w:hAnsi="Tahoma" w:cs="Tahoma"/>
                <w:b/>
                <w:bCs/>
                <w:noProof/>
                <w:color w:val="4986A0"/>
                <w:sz w:val="36"/>
                <w:szCs w:val="36"/>
              </w:rPr>
            </w:pPr>
            <w:r w:rsidRPr="003538CB">
              <w:rPr>
                <w:rFonts w:ascii="Tahoma" w:hAnsi="Tahoma" w:cs="Tahoma"/>
                <w:b/>
                <w:bCs/>
                <w:noProof/>
                <w:color w:val="4986A0"/>
                <w:sz w:val="36"/>
                <w:szCs w:val="36"/>
              </w:rPr>
              <w:t>Output</w:t>
            </w:r>
          </w:p>
        </w:tc>
        <w:tc>
          <w:tcPr>
            <w:tcW w:w="956" w:type="dxa"/>
            <w:vMerge w:val="restart"/>
            <w:shd w:val="clear" w:color="auto" w:fill="F2F2F2"/>
            <w:vAlign w:val="center"/>
          </w:tcPr>
          <w:p w14:paraId="3F119D44" w14:textId="77777777" w:rsidR="00BF772A" w:rsidRPr="003538CB" w:rsidRDefault="00BF772A" w:rsidP="009355E3">
            <w:pPr>
              <w:pStyle w:val="TableHeading"/>
              <w:jc w:val="center"/>
              <w:rPr>
                <w:rFonts w:ascii="Tahoma" w:hAnsi="Tahoma" w:cs="Tahoma"/>
                <w:b/>
                <w:bCs/>
                <w:noProof/>
                <w:color w:val="4986A0"/>
                <w:sz w:val="36"/>
                <w:szCs w:val="36"/>
              </w:rPr>
            </w:pPr>
            <w:r w:rsidRPr="003538CB">
              <w:rPr>
                <w:rFonts w:ascii="Tahoma" w:hAnsi="Tahoma" w:cs="Tahoma"/>
                <w:b/>
                <w:bCs/>
                <w:noProof/>
                <w:color w:val="auto"/>
                <w:sz w:val="96"/>
                <w:szCs w:val="96"/>
              </w:rPr>
              <w:t>÷</w:t>
            </w:r>
          </w:p>
        </w:tc>
        <w:tc>
          <w:tcPr>
            <w:tcW w:w="2827" w:type="dxa"/>
            <w:shd w:val="clear" w:color="auto" w:fill="F2F2F2"/>
          </w:tcPr>
          <w:p w14:paraId="21CB1AAA" w14:textId="77777777" w:rsidR="00BF772A" w:rsidRPr="003538CB" w:rsidRDefault="00BF772A" w:rsidP="009355E3">
            <w:pPr>
              <w:pStyle w:val="TableHeading"/>
              <w:spacing w:before="80"/>
              <w:jc w:val="center"/>
              <w:rPr>
                <w:rFonts w:ascii="Tahoma" w:hAnsi="Tahoma" w:cs="Tahoma"/>
                <w:b/>
                <w:bCs/>
                <w:noProof/>
                <w:color w:val="4986A0"/>
                <w:sz w:val="8"/>
                <w:szCs w:val="8"/>
              </w:rPr>
            </w:pPr>
          </w:p>
          <w:p w14:paraId="07CAA0E3" w14:textId="77777777" w:rsidR="00BF772A" w:rsidRPr="003538CB" w:rsidRDefault="00BF772A" w:rsidP="009355E3">
            <w:pPr>
              <w:pStyle w:val="TableHeading"/>
              <w:spacing w:before="80"/>
              <w:jc w:val="center"/>
              <w:rPr>
                <w:rFonts w:ascii="Tahoma" w:hAnsi="Tahoma" w:cs="Tahoma"/>
                <w:b/>
                <w:bCs/>
                <w:noProof/>
                <w:color w:val="4986A0"/>
                <w:sz w:val="36"/>
                <w:szCs w:val="36"/>
              </w:rPr>
            </w:pPr>
            <w:r w:rsidRPr="003538CB">
              <w:rPr>
                <w:rFonts w:ascii="Tahoma" w:hAnsi="Tahoma" w:cs="Tahoma"/>
                <w:b/>
                <w:bCs/>
                <w:noProof/>
                <w:color w:val="4986A0"/>
                <w:sz w:val="36"/>
                <w:szCs w:val="36"/>
              </w:rPr>
              <w:t>Input</w:t>
            </w:r>
          </w:p>
        </w:tc>
      </w:tr>
      <w:tr w:rsidR="00BF772A" w:rsidRPr="003538CB" w14:paraId="38A43E0B" w14:textId="77777777" w:rsidTr="009355E3">
        <w:trPr>
          <w:cantSplit/>
          <w:trHeight w:val="1361"/>
        </w:trPr>
        <w:tc>
          <w:tcPr>
            <w:tcW w:w="2552" w:type="dxa"/>
            <w:shd w:val="clear" w:color="auto" w:fill="F2F2F2"/>
            <w:vAlign w:val="center"/>
          </w:tcPr>
          <w:p w14:paraId="7F4BF893" w14:textId="77777777" w:rsidR="00BF772A" w:rsidRPr="003538CB" w:rsidRDefault="00BF772A" w:rsidP="009355E3">
            <w:pPr>
              <w:spacing w:after="0"/>
              <w:jc w:val="center"/>
              <w:rPr>
                <w:noProof/>
              </w:rPr>
            </w:pPr>
            <w:r w:rsidRPr="008C1105">
              <w:rPr>
                <w:noProof/>
              </w:rPr>
              <w:drawing>
                <wp:inline distT="0" distB="0" distL="0" distR="0" wp14:anchorId="406D305D" wp14:editId="37E548E9">
                  <wp:extent cx="1009650" cy="1009650"/>
                  <wp:effectExtent l="0" t="0" r="0" b="0"/>
                  <wp:docPr id="686235572" name="Picture 6" descr="Exponential Graph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99" descr="Exponential Graph with solid fill"/>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1009650" cy="1009650"/>
                          </a:xfrm>
                          <a:prstGeom prst="rect">
                            <a:avLst/>
                          </a:prstGeom>
                          <a:noFill/>
                          <a:ln>
                            <a:noFill/>
                          </a:ln>
                        </pic:spPr>
                      </pic:pic>
                    </a:graphicData>
                  </a:graphic>
                </wp:inline>
              </w:drawing>
            </w:r>
          </w:p>
        </w:tc>
        <w:tc>
          <w:tcPr>
            <w:tcW w:w="992" w:type="dxa"/>
            <w:vMerge/>
            <w:shd w:val="clear" w:color="auto" w:fill="F2F2F2"/>
            <w:vAlign w:val="center"/>
          </w:tcPr>
          <w:p w14:paraId="208C1C3C" w14:textId="77777777" w:rsidR="00BF772A" w:rsidRPr="003538CB" w:rsidRDefault="00BF772A" w:rsidP="009355E3">
            <w:pPr>
              <w:spacing w:after="0"/>
              <w:jc w:val="center"/>
            </w:pPr>
          </w:p>
        </w:tc>
        <w:tc>
          <w:tcPr>
            <w:tcW w:w="2591" w:type="dxa"/>
            <w:shd w:val="clear" w:color="auto" w:fill="F2F2F2"/>
            <w:vAlign w:val="center"/>
          </w:tcPr>
          <w:p w14:paraId="3A23F4F3" w14:textId="77777777" w:rsidR="00BF772A" w:rsidRPr="003538CB" w:rsidRDefault="00BF772A" w:rsidP="009355E3">
            <w:pPr>
              <w:spacing w:after="0"/>
              <w:jc w:val="center"/>
            </w:pPr>
            <w:r w:rsidRPr="00023175">
              <w:rPr>
                <w:rFonts w:ascii="Tahoma" w:hAnsi="Tahoma" w:cs="Tahoma"/>
                <w:b/>
                <w:noProof/>
                <w:color w:val="4986A0"/>
                <w:sz w:val="36"/>
                <w:szCs w:val="36"/>
              </w:rPr>
              <w:drawing>
                <wp:inline distT="0" distB="0" distL="0" distR="0" wp14:anchorId="722AE669" wp14:editId="72D64D31">
                  <wp:extent cx="1060450" cy="1060450"/>
                  <wp:effectExtent l="0" t="0" r="6350" b="0"/>
                  <wp:docPr id="2031370597" name="Picture 5"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Shape&#10;&#10;Description automatically generated with low confidence"/>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1060450" cy="1060450"/>
                          </a:xfrm>
                          <a:prstGeom prst="rect">
                            <a:avLst/>
                          </a:prstGeom>
                          <a:noFill/>
                          <a:ln>
                            <a:noFill/>
                          </a:ln>
                        </pic:spPr>
                      </pic:pic>
                    </a:graphicData>
                  </a:graphic>
                </wp:inline>
              </w:drawing>
            </w:r>
          </w:p>
        </w:tc>
        <w:tc>
          <w:tcPr>
            <w:tcW w:w="956" w:type="dxa"/>
            <w:vMerge/>
            <w:shd w:val="clear" w:color="auto" w:fill="F2F2F2"/>
            <w:vAlign w:val="center"/>
          </w:tcPr>
          <w:p w14:paraId="1078EF3D" w14:textId="77777777" w:rsidR="00BF772A" w:rsidRPr="003538CB" w:rsidRDefault="00BF772A" w:rsidP="009355E3">
            <w:pPr>
              <w:spacing w:after="0"/>
              <w:jc w:val="center"/>
              <w:rPr>
                <w:noProof/>
              </w:rPr>
            </w:pPr>
          </w:p>
        </w:tc>
        <w:tc>
          <w:tcPr>
            <w:tcW w:w="2827" w:type="dxa"/>
            <w:shd w:val="clear" w:color="auto" w:fill="F2F2F2"/>
            <w:vAlign w:val="center"/>
          </w:tcPr>
          <w:p w14:paraId="0A7EAC4A" w14:textId="77777777" w:rsidR="00BF772A" w:rsidRPr="003538CB" w:rsidRDefault="00BF772A" w:rsidP="009355E3">
            <w:pPr>
              <w:spacing w:after="0"/>
              <w:jc w:val="center"/>
              <w:rPr>
                <w:noProof/>
              </w:rPr>
            </w:pPr>
            <w:r w:rsidRPr="008C1105">
              <w:rPr>
                <w:noProof/>
              </w:rPr>
              <w:drawing>
                <wp:inline distT="0" distB="0" distL="0" distR="0" wp14:anchorId="225C452B" wp14:editId="48D6398B">
                  <wp:extent cx="704850" cy="704850"/>
                  <wp:effectExtent l="0" t="0" r="0" b="0"/>
                  <wp:docPr id="32729558" name="Picture 4" descr="Ma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103" descr="Man with solid fill"/>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a:ln>
                            <a:noFill/>
                          </a:ln>
                        </pic:spPr>
                      </pic:pic>
                    </a:graphicData>
                  </a:graphic>
                </wp:inline>
              </w:drawing>
            </w:r>
            <w:r w:rsidRPr="008C1105">
              <w:rPr>
                <w:noProof/>
              </w:rPr>
              <w:drawing>
                <wp:inline distT="0" distB="0" distL="0" distR="0" wp14:anchorId="5D6A68CE" wp14:editId="56438279">
                  <wp:extent cx="819150" cy="819150"/>
                  <wp:effectExtent l="0" t="0" r="0" b="0"/>
                  <wp:docPr id="1320148277" name="Picture 3"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Shape&#10;&#10;Description automatically generated with low confidence"/>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inline>
              </w:drawing>
            </w:r>
          </w:p>
        </w:tc>
      </w:tr>
      <w:tr w:rsidR="00BF772A" w:rsidRPr="003538CB" w14:paraId="0F545C7E" w14:textId="77777777" w:rsidTr="009355E3">
        <w:trPr>
          <w:cantSplit/>
          <w:trHeight w:val="93"/>
        </w:trPr>
        <w:tc>
          <w:tcPr>
            <w:tcW w:w="2552" w:type="dxa"/>
            <w:shd w:val="clear" w:color="auto" w:fill="F2F2F2"/>
          </w:tcPr>
          <w:p w14:paraId="0FECF774" w14:textId="77777777" w:rsidR="00BF772A" w:rsidRPr="003538CB" w:rsidRDefault="00BF772A" w:rsidP="009355E3">
            <w:pPr>
              <w:spacing w:after="0"/>
              <w:jc w:val="center"/>
              <w:rPr>
                <w:noProof/>
              </w:rPr>
            </w:pPr>
            <w:r w:rsidRPr="003538CB">
              <w:t>Relative change</w:t>
            </w:r>
          </w:p>
        </w:tc>
        <w:tc>
          <w:tcPr>
            <w:tcW w:w="992" w:type="dxa"/>
            <w:vMerge/>
            <w:shd w:val="clear" w:color="auto" w:fill="F2F2F2"/>
          </w:tcPr>
          <w:p w14:paraId="10DDCD3F" w14:textId="77777777" w:rsidR="00BF772A" w:rsidRPr="003538CB" w:rsidRDefault="00BF772A" w:rsidP="009355E3">
            <w:pPr>
              <w:spacing w:after="0"/>
              <w:jc w:val="center"/>
            </w:pPr>
          </w:p>
        </w:tc>
        <w:tc>
          <w:tcPr>
            <w:tcW w:w="2591" w:type="dxa"/>
            <w:shd w:val="clear" w:color="auto" w:fill="F2F2F2"/>
          </w:tcPr>
          <w:p w14:paraId="2817B4E4" w14:textId="77777777" w:rsidR="00BF772A" w:rsidRPr="003538CB" w:rsidRDefault="00BF772A" w:rsidP="009355E3">
            <w:pPr>
              <w:spacing w:after="0"/>
              <w:jc w:val="center"/>
              <w:rPr>
                <w:rFonts w:ascii="Tahoma" w:hAnsi="Tahoma" w:cs="Tahoma"/>
                <w:b/>
                <w:bCs/>
                <w:noProof/>
                <w:color w:val="4986A0"/>
                <w:sz w:val="36"/>
                <w:szCs w:val="36"/>
              </w:rPr>
            </w:pPr>
            <w:r w:rsidRPr="003538CB">
              <w:t>Accident towing services</w:t>
            </w:r>
          </w:p>
        </w:tc>
        <w:tc>
          <w:tcPr>
            <w:tcW w:w="956" w:type="dxa"/>
            <w:vMerge/>
            <w:shd w:val="clear" w:color="auto" w:fill="F2F2F2"/>
          </w:tcPr>
          <w:p w14:paraId="308361DA" w14:textId="77777777" w:rsidR="00BF772A" w:rsidRPr="003538CB" w:rsidRDefault="00BF772A" w:rsidP="009355E3">
            <w:pPr>
              <w:spacing w:after="0"/>
              <w:jc w:val="center"/>
              <w:rPr>
                <w:noProof/>
              </w:rPr>
            </w:pPr>
          </w:p>
        </w:tc>
        <w:tc>
          <w:tcPr>
            <w:tcW w:w="2827" w:type="dxa"/>
            <w:shd w:val="clear" w:color="auto" w:fill="F2F2F2"/>
          </w:tcPr>
          <w:p w14:paraId="3B4DA590" w14:textId="77777777" w:rsidR="00BF772A" w:rsidRPr="003538CB" w:rsidRDefault="00BF772A" w:rsidP="009355E3">
            <w:pPr>
              <w:spacing w:after="0"/>
              <w:ind w:left="280" w:right="-19"/>
              <w:rPr>
                <w:noProof/>
              </w:rPr>
            </w:pPr>
            <w:r w:rsidRPr="003538CB">
              <w:rPr>
                <w:noProof/>
              </w:rPr>
              <w:t>Labour (e.g. drivers) Capital (e.g.</w:t>
            </w:r>
            <w:r>
              <w:rPr>
                <w:noProof/>
              </w:rPr>
              <w:t xml:space="preserve"> </w:t>
            </w:r>
            <w:r w:rsidRPr="003538CB">
              <w:rPr>
                <w:noProof/>
              </w:rPr>
              <w:t>tow trucks)</w:t>
            </w:r>
          </w:p>
          <w:p w14:paraId="2CD55616" w14:textId="77777777" w:rsidR="00BF772A" w:rsidRPr="003538CB" w:rsidRDefault="00BF772A" w:rsidP="009355E3">
            <w:pPr>
              <w:spacing w:after="0"/>
              <w:jc w:val="center"/>
              <w:rPr>
                <w:noProof/>
                <w:sz w:val="12"/>
                <w:szCs w:val="12"/>
              </w:rPr>
            </w:pPr>
          </w:p>
        </w:tc>
      </w:tr>
    </w:tbl>
    <w:p w14:paraId="326D00BA" w14:textId="77777777" w:rsidR="00BF772A" w:rsidRDefault="00BF772A" w:rsidP="00BF772A">
      <w:r>
        <w:t>In practical terms, tow truck operators may improve their productivity by:</w:t>
      </w:r>
    </w:p>
    <w:p w14:paraId="1AC1A6D4" w14:textId="77777777" w:rsidR="00BF772A" w:rsidRDefault="00BF772A" w:rsidP="00BF772A">
      <w:pPr>
        <w:pStyle w:val="ListBullet"/>
      </w:pPr>
      <w:r>
        <w:t xml:space="preserve">consolidating their operations into fewer depots </w:t>
      </w:r>
    </w:p>
    <w:p w14:paraId="1229E2E4" w14:textId="77777777" w:rsidR="00BF772A" w:rsidRDefault="00BF772A" w:rsidP="00BF772A">
      <w:pPr>
        <w:pStyle w:val="ListBullet"/>
      </w:pPr>
      <w:r>
        <w:t xml:space="preserve">increasing the ratio of accident towing licences to tow trucks, so to service a greater number of accident allocations with each tow truck </w:t>
      </w:r>
    </w:p>
    <w:p w14:paraId="2ECA3969" w14:textId="5D105E1C" w:rsidR="00BF772A" w:rsidRDefault="00BF772A" w:rsidP="00850E95">
      <w:pPr>
        <w:pStyle w:val="ListBullet"/>
      </w:pPr>
      <w:r>
        <w:t>using existing resources to engage in other services, such as trade towing.</w:t>
      </w:r>
    </w:p>
    <w:p w14:paraId="1899566E" w14:textId="34237E4C" w:rsidR="004414DA" w:rsidRPr="00A54D04" w:rsidRDefault="004414DA" w:rsidP="004414DA">
      <w:pPr>
        <w:pStyle w:val="Heading2"/>
      </w:pPr>
      <w:bookmarkStart w:id="368" w:name="_Toc195721943"/>
      <w:bookmarkStart w:id="369" w:name="_Toc197345300"/>
      <w:bookmarkStart w:id="370" w:name="_Toc197942469"/>
      <w:bookmarkStart w:id="371" w:name="_Toc197977742"/>
      <w:bookmarkStart w:id="372" w:name="_Toc198048731"/>
      <w:bookmarkStart w:id="373" w:name="_Toc199231604"/>
      <w:r w:rsidRPr="00A54D04">
        <w:lastRenderedPageBreak/>
        <w:t xml:space="preserve">We used a range of measures to </w:t>
      </w:r>
      <w:r w:rsidR="00344035" w:rsidRPr="00A54D04">
        <w:t>estimate</w:t>
      </w:r>
      <w:r w:rsidRPr="00A54D04">
        <w:t xml:space="preserve"> productivity changes</w:t>
      </w:r>
      <w:bookmarkEnd w:id="368"/>
      <w:bookmarkEnd w:id="369"/>
      <w:bookmarkEnd w:id="370"/>
      <w:bookmarkEnd w:id="371"/>
      <w:bookmarkEnd w:id="372"/>
      <w:bookmarkEnd w:id="373"/>
    </w:p>
    <w:p w14:paraId="6EC07F4D" w14:textId="38237451" w:rsidR="003D38C8" w:rsidRPr="00A54D04" w:rsidRDefault="00344035" w:rsidP="00344035">
      <w:r w:rsidRPr="00A54D04">
        <w:t xml:space="preserve">We used a range of measures to estimate </w:t>
      </w:r>
      <w:r w:rsidR="00C80FDF" w:rsidRPr="00A54D04">
        <w:t>productivity changes in the accident towing industry in Melbourn</w:t>
      </w:r>
      <w:r w:rsidR="003D38C8" w:rsidRPr="00A54D04">
        <w:t>e</w:t>
      </w:r>
      <w:r w:rsidR="00777BEF" w:rsidRPr="00A54D04">
        <w:t>. Our measures are</w:t>
      </w:r>
      <w:r w:rsidR="00F2197A" w:rsidRPr="00A54D04">
        <w:t xml:space="preserve"> based on</w:t>
      </w:r>
      <w:r w:rsidR="003D38C8" w:rsidRPr="00A54D04">
        <w:t xml:space="preserve"> data from the Australian Bureau of Statistics (ABS) and the Department of Transport and Planning</w:t>
      </w:r>
      <w:r w:rsidR="00C80FDF" w:rsidRPr="00A54D04">
        <w:t xml:space="preserve">. </w:t>
      </w:r>
    </w:p>
    <w:p w14:paraId="28A686B7" w14:textId="57534285" w:rsidR="00CA5BE6" w:rsidRPr="00A54D04" w:rsidRDefault="00CA5BE6" w:rsidP="00344035">
      <w:r w:rsidRPr="00A54D04">
        <w:t>We used both multifactor and partial productivity measures. Multifactor productivity measures capture all relevant inputs and outputs</w:t>
      </w:r>
      <w:r w:rsidR="001F1136" w:rsidRPr="00A54D04">
        <w:t xml:space="preserve">. </w:t>
      </w:r>
      <w:r w:rsidRPr="00A54D04">
        <w:t xml:space="preserve">Partial productivity measures capture only labour productivity or capital productivity. </w:t>
      </w:r>
    </w:p>
    <w:p w14:paraId="241BD10C" w14:textId="39022E12" w:rsidR="00777BEF" w:rsidRPr="00A54D04" w:rsidRDefault="0055732A" w:rsidP="00344035">
      <w:r w:rsidRPr="00A54D04">
        <w:t xml:space="preserve">Ideally, the measures we use would include all inputs and outputs that apply exactly to the accident towing industry in Melbourne. However, a </w:t>
      </w:r>
      <w:r w:rsidR="00CA5A30">
        <w:t>complete</w:t>
      </w:r>
      <w:r w:rsidRPr="00A54D04">
        <w:t xml:space="preserve"> set of information that is wholly representative of the accident towing industry is not available. </w:t>
      </w:r>
    </w:p>
    <w:p w14:paraId="0E09D849" w14:textId="5022F741" w:rsidR="00061C57" w:rsidRPr="00A54D04" w:rsidRDefault="000F5852" w:rsidP="00344035">
      <w:r w:rsidRPr="00A54D04">
        <w:t>This means there is no direct measure of the productivity adjustment factor</w:t>
      </w:r>
      <w:r w:rsidR="00953DA1" w:rsidRPr="00A54D04">
        <w:t xml:space="preserve">, </w:t>
      </w:r>
      <w:r w:rsidRPr="00A54D04">
        <w:t xml:space="preserve">which is an estimate of future productivity changes. </w:t>
      </w:r>
      <w:r w:rsidR="00777BEF" w:rsidRPr="00A54D04">
        <w:t>However,</w:t>
      </w:r>
      <w:r w:rsidRPr="00A54D04">
        <w:t xml:space="preserve"> </w:t>
      </w:r>
      <w:r w:rsidR="00644505" w:rsidRPr="00A54D04">
        <w:t xml:space="preserve">the measures we used provide an indication of how productivity has changed </w:t>
      </w:r>
      <w:r w:rsidR="007013E2" w:rsidRPr="00A54D04">
        <w:t xml:space="preserve">over the </w:t>
      </w:r>
      <w:r w:rsidR="00061C57" w:rsidRPr="00A54D04">
        <w:t>period from 2013–14 to 2023–24.</w:t>
      </w:r>
      <w:r w:rsidR="005E6181" w:rsidRPr="00A54D04">
        <w:t xml:space="preserve"> Each measure has advantages and disadvantages.</w:t>
      </w:r>
    </w:p>
    <w:p w14:paraId="4CA5FAB5" w14:textId="1E3F344A" w:rsidR="00D0016B" w:rsidRPr="00A54D04" w:rsidRDefault="00C242A1" w:rsidP="002076B6">
      <w:pPr>
        <w:pStyle w:val="Heading2"/>
      </w:pPr>
      <w:bookmarkStart w:id="374" w:name="_Toc195721944"/>
      <w:bookmarkStart w:id="375" w:name="_Toc197345301"/>
      <w:bookmarkStart w:id="376" w:name="_Toc197942470"/>
      <w:bookmarkStart w:id="377" w:name="_Toc197977743"/>
      <w:bookmarkStart w:id="378" w:name="_Toc198048732"/>
      <w:bookmarkStart w:id="379" w:name="_Toc199231605"/>
      <w:r w:rsidRPr="00A54D04">
        <w:t>ABS measures</w:t>
      </w:r>
      <w:r w:rsidR="00286F1B" w:rsidRPr="00A54D04">
        <w:t xml:space="preserve"> </w:t>
      </w:r>
      <w:r w:rsidR="004A0EB2" w:rsidRPr="00A54D04">
        <w:t>suggest</w:t>
      </w:r>
      <w:r w:rsidR="00D0016B" w:rsidRPr="00A54D04">
        <w:t xml:space="preserve"> productivity growth </w:t>
      </w:r>
      <w:r w:rsidR="008519EA" w:rsidRPr="00A54D04">
        <w:t>since coronavirus pandemic</w:t>
      </w:r>
      <w:bookmarkEnd w:id="374"/>
      <w:bookmarkEnd w:id="375"/>
      <w:bookmarkEnd w:id="376"/>
      <w:bookmarkEnd w:id="377"/>
      <w:bookmarkEnd w:id="378"/>
      <w:bookmarkEnd w:id="379"/>
    </w:p>
    <w:p w14:paraId="4440A78C" w14:textId="6CCBA973" w:rsidR="00B31A42" w:rsidRPr="00A54D04" w:rsidRDefault="008D2A1B" w:rsidP="00AD14C1">
      <w:r w:rsidRPr="00A54D04">
        <w:t xml:space="preserve">We </w:t>
      </w:r>
      <w:r w:rsidR="00845D76" w:rsidRPr="00A54D04">
        <w:t>used</w:t>
      </w:r>
      <w:r w:rsidR="009D14FA" w:rsidRPr="00A54D04">
        <w:t xml:space="preserve"> a range of</w:t>
      </w:r>
      <w:r w:rsidRPr="00A54D04">
        <w:t xml:space="preserve"> multifactor and partial productivity measures </w:t>
      </w:r>
      <w:r w:rsidR="00BE274F" w:rsidRPr="00A54D04">
        <w:t xml:space="preserve">for the transport, </w:t>
      </w:r>
      <w:r w:rsidR="00A55436" w:rsidRPr="00A54D04">
        <w:t xml:space="preserve">postal and warehousing sector, </w:t>
      </w:r>
      <w:r w:rsidRPr="00A54D04">
        <w:t xml:space="preserve">published by the </w:t>
      </w:r>
      <w:r w:rsidR="00792F20" w:rsidRPr="00A54D04">
        <w:t>ABS.</w:t>
      </w:r>
      <w:r w:rsidR="00845D76" w:rsidRPr="00A54D04">
        <w:t xml:space="preserve"> </w:t>
      </w:r>
    </w:p>
    <w:p w14:paraId="7033E70A" w14:textId="1567A564" w:rsidR="00C242A1" w:rsidRPr="00A54D04" w:rsidRDefault="00AD14C1" w:rsidP="00AD14C1">
      <w:r w:rsidRPr="00A54D04">
        <w:t>We calculated three productivity growth rates for each measure</w:t>
      </w:r>
      <w:r w:rsidR="00EC36C9" w:rsidRPr="00A54D04">
        <w:t xml:space="preserve"> </w:t>
      </w:r>
      <w:r w:rsidR="00DC418F" w:rsidRPr="00A54D04">
        <w:t xml:space="preserve">to estimate how productivity changed over the short, medium, and long-term periods between </w:t>
      </w:r>
      <w:r w:rsidR="00387502" w:rsidRPr="00A54D04">
        <w:t xml:space="preserve">2013–14 and 2023–24. </w:t>
      </w:r>
    </w:p>
    <w:p w14:paraId="4A688F1F" w14:textId="4D133CA0" w:rsidR="00387502" w:rsidRPr="00A54D04" w:rsidRDefault="00387502" w:rsidP="00AD14C1">
      <w:r w:rsidRPr="00A54D04">
        <w:t>We calculated the</w:t>
      </w:r>
      <w:r w:rsidR="007A4ADE" w:rsidRPr="00A54D04">
        <w:t xml:space="preserve"> productivity growth rates</w:t>
      </w:r>
      <w:r w:rsidRPr="00A54D04">
        <w:t xml:space="preserve"> in two ways:</w:t>
      </w:r>
    </w:p>
    <w:p w14:paraId="439119CB" w14:textId="4BB68BC1" w:rsidR="00AD14C1" w:rsidRPr="00A54D04" w:rsidRDefault="00511F02" w:rsidP="00AD14C1">
      <w:pPr>
        <w:pStyle w:val="ListBullet"/>
      </w:pPr>
      <w:r>
        <w:rPr>
          <w:b/>
          <w:bCs/>
        </w:rPr>
        <w:t>q</w:t>
      </w:r>
      <w:r w:rsidR="00AD14C1" w:rsidRPr="00A54D04">
        <w:rPr>
          <w:b/>
          <w:bCs/>
        </w:rPr>
        <w:t>uality adjusted hours worked</w:t>
      </w:r>
      <w:r w:rsidR="00AD14C1" w:rsidRPr="00A54D04">
        <w:t>: measures hours work</w:t>
      </w:r>
      <w:r w:rsidR="007A4ADE" w:rsidRPr="00A54D04">
        <w:t>ed</w:t>
      </w:r>
      <w:r w:rsidR="00AD14C1" w:rsidRPr="00A54D04">
        <w:t xml:space="preserve"> and changes in quality, such as education achievement and experience.</w:t>
      </w:r>
    </w:p>
    <w:p w14:paraId="3097592A" w14:textId="351C4D45" w:rsidR="00AD14C1" w:rsidRPr="00A54D04" w:rsidRDefault="00511F02" w:rsidP="00AD14C1">
      <w:pPr>
        <w:pStyle w:val="ListBullet"/>
      </w:pPr>
      <w:r>
        <w:rPr>
          <w:b/>
          <w:bCs/>
        </w:rPr>
        <w:t>h</w:t>
      </w:r>
      <w:r w:rsidR="00AD14C1" w:rsidRPr="00A54D04">
        <w:rPr>
          <w:b/>
          <w:bCs/>
        </w:rPr>
        <w:t>ours worked</w:t>
      </w:r>
      <w:r w:rsidR="00AD14C1" w:rsidRPr="00A54D04">
        <w:t>: measures hours worked only.</w:t>
      </w:r>
    </w:p>
    <w:p w14:paraId="6127A125" w14:textId="61C53B0A" w:rsidR="00AD14C1" w:rsidRPr="00A54D04" w:rsidRDefault="00AD14C1" w:rsidP="00AD14C1">
      <w:r w:rsidRPr="00A54D04">
        <w:t xml:space="preserve">Table </w:t>
      </w:r>
      <w:r w:rsidR="007260CD" w:rsidRPr="00A54D04">
        <w:t>1</w:t>
      </w:r>
      <w:r w:rsidR="008C3EBA" w:rsidRPr="00A54D04">
        <w:t>8</w:t>
      </w:r>
      <w:r w:rsidR="002F3CC3" w:rsidRPr="00A54D04">
        <w:t xml:space="preserve"> shows a range of</w:t>
      </w:r>
      <w:r w:rsidR="00B8431B" w:rsidRPr="00A54D04">
        <w:t xml:space="preserve"> </w:t>
      </w:r>
      <w:r w:rsidR="006D4649" w:rsidRPr="00A54D04">
        <w:t xml:space="preserve">productivity </w:t>
      </w:r>
      <w:r w:rsidR="00795CCE" w:rsidRPr="00A54D04">
        <w:t xml:space="preserve">growth </w:t>
      </w:r>
      <w:r w:rsidR="00F04C34" w:rsidRPr="00A54D04">
        <w:t>rates</w:t>
      </w:r>
      <w:r w:rsidR="00795CCE" w:rsidRPr="00A54D04">
        <w:t xml:space="preserve"> </w:t>
      </w:r>
      <w:r w:rsidR="00E33E9E" w:rsidRPr="00A54D04">
        <w:t>for</w:t>
      </w:r>
      <w:r w:rsidR="001776BF" w:rsidRPr="00A54D04">
        <w:t xml:space="preserve"> </w:t>
      </w:r>
      <w:r w:rsidR="002F3CC3" w:rsidRPr="00A54D04">
        <w:t>the different</w:t>
      </w:r>
      <w:r w:rsidR="00B8431B" w:rsidRPr="00A54D04">
        <w:t xml:space="preserve"> </w:t>
      </w:r>
      <w:r w:rsidR="00954BE5" w:rsidRPr="00A54D04">
        <w:t xml:space="preserve">ABS </w:t>
      </w:r>
      <w:r w:rsidR="00B8431B" w:rsidRPr="00A54D04">
        <w:t>measures</w:t>
      </w:r>
      <w:r w:rsidR="00507EE3" w:rsidRPr="00A54D04">
        <w:t xml:space="preserve"> </w:t>
      </w:r>
      <w:r w:rsidR="003549BC" w:rsidRPr="00A54D04">
        <w:t>we considered</w:t>
      </w:r>
      <w:r w:rsidR="00507EE3" w:rsidRPr="00A54D04">
        <w:t xml:space="preserve"> </w:t>
      </w:r>
      <w:r w:rsidR="00544310" w:rsidRPr="00A54D04">
        <w:t>from</w:t>
      </w:r>
      <w:r w:rsidRPr="00A54D04">
        <w:t xml:space="preserve"> </w:t>
      </w:r>
      <w:r w:rsidR="00A24030">
        <w:t>-</w:t>
      </w:r>
      <w:r w:rsidR="00A85C4D" w:rsidRPr="00A54D04">
        <w:t>1.</w:t>
      </w:r>
      <w:r w:rsidR="00594190" w:rsidRPr="00A54D04">
        <w:t>2</w:t>
      </w:r>
      <w:r w:rsidRPr="00A54D04">
        <w:t xml:space="preserve"> per cent </w:t>
      </w:r>
      <w:r w:rsidR="004045DB" w:rsidRPr="00A54D04">
        <w:t>to</w:t>
      </w:r>
      <w:r w:rsidRPr="00A54D04">
        <w:t xml:space="preserve"> </w:t>
      </w:r>
      <w:r w:rsidR="00594190" w:rsidRPr="00A54D04">
        <w:t>5.0</w:t>
      </w:r>
      <w:r w:rsidRPr="00A54D04">
        <w:t xml:space="preserve"> per cent.</w:t>
      </w:r>
    </w:p>
    <w:p w14:paraId="3BEBF960" w14:textId="6676CB52" w:rsidR="00A3642F" w:rsidRPr="00A54D04" w:rsidRDefault="00AD14C1" w:rsidP="00B10C27">
      <w:pPr>
        <w:pStyle w:val="Figure-Table-BoxHeading"/>
        <w:keepNext/>
        <w:numPr>
          <w:ilvl w:val="0"/>
          <w:numId w:val="0"/>
        </w:numPr>
        <w:spacing w:after="0"/>
      </w:pPr>
      <w:r w:rsidRPr="00A54D04">
        <w:lastRenderedPageBreak/>
        <w:t xml:space="preserve">Table </w:t>
      </w:r>
      <w:r w:rsidR="007260CD" w:rsidRPr="00A54D04">
        <w:t>1</w:t>
      </w:r>
      <w:r w:rsidR="008C3EBA" w:rsidRPr="00A54D04">
        <w:t>8</w:t>
      </w:r>
      <w:r w:rsidR="0048343D" w:rsidRPr="00A54D04">
        <w:t xml:space="preserve">. </w:t>
      </w:r>
      <w:r w:rsidR="003A7AD8" w:rsidRPr="00A54D04">
        <w:t>Estimated productivity growth</w:t>
      </w:r>
      <w:r w:rsidR="00C57D02" w:rsidRPr="00A54D04">
        <w:t xml:space="preserve"> </w:t>
      </w:r>
      <w:r w:rsidR="00064EF1" w:rsidRPr="00A54D04">
        <w:t xml:space="preserve">rates </w:t>
      </w:r>
      <w:r w:rsidR="00C57D02" w:rsidRPr="00A54D04">
        <w:t>using ABS</w:t>
      </w:r>
      <w:r w:rsidRPr="00A54D04" w:rsidDel="008951F3">
        <w:t xml:space="preserve"> </w:t>
      </w:r>
      <w:r w:rsidRPr="00A54D04">
        <w:t>productivity measures</w:t>
      </w:r>
    </w:p>
    <w:tbl>
      <w:tblPr>
        <w:tblW w:w="9070" w:type="dxa"/>
        <w:tblBorders>
          <w:insideH w:val="single" w:sz="8" w:space="0" w:color="FFFFFF"/>
        </w:tblBorders>
        <w:tblCellMar>
          <w:top w:w="85" w:type="dxa"/>
          <w:left w:w="85" w:type="dxa"/>
          <w:bottom w:w="85" w:type="dxa"/>
          <w:right w:w="57" w:type="dxa"/>
        </w:tblCellMar>
        <w:tblLook w:val="04A0" w:firstRow="1" w:lastRow="0" w:firstColumn="1" w:lastColumn="0" w:noHBand="0" w:noVBand="1"/>
      </w:tblPr>
      <w:tblGrid>
        <w:gridCol w:w="4513"/>
        <w:gridCol w:w="1519"/>
        <w:gridCol w:w="1519"/>
        <w:gridCol w:w="1519"/>
      </w:tblGrid>
      <w:tr w:rsidR="00A85C4D" w:rsidRPr="00A54D04" w14:paraId="0006675C" w14:textId="77777777" w:rsidTr="000D09A2">
        <w:trPr>
          <w:cantSplit/>
        </w:trPr>
        <w:tc>
          <w:tcPr>
            <w:tcW w:w="4513" w:type="dxa"/>
            <w:shd w:val="clear" w:color="auto" w:fill="4986A0"/>
            <w:hideMark/>
          </w:tcPr>
          <w:p w14:paraId="50071233" w14:textId="77777777" w:rsidR="00A85C4D" w:rsidRPr="00A54D04" w:rsidRDefault="00A85C4D" w:rsidP="00B10C27">
            <w:pPr>
              <w:pStyle w:val="TableBold"/>
              <w:keepNext/>
              <w:rPr>
                <w:bCs/>
                <w:color w:val="FFFFFF"/>
              </w:rPr>
            </w:pPr>
            <w:r w:rsidRPr="00A54D04">
              <w:rPr>
                <w:bCs/>
                <w:color w:val="FFFFFF"/>
              </w:rPr>
              <w:t>Productivity measure</w:t>
            </w:r>
          </w:p>
        </w:tc>
        <w:tc>
          <w:tcPr>
            <w:tcW w:w="1519" w:type="dxa"/>
            <w:shd w:val="clear" w:color="auto" w:fill="4986A0"/>
            <w:hideMark/>
          </w:tcPr>
          <w:p w14:paraId="3A520EF6" w14:textId="77777777" w:rsidR="00A85C4D" w:rsidRPr="00A54D04" w:rsidRDefault="00A85C4D" w:rsidP="00B10C27">
            <w:pPr>
              <w:pStyle w:val="TableBold"/>
              <w:keepNext/>
              <w:jc w:val="right"/>
              <w:rPr>
                <w:color w:val="FFFFFF"/>
              </w:rPr>
            </w:pPr>
            <w:r w:rsidRPr="00A54D04">
              <w:rPr>
                <w:bCs/>
                <w:color w:val="FFFFFF"/>
              </w:rPr>
              <w:t>2020–21</w:t>
            </w:r>
            <w:r w:rsidRPr="00A54D04">
              <w:rPr>
                <w:color w:val="FFFFFF"/>
              </w:rPr>
              <w:t xml:space="preserve"> to </w:t>
            </w:r>
            <w:r w:rsidRPr="00A54D04">
              <w:rPr>
                <w:bCs/>
                <w:color w:val="FFFFFF"/>
              </w:rPr>
              <w:t>2023–24</w:t>
            </w:r>
          </w:p>
        </w:tc>
        <w:tc>
          <w:tcPr>
            <w:tcW w:w="1519" w:type="dxa"/>
            <w:shd w:val="clear" w:color="auto" w:fill="4986A0"/>
            <w:hideMark/>
          </w:tcPr>
          <w:p w14:paraId="7914C470" w14:textId="77777777" w:rsidR="00A85C4D" w:rsidRPr="00A54D04" w:rsidRDefault="00A85C4D" w:rsidP="00B10C27">
            <w:pPr>
              <w:pStyle w:val="TableBold"/>
              <w:keepNext/>
              <w:jc w:val="right"/>
              <w:rPr>
                <w:bCs/>
                <w:color w:val="FFFFFF"/>
              </w:rPr>
            </w:pPr>
            <w:r w:rsidRPr="00A54D04">
              <w:rPr>
                <w:bCs/>
                <w:color w:val="FFFFFF"/>
              </w:rPr>
              <w:t>2018–19</w:t>
            </w:r>
            <w:r w:rsidRPr="00A54D04">
              <w:rPr>
                <w:color w:val="FFFFFF"/>
              </w:rPr>
              <w:t xml:space="preserve"> to </w:t>
            </w:r>
            <w:r w:rsidRPr="00A54D04">
              <w:rPr>
                <w:bCs/>
                <w:color w:val="FFFFFF"/>
              </w:rPr>
              <w:t>2023–24</w:t>
            </w:r>
          </w:p>
        </w:tc>
        <w:tc>
          <w:tcPr>
            <w:tcW w:w="1519" w:type="dxa"/>
            <w:shd w:val="clear" w:color="auto" w:fill="4986A0"/>
            <w:hideMark/>
          </w:tcPr>
          <w:p w14:paraId="2CC0EB0F" w14:textId="77777777" w:rsidR="00A85C4D" w:rsidRPr="00A54D04" w:rsidRDefault="00A85C4D" w:rsidP="00B10C27">
            <w:pPr>
              <w:pStyle w:val="TableBold"/>
              <w:keepNext/>
              <w:jc w:val="right"/>
              <w:rPr>
                <w:bCs/>
                <w:color w:val="FFFFFF"/>
              </w:rPr>
            </w:pPr>
            <w:r w:rsidRPr="00A54D04">
              <w:rPr>
                <w:bCs/>
                <w:color w:val="FFFFFF"/>
              </w:rPr>
              <w:t>2013–14</w:t>
            </w:r>
            <w:r w:rsidRPr="00A54D04">
              <w:rPr>
                <w:color w:val="FFFFFF"/>
              </w:rPr>
              <w:t xml:space="preserve"> to 202</w:t>
            </w:r>
            <w:r w:rsidRPr="00A54D04">
              <w:rPr>
                <w:bCs/>
                <w:color w:val="FFFFFF"/>
              </w:rPr>
              <w:t>3–24</w:t>
            </w:r>
          </w:p>
        </w:tc>
      </w:tr>
      <w:tr w:rsidR="00A85C4D" w:rsidRPr="00A54D04" w14:paraId="4757A322" w14:textId="77777777" w:rsidTr="000D09A2">
        <w:trPr>
          <w:cantSplit/>
        </w:trPr>
        <w:tc>
          <w:tcPr>
            <w:tcW w:w="4513" w:type="dxa"/>
            <w:shd w:val="clear" w:color="auto" w:fill="F2F2F2"/>
            <w:hideMark/>
          </w:tcPr>
          <w:p w14:paraId="10B7DDC9" w14:textId="77777777" w:rsidR="00A85C4D" w:rsidRPr="00A54D04" w:rsidRDefault="00A85C4D" w:rsidP="00B10C27">
            <w:pPr>
              <w:pStyle w:val="TableBody"/>
              <w:keepNext/>
            </w:pPr>
            <w:r w:rsidRPr="00A54D04">
              <w:t>Gross value added based multifactor productivity – quality adjusted hours worked basis</w:t>
            </w:r>
          </w:p>
        </w:tc>
        <w:tc>
          <w:tcPr>
            <w:tcW w:w="1519" w:type="dxa"/>
            <w:shd w:val="clear" w:color="auto" w:fill="F2F2F2"/>
          </w:tcPr>
          <w:p w14:paraId="78C425AF" w14:textId="404579FF" w:rsidR="00A85C4D" w:rsidRPr="00A54D04" w:rsidRDefault="00A85C4D" w:rsidP="00B10C27">
            <w:pPr>
              <w:pStyle w:val="TableBody"/>
              <w:keepNext/>
              <w:jc w:val="right"/>
            </w:pPr>
            <w:r w:rsidRPr="00A54D04">
              <w:t>4.</w:t>
            </w:r>
            <w:r w:rsidR="00AD4AA9" w:rsidRPr="00A54D04">
              <w:t>3</w:t>
            </w:r>
            <w:r w:rsidRPr="00A54D04">
              <w:t>%</w:t>
            </w:r>
          </w:p>
        </w:tc>
        <w:tc>
          <w:tcPr>
            <w:tcW w:w="1519" w:type="dxa"/>
            <w:shd w:val="clear" w:color="auto" w:fill="F2F2F2"/>
          </w:tcPr>
          <w:p w14:paraId="17E6A4E1" w14:textId="72BF7CE5" w:rsidR="00A85C4D" w:rsidRPr="00A54D04" w:rsidRDefault="00A85C4D" w:rsidP="00B10C27">
            <w:pPr>
              <w:pStyle w:val="TableBody"/>
              <w:keepNext/>
              <w:jc w:val="right"/>
            </w:pPr>
            <w:r w:rsidRPr="00A54D04">
              <w:t>-0.</w:t>
            </w:r>
            <w:r w:rsidR="008A718C" w:rsidRPr="00A54D04">
              <w:t>1</w:t>
            </w:r>
            <w:r w:rsidRPr="00A54D04">
              <w:t>%</w:t>
            </w:r>
          </w:p>
        </w:tc>
        <w:tc>
          <w:tcPr>
            <w:tcW w:w="1519" w:type="dxa"/>
            <w:shd w:val="clear" w:color="auto" w:fill="F2F2F2"/>
          </w:tcPr>
          <w:p w14:paraId="06500836" w14:textId="1D6CD8CF" w:rsidR="00A85C4D" w:rsidRPr="00A54D04" w:rsidRDefault="00A85C4D" w:rsidP="00B10C27">
            <w:pPr>
              <w:pStyle w:val="TableBody"/>
              <w:keepNext/>
              <w:jc w:val="right"/>
            </w:pPr>
            <w:r w:rsidRPr="00A54D04">
              <w:t>-0.</w:t>
            </w:r>
            <w:r w:rsidR="00AD4AA9" w:rsidRPr="00A54D04">
              <w:t>3</w:t>
            </w:r>
            <w:r w:rsidRPr="00A54D04">
              <w:t>%</w:t>
            </w:r>
          </w:p>
        </w:tc>
      </w:tr>
      <w:tr w:rsidR="00A85C4D" w:rsidRPr="00A54D04" w14:paraId="664F9705" w14:textId="77777777" w:rsidTr="000D09A2">
        <w:trPr>
          <w:cantSplit/>
        </w:trPr>
        <w:tc>
          <w:tcPr>
            <w:tcW w:w="4513" w:type="dxa"/>
            <w:shd w:val="clear" w:color="auto" w:fill="E3E3E4"/>
            <w:hideMark/>
          </w:tcPr>
          <w:p w14:paraId="081A2CF1" w14:textId="4016D3EA" w:rsidR="00A85C4D" w:rsidRPr="00A54D04" w:rsidRDefault="00A85C4D" w:rsidP="00B10C27">
            <w:pPr>
              <w:pStyle w:val="TableBody"/>
              <w:keepNext/>
            </w:pPr>
            <w:r w:rsidRPr="00A54D04">
              <w:t xml:space="preserve">Gross output based multifactor productivity – </w:t>
            </w:r>
            <w:r w:rsidR="00BD7830" w:rsidRPr="00A54D04">
              <w:t>q</w:t>
            </w:r>
            <w:r w:rsidRPr="00A54D04">
              <w:t>uality adjusted hours worked basis</w:t>
            </w:r>
          </w:p>
        </w:tc>
        <w:tc>
          <w:tcPr>
            <w:tcW w:w="1519" w:type="dxa"/>
            <w:shd w:val="clear" w:color="auto" w:fill="E3E3E4"/>
          </w:tcPr>
          <w:p w14:paraId="6F3AC801" w14:textId="57D17B67" w:rsidR="00A85C4D" w:rsidRPr="00A54D04" w:rsidRDefault="00A85C4D" w:rsidP="00B10C27">
            <w:pPr>
              <w:pStyle w:val="TableBody"/>
              <w:keepNext/>
              <w:jc w:val="right"/>
            </w:pPr>
            <w:r w:rsidRPr="00A54D04">
              <w:t>0.2%</w:t>
            </w:r>
          </w:p>
        </w:tc>
        <w:tc>
          <w:tcPr>
            <w:tcW w:w="1519" w:type="dxa"/>
            <w:shd w:val="clear" w:color="auto" w:fill="E3E3E4"/>
          </w:tcPr>
          <w:p w14:paraId="3D17BFE1" w14:textId="23012C43" w:rsidR="00A85C4D" w:rsidRPr="00A54D04" w:rsidRDefault="00A85C4D" w:rsidP="00B10C27">
            <w:pPr>
              <w:pStyle w:val="TableBody"/>
              <w:keepNext/>
              <w:jc w:val="right"/>
            </w:pPr>
            <w:r w:rsidRPr="00A54D04">
              <w:t>-0.</w:t>
            </w:r>
            <w:r w:rsidR="00AD4AA9" w:rsidRPr="00A54D04">
              <w:t>5</w:t>
            </w:r>
            <w:r w:rsidRPr="00A54D04">
              <w:t>%</w:t>
            </w:r>
          </w:p>
        </w:tc>
        <w:tc>
          <w:tcPr>
            <w:tcW w:w="1519" w:type="dxa"/>
            <w:shd w:val="clear" w:color="auto" w:fill="E3E3E4"/>
          </w:tcPr>
          <w:p w14:paraId="5328FBC5" w14:textId="21C4EC9E" w:rsidR="00A85C4D" w:rsidRPr="00A54D04" w:rsidRDefault="00A85C4D" w:rsidP="00B10C27">
            <w:pPr>
              <w:pStyle w:val="TableBody"/>
              <w:keepNext/>
              <w:jc w:val="right"/>
            </w:pPr>
            <w:r w:rsidRPr="00A54D04">
              <w:t>-0.4%</w:t>
            </w:r>
          </w:p>
        </w:tc>
      </w:tr>
      <w:tr w:rsidR="00A85C4D" w:rsidRPr="00A54D04" w14:paraId="3A373987" w14:textId="77777777" w:rsidTr="000D09A2">
        <w:trPr>
          <w:cantSplit/>
        </w:trPr>
        <w:tc>
          <w:tcPr>
            <w:tcW w:w="4513" w:type="dxa"/>
            <w:shd w:val="clear" w:color="auto" w:fill="F2F2F2"/>
            <w:hideMark/>
          </w:tcPr>
          <w:p w14:paraId="16618E95" w14:textId="77777777" w:rsidR="00A85C4D" w:rsidRPr="00A54D04" w:rsidRDefault="00A85C4D" w:rsidP="00B10C27">
            <w:pPr>
              <w:pStyle w:val="TableBody"/>
              <w:keepNext/>
            </w:pPr>
            <w:r w:rsidRPr="00A54D04">
              <w:t>Gross value added based multifactor productivity – hours worked basis</w:t>
            </w:r>
          </w:p>
        </w:tc>
        <w:tc>
          <w:tcPr>
            <w:tcW w:w="1519" w:type="dxa"/>
            <w:shd w:val="clear" w:color="auto" w:fill="F2F2F2"/>
          </w:tcPr>
          <w:p w14:paraId="37A7B5F5" w14:textId="2D2938E0" w:rsidR="00A85C4D" w:rsidRPr="00A54D04" w:rsidRDefault="00A85C4D" w:rsidP="00B10C27">
            <w:pPr>
              <w:pStyle w:val="TableBody"/>
              <w:keepNext/>
              <w:jc w:val="right"/>
            </w:pPr>
            <w:r w:rsidRPr="00A54D04">
              <w:t>4.</w:t>
            </w:r>
            <w:r w:rsidR="00AD4AA9" w:rsidRPr="00A54D04">
              <w:t>5</w:t>
            </w:r>
            <w:r w:rsidRPr="00A54D04">
              <w:t>%</w:t>
            </w:r>
          </w:p>
        </w:tc>
        <w:tc>
          <w:tcPr>
            <w:tcW w:w="1519" w:type="dxa"/>
            <w:shd w:val="clear" w:color="auto" w:fill="F2F2F2"/>
          </w:tcPr>
          <w:p w14:paraId="37FC4AF3" w14:textId="1B2FA471" w:rsidR="00A85C4D" w:rsidRPr="00A54D04" w:rsidRDefault="00A85C4D" w:rsidP="00B10C27">
            <w:pPr>
              <w:pStyle w:val="TableBody"/>
              <w:keepNext/>
              <w:jc w:val="right"/>
            </w:pPr>
            <w:r w:rsidRPr="00A54D04">
              <w:t>0.</w:t>
            </w:r>
            <w:r w:rsidR="005C34C4" w:rsidRPr="00A54D04">
              <w:t>2</w:t>
            </w:r>
            <w:r w:rsidRPr="00A54D04">
              <w:t>%</w:t>
            </w:r>
          </w:p>
        </w:tc>
        <w:tc>
          <w:tcPr>
            <w:tcW w:w="1519" w:type="dxa"/>
            <w:shd w:val="clear" w:color="auto" w:fill="F2F2F2"/>
          </w:tcPr>
          <w:p w14:paraId="64D42909" w14:textId="21A9961B" w:rsidR="00A85C4D" w:rsidRPr="00A54D04" w:rsidRDefault="00A85C4D" w:rsidP="00B10C27">
            <w:pPr>
              <w:pStyle w:val="TableBody"/>
              <w:keepNext/>
              <w:jc w:val="right"/>
            </w:pPr>
            <w:r w:rsidRPr="00A54D04">
              <w:t>-0.</w:t>
            </w:r>
            <w:r w:rsidR="008A718C" w:rsidRPr="00A54D04">
              <w:t>1</w:t>
            </w:r>
            <w:r w:rsidRPr="00A54D04">
              <w:t>%</w:t>
            </w:r>
          </w:p>
        </w:tc>
      </w:tr>
      <w:tr w:rsidR="00A85C4D" w:rsidRPr="00A54D04" w14:paraId="4788D13D" w14:textId="77777777" w:rsidTr="000D09A2">
        <w:trPr>
          <w:cantSplit/>
        </w:trPr>
        <w:tc>
          <w:tcPr>
            <w:tcW w:w="4513" w:type="dxa"/>
            <w:shd w:val="clear" w:color="auto" w:fill="E3E3E4"/>
            <w:hideMark/>
          </w:tcPr>
          <w:p w14:paraId="73A6C229" w14:textId="1A6A7411" w:rsidR="00A85C4D" w:rsidRPr="00A54D04" w:rsidRDefault="00A85C4D" w:rsidP="00B10C27">
            <w:pPr>
              <w:pStyle w:val="TableBody"/>
              <w:keepNext/>
            </w:pPr>
            <w:r w:rsidRPr="00A54D04">
              <w:t xml:space="preserve">Gross output based multifactor productivity – </w:t>
            </w:r>
            <w:r w:rsidR="00BD7830" w:rsidRPr="00A54D04">
              <w:t>h</w:t>
            </w:r>
            <w:r w:rsidRPr="00A54D04">
              <w:t>ours worked basis</w:t>
            </w:r>
          </w:p>
        </w:tc>
        <w:tc>
          <w:tcPr>
            <w:tcW w:w="1519" w:type="dxa"/>
            <w:shd w:val="clear" w:color="auto" w:fill="E3E3E4"/>
          </w:tcPr>
          <w:p w14:paraId="5F73A218" w14:textId="34425150" w:rsidR="00A85C4D" w:rsidRPr="00A54D04" w:rsidRDefault="00A85C4D" w:rsidP="00B10C27">
            <w:pPr>
              <w:pStyle w:val="TableBody"/>
              <w:keepNext/>
              <w:jc w:val="right"/>
            </w:pPr>
            <w:r w:rsidRPr="00A54D04">
              <w:t>0.3%</w:t>
            </w:r>
          </w:p>
        </w:tc>
        <w:tc>
          <w:tcPr>
            <w:tcW w:w="1519" w:type="dxa"/>
            <w:shd w:val="clear" w:color="auto" w:fill="E3E3E4"/>
          </w:tcPr>
          <w:p w14:paraId="721E4EA7" w14:textId="4F8FAF58" w:rsidR="00A85C4D" w:rsidRPr="00A54D04" w:rsidRDefault="00A85C4D" w:rsidP="00B10C27">
            <w:pPr>
              <w:pStyle w:val="TableBody"/>
              <w:keepNext/>
              <w:jc w:val="right"/>
            </w:pPr>
            <w:r w:rsidRPr="00A54D04">
              <w:t>-0.</w:t>
            </w:r>
            <w:r w:rsidR="008A718C" w:rsidRPr="00A54D04">
              <w:t>4</w:t>
            </w:r>
            <w:r w:rsidRPr="00A54D04">
              <w:t>%</w:t>
            </w:r>
          </w:p>
        </w:tc>
        <w:tc>
          <w:tcPr>
            <w:tcW w:w="1519" w:type="dxa"/>
            <w:shd w:val="clear" w:color="auto" w:fill="E3E3E4"/>
          </w:tcPr>
          <w:p w14:paraId="0FBC5801" w14:textId="47BD1DFF" w:rsidR="00A85C4D" w:rsidRPr="00A54D04" w:rsidRDefault="00A85C4D" w:rsidP="00B10C27">
            <w:pPr>
              <w:pStyle w:val="TableBody"/>
              <w:keepNext/>
              <w:jc w:val="right"/>
            </w:pPr>
            <w:r w:rsidRPr="00A54D04">
              <w:t>-0.3%</w:t>
            </w:r>
          </w:p>
        </w:tc>
      </w:tr>
      <w:tr w:rsidR="00A85C4D" w:rsidRPr="00A54D04" w14:paraId="051005CD" w14:textId="77777777" w:rsidTr="000D09A2">
        <w:trPr>
          <w:cantSplit/>
        </w:trPr>
        <w:tc>
          <w:tcPr>
            <w:tcW w:w="4513" w:type="dxa"/>
            <w:shd w:val="clear" w:color="auto" w:fill="F2F2F2"/>
          </w:tcPr>
          <w:p w14:paraId="66CFF7CF" w14:textId="77777777" w:rsidR="00A85C4D" w:rsidRPr="00A54D04" w:rsidRDefault="00A85C4D" w:rsidP="00B10C27">
            <w:pPr>
              <w:pStyle w:val="TableBody"/>
              <w:keepNext/>
            </w:pPr>
            <w:r w:rsidRPr="00A54D04">
              <w:t>Labour productivity – quality adjusted hours worked basis</w:t>
            </w:r>
          </w:p>
        </w:tc>
        <w:tc>
          <w:tcPr>
            <w:tcW w:w="1519" w:type="dxa"/>
            <w:shd w:val="clear" w:color="auto" w:fill="F2F2F2"/>
          </w:tcPr>
          <w:p w14:paraId="5362BA8E" w14:textId="6962305B" w:rsidR="00A85C4D" w:rsidRPr="00A54D04" w:rsidRDefault="00A85C4D" w:rsidP="00B10C27">
            <w:pPr>
              <w:pStyle w:val="TableBody"/>
              <w:keepNext/>
              <w:jc w:val="right"/>
            </w:pPr>
            <w:r w:rsidRPr="00A54D04">
              <w:t>3.</w:t>
            </w:r>
            <w:r w:rsidR="00AD4AA9" w:rsidRPr="00A54D04">
              <w:t>8</w:t>
            </w:r>
            <w:r w:rsidRPr="00A54D04">
              <w:t>%</w:t>
            </w:r>
          </w:p>
        </w:tc>
        <w:tc>
          <w:tcPr>
            <w:tcW w:w="1519" w:type="dxa"/>
            <w:shd w:val="clear" w:color="auto" w:fill="F2F2F2"/>
          </w:tcPr>
          <w:p w14:paraId="0D9BCB2E" w14:textId="257CC1B4" w:rsidR="00A85C4D" w:rsidRPr="00A54D04" w:rsidRDefault="00A85C4D" w:rsidP="00B10C27">
            <w:pPr>
              <w:pStyle w:val="TableBody"/>
              <w:keepNext/>
              <w:jc w:val="right"/>
            </w:pPr>
            <w:r w:rsidRPr="00A54D04">
              <w:t>0.7%</w:t>
            </w:r>
          </w:p>
        </w:tc>
        <w:tc>
          <w:tcPr>
            <w:tcW w:w="1519" w:type="dxa"/>
            <w:shd w:val="clear" w:color="auto" w:fill="F2F2F2"/>
          </w:tcPr>
          <w:p w14:paraId="2CCE6546" w14:textId="3C38A411" w:rsidR="00A85C4D" w:rsidRPr="00A54D04" w:rsidRDefault="00A85C4D" w:rsidP="00B10C27">
            <w:pPr>
              <w:pStyle w:val="TableBody"/>
              <w:keepNext/>
              <w:jc w:val="right"/>
            </w:pPr>
            <w:r w:rsidRPr="00A54D04">
              <w:t>0.2%</w:t>
            </w:r>
          </w:p>
        </w:tc>
      </w:tr>
      <w:tr w:rsidR="00A85C4D" w:rsidRPr="00A54D04" w14:paraId="220088D8" w14:textId="77777777" w:rsidTr="000D09A2">
        <w:trPr>
          <w:cantSplit/>
        </w:trPr>
        <w:tc>
          <w:tcPr>
            <w:tcW w:w="4513" w:type="dxa"/>
            <w:shd w:val="clear" w:color="auto" w:fill="E3E3E4"/>
          </w:tcPr>
          <w:p w14:paraId="52BB3501" w14:textId="77777777" w:rsidR="00A85C4D" w:rsidRPr="00A54D04" w:rsidRDefault="00A85C4D" w:rsidP="00B10C27">
            <w:pPr>
              <w:pStyle w:val="TableBody"/>
              <w:keepNext/>
            </w:pPr>
            <w:r w:rsidRPr="00A54D04">
              <w:t>Labour productivity – hours worked basis</w:t>
            </w:r>
          </w:p>
        </w:tc>
        <w:tc>
          <w:tcPr>
            <w:tcW w:w="1519" w:type="dxa"/>
            <w:shd w:val="clear" w:color="auto" w:fill="E3E3E4"/>
          </w:tcPr>
          <w:p w14:paraId="72ED55A8" w14:textId="57C1B416" w:rsidR="00A85C4D" w:rsidRPr="00A54D04" w:rsidRDefault="00A85C4D" w:rsidP="00B10C27">
            <w:pPr>
              <w:pStyle w:val="TableBody"/>
              <w:keepNext/>
              <w:jc w:val="right"/>
            </w:pPr>
            <w:r w:rsidRPr="00A54D04">
              <w:t>4.1%</w:t>
            </w:r>
          </w:p>
        </w:tc>
        <w:tc>
          <w:tcPr>
            <w:tcW w:w="1519" w:type="dxa"/>
            <w:shd w:val="clear" w:color="auto" w:fill="E3E3E4"/>
          </w:tcPr>
          <w:p w14:paraId="15FBF642" w14:textId="1E7F6472" w:rsidR="00A85C4D" w:rsidRPr="00A54D04" w:rsidRDefault="00A85C4D" w:rsidP="00B10C27">
            <w:pPr>
              <w:pStyle w:val="TableBody"/>
              <w:keepNext/>
              <w:jc w:val="right"/>
            </w:pPr>
            <w:r w:rsidRPr="00A54D04">
              <w:t>1.</w:t>
            </w:r>
            <w:r w:rsidR="008A718C" w:rsidRPr="00A54D04">
              <w:t>1</w:t>
            </w:r>
            <w:r w:rsidRPr="00A54D04">
              <w:t>%</w:t>
            </w:r>
          </w:p>
        </w:tc>
        <w:tc>
          <w:tcPr>
            <w:tcW w:w="1519" w:type="dxa"/>
            <w:shd w:val="clear" w:color="auto" w:fill="E3E3E4"/>
          </w:tcPr>
          <w:p w14:paraId="7E230EED" w14:textId="35531EBD" w:rsidR="00A85C4D" w:rsidRPr="00A54D04" w:rsidRDefault="00A85C4D" w:rsidP="00B10C27">
            <w:pPr>
              <w:pStyle w:val="TableBody"/>
              <w:keepNext/>
              <w:jc w:val="right"/>
            </w:pPr>
            <w:r w:rsidRPr="00A54D04">
              <w:t>0.6%</w:t>
            </w:r>
          </w:p>
        </w:tc>
      </w:tr>
      <w:tr w:rsidR="00A85C4D" w:rsidRPr="00A54D04" w14:paraId="5EC023D3" w14:textId="77777777" w:rsidTr="000D09A2">
        <w:trPr>
          <w:cantSplit/>
        </w:trPr>
        <w:tc>
          <w:tcPr>
            <w:tcW w:w="4513" w:type="dxa"/>
            <w:shd w:val="clear" w:color="auto" w:fill="F2F2F2"/>
          </w:tcPr>
          <w:p w14:paraId="098E8BEE" w14:textId="77777777" w:rsidR="00A85C4D" w:rsidRPr="00A54D04" w:rsidRDefault="00A85C4D" w:rsidP="00B10C27">
            <w:pPr>
              <w:pStyle w:val="TableBody"/>
              <w:keepNext/>
            </w:pPr>
            <w:r w:rsidRPr="00A54D04">
              <w:t>Capital productivity</w:t>
            </w:r>
          </w:p>
        </w:tc>
        <w:tc>
          <w:tcPr>
            <w:tcW w:w="1519" w:type="dxa"/>
            <w:shd w:val="clear" w:color="auto" w:fill="F2F2F2"/>
          </w:tcPr>
          <w:p w14:paraId="3C9AEB8C" w14:textId="38CCE0A6" w:rsidR="00A85C4D" w:rsidRPr="00A54D04" w:rsidRDefault="00AD4AA9" w:rsidP="00B10C27">
            <w:pPr>
              <w:pStyle w:val="TableBody"/>
              <w:keepNext/>
              <w:jc w:val="right"/>
            </w:pPr>
            <w:r w:rsidRPr="00A54D04">
              <w:t>5.0</w:t>
            </w:r>
            <w:r w:rsidR="00A85C4D" w:rsidRPr="00A54D04">
              <w:t>%</w:t>
            </w:r>
          </w:p>
        </w:tc>
        <w:tc>
          <w:tcPr>
            <w:tcW w:w="1519" w:type="dxa"/>
            <w:shd w:val="clear" w:color="auto" w:fill="F2F2F2"/>
          </w:tcPr>
          <w:p w14:paraId="1E4B3BA5" w14:textId="125DC935" w:rsidR="00A85C4D" w:rsidRPr="00A54D04" w:rsidRDefault="00A85C4D" w:rsidP="00B10C27">
            <w:pPr>
              <w:pStyle w:val="TableBody"/>
              <w:keepNext/>
              <w:jc w:val="right"/>
            </w:pPr>
            <w:r w:rsidRPr="00A54D04">
              <w:t>-1.</w:t>
            </w:r>
            <w:r w:rsidR="008A718C" w:rsidRPr="00A54D04">
              <w:t>2</w:t>
            </w:r>
            <w:r w:rsidRPr="00A54D04">
              <w:t>%</w:t>
            </w:r>
          </w:p>
        </w:tc>
        <w:tc>
          <w:tcPr>
            <w:tcW w:w="1519" w:type="dxa"/>
            <w:shd w:val="clear" w:color="auto" w:fill="F2F2F2"/>
          </w:tcPr>
          <w:p w14:paraId="473BDDFE" w14:textId="7464B0BD" w:rsidR="00A85C4D" w:rsidRPr="00A54D04" w:rsidRDefault="00A85C4D" w:rsidP="00B10C27">
            <w:pPr>
              <w:pStyle w:val="TableBody"/>
              <w:keepNext/>
              <w:jc w:val="right"/>
            </w:pPr>
            <w:r w:rsidRPr="00A54D04">
              <w:t>-1.1%</w:t>
            </w:r>
          </w:p>
        </w:tc>
      </w:tr>
    </w:tbl>
    <w:p w14:paraId="4B669B9C" w14:textId="546EBF52" w:rsidR="00454BAC" w:rsidRPr="00A54D04" w:rsidRDefault="00454BAC" w:rsidP="0028131D">
      <w:pPr>
        <w:pStyle w:val="Caption"/>
        <w:spacing w:after="0"/>
        <w:rPr>
          <w:b/>
          <w:bCs/>
        </w:rPr>
      </w:pPr>
      <w:r w:rsidRPr="00A54D04">
        <w:rPr>
          <w:b/>
          <w:bCs/>
        </w:rPr>
        <w:t xml:space="preserve">Note: </w:t>
      </w:r>
      <w:r w:rsidRPr="00A54D04">
        <w:t>The productivity growth rates are based on a compound annual growth rate.</w:t>
      </w:r>
    </w:p>
    <w:p w14:paraId="311A4894" w14:textId="6381017A" w:rsidR="00AD14C1" w:rsidRPr="00A54D04" w:rsidRDefault="00AD14C1" w:rsidP="0028131D">
      <w:pPr>
        <w:pStyle w:val="Caption"/>
        <w:spacing w:before="0"/>
      </w:pPr>
      <w:r w:rsidRPr="00A54D04">
        <w:rPr>
          <w:b/>
          <w:bCs/>
        </w:rPr>
        <w:t>Source:</w:t>
      </w:r>
      <w:r w:rsidRPr="00A54D04">
        <w:t xml:space="preserve"> Australian Bureau of Statistics, Essential Services Commission calculations. </w:t>
      </w:r>
    </w:p>
    <w:p w14:paraId="7510E1F7" w14:textId="028EEFF3" w:rsidR="000C5F79" w:rsidRPr="00A54D04" w:rsidRDefault="00A95B2C" w:rsidP="00A95B2C">
      <w:r w:rsidRPr="00A54D04">
        <w:t xml:space="preserve">The multifactor productivity measures </w:t>
      </w:r>
      <w:r w:rsidR="00C34246" w:rsidRPr="00A54D04">
        <w:t>suggest that,</w:t>
      </w:r>
      <w:r w:rsidRPr="00A54D04">
        <w:t xml:space="preserve"> </w:t>
      </w:r>
      <w:r w:rsidR="00C34246" w:rsidRPr="00A54D04">
        <w:t>o</w:t>
      </w:r>
      <w:r w:rsidRPr="00A54D04">
        <w:t>ver a five-</w:t>
      </w:r>
      <w:r w:rsidR="00BE6D2A" w:rsidRPr="00A54D04">
        <w:t>year</w:t>
      </w:r>
      <w:r w:rsidRPr="00A54D04">
        <w:t xml:space="preserve"> and ten-year period, the range of </w:t>
      </w:r>
      <w:r w:rsidR="00DC58E7" w:rsidRPr="00A54D04">
        <w:t xml:space="preserve">productivity growth ranged </w:t>
      </w:r>
      <w:r w:rsidRPr="00A54D04">
        <w:t xml:space="preserve">from </w:t>
      </w:r>
      <w:r w:rsidR="00A24030">
        <w:t>-</w:t>
      </w:r>
      <w:r w:rsidR="00D04F59">
        <w:t>0</w:t>
      </w:r>
      <w:r w:rsidRPr="00A54D04">
        <w:t>.</w:t>
      </w:r>
      <w:r w:rsidR="00D04F59">
        <w:t>5</w:t>
      </w:r>
      <w:r w:rsidR="00D04F59" w:rsidRPr="00A54D04">
        <w:t xml:space="preserve"> </w:t>
      </w:r>
      <w:r w:rsidRPr="00A54D04">
        <w:t xml:space="preserve">per cent to </w:t>
      </w:r>
      <w:r w:rsidR="00D04F59">
        <w:t>0</w:t>
      </w:r>
      <w:r w:rsidRPr="00A54D04">
        <w:t>.</w:t>
      </w:r>
      <w:r w:rsidR="00D04F59">
        <w:t>2</w:t>
      </w:r>
      <w:r w:rsidR="00D04F59" w:rsidRPr="00A54D04">
        <w:t xml:space="preserve"> </w:t>
      </w:r>
      <w:r w:rsidRPr="00A54D04">
        <w:t>per cent. Over the short-term three-year period</w:t>
      </w:r>
      <w:r w:rsidR="000C5F79" w:rsidRPr="00A54D04">
        <w:t xml:space="preserve">, </w:t>
      </w:r>
      <w:r w:rsidR="00D04F59">
        <w:t xml:space="preserve">multifactor </w:t>
      </w:r>
      <w:r w:rsidR="000C5F79" w:rsidRPr="00A54D04">
        <w:t>productivity growth ranged from 0.</w:t>
      </w:r>
      <w:r w:rsidR="00D04F59">
        <w:t>2</w:t>
      </w:r>
      <w:r w:rsidR="00D04F59" w:rsidRPr="00A54D04">
        <w:t xml:space="preserve"> </w:t>
      </w:r>
      <w:r w:rsidR="000C5F79" w:rsidRPr="00A54D04">
        <w:t>per cent</w:t>
      </w:r>
      <w:r w:rsidR="003A7AD8" w:rsidRPr="00A54D04">
        <w:t xml:space="preserve"> to</w:t>
      </w:r>
      <w:r w:rsidR="000C5F79" w:rsidRPr="00A54D04">
        <w:t xml:space="preserve"> </w:t>
      </w:r>
      <w:r w:rsidR="00054D31" w:rsidRPr="00A54D04">
        <w:t>4.5</w:t>
      </w:r>
      <w:r w:rsidR="000C5F79" w:rsidRPr="00A54D04">
        <w:t xml:space="preserve"> per cent.</w:t>
      </w:r>
    </w:p>
    <w:p w14:paraId="5A73C617" w14:textId="1D7C619D" w:rsidR="00ED798F" w:rsidRPr="00A54D04" w:rsidRDefault="000C5F79" w:rsidP="00A95B2C">
      <w:r w:rsidRPr="00A54D04">
        <w:t xml:space="preserve">The partial productivity measures </w:t>
      </w:r>
      <w:r w:rsidR="00C34246" w:rsidRPr="00A54D04">
        <w:t>provide</w:t>
      </w:r>
      <w:r w:rsidRPr="00A54D04">
        <w:t xml:space="preserve"> an indication that capital inputs may be driving overall productivity growth. For all time periods, labour productivity growth range</w:t>
      </w:r>
      <w:r w:rsidR="00ED798F" w:rsidRPr="00A54D04">
        <w:t>d from 0.</w:t>
      </w:r>
      <w:r w:rsidR="001A1AC2" w:rsidRPr="00A54D04">
        <w:t>2</w:t>
      </w:r>
      <w:r w:rsidR="00ED798F" w:rsidRPr="00A54D04">
        <w:t xml:space="preserve"> per cent to </w:t>
      </w:r>
      <w:r w:rsidR="00E74C00" w:rsidRPr="00A54D04">
        <w:t>4.</w:t>
      </w:r>
      <w:r w:rsidR="00ED798F" w:rsidRPr="00A54D04">
        <w:t xml:space="preserve">1 per cent, and capital productivity growth ranged from </w:t>
      </w:r>
      <w:r w:rsidR="00A24030">
        <w:t>-</w:t>
      </w:r>
      <w:r w:rsidR="00ED798F" w:rsidRPr="00A54D04">
        <w:t xml:space="preserve">1.2 per cent to </w:t>
      </w:r>
      <w:r w:rsidR="008A60A4" w:rsidRPr="00A54D04">
        <w:t>5.0</w:t>
      </w:r>
      <w:r w:rsidR="00ED798F" w:rsidRPr="00A54D04">
        <w:t xml:space="preserve"> per cent. Partial productivity growth in the last three years ranged from </w:t>
      </w:r>
      <w:r w:rsidR="007D5803" w:rsidRPr="00A54D04">
        <w:t>3.8</w:t>
      </w:r>
      <w:r w:rsidR="00ED798F" w:rsidRPr="00A54D04">
        <w:t xml:space="preserve"> per cent to </w:t>
      </w:r>
      <w:r w:rsidR="00DA0A43" w:rsidRPr="00A54D04">
        <w:t>5.0</w:t>
      </w:r>
      <w:r w:rsidR="00ED798F" w:rsidRPr="00A54D04">
        <w:t xml:space="preserve"> per cent, reflecting the recovery since the coronavirus pandemic.</w:t>
      </w:r>
    </w:p>
    <w:p w14:paraId="147C8838" w14:textId="1DBF9F43" w:rsidR="00A95B2C" w:rsidRPr="00A54D04" w:rsidRDefault="00A95B2C" w:rsidP="00A95B2C">
      <w:r w:rsidRPr="00A54D04">
        <w:t>As the ABS data captures productivity growth in the transport, postal and warehousing sector Australia-wide, it may not reflect productivity growth in the accident towing industry in Melbourne.</w:t>
      </w:r>
    </w:p>
    <w:p w14:paraId="7A1216BC" w14:textId="1779B965" w:rsidR="00AD14C1" w:rsidRPr="00A54D04" w:rsidRDefault="00E631AB" w:rsidP="002076B6">
      <w:pPr>
        <w:pStyle w:val="Heading2"/>
      </w:pPr>
      <w:bookmarkStart w:id="380" w:name="_Toc195721945"/>
      <w:bookmarkStart w:id="381" w:name="_Toc197345302"/>
      <w:bookmarkStart w:id="382" w:name="_Toc197942471"/>
      <w:bookmarkStart w:id="383" w:name="_Toc197977744"/>
      <w:bookmarkStart w:id="384" w:name="_Toc198048733"/>
      <w:bookmarkStart w:id="385" w:name="_Toc199231606"/>
      <w:r w:rsidRPr="00A54D04">
        <w:t>I</w:t>
      </w:r>
      <w:r w:rsidR="006D7FB1" w:rsidRPr="00A54D04">
        <w:t>ndustry data s</w:t>
      </w:r>
      <w:r w:rsidRPr="00A54D04">
        <w:t>hows</w:t>
      </w:r>
      <w:r w:rsidR="006D7FB1" w:rsidRPr="00A54D04">
        <w:t xml:space="preserve"> mixed</w:t>
      </w:r>
      <w:r w:rsidR="00D77706" w:rsidRPr="00A54D04">
        <w:t xml:space="preserve"> productivity growth results</w:t>
      </w:r>
      <w:bookmarkEnd w:id="380"/>
      <w:bookmarkEnd w:id="381"/>
      <w:bookmarkEnd w:id="382"/>
      <w:bookmarkEnd w:id="383"/>
      <w:bookmarkEnd w:id="384"/>
      <w:bookmarkEnd w:id="385"/>
    </w:p>
    <w:p w14:paraId="32355509" w14:textId="1069D752" w:rsidR="00C37853" w:rsidRPr="00A54D04" w:rsidRDefault="00C37853" w:rsidP="00C37853">
      <w:r w:rsidRPr="00A54D04">
        <w:t xml:space="preserve">Given the limitations of the ABS data, we </w:t>
      </w:r>
      <w:r w:rsidR="001326DC" w:rsidRPr="00A54D04">
        <w:t xml:space="preserve">used Department of Transport and Planning </w:t>
      </w:r>
      <w:r w:rsidR="00BE6D2A" w:rsidRPr="00A54D04">
        <w:t xml:space="preserve">data </w:t>
      </w:r>
      <w:r w:rsidR="001326DC" w:rsidRPr="00A54D04">
        <w:t xml:space="preserve">to calculate </w:t>
      </w:r>
      <w:r w:rsidRPr="00A54D04">
        <w:t>three partial productivity measures specific to the accident towing industry in Melbourne</w:t>
      </w:r>
      <w:r w:rsidR="00887113" w:rsidRPr="00A54D04">
        <w:t>:</w:t>
      </w:r>
    </w:p>
    <w:p w14:paraId="2A7B13F7" w14:textId="77777777" w:rsidR="00887113" w:rsidRPr="00A54D04" w:rsidRDefault="00887113" w:rsidP="00887113">
      <w:pPr>
        <w:pStyle w:val="ListBullet"/>
      </w:pPr>
      <w:r w:rsidRPr="00A54D04">
        <w:t xml:space="preserve">the number of accident tows per licence </w:t>
      </w:r>
    </w:p>
    <w:p w14:paraId="4EB9AAF2" w14:textId="77777777" w:rsidR="00887113" w:rsidRPr="00A54D04" w:rsidRDefault="00887113" w:rsidP="00887113">
      <w:pPr>
        <w:pStyle w:val="ListBullet"/>
      </w:pPr>
      <w:r w:rsidRPr="00A54D04">
        <w:t>the number of accident tows per licensed truck</w:t>
      </w:r>
    </w:p>
    <w:p w14:paraId="43DFD2F1" w14:textId="77777777" w:rsidR="00887113" w:rsidRPr="00A54D04" w:rsidRDefault="00887113" w:rsidP="00887113">
      <w:pPr>
        <w:pStyle w:val="ListBullet"/>
      </w:pPr>
      <w:r w:rsidRPr="00A54D04">
        <w:t>the average time to complete an accident tow.</w:t>
      </w:r>
    </w:p>
    <w:p w14:paraId="7CAC36E5" w14:textId="77777777" w:rsidR="00887113" w:rsidRPr="00A54D04" w:rsidRDefault="00887113" w:rsidP="00887113">
      <w:r w:rsidRPr="00A54D04">
        <w:lastRenderedPageBreak/>
        <w:t>As these are partial measures of productivity, the results could be driven by other inputs. Further, the output does not include storage services or other business activities that might affect productivity (such as trade towing).</w:t>
      </w:r>
    </w:p>
    <w:p w14:paraId="703BE489" w14:textId="614767FB" w:rsidR="00887113" w:rsidRPr="00A54D04" w:rsidRDefault="002F2BFC" w:rsidP="00760360">
      <w:pPr>
        <w:pStyle w:val="Heading4"/>
      </w:pPr>
      <w:r w:rsidRPr="00A54D04">
        <w:t xml:space="preserve">Accident tows per licence and licensed truck </w:t>
      </w:r>
      <w:r w:rsidR="00CC4945" w:rsidRPr="00A54D04">
        <w:t>are higher</w:t>
      </w:r>
    </w:p>
    <w:p w14:paraId="1403446A" w14:textId="5427365E" w:rsidR="00312FD4" w:rsidRPr="00A54D04" w:rsidRDefault="00312FD4" w:rsidP="00740360">
      <w:r w:rsidRPr="00A54D04">
        <w:t>We used Department of Transport and Planning</w:t>
      </w:r>
      <w:r w:rsidR="00BE6D2A" w:rsidRPr="00A54D04">
        <w:t xml:space="preserve"> data</w:t>
      </w:r>
      <w:r w:rsidRPr="00A54D04">
        <w:t xml:space="preserve"> to calculate</w:t>
      </w:r>
      <w:r w:rsidR="002B6C18" w:rsidRPr="00A54D04">
        <w:t xml:space="preserve"> the number of accident tows per licence and the number of accident tows per licensed truck.</w:t>
      </w:r>
    </w:p>
    <w:p w14:paraId="11D434A5" w14:textId="023286F2" w:rsidR="004065F3" w:rsidRPr="00A54D04" w:rsidRDefault="004065F3" w:rsidP="00740360">
      <w:r w:rsidRPr="00A54D04">
        <w:t xml:space="preserve">We note that the Department of Transport and Planning was unable to provide data on the number of licensed trucks between 2018 and 2022. </w:t>
      </w:r>
      <w:r w:rsidR="008353E6" w:rsidRPr="00A54D04">
        <w:t xml:space="preserve">We kept the number of licensed tow trucks constant at 215 for these years (based on </w:t>
      </w:r>
      <w:r w:rsidR="00696EDB" w:rsidRPr="00A54D04">
        <w:t>2017</w:t>
      </w:r>
      <w:r w:rsidR="008353E6" w:rsidRPr="00A54D04">
        <w:t xml:space="preserve"> data). </w:t>
      </w:r>
      <w:r w:rsidR="00E66D08" w:rsidRPr="00A54D04">
        <w:t>Recent</w:t>
      </w:r>
      <w:r w:rsidR="008353E6" w:rsidRPr="00A54D04">
        <w:t xml:space="preserve"> data then </w:t>
      </w:r>
      <w:r w:rsidR="00E66D08" w:rsidRPr="00A54D04">
        <w:t>showed</w:t>
      </w:r>
      <w:r w:rsidR="008353E6" w:rsidRPr="00A54D04">
        <w:t xml:space="preserve"> the number of tow trucks was 216 in </w:t>
      </w:r>
      <w:r w:rsidR="00AE4DEE" w:rsidRPr="00A54D04">
        <w:t>2023 and</w:t>
      </w:r>
      <w:r w:rsidR="00BD1BCD" w:rsidRPr="00A54D04">
        <w:t xml:space="preserve"> </w:t>
      </w:r>
      <w:r w:rsidR="00555414" w:rsidRPr="00A54D04">
        <w:t>fell</w:t>
      </w:r>
      <w:r w:rsidR="00BD1BCD" w:rsidRPr="00A54D04">
        <w:t xml:space="preserve"> to 213 in 2024</w:t>
      </w:r>
      <w:r w:rsidR="00E70BBA">
        <w:t>.</w:t>
      </w:r>
    </w:p>
    <w:p w14:paraId="43DD13E1" w14:textId="108A8929" w:rsidR="00291CFC" w:rsidRPr="00A54D04" w:rsidRDefault="00793067" w:rsidP="00291CFC">
      <w:r w:rsidRPr="00A54D04">
        <w:t>T</w:t>
      </w:r>
      <w:r w:rsidR="003D7071" w:rsidRPr="00A54D04">
        <w:t>he number of tows per licence and the number of tows per licensed truck fell in 2020</w:t>
      </w:r>
      <w:r w:rsidR="0098067C" w:rsidRPr="00A54D04">
        <w:t xml:space="preserve"> (due to the coronavirus pandemic)</w:t>
      </w:r>
      <w:r w:rsidR="00997BEE" w:rsidRPr="00A54D04">
        <w:t xml:space="preserve"> but returned to pre-pandemic levels by 2022</w:t>
      </w:r>
      <w:r w:rsidR="001D1FA7" w:rsidRPr="00A54D04">
        <w:t xml:space="preserve"> and have continued to increase</w:t>
      </w:r>
      <w:r w:rsidR="004B5251" w:rsidRPr="00A54D04">
        <w:t xml:space="preserve"> since</w:t>
      </w:r>
      <w:r w:rsidR="001D1FA7" w:rsidRPr="00A54D04">
        <w:t>.</w:t>
      </w:r>
      <w:r w:rsidR="00326249" w:rsidRPr="00A54D04">
        <w:t xml:space="preserve"> </w:t>
      </w:r>
      <w:r w:rsidR="00760360" w:rsidRPr="00A54D04">
        <w:t>Despite similar movements, t</w:t>
      </w:r>
      <w:r w:rsidR="00326249" w:rsidRPr="00A54D04">
        <w:t>hese two measures are different as some tow trucks use multiple licences.</w:t>
      </w:r>
      <w:r w:rsidR="00326249" w:rsidRPr="00A54D04">
        <w:rPr>
          <w:rStyle w:val="FootnoteReference"/>
        </w:rPr>
        <w:footnoteReference w:id="78"/>
      </w:r>
    </w:p>
    <w:p w14:paraId="5B9BB7A4" w14:textId="4097E3B7" w:rsidR="004623B0" w:rsidRPr="00A54D04" w:rsidRDefault="001C7B88" w:rsidP="004623B0">
      <w:r w:rsidRPr="00A54D04">
        <w:t>We estimated productivity growth</w:t>
      </w:r>
      <w:r w:rsidR="00690633">
        <w:t xml:space="preserve"> for these two measures</w:t>
      </w:r>
      <w:r w:rsidRPr="00A54D04">
        <w:t xml:space="preserve"> for two-year, three-year and five-year time periods between 2019 and 2024. As shown in Table </w:t>
      </w:r>
      <w:r w:rsidR="008C3EBA" w:rsidRPr="00A54D04">
        <w:t>19</w:t>
      </w:r>
      <w:r w:rsidRPr="00A54D04">
        <w:t>, the growth rates for these measures ranged from 0.</w:t>
      </w:r>
      <w:r w:rsidR="00DF26A1" w:rsidRPr="00A54D04">
        <w:t>8</w:t>
      </w:r>
      <w:r w:rsidRPr="00A54D04">
        <w:t xml:space="preserve"> per cent to 8.3 per cent</w:t>
      </w:r>
      <w:r w:rsidR="00690633">
        <w:t>.</w:t>
      </w:r>
    </w:p>
    <w:p w14:paraId="0282D6E4" w14:textId="469D9240" w:rsidR="008166FA" w:rsidRPr="00A54D04" w:rsidRDefault="008166FA" w:rsidP="008166FA">
      <w:pPr>
        <w:pStyle w:val="Figure-Table-BoxHeading"/>
        <w:keepNext/>
        <w:numPr>
          <w:ilvl w:val="0"/>
          <w:numId w:val="0"/>
        </w:numPr>
        <w:spacing w:after="0"/>
      </w:pPr>
      <w:r w:rsidRPr="00A54D04">
        <w:t xml:space="preserve">Table </w:t>
      </w:r>
      <w:r w:rsidR="008C3EBA" w:rsidRPr="00A54D04">
        <w:t>19</w:t>
      </w:r>
      <w:r w:rsidRPr="00A54D04">
        <w:t>. Annual growth in accident tows per licence and licensed truck</w:t>
      </w:r>
    </w:p>
    <w:tbl>
      <w:tblPr>
        <w:tblW w:w="9639" w:type="dxa"/>
        <w:tblBorders>
          <w:insideH w:val="single" w:sz="8" w:space="0" w:color="FFFFFF"/>
        </w:tblBorders>
        <w:tblCellMar>
          <w:top w:w="85" w:type="dxa"/>
          <w:left w:w="85" w:type="dxa"/>
          <w:bottom w:w="85" w:type="dxa"/>
          <w:right w:w="57" w:type="dxa"/>
        </w:tblCellMar>
        <w:tblLook w:val="04A0" w:firstRow="1" w:lastRow="0" w:firstColumn="1" w:lastColumn="0" w:noHBand="0" w:noVBand="1"/>
      </w:tblPr>
      <w:tblGrid>
        <w:gridCol w:w="4395"/>
        <w:gridCol w:w="1748"/>
        <w:gridCol w:w="1748"/>
        <w:gridCol w:w="1748"/>
      </w:tblGrid>
      <w:tr w:rsidR="008166FA" w:rsidRPr="00A54D04" w14:paraId="6AD9662B" w14:textId="77777777">
        <w:trPr>
          <w:trHeight w:val="192"/>
        </w:trPr>
        <w:tc>
          <w:tcPr>
            <w:tcW w:w="4395" w:type="dxa"/>
            <w:shd w:val="clear" w:color="auto" w:fill="4986A0"/>
            <w:hideMark/>
          </w:tcPr>
          <w:p w14:paraId="707AA930" w14:textId="77777777" w:rsidR="008166FA" w:rsidRPr="00A54D04" w:rsidRDefault="008166FA">
            <w:pPr>
              <w:pStyle w:val="TableHeading"/>
              <w:keepNext/>
              <w:keepLines/>
              <w:rPr>
                <w:b/>
                <w:color w:val="000000"/>
              </w:rPr>
            </w:pPr>
            <w:r w:rsidRPr="00A54D04">
              <w:rPr>
                <w:b/>
              </w:rPr>
              <w:t>Partial productivity measure</w:t>
            </w:r>
          </w:p>
        </w:tc>
        <w:tc>
          <w:tcPr>
            <w:tcW w:w="1748" w:type="dxa"/>
            <w:shd w:val="clear" w:color="auto" w:fill="4986A0"/>
            <w:hideMark/>
          </w:tcPr>
          <w:p w14:paraId="2CB997C5" w14:textId="77777777" w:rsidR="008166FA" w:rsidRPr="00A54D04" w:rsidRDefault="008166FA">
            <w:pPr>
              <w:pStyle w:val="TableHeading"/>
              <w:keepNext/>
              <w:keepLines/>
              <w:jc w:val="right"/>
              <w:rPr>
                <w:b/>
                <w:color w:val="000000"/>
              </w:rPr>
            </w:pPr>
            <w:r w:rsidRPr="00A54D04">
              <w:rPr>
                <w:b/>
              </w:rPr>
              <w:t>2022 to 2024</w:t>
            </w:r>
          </w:p>
        </w:tc>
        <w:tc>
          <w:tcPr>
            <w:tcW w:w="1748" w:type="dxa"/>
            <w:shd w:val="clear" w:color="auto" w:fill="4986A0"/>
            <w:hideMark/>
          </w:tcPr>
          <w:p w14:paraId="67001863" w14:textId="77777777" w:rsidR="008166FA" w:rsidRPr="00A54D04" w:rsidRDefault="008166FA">
            <w:pPr>
              <w:pStyle w:val="TableHeading"/>
              <w:keepNext/>
              <w:keepLines/>
              <w:jc w:val="right"/>
              <w:rPr>
                <w:b/>
                <w:color w:val="000000"/>
              </w:rPr>
            </w:pPr>
            <w:r w:rsidRPr="00A54D04">
              <w:rPr>
                <w:b/>
              </w:rPr>
              <w:t>2021 to 2024</w:t>
            </w:r>
          </w:p>
        </w:tc>
        <w:tc>
          <w:tcPr>
            <w:tcW w:w="1748" w:type="dxa"/>
            <w:shd w:val="clear" w:color="auto" w:fill="4986A0"/>
          </w:tcPr>
          <w:p w14:paraId="09B4742C" w14:textId="77777777" w:rsidR="008166FA" w:rsidRPr="00A54D04" w:rsidRDefault="008166FA">
            <w:pPr>
              <w:pStyle w:val="TableHeading"/>
              <w:keepNext/>
              <w:keepLines/>
              <w:ind w:hanging="238"/>
              <w:jc w:val="right"/>
              <w:rPr>
                <w:b/>
              </w:rPr>
            </w:pPr>
            <w:r w:rsidRPr="00A54D04">
              <w:rPr>
                <w:b/>
              </w:rPr>
              <w:t>2019 to 2024</w:t>
            </w:r>
          </w:p>
        </w:tc>
      </w:tr>
      <w:tr w:rsidR="008166FA" w:rsidRPr="00A54D04" w14:paraId="23C70541" w14:textId="77777777">
        <w:trPr>
          <w:trHeight w:val="195"/>
        </w:trPr>
        <w:tc>
          <w:tcPr>
            <w:tcW w:w="4395" w:type="dxa"/>
            <w:shd w:val="clear" w:color="auto" w:fill="F2F2F2"/>
          </w:tcPr>
          <w:p w14:paraId="31316394" w14:textId="77777777" w:rsidR="008166FA" w:rsidRPr="00A54D04" w:rsidRDefault="008166FA">
            <w:pPr>
              <w:pStyle w:val="TableBody"/>
              <w:keepNext/>
              <w:keepLines/>
            </w:pPr>
            <w:r w:rsidRPr="00A54D04">
              <w:t>Change in accident tows per licence</w:t>
            </w:r>
          </w:p>
        </w:tc>
        <w:tc>
          <w:tcPr>
            <w:tcW w:w="1748" w:type="dxa"/>
            <w:shd w:val="clear" w:color="auto" w:fill="F2F2F2"/>
          </w:tcPr>
          <w:p w14:paraId="4EC5E43B" w14:textId="77777777" w:rsidR="008166FA" w:rsidRPr="00A54D04" w:rsidRDefault="008166FA">
            <w:pPr>
              <w:pStyle w:val="TableBody"/>
              <w:keepNext/>
              <w:keepLines/>
              <w:jc w:val="right"/>
            </w:pPr>
            <w:r w:rsidRPr="00A54D04">
              <w:t>1.9%</w:t>
            </w:r>
          </w:p>
        </w:tc>
        <w:tc>
          <w:tcPr>
            <w:tcW w:w="1748" w:type="dxa"/>
            <w:shd w:val="clear" w:color="auto" w:fill="F2F2F2"/>
          </w:tcPr>
          <w:p w14:paraId="18D17F81" w14:textId="22227E60" w:rsidR="008166FA" w:rsidRPr="00A54D04" w:rsidRDefault="008166FA">
            <w:pPr>
              <w:pStyle w:val="TableBody"/>
              <w:keepNext/>
              <w:keepLines/>
              <w:jc w:val="right"/>
            </w:pPr>
            <w:r w:rsidRPr="00A54D04">
              <w:t>7.9%</w:t>
            </w:r>
          </w:p>
        </w:tc>
        <w:tc>
          <w:tcPr>
            <w:tcW w:w="1748" w:type="dxa"/>
            <w:shd w:val="clear" w:color="auto" w:fill="F2F2F2"/>
          </w:tcPr>
          <w:p w14:paraId="38154A0F" w14:textId="596658C0" w:rsidR="008166FA" w:rsidRPr="00A54D04" w:rsidRDefault="008166FA">
            <w:pPr>
              <w:pStyle w:val="TableBody"/>
              <w:keepNext/>
              <w:keepLines/>
              <w:jc w:val="right"/>
            </w:pPr>
            <w:r w:rsidRPr="00A54D04">
              <w:t>0.</w:t>
            </w:r>
            <w:r w:rsidR="009C50D0" w:rsidRPr="00A54D04">
              <w:t>8</w:t>
            </w:r>
            <w:r w:rsidRPr="00A54D04">
              <w:t>%</w:t>
            </w:r>
          </w:p>
        </w:tc>
      </w:tr>
      <w:tr w:rsidR="008166FA" w:rsidRPr="00A54D04" w14:paraId="5089B312" w14:textId="77777777">
        <w:trPr>
          <w:trHeight w:val="195"/>
        </w:trPr>
        <w:tc>
          <w:tcPr>
            <w:tcW w:w="4395" w:type="dxa"/>
            <w:shd w:val="clear" w:color="auto" w:fill="F2F2F2"/>
            <w:hideMark/>
          </w:tcPr>
          <w:p w14:paraId="2521665B" w14:textId="77777777" w:rsidR="008166FA" w:rsidRPr="00A54D04" w:rsidRDefault="008166FA">
            <w:pPr>
              <w:pStyle w:val="TableBody"/>
              <w:keepNext/>
              <w:keepLines/>
            </w:pPr>
            <w:r w:rsidRPr="00A54D04">
              <w:t>Change in accident tows per licensed truck</w:t>
            </w:r>
          </w:p>
        </w:tc>
        <w:tc>
          <w:tcPr>
            <w:tcW w:w="1748" w:type="dxa"/>
            <w:shd w:val="clear" w:color="auto" w:fill="F2F2F2"/>
            <w:hideMark/>
          </w:tcPr>
          <w:p w14:paraId="0D607F70" w14:textId="2528D66C" w:rsidR="008166FA" w:rsidRPr="00A54D04" w:rsidRDefault="008166FA">
            <w:pPr>
              <w:pStyle w:val="TableBody"/>
              <w:keepNext/>
              <w:keepLines/>
              <w:jc w:val="right"/>
            </w:pPr>
            <w:r w:rsidRPr="00A54D04">
              <w:t>2.4%</w:t>
            </w:r>
          </w:p>
        </w:tc>
        <w:tc>
          <w:tcPr>
            <w:tcW w:w="1748" w:type="dxa"/>
            <w:shd w:val="clear" w:color="auto" w:fill="F2F2F2"/>
            <w:hideMark/>
          </w:tcPr>
          <w:p w14:paraId="4A059F03" w14:textId="32E85988" w:rsidR="008166FA" w:rsidRPr="00A54D04" w:rsidRDefault="008166FA">
            <w:pPr>
              <w:pStyle w:val="TableBody"/>
              <w:keepNext/>
              <w:keepLines/>
              <w:jc w:val="right"/>
            </w:pPr>
            <w:r w:rsidRPr="00A54D04">
              <w:t>8.3%</w:t>
            </w:r>
          </w:p>
        </w:tc>
        <w:tc>
          <w:tcPr>
            <w:tcW w:w="1748" w:type="dxa"/>
            <w:shd w:val="clear" w:color="auto" w:fill="F2F2F2"/>
          </w:tcPr>
          <w:p w14:paraId="54B22030" w14:textId="0068895C" w:rsidR="008166FA" w:rsidRPr="00A54D04" w:rsidRDefault="008166FA">
            <w:pPr>
              <w:pStyle w:val="TableBody"/>
              <w:keepNext/>
              <w:keepLines/>
              <w:jc w:val="right"/>
            </w:pPr>
            <w:r w:rsidRPr="00A54D04">
              <w:t>0.9%</w:t>
            </w:r>
          </w:p>
        </w:tc>
      </w:tr>
    </w:tbl>
    <w:p w14:paraId="2413CA4C" w14:textId="61A3DB17" w:rsidR="008166FA" w:rsidRPr="00A54D04" w:rsidRDefault="001C7B88" w:rsidP="00850E95">
      <w:pPr>
        <w:pStyle w:val="Source"/>
        <w:jc w:val="left"/>
      </w:pPr>
      <w:r w:rsidRPr="00A54D04">
        <w:rPr>
          <w:b/>
          <w:bCs/>
        </w:rPr>
        <w:t>Source:</w:t>
      </w:r>
      <w:r w:rsidRPr="00A54D04">
        <w:t xml:space="preserve"> Department of Transport and Planning</w:t>
      </w:r>
      <w:r w:rsidR="00630BC0" w:rsidRPr="00A54D04">
        <w:t>.</w:t>
      </w:r>
    </w:p>
    <w:p w14:paraId="3E1CBC8D" w14:textId="77777777" w:rsidR="00CB28D1" w:rsidRPr="00A54D04" w:rsidRDefault="00CB28D1" w:rsidP="00C37853">
      <w:pPr>
        <w:sectPr w:rsidR="00CB28D1" w:rsidRPr="00A54D04" w:rsidSect="00703C67">
          <w:footerReference w:type="default" r:id="rId84"/>
          <w:pgSz w:w="11906" w:h="16838" w:code="9"/>
          <w:pgMar w:top="1134" w:right="1134" w:bottom="1134" w:left="1134" w:header="709" w:footer="692" w:gutter="0"/>
          <w:cols w:space="708"/>
          <w:docGrid w:linePitch="360"/>
        </w:sectPr>
      </w:pPr>
    </w:p>
    <w:p w14:paraId="4D495C3F" w14:textId="4316B7DB" w:rsidR="00C613CD" w:rsidRPr="00A54D04" w:rsidRDefault="00C613CD" w:rsidP="00C613CD">
      <w:pPr>
        <w:pStyle w:val="Heading1"/>
      </w:pPr>
      <w:bookmarkStart w:id="386" w:name="_Toc199231607"/>
      <w:r w:rsidRPr="00A54D04">
        <w:lastRenderedPageBreak/>
        <w:t xml:space="preserve">Appendix </w:t>
      </w:r>
      <w:r w:rsidR="008E0CB3">
        <w:t>E</w:t>
      </w:r>
      <w:r w:rsidR="009E0143" w:rsidRPr="00A54D04">
        <w:t>:</w:t>
      </w:r>
      <w:r w:rsidRPr="00A54D04">
        <w:tab/>
      </w:r>
      <w:r w:rsidR="009E0143" w:rsidRPr="00A54D04">
        <w:t xml:space="preserve"> </w:t>
      </w:r>
      <w:r w:rsidR="00E459D4" w:rsidRPr="00A54D04">
        <w:t>Accident towing industry performance</w:t>
      </w:r>
      <w:bookmarkEnd w:id="386"/>
    </w:p>
    <w:p w14:paraId="5DD8C3EC" w14:textId="50894AD4" w:rsidR="006A6D8A" w:rsidRPr="00A54D04" w:rsidRDefault="001D2765" w:rsidP="006A6D8A">
      <w:r w:rsidRPr="00A54D04">
        <w:t>This appendix outlines</w:t>
      </w:r>
      <w:r w:rsidR="006A6D8A" w:rsidRPr="00A54D04">
        <w:t xml:space="preserve"> our analysis of Department of Transport and Planning</w:t>
      </w:r>
      <w:r w:rsidR="0029762B" w:rsidRPr="00A54D04">
        <w:t xml:space="preserve"> and </w:t>
      </w:r>
      <w:r w:rsidR="00C612EF" w:rsidRPr="00A54D04">
        <w:t>Australia Bureau of Statistics</w:t>
      </w:r>
      <w:r w:rsidRPr="00A54D04">
        <w:t xml:space="preserve"> data</w:t>
      </w:r>
      <w:r w:rsidR="00032E0F" w:rsidRPr="00A54D04">
        <w:t>. We</w:t>
      </w:r>
      <w:r w:rsidR="006A6D8A" w:rsidRPr="00A54D04">
        <w:t xml:space="preserve"> examine</w:t>
      </w:r>
      <w:r w:rsidR="00425EF9">
        <w:t>d</w:t>
      </w:r>
      <w:r w:rsidR="006A6D8A" w:rsidRPr="00A54D04">
        <w:t xml:space="preserve"> the performance of the accident towing</w:t>
      </w:r>
      <w:r w:rsidR="00032E0F" w:rsidRPr="00A54D04">
        <w:t xml:space="preserve"> industry</w:t>
      </w:r>
      <w:r w:rsidR="006A6D8A" w:rsidRPr="00A54D04">
        <w:t xml:space="preserve"> </w:t>
      </w:r>
      <w:r w:rsidR="00EE72BC" w:rsidRPr="00A54D04">
        <w:t xml:space="preserve">since </w:t>
      </w:r>
      <w:r w:rsidR="00443458" w:rsidRPr="00A54D04">
        <w:t>2018</w:t>
      </w:r>
      <w:r w:rsidR="006A6D8A" w:rsidRPr="00A54D04">
        <w:t>. This</w:t>
      </w:r>
      <w:r w:rsidR="00032E0F" w:rsidRPr="00A54D04">
        <w:t xml:space="preserve"> may, in part</w:t>
      </w:r>
      <w:r w:rsidR="002E3AED" w:rsidRPr="00A54D04">
        <w:t>,</w:t>
      </w:r>
      <w:r w:rsidR="006A6D8A" w:rsidRPr="00A54D04">
        <w:t xml:space="preserve"> indicate whether existing regulated fees are too low or too high.</w:t>
      </w:r>
    </w:p>
    <w:p w14:paraId="04F3EB96" w14:textId="04D56C45" w:rsidR="000A1212" w:rsidRPr="00A54D04" w:rsidRDefault="00A24DAB" w:rsidP="006A6D8A">
      <w:r w:rsidRPr="00A54D04">
        <w:t>Our analysis suggests that</w:t>
      </w:r>
      <w:r w:rsidR="00463634" w:rsidRPr="00A54D04">
        <w:t xml:space="preserve"> over the period from 2018 to </w:t>
      </w:r>
      <w:r w:rsidR="00246198" w:rsidRPr="00A54D04">
        <w:t>2023</w:t>
      </w:r>
      <w:r w:rsidRPr="00A54D04">
        <w:t>:</w:t>
      </w:r>
    </w:p>
    <w:p w14:paraId="47B0C084" w14:textId="05C4EBE7" w:rsidR="000A1212" w:rsidRPr="00A54D04" w:rsidRDefault="000A1212" w:rsidP="00B03EFF">
      <w:pPr>
        <w:pStyle w:val="ListBullet"/>
      </w:pPr>
      <w:r w:rsidRPr="00A54D04">
        <w:t>demand for</w:t>
      </w:r>
      <w:r w:rsidR="007868B0" w:rsidRPr="00A54D04">
        <w:t xml:space="preserve"> accident towing services</w:t>
      </w:r>
      <w:r w:rsidR="003A23C0" w:rsidRPr="00A54D04">
        <w:t xml:space="preserve"> increased, while supply remained </w:t>
      </w:r>
      <w:r w:rsidR="00946F89" w:rsidRPr="00A54D04">
        <w:t>stable</w:t>
      </w:r>
      <w:r w:rsidR="003A23C0" w:rsidRPr="00A54D04">
        <w:t xml:space="preserve"> </w:t>
      </w:r>
    </w:p>
    <w:p w14:paraId="13C927E5" w14:textId="0EDDEC4F" w:rsidR="00963C4F" w:rsidRPr="00A54D04" w:rsidRDefault="00963C4F" w:rsidP="00B03EFF">
      <w:pPr>
        <w:pStyle w:val="ListBullet"/>
      </w:pPr>
      <w:r w:rsidRPr="00A54D04">
        <w:t xml:space="preserve">revenue for accident towing </w:t>
      </w:r>
      <w:r w:rsidR="00A253E5" w:rsidRPr="00A54D04">
        <w:t>services</w:t>
      </w:r>
      <w:r w:rsidRPr="00A54D04">
        <w:t xml:space="preserve"> increased at a faster rate than costs</w:t>
      </w:r>
      <w:r w:rsidR="000E6940" w:rsidRPr="00A54D04">
        <w:t xml:space="preserve"> (as measured by </w:t>
      </w:r>
      <w:r w:rsidR="00374FB8" w:rsidRPr="00A54D04">
        <w:t xml:space="preserve">the </w:t>
      </w:r>
      <w:r w:rsidR="000E6940" w:rsidRPr="00A54D04">
        <w:t xml:space="preserve">Melbourne Transport </w:t>
      </w:r>
      <w:r w:rsidR="00F50F4B" w:rsidRPr="00A54D04">
        <w:t>consumer price index</w:t>
      </w:r>
      <w:r w:rsidR="000E6940" w:rsidRPr="00A54D04">
        <w:t>)</w:t>
      </w:r>
    </w:p>
    <w:p w14:paraId="5C0CD837" w14:textId="51C166D7" w:rsidR="00963C4F" w:rsidRPr="00A54D04" w:rsidRDefault="00963C4F" w:rsidP="00B03EFF">
      <w:pPr>
        <w:pStyle w:val="ListBullet"/>
      </w:pPr>
      <w:r w:rsidRPr="00A54D04">
        <w:t>service</w:t>
      </w:r>
      <w:r w:rsidR="00FE46E1" w:rsidRPr="00A54D04">
        <w:t xml:space="preserve"> quality</w:t>
      </w:r>
      <w:r w:rsidRPr="00A54D04">
        <w:t xml:space="preserve"> </w:t>
      </w:r>
      <w:r w:rsidR="00B966C0" w:rsidRPr="00A54D04">
        <w:t xml:space="preserve">may </w:t>
      </w:r>
      <w:r w:rsidRPr="00A54D04">
        <w:t>have declined.</w:t>
      </w:r>
    </w:p>
    <w:p w14:paraId="03D762ED" w14:textId="7F9F8C69" w:rsidR="006A6D8A" w:rsidRPr="00A54D04" w:rsidRDefault="006A6D8A" w:rsidP="006A6D8A">
      <w:pPr>
        <w:pStyle w:val="Heading2numbered"/>
        <w:numPr>
          <w:ilvl w:val="0"/>
          <w:numId w:val="0"/>
        </w:numPr>
        <w:ind w:left="851" w:hanging="851"/>
      </w:pPr>
      <w:bookmarkStart w:id="387" w:name="_Toc87891272"/>
      <w:bookmarkStart w:id="388" w:name="_Toc88486993"/>
      <w:bookmarkStart w:id="389" w:name="_Toc90279113"/>
      <w:bookmarkStart w:id="390" w:name="_Toc97931451"/>
      <w:bookmarkStart w:id="391" w:name="_Toc99634745"/>
      <w:bookmarkStart w:id="392" w:name="_Toc184041488"/>
      <w:bookmarkStart w:id="393" w:name="_Toc185321818"/>
      <w:bookmarkStart w:id="394" w:name="_Toc190265344"/>
      <w:bookmarkStart w:id="395" w:name="_Toc195721947"/>
      <w:bookmarkStart w:id="396" w:name="_Toc197345304"/>
      <w:bookmarkStart w:id="397" w:name="_Toc197942473"/>
      <w:bookmarkStart w:id="398" w:name="_Toc197977746"/>
      <w:bookmarkStart w:id="399" w:name="_Toc198048735"/>
      <w:bookmarkStart w:id="400" w:name="_Toc199231608"/>
      <w:r w:rsidRPr="00A54D04">
        <w:t xml:space="preserve">Demand </w:t>
      </w:r>
      <w:r w:rsidR="00C74E74" w:rsidRPr="00A54D04">
        <w:t xml:space="preserve">is up but </w:t>
      </w:r>
      <w:r w:rsidRPr="00A54D04">
        <w:t xml:space="preserve">supply </w:t>
      </w:r>
      <w:r w:rsidR="00C74E74" w:rsidRPr="00A54D04">
        <w:t>is</w:t>
      </w:r>
      <w:r w:rsidR="007012C7" w:rsidRPr="00A54D04">
        <w:t xml:space="preserve"> stable</w:t>
      </w:r>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p>
    <w:p w14:paraId="660A6226" w14:textId="5D409AF8" w:rsidR="00A775D4" w:rsidRPr="00A54D04" w:rsidRDefault="00A73C85" w:rsidP="00A73C85">
      <w:r w:rsidRPr="00A54D04">
        <w:t xml:space="preserve">The number of </w:t>
      </w:r>
      <w:r w:rsidR="00D40B89" w:rsidRPr="00A54D04">
        <w:t>accident allocations</w:t>
      </w:r>
      <w:r w:rsidR="00073E32" w:rsidRPr="00A54D04">
        <w:t xml:space="preserve"> has increased since 2018, while the supply of licences has remained unchanged. There has been some consolidation of operators over this period</w:t>
      </w:r>
      <w:r w:rsidR="00CA42BD" w:rsidRPr="00A54D04">
        <w:t>. As</w:t>
      </w:r>
      <w:r w:rsidR="005D2BE3" w:rsidRPr="00A54D04">
        <w:t xml:space="preserve"> a result</w:t>
      </w:r>
      <w:r w:rsidR="002560E9" w:rsidRPr="00A54D04">
        <w:t>,</w:t>
      </w:r>
      <w:r w:rsidR="00A775D4" w:rsidRPr="00A54D04">
        <w:t xml:space="preserve"> </w:t>
      </w:r>
      <w:r w:rsidR="00AC4E64" w:rsidRPr="00A54D04">
        <w:t xml:space="preserve">the </w:t>
      </w:r>
      <w:r w:rsidR="00C519DD" w:rsidRPr="00A54D04">
        <w:t>number of</w:t>
      </w:r>
      <w:r w:rsidR="00A775D4" w:rsidRPr="00A54D04">
        <w:t xml:space="preserve"> accident allocations </w:t>
      </w:r>
      <w:r w:rsidR="00C519DD" w:rsidRPr="00A54D04">
        <w:t xml:space="preserve">per operator is higher </w:t>
      </w:r>
      <w:r w:rsidR="00A775D4" w:rsidRPr="00A54D04">
        <w:t>than in 2018.</w:t>
      </w:r>
    </w:p>
    <w:p w14:paraId="78FACC2E" w14:textId="05C44771" w:rsidR="006A6D8A" w:rsidRPr="00A54D04" w:rsidRDefault="006A6D8A" w:rsidP="006A6D8A">
      <w:pPr>
        <w:pStyle w:val="Heading3"/>
      </w:pPr>
      <w:bookmarkStart w:id="401" w:name="_Toc195721948"/>
      <w:bookmarkStart w:id="402" w:name="_Toc197345305"/>
      <w:bookmarkStart w:id="403" w:name="_Toc197942474"/>
      <w:bookmarkStart w:id="404" w:name="_Toc197977747"/>
      <w:bookmarkStart w:id="405" w:name="_Toc198048736"/>
      <w:bookmarkStart w:id="406" w:name="_Toc199231609"/>
      <w:r w:rsidRPr="00A54D04">
        <w:t xml:space="preserve">Demand for accident towing </w:t>
      </w:r>
      <w:r w:rsidR="00EA5981" w:rsidRPr="00A54D04">
        <w:t>has returned to pre-pandemic levels</w:t>
      </w:r>
      <w:bookmarkEnd w:id="401"/>
      <w:bookmarkEnd w:id="402"/>
      <w:bookmarkEnd w:id="403"/>
      <w:bookmarkEnd w:id="404"/>
      <w:bookmarkEnd w:id="405"/>
      <w:bookmarkEnd w:id="406"/>
    </w:p>
    <w:p w14:paraId="1C7D6AA8" w14:textId="12A884D7" w:rsidR="005B144E" w:rsidRPr="00A54D04" w:rsidRDefault="005B144E" w:rsidP="006A6D8A">
      <w:r w:rsidRPr="00A54D04">
        <w:t xml:space="preserve">Between 2018 and </w:t>
      </w:r>
      <w:r w:rsidR="00246198" w:rsidRPr="00A54D04">
        <w:t>2023</w:t>
      </w:r>
      <w:r w:rsidRPr="00A54D04">
        <w:t>, the average annual increase in accident allocations was 0.</w:t>
      </w:r>
      <w:r w:rsidR="00246198" w:rsidRPr="00A54D04">
        <w:t xml:space="preserve">8 </w:t>
      </w:r>
      <w:r w:rsidRPr="00A54D04">
        <w:t>per cent.</w:t>
      </w:r>
      <w:r w:rsidR="00D37D03" w:rsidRPr="00A54D04">
        <w:t xml:space="preserve"> We note the number of accident allocations was lower in 2020 and 2021 due to the coronavirus pandemic but returned to pre-pandemic levels by 2022 (see Figure </w:t>
      </w:r>
      <w:r w:rsidR="003B39C0">
        <w:t>7</w:t>
      </w:r>
      <w:r w:rsidR="00D37D03" w:rsidRPr="00A54D04">
        <w:t>).</w:t>
      </w:r>
    </w:p>
    <w:p w14:paraId="2DAE18E9" w14:textId="65FCF7C8" w:rsidR="00180DBD" w:rsidRPr="00A54D04" w:rsidRDefault="006A6D8A" w:rsidP="002560E9">
      <w:pPr>
        <w:pStyle w:val="Figure-Table-BoxHeading"/>
        <w:keepNext/>
        <w:numPr>
          <w:ilvl w:val="0"/>
          <w:numId w:val="0"/>
        </w:numPr>
        <w:spacing w:after="0"/>
        <w:ind w:left="851" w:hanging="851"/>
      </w:pPr>
      <w:r w:rsidRPr="00A54D04">
        <w:t xml:space="preserve">Figure </w:t>
      </w:r>
      <w:r w:rsidR="003B39C0">
        <w:t>7</w:t>
      </w:r>
      <w:r w:rsidR="002611E9" w:rsidRPr="00A54D04">
        <w:t xml:space="preserve">. </w:t>
      </w:r>
      <w:r w:rsidRPr="00A54D04">
        <w:t>Accident allocations in the Melbourne controlled area</w:t>
      </w:r>
    </w:p>
    <w:p w14:paraId="6A0D58E8" w14:textId="540B96CC" w:rsidR="00FA4DAE" w:rsidRPr="00A54D04" w:rsidRDefault="00246198" w:rsidP="006A6D8A">
      <w:r w:rsidRPr="00A54D04">
        <w:rPr>
          <w:noProof/>
        </w:rPr>
        <w:drawing>
          <wp:inline distT="0" distB="0" distL="0" distR="0" wp14:anchorId="4855DE9A" wp14:editId="1D9918C4">
            <wp:extent cx="6120130" cy="2341880"/>
            <wp:effectExtent l="0" t="0" r="13970" b="1270"/>
            <wp:docPr id="2066752662" name="Chart 1">
              <a:extLst xmlns:a="http://schemas.openxmlformats.org/drawingml/2006/main">
                <a:ext uri="{FF2B5EF4-FFF2-40B4-BE49-F238E27FC236}">
                  <a16:creationId xmlns:a16="http://schemas.microsoft.com/office/drawing/2014/main" id="{B5B16171-CE13-4694-BE8F-D998C56D17F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5"/>
              </a:graphicData>
            </a:graphic>
          </wp:inline>
        </w:drawing>
      </w:r>
    </w:p>
    <w:p w14:paraId="1F15A08D" w14:textId="77777777" w:rsidR="006A6D8A" w:rsidRPr="00A54D04" w:rsidRDefault="006A6D8A" w:rsidP="006A6D8A">
      <w:pPr>
        <w:pStyle w:val="Caption"/>
      </w:pPr>
      <w:r w:rsidRPr="00A54D04">
        <w:rPr>
          <w:b/>
          <w:bCs/>
        </w:rPr>
        <w:t>Source:</w:t>
      </w:r>
      <w:r w:rsidRPr="00A54D04">
        <w:t xml:space="preserve"> Department of Transport and Planning.</w:t>
      </w:r>
    </w:p>
    <w:p w14:paraId="1BBCFA52" w14:textId="00B261AF" w:rsidR="006A6D8A" w:rsidRPr="00A54D04" w:rsidRDefault="006A6D8A" w:rsidP="006A6D8A">
      <w:pPr>
        <w:pStyle w:val="Heading3"/>
      </w:pPr>
      <w:bookmarkStart w:id="407" w:name="_Toc87891274"/>
      <w:bookmarkStart w:id="408" w:name="_Toc88486995"/>
      <w:bookmarkStart w:id="409" w:name="_Toc90279115"/>
      <w:bookmarkStart w:id="410" w:name="_Toc97931453"/>
      <w:bookmarkStart w:id="411" w:name="_Toc99634747"/>
      <w:bookmarkStart w:id="412" w:name="_Toc184041490"/>
      <w:bookmarkStart w:id="413" w:name="_Toc185321820"/>
      <w:bookmarkStart w:id="414" w:name="_Toc190265346"/>
      <w:bookmarkStart w:id="415" w:name="_Toc195721949"/>
      <w:bookmarkStart w:id="416" w:name="_Toc197345306"/>
      <w:bookmarkStart w:id="417" w:name="_Toc197942475"/>
      <w:bookmarkStart w:id="418" w:name="_Toc197977748"/>
      <w:bookmarkStart w:id="419" w:name="_Toc198048737"/>
      <w:bookmarkStart w:id="420" w:name="_Toc199231610"/>
      <w:r w:rsidRPr="00A54D04">
        <w:lastRenderedPageBreak/>
        <w:t xml:space="preserve">Supply of licences did not change, but </w:t>
      </w:r>
      <w:r w:rsidR="000E00D3" w:rsidRPr="00A54D04">
        <w:t xml:space="preserve">the number of </w:t>
      </w:r>
      <w:r w:rsidRPr="00A54D04">
        <w:t>operator</w:t>
      </w:r>
      <w:r w:rsidR="000E00D3" w:rsidRPr="00A54D04">
        <w:t>s</w:t>
      </w:r>
      <w:r w:rsidRPr="00A54D04">
        <w:t xml:space="preserve"> declined</w:t>
      </w:r>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p>
    <w:p w14:paraId="366A7B64" w14:textId="26008E7F" w:rsidR="009832D2" w:rsidRPr="00A54D04" w:rsidRDefault="004546DE" w:rsidP="00B04671">
      <w:r w:rsidRPr="00A54D04">
        <w:t>While t</w:t>
      </w:r>
      <w:r w:rsidR="00B6377D" w:rsidRPr="00A54D04">
        <w:t xml:space="preserve">he number of accident allocations increased between 2018 and </w:t>
      </w:r>
      <w:r w:rsidR="00246198" w:rsidRPr="00A54D04">
        <w:t>2023</w:t>
      </w:r>
      <w:r w:rsidR="00B6377D" w:rsidRPr="00A54D04">
        <w:t>, the number of licences in operation remained constant</w:t>
      </w:r>
      <w:r w:rsidR="00C74E74" w:rsidRPr="00A54D04">
        <w:t>,</w:t>
      </w:r>
      <w:r w:rsidR="00B6377D" w:rsidRPr="00A54D04">
        <w:t xml:space="preserve"> at 421</w:t>
      </w:r>
      <w:r w:rsidR="00A5054B" w:rsidRPr="00A54D04">
        <w:t xml:space="preserve">. </w:t>
      </w:r>
      <w:r w:rsidR="00715FDB" w:rsidRPr="00A54D04">
        <w:t>As such, t</w:t>
      </w:r>
      <w:r w:rsidR="00B6377D" w:rsidRPr="00A54D04">
        <w:t>he number of</w:t>
      </w:r>
      <w:r w:rsidR="00F63CFA" w:rsidRPr="00A54D04">
        <w:t xml:space="preserve"> accident allocations per licence increased</w:t>
      </w:r>
      <w:r w:rsidR="00B81CB1" w:rsidRPr="00A54D04">
        <w:t xml:space="preserve"> </w:t>
      </w:r>
      <w:r w:rsidR="00B52D0E" w:rsidRPr="00A54D04">
        <w:t>each</w:t>
      </w:r>
      <w:r w:rsidR="00B81CB1" w:rsidRPr="00A54D04">
        <w:t xml:space="preserve"> year</w:t>
      </w:r>
      <w:r w:rsidR="00BA4C54" w:rsidRPr="00A54D04">
        <w:t xml:space="preserve"> </w:t>
      </w:r>
      <w:r w:rsidR="009144DD" w:rsidRPr="00A54D04">
        <w:t>over this period</w:t>
      </w:r>
      <w:r w:rsidR="00C74E74" w:rsidRPr="00A54D04">
        <w:t>,</w:t>
      </w:r>
      <w:r w:rsidR="001D2765" w:rsidRPr="00A54D04">
        <w:t xml:space="preserve"> except</w:t>
      </w:r>
      <w:r w:rsidR="00B52D0E" w:rsidRPr="00A54D04">
        <w:t xml:space="preserve"> </w:t>
      </w:r>
      <w:r w:rsidR="00BA4C54" w:rsidRPr="00A54D04">
        <w:t xml:space="preserve">in </w:t>
      </w:r>
      <w:r w:rsidR="00B52D0E" w:rsidRPr="00A54D04">
        <w:t>2020</w:t>
      </w:r>
      <w:r w:rsidR="00A5054B" w:rsidRPr="00A54D04">
        <w:t xml:space="preserve"> (see Table 2</w:t>
      </w:r>
      <w:r w:rsidR="008C3EBA" w:rsidRPr="00A54D04">
        <w:t>0</w:t>
      </w:r>
      <w:r w:rsidR="00A5054B" w:rsidRPr="00A54D04">
        <w:t>)</w:t>
      </w:r>
      <w:r w:rsidR="00B52D0E" w:rsidRPr="00A54D04">
        <w:t>.</w:t>
      </w:r>
      <w:r w:rsidR="00F63CFA" w:rsidRPr="00A54D04">
        <w:t xml:space="preserve"> </w:t>
      </w:r>
      <w:r w:rsidR="004626FA" w:rsidRPr="00A54D04">
        <w:t xml:space="preserve"> </w:t>
      </w:r>
    </w:p>
    <w:p w14:paraId="325D27E7" w14:textId="529C6257" w:rsidR="0047503E" w:rsidRPr="00A54D04" w:rsidRDefault="00B93ACB" w:rsidP="006A6D8A">
      <w:r w:rsidRPr="00A54D04">
        <w:t xml:space="preserve">There has been </w:t>
      </w:r>
      <w:r w:rsidR="005B2F6B" w:rsidRPr="00A54D04">
        <w:t>some</w:t>
      </w:r>
      <w:r w:rsidRPr="00A54D04">
        <w:t xml:space="preserve"> consolidation of operators, decreasing from 97 in 2018 to 80 in 2023.</w:t>
      </w:r>
      <w:r w:rsidR="005F6ED2" w:rsidRPr="00A54D04">
        <w:t xml:space="preserve"> </w:t>
      </w:r>
      <w:r w:rsidR="001C7453" w:rsidRPr="00A54D04">
        <w:t>Over this period</w:t>
      </w:r>
      <w:r w:rsidR="0047503E" w:rsidRPr="00A54D04">
        <w:t>, the</w:t>
      </w:r>
      <w:r w:rsidR="005C5FE7" w:rsidRPr="00A54D04">
        <w:t xml:space="preserve"> average annual increase in the number of accident allocations per operator was </w:t>
      </w:r>
      <w:r w:rsidR="00E93007" w:rsidRPr="00A54D04">
        <w:t>4</w:t>
      </w:r>
      <w:r w:rsidR="005C5FE7" w:rsidRPr="00A54D04">
        <w:t>.</w:t>
      </w:r>
      <w:r w:rsidR="00E93007" w:rsidRPr="00A54D04">
        <w:t>7</w:t>
      </w:r>
      <w:r w:rsidR="009D6BA0" w:rsidRPr="00A54D04">
        <w:t> </w:t>
      </w:r>
      <w:r w:rsidR="005C5FE7" w:rsidRPr="00A54D04">
        <w:t>per cent.</w:t>
      </w:r>
    </w:p>
    <w:p w14:paraId="7D06DA37" w14:textId="7E677187" w:rsidR="006A6D8A" w:rsidRPr="00A54D04" w:rsidRDefault="006A6D8A" w:rsidP="001A2D18">
      <w:pPr>
        <w:pStyle w:val="Figure-Table-BoxHeading"/>
        <w:numPr>
          <w:ilvl w:val="0"/>
          <w:numId w:val="0"/>
        </w:numPr>
        <w:spacing w:after="0" w:line="360" w:lineRule="auto"/>
        <w:ind w:left="1440" w:hanging="1440"/>
      </w:pPr>
      <w:r w:rsidRPr="00A54D04">
        <w:t>Table 2</w:t>
      </w:r>
      <w:r w:rsidR="008C3EBA" w:rsidRPr="00A54D04">
        <w:t>0</w:t>
      </w:r>
      <w:bookmarkStart w:id="421" w:name="OLE_LINK1"/>
      <w:r w:rsidR="00AA3E81" w:rsidRPr="00A54D04">
        <w:t xml:space="preserve">. </w:t>
      </w:r>
      <w:r w:rsidRPr="00A54D04">
        <w:t xml:space="preserve">Number of accident allocations per operator and licence </w:t>
      </w:r>
      <w:bookmarkEnd w:id="421"/>
    </w:p>
    <w:tbl>
      <w:tblPr>
        <w:tblStyle w:val="TableGrid"/>
        <w:tblW w:w="5000" w:type="pct"/>
        <w:tblLayout w:type="fixed"/>
        <w:tblLook w:val="04A0" w:firstRow="1" w:lastRow="0" w:firstColumn="1" w:lastColumn="0" w:noHBand="0" w:noVBand="1"/>
      </w:tblPr>
      <w:tblGrid>
        <w:gridCol w:w="2977"/>
        <w:gridCol w:w="1111"/>
        <w:gridCol w:w="1110"/>
        <w:gridCol w:w="1110"/>
        <w:gridCol w:w="1110"/>
        <w:gridCol w:w="1110"/>
        <w:gridCol w:w="1110"/>
      </w:tblGrid>
      <w:tr w:rsidR="007E615C" w:rsidRPr="00A54D04" w14:paraId="5D15F37A" w14:textId="58CC9613" w:rsidTr="00B068B7">
        <w:trPr>
          <w:cnfStyle w:val="100000000000" w:firstRow="1" w:lastRow="0" w:firstColumn="0" w:lastColumn="0" w:oddVBand="0" w:evenVBand="0" w:oddHBand="0" w:evenHBand="0" w:firstRowFirstColumn="0" w:firstRowLastColumn="0" w:lastRowFirstColumn="0" w:lastRowLastColumn="0"/>
          <w:trHeight w:val="315"/>
        </w:trPr>
        <w:tc>
          <w:tcPr>
            <w:tcW w:w="1544" w:type="pct"/>
            <w:noWrap/>
            <w:hideMark/>
          </w:tcPr>
          <w:p w14:paraId="0AEE5A4F" w14:textId="77777777" w:rsidR="007E615C" w:rsidRPr="00A54D04" w:rsidRDefault="007E615C">
            <w:pPr>
              <w:pStyle w:val="TableBold"/>
              <w:rPr>
                <w:b/>
                <w:lang w:eastAsia="en-AU"/>
              </w:rPr>
            </w:pPr>
            <w:r w:rsidRPr="00A54D04">
              <w:rPr>
                <w:lang w:eastAsia="en-AU"/>
              </w:rPr>
              <w:t> </w:t>
            </w:r>
          </w:p>
        </w:tc>
        <w:tc>
          <w:tcPr>
            <w:tcW w:w="576" w:type="pct"/>
            <w:noWrap/>
            <w:hideMark/>
          </w:tcPr>
          <w:p w14:paraId="750B3295" w14:textId="77777777" w:rsidR="007E615C" w:rsidRPr="00A54D04" w:rsidRDefault="007E615C">
            <w:pPr>
              <w:pStyle w:val="TableBold"/>
              <w:jc w:val="right"/>
              <w:rPr>
                <w:b/>
                <w:bCs/>
                <w:lang w:eastAsia="en-AU"/>
              </w:rPr>
            </w:pPr>
            <w:r w:rsidRPr="00A54D04">
              <w:rPr>
                <w:b/>
                <w:bCs/>
              </w:rPr>
              <w:t>2018</w:t>
            </w:r>
          </w:p>
        </w:tc>
        <w:tc>
          <w:tcPr>
            <w:tcW w:w="576" w:type="pct"/>
            <w:noWrap/>
            <w:hideMark/>
          </w:tcPr>
          <w:p w14:paraId="49A06C93" w14:textId="77777777" w:rsidR="007E615C" w:rsidRPr="00A54D04" w:rsidRDefault="007E615C">
            <w:pPr>
              <w:pStyle w:val="TableBold"/>
              <w:jc w:val="right"/>
              <w:rPr>
                <w:b/>
                <w:bCs/>
                <w:lang w:eastAsia="en-AU"/>
              </w:rPr>
            </w:pPr>
            <w:r w:rsidRPr="00A54D04">
              <w:rPr>
                <w:b/>
                <w:bCs/>
              </w:rPr>
              <w:t>2019</w:t>
            </w:r>
          </w:p>
        </w:tc>
        <w:tc>
          <w:tcPr>
            <w:tcW w:w="576" w:type="pct"/>
            <w:noWrap/>
            <w:hideMark/>
          </w:tcPr>
          <w:p w14:paraId="2A72135A" w14:textId="77777777" w:rsidR="007E615C" w:rsidRPr="00A54D04" w:rsidRDefault="007E615C">
            <w:pPr>
              <w:pStyle w:val="TableBold"/>
              <w:jc w:val="right"/>
              <w:rPr>
                <w:b/>
                <w:bCs/>
                <w:lang w:eastAsia="en-AU"/>
              </w:rPr>
            </w:pPr>
            <w:r w:rsidRPr="00A54D04">
              <w:rPr>
                <w:b/>
                <w:bCs/>
              </w:rPr>
              <w:t>2020</w:t>
            </w:r>
          </w:p>
        </w:tc>
        <w:tc>
          <w:tcPr>
            <w:tcW w:w="576" w:type="pct"/>
            <w:noWrap/>
            <w:hideMark/>
          </w:tcPr>
          <w:p w14:paraId="755D3643" w14:textId="77777777" w:rsidR="007E615C" w:rsidRPr="00A54D04" w:rsidRDefault="007E615C">
            <w:pPr>
              <w:pStyle w:val="TableBold"/>
              <w:jc w:val="right"/>
              <w:rPr>
                <w:b/>
                <w:bCs/>
                <w:lang w:eastAsia="en-AU"/>
              </w:rPr>
            </w:pPr>
            <w:r w:rsidRPr="00A54D04">
              <w:rPr>
                <w:b/>
                <w:bCs/>
              </w:rPr>
              <w:t>2021</w:t>
            </w:r>
          </w:p>
        </w:tc>
        <w:tc>
          <w:tcPr>
            <w:tcW w:w="576" w:type="pct"/>
            <w:noWrap/>
            <w:hideMark/>
          </w:tcPr>
          <w:p w14:paraId="13F7AEFD" w14:textId="77777777" w:rsidR="007E615C" w:rsidRPr="00A54D04" w:rsidRDefault="007E615C">
            <w:pPr>
              <w:pStyle w:val="TableBold"/>
              <w:jc w:val="right"/>
              <w:rPr>
                <w:b/>
                <w:bCs/>
                <w:lang w:eastAsia="en-AU"/>
              </w:rPr>
            </w:pPr>
            <w:r w:rsidRPr="00A54D04">
              <w:rPr>
                <w:b/>
                <w:bCs/>
              </w:rPr>
              <w:t>2022</w:t>
            </w:r>
          </w:p>
        </w:tc>
        <w:tc>
          <w:tcPr>
            <w:tcW w:w="576" w:type="pct"/>
            <w:noWrap/>
            <w:hideMark/>
          </w:tcPr>
          <w:p w14:paraId="2000E320" w14:textId="77777777" w:rsidR="007E615C" w:rsidRPr="00A54D04" w:rsidRDefault="007E615C">
            <w:pPr>
              <w:pStyle w:val="TableBold"/>
              <w:jc w:val="right"/>
              <w:rPr>
                <w:b/>
                <w:lang w:eastAsia="en-AU"/>
              </w:rPr>
            </w:pPr>
            <w:r w:rsidRPr="00A54D04">
              <w:rPr>
                <w:b/>
                <w:bCs/>
              </w:rPr>
              <w:t>2023</w:t>
            </w:r>
          </w:p>
        </w:tc>
      </w:tr>
      <w:tr w:rsidR="007E615C" w:rsidRPr="00A54D04" w14:paraId="60D70FDA" w14:textId="421B3479" w:rsidTr="00B068B7">
        <w:trPr>
          <w:cnfStyle w:val="000000100000" w:firstRow="0" w:lastRow="0" w:firstColumn="0" w:lastColumn="0" w:oddVBand="0" w:evenVBand="0" w:oddHBand="1" w:evenHBand="0" w:firstRowFirstColumn="0" w:firstRowLastColumn="0" w:lastRowFirstColumn="0" w:lastRowLastColumn="0"/>
          <w:trHeight w:val="300"/>
        </w:trPr>
        <w:tc>
          <w:tcPr>
            <w:tcW w:w="1544" w:type="pct"/>
            <w:noWrap/>
            <w:hideMark/>
          </w:tcPr>
          <w:p w14:paraId="2E2A79A5" w14:textId="77777777" w:rsidR="007E615C" w:rsidRPr="00A54D04" w:rsidRDefault="007E615C">
            <w:pPr>
              <w:pStyle w:val="TableBody"/>
              <w:rPr>
                <w:lang w:eastAsia="en-AU"/>
              </w:rPr>
            </w:pPr>
            <w:r w:rsidRPr="00A54D04">
              <w:rPr>
                <w:lang w:eastAsia="en-AU"/>
              </w:rPr>
              <w:t>Number of operators</w:t>
            </w:r>
          </w:p>
        </w:tc>
        <w:tc>
          <w:tcPr>
            <w:tcW w:w="576" w:type="pct"/>
            <w:noWrap/>
            <w:hideMark/>
          </w:tcPr>
          <w:p w14:paraId="2E897F1E" w14:textId="77777777" w:rsidR="007E615C" w:rsidRPr="00A54D04" w:rsidRDefault="007E615C">
            <w:pPr>
              <w:pStyle w:val="TableBody"/>
              <w:jc w:val="right"/>
              <w:rPr>
                <w:lang w:eastAsia="en-AU"/>
              </w:rPr>
            </w:pPr>
            <w:r w:rsidRPr="00A54D04">
              <w:t xml:space="preserve"> 97 </w:t>
            </w:r>
          </w:p>
        </w:tc>
        <w:tc>
          <w:tcPr>
            <w:tcW w:w="576" w:type="pct"/>
            <w:noWrap/>
            <w:hideMark/>
          </w:tcPr>
          <w:p w14:paraId="6BDE6302" w14:textId="77777777" w:rsidR="007E615C" w:rsidRPr="00A54D04" w:rsidRDefault="007E615C">
            <w:pPr>
              <w:pStyle w:val="TableBody"/>
              <w:jc w:val="right"/>
              <w:rPr>
                <w:lang w:eastAsia="en-AU"/>
              </w:rPr>
            </w:pPr>
            <w:r w:rsidRPr="00A54D04">
              <w:t xml:space="preserve"> 94 </w:t>
            </w:r>
          </w:p>
        </w:tc>
        <w:tc>
          <w:tcPr>
            <w:tcW w:w="576" w:type="pct"/>
            <w:noWrap/>
            <w:hideMark/>
          </w:tcPr>
          <w:p w14:paraId="4D893E02" w14:textId="77777777" w:rsidR="007E615C" w:rsidRPr="00A54D04" w:rsidRDefault="007E615C">
            <w:pPr>
              <w:pStyle w:val="TableBody"/>
              <w:jc w:val="right"/>
              <w:rPr>
                <w:lang w:eastAsia="en-AU"/>
              </w:rPr>
            </w:pPr>
            <w:r w:rsidRPr="00A54D04">
              <w:t xml:space="preserve"> 91 </w:t>
            </w:r>
          </w:p>
        </w:tc>
        <w:tc>
          <w:tcPr>
            <w:tcW w:w="576" w:type="pct"/>
            <w:noWrap/>
            <w:hideMark/>
          </w:tcPr>
          <w:p w14:paraId="251CBD5A" w14:textId="77777777" w:rsidR="007E615C" w:rsidRPr="00A54D04" w:rsidRDefault="007E615C">
            <w:pPr>
              <w:pStyle w:val="TableBody"/>
              <w:jc w:val="right"/>
              <w:rPr>
                <w:lang w:eastAsia="en-AU"/>
              </w:rPr>
            </w:pPr>
            <w:r w:rsidRPr="00A54D04">
              <w:t xml:space="preserve"> 80 </w:t>
            </w:r>
          </w:p>
        </w:tc>
        <w:tc>
          <w:tcPr>
            <w:tcW w:w="576" w:type="pct"/>
            <w:noWrap/>
            <w:hideMark/>
          </w:tcPr>
          <w:p w14:paraId="5A98EB61" w14:textId="77777777" w:rsidR="007E615C" w:rsidRPr="00A54D04" w:rsidRDefault="007E615C">
            <w:pPr>
              <w:pStyle w:val="TableBody"/>
              <w:jc w:val="right"/>
              <w:rPr>
                <w:lang w:eastAsia="en-AU"/>
              </w:rPr>
            </w:pPr>
            <w:r w:rsidRPr="00A54D04">
              <w:t xml:space="preserve"> 78 </w:t>
            </w:r>
          </w:p>
        </w:tc>
        <w:tc>
          <w:tcPr>
            <w:tcW w:w="576" w:type="pct"/>
            <w:noWrap/>
            <w:hideMark/>
          </w:tcPr>
          <w:p w14:paraId="378ABF3B" w14:textId="77777777" w:rsidR="007E615C" w:rsidRPr="00A54D04" w:rsidRDefault="007E615C">
            <w:pPr>
              <w:pStyle w:val="TableBody"/>
              <w:jc w:val="right"/>
              <w:rPr>
                <w:lang w:eastAsia="en-AU"/>
              </w:rPr>
            </w:pPr>
            <w:r w:rsidRPr="00A54D04">
              <w:t xml:space="preserve"> 80 </w:t>
            </w:r>
          </w:p>
        </w:tc>
      </w:tr>
      <w:tr w:rsidR="007E615C" w:rsidRPr="00A54D04" w14:paraId="259D0845" w14:textId="599BE65D" w:rsidTr="00B068B7">
        <w:trPr>
          <w:cnfStyle w:val="000000010000" w:firstRow="0" w:lastRow="0" w:firstColumn="0" w:lastColumn="0" w:oddVBand="0" w:evenVBand="0" w:oddHBand="0" w:evenHBand="1" w:firstRowFirstColumn="0" w:firstRowLastColumn="0" w:lastRowFirstColumn="0" w:lastRowLastColumn="0"/>
          <w:trHeight w:val="300"/>
        </w:trPr>
        <w:tc>
          <w:tcPr>
            <w:tcW w:w="1544" w:type="pct"/>
            <w:noWrap/>
            <w:hideMark/>
          </w:tcPr>
          <w:p w14:paraId="3587FABC" w14:textId="77777777" w:rsidR="007E615C" w:rsidRPr="00A54D04" w:rsidRDefault="007E615C">
            <w:pPr>
              <w:pStyle w:val="TableBody"/>
              <w:rPr>
                <w:lang w:eastAsia="en-AU"/>
              </w:rPr>
            </w:pPr>
            <w:r w:rsidRPr="00A54D04">
              <w:rPr>
                <w:lang w:eastAsia="en-AU"/>
              </w:rPr>
              <w:t>Number of licences</w:t>
            </w:r>
          </w:p>
        </w:tc>
        <w:tc>
          <w:tcPr>
            <w:tcW w:w="576" w:type="pct"/>
            <w:noWrap/>
            <w:hideMark/>
          </w:tcPr>
          <w:p w14:paraId="3CAABE49" w14:textId="77777777" w:rsidR="007E615C" w:rsidRPr="00A54D04" w:rsidRDefault="007E615C">
            <w:pPr>
              <w:pStyle w:val="TableBody"/>
              <w:jc w:val="right"/>
              <w:rPr>
                <w:lang w:eastAsia="en-AU"/>
              </w:rPr>
            </w:pPr>
            <w:r w:rsidRPr="00A54D04">
              <w:t>421</w:t>
            </w:r>
          </w:p>
        </w:tc>
        <w:tc>
          <w:tcPr>
            <w:tcW w:w="576" w:type="pct"/>
            <w:noWrap/>
            <w:hideMark/>
          </w:tcPr>
          <w:p w14:paraId="7D52D500" w14:textId="77777777" w:rsidR="007E615C" w:rsidRPr="00A54D04" w:rsidRDefault="007E615C">
            <w:pPr>
              <w:pStyle w:val="TableBody"/>
              <w:jc w:val="right"/>
              <w:rPr>
                <w:lang w:eastAsia="en-AU"/>
              </w:rPr>
            </w:pPr>
            <w:r w:rsidRPr="00A54D04">
              <w:t>421</w:t>
            </w:r>
          </w:p>
        </w:tc>
        <w:tc>
          <w:tcPr>
            <w:tcW w:w="576" w:type="pct"/>
            <w:noWrap/>
            <w:hideMark/>
          </w:tcPr>
          <w:p w14:paraId="6DC26313" w14:textId="77777777" w:rsidR="007E615C" w:rsidRPr="00A54D04" w:rsidRDefault="007E615C">
            <w:pPr>
              <w:pStyle w:val="TableBody"/>
              <w:jc w:val="right"/>
              <w:rPr>
                <w:lang w:eastAsia="en-AU"/>
              </w:rPr>
            </w:pPr>
            <w:r w:rsidRPr="00A54D04">
              <w:t>421</w:t>
            </w:r>
          </w:p>
        </w:tc>
        <w:tc>
          <w:tcPr>
            <w:tcW w:w="576" w:type="pct"/>
            <w:noWrap/>
            <w:hideMark/>
          </w:tcPr>
          <w:p w14:paraId="555FB654" w14:textId="77777777" w:rsidR="007E615C" w:rsidRPr="00A54D04" w:rsidRDefault="007E615C">
            <w:pPr>
              <w:pStyle w:val="TableBody"/>
              <w:jc w:val="right"/>
              <w:rPr>
                <w:lang w:eastAsia="en-AU"/>
              </w:rPr>
            </w:pPr>
            <w:r w:rsidRPr="00A54D04">
              <w:t>421</w:t>
            </w:r>
          </w:p>
        </w:tc>
        <w:tc>
          <w:tcPr>
            <w:tcW w:w="576" w:type="pct"/>
            <w:noWrap/>
            <w:hideMark/>
          </w:tcPr>
          <w:p w14:paraId="53E29A0B" w14:textId="77777777" w:rsidR="007E615C" w:rsidRPr="00A54D04" w:rsidRDefault="007E615C">
            <w:pPr>
              <w:pStyle w:val="TableBody"/>
              <w:jc w:val="right"/>
              <w:rPr>
                <w:lang w:eastAsia="en-AU"/>
              </w:rPr>
            </w:pPr>
            <w:r w:rsidRPr="00A54D04">
              <w:t>421</w:t>
            </w:r>
          </w:p>
        </w:tc>
        <w:tc>
          <w:tcPr>
            <w:tcW w:w="576" w:type="pct"/>
            <w:noWrap/>
            <w:hideMark/>
          </w:tcPr>
          <w:p w14:paraId="373C768E" w14:textId="77777777" w:rsidR="007E615C" w:rsidRPr="00A54D04" w:rsidRDefault="007E615C">
            <w:pPr>
              <w:pStyle w:val="TableBody"/>
              <w:jc w:val="right"/>
              <w:rPr>
                <w:lang w:eastAsia="en-AU"/>
              </w:rPr>
            </w:pPr>
            <w:r w:rsidRPr="00A54D04">
              <w:t>421</w:t>
            </w:r>
          </w:p>
        </w:tc>
      </w:tr>
      <w:tr w:rsidR="007E615C" w:rsidRPr="00A54D04" w14:paraId="48024C1E" w14:textId="7B8E07C0" w:rsidTr="00B068B7">
        <w:trPr>
          <w:cnfStyle w:val="000000100000" w:firstRow="0" w:lastRow="0" w:firstColumn="0" w:lastColumn="0" w:oddVBand="0" w:evenVBand="0" w:oddHBand="1" w:evenHBand="0" w:firstRowFirstColumn="0" w:firstRowLastColumn="0" w:lastRowFirstColumn="0" w:lastRowLastColumn="0"/>
          <w:trHeight w:val="300"/>
        </w:trPr>
        <w:tc>
          <w:tcPr>
            <w:tcW w:w="1544" w:type="pct"/>
            <w:noWrap/>
            <w:hideMark/>
          </w:tcPr>
          <w:p w14:paraId="1452FB03" w14:textId="77777777" w:rsidR="007E615C" w:rsidRPr="00A54D04" w:rsidRDefault="007E615C">
            <w:pPr>
              <w:pStyle w:val="TableBody"/>
              <w:rPr>
                <w:lang w:eastAsia="en-AU"/>
              </w:rPr>
            </w:pPr>
            <w:r w:rsidRPr="00A54D04">
              <w:rPr>
                <w:lang w:eastAsia="en-AU"/>
              </w:rPr>
              <w:t>Number of tows per operator</w:t>
            </w:r>
          </w:p>
        </w:tc>
        <w:tc>
          <w:tcPr>
            <w:tcW w:w="576" w:type="pct"/>
            <w:noWrap/>
            <w:hideMark/>
          </w:tcPr>
          <w:p w14:paraId="4E74618E" w14:textId="77777777" w:rsidR="007E615C" w:rsidRPr="00A54D04" w:rsidRDefault="007E615C">
            <w:pPr>
              <w:pStyle w:val="TableBody"/>
              <w:jc w:val="right"/>
              <w:rPr>
                <w:lang w:eastAsia="en-AU"/>
              </w:rPr>
            </w:pPr>
            <w:r w:rsidRPr="00A54D04">
              <w:t xml:space="preserve"> 576 </w:t>
            </w:r>
          </w:p>
        </w:tc>
        <w:tc>
          <w:tcPr>
            <w:tcW w:w="576" w:type="pct"/>
            <w:noWrap/>
            <w:hideMark/>
          </w:tcPr>
          <w:p w14:paraId="61CF58A7" w14:textId="77777777" w:rsidR="007E615C" w:rsidRPr="00A54D04" w:rsidRDefault="007E615C">
            <w:pPr>
              <w:pStyle w:val="TableBody"/>
              <w:jc w:val="right"/>
              <w:rPr>
                <w:lang w:eastAsia="en-AU"/>
              </w:rPr>
            </w:pPr>
            <w:r w:rsidRPr="00A54D04">
              <w:t xml:space="preserve"> 596 </w:t>
            </w:r>
          </w:p>
        </w:tc>
        <w:tc>
          <w:tcPr>
            <w:tcW w:w="576" w:type="pct"/>
            <w:noWrap/>
            <w:hideMark/>
          </w:tcPr>
          <w:p w14:paraId="6A88F73A" w14:textId="77777777" w:rsidR="007E615C" w:rsidRPr="00A54D04" w:rsidRDefault="007E615C">
            <w:pPr>
              <w:pStyle w:val="TableBody"/>
              <w:jc w:val="right"/>
              <w:rPr>
                <w:lang w:eastAsia="en-AU"/>
              </w:rPr>
            </w:pPr>
            <w:r w:rsidRPr="00A54D04">
              <w:t xml:space="preserve"> 420 </w:t>
            </w:r>
          </w:p>
        </w:tc>
        <w:tc>
          <w:tcPr>
            <w:tcW w:w="576" w:type="pct"/>
            <w:noWrap/>
            <w:hideMark/>
          </w:tcPr>
          <w:p w14:paraId="23814FE0" w14:textId="77777777" w:rsidR="007E615C" w:rsidRPr="00A54D04" w:rsidRDefault="007E615C">
            <w:pPr>
              <w:pStyle w:val="TableBody"/>
              <w:jc w:val="right"/>
              <w:rPr>
                <w:lang w:eastAsia="en-AU"/>
              </w:rPr>
            </w:pPr>
            <w:r w:rsidRPr="00A54D04">
              <w:t xml:space="preserve"> 578 </w:t>
            </w:r>
          </w:p>
        </w:tc>
        <w:tc>
          <w:tcPr>
            <w:tcW w:w="576" w:type="pct"/>
            <w:noWrap/>
            <w:hideMark/>
          </w:tcPr>
          <w:p w14:paraId="32E21C1E" w14:textId="77777777" w:rsidR="007E615C" w:rsidRPr="00A54D04" w:rsidRDefault="007E615C">
            <w:pPr>
              <w:pStyle w:val="TableBody"/>
              <w:jc w:val="right"/>
              <w:rPr>
                <w:lang w:eastAsia="en-AU"/>
              </w:rPr>
            </w:pPr>
            <w:r w:rsidRPr="00A54D04">
              <w:t xml:space="preserve"> 719 </w:t>
            </w:r>
          </w:p>
        </w:tc>
        <w:tc>
          <w:tcPr>
            <w:tcW w:w="576" w:type="pct"/>
            <w:noWrap/>
            <w:hideMark/>
          </w:tcPr>
          <w:p w14:paraId="275D7946" w14:textId="77777777" w:rsidR="007E615C" w:rsidRPr="00A54D04" w:rsidRDefault="007E615C">
            <w:pPr>
              <w:pStyle w:val="TableBody"/>
              <w:jc w:val="right"/>
              <w:rPr>
                <w:lang w:eastAsia="en-AU"/>
              </w:rPr>
            </w:pPr>
            <w:r w:rsidRPr="00A54D04">
              <w:t xml:space="preserve"> 725 </w:t>
            </w:r>
          </w:p>
        </w:tc>
      </w:tr>
      <w:tr w:rsidR="007E615C" w:rsidRPr="00A54D04" w14:paraId="3FE8C1BF" w14:textId="0D0BD6D3" w:rsidTr="00B068B7">
        <w:trPr>
          <w:cnfStyle w:val="000000010000" w:firstRow="0" w:lastRow="0" w:firstColumn="0" w:lastColumn="0" w:oddVBand="0" w:evenVBand="0" w:oddHBand="0" w:evenHBand="1" w:firstRowFirstColumn="0" w:firstRowLastColumn="0" w:lastRowFirstColumn="0" w:lastRowLastColumn="0"/>
          <w:trHeight w:val="300"/>
        </w:trPr>
        <w:tc>
          <w:tcPr>
            <w:tcW w:w="1544" w:type="pct"/>
            <w:noWrap/>
            <w:hideMark/>
          </w:tcPr>
          <w:p w14:paraId="1B2F0500" w14:textId="77777777" w:rsidR="007E615C" w:rsidRPr="00A54D04" w:rsidRDefault="007E615C">
            <w:pPr>
              <w:pStyle w:val="TableBody"/>
              <w:rPr>
                <w:lang w:eastAsia="en-AU"/>
              </w:rPr>
            </w:pPr>
            <w:r w:rsidRPr="00A54D04">
              <w:rPr>
                <w:lang w:eastAsia="en-AU"/>
              </w:rPr>
              <w:t>Number of tows per licence</w:t>
            </w:r>
          </w:p>
        </w:tc>
        <w:tc>
          <w:tcPr>
            <w:tcW w:w="576" w:type="pct"/>
            <w:noWrap/>
            <w:hideMark/>
          </w:tcPr>
          <w:p w14:paraId="75DF8C44" w14:textId="77777777" w:rsidR="007E615C" w:rsidRPr="00A54D04" w:rsidRDefault="007E615C">
            <w:pPr>
              <w:pStyle w:val="TableBody"/>
              <w:jc w:val="right"/>
              <w:rPr>
                <w:lang w:eastAsia="en-AU"/>
              </w:rPr>
            </w:pPr>
            <w:r w:rsidRPr="00A54D04">
              <w:t xml:space="preserve"> 133 </w:t>
            </w:r>
          </w:p>
        </w:tc>
        <w:tc>
          <w:tcPr>
            <w:tcW w:w="576" w:type="pct"/>
            <w:noWrap/>
            <w:hideMark/>
          </w:tcPr>
          <w:p w14:paraId="1C15008B" w14:textId="77777777" w:rsidR="007E615C" w:rsidRPr="00A54D04" w:rsidRDefault="007E615C">
            <w:pPr>
              <w:pStyle w:val="TableBody"/>
              <w:jc w:val="right"/>
              <w:rPr>
                <w:lang w:eastAsia="en-AU"/>
              </w:rPr>
            </w:pPr>
            <w:r w:rsidRPr="00A54D04">
              <w:t xml:space="preserve"> 133 </w:t>
            </w:r>
          </w:p>
        </w:tc>
        <w:tc>
          <w:tcPr>
            <w:tcW w:w="576" w:type="pct"/>
            <w:noWrap/>
            <w:hideMark/>
          </w:tcPr>
          <w:p w14:paraId="6CC2A770" w14:textId="77777777" w:rsidR="007E615C" w:rsidRPr="00A54D04" w:rsidRDefault="007E615C">
            <w:pPr>
              <w:pStyle w:val="TableBody"/>
              <w:jc w:val="right"/>
              <w:rPr>
                <w:lang w:eastAsia="en-AU"/>
              </w:rPr>
            </w:pPr>
            <w:r w:rsidRPr="00A54D04">
              <w:t xml:space="preserve"> 91 </w:t>
            </w:r>
          </w:p>
        </w:tc>
        <w:tc>
          <w:tcPr>
            <w:tcW w:w="576" w:type="pct"/>
            <w:noWrap/>
            <w:hideMark/>
          </w:tcPr>
          <w:p w14:paraId="029E76D1" w14:textId="77777777" w:rsidR="007E615C" w:rsidRPr="00A54D04" w:rsidRDefault="007E615C">
            <w:pPr>
              <w:pStyle w:val="TableBody"/>
              <w:jc w:val="right"/>
              <w:rPr>
                <w:lang w:eastAsia="en-AU"/>
              </w:rPr>
            </w:pPr>
            <w:r w:rsidRPr="00A54D04">
              <w:t xml:space="preserve"> 110 </w:t>
            </w:r>
          </w:p>
        </w:tc>
        <w:tc>
          <w:tcPr>
            <w:tcW w:w="576" w:type="pct"/>
            <w:noWrap/>
            <w:hideMark/>
          </w:tcPr>
          <w:p w14:paraId="1440DE9C" w14:textId="77777777" w:rsidR="007E615C" w:rsidRPr="00A54D04" w:rsidRDefault="007E615C">
            <w:pPr>
              <w:pStyle w:val="TableBody"/>
              <w:jc w:val="right"/>
              <w:rPr>
                <w:lang w:eastAsia="en-AU"/>
              </w:rPr>
            </w:pPr>
            <w:r w:rsidRPr="00A54D04">
              <w:t xml:space="preserve"> 133 </w:t>
            </w:r>
          </w:p>
        </w:tc>
        <w:tc>
          <w:tcPr>
            <w:tcW w:w="576" w:type="pct"/>
            <w:noWrap/>
            <w:hideMark/>
          </w:tcPr>
          <w:p w14:paraId="17A8C05F" w14:textId="77777777" w:rsidR="007E615C" w:rsidRPr="00A54D04" w:rsidRDefault="007E615C">
            <w:pPr>
              <w:pStyle w:val="TableBody"/>
              <w:jc w:val="right"/>
              <w:rPr>
                <w:lang w:eastAsia="en-AU"/>
              </w:rPr>
            </w:pPr>
            <w:r w:rsidRPr="00A54D04">
              <w:t xml:space="preserve"> 138 </w:t>
            </w:r>
          </w:p>
        </w:tc>
      </w:tr>
    </w:tbl>
    <w:p w14:paraId="5F5D8FEE" w14:textId="77777777" w:rsidR="006A6D8A" w:rsidRPr="00A54D04" w:rsidRDefault="006A6D8A" w:rsidP="006A6D8A">
      <w:pPr>
        <w:pStyle w:val="Caption"/>
      </w:pPr>
      <w:r w:rsidRPr="00A54D04">
        <w:rPr>
          <w:b/>
          <w:bCs/>
        </w:rPr>
        <w:t xml:space="preserve">Source: </w:t>
      </w:r>
      <w:r w:rsidRPr="00A54D04">
        <w:t>Department of Transport and Planning.</w:t>
      </w:r>
    </w:p>
    <w:p w14:paraId="66E813F2" w14:textId="1CAAA99E" w:rsidR="006259D7" w:rsidRPr="00A54D04" w:rsidRDefault="006259D7" w:rsidP="006A6D8A">
      <w:r w:rsidRPr="00A54D04">
        <w:t xml:space="preserve">The number of licences </w:t>
      </w:r>
      <w:r w:rsidR="000B7F01" w:rsidRPr="00A54D04">
        <w:t>held by each depot has remained relatively stable since 2018</w:t>
      </w:r>
      <w:r w:rsidR="00525C0E" w:rsidRPr="00A54D04">
        <w:t xml:space="preserve"> </w:t>
      </w:r>
      <w:r w:rsidR="009532AD" w:rsidRPr="00A54D04">
        <w:t>(see Table 2</w:t>
      </w:r>
      <w:r w:rsidR="008C3EBA" w:rsidRPr="00A54D04">
        <w:t>1</w:t>
      </w:r>
      <w:r w:rsidR="009532AD" w:rsidRPr="00A54D04">
        <w:t>)</w:t>
      </w:r>
      <w:r w:rsidR="00B55702" w:rsidRPr="00A54D04">
        <w:t>.</w:t>
      </w:r>
    </w:p>
    <w:p w14:paraId="56639399" w14:textId="5A39D755" w:rsidR="006A6D8A" w:rsidRPr="00A54D04" w:rsidRDefault="006A6D8A" w:rsidP="00176737">
      <w:pPr>
        <w:pStyle w:val="Figure-Table-BoxHeading"/>
        <w:keepLines/>
        <w:numPr>
          <w:ilvl w:val="0"/>
          <w:numId w:val="0"/>
        </w:numPr>
        <w:spacing w:after="0" w:line="360" w:lineRule="auto"/>
        <w:ind w:left="1440" w:hanging="1440"/>
      </w:pPr>
      <w:r w:rsidRPr="00A54D04">
        <w:t>Table 2</w:t>
      </w:r>
      <w:r w:rsidR="008C3EBA" w:rsidRPr="00A54D04">
        <w:t>1</w:t>
      </w:r>
      <w:bookmarkStart w:id="422" w:name="OLE_LINK2"/>
      <w:r w:rsidR="00AA3E81" w:rsidRPr="00A54D04">
        <w:t xml:space="preserve">. </w:t>
      </w:r>
      <w:r w:rsidRPr="00A54D04">
        <w:t>Number of licences held by each depot</w:t>
      </w:r>
      <w:bookmarkEnd w:id="422"/>
    </w:p>
    <w:tbl>
      <w:tblPr>
        <w:tblStyle w:val="TableGrid"/>
        <w:tblW w:w="5000" w:type="pct"/>
        <w:tblLook w:val="04A0" w:firstRow="1" w:lastRow="0" w:firstColumn="1" w:lastColumn="0" w:noHBand="0" w:noVBand="1"/>
      </w:tblPr>
      <w:tblGrid>
        <w:gridCol w:w="2270"/>
        <w:gridCol w:w="1228"/>
        <w:gridCol w:w="1228"/>
        <w:gridCol w:w="1228"/>
        <w:gridCol w:w="1228"/>
        <w:gridCol w:w="1228"/>
        <w:gridCol w:w="1228"/>
      </w:tblGrid>
      <w:tr w:rsidR="006A6D8A" w:rsidRPr="00A54D04" w14:paraId="1E821251" w14:textId="77777777" w:rsidTr="00176737">
        <w:trPr>
          <w:cnfStyle w:val="100000000000" w:firstRow="1" w:lastRow="0" w:firstColumn="0" w:lastColumn="0" w:oddVBand="0" w:evenVBand="0" w:oddHBand="0" w:evenHBand="0" w:firstRowFirstColumn="0" w:firstRowLastColumn="0" w:lastRowFirstColumn="0" w:lastRowLastColumn="0"/>
          <w:cantSplit/>
          <w:trHeight w:val="315"/>
        </w:trPr>
        <w:tc>
          <w:tcPr>
            <w:tcW w:w="1178" w:type="pct"/>
          </w:tcPr>
          <w:p w14:paraId="452229B3" w14:textId="77777777" w:rsidR="006A6D8A" w:rsidRPr="00A54D04" w:rsidRDefault="006A6D8A" w:rsidP="00176737">
            <w:pPr>
              <w:pStyle w:val="TableHeading"/>
              <w:keepLines/>
              <w:rPr>
                <w:lang w:eastAsia="en-AU"/>
              </w:rPr>
            </w:pPr>
            <w:r w:rsidRPr="00A54D04">
              <w:rPr>
                <w:lang w:eastAsia="en-AU"/>
              </w:rPr>
              <w:t>Licences per depot</w:t>
            </w:r>
          </w:p>
        </w:tc>
        <w:tc>
          <w:tcPr>
            <w:tcW w:w="637" w:type="pct"/>
            <w:noWrap/>
            <w:hideMark/>
          </w:tcPr>
          <w:p w14:paraId="4AA69F0E" w14:textId="77777777" w:rsidR="006A6D8A" w:rsidRPr="00A54D04" w:rsidRDefault="006A6D8A" w:rsidP="00176737">
            <w:pPr>
              <w:pStyle w:val="TableHeading"/>
              <w:keepLines/>
              <w:jc w:val="right"/>
              <w:rPr>
                <w:lang w:eastAsia="en-AU"/>
              </w:rPr>
            </w:pPr>
            <w:r w:rsidRPr="00A54D04">
              <w:rPr>
                <w:lang w:eastAsia="en-AU"/>
              </w:rPr>
              <w:t>2018</w:t>
            </w:r>
          </w:p>
        </w:tc>
        <w:tc>
          <w:tcPr>
            <w:tcW w:w="637" w:type="pct"/>
            <w:noWrap/>
            <w:hideMark/>
          </w:tcPr>
          <w:p w14:paraId="7530AC8E" w14:textId="77777777" w:rsidR="006A6D8A" w:rsidRPr="00A54D04" w:rsidRDefault="006A6D8A" w:rsidP="00176737">
            <w:pPr>
              <w:pStyle w:val="TableHeading"/>
              <w:keepLines/>
              <w:jc w:val="right"/>
              <w:rPr>
                <w:lang w:eastAsia="en-AU"/>
              </w:rPr>
            </w:pPr>
            <w:r w:rsidRPr="00A54D04">
              <w:rPr>
                <w:lang w:eastAsia="en-AU"/>
              </w:rPr>
              <w:t>2019</w:t>
            </w:r>
          </w:p>
        </w:tc>
        <w:tc>
          <w:tcPr>
            <w:tcW w:w="637" w:type="pct"/>
            <w:noWrap/>
            <w:hideMark/>
          </w:tcPr>
          <w:p w14:paraId="6758C6EF" w14:textId="77777777" w:rsidR="006A6D8A" w:rsidRPr="00A54D04" w:rsidRDefault="006A6D8A" w:rsidP="00176737">
            <w:pPr>
              <w:pStyle w:val="TableHeading"/>
              <w:keepLines/>
              <w:jc w:val="right"/>
              <w:rPr>
                <w:lang w:eastAsia="en-AU"/>
              </w:rPr>
            </w:pPr>
            <w:r w:rsidRPr="00A54D04">
              <w:rPr>
                <w:lang w:eastAsia="en-AU"/>
              </w:rPr>
              <w:t>2020</w:t>
            </w:r>
          </w:p>
        </w:tc>
        <w:tc>
          <w:tcPr>
            <w:tcW w:w="637" w:type="pct"/>
            <w:noWrap/>
            <w:hideMark/>
          </w:tcPr>
          <w:p w14:paraId="53D4A8B2" w14:textId="77777777" w:rsidR="006A6D8A" w:rsidRPr="00A54D04" w:rsidRDefault="006A6D8A" w:rsidP="00176737">
            <w:pPr>
              <w:pStyle w:val="TableHeading"/>
              <w:keepLines/>
              <w:jc w:val="right"/>
              <w:rPr>
                <w:lang w:eastAsia="en-AU"/>
              </w:rPr>
            </w:pPr>
            <w:r w:rsidRPr="00A54D04">
              <w:rPr>
                <w:lang w:eastAsia="en-AU"/>
              </w:rPr>
              <w:t>2021</w:t>
            </w:r>
          </w:p>
        </w:tc>
        <w:tc>
          <w:tcPr>
            <w:tcW w:w="637" w:type="pct"/>
            <w:noWrap/>
            <w:hideMark/>
          </w:tcPr>
          <w:p w14:paraId="2058A7C2" w14:textId="77777777" w:rsidR="006A6D8A" w:rsidRPr="00A54D04" w:rsidRDefault="006A6D8A" w:rsidP="00176737">
            <w:pPr>
              <w:pStyle w:val="TableHeading"/>
              <w:keepLines/>
              <w:jc w:val="right"/>
              <w:rPr>
                <w:lang w:eastAsia="en-AU"/>
              </w:rPr>
            </w:pPr>
            <w:r w:rsidRPr="00A54D04">
              <w:rPr>
                <w:lang w:eastAsia="en-AU"/>
              </w:rPr>
              <w:t>2022</w:t>
            </w:r>
          </w:p>
        </w:tc>
        <w:tc>
          <w:tcPr>
            <w:tcW w:w="637" w:type="pct"/>
            <w:noWrap/>
            <w:hideMark/>
          </w:tcPr>
          <w:p w14:paraId="042870F5" w14:textId="77777777" w:rsidR="006A6D8A" w:rsidRPr="00A54D04" w:rsidRDefault="006A6D8A" w:rsidP="00176737">
            <w:pPr>
              <w:pStyle w:val="TableHeading"/>
              <w:keepLines/>
              <w:jc w:val="right"/>
              <w:rPr>
                <w:lang w:eastAsia="en-AU"/>
              </w:rPr>
            </w:pPr>
            <w:r w:rsidRPr="00A54D04">
              <w:rPr>
                <w:lang w:eastAsia="en-AU"/>
              </w:rPr>
              <w:t>2023</w:t>
            </w:r>
          </w:p>
        </w:tc>
      </w:tr>
      <w:tr w:rsidR="006A6D8A" w:rsidRPr="00A54D04" w14:paraId="1E6A5BD2" w14:textId="77777777" w:rsidTr="00176737">
        <w:trPr>
          <w:cnfStyle w:val="000000100000" w:firstRow="0" w:lastRow="0" w:firstColumn="0" w:lastColumn="0" w:oddVBand="0" w:evenVBand="0" w:oddHBand="1" w:evenHBand="0" w:firstRowFirstColumn="0" w:firstRowLastColumn="0" w:lastRowFirstColumn="0" w:lastRowLastColumn="0"/>
          <w:cantSplit/>
          <w:trHeight w:val="300"/>
        </w:trPr>
        <w:tc>
          <w:tcPr>
            <w:tcW w:w="1178" w:type="pct"/>
          </w:tcPr>
          <w:p w14:paraId="7F056073" w14:textId="77777777" w:rsidR="006A6D8A" w:rsidRPr="00A54D04" w:rsidRDefault="006A6D8A" w:rsidP="00176737">
            <w:pPr>
              <w:pStyle w:val="TableBody"/>
              <w:keepLines/>
            </w:pPr>
            <w:r w:rsidRPr="00A54D04">
              <w:t>5 or fewer</w:t>
            </w:r>
          </w:p>
        </w:tc>
        <w:tc>
          <w:tcPr>
            <w:tcW w:w="637" w:type="pct"/>
            <w:noWrap/>
            <w:hideMark/>
          </w:tcPr>
          <w:p w14:paraId="0C52105F" w14:textId="77777777" w:rsidR="006A6D8A" w:rsidRPr="00A54D04" w:rsidRDefault="006A6D8A" w:rsidP="00176737">
            <w:pPr>
              <w:pStyle w:val="TableBody"/>
              <w:keepLines/>
              <w:jc w:val="right"/>
            </w:pPr>
            <w:r w:rsidRPr="00A54D04">
              <w:t>15</w:t>
            </w:r>
          </w:p>
        </w:tc>
        <w:tc>
          <w:tcPr>
            <w:tcW w:w="637" w:type="pct"/>
            <w:noWrap/>
            <w:hideMark/>
          </w:tcPr>
          <w:p w14:paraId="434AB1E7" w14:textId="77777777" w:rsidR="006A6D8A" w:rsidRPr="00A54D04" w:rsidRDefault="006A6D8A" w:rsidP="00176737">
            <w:pPr>
              <w:pStyle w:val="TableBody"/>
              <w:keepLines/>
              <w:jc w:val="right"/>
            </w:pPr>
            <w:r w:rsidRPr="00A54D04">
              <w:t>16</w:t>
            </w:r>
          </w:p>
        </w:tc>
        <w:tc>
          <w:tcPr>
            <w:tcW w:w="637" w:type="pct"/>
            <w:noWrap/>
            <w:hideMark/>
          </w:tcPr>
          <w:p w14:paraId="2397B6E6" w14:textId="77777777" w:rsidR="006A6D8A" w:rsidRPr="00A54D04" w:rsidRDefault="006A6D8A" w:rsidP="00176737">
            <w:pPr>
              <w:pStyle w:val="TableBody"/>
              <w:keepLines/>
              <w:jc w:val="right"/>
            </w:pPr>
            <w:r w:rsidRPr="00A54D04">
              <w:t>16</w:t>
            </w:r>
          </w:p>
        </w:tc>
        <w:tc>
          <w:tcPr>
            <w:tcW w:w="637" w:type="pct"/>
            <w:noWrap/>
            <w:hideMark/>
          </w:tcPr>
          <w:p w14:paraId="0E505014" w14:textId="77777777" w:rsidR="006A6D8A" w:rsidRPr="00A54D04" w:rsidRDefault="006A6D8A" w:rsidP="00176737">
            <w:pPr>
              <w:pStyle w:val="TableBody"/>
              <w:keepLines/>
              <w:jc w:val="right"/>
            </w:pPr>
            <w:r w:rsidRPr="00A54D04">
              <w:t>16</w:t>
            </w:r>
          </w:p>
        </w:tc>
        <w:tc>
          <w:tcPr>
            <w:tcW w:w="637" w:type="pct"/>
            <w:noWrap/>
            <w:hideMark/>
          </w:tcPr>
          <w:p w14:paraId="3A1CBD6C" w14:textId="77777777" w:rsidR="006A6D8A" w:rsidRPr="00A54D04" w:rsidRDefault="006A6D8A" w:rsidP="00176737">
            <w:pPr>
              <w:pStyle w:val="TableBody"/>
              <w:keepLines/>
              <w:jc w:val="right"/>
            </w:pPr>
            <w:r w:rsidRPr="00A54D04">
              <w:t>16</w:t>
            </w:r>
          </w:p>
        </w:tc>
        <w:tc>
          <w:tcPr>
            <w:tcW w:w="637" w:type="pct"/>
            <w:noWrap/>
            <w:hideMark/>
          </w:tcPr>
          <w:p w14:paraId="7B9BADE0" w14:textId="77777777" w:rsidR="006A6D8A" w:rsidRPr="00A54D04" w:rsidRDefault="006A6D8A" w:rsidP="00176737">
            <w:pPr>
              <w:pStyle w:val="TableBody"/>
              <w:keepLines/>
              <w:jc w:val="right"/>
            </w:pPr>
            <w:r w:rsidRPr="00A54D04">
              <w:t>16</w:t>
            </w:r>
          </w:p>
        </w:tc>
      </w:tr>
      <w:tr w:rsidR="006A6D8A" w:rsidRPr="00A54D04" w14:paraId="39C7B4FD" w14:textId="77777777" w:rsidTr="00176737">
        <w:trPr>
          <w:cnfStyle w:val="000000010000" w:firstRow="0" w:lastRow="0" w:firstColumn="0" w:lastColumn="0" w:oddVBand="0" w:evenVBand="0" w:oddHBand="0" w:evenHBand="1" w:firstRowFirstColumn="0" w:firstRowLastColumn="0" w:lastRowFirstColumn="0" w:lastRowLastColumn="0"/>
          <w:cantSplit/>
          <w:trHeight w:val="300"/>
        </w:trPr>
        <w:tc>
          <w:tcPr>
            <w:tcW w:w="1178" w:type="pct"/>
          </w:tcPr>
          <w:p w14:paraId="71513B10" w14:textId="77777777" w:rsidR="006A6D8A" w:rsidRPr="00A54D04" w:rsidRDefault="006A6D8A" w:rsidP="00176737">
            <w:pPr>
              <w:pStyle w:val="TableBody"/>
              <w:keepLines/>
            </w:pPr>
            <w:r w:rsidRPr="00A54D04">
              <w:t>6 to 10</w:t>
            </w:r>
          </w:p>
        </w:tc>
        <w:tc>
          <w:tcPr>
            <w:tcW w:w="637" w:type="pct"/>
            <w:noWrap/>
            <w:hideMark/>
          </w:tcPr>
          <w:p w14:paraId="5453C25B" w14:textId="77777777" w:rsidR="006A6D8A" w:rsidRPr="00A54D04" w:rsidRDefault="006A6D8A" w:rsidP="00176737">
            <w:pPr>
              <w:pStyle w:val="TableBody"/>
              <w:keepLines/>
              <w:jc w:val="right"/>
            </w:pPr>
            <w:r w:rsidRPr="00A54D04">
              <w:t>15</w:t>
            </w:r>
          </w:p>
        </w:tc>
        <w:tc>
          <w:tcPr>
            <w:tcW w:w="637" w:type="pct"/>
            <w:noWrap/>
            <w:hideMark/>
          </w:tcPr>
          <w:p w14:paraId="2C540C7A" w14:textId="77777777" w:rsidR="006A6D8A" w:rsidRPr="00A54D04" w:rsidRDefault="006A6D8A" w:rsidP="00176737">
            <w:pPr>
              <w:pStyle w:val="TableBody"/>
              <w:keepLines/>
              <w:jc w:val="right"/>
            </w:pPr>
            <w:r w:rsidRPr="00A54D04">
              <w:t>16</w:t>
            </w:r>
          </w:p>
        </w:tc>
        <w:tc>
          <w:tcPr>
            <w:tcW w:w="637" w:type="pct"/>
            <w:noWrap/>
            <w:hideMark/>
          </w:tcPr>
          <w:p w14:paraId="2F6F81FB" w14:textId="77777777" w:rsidR="006A6D8A" w:rsidRPr="00A54D04" w:rsidRDefault="006A6D8A" w:rsidP="00176737">
            <w:pPr>
              <w:pStyle w:val="TableBody"/>
              <w:keepLines/>
              <w:jc w:val="right"/>
            </w:pPr>
            <w:r w:rsidRPr="00A54D04">
              <w:t>16</w:t>
            </w:r>
          </w:p>
        </w:tc>
        <w:tc>
          <w:tcPr>
            <w:tcW w:w="637" w:type="pct"/>
            <w:noWrap/>
            <w:hideMark/>
          </w:tcPr>
          <w:p w14:paraId="63DA55F8" w14:textId="77777777" w:rsidR="006A6D8A" w:rsidRPr="00A54D04" w:rsidRDefault="006A6D8A" w:rsidP="00176737">
            <w:pPr>
              <w:pStyle w:val="TableBody"/>
              <w:keepLines/>
              <w:jc w:val="right"/>
            </w:pPr>
            <w:r w:rsidRPr="00A54D04">
              <w:t>16</w:t>
            </w:r>
          </w:p>
        </w:tc>
        <w:tc>
          <w:tcPr>
            <w:tcW w:w="637" w:type="pct"/>
            <w:noWrap/>
            <w:hideMark/>
          </w:tcPr>
          <w:p w14:paraId="4A20F87D" w14:textId="77777777" w:rsidR="006A6D8A" w:rsidRPr="00A54D04" w:rsidRDefault="006A6D8A" w:rsidP="00176737">
            <w:pPr>
              <w:pStyle w:val="TableBody"/>
              <w:keepLines/>
              <w:jc w:val="right"/>
            </w:pPr>
            <w:r w:rsidRPr="00A54D04">
              <w:t>17</w:t>
            </w:r>
          </w:p>
        </w:tc>
        <w:tc>
          <w:tcPr>
            <w:tcW w:w="637" w:type="pct"/>
            <w:noWrap/>
            <w:hideMark/>
          </w:tcPr>
          <w:p w14:paraId="6DE9B4BD" w14:textId="77777777" w:rsidR="006A6D8A" w:rsidRPr="00A54D04" w:rsidRDefault="006A6D8A" w:rsidP="00176737">
            <w:pPr>
              <w:pStyle w:val="TableBody"/>
              <w:keepLines/>
              <w:jc w:val="right"/>
            </w:pPr>
            <w:r w:rsidRPr="00A54D04">
              <w:t>16</w:t>
            </w:r>
          </w:p>
        </w:tc>
      </w:tr>
      <w:tr w:rsidR="006A6D8A" w:rsidRPr="00A54D04" w14:paraId="51D12650" w14:textId="77777777" w:rsidTr="00176737">
        <w:trPr>
          <w:cnfStyle w:val="000000100000" w:firstRow="0" w:lastRow="0" w:firstColumn="0" w:lastColumn="0" w:oddVBand="0" w:evenVBand="0" w:oddHBand="1" w:evenHBand="0" w:firstRowFirstColumn="0" w:firstRowLastColumn="0" w:lastRowFirstColumn="0" w:lastRowLastColumn="0"/>
          <w:cantSplit/>
          <w:trHeight w:val="300"/>
        </w:trPr>
        <w:tc>
          <w:tcPr>
            <w:tcW w:w="1178" w:type="pct"/>
          </w:tcPr>
          <w:p w14:paraId="3D773157" w14:textId="77777777" w:rsidR="006A6D8A" w:rsidRPr="00A54D04" w:rsidRDefault="006A6D8A" w:rsidP="00176737">
            <w:pPr>
              <w:pStyle w:val="TableBody"/>
              <w:keepLines/>
            </w:pPr>
            <w:r w:rsidRPr="00A54D04">
              <w:t>11 to 15</w:t>
            </w:r>
          </w:p>
        </w:tc>
        <w:tc>
          <w:tcPr>
            <w:tcW w:w="637" w:type="pct"/>
            <w:noWrap/>
            <w:hideMark/>
          </w:tcPr>
          <w:p w14:paraId="20ACB1DF" w14:textId="77777777" w:rsidR="006A6D8A" w:rsidRPr="00A54D04" w:rsidRDefault="006A6D8A" w:rsidP="00176737">
            <w:pPr>
              <w:pStyle w:val="TableBody"/>
              <w:keepLines/>
              <w:jc w:val="right"/>
            </w:pPr>
            <w:r w:rsidRPr="00A54D04">
              <w:t>9</w:t>
            </w:r>
          </w:p>
        </w:tc>
        <w:tc>
          <w:tcPr>
            <w:tcW w:w="637" w:type="pct"/>
            <w:noWrap/>
            <w:hideMark/>
          </w:tcPr>
          <w:p w14:paraId="1C3074A2" w14:textId="77777777" w:rsidR="006A6D8A" w:rsidRPr="00A54D04" w:rsidRDefault="006A6D8A" w:rsidP="00176737">
            <w:pPr>
              <w:pStyle w:val="TableBody"/>
              <w:keepLines/>
              <w:jc w:val="right"/>
            </w:pPr>
            <w:r w:rsidRPr="00A54D04">
              <w:t>8</w:t>
            </w:r>
          </w:p>
        </w:tc>
        <w:tc>
          <w:tcPr>
            <w:tcW w:w="637" w:type="pct"/>
            <w:noWrap/>
            <w:hideMark/>
          </w:tcPr>
          <w:p w14:paraId="09F71C4F" w14:textId="77777777" w:rsidR="006A6D8A" w:rsidRPr="00A54D04" w:rsidRDefault="006A6D8A" w:rsidP="00176737">
            <w:pPr>
              <w:pStyle w:val="TableBody"/>
              <w:keepLines/>
              <w:jc w:val="right"/>
            </w:pPr>
            <w:r w:rsidRPr="00A54D04">
              <w:t>8</w:t>
            </w:r>
          </w:p>
        </w:tc>
        <w:tc>
          <w:tcPr>
            <w:tcW w:w="637" w:type="pct"/>
            <w:noWrap/>
            <w:hideMark/>
          </w:tcPr>
          <w:p w14:paraId="6805B1AD" w14:textId="77777777" w:rsidR="006A6D8A" w:rsidRPr="00A54D04" w:rsidRDefault="006A6D8A" w:rsidP="00176737">
            <w:pPr>
              <w:pStyle w:val="TableBody"/>
              <w:keepLines/>
              <w:jc w:val="right"/>
            </w:pPr>
            <w:r w:rsidRPr="00A54D04">
              <w:t>11</w:t>
            </w:r>
          </w:p>
        </w:tc>
        <w:tc>
          <w:tcPr>
            <w:tcW w:w="637" w:type="pct"/>
            <w:noWrap/>
            <w:hideMark/>
          </w:tcPr>
          <w:p w14:paraId="3D7E35C8" w14:textId="77777777" w:rsidR="006A6D8A" w:rsidRPr="00A54D04" w:rsidRDefault="006A6D8A" w:rsidP="00176737">
            <w:pPr>
              <w:pStyle w:val="TableBody"/>
              <w:keepLines/>
              <w:jc w:val="right"/>
            </w:pPr>
            <w:r w:rsidRPr="00A54D04">
              <w:t>11</w:t>
            </w:r>
          </w:p>
        </w:tc>
        <w:tc>
          <w:tcPr>
            <w:tcW w:w="637" w:type="pct"/>
            <w:noWrap/>
            <w:hideMark/>
          </w:tcPr>
          <w:p w14:paraId="2DE1FDC4" w14:textId="77777777" w:rsidR="006A6D8A" w:rsidRPr="00A54D04" w:rsidRDefault="006A6D8A" w:rsidP="00176737">
            <w:pPr>
              <w:pStyle w:val="TableBody"/>
              <w:keepLines/>
              <w:jc w:val="right"/>
            </w:pPr>
            <w:r w:rsidRPr="00A54D04">
              <w:t>11</w:t>
            </w:r>
          </w:p>
        </w:tc>
      </w:tr>
      <w:tr w:rsidR="006A6D8A" w:rsidRPr="00A54D04" w14:paraId="6ECC9FE4" w14:textId="77777777" w:rsidTr="00176737">
        <w:trPr>
          <w:cnfStyle w:val="000000010000" w:firstRow="0" w:lastRow="0" w:firstColumn="0" w:lastColumn="0" w:oddVBand="0" w:evenVBand="0" w:oddHBand="0" w:evenHBand="1" w:firstRowFirstColumn="0" w:firstRowLastColumn="0" w:lastRowFirstColumn="0" w:lastRowLastColumn="0"/>
          <w:cantSplit/>
          <w:trHeight w:val="300"/>
        </w:trPr>
        <w:tc>
          <w:tcPr>
            <w:tcW w:w="1178" w:type="pct"/>
          </w:tcPr>
          <w:p w14:paraId="5FB7AA4B" w14:textId="77777777" w:rsidR="006A6D8A" w:rsidRPr="00A54D04" w:rsidRDefault="006A6D8A" w:rsidP="00176737">
            <w:pPr>
              <w:pStyle w:val="TableBody"/>
              <w:keepLines/>
            </w:pPr>
            <w:r w:rsidRPr="00A54D04">
              <w:t>16 to 20</w:t>
            </w:r>
          </w:p>
        </w:tc>
        <w:tc>
          <w:tcPr>
            <w:tcW w:w="637" w:type="pct"/>
            <w:noWrap/>
            <w:hideMark/>
          </w:tcPr>
          <w:p w14:paraId="240CFA48" w14:textId="77777777" w:rsidR="006A6D8A" w:rsidRPr="00A54D04" w:rsidRDefault="006A6D8A" w:rsidP="00176737">
            <w:pPr>
              <w:pStyle w:val="TableBody"/>
              <w:keepLines/>
              <w:jc w:val="right"/>
            </w:pPr>
            <w:r w:rsidRPr="00A54D04">
              <w:t>3</w:t>
            </w:r>
          </w:p>
        </w:tc>
        <w:tc>
          <w:tcPr>
            <w:tcW w:w="637" w:type="pct"/>
            <w:noWrap/>
            <w:hideMark/>
          </w:tcPr>
          <w:p w14:paraId="20EA5960" w14:textId="77777777" w:rsidR="006A6D8A" w:rsidRPr="00A54D04" w:rsidRDefault="006A6D8A" w:rsidP="00176737">
            <w:pPr>
              <w:pStyle w:val="TableBody"/>
              <w:keepLines/>
              <w:jc w:val="right"/>
            </w:pPr>
            <w:r w:rsidRPr="00A54D04">
              <w:t>3</w:t>
            </w:r>
          </w:p>
        </w:tc>
        <w:tc>
          <w:tcPr>
            <w:tcW w:w="637" w:type="pct"/>
            <w:noWrap/>
            <w:hideMark/>
          </w:tcPr>
          <w:p w14:paraId="59737AB6" w14:textId="77777777" w:rsidR="006A6D8A" w:rsidRPr="00A54D04" w:rsidRDefault="006A6D8A" w:rsidP="00176737">
            <w:pPr>
              <w:pStyle w:val="TableBody"/>
              <w:keepLines/>
              <w:jc w:val="right"/>
            </w:pPr>
            <w:r w:rsidRPr="00A54D04">
              <w:t>3</w:t>
            </w:r>
          </w:p>
        </w:tc>
        <w:tc>
          <w:tcPr>
            <w:tcW w:w="637" w:type="pct"/>
            <w:noWrap/>
            <w:hideMark/>
          </w:tcPr>
          <w:p w14:paraId="3E3772DB" w14:textId="77777777" w:rsidR="006A6D8A" w:rsidRPr="00A54D04" w:rsidRDefault="006A6D8A" w:rsidP="00176737">
            <w:pPr>
              <w:pStyle w:val="TableBody"/>
              <w:keepLines/>
              <w:jc w:val="right"/>
            </w:pPr>
            <w:r w:rsidRPr="00A54D04">
              <w:t>2</w:t>
            </w:r>
          </w:p>
        </w:tc>
        <w:tc>
          <w:tcPr>
            <w:tcW w:w="637" w:type="pct"/>
            <w:noWrap/>
            <w:hideMark/>
          </w:tcPr>
          <w:p w14:paraId="703E141F" w14:textId="77777777" w:rsidR="006A6D8A" w:rsidRPr="00A54D04" w:rsidRDefault="006A6D8A" w:rsidP="00176737">
            <w:pPr>
              <w:pStyle w:val="TableBody"/>
              <w:keepLines/>
              <w:jc w:val="right"/>
            </w:pPr>
            <w:r w:rsidRPr="00A54D04">
              <w:t>2</w:t>
            </w:r>
          </w:p>
        </w:tc>
        <w:tc>
          <w:tcPr>
            <w:tcW w:w="637" w:type="pct"/>
            <w:noWrap/>
            <w:hideMark/>
          </w:tcPr>
          <w:p w14:paraId="1896DDEE" w14:textId="77777777" w:rsidR="006A6D8A" w:rsidRPr="00A54D04" w:rsidRDefault="006A6D8A" w:rsidP="00176737">
            <w:pPr>
              <w:pStyle w:val="TableBody"/>
              <w:keepLines/>
              <w:jc w:val="right"/>
            </w:pPr>
            <w:r w:rsidRPr="00A54D04">
              <w:t>2</w:t>
            </w:r>
          </w:p>
        </w:tc>
      </w:tr>
      <w:tr w:rsidR="006A6D8A" w:rsidRPr="00A54D04" w14:paraId="70EDE05D" w14:textId="77777777" w:rsidTr="00176737">
        <w:trPr>
          <w:cnfStyle w:val="000000100000" w:firstRow="0" w:lastRow="0" w:firstColumn="0" w:lastColumn="0" w:oddVBand="0" w:evenVBand="0" w:oddHBand="1" w:evenHBand="0" w:firstRowFirstColumn="0" w:firstRowLastColumn="0" w:lastRowFirstColumn="0" w:lastRowLastColumn="0"/>
          <w:cantSplit/>
          <w:trHeight w:val="300"/>
        </w:trPr>
        <w:tc>
          <w:tcPr>
            <w:tcW w:w="1178" w:type="pct"/>
          </w:tcPr>
          <w:p w14:paraId="3B1EE304" w14:textId="77777777" w:rsidR="006A6D8A" w:rsidRPr="00A54D04" w:rsidRDefault="006A6D8A" w:rsidP="00176737">
            <w:pPr>
              <w:pStyle w:val="TableBody"/>
              <w:keepLines/>
            </w:pPr>
            <w:r w:rsidRPr="00A54D04">
              <w:t>21 or more</w:t>
            </w:r>
          </w:p>
        </w:tc>
        <w:tc>
          <w:tcPr>
            <w:tcW w:w="637" w:type="pct"/>
            <w:noWrap/>
            <w:hideMark/>
          </w:tcPr>
          <w:p w14:paraId="2AF7ED97" w14:textId="77777777" w:rsidR="006A6D8A" w:rsidRPr="00A54D04" w:rsidRDefault="006A6D8A" w:rsidP="00176737">
            <w:pPr>
              <w:pStyle w:val="TableBody"/>
              <w:keepLines/>
              <w:jc w:val="right"/>
            </w:pPr>
            <w:r w:rsidRPr="00A54D04">
              <w:t>3</w:t>
            </w:r>
          </w:p>
        </w:tc>
        <w:tc>
          <w:tcPr>
            <w:tcW w:w="637" w:type="pct"/>
            <w:noWrap/>
            <w:hideMark/>
          </w:tcPr>
          <w:p w14:paraId="04628B3B" w14:textId="77777777" w:rsidR="006A6D8A" w:rsidRPr="00A54D04" w:rsidRDefault="006A6D8A" w:rsidP="00176737">
            <w:pPr>
              <w:pStyle w:val="TableBody"/>
              <w:keepLines/>
              <w:jc w:val="right"/>
            </w:pPr>
            <w:r w:rsidRPr="00A54D04">
              <w:t>3</w:t>
            </w:r>
          </w:p>
        </w:tc>
        <w:tc>
          <w:tcPr>
            <w:tcW w:w="637" w:type="pct"/>
            <w:noWrap/>
            <w:hideMark/>
          </w:tcPr>
          <w:p w14:paraId="538413F3" w14:textId="77777777" w:rsidR="006A6D8A" w:rsidRPr="00A54D04" w:rsidRDefault="006A6D8A" w:rsidP="00176737">
            <w:pPr>
              <w:pStyle w:val="TableBody"/>
              <w:keepLines/>
              <w:jc w:val="right"/>
            </w:pPr>
            <w:r w:rsidRPr="00A54D04">
              <w:t>3</w:t>
            </w:r>
          </w:p>
        </w:tc>
        <w:tc>
          <w:tcPr>
            <w:tcW w:w="637" w:type="pct"/>
            <w:noWrap/>
            <w:hideMark/>
          </w:tcPr>
          <w:p w14:paraId="0CFE2FFD" w14:textId="77777777" w:rsidR="006A6D8A" w:rsidRPr="00A54D04" w:rsidRDefault="006A6D8A" w:rsidP="00176737">
            <w:pPr>
              <w:pStyle w:val="TableBody"/>
              <w:keepLines/>
              <w:jc w:val="right"/>
            </w:pPr>
            <w:r w:rsidRPr="00A54D04">
              <w:t>2</w:t>
            </w:r>
          </w:p>
        </w:tc>
        <w:tc>
          <w:tcPr>
            <w:tcW w:w="637" w:type="pct"/>
            <w:noWrap/>
            <w:hideMark/>
          </w:tcPr>
          <w:p w14:paraId="0E83C72B" w14:textId="77777777" w:rsidR="006A6D8A" w:rsidRPr="00A54D04" w:rsidRDefault="006A6D8A" w:rsidP="00176737">
            <w:pPr>
              <w:pStyle w:val="TableBody"/>
              <w:keepLines/>
              <w:jc w:val="right"/>
            </w:pPr>
            <w:r w:rsidRPr="00A54D04">
              <w:t>2</w:t>
            </w:r>
          </w:p>
        </w:tc>
        <w:tc>
          <w:tcPr>
            <w:tcW w:w="637" w:type="pct"/>
            <w:noWrap/>
            <w:hideMark/>
          </w:tcPr>
          <w:p w14:paraId="707C7052" w14:textId="77777777" w:rsidR="006A6D8A" w:rsidRPr="00A54D04" w:rsidRDefault="006A6D8A" w:rsidP="00176737">
            <w:pPr>
              <w:pStyle w:val="TableBody"/>
              <w:keepLines/>
              <w:jc w:val="right"/>
            </w:pPr>
            <w:r w:rsidRPr="00A54D04">
              <w:t>3</w:t>
            </w:r>
          </w:p>
        </w:tc>
      </w:tr>
      <w:tr w:rsidR="006A6D8A" w:rsidRPr="00A54D04" w14:paraId="6C60FE4A" w14:textId="77777777" w:rsidTr="00176737">
        <w:trPr>
          <w:cnfStyle w:val="000000010000" w:firstRow="0" w:lastRow="0" w:firstColumn="0" w:lastColumn="0" w:oddVBand="0" w:evenVBand="0" w:oddHBand="0" w:evenHBand="1" w:firstRowFirstColumn="0" w:firstRowLastColumn="0" w:lastRowFirstColumn="0" w:lastRowLastColumn="0"/>
          <w:cantSplit/>
          <w:trHeight w:val="300"/>
        </w:trPr>
        <w:tc>
          <w:tcPr>
            <w:tcW w:w="1178" w:type="pct"/>
          </w:tcPr>
          <w:p w14:paraId="70C5433F" w14:textId="77777777" w:rsidR="006A6D8A" w:rsidRPr="00A54D04" w:rsidRDefault="006A6D8A" w:rsidP="00176737">
            <w:pPr>
              <w:pStyle w:val="TableBody"/>
              <w:keepLines/>
              <w:rPr>
                <w:b/>
                <w:bCs/>
              </w:rPr>
            </w:pPr>
            <w:r w:rsidRPr="00A54D04">
              <w:rPr>
                <w:b/>
                <w:bCs/>
              </w:rPr>
              <w:t>Total depots</w:t>
            </w:r>
          </w:p>
        </w:tc>
        <w:tc>
          <w:tcPr>
            <w:tcW w:w="637" w:type="pct"/>
            <w:noWrap/>
            <w:hideMark/>
          </w:tcPr>
          <w:p w14:paraId="5AB1C4A4" w14:textId="77777777" w:rsidR="006A6D8A" w:rsidRPr="00A54D04" w:rsidRDefault="006A6D8A" w:rsidP="00176737">
            <w:pPr>
              <w:pStyle w:val="TableBody"/>
              <w:keepLines/>
              <w:jc w:val="right"/>
              <w:rPr>
                <w:b/>
                <w:bCs/>
              </w:rPr>
            </w:pPr>
            <w:r w:rsidRPr="00A54D04">
              <w:rPr>
                <w:b/>
                <w:bCs/>
              </w:rPr>
              <w:t>45</w:t>
            </w:r>
          </w:p>
        </w:tc>
        <w:tc>
          <w:tcPr>
            <w:tcW w:w="637" w:type="pct"/>
            <w:noWrap/>
            <w:hideMark/>
          </w:tcPr>
          <w:p w14:paraId="70D1B20C" w14:textId="77777777" w:rsidR="006A6D8A" w:rsidRPr="00A54D04" w:rsidRDefault="006A6D8A" w:rsidP="00176737">
            <w:pPr>
              <w:pStyle w:val="TableBody"/>
              <w:keepLines/>
              <w:jc w:val="right"/>
              <w:rPr>
                <w:b/>
                <w:bCs/>
              </w:rPr>
            </w:pPr>
            <w:r w:rsidRPr="00A54D04">
              <w:rPr>
                <w:b/>
                <w:bCs/>
              </w:rPr>
              <w:t>46</w:t>
            </w:r>
          </w:p>
        </w:tc>
        <w:tc>
          <w:tcPr>
            <w:tcW w:w="637" w:type="pct"/>
            <w:noWrap/>
            <w:hideMark/>
          </w:tcPr>
          <w:p w14:paraId="37A87AD5" w14:textId="77777777" w:rsidR="006A6D8A" w:rsidRPr="00A54D04" w:rsidRDefault="006A6D8A" w:rsidP="00176737">
            <w:pPr>
              <w:pStyle w:val="TableBody"/>
              <w:keepLines/>
              <w:jc w:val="right"/>
              <w:rPr>
                <w:b/>
                <w:bCs/>
              </w:rPr>
            </w:pPr>
            <w:r w:rsidRPr="00A54D04">
              <w:rPr>
                <w:b/>
                <w:bCs/>
              </w:rPr>
              <w:t>46</w:t>
            </w:r>
          </w:p>
        </w:tc>
        <w:tc>
          <w:tcPr>
            <w:tcW w:w="637" w:type="pct"/>
            <w:noWrap/>
            <w:hideMark/>
          </w:tcPr>
          <w:p w14:paraId="557D1C9D" w14:textId="77777777" w:rsidR="006A6D8A" w:rsidRPr="00A54D04" w:rsidRDefault="006A6D8A" w:rsidP="00176737">
            <w:pPr>
              <w:pStyle w:val="TableBody"/>
              <w:keepLines/>
              <w:jc w:val="right"/>
              <w:rPr>
                <w:b/>
                <w:bCs/>
              </w:rPr>
            </w:pPr>
            <w:r w:rsidRPr="00A54D04">
              <w:rPr>
                <w:b/>
                <w:bCs/>
              </w:rPr>
              <w:t>47</w:t>
            </w:r>
          </w:p>
        </w:tc>
        <w:tc>
          <w:tcPr>
            <w:tcW w:w="637" w:type="pct"/>
            <w:noWrap/>
            <w:hideMark/>
          </w:tcPr>
          <w:p w14:paraId="3BBF87B4" w14:textId="77777777" w:rsidR="006A6D8A" w:rsidRPr="00A54D04" w:rsidRDefault="006A6D8A" w:rsidP="00176737">
            <w:pPr>
              <w:pStyle w:val="TableBody"/>
              <w:keepLines/>
              <w:jc w:val="right"/>
              <w:rPr>
                <w:b/>
                <w:bCs/>
              </w:rPr>
            </w:pPr>
            <w:r w:rsidRPr="00A54D04">
              <w:rPr>
                <w:b/>
                <w:bCs/>
              </w:rPr>
              <w:t>48</w:t>
            </w:r>
          </w:p>
        </w:tc>
        <w:tc>
          <w:tcPr>
            <w:tcW w:w="637" w:type="pct"/>
            <w:noWrap/>
            <w:hideMark/>
          </w:tcPr>
          <w:p w14:paraId="3DC5E7F9" w14:textId="77777777" w:rsidR="006A6D8A" w:rsidRPr="00A54D04" w:rsidRDefault="006A6D8A" w:rsidP="00176737">
            <w:pPr>
              <w:pStyle w:val="TableBody"/>
              <w:keepLines/>
              <w:jc w:val="right"/>
              <w:rPr>
                <w:b/>
                <w:bCs/>
              </w:rPr>
            </w:pPr>
            <w:r w:rsidRPr="00A54D04">
              <w:rPr>
                <w:b/>
                <w:bCs/>
              </w:rPr>
              <w:t>48</w:t>
            </w:r>
          </w:p>
        </w:tc>
      </w:tr>
    </w:tbl>
    <w:p w14:paraId="60085DFC" w14:textId="77777777" w:rsidR="006A6D8A" w:rsidRPr="00A54D04" w:rsidRDefault="006A6D8A" w:rsidP="00176737">
      <w:pPr>
        <w:pStyle w:val="Caption"/>
        <w:keepLines/>
      </w:pPr>
      <w:r w:rsidRPr="00A54D04">
        <w:rPr>
          <w:b/>
          <w:bCs/>
        </w:rPr>
        <w:t>Source:</w:t>
      </w:r>
      <w:r w:rsidRPr="00A54D04">
        <w:t xml:space="preserve"> Department of Transport and Planning.</w:t>
      </w:r>
    </w:p>
    <w:p w14:paraId="3C0A6530" w14:textId="7673B48B" w:rsidR="006A6D8A" w:rsidRPr="00A54D04" w:rsidRDefault="006A6D8A" w:rsidP="006A6D8A">
      <w:r w:rsidRPr="00A54D04">
        <w:t xml:space="preserve">There was little change to the structure of the industry based on the number of licences transferred over time. Figure </w:t>
      </w:r>
      <w:r w:rsidR="003B39C0">
        <w:t>8</w:t>
      </w:r>
      <w:r w:rsidR="003B39C0" w:rsidRPr="00A54D04">
        <w:t xml:space="preserve"> </w:t>
      </w:r>
      <w:r w:rsidRPr="00A54D04">
        <w:t xml:space="preserve">shows the number of licence trades ranged between </w:t>
      </w:r>
      <w:r w:rsidR="00770345" w:rsidRPr="00A54D04">
        <w:t>three</w:t>
      </w:r>
      <w:r w:rsidRPr="00A54D04">
        <w:t xml:space="preserve"> and 18 from 2018 to 2023.</w:t>
      </w:r>
      <w:r w:rsidRPr="00A54D04">
        <w:rPr>
          <w:rStyle w:val="CommentReference"/>
        </w:rPr>
        <w:t xml:space="preserve"> </w:t>
      </w:r>
    </w:p>
    <w:p w14:paraId="03B62B20" w14:textId="4FE23301" w:rsidR="00EF6088" w:rsidRPr="00A54D04" w:rsidRDefault="006A6D8A" w:rsidP="002611E9">
      <w:pPr>
        <w:pStyle w:val="Figure-Table-BoxHeading"/>
        <w:numPr>
          <w:ilvl w:val="0"/>
          <w:numId w:val="0"/>
        </w:numPr>
        <w:spacing w:after="0"/>
      </w:pPr>
      <w:r w:rsidRPr="00A54D04">
        <w:lastRenderedPageBreak/>
        <w:t xml:space="preserve">Figure </w:t>
      </w:r>
      <w:r w:rsidR="003B39C0">
        <w:t>8</w:t>
      </w:r>
      <w:r w:rsidR="00EF6088" w:rsidRPr="00A54D04">
        <w:t xml:space="preserve">. </w:t>
      </w:r>
      <w:r w:rsidR="00F159F6" w:rsidRPr="00A54D04">
        <w:t>A</w:t>
      </w:r>
      <w:r w:rsidRPr="00A54D04">
        <w:t>verage value and number of licences traded</w:t>
      </w:r>
    </w:p>
    <w:p w14:paraId="5E892920" w14:textId="69CF05E8" w:rsidR="006A6D8A" w:rsidRPr="00A54D04" w:rsidRDefault="004318CA" w:rsidP="004318CA">
      <w:pPr>
        <w:pStyle w:val="Figure-Table-BoxHeading"/>
        <w:numPr>
          <w:ilvl w:val="0"/>
          <w:numId w:val="0"/>
        </w:numPr>
        <w:spacing w:after="0"/>
      </w:pPr>
      <w:r w:rsidRPr="00A54D04">
        <w:rPr>
          <w:noProof/>
        </w:rPr>
        <w:drawing>
          <wp:inline distT="0" distB="0" distL="0" distR="0" wp14:anchorId="14B6B9D0" wp14:editId="49676850">
            <wp:extent cx="6120130" cy="3060065"/>
            <wp:effectExtent l="0" t="0" r="13970" b="6985"/>
            <wp:docPr id="1495484281" name="Chart 1">
              <a:extLst xmlns:a="http://schemas.openxmlformats.org/drawingml/2006/main">
                <a:ext uri="{FF2B5EF4-FFF2-40B4-BE49-F238E27FC236}">
                  <a16:creationId xmlns:a16="http://schemas.microsoft.com/office/drawing/2014/main" id="{52767179-9C36-4222-AC38-3EBC52049DD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6"/>
              </a:graphicData>
            </a:graphic>
          </wp:inline>
        </w:drawing>
      </w:r>
    </w:p>
    <w:p w14:paraId="4EFB96D4" w14:textId="5F724FA0" w:rsidR="006A6D8A" w:rsidRPr="00A54D04" w:rsidRDefault="002C0E10" w:rsidP="00704BA3">
      <w:pPr>
        <w:pStyle w:val="Figure-Table-BoxHeading"/>
        <w:numPr>
          <w:ilvl w:val="0"/>
          <w:numId w:val="0"/>
        </w:numPr>
        <w:spacing w:before="0" w:after="0" w:line="360" w:lineRule="auto"/>
        <w:rPr>
          <w:b w:val="0"/>
          <w:sz w:val="18"/>
          <w:szCs w:val="18"/>
        </w:rPr>
      </w:pPr>
      <w:r w:rsidRPr="00A54D04">
        <w:rPr>
          <w:bCs/>
          <w:sz w:val="18"/>
          <w:szCs w:val="18"/>
        </w:rPr>
        <w:t>Note:</w:t>
      </w:r>
      <w:r w:rsidRPr="00A54D04">
        <w:rPr>
          <w:b w:val="0"/>
          <w:sz w:val="18"/>
          <w:szCs w:val="18"/>
        </w:rPr>
        <w:t xml:space="preserve"> </w:t>
      </w:r>
      <w:r w:rsidR="006A6D8A" w:rsidRPr="00A54D04">
        <w:rPr>
          <w:b w:val="0"/>
          <w:sz w:val="18"/>
          <w:szCs w:val="18"/>
        </w:rPr>
        <w:t>All licence trades are self-reported and are not verified by the Department of Transport</w:t>
      </w:r>
      <w:r w:rsidR="00635429" w:rsidRPr="00A54D04">
        <w:rPr>
          <w:b w:val="0"/>
          <w:sz w:val="18"/>
          <w:szCs w:val="18"/>
        </w:rPr>
        <w:t xml:space="preserve"> and Planning</w:t>
      </w:r>
      <w:r w:rsidR="006A6D8A" w:rsidRPr="00A54D04">
        <w:rPr>
          <w:b w:val="0"/>
          <w:sz w:val="18"/>
          <w:szCs w:val="18"/>
        </w:rPr>
        <w:t>. We have removed outliers that we suspect have not been entered correctly.</w:t>
      </w:r>
    </w:p>
    <w:p w14:paraId="3FFEF75C" w14:textId="33D317D2" w:rsidR="00704BA3" w:rsidRPr="00A54D04" w:rsidRDefault="00704BA3" w:rsidP="00704BA3">
      <w:pPr>
        <w:pStyle w:val="Figure-Table-BoxHeading"/>
        <w:numPr>
          <w:ilvl w:val="0"/>
          <w:numId w:val="0"/>
        </w:numPr>
        <w:spacing w:before="0" w:after="0" w:line="360" w:lineRule="auto"/>
        <w:rPr>
          <w:b w:val="0"/>
          <w:sz w:val="18"/>
          <w:szCs w:val="18"/>
        </w:rPr>
      </w:pPr>
      <w:r w:rsidRPr="00A54D04">
        <w:rPr>
          <w:sz w:val="18"/>
          <w:szCs w:val="18"/>
        </w:rPr>
        <w:t>Source:</w:t>
      </w:r>
      <w:r w:rsidRPr="00A54D04">
        <w:rPr>
          <w:b w:val="0"/>
          <w:sz w:val="18"/>
          <w:szCs w:val="18"/>
        </w:rPr>
        <w:t xml:space="preserve"> Department of Transport and Planning. </w:t>
      </w:r>
    </w:p>
    <w:p w14:paraId="7E72729A" w14:textId="2129346E" w:rsidR="00C71884" w:rsidRPr="00A54D04" w:rsidRDefault="00C71884" w:rsidP="00C71884">
      <w:r w:rsidRPr="00A54D04">
        <w:t xml:space="preserve">Figure 9 also shows that </w:t>
      </w:r>
      <w:r w:rsidR="00191268" w:rsidRPr="00A54D04">
        <w:t xml:space="preserve">the </w:t>
      </w:r>
      <w:r w:rsidRPr="00A54D04">
        <w:t>average transfer price for licences has increased significantly. However, the value of an accident towing licence can be difficult to assess for a variety of reasons:</w:t>
      </w:r>
    </w:p>
    <w:p w14:paraId="07A37276" w14:textId="77777777" w:rsidR="00C71884" w:rsidRPr="00A54D04" w:rsidRDefault="00C71884" w:rsidP="00C71884">
      <w:pPr>
        <w:pStyle w:val="ListBullet"/>
      </w:pPr>
      <w:r w:rsidRPr="00A54D04">
        <w:rPr>
          <w:b/>
          <w:bCs/>
        </w:rPr>
        <w:t>Licences are not readily traded</w:t>
      </w:r>
      <w:r w:rsidRPr="00A54D04">
        <w:t xml:space="preserve"> – Accident towing licence holders require the Department of Transport and Planning’s approval to transfer a licence. In addition, licences can only be traded between registered and accredited tow truck operators.</w:t>
      </w:r>
    </w:p>
    <w:p w14:paraId="246ADDBA" w14:textId="77777777" w:rsidR="00C71884" w:rsidRPr="00A54D04" w:rsidRDefault="00C71884" w:rsidP="00C71884">
      <w:pPr>
        <w:pStyle w:val="ListBullet"/>
      </w:pPr>
      <w:r w:rsidRPr="00A54D04">
        <w:rPr>
          <w:b/>
          <w:bCs/>
        </w:rPr>
        <w:t>Expected profit streams differ between allocation zones</w:t>
      </w:r>
      <w:r w:rsidRPr="00A54D04">
        <w:t xml:space="preserve"> – Each accident towing licence is associated to a particular geographic zone, which will have a different number of expected accident allocations each year.</w:t>
      </w:r>
    </w:p>
    <w:p w14:paraId="32C8FFA3" w14:textId="77777777" w:rsidR="00C71884" w:rsidRPr="00A54D04" w:rsidRDefault="00C71884" w:rsidP="00C71884">
      <w:pPr>
        <w:pStyle w:val="ListBullet"/>
      </w:pPr>
      <w:r w:rsidRPr="00A54D04">
        <w:rPr>
          <w:b/>
          <w:bCs/>
        </w:rPr>
        <w:t>Reliability of the Department of Transport licence sale data</w:t>
      </w:r>
      <w:r w:rsidRPr="00A54D04">
        <w:t xml:space="preserve"> – Not every licence transfer has a specified price in the data we have sourced from the Department of Transport and Planning, so the dataset is not a complete picture of the licence transfer values. It is also unclear whether the reported licence transfer values include other items in the sale, such as vehicles, equipment, goodwill, or other assets included with the purchase.</w:t>
      </w:r>
    </w:p>
    <w:p w14:paraId="30AD2BB4" w14:textId="103B20C5" w:rsidR="00C71884" w:rsidRPr="00A54D04" w:rsidRDefault="00C71884" w:rsidP="006A6D8A">
      <w:pPr>
        <w:pStyle w:val="ListBullet"/>
      </w:pPr>
      <w:r w:rsidRPr="00A54D04">
        <w:rPr>
          <w:b/>
          <w:bCs/>
        </w:rPr>
        <w:t>Licences provide access to unregulated revenue sources</w:t>
      </w:r>
      <w:r w:rsidRPr="00A54D04">
        <w:t xml:space="preserve"> – Licence values may also be influenced by the financial viability of services that are unregulated. For example, we previously identified that licence values are partly driven by the ability to secure smash repair work from accidents.</w:t>
      </w:r>
    </w:p>
    <w:p w14:paraId="24D61391" w14:textId="7DAEFDFD" w:rsidR="006A6D8A" w:rsidRPr="00A54D04" w:rsidRDefault="002F7E4C" w:rsidP="006A6D8A">
      <w:pPr>
        <w:pStyle w:val="Heading2"/>
      </w:pPr>
      <w:bookmarkStart w:id="423" w:name="_Toc195721950"/>
      <w:bookmarkStart w:id="424" w:name="_Toc197345307"/>
      <w:bookmarkStart w:id="425" w:name="_Toc197942476"/>
      <w:bookmarkStart w:id="426" w:name="_Toc197977749"/>
      <w:bookmarkStart w:id="427" w:name="_Toc198048738"/>
      <w:bookmarkStart w:id="428" w:name="_Toc199231611"/>
      <w:r w:rsidRPr="00A54D04">
        <w:lastRenderedPageBreak/>
        <w:t>Estimated r</w:t>
      </w:r>
      <w:r w:rsidR="00A33005" w:rsidRPr="00A54D04">
        <w:t>evenue has grown faster than costs</w:t>
      </w:r>
      <w:r w:rsidR="005A34B3">
        <w:t xml:space="preserve"> </w:t>
      </w:r>
      <w:r w:rsidR="00A33005" w:rsidRPr="00A54D04">
        <w:t xml:space="preserve">since </w:t>
      </w:r>
      <w:r w:rsidR="005A34B3">
        <w:t>2</w:t>
      </w:r>
      <w:r w:rsidR="00A33005" w:rsidRPr="00A54D04">
        <w:t>018</w:t>
      </w:r>
      <w:bookmarkEnd w:id="423"/>
      <w:bookmarkEnd w:id="424"/>
      <w:bookmarkEnd w:id="425"/>
      <w:bookmarkEnd w:id="426"/>
      <w:bookmarkEnd w:id="427"/>
      <w:bookmarkEnd w:id="428"/>
    </w:p>
    <w:p w14:paraId="196BBC9A" w14:textId="5CB329CC" w:rsidR="00305F4A" w:rsidRPr="00A54D04" w:rsidRDefault="00305F4A" w:rsidP="00305F4A">
      <w:r w:rsidRPr="00A54D04">
        <w:t xml:space="preserve">As regulated fees and accident allocations have </w:t>
      </w:r>
      <w:r w:rsidR="009931B2" w:rsidRPr="00A54D04">
        <w:t xml:space="preserve">been </w:t>
      </w:r>
      <w:r w:rsidRPr="00A54D04">
        <w:t>increas</w:t>
      </w:r>
      <w:r w:rsidR="009931B2" w:rsidRPr="00A54D04">
        <w:t>ing</w:t>
      </w:r>
      <w:r w:rsidRPr="00A54D04">
        <w:t xml:space="preserve"> since 2018, estimated revenue for accident towing services has increased</w:t>
      </w:r>
      <w:r w:rsidR="0020748F" w:rsidRPr="00A54D04">
        <w:t xml:space="preserve"> over this period. At the same time, the costs in the industry (as measured by the Melbourne Transport </w:t>
      </w:r>
      <w:r w:rsidR="00F50F4B" w:rsidRPr="00A54D04">
        <w:t>consumer price index</w:t>
      </w:r>
      <w:r w:rsidR="0020748F" w:rsidRPr="00A54D04">
        <w:t>)</w:t>
      </w:r>
      <w:r w:rsidR="00725F8D" w:rsidRPr="00A54D04">
        <w:t xml:space="preserve"> have been volatile from year-to-year and increasing at a slower rate than estimated revenue.</w:t>
      </w:r>
    </w:p>
    <w:p w14:paraId="39889962" w14:textId="51FF2E5C" w:rsidR="006A6D8A" w:rsidRPr="00A54D04" w:rsidRDefault="00BE5C58" w:rsidP="006A6D8A">
      <w:pPr>
        <w:pStyle w:val="Heading3"/>
      </w:pPr>
      <w:bookmarkStart w:id="429" w:name="_Toc195721951"/>
      <w:bookmarkStart w:id="430" w:name="_Toc197345308"/>
      <w:bookmarkStart w:id="431" w:name="_Toc197942477"/>
      <w:bookmarkStart w:id="432" w:name="_Toc197977750"/>
      <w:bookmarkStart w:id="433" w:name="_Toc198048739"/>
      <w:bookmarkStart w:id="434" w:name="_Toc199231612"/>
      <w:r w:rsidRPr="00A54D04">
        <w:t>Estimated revenue</w:t>
      </w:r>
      <w:bookmarkStart w:id="435" w:name="_Toc87891277"/>
      <w:bookmarkStart w:id="436" w:name="_Toc88486998"/>
      <w:bookmarkStart w:id="437" w:name="_Toc90279117"/>
      <w:bookmarkStart w:id="438" w:name="_Toc97931455"/>
      <w:bookmarkStart w:id="439" w:name="_Toc99634749"/>
      <w:bookmarkStart w:id="440" w:name="_Toc184041492"/>
      <w:bookmarkStart w:id="441" w:name="_Toc185321822"/>
      <w:bookmarkStart w:id="442" w:name="_Toc190265348"/>
      <w:r w:rsidR="006A6D8A" w:rsidRPr="00A54D04">
        <w:t xml:space="preserve"> </w:t>
      </w:r>
      <w:r w:rsidR="003C653F" w:rsidRPr="00A54D04">
        <w:t>increased</w:t>
      </w:r>
      <w:r w:rsidR="006A6D8A" w:rsidRPr="00A54D04">
        <w:t xml:space="preserve"> in response to </w:t>
      </w:r>
      <w:r w:rsidR="00FB38A7" w:rsidRPr="00A54D04">
        <w:t>higher</w:t>
      </w:r>
      <w:r w:rsidR="006A6D8A" w:rsidRPr="00A54D04">
        <w:t xml:space="preserve"> fees and </w:t>
      </w:r>
      <w:r w:rsidR="00AF0439" w:rsidRPr="00A54D04">
        <w:t xml:space="preserve">more </w:t>
      </w:r>
      <w:r w:rsidR="006A6D8A" w:rsidRPr="00A54D04">
        <w:t>accident allocations</w:t>
      </w:r>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p>
    <w:p w14:paraId="526C9E06" w14:textId="18937FB9" w:rsidR="00AD30A5" w:rsidRPr="00A54D04" w:rsidRDefault="00BC317E" w:rsidP="00413C4F">
      <w:r w:rsidRPr="00A54D04">
        <w:t xml:space="preserve">Between 2018 and 2023, </w:t>
      </w:r>
      <w:r w:rsidR="00FE2D07" w:rsidRPr="00A54D04">
        <w:t xml:space="preserve">estimated revenue </w:t>
      </w:r>
      <w:r w:rsidR="00D63C67" w:rsidRPr="00A54D04">
        <w:t>increased by</w:t>
      </w:r>
      <w:r w:rsidR="00FE2D07" w:rsidRPr="00A54D04">
        <w:t xml:space="preserve"> 5.7 per cent</w:t>
      </w:r>
      <w:r w:rsidR="00A848D6" w:rsidRPr="00A54D04">
        <w:t xml:space="preserve"> per year</w:t>
      </w:r>
      <w:r w:rsidR="00194077" w:rsidRPr="00A54D04">
        <w:t>, on average</w:t>
      </w:r>
      <w:r w:rsidR="001D310D" w:rsidRPr="00A54D04">
        <w:t>. This was</w:t>
      </w:r>
      <w:r w:rsidR="00B95694" w:rsidRPr="00A54D04">
        <w:t xml:space="preserve"> driven by increases </w:t>
      </w:r>
      <w:r w:rsidR="00F86DA3" w:rsidRPr="00A54D04">
        <w:t xml:space="preserve">in both regulated fees and the number of </w:t>
      </w:r>
      <w:r w:rsidR="0037238E" w:rsidRPr="00A54D04">
        <w:t>accident allocations.</w:t>
      </w:r>
      <w:r w:rsidR="00EF0618" w:rsidRPr="00A54D04">
        <w:t xml:space="preserve"> As the number of licences did not change over this period, the estimated revenue per licence also increased.</w:t>
      </w:r>
    </w:p>
    <w:p w14:paraId="6D4FCAED" w14:textId="684584E8" w:rsidR="009306F1" w:rsidRPr="00A54D04" w:rsidRDefault="009306F1" w:rsidP="00413C4F">
      <w:r w:rsidRPr="00A54D04">
        <w:t>We note estimated revenue was lower in 2020 and 2021 due to the coronavirus pandemic but was higher than pre-pandemic levels by 2022 (see Table 2</w:t>
      </w:r>
      <w:r w:rsidR="008C3EBA" w:rsidRPr="00A54D04">
        <w:t>2</w:t>
      </w:r>
      <w:r w:rsidRPr="00A54D04">
        <w:t xml:space="preserve">). </w:t>
      </w:r>
    </w:p>
    <w:p w14:paraId="17505DE9" w14:textId="77083708" w:rsidR="006A6D8A" w:rsidRPr="00A54D04" w:rsidRDefault="006A6D8A" w:rsidP="00964E60">
      <w:pPr>
        <w:pStyle w:val="Figure-Table-BoxHeading"/>
        <w:keepNext/>
        <w:keepLines/>
        <w:numPr>
          <w:ilvl w:val="0"/>
          <w:numId w:val="0"/>
        </w:numPr>
        <w:spacing w:after="0"/>
      </w:pPr>
      <w:r w:rsidRPr="00A54D04">
        <w:t>Table 2</w:t>
      </w:r>
      <w:r w:rsidR="008C3EBA" w:rsidRPr="00A54D04">
        <w:t>2</w:t>
      </w:r>
      <w:r w:rsidR="002611E9" w:rsidRPr="00A54D04">
        <w:t xml:space="preserve">. </w:t>
      </w:r>
      <w:r w:rsidRPr="00A54D04">
        <w:t xml:space="preserve">Estimated revenue </w:t>
      </w:r>
      <w:r w:rsidR="00680817" w:rsidRPr="00A54D04">
        <w:t>for acciden</w:t>
      </w:r>
      <w:r w:rsidR="00354937" w:rsidRPr="00A54D04">
        <w:t xml:space="preserve">t towing </w:t>
      </w:r>
      <w:r w:rsidR="00680817" w:rsidRPr="00A54D04">
        <w:t>in</w:t>
      </w:r>
      <w:r w:rsidRPr="00A54D04">
        <w:t xml:space="preserve"> the Melbourne </w:t>
      </w:r>
      <w:r w:rsidR="00E70BBA">
        <w:t>c</w:t>
      </w:r>
      <w:r w:rsidRPr="00A54D04">
        <w:t xml:space="preserve">ontrolled </w:t>
      </w:r>
      <w:r w:rsidR="00E70BBA">
        <w:t>a</w:t>
      </w:r>
      <w:r w:rsidRPr="00A54D04">
        <w:t>rea</w:t>
      </w:r>
    </w:p>
    <w:tbl>
      <w:tblPr>
        <w:tblStyle w:val="TableGrid"/>
        <w:tblW w:w="5074" w:type="pct"/>
        <w:tblLayout w:type="fixed"/>
        <w:tblLook w:val="04A0" w:firstRow="1" w:lastRow="0" w:firstColumn="1" w:lastColumn="0" w:noHBand="0" w:noVBand="1"/>
      </w:tblPr>
      <w:tblGrid>
        <w:gridCol w:w="2175"/>
        <w:gridCol w:w="1268"/>
        <w:gridCol w:w="1268"/>
        <w:gridCol w:w="1268"/>
        <w:gridCol w:w="1268"/>
        <w:gridCol w:w="1268"/>
        <w:gridCol w:w="1266"/>
      </w:tblGrid>
      <w:tr w:rsidR="006A6D8A" w:rsidRPr="00A54D04" w14:paraId="12C20EFD" w14:textId="77777777" w:rsidTr="00CB2601">
        <w:trPr>
          <w:cnfStyle w:val="100000000000" w:firstRow="1" w:lastRow="0" w:firstColumn="0" w:lastColumn="0" w:oddVBand="0" w:evenVBand="0" w:oddHBand="0" w:evenHBand="0" w:firstRowFirstColumn="0" w:firstRowLastColumn="0" w:lastRowFirstColumn="0" w:lastRowLastColumn="0"/>
          <w:cantSplit/>
          <w:trHeight w:val="315"/>
        </w:trPr>
        <w:tc>
          <w:tcPr>
            <w:tcW w:w="1112" w:type="pct"/>
            <w:noWrap/>
            <w:hideMark/>
          </w:tcPr>
          <w:p w14:paraId="012F633A" w14:textId="77777777" w:rsidR="006A6D8A" w:rsidRPr="00A54D04" w:rsidRDefault="006A6D8A" w:rsidP="007C3E08">
            <w:pPr>
              <w:pStyle w:val="TableHeading"/>
              <w:keepNext/>
              <w:keepLines/>
              <w:rPr>
                <w:lang w:eastAsia="en-AU"/>
              </w:rPr>
            </w:pPr>
            <w:r w:rsidRPr="00A54D04">
              <w:rPr>
                <w:lang w:eastAsia="en-AU"/>
              </w:rPr>
              <w:t> </w:t>
            </w:r>
          </w:p>
        </w:tc>
        <w:tc>
          <w:tcPr>
            <w:tcW w:w="648" w:type="pct"/>
            <w:noWrap/>
            <w:hideMark/>
          </w:tcPr>
          <w:p w14:paraId="11FE68A9" w14:textId="77777777" w:rsidR="006A6D8A" w:rsidRPr="00A54D04" w:rsidRDefault="006A6D8A" w:rsidP="007C3E08">
            <w:pPr>
              <w:pStyle w:val="TableHeading"/>
              <w:keepNext/>
              <w:keepLines/>
              <w:jc w:val="right"/>
              <w:rPr>
                <w:bCs/>
                <w:lang w:eastAsia="en-AU"/>
              </w:rPr>
            </w:pPr>
            <w:r w:rsidRPr="00A54D04">
              <w:t>2018</w:t>
            </w:r>
          </w:p>
        </w:tc>
        <w:tc>
          <w:tcPr>
            <w:tcW w:w="648" w:type="pct"/>
            <w:noWrap/>
            <w:hideMark/>
          </w:tcPr>
          <w:p w14:paraId="6801E4E6" w14:textId="77777777" w:rsidR="006A6D8A" w:rsidRPr="00A54D04" w:rsidRDefault="006A6D8A" w:rsidP="007C3E08">
            <w:pPr>
              <w:pStyle w:val="TableHeading"/>
              <w:keepNext/>
              <w:keepLines/>
              <w:jc w:val="right"/>
              <w:rPr>
                <w:bCs/>
                <w:lang w:eastAsia="en-AU"/>
              </w:rPr>
            </w:pPr>
            <w:r w:rsidRPr="00A54D04">
              <w:t>2019</w:t>
            </w:r>
          </w:p>
        </w:tc>
        <w:tc>
          <w:tcPr>
            <w:tcW w:w="648" w:type="pct"/>
            <w:noWrap/>
            <w:hideMark/>
          </w:tcPr>
          <w:p w14:paraId="2BB7382A" w14:textId="77777777" w:rsidR="006A6D8A" w:rsidRPr="00A54D04" w:rsidRDefault="006A6D8A" w:rsidP="007C3E08">
            <w:pPr>
              <w:pStyle w:val="TableHeading"/>
              <w:keepNext/>
              <w:keepLines/>
              <w:jc w:val="right"/>
              <w:rPr>
                <w:bCs/>
                <w:lang w:eastAsia="en-AU"/>
              </w:rPr>
            </w:pPr>
            <w:r w:rsidRPr="00A54D04">
              <w:t>2020</w:t>
            </w:r>
          </w:p>
        </w:tc>
        <w:tc>
          <w:tcPr>
            <w:tcW w:w="648" w:type="pct"/>
            <w:noWrap/>
            <w:hideMark/>
          </w:tcPr>
          <w:p w14:paraId="2EF274EE" w14:textId="77777777" w:rsidR="006A6D8A" w:rsidRPr="00A54D04" w:rsidRDefault="006A6D8A" w:rsidP="007C3E08">
            <w:pPr>
              <w:pStyle w:val="TableHeading"/>
              <w:keepNext/>
              <w:keepLines/>
              <w:jc w:val="right"/>
              <w:rPr>
                <w:bCs/>
                <w:lang w:eastAsia="en-AU"/>
              </w:rPr>
            </w:pPr>
            <w:r w:rsidRPr="00A54D04">
              <w:t>2021</w:t>
            </w:r>
          </w:p>
        </w:tc>
        <w:tc>
          <w:tcPr>
            <w:tcW w:w="648" w:type="pct"/>
            <w:noWrap/>
            <w:hideMark/>
          </w:tcPr>
          <w:p w14:paraId="267CA7DA" w14:textId="77777777" w:rsidR="006A6D8A" w:rsidRPr="00A54D04" w:rsidRDefault="006A6D8A" w:rsidP="007C3E08">
            <w:pPr>
              <w:pStyle w:val="TableHeading"/>
              <w:keepNext/>
              <w:keepLines/>
              <w:jc w:val="right"/>
              <w:rPr>
                <w:bCs/>
                <w:lang w:eastAsia="en-AU"/>
              </w:rPr>
            </w:pPr>
            <w:r w:rsidRPr="00A54D04">
              <w:t>2022</w:t>
            </w:r>
          </w:p>
        </w:tc>
        <w:tc>
          <w:tcPr>
            <w:tcW w:w="647" w:type="pct"/>
            <w:noWrap/>
            <w:hideMark/>
          </w:tcPr>
          <w:p w14:paraId="1740246C" w14:textId="77777777" w:rsidR="006A6D8A" w:rsidRPr="00A54D04" w:rsidRDefault="006A6D8A" w:rsidP="007C3E08">
            <w:pPr>
              <w:pStyle w:val="TableHeading"/>
              <w:keepNext/>
              <w:keepLines/>
              <w:jc w:val="right"/>
              <w:rPr>
                <w:bCs/>
                <w:lang w:eastAsia="en-AU"/>
              </w:rPr>
            </w:pPr>
            <w:r w:rsidRPr="00A54D04">
              <w:t>2023</w:t>
            </w:r>
          </w:p>
        </w:tc>
      </w:tr>
      <w:tr w:rsidR="006A6D8A" w:rsidRPr="00A54D04" w14:paraId="07095363" w14:textId="77777777" w:rsidTr="00CB2601">
        <w:trPr>
          <w:cnfStyle w:val="000000100000" w:firstRow="0" w:lastRow="0" w:firstColumn="0" w:lastColumn="0" w:oddVBand="0" w:evenVBand="0" w:oddHBand="1" w:evenHBand="0" w:firstRowFirstColumn="0" w:firstRowLastColumn="0" w:lastRowFirstColumn="0" w:lastRowLastColumn="0"/>
          <w:cantSplit/>
          <w:trHeight w:val="300"/>
        </w:trPr>
        <w:tc>
          <w:tcPr>
            <w:tcW w:w="1112" w:type="pct"/>
            <w:noWrap/>
          </w:tcPr>
          <w:p w14:paraId="39C5CBE3" w14:textId="77777777" w:rsidR="006A6D8A" w:rsidRPr="00A54D04" w:rsidRDefault="006A6D8A" w:rsidP="007C3E08">
            <w:pPr>
              <w:pStyle w:val="TableBody"/>
              <w:keepNext/>
              <w:keepLines/>
            </w:pPr>
            <w:r w:rsidRPr="00A54D04">
              <w:t>Estimated revenue</w:t>
            </w:r>
          </w:p>
        </w:tc>
        <w:tc>
          <w:tcPr>
            <w:tcW w:w="648" w:type="pct"/>
            <w:noWrap/>
          </w:tcPr>
          <w:p w14:paraId="742BA458" w14:textId="6FD1E24C" w:rsidR="006A6D8A" w:rsidRPr="00A54D04" w:rsidRDefault="006A6D8A" w:rsidP="007C3E08">
            <w:pPr>
              <w:pStyle w:val="TableBody"/>
              <w:keepNext/>
              <w:keepLines/>
            </w:pPr>
            <w:r w:rsidRPr="00A54D04">
              <w:t xml:space="preserve">21,132,262 </w:t>
            </w:r>
          </w:p>
        </w:tc>
        <w:tc>
          <w:tcPr>
            <w:tcW w:w="648" w:type="pct"/>
            <w:noWrap/>
          </w:tcPr>
          <w:p w14:paraId="494CBEDA" w14:textId="61E383CE" w:rsidR="006A6D8A" w:rsidRPr="00A54D04" w:rsidRDefault="006A6D8A" w:rsidP="007C3E08">
            <w:pPr>
              <w:pStyle w:val="TableBody"/>
              <w:keepNext/>
              <w:keepLines/>
              <w:jc w:val="right"/>
            </w:pPr>
            <w:r w:rsidRPr="00A54D04">
              <w:t xml:space="preserve">22,153,096 </w:t>
            </w:r>
          </w:p>
        </w:tc>
        <w:tc>
          <w:tcPr>
            <w:tcW w:w="648" w:type="pct"/>
            <w:noWrap/>
          </w:tcPr>
          <w:p w14:paraId="204286D7" w14:textId="70445BF6" w:rsidR="006A6D8A" w:rsidRPr="00A54D04" w:rsidRDefault="006A6D8A" w:rsidP="007C3E08">
            <w:pPr>
              <w:pStyle w:val="TableBody"/>
              <w:keepNext/>
              <w:keepLines/>
              <w:jc w:val="right"/>
            </w:pPr>
            <w:r w:rsidRPr="00A54D04">
              <w:t xml:space="preserve">15,774,449 </w:t>
            </w:r>
          </w:p>
        </w:tc>
        <w:tc>
          <w:tcPr>
            <w:tcW w:w="648" w:type="pct"/>
            <w:noWrap/>
          </w:tcPr>
          <w:p w14:paraId="333BB12F" w14:textId="0988DC50" w:rsidR="006A6D8A" w:rsidRPr="00A54D04" w:rsidRDefault="006A6D8A" w:rsidP="007C3E08">
            <w:pPr>
              <w:pStyle w:val="TableBody"/>
              <w:keepNext/>
              <w:keepLines/>
              <w:jc w:val="right"/>
            </w:pPr>
            <w:r w:rsidRPr="00A54D04">
              <w:t xml:space="preserve">19,362,064 </w:t>
            </w:r>
          </w:p>
        </w:tc>
        <w:tc>
          <w:tcPr>
            <w:tcW w:w="648" w:type="pct"/>
            <w:noWrap/>
          </w:tcPr>
          <w:p w14:paraId="14093211" w14:textId="6278AAEC" w:rsidR="006A6D8A" w:rsidRPr="00A54D04" w:rsidRDefault="006A6D8A" w:rsidP="007C3E08">
            <w:pPr>
              <w:pStyle w:val="TableBody"/>
              <w:keepNext/>
              <w:keepLines/>
              <w:jc w:val="right"/>
            </w:pPr>
            <w:r w:rsidRPr="00A54D04">
              <w:t xml:space="preserve">24,974,462 </w:t>
            </w:r>
          </w:p>
        </w:tc>
        <w:tc>
          <w:tcPr>
            <w:tcW w:w="647" w:type="pct"/>
            <w:noWrap/>
          </w:tcPr>
          <w:p w14:paraId="3FD26F6C" w14:textId="4A4212F9" w:rsidR="006A6D8A" w:rsidRPr="00A54D04" w:rsidRDefault="006A6D8A" w:rsidP="007C3E08">
            <w:pPr>
              <w:pStyle w:val="TableBody"/>
              <w:keepNext/>
              <w:keepLines/>
              <w:jc w:val="right"/>
            </w:pPr>
            <w:r w:rsidRPr="00A54D04">
              <w:t xml:space="preserve">27,859,296 </w:t>
            </w:r>
          </w:p>
        </w:tc>
      </w:tr>
      <w:tr w:rsidR="006A6D8A" w:rsidRPr="00A54D04" w14:paraId="62AD679B" w14:textId="77777777" w:rsidTr="00CB2601">
        <w:trPr>
          <w:cnfStyle w:val="000000010000" w:firstRow="0" w:lastRow="0" w:firstColumn="0" w:lastColumn="0" w:oddVBand="0" w:evenVBand="0" w:oddHBand="0" w:evenHBand="1" w:firstRowFirstColumn="0" w:firstRowLastColumn="0" w:lastRowFirstColumn="0" w:lastRowLastColumn="0"/>
          <w:cantSplit/>
          <w:trHeight w:val="300"/>
        </w:trPr>
        <w:tc>
          <w:tcPr>
            <w:tcW w:w="1112" w:type="pct"/>
            <w:noWrap/>
          </w:tcPr>
          <w:p w14:paraId="0BD0A594" w14:textId="065F0FAF" w:rsidR="006A6D8A" w:rsidRPr="00A54D04" w:rsidRDefault="006A6D8A" w:rsidP="007C3E08">
            <w:pPr>
              <w:pStyle w:val="TableBody"/>
              <w:keepNext/>
              <w:keepLines/>
            </w:pPr>
            <w:r w:rsidRPr="00A54D04">
              <w:rPr>
                <w:lang w:eastAsia="en-AU"/>
              </w:rPr>
              <w:t>Estimated revenue per licence</w:t>
            </w:r>
          </w:p>
        </w:tc>
        <w:tc>
          <w:tcPr>
            <w:tcW w:w="648" w:type="pct"/>
            <w:noWrap/>
          </w:tcPr>
          <w:p w14:paraId="5E6CE379" w14:textId="77777777" w:rsidR="006A6D8A" w:rsidRPr="00A54D04" w:rsidRDefault="006A6D8A" w:rsidP="007C3E08">
            <w:pPr>
              <w:pStyle w:val="TableBody"/>
              <w:keepNext/>
              <w:keepLines/>
              <w:jc w:val="right"/>
            </w:pPr>
            <w:r w:rsidRPr="00A54D04">
              <w:t xml:space="preserve"> 50,195 </w:t>
            </w:r>
          </w:p>
        </w:tc>
        <w:tc>
          <w:tcPr>
            <w:tcW w:w="648" w:type="pct"/>
            <w:noWrap/>
          </w:tcPr>
          <w:p w14:paraId="125F8874" w14:textId="77777777" w:rsidR="006A6D8A" w:rsidRPr="00A54D04" w:rsidRDefault="006A6D8A" w:rsidP="007C3E08">
            <w:pPr>
              <w:pStyle w:val="TableBody"/>
              <w:keepNext/>
              <w:keepLines/>
              <w:jc w:val="right"/>
            </w:pPr>
            <w:r w:rsidRPr="00A54D04">
              <w:t xml:space="preserve"> 52,620 </w:t>
            </w:r>
          </w:p>
        </w:tc>
        <w:tc>
          <w:tcPr>
            <w:tcW w:w="648" w:type="pct"/>
            <w:noWrap/>
          </w:tcPr>
          <w:p w14:paraId="76028867" w14:textId="77777777" w:rsidR="006A6D8A" w:rsidRPr="00A54D04" w:rsidRDefault="006A6D8A" w:rsidP="007C3E08">
            <w:pPr>
              <w:pStyle w:val="TableBody"/>
              <w:keepNext/>
              <w:keepLines/>
              <w:jc w:val="right"/>
            </w:pPr>
            <w:r w:rsidRPr="00A54D04">
              <w:t xml:space="preserve"> 37,469 </w:t>
            </w:r>
          </w:p>
        </w:tc>
        <w:tc>
          <w:tcPr>
            <w:tcW w:w="648" w:type="pct"/>
            <w:noWrap/>
          </w:tcPr>
          <w:p w14:paraId="5A37D572" w14:textId="77777777" w:rsidR="006A6D8A" w:rsidRPr="00A54D04" w:rsidRDefault="006A6D8A" w:rsidP="007C3E08">
            <w:pPr>
              <w:pStyle w:val="TableBody"/>
              <w:keepNext/>
              <w:keepLines/>
              <w:jc w:val="right"/>
            </w:pPr>
            <w:r w:rsidRPr="00A54D04">
              <w:t xml:space="preserve"> 45,991 </w:t>
            </w:r>
          </w:p>
        </w:tc>
        <w:tc>
          <w:tcPr>
            <w:tcW w:w="648" w:type="pct"/>
            <w:noWrap/>
          </w:tcPr>
          <w:p w14:paraId="2B046456" w14:textId="77777777" w:rsidR="006A6D8A" w:rsidRPr="00A54D04" w:rsidRDefault="006A6D8A" w:rsidP="007C3E08">
            <w:pPr>
              <w:pStyle w:val="TableBody"/>
              <w:keepNext/>
              <w:keepLines/>
              <w:jc w:val="right"/>
            </w:pPr>
            <w:r w:rsidRPr="00A54D04">
              <w:t xml:space="preserve"> 59,322 </w:t>
            </w:r>
          </w:p>
        </w:tc>
        <w:tc>
          <w:tcPr>
            <w:tcW w:w="647" w:type="pct"/>
            <w:noWrap/>
          </w:tcPr>
          <w:p w14:paraId="6289FCA0" w14:textId="77777777" w:rsidR="006A6D8A" w:rsidRPr="00A54D04" w:rsidRDefault="006A6D8A" w:rsidP="007C3E08">
            <w:pPr>
              <w:pStyle w:val="TableBody"/>
              <w:keepNext/>
              <w:keepLines/>
              <w:jc w:val="right"/>
            </w:pPr>
            <w:r w:rsidRPr="00A54D04">
              <w:t xml:space="preserve"> 66,174 </w:t>
            </w:r>
          </w:p>
        </w:tc>
      </w:tr>
      <w:tr w:rsidR="006A6D8A" w:rsidRPr="00A54D04" w14:paraId="40EF1625" w14:textId="77777777" w:rsidTr="00CB2601">
        <w:trPr>
          <w:cnfStyle w:val="000000100000" w:firstRow="0" w:lastRow="0" w:firstColumn="0" w:lastColumn="0" w:oddVBand="0" w:evenVBand="0" w:oddHBand="1" w:evenHBand="0" w:firstRowFirstColumn="0" w:firstRowLastColumn="0" w:lastRowFirstColumn="0" w:lastRowLastColumn="0"/>
          <w:cantSplit/>
          <w:trHeight w:val="300"/>
        </w:trPr>
        <w:tc>
          <w:tcPr>
            <w:tcW w:w="1112" w:type="pct"/>
            <w:noWrap/>
          </w:tcPr>
          <w:p w14:paraId="316C8B36" w14:textId="77777777" w:rsidR="006A6D8A" w:rsidRPr="00A54D04" w:rsidRDefault="006A6D8A" w:rsidP="007C3E08">
            <w:pPr>
              <w:pStyle w:val="TableBody"/>
              <w:keepNext/>
              <w:keepLines/>
            </w:pPr>
            <w:r w:rsidRPr="00A54D04">
              <w:t>Annual increase</w:t>
            </w:r>
          </w:p>
        </w:tc>
        <w:tc>
          <w:tcPr>
            <w:tcW w:w="648" w:type="pct"/>
            <w:noWrap/>
          </w:tcPr>
          <w:p w14:paraId="2C2571A8" w14:textId="77777777" w:rsidR="006A6D8A" w:rsidRPr="00A54D04" w:rsidRDefault="006A6D8A" w:rsidP="007C3E08">
            <w:pPr>
              <w:pStyle w:val="TableBody"/>
              <w:keepNext/>
              <w:keepLines/>
              <w:jc w:val="right"/>
            </w:pPr>
            <w:r w:rsidRPr="00A54D04">
              <w:t>15.0%</w:t>
            </w:r>
          </w:p>
        </w:tc>
        <w:tc>
          <w:tcPr>
            <w:tcW w:w="648" w:type="pct"/>
            <w:noWrap/>
          </w:tcPr>
          <w:p w14:paraId="3386081C" w14:textId="77777777" w:rsidR="006A6D8A" w:rsidRPr="00A54D04" w:rsidRDefault="006A6D8A" w:rsidP="007C3E08">
            <w:pPr>
              <w:pStyle w:val="TableBody"/>
              <w:keepNext/>
              <w:keepLines/>
              <w:jc w:val="right"/>
            </w:pPr>
            <w:r w:rsidRPr="00A54D04">
              <w:t>4.8%</w:t>
            </w:r>
          </w:p>
        </w:tc>
        <w:tc>
          <w:tcPr>
            <w:tcW w:w="648" w:type="pct"/>
            <w:noWrap/>
          </w:tcPr>
          <w:p w14:paraId="37F1D7FD" w14:textId="77777777" w:rsidR="006A6D8A" w:rsidRPr="00A54D04" w:rsidRDefault="006A6D8A" w:rsidP="007C3E08">
            <w:pPr>
              <w:pStyle w:val="TableBody"/>
              <w:keepNext/>
              <w:keepLines/>
              <w:jc w:val="right"/>
            </w:pPr>
            <w:r w:rsidRPr="00A54D04">
              <w:t>-28.8%</w:t>
            </w:r>
          </w:p>
        </w:tc>
        <w:tc>
          <w:tcPr>
            <w:tcW w:w="648" w:type="pct"/>
            <w:noWrap/>
          </w:tcPr>
          <w:p w14:paraId="53F7D921" w14:textId="77777777" w:rsidR="006A6D8A" w:rsidRPr="00A54D04" w:rsidRDefault="006A6D8A" w:rsidP="007C3E08">
            <w:pPr>
              <w:pStyle w:val="TableBody"/>
              <w:keepNext/>
              <w:keepLines/>
              <w:jc w:val="right"/>
            </w:pPr>
            <w:r w:rsidRPr="00A54D04">
              <w:t>22.7%</w:t>
            </w:r>
          </w:p>
        </w:tc>
        <w:tc>
          <w:tcPr>
            <w:tcW w:w="648" w:type="pct"/>
            <w:noWrap/>
          </w:tcPr>
          <w:p w14:paraId="6651A71F" w14:textId="77777777" w:rsidR="006A6D8A" w:rsidRPr="00A54D04" w:rsidRDefault="006A6D8A" w:rsidP="007C3E08">
            <w:pPr>
              <w:pStyle w:val="TableBody"/>
              <w:keepNext/>
              <w:keepLines/>
              <w:jc w:val="right"/>
            </w:pPr>
            <w:r w:rsidRPr="00A54D04">
              <w:t>29.0%</w:t>
            </w:r>
          </w:p>
        </w:tc>
        <w:tc>
          <w:tcPr>
            <w:tcW w:w="647" w:type="pct"/>
            <w:noWrap/>
          </w:tcPr>
          <w:p w14:paraId="65852BD2" w14:textId="77777777" w:rsidR="006A6D8A" w:rsidRPr="00A54D04" w:rsidRDefault="006A6D8A" w:rsidP="007C3E08">
            <w:pPr>
              <w:pStyle w:val="TableBody"/>
              <w:keepNext/>
              <w:keepLines/>
              <w:jc w:val="right"/>
            </w:pPr>
            <w:r w:rsidRPr="00A54D04">
              <w:t>11.6%</w:t>
            </w:r>
          </w:p>
        </w:tc>
      </w:tr>
    </w:tbl>
    <w:p w14:paraId="33624C48" w14:textId="05CBEDD7" w:rsidR="00C8349B" w:rsidRPr="00A54D04" w:rsidRDefault="00C8349B" w:rsidP="007C3E08">
      <w:pPr>
        <w:pStyle w:val="Caption"/>
        <w:keepNext/>
        <w:keepLines/>
        <w:spacing w:after="0"/>
      </w:pPr>
      <w:r w:rsidRPr="00A54D04">
        <w:rPr>
          <w:b/>
          <w:bCs/>
        </w:rPr>
        <w:t>Note:</w:t>
      </w:r>
      <w:r w:rsidRPr="00A54D04">
        <w:t xml:space="preserve"> This assumes that the average accident tow includes 22 km travel distance</w:t>
      </w:r>
      <w:r w:rsidR="00E10531" w:rsidRPr="00A54D04">
        <w:t xml:space="preserve"> and</w:t>
      </w:r>
      <w:r w:rsidRPr="00A54D04">
        <w:t xml:space="preserve"> </w:t>
      </w:r>
      <w:r w:rsidR="00575817" w:rsidRPr="00A54D04">
        <w:t xml:space="preserve">no </w:t>
      </w:r>
      <w:r w:rsidRPr="00A54D04">
        <w:t>storage</w:t>
      </w:r>
      <w:r w:rsidR="00E10531" w:rsidRPr="00A54D04">
        <w:t>,</w:t>
      </w:r>
      <w:r w:rsidRPr="00A54D04">
        <w:t xml:space="preserve"> and 46 per cent of jobs occur during business hours. </w:t>
      </w:r>
    </w:p>
    <w:p w14:paraId="33D7E681" w14:textId="179B1431" w:rsidR="008055D5" w:rsidRPr="00A54D04" w:rsidRDefault="006A6D8A" w:rsidP="007C3E08">
      <w:pPr>
        <w:pStyle w:val="Caption"/>
        <w:keepNext/>
        <w:keepLines/>
        <w:spacing w:before="0" w:after="0"/>
      </w:pPr>
      <w:r w:rsidRPr="00A54D04">
        <w:rPr>
          <w:b/>
          <w:bCs/>
        </w:rPr>
        <w:t>Source:</w:t>
      </w:r>
      <w:r w:rsidRPr="00A54D04">
        <w:t xml:space="preserve"> </w:t>
      </w:r>
      <w:r w:rsidR="003B4E8A" w:rsidRPr="00A54D04">
        <w:t xml:space="preserve">Essential Services </w:t>
      </w:r>
      <w:r w:rsidRPr="00A54D04">
        <w:t>Commission analysis</w:t>
      </w:r>
      <w:r w:rsidR="00BB5B01" w:rsidRPr="00A54D04">
        <w:t>.</w:t>
      </w:r>
    </w:p>
    <w:p w14:paraId="43F8C473" w14:textId="2E78697F" w:rsidR="006A6D8A" w:rsidRPr="00A54D04" w:rsidRDefault="006A6D8A" w:rsidP="006A6D8A">
      <w:pPr>
        <w:pStyle w:val="Heading3"/>
      </w:pPr>
      <w:bookmarkStart w:id="443" w:name="_Toc87891278"/>
      <w:bookmarkStart w:id="444" w:name="_Toc88486999"/>
      <w:bookmarkStart w:id="445" w:name="_Toc90279118"/>
      <w:bookmarkStart w:id="446" w:name="_Toc97931456"/>
      <w:bookmarkStart w:id="447" w:name="_Toc99634750"/>
      <w:bookmarkStart w:id="448" w:name="_Toc184041493"/>
      <w:bookmarkStart w:id="449" w:name="_Toc185321823"/>
      <w:bookmarkStart w:id="450" w:name="_Toc190265349"/>
      <w:bookmarkStart w:id="451" w:name="_Toc195721952"/>
      <w:bookmarkStart w:id="452" w:name="_Toc197345309"/>
      <w:bookmarkStart w:id="453" w:name="_Toc197942478"/>
      <w:bookmarkStart w:id="454" w:name="_Toc197977751"/>
      <w:bookmarkStart w:id="455" w:name="_Toc198048740"/>
      <w:bookmarkStart w:id="456" w:name="_Toc199231613"/>
      <w:r w:rsidRPr="00A54D04">
        <w:t>Costs</w:t>
      </w:r>
      <w:r w:rsidR="00EF0AA2" w:rsidRPr="00A54D04">
        <w:t xml:space="preserve"> </w:t>
      </w:r>
      <w:r w:rsidR="00463D80" w:rsidRPr="00A54D04">
        <w:t>have increased</w:t>
      </w:r>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p>
    <w:p w14:paraId="68FA1683" w14:textId="2C98928A" w:rsidR="00944149" w:rsidRPr="00A54D04" w:rsidRDefault="00944149" w:rsidP="006A6D8A">
      <w:r w:rsidRPr="00A54D04">
        <w:t>We estimated changes in costs for the accident towing industry using the Melbourne Transport consumer price index published by the Australian Bureau of Statistics.</w:t>
      </w:r>
      <w:r w:rsidR="00F52B04" w:rsidRPr="00A54D04">
        <w:t xml:space="preserve"> We also considered the</w:t>
      </w:r>
      <w:r w:rsidR="00B85B8D" w:rsidRPr="00A54D04">
        <w:t xml:space="preserve"> Melbourne insurance and financial services index, and the</w:t>
      </w:r>
      <w:r w:rsidR="00F52B04" w:rsidRPr="00A54D04">
        <w:t xml:space="preserve"> Melbourne wage price index, which estimates changes in labour costs.</w:t>
      </w:r>
    </w:p>
    <w:p w14:paraId="576F0412" w14:textId="3ED6C783" w:rsidR="00D60F91" w:rsidRPr="00A54D04" w:rsidRDefault="003B11B8" w:rsidP="006A6D8A">
      <w:r w:rsidRPr="00A54D04">
        <w:t>Table 2</w:t>
      </w:r>
      <w:r w:rsidR="008C3EBA" w:rsidRPr="00A54D04">
        <w:t>3</w:t>
      </w:r>
      <w:r w:rsidRPr="00A54D04">
        <w:t xml:space="preserve"> shows the change</w:t>
      </w:r>
      <w:r w:rsidR="00501704" w:rsidRPr="00A54D04">
        <w:t>s</w:t>
      </w:r>
      <w:r w:rsidRPr="00A54D04">
        <w:t xml:space="preserve"> in the Melbourne Transport consumer price index</w:t>
      </w:r>
      <w:r w:rsidR="00F52B04" w:rsidRPr="00A54D04">
        <w:t>,</w:t>
      </w:r>
      <w:r w:rsidR="00E151C4" w:rsidRPr="00A54D04">
        <w:t xml:space="preserve"> its </w:t>
      </w:r>
      <w:r w:rsidR="006019B6" w:rsidRPr="00A54D04">
        <w:t>cost component indices</w:t>
      </w:r>
      <w:r w:rsidR="007939AF" w:rsidRPr="00A54D04">
        <w:t xml:space="preserve">, </w:t>
      </w:r>
      <w:r w:rsidR="00BD492C" w:rsidRPr="00A54D04">
        <w:t xml:space="preserve">the Melbourne </w:t>
      </w:r>
      <w:r w:rsidR="007939AF" w:rsidRPr="00A54D04">
        <w:t xml:space="preserve">insurance and financial services price index </w:t>
      </w:r>
      <w:r w:rsidR="00F52B04" w:rsidRPr="00A54D04">
        <w:t xml:space="preserve">and the </w:t>
      </w:r>
      <w:r w:rsidR="0001503B" w:rsidRPr="00A54D04">
        <w:t xml:space="preserve">Melbourne </w:t>
      </w:r>
      <w:r w:rsidR="00F52B04" w:rsidRPr="00A54D04">
        <w:t>wage price index</w:t>
      </w:r>
      <w:r w:rsidR="00F375A8" w:rsidRPr="00A54D04">
        <w:t xml:space="preserve">. </w:t>
      </w:r>
    </w:p>
    <w:p w14:paraId="525EE2F8" w14:textId="77777777" w:rsidR="00AB4819" w:rsidRPr="00A54D04" w:rsidRDefault="00D311D5" w:rsidP="006A6D8A">
      <w:bookmarkStart w:id="457" w:name="_Hlk196940878"/>
      <w:r w:rsidRPr="00A54D04">
        <w:t xml:space="preserve">While the cost indices </w:t>
      </w:r>
      <w:r w:rsidR="00C07B33" w:rsidRPr="00A54D04">
        <w:t>have been</w:t>
      </w:r>
      <w:r w:rsidRPr="00A54D04">
        <w:t xml:space="preserve"> volatile from year-to-year</w:t>
      </w:r>
      <w:r w:rsidR="004C679A" w:rsidRPr="00A54D04">
        <w:t>, all indices increased</w:t>
      </w:r>
      <w:r w:rsidR="00440310" w:rsidRPr="00A54D04">
        <w:t xml:space="preserve"> </w:t>
      </w:r>
      <w:r w:rsidR="006A3C4F" w:rsidRPr="00A54D04">
        <w:t xml:space="preserve">over </w:t>
      </w:r>
      <w:r w:rsidR="00F52B04" w:rsidRPr="00A54D04">
        <w:t xml:space="preserve">the </w:t>
      </w:r>
      <w:r w:rsidR="007D55F2" w:rsidRPr="00A54D04">
        <w:t>long-term.</w:t>
      </w:r>
      <w:r w:rsidR="002112BF" w:rsidRPr="00A54D04">
        <w:t xml:space="preserve"> </w:t>
      </w:r>
      <w:r w:rsidR="00AF0B00" w:rsidRPr="00A54D04">
        <w:t>Between</w:t>
      </w:r>
      <w:r w:rsidR="00F52B04" w:rsidRPr="00A54D04">
        <w:t xml:space="preserve"> 2018 </w:t>
      </w:r>
      <w:r w:rsidR="00AF0B00" w:rsidRPr="00A54D04">
        <w:t>and</w:t>
      </w:r>
      <w:r w:rsidR="00F52B04" w:rsidRPr="00A54D04">
        <w:t xml:space="preserve"> 2023</w:t>
      </w:r>
      <w:r w:rsidR="00AF0B00" w:rsidRPr="00A54D04">
        <w:t>, t</w:t>
      </w:r>
      <w:r w:rsidR="002112BF" w:rsidRPr="00A54D04">
        <w:t xml:space="preserve">he </w:t>
      </w:r>
      <w:r w:rsidR="007F7AAA" w:rsidRPr="00A54D04">
        <w:t>average annual</w:t>
      </w:r>
      <w:r w:rsidR="002112BF" w:rsidRPr="00A54D04">
        <w:t xml:space="preserve"> increases </w:t>
      </w:r>
      <w:r w:rsidR="00125536" w:rsidRPr="00A54D04">
        <w:t xml:space="preserve">in each cost </w:t>
      </w:r>
      <w:r w:rsidR="008B5498" w:rsidRPr="00A54D04">
        <w:t>component</w:t>
      </w:r>
      <w:r w:rsidR="002112BF" w:rsidRPr="00A54D04">
        <w:t xml:space="preserve"> ranged from </w:t>
      </w:r>
      <w:r w:rsidR="002112BF" w:rsidRPr="00A54D04">
        <w:lastRenderedPageBreak/>
        <w:t>1.2</w:t>
      </w:r>
      <w:r w:rsidR="00C10A02" w:rsidRPr="00A54D04">
        <w:t> </w:t>
      </w:r>
      <w:r w:rsidR="002112BF" w:rsidRPr="00A54D04">
        <w:t>per cent to 5.7</w:t>
      </w:r>
      <w:r w:rsidR="008B5498" w:rsidRPr="00A54D04">
        <w:t> </w:t>
      </w:r>
      <w:r w:rsidR="002112BF" w:rsidRPr="00A54D04">
        <w:t>per cent</w:t>
      </w:r>
      <w:r w:rsidR="00185A2E" w:rsidRPr="00A54D04">
        <w:t>. This</w:t>
      </w:r>
      <w:r w:rsidR="00F52B04" w:rsidRPr="00A54D04">
        <w:t xml:space="preserve"> is lower than the </w:t>
      </w:r>
      <w:r w:rsidR="00A835A9" w:rsidRPr="00A54D04">
        <w:t xml:space="preserve">average annual </w:t>
      </w:r>
      <w:r w:rsidR="00F52B04" w:rsidRPr="00A54D04">
        <w:t>growth in estimated revenue</w:t>
      </w:r>
      <w:r w:rsidR="00A835A9" w:rsidRPr="00A54D04">
        <w:t xml:space="preserve"> </w:t>
      </w:r>
      <w:r w:rsidR="002560E7" w:rsidRPr="00A54D04">
        <w:t xml:space="preserve">over the same period </w:t>
      </w:r>
      <w:r w:rsidR="00A835A9" w:rsidRPr="00A54D04">
        <w:t>(5.7 per cent per year)</w:t>
      </w:r>
      <w:r w:rsidR="00853DD7" w:rsidRPr="00A54D04">
        <w:t>.</w:t>
      </w:r>
    </w:p>
    <w:bookmarkEnd w:id="457"/>
    <w:p w14:paraId="54EBF822" w14:textId="50B0D1AB" w:rsidR="006A6D8A" w:rsidRPr="00A54D04" w:rsidRDefault="006A6D8A" w:rsidP="00B85B8D">
      <w:pPr>
        <w:pStyle w:val="Figure-Table-BoxHeading"/>
        <w:numPr>
          <w:ilvl w:val="0"/>
          <w:numId w:val="0"/>
        </w:numPr>
        <w:spacing w:after="0"/>
        <w:ind w:left="851" w:hanging="851"/>
      </w:pPr>
      <w:r w:rsidRPr="00A54D04">
        <w:t>Table 2</w:t>
      </w:r>
      <w:r w:rsidR="008C3EBA" w:rsidRPr="00A54D04">
        <w:t>3</w:t>
      </w:r>
      <w:r w:rsidR="00680B6E" w:rsidRPr="00A54D04">
        <w:t xml:space="preserve">. </w:t>
      </w:r>
      <w:r w:rsidRPr="00A54D04">
        <w:t xml:space="preserve">Annual percentage changes in </w:t>
      </w:r>
      <w:r w:rsidR="00091F33" w:rsidRPr="00A54D04">
        <w:t>cost indices</w:t>
      </w:r>
    </w:p>
    <w:tbl>
      <w:tblPr>
        <w:tblStyle w:val="TableGrid"/>
        <w:tblW w:w="5000" w:type="pct"/>
        <w:tblLayout w:type="fixed"/>
        <w:tblLook w:val="04A0" w:firstRow="1" w:lastRow="0" w:firstColumn="1" w:lastColumn="0" w:noHBand="0" w:noVBand="1"/>
      </w:tblPr>
      <w:tblGrid>
        <w:gridCol w:w="2264"/>
        <w:gridCol w:w="995"/>
        <w:gridCol w:w="993"/>
        <w:gridCol w:w="993"/>
        <w:gridCol w:w="1135"/>
        <w:gridCol w:w="1135"/>
        <w:gridCol w:w="993"/>
        <w:gridCol w:w="1130"/>
      </w:tblGrid>
      <w:tr w:rsidR="006630F4" w:rsidRPr="00A54D04" w14:paraId="340D90B3" w14:textId="77777777" w:rsidTr="006630F4">
        <w:trPr>
          <w:cnfStyle w:val="100000000000" w:firstRow="1" w:lastRow="0" w:firstColumn="0" w:lastColumn="0" w:oddVBand="0" w:evenVBand="0" w:oddHBand="0" w:evenHBand="0" w:firstRowFirstColumn="0" w:firstRowLastColumn="0" w:lastRowFirstColumn="0" w:lastRowLastColumn="0"/>
          <w:trHeight w:val="315"/>
        </w:trPr>
        <w:tc>
          <w:tcPr>
            <w:tcW w:w="1175" w:type="pct"/>
            <w:noWrap/>
            <w:hideMark/>
          </w:tcPr>
          <w:p w14:paraId="7B9B0BFC" w14:textId="77777777" w:rsidR="006A6D8A" w:rsidRPr="00A54D04" w:rsidRDefault="006A6D8A" w:rsidP="001B046E">
            <w:pPr>
              <w:pStyle w:val="TableHeading"/>
              <w:widowControl w:val="0"/>
              <w:rPr>
                <w:lang w:eastAsia="en-AU"/>
              </w:rPr>
            </w:pPr>
          </w:p>
        </w:tc>
        <w:tc>
          <w:tcPr>
            <w:tcW w:w="516" w:type="pct"/>
          </w:tcPr>
          <w:p w14:paraId="0627C85F" w14:textId="77777777" w:rsidR="006A6D8A" w:rsidRPr="00A54D04" w:rsidRDefault="006A6D8A" w:rsidP="00152FB9">
            <w:pPr>
              <w:pStyle w:val="TableHeading"/>
              <w:widowControl w:val="0"/>
              <w:jc w:val="right"/>
            </w:pPr>
            <w:r w:rsidRPr="00A54D04">
              <w:t>2018</w:t>
            </w:r>
          </w:p>
        </w:tc>
        <w:tc>
          <w:tcPr>
            <w:tcW w:w="515" w:type="pct"/>
            <w:noWrap/>
            <w:hideMark/>
          </w:tcPr>
          <w:p w14:paraId="3F3EA7DF" w14:textId="77777777" w:rsidR="006A6D8A" w:rsidRPr="00A54D04" w:rsidRDefault="006A6D8A" w:rsidP="00152FB9">
            <w:pPr>
              <w:pStyle w:val="TableHeading"/>
              <w:widowControl w:val="0"/>
              <w:jc w:val="right"/>
              <w:rPr>
                <w:lang w:eastAsia="en-AU"/>
              </w:rPr>
            </w:pPr>
            <w:r w:rsidRPr="00A54D04">
              <w:t>2019</w:t>
            </w:r>
          </w:p>
        </w:tc>
        <w:tc>
          <w:tcPr>
            <w:tcW w:w="515" w:type="pct"/>
            <w:noWrap/>
            <w:hideMark/>
          </w:tcPr>
          <w:p w14:paraId="61BAFB2A" w14:textId="77777777" w:rsidR="006A6D8A" w:rsidRPr="00A54D04" w:rsidRDefault="006A6D8A" w:rsidP="00152FB9">
            <w:pPr>
              <w:pStyle w:val="TableHeading"/>
              <w:widowControl w:val="0"/>
              <w:jc w:val="right"/>
              <w:rPr>
                <w:lang w:eastAsia="en-AU"/>
              </w:rPr>
            </w:pPr>
            <w:r w:rsidRPr="00A54D04">
              <w:t>2020</w:t>
            </w:r>
          </w:p>
        </w:tc>
        <w:tc>
          <w:tcPr>
            <w:tcW w:w="589" w:type="pct"/>
            <w:noWrap/>
            <w:hideMark/>
          </w:tcPr>
          <w:p w14:paraId="5D425C56" w14:textId="77777777" w:rsidR="006A6D8A" w:rsidRPr="00A54D04" w:rsidRDefault="006A6D8A" w:rsidP="00152FB9">
            <w:pPr>
              <w:pStyle w:val="TableHeading"/>
              <w:widowControl w:val="0"/>
              <w:jc w:val="right"/>
              <w:rPr>
                <w:lang w:eastAsia="en-AU"/>
              </w:rPr>
            </w:pPr>
            <w:r w:rsidRPr="00A54D04">
              <w:t>2021</w:t>
            </w:r>
          </w:p>
        </w:tc>
        <w:tc>
          <w:tcPr>
            <w:tcW w:w="589" w:type="pct"/>
            <w:noWrap/>
            <w:hideMark/>
          </w:tcPr>
          <w:p w14:paraId="55DD4687" w14:textId="77777777" w:rsidR="006A6D8A" w:rsidRPr="00A54D04" w:rsidRDefault="006A6D8A" w:rsidP="00152FB9">
            <w:pPr>
              <w:pStyle w:val="TableHeading"/>
              <w:widowControl w:val="0"/>
              <w:jc w:val="right"/>
              <w:rPr>
                <w:lang w:eastAsia="en-AU"/>
              </w:rPr>
            </w:pPr>
            <w:r w:rsidRPr="00A54D04">
              <w:t>2022</w:t>
            </w:r>
          </w:p>
        </w:tc>
        <w:tc>
          <w:tcPr>
            <w:tcW w:w="515" w:type="pct"/>
            <w:noWrap/>
            <w:hideMark/>
          </w:tcPr>
          <w:p w14:paraId="24E7897A" w14:textId="77777777" w:rsidR="006A6D8A" w:rsidRPr="00A54D04" w:rsidRDefault="006A6D8A" w:rsidP="00152FB9">
            <w:pPr>
              <w:pStyle w:val="TableHeading"/>
              <w:widowControl w:val="0"/>
              <w:jc w:val="right"/>
              <w:rPr>
                <w:lang w:eastAsia="en-AU"/>
              </w:rPr>
            </w:pPr>
            <w:r w:rsidRPr="00A54D04">
              <w:t>2023</w:t>
            </w:r>
          </w:p>
        </w:tc>
        <w:tc>
          <w:tcPr>
            <w:tcW w:w="586" w:type="pct"/>
            <w:noWrap/>
            <w:hideMark/>
          </w:tcPr>
          <w:p w14:paraId="6191DE64" w14:textId="5C665BE8" w:rsidR="006A6D8A" w:rsidRPr="00A54D04" w:rsidRDefault="006630F4" w:rsidP="001B046E">
            <w:pPr>
              <w:pStyle w:val="TableHeading"/>
              <w:widowControl w:val="0"/>
              <w:jc w:val="right"/>
              <w:rPr>
                <w:lang w:eastAsia="en-AU"/>
              </w:rPr>
            </w:pPr>
            <w:r w:rsidRPr="00A54D04">
              <w:rPr>
                <w:lang w:eastAsia="en-AU"/>
              </w:rPr>
              <w:t>Average</w:t>
            </w:r>
            <w:r w:rsidR="006A6D8A" w:rsidRPr="00A54D04">
              <w:rPr>
                <w:lang w:eastAsia="en-AU"/>
              </w:rPr>
              <w:t xml:space="preserve"> </w:t>
            </w:r>
          </w:p>
        </w:tc>
      </w:tr>
      <w:tr w:rsidR="006630F4" w:rsidRPr="00A54D04" w14:paraId="04C757F0" w14:textId="77777777" w:rsidTr="00152FB9">
        <w:trPr>
          <w:cnfStyle w:val="000000100000" w:firstRow="0" w:lastRow="0" w:firstColumn="0" w:lastColumn="0" w:oddVBand="0" w:evenVBand="0" w:oddHBand="1" w:evenHBand="0" w:firstRowFirstColumn="0" w:firstRowLastColumn="0" w:lastRowFirstColumn="0" w:lastRowLastColumn="0"/>
          <w:trHeight w:val="300"/>
        </w:trPr>
        <w:tc>
          <w:tcPr>
            <w:tcW w:w="1175" w:type="pct"/>
            <w:noWrap/>
            <w:hideMark/>
          </w:tcPr>
          <w:p w14:paraId="0774EBDD" w14:textId="77777777" w:rsidR="006A6D8A" w:rsidRPr="00A54D04" w:rsidRDefault="006A6D8A" w:rsidP="001B046E">
            <w:pPr>
              <w:pStyle w:val="TableBody"/>
              <w:widowControl w:val="0"/>
              <w:rPr>
                <w:lang w:eastAsia="en-AU"/>
              </w:rPr>
            </w:pPr>
            <w:r w:rsidRPr="00A54D04">
              <w:rPr>
                <w:lang w:eastAsia="en-AU"/>
              </w:rPr>
              <w:t>Transport</w:t>
            </w:r>
          </w:p>
        </w:tc>
        <w:tc>
          <w:tcPr>
            <w:tcW w:w="516" w:type="pct"/>
          </w:tcPr>
          <w:p w14:paraId="2B891FAE" w14:textId="7BB4EBEB" w:rsidR="006A6D8A" w:rsidRPr="00A54D04" w:rsidRDefault="006A6D8A" w:rsidP="001B046E">
            <w:pPr>
              <w:pStyle w:val="TableBody"/>
              <w:widowControl w:val="0"/>
              <w:jc w:val="right"/>
            </w:pPr>
            <w:r w:rsidRPr="00A54D04">
              <w:t>4.</w:t>
            </w:r>
            <w:r w:rsidR="007C3E08" w:rsidRPr="00A54D04">
              <w:t>3</w:t>
            </w:r>
            <w:r w:rsidRPr="00A54D04">
              <w:t>%</w:t>
            </w:r>
          </w:p>
        </w:tc>
        <w:tc>
          <w:tcPr>
            <w:tcW w:w="0" w:type="pct"/>
            <w:noWrap/>
          </w:tcPr>
          <w:p w14:paraId="469117FF" w14:textId="32957CE2" w:rsidR="006A6D8A" w:rsidRPr="00A54D04" w:rsidRDefault="006A6D8A" w:rsidP="001B046E">
            <w:pPr>
              <w:pStyle w:val="TableBody"/>
              <w:widowControl w:val="0"/>
              <w:jc w:val="right"/>
              <w:rPr>
                <w:lang w:eastAsia="en-AU"/>
              </w:rPr>
            </w:pPr>
            <w:r w:rsidRPr="00A54D04">
              <w:t>1.2%</w:t>
            </w:r>
          </w:p>
        </w:tc>
        <w:tc>
          <w:tcPr>
            <w:tcW w:w="0" w:type="pct"/>
            <w:noWrap/>
          </w:tcPr>
          <w:p w14:paraId="47527DE8" w14:textId="35DDAB2C" w:rsidR="006A6D8A" w:rsidRPr="00A54D04" w:rsidRDefault="00A24030" w:rsidP="001B046E">
            <w:pPr>
              <w:pStyle w:val="TableBody"/>
              <w:widowControl w:val="0"/>
              <w:jc w:val="right"/>
              <w:rPr>
                <w:lang w:eastAsia="en-AU"/>
              </w:rPr>
            </w:pPr>
            <w:r>
              <w:t>-</w:t>
            </w:r>
            <w:r w:rsidR="006A6D8A" w:rsidRPr="00A54D04">
              <w:t>2.</w:t>
            </w:r>
            <w:r w:rsidR="007C3E08" w:rsidRPr="00A54D04">
              <w:t>9</w:t>
            </w:r>
            <w:r w:rsidR="006A6D8A" w:rsidRPr="00A54D04">
              <w:t>%</w:t>
            </w:r>
          </w:p>
        </w:tc>
        <w:tc>
          <w:tcPr>
            <w:tcW w:w="0" w:type="pct"/>
            <w:noWrap/>
          </w:tcPr>
          <w:p w14:paraId="42B5192E" w14:textId="4A8C4DC6" w:rsidR="006A6D8A" w:rsidRPr="00A54D04" w:rsidRDefault="006A6D8A" w:rsidP="001B046E">
            <w:pPr>
              <w:pStyle w:val="TableBody"/>
              <w:widowControl w:val="0"/>
              <w:jc w:val="right"/>
              <w:rPr>
                <w:lang w:eastAsia="en-AU"/>
              </w:rPr>
            </w:pPr>
            <w:r w:rsidRPr="00A54D04">
              <w:t>7.</w:t>
            </w:r>
            <w:r w:rsidR="007C3E08" w:rsidRPr="00A54D04">
              <w:t>8</w:t>
            </w:r>
            <w:r w:rsidRPr="00A54D04">
              <w:t>%</w:t>
            </w:r>
          </w:p>
        </w:tc>
        <w:tc>
          <w:tcPr>
            <w:tcW w:w="0" w:type="pct"/>
            <w:noWrap/>
          </w:tcPr>
          <w:p w14:paraId="3893C2C4" w14:textId="5ED97645" w:rsidR="006A6D8A" w:rsidRPr="00A54D04" w:rsidRDefault="006A6D8A" w:rsidP="001B046E">
            <w:pPr>
              <w:pStyle w:val="TableBody"/>
              <w:widowControl w:val="0"/>
              <w:jc w:val="right"/>
              <w:rPr>
                <w:lang w:eastAsia="en-AU"/>
              </w:rPr>
            </w:pPr>
            <w:r w:rsidRPr="00A54D04">
              <w:t>1</w:t>
            </w:r>
            <w:r w:rsidR="007C3E08" w:rsidRPr="00A54D04">
              <w:t>1.0</w:t>
            </w:r>
            <w:r w:rsidRPr="00A54D04">
              <w:t>%</w:t>
            </w:r>
          </w:p>
        </w:tc>
        <w:tc>
          <w:tcPr>
            <w:tcW w:w="0" w:type="pct"/>
            <w:noWrap/>
          </w:tcPr>
          <w:p w14:paraId="17A3B6DE" w14:textId="7DE023FF" w:rsidR="006A6D8A" w:rsidRPr="00A54D04" w:rsidRDefault="006A6D8A" w:rsidP="001B046E">
            <w:pPr>
              <w:pStyle w:val="TableBody"/>
              <w:widowControl w:val="0"/>
              <w:jc w:val="right"/>
              <w:rPr>
                <w:lang w:eastAsia="en-AU"/>
              </w:rPr>
            </w:pPr>
            <w:r w:rsidRPr="00A54D04">
              <w:t>3.3%</w:t>
            </w:r>
          </w:p>
        </w:tc>
        <w:tc>
          <w:tcPr>
            <w:tcW w:w="0" w:type="pct"/>
            <w:noWrap/>
            <w:hideMark/>
          </w:tcPr>
          <w:p w14:paraId="7EAB1812" w14:textId="77777777" w:rsidR="006A6D8A" w:rsidRPr="00A54D04" w:rsidRDefault="006A6D8A" w:rsidP="001B046E">
            <w:pPr>
              <w:pStyle w:val="TableBody"/>
              <w:widowControl w:val="0"/>
              <w:jc w:val="right"/>
              <w:rPr>
                <w:b/>
                <w:bCs/>
                <w:lang w:eastAsia="en-AU"/>
              </w:rPr>
            </w:pPr>
            <w:r w:rsidRPr="00A54D04">
              <w:rPr>
                <w:b/>
                <w:bCs/>
              </w:rPr>
              <w:t>4.0%</w:t>
            </w:r>
          </w:p>
        </w:tc>
      </w:tr>
      <w:tr w:rsidR="006630F4" w:rsidRPr="00A54D04" w14:paraId="2B30486F" w14:textId="77777777" w:rsidTr="006630F4">
        <w:trPr>
          <w:cnfStyle w:val="000000010000" w:firstRow="0" w:lastRow="0" w:firstColumn="0" w:lastColumn="0" w:oddVBand="0" w:evenVBand="0" w:oddHBand="0" w:evenHBand="1" w:firstRowFirstColumn="0" w:firstRowLastColumn="0" w:lastRowFirstColumn="0" w:lastRowLastColumn="0"/>
          <w:trHeight w:val="300"/>
        </w:trPr>
        <w:tc>
          <w:tcPr>
            <w:tcW w:w="1175" w:type="pct"/>
            <w:noWrap/>
            <w:hideMark/>
          </w:tcPr>
          <w:p w14:paraId="6E854D27" w14:textId="5DE0C612" w:rsidR="006A6D8A" w:rsidRPr="00A54D04" w:rsidRDefault="006A6D8A" w:rsidP="00152FB9">
            <w:pPr>
              <w:pStyle w:val="TableBody"/>
              <w:widowControl w:val="0"/>
              <w:ind w:left="344"/>
              <w:rPr>
                <w:lang w:eastAsia="en-AU"/>
              </w:rPr>
            </w:pPr>
            <w:r w:rsidRPr="00A54D04">
              <w:rPr>
                <w:lang w:eastAsia="en-AU"/>
              </w:rPr>
              <w:t>Private Motoring</w:t>
            </w:r>
          </w:p>
        </w:tc>
        <w:tc>
          <w:tcPr>
            <w:tcW w:w="516" w:type="pct"/>
          </w:tcPr>
          <w:p w14:paraId="0AEDCF80" w14:textId="66CB99CB" w:rsidR="006A6D8A" w:rsidRPr="00A54D04" w:rsidRDefault="006A6D8A" w:rsidP="001B046E">
            <w:pPr>
              <w:pStyle w:val="TableBody"/>
              <w:widowControl w:val="0"/>
              <w:jc w:val="right"/>
            </w:pPr>
            <w:r w:rsidRPr="00A54D04">
              <w:t>4.3%</w:t>
            </w:r>
          </w:p>
        </w:tc>
        <w:tc>
          <w:tcPr>
            <w:tcW w:w="515" w:type="pct"/>
            <w:noWrap/>
          </w:tcPr>
          <w:p w14:paraId="603E1E91" w14:textId="2BE4B5A1" w:rsidR="006A6D8A" w:rsidRPr="00A54D04" w:rsidRDefault="006A6D8A" w:rsidP="001B046E">
            <w:pPr>
              <w:pStyle w:val="TableBody"/>
              <w:widowControl w:val="0"/>
              <w:jc w:val="right"/>
              <w:rPr>
                <w:lang w:eastAsia="en-AU"/>
              </w:rPr>
            </w:pPr>
            <w:r w:rsidRPr="00A54D04">
              <w:t>1.0%</w:t>
            </w:r>
          </w:p>
        </w:tc>
        <w:tc>
          <w:tcPr>
            <w:tcW w:w="515" w:type="pct"/>
            <w:noWrap/>
          </w:tcPr>
          <w:p w14:paraId="4A277BF0" w14:textId="58F11B7B" w:rsidR="006A6D8A" w:rsidRPr="00A54D04" w:rsidRDefault="00A24030" w:rsidP="001B046E">
            <w:pPr>
              <w:pStyle w:val="TableBody"/>
              <w:widowControl w:val="0"/>
              <w:jc w:val="right"/>
              <w:rPr>
                <w:lang w:eastAsia="en-AU"/>
              </w:rPr>
            </w:pPr>
            <w:r>
              <w:t>-</w:t>
            </w:r>
            <w:r w:rsidR="006A6D8A" w:rsidRPr="00A54D04">
              <w:t>3.0%</w:t>
            </w:r>
          </w:p>
        </w:tc>
        <w:tc>
          <w:tcPr>
            <w:tcW w:w="589" w:type="pct"/>
            <w:noWrap/>
          </w:tcPr>
          <w:p w14:paraId="67CA892A" w14:textId="03907675" w:rsidR="006A6D8A" w:rsidRPr="00A54D04" w:rsidRDefault="006A6D8A" w:rsidP="001B046E">
            <w:pPr>
              <w:pStyle w:val="TableBody"/>
              <w:widowControl w:val="0"/>
              <w:jc w:val="right"/>
              <w:rPr>
                <w:lang w:eastAsia="en-AU"/>
              </w:rPr>
            </w:pPr>
            <w:r w:rsidRPr="00A54D04">
              <w:t>8.1%</w:t>
            </w:r>
          </w:p>
        </w:tc>
        <w:tc>
          <w:tcPr>
            <w:tcW w:w="589" w:type="pct"/>
            <w:noWrap/>
          </w:tcPr>
          <w:p w14:paraId="5FFD0E6F" w14:textId="579B1247" w:rsidR="006A6D8A" w:rsidRPr="00A54D04" w:rsidRDefault="006A6D8A" w:rsidP="001B046E">
            <w:pPr>
              <w:pStyle w:val="TableBody"/>
              <w:widowControl w:val="0"/>
              <w:jc w:val="right"/>
              <w:rPr>
                <w:lang w:eastAsia="en-AU"/>
              </w:rPr>
            </w:pPr>
            <w:r w:rsidRPr="00A54D04">
              <w:t>11.2%</w:t>
            </w:r>
          </w:p>
        </w:tc>
        <w:tc>
          <w:tcPr>
            <w:tcW w:w="515" w:type="pct"/>
            <w:noWrap/>
          </w:tcPr>
          <w:p w14:paraId="0A1FB409" w14:textId="2D44300D" w:rsidR="006A6D8A" w:rsidRPr="00A54D04" w:rsidRDefault="006A6D8A" w:rsidP="001B046E">
            <w:pPr>
              <w:pStyle w:val="TableBody"/>
              <w:widowControl w:val="0"/>
              <w:jc w:val="right"/>
              <w:rPr>
                <w:lang w:eastAsia="en-AU"/>
              </w:rPr>
            </w:pPr>
            <w:r w:rsidRPr="00A54D04">
              <w:t>3.</w:t>
            </w:r>
            <w:r w:rsidR="007C3E08" w:rsidRPr="00A54D04">
              <w:t>3</w:t>
            </w:r>
            <w:r w:rsidRPr="00A54D04">
              <w:t>%</w:t>
            </w:r>
          </w:p>
        </w:tc>
        <w:tc>
          <w:tcPr>
            <w:tcW w:w="586" w:type="pct"/>
            <w:noWrap/>
            <w:hideMark/>
          </w:tcPr>
          <w:p w14:paraId="7D4A6C79" w14:textId="77777777" w:rsidR="006A6D8A" w:rsidRPr="00A54D04" w:rsidRDefault="006A6D8A" w:rsidP="001B046E">
            <w:pPr>
              <w:pStyle w:val="TableBody"/>
              <w:widowControl w:val="0"/>
              <w:jc w:val="right"/>
              <w:rPr>
                <w:b/>
                <w:bCs/>
                <w:lang w:eastAsia="en-AU"/>
              </w:rPr>
            </w:pPr>
            <w:r w:rsidRPr="00A54D04">
              <w:rPr>
                <w:b/>
                <w:bCs/>
              </w:rPr>
              <w:t>4.0%</w:t>
            </w:r>
          </w:p>
        </w:tc>
      </w:tr>
      <w:tr w:rsidR="006630F4" w:rsidRPr="00A54D04" w14:paraId="4186EAC6" w14:textId="77777777" w:rsidTr="00152FB9">
        <w:trPr>
          <w:cnfStyle w:val="000000100000" w:firstRow="0" w:lastRow="0" w:firstColumn="0" w:lastColumn="0" w:oddVBand="0" w:evenVBand="0" w:oddHBand="1" w:evenHBand="0" w:firstRowFirstColumn="0" w:firstRowLastColumn="0" w:lastRowFirstColumn="0" w:lastRowLastColumn="0"/>
          <w:trHeight w:val="300"/>
        </w:trPr>
        <w:tc>
          <w:tcPr>
            <w:tcW w:w="1175" w:type="pct"/>
            <w:noWrap/>
            <w:hideMark/>
          </w:tcPr>
          <w:p w14:paraId="76578225" w14:textId="131B84DF" w:rsidR="006A6D8A" w:rsidRPr="00A54D04" w:rsidRDefault="006A6D8A" w:rsidP="00152FB9">
            <w:pPr>
              <w:pStyle w:val="TableBody"/>
              <w:widowControl w:val="0"/>
              <w:ind w:left="344"/>
              <w:rPr>
                <w:lang w:eastAsia="en-AU"/>
              </w:rPr>
            </w:pPr>
            <w:r w:rsidRPr="00A54D04">
              <w:rPr>
                <w:lang w:eastAsia="en-AU"/>
              </w:rPr>
              <w:t>Motor vehicles</w:t>
            </w:r>
          </w:p>
        </w:tc>
        <w:tc>
          <w:tcPr>
            <w:tcW w:w="516" w:type="pct"/>
          </w:tcPr>
          <w:p w14:paraId="1628ABA5" w14:textId="3691FD85" w:rsidR="006A6D8A" w:rsidRPr="00A54D04" w:rsidRDefault="00A24030" w:rsidP="001B046E">
            <w:pPr>
              <w:pStyle w:val="TableBody"/>
              <w:widowControl w:val="0"/>
              <w:jc w:val="right"/>
            </w:pPr>
            <w:r>
              <w:t>-</w:t>
            </w:r>
            <w:r w:rsidR="006A6D8A" w:rsidRPr="00A54D04">
              <w:t>1.</w:t>
            </w:r>
            <w:r w:rsidR="007C3E08" w:rsidRPr="00A54D04">
              <w:t>2</w:t>
            </w:r>
            <w:r w:rsidR="006A6D8A" w:rsidRPr="00A54D04">
              <w:t>%</w:t>
            </w:r>
          </w:p>
        </w:tc>
        <w:tc>
          <w:tcPr>
            <w:tcW w:w="0" w:type="pct"/>
            <w:noWrap/>
          </w:tcPr>
          <w:p w14:paraId="314DA97E" w14:textId="0018BEEE" w:rsidR="006A6D8A" w:rsidRPr="00A54D04" w:rsidRDefault="006A6D8A" w:rsidP="001B046E">
            <w:pPr>
              <w:pStyle w:val="TableBody"/>
              <w:widowControl w:val="0"/>
              <w:jc w:val="right"/>
              <w:rPr>
                <w:lang w:eastAsia="en-AU"/>
              </w:rPr>
            </w:pPr>
            <w:r w:rsidRPr="00A54D04">
              <w:t>2.0%</w:t>
            </w:r>
          </w:p>
        </w:tc>
        <w:tc>
          <w:tcPr>
            <w:tcW w:w="0" w:type="pct"/>
            <w:noWrap/>
          </w:tcPr>
          <w:p w14:paraId="0B6C045E" w14:textId="651000C3" w:rsidR="006A6D8A" w:rsidRPr="00A54D04" w:rsidRDefault="006A6D8A" w:rsidP="001B046E">
            <w:pPr>
              <w:pStyle w:val="TableBody"/>
              <w:widowControl w:val="0"/>
              <w:jc w:val="right"/>
              <w:rPr>
                <w:lang w:eastAsia="en-AU"/>
              </w:rPr>
            </w:pPr>
            <w:r w:rsidRPr="00A54D04">
              <w:t>1.0%</w:t>
            </w:r>
          </w:p>
        </w:tc>
        <w:tc>
          <w:tcPr>
            <w:tcW w:w="0" w:type="pct"/>
            <w:noWrap/>
          </w:tcPr>
          <w:p w14:paraId="49F04976" w14:textId="59A363B7" w:rsidR="006A6D8A" w:rsidRPr="00A54D04" w:rsidRDefault="006A6D8A" w:rsidP="001B046E">
            <w:pPr>
              <w:pStyle w:val="TableBody"/>
              <w:widowControl w:val="0"/>
              <w:jc w:val="right"/>
              <w:rPr>
                <w:lang w:eastAsia="en-AU"/>
              </w:rPr>
            </w:pPr>
            <w:r w:rsidRPr="00A54D04">
              <w:t>7.0%</w:t>
            </w:r>
          </w:p>
        </w:tc>
        <w:tc>
          <w:tcPr>
            <w:tcW w:w="0" w:type="pct"/>
            <w:noWrap/>
          </w:tcPr>
          <w:p w14:paraId="223F205E" w14:textId="6D7BDF67" w:rsidR="006A6D8A" w:rsidRPr="00A54D04" w:rsidRDefault="006A6D8A" w:rsidP="001B046E">
            <w:pPr>
              <w:pStyle w:val="TableBody"/>
              <w:widowControl w:val="0"/>
              <w:jc w:val="right"/>
              <w:rPr>
                <w:lang w:eastAsia="en-AU"/>
              </w:rPr>
            </w:pPr>
            <w:r w:rsidRPr="00A54D04">
              <w:t>5.</w:t>
            </w:r>
            <w:r w:rsidR="007C3E08" w:rsidRPr="00A54D04">
              <w:t>8</w:t>
            </w:r>
            <w:r w:rsidRPr="00A54D04">
              <w:t>%</w:t>
            </w:r>
          </w:p>
        </w:tc>
        <w:tc>
          <w:tcPr>
            <w:tcW w:w="0" w:type="pct"/>
            <w:noWrap/>
          </w:tcPr>
          <w:p w14:paraId="6AC96A39" w14:textId="7D82058B" w:rsidR="006A6D8A" w:rsidRPr="00A54D04" w:rsidRDefault="006A6D8A" w:rsidP="001B046E">
            <w:pPr>
              <w:pStyle w:val="TableBody"/>
              <w:widowControl w:val="0"/>
              <w:jc w:val="right"/>
              <w:rPr>
                <w:lang w:eastAsia="en-AU"/>
              </w:rPr>
            </w:pPr>
            <w:r w:rsidRPr="00A54D04">
              <w:t>2.</w:t>
            </w:r>
            <w:r w:rsidR="007C3E08" w:rsidRPr="00A54D04">
              <w:t>9</w:t>
            </w:r>
            <w:r w:rsidRPr="00A54D04">
              <w:t>%</w:t>
            </w:r>
          </w:p>
        </w:tc>
        <w:tc>
          <w:tcPr>
            <w:tcW w:w="0" w:type="pct"/>
            <w:noWrap/>
            <w:hideMark/>
          </w:tcPr>
          <w:p w14:paraId="4BFCEFC3" w14:textId="77777777" w:rsidR="006A6D8A" w:rsidRPr="00A54D04" w:rsidRDefault="006A6D8A" w:rsidP="001B046E">
            <w:pPr>
              <w:pStyle w:val="TableBody"/>
              <w:widowControl w:val="0"/>
              <w:jc w:val="right"/>
              <w:rPr>
                <w:b/>
                <w:bCs/>
                <w:lang w:eastAsia="en-AU"/>
              </w:rPr>
            </w:pPr>
            <w:r w:rsidRPr="00A54D04">
              <w:rPr>
                <w:b/>
                <w:bCs/>
              </w:rPr>
              <w:t>3.7%</w:t>
            </w:r>
          </w:p>
        </w:tc>
      </w:tr>
      <w:tr w:rsidR="006630F4" w:rsidRPr="00A54D04" w14:paraId="6E331E06" w14:textId="77777777" w:rsidTr="006630F4">
        <w:trPr>
          <w:cnfStyle w:val="000000010000" w:firstRow="0" w:lastRow="0" w:firstColumn="0" w:lastColumn="0" w:oddVBand="0" w:evenVBand="0" w:oddHBand="0" w:evenHBand="1" w:firstRowFirstColumn="0" w:firstRowLastColumn="0" w:lastRowFirstColumn="0" w:lastRowLastColumn="0"/>
          <w:trHeight w:val="300"/>
        </w:trPr>
        <w:tc>
          <w:tcPr>
            <w:tcW w:w="1175" w:type="pct"/>
            <w:noWrap/>
            <w:hideMark/>
          </w:tcPr>
          <w:p w14:paraId="6FE98D16" w14:textId="21A228BB" w:rsidR="006A6D8A" w:rsidRPr="00A54D04" w:rsidRDefault="006A6D8A" w:rsidP="00152FB9">
            <w:pPr>
              <w:pStyle w:val="TableBody"/>
              <w:widowControl w:val="0"/>
              <w:ind w:left="344"/>
              <w:rPr>
                <w:lang w:eastAsia="en-AU"/>
              </w:rPr>
            </w:pPr>
            <w:r w:rsidRPr="00A54D04">
              <w:rPr>
                <w:lang w:eastAsia="en-AU"/>
              </w:rPr>
              <w:t>Spare parts and accessories</w:t>
            </w:r>
          </w:p>
        </w:tc>
        <w:tc>
          <w:tcPr>
            <w:tcW w:w="516" w:type="pct"/>
          </w:tcPr>
          <w:p w14:paraId="6DD6790E" w14:textId="3BB3F922" w:rsidR="006A6D8A" w:rsidRPr="00A54D04" w:rsidRDefault="006A6D8A" w:rsidP="001B046E">
            <w:pPr>
              <w:pStyle w:val="TableBody"/>
              <w:widowControl w:val="0"/>
              <w:jc w:val="right"/>
            </w:pPr>
            <w:r w:rsidRPr="00A54D04">
              <w:t>1.</w:t>
            </w:r>
            <w:r w:rsidR="007C3E08" w:rsidRPr="00A54D04">
              <w:t>6</w:t>
            </w:r>
            <w:r w:rsidRPr="00A54D04">
              <w:t>%</w:t>
            </w:r>
          </w:p>
        </w:tc>
        <w:tc>
          <w:tcPr>
            <w:tcW w:w="515" w:type="pct"/>
            <w:noWrap/>
          </w:tcPr>
          <w:p w14:paraId="57EEF5DC" w14:textId="506150FB" w:rsidR="006A6D8A" w:rsidRPr="00A54D04" w:rsidRDefault="006A6D8A" w:rsidP="001B046E">
            <w:pPr>
              <w:pStyle w:val="TableBody"/>
              <w:widowControl w:val="0"/>
              <w:jc w:val="right"/>
              <w:rPr>
                <w:lang w:eastAsia="en-AU"/>
              </w:rPr>
            </w:pPr>
            <w:r w:rsidRPr="00A54D04">
              <w:t>1.5%</w:t>
            </w:r>
          </w:p>
        </w:tc>
        <w:tc>
          <w:tcPr>
            <w:tcW w:w="515" w:type="pct"/>
            <w:noWrap/>
          </w:tcPr>
          <w:p w14:paraId="055AE8CB" w14:textId="31FA1BAC" w:rsidR="006A6D8A" w:rsidRPr="00A54D04" w:rsidRDefault="006A6D8A" w:rsidP="001B046E">
            <w:pPr>
              <w:pStyle w:val="TableBody"/>
              <w:widowControl w:val="0"/>
              <w:jc w:val="right"/>
              <w:rPr>
                <w:lang w:eastAsia="en-AU"/>
              </w:rPr>
            </w:pPr>
            <w:r w:rsidRPr="00A54D04">
              <w:t>2.3%</w:t>
            </w:r>
          </w:p>
        </w:tc>
        <w:tc>
          <w:tcPr>
            <w:tcW w:w="589" w:type="pct"/>
            <w:noWrap/>
          </w:tcPr>
          <w:p w14:paraId="0BA16E7E" w14:textId="3CB801C2" w:rsidR="006A6D8A" w:rsidRPr="00A54D04" w:rsidRDefault="00A24030" w:rsidP="001B046E">
            <w:pPr>
              <w:pStyle w:val="TableBody"/>
              <w:widowControl w:val="0"/>
              <w:jc w:val="right"/>
              <w:rPr>
                <w:lang w:eastAsia="en-AU"/>
              </w:rPr>
            </w:pPr>
            <w:r>
              <w:t>-</w:t>
            </w:r>
            <w:r w:rsidR="006A6D8A" w:rsidRPr="00A54D04">
              <w:t>0.0</w:t>
            </w:r>
            <w:r w:rsidR="007C3E08" w:rsidRPr="00A54D04">
              <w:t>2</w:t>
            </w:r>
            <w:r w:rsidR="006A6D8A" w:rsidRPr="00A54D04">
              <w:t>%</w:t>
            </w:r>
          </w:p>
        </w:tc>
        <w:tc>
          <w:tcPr>
            <w:tcW w:w="589" w:type="pct"/>
            <w:noWrap/>
          </w:tcPr>
          <w:p w14:paraId="4B189AD5" w14:textId="44366D73" w:rsidR="006A6D8A" w:rsidRPr="00A54D04" w:rsidRDefault="006A6D8A" w:rsidP="001B046E">
            <w:pPr>
              <w:pStyle w:val="TableBody"/>
              <w:widowControl w:val="0"/>
              <w:jc w:val="right"/>
              <w:rPr>
                <w:lang w:eastAsia="en-AU"/>
              </w:rPr>
            </w:pPr>
            <w:r w:rsidRPr="00A54D04">
              <w:t>8.0%</w:t>
            </w:r>
          </w:p>
        </w:tc>
        <w:tc>
          <w:tcPr>
            <w:tcW w:w="515" w:type="pct"/>
            <w:noWrap/>
          </w:tcPr>
          <w:p w14:paraId="09F8CD07" w14:textId="7E4B990E" w:rsidR="006A6D8A" w:rsidRPr="00A54D04" w:rsidRDefault="006A6D8A" w:rsidP="001B046E">
            <w:pPr>
              <w:pStyle w:val="TableBody"/>
              <w:widowControl w:val="0"/>
              <w:jc w:val="right"/>
              <w:rPr>
                <w:lang w:eastAsia="en-AU"/>
              </w:rPr>
            </w:pPr>
            <w:r w:rsidRPr="00A54D04">
              <w:t>9.</w:t>
            </w:r>
            <w:r w:rsidR="007C3E08" w:rsidRPr="00A54D04">
              <w:t>7</w:t>
            </w:r>
            <w:r w:rsidRPr="00A54D04">
              <w:t>%</w:t>
            </w:r>
          </w:p>
        </w:tc>
        <w:tc>
          <w:tcPr>
            <w:tcW w:w="586" w:type="pct"/>
            <w:noWrap/>
            <w:hideMark/>
          </w:tcPr>
          <w:p w14:paraId="28DE2B62" w14:textId="77777777" w:rsidR="006A6D8A" w:rsidRPr="00A54D04" w:rsidRDefault="006A6D8A" w:rsidP="001B046E">
            <w:pPr>
              <w:pStyle w:val="TableBody"/>
              <w:widowControl w:val="0"/>
              <w:jc w:val="right"/>
              <w:rPr>
                <w:b/>
                <w:bCs/>
                <w:lang w:eastAsia="en-AU"/>
              </w:rPr>
            </w:pPr>
            <w:r w:rsidRPr="00A54D04">
              <w:rPr>
                <w:b/>
                <w:bCs/>
              </w:rPr>
              <w:t>4.2%</w:t>
            </w:r>
          </w:p>
        </w:tc>
      </w:tr>
      <w:tr w:rsidR="006630F4" w:rsidRPr="00A54D04" w14:paraId="6A6ED2B1" w14:textId="77777777" w:rsidTr="00152FB9">
        <w:trPr>
          <w:cnfStyle w:val="000000100000" w:firstRow="0" w:lastRow="0" w:firstColumn="0" w:lastColumn="0" w:oddVBand="0" w:evenVBand="0" w:oddHBand="1" w:evenHBand="0" w:firstRowFirstColumn="0" w:firstRowLastColumn="0" w:lastRowFirstColumn="0" w:lastRowLastColumn="0"/>
          <w:trHeight w:val="300"/>
        </w:trPr>
        <w:tc>
          <w:tcPr>
            <w:tcW w:w="1175" w:type="pct"/>
            <w:noWrap/>
            <w:hideMark/>
          </w:tcPr>
          <w:p w14:paraId="3A13BAB3" w14:textId="05A45248" w:rsidR="006A6D8A" w:rsidRPr="00A54D04" w:rsidRDefault="006630F4" w:rsidP="00152FB9">
            <w:pPr>
              <w:pStyle w:val="TableBody"/>
              <w:widowControl w:val="0"/>
              <w:ind w:left="202"/>
              <w:rPr>
                <w:lang w:eastAsia="en-AU"/>
              </w:rPr>
            </w:pPr>
            <w:r w:rsidRPr="00A54D04">
              <w:rPr>
                <w:lang w:eastAsia="en-AU"/>
              </w:rPr>
              <w:t xml:space="preserve">   </w:t>
            </w:r>
            <w:r w:rsidR="006A6D8A" w:rsidRPr="00A54D04">
              <w:rPr>
                <w:lang w:eastAsia="en-AU"/>
              </w:rPr>
              <w:t>Automotive fuel</w:t>
            </w:r>
          </w:p>
        </w:tc>
        <w:tc>
          <w:tcPr>
            <w:tcW w:w="516" w:type="pct"/>
          </w:tcPr>
          <w:p w14:paraId="21EE3BDF" w14:textId="14C05BFC" w:rsidR="006A6D8A" w:rsidRPr="00A54D04" w:rsidRDefault="007C3E08" w:rsidP="001B046E">
            <w:pPr>
              <w:pStyle w:val="TableBody"/>
              <w:widowControl w:val="0"/>
              <w:jc w:val="right"/>
            </w:pPr>
            <w:r w:rsidRPr="00A54D04">
              <w:t>12.0</w:t>
            </w:r>
            <w:r w:rsidR="006A6D8A" w:rsidRPr="00A54D04">
              <w:t>%</w:t>
            </w:r>
          </w:p>
        </w:tc>
        <w:tc>
          <w:tcPr>
            <w:tcW w:w="0" w:type="pct"/>
            <w:noWrap/>
          </w:tcPr>
          <w:p w14:paraId="4B7BA17E" w14:textId="771019FD" w:rsidR="006A6D8A" w:rsidRPr="00A54D04" w:rsidRDefault="00A24030" w:rsidP="001B046E">
            <w:pPr>
              <w:pStyle w:val="TableBody"/>
              <w:widowControl w:val="0"/>
              <w:jc w:val="right"/>
              <w:rPr>
                <w:lang w:eastAsia="en-AU"/>
              </w:rPr>
            </w:pPr>
            <w:r>
              <w:t>-</w:t>
            </w:r>
            <w:r w:rsidR="006A6D8A" w:rsidRPr="00A54D04">
              <w:t>1.5%</w:t>
            </w:r>
          </w:p>
        </w:tc>
        <w:tc>
          <w:tcPr>
            <w:tcW w:w="0" w:type="pct"/>
            <w:noWrap/>
          </w:tcPr>
          <w:p w14:paraId="60EF438D" w14:textId="18901D25" w:rsidR="006A6D8A" w:rsidRPr="00A54D04" w:rsidRDefault="00A24030" w:rsidP="001B046E">
            <w:pPr>
              <w:pStyle w:val="TableBody"/>
              <w:widowControl w:val="0"/>
              <w:jc w:val="right"/>
              <w:rPr>
                <w:lang w:eastAsia="en-AU"/>
              </w:rPr>
            </w:pPr>
            <w:r>
              <w:t>-</w:t>
            </w:r>
            <w:r w:rsidR="006A6D8A" w:rsidRPr="00A54D04">
              <w:t>11.</w:t>
            </w:r>
            <w:r w:rsidR="007C3E08" w:rsidRPr="00A54D04">
              <w:t>4</w:t>
            </w:r>
            <w:r w:rsidR="006A6D8A" w:rsidRPr="00A54D04">
              <w:t>%</w:t>
            </w:r>
          </w:p>
        </w:tc>
        <w:tc>
          <w:tcPr>
            <w:tcW w:w="0" w:type="pct"/>
            <w:noWrap/>
          </w:tcPr>
          <w:p w14:paraId="55FF5DD3" w14:textId="032FBFBF" w:rsidR="006A6D8A" w:rsidRPr="00A54D04" w:rsidRDefault="006A6D8A" w:rsidP="001B046E">
            <w:pPr>
              <w:pStyle w:val="TableBody"/>
              <w:widowControl w:val="0"/>
              <w:jc w:val="right"/>
              <w:rPr>
                <w:lang w:eastAsia="en-AU"/>
              </w:rPr>
            </w:pPr>
            <w:r w:rsidRPr="00A54D04">
              <w:t>18.</w:t>
            </w:r>
            <w:r w:rsidR="007C3E08" w:rsidRPr="00A54D04">
              <w:t>7</w:t>
            </w:r>
            <w:r w:rsidRPr="00A54D04">
              <w:t>%</w:t>
            </w:r>
          </w:p>
        </w:tc>
        <w:tc>
          <w:tcPr>
            <w:tcW w:w="0" w:type="pct"/>
            <w:noWrap/>
          </w:tcPr>
          <w:p w14:paraId="40BF4D2E" w14:textId="7711B881" w:rsidR="006A6D8A" w:rsidRPr="00A54D04" w:rsidRDefault="006A6D8A" w:rsidP="001B046E">
            <w:pPr>
              <w:pStyle w:val="TableBody"/>
              <w:widowControl w:val="0"/>
              <w:jc w:val="right"/>
              <w:rPr>
                <w:lang w:eastAsia="en-AU"/>
              </w:rPr>
            </w:pPr>
            <w:r w:rsidRPr="00A54D04">
              <w:t>24.5%</w:t>
            </w:r>
          </w:p>
        </w:tc>
        <w:tc>
          <w:tcPr>
            <w:tcW w:w="0" w:type="pct"/>
            <w:noWrap/>
          </w:tcPr>
          <w:p w14:paraId="0600BC46" w14:textId="353BAB71" w:rsidR="006A6D8A" w:rsidRPr="00A54D04" w:rsidRDefault="006A6D8A" w:rsidP="001B046E">
            <w:pPr>
              <w:pStyle w:val="TableBody"/>
              <w:widowControl w:val="0"/>
              <w:jc w:val="right"/>
              <w:rPr>
                <w:lang w:eastAsia="en-AU"/>
              </w:rPr>
            </w:pPr>
            <w:r w:rsidRPr="00A54D04">
              <w:t>2.5%</w:t>
            </w:r>
          </w:p>
        </w:tc>
        <w:tc>
          <w:tcPr>
            <w:tcW w:w="0" w:type="pct"/>
            <w:noWrap/>
            <w:hideMark/>
          </w:tcPr>
          <w:p w14:paraId="654385BF" w14:textId="77777777" w:rsidR="006A6D8A" w:rsidRPr="00A54D04" w:rsidRDefault="006A6D8A" w:rsidP="001B046E">
            <w:pPr>
              <w:pStyle w:val="TableBody"/>
              <w:widowControl w:val="0"/>
              <w:jc w:val="right"/>
              <w:rPr>
                <w:b/>
                <w:bCs/>
                <w:lang w:eastAsia="en-AU"/>
              </w:rPr>
            </w:pPr>
            <w:r w:rsidRPr="00A54D04">
              <w:rPr>
                <w:b/>
                <w:bCs/>
              </w:rPr>
              <w:t>5.7%</w:t>
            </w:r>
          </w:p>
        </w:tc>
      </w:tr>
      <w:tr w:rsidR="006630F4" w:rsidRPr="00A54D04" w14:paraId="084CC4B9" w14:textId="77777777" w:rsidTr="006630F4">
        <w:trPr>
          <w:cnfStyle w:val="000000010000" w:firstRow="0" w:lastRow="0" w:firstColumn="0" w:lastColumn="0" w:oddVBand="0" w:evenVBand="0" w:oddHBand="0" w:evenHBand="1" w:firstRowFirstColumn="0" w:firstRowLastColumn="0" w:lastRowFirstColumn="0" w:lastRowLastColumn="0"/>
          <w:trHeight w:val="300"/>
        </w:trPr>
        <w:tc>
          <w:tcPr>
            <w:tcW w:w="1175" w:type="pct"/>
            <w:noWrap/>
            <w:hideMark/>
          </w:tcPr>
          <w:p w14:paraId="3895B621" w14:textId="228613B6" w:rsidR="006A6D8A" w:rsidRPr="00A54D04" w:rsidRDefault="006A6D8A" w:rsidP="00152FB9">
            <w:pPr>
              <w:pStyle w:val="TableBody"/>
              <w:widowControl w:val="0"/>
              <w:ind w:left="344"/>
              <w:rPr>
                <w:lang w:eastAsia="en-AU"/>
              </w:rPr>
            </w:pPr>
            <w:r w:rsidRPr="00A54D04">
              <w:rPr>
                <w:lang w:eastAsia="en-AU"/>
              </w:rPr>
              <w:t xml:space="preserve">Maintenance </w:t>
            </w:r>
            <w:r w:rsidR="00B84A8D" w:rsidRPr="00A54D04">
              <w:rPr>
                <w:lang w:eastAsia="en-AU"/>
              </w:rPr>
              <w:br/>
            </w:r>
            <w:r w:rsidRPr="00A54D04">
              <w:rPr>
                <w:lang w:eastAsia="en-AU"/>
              </w:rPr>
              <w:t>and repair</w:t>
            </w:r>
          </w:p>
        </w:tc>
        <w:tc>
          <w:tcPr>
            <w:tcW w:w="516" w:type="pct"/>
          </w:tcPr>
          <w:p w14:paraId="6278E40E" w14:textId="1071F53C" w:rsidR="006A6D8A" w:rsidRPr="00A54D04" w:rsidRDefault="006A6D8A" w:rsidP="001B046E">
            <w:pPr>
              <w:pStyle w:val="TableBody"/>
              <w:widowControl w:val="0"/>
              <w:jc w:val="right"/>
            </w:pPr>
            <w:r w:rsidRPr="00A54D04">
              <w:t>1.</w:t>
            </w:r>
            <w:r w:rsidR="007C3E08" w:rsidRPr="00A54D04">
              <w:t>7</w:t>
            </w:r>
            <w:r w:rsidRPr="00A54D04">
              <w:t>%</w:t>
            </w:r>
          </w:p>
        </w:tc>
        <w:tc>
          <w:tcPr>
            <w:tcW w:w="515" w:type="pct"/>
            <w:noWrap/>
          </w:tcPr>
          <w:p w14:paraId="52D1E5A5" w14:textId="4BACB1B5" w:rsidR="006A6D8A" w:rsidRPr="00A54D04" w:rsidRDefault="007C3E08" w:rsidP="001B046E">
            <w:pPr>
              <w:pStyle w:val="TableBody"/>
              <w:widowControl w:val="0"/>
              <w:jc w:val="right"/>
              <w:rPr>
                <w:lang w:eastAsia="en-AU"/>
              </w:rPr>
            </w:pPr>
            <w:r w:rsidRPr="00A54D04">
              <w:t>3.0</w:t>
            </w:r>
            <w:r w:rsidR="006A6D8A" w:rsidRPr="00A54D04">
              <w:t>%</w:t>
            </w:r>
          </w:p>
        </w:tc>
        <w:tc>
          <w:tcPr>
            <w:tcW w:w="515" w:type="pct"/>
            <w:noWrap/>
          </w:tcPr>
          <w:p w14:paraId="5963CEBF" w14:textId="05F84F63" w:rsidR="006A6D8A" w:rsidRPr="00A54D04" w:rsidRDefault="006A6D8A" w:rsidP="001B046E">
            <w:pPr>
              <w:pStyle w:val="TableBody"/>
              <w:widowControl w:val="0"/>
              <w:jc w:val="right"/>
              <w:rPr>
                <w:lang w:eastAsia="en-AU"/>
              </w:rPr>
            </w:pPr>
            <w:r w:rsidRPr="00A54D04">
              <w:t>4.</w:t>
            </w:r>
            <w:r w:rsidR="007C3E08" w:rsidRPr="00A54D04">
              <w:t>4</w:t>
            </w:r>
            <w:r w:rsidRPr="00A54D04">
              <w:t>%</w:t>
            </w:r>
          </w:p>
        </w:tc>
        <w:tc>
          <w:tcPr>
            <w:tcW w:w="589" w:type="pct"/>
            <w:noWrap/>
          </w:tcPr>
          <w:p w14:paraId="64FF4D20" w14:textId="46D0F940" w:rsidR="006A6D8A" w:rsidRPr="00A54D04" w:rsidRDefault="006A6D8A" w:rsidP="001B046E">
            <w:pPr>
              <w:pStyle w:val="TableBody"/>
              <w:widowControl w:val="0"/>
              <w:jc w:val="right"/>
              <w:rPr>
                <w:lang w:eastAsia="en-AU"/>
              </w:rPr>
            </w:pPr>
            <w:r w:rsidRPr="00A54D04">
              <w:t>1.</w:t>
            </w:r>
            <w:r w:rsidR="007C3E08" w:rsidRPr="00A54D04">
              <w:t>5</w:t>
            </w:r>
            <w:r w:rsidRPr="00A54D04">
              <w:t>%</w:t>
            </w:r>
          </w:p>
        </w:tc>
        <w:tc>
          <w:tcPr>
            <w:tcW w:w="589" w:type="pct"/>
            <w:noWrap/>
          </w:tcPr>
          <w:p w14:paraId="313EB95D" w14:textId="34FA6C13" w:rsidR="006A6D8A" w:rsidRPr="00A54D04" w:rsidRDefault="006A6D8A" w:rsidP="001B046E">
            <w:pPr>
              <w:pStyle w:val="TableBody"/>
              <w:widowControl w:val="0"/>
              <w:jc w:val="right"/>
              <w:rPr>
                <w:lang w:eastAsia="en-AU"/>
              </w:rPr>
            </w:pPr>
            <w:r w:rsidRPr="00A54D04">
              <w:t>5.</w:t>
            </w:r>
            <w:r w:rsidR="007C3E08" w:rsidRPr="00A54D04">
              <w:t>8</w:t>
            </w:r>
            <w:r w:rsidRPr="00A54D04">
              <w:t>%</w:t>
            </w:r>
          </w:p>
        </w:tc>
        <w:tc>
          <w:tcPr>
            <w:tcW w:w="515" w:type="pct"/>
            <w:noWrap/>
          </w:tcPr>
          <w:p w14:paraId="4E59FE79" w14:textId="21DB942B" w:rsidR="006A6D8A" w:rsidRPr="00A54D04" w:rsidRDefault="006A6D8A" w:rsidP="001B046E">
            <w:pPr>
              <w:pStyle w:val="TableBody"/>
              <w:widowControl w:val="0"/>
              <w:jc w:val="right"/>
              <w:rPr>
                <w:lang w:eastAsia="en-AU"/>
              </w:rPr>
            </w:pPr>
            <w:r w:rsidRPr="00A54D04">
              <w:t>3.4%</w:t>
            </w:r>
          </w:p>
        </w:tc>
        <w:tc>
          <w:tcPr>
            <w:tcW w:w="586" w:type="pct"/>
            <w:noWrap/>
            <w:hideMark/>
          </w:tcPr>
          <w:p w14:paraId="6D84520E" w14:textId="77777777" w:rsidR="006A6D8A" w:rsidRPr="00A54D04" w:rsidRDefault="006A6D8A" w:rsidP="001B046E">
            <w:pPr>
              <w:pStyle w:val="TableBody"/>
              <w:widowControl w:val="0"/>
              <w:jc w:val="right"/>
              <w:rPr>
                <w:b/>
                <w:bCs/>
                <w:lang w:eastAsia="en-AU"/>
              </w:rPr>
            </w:pPr>
            <w:r w:rsidRPr="00A54D04">
              <w:rPr>
                <w:b/>
                <w:bCs/>
              </w:rPr>
              <w:t>3.6%</w:t>
            </w:r>
          </w:p>
        </w:tc>
      </w:tr>
      <w:tr w:rsidR="006630F4" w:rsidRPr="00A54D04" w14:paraId="66E7176B" w14:textId="77777777" w:rsidTr="00152FB9">
        <w:trPr>
          <w:cnfStyle w:val="000000100000" w:firstRow="0" w:lastRow="0" w:firstColumn="0" w:lastColumn="0" w:oddVBand="0" w:evenVBand="0" w:oddHBand="1" w:evenHBand="0" w:firstRowFirstColumn="0" w:firstRowLastColumn="0" w:lastRowFirstColumn="0" w:lastRowLastColumn="0"/>
          <w:trHeight w:val="300"/>
        </w:trPr>
        <w:tc>
          <w:tcPr>
            <w:tcW w:w="1175" w:type="pct"/>
            <w:noWrap/>
            <w:hideMark/>
          </w:tcPr>
          <w:p w14:paraId="04239466" w14:textId="2C0D7757" w:rsidR="006A6D8A" w:rsidRPr="00A54D04" w:rsidRDefault="006A6D8A" w:rsidP="00152FB9">
            <w:pPr>
              <w:pStyle w:val="TableBody"/>
              <w:widowControl w:val="0"/>
              <w:ind w:firstLine="344"/>
              <w:rPr>
                <w:lang w:eastAsia="en-AU"/>
              </w:rPr>
            </w:pPr>
            <w:r w:rsidRPr="00A54D04">
              <w:rPr>
                <w:lang w:eastAsia="en-AU"/>
              </w:rPr>
              <w:t>Other services</w:t>
            </w:r>
          </w:p>
        </w:tc>
        <w:tc>
          <w:tcPr>
            <w:tcW w:w="516" w:type="pct"/>
          </w:tcPr>
          <w:p w14:paraId="6400C074" w14:textId="6406EA95" w:rsidR="006A6D8A" w:rsidRPr="00A54D04" w:rsidRDefault="006A6D8A" w:rsidP="001B046E">
            <w:pPr>
              <w:pStyle w:val="TableBody"/>
              <w:widowControl w:val="0"/>
              <w:jc w:val="right"/>
            </w:pPr>
            <w:r w:rsidRPr="00A54D04">
              <w:t>3.</w:t>
            </w:r>
            <w:r w:rsidR="007C3E08" w:rsidRPr="00A54D04">
              <w:t>8</w:t>
            </w:r>
            <w:r w:rsidRPr="00A54D04">
              <w:t>%</w:t>
            </w:r>
          </w:p>
        </w:tc>
        <w:tc>
          <w:tcPr>
            <w:tcW w:w="0" w:type="pct"/>
            <w:noWrap/>
          </w:tcPr>
          <w:p w14:paraId="0BE41336" w14:textId="68C9E0CD" w:rsidR="006A6D8A" w:rsidRPr="00A54D04" w:rsidRDefault="006A6D8A" w:rsidP="001B046E">
            <w:pPr>
              <w:pStyle w:val="TableBody"/>
              <w:widowControl w:val="0"/>
              <w:jc w:val="right"/>
              <w:rPr>
                <w:lang w:eastAsia="en-AU"/>
              </w:rPr>
            </w:pPr>
            <w:r w:rsidRPr="00A54D04">
              <w:t>1.</w:t>
            </w:r>
            <w:r w:rsidR="007C3E08" w:rsidRPr="00A54D04">
              <w:t>8</w:t>
            </w:r>
            <w:r w:rsidRPr="00A54D04">
              <w:t>%</w:t>
            </w:r>
          </w:p>
        </w:tc>
        <w:tc>
          <w:tcPr>
            <w:tcW w:w="0" w:type="pct"/>
            <w:noWrap/>
          </w:tcPr>
          <w:p w14:paraId="47C1B5C4" w14:textId="0FFD51F1" w:rsidR="006A6D8A" w:rsidRPr="00A54D04" w:rsidRDefault="00A24030" w:rsidP="001B046E">
            <w:pPr>
              <w:pStyle w:val="TableBody"/>
              <w:widowControl w:val="0"/>
              <w:jc w:val="right"/>
              <w:rPr>
                <w:lang w:eastAsia="en-AU"/>
              </w:rPr>
            </w:pPr>
            <w:r>
              <w:t>-</w:t>
            </w:r>
            <w:r w:rsidR="006A6D8A" w:rsidRPr="00A54D04">
              <w:t>1.8%</w:t>
            </w:r>
          </w:p>
        </w:tc>
        <w:tc>
          <w:tcPr>
            <w:tcW w:w="0" w:type="pct"/>
            <w:noWrap/>
          </w:tcPr>
          <w:p w14:paraId="6D66EE0D" w14:textId="6284F80F" w:rsidR="006A6D8A" w:rsidRPr="00A54D04" w:rsidRDefault="006A6D8A" w:rsidP="001B046E">
            <w:pPr>
              <w:pStyle w:val="TableBody"/>
              <w:widowControl w:val="0"/>
              <w:jc w:val="right"/>
              <w:rPr>
                <w:lang w:eastAsia="en-AU"/>
              </w:rPr>
            </w:pPr>
            <w:r w:rsidRPr="00A54D04">
              <w:t>1.</w:t>
            </w:r>
            <w:r w:rsidR="007C3E08" w:rsidRPr="00A54D04">
              <w:t>4</w:t>
            </w:r>
            <w:r w:rsidRPr="00A54D04">
              <w:t>%</w:t>
            </w:r>
          </w:p>
        </w:tc>
        <w:tc>
          <w:tcPr>
            <w:tcW w:w="0" w:type="pct"/>
            <w:noWrap/>
          </w:tcPr>
          <w:p w14:paraId="20C75E5D" w14:textId="2ECC658F" w:rsidR="006A6D8A" w:rsidRPr="00A54D04" w:rsidRDefault="006A6D8A" w:rsidP="001B046E">
            <w:pPr>
              <w:pStyle w:val="TableBody"/>
              <w:widowControl w:val="0"/>
              <w:jc w:val="right"/>
              <w:rPr>
                <w:lang w:eastAsia="en-AU"/>
              </w:rPr>
            </w:pPr>
            <w:r w:rsidRPr="00A54D04">
              <w:t>2.</w:t>
            </w:r>
            <w:r w:rsidR="007C3E08" w:rsidRPr="00A54D04">
              <w:t>4</w:t>
            </w:r>
            <w:r w:rsidRPr="00A54D04">
              <w:t>%</w:t>
            </w:r>
          </w:p>
        </w:tc>
        <w:tc>
          <w:tcPr>
            <w:tcW w:w="0" w:type="pct"/>
            <w:noWrap/>
          </w:tcPr>
          <w:p w14:paraId="1B7BD028" w14:textId="7FCFF010" w:rsidR="006A6D8A" w:rsidRPr="00A54D04" w:rsidRDefault="006A6D8A" w:rsidP="001B046E">
            <w:pPr>
              <w:pStyle w:val="TableBody"/>
              <w:widowControl w:val="0"/>
              <w:jc w:val="right"/>
              <w:rPr>
                <w:lang w:eastAsia="en-AU"/>
              </w:rPr>
            </w:pPr>
            <w:r w:rsidRPr="00A54D04">
              <w:t>2.4%</w:t>
            </w:r>
          </w:p>
        </w:tc>
        <w:tc>
          <w:tcPr>
            <w:tcW w:w="0" w:type="pct"/>
            <w:noWrap/>
            <w:hideMark/>
          </w:tcPr>
          <w:p w14:paraId="77ED551C" w14:textId="77777777" w:rsidR="006A6D8A" w:rsidRPr="00A54D04" w:rsidRDefault="006A6D8A" w:rsidP="001B046E">
            <w:pPr>
              <w:pStyle w:val="TableBody"/>
              <w:widowControl w:val="0"/>
              <w:jc w:val="right"/>
              <w:rPr>
                <w:b/>
                <w:bCs/>
                <w:lang w:eastAsia="en-AU"/>
              </w:rPr>
            </w:pPr>
            <w:r w:rsidRPr="00A54D04">
              <w:rPr>
                <w:b/>
                <w:bCs/>
              </w:rPr>
              <w:t>1.2%</w:t>
            </w:r>
          </w:p>
        </w:tc>
      </w:tr>
      <w:tr w:rsidR="006630F4" w:rsidRPr="00A54D04" w14:paraId="35A2E0BD" w14:textId="77777777" w:rsidTr="00152FB9">
        <w:trPr>
          <w:cnfStyle w:val="000000010000" w:firstRow="0" w:lastRow="0" w:firstColumn="0" w:lastColumn="0" w:oddVBand="0" w:evenVBand="0" w:oddHBand="0" w:evenHBand="1" w:firstRowFirstColumn="0" w:firstRowLastColumn="0" w:lastRowFirstColumn="0" w:lastRowLastColumn="0"/>
          <w:trHeight w:val="300"/>
        </w:trPr>
        <w:tc>
          <w:tcPr>
            <w:tcW w:w="0" w:type="pct"/>
            <w:noWrap/>
          </w:tcPr>
          <w:p w14:paraId="13F6DD55" w14:textId="1BA812E8" w:rsidR="006630F4" w:rsidRPr="00A54D04" w:rsidRDefault="006630F4" w:rsidP="00152FB9">
            <w:pPr>
              <w:pStyle w:val="TableBody"/>
              <w:widowControl w:val="0"/>
              <w:ind w:left="344"/>
            </w:pPr>
            <w:r w:rsidRPr="00A54D04">
              <w:t>Urban transport fees</w:t>
            </w:r>
          </w:p>
        </w:tc>
        <w:tc>
          <w:tcPr>
            <w:tcW w:w="0" w:type="pct"/>
          </w:tcPr>
          <w:p w14:paraId="0095B084" w14:textId="2F4AD057" w:rsidR="006630F4" w:rsidRPr="00A54D04" w:rsidRDefault="006630F4" w:rsidP="006630F4">
            <w:pPr>
              <w:pStyle w:val="TableBody"/>
              <w:widowControl w:val="0"/>
              <w:jc w:val="right"/>
            </w:pPr>
            <w:r w:rsidRPr="00A54D04">
              <w:t>4.0%</w:t>
            </w:r>
          </w:p>
        </w:tc>
        <w:tc>
          <w:tcPr>
            <w:tcW w:w="0" w:type="pct"/>
            <w:noWrap/>
          </w:tcPr>
          <w:p w14:paraId="09A178FF" w14:textId="64277457" w:rsidR="006630F4" w:rsidRPr="00A54D04" w:rsidRDefault="006630F4" w:rsidP="006630F4">
            <w:pPr>
              <w:pStyle w:val="TableBody"/>
              <w:widowControl w:val="0"/>
              <w:jc w:val="right"/>
            </w:pPr>
            <w:r w:rsidRPr="00A54D04">
              <w:t>3.3%</w:t>
            </w:r>
          </w:p>
        </w:tc>
        <w:tc>
          <w:tcPr>
            <w:tcW w:w="0" w:type="pct"/>
            <w:noWrap/>
          </w:tcPr>
          <w:p w14:paraId="12AB753B" w14:textId="58A72C88" w:rsidR="006630F4" w:rsidRPr="00A54D04" w:rsidRDefault="006630F4" w:rsidP="006630F4">
            <w:pPr>
              <w:pStyle w:val="TableBody"/>
              <w:widowControl w:val="0"/>
              <w:jc w:val="right"/>
            </w:pPr>
            <w:r w:rsidRPr="00A54D04">
              <w:t>0.7%</w:t>
            </w:r>
          </w:p>
        </w:tc>
        <w:tc>
          <w:tcPr>
            <w:tcW w:w="0" w:type="pct"/>
            <w:noWrap/>
          </w:tcPr>
          <w:p w14:paraId="56BD05F4" w14:textId="7643DD96" w:rsidR="006630F4" w:rsidRPr="00A54D04" w:rsidRDefault="00A24030" w:rsidP="006630F4">
            <w:pPr>
              <w:pStyle w:val="TableBody"/>
              <w:widowControl w:val="0"/>
              <w:jc w:val="right"/>
            </w:pPr>
            <w:r>
              <w:t>-</w:t>
            </w:r>
            <w:r w:rsidR="006630F4" w:rsidRPr="00A54D04">
              <w:t>0.1%</w:t>
            </w:r>
          </w:p>
        </w:tc>
        <w:tc>
          <w:tcPr>
            <w:tcW w:w="0" w:type="pct"/>
            <w:noWrap/>
          </w:tcPr>
          <w:p w14:paraId="2C9A3599" w14:textId="43AD4F43" w:rsidR="006630F4" w:rsidRPr="00A54D04" w:rsidRDefault="006630F4" w:rsidP="006630F4">
            <w:pPr>
              <w:pStyle w:val="TableBody"/>
              <w:widowControl w:val="0"/>
              <w:jc w:val="right"/>
            </w:pPr>
            <w:r w:rsidRPr="00A54D04">
              <w:t>2.6%</w:t>
            </w:r>
          </w:p>
        </w:tc>
        <w:tc>
          <w:tcPr>
            <w:tcW w:w="0" w:type="pct"/>
            <w:noWrap/>
          </w:tcPr>
          <w:p w14:paraId="3307098C" w14:textId="6AC68532" w:rsidR="006630F4" w:rsidRPr="00A54D04" w:rsidRDefault="006630F4" w:rsidP="006630F4">
            <w:pPr>
              <w:pStyle w:val="TableBody"/>
              <w:widowControl w:val="0"/>
              <w:jc w:val="right"/>
            </w:pPr>
            <w:r w:rsidRPr="00A54D04">
              <w:t>5.0%</w:t>
            </w:r>
          </w:p>
        </w:tc>
        <w:tc>
          <w:tcPr>
            <w:tcW w:w="0" w:type="pct"/>
            <w:noWrap/>
          </w:tcPr>
          <w:p w14:paraId="300606F8" w14:textId="5CF0B06B" w:rsidR="006630F4" w:rsidRPr="00A54D04" w:rsidRDefault="006630F4" w:rsidP="006630F4">
            <w:pPr>
              <w:pStyle w:val="TableBody"/>
              <w:widowControl w:val="0"/>
              <w:jc w:val="right"/>
              <w:rPr>
                <w:b/>
                <w:bCs/>
              </w:rPr>
            </w:pPr>
            <w:r w:rsidRPr="00A54D04">
              <w:rPr>
                <w:b/>
                <w:bCs/>
              </w:rPr>
              <w:t>2.3%</w:t>
            </w:r>
          </w:p>
        </w:tc>
      </w:tr>
      <w:tr w:rsidR="006630F4" w:rsidRPr="00A54D04" w14:paraId="138F80C3" w14:textId="77777777" w:rsidTr="00152FB9">
        <w:trPr>
          <w:cnfStyle w:val="000000100000" w:firstRow="0" w:lastRow="0" w:firstColumn="0" w:lastColumn="0" w:oddVBand="0" w:evenVBand="0" w:oddHBand="1" w:evenHBand="0" w:firstRowFirstColumn="0" w:firstRowLastColumn="0" w:lastRowFirstColumn="0" w:lastRowLastColumn="0"/>
          <w:trHeight w:val="300"/>
        </w:trPr>
        <w:tc>
          <w:tcPr>
            <w:tcW w:w="1175" w:type="pct"/>
            <w:noWrap/>
            <w:hideMark/>
          </w:tcPr>
          <w:p w14:paraId="4A7A54A3" w14:textId="19EA2101" w:rsidR="006630F4" w:rsidRPr="00A54D04" w:rsidRDefault="006630F4" w:rsidP="006630F4">
            <w:pPr>
              <w:pStyle w:val="TableBody"/>
              <w:widowControl w:val="0"/>
            </w:pPr>
            <w:r w:rsidRPr="00A54D04">
              <w:t>Insurance</w:t>
            </w:r>
            <w:r w:rsidR="00E93007" w:rsidRPr="00A54D04">
              <w:t xml:space="preserve"> and financial services</w:t>
            </w:r>
          </w:p>
        </w:tc>
        <w:tc>
          <w:tcPr>
            <w:tcW w:w="516" w:type="pct"/>
          </w:tcPr>
          <w:p w14:paraId="520DD937" w14:textId="2C4CA49A" w:rsidR="006630F4" w:rsidRPr="00A54D04" w:rsidRDefault="006630F4" w:rsidP="006630F4">
            <w:pPr>
              <w:pStyle w:val="TableBody"/>
              <w:widowControl w:val="0"/>
              <w:jc w:val="right"/>
            </w:pPr>
            <w:r w:rsidRPr="00A54D04">
              <w:t>1.</w:t>
            </w:r>
            <w:r w:rsidR="00D41AA6" w:rsidRPr="00A54D04">
              <w:t>4</w:t>
            </w:r>
            <w:r w:rsidRPr="00A54D04">
              <w:t>%</w:t>
            </w:r>
          </w:p>
        </w:tc>
        <w:tc>
          <w:tcPr>
            <w:tcW w:w="0" w:type="pct"/>
            <w:noWrap/>
          </w:tcPr>
          <w:p w14:paraId="7852F150" w14:textId="53B1D499" w:rsidR="006630F4" w:rsidRPr="00A54D04" w:rsidRDefault="006630F4" w:rsidP="006630F4">
            <w:pPr>
              <w:pStyle w:val="TableBody"/>
              <w:widowControl w:val="0"/>
              <w:jc w:val="right"/>
            </w:pPr>
            <w:r w:rsidRPr="00A54D04">
              <w:t>0.</w:t>
            </w:r>
            <w:r w:rsidR="00D41AA6" w:rsidRPr="00A54D04">
              <w:t>3</w:t>
            </w:r>
            <w:r w:rsidRPr="00A54D04">
              <w:t>%</w:t>
            </w:r>
          </w:p>
        </w:tc>
        <w:tc>
          <w:tcPr>
            <w:tcW w:w="0" w:type="pct"/>
            <w:noWrap/>
          </w:tcPr>
          <w:p w14:paraId="21007E34" w14:textId="311D250B" w:rsidR="006630F4" w:rsidRPr="00A54D04" w:rsidRDefault="006630F4" w:rsidP="006630F4">
            <w:pPr>
              <w:pStyle w:val="TableBody"/>
              <w:widowControl w:val="0"/>
              <w:jc w:val="right"/>
            </w:pPr>
            <w:r w:rsidRPr="00A54D04">
              <w:t>1.7%</w:t>
            </w:r>
          </w:p>
        </w:tc>
        <w:tc>
          <w:tcPr>
            <w:tcW w:w="0" w:type="pct"/>
            <w:noWrap/>
          </w:tcPr>
          <w:p w14:paraId="2AF65959" w14:textId="16D2BA23" w:rsidR="006630F4" w:rsidRPr="00A54D04" w:rsidRDefault="006630F4" w:rsidP="006630F4">
            <w:pPr>
              <w:pStyle w:val="TableBody"/>
              <w:widowControl w:val="0"/>
              <w:jc w:val="right"/>
            </w:pPr>
            <w:r w:rsidRPr="00A54D04">
              <w:t>-0.</w:t>
            </w:r>
            <w:r w:rsidR="00D41AA6" w:rsidRPr="00A54D04">
              <w:t>2</w:t>
            </w:r>
            <w:r w:rsidRPr="00A54D04">
              <w:t>%</w:t>
            </w:r>
          </w:p>
        </w:tc>
        <w:tc>
          <w:tcPr>
            <w:tcW w:w="0" w:type="pct"/>
            <w:noWrap/>
          </w:tcPr>
          <w:p w14:paraId="47CE779C" w14:textId="0B738873" w:rsidR="006630F4" w:rsidRPr="00A54D04" w:rsidRDefault="006630F4" w:rsidP="006630F4">
            <w:pPr>
              <w:pStyle w:val="TableBody"/>
              <w:widowControl w:val="0"/>
              <w:jc w:val="right"/>
            </w:pPr>
            <w:r w:rsidRPr="00A54D04">
              <w:t>4.1%</w:t>
            </w:r>
          </w:p>
        </w:tc>
        <w:tc>
          <w:tcPr>
            <w:tcW w:w="0" w:type="pct"/>
            <w:noWrap/>
          </w:tcPr>
          <w:p w14:paraId="56CF7210" w14:textId="2A3A4B82" w:rsidR="006630F4" w:rsidRPr="00A54D04" w:rsidRDefault="006630F4" w:rsidP="006630F4">
            <w:pPr>
              <w:pStyle w:val="TableBody"/>
              <w:widowControl w:val="0"/>
              <w:jc w:val="right"/>
            </w:pPr>
            <w:r w:rsidRPr="00A54D04">
              <w:t>8.0%</w:t>
            </w:r>
          </w:p>
        </w:tc>
        <w:tc>
          <w:tcPr>
            <w:tcW w:w="0" w:type="pct"/>
            <w:noWrap/>
          </w:tcPr>
          <w:p w14:paraId="6F57BA35" w14:textId="196F7DE4" w:rsidR="006630F4" w:rsidRPr="00A54D04" w:rsidRDefault="006630F4" w:rsidP="006630F4">
            <w:pPr>
              <w:pStyle w:val="TableBody"/>
              <w:widowControl w:val="0"/>
              <w:jc w:val="right"/>
              <w:rPr>
                <w:b/>
                <w:bCs/>
              </w:rPr>
            </w:pPr>
            <w:r w:rsidRPr="00A54D04">
              <w:rPr>
                <w:b/>
                <w:bCs/>
              </w:rPr>
              <w:t>2.7%</w:t>
            </w:r>
          </w:p>
        </w:tc>
      </w:tr>
      <w:tr w:rsidR="006630F4" w:rsidRPr="00A54D04" w14:paraId="05C37932" w14:textId="77777777" w:rsidTr="00152FB9">
        <w:trPr>
          <w:cnfStyle w:val="000000010000" w:firstRow="0" w:lastRow="0" w:firstColumn="0" w:lastColumn="0" w:oddVBand="0" w:evenVBand="0" w:oddHBand="0" w:evenHBand="1" w:firstRowFirstColumn="0" w:firstRowLastColumn="0" w:lastRowFirstColumn="0" w:lastRowLastColumn="0"/>
          <w:trHeight w:val="300"/>
        </w:trPr>
        <w:tc>
          <w:tcPr>
            <w:tcW w:w="1175" w:type="pct"/>
            <w:noWrap/>
          </w:tcPr>
          <w:p w14:paraId="034B75E9" w14:textId="77777777" w:rsidR="006A6D8A" w:rsidRPr="00A54D04" w:rsidRDefault="006A6D8A" w:rsidP="001B046E">
            <w:pPr>
              <w:pStyle w:val="TableBody"/>
              <w:widowControl w:val="0"/>
            </w:pPr>
            <w:r w:rsidRPr="00A54D04">
              <w:t>Wage price index</w:t>
            </w:r>
          </w:p>
        </w:tc>
        <w:tc>
          <w:tcPr>
            <w:tcW w:w="516" w:type="pct"/>
          </w:tcPr>
          <w:p w14:paraId="00F7208C" w14:textId="6CE7D6EC" w:rsidR="006A6D8A" w:rsidRPr="00A54D04" w:rsidRDefault="006A6D8A" w:rsidP="001B046E">
            <w:pPr>
              <w:pStyle w:val="TableBody"/>
              <w:widowControl w:val="0"/>
              <w:jc w:val="right"/>
            </w:pPr>
            <w:r w:rsidRPr="00A54D04">
              <w:t>2.3%</w:t>
            </w:r>
          </w:p>
        </w:tc>
        <w:tc>
          <w:tcPr>
            <w:tcW w:w="0" w:type="pct"/>
            <w:noWrap/>
          </w:tcPr>
          <w:p w14:paraId="23A8577B" w14:textId="1458D064" w:rsidR="006A6D8A" w:rsidRPr="00A54D04" w:rsidRDefault="006A6D8A" w:rsidP="001B046E">
            <w:pPr>
              <w:pStyle w:val="TableBody"/>
              <w:widowControl w:val="0"/>
              <w:jc w:val="right"/>
            </w:pPr>
            <w:r w:rsidRPr="00A54D04">
              <w:t>2.</w:t>
            </w:r>
            <w:r w:rsidR="007C3E08" w:rsidRPr="00A54D04">
              <w:t>6</w:t>
            </w:r>
            <w:r w:rsidRPr="00A54D04">
              <w:t>%</w:t>
            </w:r>
          </w:p>
        </w:tc>
        <w:tc>
          <w:tcPr>
            <w:tcW w:w="0" w:type="pct"/>
            <w:noWrap/>
          </w:tcPr>
          <w:p w14:paraId="0C30D223" w14:textId="45515BDE" w:rsidR="006A6D8A" w:rsidRPr="00A54D04" w:rsidRDefault="006A6D8A" w:rsidP="001B046E">
            <w:pPr>
              <w:pStyle w:val="TableBody"/>
              <w:widowControl w:val="0"/>
              <w:jc w:val="right"/>
            </w:pPr>
            <w:r w:rsidRPr="00A54D04">
              <w:t>1.5%</w:t>
            </w:r>
          </w:p>
        </w:tc>
        <w:tc>
          <w:tcPr>
            <w:tcW w:w="0" w:type="pct"/>
            <w:noWrap/>
          </w:tcPr>
          <w:p w14:paraId="47FA41D9" w14:textId="0EF78BD2" w:rsidR="006A6D8A" w:rsidRPr="00A54D04" w:rsidRDefault="006A6D8A" w:rsidP="001B046E">
            <w:pPr>
              <w:pStyle w:val="TableBody"/>
              <w:widowControl w:val="0"/>
              <w:jc w:val="right"/>
            </w:pPr>
            <w:r w:rsidRPr="00A54D04">
              <w:t>2.0%</w:t>
            </w:r>
          </w:p>
        </w:tc>
        <w:tc>
          <w:tcPr>
            <w:tcW w:w="0" w:type="pct"/>
            <w:noWrap/>
          </w:tcPr>
          <w:p w14:paraId="66BCFBB5" w14:textId="65BD1500" w:rsidR="006A6D8A" w:rsidRPr="00A54D04" w:rsidRDefault="006A6D8A" w:rsidP="001B046E">
            <w:pPr>
              <w:pStyle w:val="TableBody"/>
              <w:widowControl w:val="0"/>
              <w:jc w:val="right"/>
            </w:pPr>
            <w:r w:rsidRPr="00A54D04">
              <w:t>2.</w:t>
            </w:r>
            <w:r w:rsidR="007C3E08" w:rsidRPr="00A54D04">
              <w:t>9</w:t>
            </w:r>
            <w:r w:rsidRPr="00A54D04">
              <w:t>%</w:t>
            </w:r>
          </w:p>
        </w:tc>
        <w:tc>
          <w:tcPr>
            <w:tcW w:w="0" w:type="pct"/>
            <w:noWrap/>
          </w:tcPr>
          <w:p w14:paraId="7B11370D" w14:textId="25657E69" w:rsidR="006A6D8A" w:rsidRPr="00A54D04" w:rsidRDefault="006A6D8A" w:rsidP="001B046E">
            <w:pPr>
              <w:pStyle w:val="TableBody"/>
              <w:widowControl w:val="0"/>
              <w:jc w:val="right"/>
            </w:pPr>
            <w:r w:rsidRPr="00A54D04">
              <w:t>3.8%</w:t>
            </w:r>
          </w:p>
        </w:tc>
        <w:tc>
          <w:tcPr>
            <w:tcW w:w="0" w:type="pct"/>
            <w:noWrap/>
          </w:tcPr>
          <w:p w14:paraId="5E79E7EE" w14:textId="77777777" w:rsidR="006A6D8A" w:rsidRPr="00A54D04" w:rsidRDefault="006A6D8A" w:rsidP="001B046E">
            <w:pPr>
              <w:pStyle w:val="TableBody"/>
              <w:widowControl w:val="0"/>
              <w:jc w:val="right"/>
              <w:rPr>
                <w:b/>
                <w:bCs/>
              </w:rPr>
            </w:pPr>
            <w:r w:rsidRPr="00A54D04">
              <w:rPr>
                <w:b/>
                <w:bCs/>
              </w:rPr>
              <w:t>2.6%</w:t>
            </w:r>
          </w:p>
        </w:tc>
      </w:tr>
    </w:tbl>
    <w:p w14:paraId="1F6293B7" w14:textId="77777777" w:rsidR="00CE31B8" w:rsidRPr="00A54D04" w:rsidRDefault="00CE31B8" w:rsidP="001B046E">
      <w:pPr>
        <w:pStyle w:val="Caption"/>
        <w:widowControl w:val="0"/>
        <w:spacing w:after="0" w:line="360" w:lineRule="auto"/>
      </w:pPr>
      <w:r w:rsidRPr="00A54D04">
        <w:rPr>
          <w:b/>
          <w:bCs/>
        </w:rPr>
        <w:t>Note:</w:t>
      </w:r>
      <w:r w:rsidRPr="00A54D04">
        <w:t xml:space="preserve"> The changes have been calculated by comparing the sum of all index values in each calendar year. The wage price index used is the ‘quarterly index; total hourly rates of pay excluding bonuses; Victoria; Private; All’.</w:t>
      </w:r>
    </w:p>
    <w:p w14:paraId="448A3450" w14:textId="19990CDE" w:rsidR="000D05FB" w:rsidRPr="00A54D04" w:rsidRDefault="006A6D8A" w:rsidP="001B046E">
      <w:pPr>
        <w:pStyle w:val="Caption"/>
        <w:widowControl w:val="0"/>
        <w:spacing w:before="0" w:after="0"/>
      </w:pPr>
      <w:r w:rsidRPr="00A54D04">
        <w:rPr>
          <w:b/>
          <w:bCs/>
        </w:rPr>
        <w:t>Source:</w:t>
      </w:r>
      <w:r w:rsidRPr="00A54D04">
        <w:t xml:space="preserve"> Australian Bureau of Statistics, CPI Table </w:t>
      </w:r>
      <w:r w:rsidR="005D1D2C" w:rsidRPr="00A54D04">
        <w:t>5</w:t>
      </w:r>
      <w:r w:rsidRPr="00A54D04">
        <w:t xml:space="preserve"> </w:t>
      </w:r>
      <w:r w:rsidR="002B60E2">
        <w:t xml:space="preserve">and Table 9, </w:t>
      </w:r>
      <w:r w:rsidRPr="00A54D04">
        <w:t>WPI Table 3b.</w:t>
      </w:r>
    </w:p>
    <w:p w14:paraId="6C4038DF" w14:textId="3897CCB9" w:rsidR="00DF35CD" w:rsidRPr="00A54D04" w:rsidRDefault="00DF35CD" w:rsidP="00DF35CD">
      <w:pPr>
        <w:pStyle w:val="Heading4"/>
      </w:pPr>
      <w:r w:rsidRPr="00A54D04">
        <w:t>Stakeholders’ views on changes in costs</w:t>
      </w:r>
    </w:p>
    <w:p w14:paraId="76D2C396" w14:textId="165AA67D" w:rsidR="00DF35CD" w:rsidRPr="00A54D04" w:rsidRDefault="00751BC8" w:rsidP="00DF35CD">
      <w:r w:rsidRPr="00A54D04">
        <w:t xml:space="preserve">The Victorian Automotive Chamber of Commerce and </w:t>
      </w:r>
      <w:r w:rsidR="00DF35CD" w:rsidRPr="00A54D04">
        <w:t xml:space="preserve">AllCar Towing Group raised concerns about </w:t>
      </w:r>
      <w:r w:rsidR="00502318" w:rsidRPr="00A54D04">
        <w:t xml:space="preserve">the </w:t>
      </w:r>
      <w:r w:rsidRPr="00A54D04">
        <w:t>rising</w:t>
      </w:r>
      <w:r w:rsidR="00DF35CD" w:rsidRPr="00A54D04">
        <w:t xml:space="preserve"> cost pressures fac</w:t>
      </w:r>
      <w:r w:rsidR="00161380" w:rsidRPr="00A54D04">
        <w:t>ing</w:t>
      </w:r>
      <w:r w:rsidR="00DF35CD" w:rsidRPr="00A54D04">
        <w:t xml:space="preserve"> the accident towing industry</w:t>
      </w:r>
      <w:r w:rsidR="00CD5F8E" w:rsidRPr="00A54D04">
        <w:t>, such</w:t>
      </w:r>
      <w:r w:rsidR="00F718E8" w:rsidRPr="00A54D04">
        <w:t xml:space="preserve"> as fuel, labour, maintenance, rent and insurance</w:t>
      </w:r>
      <w:r w:rsidR="00DF35CD" w:rsidRPr="00A54D04">
        <w:t>.</w:t>
      </w:r>
      <w:r w:rsidR="00DF35CD" w:rsidRPr="00A54D04">
        <w:rPr>
          <w:rStyle w:val="FootnoteReference"/>
        </w:rPr>
        <w:footnoteReference w:id="79"/>
      </w:r>
    </w:p>
    <w:p w14:paraId="1BD87F97" w14:textId="0820179A" w:rsidR="00DF35CD" w:rsidRPr="00A54D04" w:rsidRDefault="00DF35CD" w:rsidP="00DF35CD">
      <w:r w:rsidRPr="00A54D04">
        <w:lastRenderedPageBreak/>
        <w:t xml:space="preserve">The VACC further noted that the commission has relied on general CPI measures to determine cost </w:t>
      </w:r>
      <w:r w:rsidR="001D33ED" w:rsidRPr="00A54D04">
        <w:t>changes</w:t>
      </w:r>
      <w:r w:rsidRPr="00A54D04">
        <w:t xml:space="preserve"> rather than indices specific to the accident towing industry, contending that this approach does not accurately represent the full range of costs faced by accident towing operators.</w:t>
      </w:r>
      <w:r w:rsidRPr="00A54D04">
        <w:rPr>
          <w:rStyle w:val="FootnoteReference"/>
        </w:rPr>
        <w:footnoteReference w:id="80"/>
      </w:r>
    </w:p>
    <w:p w14:paraId="16C10A22" w14:textId="19CD27F6" w:rsidR="006F7F95" w:rsidRPr="00A54D04" w:rsidRDefault="00C8683E" w:rsidP="00DF35CD">
      <w:r w:rsidRPr="00A54D04">
        <w:t>W</w:t>
      </w:r>
      <w:r w:rsidR="0098737D" w:rsidRPr="00A54D04">
        <w:t>hile</w:t>
      </w:r>
      <w:r w:rsidR="00DF35CD" w:rsidRPr="00A54D04">
        <w:t xml:space="preserve"> there are advantages and disadvantages </w:t>
      </w:r>
      <w:r w:rsidR="007B0147" w:rsidRPr="00A54D04">
        <w:t>to</w:t>
      </w:r>
      <w:r w:rsidR="00DF35CD" w:rsidRPr="00A54D04">
        <w:t xml:space="preserve"> all cost indices, there is no index that can </w:t>
      </w:r>
      <w:r w:rsidR="00B2242B">
        <w:t xml:space="preserve">completely </w:t>
      </w:r>
      <w:r w:rsidR="00DF35CD" w:rsidRPr="00A54D04">
        <w:t xml:space="preserve">capture the </w:t>
      </w:r>
      <w:r w:rsidR="007E1273" w:rsidRPr="00A54D04">
        <w:t xml:space="preserve">costs faced by </w:t>
      </w:r>
      <w:r w:rsidRPr="00A54D04">
        <w:t xml:space="preserve">the </w:t>
      </w:r>
      <w:r w:rsidR="00DF35CD" w:rsidRPr="00A54D04">
        <w:t>accident towing industry</w:t>
      </w:r>
      <w:r w:rsidR="007E1273" w:rsidRPr="00A54D04">
        <w:t xml:space="preserve"> in Melbourne</w:t>
      </w:r>
      <w:r w:rsidR="00DF35CD" w:rsidRPr="00A54D04">
        <w:t>.</w:t>
      </w:r>
      <w:r w:rsidR="006F7F95" w:rsidRPr="00A54D04">
        <w:t xml:space="preserve"> Rather than relying upon a specific index, we have considered them in aggregate to identify any general patterns or possible trends.</w:t>
      </w:r>
      <w:r w:rsidR="001B43A2" w:rsidRPr="00A54D04">
        <w:t xml:space="preserve"> </w:t>
      </w:r>
      <w:r w:rsidR="006F7F95" w:rsidRPr="00A54D04">
        <w:t xml:space="preserve">As such, we </w:t>
      </w:r>
      <w:proofErr w:type="gramStart"/>
      <w:r w:rsidR="006F7F95" w:rsidRPr="00A54D04">
        <w:t>maintain</w:t>
      </w:r>
      <w:proofErr w:type="gramEnd"/>
      <w:r w:rsidR="006F7F95" w:rsidRPr="00A54D04">
        <w:t xml:space="preserve"> that the major costs of the industr</w:t>
      </w:r>
      <w:r w:rsidR="001B43A2" w:rsidRPr="00A54D04">
        <w:t>y</w:t>
      </w:r>
      <w:r w:rsidR="006F7F95" w:rsidRPr="00A54D04">
        <w:t>, though volatile at times, ha</w:t>
      </w:r>
      <w:r w:rsidR="007F2F74" w:rsidRPr="00A54D04">
        <w:t>ve</w:t>
      </w:r>
      <w:r w:rsidR="006F7F95" w:rsidRPr="00A54D04">
        <w:t xml:space="preserve"> not changed</w:t>
      </w:r>
      <w:r w:rsidR="004A7D0B" w:rsidRPr="00A54D04">
        <w:t xml:space="preserve"> significantly (that is, </w:t>
      </w:r>
      <w:proofErr w:type="gramStart"/>
      <w:r w:rsidR="004A7D0B" w:rsidRPr="00A54D04">
        <w:t>in excess of</w:t>
      </w:r>
      <w:proofErr w:type="gramEnd"/>
      <w:r w:rsidR="004A7D0B" w:rsidRPr="00A54D04">
        <w:t xml:space="preserve"> revenue)</w:t>
      </w:r>
      <w:r w:rsidR="001B43A2" w:rsidRPr="00A54D04">
        <w:t>.</w:t>
      </w:r>
    </w:p>
    <w:p w14:paraId="0D3462E7" w14:textId="28CBFAE0" w:rsidR="006A6D8A" w:rsidRPr="00A54D04" w:rsidRDefault="006A6D8A" w:rsidP="009A570C">
      <w:pPr>
        <w:pStyle w:val="Heading2"/>
        <w:tabs>
          <w:tab w:val="left" w:pos="8439"/>
        </w:tabs>
      </w:pPr>
      <w:bookmarkStart w:id="458" w:name="_Toc87891280"/>
      <w:bookmarkStart w:id="459" w:name="_Toc88487001"/>
      <w:bookmarkStart w:id="460" w:name="_Toc90279120"/>
      <w:bookmarkStart w:id="461" w:name="_Toc97931458"/>
      <w:bookmarkStart w:id="462" w:name="_Toc99634752"/>
      <w:bookmarkStart w:id="463" w:name="_Toc184041494"/>
      <w:bookmarkStart w:id="464" w:name="_Toc185321824"/>
      <w:bookmarkStart w:id="465" w:name="_Toc190265350"/>
      <w:bookmarkStart w:id="466" w:name="_Toc195721953"/>
      <w:bookmarkStart w:id="467" w:name="_Toc197345310"/>
      <w:bookmarkStart w:id="468" w:name="_Toc197942479"/>
      <w:bookmarkStart w:id="469" w:name="_Toc197977752"/>
      <w:bookmarkStart w:id="470" w:name="_Toc198048741"/>
      <w:bookmarkStart w:id="471" w:name="_Toc199231614"/>
      <w:r w:rsidRPr="00A54D04">
        <w:t>Service qualit</w:t>
      </w:r>
      <w:r w:rsidR="00FF5DB0" w:rsidRPr="00A54D04">
        <w:t>y</w:t>
      </w:r>
      <w:r w:rsidRPr="00A54D04">
        <w:t xml:space="preserve"> since 201</w:t>
      </w:r>
      <w:bookmarkEnd w:id="458"/>
      <w:bookmarkEnd w:id="459"/>
      <w:bookmarkEnd w:id="460"/>
      <w:bookmarkEnd w:id="461"/>
      <w:bookmarkEnd w:id="462"/>
      <w:bookmarkEnd w:id="463"/>
      <w:bookmarkEnd w:id="464"/>
      <w:bookmarkEnd w:id="465"/>
      <w:r w:rsidR="009A570C" w:rsidRPr="00A54D04">
        <w:t>8</w:t>
      </w:r>
      <w:bookmarkEnd w:id="466"/>
      <w:bookmarkEnd w:id="467"/>
      <w:bookmarkEnd w:id="468"/>
      <w:bookmarkEnd w:id="469"/>
      <w:bookmarkEnd w:id="470"/>
      <w:bookmarkEnd w:id="471"/>
    </w:p>
    <w:p w14:paraId="65875665" w14:textId="1D8F85C2" w:rsidR="006A6D8A" w:rsidRPr="00A54D04" w:rsidRDefault="006A6D8A" w:rsidP="006A6D8A">
      <w:r w:rsidRPr="00A54D04">
        <w:t xml:space="preserve">The Department of Transport and Planning provided data on the number and type of investigated complaints received in relation to accident towing operators. Trends in the number of complaints (in total or on a specific topic) may indicate service levels are increasing or decreasing in the industry. </w:t>
      </w:r>
    </w:p>
    <w:p w14:paraId="140A4C97" w14:textId="5110E40F" w:rsidR="006A6D8A" w:rsidRPr="00A54D04" w:rsidRDefault="006A6D8A" w:rsidP="006A6D8A">
      <w:r w:rsidRPr="00A54D04">
        <w:t xml:space="preserve">We understand the Department of Transport and Planning does not record the number of complaints in relation to simple matters that are resolved without requiring an investigation. For example, if resolution is reached by contacting an operator to inform them that they cannot charge a particular fee. Therefore, the complaints data presented in this section does not reflect the total number of complaints in relation to the accident towing industry. </w:t>
      </w:r>
    </w:p>
    <w:p w14:paraId="1D63FF74" w14:textId="21F7A899" w:rsidR="00C80BFE" w:rsidRPr="00A54D04" w:rsidRDefault="00B663D9" w:rsidP="006A6D8A">
      <w:r w:rsidRPr="00A54D04">
        <w:t xml:space="preserve">As shown in Figure </w:t>
      </w:r>
      <w:r w:rsidR="003B39C0">
        <w:t>9</w:t>
      </w:r>
      <w:r w:rsidRPr="00A54D04">
        <w:t>, t</w:t>
      </w:r>
      <w:r w:rsidR="006A6D8A" w:rsidRPr="00A54D04">
        <w:t xml:space="preserve">he number of investigated complaints increased from 48 in 2018 to 143 in 2022 and then </w:t>
      </w:r>
      <w:r w:rsidR="00016C1C" w:rsidRPr="00A54D04">
        <w:t xml:space="preserve">dropped </w:t>
      </w:r>
      <w:r w:rsidR="006A6D8A" w:rsidRPr="00A54D04">
        <w:t>to 103 in 202</w:t>
      </w:r>
      <w:r w:rsidRPr="00A54D04">
        <w:t>3</w:t>
      </w:r>
      <w:r w:rsidR="006A6D8A" w:rsidRPr="00A54D04">
        <w:t>.</w:t>
      </w:r>
      <w:r w:rsidR="006461A8" w:rsidRPr="00A54D04">
        <w:t xml:space="preserve"> </w:t>
      </w:r>
      <w:r w:rsidR="00016C1C" w:rsidRPr="00A54D04">
        <w:t>T</w:t>
      </w:r>
      <w:r w:rsidR="00F377C4" w:rsidRPr="00A54D04">
        <w:t>he number of</w:t>
      </w:r>
      <w:r w:rsidR="00C80BFE" w:rsidRPr="00A54D04">
        <w:t xml:space="preserve"> complaints in 2023 was more than double that in 2018, which suggests </w:t>
      </w:r>
      <w:r w:rsidR="00391F0F" w:rsidRPr="00A54D04">
        <w:t>service quality in the accident towing industry may have declined.</w:t>
      </w:r>
      <w:r w:rsidR="00DC0ECC" w:rsidRPr="00A54D04">
        <w:t xml:space="preserve"> </w:t>
      </w:r>
    </w:p>
    <w:p w14:paraId="6A2905E9" w14:textId="10BF2DE3" w:rsidR="006A6D8A" w:rsidRPr="00A54D04" w:rsidRDefault="00DC0ECC" w:rsidP="006A6D8A">
      <w:r w:rsidRPr="00A54D04">
        <w:t>However, as the data is not reported in a consistent and complete way</w:t>
      </w:r>
      <w:r w:rsidR="009B0745" w:rsidRPr="00A54D04">
        <w:t xml:space="preserve">, </w:t>
      </w:r>
      <w:r w:rsidRPr="00A54D04">
        <w:t>we cannot conclude whether changes in this measure reflect actual changes in service quality or issues with data quality</w:t>
      </w:r>
      <w:r w:rsidR="00B84A8D" w:rsidRPr="00A54D04">
        <w:t>.</w:t>
      </w:r>
    </w:p>
    <w:p w14:paraId="42D4994E" w14:textId="2040FDFF" w:rsidR="006A6D8A" w:rsidRPr="00A54D04" w:rsidRDefault="006A6D8A" w:rsidP="00972FBE">
      <w:pPr>
        <w:pStyle w:val="Figure-Table-BoxHeading"/>
        <w:keepNext/>
        <w:numPr>
          <w:ilvl w:val="0"/>
          <w:numId w:val="0"/>
        </w:numPr>
        <w:spacing w:line="360" w:lineRule="auto"/>
        <w:ind w:left="851" w:hanging="851"/>
      </w:pPr>
      <w:r w:rsidRPr="00A54D04">
        <w:lastRenderedPageBreak/>
        <w:t xml:space="preserve">Figure </w:t>
      </w:r>
      <w:r w:rsidR="003B39C0">
        <w:t>9</w:t>
      </w:r>
      <w:r w:rsidR="009411A2" w:rsidRPr="00A54D04">
        <w:t xml:space="preserve">. </w:t>
      </w:r>
      <w:r w:rsidRPr="00A54D04">
        <w:t>Number of complaints</w:t>
      </w:r>
      <w:r w:rsidR="00BF08E9" w:rsidRPr="00A54D04">
        <w:t xml:space="preserve"> made in relation to accident towing operators </w:t>
      </w:r>
    </w:p>
    <w:p w14:paraId="710A211F" w14:textId="77777777" w:rsidR="006A6D8A" w:rsidRPr="00A54D04" w:rsidRDefault="006A6D8A" w:rsidP="006A6D8A">
      <w:pPr>
        <w:pStyle w:val="Figure-Table-BoxHeading"/>
        <w:numPr>
          <w:ilvl w:val="0"/>
          <w:numId w:val="0"/>
        </w:numPr>
        <w:ind w:left="851" w:hanging="851"/>
        <w:rPr>
          <w:bCs/>
        </w:rPr>
      </w:pPr>
      <w:r w:rsidRPr="00A54D04">
        <w:rPr>
          <w:noProof/>
        </w:rPr>
        <w:drawing>
          <wp:inline distT="0" distB="0" distL="0" distR="0" wp14:anchorId="7DA127A7" wp14:editId="03649F30">
            <wp:extent cx="6120130" cy="2356485"/>
            <wp:effectExtent l="0" t="0" r="13970" b="5715"/>
            <wp:docPr id="1259646343" name="Chart 1">
              <a:extLst xmlns:a="http://schemas.openxmlformats.org/drawingml/2006/main">
                <a:ext uri="{FF2B5EF4-FFF2-40B4-BE49-F238E27FC236}">
                  <a16:creationId xmlns:a16="http://schemas.microsoft.com/office/drawing/2014/main" id="{AA2899ED-8242-46CA-A516-10413016682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7"/>
              </a:graphicData>
            </a:graphic>
          </wp:inline>
        </w:drawing>
      </w:r>
    </w:p>
    <w:p w14:paraId="2CA58FA9" w14:textId="6DE1801E" w:rsidR="006A6D8A" w:rsidRPr="00A54D04" w:rsidRDefault="006A6D8A" w:rsidP="007E77AD">
      <w:pPr>
        <w:pStyle w:val="Caption"/>
        <w:spacing w:before="0"/>
      </w:pPr>
      <w:r w:rsidRPr="00A54D04">
        <w:rPr>
          <w:b/>
          <w:bCs/>
        </w:rPr>
        <w:t>Source:</w:t>
      </w:r>
      <w:r w:rsidRPr="00A54D04">
        <w:t xml:space="preserve"> Department of Transport and Planning.</w:t>
      </w:r>
    </w:p>
    <w:p w14:paraId="19250ECA" w14:textId="492C4227" w:rsidR="00CB5422" w:rsidRPr="00A54D04" w:rsidRDefault="00CB5422" w:rsidP="00152FB9">
      <w:pPr>
        <w:pStyle w:val="Heading4"/>
      </w:pPr>
      <w:bookmarkStart w:id="472" w:name="_Toc195721954"/>
      <w:r w:rsidRPr="00A54D04">
        <w:t>AllCar Towing Group suggest</w:t>
      </w:r>
      <w:r w:rsidR="00DB3FF2" w:rsidRPr="00A54D04">
        <w:t xml:space="preserve"> contrary</w:t>
      </w:r>
      <w:r w:rsidRPr="00A54D04">
        <w:t xml:space="preserve"> </w:t>
      </w:r>
      <w:r w:rsidR="00DB3FF2" w:rsidRPr="00A54D04">
        <w:t xml:space="preserve">service quality </w:t>
      </w:r>
      <w:r w:rsidRPr="00A54D04">
        <w:t>improvements</w:t>
      </w:r>
    </w:p>
    <w:p w14:paraId="3DB52470" w14:textId="02137078" w:rsidR="00CB5422" w:rsidRPr="00A54D04" w:rsidRDefault="00F561B8" w:rsidP="00CB5422">
      <w:r w:rsidRPr="00A54D04">
        <w:t xml:space="preserve">Despite </w:t>
      </w:r>
      <w:r w:rsidR="00D60558" w:rsidRPr="00A54D04">
        <w:t>some data</w:t>
      </w:r>
      <w:r w:rsidRPr="00A54D04">
        <w:t xml:space="preserve"> suggesting a possible decline in service quality, AllCar Towing Group referred to recent improvements in service quality in its submission: </w:t>
      </w:r>
    </w:p>
    <w:p w14:paraId="7D9BD3E7" w14:textId="666000D6" w:rsidR="00CB5422" w:rsidRPr="00A54D04" w:rsidRDefault="00CB5422" w:rsidP="00152FB9">
      <w:pPr>
        <w:ind w:left="720"/>
      </w:pPr>
      <w:r w:rsidRPr="00A54D04">
        <w:rPr>
          <w:rStyle w:val="QuoteChar"/>
        </w:rPr>
        <w:t>In recent years, we have made significant financial investments to improve service levels and modernise our operations. These investments include upgrading our fleet with state-of-the-art towing equipment, enhancing our depots to improve operational efficiency, and implementing advanced dispatch technology to streamline response times. Additionally, we have prioritised staff training and development to maintain the highest industry standards, ensuring that every driver is equipped with the necessary skills to handle accident scenes safely and professionally</w:t>
      </w:r>
      <w:r w:rsidRPr="00A54D04">
        <w:t>.</w:t>
      </w:r>
      <w:r w:rsidRPr="00A54D04">
        <w:rPr>
          <w:rStyle w:val="FootnoteReference"/>
          <w:color w:val="4986A0" w:themeColor="text2"/>
        </w:rPr>
        <w:footnoteReference w:id="81"/>
      </w:r>
    </w:p>
    <w:p w14:paraId="25626050" w14:textId="6C045773" w:rsidR="00327C11" w:rsidRPr="00A54D04" w:rsidRDefault="00327C11" w:rsidP="00327C11">
      <w:pPr>
        <w:pStyle w:val="Heading3"/>
      </w:pPr>
      <w:bookmarkStart w:id="473" w:name="_Toc197345311"/>
      <w:bookmarkStart w:id="474" w:name="_Toc197942480"/>
      <w:bookmarkStart w:id="475" w:name="_Toc197977753"/>
      <w:bookmarkStart w:id="476" w:name="_Toc198048742"/>
      <w:bookmarkStart w:id="477" w:name="_Toc199231615"/>
      <w:r w:rsidRPr="00A54D04">
        <w:t>Response time</w:t>
      </w:r>
      <w:r w:rsidR="000F0497" w:rsidRPr="00A54D04">
        <w:t xml:space="preserve"> data </w:t>
      </w:r>
      <w:r w:rsidR="00C155E7" w:rsidRPr="00A54D04">
        <w:t>is not</w:t>
      </w:r>
      <w:r w:rsidR="000F0497" w:rsidRPr="00A54D04">
        <w:t xml:space="preserve"> collected</w:t>
      </w:r>
      <w:bookmarkEnd w:id="472"/>
      <w:bookmarkEnd w:id="473"/>
      <w:bookmarkEnd w:id="474"/>
      <w:bookmarkEnd w:id="475"/>
      <w:bookmarkEnd w:id="476"/>
      <w:bookmarkEnd w:id="477"/>
    </w:p>
    <w:p w14:paraId="4A15ABAA" w14:textId="5082BF3E" w:rsidR="00327C11" w:rsidRPr="00B27397" w:rsidRDefault="00327C11" w:rsidP="00327C11">
      <w:r w:rsidRPr="00A54D04">
        <w:t xml:space="preserve">Tow truck drivers are </w:t>
      </w:r>
      <w:r w:rsidR="009411A2" w:rsidRPr="00A54D04">
        <w:t xml:space="preserve">required </w:t>
      </w:r>
      <w:r w:rsidRPr="00A54D04">
        <w:t xml:space="preserve">to take reasonable steps to arrive at an accident scene within 30 minutes of accepting an accident allocation. We are unable to assess </w:t>
      </w:r>
      <w:r w:rsidR="00CB2C8F" w:rsidRPr="00A54D04">
        <w:t xml:space="preserve">how the </w:t>
      </w:r>
      <w:r w:rsidR="00626123" w:rsidRPr="00A54D04">
        <w:t>number of</w:t>
      </w:r>
      <w:r w:rsidR="00F6645E" w:rsidRPr="00A54D04">
        <w:t xml:space="preserve"> accident </w:t>
      </w:r>
      <w:r w:rsidR="00FB2A78" w:rsidRPr="00A54D04">
        <w:t>allocations</w:t>
      </w:r>
      <w:r w:rsidR="00F6645E" w:rsidRPr="00A54D04">
        <w:t xml:space="preserve"> meeting this requirement is changing over time</w:t>
      </w:r>
      <w:r w:rsidR="00016C1C" w:rsidRPr="00A54D04">
        <w:t>. This is because data</w:t>
      </w:r>
      <w:r w:rsidRPr="00A54D04">
        <w:t xml:space="preserve"> on response </w:t>
      </w:r>
      <w:r w:rsidRPr="00A54D04">
        <w:lastRenderedPageBreak/>
        <w:t>times is not</w:t>
      </w:r>
      <w:r w:rsidR="00B7124E" w:rsidRPr="00A54D04">
        <w:t xml:space="preserve"> </w:t>
      </w:r>
      <w:r w:rsidRPr="00A54D04">
        <w:t>collected</w:t>
      </w:r>
      <w:r w:rsidR="00016C1C" w:rsidRPr="00A54D04">
        <w:t xml:space="preserve"> </w:t>
      </w:r>
      <w:r w:rsidR="006C664B">
        <w:t xml:space="preserve">– </w:t>
      </w:r>
      <w:r w:rsidR="00016C1C" w:rsidRPr="00A54D04">
        <w:t xml:space="preserve">despite </w:t>
      </w:r>
      <w:r w:rsidRPr="00A54D04">
        <w:t xml:space="preserve">tow truck drivers </w:t>
      </w:r>
      <w:r w:rsidR="00016C1C" w:rsidRPr="00A54D04">
        <w:t xml:space="preserve">being </w:t>
      </w:r>
      <w:r w:rsidRPr="00A54D04">
        <w:t xml:space="preserve">required to notify the </w:t>
      </w:r>
      <w:r w:rsidR="00016C1C" w:rsidRPr="00A54D04">
        <w:t xml:space="preserve">accident allocation </w:t>
      </w:r>
      <w:r w:rsidRPr="00A54D04">
        <w:t xml:space="preserve">call centre </w:t>
      </w:r>
      <w:r w:rsidR="00016C1C" w:rsidRPr="00A54D04">
        <w:t>when they have arrived at an accident scene.</w:t>
      </w:r>
      <w:r w:rsidR="00016C1C" w:rsidRPr="00A54D04">
        <w:rPr>
          <w:rStyle w:val="FootnoteReference"/>
        </w:rPr>
        <w:footnoteReference w:id="82"/>
      </w:r>
      <w:r w:rsidR="00016C1C" w:rsidRPr="00B27397">
        <w:t xml:space="preserve"> </w:t>
      </w:r>
    </w:p>
    <w:p w14:paraId="0AB4B327" w14:textId="77777777" w:rsidR="00546884" w:rsidRPr="006A6D8A" w:rsidRDefault="00546884" w:rsidP="006A6D8A"/>
    <w:sectPr w:rsidR="00546884" w:rsidRPr="006A6D8A" w:rsidSect="00703C67">
      <w:footerReference w:type="default" r:id="rId88"/>
      <w:pgSz w:w="11906" w:h="16838" w:code="9"/>
      <w:pgMar w:top="1134" w:right="1134" w:bottom="1134" w:left="1134" w:header="709" w:footer="6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48351A" w14:textId="77777777" w:rsidR="00D86216" w:rsidRDefault="00D86216" w:rsidP="00AE03FA">
      <w:pPr>
        <w:spacing w:after="0"/>
      </w:pPr>
      <w:r>
        <w:separator/>
      </w:r>
    </w:p>
    <w:p w14:paraId="7A2A26A5" w14:textId="77777777" w:rsidR="00D86216" w:rsidRDefault="00D86216"/>
    <w:p w14:paraId="3E198E70" w14:textId="77777777" w:rsidR="00D86216" w:rsidRDefault="00D86216"/>
  </w:endnote>
  <w:endnote w:type="continuationSeparator" w:id="0">
    <w:p w14:paraId="6D1C619C" w14:textId="77777777" w:rsidR="00D86216" w:rsidRDefault="00D86216" w:rsidP="00AE03FA">
      <w:pPr>
        <w:spacing w:after="0"/>
      </w:pPr>
      <w:r>
        <w:continuationSeparator/>
      </w:r>
    </w:p>
    <w:p w14:paraId="74D98765" w14:textId="77777777" w:rsidR="00D86216" w:rsidRDefault="00D86216"/>
    <w:p w14:paraId="582C12EB" w14:textId="77777777" w:rsidR="00D86216" w:rsidRDefault="00D86216"/>
  </w:endnote>
  <w:endnote w:type="continuationNotice" w:id="1">
    <w:p w14:paraId="523F9DE8" w14:textId="77777777" w:rsidR="00D86216" w:rsidRDefault="00D86216">
      <w:pPr>
        <w:spacing w:before="0" w:after="0" w:line="240" w:lineRule="auto"/>
      </w:pPr>
    </w:p>
    <w:p w14:paraId="6D99A9F7" w14:textId="77777777" w:rsidR="00D86216" w:rsidRDefault="00D862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06D6F2" w14:textId="111AE45B" w:rsidR="003A30F3" w:rsidRDefault="003A30F3" w:rsidP="00A236AB">
    <w:pPr>
      <w:pStyle w:val="FooterSpace"/>
      <w:ind w:right="707"/>
    </w:pPr>
  </w:p>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3A30F3" w14:paraId="3F634482" w14:textId="77777777" w:rsidTr="00890A61">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0270E08D" w14:textId="77777777" w:rsidR="003A30F3" w:rsidRPr="009E15D6" w:rsidRDefault="003A30F3" w:rsidP="005E5FCE">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sidR="00936B74">
            <w:rPr>
              <w:rStyle w:val="PageNumber"/>
              <w:noProof/>
            </w:rPr>
            <w:t>i</w:t>
          </w:r>
          <w:r w:rsidRPr="009E15D6">
            <w:rPr>
              <w:rStyle w:val="PageNumber"/>
            </w:rPr>
            <w:fldChar w:fldCharType="end"/>
          </w:r>
        </w:p>
      </w:tc>
    </w:tr>
  </w:tbl>
  <w:p w14:paraId="5E480D6A" w14:textId="55BC9006" w:rsidR="003A30F3" w:rsidRPr="002C2ADF" w:rsidRDefault="003A30F3" w:rsidP="00A236AB">
    <w:pPr>
      <w:pStyle w:val="Footer"/>
      <w:ind w:right="707"/>
      <w:rPr>
        <w:b/>
      </w:rPr>
    </w:pPr>
    <w:r>
      <w:t xml:space="preserve">Essential Services Commission </w:t>
    </w:r>
    <w:sdt>
      <w:sdtPr>
        <w:rPr>
          <w:b/>
        </w:rPr>
        <w:alias w:val="Title"/>
        <w:tag w:val=""/>
        <w:id w:val="779065399"/>
        <w:placeholder>
          <w:docPart w:val="E8FBB1693C42492B8F8EF5D86554E641"/>
        </w:placeholder>
        <w:dataBinding w:prefixMappings="xmlns:ns0='http://purl.org/dc/elements/1.1/' xmlns:ns1='http://schemas.openxmlformats.org/package/2006/metadata/core-properties' " w:xpath="/ns1:coreProperties[1]/ns0:title[1]" w:storeItemID="{6C3C8BC8-F283-45AE-878A-BAB7291924A1}"/>
        <w:text/>
      </w:sdtPr>
      <w:sdtContent>
        <w:r w:rsidR="00F41E21">
          <w:rPr>
            <w:b/>
          </w:rPr>
          <w:t>Accident Towing Fees Review 2025</w:t>
        </w:r>
      </w:sdtContent>
    </w:sdt>
    <w:r>
      <w:rPr>
        <w:b/>
      </w:rPr>
      <w:t xml:space="preserve">   </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626061" w14:textId="2ADCFC24" w:rsidR="007617FD" w:rsidRDefault="00540579" w:rsidP="00A236AB">
    <w:pPr>
      <w:pStyle w:val="FooterSpace"/>
      <w:ind w:right="707"/>
    </w:pPr>
    <w:r>
      <w:t>4</w:t>
    </w:r>
    <w:r w:rsidR="007617FD">
      <w:t>. Productivity adjustment</w:t>
    </w:r>
  </w:p>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7617FD" w14:paraId="2B798E7A" w14:textId="77777777" w:rsidTr="00890A61">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25182CC0" w14:textId="77777777" w:rsidR="007617FD" w:rsidRPr="009E15D6" w:rsidRDefault="007617FD" w:rsidP="005E5FCE">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Pr>
              <w:rStyle w:val="PageNumber"/>
              <w:noProof/>
            </w:rPr>
            <w:t>6</w:t>
          </w:r>
          <w:r w:rsidRPr="009E15D6">
            <w:rPr>
              <w:rStyle w:val="PageNumber"/>
            </w:rPr>
            <w:fldChar w:fldCharType="end"/>
          </w:r>
        </w:p>
      </w:tc>
    </w:tr>
  </w:tbl>
  <w:p w14:paraId="715BB828" w14:textId="49CE291A" w:rsidR="007617FD" w:rsidRPr="00E5390E" w:rsidRDefault="007617FD" w:rsidP="00A236AB">
    <w:pPr>
      <w:pStyle w:val="Footer"/>
      <w:ind w:right="707"/>
      <w:rPr>
        <w:b/>
      </w:rPr>
    </w:pPr>
    <w:r>
      <w:t xml:space="preserve">Essential Services Commission </w:t>
    </w:r>
    <w:sdt>
      <w:sdtPr>
        <w:rPr>
          <w:b/>
        </w:rPr>
        <w:alias w:val="Title"/>
        <w:tag w:val=""/>
        <w:id w:val="-1258060125"/>
        <w:dataBinding w:prefixMappings="xmlns:ns0='http://purl.org/dc/elements/1.1/' xmlns:ns1='http://schemas.openxmlformats.org/package/2006/metadata/core-properties' " w:xpath="/ns1:coreProperties[1]/ns0:title[1]" w:storeItemID="{6C3C8BC8-F283-45AE-878A-BAB7291924A1}"/>
        <w:text/>
      </w:sdtPr>
      <w:sdtContent>
        <w:r w:rsidR="00F41E21">
          <w:rPr>
            <w:b/>
          </w:rPr>
          <w:t>Accident Towing Fees Review 2025</w:t>
        </w:r>
      </w:sdtContent>
    </w:sdt>
    <w:r>
      <w:rPr>
        <w:b/>
      </w:rPr>
      <w:t xml:space="preserve">   </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4BB304" w14:textId="10A954DF" w:rsidR="007617FD" w:rsidRDefault="00540579" w:rsidP="00A236AB">
    <w:pPr>
      <w:pStyle w:val="FooterSpace"/>
      <w:ind w:right="707"/>
    </w:pPr>
    <w:r>
      <w:t>5</w:t>
    </w:r>
    <w:r w:rsidR="007617FD">
      <w:t>. Salvage</w:t>
    </w:r>
    <w:r w:rsidR="00540CF7">
      <w:t xml:space="preserve"> fees</w:t>
    </w:r>
  </w:p>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7617FD" w14:paraId="2306789A" w14:textId="77777777" w:rsidTr="00890A61">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381F477E" w14:textId="77777777" w:rsidR="007617FD" w:rsidRPr="009E15D6" w:rsidRDefault="007617FD" w:rsidP="005E5FCE">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Pr>
              <w:rStyle w:val="PageNumber"/>
              <w:noProof/>
            </w:rPr>
            <w:t>6</w:t>
          </w:r>
          <w:r w:rsidRPr="009E15D6">
            <w:rPr>
              <w:rStyle w:val="PageNumber"/>
            </w:rPr>
            <w:fldChar w:fldCharType="end"/>
          </w:r>
        </w:p>
      </w:tc>
    </w:tr>
  </w:tbl>
  <w:p w14:paraId="4A4D7EE4" w14:textId="5BFEC1D4" w:rsidR="007617FD" w:rsidRPr="00E5390E" w:rsidRDefault="007617FD" w:rsidP="00A236AB">
    <w:pPr>
      <w:pStyle w:val="Footer"/>
      <w:ind w:right="707"/>
      <w:rPr>
        <w:b/>
      </w:rPr>
    </w:pPr>
    <w:r>
      <w:t xml:space="preserve">Essential Services Commission </w:t>
    </w:r>
    <w:sdt>
      <w:sdtPr>
        <w:rPr>
          <w:b/>
        </w:rPr>
        <w:alias w:val="Title"/>
        <w:tag w:val=""/>
        <w:id w:val="884596631"/>
        <w:dataBinding w:prefixMappings="xmlns:ns0='http://purl.org/dc/elements/1.1/' xmlns:ns1='http://schemas.openxmlformats.org/package/2006/metadata/core-properties' " w:xpath="/ns1:coreProperties[1]/ns0:title[1]" w:storeItemID="{6C3C8BC8-F283-45AE-878A-BAB7291924A1}"/>
        <w:text/>
      </w:sdtPr>
      <w:sdtContent>
        <w:r w:rsidR="00F41E21">
          <w:rPr>
            <w:b/>
          </w:rPr>
          <w:t>Accident Towing Fees Review 2025</w:t>
        </w:r>
      </w:sdtContent>
    </w:sdt>
    <w:r>
      <w:rPr>
        <w:b/>
      </w:rPr>
      <w:t xml:space="preserve">   </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2C9DDC" w14:textId="56E444FE" w:rsidR="003A30F3" w:rsidRDefault="0041357C" w:rsidP="00A236AB">
    <w:pPr>
      <w:pStyle w:val="FooterSpace"/>
      <w:ind w:right="707"/>
    </w:pPr>
    <w:r>
      <w:t>5. Salvage fees</w:t>
    </w:r>
  </w:p>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3A30F3" w14:paraId="77EAF1D9" w14:textId="77777777" w:rsidTr="00890A61">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76B0CE65" w14:textId="77777777" w:rsidR="003A30F3" w:rsidRPr="009E15D6" w:rsidRDefault="003A30F3" w:rsidP="005E5FCE">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sidR="00936B74">
            <w:rPr>
              <w:rStyle w:val="PageNumber"/>
              <w:noProof/>
            </w:rPr>
            <w:t>8</w:t>
          </w:r>
          <w:r w:rsidRPr="009E15D6">
            <w:rPr>
              <w:rStyle w:val="PageNumber"/>
            </w:rPr>
            <w:fldChar w:fldCharType="end"/>
          </w:r>
        </w:p>
      </w:tc>
    </w:tr>
  </w:tbl>
  <w:p w14:paraId="0B4D0719" w14:textId="70D802FA" w:rsidR="003A30F3" w:rsidRPr="00CF2B15" w:rsidRDefault="003A30F3" w:rsidP="00A236AB">
    <w:pPr>
      <w:pStyle w:val="Footer"/>
      <w:ind w:right="707"/>
      <w:rPr>
        <w:b/>
      </w:rPr>
    </w:pPr>
    <w:r>
      <w:t xml:space="preserve">Essential Services Commission </w:t>
    </w:r>
    <w:sdt>
      <w:sdtPr>
        <w:rPr>
          <w:b/>
        </w:rPr>
        <w:alias w:val="Title"/>
        <w:tag w:val=""/>
        <w:id w:val="-1336141239"/>
        <w:placeholder>
          <w:docPart w:val="8227E3090E3546F59CFE991730890388"/>
        </w:placeholder>
        <w:dataBinding w:prefixMappings="xmlns:ns0='http://purl.org/dc/elements/1.1/' xmlns:ns1='http://schemas.openxmlformats.org/package/2006/metadata/core-properties' " w:xpath="/ns1:coreProperties[1]/ns0:title[1]" w:storeItemID="{6C3C8BC8-F283-45AE-878A-BAB7291924A1}"/>
        <w:text/>
      </w:sdtPr>
      <w:sdtContent>
        <w:r w:rsidR="00F41E21">
          <w:rPr>
            <w:b/>
          </w:rPr>
          <w:t>Accident Towing Fees Review 2025</w:t>
        </w:r>
      </w:sdtContent>
    </w:sdt>
    <w:r>
      <w:rPr>
        <w:b/>
      </w:rPr>
      <w:t xml:space="preserve">   </w:t>
    </w:r>
    <w:r w:rsidRPr="00CF2B15">
      <w:t xml:space="preserve"> </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851B11" w14:textId="77777777" w:rsidR="0041357C" w:rsidRDefault="0041357C" w:rsidP="00A236AB">
    <w:pPr>
      <w:pStyle w:val="FooterSpace"/>
      <w:ind w:right="707"/>
    </w:pPr>
    <w:r>
      <w:t>Glossary</w:t>
    </w:r>
  </w:p>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41357C" w14:paraId="0EC75A5B" w14:textId="77777777" w:rsidTr="00890A61">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776C3F5A" w14:textId="77777777" w:rsidR="0041357C" w:rsidRPr="009E15D6" w:rsidRDefault="0041357C" w:rsidP="005E5FCE">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Pr>
              <w:rStyle w:val="PageNumber"/>
              <w:noProof/>
            </w:rPr>
            <w:t>8</w:t>
          </w:r>
          <w:r w:rsidRPr="009E15D6">
            <w:rPr>
              <w:rStyle w:val="PageNumber"/>
            </w:rPr>
            <w:fldChar w:fldCharType="end"/>
          </w:r>
        </w:p>
      </w:tc>
    </w:tr>
  </w:tbl>
  <w:p w14:paraId="10E215E0" w14:textId="77777777" w:rsidR="0041357C" w:rsidRPr="00CF2B15" w:rsidRDefault="0041357C" w:rsidP="00A236AB">
    <w:pPr>
      <w:pStyle w:val="Footer"/>
      <w:ind w:right="707"/>
      <w:rPr>
        <w:b/>
      </w:rPr>
    </w:pPr>
    <w:r>
      <w:t xml:space="preserve">Essential Services Commission </w:t>
    </w:r>
    <w:sdt>
      <w:sdtPr>
        <w:rPr>
          <w:b/>
        </w:rPr>
        <w:alias w:val="Title"/>
        <w:tag w:val=""/>
        <w:id w:val="1478485337"/>
        <w:placeholder>
          <w:docPart w:val="6168072FEEAD4E14BFA2F96AC1BD21E4"/>
        </w:placeholder>
        <w:dataBinding w:prefixMappings="xmlns:ns0='http://purl.org/dc/elements/1.1/' xmlns:ns1='http://schemas.openxmlformats.org/package/2006/metadata/core-properties' " w:xpath="/ns1:coreProperties[1]/ns0:title[1]" w:storeItemID="{6C3C8BC8-F283-45AE-878A-BAB7291924A1}"/>
        <w:text/>
      </w:sdtPr>
      <w:sdtContent>
        <w:r>
          <w:rPr>
            <w:b/>
          </w:rPr>
          <w:t>Accident Towing Fees Review 2025</w:t>
        </w:r>
      </w:sdtContent>
    </w:sdt>
    <w:r>
      <w:rPr>
        <w:b/>
      </w:rPr>
      <w:t xml:space="preserve">   </w:t>
    </w:r>
    <w:r w:rsidRPr="00CF2B15">
      <w:t xml:space="preserve"> </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D04A19" w14:textId="41BD3DAB" w:rsidR="00FE4A22" w:rsidRDefault="00FE4A22" w:rsidP="00A236AB">
    <w:pPr>
      <w:pStyle w:val="FooterSpace"/>
      <w:ind w:right="707"/>
    </w:pPr>
    <w:r>
      <w:t xml:space="preserve">Appendix </w:t>
    </w:r>
    <w:r w:rsidR="008E0CB3">
      <w:t>A</w:t>
    </w:r>
    <w:r w:rsidR="0000634B">
      <w:t>:</w:t>
    </w:r>
    <w:r>
      <w:t xml:space="preserve"> </w:t>
    </w:r>
    <w:r w:rsidR="00366EB6">
      <w:t>Accident towing industry reviews and regulation</w:t>
    </w:r>
  </w:p>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FE4A22" w14:paraId="022A4A77" w14:textId="77777777" w:rsidTr="00890A61">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7DB775AC" w14:textId="77777777" w:rsidR="00FE4A22" w:rsidRPr="009E15D6" w:rsidRDefault="00FE4A22" w:rsidP="005E5FCE">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Pr>
              <w:rStyle w:val="PageNumber"/>
              <w:noProof/>
            </w:rPr>
            <w:t>8</w:t>
          </w:r>
          <w:r w:rsidRPr="009E15D6">
            <w:rPr>
              <w:rStyle w:val="PageNumber"/>
            </w:rPr>
            <w:fldChar w:fldCharType="end"/>
          </w:r>
        </w:p>
      </w:tc>
    </w:tr>
  </w:tbl>
  <w:p w14:paraId="2B7757D3" w14:textId="12BA4394" w:rsidR="00FE4A22" w:rsidRPr="00CF2B15" w:rsidRDefault="00FE4A22" w:rsidP="00A236AB">
    <w:pPr>
      <w:pStyle w:val="Footer"/>
      <w:ind w:right="707"/>
      <w:rPr>
        <w:b/>
      </w:rPr>
    </w:pPr>
    <w:r>
      <w:t xml:space="preserve">Essential Services Commission </w:t>
    </w:r>
    <w:sdt>
      <w:sdtPr>
        <w:rPr>
          <w:b/>
        </w:rPr>
        <w:alias w:val="Title"/>
        <w:tag w:val=""/>
        <w:id w:val="167602620"/>
        <w:placeholder>
          <w:docPart w:val="3A18B1E846E74A328211AAD8ABAEC651"/>
        </w:placeholder>
        <w:dataBinding w:prefixMappings="xmlns:ns0='http://purl.org/dc/elements/1.1/' xmlns:ns1='http://schemas.openxmlformats.org/package/2006/metadata/core-properties' " w:xpath="/ns1:coreProperties[1]/ns0:title[1]" w:storeItemID="{6C3C8BC8-F283-45AE-878A-BAB7291924A1}"/>
        <w:text/>
      </w:sdtPr>
      <w:sdtContent>
        <w:r w:rsidR="00F41E21">
          <w:rPr>
            <w:b/>
          </w:rPr>
          <w:t>Accident Towing Fees Review 2025</w:t>
        </w:r>
      </w:sdtContent>
    </w:sdt>
    <w:r>
      <w:rPr>
        <w:b/>
      </w:rPr>
      <w:t xml:space="preserve">   </w:t>
    </w:r>
    <w:r w:rsidRPr="00CF2B15">
      <w:t xml:space="preserve"> </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D55CE0" w14:textId="141C996C" w:rsidR="00C867B4" w:rsidRDefault="00C867B4" w:rsidP="00A236AB">
    <w:pPr>
      <w:pStyle w:val="FooterSpace"/>
      <w:ind w:right="707"/>
    </w:pPr>
    <w:r>
      <w:t xml:space="preserve">Appendix </w:t>
    </w:r>
    <w:r w:rsidR="008E0CB3">
      <w:t>B</w:t>
    </w:r>
    <w:r>
      <w:t xml:space="preserve">: </w:t>
    </w:r>
    <w:r w:rsidR="00D81769">
      <w:t>Regulated accident towing fees benchmarking analysis</w:t>
    </w:r>
  </w:p>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C867B4" w14:paraId="072EAE39" w14:textId="77777777" w:rsidTr="00890A61">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2B58C29C" w14:textId="77777777" w:rsidR="00C867B4" w:rsidRPr="009E15D6" w:rsidRDefault="00C867B4" w:rsidP="005E5FCE">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Pr>
              <w:rStyle w:val="PageNumber"/>
              <w:noProof/>
            </w:rPr>
            <w:t>8</w:t>
          </w:r>
          <w:r w:rsidRPr="009E15D6">
            <w:rPr>
              <w:rStyle w:val="PageNumber"/>
            </w:rPr>
            <w:fldChar w:fldCharType="end"/>
          </w:r>
        </w:p>
      </w:tc>
    </w:tr>
  </w:tbl>
  <w:p w14:paraId="24DE6221" w14:textId="77777777" w:rsidR="00C867B4" w:rsidRPr="00CF2B15" w:rsidRDefault="00C867B4" w:rsidP="00A236AB">
    <w:pPr>
      <w:pStyle w:val="Footer"/>
      <w:ind w:right="707"/>
      <w:rPr>
        <w:b/>
      </w:rPr>
    </w:pPr>
    <w:r>
      <w:t xml:space="preserve">Essential Services Commission </w:t>
    </w:r>
    <w:sdt>
      <w:sdtPr>
        <w:rPr>
          <w:b/>
        </w:rPr>
        <w:alias w:val="Title"/>
        <w:tag w:val=""/>
        <w:id w:val="1592742773"/>
        <w:placeholder>
          <w:docPart w:val="2EA176736048465987BFECA3B19E02A8"/>
        </w:placeholder>
        <w:dataBinding w:prefixMappings="xmlns:ns0='http://purl.org/dc/elements/1.1/' xmlns:ns1='http://schemas.openxmlformats.org/package/2006/metadata/core-properties' " w:xpath="/ns1:coreProperties[1]/ns0:title[1]" w:storeItemID="{6C3C8BC8-F283-45AE-878A-BAB7291924A1}"/>
        <w:text/>
      </w:sdtPr>
      <w:sdtContent>
        <w:r>
          <w:rPr>
            <w:b/>
          </w:rPr>
          <w:t>Accident Towing Fees Review 2025</w:t>
        </w:r>
      </w:sdtContent>
    </w:sdt>
    <w:r>
      <w:rPr>
        <w:b/>
      </w:rPr>
      <w:t xml:space="preserve">   </w:t>
    </w:r>
    <w:r w:rsidRPr="00CF2B15">
      <w:t xml:space="preserve"> </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04E107" w14:textId="78C10510" w:rsidR="00A44212" w:rsidRDefault="00C454FD" w:rsidP="00A236AB">
    <w:pPr>
      <w:pStyle w:val="FooterSpace"/>
      <w:ind w:right="707"/>
    </w:pPr>
    <w:r>
      <w:t xml:space="preserve">Appendix </w:t>
    </w:r>
    <w:r w:rsidR="008E0CB3">
      <w:t>C</w:t>
    </w:r>
    <w:r w:rsidR="003B3C3A">
      <w:t>:</w:t>
    </w:r>
    <w:r>
      <w:t xml:space="preserve"> </w:t>
    </w:r>
    <w:r w:rsidR="003B3C3A">
      <w:t>Regulated storage fees benchmarking analysis</w:t>
    </w:r>
  </w:p>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A44212" w14:paraId="040242EE" w14:textId="77777777" w:rsidTr="00890A61">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47398077" w14:textId="77777777" w:rsidR="00A44212" w:rsidRPr="009E15D6" w:rsidRDefault="00A44212" w:rsidP="005E5FCE">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Pr>
              <w:rStyle w:val="PageNumber"/>
              <w:noProof/>
            </w:rPr>
            <w:t>8</w:t>
          </w:r>
          <w:r w:rsidRPr="009E15D6">
            <w:rPr>
              <w:rStyle w:val="PageNumber"/>
            </w:rPr>
            <w:fldChar w:fldCharType="end"/>
          </w:r>
        </w:p>
      </w:tc>
    </w:tr>
  </w:tbl>
  <w:p w14:paraId="65CE54F0" w14:textId="02593B28" w:rsidR="00A44212" w:rsidRPr="00CF2B15" w:rsidRDefault="00A44212" w:rsidP="00A236AB">
    <w:pPr>
      <w:pStyle w:val="Footer"/>
      <w:ind w:right="707"/>
      <w:rPr>
        <w:b/>
      </w:rPr>
    </w:pPr>
    <w:r>
      <w:t xml:space="preserve">Essential Services Commission </w:t>
    </w:r>
    <w:sdt>
      <w:sdtPr>
        <w:rPr>
          <w:b/>
        </w:rPr>
        <w:alias w:val="Title"/>
        <w:tag w:val=""/>
        <w:id w:val="1099604841"/>
        <w:placeholder>
          <w:docPart w:val="ED45353F227C4E90AF5C1148AD5534DC"/>
        </w:placeholder>
        <w:dataBinding w:prefixMappings="xmlns:ns0='http://purl.org/dc/elements/1.1/' xmlns:ns1='http://schemas.openxmlformats.org/package/2006/metadata/core-properties' " w:xpath="/ns1:coreProperties[1]/ns0:title[1]" w:storeItemID="{6C3C8BC8-F283-45AE-878A-BAB7291924A1}"/>
        <w:text/>
      </w:sdtPr>
      <w:sdtContent>
        <w:r w:rsidR="00F41E21">
          <w:rPr>
            <w:b/>
          </w:rPr>
          <w:t>Accident Towing Fees Review 2025</w:t>
        </w:r>
      </w:sdtContent>
    </w:sdt>
    <w:r>
      <w:rPr>
        <w:b/>
      </w:rPr>
      <w:t xml:space="preserve">   </w:t>
    </w:r>
    <w:r w:rsidRPr="00CF2B15">
      <w:t xml:space="preserve"> </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5CE907" w14:textId="1289BE6D" w:rsidR="003B3C3A" w:rsidRDefault="003B3C3A" w:rsidP="00A236AB">
    <w:pPr>
      <w:pStyle w:val="FooterSpace"/>
      <w:ind w:right="707"/>
    </w:pPr>
    <w:r>
      <w:t xml:space="preserve">Appendix </w:t>
    </w:r>
    <w:r w:rsidR="008E0CB3">
      <w:t>D</w:t>
    </w:r>
    <w:r>
      <w:t>: Productivity analysis</w:t>
    </w:r>
  </w:p>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3B3C3A" w14:paraId="53800689" w14:textId="77777777" w:rsidTr="00890A61">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69649A4A" w14:textId="77777777" w:rsidR="003B3C3A" w:rsidRPr="009E15D6" w:rsidRDefault="003B3C3A" w:rsidP="005E5FCE">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Pr>
              <w:rStyle w:val="PageNumber"/>
              <w:noProof/>
            </w:rPr>
            <w:t>8</w:t>
          </w:r>
          <w:r w:rsidRPr="009E15D6">
            <w:rPr>
              <w:rStyle w:val="PageNumber"/>
            </w:rPr>
            <w:fldChar w:fldCharType="end"/>
          </w:r>
        </w:p>
      </w:tc>
    </w:tr>
  </w:tbl>
  <w:p w14:paraId="7187A70F" w14:textId="77777777" w:rsidR="003B3C3A" w:rsidRPr="00CF2B15" w:rsidRDefault="003B3C3A" w:rsidP="00A236AB">
    <w:pPr>
      <w:pStyle w:val="Footer"/>
      <w:ind w:right="707"/>
      <w:rPr>
        <w:b/>
      </w:rPr>
    </w:pPr>
    <w:r>
      <w:t xml:space="preserve">Essential Services Commission </w:t>
    </w:r>
    <w:sdt>
      <w:sdtPr>
        <w:rPr>
          <w:b/>
        </w:rPr>
        <w:alias w:val="Title"/>
        <w:tag w:val=""/>
        <w:id w:val="1611479233"/>
        <w:placeholder>
          <w:docPart w:val="D25F326C4B3C459E85076C36840E6F0C"/>
        </w:placeholder>
        <w:dataBinding w:prefixMappings="xmlns:ns0='http://purl.org/dc/elements/1.1/' xmlns:ns1='http://schemas.openxmlformats.org/package/2006/metadata/core-properties' " w:xpath="/ns1:coreProperties[1]/ns0:title[1]" w:storeItemID="{6C3C8BC8-F283-45AE-878A-BAB7291924A1}"/>
        <w:text/>
      </w:sdtPr>
      <w:sdtContent>
        <w:r>
          <w:rPr>
            <w:b/>
          </w:rPr>
          <w:t>Accident Towing Fees Review 2025</w:t>
        </w:r>
      </w:sdtContent>
    </w:sdt>
    <w:r>
      <w:rPr>
        <w:b/>
      </w:rPr>
      <w:t xml:space="preserve">   </w:t>
    </w:r>
    <w:r w:rsidRPr="00CF2B15">
      <w:t xml:space="preserve"> </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4ED14E" w14:textId="7F7CD723" w:rsidR="00CB28D1" w:rsidRDefault="00CB28D1" w:rsidP="00A236AB">
    <w:pPr>
      <w:pStyle w:val="FooterSpace"/>
      <w:ind w:right="707"/>
    </w:pPr>
    <w:r>
      <w:t xml:space="preserve">Appendix </w:t>
    </w:r>
    <w:r w:rsidR="008E0CB3">
      <w:t>E</w:t>
    </w:r>
    <w:r>
      <w:t>: Accident towing industry performance</w:t>
    </w:r>
  </w:p>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A44212" w14:paraId="7C4FDA89" w14:textId="77777777" w:rsidTr="00890A61">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07C06E30" w14:textId="77777777" w:rsidR="00A44212" w:rsidRPr="009E15D6" w:rsidRDefault="00A44212" w:rsidP="005E5FCE">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Pr>
              <w:rStyle w:val="PageNumber"/>
              <w:noProof/>
            </w:rPr>
            <w:t>8</w:t>
          </w:r>
          <w:r w:rsidRPr="009E15D6">
            <w:rPr>
              <w:rStyle w:val="PageNumber"/>
            </w:rPr>
            <w:fldChar w:fldCharType="end"/>
          </w:r>
        </w:p>
      </w:tc>
    </w:tr>
  </w:tbl>
  <w:p w14:paraId="1E7FB554" w14:textId="77777777" w:rsidR="00A44212" w:rsidRPr="00CF2B15" w:rsidRDefault="00A44212" w:rsidP="00A236AB">
    <w:pPr>
      <w:pStyle w:val="Footer"/>
      <w:ind w:right="707"/>
      <w:rPr>
        <w:b/>
      </w:rPr>
    </w:pPr>
    <w:r>
      <w:t xml:space="preserve">Essential Services Commission </w:t>
    </w:r>
    <w:sdt>
      <w:sdtPr>
        <w:rPr>
          <w:b/>
        </w:rPr>
        <w:alias w:val="Title"/>
        <w:tag w:val=""/>
        <w:id w:val="1860239500"/>
        <w:placeholder>
          <w:docPart w:val="1B48D347F761491B8BB6C3A36D2EBE83"/>
        </w:placeholder>
        <w:dataBinding w:prefixMappings="xmlns:ns0='http://purl.org/dc/elements/1.1/' xmlns:ns1='http://schemas.openxmlformats.org/package/2006/metadata/core-properties' " w:xpath="/ns1:coreProperties[1]/ns0:title[1]" w:storeItemID="{6C3C8BC8-F283-45AE-878A-BAB7291924A1}"/>
        <w:text/>
      </w:sdtPr>
      <w:sdtContent>
        <w:r w:rsidR="00F41E21">
          <w:rPr>
            <w:b/>
          </w:rPr>
          <w:t>Accident Towing Fees Review 2025</w:t>
        </w:r>
      </w:sdtContent>
    </w:sdt>
    <w:r>
      <w:rPr>
        <w:b/>
      </w:rPr>
      <w:t xml:space="preserve">   </w:t>
    </w:r>
    <w:r w:rsidRPr="00CF2B15">
      <w:t xml:space="preserve"> </w:t>
    </w:r>
  </w:p>
  <w:p w14:paraId="193C5C31" w14:textId="77777777" w:rsidR="00C0635E" w:rsidRDefault="00C0635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94C7C3" w14:textId="77777777" w:rsidR="003A30F3" w:rsidRPr="00707B2F" w:rsidRDefault="003A30F3" w:rsidP="00A236AB">
    <w:pPr>
      <w:pStyle w:val="FooterSpace"/>
      <w:ind w:right="707"/>
    </w:pPr>
    <w:r>
      <w:t>Contents</w:t>
    </w:r>
  </w:p>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3A30F3" w14:paraId="4D5BC17C" w14:textId="77777777" w:rsidTr="00890A61">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3FC03FC8" w14:textId="77777777" w:rsidR="003A30F3" w:rsidRPr="009E15D6" w:rsidRDefault="003A30F3" w:rsidP="005E5FCE">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sidR="00936B74">
            <w:rPr>
              <w:rStyle w:val="PageNumber"/>
              <w:noProof/>
            </w:rPr>
            <w:t>iii</w:t>
          </w:r>
          <w:r w:rsidRPr="009E15D6">
            <w:rPr>
              <w:rStyle w:val="PageNumber"/>
            </w:rPr>
            <w:fldChar w:fldCharType="end"/>
          </w:r>
        </w:p>
      </w:tc>
    </w:tr>
  </w:tbl>
  <w:p w14:paraId="541A861E" w14:textId="67256C7B" w:rsidR="003A30F3" w:rsidRPr="002C2ADF" w:rsidRDefault="003A30F3" w:rsidP="00A236AB">
    <w:pPr>
      <w:pStyle w:val="Footer"/>
      <w:ind w:right="283"/>
      <w:rPr>
        <w:b/>
      </w:rPr>
    </w:pPr>
    <w:r>
      <w:t xml:space="preserve">Essential Services Commission </w:t>
    </w:r>
    <w:sdt>
      <w:sdtPr>
        <w:rPr>
          <w:b/>
        </w:rPr>
        <w:alias w:val="Title"/>
        <w:tag w:val=""/>
        <w:id w:val="233746944"/>
        <w:placeholder>
          <w:docPart w:val="58A60AF94E8F418CA9D9039AA656CE76"/>
        </w:placeholder>
        <w:dataBinding w:prefixMappings="xmlns:ns0='http://purl.org/dc/elements/1.1/' xmlns:ns1='http://schemas.openxmlformats.org/package/2006/metadata/core-properties' " w:xpath="/ns1:coreProperties[1]/ns0:title[1]" w:storeItemID="{6C3C8BC8-F283-45AE-878A-BAB7291924A1}"/>
        <w:text/>
      </w:sdtPr>
      <w:sdtContent>
        <w:r w:rsidR="00F41E21">
          <w:rPr>
            <w:b/>
          </w:rPr>
          <w:t>Accident Towing Fees Review 2025</w:t>
        </w:r>
      </w:sdtContent>
    </w:sdt>
    <w:r>
      <w:rPr>
        <w:b/>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11B0F3" w14:textId="49B9DB50" w:rsidR="003A30F3" w:rsidRDefault="00B07737" w:rsidP="00A236AB">
    <w:pPr>
      <w:pStyle w:val="Footer"/>
      <w:ind w:right="707"/>
    </w:pPr>
    <w:r>
      <w:t>R</w:t>
    </w:r>
    <w:r w:rsidR="0084221A">
      <w:t>ecommendations</w:t>
    </w:r>
  </w:p>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3A30F3" w14:paraId="310AC9C8" w14:textId="77777777" w:rsidTr="00890A61">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03BE27D5" w14:textId="77777777" w:rsidR="003A30F3" w:rsidRPr="009E15D6" w:rsidRDefault="003A30F3" w:rsidP="002C2ADF">
          <w:pPr>
            <w:pStyle w:val="Footer"/>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sidR="00936B74">
            <w:rPr>
              <w:rStyle w:val="PageNumber"/>
              <w:noProof/>
            </w:rPr>
            <w:t>v</w:t>
          </w:r>
          <w:r w:rsidRPr="009E15D6">
            <w:rPr>
              <w:rStyle w:val="PageNumber"/>
            </w:rPr>
            <w:fldChar w:fldCharType="end"/>
          </w:r>
        </w:p>
      </w:tc>
    </w:tr>
  </w:tbl>
  <w:p w14:paraId="05EBC85D" w14:textId="0A1B8C8E" w:rsidR="003A30F3" w:rsidRPr="002C2ADF" w:rsidRDefault="003A30F3" w:rsidP="00A236AB">
    <w:pPr>
      <w:pStyle w:val="Footer"/>
      <w:ind w:right="707"/>
      <w:rPr>
        <w:b/>
      </w:rPr>
    </w:pPr>
    <w:r>
      <w:t xml:space="preserve">Essential Services Commission </w:t>
    </w:r>
    <w:sdt>
      <w:sdtPr>
        <w:rPr>
          <w:b/>
        </w:rPr>
        <w:alias w:val="Title"/>
        <w:tag w:val=""/>
        <w:id w:val="463464720"/>
        <w:placeholder>
          <w:docPart w:val="50C019EA09DB4D5693A8FA217A393B3D"/>
        </w:placeholder>
        <w:dataBinding w:prefixMappings="xmlns:ns0='http://purl.org/dc/elements/1.1/' xmlns:ns1='http://schemas.openxmlformats.org/package/2006/metadata/core-properties' " w:xpath="/ns1:coreProperties[1]/ns0:title[1]" w:storeItemID="{6C3C8BC8-F283-45AE-878A-BAB7291924A1}"/>
        <w:text/>
      </w:sdtPr>
      <w:sdtContent>
        <w:r w:rsidR="00F41E21">
          <w:rPr>
            <w:b/>
          </w:rPr>
          <w:t>Accident Towing Fees Review 2025</w:t>
        </w:r>
      </w:sdtContent>
    </w:sdt>
    <w:r>
      <w:rPr>
        <w:b/>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8019B1" w14:textId="77777777" w:rsidR="00F83F7C" w:rsidRDefault="00F83F7C" w:rsidP="00A236AB">
    <w:pPr>
      <w:pStyle w:val="Footer"/>
      <w:ind w:right="707"/>
    </w:pPr>
    <w:r>
      <w:t>Recommendations</w:t>
    </w:r>
  </w:p>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F83F7C" w14:paraId="19329180" w14:textId="77777777" w:rsidTr="00890A61">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0A667F69" w14:textId="77777777" w:rsidR="00F83F7C" w:rsidRPr="009E15D6" w:rsidRDefault="00F83F7C" w:rsidP="002C2ADF">
          <w:pPr>
            <w:pStyle w:val="Footer"/>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Pr>
              <w:rStyle w:val="PageNumber"/>
              <w:noProof/>
            </w:rPr>
            <w:t>v</w:t>
          </w:r>
          <w:r w:rsidRPr="009E15D6">
            <w:rPr>
              <w:rStyle w:val="PageNumber"/>
            </w:rPr>
            <w:fldChar w:fldCharType="end"/>
          </w:r>
        </w:p>
      </w:tc>
    </w:tr>
  </w:tbl>
  <w:p w14:paraId="44049160" w14:textId="77777777" w:rsidR="00F83F7C" w:rsidRPr="002C2ADF" w:rsidRDefault="00F83F7C" w:rsidP="00A236AB">
    <w:pPr>
      <w:pStyle w:val="Footer"/>
      <w:ind w:right="707"/>
      <w:rPr>
        <w:b/>
      </w:rPr>
    </w:pPr>
    <w:r>
      <w:t xml:space="preserve">Essential Services Commission </w:t>
    </w:r>
    <w:sdt>
      <w:sdtPr>
        <w:rPr>
          <w:b/>
        </w:rPr>
        <w:alias w:val="Title"/>
        <w:tag w:val=""/>
        <w:id w:val="2136605349"/>
        <w:placeholder>
          <w:docPart w:val="885E10572AB04EF28FA70A4CF17455C4"/>
        </w:placeholder>
        <w:dataBinding w:prefixMappings="xmlns:ns0='http://purl.org/dc/elements/1.1/' xmlns:ns1='http://schemas.openxmlformats.org/package/2006/metadata/core-properties' " w:xpath="/ns1:coreProperties[1]/ns0:title[1]" w:storeItemID="{6C3C8BC8-F283-45AE-878A-BAB7291924A1}"/>
        <w:text/>
      </w:sdtPr>
      <w:sdtContent>
        <w:r>
          <w:rPr>
            <w:b/>
          </w:rPr>
          <w:t>Accident Towing Fees Review 2025</w:t>
        </w:r>
      </w:sdtContent>
    </w:sdt>
    <w:r>
      <w:rPr>
        <w:b/>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4DDADC" w14:textId="6D81B360" w:rsidR="003937DC" w:rsidRDefault="00D87D7D" w:rsidP="00A236AB">
    <w:pPr>
      <w:pStyle w:val="FooterSpace"/>
      <w:ind w:right="707"/>
    </w:pPr>
    <w:r>
      <w:t>Summary</w:t>
    </w:r>
  </w:p>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3937DC" w14:paraId="2D151F72" w14:textId="77777777" w:rsidTr="00890A61">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6DD204F5" w14:textId="77777777" w:rsidR="003937DC" w:rsidRPr="009E15D6" w:rsidRDefault="003937DC" w:rsidP="005E5FCE">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Pr>
              <w:rStyle w:val="PageNumber"/>
              <w:noProof/>
            </w:rPr>
            <w:t>6</w:t>
          </w:r>
          <w:r w:rsidRPr="009E15D6">
            <w:rPr>
              <w:rStyle w:val="PageNumber"/>
            </w:rPr>
            <w:fldChar w:fldCharType="end"/>
          </w:r>
        </w:p>
      </w:tc>
    </w:tr>
  </w:tbl>
  <w:p w14:paraId="1E641662" w14:textId="77777777" w:rsidR="003937DC" w:rsidRPr="00E5390E" w:rsidRDefault="003937DC" w:rsidP="00A236AB">
    <w:pPr>
      <w:pStyle w:val="Footer"/>
      <w:ind w:right="707"/>
      <w:rPr>
        <w:b/>
      </w:rPr>
    </w:pPr>
    <w:r>
      <w:t xml:space="preserve">Essential Services Commission </w:t>
    </w:r>
    <w:sdt>
      <w:sdtPr>
        <w:rPr>
          <w:b/>
        </w:rPr>
        <w:alias w:val="Title"/>
        <w:tag w:val=""/>
        <w:id w:val="-477606457"/>
        <w:dataBinding w:prefixMappings="xmlns:ns0='http://purl.org/dc/elements/1.1/' xmlns:ns1='http://schemas.openxmlformats.org/package/2006/metadata/core-properties' " w:xpath="/ns1:coreProperties[1]/ns0:title[1]" w:storeItemID="{6C3C8BC8-F283-45AE-878A-BAB7291924A1}"/>
        <w:text/>
      </w:sdtPr>
      <w:sdtContent>
        <w:r>
          <w:rPr>
            <w:b/>
          </w:rPr>
          <w:t>Accident Towing Fees Review 2025</w:t>
        </w:r>
      </w:sdtContent>
    </w:sdt>
    <w:r>
      <w:rPr>
        <w:b/>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4AF4AC" w14:textId="43B57C29" w:rsidR="003A30F3" w:rsidRDefault="003C2B86" w:rsidP="00A236AB">
    <w:pPr>
      <w:pStyle w:val="FooterSpace"/>
      <w:ind w:right="707"/>
    </w:pPr>
    <w:r>
      <w:t>1. Introduction</w:t>
    </w:r>
  </w:p>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3A30F3" w14:paraId="360965D8" w14:textId="77777777" w:rsidTr="00890A61">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2B996020" w14:textId="77777777" w:rsidR="003A30F3" w:rsidRPr="009E15D6" w:rsidRDefault="003A30F3" w:rsidP="005E5FCE">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sidR="00936B74">
            <w:rPr>
              <w:rStyle w:val="PageNumber"/>
              <w:noProof/>
            </w:rPr>
            <w:t>6</w:t>
          </w:r>
          <w:r w:rsidRPr="009E15D6">
            <w:rPr>
              <w:rStyle w:val="PageNumber"/>
            </w:rPr>
            <w:fldChar w:fldCharType="end"/>
          </w:r>
        </w:p>
      </w:tc>
    </w:tr>
  </w:tbl>
  <w:p w14:paraId="2194EE7B" w14:textId="513E0B0C" w:rsidR="003A30F3" w:rsidRPr="00E5390E" w:rsidRDefault="003A30F3" w:rsidP="00A236AB">
    <w:pPr>
      <w:pStyle w:val="Footer"/>
      <w:ind w:right="707"/>
      <w:rPr>
        <w:b/>
      </w:rPr>
    </w:pPr>
    <w:r>
      <w:t xml:space="preserve">Essential Services Commission </w:t>
    </w:r>
    <w:sdt>
      <w:sdtPr>
        <w:rPr>
          <w:b/>
        </w:rPr>
        <w:alias w:val="Title"/>
        <w:tag w:val=""/>
        <w:id w:val="-1236005415"/>
        <w:dataBinding w:prefixMappings="xmlns:ns0='http://purl.org/dc/elements/1.1/' xmlns:ns1='http://schemas.openxmlformats.org/package/2006/metadata/core-properties' " w:xpath="/ns1:coreProperties[1]/ns0:title[1]" w:storeItemID="{6C3C8BC8-F283-45AE-878A-BAB7291924A1}"/>
        <w:text/>
      </w:sdtPr>
      <w:sdtContent>
        <w:r w:rsidR="00F41E21">
          <w:rPr>
            <w:b/>
          </w:rPr>
          <w:t>Accident Towing Fees Review 2025</w:t>
        </w:r>
      </w:sdtContent>
    </w:sdt>
    <w:r>
      <w:rPr>
        <w:b/>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C9487D" w14:textId="6C3A8719" w:rsidR="00162971" w:rsidRDefault="00540579" w:rsidP="00A236AB">
    <w:pPr>
      <w:pStyle w:val="FooterSpace"/>
      <w:ind w:right="707"/>
    </w:pPr>
    <w:r>
      <w:t>1</w:t>
    </w:r>
    <w:r w:rsidR="00162971">
      <w:t xml:space="preserve">. </w:t>
    </w:r>
    <w:r w:rsidR="00262DD6">
      <w:t>Our approach</w:t>
    </w:r>
  </w:p>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162971" w14:paraId="43FB799C" w14:textId="77777777" w:rsidTr="00890A61">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60EECB56" w14:textId="77777777" w:rsidR="00162971" w:rsidRPr="009E15D6" w:rsidRDefault="00162971" w:rsidP="005E5FCE">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Pr>
              <w:rStyle w:val="PageNumber"/>
              <w:noProof/>
            </w:rPr>
            <w:t>6</w:t>
          </w:r>
          <w:r w:rsidRPr="009E15D6">
            <w:rPr>
              <w:rStyle w:val="PageNumber"/>
            </w:rPr>
            <w:fldChar w:fldCharType="end"/>
          </w:r>
        </w:p>
      </w:tc>
    </w:tr>
  </w:tbl>
  <w:p w14:paraId="21752792" w14:textId="03E3E8EC" w:rsidR="00162971" w:rsidRPr="00E5390E" w:rsidRDefault="00162971" w:rsidP="00A236AB">
    <w:pPr>
      <w:pStyle w:val="Footer"/>
      <w:ind w:right="707"/>
      <w:rPr>
        <w:b/>
      </w:rPr>
    </w:pPr>
    <w:r>
      <w:t xml:space="preserve">Essential Services Commission </w:t>
    </w:r>
    <w:sdt>
      <w:sdtPr>
        <w:rPr>
          <w:b/>
        </w:rPr>
        <w:alias w:val="Title"/>
        <w:tag w:val=""/>
        <w:id w:val="971719891"/>
        <w:dataBinding w:prefixMappings="xmlns:ns0='http://purl.org/dc/elements/1.1/' xmlns:ns1='http://schemas.openxmlformats.org/package/2006/metadata/core-properties' " w:xpath="/ns1:coreProperties[1]/ns0:title[1]" w:storeItemID="{6C3C8BC8-F283-45AE-878A-BAB7291924A1}"/>
        <w:text/>
      </w:sdtPr>
      <w:sdtContent>
        <w:r w:rsidR="00F41E21">
          <w:rPr>
            <w:b/>
          </w:rPr>
          <w:t>Accident Towing Fees Review 2025</w:t>
        </w:r>
      </w:sdtContent>
    </w:sdt>
    <w:r>
      <w:rPr>
        <w:b/>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E791A0" w14:textId="4B5BC0AA" w:rsidR="00C35EE4" w:rsidRDefault="00540579" w:rsidP="00A236AB">
    <w:pPr>
      <w:pStyle w:val="FooterSpace"/>
      <w:ind w:right="707"/>
    </w:pPr>
    <w:r>
      <w:t>2</w:t>
    </w:r>
    <w:r w:rsidR="00C35EE4">
      <w:t>. Regulated accident towing fees</w:t>
    </w:r>
  </w:p>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C35EE4" w14:paraId="2DB246C0" w14:textId="77777777" w:rsidTr="00890A61">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35CA51D6" w14:textId="77777777" w:rsidR="00C35EE4" w:rsidRPr="009E15D6" w:rsidRDefault="00C35EE4" w:rsidP="005E5FCE">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Pr>
              <w:rStyle w:val="PageNumber"/>
              <w:noProof/>
            </w:rPr>
            <w:t>6</w:t>
          </w:r>
          <w:r w:rsidRPr="009E15D6">
            <w:rPr>
              <w:rStyle w:val="PageNumber"/>
            </w:rPr>
            <w:fldChar w:fldCharType="end"/>
          </w:r>
        </w:p>
      </w:tc>
    </w:tr>
  </w:tbl>
  <w:p w14:paraId="2B50FC95" w14:textId="24A25939" w:rsidR="00C35EE4" w:rsidRPr="00E5390E" w:rsidRDefault="00C35EE4" w:rsidP="00A236AB">
    <w:pPr>
      <w:pStyle w:val="Footer"/>
      <w:ind w:right="707"/>
      <w:rPr>
        <w:b/>
      </w:rPr>
    </w:pPr>
    <w:r>
      <w:t xml:space="preserve">Essential Services Commission </w:t>
    </w:r>
    <w:sdt>
      <w:sdtPr>
        <w:rPr>
          <w:b/>
        </w:rPr>
        <w:alias w:val="Title"/>
        <w:tag w:val=""/>
        <w:id w:val="-451707165"/>
        <w:dataBinding w:prefixMappings="xmlns:ns0='http://purl.org/dc/elements/1.1/' xmlns:ns1='http://schemas.openxmlformats.org/package/2006/metadata/core-properties' " w:xpath="/ns1:coreProperties[1]/ns0:title[1]" w:storeItemID="{6C3C8BC8-F283-45AE-878A-BAB7291924A1}"/>
        <w:text/>
      </w:sdtPr>
      <w:sdtContent>
        <w:r w:rsidR="00F41E21">
          <w:rPr>
            <w:b/>
          </w:rPr>
          <w:t>Accident Towing Fees Review 2025</w:t>
        </w:r>
      </w:sdtContent>
    </w:sdt>
    <w:r>
      <w:rPr>
        <w:b/>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DC72D2" w14:textId="403DD6CD" w:rsidR="00162971" w:rsidRDefault="00540579" w:rsidP="00A236AB">
    <w:pPr>
      <w:pStyle w:val="FooterSpace"/>
      <w:ind w:right="707"/>
    </w:pPr>
    <w:r>
      <w:t>3</w:t>
    </w:r>
    <w:r w:rsidR="00162971">
      <w:t xml:space="preserve">. Regulated </w:t>
    </w:r>
    <w:r w:rsidR="004736B6">
      <w:t>storage</w:t>
    </w:r>
    <w:r w:rsidR="00162971">
      <w:t xml:space="preserve"> fees</w:t>
    </w:r>
  </w:p>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162971" w14:paraId="14402581" w14:textId="77777777" w:rsidTr="00890A61">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572DD48E" w14:textId="77777777" w:rsidR="00162971" w:rsidRPr="009E15D6" w:rsidRDefault="00162971" w:rsidP="005E5FCE">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Pr>
              <w:rStyle w:val="PageNumber"/>
              <w:noProof/>
            </w:rPr>
            <w:t>6</w:t>
          </w:r>
          <w:r w:rsidRPr="009E15D6">
            <w:rPr>
              <w:rStyle w:val="PageNumber"/>
            </w:rPr>
            <w:fldChar w:fldCharType="end"/>
          </w:r>
        </w:p>
      </w:tc>
    </w:tr>
  </w:tbl>
  <w:p w14:paraId="7BEB7823" w14:textId="7E0AB17F" w:rsidR="00162971" w:rsidRPr="00E5390E" w:rsidRDefault="00162971" w:rsidP="00A236AB">
    <w:pPr>
      <w:pStyle w:val="Footer"/>
      <w:ind w:right="707"/>
      <w:rPr>
        <w:b/>
      </w:rPr>
    </w:pPr>
    <w:r>
      <w:t xml:space="preserve">Essential Services Commission </w:t>
    </w:r>
    <w:sdt>
      <w:sdtPr>
        <w:rPr>
          <w:b/>
        </w:rPr>
        <w:alias w:val="Title"/>
        <w:tag w:val=""/>
        <w:id w:val="65624226"/>
        <w:dataBinding w:prefixMappings="xmlns:ns0='http://purl.org/dc/elements/1.1/' xmlns:ns1='http://schemas.openxmlformats.org/package/2006/metadata/core-properties' " w:xpath="/ns1:coreProperties[1]/ns0:title[1]" w:storeItemID="{6C3C8BC8-F283-45AE-878A-BAB7291924A1}"/>
        <w:text/>
      </w:sdtPr>
      <w:sdtContent>
        <w:r w:rsidR="00F41E21">
          <w:rPr>
            <w:b/>
          </w:rPr>
          <w:t>Accident Towing Fees Review 2025</w:t>
        </w:r>
      </w:sdtContent>
    </w:sdt>
    <w:r>
      <w:rPr>
        <w: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4CAB84" w14:textId="77777777" w:rsidR="00D86216" w:rsidRPr="00CF33F6" w:rsidRDefault="00D86216" w:rsidP="00AE03FA">
      <w:pPr>
        <w:spacing w:after="0"/>
        <w:rPr>
          <w:color w:val="75787B" w:themeColor="background2"/>
        </w:rPr>
      </w:pPr>
      <w:bookmarkStart w:id="0" w:name="_Hlk480978878"/>
      <w:bookmarkEnd w:id="0"/>
      <w:r w:rsidRPr="00CF33F6">
        <w:rPr>
          <w:color w:val="75787B" w:themeColor="background2"/>
        </w:rPr>
        <w:separator/>
      </w:r>
    </w:p>
    <w:p w14:paraId="645CB567" w14:textId="77777777" w:rsidR="00D86216" w:rsidRDefault="00D86216" w:rsidP="00CF33F6">
      <w:pPr>
        <w:pStyle w:val="NoSpacing"/>
      </w:pPr>
    </w:p>
    <w:p w14:paraId="53A81113" w14:textId="77777777" w:rsidR="00D86216" w:rsidRDefault="00D86216"/>
  </w:footnote>
  <w:footnote w:type="continuationSeparator" w:id="0">
    <w:p w14:paraId="389CF8BF" w14:textId="77777777" w:rsidR="00D86216" w:rsidRDefault="00D86216" w:rsidP="00AE03FA">
      <w:pPr>
        <w:spacing w:after="0"/>
      </w:pPr>
      <w:r>
        <w:continuationSeparator/>
      </w:r>
    </w:p>
    <w:p w14:paraId="78FF8156" w14:textId="77777777" w:rsidR="00D86216" w:rsidRDefault="00D86216"/>
    <w:p w14:paraId="7D11CB28" w14:textId="77777777" w:rsidR="00D86216" w:rsidRDefault="00D86216"/>
  </w:footnote>
  <w:footnote w:type="continuationNotice" w:id="1">
    <w:p w14:paraId="0C41B691" w14:textId="77777777" w:rsidR="00D86216" w:rsidRDefault="00D86216">
      <w:pPr>
        <w:spacing w:before="0" w:after="0" w:line="240" w:lineRule="auto"/>
      </w:pPr>
    </w:p>
    <w:p w14:paraId="50058E79" w14:textId="77777777" w:rsidR="00D86216" w:rsidRDefault="00D86216"/>
  </w:footnote>
  <w:footnote w:id="2">
    <w:p w14:paraId="77E644C9" w14:textId="3FA7C1B0" w:rsidR="00C401B1" w:rsidRDefault="00C401B1">
      <w:pPr>
        <w:pStyle w:val="FootnoteText"/>
      </w:pPr>
      <w:r>
        <w:rPr>
          <w:rStyle w:val="FootnoteReference"/>
        </w:rPr>
        <w:footnoteRef/>
      </w:r>
      <w:r>
        <w:t xml:space="preserve"> ‘Accident towing fees’ refers to the amounts charged for accident towing services</w:t>
      </w:r>
      <w:r w:rsidR="00837C05">
        <w:t xml:space="preserve"> per the</w:t>
      </w:r>
      <w:r>
        <w:t xml:space="preserve"> </w:t>
      </w:r>
      <w:r w:rsidRPr="005F4E4E">
        <w:rPr>
          <w:i/>
          <w:iCs/>
        </w:rPr>
        <w:t>Accident Towing Services Act 2007</w:t>
      </w:r>
      <w:r>
        <w:t>, section 211(a)</w:t>
      </w:r>
      <w:r w:rsidR="00C550D6">
        <w:t xml:space="preserve">; </w:t>
      </w:r>
      <w:r>
        <w:t>‘</w:t>
      </w:r>
      <w:r w:rsidR="00C550D6">
        <w:t>s</w:t>
      </w:r>
      <w:r>
        <w:t>torage fees’ refers to the amounts charged for the service of storing accident damaged motor vehicles</w:t>
      </w:r>
      <w:r w:rsidR="00FE7478">
        <w:t xml:space="preserve"> per the</w:t>
      </w:r>
      <w:r>
        <w:t xml:space="preserve"> </w:t>
      </w:r>
      <w:r w:rsidRPr="005F4E4E">
        <w:rPr>
          <w:i/>
          <w:iCs/>
        </w:rPr>
        <w:t>Accident Towing Services Act 2007</w:t>
      </w:r>
      <w:r>
        <w:t>, section 211(b).</w:t>
      </w:r>
    </w:p>
  </w:footnote>
  <w:footnote w:id="3">
    <w:p w14:paraId="61318237" w14:textId="6486F65E" w:rsidR="00990FE6" w:rsidRDefault="00990FE6" w:rsidP="00990FE6">
      <w:pPr>
        <w:pStyle w:val="FootnoteText"/>
      </w:pPr>
      <w:r>
        <w:rPr>
          <w:rStyle w:val="FootnoteReference"/>
        </w:rPr>
        <w:footnoteRef/>
      </w:r>
      <w:r>
        <w:t xml:space="preserve"> </w:t>
      </w:r>
      <w:r w:rsidRPr="007B70AD">
        <w:rPr>
          <w:i/>
          <w:iCs/>
        </w:rPr>
        <w:t>Accident Towing Services Act 2007</w:t>
      </w:r>
      <w:r>
        <w:t>, section 4(a)</w:t>
      </w:r>
      <w:r w:rsidR="00233C22">
        <w:t>.</w:t>
      </w:r>
    </w:p>
  </w:footnote>
  <w:footnote w:id="4">
    <w:p w14:paraId="757A1C7B" w14:textId="562DB35D" w:rsidR="006C1CAA" w:rsidRDefault="006C1CAA" w:rsidP="006C1CAA">
      <w:pPr>
        <w:pStyle w:val="FootnoteText"/>
      </w:pPr>
      <w:r>
        <w:rPr>
          <w:rStyle w:val="FootnoteReference"/>
        </w:rPr>
        <w:footnoteRef/>
      </w:r>
      <w:r>
        <w:t xml:space="preserve"> </w:t>
      </w:r>
      <w:r w:rsidR="00B57D24">
        <w:t>‘Accident towing fees’ refers to the amounts charged for accident towing services</w:t>
      </w:r>
      <w:r w:rsidR="00837C05">
        <w:t xml:space="preserve"> per the </w:t>
      </w:r>
      <w:r w:rsidR="00B57D24" w:rsidRPr="005F4E4E">
        <w:rPr>
          <w:i/>
          <w:iCs/>
        </w:rPr>
        <w:t>Accident Towing Services Act 2007</w:t>
      </w:r>
      <w:r w:rsidR="00B57D24">
        <w:t>, section 211(a).</w:t>
      </w:r>
    </w:p>
  </w:footnote>
  <w:footnote w:id="5">
    <w:p w14:paraId="32B03C59" w14:textId="73565A24" w:rsidR="00260C47" w:rsidRDefault="00260C47" w:rsidP="00260C47">
      <w:pPr>
        <w:pStyle w:val="FootnoteText"/>
      </w:pPr>
      <w:r>
        <w:rPr>
          <w:rStyle w:val="FootnoteReference"/>
        </w:rPr>
        <w:footnoteRef/>
      </w:r>
      <w:r>
        <w:t xml:space="preserve"> </w:t>
      </w:r>
      <w:r w:rsidR="00B24AB3">
        <w:t xml:space="preserve">Per </w:t>
      </w:r>
      <w:r w:rsidR="004F57E4">
        <w:t xml:space="preserve">the </w:t>
      </w:r>
      <w:bookmarkStart w:id="25" w:name="_Hlk197948702"/>
      <w:r w:rsidR="00B24AB3" w:rsidRPr="005F4E4E">
        <w:rPr>
          <w:i/>
          <w:iCs/>
        </w:rPr>
        <w:t>Accident Towing Services Act 2007</w:t>
      </w:r>
      <w:r w:rsidR="00B24AB3">
        <w:rPr>
          <w:i/>
          <w:iCs/>
        </w:rPr>
        <w:t xml:space="preserve">, </w:t>
      </w:r>
      <w:r w:rsidR="00B24AB3">
        <w:t>section 212H</w:t>
      </w:r>
      <w:bookmarkEnd w:id="25"/>
      <w:r w:rsidR="00B24AB3">
        <w:t xml:space="preserve">. </w:t>
      </w:r>
      <w:r>
        <w:t xml:space="preserve">See Appendix </w:t>
      </w:r>
      <w:r w:rsidR="000C691C">
        <w:t>D</w:t>
      </w:r>
      <w:r>
        <w:t xml:space="preserve"> for detail on the annual adjustment mechanism.</w:t>
      </w:r>
    </w:p>
  </w:footnote>
  <w:footnote w:id="6">
    <w:p w14:paraId="3D0FEF3B" w14:textId="7B4DCADC" w:rsidR="006C1CAA" w:rsidRDefault="006C1CAA" w:rsidP="006C1CAA">
      <w:pPr>
        <w:pStyle w:val="FootnoteText"/>
      </w:pPr>
      <w:r>
        <w:rPr>
          <w:rStyle w:val="FootnoteReference"/>
        </w:rPr>
        <w:footnoteRef/>
      </w:r>
      <w:r>
        <w:t xml:space="preserve"> </w:t>
      </w:r>
      <w:r w:rsidR="000D1772">
        <w:t>‘</w:t>
      </w:r>
      <w:r w:rsidR="00EE5C61">
        <w:t>Storage fees</w:t>
      </w:r>
      <w:r w:rsidR="000D1772">
        <w:t>’</w:t>
      </w:r>
      <w:r w:rsidR="00EE5C61">
        <w:t xml:space="preserve"> refers to the amounts charged for the service of storing accident damaged motor vehicles</w:t>
      </w:r>
      <w:r w:rsidR="00B24AB3">
        <w:t xml:space="preserve"> per the </w:t>
      </w:r>
      <w:r w:rsidR="00EE5C61" w:rsidRPr="005F4E4E">
        <w:rPr>
          <w:i/>
          <w:iCs/>
        </w:rPr>
        <w:t>Accident Towing Services Act 2007</w:t>
      </w:r>
      <w:r w:rsidR="00B57D24">
        <w:t>, section 211(b)</w:t>
      </w:r>
      <w:r w:rsidR="00EE5C61">
        <w:t>.</w:t>
      </w:r>
    </w:p>
  </w:footnote>
  <w:footnote w:id="7">
    <w:p w14:paraId="16129F0D" w14:textId="479E09E4" w:rsidR="004F57E4" w:rsidRDefault="004F57E4">
      <w:pPr>
        <w:pStyle w:val="FootnoteText"/>
      </w:pPr>
      <w:r>
        <w:rPr>
          <w:rStyle w:val="FootnoteReference"/>
        </w:rPr>
        <w:footnoteRef/>
      </w:r>
      <w:r>
        <w:t xml:space="preserve"> </w:t>
      </w:r>
      <w:r w:rsidR="00C63239">
        <w:t xml:space="preserve">Fees are not varied, if </w:t>
      </w:r>
      <w:r w:rsidR="00C63239" w:rsidRPr="00A54D04">
        <w:t>indexation arrangements</w:t>
      </w:r>
      <w:r w:rsidR="00C63239">
        <w:t xml:space="preserve"> in a given year </w:t>
      </w:r>
      <w:r w:rsidR="00B63B50">
        <w:t xml:space="preserve">would </w:t>
      </w:r>
      <w:r w:rsidR="00C63239">
        <w:t xml:space="preserve">result in lower fees, </w:t>
      </w:r>
      <w:r>
        <w:t>per the</w:t>
      </w:r>
      <w:r w:rsidRPr="004F57E4">
        <w:rPr>
          <w:i/>
          <w:iCs/>
        </w:rPr>
        <w:t xml:space="preserve"> </w:t>
      </w:r>
      <w:r w:rsidRPr="005F4E4E">
        <w:rPr>
          <w:i/>
          <w:iCs/>
        </w:rPr>
        <w:t>Accident Towing Services Act 2007</w:t>
      </w:r>
      <w:r>
        <w:rPr>
          <w:i/>
          <w:iCs/>
        </w:rPr>
        <w:t xml:space="preserve">, </w:t>
      </w:r>
      <w:r>
        <w:t>section 212H(3).</w:t>
      </w:r>
    </w:p>
  </w:footnote>
  <w:footnote w:id="8">
    <w:p w14:paraId="1D00E6AD" w14:textId="1D31A2E0" w:rsidR="00715EE2" w:rsidRPr="00715EE2" w:rsidRDefault="00715EE2">
      <w:pPr>
        <w:pStyle w:val="FootnoteText"/>
        <w:rPr>
          <w:iCs/>
        </w:rPr>
      </w:pPr>
      <w:r>
        <w:rPr>
          <w:rStyle w:val="FootnoteReference"/>
        </w:rPr>
        <w:footnoteRef/>
      </w:r>
      <w:r>
        <w:t xml:space="preserve"> </w:t>
      </w:r>
      <w:r>
        <w:rPr>
          <w:iCs/>
          <w:szCs w:val="18"/>
          <w:shd w:val="clear" w:color="auto" w:fill="FFFFFF"/>
        </w:rPr>
        <w:t xml:space="preserve">See 212A(1) of the </w:t>
      </w:r>
      <w:r w:rsidRPr="00E64E75">
        <w:rPr>
          <w:i/>
          <w:lang w:val="en-US"/>
        </w:rPr>
        <w:t>Accident Towing Services Act 2007</w:t>
      </w:r>
      <w:r>
        <w:rPr>
          <w:iCs/>
          <w:lang w:val="en-US"/>
        </w:rPr>
        <w:t xml:space="preserve"> for a full description of the commission’s role</w:t>
      </w:r>
      <w:r w:rsidR="00721532">
        <w:rPr>
          <w:iCs/>
          <w:lang w:val="en-US"/>
        </w:rPr>
        <w:t>.</w:t>
      </w:r>
    </w:p>
  </w:footnote>
  <w:footnote w:id="9">
    <w:p w14:paraId="63A4EFF0" w14:textId="7152EB37" w:rsidR="007D1E0C" w:rsidRDefault="007D1E0C" w:rsidP="007D1E0C">
      <w:pPr>
        <w:pStyle w:val="FootnoteText"/>
      </w:pPr>
      <w:r>
        <w:rPr>
          <w:rStyle w:val="FootnoteReference"/>
        </w:rPr>
        <w:footnoteRef/>
      </w:r>
      <w:r>
        <w:t xml:space="preserve"> </w:t>
      </w:r>
      <w:r>
        <w:rPr>
          <w:iCs/>
          <w:szCs w:val="18"/>
          <w:shd w:val="clear" w:color="auto" w:fill="FFFFFF"/>
        </w:rPr>
        <w:t xml:space="preserve">As per section 46 of the </w:t>
      </w:r>
      <w:r w:rsidRPr="00E64E75">
        <w:rPr>
          <w:i/>
          <w:lang w:val="en-US"/>
        </w:rPr>
        <w:t>Accident Towing Services Act 2007</w:t>
      </w:r>
      <w:r>
        <w:rPr>
          <w:lang w:val="en-US"/>
        </w:rPr>
        <w:t xml:space="preserve">, the </w:t>
      </w:r>
      <w:r>
        <w:rPr>
          <w:iCs/>
          <w:szCs w:val="18"/>
          <w:shd w:val="clear" w:color="auto" w:fill="FFFFFF"/>
        </w:rPr>
        <w:t>Secretary, Department of Transport and Planning may declare an area to be a controlled area. The Melbourne</w:t>
      </w:r>
      <w:r>
        <w:rPr>
          <w:lang w:val="en-US"/>
        </w:rPr>
        <w:t xml:space="preserve"> controlled area was declared in </w:t>
      </w:r>
      <w:r>
        <w:rPr>
          <w:szCs w:val="18"/>
        </w:rPr>
        <w:t xml:space="preserve">Gary Liddle 2010, </w:t>
      </w:r>
      <w:r w:rsidR="002D2012">
        <w:rPr>
          <w:szCs w:val="18"/>
        </w:rPr>
        <w:t>‘</w:t>
      </w:r>
      <w:r w:rsidRPr="00E64E75">
        <w:rPr>
          <w:szCs w:val="18"/>
        </w:rPr>
        <w:t>Declaration of controlled area</w:t>
      </w:r>
      <w:r w:rsidR="002D2012">
        <w:rPr>
          <w:szCs w:val="18"/>
        </w:rPr>
        <w:t>’</w:t>
      </w:r>
      <w:r w:rsidRPr="00E64E75">
        <w:rPr>
          <w:i/>
          <w:szCs w:val="18"/>
        </w:rPr>
        <w:t>, Victoria Government Gazette</w:t>
      </w:r>
      <w:r>
        <w:rPr>
          <w:szCs w:val="18"/>
        </w:rPr>
        <w:t>, No. S 461 Tuesday 9 November 2010.</w:t>
      </w:r>
    </w:p>
  </w:footnote>
  <w:footnote w:id="10">
    <w:p w14:paraId="6D5881EF" w14:textId="7DB7BC55" w:rsidR="0062663F" w:rsidRDefault="0062663F">
      <w:pPr>
        <w:pStyle w:val="FootnoteText"/>
      </w:pPr>
      <w:r>
        <w:rPr>
          <w:rStyle w:val="FootnoteReference"/>
        </w:rPr>
        <w:footnoteRef/>
      </w:r>
      <w:r>
        <w:t xml:space="preserve"> </w:t>
      </w:r>
      <w:r w:rsidR="006B6A40">
        <w:t>‘Accident towing fees’ refers to the amounts charged for accident towing services</w:t>
      </w:r>
      <w:r w:rsidR="00F11212">
        <w:t xml:space="preserve"> per the </w:t>
      </w:r>
      <w:r w:rsidR="006B6A40" w:rsidRPr="005F4E4E">
        <w:rPr>
          <w:i/>
          <w:iCs/>
        </w:rPr>
        <w:t>Accident Towing Services Act 2007</w:t>
      </w:r>
      <w:r w:rsidR="006B6A40">
        <w:t>, section 211(a)</w:t>
      </w:r>
      <w:r w:rsidR="009322AC">
        <w:t xml:space="preserve">; </w:t>
      </w:r>
      <w:r w:rsidR="006B6A40">
        <w:t>‘</w:t>
      </w:r>
      <w:r w:rsidR="009322AC">
        <w:t>s</w:t>
      </w:r>
      <w:r w:rsidR="006B6A40">
        <w:t>torage fees’ refers to the amounts charged for the service of storing accident damaged motor vehicles</w:t>
      </w:r>
      <w:r w:rsidR="00F11212">
        <w:t xml:space="preserve"> per the </w:t>
      </w:r>
      <w:r w:rsidR="006B6A40" w:rsidRPr="005F4E4E">
        <w:rPr>
          <w:i/>
          <w:iCs/>
        </w:rPr>
        <w:t>Accident Towing Services Act 2007</w:t>
      </w:r>
      <w:r w:rsidR="006B6A40">
        <w:t>, section 211(b).</w:t>
      </w:r>
    </w:p>
  </w:footnote>
  <w:footnote w:id="11">
    <w:p w14:paraId="23C54125" w14:textId="1A47356E" w:rsidR="00325A17" w:rsidRDefault="00325A17">
      <w:pPr>
        <w:pStyle w:val="FootnoteText"/>
      </w:pPr>
      <w:r>
        <w:rPr>
          <w:rStyle w:val="FootnoteReference"/>
        </w:rPr>
        <w:footnoteRef/>
      </w:r>
      <w:r>
        <w:t xml:space="preserve"> </w:t>
      </w:r>
      <w:r w:rsidRPr="007B70AD">
        <w:rPr>
          <w:i/>
          <w:iCs/>
        </w:rPr>
        <w:t>Accident Towing Services Act 2007</w:t>
      </w:r>
      <w:r>
        <w:t>, section 4(a)</w:t>
      </w:r>
      <w:r w:rsidR="0068128F">
        <w:t>.</w:t>
      </w:r>
    </w:p>
  </w:footnote>
  <w:footnote w:id="12">
    <w:p w14:paraId="4AFB7441" w14:textId="03B8670E" w:rsidR="003F7FA1" w:rsidRDefault="003F7FA1">
      <w:pPr>
        <w:pStyle w:val="FootnoteText"/>
      </w:pPr>
      <w:r>
        <w:rPr>
          <w:rStyle w:val="FootnoteReference"/>
        </w:rPr>
        <w:footnoteRef/>
      </w:r>
      <w:r>
        <w:t xml:space="preserve"> </w:t>
      </w:r>
      <w:r w:rsidR="0062427B">
        <w:t xml:space="preserve">Victorian Automotive Chamber of Commerce, </w:t>
      </w:r>
      <w:r w:rsidR="00701F89">
        <w:t>‘</w:t>
      </w:r>
      <w:r w:rsidR="0062427B">
        <w:t>Response to the ESC on accident towing, storage and salvage fees</w:t>
      </w:r>
      <w:r w:rsidR="00701F89">
        <w:t>’</w:t>
      </w:r>
      <w:r w:rsidR="0062427B">
        <w:t>, 6</w:t>
      </w:r>
      <w:r w:rsidR="00B74C54">
        <w:t> </w:t>
      </w:r>
      <w:r w:rsidR="0062427B">
        <w:t>March 2025, pp. 17</w:t>
      </w:r>
      <w:r w:rsidR="00FB25BA">
        <w:t>–</w:t>
      </w:r>
      <w:r w:rsidR="0062427B">
        <w:t>18.</w:t>
      </w:r>
    </w:p>
  </w:footnote>
  <w:footnote w:id="13">
    <w:p w14:paraId="1D43C104" w14:textId="69093B1B" w:rsidR="0062427B" w:rsidRDefault="0062427B">
      <w:pPr>
        <w:pStyle w:val="FootnoteText"/>
      </w:pPr>
      <w:r>
        <w:rPr>
          <w:rStyle w:val="FootnoteReference"/>
        </w:rPr>
        <w:footnoteRef/>
      </w:r>
      <w:r>
        <w:t xml:space="preserve"> </w:t>
      </w:r>
      <w:r w:rsidR="00917588">
        <w:t>Ibid</w:t>
      </w:r>
      <w:r w:rsidR="002A2752">
        <w:t>, p. 7.</w:t>
      </w:r>
    </w:p>
  </w:footnote>
  <w:footnote w:id="14">
    <w:p w14:paraId="3AEA6687" w14:textId="7E069BB1" w:rsidR="00DB354C" w:rsidRDefault="00DB354C" w:rsidP="00DB354C">
      <w:pPr>
        <w:pStyle w:val="FootnoteText"/>
      </w:pPr>
      <w:r>
        <w:rPr>
          <w:rStyle w:val="FootnoteReference"/>
        </w:rPr>
        <w:footnoteRef/>
      </w:r>
      <w:r>
        <w:t xml:space="preserve"> Victorian Automotive Chamber of Commerce, </w:t>
      </w:r>
      <w:r w:rsidR="00F7565F">
        <w:t>‘</w:t>
      </w:r>
      <w:r>
        <w:t>Response to the ESC on accident towing, storage and salvage fees</w:t>
      </w:r>
      <w:r w:rsidR="00F7565F">
        <w:t>’</w:t>
      </w:r>
      <w:r>
        <w:t>, 6 March 2025, p. 25.</w:t>
      </w:r>
    </w:p>
  </w:footnote>
  <w:footnote w:id="15">
    <w:p w14:paraId="4D6C2B16" w14:textId="7A0A2D32" w:rsidR="00DB354C" w:rsidRDefault="00DB354C" w:rsidP="00DB354C">
      <w:pPr>
        <w:pStyle w:val="FootnoteText"/>
      </w:pPr>
      <w:r>
        <w:rPr>
          <w:rStyle w:val="FootnoteReference"/>
        </w:rPr>
        <w:footnoteRef/>
      </w:r>
      <w:r>
        <w:t xml:space="preserve"> </w:t>
      </w:r>
      <w:r w:rsidR="002F1E0E">
        <w:t>Victorian Automotive Chamber of Commerce, ‘Response to the ESC on accident towing, storage and salvage fees’, 6 March 2025, p. 26.</w:t>
      </w:r>
      <w:r w:rsidR="00B24B17">
        <w:t xml:space="preserve"> </w:t>
      </w:r>
    </w:p>
  </w:footnote>
  <w:footnote w:id="16">
    <w:p w14:paraId="49BDCBA6" w14:textId="4558658B" w:rsidR="00DB354C" w:rsidRDefault="00DB354C" w:rsidP="00DB354C">
      <w:pPr>
        <w:pStyle w:val="FootnoteText"/>
      </w:pPr>
      <w:r>
        <w:rPr>
          <w:rStyle w:val="FootnoteReference"/>
        </w:rPr>
        <w:footnoteRef/>
      </w:r>
      <w:r>
        <w:t xml:space="preserve"> </w:t>
      </w:r>
      <w:r w:rsidR="0068128F">
        <w:t xml:space="preserve">Ibid, p. 25. </w:t>
      </w:r>
    </w:p>
  </w:footnote>
  <w:footnote w:id="17">
    <w:p w14:paraId="113A8549" w14:textId="77777777" w:rsidR="00DB354C" w:rsidRPr="00403273" w:rsidRDefault="00DB354C" w:rsidP="00DB354C">
      <w:pPr>
        <w:pStyle w:val="FootnoteText"/>
        <w:keepNext/>
        <w:keepLines/>
      </w:pPr>
      <w:r>
        <w:rPr>
          <w:rStyle w:val="FootnoteReference"/>
        </w:rPr>
        <w:footnoteRef/>
      </w:r>
      <w:r>
        <w:t xml:space="preserve"> Australian Automobile Association, </w:t>
      </w:r>
      <w:r w:rsidRPr="007B3BA1">
        <w:t>Electric Vehicle Index</w:t>
      </w:r>
      <w:r>
        <w:t xml:space="preserve">, </w:t>
      </w:r>
      <w:hyperlink r:id="rId1" w:history="1">
        <w:r w:rsidRPr="00E456AA">
          <w:rPr>
            <w:rStyle w:val="Hyperlink"/>
          </w:rPr>
          <w:t>https://www.aaa.asn.au/research-data/electric-vehicle/</w:t>
        </w:r>
      </w:hyperlink>
      <w:r>
        <w:t xml:space="preserve"> Website accessed 7 October 2024.</w:t>
      </w:r>
      <w:r>
        <w:br/>
        <w:t xml:space="preserve">According to this website, as </w:t>
      </w:r>
      <w:r>
        <w:rPr>
          <w:rFonts w:ascii="Arial" w:hAnsi="Arial" w:cs="Arial"/>
          <w:color w:val="222222"/>
          <w:shd w:val="clear" w:color="auto" w:fill="FFFFFF"/>
        </w:rPr>
        <w:t>at 31 January 2024 in Victoria there were:</w:t>
      </w:r>
    </w:p>
    <w:p w14:paraId="0D17FD2A" w14:textId="77777777" w:rsidR="00DB354C" w:rsidRDefault="00DB354C" w:rsidP="00DB354C">
      <w:pPr>
        <w:pStyle w:val="FootnoteText"/>
        <w:keepLines/>
        <w:ind w:left="720"/>
        <w:rPr>
          <w:rFonts w:ascii="Arial" w:hAnsi="Arial" w:cs="Arial"/>
          <w:color w:val="222222"/>
          <w:shd w:val="clear" w:color="auto" w:fill="FFFFFF"/>
        </w:rPr>
      </w:pPr>
      <w:r>
        <w:rPr>
          <w:rFonts w:ascii="Arial" w:hAnsi="Arial" w:cs="Arial"/>
          <w:color w:val="222222"/>
          <w:shd w:val="clear" w:color="auto" w:fill="FFFFFF"/>
        </w:rPr>
        <w:t>Internal Combustion Engines = 4,907,595</w:t>
      </w:r>
      <w:r>
        <w:rPr>
          <w:rFonts w:ascii="Arial" w:hAnsi="Arial" w:cs="Arial"/>
          <w:color w:val="222222"/>
          <w:shd w:val="clear" w:color="auto" w:fill="FFFFFF"/>
        </w:rPr>
        <w:br/>
        <w:t>Battery Electric Vehicles = 41,546</w:t>
      </w:r>
      <w:r>
        <w:rPr>
          <w:rFonts w:ascii="Arial" w:hAnsi="Arial" w:cs="Arial"/>
          <w:color w:val="222222"/>
          <w:shd w:val="clear" w:color="auto" w:fill="FFFFFF"/>
        </w:rPr>
        <w:br/>
        <w:t>Hybrid / Plugin Hybrid Electric Vehicles = 114,127</w:t>
      </w:r>
      <w:r>
        <w:rPr>
          <w:rFonts w:ascii="Arial" w:hAnsi="Arial" w:cs="Arial"/>
          <w:color w:val="222222"/>
          <w:shd w:val="clear" w:color="auto" w:fill="FFFFFF"/>
        </w:rPr>
        <w:br/>
        <w:t>Total vehicles = 5,063,268</w:t>
      </w:r>
    </w:p>
    <w:p w14:paraId="6C57FE36" w14:textId="77777777" w:rsidR="00DB354C" w:rsidRDefault="00DB354C" w:rsidP="00DB354C">
      <w:pPr>
        <w:pStyle w:val="FootnoteText"/>
        <w:keepLines/>
      </w:pPr>
      <w:r>
        <w:rPr>
          <w:rFonts w:ascii="Arial" w:hAnsi="Arial" w:cs="Arial"/>
          <w:color w:val="222222"/>
          <w:shd w:val="clear" w:color="auto" w:fill="FFFFFF"/>
        </w:rPr>
        <w:t>This means electric vehicles (Battery Electric, Hybrid and Plugin Hybrid) comprise around 3 per cent of the total Victorian fleet.</w:t>
      </w:r>
    </w:p>
  </w:footnote>
  <w:footnote w:id="18">
    <w:p w14:paraId="2BE7FD7B" w14:textId="27B7892E" w:rsidR="00B120A7" w:rsidRDefault="00B120A7" w:rsidP="00B120A7">
      <w:pPr>
        <w:pStyle w:val="FootnoteText"/>
      </w:pPr>
      <w:r>
        <w:rPr>
          <w:rStyle w:val="FootnoteReference"/>
        </w:rPr>
        <w:footnoteRef/>
      </w:r>
      <w:r>
        <w:t xml:space="preserve"> ‘Accident towing fees’ refers to the amounts charged for accident towing services</w:t>
      </w:r>
      <w:r w:rsidR="00D4573C">
        <w:t xml:space="preserve"> per the </w:t>
      </w:r>
      <w:r w:rsidRPr="005F4E4E">
        <w:rPr>
          <w:i/>
          <w:iCs/>
        </w:rPr>
        <w:t>Accident Towing Services Act 2007</w:t>
      </w:r>
      <w:r>
        <w:t>, section 211(a).</w:t>
      </w:r>
    </w:p>
  </w:footnote>
  <w:footnote w:id="19">
    <w:p w14:paraId="20C8CC29" w14:textId="50E136BB" w:rsidR="00A44000" w:rsidRDefault="00A44000">
      <w:pPr>
        <w:pStyle w:val="FootnoteText"/>
      </w:pPr>
      <w:r>
        <w:rPr>
          <w:rStyle w:val="FootnoteReference"/>
        </w:rPr>
        <w:footnoteRef/>
      </w:r>
      <w:r>
        <w:t xml:space="preserve"> Insurance Council of Australia, Filenote of meeting with Essential Services Commission, 25 September 2024.</w:t>
      </w:r>
    </w:p>
  </w:footnote>
  <w:footnote w:id="20">
    <w:p w14:paraId="77667C63" w14:textId="0D858B26" w:rsidR="00A44000" w:rsidRDefault="00A44000">
      <w:pPr>
        <w:pStyle w:val="FootnoteText"/>
      </w:pPr>
      <w:r>
        <w:rPr>
          <w:rStyle w:val="FootnoteReference"/>
        </w:rPr>
        <w:footnoteRef/>
      </w:r>
      <w:r>
        <w:t xml:space="preserve"> Victorian Automotive Chamber of Commerce, </w:t>
      </w:r>
      <w:r w:rsidR="00F7565F">
        <w:t>‘</w:t>
      </w:r>
      <w:r>
        <w:t>Response to the ESC on accident towing, storage and salvage fees</w:t>
      </w:r>
      <w:r w:rsidR="00F7565F">
        <w:t>’</w:t>
      </w:r>
      <w:r>
        <w:t xml:space="preserve">, </w:t>
      </w:r>
      <w:r w:rsidR="00B26191">
        <w:t>6</w:t>
      </w:r>
      <w:r w:rsidR="00F7565F">
        <w:t> </w:t>
      </w:r>
      <w:r w:rsidR="00B26191">
        <w:t>March 2025, p. 22.</w:t>
      </w:r>
    </w:p>
  </w:footnote>
  <w:footnote w:id="21">
    <w:p w14:paraId="0EE89709" w14:textId="4133739F" w:rsidR="00B26191" w:rsidRDefault="00B26191">
      <w:pPr>
        <w:pStyle w:val="FootnoteText"/>
      </w:pPr>
      <w:r>
        <w:rPr>
          <w:rStyle w:val="FootnoteReference"/>
        </w:rPr>
        <w:footnoteRef/>
      </w:r>
      <w:r>
        <w:t xml:space="preserve"> AllCar Towing Group, submission to Essential Services Commission</w:t>
      </w:r>
      <w:r w:rsidR="00157A97">
        <w:t xml:space="preserve"> Accident Towing </w:t>
      </w:r>
      <w:r w:rsidR="00EB7B73">
        <w:t xml:space="preserve">Fees Review: </w:t>
      </w:r>
      <w:r w:rsidR="00157A97">
        <w:t>Draft Report</w:t>
      </w:r>
      <w:r w:rsidR="00EB7B73">
        <w:t xml:space="preserve">, </w:t>
      </w:r>
      <w:r w:rsidR="00456383">
        <w:t>3</w:t>
      </w:r>
      <w:r w:rsidR="00F7565F">
        <w:t> </w:t>
      </w:r>
      <w:r w:rsidR="00456383">
        <w:t>March 2025.</w:t>
      </w:r>
    </w:p>
  </w:footnote>
  <w:footnote w:id="22">
    <w:p w14:paraId="7D2C49EC" w14:textId="26BF01C7" w:rsidR="002A0E21" w:rsidRDefault="002A0E21">
      <w:pPr>
        <w:pStyle w:val="FootnoteText"/>
      </w:pPr>
      <w:r>
        <w:rPr>
          <w:rStyle w:val="FootnoteReference"/>
        </w:rPr>
        <w:footnoteRef/>
      </w:r>
      <w:r>
        <w:t xml:space="preserve"> </w:t>
      </w:r>
      <w:r w:rsidR="00E50CC0">
        <w:t xml:space="preserve">Victorian Automotive Chamber of Commerce, </w:t>
      </w:r>
      <w:r w:rsidR="00F7565F">
        <w:t>‘</w:t>
      </w:r>
      <w:r w:rsidR="00E50CC0">
        <w:t>Response to the ESC on accident towing, storage and salvage fees</w:t>
      </w:r>
      <w:r w:rsidR="00F7565F">
        <w:t>’</w:t>
      </w:r>
      <w:r w:rsidR="00E50CC0">
        <w:t>, 6</w:t>
      </w:r>
      <w:r w:rsidR="00F7565F">
        <w:t> </w:t>
      </w:r>
      <w:r w:rsidR="00E50CC0">
        <w:t>March 2025, p. 21.</w:t>
      </w:r>
    </w:p>
  </w:footnote>
  <w:footnote w:id="23">
    <w:p w14:paraId="78E4200B" w14:textId="62E64725" w:rsidR="00AB43EA" w:rsidRDefault="00AB43EA" w:rsidP="00AB43EA">
      <w:pPr>
        <w:pStyle w:val="FootnoteText"/>
      </w:pPr>
      <w:r>
        <w:rPr>
          <w:rStyle w:val="FootnoteReference"/>
        </w:rPr>
        <w:footnoteRef/>
      </w:r>
      <w:r>
        <w:t xml:space="preserve"> </w:t>
      </w:r>
      <w:r w:rsidR="00887FDF">
        <w:t>Ibid.</w:t>
      </w:r>
    </w:p>
  </w:footnote>
  <w:footnote w:id="24">
    <w:p w14:paraId="288EEBC3" w14:textId="77777777" w:rsidR="009C064D" w:rsidRDefault="009C064D" w:rsidP="009C064D">
      <w:pPr>
        <w:pStyle w:val="FootnoteText"/>
      </w:pPr>
      <w:r>
        <w:rPr>
          <w:rStyle w:val="FootnoteReference"/>
        </w:rPr>
        <w:footnoteRef/>
      </w:r>
      <w:r>
        <w:t xml:space="preserve"> Since 10 January 2025, the price that can be charged for the towing and storage of crashed light vehicles in Perth and Peel (Western Australia) has been capped; </w:t>
      </w:r>
      <w:hyperlink r:id="rId2" w:history="1">
        <w:r w:rsidRPr="00DF6808">
          <w:rPr>
            <w:rStyle w:val="Hyperlink"/>
          </w:rPr>
          <w:t>https://www.transport.wa.gov.au/licensing/maximum-charges-for-crash-towing.asp</w:t>
        </w:r>
      </w:hyperlink>
      <w:r>
        <w:t>, accessed 11 March 2025.</w:t>
      </w:r>
    </w:p>
  </w:footnote>
  <w:footnote w:id="25">
    <w:p w14:paraId="627905B2" w14:textId="6223FD97" w:rsidR="00696324" w:rsidRDefault="00696324">
      <w:pPr>
        <w:pStyle w:val="FootnoteText"/>
      </w:pPr>
      <w:r>
        <w:rPr>
          <w:rStyle w:val="FootnoteReference"/>
        </w:rPr>
        <w:footnoteRef/>
      </w:r>
      <w:r>
        <w:t xml:space="preserve"> </w:t>
      </w:r>
      <w:r w:rsidR="00CB59DB">
        <w:t xml:space="preserve">For example, local councils in Victoria typically tender contracts for abandoned (or derelict) vehicle towing services. </w:t>
      </w:r>
    </w:p>
  </w:footnote>
  <w:footnote w:id="26">
    <w:p w14:paraId="4F35D384" w14:textId="77777777" w:rsidR="00937C9F" w:rsidRDefault="00937C9F" w:rsidP="00937C9F">
      <w:pPr>
        <w:pStyle w:val="FootnoteText"/>
        <w:keepLines/>
      </w:pPr>
      <w:r w:rsidRPr="00A56429">
        <w:rPr>
          <w:rStyle w:val="FootnoteReference"/>
        </w:rPr>
        <w:footnoteRef/>
      </w:r>
      <w:r w:rsidRPr="00A56429">
        <w:t xml:space="preserve"> The assumptions we used to estimate a ‘standard’ accident towing fee are: </w:t>
      </w:r>
    </w:p>
    <w:p w14:paraId="5F004D96" w14:textId="77777777" w:rsidR="00937C9F" w:rsidRPr="00486077" w:rsidRDefault="00937C9F" w:rsidP="00937C9F">
      <w:pPr>
        <w:pStyle w:val="FootnoteText"/>
        <w:keepLines/>
        <w:numPr>
          <w:ilvl w:val="0"/>
          <w:numId w:val="41"/>
        </w:numPr>
        <w:spacing w:before="0"/>
        <w:ind w:left="714" w:hanging="357"/>
      </w:pPr>
      <w:r>
        <w:t xml:space="preserve">the total travel distance is </w:t>
      </w:r>
      <w:r w:rsidRPr="00A56429">
        <w:t>2</w:t>
      </w:r>
      <w:r>
        <w:t>2</w:t>
      </w:r>
      <w:r w:rsidRPr="00A56429">
        <w:t xml:space="preserve"> </w:t>
      </w:r>
      <w:r w:rsidRPr="00486077">
        <w:t>kilometres of which 17 kilometres is the total tow distance</w:t>
      </w:r>
    </w:p>
    <w:p w14:paraId="29AD5D25" w14:textId="77777777" w:rsidR="00937C9F" w:rsidRPr="00486077" w:rsidRDefault="00937C9F" w:rsidP="00937C9F">
      <w:pPr>
        <w:pStyle w:val="FootnoteText"/>
        <w:keepLines/>
        <w:numPr>
          <w:ilvl w:val="0"/>
          <w:numId w:val="41"/>
        </w:numPr>
        <w:spacing w:before="0"/>
        <w:ind w:left="714" w:hanging="357"/>
      </w:pPr>
      <w:r w:rsidRPr="00486077">
        <w:t>the average speed of an accident tow truck in the Melbourne controlled area is 40 kilometres per hour</w:t>
      </w:r>
    </w:p>
    <w:p w14:paraId="7ADB0C42" w14:textId="78C7979A" w:rsidR="00937C9F" w:rsidRPr="00486077" w:rsidRDefault="00937C9F" w:rsidP="00937C9F">
      <w:pPr>
        <w:pStyle w:val="FootnoteText"/>
        <w:keepLines/>
        <w:numPr>
          <w:ilvl w:val="0"/>
          <w:numId w:val="41"/>
        </w:numPr>
        <w:spacing w:before="0"/>
        <w:ind w:left="714" w:hanging="357"/>
      </w:pPr>
      <w:r w:rsidRPr="00486077">
        <w:t xml:space="preserve">the average total tow time is </w:t>
      </w:r>
      <w:r w:rsidR="00F75BE7" w:rsidRPr="00486077">
        <w:t>90.0</w:t>
      </w:r>
      <w:r w:rsidRPr="00486077">
        <w:t xml:space="preserve"> minutes of which 33.0 minutes is travel time and 5</w:t>
      </w:r>
      <w:r w:rsidR="00F75BE7" w:rsidRPr="00486077">
        <w:t>7.0</w:t>
      </w:r>
      <w:r w:rsidRPr="00486077">
        <w:t xml:space="preserve"> minutes is waiting and working time </w:t>
      </w:r>
    </w:p>
    <w:p w14:paraId="40724C8B" w14:textId="77777777" w:rsidR="00937C9F" w:rsidRPr="00486077" w:rsidRDefault="00937C9F" w:rsidP="00937C9F">
      <w:pPr>
        <w:pStyle w:val="FootnoteText"/>
        <w:keepLines/>
        <w:numPr>
          <w:ilvl w:val="0"/>
          <w:numId w:val="41"/>
        </w:numPr>
        <w:spacing w:before="0"/>
        <w:ind w:left="714" w:hanging="357"/>
      </w:pPr>
      <w:r w:rsidRPr="00486077">
        <w:t>the exclusion of storage fees</w:t>
      </w:r>
    </w:p>
    <w:p w14:paraId="7BEF410A" w14:textId="77777777" w:rsidR="00937C9F" w:rsidRPr="00486077" w:rsidRDefault="00937C9F" w:rsidP="00937C9F">
      <w:pPr>
        <w:pStyle w:val="FootnoteText"/>
        <w:keepLines/>
        <w:numPr>
          <w:ilvl w:val="0"/>
          <w:numId w:val="41"/>
        </w:numPr>
        <w:spacing w:before="0"/>
        <w:ind w:left="714" w:hanging="357"/>
      </w:pPr>
      <w:r w:rsidRPr="00486077">
        <w:t>the exclusion of salvage fees</w:t>
      </w:r>
    </w:p>
    <w:p w14:paraId="249F26F4" w14:textId="77777777" w:rsidR="00937C9F" w:rsidRDefault="00937C9F" w:rsidP="00937C9F">
      <w:pPr>
        <w:pStyle w:val="FootnoteText"/>
        <w:keepLines/>
        <w:numPr>
          <w:ilvl w:val="0"/>
          <w:numId w:val="41"/>
        </w:numPr>
        <w:spacing w:before="0"/>
        <w:ind w:left="714" w:hanging="357"/>
      </w:pPr>
      <w:r w:rsidRPr="00A56429">
        <w:t>46 per cent of accidents occur during business hours (8am to 5pm) and 54 per cent occur after hours.</w:t>
      </w:r>
    </w:p>
  </w:footnote>
  <w:footnote w:id="27">
    <w:p w14:paraId="1DE96286" w14:textId="35F2615E" w:rsidR="00336941" w:rsidRDefault="00336941" w:rsidP="00336941">
      <w:pPr>
        <w:pStyle w:val="FootnoteText"/>
      </w:pPr>
      <w:r>
        <w:rPr>
          <w:rStyle w:val="FootnoteReference"/>
        </w:rPr>
        <w:footnoteRef/>
      </w:r>
      <w:r>
        <w:t xml:space="preserve"> Department of Transport, Western Australia, </w:t>
      </w:r>
      <w:hyperlink r:id="rId3" w:history="1">
        <w:r w:rsidRPr="005906E8">
          <w:rPr>
            <w:rStyle w:val="Hyperlink"/>
          </w:rPr>
          <w:t>Proposal for the Regulation of the Crash Towing Industry in W</w:t>
        </w:r>
        <w:r w:rsidR="006376E7">
          <w:rPr>
            <w:rStyle w:val="Hyperlink"/>
          </w:rPr>
          <w:t xml:space="preserve">estern </w:t>
        </w:r>
        <w:r w:rsidRPr="005906E8">
          <w:rPr>
            <w:rStyle w:val="Hyperlink"/>
          </w:rPr>
          <w:t>A</w:t>
        </w:r>
        <w:r w:rsidR="006376E7">
          <w:rPr>
            <w:rStyle w:val="Hyperlink"/>
          </w:rPr>
          <w:t>ustralia</w:t>
        </w:r>
        <w:r w:rsidRPr="005906E8">
          <w:rPr>
            <w:rStyle w:val="Hyperlink"/>
          </w:rPr>
          <w:t xml:space="preserve"> – Decision Regulatory Impact Statement</w:t>
        </w:r>
      </w:hyperlink>
      <w:r>
        <w:t>, accessed 24 March 2025.</w:t>
      </w:r>
    </w:p>
  </w:footnote>
  <w:footnote w:id="28">
    <w:p w14:paraId="5EB619AA" w14:textId="2283CF95" w:rsidR="0074137A" w:rsidRDefault="0074137A" w:rsidP="0074137A">
      <w:pPr>
        <w:pStyle w:val="FootnoteText"/>
      </w:pPr>
      <w:r>
        <w:rPr>
          <w:rStyle w:val="FootnoteReference"/>
        </w:rPr>
        <w:footnoteRef/>
      </w:r>
      <w:r>
        <w:t xml:space="preserve"> The base fee for Melbourne</w:t>
      </w:r>
      <w:r w:rsidR="00FA17A6">
        <w:t xml:space="preserve"> includes</w:t>
      </w:r>
      <w:r>
        <w:t xml:space="preserve"> a travel distance of eight kilometres. We also note the distance travelled is measured from the </w:t>
      </w:r>
      <w:r w:rsidRPr="00152FB9">
        <w:rPr>
          <w:b/>
          <w:bCs/>
        </w:rPr>
        <w:t>depot</w:t>
      </w:r>
      <w:r>
        <w:t xml:space="preserve"> to the tow destination in Melbourne, but from the </w:t>
      </w:r>
      <w:r w:rsidRPr="00152FB9">
        <w:rPr>
          <w:b/>
          <w:bCs/>
        </w:rPr>
        <w:t>accident site</w:t>
      </w:r>
      <w:r>
        <w:t xml:space="preserve"> to the tow destination in Perth.</w:t>
      </w:r>
    </w:p>
  </w:footnote>
  <w:footnote w:id="29">
    <w:p w14:paraId="66919C12" w14:textId="50E9629E" w:rsidR="0053435A" w:rsidRDefault="0053435A" w:rsidP="00E64E75">
      <w:pPr>
        <w:pStyle w:val="FootnoteText"/>
        <w:keepLines/>
      </w:pPr>
      <w:r>
        <w:rPr>
          <w:rStyle w:val="FootnoteReference"/>
        </w:rPr>
        <w:footnoteRef/>
      </w:r>
      <w:r w:rsidR="00641B01">
        <w:t xml:space="preserve"> Our estimate is based on the same assumptions as our</w:t>
      </w:r>
      <w:r w:rsidR="00641B01" w:rsidRPr="00A56429">
        <w:t xml:space="preserve"> ‘standard’ accident</w:t>
      </w:r>
      <w:r w:rsidR="00637BD8">
        <w:t xml:space="preserve"> </w:t>
      </w:r>
      <w:r w:rsidR="00641B01">
        <w:t>tow, except</w:t>
      </w:r>
      <w:r w:rsidR="00A12E32">
        <w:t xml:space="preserve"> </w:t>
      </w:r>
      <w:r w:rsidR="00641B01">
        <w:t>the total travel distance</w:t>
      </w:r>
      <w:r w:rsidR="00637BD8">
        <w:t xml:space="preserve"> </w:t>
      </w:r>
      <w:r w:rsidR="00641B01">
        <w:t>is 55</w:t>
      </w:r>
      <w:r w:rsidR="00641B01" w:rsidRPr="00A56429">
        <w:t xml:space="preserve"> kilometres </w:t>
      </w:r>
      <w:r w:rsidR="00641B01">
        <w:t>of which</w:t>
      </w:r>
      <w:r w:rsidR="00641B01" w:rsidRPr="00A56429">
        <w:t xml:space="preserve"> </w:t>
      </w:r>
      <w:r w:rsidR="00641B01">
        <w:t>50</w:t>
      </w:r>
      <w:r w:rsidR="00641B01" w:rsidRPr="00A56429">
        <w:t xml:space="preserve"> kilometres </w:t>
      </w:r>
      <w:r w:rsidR="00641B01">
        <w:t>is</w:t>
      </w:r>
      <w:r w:rsidR="00641B01" w:rsidRPr="00A56429">
        <w:t xml:space="preserve"> the </w:t>
      </w:r>
      <w:r w:rsidR="00641B01" w:rsidRPr="0029115C">
        <w:rPr>
          <w:b/>
          <w:bCs/>
        </w:rPr>
        <w:t>tow distance</w:t>
      </w:r>
      <w:r w:rsidR="00A12E32">
        <w:t>.</w:t>
      </w:r>
    </w:p>
  </w:footnote>
  <w:footnote w:id="30">
    <w:p w14:paraId="19CC943B" w14:textId="4D64B17B" w:rsidR="00127A9E" w:rsidRDefault="00127A9E">
      <w:pPr>
        <w:pStyle w:val="FootnoteText"/>
      </w:pPr>
      <w:r>
        <w:rPr>
          <w:rStyle w:val="FootnoteReference"/>
        </w:rPr>
        <w:footnoteRef/>
      </w:r>
      <w:r>
        <w:t xml:space="preserve"> This includes the travel from the depot to</w:t>
      </w:r>
      <w:r w:rsidR="00675A19">
        <w:t xml:space="preserve"> the</w:t>
      </w:r>
      <w:r>
        <w:t xml:space="preserve"> accident site</w:t>
      </w:r>
      <w:r w:rsidR="00A54D04">
        <w:t xml:space="preserve"> and</w:t>
      </w:r>
      <w:r>
        <w:t xml:space="preserve"> travel from the accident site to the tow destination.</w:t>
      </w:r>
    </w:p>
  </w:footnote>
  <w:footnote w:id="31">
    <w:p w14:paraId="7BC599DE" w14:textId="77777777" w:rsidR="00FB2590" w:rsidRDefault="00FB2590" w:rsidP="00FB2590">
      <w:pPr>
        <w:pStyle w:val="FootnoteText"/>
      </w:pPr>
      <w:r>
        <w:rPr>
          <w:rStyle w:val="FootnoteReference"/>
        </w:rPr>
        <w:footnoteRef/>
      </w:r>
      <w:r>
        <w:t xml:space="preserve"> Accident Towing Services Regulations 2019, regulation 37.</w:t>
      </w:r>
    </w:p>
  </w:footnote>
  <w:footnote w:id="32">
    <w:p w14:paraId="0FD42E7A" w14:textId="509EB47C" w:rsidR="00D107ED" w:rsidRDefault="00456CAC" w:rsidP="00D107ED">
      <w:pPr>
        <w:pStyle w:val="FootnoteText"/>
      </w:pPr>
      <w:r>
        <w:rPr>
          <w:rStyle w:val="FootnoteReference"/>
        </w:rPr>
        <w:footnoteRef/>
      </w:r>
      <w:r>
        <w:t xml:space="preserve"> </w:t>
      </w:r>
      <w:r w:rsidR="00D107ED">
        <w:t xml:space="preserve">The change in fees for breakdown towing is based on the average online quote obtained for our 2021 review ($154) and our current review ($188). </w:t>
      </w:r>
    </w:p>
    <w:p w14:paraId="163D8460" w14:textId="57AB65B3" w:rsidR="00456CAC" w:rsidRDefault="00D107ED">
      <w:pPr>
        <w:pStyle w:val="FootnoteText"/>
      </w:pPr>
      <w:r>
        <w:t xml:space="preserve">The change in fees for abandoned (or derelict) vehicle towing is based on the </w:t>
      </w:r>
      <w:r w:rsidR="00726FF4">
        <w:t>average</w:t>
      </w:r>
      <w:r w:rsidR="00B77B45">
        <w:t xml:space="preserve"> of the</w:t>
      </w:r>
      <w:r w:rsidR="00726FF4">
        <w:t xml:space="preserve"> </w:t>
      </w:r>
      <w:r>
        <w:t>towing fee</w:t>
      </w:r>
      <w:r w:rsidR="00B77B45">
        <w:t>s</w:t>
      </w:r>
      <w:r>
        <w:t xml:space="preserve"> published by four councils</w:t>
      </w:r>
      <w:r w:rsidR="008C1B0E">
        <w:t xml:space="preserve"> (Knox City Council, Manningham City Council, Melbourne City Council and Nillumbik Shire Council)</w:t>
      </w:r>
      <w:r>
        <w:t xml:space="preserve"> in their annual budgets for 2021–22</w:t>
      </w:r>
      <w:r w:rsidR="008C1B0E">
        <w:t xml:space="preserve"> ($2</w:t>
      </w:r>
      <w:r w:rsidR="00074892">
        <w:t>2</w:t>
      </w:r>
      <w:r w:rsidR="008C1B0E">
        <w:t>3)</w:t>
      </w:r>
      <w:r>
        <w:t xml:space="preserve"> and 2024–25</w:t>
      </w:r>
      <w:r w:rsidR="008C1B0E">
        <w:t xml:space="preserve"> ($271).</w:t>
      </w:r>
      <w:r>
        <w:t xml:space="preserve"> Darebin City Council also publishes a towing fee in its annual budget however we have excluded </w:t>
      </w:r>
      <w:r w:rsidR="0065336A">
        <w:t>it</w:t>
      </w:r>
      <w:r>
        <w:t xml:space="preserve"> from our analysis as an outlier</w:t>
      </w:r>
      <w:r w:rsidR="001A324A">
        <w:t xml:space="preserve"> because</w:t>
      </w:r>
      <w:r>
        <w:t xml:space="preserve"> it had a significant one-off 87.5 per cent increase in its towing fee </w:t>
      </w:r>
      <w:r w:rsidR="00B77B45">
        <w:t>for</w:t>
      </w:r>
      <w:r>
        <w:t xml:space="preserve"> 2024–25. </w:t>
      </w:r>
      <w:r w:rsidR="001A324A">
        <w:t xml:space="preserve">If we included Darebin in our </w:t>
      </w:r>
      <w:r w:rsidR="008C1B0E">
        <w:t>analysis</w:t>
      </w:r>
      <w:r w:rsidR="001A324A">
        <w:t xml:space="preserve">, the increase in fees for abandoned (or derelict) vehicle towing would be 34 per cent. </w:t>
      </w:r>
    </w:p>
  </w:footnote>
  <w:footnote w:id="33">
    <w:p w14:paraId="36A5400A" w14:textId="47167EC1" w:rsidR="00B120A7" w:rsidRDefault="00B120A7" w:rsidP="00B120A7">
      <w:pPr>
        <w:pStyle w:val="FootnoteText"/>
      </w:pPr>
      <w:r>
        <w:rPr>
          <w:rStyle w:val="FootnoteReference"/>
        </w:rPr>
        <w:footnoteRef/>
      </w:r>
      <w:r>
        <w:t xml:space="preserve"> ‘Storage fees’ refers to the amounts charged for the service of storing accident damaged motor vehicles</w:t>
      </w:r>
      <w:r w:rsidR="00FE7478">
        <w:t xml:space="preserve"> as per</w:t>
      </w:r>
      <w:r>
        <w:t xml:space="preserve"> </w:t>
      </w:r>
      <w:r w:rsidRPr="005F4E4E">
        <w:rPr>
          <w:i/>
          <w:iCs/>
        </w:rPr>
        <w:t>Accident Towing Services Act 2007</w:t>
      </w:r>
      <w:r>
        <w:t>, section 211(b).</w:t>
      </w:r>
    </w:p>
  </w:footnote>
  <w:footnote w:id="34">
    <w:p w14:paraId="1977B3D6" w14:textId="77777777" w:rsidR="004D19B5" w:rsidRDefault="004D19B5" w:rsidP="004D19B5">
      <w:pPr>
        <w:pStyle w:val="FootnoteText"/>
      </w:pPr>
      <w:r>
        <w:rPr>
          <w:rStyle w:val="FootnoteReference"/>
        </w:rPr>
        <w:footnoteRef/>
      </w:r>
      <w:r>
        <w:t xml:space="preserve"> </w:t>
      </w:r>
      <w:r w:rsidRPr="00FF264E">
        <w:t>Insurance Council of Australia, Filenote of meeting with Essential Services Commission, 25 September 2024</w:t>
      </w:r>
      <w:r>
        <w:t>.</w:t>
      </w:r>
    </w:p>
  </w:footnote>
  <w:footnote w:id="35">
    <w:p w14:paraId="203AE219" w14:textId="5CB8106C" w:rsidR="004D19B5" w:rsidRDefault="004D19B5" w:rsidP="004D19B5">
      <w:pPr>
        <w:pStyle w:val="FootnoteText"/>
      </w:pPr>
      <w:r>
        <w:rPr>
          <w:rStyle w:val="FootnoteReference"/>
        </w:rPr>
        <w:footnoteRef/>
      </w:r>
      <w:r>
        <w:t xml:space="preserve"> Victorian Automotive Chamber of Commerce, </w:t>
      </w:r>
      <w:r w:rsidR="00124B39">
        <w:t>‘</w:t>
      </w:r>
      <w:r>
        <w:t>Response to the ESC on accident towing, storage and salvage fees</w:t>
      </w:r>
      <w:r w:rsidR="00124B39">
        <w:t>’</w:t>
      </w:r>
      <w:r>
        <w:t>, 6</w:t>
      </w:r>
      <w:r w:rsidR="009A2B16">
        <w:t> </w:t>
      </w:r>
      <w:r>
        <w:t>March 2025, p. 21</w:t>
      </w:r>
      <w:r w:rsidR="00597553">
        <w:t>; AllCar Towing</w:t>
      </w:r>
      <w:r w:rsidR="009F20F1">
        <w:t xml:space="preserve"> Group</w:t>
      </w:r>
      <w:r w:rsidR="00597553">
        <w:t>, submission to Essential Services Commission Accident Towing Fees Review 2025: Draft Report, 3 March 2025.</w:t>
      </w:r>
    </w:p>
  </w:footnote>
  <w:footnote w:id="36">
    <w:p w14:paraId="05E1C99F" w14:textId="77777777" w:rsidR="001F1795" w:rsidRDefault="001F1795" w:rsidP="001F1795">
      <w:pPr>
        <w:pStyle w:val="FootnoteText"/>
      </w:pPr>
      <w:r>
        <w:rPr>
          <w:rStyle w:val="FootnoteReference"/>
        </w:rPr>
        <w:footnoteRef/>
      </w:r>
      <w:r>
        <w:t xml:space="preserve"> Victorian Automotive Chamber of Commerce, ‘Response to the ESC on accident towing, storage and salvage fees’, 6 March 2025, p. 21.</w:t>
      </w:r>
    </w:p>
  </w:footnote>
  <w:footnote w:id="37">
    <w:p w14:paraId="28F0FBA2" w14:textId="570CEBBF" w:rsidR="00DD735E" w:rsidRDefault="00DD735E" w:rsidP="00DD735E">
      <w:pPr>
        <w:pStyle w:val="FootnoteText"/>
      </w:pPr>
      <w:r>
        <w:rPr>
          <w:rStyle w:val="FootnoteReference"/>
        </w:rPr>
        <w:footnoteRef/>
      </w:r>
      <w:r>
        <w:t xml:space="preserve"> In Queensland, the first three days of storage of an accident-damaged vehicle is included in the base fee for accident towing services. Storage fees beyond the three days are subject to a requirement that fees are ‘reasonable’. However, the regulated storage fee for storing a private property motor vehicle in a holding yard is $29.00 per day. </w:t>
      </w:r>
    </w:p>
  </w:footnote>
  <w:footnote w:id="38">
    <w:p w14:paraId="5700478A" w14:textId="14423974" w:rsidR="00DB4C97" w:rsidRDefault="00DB4C97" w:rsidP="00DB4C97">
      <w:pPr>
        <w:pStyle w:val="FootnoteText"/>
      </w:pPr>
      <w:r>
        <w:rPr>
          <w:rStyle w:val="FootnoteReference"/>
        </w:rPr>
        <w:footnoteRef/>
      </w:r>
      <w:r>
        <w:t xml:space="preserve"> For example, we analysed the rental value of commercial properties in Melbourne and Sydney</w:t>
      </w:r>
      <w:r w:rsidR="00EC33DF">
        <w:t>,</w:t>
      </w:r>
      <w:r>
        <w:t xml:space="preserve"> in </w:t>
      </w:r>
      <w:r w:rsidR="00EC33DF">
        <w:t xml:space="preserve">areas </w:t>
      </w:r>
      <w:r>
        <w:t>which are known to contain towing depots or storage yards. Rental values in Sydney are substantially higher than in Melbourne for</w:t>
      </w:r>
      <w:r w:rsidR="002F4C30">
        <w:t xml:space="preserve"> </w:t>
      </w:r>
      <w:r w:rsidR="00140E92">
        <w:t>areas 10 km or less from the CBD and areas greater than 10 km from the CBD</w:t>
      </w:r>
      <w:r>
        <w:t>. S</w:t>
      </w:r>
      <w:r w:rsidRPr="003866DE">
        <w:t xml:space="preserve">ee Appendix </w:t>
      </w:r>
      <w:r w:rsidR="000C691C">
        <w:t>C</w:t>
      </w:r>
      <w:r w:rsidRPr="003866DE">
        <w:t xml:space="preserve"> for</w:t>
      </w:r>
      <w:r>
        <w:t xml:space="preserve"> more information.</w:t>
      </w:r>
    </w:p>
  </w:footnote>
  <w:footnote w:id="39">
    <w:p w14:paraId="16649F81" w14:textId="74748B9E" w:rsidR="00020DE5" w:rsidRDefault="00020DE5" w:rsidP="00020DE5">
      <w:pPr>
        <w:pStyle w:val="FootnoteText"/>
      </w:pPr>
      <w:r>
        <w:rPr>
          <w:rStyle w:val="FootnoteReference"/>
        </w:rPr>
        <w:footnoteRef/>
      </w:r>
      <w:r>
        <w:t xml:space="preserve"> Department of Transport, Western Australia, </w:t>
      </w:r>
      <w:hyperlink r:id="rId4" w:history="1">
        <w:r w:rsidRPr="00BC4976">
          <w:rPr>
            <w:rStyle w:val="Hyperlink"/>
          </w:rPr>
          <w:t>https://www.transport.wa.gov.au/licensing/maximum-charges-for-crash-towing.asp</w:t>
        </w:r>
      </w:hyperlink>
      <w:r>
        <w:t>, accessed on 24 March 2025.</w:t>
      </w:r>
      <w:r w:rsidR="00ED6C11">
        <w:br/>
      </w:r>
      <w:r w:rsidR="00ED6C11" w:rsidRPr="00FF5150">
        <w:t>This could include, but is not limited to, allowing the owner access to the vehicle within business hours, or moving the vehicle within the storage yard or to another storage yard owned/operated by a towing service provider</w:t>
      </w:r>
      <w:r w:rsidR="00794DAC">
        <w:t>.</w:t>
      </w:r>
    </w:p>
  </w:footnote>
  <w:footnote w:id="40">
    <w:p w14:paraId="2D47D681" w14:textId="10A3A6A4" w:rsidR="00020DE5" w:rsidRDefault="00020DE5" w:rsidP="00020DE5">
      <w:pPr>
        <w:pStyle w:val="FootnoteText"/>
      </w:pPr>
      <w:r>
        <w:rPr>
          <w:rStyle w:val="FootnoteReference"/>
        </w:rPr>
        <w:footnoteRef/>
      </w:r>
      <w:r>
        <w:t xml:space="preserve"> </w:t>
      </w:r>
      <w:r w:rsidR="0064281F" w:rsidRPr="0093790F">
        <w:rPr>
          <w:i/>
          <w:iCs/>
        </w:rPr>
        <w:t>Victoria Government Gazette</w:t>
      </w:r>
      <w:r w:rsidR="0064281F" w:rsidRPr="00881DE1">
        <w:t>, 31 October 2014, No. S406, pp. 1</w:t>
      </w:r>
      <w:r w:rsidR="00BB39E4">
        <w:t>–</w:t>
      </w:r>
      <w:r w:rsidR="0064281F" w:rsidRPr="00881DE1">
        <w:t>2</w:t>
      </w:r>
      <w:r w:rsidR="0064281F">
        <w:br/>
      </w:r>
      <w:r>
        <w:t>The base fee covers the cost of the first 8 kilometres of travel by the tow truck and all other relevant costs of an accident towing business, including but not limited to the costs</w:t>
      </w:r>
      <w:r w:rsidR="0017121A">
        <w:t xml:space="preserve"> of:</w:t>
      </w:r>
      <w:r w:rsidR="0017121A">
        <w:br/>
      </w:r>
      <w:r>
        <w:t>(i) removing debris (including any spills)</w:t>
      </w:r>
      <w:r w:rsidR="0017121A">
        <w:br/>
      </w:r>
      <w:r>
        <w:t>(ii) cleaning the tow truck, tools and equipment</w:t>
      </w:r>
      <w:r w:rsidR="0017121A">
        <w:br/>
      </w:r>
      <w:r>
        <w:t>(iii) waiting time at the road accident scene</w:t>
      </w:r>
      <w:r w:rsidR="0017121A">
        <w:br/>
      </w:r>
      <w:r>
        <w:t>(iv) taking photographs of the road accident scene</w:t>
      </w:r>
      <w:r w:rsidR="0017121A">
        <w:br/>
      </w:r>
      <w:r>
        <w:t>(v) telephone calls and completing documentation relating to the towing of an accident damaged vehicle</w:t>
      </w:r>
      <w:r w:rsidR="0017121A">
        <w:br/>
      </w:r>
      <w:r>
        <w:t xml:space="preserve">(vi) releasing the stored vehicle, which may include moving the vehicle to a location at the specified depot to enable it to be collected by the vehicle’s owner or another towing </w:t>
      </w:r>
      <w:r w:rsidRPr="00881DE1">
        <w:t>operator on the owner’s behalf and loading it onto another towing operator’s tow truck for the purpose of that collection</w:t>
      </w:r>
      <w:r w:rsidR="0017121A">
        <w:t>.</w:t>
      </w:r>
    </w:p>
  </w:footnote>
  <w:footnote w:id="41">
    <w:p w14:paraId="0CA475F3" w14:textId="3C053CEE" w:rsidR="00EA20A6" w:rsidRDefault="00EA20A6">
      <w:pPr>
        <w:pStyle w:val="FootnoteText"/>
      </w:pPr>
      <w:r>
        <w:rPr>
          <w:rStyle w:val="FootnoteReference"/>
        </w:rPr>
        <w:footnoteRef/>
      </w:r>
      <w:r>
        <w:t xml:space="preserve"> </w:t>
      </w:r>
      <w:r w:rsidRPr="00EA20A6">
        <w:t>Unlike accident towing storage fees, there is generally no distinction between vehicles stored under cover or in a locked yard</w:t>
      </w:r>
      <w:r w:rsidR="00BE29D4">
        <w:t xml:space="preserve"> for trade towing</w:t>
      </w:r>
      <w:r w:rsidRPr="00EA20A6">
        <w:t>. This means only a single trade towing fee for either type of storage can be used as a basis of comparison.</w:t>
      </w:r>
    </w:p>
  </w:footnote>
  <w:footnote w:id="42">
    <w:p w14:paraId="09DDF8CE" w14:textId="4BA2D4F5" w:rsidR="00A41E3A" w:rsidRDefault="00A41E3A" w:rsidP="00A41E3A">
      <w:pPr>
        <w:pStyle w:val="FootnoteText"/>
      </w:pPr>
      <w:r w:rsidRPr="00486077">
        <w:rPr>
          <w:rStyle w:val="FootnoteReference"/>
        </w:rPr>
        <w:footnoteRef/>
      </w:r>
      <w:r w:rsidRPr="00486077">
        <w:t xml:space="preserve"> See Appendix </w:t>
      </w:r>
      <w:r w:rsidR="000C691C">
        <w:t>C</w:t>
      </w:r>
      <w:r w:rsidRPr="00486077">
        <w:t xml:space="preserve"> for more information on how we estimated storage fees based on land rental values.</w:t>
      </w:r>
    </w:p>
  </w:footnote>
  <w:footnote w:id="43">
    <w:p w14:paraId="65310994" w14:textId="5E600332" w:rsidR="00FB6534" w:rsidRDefault="00FB6534">
      <w:pPr>
        <w:pStyle w:val="FootnoteText"/>
      </w:pPr>
      <w:r>
        <w:rPr>
          <w:rStyle w:val="FootnoteReference"/>
        </w:rPr>
        <w:footnoteRef/>
      </w:r>
      <w:r>
        <w:t xml:space="preserve"> Under section 212H of the </w:t>
      </w:r>
      <w:r w:rsidRPr="00152FB9">
        <w:rPr>
          <w:i/>
          <w:iCs/>
        </w:rPr>
        <w:t>Accident Towing Services Act 2007</w:t>
      </w:r>
      <w:r>
        <w:t>, the productivity adjustment factor is 0.5 per cent unless we recommend a different amount. We have not previously recommended a different figure.</w:t>
      </w:r>
    </w:p>
  </w:footnote>
  <w:footnote w:id="44">
    <w:p w14:paraId="7FA9E94F" w14:textId="40D08F39" w:rsidR="00060E54" w:rsidRDefault="00060E54">
      <w:pPr>
        <w:pStyle w:val="FootnoteText"/>
      </w:pPr>
      <w:r>
        <w:rPr>
          <w:rStyle w:val="FootnoteReference"/>
        </w:rPr>
        <w:footnoteRef/>
      </w:r>
      <w:r>
        <w:t xml:space="preserve"> Victorian Automotive Chamber of Commerce, ‘Response to the ESC on accident towing, storage and salvage fees’, 6 March 2025, p. </w:t>
      </w:r>
      <w:r w:rsidR="00703149">
        <w:t>5</w:t>
      </w:r>
      <w:r>
        <w:t>.</w:t>
      </w:r>
    </w:p>
  </w:footnote>
  <w:footnote w:id="45">
    <w:p w14:paraId="6571E7AA" w14:textId="3D7FF5B9" w:rsidR="00865D26" w:rsidRDefault="00865D26" w:rsidP="00865D26">
      <w:pPr>
        <w:pStyle w:val="FootnoteText"/>
      </w:pPr>
      <w:r>
        <w:rPr>
          <w:rStyle w:val="FootnoteReference"/>
        </w:rPr>
        <w:footnoteRef/>
      </w:r>
      <w:r>
        <w:t xml:space="preserve"> </w:t>
      </w:r>
      <w:r w:rsidR="00F841F5">
        <w:t>Ibid</w:t>
      </w:r>
      <w:r>
        <w:t xml:space="preserve">, </w:t>
      </w:r>
      <w:r w:rsidRPr="004016FC">
        <w:t>pp. 2</w:t>
      </w:r>
      <w:r>
        <w:t>3</w:t>
      </w:r>
      <w:r w:rsidR="00AE4DEE">
        <w:t>–</w:t>
      </w:r>
      <w:r>
        <w:t>24.</w:t>
      </w:r>
    </w:p>
  </w:footnote>
  <w:footnote w:id="46">
    <w:p w14:paraId="7EA260C9" w14:textId="740CE7CB" w:rsidR="00537104" w:rsidRDefault="00537104">
      <w:pPr>
        <w:pStyle w:val="FootnoteText"/>
      </w:pPr>
      <w:r>
        <w:rPr>
          <w:rStyle w:val="FootnoteReference"/>
        </w:rPr>
        <w:footnoteRef/>
      </w:r>
      <w:r w:rsidR="00F14784">
        <w:t xml:space="preserve"> </w:t>
      </w:r>
      <w:hyperlink r:id="rId5" w:history="1">
        <w:r w:rsidR="006A3270" w:rsidRPr="00A67A18">
          <w:rPr>
            <w:rStyle w:val="Hyperlink"/>
          </w:rPr>
          <w:t>https://www.abs.gov.au/statistics/industry/industry-overview/estimates-industry-multifactor-productivity/2020-21</w:t>
        </w:r>
      </w:hyperlink>
      <w:r w:rsidR="006A3270">
        <w:t>, accessed 4 April 2025.</w:t>
      </w:r>
    </w:p>
  </w:footnote>
  <w:footnote w:id="47">
    <w:p w14:paraId="0F08C9C1" w14:textId="1CB2CDFE" w:rsidR="00090A86" w:rsidRDefault="00090A86" w:rsidP="00090A86">
      <w:pPr>
        <w:pStyle w:val="FootnoteText"/>
      </w:pPr>
      <w:r>
        <w:rPr>
          <w:rStyle w:val="FootnoteReference"/>
        </w:rPr>
        <w:footnoteRef/>
      </w:r>
      <w:r w:rsidR="00AA6000">
        <w:t xml:space="preserve"> Despite similar movements, these two measures are different as some tow trucks use multiple licences.</w:t>
      </w:r>
      <w:r>
        <w:t xml:space="preserve"> Some licences are not attached to specific tow trucks, allowing tow truck operators to flexibly manage their assets. Ex</w:t>
      </w:r>
      <w:r w:rsidRPr="00B4650D">
        <w:t>amining the number of licen</w:t>
      </w:r>
      <w:r>
        <w:t>s</w:t>
      </w:r>
      <w:r w:rsidRPr="00B4650D">
        <w:t xml:space="preserve">ed tow trucks would </w:t>
      </w:r>
      <w:r>
        <w:t xml:space="preserve">therefore </w:t>
      </w:r>
      <w:r w:rsidRPr="00B4650D">
        <w:t xml:space="preserve">be more useful than the number of tows per licence. However, the Department of Transport </w:t>
      </w:r>
      <w:r>
        <w:t xml:space="preserve">and Planning </w:t>
      </w:r>
      <w:r w:rsidRPr="00B4650D">
        <w:t>has not been able to provide updated data on the number of licen</w:t>
      </w:r>
      <w:r>
        <w:t>s</w:t>
      </w:r>
      <w:r w:rsidRPr="00B4650D">
        <w:t>ed tow trucks for this report.</w:t>
      </w:r>
    </w:p>
  </w:footnote>
  <w:footnote w:id="48">
    <w:p w14:paraId="2F1B4916" w14:textId="77777777" w:rsidR="00D10AFB" w:rsidRDefault="00D10AFB" w:rsidP="00D10AFB">
      <w:pPr>
        <w:pStyle w:val="FootnoteText"/>
      </w:pPr>
      <w:r>
        <w:rPr>
          <w:rStyle w:val="FootnoteReference"/>
        </w:rPr>
        <w:footnoteRef/>
      </w:r>
      <w:r>
        <w:t xml:space="preserve"> The average time to complete an accident tow is calculated as the difference between when a dispatch call is made to the depot and when the tow truck finishes transporting a vehicle to its destination. This includes the time to travel to an accident, the wait and work time at the accident scene and the time to transport a vehicle to its destination.</w:t>
      </w:r>
    </w:p>
  </w:footnote>
  <w:footnote w:id="49">
    <w:p w14:paraId="0E1D0D11" w14:textId="79C5CDC8" w:rsidR="003458BB" w:rsidRDefault="003458BB" w:rsidP="003458BB">
      <w:pPr>
        <w:pStyle w:val="FootnoteText"/>
      </w:pPr>
      <w:r>
        <w:rPr>
          <w:rStyle w:val="FootnoteReference"/>
        </w:rPr>
        <w:footnoteRef/>
      </w:r>
      <w:r>
        <w:t xml:space="preserve"> </w:t>
      </w:r>
      <w:bookmarkStart w:id="189" w:name="_Hlk90897661"/>
      <w:r w:rsidRPr="00213A25">
        <w:rPr>
          <w:i/>
          <w:iCs/>
        </w:rPr>
        <w:t>Accident Towing Services Act</w:t>
      </w:r>
      <w:bookmarkEnd w:id="189"/>
      <w:r w:rsidRPr="00213A25">
        <w:rPr>
          <w:i/>
          <w:iCs/>
        </w:rPr>
        <w:t xml:space="preserve"> 2007</w:t>
      </w:r>
      <w:r w:rsidR="00E3407E">
        <w:rPr>
          <w:i/>
          <w:iCs/>
        </w:rPr>
        <w:t xml:space="preserve">, </w:t>
      </w:r>
      <w:r w:rsidR="00E3407E">
        <w:t>s</w:t>
      </w:r>
      <w:r w:rsidR="00640F77">
        <w:t>ection</w:t>
      </w:r>
      <w:r w:rsidR="00E3407E">
        <w:t xml:space="preserve"> 212H(3)</w:t>
      </w:r>
      <w:r>
        <w:t>.</w:t>
      </w:r>
    </w:p>
  </w:footnote>
  <w:footnote w:id="50">
    <w:p w14:paraId="52183080" w14:textId="2DE0E9AA" w:rsidR="00AD2AB0" w:rsidRDefault="00AD2AB0">
      <w:pPr>
        <w:pStyle w:val="FootnoteText"/>
      </w:pPr>
      <w:r>
        <w:rPr>
          <w:rStyle w:val="FootnoteReference"/>
        </w:rPr>
        <w:footnoteRef/>
      </w:r>
      <w:r>
        <w:t xml:space="preserve"> The Melbourne Transport CPI</w:t>
      </w:r>
      <w:r w:rsidR="005B4D45">
        <w:t xml:space="preserve"> </w:t>
      </w:r>
      <w:r w:rsidR="007E2C7A">
        <w:t xml:space="preserve">(red line) </w:t>
      </w:r>
      <w:r w:rsidR="005B4D45">
        <w:t>in Figure 4</w:t>
      </w:r>
      <w:r>
        <w:t xml:space="preserve"> represents how regulated fees would have changed if there was no zero-price floor and no productivity adjustment factor.</w:t>
      </w:r>
    </w:p>
  </w:footnote>
  <w:footnote w:id="51">
    <w:p w14:paraId="7A2A7D76" w14:textId="5DAEA940" w:rsidR="004A52E2" w:rsidRDefault="004A52E2">
      <w:pPr>
        <w:pStyle w:val="FootnoteText"/>
      </w:pPr>
      <w:r>
        <w:rPr>
          <w:rStyle w:val="FootnoteReference"/>
        </w:rPr>
        <w:footnoteRef/>
      </w:r>
      <w:r>
        <w:t xml:space="preserve"> </w:t>
      </w:r>
      <w:r w:rsidRPr="00994BE2">
        <w:t>Salvage is the moving of an accident-damaged motor vehicle to a place on a road or road-related area or into an</w:t>
      </w:r>
      <w:r>
        <w:t xml:space="preserve"> </w:t>
      </w:r>
      <w:r w:rsidRPr="00994BE2">
        <w:t>upright position (or both) so that it may be towed by a tow truck without assistance. Salvage may involve the use of</w:t>
      </w:r>
      <w:r>
        <w:t xml:space="preserve"> </w:t>
      </w:r>
      <w:r w:rsidRPr="00994BE2">
        <w:t xml:space="preserve">additional tow trucks or equipment.  </w:t>
      </w:r>
    </w:p>
  </w:footnote>
  <w:footnote w:id="52">
    <w:p w14:paraId="2E4C7E4A" w14:textId="39417E61" w:rsidR="00D50DDD" w:rsidRDefault="00D50DDD" w:rsidP="00D50DDD">
      <w:pPr>
        <w:pStyle w:val="FootnoteText"/>
      </w:pPr>
      <w:r>
        <w:rPr>
          <w:rStyle w:val="FootnoteReference"/>
        </w:rPr>
        <w:footnoteRef/>
      </w:r>
      <w:r>
        <w:t xml:space="preserve"> </w:t>
      </w:r>
      <w:r w:rsidRPr="00152FB9">
        <w:rPr>
          <w:i/>
          <w:iCs/>
        </w:rPr>
        <w:t>Accident Towing Services Act 2007</w:t>
      </w:r>
      <w:r w:rsidRPr="00994BE2">
        <w:t>, s</w:t>
      </w:r>
      <w:r w:rsidR="00640F77">
        <w:t>ection</w:t>
      </w:r>
      <w:r w:rsidRPr="00994BE2">
        <w:t xml:space="preserve"> 212I(1)(b).</w:t>
      </w:r>
    </w:p>
  </w:footnote>
  <w:footnote w:id="53">
    <w:p w14:paraId="002F43F0" w14:textId="3C133A8D" w:rsidR="00643E43" w:rsidRDefault="00643E43" w:rsidP="004F44FA">
      <w:pPr>
        <w:pStyle w:val="FootnoteText"/>
      </w:pPr>
      <w:r>
        <w:rPr>
          <w:rStyle w:val="FootnoteReference"/>
        </w:rPr>
        <w:footnoteRef/>
      </w:r>
      <w:r>
        <w:t xml:space="preserve"> </w:t>
      </w:r>
      <w:r w:rsidR="006B6BB1">
        <w:t xml:space="preserve">Victorian </w:t>
      </w:r>
      <w:r w:rsidR="004F44FA">
        <w:t xml:space="preserve">Automotive Chamber of Commerce, </w:t>
      </w:r>
      <w:r w:rsidR="009A2B16">
        <w:t>‘</w:t>
      </w:r>
      <w:r w:rsidR="004F44FA">
        <w:t>Response to the ESC on accident towing, storage and salvage fees</w:t>
      </w:r>
      <w:r w:rsidR="009A2B16">
        <w:t>’</w:t>
      </w:r>
      <w:r w:rsidR="004F44FA">
        <w:t>, 6</w:t>
      </w:r>
      <w:r w:rsidR="009A2B16">
        <w:t> </w:t>
      </w:r>
      <w:r w:rsidR="004F44FA">
        <w:t xml:space="preserve">March 2025, </w:t>
      </w:r>
      <w:r w:rsidR="004F44FA" w:rsidRPr="004F44FA">
        <w:t>p. 6.</w:t>
      </w:r>
    </w:p>
  </w:footnote>
  <w:footnote w:id="54">
    <w:p w14:paraId="241A4E51" w14:textId="0AA0320E" w:rsidR="00EF66D1" w:rsidRDefault="00EF66D1">
      <w:pPr>
        <w:pStyle w:val="FootnoteText"/>
      </w:pPr>
      <w:r>
        <w:rPr>
          <w:rStyle w:val="FootnoteReference"/>
        </w:rPr>
        <w:footnoteRef/>
      </w:r>
      <w:r>
        <w:t xml:space="preserve"> </w:t>
      </w:r>
      <w:r w:rsidR="00BA7430">
        <w:t>Victorian Automotive Chamber of Commerce, Filenote of meeting with the Essential Services Commission, 3 October 2024.</w:t>
      </w:r>
    </w:p>
  </w:footnote>
  <w:footnote w:id="55">
    <w:p w14:paraId="27A3C4F5" w14:textId="031294B4" w:rsidR="006B2187" w:rsidRDefault="006B2187">
      <w:pPr>
        <w:pStyle w:val="FootnoteText"/>
      </w:pPr>
      <w:r>
        <w:rPr>
          <w:rStyle w:val="FootnoteReference"/>
        </w:rPr>
        <w:footnoteRef/>
      </w:r>
      <w:r>
        <w:t xml:space="preserve"> Insurance Council of Australia, submission to the Essential Services Commission Accident Towing Fees Review 2025, 21 November 2024, p. 1.</w:t>
      </w:r>
    </w:p>
  </w:footnote>
  <w:footnote w:id="56">
    <w:p w14:paraId="732F2E75" w14:textId="198583A0" w:rsidR="004F44FA" w:rsidRDefault="004F44FA" w:rsidP="004F44FA">
      <w:pPr>
        <w:pStyle w:val="FootnoteText"/>
      </w:pPr>
      <w:r>
        <w:rPr>
          <w:rStyle w:val="FootnoteReference"/>
        </w:rPr>
        <w:footnoteRef/>
      </w:r>
      <w:r>
        <w:t xml:space="preserve"> Victorian Automotive Chamber of Commerce, </w:t>
      </w:r>
      <w:r w:rsidR="004A52C8">
        <w:t>‘</w:t>
      </w:r>
      <w:r>
        <w:t>Response to the ESC on accident towing, storage and salvage fees</w:t>
      </w:r>
      <w:r w:rsidR="004A52C8">
        <w:t>’</w:t>
      </w:r>
      <w:r>
        <w:t>, 6</w:t>
      </w:r>
      <w:r w:rsidR="00BB7307">
        <w:t> </w:t>
      </w:r>
      <w:r>
        <w:t xml:space="preserve">March 2025, </w:t>
      </w:r>
      <w:r w:rsidRPr="00F513EE">
        <w:t xml:space="preserve">p. </w:t>
      </w:r>
      <w:r w:rsidR="00F513EE" w:rsidRPr="00F513EE">
        <w:t>6</w:t>
      </w:r>
      <w:r w:rsidRPr="00F513EE">
        <w:t>.</w:t>
      </w:r>
    </w:p>
  </w:footnote>
  <w:footnote w:id="57">
    <w:p w14:paraId="428D7EFF" w14:textId="77777777" w:rsidR="00FA6187" w:rsidRDefault="00FA6187" w:rsidP="00FA6187">
      <w:pPr>
        <w:pStyle w:val="FootnoteText"/>
      </w:pPr>
      <w:r>
        <w:rPr>
          <w:rStyle w:val="FootnoteReference"/>
        </w:rPr>
        <w:footnoteRef/>
      </w:r>
      <w:r>
        <w:t xml:space="preserve"> </w:t>
      </w:r>
      <w:r w:rsidRPr="00C91717">
        <w:t>Accident Towing Services Regulations 20</w:t>
      </w:r>
      <w:r>
        <w:t>19</w:t>
      </w:r>
      <w:r w:rsidRPr="00C91717">
        <w:t xml:space="preserve">, regulation </w:t>
      </w:r>
      <w:r>
        <w:t>43</w:t>
      </w:r>
      <w:r w:rsidRPr="00C91717">
        <w:t>(</w:t>
      </w:r>
      <w:r>
        <w:t>9</w:t>
      </w:r>
      <w:r w:rsidRPr="00C91717">
        <w:t xml:space="preserve">).  </w:t>
      </w:r>
    </w:p>
  </w:footnote>
  <w:footnote w:id="58">
    <w:p w14:paraId="54EDBA4D" w14:textId="77777777" w:rsidR="00E25281" w:rsidRDefault="00E25281" w:rsidP="00E25281">
      <w:pPr>
        <w:pStyle w:val="FootnoteText"/>
      </w:pPr>
      <w:r>
        <w:rPr>
          <w:rStyle w:val="FootnoteReference"/>
        </w:rPr>
        <w:footnoteRef/>
      </w:r>
      <w:r>
        <w:t xml:space="preserve"> Definition as per section 3 of the </w:t>
      </w:r>
      <w:r w:rsidRPr="00E64E75">
        <w:rPr>
          <w:i/>
        </w:rPr>
        <w:t>Accident Towing Services Act 2007</w:t>
      </w:r>
      <w:r>
        <w:t xml:space="preserve"> (see Glossary).</w:t>
      </w:r>
    </w:p>
  </w:footnote>
  <w:footnote w:id="59">
    <w:p w14:paraId="3F1101CE" w14:textId="77777777" w:rsidR="00E25281" w:rsidRDefault="00E25281" w:rsidP="00E25281">
      <w:pPr>
        <w:pStyle w:val="FootnoteText"/>
      </w:pPr>
      <w:r>
        <w:rPr>
          <w:rStyle w:val="FootnoteReference"/>
        </w:rPr>
        <w:footnoteRef/>
      </w:r>
      <w:r>
        <w:t xml:space="preserve"> Victoria Legislative Assembly 2007, Parliamentary debates, 19 April, p. 1153 (Tim Pallas, Minister for Roads and Ports).</w:t>
      </w:r>
    </w:p>
  </w:footnote>
  <w:footnote w:id="60">
    <w:p w14:paraId="10E965A8" w14:textId="77777777" w:rsidR="008C57A1" w:rsidRDefault="008C57A1" w:rsidP="008C57A1">
      <w:pPr>
        <w:pStyle w:val="FootnoteText"/>
      </w:pPr>
      <w:r>
        <w:rPr>
          <w:rStyle w:val="FootnoteReference"/>
        </w:rPr>
        <w:footnoteRef/>
      </w:r>
      <w:r>
        <w:t xml:space="preserve"> Licences are transferable – that is, they can be purchased or leased from an existing licence holder, subject to approval by the Department of Transport and Planning.</w:t>
      </w:r>
    </w:p>
  </w:footnote>
  <w:footnote w:id="61">
    <w:p w14:paraId="4544C3FD" w14:textId="77777777" w:rsidR="00E25281" w:rsidRPr="008A30EB" w:rsidRDefault="00E25281" w:rsidP="00E25281">
      <w:pPr>
        <w:pStyle w:val="FootnoteText"/>
        <w:rPr>
          <w:lang w:val="en-US"/>
        </w:rPr>
      </w:pPr>
      <w:r>
        <w:rPr>
          <w:rStyle w:val="FootnoteReference"/>
        </w:rPr>
        <w:footnoteRef/>
      </w:r>
      <w:r>
        <w:t xml:space="preserve"> </w:t>
      </w:r>
      <w:r>
        <w:rPr>
          <w:iCs/>
          <w:szCs w:val="18"/>
          <w:shd w:val="clear" w:color="auto" w:fill="FFFFFF"/>
        </w:rPr>
        <w:t xml:space="preserve">As per section 46 of the </w:t>
      </w:r>
      <w:r w:rsidRPr="00152FB9">
        <w:rPr>
          <w:i/>
          <w:iCs/>
          <w:lang w:val="en-US"/>
        </w:rPr>
        <w:t>Accident Towing Services Act 2007</w:t>
      </w:r>
      <w:r>
        <w:rPr>
          <w:lang w:val="en-US"/>
        </w:rPr>
        <w:t xml:space="preserve">, the </w:t>
      </w:r>
      <w:r>
        <w:rPr>
          <w:iCs/>
          <w:szCs w:val="18"/>
          <w:shd w:val="clear" w:color="auto" w:fill="FFFFFF"/>
        </w:rPr>
        <w:t>Secretary, Department of Transport and Planning may declare an area to be a controlled area. The Melbourne</w:t>
      </w:r>
      <w:r>
        <w:rPr>
          <w:lang w:val="en-US"/>
        </w:rPr>
        <w:t xml:space="preserve"> controlled area was declared in </w:t>
      </w:r>
      <w:r>
        <w:rPr>
          <w:szCs w:val="18"/>
        </w:rPr>
        <w:t xml:space="preserve">Gary Liddle 2010, </w:t>
      </w:r>
      <w:r>
        <w:rPr>
          <w:i/>
          <w:iCs/>
          <w:szCs w:val="18"/>
        </w:rPr>
        <w:t>Declaration of controlled area</w:t>
      </w:r>
      <w:r>
        <w:rPr>
          <w:szCs w:val="18"/>
        </w:rPr>
        <w:t>, Victoria Government Gazette, No. S 461 Tuesday 9 November 2010.</w:t>
      </w:r>
    </w:p>
  </w:footnote>
  <w:footnote w:id="62">
    <w:p w14:paraId="59FB9C71" w14:textId="77777777" w:rsidR="008F0B66" w:rsidRDefault="008F0B66" w:rsidP="008F0B66">
      <w:pPr>
        <w:pStyle w:val="FootnoteText"/>
      </w:pPr>
      <w:r>
        <w:rPr>
          <w:rStyle w:val="FootnoteReference"/>
        </w:rPr>
        <w:footnoteRef/>
      </w:r>
      <w:r>
        <w:t xml:space="preserve"> </w:t>
      </w:r>
      <w:r w:rsidRPr="00152FB9">
        <w:rPr>
          <w:i/>
          <w:iCs/>
        </w:rPr>
        <w:t>Accident Towing Services Act 2007</w:t>
      </w:r>
      <w:r>
        <w:t>, section 211.</w:t>
      </w:r>
    </w:p>
  </w:footnote>
  <w:footnote w:id="63">
    <w:p w14:paraId="24AD7B1C" w14:textId="77777777" w:rsidR="008F0B66" w:rsidRPr="004A2927" w:rsidRDefault="008F0B66" w:rsidP="008F0B66">
      <w:pPr>
        <w:pStyle w:val="FootnoteText"/>
      </w:pPr>
      <w:r>
        <w:rPr>
          <w:rStyle w:val="FootnoteReference"/>
        </w:rPr>
        <w:footnoteRef/>
      </w:r>
      <w:r>
        <w:t xml:space="preserve"> </w:t>
      </w:r>
      <w:r w:rsidRPr="00152FB9">
        <w:rPr>
          <w:i/>
          <w:iCs/>
        </w:rPr>
        <w:t>Accident Towing Services Act 2007</w:t>
      </w:r>
      <w:r>
        <w:t>, section 212(1).</w:t>
      </w:r>
    </w:p>
  </w:footnote>
  <w:footnote w:id="64">
    <w:p w14:paraId="2E58B5C4" w14:textId="77777777" w:rsidR="008F0B66" w:rsidRPr="00B70D5C" w:rsidRDefault="008F0B66" w:rsidP="008F0B66">
      <w:pPr>
        <w:pStyle w:val="FootnoteText"/>
        <w:rPr>
          <w:lang w:val="en-US"/>
        </w:rPr>
      </w:pPr>
      <w:r>
        <w:rPr>
          <w:rStyle w:val="FootnoteReference"/>
        </w:rPr>
        <w:footnoteRef/>
      </w:r>
      <w:r>
        <w:t xml:space="preserve"> </w:t>
      </w:r>
      <w:r>
        <w:rPr>
          <w:szCs w:val="18"/>
        </w:rPr>
        <w:t xml:space="preserve">The Hon Jaala Pulford MP 2019, </w:t>
      </w:r>
      <w:r>
        <w:rPr>
          <w:i/>
          <w:iCs/>
          <w:szCs w:val="18"/>
        </w:rPr>
        <w:t>Determination of charges for the towing and storage of accident-damaged motor vehicles under section 211</w:t>
      </w:r>
      <w:r>
        <w:rPr>
          <w:szCs w:val="18"/>
        </w:rPr>
        <w:t xml:space="preserve">, Victoria Government Gazette, No. S 280 Monday 1 July 2019. </w:t>
      </w:r>
      <w:r>
        <w:t xml:space="preserve"> </w:t>
      </w:r>
    </w:p>
  </w:footnote>
  <w:footnote w:id="65">
    <w:p w14:paraId="1C41FCD1" w14:textId="7D5911ED" w:rsidR="008F0B66" w:rsidRPr="00D53956" w:rsidRDefault="008F0B66" w:rsidP="008F0B66">
      <w:pPr>
        <w:pStyle w:val="FootnoteText"/>
      </w:pPr>
      <w:r>
        <w:rPr>
          <w:rStyle w:val="FootnoteReference"/>
        </w:rPr>
        <w:footnoteRef/>
      </w:r>
      <w:r>
        <w:t xml:space="preserve"> </w:t>
      </w:r>
      <w:r w:rsidRPr="00152FB9">
        <w:rPr>
          <w:i/>
          <w:iCs/>
        </w:rPr>
        <w:t>Accident Towing Services Act 2007</w:t>
      </w:r>
      <w:r>
        <w:t>, section 212I(1)(b). In addition, s</w:t>
      </w:r>
      <w:r w:rsidR="00640F77">
        <w:t>ection</w:t>
      </w:r>
      <w:r>
        <w:t xml:space="preserve"> 212I (2) specifies factors that the court must consider when determining what is a ‘reasonable’ charge </w:t>
      </w:r>
      <w:r w:rsidRPr="00D53956">
        <w:t>for the provision of accident towing services.</w:t>
      </w:r>
    </w:p>
  </w:footnote>
  <w:footnote w:id="66">
    <w:p w14:paraId="2A8CA4E2" w14:textId="51AD9C2C" w:rsidR="008F0B66" w:rsidRPr="00D53956" w:rsidRDefault="008F0B66" w:rsidP="008F0B66">
      <w:pPr>
        <w:pStyle w:val="FootnoteText"/>
      </w:pPr>
      <w:r w:rsidRPr="00D53956">
        <w:rPr>
          <w:rStyle w:val="FootnoteReference"/>
        </w:rPr>
        <w:footnoteRef/>
      </w:r>
      <w:r w:rsidRPr="00D53956">
        <w:t xml:space="preserve"> </w:t>
      </w:r>
      <w:r w:rsidR="004A16A3">
        <w:t xml:space="preserve">See </w:t>
      </w:r>
      <w:r w:rsidR="004A16A3" w:rsidRPr="00D53956">
        <w:t>212A(1)</w:t>
      </w:r>
      <w:r w:rsidR="004A16A3">
        <w:t xml:space="preserve"> of the </w:t>
      </w:r>
      <w:r w:rsidRPr="00D53956">
        <w:rPr>
          <w:i/>
        </w:rPr>
        <w:t>Accident Towing Services Act 2007</w:t>
      </w:r>
      <w:r w:rsidR="004A16A3">
        <w:t xml:space="preserve"> for </w:t>
      </w:r>
      <w:r w:rsidR="004A16A3">
        <w:rPr>
          <w:iCs/>
          <w:lang w:val="en-US"/>
        </w:rPr>
        <w:t>a full description of the commission’s role</w:t>
      </w:r>
      <w:r w:rsidRPr="00D53956">
        <w:t>.</w:t>
      </w:r>
    </w:p>
  </w:footnote>
  <w:footnote w:id="67">
    <w:p w14:paraId="6372BAC5" w14:textId="77777777" w:rsidR="00C43DDC" w:rsidRDefault="00C43DDC" w:rsidP="00C43DDC">
      <w:pPr>
        <w:pStyle w:val="FootnoteText"/>
      </w:pPr>
      <w:r w:rsidRPr="00D53956">
        <w:rPr>
          <w:rStyle w:val="FootnoteReference"/>
        </w:rPr>
        <w:footnoteRef/>
      </w:r>
      <w:r w:rsidRPr="00D53956">
        <w:t xml:space="preserve"> The minister has not specified any additional matters for us to consider</w:t>
      </w:r>
      <w:r>
        <w:t xml:space="preserve"> in our Accident Towing Fees Review 2025.</w:t>
      </w:r>
    </w:p>
  </w:footnote>
  <w:footnote w:id="68">
    <w:p w14:paraId="382E6FA8" w14:textId="4509922C" w:rsidR="00D3667D" w:rsidRDefault="00D3667D">
      <w:pPr>
        <w:pStyle w:val="FootnoteText"/>
      </w:pPr>
      <w:r>
        <w:rPr>
          <w:rStyle w:val="FootnoteReference"/>
        </w:rPr>
        <w:footnoteRef/>
      </w:r>
      <w:r>
        <w:t xml:space="preserve"> ‘Accident towing fees’ refers to the amounts charged for accident towing services</w:t>
      </w:r>
      <w:r w:rsidR="00727C4A">
        <w:t xml:space="preserve"> per the </w:t>
      </w:r>
      <w:r w:rsidRPr="005F4E4E">
        <w:rPr>
          <w:i/>
          <w:iCs/>
        </w:rPr>
        <w:t>Accident Towing Services Act 2007</w:t>
      </w:r>
      <w:r>
        <w:t>, section 211(a).</w:t>
      </w:r>
    </w:p>
  </w:footnote>
  <w:footnote w:id="69">
    <w:p w14:paraId="6F9F36CB" w14:textId="77777777" w:rsidR="00210E57" w:rsidRDefault="00210E57" w:rsidP="00210E57">
      <w:pPr>
        <w:pStyle w:val="FootnoteText"/>
      </w:pPr>
      <w:r>
        <w:rPr>
          <w:rStyle w:val="FootnoteReference"/>
        </w:rPr>
        <w:footnoteRef/>
      </w:r>
      <w:r>
        <w:t xml:space="preserve"> The business hours for South Australia are longer than for all other jurisdictions. We have assumed 49 per cent of jobs occur in business hours and 51 per cent of jobs occur after hours in South Australia, compared to 46 and 54 per cent in all other jurisdictions.</w:t>
      </w:r>
    </w:p>
  </w:footnote>
  <w:footnote w:id="70">
    <w:p w14:paraId="4A06011B" w14:textId="4E0B413B" w:rsidR="00210E57" w:rsidRDefault="00210E57" w:rsidP="00210E57">
      <w:pPr>
        <w:pStyle w:val="FootnoteText"/>
      </w:pPr>
      <w:r>
        <w:rPr>
          <w:rStyle w:val="FootnoteReference"/>
        </w:rPr>
        <w:footnoteRef/>
      </w:r>
      <w:r>
        <w:t xml:space="preserve"> The </w:t>
      </w:r>
      <w:r w:rsidR="00511F02">
        <w:t>‘</w:t>
      </w:r>
      <w:r>
        <w:t>waiting and working time</w:t>
      </w:r>
      <w:r w:rsidR="00A573B6">
        <w:t>’</w:t>
      </w:r>
      <w:r>
        <w:t xml:space="preserve"> fee in </w:t>
      </w:r>
      <w:r w:rsidR="007D030A">
        <w:t>Adelaide</w:t>
      </w:r>
      <w:r w:rsidR="00511F02">
        <w:t xml:space="preserve"> is</w:t>
      </w:r>
      <w:r>
        <w:t xml:space="preserve"> charged on a per hour or part thereof basis, therefore we have added the charge for one hour of waiting and working time.</w:t>
      </w:r>
    </w:p>
  </w:footnote>
  <w:footnote w:id="71">
    <w:p w14:paraId="63655048" w14:textId="77777777" w:rsidR="00210E57" w:rsidRDefault="00210E57" w:rsidP="00210E57">
      <w:pPr>
        <w:pStyle w:val="FootnoteText"/>
      </w:pPr>
      <w:r>
        <w:rPr>
          <w:rStyle w:val="FootnoteReference"/>
        </w:rPr>
        <w:footnoteRef/>
      </w:r>
      <w:r>
        <w:t xml:space="preserve"> For the councils adopting the Department of Transport and Planning fee, the release fee includes five days of storage. For the four councils adopting a different release fee, the release fees include two days of storage. A separate storage fee is applied per day after the included days.</w:t>
      </w:r>
    </w:p>
  </w:footnote>
  <w:footnote w:id="72">
    <w:p w14:paraId="40C5D471" w14:textId="50DA2206" w:rsidR="00210E57" w:rsidRDefault="00210E57" w:rsidP="00210E57">
      <w:pPr>
        <w:pStyle w:val="FootnoteText"/>
      </w:pPr>
      <w:r>
        <w:rPr>
          <w:rStyle w:val="FootnoteReference"/>
        </w:rPr>
        <w:footnoteRef/>
      </w:r>
      <w:r>
        <w:t xml:space="preserve"> While the release fee for councils adopting the Department</w:t>
      </w:r>
      <w:r w:rsidR="00FB2282">
        <w:t xml:space="preserve"> of Transport</w:t>
      </w:r>
      <w:r>
        <w:t xml:space="preserve"> and Planning fee includes five days of storage, for the purposes of our comparison, we have assumed that the average</w:t>
      </w:r>
      <w:r w:rsidR="00BE6D2A">
        <w:t xml:space="preserve"> number of</w:t>
      </w:r>
      <w:r>
        <w:t xml:space="preserve"> days in storage is two, therefore we have deducted only two days of storage from the release fee to estimate the towing fee.</w:t>
      </w:r>
    </w:p>
  </w:footnote>
  <w:footnote w:id="73">
    <w:p w14:paraId="39E95B5E" w14:textId="53149087" w:rsidR="00D3667D" w:rsidRDefault="00D3667D">
      <w:pPr>
        <w:pStyle w:val="FootnoteText"/>
      </w:pPr>
      <w:r>
        <w:rPr>
          <w:rStyle w:val="FootnoteReference"/>
        </w:rPr>
        <w:footnoteRef/>
      </w:r>
      <w:r>
        <w:t xml:space="preserve"> ‘Storage fees’ refers to the amounts charged for the service of storing accident damaged motor vehicles</w:t>
      </w:r>
      <w:r w:rsidR="005A34B3">
        <w:t xml:space="preserve"> per the</w:t>
      </w:r>
      <w:r>
        <w:t xml:space="preserve"> </w:t>
      </w:r>
      <w:r w:rsidRPr="005F4E4E">
        <w:rPr>
          <w:i/>
          <w:iCs/>
        </w:rPr>
        <w:t>Accident Towing Services Act 2007</w:t>
      </w:r>
      <w:r>
        <w:t>, section 211(b).</w:t>
      </w:r>
    </w:p>
  </w:footnote>
  <w:footnote w:id="74">
    <w:p w14:paraId="60C83986" w14:textId="418C004E" w:rsidR="00F708CF" w:rsidRDefault="00F708CF" w:rsidP="00F708CF">
      <w:pPr>
        <w:pStyle w:val="FootnoteText"/>
      </w:pPr>
      <w:r>
        <w:rPr>
          <w:rStyle w:val="FootnoteReference"/>
        </w:rPr>
        <w:footnoteRef/>
      </w:r>
      <w:r>
        <w:t xml:space="preserve"> I</w:t>
      </w:r>
      <w:r w:rsidRPr="00873F16">
        <w:t xml:space="preserve">PART 2014, </w:t>
      </w:r>
      <w:r w:rsidRPr="00120DB0">
        <w:rPr>
          <w:i/>
          <w:iCs/>
        </w:rPr>
        <w:t>Review of tow truck fees and licensing in NSW: Transport – Final Report</w:t>
      </w:r>
      <w:r w:rsidRPr="00873F16">
        <w:t>, December, p.</w:t>
      </w:r>
      <w:r w:rsidR="00DD3187">
        <w:t xml:space="preserve"> </w:t>
      </w:r>
      <w:r>
        <w:t>96</w:t>
      </w:r>
      <w:r w:rsidR="00DD3187">
        <w:t>.</w:t>
      </w:r>
    </w:p>
  </w:footnote>
  <w:footnote w:id="75">
    <w:p w14:paraId="7C53B520" w14:textId="77777777" w:rsidR="00F708CF" w:rsidRDefault="00F708CF" w:rsidP="00F708CF">
      <w:pPr>
        <w:pStyle w:val="FootnoteText"/>
      </w:pPr>
      <w:r>
        <w:rPr>
          <w:rStyle w:val="FootnoteReference"/>
        </w:rPr>
        <w:footnoteRef/>
      </w:r>
      <w:r>
        <w:t xml:space="preserve"> </w:t>
      </w:r>
      <w:r w:rsidRPr="008C4728">
        <w:t>We used the same proportion of storage fee to land value applied by the Independent Pricing and Regulatory Tribunal (IPART) of New South Wales in its 2014 review of tow truck fees and licensing. One limitation of this approach is that IPART estimated a recommended maximum storage fee based on what it considered the more efficient storage operators who had storage utilisation rates of 40 to 45 per cent. We have not made any assessment as to whether these are reasonable and appropriate storage utilisation rates for the Melbourne controlled area.</w:t>
      </w:r>
    </w:p>
  </w:footnote>
  <w:footnote w:id="76">
    <w:p w14:paraId="1F813B16" w14:textId="77777777" w:rsidR="00BF772A" w:rsidRPr="00357D19" w:rsidRDefault="00BF772A" w:rsidP="00BF772A">
      <w:pPr>
        <w:pStyle w:val="FootnoteText"/>
      </w:pPr>
      <w:r>
        <w:rPr>
          <w:rStyle w:val="FootnoteReference"/>
        </w:rPr>
        <w:footnoteRef/>
      </w:r>
      <w:r>
        <w:t xml:space="preserve"> </w:t>
      </w:r>
      <w:r w:rsidRPr="006C4D0F">
        <w:t xml:space="preserve">The Melbourne </w:t>
      </w:r>
      <w:r>
        <w:t>Transport consumer price</w:t>
      </w:r>
      <w:r w:rsidRPr="006C4D0F">
        <w:t xml:space="preserve"> index is available at Australian Bureau of Statistics, 6401.0 – Consumer Price Index, Australia, Table 9</w:t>
      </w:r>
      <w:r>
        <w:t>.</w:t>
      </w:r>
    </w:p>
  </w:footnote>
  <w:footnote w:id="77">
    <w:p w14:paraId="3BC46BEC" w14:textId="195F18CB" w:rsidR="00BF772A" w:rsidRDefault="00BF772A" w:rsidP="00BF772A">
      <w:pPr>
        <w:pStyle w:val="FootnoteText"/>
      </w:pPr>
      <w:r>
        <w:rPr>
          <w:rStyle w:val="FootnoteReference"/>
        </w:rPr>
        <w:footnoteRef/>
      </w:r>
      <w:r>
        <w:t xml:space="preserve"> Under section 212H of the </w:t>
      </w:r>
      <w:r w:rsidRPr="00152FB9">
        <w:rPr>
          <w:i/>
          <w:iCs/>
        </w:rPr>
        <w:t>Accident Towing Services Act 2007</w:t>
      </w:r>
      <w:r>
        <w:t xml:space="preserve">, the productivity adjustment factor is 0.5 per cent unless we recommend a different amount. We have not previously recommended a different </w:t>
      </w:r>
      <w:r w:rsidR="00C74E74">
        <w:t>figure</w:t>
      </w:r>
      <w:r>
        <w:t>.</w:t>
      </w:r>
    </w:p>
  </w:footnote>
  <w:footnote w:id="78">
    <w:p w14:paraId="36BBB3CB" w14:textId="77777777" w:rsidR="00326249" w:rsidRDefault="00326249" w:rsidP="00326249">
      <w:pPr>
        <w:pStyle w:val="FootnoteText"/>
      </w:pPr>
      <w:r>
        <w:rPr>
          <w:rStyle w:val="FootnoteReference"/>
        </w:rPr>
        <w:footnoteRef/>
      </w:r>
      <w:r>
        <w:t xml:space="preserve"> Some licences are not attached to specific tow trucks, allowing tow truck operators to flexibly manage their assets. Ex</w:t>
      </w:r>
      <w:r w:rsidRPr="00B4650D">
        <w:t>amining the number of licen</w:t>
      </w:r>
      <w:r>
        <w:t>s</w:t>
      </w:r>
      <w:r w:rsidRPr="00B4650D">
        <w:t xml:space="preserve">ed tow trucks would </w:t>
      </w:r>
      <w:r>
        <w:t xml:space="preserve">therefore </w:t>
      </w:r>
      <w:r w:rsidRPr="00B4650D">
        <w:t xml:space="preserve">be more useful than the number of tows per licence. However, the Department of Transport </w:t>
      </w:r>
      <w:r>
        <w:t xml:space="preserve">and Planning </w:t>
      </w:r>
      <w:r w:rsidRPr="00B4650D">
        <w:t>has not been able to provide updated data on the number of licen</w:t>
      </w:r>
      <w:r>
        <w:t>s</w:t>
      </w:r>
      <w:r w:rsidRPr="00B4650D">
        <w:t>ed tow trucks for this report.</w:t>
      </w:r>
    </w:p>
  </w:footnote>
  <w:footnote w:id="79">
    <w:p w14:paraId="28BB6E56" w14:textId="033A7D39" w:rsidR="00DF35CD" w:rsidRDefault="00DF35CD" w:rsidP="00DF35CD">
      <w:pPr>
        <w:pStyle w:val="FootnoteText"/>
      </w:pPr>
      <w:r>
        <w:rPr>
          <w:rStyle w:val="FootnoteReference"/>
        </w:rPr>
        <w:footnoteRef/>
      </w:r>
      <w:r>
        <w:t xml:space="preserve"> </w:t>
      </w:r>
      <w:r w:rsidR="00D05D81">
        <w:t xml:space="preserve">Victorian Automotive Chamber of Commerce, </w:t>
      </w:r>
      <w:r w:rsidR="00444268">
        <w:t>‘</w:t>
      </w:r>
      <w:r w:rsidR="00D05D81">
        <w:t>Response to the ESC on accident towing, storage and salvage fees</w:t>
      </w:r>
      <w:r w:rsidR="00444268">
        <w:t>’</w:t>
      </w:r>
      <w:r w:rsidR="00D05D81">
        <w:t>, 6</w:t>
      </w:r>
      <w:r w:rsidR="003866DE">
        <w:t> </w:t>
      </w:r>
      <w:r w:rsidR="00D05D81">
        <w:t>March 2025, p. 10</w:t>
      </w:r>
      <w:r w:rsidR="001045A3">
        <w:t>; AllCar Towing Group, submission to Essential Services Commission Accident Towing Fees Review 2025: Draft Report, 3 March 2025.</w:t>
      </w:r>
    </w:p>
  </w:footnote>
  <w:footnote w:id="80">
    <w:p w14:paraId="32A060C2" w14:textId="42B84D07" w:rsidR="00DF35CD" w:rsidRDefault="00DF35CD" w:rsidP="00DF35CD">
      <w:pPr>
        <w:pStyle w:val="FootnoteText"/>
      </w:pPr>
      <w:r>
        <w:rPr>
          <w:rStyle w:val="FootnoteReference"/>
        </w:rPr>
        <w:footnoteRef/>
      </w:r>
      <w:r>
        <w:t xml:space="preserve"> </w:t>
      </w:r>
      <w:r w:rsidR="00D05D81">
        <w:t xml:space="preserve">Victorian Automotive Chamber of Commerce, </w:t>
      </w:r>
      <w:r w:rsidR="0020100F">
        <w:t>‘</w:t>
      </w:r>
      <w:r w:rsidR="00D05D81">
        <w:t>Response to the ESC on accident towing, storage and salvage fees</w:t>
      </w:r>
      <w:r w:rsidR="0020100F">
        <w:t>’</w:t>
      </w:r>
      <w:r w:rsidR="00D05D81">
        <w:t>, 6</w:t>
      </w:r>
      <w:r w:rsidR="00043098">
        <w:t> </w:t>
      </w:r>
      <w:r w:rsidR="00D05D81">
        <w:t>March 2025, pp</w:t>
      </w:r>
      <w:r w:rsidR="00BF504E">
        <w:t>. 10</w:t>
      </w:r>
      <w:r w:rsidR="00AE4DEE">
        <w:t>–</w:t>
      </w:r>
      <w:r w:rsidR="00BF504E">
        <w:t>11.</w:t>
      </w:r>
    </w:p>
  </w:footnote>
  <w:footnote w:id="81">
    <w:p w14:paraId="6650C41E" w14:textId="5F51C8B8" w:rsidR="00CB5422" w:rsidRDefault="00CB5422" w:rsidP="00CB5422">
      <w:pPr>
        <w:pStyle w:val="FootnoteText"/>
      </w:pPr>
      <w:r>
        <w:rPr>
          <w:rStyle w:val="FootnoteReference"/>
        </w:rPr>
        <w:footnoteRef/>
      </w:r>
      <w:r>
        <w:t xml:space="preserve"> </w:t>
      </w:r>
      <w:r w:rsidR="00F561B8">
        <w:t>AllCar Towing Group, submission to Essential Services Commission Accident Towing Fees Review: Draft Report, 3 March 2025.</w:t>
      </w:r>
    </w:p>
  </w:footnote>
  <w:footnote w:id="82">
    <w:p w14:paraId="6B011927" w14:textId="77777777" w:rsidR="00016C1C" w:rsidRPr="00CA5610" w:rsidRDefault="00016C1C" w:rsidP="00016C1C">
      <w:pPr>
        <w:pStyle w:val="FootnoteText"/>
        <w:rPr>
          <w:lang w:val="en-US"/>
        </w:rPr>
      </w:pPr>
      <w:r>
        <w:rPr>
          <w:rStyle w:val="FootnoteReference"/>
        </w:rPr>
        <w:footnoteRef/>
      </w:r>
      <w:r>
        <w:t xml:space="preserve"> </w:t>
      </w:r>
      <w:r>
        <w:rPr>
          <w:lang w:val="en-US"/>
        </w:rPr>
        <w:t>As per clause 37(8) of the Accident Towing Services Regulations 2019.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F529F1" w14:textId="092E198B" w:rsidR="00F86D56" w:rsidRDefault="00AD0FF1">
    <w:pPr>
      <w:pStyle w:val="Header"/>
    </w:pPr>
    <w:r>
      <w:rPr>
        <w:noProof/>
      </w:rPr>
      <mc:AlternateContent>
        <mc:Choice Requires="wps">
          <w:drawing>
            <wp:anchor distT="0" distB="0" distL="0" distR="0" simplePos="0" relativeHeight="251658259" behindDoc="0" locked="0" layoutInCell="1" allowOverlap="1" wp14:anchorId="4896ADE8" wp14:editId="4FABE4A0">
              <wp:simplePos x="635" y="635"/>
              <wp:positionH relativeFrom="page">
                <wp:align>center</wp:align>
              </wp:positionH>
              <wp:positionV relativeFrom="page">
                <wp:align>top</wp:align>
              </wp:positionV>
              <wp:extent cx="551815" cy="552450"/>
              <wp:effectExtent l="0" t="0" r="635" b="0"/>
              <wp:wrapNone/>
              <wp:docPr id="1220859537"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552450"/>
                      </a:xfrm>
                      <a:prstGeom prst="rect">
                        <a:avLst/>
                      </a:prstGeom>
                      <a:noFill/>
                      <a:ln>
                        <a:noFill/>
                      </a:ln>
                    </wps:spPr>
                    <wps:txbx>
                      <w:txbxContent>
                        <w:p w14:paraId="625AA249" w14:textId="4A10C660" w:rsidR="00AD0FF1" w:rsidRPr="00AD0FF1" w:rsidRDefault="00AD0FF1" w:rsidP="00AD0FF1">
                          <w:pPr>
                            <w:spacing w:after="0"/>
                            <w:rPr>
                              <w:rFonts w:ascii="Calibri" w:eastAsia="Calibri" w:hAnsi="Calibri" w:cs="Calibri"/>
                              <w:noProof/>
                              <w:color w:val="FF0000"/>
                              <w:sz w:val="24"/>
                              <w:szCs w:val="24"/>
                            </w:rPr>
                          </w:pPr>
                          <w:r w:rsidRPr="00AD0FF1">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896ADE8" id="_x0000_t202" coordsize="21600,21600" o:spt="202" path="m,l,21600r21600,l21600,xe">
              <v:stroke joinstyle="miter"/>
              <v:path gradientshapeok="t" o:connecttype="rect"/>
            </v:shapetype>
            <v:shape id="Text Box 2" o:spid="_x0000_s1026" type="#_x0000_t202" alt="OFFICIAL" style="position:absolute;margin-left:0;margin-top:0;width:43.45pt;height:43.5pt;z-index:251658259;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" filled="f" stroked="f">
              <v:textbox style="mso-fit-shape-to-text:t" inset="0,15pt,0,0">
                <w:txbxContent>
                  <w:p w14:paraId="625AA249" w14:textId="4A10C660" w:rsidR="00AD0FF1" w:rsidRPr="00AD0FF1" w:rsidRDefault="00AD0FF1" w:rsidP="00AD0FF1">
                    <w:pPr>
                      <w:spacing w:after="0"/>
                      <w:rPr>
                        <w:rFonts w:ascii="Calibri" w:eastAsia="Calibri" w:hAnsi="Calibri" w:cs="Calibri"/>
                        <w:noProof/>
                        <w:color w:val="FF0000"/>
                        <w:sz w:val="24"/>
                        <w:szCs w:val="24"/>
                      </w:rPr>
                    </w:pPr>
                    <w:r w:rsidRPr="00AD0FF1">
                      <w:rPr>
                        <w:rFonts w:ascii="Calibri" w:eastAsia="Calibri" w:hAnsi="Calibri" w:cs="Calibri"/>
                        <w:noProof/>
                        <w:color w:val="FF0000"/>
                        <w:sz w:val="24"/>
                        <w:szCs w:val="24"/>
                      </w:rPr>
                      <w:t>OFFICIAL</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F4C5E4" w14:textId="37F87C38" w:rsidR="00AD0FF1" w:rsidRDefault="00AD0FF1">
    <w:pPr>
      <w:pStyle w:val="Header"/>
    </w:pPr>
    <w:r>
      <w:rPr>
        <w:noProof/>
      </w:rPr>
      <mc:AlternateContent>
        <mc:Choice Requires="wps">
          <w:drawing>
            <wp:anchor distT="0" distB="0" distL="0" distR="0" simplePos="0" relativeHeight="251658275" behindDoc="0" locked="0" layoutInCell="1" allowOverlap="1" wp14:anchorId="52C251C0" wp14:editId="56E872BC">
              <wp:simplePos x="635" y="635"/>
              <wp:positionH relativeFrom="page">
                <wp:align>center</wp:align>
              </wp:positionH>
              <wp:positionV relativeFrom="page">
                <wp:align>top</wp:align>
              </wp:positionV>
              <wp:extent cx="551815" cy="552450"/>
              <wp:effectExtent l="0" t="0" r="635" b="0"/>
              <wp:wrapNone/>
              <wp:docPr id="725648035" name="Text Box 1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552450"/>
                      </a:xfrm>
                      <a:prstGeom prst="rect">
                        <a:avLst/>
                      </a:prstGeom>
                      <a:noFill/>
                      <a:ln>
                        <a:noFill/>
                      </a:ln>
                    </wps:spPr>
                    <wps:txbx>
                      <w:txbxContent>
                        <w:p w14:paraId="63C60AFF" w14:textId="3FA0C056" w:rsidR="00AD0FF1" w:rsidRPr="00AD0FF1" w:rsidRDefault="00AD0FF1" w:rsidP="00AD0FF1">
                          <w:pPr>
                            <w:spacing w:after="0"/>
                            <w:rPr>
                              <w:rFonts w:ascii="Calibri" w:eastAsia="Calibri" w:hAnsi="Calibri" w:cs="Calibri"/>
                              <w:noProof/>
                              <w:color w:val="FF0000"/>
                              <w:sz w:val="24"/>
                              <w:szCs w:val="24"/>
                            </w:rPr>
                          </w:pPr>
                          <w:r w:rsidRPr="00AD0FF1">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2C251C0" id="_x0000_t202" coordsize="21600,21600" o:spt="202" path="m,l,21600r21600,l21600,xe">
              <v:stroke joinstyle="miter"/>
              <v:path gradientshapeok="t" o:connecttype="rect"/>
            </v:shapetype>
            <v:shape id="Text Box 17" o:spid="_x0000_s1035" type="#_x0000_t202" alt="OFFICIAL" style="position:absolute;margin-left:0;margin-top:0;width:43.45pt;height:43.5pt;z-index:251658275;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" filled="f" stroked="f">
              <v:textbox style="mso-fit-shape-to-text:t" inset="0,15pt,0,0">
                <w:txbxContent>
                  <w:p w14:paraId="63C60AFF" w14:textId="3FA0C056" w:rsidR="00AD0FF1" w:rsidRPr="00AD0FF1" w:rsidRDefault="00AD0FF1" w:rsidP="00AD0FF1">
                    <w:pPr>
                      <w:spacing w:after="0"/>
                      <w:rPr>
                        <w:rFonts w:ascii="Calibri" w:eastAsia="Calibri" w:hAnsi="Calibri" w:cs="Calibri"/>
                        <w:noProof/>
                        <w:color w:val="FF0000"/>
                        <w:sz w:val="24"/>
                        <w:szCs w:val="24"/>
                      </w:rPr>
                    </w:pPr>
                    <w:r w:rsidRPr="00AD0FF1">
                      <w:rPr>
                        <w:rFonts w:ascii="Calibri" w:eastAsia="Calibri" w:hAnsi="Calibri" w:cs="Calibri"/>
                        <w:noProof/>
                        <w:color w:val="FF0000"/>
                        <w:sz w:val="24"/>
                        <w:szCs w:val="24"/>
                      </w:rPr>
                      <w:t>OFFICIAL</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F5CFF6" w14:textId="7A1D8E08" w:rsidR="00AD0FF1" w:rsidRDefault="00AD0FF1">
    <w:pPr>
      <w:pStyle w:val="Header"/>
    </w:pPr>
    <w:r>
      <w:rPr>
        <w:noProof/>
      </w:rPr>
      <mc:AlternateContent>
        <mc:Choice Requires="wps">
          <w:drawing>
            <wp:anchor distT="0" distB="0" distL="0" distR="0" simplePos="0" relativeHeight="251658276" behindDoc="0" locked="0" layoutInCell="1" allowOverlap="1" wp14:anchorId="5ADEC822" wp14:editId="5846468F">
              <wp:simplePos x="635" y="635"/>
              <wp:positionH relativeFrom="page">
                <wp:align>center</wp:align>
              </wp:positionH>
              <wp:positionV relativeFrom="page">
                <wp:align>top</wp:align>
              </wp:positionV>
              <wp:extent cx="551815" cy="552450"/>
              <wp:effectExtent l="0" t="0" r="635" b="0"/>
              <wp:wrapNone/>
              <wp:docPr id="514042062" name="Text Box 1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552450"/>
                      </a:xfrm>
                      <a:prstGeom prst="rect">
                        <a:avLst/>
                      </a:prstGeom>
                      <a:noFill/>
                      <a:ln>
                        <a:noFill/>
                      </a:ln>
                    </wps:spPr>
                    <wps:txbx>
                      <w:txbxContent>
                        <w:p w14:paraId="6D65CA4A" w14:textId="3A11C25B" w:rsidR="00AD0FF1" w:rsidRPr="00AD0FF1" w:rsidRDefault="00AD0FF1" w:rsidP="00AD0FF1">
                          <w:pPr>
                            <w:spacing w:after="0"/>
                            <w:rPr>
                              <w:rFonts w:ascii="Calibri" w:eastAsia="Calibri" w:hAnsi="Calibri" w:cs="Calibri"/>
                              <w:noProof/>
                              <w:color w:val="FF0000"/>
                              <w:sz w:val="24"/>
                              <w:szCs w:val="24"/>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ADEC822" id="_x0000_t202" coordsize="21600,21600" o:spt="202" path="m,l,21600r21600,l21600,xe">
              <v:stroke joinstyle="miter"/>
              <v:path gradientshapeok="t" o:connecttype="rect"/>
            </v:shapetype>
            <v:shape id="Text Box 18" o:spid="_x0000_s1036" type="#_x0000_t202" alt="OFFICIAL" style="position:absolute;margin-left:0;margin-top:0;width:43.45pt;height:43.5pt;z-index:25165827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" filled="f" stroked="f">
              <v:textbox style="mso-fit-shape-to-text:t" inset="0,15pt,0,0">
                <w:txbxContent>
                  <w:p w14:paraId="6D65CA4A" w14:textId="3A11C25B" w:rsidR="00AD0FF1" w:rsidRPr="00AD0FF1" w:rsidRDefault="00AD0FF1" w:rsidP="00AD0FF1">
                    <w:pPr>
                      <w:spacing w:after="0"/>
                      <w:rPr>
                        <w:rFonts w:ascii="Calibri" w:eastAsia="Calibri" w:hAnsi="Calibri" w:cs="Calibri"/>
                        <w:noProof/>
                        <w:color w:val="FF0000"/>
                        <w:sz w:val="24"/>
                        <w:szCs w:val="24"/>
                      </w:rPr>
                    </w:pP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BADDC6" w14:textId="5F90E6D4" w:rsidR="00AD0FF1" w:rsidRDefault="00AD0FF1">
    <w:pPr>
      <w:pStyle w:val="Header"/>
    </w:pPr>
    <w:r>
      <w:rPr>
        <w:noProof/>
      </w:rPr>
      <mc:AlternateContent>
        <mc:Choice Requires="wps">
          <w:drawing>
            <wp:anchor distT="0" distB="0" distL="0" distR="0" simplePos="0" relativeHeight="251658274" behindDoc="0" locked="0" layoutInCell="1" allowOverlap="1" wp14:anchorId="54F43013" wp14:editId="400584ED">
              <wp:simplePos x="635" y="635"/>
              <wp:positionH relativeFrom="page">
                <wp:align>center</wp:align>
              </wp:positionH>
              <wp:positionV relativeFrom="page">
                <wp:align>top</wp:align>
              </wp:positionV>
              <wp:extent cx="551815" cy="552450"/>
              <wp:effectExtent l="0" t="0" r="635" b="0"/>
              <wp:wrapNone/>
              <wp:docPr id="49363629" name="Text Box 1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552450"/>
                      </a:xfrm>
                      <a:prstGeom prst="rect">
                        <a:avLst/>
                      </a:prstGeom>
                      <a:noFill/>
                      <a:ln>
                        <a:noFill/>
                      </a:ln>
                    </wps:spPr>
                    <wps:txbx>
                      <w:txbxContent>
                        <w:p w14:paraId="0C4FAC9A" w14:textId="679D375B" w:rsidR="00AD0FF1" w:rsidRPr="00AD0FF1" w:rsidRDefault="00AD0FF1" w:rsidP="00AD0FF1">
                          <w:pPr>
                            <w:spacing w:after="0"/>
                            <w:rPr>
                              <w:rFonts w:ascii="Calibri" w:eastAsia="Calibri" w:hAnsi="Calibri" w:cs="Calibri"/>
                              <w:noProof/>
                              <w:color w:val="FF0000"/>
                              <w:sz w:val="24"/>
                              <w:szCs w:val="24"/>
                            </w:rPr>
                          </w:pPr>
                          <w:r w:rsidRPr="00AD0FF1">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4F43013" id="_x0000_t202" coordsize="21600,21600" o:spt="202" path="m,l,21600r21600,l21600,xe">
              <v:stroke joinstyle="miter"/>
              <v:path gradientshapeok="t" o:connecttype="rect"/>
            </v:shapetype>
            <v:shape id="Text Box 16" o:spid="_x0000_s1037" type="#_x0000_t202" alt="OFFICIAL" style="position:absolute;margin-left:0;margin-top:0;width:43.45pt;height:43.5pt;z-index:25165827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" filled="f" stroked="f">
              <v:textbox style="mso-fit-shape-to-text:t" inset="0,15pt,0,0">
                <w:txbxContent>
                  <w:p w14:paraId="0C4FAC9A" w14:textId="679D375B" w:rsidR="00AD0FF1" w:rsidRPr="00AD0FF1" w:rsidRDefault="00AD0FF1" w:rsidP="00AD0FF1">
                    <w:pPr>
                      <w:spacing w:after="0"/>
                      <w:rPr>
                        <w:rFonts w:ascii="Calibri" w:eastAsia="Calibri" w:hAnsi="Calibri" w:cs="Calibri"/>
                        <w:noProof/>
                        <w:color w:val="FF0000"/>
                        <w:sz w:val="24"/>
                        <w:szCs w:val="24"/>
                      </w:rPr>
                    </w:pPr>
                    <w:r w:rsidRPr="00AD0FF1">
                      <w:rPr>
                        <w:rFonts w:ascii="Calibri" w:eastAsia="Calibri" w:hAnsi="Calibri" w:cs="Calibri"/>
                        <w:noProof/>
                        <w:color w:val="FF0000"/>
                        <w:sz w:val="24"/>
                        <w:szCs w:val="24"/>
                      </w:rPr>
                      <w:t>OFFICIAL</w:t>
                    </w: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809AE3" w14:textId="77777777" w:rsidR="003937DC" w:rsidRDefault="003937DC">
    <w:pPr>
      <w:pStyle w:val="Header"/>
    </w:pPr>
    <w:r>
      <w:rPr>
        <w:noProof/>
      </w:rPr>
      <mc:AlternateContent>
        <mc:Choice Requires="wps">
          <w:drawing>
            <wp:anchor distT="0" distB="0" distL="0" distR="0" simplePos="0" relativeHeight="251658286" behindDoc="0" locked="0" layoutInCell="1" allowOverlap="1" wp14:anchorId="617ED0DC" wp14:editId="591F807B">
              <wp:simplePos x="635" y="635"/>
              <wp:positionH relativeFrom="page">
                <wp:align>center</wp:align>
              </wp:positionH>
              <wp:positionV relativeFrom="page">
                <wp:align>top</wp:align>
              </wp:positionV>
              <wp:extent cx="551815" cy="552450"/>
              <wp:effectExtent l="0" t="0" r="635" b="0"/>
              <wp:wrapNone/>
              <wp:docPr id="1008770067" name="Text Box 20"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552450"/>
                      </a:xfrm>
                      <a:prstGeom prst="rect">
                        <a:avLst/>
                      </a:prstGeom>
                      <a:noFill/>
                      <a:ln>
                        <a:noFill/>
                      </a:ln>
                    </wps:spPr>
                    <wps:txbx>
                      <w:txbxContent>
                        <w:p w14:paraId="15803445" w14:textId="77777777" w:rsidR="003937DC" w:rsidRPr="00AD0FF1" w:rsidRDefault="003937DC" w:rsidP="00AD0FF1">
                          <w:pPr>
                            <w:spacing w:after="0"/>
                            <w:rPr>
                              <w:rFonts w:ascii="Calibri" w:eastAsia="Calibri" w:hAnsi="Calibri" w:cs="Calibri"/>
                              <w:noProof/>
                              <w:color w:val="FF0000"/>
                              <w:sz w:val="24"/>
                              <w:szCs w:val="24"/>
                            </w:rPr>
                          </w:pPr>
                          <w:r w:rsidRPr="00AD0FF1">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17ED0DC" id="_x0000_t202" coordsize="21600,21600" o:spt="202" path="m,l,21600r21600,l21600,xe">
              <v:stroke joinstyle="miter"/>
              <v:path gradientshapeok="t" o:connecttype="rect"/>
            </v:shapetype>
            <v:shape id="Text Box 20" o:spid="_x0000_s1038" type="#_x0000_t202" alt="OFFICIAL" style="position:absolute;margin-left:0;margin-top:0;width:43.45pt;height:43.5pt;z-index:25165828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" filled="f" stroked="f">
              <v:textbox style="mso-fit-shape-to-text:t" inset="0,15pt,0,0">
                <w:txbxContent>
                  <w:p w14:paraId="15803445" w14:textId="77777777" w:rsidR="003937DC" w:rsidRPr="00AD0FF1" w:rsidRDefault="003937DC" w:rsidP="00AD0FF1">
                    <w:pPr>
                      <w:spacing w:after="0"/>
                      <w:rPr>
                        <w:rFonts w:ascii="Calibri" w:eastAsia="Calibri" w:hAnsi="Calibri" w:cs="Calibri"/>
                        <w:noProof/>
                        <w:color w:val="FF0000"/>
                        <w:sz w:val="24"/>
                        <w:szCs w:val="24"/>
                      </w:rPr>
                    </w:pPr>
                    <w:r w:rsidRPr="00AD0FF1">
                      <w:rPr>
                        <w:rFonts w:ascii="Calibri" w:eastAsia="Calibri" w:hAnsi="Calibri" w:cs="Calibri"/>
                        <w:noProof/>
                        <w:color w:val="FF0000"/>
                        <w:sz w:val="24"/>
                        <w:szCs w:val="24"/>
                      </w:rPr>
                      <w:t>OFFICIAL</w:t>
                    </w:r>
                  </w:p>
                </w:txbxContent>
              </v:textbox>
              <w10:wrap anchorx="page" anchory="page"/>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6FC776" w14:textId="77777777" w:rsidR="003937DC" w:rsidRDefault="003937DC">
    <w:pPr>
      <w:pStyle w:val="Header"/>
    </w:pPr>
    <w:r>
      <w:rPr>
        <w:noProof/>
      </w:rPr>
      <mc:AlternateContent>
        <mc:Choice Requires="wps">
          <w:drawing>
            <wp:anchor distT="0" distB="0" distL="0" distR="0" simplePos="0" relativeHeight="251658287" behindDoc="0" locked="0" layoutInCell="1" allowOverlap="1" wp14:anchorId="2890D27D" wp14:editId="56E7DD26">
              <wp:simplePos x="635" y="635"/>
              <wp:positionH relativeFrom="page">
                <wp:align>center</wp:align>
              </wp:positionH>
              <wp:positionV relativeFrom="page">
                <wp:align>top</wp:align>
              </wp:positionV>
              <wp:extent cx="551815" cy="552450"/>
              <wp:effectExtent l="0" t="0" r="635" b="0"/>
              <wp:wrapNone/>
              <wp:docPr id="1725038775" name="Text Box 2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552450"/>
                      </a:xfrm>
                      <a:prstGeom prst="rect">
                        <a:avLst/>
                      </a:prstGeom>
                      <a:noFill/>
                      <a:ln>
                        <a:noFill/>
                      </a:ln>
                    </wps:spPr>
                    <wps:txbx>
                      <w:txbxContent>
                        <w:p w14:paraId="3398AA31" w14:textId="778CE3F6" w:rsidR="003937DC" w:rsidRPr="00AD0FF1" w:rsidRDefault="003937DC" w:rsidP="00AD0FF1">
                          <w:pPr>
                            <w:spacing w:after="0"/>
                            <w:rPr>
                              <w:rFonts w:ascii="Calibri" w:eastAsia="Calibri" w:hAnsi="Calibri" w:cs="Calibri"/>
                              <w:noProof/>
                              <w:color w:val="FF0000"/>
                              <w:sz w:val="24"/>
                              <w:szCs w:val="24"/>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890D27D" id="_x0000_t202" coordsize="21600,21600" o:spt="202" path="m,l,21600r21600,l21600,xe">
              <v:stroke joinstyle="miter"/>
              <v:path gradientshapeok="t" o:connecttype="rect"/>
            </v:shapetype>
            <v:shape id="Text Box 21" o:spid="_x0000_s1039" type="#_x0000_t202" alt="OFFICIAL" style="position:absolute;margin-left:0;margin-top:0;width:43.45pt;height:43.5pt;z-index:251658287;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" filled="f" stroked="f">
              <v:textbox style="mso-fit-shape-to-text:t" inset="0,15pt,0,0">
                <w:txbxContent>
                  <w:p w14:paraId="3398AA31" w14:textId="778CE3F6" w:rsidR="003937DC" w:rsidRPr="00AD0FF1" w:rsidRDefault="003937DC" w:rsidP="00AD0FF1">
                    <w:pPr>
                      <w:spacing w:after="0"/>
                      <w:rPr>
                        <w:rFonts w:ascii="Calibri" w:eastAsia="Calibri" w:hAnsi="Calibri" w:cs="Calibri"/>
                        <w:noProof/>
                        <w:color w:val="FF0000"/>
                        <w:sz w:val="24"/>
                        <w:szCs w:val="24"/>
                      </w:rPr>
                    </w:pPr>
                  </w:p>
                </w:txbxContent>
              </v:textbox>
              <w10:wrap anchorx="page" anchory="page"/>
            </v:shape>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75A810" w14:textId="77777777" w:rsidR="003937DC" w:rsidRDefault="003937DC">
    <w:pPr>
      <w:pStyle w:val="Header"/>
    </w:pPr>
    <w:r>
      <w:rPr>
        <w:noProof/>
      </w:rPr>
      <mc:AlternateContent>
        <mc:Choice Requires="wps">
          <w:drawing>
            <wp:anchor distT="0" distB="0" distL="0" distR="0" simplePos="0" relativeHeight="251658288" behindDoc="0" locked="0" layoutInCell="1" allowOverlap="1" wp14:anchorId="181BEF8C" wp14:editId="02C18130">
              <wp:simplePos x="635" y="635"/>
              <wp:positionH relativeFrom="page">
                <wp:align>center</wp:align>
              </wp:positionH>
              <wp:positionV relativeFrom="page">
                <wp:align>top</wp:align>
              </wp:positionV>
              <wp:extent cx="551815" cy="552450"/>
              <wp:effectExtent l="0" t="0" r="635" b="0"/>
              <wp:wrapNone/>
              <wp:docPr id="1343601809" name="Text Box 1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552450"/>
                      </a:xfrm>
                      <a:prstGeom prst="rect">
                        <a:avLst/>
                      </a:prstGeom>
                      <a:noFill/>
                      <a:ln>
                        <a:noFill/>
                      </a:ln>
                    </wps:spPr>
                    <wps:txbx>
                      <w:txbxContent>
                        <w:p w14:paraId="7F76E85E" w14:textId="77777777" w:rsidR="003937DC" w:rsidRPr="00AD0FF1" w:rsidRDefault="003937DC" w:rsidP="00AD0FF1">
                          <w:pPr>
                            <w:spacing w:after="0"/>
                            <w:rPr>
                              <w:rFonts w:ascii="Calibri" w:eastAsia="Calibri" w:hAnsi="Calibri" w:cs="Calibri"/>
                              <w:noProof/>
                              <w:color w:val="FF0000"/>
                              <w:sz w:val="24"/>
                              <w:szCs w:val="24"/>
                            </w:rPr>
                          </w:pPr>
                          <w:r w:rsidRPr="00AD0FF1">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81BEF8C" id="_x0000_t202" coordsize="21600,21600" o:spt="202" path="m,l,21600r21600,l21600,xe">
              <v:stroke joinstyle="miter"/>
              <v:path gradientshapeok="t" o:connecttype="rect"/>
            </v:shapetype>
            <v:shape id="Text Box 19" o:spid="_x0000_s1040" type="#_x0000_t202" alt="OFFICIAL" style="position:absolute;margin-left:0;margin-top:0;width:43.45pt;height:43.5pt;z-index:251658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" filled="f" stroked="f">
              <v:textbox style="mso-fit-shape-to-text:t" inset="0,15pt,0,0">
                <w:txbxContent>
                  <w:p w14:paraId="7F76E85E" w14:textId="77777777" w:rsidR="003937DC" w:rsidRPr="00AD0FF1" w:rsidRDefault="003937DC" w:rsidP="00AD0FF1">
                    <w:pPr>
                      <w:spacing w:after="0"/>
                      <w:rPr>
                        <w:rFonts w:ascii="Calibri" w:eastAsia="Calibri" w:hAnsi="Calibri" w:cs="Calibri"/>
                        <w:noProof/>
                        <w:color w:val="FF0000"/>
                        <w:sz w:val="24"/>
                        <w:szCs w:val="24"/>
                      </w:rPr>
                    </w:pPr>
                    <w:r w:rsidRPr="00AD0FF1">
                      <w:rPr>
                        <w:rFonts w:ascii="Calibri" w:eastAsia="Calibri" w:hAnsi="Calibri" w:cs="Calibri"/>
                        <w:noProof/>
                        <w:color w:val="FF0000"/>
                        <w:sz w:val="24"/>
                        <w:szCs w:val="24"/>
                      </w:rPr>
                      <w:t>OFFICIAL</w:t>
                    </w:r>
                  </w:p>
                </w:txbxContent>
              </v:textbox>
              <w10:wrap anchorx="page" anchory="page"/>
            </v:shape>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DF9D01" w14:textId="41296E7F" w:rsidR="00AD0FF1" w:rsidRDefault="00AD0FF1">
    <w:pPr>
      <w:pStyle w:val="Header"/>
    </w:pPr>
    <w:r>
      <w:rPr>
        <w:noProof/>
      </w:rPr>
      <mc:AlternateContent>
        <mc:Choice Requires="wps">
          <w:drawing>
            <wp:anchor distT="0" distB="0" distL="0" distR="0" simplePos="0" relativeHeight="251658278" behindDoc="0" locked="0" layoutInCell="1" allowOverlap="1" wp14:anchorId="6D80CDA2" wp14:editId="61DF9AB8">
              <wp:simplePos x="635" y="635"/>
              <wp:positionH relativeFrom="page">
                <wp:align>center</wp:align>
              </wp:positionH>
              <wp:positionV relativeFrom="page">
                <wp:align>top</wp:align>
              </wp:positionV>
              <wp:extent cx="551815" cy="552450"/>
              <wp:effectExtent l="0" t="0" r="635" b="0"/>
              <wp:wrapNone/>
              <wp:docPr id="1019245438" name="Text Box 20"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552450"/>
                      </a:xfrm>
                      <a:prstGeom prst="rect">
                        <a:avLst/>
                      </a:prstGeom>
                      <a:noFill/>
                      <a:ln>
                        <a:noFill/>
                      </a:ln>
                    </wps:spPr>
                    <wps:txbx>
                      <w:txbxContent>
                        <w:p w14:paraId="16578781" w14:textId="36F62A61" w:rsidR="00AD0FF1" w:rsidRPr="00AD0FF1" w:rsidRDefault="00AD0FF1" w:rsidP="00AD0FF1">
                          <w:pPr>
                            <w:spacing w:after="0"/>
                            <w:rPr>
                              <w:rFonts w:ascii="Calibri" w:eastAsia="Calibri" w:hAnsi="Calibri" w:cs="Calibri"/>
                              <w:noProof/>
                              <w:color w:val="FF0000"/>
                              <w:sz w:val="24"/>
                              <w:szCs w:val="24"/>
                            </w:rPr>
                          </w:pPr>
                          <w:r w:rsidRPr="00AD0FF1">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D80CDA2" id="_x0000_t202" coordsize="21600,21600" o:spt="202" path="m,l,21600r21600,l21600,xe">
              <v:stroke joinstyle="miter"/>
              <v:path gradientshapeok="t" o:connecttype="rect"/>
            </v:shapetype>
            <v:shape id="_x0000_s1041" type="#_x0000_t202" alt="OFFICIAL" style="position:absolute;margin-left:0;margin-top:0;width:43.45pt;height:43.5pt;z-index:25165827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" filled="f" stroked="f">
              <v:textbox style="mso-fit-shape-to-text:t" inset="0,15pt,0,0">
                <w:txbxContent>
                  <w:p w14:paraId="16578781" w14:textId="36F62A61" w:rsidR="00AD0FF1" w:rsidRPr="00AD0FF1" w:rsidRDefault="00AD0FF1" w:rsidP="00AD0FF1">
                    <w:pPr>
                      <w:spacing w:after="0"/>
                      <w:rPr>
                        <w:rFonts w:ascii="Calibri" w:eastAsia="Calibri" w:hAnsi="Calibri" w:cs="Calibri"/>
                        <w:noProof/>
                        <w:color w:val="FF0000"/>
                        <w:sz w:val="24"/>
                        <w:szCs w:val="24"/>
                      </w:rPr>
                    </w:pPr>
                    <w:r w:rsidRPr="00AD0FF1">
                      <w:rPr>
                        <w:rFonts w:ascii="Calibri" w:eastAsia="Calibri" w:hAnsi="Calibri" w:cs="Calibri"/>
                        <w:noProof/>
                        <w:color w:val="FF0000"/>
                        <w:sz w:val="24"/>
                        <w:szCs w:val="24"/>
                      </w:rPr>
                      <w:t>OFFICIAL</w:t>
                    </w:r>
                  </w:p>
                </w:txbxContent>
              </v:textbox>
              <w10:wrap anchorx="page" anchory="page"/>
            </v:shape>
          </w:pict>
        </mc:Fallback>
      </mc:AlternateConten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FAA76B" w14:textId="54479C6D" w:rsidR="00AD0FF1" w:rsidRDefault="00AD0FF1">
    <w:pPr>
      <w:pStyle w:val="Header"/>
    </w:pPr>
    <w:r>
      <w:rPr>
        <w:noProof/>
      </w:rPr>
      <mc:AlternateContent>
        <mc:Choice Requires="wps">
          <w:drawing>
            <wp:anchor distT="0" distB="0" distL="0" distR="0" simplePos="0" relativeHeight="251658279" behindDoc="0" locked="0" layoutInCell="1" allowOverlap="1" wp14:anchorId="5A48F49C" wp14:editId="06495C0C">
              <wp:simplePos x="635" y="635"/>
              <wp:positionH relativeFrom="page">
                <wp:align>center</wp:align>
              </wp:positionH>
              <wp:positionV relativeFrom="page">
                <wp:align>top</wp:align>
              </wp:positionV>
              <wp:extent cx="551815" cy="552450"/>
              <wp:effectExtent l="0" t="0" r="635" b="0"/>
              <wp:wrapNone/>
              <wp:docPr id="1879530495" name="Text Box 2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552450"/>
                      </a:xfrm>
                      <a:prstGeom prst="rect">
                        <a:avLst/>
                      </a:prstGeom>
                      <a:noFill/>
                      <a:ln>
                        <a:noFill/>
                      </a:ln>
                    </wps:spPr>
                    <wps:txbx>
                      <w:txbxContent>
                        <w:p w14:paraId="768248EA" w14:textId="7F34311D" w:rsidR="00AD0FF1" w:rsidRPr="00AD0FF1" w:rsidRDefault="00AD0FF1" w:rsidP="00AD0FF1">
                          <w:pPr>
                            <w:spacing w:after="0"/>
                            <w:rPr>
                              <w:rFonts w:ascii="Calibri" w:eastAsia="Calibri" w:hAnsi="Calibri" w:cs="Calibri"/>
                              <w:noProof/>
                              <w:color w:val="FF0000"/>
                              <w:sz w:val="24"/>
                              <w:szCs w:val="24"/>
                            </w:rPr>
                          </w:pPr>
                          <w:r w:rsidRPr="00AD0FF1">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A48F49C" id="_x0000_t202" coordsize="21600,21600" o:spt="202" path="m,l,21600r21600,l21600,xe">
              <v:stroke joinstyle="miter"/>
              <v:path gradientshapeok="t" o:connecttype="rect"/>
            </v:shapetype>
            <v:shape id="_x0000_s1042" type="#_x0000_t202" alt="OFFICIAL" style="position:absolute;margin-left:0;margin-top:0;width:43.45pt;height:43.5pt;z-index:251658279;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" filled="f" stroked="f">
              <v:textbox style="mso-fit-shape-to-text:t" inset="0,15pt,0,0">
                <w:txbxContent>
                  <w:p w14:paraId="768248EA" w14:textId="7F34311D" w:rsidR="00AD0FF1" w:rsidRPr="00AD0FF1" w:rsidRDefault="00AD0FF1" w:rsidP="00AD0FF1">
                    <w:pPr>
                      <w:spacing w:after="0"/>
                      <w:rPr>
                        <w:rFonts w:ascii="Calibri" w:eastAsia="Calibri" w:hAnsi="Calibri" w:cs="Calibri"/>
                        <w:noProof/>
                        <w:color w:val="FF0000"/>
                        <w:sz w:val="24"/>
                        <w:szCs w:val="24"/>
                      </w:rPr>
                    </w:pPr>
                    <w:r w:rsidRPr="00AD0FF1">
                      <w:rPr>
                        <w:rFonts w:ascii="Calibri" w:eastAsia="Calibri" w:hAnsi="Calibri" w:cs="Calibri"/>
                        <w:noProof/>
                        <w:color w:val="FF0000"/>
                        <w:sz w:val="24"/>
                        <w:szCs w:val="24"/>
                      </w:rPr>
                      <w:t>OFFICIAL</w:t>
                    </w:r>
                  </w:p>
                </w:txbxContent>
              </v:textbox>
              <w10:wrap anchorx="page" anchory="page"/>
            </v:shape>
          </w:pict>
        </mc:Fallback>
      </mc:AlternateConten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623141" w14:textId="3E639573" w:rsidR="00AD0FF1" w:rsidRDefault="00AD0FF1">
    <w:pPr>
      <w:pStyle w:val="Header"/>
    </w:pPr>
    <w:r>
      <w:rPr>
        <w:noProof/>
      </w:rPr>
      <mc:AlternateContent>
        <mc:Choice Requires="wps">
          <w:drawing>
            <wp:anchor distT="0" distB="0" distL="0" distR="0" simplePos="0" relativeHeight="251658277" behindDoc="0" locked="0" layoutInCell="1" allowOverlap="1" wp14:anchorId="0D694130" wp14:editId="701F00AB">
              <wp:simplePos x="635" y="635"/>
              <wp:positionH relativeFrom="page">
                <wp:align>center</wp:align>
              </wp:positionH>
              <wp:positionV relativeFrom="page">
                <wp:align>top</wp:align>
              </wp:positionV>
              <wp:extent cx="551815" cy="552450"/>
              <wp:effectExtent l="0" t="0" r="635" b="0"/>
              <wp:wrapNone/>
              <wp:docPr id="1436929848" name="Text Box 1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552450"/>
                      </a:xfrm>
                      <a:prstGeom prst="rect">
                        <a:avLst/>
                      </a:prstGeom>
                      <a:noFill/>
                      <a:ln>
                        <a:noFill/>
                      </a:ln>
                    </wps:spPr>
                    <wps:txbx>
                      <w:txbxContent>
                        <w:p w14:paraId="713E328C" w14:textId="7A2605BD" w:rsidR="00AD0FF1" w:rsidRPr="00AD0FF1" w:rsidRDefault="00AD0FF1" w:rsidP="00AD0FF1">
                          <w:pPr>
                            <w:spacing w:after="0"/>
                            <w:rPr>
                              <w:rFonts w:ascii="Calibri" w:eastAsia="Calibri" w:hAnsi="Calibri" w:cs="Calibri"/>
                              <w:noProof/>
                              <w:color w:val="FF0000"/>
                              <w:sz w:val="24"/>
                              <w:szCs w:val="24"/>
                            </w:rPr>
                          </w:pPr>
                          <w:r w:rsidRPr="00AD0FF1">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D694130" id="_x0000_t202" coordsize="21600,21600" o:spt="202" path="m,l,21600r21600,l21600,xe">
              <v:stroke joinstyle="miter"/>
              <v:path gradientshapeok="t" o:connecttype="rect"/>
            </v:shapetype>
            <v:shape id="_x0000_s1043" type="#_x0000_t202" alt="OFFICIAL" style="position:absolute;margin-left:0;margin-top:0;width:43.45pt;height:43.5pt;z-index:251658277;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" filled="f" stroked="f">
              <v:textbox style="mso-fit-shape-to-text:t" inset="0,15pt,0,0">
                <w:txbxContent>
                  <w:p w14:paraId="713E328C" w14:textId="7A2605BD" w:rsidR="00AD0FF1" w:rsidRPr="00AD0FF1" w:rsidRDefault="00AD0FF1" w:rsidP="00AD0FF1">
                    <w:pPr>
                      <w:spacing w:after="0"/>
                      <w:rPr>
                        <w:rFonts w:ascii="Calibri" w:eastAsia="Calibri" w:hAnsi="Calibri" w:cs="Calibri"/>
                        <w:noProof/>
                        <w:color w:val="FF0000"/>
                        <w:sz w:val="24"/>
                        <w:szCs w:val="24"/>
                      </w:rPr>
                    </w:pPr>
                    <w:r w:rsidRPr="00AD0FF1">
                      <w:rPr>
                        <w:rFonts w:ascii="Calibri" w:eastAsia="Calibri" w:hAnsi="Calibri" w:cs="Calibri"/>
                        <w:noProof/>
                        <w:color w:val="FF0000"/>
                        <w:sz w:val="24"/>
                        <w:szCs w:val="24"/>
                      </w:rPr>
                      <w:t>OFFICIAL</w:t>
                    </w:r>
                  </w:p>
                </w:txbxContent>
              </v:textbox>
              <w10:wrap anchorx="page" anchory="page"/>
            </v:shape>
          </w:pict>
        </mc:Fallback>
      </mc:AlternateConten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F2E383" w14:textId="05B0697F" w:rsidR="00AD0FF1" w:rsidRDefault="00AD0FF1">
    <w:pPr>
      <w:pStyle w:val="Header"/>
    </w:pPr>
    <w:r>
      <w:rPr>
        <w:noProof/>
      </w:rPr>
      <mc:AlternateContent>
        <mc:Choice Requires="wps">
          <w:drawing>
            <wp:anchor distT="0" distB="0" distL="0" distR="0" simplePos="0" relativeHeight="251658241" behindDoc="0" locked="0" layoutInCell="1" allowOverlap="1" wp14:anchorId="5BCBCDCE" wp14:editId="2D6BEDD8">
              <wp:simplePos x="635" y="635"/>
              <wp:positionH relativeFrom="page">
                <wp:align>center</wp:align>
              </wp:positionH>
              <wp:positionV relativeFrom="page">
                <wp:align>top</wp:align>
              </wp:positionV>
              <wp:extent cx="551815" cy="552450"/>
              <wp:effectExtent l="0" t="0" r="635" b="0"/>
              <wp:wrapNone/>
              <wp:docPr id="1748012930" name="Text Box 2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552450"/>
                      </a:xfrm>
                      <a:prstGeom prst="rect">
                        <a:avLst/>
                      </a:prstGeom>
                      <a:noFill/>
                      <a:ln>
                        <a:noFill/>
                      </a:ln>
                    </wps:spPr>
                    <wps:txbx>
                      <w:txbxContent>
                        <w:p w14:paraId="2A37A3C6" w14:textId="3392B055" w:rsidR="00AD0FF1" w:rsidRPr="00AD0FF1" w:rsidRDefault="00AD0FF1" w:rsidP="00AD0FF1">
                          <w:pPr>
                            <w:spacing w:after="0"/>
                            <w:rPr>
                              <w:rFonts w:ascii="Calibri" w:eastAsia="Calibri" w:hAnsi="Calibri" w:cs="Calibri"/>
                              <w:noProof/>
                              <w:color w:val="FF0000"/>
                              <w:sz w:val="24"/>
                              <w:szCs w:val="24"/>
                            </w:rPr>
                          </w:pPr>
                          <w:r w:rsidRPr="00AD0FF1">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BCBCDCE" id="_x0000_t202" coordsize="21600,21600" o:spt="202" path="m,l,21600r21600,l21600,xe">
              <v:stroke joinstyle="miter"/>
              <v:path gradientshapeok="t" o:connecttype="rect"/>
            </v:shapetype>
            <v:shape id="Text Box 23" o:spid="_x0000_s1044" type="#_x0000_t202" alt="OFFICIAL" style="position:absolute;margin-left:0;margin-top:0;width:43.45pt;height:43.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" filled="f" stroked="f">
              <v:textbox style="mso-fit-shape-to-text:t" inset="0,15pt,0,0">
                <w:txbxContent>
                  <w:p w14:paraId="2A37A3C6" w14:textId="3392B055" w:rsidR="00AD0FF1" w:rsidRPr="00AD0FF1" w:rsidRDefault="00AD0FF1" w:rsidP="00AD0FF1">
                    <w:pPr>
                      <w:spacing w:after="0"/>
                      <w:rPr>
                        <w:rFonts w:ascii="Calibri" w:eastAsia="Calibri" w:hAnsi="Calibri" w:cs="Calibri"/>
                        <w:noProof/>
                        <w:color w:val="FF0000"/>
                        <w:sz w:val="24"/>
                        <w:szCs w:val="24"/>
                      </w:rPr>
                    </w:pPr>
                    <w:r w:rsidRPr="00AD0FF1">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C899C3" w14:textId="000C01F5" w:rsidR="003A30F3" w:rsidRPr="00633068" w:rsidRDefault="00AD0FF1" w:rsidP="00633068">
    <w:pPr>
      <w:pStyle w:val="Header"/>
      <w:tabs>
        <w:tab w:val="clear" w:pos="4680"/>
        <w:tab w:val="clear" w:pos="9360"/>
        <w:tab w:val="left" w:pos="2236"/>
      </w:tabs>
    </w:pPr>
    <w:r>
      <w:rPr>
        <w:noProof/>
        <w:lang w:eastAsia="en-AU"/>
      </w:rPr>
      <mc:AlternateContent>
        <mc:Choice Requires="wps">
          <w:drawing>
            <wp:anchor distT="0" distB="0" distL="0" distR="0" simplePos="0" relativeHeight="251658261" behindDoc="0" locked="0" layoutInCell="1" allowOverlap="1" wp14:anchorId="67B3D21E" wp14:editId="45584849">
              <wp:simplePos x="635" y="635"/>
              <wp:positionH relativeFrom="page">
                <wp:align>center</wp:align>
              </wp:positionH>
              <wp:positionV relativeFrom="page">
                <wp:align>top</wp:align>
              </wp:positionV>
              <wp:extent cx="551815" cy="552450"/>
              <wp:effectExtent l="0" t="0" r="635" b="0"/>
              <wp:wrapNone/>
              <wp:docPr id="1101814092"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552450"/>
                      </a:xfrm>
                      <a:prstGeom prst="rect">
                        <a:avLst/>
                      </a:prstGeom>
                      <a:noFill/>
                      <a:ln>
                        <a:noFill/>
                      </a:ln>
                    </wps:spPr>
                    <wps:txbx>
                      <w:txbxContent>
                        <w:p w14:paraId="5548DE55" w14:textId="0682FA35" w:rsidR="00AD0FF1" w:rsidRPr="00AD0FF1" w:rsidRDefault="00AD0FF1" w:rsidP="00AD0FF1">
                          <w:pPr>
                            <w:spacing w:after="0"/>
                            <w:rPr>
                              <w:rFonts w:ascii="Calibri" w:eastAsia="Calibri" w:hAnsi="Calibri" w:cs="Calibri"/>
                              <w:noProof/>
                              <w:color w:val="FF0000"/>
                              <w:sz w:val="24"/>
                              <w:szCs w:val="24"/>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7B3D21E" id="_x0000_t202" coordsize="21600,21600" o:spt="202" path="m,l,21600r21600,l21600,xe">
              <v:stroke joinstyle="miter"/>
              <v:path gradientshapeok="t" o:connecttype="rect"/>
            </v:shapetype>
            <v:shape id="Text Box 3" o:spid="_x0000_s1027" type="#_x0000_t202" alt="OFFICIAL" style="position:absolute;margin-left:0;margin-top:0;width:43.45pt;height:43.5pt;z-index:25165826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" filled="f" stroked="f">
              <v:textbox style="mso-fit-shape-to-text:t" inset="0,15pt,0,0">
                <w:txbxContent>
                  <w:p w14:paraId="5548DE55" w14:textId="0682FA35" w:rsidR="00AD0FF1" w:rsidRPr="00AD0FF1" w:rsidRDefault="00AD0FF1" w:rsidP="00AD0FF1">
                    <w:pPr>
                      <w:spacing w:after="0"/>
                      <w:rPr>
                        <w:rFonts w:ascii="Calibri" w:eastAsia="Calibri" w:hAnsi="Calibri" w:cs="Calibri"/>
                        <w:noProof/>
                        <w:color w:val="FF0000"/>
                        <w:sz w:val="24"/>
                        <w:szCs w:val="24"/>
                      </w:rPr>
                    </w:pPr>
                  </w:p>
                </w:txbxContent>
              </v:textbox>
              <w10:wrap anchorx="page" anchory="page"/>
            </v:shape>
          </w:pict>
        </mc:Fallback>
      </mc:AlternateContent>
    </w:r>
    <w:r w:rsidR="003A30F3">
      <w:rPr>
        <w:noProof/>
        <w:lang w:eastAsia="en-AU"/>
      </w:rPr>
      <mc:AlternateContent>
        <mc:Choice Requires="wpg">
          <w:drawing>
            <wp:anchor distT="0" distB="0" distL="114300" distR="114300" simplePos="0" relativeHeight="251658255" behindDoc="0" locked="1" layoutInCell="1" allowOverlap="1" wp14:anchorId="4DD29C8C" wp14:editId="23CC93A8">
              <wp:simplePos x="0" y="0"/>
              <wp:positionH relativeFrom="page">
                <wp:align>right</wp:align>
              </wp:positionH>
              <wp:positionV relativeFrom="page">
                <wp:align>bottom</wp:align>
              </wp:positionV>
              <wp:extent cx="7282800" cy="6199200"/>
              <wp:effectExtent l="0" t="0" r="0" b="0"/>
              <wp:wrapNone/>
              <wp:docPr id="13" name="Group 13"/>
              <wp:cNvGraphicFramePr/>
              <a:graphic xmlns:a="http://schemas.openxmlformats.org/drawingml/2006/main">
                <a:graphicData uri="http://schemas.microsoft.com/office/word/2010/wordprocessingGroup">
                  <wpg:wgp>
                    <wpg:cNvGrpSpPr/>
                    <wpg:grpSpPr>
                      <a:xfrm>
                        <a:off x="0" y="0"/>
                        <a:ext cx="7282800" cy="6199200"/>
                        <a:chOff x="0" y="0"/>
                        <a:chExt cx="7283315" cy="6200963"/>
                      </a:xfrm>
                    </wpg:grpSpPr>
                    <wpg:grpSp>
                      <wpg:cNvPr id="14" name="Group 4"/>
                      <wpg:cNvGrpSpPr/>
                      <wpg:grpSpPr bwMode="auto">
                        <a:xfrm>
                          <a:off x="0" y="0"/>
                          <a:ext cx="7121457" cy="6026668"/>
                          <a:chOff x="0" y="0"/>
                          <a:chExt cx="4278" cy="3620"/>
                        </a:xfrm>
                      </wpg:grpSpPr>
                      <wps:wsp>
                        <wps:cNvPr id="15" name="Freeform 5"/>
                        <wps:cNvSpPr>
                          <a:spLocks/>
                        </wps:cNvSpPr>
                        <wps:spPr bwMode="auto">
                          <a:xfrm>
                            <a:off x="0" y="582"/>
                            <a:ext cx="1506" cy="3038"/>
                          </a:xfrm>
                          <a:custGeom>
                            <a:avLst/>
                            <a:gdLst>
                              <a:gd name="T0" fmla="*/ 359 w 790"/>
                              <a:gd name="T1" fmla="*/ 791 h 1597"/>
                              <a:gd name="T2" fmla="*/ 790 w 790"/>
                              <a:gd name="T3" fmla="*/ 146 h 1597"/>
                              <a:gd name="T4" fmla="*/ 644 w 790"/>
                              <a:gd name="T5" fmla="*/ 0 h 1597"/>
                              <a:gd name="T6" fmla="*/ 167 w 790"/>
                              <a:gd name="T7" fmla="*/ 712 h 1597"/>
                              <a:gd name="T8" fmla="*/ 0 w 790"/>
                              <a:gd name="T9" fmla="*/ 1552 h 1597"/>
                              <a:gd name="T10" fmla="*/ 0 w 790"/>
                              <a:gd name="T11" fmla="*/ 1552 h 1597"/>
                              <a:gd name="T12" fmla="*/ 0 w 790"/>
                              <a:gd name="T13" fmla="*/ 1597 h 1597"/>
                              <a:gd name="T14" fmla="*/ 208 w 790"/>
                              <a:gd name="T15" fmla="*/ 1597 h 1597"/>
                              <a:gd name="T16" fmla="*/ 207 w 790"/>
                              <a:gd name="T17" fmla="*/ 1552 h 1597"/>
                              <a:gd name="T18" fmla="*/ 207 w 790"/>
                              <a:gd name="T19" fmla="*/ 1552 h 1597"/>
                              <a:gd name="T20" fmla="*/ 359 w 790"/>
                              <a:gd name="T21" fmla="*/ 791 h 15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790" h="1597">
                                <a:moveTo>
                                  <a:pt x="359" y="791"/>
                                </a:moveTo>
                                <a:cubicBezTo>
                                  <a:pt x="460" y="548"/>
                                  <a:pt x="607" y="329"/>
                                  <a:pt x="790" y="146"/>
                                </a:cubicBezTo>
                                <a:cubicBezTo>
                                  <a:pt x="644" y="0"/>
                                  <a:pt x="644" y="0"/>
                                  <a:pt x="644" y="0"/>
                                </a:cubicBezTo>
                                <a:cubicBezTo>
                                  <a:pt x="442" y="202"/>
                                  <a:pt x="279" y="444"/>
                                  <a:pt x="167" y="712"/>
                                </a:cubicBezTo>
                                <a:cubicBezTo>
                                  <a:pt x="60" y="971"/>
                                  <a:pt x="0" y="1254"/>
                                  <a:pt x="0" y="1552"/>
                                </a:cubicBezTo>
                                <a:cubicBezTo>
                                  <a:pt x="0" y="1552"/>
                                  <a:pt x="0" y="1552"/>
                                  <a:pt x="0" y="1552"/>
                                </a:cubicBezTo>
                                <a:cubicBezTo>
                                  <a:pt x="0" y="1567"/>
                                  <a:pt x="0" y="1582"/>
                                  <a:pt x="0" y="1597"/>
                                </a:cubicBezTo>
                                <a:cubicBezTo>
                                  <a:pt x="208" y="1597"/>
                                  <a:pt x="208" y="1597"/>
                                  <a:pt x="208" y="1597"/>
                                </a:cubicBezTo>
                                <a:cubicBezTo>
                                  <a:pt x="207" y="1582"/>
                                  <a:pt x="207" y="1567"/>
                                  <a:pt x="207" y="1552"/>
                                </a:cubicBezTo>
                                <a:cubicBezTo>
                                  <a:pt x="207" y="1552"/>
                                  <a:pt x="207" y="1552"/>
                                  <a:pt x="207" y="1552"/>
                                </a:cubicBezTo>
                                <a:cubicBezTo>
                                  <a:pt x="207" y="1282"/>
                                  <a:pt x="261" y="1025"/>
                                  <a:pt x="359" y="791"/>
                                </a:cubicBezTo>
                                <a:close/>
                              </a:path>
                            </a:pathLst>
                          </a:custGeom>
                          <a:solidFill>
                            <a:schemeClr val="tx2"/>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6" name="Freeform 6"/>
                        <wps:cNvSpPr>
                          <a:spLocks/>
                        </wps:cNvSpPr>
                        <wps:spPr bwMode="auto">
                          <a:xfrm>
                            <a:off x="644" y="0"/>
                            <a:ext cx="3634" cy="3620"/>
                          </a:xfrm>
                          <a:custGeom>
                            <a:avLst/>
                            <a:gdLst>
                              <a:gd name="T0" fmla="*/ 1858 w 1906"/>
                              <a:gd name="T1" fmla="*/ 0 h 1903"/>
                              <a:gd name="T2" fmla="*/ 1857 w 1906"/>
                              <a:gd name="T3" fmla="*/ 0 h 1903"/>
                              <a:gd name="T4" fmla="*/ 1147 w 1906"/>
                              <a:gd name="T5" fmla="*/ 142 h 1903"/>
                              <a:gd name="T6" fmla="*/ 544 w 1906"/>
                              <a:gd name="T7" fmla="*/ 545 h 1903"/>
                              <a:gd name="T8" fmla="*/ 141 w 1906"/>
                              <a:gd name="T9" fmla="*/ 1147 h 1903"/>
                              <a:gd name="T10" fmla="*/ 0 w 1906"/>
                              <a:gd name="T11" fmla="*/ 1858 h 1903"/>
                              <a:gd name="T12" fmla="*/ 0 w 1906"/>
                              <a:gd name="T13" fmla="*/ 1858 h 1903"/>
                              <a:gd name="T14" fmla="*/ 0 w 1906"/>
                              <a:gd name="T15" fmla="*/ 1903 h 1903"/>
                              <a:gd name="T16" fmla="*/ 302 w 1906"/>
                              <a:gd name="T17" fmla="*/ 1903 h 1903"/>
                              <a:gd name="T18" fmla="*/ 301 w 1906"/>
                              <a:gd name="T19" fmla="*/ 1858 h 1903"/>
                              <a:gd name="T20" fmla="*/ 301 w 1906"/>
                              <a:gd name="T21" fmla="*/ 1858 h 1903"/>
                              <a:gd name="T22" fmla="*/ 420 w 1906"/>
                              <a:gd name="T23" fmla="*/ 1262 h 1903"/>
                              <a:gd name="T24" fmla="*/ 757 w 1906"/>
                              <a:gd name="T25" fmla="*/ 758 h 1903"/>
                              <a:gd name="T26" fmla="*/ 1262 w 1906"/>
                              <a:gd name="T27" fmla="*/ 420 h 1903"/>
                              <a:gd name="T28" fmla="*/ 1857 w 1906"/>
                              <a:gd name="T29" fmla="*/ 301 h 1903"/>
                              <a:gd name="T30" fmla="*/ 1858 w 1906"/>
                              <a:gd name="T31" fmla="*/ 301 h 1903"/>
                              <a:gd name="T32" fmla="*/ 1906 w 1906"/>
                              <a:gd name="T33" fmla="*/ 302 h 1903"/>
                              <a:gd name="T34" fmla="*/ 1906 w 1906"/>
                              <a:gd name="T35" fmla="*/ 1 h 1903"/>
                              <a:gd name="T36" fmla="*/ 1858 w 1906"/>
                              <a:gd name="T37" fmla="*/ 0 h 19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906" h="1903">
                                <a:moveTo>
                                  <a:pt x="1858" y="0"/>
                                </a:moveTo>
                                <a:cubicBezTo>
                                  <a:pt x="1857" y="0"/>
                                  <a:pt x="1857" y="0"/>
                                  <a:pt x="1857" y="0"/>
                                </a:cubicBezTo>
                                <a:cubicBezTo>
                                  <a:pt x="1606" y="0"/>
                                  <a:pt x="1366" y="50"/>
                                  <a:pt x="1147" y="142"/>
                                </a:cubicBezTo>
                                <a:cubicBezTo>
                                  <a:pt x="920" y="236"/>
                                  <a:pt x="716" y="374"/>
                                  <a:pt x="544" y="545"/>
                                </a:cubicBezTo>
                                <a:cubicBezTo>
                                  <a:pt x="373" y="716"/>
                                  <a:pt x="236" y="920"/>
                                  <a:pt x="141" y="1147"/>
                                </a:cubicBezTo>
                                <a:cubicBezTo>
                                  <a:pt x="50" y="1366"/>
                                  <a:pt x="0" y="1606"/>
                                  <a:pt x="0" y="1858"/>
                                </a:cubicBezTo>
                                <a:cubicBezTo>
                                  <a:pt x="0" y="1858"/>
                                  <a:pt x="0" y="1858"/>
                                  <a:pt x="0" y="1858"/>
                                </a:cubicBezTo>
                                <a:cubicBezTo>
                                  <a:pt x="0" y="1873"/>
                                  <a:pt x="0" y="1888"/>
                                  <a:pt x="0" y="1903"/>
                                </a:cubicBezTo>
                                <a:cubicBezTo>
                                  <a:pt x="302" y="1903"/>
                                  <a:pt x="302" y="1903"/>
                                  <a:pt x="302" y="1903"/>
                                </a:cubicBezTo>
                                <a:cubicBezTo>
                                  <a:pt x="301" y="1888"/>
                                  <a:pt x="301" y="1873"/>
                                  <a:pt x="301" y="1858"/>
                                </a:cubicBezTo>
                                <a:cubicBezTo>
                                  <a:pt x="301" y="1858"/>
                                  <a:pt x="301" y="1858"/>
                                  <a:pt x="301" y="1858"/>
                                </a:cubicBezTo>
                                <a:cubicBezTo>
                                  <a:pt x="301" y="1647"/>
                                  <a:pt x="343" y="1446"/>
                                  <a:pt x="420" y="1262"/>
                                </a:cubicBezTo>
                                <a:cubicBezTo>
                                  <a:pt x="499" y="1072"/>
                                  <a:pt x="614" y="901"/>
                                  <a:pt x="757" y="758"/>
                                </a:cubicBezTo>
                                <a:cubicBezTo>
                                  <a:pt x="901" y="614"/>
                                  <a:pt x="1072" y="499"/>
                                  <a:pt x="1262" y="420"/>
                                </a:cubicBezTo>
                                <a:cubicBezTo>
                                  <a:pt x="1445" y="344"/>
                                  <a:pt x="1647" y="301"/>
                                  <a:pt x="1857" y="301"/>
                                </a:cubicBezTo>
                                <a:cubicBezTo>
                                  <a:pt x="1858" y="301"/>
                                  <a:pt x="1858" y="301"/>
                                  <a:pt x="1858" y="301"/>
                                </a:cubicBezTo>
                                <a:cubicBezTo>
                                  <a:pt x="1874" y="301"/>
                                  <a:pt x="1890" y="301"/>
                                  <a:pt x="1906" y="302"/>
                                </a:cubicBezTo>
                                <a:cubicBezTo>
                                  <a:pt x="1906" y="1"/>
                                  <a:pt x="1906" y="1"/>
                                  <a:pt x="1906" y="1"/>
                                </a:cubicBezTo>
                                <a:cubicBezTo>
                                  <a:pt x="1890" y="0"/>
                                  <a:pt x="1874" y="0"/>
                                  <a:pt x="1858" y="0"/>
                                </a:cubicBezTo>
                                <a:close/>
                              </a:path>
                            </a:pathLst>
                          </a:custGeom>
                          <a:solidFill>
                            <a:schemeClr val="tx2">
                              <a:lumMod val="60000"/>
                              <a:lumOff val="40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7" name="Freeform 7"/>
                        <wps:cNvSpPr>
                          <a:spLocks/>
                        </wps:cNvSpPr>
                        <wps:spPr bwMode="auto">
                          <a:xfrm>
                            <a:off x="1679" y="828"/>
                            <a:ext cx="2599" cy="1795"/>
                          </a:xfrm>
                          <a:custGeom>
                            <a:avLst/>
                            <a:gdLst>
                              <a:gd name="T0" fmla="*/ 1315 w 1363"/>
                              <a:gd name="T1" fmla="*/ 0 h 944"/>
                              <a:gd name="T2" fmla="*/ 1314 w 1363"/>
                              <a:gd name="T3" fmla="*/ 0 h 944"/>
                              <a:gd name="T4" fmla="*/ 770 w 1363"/>
                              <a:gd name="T5" fmla="*/ 108 h 944"/>
                              <a:gd name="T6" fmla="*/ 309 w 1363"/>
                              <a:gd name="T7" fmla="*/ 417 h 944"/>
                              <a:gd name="T8" fmla="*/ 0 w 1363"/>
                              <a:gd name="T9" fmla="*/ 878 h 944"/>
                              <a:gd name="T10" fmla="*/ 159 w 1363"/>
                              <a:gd name="T11" fmla="*/ 944 h 944"/>
                              <a:gd name="T12" fmla="*/ 431 w 1363"/>
                              <a:gd name="T13" fmla="*/ 539 h 944"/>
                              <a:gd name="T14" fmla="*/ 836 w 1363"/>
                              <a:gd name="T15" fmla="*/ 268 h 944"/>
                              <a:gd name="T16" fmla="*/ 1314 w 1363"/>
                              <a:gd name="T17" fmla="*/ 172 h 944"/>
                              <a:gd name="T18" fmla="*/ 1315 w 1363"/>
                              <a:gd name="T19" fmla="*/ 172 h 944"/>
                              <a:gd name="T20" fmla="*/ 1363 w 1363"/>
                              <a:gd name="T21" fmla="*/ 173 h 944"/>
                              <a:gd name="T22" fmla="*/ 1363 w 1363"/>
                              <a:gd name="T23" fmla="*/ 0 h 944"/>
                              <a:gd name="T24" fmla="*/ 1315 w 1363"/>
                              <a:gd name="T25" fmla="*/ 0 h 9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363" h="944">
                                <a:moveTo>
                                  <a:pt x="1315" y="0"/>
                                </a:moveTo>
                                <a:cubicBezTo>
                                  <a:pt x="1314" y="0"/>
                                  <a:pt x="1314" y="0"/>
                                  <a:pt x="1314" y="0"/>
                                </a:cubicBezTo>
                                <a:cubicBezTo>
                                  <a:pt x="1122" y="0"/>
                                  <a:pt x="938" y="39"/>
                                  <a:pt x="770" y="108"/>
                                </a:cubicBezTo>
                                <a:cubicBezTo>
                                  <a:pt x="596" y="181"/>
                                  <a:pt x="440" y="286"/>
                                  <a:pt x="309" y="417"/>
                                </a:cubicBezTo>
                                <a:cubicBezTo>
                                  <a:pt x="178" y="548"/>
                                  <a:pt x="72" y="705"/>
                                  <a:pt x="0" y="878"/>
                                </a:cubicBezTo>
                                <a:cubicBezTo>
                                  <a:pt x="159" y="944"/>
                                  <a:pt x="159" y="944"/>
                                  <a:pt x="159" y="944"/>
                                </a:cubicBezTo>
                                <a:cubicBezTo>
                                  <a:pt x="223" y="792"/>
                                  <a:pt x="315" y="654"/>
                                  <a:pt x="431" y="539"/>
                                </a:cubicBezTo>
                                <a:cubicBezTo>
                                  <a:pt x="546" y="424"/>
                                  <a:pt x="683" y="331"/>
                                  <a:pt x="836" y="268"/>
                                </a:cubicBezTo>
                                <a:cubicBezTo>
                                  <a:pt x="984" y="206"/>
                                  <a:pt x="1145" y="172"/>
                                  <a:pt x="1314" y="172"/>
                                </a:cubicBezTo>
                                <a:cubicBezTo>
                                  <a:pt x="1315" y="172"/>
                                  <a:pt x="1315" y="172"/>
                                  <a:pt x="1315" y="172"/>
                                </a:cubicBezTo>
                                <a:cubicBezTo>
                                  <a:pt x="1331" y="172"/>
                                  <a:pt x="1347" y="173"/>
                                  <a:pt x="1363" y="173"/>
                                </a:cubicBezTo>
                                <a:cubicBezTo>
                                  <a:pt x="1363" y="0"/>
                                  <a:pt x="1363" y="0"/>
                                  <a:pt x="1363" y="0"/>
                                </a:cubicBezTo>
                                <a:cubicBezTo>
                                  <a:pt x="1347" y="0"/>
                                  <a:pt x="1331" y="0"/>
                                  <a:pt x="1315" y="0"/>
                                </a:cubicBezTo>
                                <a:close/>
                              </a:path>
                            </a:pathLst>
                          </a:custGeom>
                          <a:solidFill>
                            <a:schemeClr val="accent2"/>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grpSp>
                    <wps:wsp>
                      <wps:cNvPr id="18" name="Rectangle 23"/>
                      <wps:cNvSpPr/>
                      <wps:spPr>
                        <a:xfrm>
                          <a:off x="6923315" y="5840963"/>
                          <a:ext cx="360000" cy="360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6A72920" id="Group 13" o:spid="_x0000_s1026" style="position:absolute;margin-left:522.25pt;margin-top:0;width:573.45pt;height:488.15pt;z-index:251658255;mso-position-horizontal:right;mso-position-horizontal-relative:page;mso-position-vertical:bottom;mso-position-vertical-relative:page;mso-width-relative:margin;mso-height-relative:margin" coordsize="72833,62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">
              <v:group id="Group 4" o:spid="_x0000_s1027" style="position:absolute;width:71214;height:60266" coordsize="4278,3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Freeform 5" o:spid="_x0000_s1028" style="position:absolute;top:582;width:1506;height:3038;visibility:visible;mso-wrap-style:square;v-text-anchor:top" coordsize="790,15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" path="m359,791c460,548,607,329,790,146,644,,644,,644,,442,202,279,444,167,712,60,971,,1254,,1552v,,,,,c,1567,,1582,,1597v208,,208,,208,c207,1582,207,1567,207,1552v,,,,,c207,1282,261,1025,359,791xe" fillcolor="#4986a0 [3215]" stroked="f">
                  <v:path arrowok="t" o:connecttype="custom" o:connectlocs="684,1505;1506,278;1228,0;318,1354;0,2952;0,2952;0,3038;397,3038;395,2952;395,2952;684,1505" o:connectangles="0,0,0,0,0,0,0,0,0,0,0"/>
                </v:shape>
                <v:shape id="Freeform 6" o:spid="_x0000_s1029" style="position:absolute;left:644;width:3634;height:3620;visibility:visible;mso-wrap-style:square;v-text-anchor:top" coordsize="1906,19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" path="m1858,v-1,,-1,,-1,c1606,,1366,50,1147,142,920,236,716,374,544,545,373,716,236,920,141,1147,50,1366,,1606,,1858v,,,,,c,1873,,1888,,1903v302,,302,,302,c301,1888,301,1873,301,1858v,,,,,c301,1647,343,1446,420,1262,499,1072,614,901,757,758,901,614,1072,499,1262,420v183,-76,385,-119,595,-119c1858,301,1858,301,1858,301v16,,32,,48,1c1906,1,1906,1,1906,1,1890,,1874,,1858,xe" fillcolor="#8cb8cb [1951]" stroked="f">
                  <v:path arrowok="t" o:connecttype="custom" o:connectlocs="3542,0;3541,0;2187,270;1037,1037;269,2182;0,3534;0,3534;0,3620;576,3620;574,3534;574,3534;801,2401;1443,1442;2406,799;3541,573;3542,573;3634,574;3634,2;3542,0" o:connectangles="0,0,0,0,0,0,0,0,0,0,0,0,0,0,0,0,0,0,0"/>
                </v:shape>
                <v:shape id="Freeform 7" o:spid="_x0000_s1030" style="position:absolute;left:1679;top:828;width:2599;height:1795;visibility:visible;mso-wrap-style:square;v-text-anchor:top" coordsize="1363,9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" path="m1315,v-1,,-1,,-1,c1122,,938,39,770,108,596,181,440,286,309,417,178,548,72,705,,878v159,66,159,66,159,66c223,792,315,654,431,539,546,424,683,331,836,268v148,-62,309,-96,478,-96c1315,172,1315,172,1315,172v16,,32,1,48,1c1363,,1363,,1363,v-16,,-32,,-48,xe" fillcolor="#ce0058 [3205]" stroked="f">
                  <v:path arrowok="t" o:connecttype="custom" o:connectlocs="2507,0;2506,0;1468,205;589,793;0,1670;303,1795;822,1025;1594,510;2506,327;2507,327;2599,329;2599,0;2507,0" o:connectangles="0,0,0,0,0,0,0,0,0,0,0,0,0"/>
                </v:shape>
              </v:group>
              <v:rect id="Rectangle 23" o:spid="_x0000_s1031" style="position:absolute;left:69233;top:58409;width:360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" filled="f" stroked="f" strokeweight="1pt"/>
              <w10:wrap anchorx="page" anchory="page"/>
              <w10:anchorlock/>
            </v:group>
          </w:pict>
        </mc:Fallback>
      </mc:AlternateContent>
    </w:r>
    <w:r w:rsidR="003A30F3" w:rsidRPr="00EA47A3">
      <w:rPr>
        <w:noProof/>
        <w:lang w:eastAsia="en-AU"/>
      </w:rPr>
      <w:drawing>
        <wp:anchor distT="0" distB="431800" distL="114300" distR="114300" simplePos="0" relativeHeight="251658253" behindDoc="1" locked="1" layoutInCell="1" allowOverlap="1" wp14:anchorId="7A4963FA" wp14:editId="6C8D66C1">
          <wp:simplePos x="0" y="0"/>
          <wp:positionH relativeFrom="page">
            <wp:posOffset>720090</wp:posOffset>
          </wp:positionH>
          <wp:positionV relativeFrom="page">
            <wp:posOffset>720090</wp:posOffset>
          </wp:positionV>
          <wp:extent cx="2656800" cy="828000"/>
          <wp:effectExtent l="0" t="0" r="0" b="0"/>
          <wp:wrapTopAndBottom/>
          <wp:docPr id="1192006584" name="Picture 11920065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656800" cy="828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D9B1E1" w14:textId="49ADFF9E" w:rsidR="00AD0FF1" w:rsidRDefault="00AD0FF1">
    <w:pPr>
      <w:pStyle w:val="Header"/>
    </w:pPr>
    <w:r>
      <w:rPr>
        <w:noProof/>
      </w:rPr>
      <mc:AlternateContent>
        <mc:Choice Requires="wps">
          <w:drawing>
            <wp:anchor distT="0" distB="0" distL="0" distR="0" simplePos="0" relativeHeight="251658242" behindDoc="0" locked="0" layoutInCell="1" allowOverlap="1" wp14:anchorId="33343028" wp14:editId="2930FC58">
              <wp:simplePos x="635" y="635"/>
              <wp:positionH relativeFrom="page">
                <wp:align>center</wp:align>
              </wp:positionH>
              <wp:positionV relativeFrom="page">
                <wp:align>top</wp:align>
              </wp:positionV>
              <wp:extent cx="551815" cy="552450"/>
              <wp:effectExtent l="0" t="0" r="635" b="0"/>
              <wp:wrapNone/>
              <wp:docPr id="908796713" name="Text Box 2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552450"/>
                      </a:xfrm>
                      <a:prstGeom prst="rect">
                        <a:avLst/>
                      </a:prstGeom>
                      <a:noFill/>
                      <a:ln>
                        <a:noFill/>
                      </a:ln>
                    </wps:spPr>
                    <wps:txbx>
                      <w:txbxContent>
                        <w:p w14:paraId="480576CF" w14:textId="763FC333" w:rsidR="00AD0FF1" w:rsidRPr="00AD0FF1" w:rsidRDefault="00AD0FF1" w:rsidP="00AD0FF1">
                          <w:pPr>
                            <w:spacing w:after="0"/>
                            <w:rPr>
                              <w:rFonts w:ascii="Calibri" w:eastAsia="Calibri" w:hAnsi="Calibri" w:cs="Calibri"/>
                              <w:noProof/>
                              <w:color w:val="FF0000"/>
                              <w:sz w:val="24"/>
                              <w:szCs w:val="24"/>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3343028" id="_x0000_t202" coordsize="21600,21600" o:spt="202" path="m,l,21600r21600,l21600,xe">
              <v:stroke joinstyle="miter"/>
              <v:path gradientshapeok="t" o:connecttype="rect"/>
            </v:shapetype>
            <v:shape id="Text Box 24" o:spid="_x0000_s1045" type="#_x0000_t202" alt="OFFICIAL" style="position:absolute;margin-left:0;margin-top:0;width:43.45pt;height:43.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" filled="f" stroked="f">
              <v:textbox style="mso-fit-shape-to-text:t" inset="0,15pt,0,0">
                <w:txbxContent>
                  <w:p w14:paraId="480576CF" w14:textId="763FC333" w:rsidR="00AD0FF1" w:rsidRPr="00AD0FF1" w:rsidRDefault="00AD0FF1" w:rsidP="00AD0FF1">
                    <w:pPr>
                      <w:spacing w:after="0"/>
                      <w:rPr>
                        <w:rFonts w:ascii="Calibri" w:eastAsia="Calibri" w:hAnsi="Calibri" w:cs="Calibri"/>
                        <w:noProof/>
                        <w:color w:val="FF0000"/>
                        <w:sz w:val="24"/>
                        <w:szCs w:val="24"/>
                      </w:rPr>
                    </w:pPr>
                  </w:p>
                </w:txbxContent>
              </v:textbox>
              <w10:wrap anchorx="page" anchory="page"/>
            </v:shape>
          </w:pict>
        </mc:Fallback>
      </mc:AlternateConten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B04CD1" w14:textId="636758A4" w:rsidR="00AD0FF1" w:rsidRDefault="00AD0FF1">
    <w:pPr>
      <w:pStyle w:val="Header"/>
    </w:pPr>
    <w:r>
      <w:rPr>
        <w:noProof/>
      </w:rPr>
      <mc:AlternateContent>
        <mc:Choice Requires="wps">
          <w:drawing>
            <wp:anchor distT="0" distB="0" distL="0" distR="0" simplePos="0" relativeHeight="251658240" behindDoc="0" locked="0" layoutInCell="1" allowOverlap="1" wp14:anchorId="0EC07109" wp14:editId="6A094714">
              <wp:simplePos x="635" y="635"/>
              <wp:positionH relativeFrom="page">
                <wp:align>center</wp:align>
              </wp:positionH>
              <wp:positionV relativeFrom="page">
                <wp:align>top</wp:align>
              </wp:positionV>
              <wp:extent cx="551815" cy="552450"/>
              <wp:effectExtent l="0" t="0" r="635" b="0"/>
              <wp:wrapNone/>
              <wp:docPr id="331052302" name="Text Box 2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552450"/>
                      </a:xfrm>
                      <a:prstGeom prst="rect">
                        <a:avLst/>
                      </a:prstGeom>
                      <a:noFill/>
                      <a:ln>
                        <a:noFill/>
                      </a:ln>
                    </wps:spPr>
                    <wps:txbx>
                      <w:txbxContent>
                        <w:p w14:paraId="09905E1F" w14:textId="02778E54" w:rsidR="00AD0FF1" w:rsidRPr="00AD0FF1" w:rsidRDefault="00AD0FF1" w:rsidP="00AD0FF1">
                          <w:pPr>
                            <w:spacing w:after="0"/>
                            <w:rPr>
                              <w:rFonts w:ascii="Calibri" w:eastAsia="Calibri" w:hAnsi="Calibri" w:cs="Calibri"/>
                              <w:noProof/>
                              <w:color w:val="FF0000"/>
                              <w:sz w:val="24"/>
                              <w:szCs w:val="24"/>
                            </w:rPr>
                          </w:pPr>
                          <w:r w:rsidRPr="00AD0FF1">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EC07109" id="_x0000_t202" coordsize="21600,21600" o:spt="202" path="m,l,21600r21600,l21600,xe">
              <v:stroke joinstyle="miter"/>
              <v:path gradientshapeok="t" o:connecttype="rect"/>
            </v:shapetype>
            <v:shape id="Text Box 22" o:spid="_x0000_s1046" type="#_x0000_t202" alt="OFFICIAL" style="position:absolute;margin-left:0;margin-top:0;width:43.45pt;height:43.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" filled="f" stroked="f">
              <v:textbox style="mso-fit-shape-to-text:t" inset="0,15pt,0,0">
                <w:txbxContent>
                  <w:p w14:paraId="09905E1F" w14:textId="02778E54" w:rsidR="00AD0FF1" w:rsidRPr="00AD0FF1" w:rsidRDefault="00AD0FF1" w:rsidP="00AD0FF1">
                    <w:pPr>
                      <w:spacing w:after="0"/>
                      <w:rPr>
                        <w:rFonts w:ascii="Calibri" w:eastAsia="Calibri" w:hAnsi="Calibri" w:cs="Calibri"/>
                        <w:noProof/>
                        <w:color w:val="FF0000"/>
                        <w:sz w:val="24"/>
                        <w:szCs w:val="24"/>
                      </w:rPr>
                    </w:pPr>
                    <w:r w:rsidRPr="00AD0FF1">
                      <w:rPr>
                        <w:rFonts w:ascii="Calibri" w:eastAsia="Calibri" w:hAnsi="Calibri" w:cs="Calibri"/>
                        <w:noProof/>
                        <w:color w:val="FF0000"/>
                        <w:sz w:val="24"/>
                        <w:szCs w:val="24"/>
                      </w:rPr>
                      <w:t>OFFICIAL</w:t>
                    </w:r>
                  </w:p>
                </w:txbxContent>
              </v:textbox>
              <w10:wrap anchorx="page" anchory="page"/>
            </v:shape>
          </w:pict>
        </mc:Fallback>
      </mc:AlternateConten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B285F1" w14:textId="29396C0F" w:rsidR="00AD0FF1" w:rsidRDefault="00AD0FF1">
    <w:pPr>
      <w:pStyle w:val="Header"/>
    </w:pPr>
    <w:r>
      <w:rPr>
        <w:noProof/>
      </w:rPr>
      <mc:AlternateContent>
        <mc:Choice Requires="wps">
          <w:drawing>
            <wp:anchor distT="0" distB="0" distL="0" distR="0" simplePos="0" relativeHeight="251658244" behindDoc="0" locked="0" layoutInCell="1" allowOverlap="1" wp14:anchorId="1AF35118" wp14:editId="4DFD5220">
              <wp:simplePos x="635" y="635"/>
              <wp:positionH relativeFrom="page">
                <wp:align>center</wp:align>
              </wp:positionH>
              <wp:positionV relativeFrom="page">
                <wp:align>top</wp:align>
              </wp:positionV>
              <wp:extent cx="551815" cy="552450"/>
              <wp:effectExtent l="0" t="0" r="635" b="0"/>
              <wp:wrapNone/>
              <wp:docPr id="109500802" name="Text Box 2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552450"/>
                      </a:xfrm>
                      <a:prstGeom prst="rect">
                        <a:avLst/>
                      </a:prstGeom>
                      <a:noFill/>
                      <a:ln>
                        <a:noFill/>
                      </a:ln>
                    </wps:spPr>
                    <wps:txbx>
                      <w:txbxContent>
                        <w:p w14:paraId="02DC2AB2" w14:textId="535E9973" w:rsidR="00AD0FF1" w:rsidRPr="00AD0FF1" w:rsidRDefault="00AD0FF1" w:rsidP="00AD0FF1">
                          <w:pPr>
                            <w:spacing w:after="0"/>
                            <w:rPr>
                              <w:rFonts w:ascii="Calibri" w:eastAsia="Calibri" w:hAnsi="Calibri" w:cs="Calibri"/>
                              <w:noProof/>
                              <w:color w:val="FF0000"/>
                              <w:sz w:val="24"/>
                              <w:szCs w:val="24"/>
                            </w:rPr>
                          </w:pPr>
                          <w:r w:rsidRPr="00AD0FF1">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AF35118" id="_x0000_t202" coordsize="21600,21600" o:spt="202" path="m,l,21600r21600,l21600,xe">
              <v:stroke joinstyle="miter"/>
              <v:path gradientshapeok="t" o:connecttype="rect"/>
            </v:shapetype>
            <v:shape id="Text Box 26" o:spid="_x0000_s1047" type="#_x0000_t202" alt="OFFICIAL" style="position:absolute;margin-left:0;margin-top:0;width:43.45pt;height:43.5pt;z-index:2516582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" filled="f" stroked="f">
              <v:textbox style="mso-fit-shape-to-text:t" inset="0,15pt,0,0">
                <w:txbxContent>
                  <w:p w14:paraId="02DC2AB2" w14:textId="535E9973" w:rsidR="00AD0FF1" w:rsidRPr="00AD0FF1" w:rsidRDefault="00AD0FF1" w:rsidP="00AD0FF1">
                    <w:pPr>
                      <w:spacing w:after="0"/>
                      <w:rPr>
                        <w:rFonts w:ascii="Calibri" w:eastAsia="Calibri" w:hAnsi="Calibri" w:cs="Calibri"/>
                        <w:noProof/>
                        <w:color w:val="FF0000"/>
                        <w:sz w:val="24"/>
                        <w:szCs w:val="24"/>
                      </w:rPr>
                    </w:pPr>
                    <w:r w:rsidRPr="00AD0FF1">
                      <w:rPr>
                        <w:rFonts w:ascii="Calibri" w:eastAsia="Calibri" w:hAnsi="Calibri" w:cs="Calibri"/>
                        <w:noProof/>
                        <w:color w:val="FF0000"/>
                        <w:sz w:val="24"/>
                        <w:szCs w:val="24"/>
                      </w:rPr>
                      <w:t>OFFICIAL</w:t>
                    </w:r>
                  </w:p>
                </w:txbxContent>
              </v:textbox>
              <w10:wrap anchorx="page" anchory="page"/>
            </v:shape>
          </w:pict>
        </mc:Fallback>
      </mc:AlternateConten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AB6BEE" w14:textId="57DF36E6" w:rsidR="00AD0FF1" w:rsidRDefault="00AD0FF1">
    <w:pPr>
      <w:pStyle w:val="Header"/>
    </w:pPr>
    <w:r>
      <w:rPr>
        <w:noProof/>
      </w:rPr>
      <mc:AlternateContent>
        <mc:Choice Requires="wps">
          <w:drawing>
            <wp:anchor distT="0" distB="0" distL="0" distR="0" simplePos="0" relativeHeight="251658245" behindDoc="0" locked="0" layoutInCell="1" allowOverlap="1" wp14:anchorId="2949EBA6" wp14:editId="2923F7F5">
              <wp:simplePos x="635" y="635"/>
              <wp:positionH relativeFrom="page">
                <wp:align>center</wp:align>
              </wp:positionH>
              <wp:positionV relativeFrom="page">
                <wp:align>top</wp:align>
              </wp:positionV>
              <wp:extent cx="551815" cy="552450"/>
              <wp:effectExtent l="0" t="0" r="635" b="0"/>
              <wp:wrapNone/>
              <wp:docPr id="1961595338" name="Text Box 2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552450"/>
                      </a:xfrm>
                      <a:prstGeom prst="rect">
                        <a:avLst/>
                      </a:prstGeom>
                      <a:noFill/>
                      <a:ln>
                        <a:noFill/>
                      </a:ln>
                    </wps:spPr>
                    <wps:txbx>
                      <w:txbxContent>
                        <w:p w14:paraId="4EFD266F" w14:textId="322AE95B" w:rsidR="00AD0FF1" w:rsidRPr="00AD0FF1" w:rsidRDefault="00AD0FF1" w:rsidP="00AD0FF1">
                          <w:pPr>
                            <w:spacing w:after="0"/>
                            <w:rPr>
                              <w:rFonts w:ascii="Calibri" w:eastAsia="Calibri" w:hAnsi="Calibri" w:cs="Calibri"/>
                              <w:noProof/>
                              <w:color w:val="FF0000"/>
                              <w:sz w:val="24"/>
                              <w:szCs w:val="24"/>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949EBA6" id="_x0000_t202" coordsize="21600,21600" o:spt="202" path="m,l,21600r21600,l21600,xe">
              <v:stroke joinstyle="miter"/>
              <v:path gradientshapeok="t" o:connecttype="rect"/>
            </v:shapetype>
            <v:shape id="Text Box 27" o:spid="_x0000_s1048" type="#_x0000_t202" alt="OFFICIAL" style="position:absolute;margin-left:0;margin-top:0;width:43.45pt;height:43.5pt;z-index:251658245;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" filled="f" stroked="f">
              <v:textbox style="mso-fit-shape-to-text:t" inset="0,15pt,0,0">
                <w:txbxContent>
                  <w:p w14:paraId="4EFD266F" w14:textId="322AE95B" w:rsidR="00AD0FF1" w:rsidRPr="00AD0FF1" w:rsidRDefault="00AD0FF1" w:rsidP="00AD0FF1">
                    <w:pPr>
                      <w:spacing w:after="0"/>
                      <w:rPr>
                        <w:rFonts w:ascii="Calibri" w:eastAsia="Calibri" w:hAnsi="Calibri" w:cs="Calibri"/>
                        <w:noProof/>
                        <w:color w:val="FF0000"/>
                        <w:sz w:val="24"/>
                        <w:szCs w:val="24"/>
                      </w:rPr>
                    </w:pPr>
                  </w:p>
                </w:txbxContent>
              </v:textbox>
              <w10:wrap anchorx="page" anchory="page"/>
            </v:shape>
          </w:pict>
        </mc:Fallback>
      </mc:AlternateConten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CA224A" w14:textId="1B911E23" w:rsidR="00AD0FF1" w:rsidRDefault="00AD0FF1">
    <w:pPr>
      <w:pStyle w:val="Header"/>
    </w:pPr>
    <w:r>
      <w:rPr>
        <w:noProof/>
      </w:rPr>
      <mc:AlternateContent>
        <mc:Choice Requires="wps">
          <w:drawing>
            <wp:anchor distT="0" distB="0" distL="0" distR="0" simplePos="0" relativeHeight="251658243" behindDoc="0" locked="0" layoutInCell="1" allowOverlap="1" wp14:anchorId="293DF4AA" wp14:editId="12FA1091">
              <wp:simplePos x="635" y="635"/>
              <wp:positionH relativeFrom="page">
                <wp:align>center</wp:align>
              </wp:positionH>
              <wp:positionV relativeFrom="page">
                <wp:align>top</wp:align>
              </wp:positionV>
              <wp:extent cx="551815" cy="552450"/>
              <wp:effectExtent l="0" t="0" r="635" b="0"/>
              <wp:wrapNone/>
              <wp:docPr id="832832899" name="Text Box 2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552450"/>
                      </a:xfrm>
                      <a:prstGeom prst="rect">
                        <a:avLst/>
                      </a:prstGeom>
                      <a:noFill/>
                      <a:ln>
                        <a:noFill/>
                      </a:ln>
                    </wps:spPr>
                    <wps:txbx>
                      <w:txbxContent>
                        <w:p w14:paraId="56F2C99B" w14:textId="3B2D35EC" w:rsidR="00AD0FF1" w:rsidRPr="00AD0FF1" w:rsidRDefault="00AD0FF1" w:rsidP="00AD0FF1">
                          <w:pPr>
                            <w:spacing w:after="0"/>
                            <w:rPr>
                              <w:rFonts w:ascii="Calibri" w:eastAsia="Calibri" w:hAnsi="Calibri" w:cs="Calibri"/>
                              <w:noProof/>
                              <w:color w:val="FF0000"/>
                              <w:sz w:val="24"/>
                              <w:szCs w:val="24"/>
                            </w:rPr>
                          </w:pPr>
                          <w:r w:rsidRPr="00AD0FF1">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93DF4AA" id="_x0000_t202" coordsize="21600,21600" o:spt="202" path="m,l,21600r21600,l21600,xe">
              <v:stroke joinstyle="miter"/>
              <v:path gradientshapeok="t" o:connecttype="rect"/>
            </v:shapetype>
            <v:shape id="Text Box 25" o:spid="_x0000_s1049" type="#_x0000_t202" alt="OFFICIAL" style="position:absolute;margin-left:0;margin-top:0;width:43.45pt;height:43.5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" filled="f" stroked="f">
              <v:textbox style="mso-fit-shape-to-text:t" inset="0,15pt,0,0">
                <w:txbxContent>
                  <w:p w14:paraId="56F2C99B" w14:textId="3B2D35EC" w:rsidR="00AD0FF1" w:rsidRPr="00AD0FF1" w:rsidRDefault="00AD0FF1" w:rsidP="00AD0FF1">
                    <w:pPr>
                      <w:spacing w:after="0"/>
                      <w:rPr>
                        <w:rFonts w:ascii="Calibri" w:eastAsia="Calibri" w:hAnsi="Calibri" w:cs="Calibri"/>
                        <w:noProof/>
                        <w:color w:val="FF0000"/>
                        <w:sz w:val="24"/>
                        <w:szCs w:val="24"/>
                      </w:rPr>
                    </w:pPr>
                    <w:r w:rsidRPr="00AD0FF1">
                      <w:rPr>
                        <w:rFonts w:ascii="Calibri" w:eastAsia="Calibri" w:hAnsi="Calibri" w:cs="Calibri"/>
                        <w:noProof/>
                        <w:color w:val="FF0000"/>
                        <w:sz w:val="24"/>
                        <w:szCs w:val="24"/>
                      </w:rPr>
                      <w:t>OFFICIAL</w:t>
                    </w:r>
                  </w:p>
                </w:txbxContent>
              </v:textbox>
              <w10:wrap anchorx="page" anchory="page"/>
            </v:shape>
          </w:pict>
        </mc:Fallback>
      </mc:AlternateConten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C97B96" w14:textId="165E0108" w:rsidR="00AD0FF1" w:rsidRDefault="00AD0FF1">
    <w:pPr>
      <w:pStyle w:val="Header"/>
    </w:pPr>
    <w:r>
      <w:rPr>
        <w:noProof/>
      </w:rPr>
      <mc:AlternateContent>
        <mc:Choice Requires="wps">
          <w:drawing>
            <wp:anchor distT="0" distB="0" distL="0" distR="0" simplePos="0" relativeHeight="251658247" behindDoc="0" locked="0" layoutInCell="1" allowOverlap="1" wp14:anchorId="2F5A4F4C" wp14:editId="707FC1D2">
              <wp:simplePos x="635" y="635"/>
              <wp:positionH relativeFrom="page">
                <wp:align>center</wp:align>
              </wp:positionH>
              <wp:positionV relativeFrom="page">
                <wp:align>top</wp:align>
              </wp:positionV>
              <wp:extent cx="551815" cy="552450"/>
              <wp:effectExtent l="0" t="0" r="635" b="0"/>
              <wp:wrapNone/>
              <wp:docPr id="133969931" name="Text Box 2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552450"/>
                      </a:xfrm>
                      <a:prstGeom prst="rect">
                        <a:avLst/>
                      </a:prstGeom>
                      <a:noFill/>
                      <a:ln>
                        <a:noFill/>
                      </a:ln>
                    </wps:spPr>
                    <wps:txbx>
                      <w:txbxContent>
                        <w:p w14:paraId="75C0ECC0" w14:textId="05478361" w:rsidR="00AD0FF1" w:rsidRPr="00AD0FF1" w:rsidRDefault="00AD0FF1" w:rsidP="00AD0FF1">
                          <w:pPr>
                            <w:spacing w:after="0"/>
                            <w:rPr>
                              <w:rFonts w:ascii="Calibri" w:eastAsia="Calibri" w:hAnsi="Calibri" w:cs="Calibri"/>
                              <w:noProof/>
                              <w:color w:val="FF0000"/>
                              <w:sz w:val="24"/>
                              <w:szCs w:val="24"/>
                            </w:rPr>
                          </w:pPr>
                          <w:r w:rsidRPr="00AD0FF1">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F5A4F4C" id="_x0000_t202" coordsize="21600,21600" o:spt="202" path="m,l,21600r21600,l21600,xe">
              <v:stroke joinstyle="miter"/>
              <v:path gradientshapeok="t" o:connecttype="rect"/>
            </v:shapetype>
            <v:shape id="Text Box 29" o:spid="_x0000_s1050" type="#_x0000_t202" alt="OFFICIAL" style="position:absolute;margin-left:0;margin-top:0;width:43.45pt;height:43.5pt;z-index:251658247;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" filled="f" stroked="f">
              <v:textbox style="mso-fit-shape-to-text:t" inset="0,15pt,0,0">
                <w:txbxContent>
                  <w:p w14:paraId="75C0ECC0" w14:textId="05478361" w:rsidR="00AD0FF1" w:rsidRPr="00AD0FF1" w:rsidRDefault="00AD0FF1" w:rsidP="00AD0FF1">
                    <w:pPr>
                      <w:spacing w:after="0"/>
                      <w:rPr>
                        <w:rFonts w:ascii="Calibri" w:eastAsia="Calibri" w:hAnsi="Calibri" w:cs="Calibri"/>
                        <w:noProof/>
                        <w:color w:val="FF0000"/>
                        <w:sz w:val="24"/>
                        <w:szCs w:val="24"/>
                      </w:rPr>
                    </w:pPr>
                    <w:r w:rsidRPr="00AD0FF1">
                      <w:rPr>
                        <w:rFonts w:ascii="Calibri" w:eastAsia="Calibri" w:hAnsi="Calibri" w:cs="Calibri"/>
                        <w:noProof/>
                        <w:color w:val="FF0000"/>
                        <w:sz w:val="24"/>
                        <w:szCs w:val="24"/>
                      </w:rPr>
                      <w:t>OFFICIAL</w:t>
                    </w:r>
                  </w:p>
                </w:txbxContent>
              </v:textbox>
              <w10:wrap anchorx="page" anchory="page"/>
            </v:shape>
          </w:pict>
        </mc:Fallback>
      </mc:AlternateConten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8786B3" w14:textId="219B5227" w:rsidR="00AD0FF1" w:rsidRDefault="00AD0FF1">
    <w:pPr>
      <w:pStyle w:val="Header"/>
    </w:pPr>
    <w:r>
      <w:rPr>
        <w:noProof/>
      </w:rPr>
      <mc:AlternateContent>
        <mc:Choice Requires="wps">
          <w:drawing>
            <wp:anchor distT="0" distB="0" distL="0" distR="0" simplePos="0" relativeHeight="251658248" behindDoc="0" locked="0" layoutInCell="1" allowOverlap="1" wp14:anchorId="5EAB5B7D" wp14:editId="5CE1D5FD">
              <wp:simplePos x="635" y="635"/>
              <wp:positionH relativeFrom="page">
                <wp:align>center</wp:align>
              </wp:positionH>
              <wp:positionV relativeFrom="page">
                <wp:align>top</wp:align>
              </wp:positionV>
              <wp:extent cx="551815" cy="552450"/>
              <wp:effectExtent l="0" t="0" r="635" b="0"/>
              <wp:wrapNone/>
              <wp:docPr id="1589617732" name="Text Box 30"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552450"/>
                      </a:xfrm>
                      <a:prstGeom prst="rect">
                        <a:avLst/>
                      </a:prstGeom>
                      <a:noFill/>
                      <a:ln>
                        <a:noFill/>
                      </a:ln>
                    </wps:spPr>
                    <wps:txbx>
                      <w:txbxContent>
                        <w:p w14:paraId="5EAE3FB6" w14:textId="1712330B" w:rsidR="00AD0FF1" w:rsidRPr="00AD0FF1" w:rsidRDefault="00AD0FF1" w:rsidP="00AD0FF1">
                          <w:pPr>
                            <w:spacing w:after="0"/>
                            <w:rPr>
                              <w:rFonts w:ascii="Calibri" w:eastAsia="Calibri" w:hAnsi="Calibri" w:cs="Calibri"/>
                              <w:noProof/>
                              <w:color w:val="FF0000"/>
                              <w:sz w:val="24"/>
                              <w:szCs w:val="24"/>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EAB5B7D" id="_x0000_t202" coordsize="21600,21600" o:spt="202" path="m,l,21600r21600,l21600,xe">
              <v:stroke joinstyle="miter"/>
              <v:path gradientshapeok="t" o:connecttype="rect"/>
            </v:shapetype>
            <v:shape id="Text Box 30" o:spid="_x0000_s1051" type="#_x0000_t202" alt="OFFICIAL" style="position:absolute;margin-left:0;margin-top:0;width:43.45pt;height:43.5pt;z-index:25165824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" filled="f" stroked="f">
              <v:textbox style="mso-fit-shape-to-text:t" inset="0,15pt,0,0">
                <w:txbxContent>
                  <w:p w14:paraId="5EAE3FB6" w14:textId="1712330B" w:rsidR="00AD0FF1" w:rsidRPr="00AD0FF1" w:rsidRDefault="00AD0FF1" w:rsidP="00AD0FF1">
                    <w:pPr>
                      <w:spacing w:after="0"/>
                      <w:rPr>
                        <w:rFonts w:ascii="Calibri" w:eastAsia="Calibri" w:hAnsi="Calibri" w:cs="Calibri"/>
                        <w:noProof/>
                        <w:color w:val="FF0000"/>
                        <w:sz w:val="24"/>
                        <w:szCs w:val="24"/>
                      </w:rPr>
                    </w:pPr>
                  </w:p>
                </w:txbxContent>
              </v:textbox>
              <w10:wrap anchorx="page" anchory="page"/>
            </v:shape>
          </w:pict>
        </mc:Fallback>
      </mc:AlternateConten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7D2DCA" w14:textId="7A6D36C3" w:rsidR="00AD0FF1" w:rsidRDefault="00AD0FF1">
    <w:pPr>
      <w:pStyle w:val="Header"/>
    </w:pPr>
    <w:r>
      <w:rPr>
        <w:noProof/>
      </w:rPr>
      <mc:AlternateContent>
        <mc:Choice Requires="wps">
          <w:drawing>
            <wp:anchor distT="0" distB="0" distL="0" distR="0" simplePos="0" relativeHeight="251658246" behindDoc="0" locked="0" layoutInCell="1" allowOverlap="1" wp14:anchorId="4ADABFAA" wp14:editId="6515AEDB">
              <wp:simplePos x="635" y="635"/>
              <wp:positionH relativeFrom="page">
                <wp:align>center</wp:align>
              </wp:positionH>
              <wp:positionV relativeFrom="page">
                <wp:align>top</wp:align>
              </wp:positionV>
              <wp:extent cx="551815" cy="552450"/>
              <wp:effectExtent l="0" t="0" r="635" b="0"/>
              <wp:wrapNone/>
              <wp:docPr id="1957919368" name="Text Box 2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552450"/>
                      </a:xfrm>
                      <a:prstGeom prst="rect">
                        <a:avLst/>
                      </a:prstGeom>
                      <a:noFill/>
                      <a:ln>
                        <a:noFill/>
                      </a:ln>
                    </wps:spPr>
                    <wps:txbx>
                      <w:txbxContent>
                        <w:p w14:paraId="6FC9B171" w14:textId="27A920D5" w:rsidR="00AD0FF1" w:rsidRPr="00AD0FF1" w:rsidRDefault="00AD0FF1" w:rsidP="00AD0FF1">
                          <w:pPr>
                            <w:spacing w:after="0"/>
                            <w:rPr>
                              <w:rFonts w:ascii="Calibri" w:eastAsia="Calibri" w:hAnsi="Calibri" w:cs="Calibri"/>
                              <w:noProof/>
                              <w:color w:val="FF0000"/>
                              <w:sz w:val="24"/>
                              <w:szCs w:val="24"/>
                            </w:rPr>
                          </w:pPr>
                          <w:r w:rsidRPr="00AD0FF1">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ADABFAA" id="_x0000_t202" coordsize="21600,21600" o:spt="202" path="m,l,21600r21600,l21600,xe">
              <v:stroke joinstyle="miter"/>
              <v:path gradientshapeok="t" o:connecttype="rect"/>
            </v:shapetype>
            <v:shape id="Text Box 28" o:spid="_x0000_s1052" type="#_x0000_t202" alt="OFFICIAL" style="position:absolute;margin-left:0;margin-top:0;width:43.45pt;height:43.5pt;z-index:25165824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" filled="f" stroked="f">
              <v:textbox style="mso-fit-shape-to-text:t" inset="0,15pt,0,0">
                <w:txbxContent>
                  <w:p w14:paraId="6FC9B171" w14:textId="27A920D5" w:rsidR="00AD0FF1" w:rsidRPr="00AD0FF1" w:rsidRDefault="00AD0FF1" w:rsidP="00AD0FF1">
                    <w:pPr>
                      <w:spacing w:after="0"/>
                      <w:rPr>
                        <w:rFonts w:ascii="Calibri" w:eastAsia="Calibri" w:hAnsi="Calibri" w:cs="Calibri"/>
                        <w:noProof/>
                        <w:color w:val="FF0000"/>
                        <w:sz w:val="24"/>
                        <w:szCs w:val="24"/>
                      </w:rPr>
                    </w:pPr>
                    <w:r w:rsidRPr="00AD0FF1">
                      <w:rPr>
                        <w:rFonts w:ascii="Calibri" w:eastAsia="Calibri" w:hAnsi="Calibri" w:cs="Calibri"/>
                        <w:noProof/>
                        <w:color w:val="FF0000"/>
                        <w:sz w:val="24"/>
                        <w:szCs w:val="24"/>
                      </w:rPr>
                      <w:t>OFFICIAL</w:t>
                    </w:r>
                  </w:p>
                </w:txbxContent>
              </v:textbox>
              <w10:wrap anchorx="page" anchory="page"/>
            </v:shape>
          </w:pict>
        </mc:Fallback>
      </mc:AlternateConten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8F8CA" w14:textId="582C7696" w:rsidR="00AD0FF1" w:rsidRDefault="00AD0FF1">
    <w:pPr>
      <w:pStyle w:val="Header"/>
    </w:pPr>
    <w:r>
      <w:rPr>
        <w:noProof/>
      </w:rPr>
      <mc:AlternateContent>
        <mc:Choice Requires="wps">
          <w:drawing>
            <wp:anchor distT="0" distB="0" distL="0" distR="0" simplePos="0" relativeHeight="251658281" behindDoc="0" locked="0" layoutInCell="1" allowOverlap="1" wp14:anchorId="3CCE38DA" wp14:editId="7D48EE97">
              <wp:simplePos x="635" y="635"/>
              <wp:positionH relativeFrom="page">
                <wp:align>center</wp:align>
              </wp:positionH>
              <wp:positionV relativeFrom="page">
                <wp:align>top</wp:align>
              </wp:positionV>
              <wp:extent cx="551815" cy="552450"/>
              <wp:effectExtent l="0" t="0" r="635" b="0"/>
              <wp:wrapNone/>
              <wp:docPr id="886407712" name="Text Box 3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552450"/>
                      </a:xfrm>
                      <a:prstGeom prst="rect">
                        <a:avLst/>
                      </a:prstGeom>
                      <a:noFill/>
                      <a:ln>
                        <a:noFill/>
                      </a:ln>
                    </wps:spPr>
                    <wps:txbx>
                      <w:txbxContent>
                        <w:p w14:paraId="3484E0E7" w14:textId="68B4CA45" w:rsidR="00AD0FF1" w:rsidRPr="00AD0FF1" w:rsidRDefault="00AD0FF1" w:rsidP="00AD0FF1">
                          <w:pPr>
                            <w:spacing w:after="0"/>
                            <w:rPr>
                              <w:rFonts w:ascii="Calibri" w:eastAsia="Calibri" w:hAnsi="Calibri" w:cs="Calibri"/>
                              <w:noProof/>
                              <w:color w:val="FF0000"/>
                              <w:sz w:val="24"/>
                              <w:szCs w:val="24"/>
                            </w:rPr>
                          </w:pPr>
                          <w:r w:rsidRPr="00AD0FF1">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CCE38DA" id="_x0000_t202" coordsize="21600,21600" o:spt="202" path="m,l,21600r21600,l21600,xe">
              <v:stroke joinstyle="miter"/>
              <v:path gradientshapeok="t" o:connecttype="rect"/>
            </v:shapetype>
            <v:shape id="Text Box 32" o:spid="_x0000_s1053" type="#_x0000_t202" alt="OFFICIAL" style="position:absolute;margin-left:0;margin-top:0;width:43.45pt;height:43.5pt;z-index:25165828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" filled="f" stroked="f">
              <v:textbox style="mso-fit-shape-to-text:t" inset="0,15pt,0,0">
                <w:txbxContent>
                  <w:p w14:paraId="3484E0E7" w14:textId="68B4CA45" w:rsidR="00AD0FF1" w:rsidRPr="00AD0FF1" w:rsidRDefault="00AD0FF1" w:rsidP="00AD0FF1">
                    <w:pPr>
                      <w:spacing w:after="0"/>
                      <w:rPr>
                        <w:rFonts w:ascii="Calibri" w:eastAsia="Calibri" w:hAnsi="Calibri" w:cs="Calibri"/>
                        <w:noProof/>
                        <w:color w:val="FF0000"/>
                        <w:sz w:val="24"/>
                        <w:szCs w:val="24"/>
                      </w:rPr>
                    </w:pPr>
                    <w:r w:rsidRPr="00AD0FF1">
                      <w:rPr>
                        <w:rFonts w:ascii="Calibri" w:eastAsia="Calibri" w:hAnsi="Calibri" w:cs="Calibri"/>
                        <w:noProof/>
                        <w:color w:val="FF0000"/>
                        <w:sz w:val="24"/>
                        <w:szCs w:val="24"/>
                      </w:rPr>
                      <w:t>OFFICIAL</w:t>
                    </w:r>
                  </w:p>
                </w:txbxContent>
              </v:textbox>
              <w10:wrap anchorx="page" anchory="page"/>
            </v:shape>
          </w:pict>
        </mc:Fallback>
      </mc:AlternateConten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58D4CF" w14:textId="6A0B50FC" w:rsidR="00AD0FF1" w:rsidRDefault="00AD0FF1">
    <w:pPr>
      <w:pStyle w:val="Header"/>
    </w:pPr>
    <w:r>
      <w:rPr>
        <w:noProof/>
      </w:rPr>
      <mc:AlternateContent>
        <mc:Choice Requires="wps">
          <w:drawing>
            <wp:anchor distT="0" distB="0" distL="0" distR="0" simplePos="0" relativeHeight="251658282" behindDoc="0" locked="0" layoutInCell="1" allowOverlap="1" wp14:anchorId="4F2EBB2C" wp14:editId="1A9B5984">
              <wp:simplePos x="635" y="635"/>
              <wp:positionH relativeFrom="page">
                <wp:align>center</wp:align>
              </wp:positionH>
              <wp:positionV relativeFrom="page">
                <wp:align>top</wp:align>
              </wp:positionV>
              <wp:extent cx="551815" cy="552450"/>
              <wp:effectExtent l="0" t="0" r="635" b="0"/>
              <wp:wrapNone/>
              <wp:docPr id="1079902859" name="Text Box 3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552450"/>
                      </a:xfrm>
                      <a:prstGeom prst="rect">
                        <a:avLst/>
                      </a:prstGeom>
                      <a:noFill/>
                      <a:ln>
                        <a:noFill/>
                      </a:ln>
                    </wps:spPr>
                    <wps:txbx>
                      <w:txbxContent>
                        <w:p w14:paraId="44FE9BD8" w14:textId="268FE16B" w:rsidR="00AD0FF1" w:rsidRPr="00AD0FF1" w:rsidRDefault="00AD0FF1" w:rsidP="00AD0FF1">
                          <w:pPr>
                            <w:spacing w:after="0"/>
                            <w:rPr>
                              <w:rFonts w:ascii="Calibri" w:eastAsia="Calibri" w:hAnsi="Calibri" w:cs="Calibri"/>
                              <w:noProof/>
                              <w:color w:val="FF0000"/>
                              <w:sz w:val="24"/>
                              <w:szCs w:val="24"/>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F2EBB2C" id="_x0000_t202" coordsize="21600,21600" o:spt="202" path="m,l,21600r21600,l21600,xe">
              <v:stroke joinstyle="miter"/>
              <v:path gradientshapeok="t" o:connecttype="rect"/>
            </v:shapetype>
            <v:shape id="Text Box 33" o:spid="_x0000_s1054" type="#_x0000_t202" alt="OFFICIAL" style="position:absolute;margin-left:0;margin-top:0;width:43.45pt;height:43.5pt;z-index:25165828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" filled="f" stroked="f">
              <v:textbox style="mso-fit-shape-to-text:t" inset="0,15pt,0,0">
                <w:txbxContent>
                  <w:p w14:paraId="44FE9BD8" w14:textId="268FE16B" w:rsidR="00AD0FF1" w:rsidRPr="00AD0FF1" w:rsidRDefault="00AD0FF1" w:rsidP="00AD0FF1">
                    <w:pPr>
                      <w:spacing w:after="0"/>
                      <w:rPr>
                        <w:rFonts w:ascii="Calibri" w:eastAsia="Calibri" w:hAnsi="Calibri" w:cs="Calibri"/>
                        <w:noProof/>
                        <w:color w:val="FF0000"/>
                        <w:sz w:val="24"/>
                        <w:szCs w:val="24"/>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3B01CD" w14:textId="575CB63C" w:rsidR="003A30F3" w:rsidRDefault="00AD0FF1" w:rsidP="007C7E2D">
    <w:pPr>
      <w:pStyle w:val="Header"/>
      <w:tabs>
        <w:tab w:val="clear" w:pos="4680"/>
        <w:tab w:val="clear" w:pos="9360"/>
        <w:tab w:val="left" w:pos="2236"/>
      </w:tabs>
    </w:pPr>
    <w:r>
      <w:rPr>
        <w:noProof/>
        <w:lang w:eastAsia="en-AU"/>
      </w:rPr>
      <mc:AlternateContent>
        <mc:Choice Requires="wps">
          <w:drawing>
            <wp:anchor distT="0" distB="0" distL="0" distR="0" simplePos="0" relativeHeight="251658257" behindDoc="0" locked="0" layoutInCell="1" allowOverlap="1" wp14:anchorId="1AC80706" wp14:editId="0E6DBD53">
              <wp:simplePos x="635" y="635"/>
              <wp:positionH relativeFrom="page">
                <wp:align>center</wp:align>
              </wp:positionH>
              <wp:positionV relativeFrom="page">
                <wp:align>top</wp:align>
              </wp:positionV>
              <wp:extent cx="551815" cy="552450"/>
              <wp:effectExtent l="0" t="0" r="635" b="0"/>
              <wp:wrapNone/>
              <wp:docPr id="1575657667"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552450"/>
                      </a:xfrm>
                      <a:prstGeom prst="rect">
                        <a:avLst/>
                      </a:prstGeom>
                      <a:noFill/>
                      <a:ln>
                        <a:noFill/>
                      </a:ln>
                    </wps:spPr>
                    <wps:txbx>
                      <w:txbxContent>
                        <w:p w14:paraId="2A7E0ED4" w14:textId="410B9B61" w:rsidR="00AD0FF1" w:rsidRPr="00AD0FF1" w:rsidRDefault="00AD0FF1" w:rsidP="00AD0FF1">
                          <w:pPr>
                            <w:spacing w:after="0"/>
                            <w:rPr>
                              <w:rFonts w:ascii="Calibri" w:eastAsia="Calibri" w:hAnsi="Calibri" w:cs="Calibri"/>
                              <w:noProof/>
                              <w:color w:val="FF0000"/>
                              <w:sz w:val="24"/>
                              <w:szCs w:val="24"/>
                            </w:rPr>
                          </w:pPr>
                          <w:r w:rsidRPr="00AD0FF1">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AC80706" id="_x0000_t202" coordsize="21600,21600" o:spt="202" path="m,l,21600r21600,l21600,xe">
              <v:stroke joinstyle="miter"/>
              <v:path gradientshapeok="t" o:connecttype="rect"/>
            </v:shapetype>
            <v:shape id="Text Box 1" o:spid="_x0000_s1028" type="#_x0000_t202" alt="OFFICIAL" style="position:absolute;margin-left:0;margin-top:0;width:43.45pt;height:43.5pt;z-index:251658257;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" filled="f" stroked="f">
              <v:textbox style="mso-fit-shape-to-text:t" inset="0,15pt,0,0">
                <w:txbxContent>
                  <w:p w14:paraId="2A7E0ED4" w14:textId="410B9B61" w:rsidR="00AD0FF1" w:rsidRPr="00AD0FF1" w:rsidRDefault="00AD0FF1" w:rsidP="00AD0FF1">
                    <w:pPr>
                      <w:spacing w:after="0"/>
                      <w:rPr>
                        <w:rFonts w:ascii="Calibri" w:eastAsia="Calibri" w:hAnsi="Calibri" w:cs="Calibri"/>
                        <w:noProof/>
                        <w:color w:val="FF0000"/>
                        <w:sz w:val="24"/>
                        <w:szCs w:val="24"/>
                      </w:rPr>
                    </w:pPr>
                    <w:r w:rsidRPr="00AD0FF1">
                      <w:rPr>
                        <w:rFonts w:ascii="Calibri" w:eastAsia="Calibri" w:hAnsi="Calibri" w:cs="Calibri"/>
                        <w:noProof/>
                        <w:color w:val="FF0000"/>
                        <w:sz w:val="24"/>
                        <w:szCs w:val="24"/>
                      </w:rPr>
                      <w:t>OFFICIAL</w:t>
                    </w:r>
                  </w:p>
                </w:txbxContent>
              </v:textbox>
              <w10:wrap anchorx="page" anchory="page"/>
            </v:shape>
          </w:pict>
        </mc:Fallback>
      </mc:AlternateContent>
    </w:r>
    <w:r w:rsidR="003A30F3">
      <w:rPr>
        <w:noProof/>
        <w:lang w:eastAsia="en-AU"/>
      </w:rPr>
      <mc:AlternateContent>
        <mc:Choice Requires="wpg">
          <w:drawing>
            <wp:anchor distT="0" distB="0" distL="114300" distR="114300" simplePos="0" relativeHeight="251658252" behindDoc="0" locked="1" layoutInCell="1" allowOverlap="1" wp14:anchorId="067C61B4" wp14:editId="6CBCFB19">
              <wp:simplePos x="0" y="0"/>
              <wp:positionH relativeFrom="page">
                <wp:align>right</wp:align>
              </wp:positionH>
              <wp:positionV relativeFrom="page">
                <wp:align>bottom</wp:align>
              </wp:positionV>
              <wp:extent cx="7282800" cy="6199200"/>
              <wp:effectExtent l="0" t="0" r="0" b="0"/>
              <wp:wrapNone/>
              <wp:docPr id="29" name="Group 29"/>
              <wp:cNvGraphicFramePr/>
              <a:graphic xmlns:a="http://schemas.openxmlformats.org/drawingml/2006/main">
                <a:graphicData uri="http://schemas.microsoft.com/office/word/2010/wordprocessingGroup">
                  <wpg:wgp>
                    <wpg:cNvGrpSpPr/>
                    <wpg:grpSpPr>
                      <a:xfrm>
                        <a:off x="0" y="0"/>
                        <a:ext cx="7282800" cy="6199200"/>
                        <a:chOff x="0" y="0"/>
                        <a:chExt cx="7283315" cy="6200963"/>
                      </a:xfrm>
                    </wpg:grpSpPr>
                    <wpg:grpSp>
                      <wpg:cNvPr id="30" name="Group 4"/>
                      <wpg:cNvGrpSpPr/>
                      <wpg:grpSpPr bwMode="auto">
                        <a:xfrm>
                          <a:off x="0" y="0"/>
                          <a:ext cx="7121457" cy="6026668"/>
                          <a:chOff x="0" y="0"/>
                          <a:chExt cx="4278" cy="3620"/>
                        </a:xfrm>
                      </wpg:grpSpPr>
                      <wps:wsp>
                        <wps:cNvPr id="31" name="Freeform 5"/>
                        <wps:cNvSpPr>
                          <a:spLocks/>
                        </wps:cNvSpPr>
                        <wps:spPr bwMode="auto">
                          <a:xfrm>
                            <a:off x="0" y="582"/>
                            <a:ext cx="1506" cy="3038"/>
                          </a:xfrm>
                          <a:custGeom>
                            <a:avLst/>
                            <a:gdLst>
                              <a:gd name="T0" fmla="*/ 359 w 790"/>
                              <a:gd name="T1" fmla="*/ 791 h 1597"/>
                              <a:gd name="T2" fmla="*/ 790 w 790"/>
                              <a:gd name="T3" fmla="*/ 146 h 1597"/>
                              <a:gd name="T4" fmla="*/ 644 w 790"/>
                              <a:gd name="T5" fmla="*/ 0 h 1597"/>
                              <a:gd name="T6" fmla="*/ 167 w 790"/>
                              <a:gd name="T7" fmla="*/ 712 h 1597"/>
                              <a:gd name="T8" fmla="*/ 0 w 790"/>
                              <a:gd name="T9" fmla="*/ 1552 h 1597"/>
                              <a:gd name="T10" fmla="*/ 0 w 790"/>
                              <a:gd name="T11" fmla="*/ 1552 h 1597"/>
                              <a:gd name="T12" fmla="*/ 0 w 790"/>
                              <a:gd name="T13" fmla="*/ 1597 h 1597"/>
                              <a:gd name="T14" fmla="*/ 208 w 790"/>
                              <a:gd name="T15" fmla="*/ 1597 h 1597"/>
                              <a:gd name="T16" fmla="*/ 207 w 790"/>
                              <a:gd name="T17" fmla="*/ 1552 h 1597"/>
                              <a:gd name="T18" fmla="*/ 207 w 790"/>
                              <a:gd name="T19" fmla="*/ 1552 h 1597"/>
                              <a:gd name="T20" fmla="*/ 359 w 790"/>
                              <a:gd name="T21" fmla="*/ 791 h 15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790" h="1597">
                                <a:moveTo>
                                  <a:pt x="359" y="791"/>
                                </a:moveTo>
                                <a:cubicBezTo>
                                  <a:pt x="460" y="548"/>
                                  <a:pt x="607" y="329"/>
                                  <a:pt x="790" y="146"/>
                                </a:cubicBezTo>
                                <a:cubicBezTo>
                                  <a:pt x="644" y="0"/>
                                  <a:pt x="644" y="0"/>
                                  <a:pt x="644" y="0"/>
                                </a:cubicBezTo>
                                <a:cubicBezTo>
                                  <a:pt x="442" y="202"/>
                                  <a:pt x="279" y="444"/>
                                  <a:pt x="167" y="712"/>
                                </a:cubicBezTo>
                                <a:cubicBezTo>
                                  <a:pt x="60" y="971"/>
                                  <a:pt x="0" y="1254"/>
                                  <a:pt x="0" y="1552"/>
                                </a:cubicBezTo>
                                <a:cubicBezTo>
                                  <a:pt x="0" y="1552"/>
                                  <a:pt x="0" y="1552"/>
                                  <a:pt x="0" y="1552"/>
                                </a:cubicBezTo>
                                <a:cubicBezTo>
                                  <a:pt x="0" y="1567"/>
                                  <a:pt x="0" y="1582"/>
                                  <a:pt x="0" y="1597"/>
                                </a:cubicBezTo>
                                <a:cubicBezTo>
                                  <a:pt x="208" y="1597"/>
                                  <a:pt x="208" y="1597"/>
                                  <a:pt x="208" y="1597"/>
                                </a:cubicBezTo>
                                <a:cubicBezTo>
                                  <a:pt x="207" y="1582"/>
                                  <a:pt x="207" y="1567"/>
                                  <a:pt x="207" y="1552"/>
                                </a:cubicBezTo>
                                <a:cubicBezTo>
                                  <a:pt x="207" y="1552"/>
                                  <a:pt x="207" y="1552"/>
                                  <a:pt x="207" y="1552"/>
                                </a:cubicBezTo>
                                <a:cubicBezTo>
                                  <a:pt x="207" y="1282"/>
                                  <a:pt x="261" y="1025"/>
                                  <a:pt x="359" y="791"/>
                                </a:cubicBezTo>
                                <a:close/>
                              </a:path>
                            </a:pathLst>
                          </a:custGeom>
                          <a:solidFill>
                            <a:schemeClr val="tx2"/>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2" name="Freeform 6"/>
                        <wps:cNvSpPr>
                          <a:spLocks/>
                        </wps:cNvSpPr>
                        <wps:spPr bwMode="auto">
                          <a:xfrm>
                            <a:off x="644" y="0"/>
                            <a:ext cx="3634" cy="3620"/>
                          </a:xfrm>
                          <a:custGeom>
                            <a:avLst/>
                            <a:gdLst>
                              <a:gd name="T0" fmla="*/ 1858 w 1906"/>
                              <a:gd name="T1" fmla="*/ 0 h 1903"/>
                              <a:gd name="T2" fmla="*/ 1857 w 1906"/>
                              <a:gd name="T3" fmla="*/ 0 h 1903"/>
                              <a:gd name="T4" fmla="*/ 1147 w 1906"/>
                              <a:gd name="T5" fmla="*/ 142 h 1903"/>
                              <a:gd name="T6" fmla="*/ 544 w 1906"/>
                              <a:gd name="T7" fmla="*/ 545 h 1903"/>
                              <a:gd name="T8" fmla="*/ 141 w 1906"/>
                              <a:gd name="T9" fmla="*/ 1147 h 1903"/>
                              <a:gd name="T10" fmla="*/ 0 w 1906"/>
                              <a:gd name="T11" fmla="*/ 1858 h 1903"/>
                              <a:gd name="T12" fmla="*/ 0 w 1906"/>
                              <a:gd name="T13" fmla="*/ 1858 h 1903"/>
                              <a:gd name="T14" fmla="*/ 0 w 1906"/>
                              <a:gd name="T15" fmla="*/ 1903 h 1903"/>
                              <a:gd name="T16" fmla="*/ 302 w 1906"/>
                              <a:gd name="T17" fmla="*/ 1903 h 1903"/>
                              <a:gd name="T18" fmla="*/ 301 w 1906"/>
                              <a:gd name="T19" fmla="*/ 1858 h 1903"/>
                              <a:gd name="T20" fmla="*/ 301 w 1906"/>
                              <a:gd name="T21" fmla="*/ 1858 h 1903"/>
                              <a:gd name="T22" fmla="*/ 420 w 1906"/>
                              <a:gd name="T23" fmla="*/ 1262 h 1903"/>
                              <a:gd name="T24" fmla="*/ 757 w 1906"/>
                              <a:gd name="T25" fmla="*/ 758 h 1903"/>
                              <a:gd name="T26" fmla="*/ 1262 w 1906"/>
                              <a:gd name="T27" fmla="*/ 420 h 1903"/>
                              <a:gd name="T28" fmla="*/ 1857 w 1906"/>
                              <a:gd name="T29" fmla="*/ 301 h 1903"/>
                              <a:gd name="T30" fmla="*/ 1858 w 1906"/>
                              <a:gd name="T31" fmla="*/ 301 h 1903"/>
                              <a:gd name="T32" fmla="*/ 1906 w 1906"/>
                              <a:gd name="T33" fmla="*/ 302 h 1903"/>
                              <a:gd name="T34" fmla="*/ 1906 w 1906"/>
                              <a:gd name="T35" fmla="*/ 1 h 1903"/>
                              <a:gd name="T36" fmla="*/ 1858 w 1906"/>
                              <a:gd name="T37" fmla="*/ 0 h 19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906" h="1903">
                                <a:moveTo>
                                  <a:pt x="1858" y="0"/>
                                </a:moveTo>
                                <a:cubicBezTo>
                                  <a:pt x="1857" y="0"/>
                                  <a:pt x="1857" y="0"/>
                                  <a:pt x="1857" y="0"/>
                                </a:cubicBezTo>
                                <a:cubicBezTo>
                                  <a:pt x="1606" y="0"/>
                                  <a:pt x="1366" y="50"/>
                                  <a:pt x="1147" y="142"/>
                                </a:cubicBezTo>
                                <a:cubicBezTo>
                                  <a:pt x="920" y="236"/>
                                  <a:pt x="716" y="374"/>
                                  <a:pt x="544" y="545"/>
                                </a:cubicBezTo>
                                <a:cubicBezTo>
                                  <a:pt x="373" y="716"/>
                                  <a:pt x="236" y="920"/>
                                  <a:pt x="141" y="1147"/>
                                </a:cubicBezTo>
                                <a:cubicBezTo>
                                  <a:pt x="50" y="1366"/>
                                  <a:pt x="0" y="1606"/>
                                  <a:pt x="0" y="1858"/>
                                </a:cubicBezTo>
                                <a:cubicBezTo>
                                  <a:pt x="0" y="1858"/>
                                  <a:pt x="0" y="1858"/>
                                  <a:pt x="0" y="1858"/>
                                </a:cubicBezTo>
                                <a:cubicBezTo>
                                  <a:pt x="0" y="1873"/>
                                  <a:pt x="0" y="1888"/>
                                  <a:pt x="0" y="1903"/>
                                </a:cubicBezTo>
                                <a:cubicBezTo>
                                  <a:pt x="302" y="1903"/>
                                  <a:pt x="302" y="1903"/>
                                  <a:pt x="302" y="1903"/>
                                </a:cubicBezTo>
                                <a:cubicBezTo>
                                  <a:pt x="301" y="1888"/>
                                  <a:pt x="301" y="1873"/>
                                  <a:pt x="301" y="1858"/>
                                </a:cubicBezTo>
                                <a:cubicBezTo>
                                  <a:pt x="301" y="1858"/>
                                  <a:pt x="301" y="1858"/>
                                  <a:pt x="301" y="1858"/>
                                </a:cubicBezTo>
                                <a:cubicBezTo>
                                  <a:pt x="301" y="1647"/>
                                  <a:pt x="343" y="1446"/>
                                  <a:pt x="420" y="1262"/>
                                </a:cubicBezTo>
                                <a:cubicBezTo>
                                  <a:pt x="499" y="1072"/>
                                  <a:pt x="614" y="901"/>
                                  <a:pt x="757" y="758"/>
                                </a:cubicBezTo>
                                <a:cubicBezTo>
                                  <a:pt x="901" y="614"/>
                                  <a:pt x="1072" y="499"/>
                                  <a:pt x="1262" y="420"/>
                                </a:cubicBezTo>
                                <a:cubicBezTo>
                                  <a:pt x="1445" y="344"/>
                                  <a:pt x="1647" y="301"/>
                                  <a:pt x="1857" y="301"/>
                                </a:cubicBezTo>
                                <a:cubicBezTo>
                                  <a:pt x="1858" y="301"/>
                                  <a:pt x="1858" y="301"/>
                                  <a:pt x="1858" y="301"/>
                                </a:cubicBezTo>
                                <a:cubicBezTo>
                                  <a:pt x="1874" y="301"/>
                                  <a:pt x="1890" y="301"/>
                                  <a:pt x="1906" y="302"/>
                                </a:cubicBezTo>
                                <a:cubicBezTo>
                                  <a:pt x="1906" y="1"/>
                                  <a:pt x="1906" y="1"/>
                                  <a:pt x="1906" y="1"/>
                                </a:cubicBezTo>
                                <a:cubicBezTo>
                                  <a:pt x="1890" y="0"/>
                                  <a:pt x="1874" y="0"/>
                                  <a:pt x="1858" y="0"/>
                                </a:cubicBezTo>
                                <a:close/>
                              </a:path>
                            </a:pathLst>
                          </a:custGeom>
                          <a:solidFill>
                            <a:schemeClr val="tx2">
                              <a:lumMod val="60000"/>
                              <a:lumOff val="40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3" name="Freeform 7"/>
                        <wps:cNvSpPr>
                          <a:spLocks/>
                        </wps:cNvSpPr>
                        <wps:spPr bwMode="auto">
                          <a:xfrm>
                            <a:off x="1679" y="828"/>
                            <a:ext cx="2599" cy="1795"/>
                          </a:xfrm>
                          <a:custGeom>
                            <a:avLst/>
                            <a:gdLst>
                              <a:gd name="T0" fmla="*/ 1315 w 1363"/>
                              <a:gd name="T1" fmla="*/ 0 h 944"/>
                              <a:gd name="T2" fmla="*/ 1314 w 1363"/>
                              <a:gd name="T3" fmla="*/ 0 h 944"/>
                              <a:gd name="T4" fmla="*/ 770 w 1363"/>
                              <a:gd name="T5" fmla="*/ 108 h 944"/>
                              <a:gd name="T6" fmla="*/ 309 w 1363"/>
                              <a:gd name="T7" fmla="*/ 417 h 944"/>
                              <a:gd name="T8" fmla="*/ 0 w 1363"/>
                              <a:gd name="T9" fmla="*/ 878 h 944"/>
                              <a:gd name="T10" fmla="*/ 159 w 1363"/>
                              <a:gd name="T11" fmla="*/ 944 h 944"/>
                              <a:gd name="T12" fmla="*/ 431 w 1363"/>
                              <a:gd name="T13" fmla="*/ 539 h 944"/>
                              <a:gd name="T14" fmla="*/ 836 w 1363"/>
                              <a:gd name="T15" fmla="*/ 268 h 944"/>
                              <a:gd name="T16" fmla="*/ 1314 w 1363"/>
                              <a:gd name="T17" fmla="*/ 172 h 944"/>
                              <a:gd name="T18" fmla="*/ 1315 w 1363"/>
                              <a:gd name="T19" fmla="*/ 172 h 944"/>
                              <a:gd name="T20" fmla="*/ 1363 w 1363"/>
                              <a:gd name="T21" fmla="*/ 173 h 944"/>
                              <a:gd name="T22" fmla="*/ 1363 w 1363"/>
                              <a:gd name="T23" fmla="*/ 0 h 944"/>
                              <a:gd name="T24" fmla="*/ 1315 w 1363"/>
                              <a:gd name="T25" fmla="*/ 0 h 9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363" h="944">
                                <a:moveTo>
                                  <a:pt x="1315" y="0"/>
                                </a:moveTo>
                                <a:cubicBezTo>
                                  <a:pt x="1314" y="0"/>
                                  <a:pt x="1314" y="0"/>
                                  <a:pt x="1314" y="0"/>
                                </a:cubicBezTo>
                                <a:cubicBezTo>
                                  <a:pt x="1122" y="0"/>
                                  <a:pt x="938" y="39"/>
                                  <a:pt x="770" y="108"/>
                                </a:cubicBezTo>
                                <a:cubicBezTo>
                                  <a:pt x="596" y="181"/>
                                  <a:pt x="440" y="286"/>
                                  <a:pt x="309" y="417"/>
                                </a:cubicBezTo>
                                <a:cubicBezTo>
                                  <a:pt x="178" y="548"/>
                                  <a:pt x="72" y="705"/>
                                  <a:pt x="0" y="878"/>
                                </a:cubicBezTo>
                                <a:cubicBezTo>
                                  <a:pt x="159" y="944"/>
                                  <a:pt x="159" y="944"/>
                                  <a:pt x="159" y="944"/>
                                </a:cubicBezTo>
                                <a:cubicBezTo>
                                  <a:pt x="223" y="792"/>
                                  <a:pt x="315" y="654"/>
                                  <a:pt x="431" y="539"/>
                                </a:cubicBezTo>
                                <a:cubicBezTo>
                                  <a:pt x="546" y="424"/>
                                  <a:pt x="683" y="331"/>
                                  <a:pt x="836" y="268"/>
                                </a:cubicBezTo>
                                <a:cubicBezTo>
                                  <a:pt x="984" y="206"/>
                                  <a:pt x="1145" y="172"/>
                                  <a:pt x="1314" y="172"/>
                                </a:cubicBezTo>
                                <a:cubicBezTo>
                                  <a:pt x="1315" y="172"/>
                                  <a:pt x="1315" y="172"/>
                                  <a:pt x="1315" y="172"/>
                                </a:cubicBezTo>
                                <a:cubicBezTo>
                                  <a:pt x="1331" y="172"/>
                                  <a:pt x="1347" y="173"/>
                                  <a:pt x="1363" y="173"/>
                                </a:cubicBezTo>
                                <a:cubicBezTo>
                                  <a:pt x="1363" y="0"/>
                                  <a:pt x="1363" y="0"/>
                                  <a:pt x="1363" y="0"/>
                                </a:cubicBezTo>
                                <a:cubicBezTo>
                                  <a:pt x="1347" y="0"/>
                                  <a:pt x="1331" y="0"/>
                                  <a:pt x="1315" y="0"/>
                                </a:cubicBezTo>
                                <a:close/>
                              </a:path>
                            </a:pathLst>
                          </a:custGeom>
                          <a:solidFill>
                            <a:schemeClr val="accent4"/>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grpSp>
                    <wps:wsp>
                      <wps:cNvPr id="34" name="Rectangle 23"/>
                      <wps:cNvSpPr/>
                      <wps:spPr>
                        <a:xfrm>
                          <a:off x="6923315" y="5840963"/>
                          <a:ext cx="360000" cy="360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FF3C489" id="Group 29" o:spid="_x0000_s1026" style="position:absolute;margin-left:522.25pt;margin-top:0;width:573.45pt;height:488.15pt;z-index:251658252;mso-position-horizontal:right;mso-position-horizontal-relative:page;mso-position-vertical:bottom;mso-position-vertical-relative:page;mso-width-relative:margin;mso-height-relative:margin" coordsize="72833,62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">
              <v:group id="Group 4" o:spid="_x0000_s1027" style="position:absolute;width:71214;height:60266" coordsize="4278,3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Freeform 5" o:spid="_x0000_s1028" style="position:absolute;top:582;width:1506;height:3038;visibility:visible;mso-wrap-style:square;v-text-anchor:top" coordsize="790,15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" path="m359,791c460,548,607,329,790,146,644,,644,,644,,442,202,279,444,167,712,60,971,,1254,,1552v,,,,,c,1567,,1582,,1597v208,,208,,208,c207,1582,207,1567,207,1552v,,,,,c207,1282,261,1025,359,791xe" fillcolor="#4986a0 [3215]" stroked="f">
                  <v:path arrowok="t" o:connecttype="custom" o:connectlocs="684,1505;1506,278;1228,0;318,1354;0,2952;0,2952;0,3038;397,3038;395,2952;395,2952;684,1505" o:connectangles="0,0,0,0,0,0,0,0,0,0,0"/>
                </v:shape>
                <v:shape id="Freeform 6" o:spid="_x0000_s1029" style="position:absolute;left:644;width:3634;height:3620;visibility:visible;mso-wrap-style:square;v-text-anchor:top" coordsize="1906,19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" path="m1858,v-1,,-1,,-1,c1606,,1366,50,1147,142,920,236,716,374,544,545,373,716,236,920,141,1147,50,1366,,1606,,1858v,,,,,c,1873,,1888,,1903v302,,302,,302,c301,1888,301,1873,301,1858v,,,,,c301,1647,343,1446,420,1262,499,1072,614,901,757,758,901,614,1072,499,1262,420v183,-76,385,-119,595,-119c1858,301,1858,301,1858,301v16,,32,,48,1c1906,1,1906,1,1906,1,1890,,1874,,1858,xe" fillcolor="#8cb8cb [1951]" stroked="f">
                  <v:path arrowok="t" o:connecttype="custom" o:connectlocs="3542,0;3541,0;2187,270;1037,1037;269,2182;0,3534;0,3534;0,3620;576,3620;574,3534;574,3534;801,2401;1443,1442;2406,799;3541,573;3542,573;3634,574;3634,2;3542,0" o:connectangles="0,0,0,0,0,0,0,0,0,0,0,0,0,0,0,0,0,0,0"/>
                </v:shape>
                <v:shape id="Freeform 7" o:spid="_x0000_s1030" style="position:absolute;left:1679;top:828;width:2599;height:1795;visibility:visible;mso-wrap-style:square;v-text-anchor:top" coordsize="1363,9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" path="m1315,v-1,,-1,,-1,c1122,,938,39,770,108,596,181,440,286,309,417,178,548,72,705,,878v159,66,159,66,159,66c223,792,315,654,431,539,546,424,683,331,836,268v148,-62,309,-96,478,-96c1315,172,1315,172,1315,172v16,,32,1,48,1c1363,,1363,,1363,v-16,,-32,,-48,xe" fillcolor="#ed8b00 [3207]" stroked="f">
                  <v:path arrowok="t" o:connecttype="custom" o:connectlocs="2507,0;2506,0;1468,205;589,793;0,1670;303,1795;822,1025;1594,510;2506,327;2507,327;2599,329;2599,0;2507,0" o:connectangles="0,0,0,0,0,0,0,0,0,0,0,0,0"/>
                </v:shape>
              </v:group>
              <v:rect id="Rectangle 23" o:spid="_x0000_s1031" style="position:absolute;left:69233;top:58409;width:360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" filled="f" stroked="f" strokeweight="1pt"/>
              <w10:wrap anchorx="page" anchory="page"/>
              <w10:anchorlock/>
            </v:group>
          </w:pict>
        </mc:Fallback>
      </mc:AlternateContent>
    </w:r>
    <w:r w:rsidR="003A30F3" w:rsidRPr="00EA47A3">
      <w:rPr>
        <w:noProof/>
        <w:lang w:eastAsia="en-AU"/>
      </w:rPr>
      <w:drawing>
        <wp:anchor distT="0" distB="431800" distL="114300" distR="114300" simplePos="0" relativeHeight="251658251" behindDoc="1" locked="1" layoutInCell="1" allowOverlap="1" wp14:anchorId="28F9DD94" wp14:editId="14B63509">
          <wp:simplePos x="0" y="0"/>
          <wp:positionH relativeFrom="page">
            <wp:posOffset>720090</wp:posOffset>
          </wp:positionH>
          <wp:positionV relativeFrom="page">
            <wp:posOffset>720090</wp:posOffset>
          </wp:positionV>
          <wp:extent cx="2656800" cy="828000"/>
          <wp:effectExtent l="0" t="0" r="0" b="0"/>
          <wp:wrapTopAndBottom/>
          <wp:docPr id="974942705" name="Picture 9749427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656800" cy="828000"/>
                  </a:xfrm>
                  <a:prstGeom prst="rect">
                    <a:avLst/>
                  </a:prstGeom>
                </pic:spPr>
              </pic:pic>
            </a:graphicData>
          </a:graphic>
          <wp14:sizeRelH relativeFrom="margin">
            <wp14:pctWidth>0</wp14:pctWidth>
          </wp14:sizeRelH>
          <wp14:sizeRelV relativeFrom="margin">
            <wp14:pctHeight>0</wp14:pctHeight>
          </wp14:sizeRelV>
        </wp:anchor>
      </w:drawing>
    </w:r>
    <w:r w:rsidR="003A30F3">
      <w:tab/>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BE78AC" w14:textId="0DA460C1" w:rsidR="00AD0FF1" w:rsidRDefault="00AD0FF1">
    <w:pPr>
      <w:pStyle w:val="Header"/>
    </w:pPr>
    <w:r>
      <w:rPr>
        <w:noProof/>
      </w:rPr>
      <mc:AlternateContent>
        <mc:Choice Requires="wps">
          <w:drawing>
            <wp:anchor distT="0" distB="0" distL="0" distR="0" simplePos="0" relativeHeight="251658280" behindDoc="0" locked="0" layoutInCell="1" allowOverlap="1" wp14:anchorId="76208BF3" wp14:editId="38313895">
              <wp:simplePos x="635" y="635"/>
              <wp:positionH relativeFrom="page">
                <wp:align>center</wp:align>
              </wp:positionH>
              <wp:positionV relativeFrom="page">
                <wp:align>top</wp:align>
              </wp:positionV>
              <wp:extent cx="551815" cy="552450"/>
              <wp:effectExtent l="0" t="0" r="635" b="0"/>
              <wp:wrapNone/>
              <wp:docPr id="549592921" name="Text Box 3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552450"/>
                      </a:xfrm>
                      <a:prstGeom prst="rect">
                        <a:avLst/>
                      </a:prstGeom>
                      <a:noFill/>
                      <a:ln>
                        <a:noFill/>
                      </a:ln>
                    </wps:spPr>
                    <wps:txbx>
                      <w:txbxContent>
                        <w:p w14:paraId="662542E0" w14:textId="3E8373C0" w:rsidR="00AD0FF1" w:rsidRPr="00AD0FF1" w:rsidRDefault="00AD0FF1" w:rsidP="00AD0FF1">
                          <w:pPr>
                            <w:spacing w:after="0"/>
                            <w:rPr>
                              <w:rFonts w:ascii="Calibri" w:eastAsia="Calibri" w:hAnsi="Calibri" w:cs="Calibri"/>
                              <w:noProof/>
                              <w:color w:val="FF0000"/>
                              <w:sz w:val="24"/>
                              <w:szCs w:val="24"/>
                            </w:rPr>
                          </w:pPr>
                          <w:r w:rsidRPr="00AD0FF1">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6208BF3" id="_x0000_t202" coordsize="21600,21600" o:spt="202" path="m,l,21600r21600,l21600,xe">
              <v:stroke joinstyle="miter"/>
              <v:path gradientshapeok="t" o:connecttype="rect"/>
            </v:shapetype>
            <v:shape id="Text Box 31" o:spid="_x0000_s1055" type="#_x0000_t202" alt="OFFICIAL" style="position:absolute;margin-left:0;margin-top:0;width:43.45pt;height:43.5pt;z-index:25165828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" filled="f" stroked="f">
              <v:textbox style="mso-fit-shape-to-text:t" inset="0,15pt,0,0">
                <w:txbxContent>
                  <w:p w14:paraId="662542E0" w14:textId="3E8373C0" w:rsidR="00AD0FF1" w:rsidRPr="00AD0FF1" w:rsidRDefault="00AD0FF1" w:rsidP="00AD0FF1">
                    <w:pPr>
                      <w:spacing w:after="0"/>
                      <w:rPr>
                        <w:rFonts w:ascii="Calibri" w:eastAsia="Calibri" w:hAnsi="Calibri" w:cs="Calibri"/>
                        <w:noProof/>
                        <w:color w:val="FF0000"/>
                        <w:sz w:val="24"/>
                        <w:szCs w:val="24"/>
                      </w:rPr>
                    </w:pPr>
                    <w:r w:rsidRPr="00AD0FF1">
                      <w:rPr>
                        <w:rFonts w:ascii="Calibri" w:eastAsia="Calibri" w:hAnsi="Calibri" w:cs="Calibri"/>
                        <w:noProof/>
                        <w:color w:val="FF0000"/>
                        <w:sz w:val="24"/>
                        <w:szCs w:val="24"/>
                      </w:rPr>
                      <w:t>OFFICIAL</w:t>
                    </w:r>
                  </w:p>
                </w:txbxContent>
              </v:textbox>
              <w10:wrap anchorx="page" anchory="page"/>
            </v:shape>
          </w:pict>
        </mc:Fallback>
      </mc:AlternateConten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E434D5" w14:textId="37137BEC" w:rsidR="00AD0FF1" w:rsidRDefault="00AD0FF1">
    <w:pPr>
      <w:pStyle w:val="Header"/>
    </w:pPr>
    <w:r>
      <w:rPr>
        <w:noProof/>
      </w:rPr>
      <mc:AlternateContent>
        <mc:Choice Requires="wps">
          <w:drawing>
            <wp:anchor distT="0" distB="0" distL="0" distR="0" simplePos="0" relativeHeight="251658250" behindDoc="0" locked="0" layoutInCell="1" allowOverlap="1" wp14:anchorId="0185DC9D" wp14:editId="2F8C783E">
              <wp:simplePos x="635" y="635"/>
              <wp:positionH relativeFrom="page">
                <wp:align>center</wp:align>
              </wp:positionH>
              <wp:positionV relativeFrom="page">
                <wp:align>top</wp:align>
              </wp:positionV>
              <wp:extent cx="551815" cy="552450"/>
              <wp:effectExtent l="0" t="0" r="635" b="0"/>
              <wp:wrapNone/>
              <wp:docPr id="2135887123" name="Text Box 3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552450"/>
                      </a:xfrm>
                      <a:prstGeom prst="rect">
                        <a:avLst/>
                      </a:prstGeom>
                      <a:noFill/>
                      <a:ln>
                        <a:noFill/>
                      </a:ln>
                    </wps:spPr>
                    <wps:txbx>
                      <w:txbxContent>
                        <w:p w14:paraId="3270F502" w14:textId="327409E5" w:rsidR="00AD0FF1" w:rsidRPr="00AD0FF1" w:rsidRDefault="00AD0FF1" w:rsidP="00AD0FF1">
                          <w:pPr>
                            <w:spacing w:after="0"/>
                            <w:rPr>
                              <w:rFonts w:ascii="Calibri" w:eastAsia="Calibri" w:hAnsi="Calibri" w:cs="Calibri"/>
                              <w:noProof/>
                              <w:color w:val="FF0000"/>
                              <w:sz w:val="24"/>
                              <w:szCs w:val="24"/>
                            </w:rPr>
                          </w:pPr>
                          <w:r w:rsidRPr="00AD0FF1">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185DC9D" id="_x0000_t202" coordsize="21600,21600" o:spt="202" path="m,l,21600r21600,l21600,xe">
              <v:stroke joinstyle="miter"/>
              <v:path gradientshapeok="t" o:connecttype="rect"/>
            </v:shapetype>
            <v:shape id="Text Box 35" o:spid="_x0000_s1056" type="#_x0000_t202" alt="OFFICIAL" style="position:absolute;margin-left:0;margin-top:0;width:43.45pt;height:43.5pt;z-index:25165825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" filled="f" stroked="f">
              <v:textbox style="mso-fit-shape-to-text:t" inset="0,15pt,0,0">
                <w:txbxContent>
                  <w:p w14:paraId="3270F502" w14:textId="327409E5" w:rsidR="00AD0FF1" w:rsidRPr="00AD0FF1" w:rsidRDefault="00AD0FF1" w:rsidP="00AD0FF1">
                    <w:pPr>
                      <w:spacing w:after="0"/>
                      <w:rPr>
                        <w:rFonts w:ascii="Calibri" w:eastAsia="Calibri" w:hAnsi="Calibri" w:cs="Calibri"/>
                        <w:noProof/>
                        <w:color w:val="FF0000"/>
                        <w:sz w:val="24"/>
                        <w:szCs w:val="24"/>
                      </w:rPr>
                    </w:pPr>
                    <w:r w:rsidRPr="00AD0FF1">
                      <w:rPr>
                        <w:rFonts w:ascii="Calibri" w:eastAsia="Calibri" w:hAnsi="Calibri" w:cs="Calibri"/>
                        <w:noProof/>
                        <w:color w:val="FF0000"/>
                        <w:sz w:val="24"/>
                        <w:szCs w:val="24"/>
                      </w:rPr>
                      <w:t>OFFICIAL</w:t>
                    </w:r>
                  </w:p>
                </w:txbxContent>
              </v:textbox>
              <w10:wrap anchorx="page" anchory="page"/>
            </v:shape>
          </w:pict>
        </mc:Fallback>
      </mc:AlternateContent>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2F86AD" w14:textId="518079E0" w:rsidR="00AD0FF1" w:rsidRDefault="00AD0FF1">
    <w:pPr>
      <w:pStyle w:val="Header"/>
    </w:pPr>
    <w:r>
      <w:rPr>
        <w:noProof/>
      </w:rPr>
      <mc:AlternateContent>
        <mc:Choice Requires="wps">
          <w:drawing>
            <wp:anchor distT="0" distB="0" distL="0" distR="0" simplePos="0" relativeHeight="251658254" behindDoc="0" locked="0" layoutInCell="1" allowOverlap="1" wp14:anchorId="48D074BF" wp14:editId="04029AA5">
              <wp:simplePos x="635" y="635"/>
              <wp:positionH relativeFrom="page">
                <wp:align>center</wp:align>
              </wp:positionH>
              <wp:positionV relativeFrom="page">
                <wp:align>top</wp:align>
              </wp:positionV>
              <wp:extent cx="551815" cy="552450"/>
              <wp:effectExtent l="0" t="0" r="635" b="0"/>
              <wp:wrapNone/>
              <wp:docPr id="1201586574" name="Text Box 3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552450"/>
                      </a:xfrm>
                      <a:prstGeom prst="rect">
                        <a:avLst/>
                      </a:prstGeom>
                      <a:noFill/>
                      <a:ln>
                        <a:noFill/>
                      </a:ln>
                    </wps:spPr>
                    <wps:txbx>
                      <w:txbxContent>
                        <w:p w14:paraId="766CEC3B" w14:textId="1864C75B" w:rsidR="00AD0FF1" w:rsidRPr="00AD0FF1" w:rsidRDefault="00AD0FF1" w:rsidP="00AD0FF1">
                          <w:pPr>
                            <w:spacing w:after="0"/>
                            <w:rPr>
                              <w:rFonts w:ascii="Calibri" w:eastAsia="Calibri" w:hAnsi="Calibri" w:cs="Calibri"/>
                              <w:noProof/>
                              <w:color w:val="FF0000"/>
                              <w:sz w:val="24"/>
                              <w:szCs w:val="24"/>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8D074BF" id="_x0000_t202" coordsize="21600,21600" o:spt="202" path="m,l,21600r21600,l21600,xe">
              <v:stroke joinstyle="miter"/>
              <v:path gradientshapeok="t" o:connecttype="rect"/>
            </v:shapetype>
            <v:shape id="Text Box 36" o:spid="_x0000_s1057" type="#_x0000_t202" alt="OFFICIAL" style="position:absolute;margin-left:0;margin-top:0;width:43.45pt;height:43.5pt;z-index:25165825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" filled="f" stroked="f">
              <v:textbox style="mso-fit-shape-to-text:t" inset="0,15pt,0,0">
                <w:txbxContent>
                  <w:p w14:paraId="766CEC3B" w14:textId="1864C75B" w:rsidR="00AD0FF1" w:rsidRPr="00AD0FF1" w:rsidRDefault="00AD0FF1" w:rsidP="00AD0FF1">
                    <w:pPr>
                      <w:spacing w:after="0"/>
                      <w:rPr>
                        <w:rFonts w:ascii="Calibri" w:eastAsia="Calibri" w:hAnsi="Calibri" w:cs="Calibri"/>
                        <w:noProof/>
                        <w:color w:val="FF0000"/>
                        <w:sz w:val="24"/>
                        <w:szCs w:val="24"/>
                      </w:rPr>
                    </w:pPr>
                  </w:p>
                </w:txbxContent>
              </v:textbox>
              <w10:wrap anchorx="page" anchory="page"/>
            </v:shape>
          </w:pict>
        </mc:Fallback>
      </mc:AlternateContent>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77CB03" w14:textId="56775AF2" w:rsidR="00AD0FF1" w:rsidRDefault="00AD0FF1">
    <w:pPr>
      <w:pStyle w:val="Header"/>
    </w:pPr>
    <w:r>
      <w:rPr>
        <w:noProof/>
      </w:rPr>
      <mc:AlternateContent>
        <mc:Choice Requires="wps">
          <w:drawing>
            <wp:anchor distT="0" distB="0" distL="0" distR="0" simplePos="0" relativeHeight="251658249" behindDoc="0" locked="0" layoutInCell="1" allowOverlap="1" wp14:anchorId="3BE8DFA3" wp14:editId="7F821638">
              <wp:simplePos x="635" y="635"/>
              <wp:positionH relativeFrom="page">
                <wp:align>center</wp:align>
              </wp:positionH>
              <wp:positionV relativeFrom="page">
                <wp:align>top</wp:align>
              </wp:positionV>
              <wp:extent cx="551815" cy="552450"/>
              <wp:effectExtent l="0" t="0" r="635" b="0"/>
              <wp:wrapNone/>
              <wp:docPr id="1273130021" name="Text Box 3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552450"/>
                      </a:xfrm>
                      <a:prstGeom prst="rect">
                        <a:avLst/>
                      </a:prstGeom>
                      <a:noFill/>
                      <a:ln>
                        <a:noFill/>
                      </a:ln>
                    </wps:spPr>
                    <wps:txbx>
                      <w:txbxContent>
                        <w:p w14:paraId="674D7D6E" w14:textId="22D1CC5D" w:rsidR="00AD0FF1" w:rsidRPr="00AD0FF1" w:rsidRDefault="00AD0FF1" w:rsidP="00AD0FF1">
                          <w:pPr>
                            <w:spacing w:after="0"/>
                            <w:rPr>
                              <w:rFonts w:ascii="Calibri" w:eastAsia="Calibri" w:hAnsi="Calibri" w:cs="Calibri"/>
                              <w:noProof/>
                              <w:color w:val="FF0000"/>
                              <w:sz w:val="24"/>
                              <w:szCs w:val="24"/>
                            </w:rPr>
                          </w:pPr>
                          <w:r w:rsidRPr="00AD0FF1">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BE8DFA3" id="_x0000_t202" coordsize="21600,21600" o:spt="202" path="m,l,21600r21600,l21600,xe">
              <v:stroke joinstyle="miter"/>
              <v:path gradientshapeok="t" o:connecttype="rect"/>
            </v:shapetype>
            <v:shape id="Text Box 34" o:spid="_x0000_s1058" type="#_x0000_t202" alt="OFFICIAL" style="position:absolute;margin-left:0;margin-top:0;width:43.45pt;height:43.5pt;z-index:251658249;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" filled="f" stroked="f">
              <v:textbox style="mso-fit-shape-to-text:t" inset="0,15pt,0,0">
                <w:txbxContent>
                  <w:p w14:paraId="674D7D6E" w14:textId="22D1CC5D" w:rsidR="00AD0FF1" w:rsidRPr="00AD0FF1" w:rsidRDefault="00AD0FF1" w:rsidP="00AD0FF1">
                    <w:pPr>
                      <w:spacing w:after="0"/>
                      <w:rPr>
                        <w:rFonts w:ascii="Calibri" w:eastAsia="Calibri" w:hAnsi="Calibri" w:cs="Calibri"/>
                        <w:noProof/>
                        <w:color w:val="FF0000"/>
                        <w:sz w:val="24"/>
                        <w:szCs w:val="24"/>
                      </w:rPr>
                    </w:pPr>
                    <w:r w:rsidRPr="00AD0FF1">
                      <w:rPr>
                        <w:rFonts w:ascii="Calibri" w:eastAsia="Calibri" w:hAnsi="Calibri" w:cs="Calibri"/>
                        <w:noProof/>
                        <w:color w:val="FF0000"/>
                        <w:sz w:val="24"/>
                        <w:szCs w:val="24"/>
                      </w:rPr>
                      <w:t>OFFICIAL</w:t>
                    </w:r>
                  </w:p>
                </w:txbxContent>
              </v:textbox>
              <w10:wrap anchorx="page" anchory="page"/>
            </v:shape>
          </w:pict>
        </mc:Fallback>
      </mc:AlternateContent>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A9D148" w14:textId="2C3DAE7E" w:rsidR="00AD0FF1" w:rsidRDefault="00AD0FF1">
    <w:pPr>
      <w:pStyle w:val="Header"/>
    </w:pPr>
    <w:r>
      <w:rPr>
        <w:noProof/>
      </w:rPr>
      <mc:AlternateContent>
        <mc:Choice Requires="wps">
          <w:drawing>
            <wp:anchor distT="0" distB="0" distL="0" distR="0" simplePos="0" relativeHeight="251658258" behindDoc="0" locked="0" layoutInCell="1" allowOverlap="1" wp14:anchorId="555BDF54" wp14:editId="7C44E602">
              <wp:simplePos x="635" y="635"/>
              <wp:positionH relativeFrom="page">
                <wp:align>center</wp:align>
              </wp:positionH>
              <wp:positionV relativeFrom="page">
                <wp:align>top</wp:align>
              </wp:positionV>
              <wp:extent cx="551815" cy="552450"/>
              <wp:effectExtent l="0" t="0" r="635" b="0"/>
              <wp:wrapNone/>
              <wp:docPr id="932335485" name="Text Box 3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552450"/>
                      </a:xfrm>
                      <a:prstGeom prst="rect">
                        <a:avLst/>
                      </a:prstGeom>
                      <a:noFill/>
                      <a:ln>
                        <a:noFill/>
                      </a:ln>
                    </wps:spPr>
                    <wps:txbx>
                      <w:txbxContent>
                        <w:p w14:paraId="31662A31" w14:textId="376D74D7" w:rsidR="00AD0FF1" w:rsidRPr="00AD0FF1" w:rsidRDefault="00AD0FF1" w:rsidP="00AD0FF1">
                          <w:pPr>
                            <w:spacing w:after="0"/>
                            <w:rPr>
                              <w:rFonts w:ascii="Calibri" w:eastAsia="Calibri" w:hAnsi="Calibri" w:cs="Calibri"/>
                              <w:noProof/>
                              <w:color w:val="FF0000"/>
                              <w:sz w:val="24"/>
                              <w:szCs w:val="24"/>
                            </w:rPr>
                          </w:pPr>
                          <w:r w:rsidRPr="00AD0FF1">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55BDF54" id="_x0000_t202" coordsize="21600,21600" o:spt="202" path="m,l,21600r21600,l21600,xe">
              <v:stroke joinstyle="miter"/>
              <v:path gradientshapeok="t" o:connecttype="rect"/>
            </v:shapetype>
            <v:shape id="Text Box 38" o:spid="_x0000_s1059" type="#_x0000_t202" alt="OFFICIAL" style="position:absolute;margin-left:0;margin-top:0;width:43.45pt;height:43.5pt;z-index:25165825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" filled="f" stroked="f">
              <v:textbox style="mso-fit-shape-to-text:t" inset="0,15pt,0,0">
                <w:txbxContent>
                  <w:p w14:paraId="31662A31" w14:textId="376D74D7" w:rsidR="00AD0FF1" w:rsidRPr="00AD0FF1" w:rsidRDefault="00AD0FF1" w:rsidP="00AD0FF1">
                    <w:pPr>
                      <w:spacing w:after="0"/>
                      <w:rPr>
                        <w:rFonts w:ascii="Calibri" w:eastAsia="Calibri" w:hAnsi="Calibri" w:cs="Calibri"/>
                        <w:noProof/>
                        <w:color w:val="FF0000"/>
                        <w:sz w:val="24"/>
                        <w:szCs w:val="24"/>
                      </w:rPr>
                    </w:pPr>
                    <w:r w:rsidRPr="00AD0FF1">
                      <w:rPr>
                        <w:rFonts w:ascii="Calibri" w:eastAsia="Calibri" w:hAnsi="Calibri" w:cs="Calibri"/>
                        <w:noProof/>
                        <w:color w:val="FF0000"/>
                        <w:sz w:val="24"/>
                        <w:szCs w:val="24"/>
                      </w:rPr>
                      <w:t>OFFICIAL</w:t>
                    </w:r>
                  </w:p>
                </w:txbxContent>
              </v:textbox>
              <w10:wrap anchorx="page" anchory="page"/>
            </v:shape>
          </w:pict>
        </mc:Fallback>
      </mc:AlternateContent>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F1E846" w14:textId="04222D39" w:rsidR="00AD0FF1" w:rsidRDefault="00AD0FF1">
    <w:pPr>
      <w:pStyle w:val="Header"/>
    </w:pPr>
    <w:r>
      <w:rPr>
        <w:noProof/>
      </w:rPr>
      <mc:AlternateContent>
        <mc:Choice Requires="wps">
          <w:drawing>
            <wp:anchor distT="0" distB="0" distL="0" distR="0" simplePos="0" relativeHeight="251658260" behindDoc="0" locked="0" layoutInCell="1" allowOverlap="1" wp14:anchorId="2E2D9E01" wp14:editId="66A17C0B">
              <wp:simplePos x="635" y="635"/>
              <wp:positionH relativeFrom="page">
                <wp:align>center</wp:align>
              </wp:positionH>
              <wp:positionV relativeFrom="page">
                <wp:align>top</wp:align>
              </wp:positionV>
              <wp:extent cx="551815" cy="552450"/>
              <wp:effectExtent l="0" t="0" r="635" b="0"/>
              <wp:wrapNone/>
              <wp:docPr id="12166026" name="Text Box 3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552450"/>
                      </a:xfrm>
                      <a:prstGeom prst="rect">
                        <a:avLst/>
                      </a:prstGeom>
                      <a:noFill/>
                      <a:ln>
                        <a:noFill/>
                      </a:ln>
                    </wps:spPr>
                    <wps:txbx>
                      <w:txbxContent>
                        <w:p w14:paraId="570B69F8" w14:textId="782DD8A7" w:rsidR="00AD0FF1" w:rsidRPr="00AD0FF1" w:rsidRDefault="00AD0FF1" w:rsidP="00AD0FF1">
                          <w:pPr>
                            <w:spacing w:after="0"/>
                            <w:rPr>
                              <w:rFonts w:ascii="Calibri" w:eastAsia="Calibri" w:hAnsi="Calibri" w:cs="Calibri"/>
                              <w:noProof/>
                              <w:color w:val="FF0000"/>
                              <w:sz w:val="24"/>
                              <w:szCs w:val="24"/>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E2D9E01" id="_x0000_t202" coordsize="21600,21600" o:spt="202" path="m,l,21600r21600,l21600,xe">
              <v:stroke joinstyle="miter"/>
              <v:path gradientshapeok="t" o:connecttype="rect"/>
            </v:shapetype>
            <v:shape id="Text Box 39" o:spid="_x0000_s1060" type="#_x0000_t202" alt="OFFICIAL" style="position:absolute;margin-left:0;margin-top:0;width:43.45pt;height:43.5pt;z-index:2516582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" filled="f" stroked="f">
              <v:textbox style="mso-fit-shape-to-text:t" inset="0,15pt,0,0">
                <w:txbxContent>
                  <w:p w14:paraId="570B69F8" w14:textId="782DD8A7" w:rsidR="00AD0FF1" w:rsidRPr="00AD0FF1" w:rsidRDefault="00AD0FF1" w:rsidP="00AD0FF1">
                    <w:pPr>
                      <w:spacing w:after="0"/>
                      <w:rPr>
                        <w:rFonts w:ascii="Calibri" w:eastAsia="Calibri" w:hAnsi="Calibri" w:cs="Calibri"/>
                        <w:noProof/>
                        <w:color w:val="FF0000"/>
                        <w:sz w:val="24"/>
                        <w:szCs w:val="24"/>
                      </w:rPr>
                    </w:pPr>
                  </w:p>
                </w:txbxContent>
              </v:textbox>
              <w10:wrap anchorx="page" anchory="page"/>
            </v:shape>
          </w:pict>
        </mc:Fallback>
      </mc:AlternateContent>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E865D1" w14:textId="0D9C6388" w:rsidR="00AD0FF1" w:rsidRDefault="00AD0FF1">
    <w:pPr>
      <w:pStyle w:val="Header"/>
    </w:pPr>
    <w:r>
      <w:rPr>
        <w:noProof/>
      </w:rPr>
      <mc:AlternateContent>
        <mc:Choice Requires="wps">
          <w:drawing>
            <wp:anchor distT="0" distB="0" distL="0" distR="0" simplePos="0" relativeHeight="251658256" behindDoc="0" locked="0" layoutInCell="1" allowOverlap="1" wp14:anchorId="43A31E2A" wp14:editId="57EB8607">
              <wp:simplePos x="635" y="635"/>
              <wp:positionH relativeFrom="page">
                <wp:align>center</wp:align>
              </wp:positionH>
              <wp:positionV relativeFrom="page">
                <wp:align>top</wp:align>
              </wp:positionV>
              <wp:extent cx="551815" cy="552450"/>
              <wp:effectExtent l="0" t="0" r="635" b="0"/>
              <wp:wrapNone/>
              <wp:docPr id="1161188517" name="Text Box 3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552450"/>
                      </a:xfrm>
                      <a:prstGeom prst="rect">
                        <a:avLst/>
                      </a:prstGeom>
                      <a:noFill/>
                      <a:ln>
                        <a:noFill/>
                      </a:ln>
                    </wps:spPr>
                    <wps:txbx>
                      <w:txbxContent>
                        <w:p w14:paraId="11A7787E" w14:textId="60C6363D" w:rsidR="00AD0FF1" w:rsidRPr="00AD0FF1" w:rsidRDefault="00AD0FF1" w:rsidP="00AD0FF1">
                          <w:pPr>
                            <w:spacing w:after="0"/>
                            <w:rPr>
                              <w:rFonts w:ascii="Calibri" w:eastAsia="Calibri" w:hAnsi="Calibri" w:cs="Calibri"/>
                              <w:noProof/>
                              <w:color w:val="FF0000"/>
                              <w:sz w:val="24"/>
                              <w:szCs w:val="24"/>
                            </w:rPr>
                          </w:pPr>
                          <w:r w:rsidRPr="00AD0FF1">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3A31E2A" id="_x0000_t202" coordsize="21600,21600" o:spt="202" path="m,l,21600r21600,l21600,xe">
              <v:stroke joinstyle="miter"/>
              <v:path gradientshapeok="t" o:connecttype="rect"/>
            </v:shapetype>
            <v:shape id="Text Box 37" o:spid="_x0000_s1061" type="#_x0000_t202" alt="OFFICIAL" style="position:absolute;margin-left:0;margin-top:0;width:43.45pt;height:43.5pt;z-index:25165825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" filled="f" stroked="f">
              <v:textbox style="mso-fit-shape-to-text:t" inset="0,15pt,0,0">
                <w:txbxContent>
                  <w:p w14:paraId="11A7787E" w14:textId="60C6363D" w:rsidR="00AD0FF1" w:rsidRPr="00AD0FF1" w:rsidRDefault="00AD0FF1" w:rsidP="00AD0FF1">
                    <w:pPr>
                      <w:spacing w:after="0"/>
                      <w:rPr>
                        <w:rFonts w:ascii="Calibri" w:eastAsia="Calibri" w:hAnsi="Calibri" w:cs="Calibri"/>
                        <w:noProof/>
                        <w:color w:val="FF0000"/>
                        <w:sz w:val="24"/>
                        <w:szCs w:val="24"/>
                      </w:rPr>
                    </w:pPr>
                    <w:r w:rsidRPr="00AD0FF1">
                      <w:rPr>
                        <w:rFonts w:ascii="Calibri" w:eastAsia="Calibri" w:hAnsi="Calibri" w:cs="Calibri"/>
                        <w:noProof/>
                        <w:color w:val="FF0000"/>
                        <w:sz w:val="24"/>
                        <w:szCs w:val="24"/>
                      </w:rPr>
                      <w:t>OFFICIAL</w:t>
                    </w:r>
                  </w:p>
                </w:txbxContent>
              </v:textbox>
              <w10:wrap anchorx="page" anchory="page"/>
            </v:shape>
          </w:pict>
        </mc:Fallback>
      </mc:AlternateContent>
    </w: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3C4163" w14:textId="10832C62" w:rsidR="00AD0FF1" w:rsidRDefault="00AD0FF1">
    <w:pPr>
      <w:pStyle w:val="Header"/>
    </w:pPr>
    <w:r>
      <w:rPr>
        <w:noProof/>
      </w:rPr>
      <mc:AlternateContent>
        <mc:Choice Requires="wps">
          <w:drawing>
            <wp:anchor distT="0" distB="0" distL="0" distR="0" simplePos="0" relativeHeight="251658270" behindDoc="0" locked="0" layoutInCell="1" allowOverlap="1" wp14:anchorId="134A5A96" wp14:editId="6E3B69AB">
              <wp:simplePos x="635" y="635"/>
              <wp:positionH relativeFrom="page">
                <wp:align>center</wp:align>
              </wp:positionH>
              <wp:positionV relativeFrom="page">
                <wp:align>top</wp:align>
              </wp:positionV>
              <wp:extent cx="551815" cy="552450"/>
              <wp:effectExtent l="0" t="0" r="635" b="0"/>
              <wp:wrapNone/>
              <wp:docPr id="442633254" name="Text Box 4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552450"/>
                      </a:xfrm>
                      <a:prstGeom prst="rect">
                        <a:avLst/>
                      </a:prstGeom>
                      <a:noFill/>
                      <a:ln>
                        <a:noFill/>
                      </a:ln>
                    </wps:spPr>
                    <wps:txbx>
                      <w:txbxContent>
                        <w:p w14:paraId="5881EAD3" w14:textId="0B1A7FE4" w:rsidR="00AD0FF1" w:rsidRPr="00AD0FF1" w:rsidRDefault="00AD0FF1" w:rsidP="00AD0FF1">
                          <w:pPr>
                            <w:spacing w:after="0"/>
                            <w:rPr>
                              <w:rFonts w:ascii="Calibri" w:eastAsia="Calibri" w:hAnsi="Calibri" w:cs="Calibri"/>
                              <w:noProof/>
                              <w:color w:val="FF0000"/>
                              <w:sz w:val="24"/>
                              <w:szCs w:val="24"/>
                            </w:rPr>
                          </w:pPr>
                          <w:r w:rsidRPr="00AD0FF1">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34A5A96" id="_x0000_t202" coordsize="21600,21600" o:spt="202" path="m,l,21600r21600,l21600,xe">
              <v:stroke joinstyle="miter"/>
              <v:path gradientshapeok="t" o:connecttype="rect"/>
            </v:shapetype>
            <v:shape id="Text Box 44" o:spid="_x0000_s1062" type="#_x0000_t202" alt="OFFICIAL" style="position:absolute;margin-left:0;margin-top:0;width:43.45pt;height:43.5pt;z-index:25165827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" filled="f" stroked="f">
              <v:textbox style="mso-fit-shape-to-text:t" inset="0,15pt,0,0">
                <w:txbxContent>
                  <w:p w14:paraId="5881EAD3" w14:textId="0B1A7FE4" w:rsidR="00AD0FF1" w:rsidRPr="00AD0FF1" w:rsidRDefault="00AD0FF1" w:rsidP="00AD0FF1">
                    <w:pPr>
                      <w:spacing w:after="0"/>
                      <w:rPr>
                        <w:rFonts w:ascii="Calibri" w:eastAsia="Calibri" w:hAnsi="Calibri" w:cs="Calibri"/>
                        <w:noProof/>
                        <w:color w:val="FF0000"/>
                        <w:sz w:val="24"/>
                        <w:szCs w:val="24"/>
                      </w:rPr>
                    </w:pPr>
                    <w:r w:rsidRPr="00AD0FF1">
                      <w:rPr>
                        <w:rFonts w:ascii="Calibri" w:eastAsia="Calibri" w:hAnsi="Calibri" w:cs="Calibri"/>
                        <w:noProof/>
                        <w:color w:val="FF0000"/>
                        <w:sz w:val="24"/>
                        <w:szCs w:val="24"/>
                      </w:rPr>
                      <w:t>OFFICIAL</w:t>
                    </w:r>
                  </w:p>
                </w:txbxContent>
              </v:textbox>
              <w10:wrap anchorx="page" anchory="page"/>
            </v:shape>
          </w:pict>
        </mc:Fallback>
      </mc:AlternateContent>
    </w: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FABF1B" w14:textId="60090AE7" w:rsidR="00AD0FF1" w:rsidRDefault="00AD0FF1">
    <w:pPr>
      <w:pStyle w:val="Header"/>
    </w:pPr>
    <w:r>
      <w:rPr>
        <w:noProof/>
      </w:rPr>
      <mc:AlternateContent>
        <mc:Choice Requires="wps">
          <w:drawing>
            <wp:anchor distT="0" distB="0" distL="0" distR="0" simplePos="0" relativeHeight="251658272" behindDoc="0" locked="0" layoutInCell="1" allowOverlap="1" wp14:anchorId="55F42A2A" wp14:editId="5AF2FD1F">
              <wp:simplePos x="635" y="635"/>
              <wp:positionH relativeFrom="page">
                <wp:align>center</wp:align>
              </wp:positionH>
              <wp:positionV relativeFrom="page">
                <wp:align>top</wp:align>
              </wp:positionV>
              <wp:extent cx="551815" cy="552450"/>
              <wp:effectExtent l="0" t="0" r="635" b="0"/>
              <wp:wrapNone/>
              <wp:docPr id="1363645489" name="Text Box 4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552450"/>
                      </a:xfrm>
                      <a:prstGeom prst="rect">
                        <a:avLst/>
                      </a:prstGeom>
                      <a:noFill/>
                      <a:ln>
                        <a:noFill/>
                      </a:ln>
                    </wps:spPr>
                    <wps:txbx>
                      <w:txbxContent>
                        <w:p w14:paraId="5D3FE8CB" w14:textId="7C6543CA" w:rsidR="00AD0FF1" w:rsidRPr="00AD0FF1" w:rsidRDefault="00AD0FF1" w:rsidP="00AD0FF1">
                          <w:pPr>
                            <w:spacing w:after="0"/>
                            <w:rPr>
                              <w:rFonts w:ascii="Calibri" w:eastAsia="Calibri" w:hAnsi="Calibri" w:cs="Calibri"/>
                              <w:noProof/>
                              <w:color w:val="FF0000"/>
                              <w:sz w:val="24"/>
                              <w:szCs w:val="24"/>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5F42A2A" id="_x0000_t202" coordsize="21600,21600" o:spt="202" path="m,l,21600r21600,l21600,xe">
              <v:stroke joinstyle="miter"/>
              <v:path gradientshapeok="t" o:connecttype="rect"/>
            </v:shapetype>
            <v:shape id="Text Box 45" o:spid="_x0000_s1063" type="#_x0000_t202" alt="OFFICIAL" style="position:absolute;margin-left:0;margin-top:0;width:43.45pt;height:43.5pt;z-index:25165827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" filled="f" stroked="f">
              <v:textbox style="mso-fit-shape-to-text:t" inset="0,15pt,0,0">
                <w:txbxContent>
                  <w:p w14:paraId="5D3FE8CB" w14:textId="7C6543CA" w:rsidR="00AD0FF1" w:rsidRPr="00AD0FF1" w:rsidRDefault="00AD0FF1" w:rsidP="00AD0FF1">
                    <w:pPr>
                      <w:spacing w:after="0"/>
                      <w:rPr>
                        <w:rFonts w:ascii="Calibri" w:eastAsia="Calibri" w:hAnsi="Calibri" w:cs="Calibri"/>
                        <w:noProof/>
                        <w:color w:val="FF0000"/>
                        <w:sz w:val="24"/>
                        <w:szCs w:val="24"/>
                      </w:rPr>
                    </w:pPr>
                  </w:p>
                </w:txbxContent>
              </v:textbox>
              <w10:wrap anchorx="page" anchory="page"/>
            </v:shape>
          </w:pict>
        </mc:Fallback>
      </mc:AlternateContent>
    </w: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864AF6" w14:textId="77EE0B23" w:rsidR="00AD0FF1" w:rsidRDefault="00AD0FF1">
    <w:pPr>
      <w:pStyle w:val="Header"/>
    </w:pPr>
    <w:r>
      <w:rPr>
        <w:noProof/>
      </w:rPr>
      <mc:AlternateContent>
        <mc:Choice Requires="wps">
          <w:drawing>
            <wp:anchor distT="0" distB="0" distL="0" distR="0" simplePos="0" relativeHeight="251658268" behindDoc="0" locked="0" layoutInCell="1" allowOverlap="1" wp14:anchorId="022E2BCA" wp14:editId="7F3B5908">
              <wp:simplePos x="635" y="635"/>
              <wp:positionH relativeFrom="page">
                <wp:align>center</wp:align>
              </wp:positionH>
              <wp:positionV relativeFrom="page">
                <wp:align>top</wp:align>
              </wp:positionV>
              <wp:extent cx="551815" cy="552450"/>
              <wp:effectExtent l="0" t="0" r="635" b="0"/>
              <wp:wrapNone/>
              <wp:docPr id="1789045929" name="Text Box 4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552450"/>
                      </a:xfrm>
                      <a:prstGeom prst="rect">
                        <a:avLst/>
                      </a:prstGeom>
                      <a:noFill/>
                      <a:ln>
                        <a:noFill/>
                      </a:ln>
                    </wps:spPr>
                    <wps:txbx>
                      <w:txbxContent>
                        <w:p w14:paraId="5E47B903" w14:textId="009199C3" w:rsidR="00AD0FF1" w:rsidRPr="00AD0FF1" w:rsidRDefault="00AD0FF1" w:rsidP="00AD0FF1">
                          <w:pPr>
                            <w:spacing w:after="0"/>
                            <w:rPr>
                              <w:rFonts w:ascii="Calibri" w:eastAsia="Calibri" w:hAnsi="Calibri" w:cs="Calibri"/>
                              <w:noProof/>
                              <w:color w:val="FF0000"/>
                              <w:sz w:val="24"/>
                              <w:szCs w:val="24"/>
                            </w:rPr>
                          </w:pPr>
                          <w:r w:rsidRPr="00AD0FF1">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22E2BCA" id="_x0000_t202" coordsize="21600,21600" o:spt="202" path="m,l,21600r21600,l21600,xe">
              <v:stroke joinstyle="miter"/>
              <v:path gradientshapeok="t" o:connecttype="rect"/>
            </v:shapetype>
            <v:shape id="Text Box 43" o:spid="_x0000_s1064" type="#_x0000_t202" alt="OFFICIAL" style="position:absolute;margin-left:0;margin-top:0;width:43.45pt;height:43.5pt;z-index:25165826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" filled="f" stroked="f">
              <v:textbox style="mso-fit-shape-to-text:t" inset="0,15pt,0,0">
                <w:txbxContent>
                  <w:p w14:paraId="5E47B903" w14:textId="009199C3" w:rsidR="00AD0FF1" w:rsidRPr="00AD0FF1" w:rsidRDefault="00AD0FF1" w:rsidP="00AD0FF1">
                    <w:pPr>
                      <w:spacing w:after="0"/>
                      <w:rPr>
                        <w:rFonts w:ascii="Calibri" w:eastAsia="Calibri" w:hAnsi="Calibri" w:cs="Calibri"/>
                        <w:noProof/>
                        <w:color w:val="FF0000"/>
                        <w:sz w:val="24"/>
                        <w:szCs w:val="24"/>
                      </w:rPr>
                    </w:pPr>
                    <w:r w:rsidRPr="00AD0FF1">
                      <w:rPr>
                        <w:rFonts w:ascii="Calibri" w:eastAsia="Calibri" w:hAnsi="Calibri" w:cs="Calibri"/>
                        <w:noProof/>
                        <w:color w:val="FF0000"/>
                        <w:sz w:val="24"/>
                        <w:szCs w:val="24"/>
                      </w:rPr>
                      <w:t>OFFICIAL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C270FD" w14:textId="515BB6AA" w:rsidR="00AD0FF1" w:rsidRDefault="00AD0FF1">
    <w:pPr>
      <w:pStyle w:val="Header"/>
    </w:pPr>
    <w:r>
      <w:rPr>
        <w:noProof/>
      </w:rPr>
      <mc:AlternateContent>
        <mc:Choice Requires="wps">
          <w:drawing>
            <wp:anchor distT="0" distB="0" distL="0" distR="0" simplePos="0" relativeHeight="251658265" behindDoc="0" locked="0" layoutInCell="1" allowOverlap="1" wp14:anchorId="467B74E5" wp14:editId="7623F6E6">
              <wp:simplePos x="635" y="635"/>
              <wp:positionH relativeFrom="page">
                <wp:align>center</wp:align>
              </wp:positionH>
              <wp:positionV relativeFrom="page">
                <wp:align>top</wp:align>
              </wp:positionV>
              <wp:extent cx="551815" cy="552450"/>
              <wp:effectExtent l="0" t="0" r="635" b="0"/>
              <wp:wrapNone/>
              <wp:docPr id="490470242"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552450"/>
                      </a:xfrm>
                      <a:prstGeom prst="rect">
                        <a:avLst/>
                      </a:prstGeom>
                      <a:noFill/>
                      <a:ln>
                        <a:noFill/>
                      </a:ln>
                    </wps:spPr>
                    <wps:txbx>
                      <w:txbxContent>
                        <w:p w14:paraId="058EC484" w14:textId="51159FD8" w:rsidR="00AD0FF1" w:rsidRPr="00AD0FF1" w:rsidRDefault="00AD0FF1" w:rsidP="00AD0FF1">
                          <w:pPr>
                            <w:spacing w:after="0"/>
                            <w:rPr>
                              <w:rFonts w:ascii="Calibri" w:eastAsia="Calibri" w:hAnsi="Calibri" w:cs="Calibri"/>
                              <w:noProof/>
                              <w:color w:val="FF0000"/>
                              <w:sz w:val="24"/>
                              <w:szCs w:val="24"/>
                            </w:rPr>
                          </w:pPr>
                          <w:r w:rsidRPr="00AD0FF1">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67B74E5" id="_x0000_t202" coordsize="21600,21600" o:spt="202" path="m,l,21600r21600,l21600,xe">
              <v:stroke joinstyle="miter"/>
              <v:path gradientshapeok="t" o:connecttype="rect"/>
            </v:shapetype>
            <v:shape id="Text Box 5" o:spid="_x0000_s1029" type="#_x0000_t202" alt="OFFICIAL" style="position:absolute;margin-left:0;margin-top:0;width:43.45pt;height:43.5pt;z-index:251658265;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" filled="f" stroked="f">
              <v:textbox style="mso-fit-shape-to-text:t" inset="0,15pt,0,0">
                <w:txbxContent>
                  <w:p w14:paraId="058EC484" w14:textId="51159FD8" w:rsidR="00AD0FF1" w:rsidRPr="00AD0FF1" w:rsidRDefault="00AD0FF1" w:rsidP="00AD0FF1">
                    <w:pPr>
                      <w:spacing w:after="0"/>
                      <w:rPr>
                        <w:rFonts w:ascii="Calibri" w:eastAsia="Calibri" w:hAnsi="Calibri" w:cs="Calibri"/>
                        <w:noProof/>
                        <w:color w:val="FF0000"/>
                        <w:sz w:val="24"/>
                        <w:szCs w:val="24"/>
                      </w:rPr>
                    </w:pPr>
                    <w:r w:rsidRPr="00AD0FF1">
                      <w:rPr>
                        <w:rFonts w:ascii="Calibri" w:eastAsia="Calibri" w:hAnsi="Calibri" w:cs="Calibri"/>
                        <w:noProof/>
                        <w:color w:val="FF0000"/>
                        <w:sz w:val="24"/>
                        <w:szCs w:val="24"/>
                      </w:rPr>
                      <w:t>OFFICIAL</w:t>
                    </w:r>
                  </w:p>
                </w:txbxContent>
              </v:textbox>
              <w10:wrap anchorx="page" anchory="page"/>
            </v:shape>
          </w:pict>
        </mc:Fallback>
      </mc:AlternateContent>
    </w: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BE519D" w14:textId="7DAC1E5F" w:rsidR="00AD0FF1" w:rsidRDefault="00AD0FF1">
    <w:pPr>
      <w:pStyle w:val="Header"/>
    </w:pPr>
    <w:r>
      <w:rPr>
        <w:noProof/>
      </w:rPr>
      <mc:AlternateContent>
        <mc:Choice Requires="wps">
          <w:drawing>
            <wp:anchor distT="0" distB="0" distL="0" distR="0" simplePos="0" relativeHeight="251658284" behindDoc="0" locked="0" layoutInCell="1" allowOverlap="1" wp14:anchorId="4F161FB8" wp14:editId="1DE38A9A">
              <wp:simplePos x="635" y="635"/>
              <wp:positionH relativeFrom="page">
                <wp:align>center</wp:align>
              </wp:positionH>
              <wp:positionV relativeFrom="page">
                <wp:align>top</wp:align>
              </wp:positionV>
              <wp:extent cx="551815" cy="552450"/>
              <wp:effectExtent l="0" t="0" r="635" b="0"/>
              <wp:wrapNone/>
              <wp:docPr id="1438767880" name="Text Box 5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552450"/>
                      </a:xfrm>
                      <a:prstGeom prst="rect">
                        <a:avLst/>
                      </a:prstGeom>
                      <a:noFill/>
                      <a:ln>
                        <a:noFill/>
                      </a:ln>
                    </wps:spPr>
                    <wps:txbx>
                      <w:txbxContent>
                        <w:p w14:paraId="18145580" w14:textId="5F20CE97" w:rsidR="00AD0FF1" w:rsidRPr="00AD0FF1" w:rsidRDefault="00AD0FF1" w:rsidP="00AD0FF1">
                          <w:pPr>
                            <w:spacing w:after="0"/>
                            <w:rPr>
                              <w:rFonts w:ascii="Calibri" w:eastAsia="Calibri" w:hAnsi="Calibri" w:cs="Calibri"/>
                              <w:noProof/>
                              <w:color w:val="FF0000"/>
                              <w:sz w:val="24"/>
                              <w:szCs w:val="24"/>
                            </w:rPr>
                          </w:pPr>
                          <w:r w:rsidRPr="00AD0FF1">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F161FB8" id="_x0000_t202" coordsize="21600,21600" o:spt="202" path="m,l,21600r21600,l21600,xe">
              <v:stroke joinstyle="miter"/>
              <v:path gradientshapeok="t" o:connecttype="rect"/>
            </v:shapetype>
            <v:shape id="Text Box 53" o:spid="_x0000_s1065" type="#_x0000_t202" alt="OFFICIAL" style="position:absolute;margin-left:0;margin-top:0;width:43.45pt;height:43.5pt;z-index:25165828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" filled="f" stroked="f">
              <v:textbox style="mso-fit-shape-to-text:t" inset="0,15pt,0,0">
                <w:txbxContent>
                  <w:p w14:paraId="18145580" w14:textId="5F20CE97" w:rsidR="00AD0FF1" w:rsidRPr="00AD0FF1" w:rsidRDefault="00AD0FF1" w:rsidP="00AD0FF1">
                    <w:pPr>
                      <w:spacing w:after="0"/>
                      <w:rPr>
                        <w:rFonts w:ascii="Calibri" w:eastAsia="Calibri" w:hAnsi="Calibri" w:cs="Calibri"/>
                        <w:noProof/>
                        <w:color w:val="FF0000"/>
                        <w:sz w:val="24"/>
                        <w:szCs w:val="24"/>
                      </w:rPr>
                    </w:pPr>
                    <w:r w:rsidRPr="00AD0FF1">
                      <w:rPr>
                        <w:rFonts w:ascii="Calibri" w:eastAsia="Calibri" w:hAnsi="Calibri" w:cs="Calibri"/>
                        <w:noProof/>
                        <w:color w:val="FF0000"/>
                        <w:sz w:val="24"/>
                        <w:szCs w:val="24"/>
                      </w:rPr>
                      <w:t>OFFICIAL</w:t>
                    </w:r>
                  </w:p>
                </w:txbxContent>
              </v:textbox>
              <w10:wrap anchorx="page" anchory="page"/>
            </v:shape>
          </w:pict>
        </mc:Fallback>
      </mc:AlternateContent>
    </w: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517651" w14:textId="30AD7554" w:rsidR="00AD0FF1" w:rsidRDefault="00AD0FF1">
    <w:pPr>
      <w:pStyle w:val="Header"/>
    </w:pPr>
    <w:r>
      <w:rPr>
        <w:noProof/>
      </w:rPr>
      <mc:AlternateContent>
        <mc:Choice Requires="wps">
          <w:drawing>
            <wp:anchor distT="0" distB="0" distL="0" distR="0" simplePos="0" relativeHeight="251658285" behindDoc="0" locked="0" layoutInCell="1" allowOverlap="1" wp14:anchorId="097AEBAA" wp14:editId="2AF33DB2">
              <wp:simplePos x="635" y="635"/>
              <wp:positionH relativeFrom="page">
                <wp:align>center</wp:align>
              </wp:positionH>
              <wp:positionV relativeFrom="page">
                <wp:align>top</wp:align>
              </wp:positionV>
              <wp:extent cx="551815" cy="552450"/>
              <wp:effectExtent l="0" t="0" r="635" b="0"/>
              <wp:wrapNone/>
              <wp:docPr id="979420541" name="Text Box 5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552450"/>
                      </a:xfrm>
                      <a:prstGeom prst="rect">
                        <a:avLst/>
                      </a:prstGeom>
                      <a:noFill/>
                      <a:ln>
                        <a:noFill/>
                      </a:ln>
                    </wps:spPr>
                    <wps:txbx>
                      <w:txbxContent>
                        <w:p w14:paraId="497C3AF8" w14:textId="61CD13C2" w:rsidR="00AD0FF1" w:rsidRPr="00AD0FF1" w:rsidRDefault="00AD0FF1" w:rsidP="00AD0FF1">
                          <w:pPr>
                            <w:spacing w:after="0"/>
                            <w:rPr>
                              <w:rFonts w:ascii="Calibri" w:eastAsia="Calibri" w:hAnsi="Calibri" w:cs="Calibri"/>
                              <w:noProof/>
                              <w:color w:val="FF0000"/>
                              <w:sz w:val="24"/>
                              <w:szCs w:val="24"/>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97AEBAA" id="_x0000_t202" coordsize="21600,21600" o:spt="202" path="m,l,21600r21600,l21600,xe">
              <v:stroke joinstyle="miter"/>
              <v:path gradientshapeok="t" o:connecttype="rect"/>
            </v:shapetype>
            <v:shape id="Text Box 54" o:spid="_x0000_s1066" type="#_x0000_t202" alt="OFFICIAL" style="position:absolute;margin-left:0;margin-top:0;width:43.45pt;height:43.5pt;z-index:251658285;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" filled="f" stroked="f">
              <v:textbox style="mso-fit-shape-to-text:t" inset="0,15pt,0,0">
                <w:txbxContent>
                  <w:p w14:paraId="497C3AF8" w14:textId="61CD13C2" w:rsidR="00AD0FF1" w:rsidRPr="00AD0FF1" w:rsidRDefault="00AD0FF1" w:rsidP="00AD0FF1">
                    <w:pPr>
                      <w:spacing w:after="0"/>
                      <w:rPr>
                        <w:rFonts w:ascii="Calibri" w:eastAsia="Calibri" w:hAnsi="Calibri" w:cs="Calibri"/>
                        <w:noProof/>
                        <w:color w:val="FF0000"/>
                        <w:sz w:val="24"/>
                        <w:szCs w:val="24"/>
                      </w:rPr>
                    </w:pPr>
                  </w:p>
                </w:txbxContent>
              </v:textbox>
              <w10:wrap anchorx="page" anchory="page"/>
            </v:shape>
          </w:pict>
        </mc:Fallback>
      </mc:AlternateContent>
    </w: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28BE34" w14:textId="6ECD3C60" w:rsidR="00AD0FF1" w:rsidRDefault="00AD0FF1">
    <w:pPr>
      <w:pStyle w:val="Header"/>
    </w:pPr>
    <w:r>
      <w:rPr>
        <w:noProof/>
      </w:rPr>
      <mc:AlternateContent>
        <mc:Choice Requires="wps">
          <w:drawing>
            <wp:anchor distT="0" distB="0" distL="0" distR="0" simplePos="0" relativeHeight="251658283" behindDoc="0" locked="0" layoutInCell="1" allowOverlap="1" wp14:anchorId="529223FD" wp14:editId="3754ED9B">
              <wp:simplePos x="635" y="635"/>
              <wp:positionH relativeFrom="page">
                <wp:align>center</wp:align>
              </wp:positionH>
              <wp:positionV relativeFrom="page">
                <wp:align>top</wp:align>
              </wp:positionV>
              <wp:extent cx="551815" cy="552450"/>
              <wp:effectExtent l="0" t="0" r="635" b="0"/>
              <wp:wrapNone/>
              <wp:docPr id="1279666090" name="Text Box 5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552450"/>
                      </a:xfrm>
                      <a:prstGeom prst="rect">
                        <a:avLst/>
                      </a:prstGeom>
                      <a:noFill/>
                      <a:ln>
                        <a:noFill/>
                      </a:ln>
                    </wps:spPr>
                    <wps:txbx>
                      <w:txbxContent>
                        <w:p w14:paraId="6B73D2DF" w14:textId="556D979E" w:rsidR="00AD0FF1" w:rsidRPr="00AD0FF1" w:rsidRDefault="00AD0FF1" w:rsidP="00AD0FF1">
                          <w:pPr>
                            <w:spacing w:after="0"/>
                            <w:rPr>
                              <w:rFonts w:ascii="Calibri" w:eastAsia="Calibri" w:hAnsi="Calibri" w:cs="Calibri"/>
                              <w:noProof/>
                              <w:color w:val="FF0000"/>
                              <w:sz w:val="24"/>
                              <w:szCs w:val="24"/>
                            </w:rPr>
                          </w:pPr>
                          <w:r w:rsidRPr="00AD0FF1">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29223FD" id="_x0000_t202" coordsize="21600,21600" o:spt="202" path="m,l,21600r21600,l21600,xe">
              <v:stroke joinstyle="miter"/>
              <v:path gradientshapeok="t" o:connecttype="rect"/>
            </v:shapetype>
            <v:shape id="Text Box 52" o:spid="_x0000_s1067" type="#_x0000_t202" alt="OFFICIAL" style="position:absolute;margin-left:0;margin-top:0;width:43.45pt;height:43.5pt;z-index:25165828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" filled="f" stroked="f">
              <v:textbox style="mso-fit-shape-to-text:t" inset="0,15pt,0,0">
                <w:txbxContent>
                  <w:p w14:paraId="6B73D2DF" w14:textId="556D979E" w:rsidR="00AD0FF1" w:rsidRPr="00AD0FF1" w:rsidRDefault="00AD0FF1" w:rsidP="00AD0FF1">
                    <w:pPr>
                      <w:spacing w:after="0"/>
                      <w:rPr>
                        <w:rFonts w:ascii="Calibri" w:eastAsia="Calibri" w:hAnsi="Calibri" w:cs="Calibri"/>
                        <w:noProof/>
                        <w:color w:val="FF0000"/>
                        <w:sz w:val="24"/>
                        <w:szCs w:val="24"/>
                      </w:rPr>
                    </w:pPr>
                    <w:r w:rsidRPr="00AD0FF1">
                      <w:rPr>
                        <w:rFonts w:ascii="Calibri" w:eastAsia="Calibri" w:hAnsi="Calibri" w:cs="Calibri"/>
                        <w:noProof/>
                        <w:color w:val="FF0000"/>
                        <w:sz w:val="24"/>
                        <w:szCs w:val="24"/>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4483BB" w14:textId="5F59ABBE" w:rsidR="003A30F3" w:rsidRPr="00633068" w:rsidRDefault="00AD0FF1" w:rsidP="00633068">
    <w:pPr>
      <w:pStyle w:val="Header"/>
      <w:tabs>
        <w:tab w:val="clear" w:pos="4680"/>
        <w:tab w:val="clear" w:pos="9360"/>
        <w:tab w:val="left" w:pos="2236"/>
      </w:tabs>
    </w:pPr>
    <w:r>
      <w:rPr>
        <w:noProof/>
      </w:rPr>
      <mc:AlternateContent>
        <mc:Choice Requires="wps">
          <w:drawing>
            <wp:anchor distT="0" distB="0" distL="0" distR="0" simplePos="0" relativeHeight="251658267" behindDoc="0" locked="0" layoutInCell="1" allowOverlap="1" wp14:anchorId="0E1E83C6" wp14:editId="42FDB551">
              <wp:simplePos x="635" y="635"/>
              <wp:positionH relativeFrom="page">
                <wp:align>center</wp:align>
              </wp:positionH>
              <wp:positionV relativeFrom="page">
                <wp:align>top</wp:align>
              </wp:positionV>
              <wp:extent cx="551815" cy="552450"/>
              <wp:effectExtent l="0" t="0" r="635" b="0"/>
              <wp:wrapNone/>
              <wp:docPr id="71224672" name="Text Box 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552450"/>
                      </a:xfrm>
                      <a:prstGeom prst="rect">
                        <a:avLst/>
                      </a:prstGeom>
                      <a:noFill/>
                      <a:ln>
                        <a:noFill/>
                      </a:ln>
                    </wps:spPr>
                    <wps:txbx>
                      <w:txbxContent>
                        <w:p w14:paraId="2F1FFD61" w14:textId="6FE445E4" w:rsidR="00AD0FF1" w:rsidRPr="00AD0FF1" w:rsidRDefault="00AD0FF1" w:rsidP="00AD0FF1">
                          <w:pPr>
                            <w:spacing w:after="0"/>
                            <w:rPr>
                              <w:rFonts w:ascii="Calibri" w:eastAsia="Calibri" w:hAnsi="Calibri" w:cs="Calibri"/>
                              <w:noProof/>
                              <w:color w:val="FF0000"/>
                              <w:sz w:val="24"/>
                              <w:szCs w:val="24"/>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E1E83C6" id="_x0000_t202" coordsize="21600,21600" o:spt="202" path="m,l,21600r21600,l21600,xe">
              <v:stroke joinstyle="miter"/>
              <v:path gradientshapeok="t" o:connecttype="rect"/>
            </v:shapetype>
            <v:shape id="Text Box 6" o:spid="_x0000_s1030" type="#_x0000_t202" alt="OFFICIAL" style="position:absolute;margin-left:0;margin-top:0;width:43.45pt;height:43.5pt;z-index:251658267;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" filled="f" stroked="f">
              <v:textbox style="mso-fit-shape-to-text:t" inset="0,15pt,0,0">
                <w:txbxContent>
                  <w:p w14:paraId="2F1FFD61" w14:textId="6FE445E4" w:rsidR="00AD0FF1" w:rsidRPr="00AD0FF1" w:rsidRDefault="00AD0FF1" w:rsidP="00AD0FF1">
                    <w:pPr>
                      <w:spacing w:after="0"/>
                      <w:rPr>
                        <w:rFonts w:ascii="Calibri" w:eastAsia="Calibri" w:hAnsi="Calibri" w:cs="Calibri"/>
                        <w:noProof/>
                        <w:color w:val="FF0000"/>
                        <w:sz w:val="24"/>
                        <w:szCs w:val="24"/>
                      </w:rPr>
                    </w:pP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1F3A7D" w14:textId="3E0C8806" w:rsidR="00AD0FF1" w:rsidRDefault="00AD0FF1">
    <w:pPr>
      <w:pStyle w:val="Header"/>
    </w:pPr>
    <w:r>
      <w:rPr>
        <w:noProof/>
      </w:rPr>
      <mc:AlternateContent>
        <mc:Choice Requires="wps">
          <w:drawing>
            <wp:anchor distT="0" distB="0" distL="0" distR="0" simplePos="0" relativeHeight="251658263" behindDoc="0" locked="0" layoutInCell="1" allowOverlap="1" wp14:anchorId="01CB2C38" wp14:editId="5CF34B9F">
              <wp:simplePos x="635" y="635"/>
              <wp:positionH relativeFrom="page">
                <wp:align>center</wp:align>
              </wp:positionH>
              <wp:positionV relativeFrom="page">
                <wp:align>top</wp:align>
              </wp:positionV>
              <wp:extent cx="551815" cy="552450"/>
              <wp:effectExtent l="0" t="0" r="635" b="0"/>
              <wp:wrapNone/>
              <wp:docPr id="817856283"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552450"/>
                      </a:xfrm>
                      <a:prstGeom prst="rect">
                        <a:avLst/>
                      </a:prstGeom>
                      <a:noFill/>
                      <a:ln>
                        <a:noFill/>
                      </a:ln>
                    </wps:spPr>
                    <wps:txbx>
                      <w:txbxContent>
                        <w:p w14:paraId="07398E0F" w14:textId="460B92BE" w:rsidR="00AD0FF1" w:rsidRPr="00AD0FF1" w:rsidRDefault="00AD0FF1" w:rsidP="00AD0FF1">
                          <w:pPr>
                            <w:spacing w:after="0"/>
                            <w:rPr>
                              <w:rFonts w:ascii="Calibri" w:eastAsia="Calibri" w:hAnsi="Calibri" w:cs="Calibri"/>
                              <w:noProof/>
                              <w:color w:val="FF0000"/>
                              <w:sz w:val="24"/>
                              <w:szCs w:val="24"/>
                            </w:rPr>
                          </w:pPr>
                          <w:r w:rsidRPr="00AD0FF1">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1CB2C38" id="_x0000_t202" coordsize="21600,21600" o:spt="202" path="m,l,21600r21600,l21600,xe">
              <v:stroke joinstyle="miter"/>
              <v:path gradientshapeok="t" o:connecttype="rect"/>
            </v:shapetype>
            <v:shape id="Text Box 4" o:spid="_x0000_s1031" type="#_x0000_t202" alt="OFFICIAL" style="position:absolute;margin-left:0;margin-top:0;width:43.45pt;height:43.5pt;z-index:25165826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" filled="f" stroked="f">
              <v:textbox style="mso-fit-shape-to-text:t" inset="0,15pt,0,0">
                <w:txbxContent>
                  <w:p w14:paraId="07398E0F" w14:textId="460B92BE" w:rsidR="00AD0FF1" w:rsidRPr="00AD0FF1" w:rsidRDefault="00AD0FF1" w:rsidP="00AD0FF1">
                    <w:pPr>
                      <w:spacing w:after="0"/>
                      <w:rPr>
                        <w:rFonts w:ascii="Calibri" w:eastAsia="Calibri" w:hAnsi="Calibri" w:cs="Calibri"/>
                        <w:noProof/>
                        <w:color w:val="FF0000"/>
                        <w:sz w:val="24"/>
                        <w:szCs w:val="24"/>
                      </w:rPr>
                    </w:pPr>
                    <w:r w:rsidRPr="00AD0FF1">
                      <w:rPr>
                        <w:rFonts w:ascii="Calibri" w:eastAsia="Calibri" w:hAnsi="Calibri" w:cs="Calibri"/>
                        <w:noProof/>
                        <w:color w:val="FF0000"/>
                        <w:sz w:val="24"/>
                        <w:szCs w:val="24"/>
                      </w:rPr>
                      <w:t>OFFICIAL</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79FAEC" w14:textId="59F84555" w:rsidR="00AD0FF1" w:rsidRDefault="00AD0FF1">
    <w:pPr>
      <w:pStyle w:val="Header"/>
    </w:pPr>
    <w:r>
      <w:rPr>
        <w:noProof/>
      </w:rPr>
      <mc:AlternateContent>
        <mc:Choice Requires="wps">
          <w:drawing>
            <wp:anchor distT="0" distB="0" distL="0" distR="0" simplePos="0" relativeHeight="251658271" behindDoc="0" locked="0" layoutInCell="1" allowOverlap="1" wp14:anchorId="2488BA01" wp14:editId="0A1492CF">
              <wp:simplePos x="635" y="635"/>
              <wp:positionH relativeFrom="page">
                <wp:align>center</wp:align>
              </wp:positionH>
              <wp:positionV relativeFrom="page">
                <wp:align>top</wp:align>
              </wp:positionV>
              <wp:extent cx="551815" cy="552450"/>
              <wp:effectExtent l="0" t="0" r="635" b="0"/>
              <wp:wrapNone/>
              <wp:docPr id="159580408" name="Text Box 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552450"/>
                      </a:xfrm>
                      <a:prstGeom prst="rect">
                        <a:avLst/>
                      </a:prstGeom>
                      <a:noFill/>
                      <a:ln>
                        <a:noFill/>
                      </a:ln>
                    </wps:spPr>
                    <wps:txbx>
                      <w:txbxContent>
                        <w:p w14:paraId="5144B3AB" w14:textId="53AD89F3" w:rsidR="00AD0FF1" w:rsidRPr="00AD0FF1" w:rsidRDefault="00AD0FF1" w:rsidP="00AD0FF1">
                          <w:pPr>
                            <w:spacing w:after="0"/>
                            <w:rPr>
                              <w:rFonts w:ascii="Calibri" w:eastAsia="Calibri" w:hAnsi="Calibri" w:cs="Calibri"/>
                              <w:noProof/>
                              <w:color w:val="FF0000"/>
                              <w:sz w:val="24"/>
                              <w:szCs w:val="24"/>
                            </w:rPr>
                          </w:pPr>
                          <w:r w:rsidRPr="00AD0FF1">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488BA01" id="_x0000_t202" coordsize="21600,21600" o:spt="202" path="m,l,21600r21600,l21600,xe">
              <v:stroke joinstyle="miter"/>
              <v:path gradientshapeok="t" o:connecttype="rect"/>
            </v:shapetype>
            <v:shape id="Text Box 8" o:spid="_x0000_s1032" type="#_x0000_t202" alt="OFFICIAL" style="position:absolute;margin-left:0;margin-top:0;width:43.45pt;height:43.5pt;z-index:25165827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" filled="f" stroked="f">
              <v:textbox style="mso-fit-shape-to-text:t" inset="0,15pt,0,0">
                <w:txbxContent>
                  <w:p w14:paraId="5144B3AB" w14:textId="53AD89F3" w:rsidR="00AD0FF1" w:rsidRPr="00AD0FF1" w:rsidRDefault="00AD0FF1" w:rsidP="00AD0FF1">
                    <w:pPr>
                      <w:spacing w:after="0"/>
                      <w:rPr>
                        <w:rFonts w:ascii="Calibri" w:eastAsia="Calibri" w:hAnsi="Calibri" w:cs="Calibri"/>
                        <w:noProof/>
                        <w:color w:val="FF0000"/>
                        <w:sz w:val="24"/>
                        <w:szCs w:val="24"/>
                      </w:rPr>
                    </w:pPr>
                    <w:r w:rsidRPr="00AD0FF1">
                      <w:rPr>
                        <w:rFonts w:ascii="Calibri" w:eastAsia="Calibri" w:hAnsi="Calibri" w:cs="Calibri"/>
                        <w:noProof/>
                        <w:color w:val="FF0000"/>
                        <w:sz w:val="24"/>
                        <w:szCs w:val="24"/>
                      </w:rPr>
                      <w:t>OFFICIAL</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0A26DF" w14:textId="2C586AA0" w:rsidR="00AD0FF1" w:rsidRDefault="00AD0FF1">
    <w:pPr>
      <w:pStyle w:val="Header"/>
    </w:pPr>
    <w:r>
      <w:rPr>
        <w:noProof/>
      </w:rPr>
      <mc:AlternateContent>
        <mc:Choice Requires="wps">
          <w:drawing>
            <wp:anchor distT="0" distB="0" distL="0" distR="0" simplePos="0" relativeHeight="251658273" behindDoc="0" locked="0" layoutInCell="1" allowOverlap="1" wp14:anchorId="56FF36B8" wp14:editId="3351757A">
              <wp:simplePos x="635" y="635"/>
              <wp:positionH relativeFrom="page">
                <wp:align>center</wp:align>
              </wp:positionH>
              <wp:positionV relativeFrom="page">
                <wp:align>top</wp:align>
              </wp:positionV>
              <wp:extent cx="551815" cy="552450"/>
              <wp:effectExtent l="0" t="0" r="635" b="0"/>
              <wp:wrapNone/>
              <wp:docPr id="1523072193" name="Text Box 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552450"/>
                      </a:xfrm>
                      <a:prstGeom prst="rect">
                        <a:avLst/>
                      </a:prstGeom>
                      <a:noFill/>
                      <a:ln>
                        <a:noFill/>
                      </a:ln>
                    </wps:spPr>
                    <wps:txbx>
                      <w:txbxContent>
                        <w:p w14:paraId="13993CE0" w14:textId="41B40035" w:rsidR="00AD0FF1" w:rsidRPr="00AD0FF1" w:rsidRDefault="00AD0FF1" w:rsidP="00AD0FF1">
                          <w:pPr>
                            <w:spacing w:after="0"/>
                            <w:rPr>
                              <w:rFonts w:ascii="Calibri" w:eastAsia="Calibri" w:hAnsi="Calibri" w:cs="Calibri"/>
                              <w:noProof/>
                              <w:color w:val="FF0000"/>
                              <w:sz w:val="24"/>
                              <w:szCs w:val="24"/>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6FF36B8" id="_x0000_t202" coordsize="21600,21600" o:spt="202" path="m,l,21600r21600,l21600,xe">
              <v:stroke joinstyle="miter"/>
              <v:path gradientshapeok="t" o:connecttype="rect"/>
            </v:shapetype>
            <v:shape id="Text Box 9" o:spid="_x0000_s1033" type="#_x0000_t202" alt="OFFICIAL" style="position:absolute;margin-left:0;margin-top:0;width:43.45pt;height:43.5pt;z-index:25165827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" filled="f" stroked="f">
              <v:textbox style="mso-fit-shape-to-text:t" inset="0,15pt,0,0">
                <w:txbxContent>
                  <w:p w14:paraId="13993CE0" w14:textId="41B40035" w:rsidR="00AD0FF1" w:rsidRPr="00AD0FF1" w:rsidRDefault="00AD0FF1" w:rsidP="00AD0FF1">
                    <w:pPr>
                      <w:spacing w:after="0"/>
                      <w:rPr>
                        <w:rFonts w:ascii="Calibri" w:eastAsia="Calibri" w:hAnsi="Calibri" w:cs="Calibri"/>
                        <w:noProof/>
                        <w:color w:val="FF0000"/>
                        <w:sz w:val="24"/>
                        <w:szCs w:val="24"/>
                      </w:rPr>
                    </w:pP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C34EE6" w14:textId="4140CAE0" w:rsidR="00AD0FF1" w:rsidRDefault="00AD0FF1">
    <w:pPr>
      <w:pStyle w:val="Header"/>
    </w:pPr>
    <w:r>
      <w:rPr>
        <w:noProof/>
      </w:rPr>
      <mc:AlternateContent>
        <mc:Choice Requires="wps">
          <w:drawing>
            <wp:anchor distT="0" distB="0" distL="0" distR="0" simplePos="0" relativeHeight="251658269" behindDoc="0" locked="0" layoutInCell="1" allowOverlap="1" wp14:anchorId="6DB3BBE7" wp14:editId="69DD40C6">
              <wp:simplePos x="635" y="635"/>
              <wp:positionH relativeFrom="page">
                <wp:align>center</wp:align>
              </wp:positionH>
              <wp:positionV relativeFrom="page">
                <wp:align>top</wp:align>
              </wp:positionV>
              <wp:extent cx="551815" cy="552450"/>
              <wp:effectExtent l="0" t="0" r="635" b="0"/>
              <wp:wrapNone/>
              <wp:docPr id="2141602613" name="Text Box 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552450"/>
                      </a:xfrm>
                      <a:prstGeom prst="rect">
                        <a:avLst/>
                      </a:prstGeom>
                      <a:noFill/>
                      <a:ln>
                        <a:noFill/>
                      </a:ln>
                    </wps:spPr>
                    <wps:txbx>
                      <w:txbxContent>
                        <w:p w14:paraId="317EB6B5" w14:textId="65340D40" w:rsidR="00AD0FF1" w:rsidRPr="00AD0FF1" w:rsidRDefault="00AD0FF1" w:rsidP="00AD0FF1">
                          <w:pPr>
                            <w:spacing w:after="0"/>
                            <w:rPr>
                              <w:rFonts w:ascii="Calibri" w:eastAsia="Calibri" w:hAnsi="Calibri" w:cs="Calibri"/>
                              <w:noProof/>
                              <w:color w:val="FF0000"/>
                              <w:sz w:val="24"/>
                              <w:szCs w:val="24"/>
                            </w:rPr>
                          </w:pPr>
                          <w:r w:rsidRPr="00AD0FF1">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DB3BBE7" id="_x0000_t202" coordsize="21600,21600" o:spt="202" path="m,l,21600r21600,l21600,xe">
              <v:stroke joinstyle="miter"/>
              <v:path gradientshapeok="t" o:connecttype="rect"/>
            </v:shapetype>
            <v:shape id="Text Box 7" o:spid="_x0000_s1034" type="#_x0000_t202" alt="OFFICIAL" style="position:absolute;margin-left:0;margin-top:0;width:43.45pt;height:43.5pt;z-index:251658269;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" filled="f" stroked="f">
              <v:textbox style="mso-fit-shape-to-text:t" inset="0,15pt,0,0">
                <w:txbxContent>
                  <w:p w14:paraId="317EB6B5" w14:textId="65340D40" w:rsidR="00AD0FF1" w:rsidRPr="00AD0FF1" w:rsidRDefault="00AD0FF1" w:rsidP="00AD0FF1">
                    <w:pPr>
                      <w:spacing w:after="0"/>
                      <w:rPr>
                        <w:rFonts w:ascii="Calibri" w:eastAsia="Calibri" w:hAnsi="Calibri" w:cs="Calibri"/>
                        <w:noProof/>
                        <w:color w:val="FF0000"/>
                        <w:sz w:val="24"/>
                        <w:szCs w:val="24"/>
                      </w:rPr>
                    </w:pPr>
                    <w:r w:rsidRPr="00AD0FF1">
                      <w:rPr>
                        <w:rFonts w:ascii="Calibri" w:eastAsia="Calibri" w:hAnsi="Calibri" w:cs="Calibri"/>
                        <w:noProof/>
                        <w:color w:val="FF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76EE29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0D6172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FFFF7C"/>
    <w:multiLevelType w:val="singleLevel"/>
    <w:tmpl w:val="1A6C2776"/>
    <w:lvl w:ilvl="0">
      <w:start w:val="1"/>
      <w:numFmt w:val="decimal"/>
      <w:lvlText w:val="%1."/>
      <w:lvlJc w:val="left"/>
      <w:pPr>
        <w:tabs>
          <w:tab w:val="num" w:pos="1492"/>
        </w:tabs>
        <w:ind w:left="1492" w:hanging="360"/>
      </w:pPr>
    </w:lvl>
  </w:abstractNum>
  <w:abstractNum w:abstractNumId="3" w15:restartNumberingAfterBreak="0">
    <w:nsid w:val="FFFFFF7D"/>
    <w:multiLevelType w:val="singleLevel"/>
    <w:tmpl w:val="3402B2AC"/>
    <w:lvl w:ilvl="0">
      <w:start w:val="1"/>
      <w:numFmt w:val="decimal"/>
      <w:lvlText w:val="%1."/>
      <w:lvlJc w:val="left"/>
      <w:pPr>
        <w:tabs>
          <w:tab w:val="num" w:pos="1209"/>
        </w:tabs>
        <w:ind w:left="1209" w:hanging="360"/>
      </w:pPr>
    </w:lvl>
  </w:abstractNum>
  <w:abstractNum w:abstractNumId="4" w15:restartNumberingAfterBreak="0">
    <w:nsid w:val="FFFFFF7E"/>
    <w:multiLevelType w:val="singleLevel"/>
    <w:tmpl w:val="44F6E1D8"/>
    <w:lvl w:ilvl="0">
      <w:start w:val="1"/>
      <w:numFmt w:val="decimal"/>
      <w:lvlText w:val="%1."/>
      <w:lvlJc w:val="left"/>
      <w:pPr>
        <w:tabs>
          <w:tab w:val="num" w:pos="926"/>
        </w:tabs>
        <w:ind w:left="926" w:hanging="360"/>
      </w:pPr>
    </w:lvl>
  </w:abstractNum>
  <w:abstractNum w:abstractNumId="5" w15:restartNumberingAfterBreak="0">
    <w:nsid w:val="FFFFFF7F"/>
    <w:multiLevelType w:val="singleLevel"/>
    <w:tmpl w:val="D41CF298"/>
    <w:lvl w:ilvl="0">
      <w:start w:val="1"/>
      <w:numFmt w:val="decimal"/>
      <w:lvlText w:val="%1."/>
      <w:lvlJc w:val="left"/>
      <w:pPr>
        <w:tabs>
          <w:tab w:val="num" w:pos="643"/>
        </w:tabs>
        <w:ind w:left="643" w:hanging="360"/>
      </w:pPr>
    </w:lvl>
  </w:abstractNum>
  <w:abstractNum w:abstractNumId="6" w15:restartNumberingAfterBreak="0">
    <w:nsid w:val="FFFFFF80"/>
    <w:multiLevelType w:val="singleLevel"/>
    <w:tmpl w:val="A8C2CE5E"/>
    <w:lvl w:ilvl="0">
      <w:start w:val="1"/>
      <w:numFmt w:val="bullet"/>
      <w:lvlText w:val=""/>
      <w:lvlJc w:val="left"/>
      <w:pPr>
        <w:tabs>
          <w:tab w:val="num" w:pos="1492"/>
        </w:tabs>
        <w:ind w:left="1492" w:hanging="360"/>
      </w:pPr>
      <w:rPr>
        <w:rFonts w:ascii="Symbol" w:hAnsi="Symbol" w:hint="default"/>
      </w:rPr>
    </w:lvl>
  </w:abstractNum>
  <w:abstractNum w:abstractNumId="7" w15:restartNumberingAfterBreak="0">
    <w:nsid w:val="FFFFFF81"/>
    <w:multiLevelType w:val="singleLevel"/>
    <w:tmpl w:val="64929D22"/>
    <w:lvl w:ilvl="0">
      <w:start w:val="1"/>
      <w:numFmt w:val="bullet"/>
      <w:lvlText w:val=""/>
      <w:lvlJc w:val="left"/>
      <w:pPr>
        <w:tabs>
          <w:tab w:val="num" w:pos="1209"/>
        </w:tabs>
        <w:ind w:left="1209" w:hanging="360"/>
      </w:pPr>
      <w:rPr>
        <w:rFonts w:ascii="Symbol" w:hAnsi="Symbol" w:hint="default"/>
      </w:rPr>
    </w:lvl>
  </w:abstractNum>
  <w:abstractNum w:abstractNumId="8" w15:restartNumberingAfterBreak="0">
    <w:nsid w:val="FFFFFF82"/>
    <w:multiLevelType w:val="singleLevel"/>
    <w:tmpl w:val="07A000BA"/>
    <w:lvl w:ilvl="0">
      <w:start w:val="1"/>
      <w:numFmt w:val="bullet"/>
      <w:lvlText w:val=""/>
      <w:lvlJc w:val="left"/>
      <w:pPr>
        <w:tabs>
          <w:tab w:val="num" w:pos="926"/>
        </w:tabs>
        <w:ind w:left="926" w:hanging="360"/>
      </w:pPr>
      <w:rPr>
        <w:rFonts w:ascii="Symbol" w:hAnsi="Symbol" w:hint="default"/>
      </w:rPr>
    </w:lvl>
  </w:abstractNum>
  <w:abstractNum w:abstractNumId="9" w15:restartNumberingAfterBreak="0">
    <w:nsid w:val="FFFFFF83"/>
    <w:multiLevelType w:val="singleLevel"/>
    <w:tmpl w:val="C3145428"/>
    <w:lvl w:ilvl="0">
      <w:start w:val="1"/>
      <w:numFmt w:val="bullet"/>
      <w:lvlText w:val=""/>
      <w:lvlJc w:val="left"/>
      <w:pPr>
        <w:tabs>
          <w:tab w:val="num" w:pos="643"/>
        </w:tabs>
        <w:ind w:left="643" w:hanging="360"/>
      </w:pPr>
      <w:rPr>
        <w:rFonts w:ascii="Symbol" w:hAnsi="Symbol" w:hint="default"/>
      </w:rPr>
    </w:lvl>
  </w:abstractNum>
  <w:abstractNum w:abstractNumId="10" w15:restartNumberingAfterBreak="0">
    <w:nsid w:val="FFFFFF88"/>
    <w:multiLevelType w:val="singleLevel"/>
    <w:tmpl w:val="B4CEE626"/>
    <w:lvl w:ilvl="0">
      <w:start w:val="1"/>
      <w:numFmt w:val="decimal"/>
      <w:lvlText w:val="%1."/>
      <w:lvlJc w:val="left"/>
      <w:pPr>
        <w:tabs>
          <w:tab w:val="num" w:pos="360"/>
        </w:tabs>
        <w:ind w:left="360" w:hanging="360"/>
      </w:pPr>
    </w:lvl>
  </w:abstractNum>
  <w:abstractNum w:abstractNumId="11" w15:restartNumberingAfterBreak="0">
    <w:nsid w:val="FFFFFF89"/>
    <w:multiLevelType w:val="singleLevel"/>
    <w:tmpl w:val="F59608DC"/>
    <w:lvl w:ilvl="0">
      <w:start w:val="1"/>
      <w:numFmt w:val="bullet"/>
      <w:pStyle w:val="ListBullet"/>
      <w:lvlText w:val=""/>
      <w:lvlJc w:val="left"/>
      <w:pPr>
        <w:tabs>
          <w:tab w:val="num" w:pos="360"/>
        </w:tabs>
        <w:ind w:left="360" w:hanging="360"/>
      </w:pPr>
      <w:rPr>
        <w:rFonts w:ascii="Symbol" w:hAnsi="Symbol" w:hint="default"/>
      </w:rPr>
    </w:lvl>
  </w:abstractNum>
  <w:abstractNum w:abstractNumId="12" w15:restartNumberingAfterBreak="0">
    <w:nsid w:val="09FC2E07"/>
    <w:multiLevelType w:val="hybridMultilevel"/>
    <w:tmpl w:val="C5FA7D72"/>
    <w:lvl w:ilvl="0" w:tplc="828A7298">
      <w:start w:val="1"/>
      <w:numFmt w:val="decimal"/>
      <w:lvlText w:val="%1."/>
      <w:lvlJc w:val="left"/>
      <w:pPr>
        <w:ind w:left="558" w:hanging="360"/>
      </w:pPr>
      <w:rPr>
        <w:b/>
      </w:rPr>
    </w:lvl>
    <w:lvl w:ilvl="1" w:tplc="0C090019" w:tentative="1">
      <w:start w:val="1"/>
      <w:numFmt w:val="lowerLetter"/>
      <w:lvlText w:val="%2."/>
      <w:lvlJc w:val="left"/>
      <w:pPr>
        <w:ind w:left="1278" w:hanging="360"/>
      </w:pPr>
    </w:lvl>
    <w:lvl w:ilvl="2" w:tplc="0C09001B">
      <w:start w:val="1"/>
      <w:numFmt w:val="lowerRoman"/>
      <w:lvlText w:val="%3."/>
      <w:lvlJc w:val="right"/>
      <w:pPr>
        <w:ind w:left="1998" w:hanging="180"/>
      </w:pPr>
    </w:lvl>
    <w:lvl w:ilvl="3" w:tplc="0C09000F" w:tentative="1">
      <w:start w:val="1"/>
      <w:numFmt w:val="decimal"/>
      <w:lvlText w:val="%4."/>
      <w:lvlJc w:val="left"/>
      <w:pPr>
        <w:ind w:left="2718" w:hanging="360"/>
      </w:pPr>
    </w:lvl>
    <w:lvl w:ilvl="4" w:tplc="0C090019" w:tentative="1">
      <w:start w:val="1"/>
      <w:numFmt w:val="lowerLetter"/>
      <w:lvlText w:val="%5."/>
      <w:lvlJc w:val="left"/>
      <w:pPr>
        <w:ind w:left="3438" w:hanging="360"/>
      </w:pPr>
    </w:lvl>
    <w:lvl w:ilvl="5" w:tplc="0C09001B" w:tentative="1">
      <w:start w:val="1"/>
      <w:numFmt w:val="lowerRoman"/>
      <w:lvlText w:val="%6."/>
      <w:lvlJc w:val="right"/>
      <w:pPr>
        <w:ind w:left="4158" w:hanging="180"/>
      </w:pPr>
    </w:lvl>
    <w:lvl w:ilvl="6" w:tplc="0C09000F" w:tentative="1">
      <w:start w:val="1"/>
      <w:numFmt w:val="decimal"/>
      <w:lvlText w:val="%7."/>
      <w:lvlJc w:val="left"/>
      <w:pPr>
        <w:ind w:left="4878" w:hanging="360"/>
      </w:pPr>
    </w:lvl>
    <w:lvl w:ilvl="7" w:tplc="0C090019" w:tentative="1">
      <w:start w:val="1"/>
      <w:numFmt w:val="lowerLetter"/>
      <w:lvlText w:val="%8."/>
      <w:lvlJc w:val="left"/>
      <w:pPr>
        <w:ind w:left="5598" w:hanging="360"/>
      </w:pPr>
    </w:lvl>
    <w:lvl w:ilvl="8" w:tplc="0C09001B" w:tentative="1">
      <w:start w:val="1"/>
      <w:numFmt w:val="lowerRoman"/>
      <w:lvlText w:val="%9."/>
      <w:lvlJc w:val="right"/>
      <w:pPr>
        <w:ind w:left="6318" w:hanging="180"/>
      </w:pPr>
    </w:lvl>
  </w:abstractNum>
  <w:abstractNum w:abstractNumId="13" w15:restartNumberingAfterBreak="0">
    <w:nsid w:val="0C763F67"/>
    <w:multiLevelType w:val="hybridMultilevel"/>
    <w:tmpl w:val="6088A516"/>
    <w:lvl w:ilvl="0" w:tplc="6F7EBF12">
      <w:numFmt w:val="bullet"/>
      <w:lvlText w:val="-"/>
      <w:lvlJc w:val="left"/>
      <w:pPr>
        <w:ind w:left="720" w:hanging="360"/>
      </w:pPr>
      <w:rPr>
        <w:rFonts w:ascii="Arial" w:eastAsiaTheme="minorHAnsi"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F">
      <w:start w:val="1"/>
      <w:numFmt w:val="decimal"/>
      <w:lvlText w:val="%3."/>
      <w:lvlJc w:val="left"/>
      <w:pPr>
        <w:ind w:left="2160" w:hanging="360"/>
      </w:pPr>
      <w:rPr>
        <w:rFonts w:hint="default"/>
      </w:rPr>
    </w:lvl>
    <w:lvl w:ilvl="3" w:tplc="0C090003">
      <w:start w:val="1"/>
      <w:numFmt w:val="bullet"/>
      <w:lvlText w:val="o"/>
      <w:lvlJc w:val="left"/>
      <w:pPr>
        <w:ind w:left="2880" w:hanging="360"/>
      </w:pPr>
      <w:rPr>
        <w:rFonts w:ascii="Courier New" w:hAnsi="Courier New" w:cs="Courier New"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CE90296"/>
    <w:multiLevelType w:val="multilevel"/>
    <w:tmpl w:val="510EE69C"/>
    <w:styleLink w:val="ListLetters"/>
    <w:lvl w:ilvl="0">
      <w:start w:val="1"/>
      <w:numFmt w:val="lowerLetter"/>
      <w:pStyle w:val="ListLetters0"/>
      <w:lvlText w:val="%1)"/>
      <w:lvlJc w:val="left"/>
      <w:pPr>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0FF96766"/>
    <w:multiLevelType w:val="multilevel"/>
    <w:tmpl w:val="7B18E240"/>
    <w:lvl w:ilvl="0">
      <w:start w:val="1"/>
      <w:numFmt w:val="decimal"/>
      <w:lvlText w:val="%1."/>
      <w:lvlJc w:val="left"/>
      <w:pPr>
        <w:tabs>
          <w:tab w:val="num" w:pos="360"/>
        </w:tabs>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06F3222"/>
    <w:multiLevelType w:val="hybridMultilevel"/>
    <w:tmpl w:val="FBA811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4510C0B"/>
    <w:multiLevelType w:val="multilevel"/>
    <w:tmpl w:val="3D66CBA2"/>
    <w:numStyleLink w:val="CustomNumberlist"/>
  </w:abstractNum>
  <w:abstractNum w:abstractNumId="18" w15:restartNumberingAfterBreak="0">
    <w:nsid w:val="1B3C049B"/>
    <w:multiLevelType w:val="multilevel"/>
    <w:tmpl w:val="563E0D42"/>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pStyle w:val="Figure-Table-BoxHeading"/>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1E1C4425"/>
    <w:multiLevelType w:val="hybridMultilevel"/>
    <w:tmpl w:val="B5D086AC"/>
    <w:lvl w:ilvl="0" w:tplc="8D185252">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E8052EF"/>
    <w:multiLevelType w:val="multilevel"/>
    <w:tmpl w:val="DF4A9966"/>
    <w:numStyleLink w:val="TableBullets"/>
  </w:abstractNum>
  <w:abstractNum w:abstractNumId="21" w15:restartNumberingAfterBreak="0">
    <w:nsid w:val="1FCF7766"/>
    <w:multiLevelType w:val="multilevel"/>
    <w:tmpl w:val="6D9A2BC2"/>
    <w:styleLink w:val="NumberedHeadings"/>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22391238"/>
    <w:multiLevelType w:val="multilevel"/>
    <w:tmpl w:val="6D9A2BC2"/>
    <w:numStyleLink w:val="NumberedHeadings"/>
  </w:abstractNum>
  <w:abstractNum w:abstractNumId="23" w15:restartNumberingAfterBreak="0">
    <w:nsid w:val="231475C7"/>
    <w:multiLevelType w:val="hybridMultilevel"/>
    <w:tmpl w:val="6BB43D1E"/>
    <w:lvl w:ilvl="0" w:tplc="D780DFB2">
      <w:start w:val="2"/>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59E348D"/>
    <w:multiLevelType w:val="multilevel"/>
    <w:tmpl w:val="3D66CBA2"/>
    <w:numStyleLink w:val="CustomNumberlist"/>
  </w:abstractNum>
  <w:abstractNum w:abstractNumId="25" w15:restartNumberingAfterBreak="0">
    <w:nsid w:val="39C20E77"/>
    <w:multiLevelType w:val="multilevel"/>
    <w:tmpl w:val="6D9A2BC2"/>
    <w:numStyleLink w:val="NumberedHeadings"/>
  </w:abstractNum>
  <w:abstractNum w:abstractNumId="26" w15:restartNumberingAfterBreak="0">
    <w:nsid w:val="3AA454D7"/>
    <w:multiLevelType w:val="multilevel"/>
    <w:tmpl w:val="6D9A2BC2"/>
    <w:numStyleLink w:val="NumberedHeadings"/>
  </w:abstractNum>
  <w:abstractNum w:abstractNumId="27" w15:restartNumberingAfterBreak="0">
    <w:nsid w:val="3F9735C7"/>
    <w:multiLevelType w:val="multilevel"/>
    <w:tmpl w:val="2FAC61F8"/>
    <w:styleLink w:val="Bullet"/>
    <w:lvl w:ilvl="0">
      <w:start w:val="1"/>
      <w:numFmt w:val="bullet"/>
      <w:lvlText w:val=""/>
      <w:lvlJc w:val="left"/>
      <w:pPr>
        <w:ind w:left="284" w:hanging="284"/>
      </w:pPr>
      <w:rPr>
        <w:rFonts w:ascii="Symbol" w:hAnsi="Symbol" w:hint="default"/>
        <w:color w:val="auto"/>
      </w:rPr>
    </w:lvl>
    <w:lvl w:ilvl="1">
      <w:start w:val="1"/>
      <w:numFmt w:val="bullet"/>
      <w:pStyle w:val="ListBullet2"/>
      <w:lvlText w:val="–"/>
      <w:lvlJc w:val="left"/>
      <w:pPr>
        <w:ind w:left="567" w:hanging="283"/>
      </w:pPr>
      <w:rPr>
        <w:rFonts w:ascii="Arial" w:hAnsi="Arial" w:hint="default"/>
        <w:color w:val="auto"/>
      </w:rPr>
    </w:lvl>
    <w:lvl w:ilvl="2">
      <w:start w:val="1"/>
      <w:numFmt w:val="none"/>
      <w:pStyle w:val="ListParagraph"/>
      <w:lvlText w:val=""/>
      <w:lvlJc w:val="left"/>
      <w:pPr>
        <w:ind w:left="284" w:firstLine="0"/>
      </w:pPr>
      <w:rPr>
        <w:rFonts w:hint="default"/>
      </w:rPr>
    </w:lvl>
    <w:lvl w:ilvl="3">
      <w:start w:val="1"/>
      <w:numFmt w:val="bullet"/>
      <w:pStyle w:val="ListBullet3"/>
      <w:lvlText w:val=""/>
      <w:lvlJc w:val="left"/>
      <w:pPr>
        <w:ind w:left="851" w:hanging="284"/>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48F47E20"/>
    <w:multiLevelType w:val="multilevel"/>
    <w:tmpl w:val="3D66CBA2"/>
    <w:styleLink w:val="CustomNumberlist"/>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4A8B0109"/>
    <w:multiLevelType w:val="multilevel"/>
    <w:tmpl w:val="3D66CBA2"/>
    <w:numStyleLink w:val="CustomNumberlist"/>
  </w:abstractNum>
  <w:abstractNum w:abstractNumId="30" w15:restartNumberingAfterBreak="0">
    <w:nsid w:val="52AE14BF"/>
    <w:multiLevelType w:val="hybridMultilevel"/>
    <w:tmpl w:val="472251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42963A3"/>
    <w:multiLevelType w:val="multilevel"/>
    <w:tmpl w:val="15E08EDC"/>
    <w:lvl w:ilvl="0">
      <w:start w:val="1"/>
      <w:numFmt w:val="decimal"/>
      <w:lvlText w:val="%1."/>
      <w:lvlJc w:val="left"/>
      <w:pPr>
        <w:tabs>
          <w:tab w:val="num" w:pos="360"/>
        </w:tabs>
        <w:ind w:left="284" w:hanging="284"/>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851" w:hanging="851"/>
      </w:pPr>
      <w:rPr>
        <w:rFonts w:hint="default"/>
      </w:rPr>
    </w:lvl>
    <w:lvl w:ilvl="3">
      <w:start w:val="1"/>
      <w:numFmt w:val="lowerLetter"/>
      <w:lvlText w:val="%4."/>
      <w:lvlJc w:val="left"/>
      <w:pPr>
        <w:ind w:left="284" w:hanging="284"/>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613D30B6"/>
    <w:multiLevelType w:val="hybridMultilevel"/>
    <w:tmpl w:val="FC20E16C"/>
    <w:lvl w:ilvl="0" w:tplc="A8B6EDDC">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3266600"/>
    <w:multiLevelType w:val="hybridMultilevel"/>
    <w:tmpl w:val="CF941C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6505317"/>
    <w:multiLevelType w:val="multilevel"/>
    <w:tmpl w:val="3D66CBA2"/>
    <w:numStyleLink w:val="CustomNumberlist"/>
  </w:abstractNum>
  <w:abstractNum w:abstractNumId="35" w15:restartNumberingAfterBreak="0">
    <w:nsid w:val="6B031981"/>
    <w:multiLevelType w:val="multilevel"/>
    <w:tmpl w:val="DF4A9966"/>
    <w:styleLink w:val="TableBullets"/>
    <w:lvl w:ilvl="0">
      <w:start w:val="1"/>
      <w:numFmt w:val="bullet"/>
      <w:pStyle w:val="TableBullet"/>
      <w:lvlText w:val=""/>
      <w:lvlJc w:val="left"/>
      <w:pPr>
        <w:ind w:left="284" w:hanging="284"/>
      </w:pPr>
      <w:rPr>
        <w:rFonts w:ascii="Symbol" w:hAnsi="Symbol" w:hint="default"/>
        <w:color w:val="auto"/>
      </w:rPr>
    </w:lvl>
    <w:lvl w:ilvl="1">
      <w:start w:val="1"/>
      <w:numFmt w:val="bullet"/>
      <w:pStyle w:val="TableBullet2"/>
      <w:lvlText w:val="-"/>
      <w:lvlJc w:val="left"/>
      <w:pPr>
        <w:ind w:left="567" w:hanging="283"/>
      </w:pPr>
      <w:rPr>
        <w:rFonts w:ascii="Symbol" w:hAnsi="Symbol" w:hint="default"/>
        <w:color w:val="auto"/>
      </w:rPr>
    </w:lvl>
    <w:lvl w:ilvl="2">
      <w:start w:val="1"/>
      <w:numFmt w:val="decimal"/>
      <w:pStyle w:val="TableListNumber"/>
      <w:lvlText w:val="%3."/>
      <w:lvlJc w:val="left"/>
      <w:pPr>
        <w:ind w:left="284" w:hanging="284"/>
      </w:pPr>
      <w:rPr>
        <w:rFonts w:hint="default"/>
      </w:rPr>
    </w:lvl>
    <w:lvl w:ilvl="3">
      <w:start w:val="1"/>
      <w:numFmt w:val="decimal"/>
      <w:pStyle w:val="TableListNumber2"/>
      <w:lvlText w:val="%3.%4."/>
      <w:lvlJc w:val="left"/>
      <w:pPr>
        <w:ind w:left="567" w:hanging="28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70732D36"/>
    <w:multiLevelType w:val="multilevel"/>
    <w:tmpl w:val="ABC89444"/>
    <w:styleLink w:val="Pull-outlists"/>
    <w:lvl w:ilvl="0">
      <w:start w:val="1"/>
      <w:numFmt w:val="bullet"/>
      <w:pStyle w:val="Pull-outBullet1"/>
      <w:lvlText w:val=""/>
      <w:lvlJc w:val="left"/>
      <w:pPr>
        <w:ind w:left="284" w:hanging="284"/>
      </w:pPr>
      <w:rPr>
        <w:rFonts w:ascii="Symbol" w:hAnsi="Symbol" w:cs="Times New Roman" w:hint="default"/>
      </w:rPr>
    </w:lvl>
    <w:lvl w:ilvl="1">
      <w:start w:val="1"/>
      <w:numFmt w:val="bullet"/>
      <w:pStyle w:val="Pull-outBullet2"/>
      <w:lvlText w:val="–"/>
      <w:lvlJc w:val="left"/>
      <w:pPr>
        <w:ind w:left="567" w:hanging="283"/>
      </w:pPr>
      <w:rPr>
        <w:rFonts w:ascii="Times New Roman" w:hAnsi="Times New Roman" w:cs="Times New Roman" w:hint="default"/>
      </w:rPr>
    </w:lvl>
    <w:lvl w:ilvl="2">
      <w:start w:val="1"/>
      <w:numFmt w:val="decimal"/>
      <w:pStyle w:val="Pull-outListNumber1"/>
      <w:lvlText w:val="%3."/>
      <w:lvlJc w:val="left"/>
      <w:pPr>
        <w:ind w:left="284" w:hanging="284"/>
      </w:pPr>
      <w:rPr>
        <w:rFonts w:hint="default"/>
      </w:rPr>
    </w:lvl>
    <w:lvl w:ilvl="3">
      <w:start w:val="1"/>
      <w:numFmt w:val="decimal"/>
      <w:pStyle w:val="Pull-outListNumber2"/>
      <w:lvlText w:val="%3.%4."/>
      <w:lvlJc w:val="left"/>
      <w:pPr>
        <w:ind w:left="567" w:hanging="56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5661215"/>
    <w:multiLevelType w:val="hybridMultilevel"/>
    <w:tmpl w:val="C3A4F4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61725992">
    <w:abstractNumId w:val="11"/>
  </w:num>
  <w:num w:numId="2" w16cid:durableId="769156148">
    <w:abstractNumId w:val="9"/>
  </w:num>
  <w:num w:numId="3" w16cid:durableId="1506817751">
    <w:abstractNumId w:val="8"/>
  </w:num>
  <w:num w:numId="4" w16cid:durableId="1283731523">
    <w:abstractNumId w:val="7"/>
  </w:num>
  <w:num w:numId="5" w16cid:durableId="1304776986">
    <w:abstractNumId w:val="6"/>
  </w:num>
  <w:num w:numId="6" w16cid:durableId="1188521089">
    <w:abstractNumId w:val="10"/>
  </w:num>
  <w:num w:numId="7" w16cid:durableId="1003824600">
    <w:abstractNumId w:val="5"/>
  </w:num>
  <w:num w:numId="8" w16cid:durableId="641731543">
    <w:abstractNumId w:val="4"/>
  </w:num>
  <w:num w:numId="9" w16cid:durableId="597832840">
    <w:abstractNumId w:val="3"/>
  </w:num>
  <w:num w:numId="10" w16cid:durableId="1990135712">
    <w:abstractNumId w:val="27"/>
  </w:num>
  <w:num w:numId="11" w16cid:durableId="1011495033">
    <w:abstractNumId w:val="21"/>
  </w:num>
  <w:num w:numId="12" w16cid:durableId="84876294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7013769">
    <w:abstractNumId w:val="2"/>
  </w:num>
  <w:num w:numId="14" w16cid:durableId="73864705">
    <w:abstractNumId w:val="21"/>
  </w:num>
  <w:num w:numId="15" w16cid:durableId="1419910642">
    <w:abstractNumId w:val="22"/>
  </w:num>
  <w:num w:numId="16" w16cid:durableId="1012953044">
    <w:abstractNumId w:val="15"/>
  </w:num>
  <w:num w:numId="17" w16cid:durableId="1034042019">
    <w:abstractNumId w:val="28"/>
  </w:num>
  <w:num w:numId="18" w16cid:durableId="866871733">
    <w:abstractNumId w:val="28"/>
  </w:num>
  <w:num w:numId="19" w16cid:durableId="772936353">
    <w:abstractNumId w:val="24"/>
  </w:num>
  <w:num w:numId="20" w16cid:durableId="286930659">
    <w:abstractNumId w:val="17"/>
  </w:num>
  <w:num w:numId="21" w16cid:durableId="1330867401">
    <w:abstractNumId w:val="31"/>
  </w:num>
  <w:num w:numId="22" w16cid:durableId="865607051">
    <w:abstractNumId w:val="34"/>
  </w:num>
  <w:num w:numId="23" w16cid:durableId="1410231967">
    <w:abstractNumId w:val="16"/>
  </w:num>
  <w:num w:numId="24" w16cid:durableId="195042677">
    <w:abstractNumId w:val="37"/>
  </w:num>
  <w:num w:numId="25" w16cid:durableId="2032800977">
    <w:abstractNumId w:val="32"/>
  </w:num>
  <w:num w:numId="26" w16cid:durableId="555287133">
    <w:abstractNumId w:val="35"/>
  </w:num>
  <w:num w:numId="27" w16cid:durableId="555549504">
    <w:abstractNumId w:val="20"/>
  </w:num>
  <w:num w:numId="28" w16cid:durableId="59518555">
    <w:abstractNumId w:val="26"/>
  </w:num>
  <w:num w:numId="29" w16cid:durableId="780608507">
    <w:abstractNumId w:val="25"/>
  </w:num>
  <w:num w:numId="30" w16cid:durableId="292294316">
    <w:abstractNumId w:val="18"/>
  </w:num>
  <w:num w:numId="31" w16cid:durableId="809134837">
    <w:abstractNumId w:val="29"/>
  </w:num>
  <w:num w:numId="32" w16cid:durableId="1749687851">
    <w:abstractNumId w:val="14"/>
  </w:num>
  <w:num w:numId="33" w16cid:durableId="143413504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665984960">
    <w:abstractNumId w:val="36"/>
  </w:num>
  <w:num w:numId="35" w16cid:durableId="738330225">
    <w:abstractNumId w:val="12"/>
  </w:num>
  <w:num w:numId="36" w16cid:durableId="177742895">
    <w:abstractNumId w:val="27"/>
    <w:lvlOverride w:ilvl="0">
      <w:lvl w:ilvl="0">
        <w:start w:val="1"/>
        <w:numFmt w:val="bullet"/>
        <w:lvlText w:val=""/>
        <w:lvlJc w:val="left"/>
        <w:pPr>
          <w:ind w:left="284" w:hanging="284"/>
        </w:pPr>
        <w:rPr>
          <w:rFonts w:ascii="Symbol" w:hAnsi="Symbol" w:hint="default"/>
          <w:color w:val="auto"/>
        </w:rPr>
      </w:lvl>
    </w:lvlOverride>
  </w:num>
  <w:num w:numId="37" w16cid:durableId="952591655">
    <w:abstractNumId w:val="30"/>
  </w:num>
  <w:num w:numId="38" w16cid:durableId="405495645">
    <w:abstractNumId w:val="13"/>
  </w:num>
  <w:num w:numId="39" w16cid:durableId="149252035">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25186108">
    <w:abstractNumId w:val="33"/>
  </w:num>
  <w:num w:numId="41" w16cid:durableId="1611618807">
    <w:abstractNumId w:val="19"/>
  </w:num>
  <w:num w:numId="42" w16cid:durableId="1970012676">
    <w:abstractNumId w:val="1"/>
  </w:num>
  <w:num w:numId="43" w16cid:durableId="1892767002">
    <w:abstractNumId w:val="0"/>
  </w:num>
  <w:num w:numId="44" w16cid:durableId="1853951993">
    <w:abstractNumId w:val="18"/>
  </w:num>
  <w:num w:numId="45" w16cid:durableId="808329066">
    <w:abstractNumId w:val="23"/>
  </w:num>
  <w:num w:numId="46" w16cid:durableId="209092664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C6D"/>
    <w:rsid w:val="00000269"/>
    <w:rsid w:val="000007B9"/>
    <w:rsid w:val="000008C6"/>
    <w:rsid w:val="00000A0A"/>
    <w:rsid w:val="0000111C"/>
    <w:rsid w:val="000012BD"/>
    <w:rsid w:val="0000175D"/>
    <w:rsid w:val="00001DA5"/>
    <w:rsid w:val="000020C2"/>
    <w:rsid w:val="0000211D"/>
    <w:rsid w:val="00002391"/>
    <w:rsid w:val="00003202"/>
    <w:rsid w:val="000035C1"/>
    <w:rsid w:val="00003776"/>
    <w:rsid w:val="000039CB"/>
    <w:rsid w:val="00004064"/>
    <w:rsid w:val="000042EA"/>
    <w:rsid w:val="000046BD"/>
    <w:rsid w:val="00004B4B"/>
    <w:rsid w:val="00004C19"/>
    <w:rsid w:val="000051B3"/>
    <w:rsid w:val="00005265"/>
    <w:rsid w:val="00005467"/>
    <w:rsid w:val="0000634B"/>
    <w:rsid w:val="00006468"/>
    <w:rsid w:val="00006A55"/>
    <w:rsid w:val="00006B66"/>
    <w:rsid w:val="000106F1"/>
    <w:rsid w:val="000108F7"/>
    <w:rsid w:val="00012434"/>
    <w:rsid w:val="000126FF"/>
    <w:rsid w:val="00012BA2"/>
    <w:rsid w:val="00012E85"/>
    <w:rsid w:val="00012FAF"/>
    <w:rsid w:val="00012FCE"/>
    <w:rsid w:val="00013208"/>
    <w:rsid w:val="000136EA"/>
    <w:rsid w:val="0001382D"/>
    <w:rsid w:val="00013A98"/>
    <w:rsid w:val="00013AA5"/>
    <w:rsid w:val="0001420D"/>
    <w:rsid w:val="00014C3A"/>
    <w:rsid w:val="0001503B"/>
    <w:rsid w:val="00015430"/>
    <w:rsid w:val="00015588"/>
    <w:rsid w:val="0001641F"/>
    <w:rsid w:val="0001647F"/>
    <w:rsid w:val="0001664F"/>
    <w:rsid w:val="000166A2"/>
    <w:rsid w:val="00016957"/>
    <w:rsid w:val="00016A35"/>
    <w:rsid w:val="00016C1C"/>
    <w:rsid w:val="0001720F"/>
    <w:rsid w:val="00017BE6"/>
    <w:rsid w:val="00020DE5"/>
    <w:rsid w:val="00020E11"/>
    <w:rsid w:val="00021F91"/>
    <w:rsid w:val="0002216D"/>
    <w:rsid w:val="000225D2"/>
    <w:rsid w:val="00022E4B"/>
    <w:rsid w:val="0002308D"/>
    <w:rsid w:val="0002334B"/>
    <w:rsid w:val="00023E64"/>
    <w:rsid w:val="000242D2"/>
    <w:rsid w:val="000243EA"/>
    <w:rsid w:val="000246A4"/>
    <w:rsid w:val="00024D30"/>
    <w:rsid w:val="00026881"/>
    <w:rsid w:val="00026D20"/>
    <w:rsid w:val="00026D4B"/>
    <w:rsid w:val="0002715C"/>
    <w:rsid w:val="00027370"/>
    <w:rsid w:val="000273D5"/>
    <w:rsid w:val="00027706"/>
    <w:rsid w:val="0002798E"/>
    <w:rsid w:val="00027A63"/>
    <w:rsid w:val="00027EF6"/>
    <w:rsid w:val="00027F29"/>
    <w:rsid w:val="00030111"/>
    <w:rsid w:val="00030F0A"/>
    <w:rsid w:val="0003152F"/>
    <w:rsid w:val="00031A03"/>
    <w:rsid w:val="00031D26"/>
    <w:rsid w:val="00032731"/>
    <w:rsid w:val="000328C4"/>
    <w:rsid w:val="00032E0F"/>
    <w:rsid w:val="000337A0"/>
    <w:rsid w:val="00033906"/>
    <w:rsid w:val="00033956"/>
    <w:rsid w:val="000341A0"/>
    <w:rsid w:val="000342C3"/>
    <w:rsid w:val="00034D12"/>
    <w:rsid w:val="00035090"/>
    <w:rsid w:val="000356F1"/>
    <w:rsid w:val="00035C4D"/>
    <w:rsid w:val="0003626F"/>
    <w:rsid w:val="0003722E"/>
    <w:rsid w:val="00037844"/>
    <w:rsid w:val="00037913"/>
    <w:rsid w:val="00037D5E"/>
    <w:rsid w:val="000403F1"/>
    <w:rsid w:val="00040683"/>
    <w:rsid w:val="000408DD"/>
    <w:rsid w:val="0004092F"/>
    <w:rsid w:val="00040972"/>
    <w:rsid w:val="00040D2D"/>
    <w:rsid w:val="000419EC"/>
    <w:rsid w:val="00042133"/>
    <w:rsid w:val="00042259"/>
    <w:rsid w:val="00042C63"/>
    <w:rsid w:val="0004308A"/>
    <w:rsid w:val="00043098"/>
    <w:rsid w:val="00044D2F"/>
    <w:rsid w:val="00044E42"/>
    <w:rsid w:val="00044F75"/>
    <w:rsid w:val="00045678"/>
    <w:rsid w:val="00045C0B"/>
    <w:rsid w:val="0004683F"/>
    <w:rsid w:val="00046BF3"/>
    <w:rsid w:val="00046BFE"/>
    <w:rsid w:val="00046E4C"/>
    <w:rsid w:val="000471AD"/>
    <w:rsid w:val="00047AC0"/>
    <w:rsid w:val="00047E11"/>
    <w:rsid w:val="00047F55"/>
    <w:rsid w:val="00047F88"/>
    <w:rsid w:val="00050021"/>
    <w:rsid w:val="00050134"/>
    <w:rsid w:val="0005171F"/>
    <w:rsid w:val="000518F3"/>
    <w:rsid w:val="00051F6D"/>
    <w:rsid w:val="000524FC"/>
    <w:rsid w:val="00052782"/>
    <w:rsid w:val="00052867"/>
    <w:rsid w:val="000528AF"/>
    <w:rsid w:val="00052B08"/>
    <w:rsid w:val="00052B65"/>
    <w:rsid w:val="00053071"/>
    <w:rsid w:val="00053344"/>
    <w:rsid w:val="000534DC"/>
    <w:rsid w:val="0005352C"/>
    <w:rsid w:val="000538CC"/>
    <w:rsid w:val="00053EA4"/>
    <w:rsid w:val="00053F95"/>
    <w:rsid w:val="00054150"/>
    <w:rsid w:val="000546BA"/>
    <w:rsid w:val="0005474A"/>
    <w:rsid w:val="00054BF7"/>
    <w:rsid w:val="00054D31"/>
    <w:rsid w:val="00054DBB"/>
    <w:rsid w:val="0005541A"/>
    <w:rsid w:val="0005584B"/>
    <w:rsid w:val="00055EF4"/>
    <w:rsid w:val="0005624E"/>
    <w:rsid w:val="000566E0"/>
    <w:rsid w:val="00057196"/>
    <w:rsid w:val="000571F7"/>
    <w:rsid w:val="000572C0"/>
    <w:rsid w:val="00057939"/>
    <w:rsid w:val="00057BB6"/>
    <w:rsid w:val="00057F63"/>
    <w:rsid w:val="00060754"/>
    <w:rsid w:val="00060A72"/>
    <w:rsid w:val="00060C53"/>
    <w:rsid w:val="00060E54"/>
    <w:rsid w:val="00060EBE"/>
    <w:rsid w:val="00060FC6"/>
    <w:rsid w:val="00061629"/>
    <w:rsid w:val="00061985"/>
    <w:rsid w:val="00061C57"/>
    <w:rsid w:val="00062471"/>
    <w:rsid w:val="00062648"/>
    <w:rsid w:val="000626AC"/>
    <w:rsid w:val="000628B1"/>
    <w:rsid w:val="00062AE4"/>
    <w:rsid w:val="00062F68"/>
    <w:rsid w:val="000632F3"/>
    <w:rsid w:val="000635FB"/>
    <w:rsid w:val="0006417B"/>
    <w:rsid w:val="00064663"/>
    <w:rsid w:val="000647FB"/>
    <w:rsid w:val="00064B98"/>
    <w:rsid w:val="00064D37"/>
    <w:rsid w:val="00064E1B"/>
    <w:rsid w:val="00064EF1"/>
    <w:rsid w:val="0006516A"/>
    <w:rsid w:val="000657C0"/>
    <w:rsid w:val="00066026"/>
    <w:rsid w:val="00066031"/>
    <w:rsid w:val="00066828"/>
    <w:rsid w:val="00066FA4"/>
    <w:rsid w:val="000679FE"/>
    <w:rsid w:val="00067DD9"/>
    <w:rsid w:val="000700C4"/>
    <w:rsid w:val="000704FE"/>
    <w:rsid w:val="000708E8"/>
    <w:rsid w:val="0007210B"/>
    <w:rsid w:val="000726D7"/>
    <w:rsid w:val="000727AC"/>
    <w:rsid w:val="00072910"/>
    <w:rsid w:val="0007292D"/>
    <w:rsid w:val="0007295E"/>
    <w:rsid w:val="0007297F"/>
    <w:rsid w:val="000729A8"/>
    <w:rsid w:val="00072CD3"/>
    <w:rsid w:val="0007338D"/>
    <w:rsid w:val="0007368E"/>
    <w:rsid w:val="00073A27"/>
    <w:rsid w:val="00073AE4"/>
    <w:rsid w:val="00073E32"/>
    <w:rsid w:val="000742AC"/>
    <w:rsid w:val="00074892"/>
    <w:rsid w:val="00074AB3"/>
    <w:rsid w:val="00074B70"/>
    <w:rsid w:val="00074CFD"/>
    <w:rsid w:val="0007561C"/>
    <w:rsid w:val="0007617F"/>
    <w:rsid w:val="00076186"/>
    <w:rsid w:val="00076347"/>
    <w:rsid w:val="00076530"/>
    <w:rsid w:val="000766F6"/>
    <w:rsid w:val="00077005"/>
    <w:rsid w:val="00077968"/>
    <w:rsid w:val="00077E7A"/>
    <w:rsid w:val="0008022A"/>
    <w:rsid w:val="000806C3"/>
    <w:rsid w:val="000809BF"/>
    <w:rsid w:val="00080EA8"/>
    <w:rsid w:val="000812B1"/>
    <w:rsid w:val="00081A2E"/>
    <w:rsid w:val="00082615"/>
    <w:rsid w:val="0008282B"/>
    <w:rsid w:val="0008295E"/>
    <w:rsid w:val="00082FA7"/>
    <w:rsid w:val="000830FD"/>
    <w:rsid w:val="000832E1"/>
    <w:rsid w:val="00083BF5"/>
    <w:rsid w:val="00083DA6"/>
    <w:rsid w:val="00084B86"/>
    <w:rsid w:val="00084CCA"/>
    <w:rsid w:val="00084FC8"/>
    <w:rsid w:val="0008504F"/>
    <w:rsid w:val="0008508E"/>
    <w:rsid w:val="000855E2"/>
    <w:rsid w:val="00085916"/>
    <w:rsid w:val="00085A4D"/>
    <w:rsid w:val="00085DF5"/>
    <w:rsid w:val="00085EF3"/>
    <w:rsid w:val="00086569"/>
    <w:rsid w:val="000869D3"/>
    <w:rsid w:val="0008716D"/>
    <w:rsid w:val="000872FF"/>
    <w:rsid w:val="00087541"/>
    <w:rsid w:val="00087573"/>
    <w:rsid w:val="00087582"/>
    <w:rsid w:val="000879A8"/>
    <w:rsid w:val="00090A86"/>
    <w:rsid w:val="00091192"/>
    <w:rsid w:val="000914B3"/>
    <w:rsid w:val="000917D6"/>
    <w:rsid w:val="00091846"/>
    <w:rsid w:val="00091F33"/>
    <w:rsid w:val="0009256F"/>
    <w:rsid w:val="00092D7B"/>
    <w:rsid w:val="0009307E"/>
    <w:rsid w:val="00093785"/>
    <w:rsid w:val="0009420C"/>
    <w:rsid w:val="0009449D"/>
    <w:rsid w:val="0009486C"/>
    <w:rsid w:val="00094964"/>
    <w:rsid w:val="000956DF"/>
    <w:rsid w:val="00095A9D"/>
    <w:rsid w:val="00096008"/>
    <w:rsid w:val="000966B6"/>
    <w:rsid w:val="000966F1"/>
    <w:rsid w:val="00096A73"/>
    <w:rsid w:val="0009791A"/>
    <w:rsid w:val="000979FA"/>
    <w:rsid w:val="00097A81"/>
    <w:rsid w:val="00097BA6"/>
    <w:rsid w:val="00097EF5"/>
    <w:rsid w:val="00097FD7"/>
    <w:rsid w:val="000A03AA"/>
    <w:rsid w:val="000A0DAE"/>
    <w:rsid w:val="000A110B"/>
    <w:rsid w:val="000A1212"/>
    <w:rsid w:val="000A1292"/>
    <w:rsid w:val="000A1B3B"/>
    <w:rsid w:val="000A1CCE"/>
    <w:rsid w:val="000A1F76"/>
    <w:rsid w:val="000A21FE"/>
    <w:rsid w:val="000A2A66"/>
    <w:rsid w:val="000A2EDF"/>
    <w:rsid w:val="000A30D2"/>
    <w:rsid w:val="000A32B3"/>
    <w:rsid w:val="000A3734"/>
    <w:rsid w:val="000A3827"/>
    <w:rsid w:val="000A3989"/>
    <w:rsid w:val="000A3A07"/>
    <w:rsid w:val="000A3CF8"/>
    <w:rsid w:val="000A4544"/>
    <w:rsid w:val="000A48FC"/>
    <w:rsid w:val="000A50F6"/>
    <w:rsid w:val="000A51B7"/>
    <w:rsid w:val="000A529E"/>
    <w:rsid w:val="000A56C9"/>
    <w:rsid w:val="000A6500"/>
    <w:rsid w:val="000A6BD0"/>
    <w:rsid w:val="000A6D07"/>
    <w:rsid w:val="000A759D"/>
    <w:rsid w:val="000A7ABB"/>
    <w:rsid w:val="000A7C54"/>
    <w:rsid w:val="000A7FD9"/>
    <w:rsid w:val="000B0BF5"/>
    <w:rsid w:val="000B0E69"/>
    <w:rsid w:val="000B2295"/>
    <w:rsid w:val="000B23EE"/>
    <w:rsid w:val="000B2702"/>
    <w:rsid w:val="000B2913"/>
    <w:rsid w:val="000B29C6"/>
    <w:rsid w:val="000B2C8A"/>
    <w:rsid w:val="000B32BB"/>
    <w:rsid w:val="000B3931"/>
    <w:rsid w:val="000B408C"/>
    <w:rsid w:val="000B47A3"/>
    <w:rsid w:val="000B545E"/>
    <w:rsid w:val="000B5468"/>
    <w:rsid w:val="000B57D7"/>
    <w:rsid w:val="000B5A49"/>
    <w:rsid w:val="000B5F18"/>
    <w:rsid w:val="000B60B1"/>
    <w:rsid w:val="000B62D0"/>
    <w:rsid w:val="000B6604"/>
    <w:rsid w:val="000B6B02"/>
    <w:rsid w:val="000B7111"/>
    <w:rsid w:val="000B7264"/>
    <w:rsid w:val="000B72EF"/>
    <w:rsid w:val="000B72F5"/>
    <w:rsid w:val="000B74EC"/>
    <w:rsid w:val="000B7604"/>
    <w:rsid w:val="000B7B63"/>
    <w:rsid w:val="000B7DC6"/>
    <w:rsid w:val="000B7F01"/>
    <w:rsid w:val="000C013E"/>
    <w:rsid w:val="000C060B"/>
    <w:rsid w:val="000C0736"/>
    <w:rsid w:val="000C0C0C"/>
    <w:rsid w:val="000C0C87"/>
    <w:rsid w:val="000C0FD2"/>
    <w:rsid w:val="000C16EC"/>
    <w:rsid w:val="000C1C32"/>
    <w:rsid w:val="000C1EEB"/>
    <w:rsid w:val="000C241E"/>
    <w:rsid w:val="000C24F9"/>
    <w:rsid w:val="000C2A01"/>
    <w:rsid w:val="000C3731"/>
    <w:rsid w:val="000C399A"/>
    <w:rsid w:val="000C4118"/>
    <w:rsid w:val="000C42E6"/>
    <w:rsid w:val="000C4D5F"/>
    <w:rsid w:val="000C5090"/>
    <w:rsid w:val="000C5184"/>
    <w:rsid w:val="000C5310"/>
    <w:rsid w:val="000C535E"/>
    <w:rsid w:val="000C560A"/>
    <w:rsid w:val="000C5F79"/>
    <w:rsid w:val="000C691C"/>
    <w:rsid w:val="000C6BEE"/>
    <w:rsid w:val="000C7458"/>
    <w:rsid w:val="000C75BC"/>
    <w:rsid w:val="000C7759"/>
    <w:rsid w:val="000C79F1"/>
    <w:rsid w:val="000D033E"/>
    <w:rsid w:val="000D05FB"/>
    <w:rsid w:val="000D09A2"/>
    <w:rsid w:val="000D13A2"/>
    <w:rsid w:val="000D1772"/>
    <w:rsid w:val="000D1AF0"/>
    <w:rsid w:val="000D21BC"/>
    <w:rsid w:val="000D24C7"/>
    <w:rsid w:val="000D265F"/>
    <w:rsid w:val="000D2AA2"/>
    <w:rsid w:val="000D2B15"/>
    <w:rsid w:val="000D33AD"/>
    <w:rsid w:val="000D3D40"/>
    <w:rsid w:val="000D3FCF"/>
    <w:rsid w:val="000D40FD"/>
    <w:rsid w:val="000D4547"/>
    <w:rsid w:val="000D537F"/>
    <w:rsid w:val="000D54BF"/>
    <w:rsid w:val="000D552A"/>
    <w:rsid w:val="000D55E4"/>
    <w:rsid w:val="000D5B2D"/>
    <w:rsid w:val="000D5DDE"/>
    <w:rsid w:val="000D5EA4"/>
    <w:rsid w:val="000D629F"/>
    <w:rsid w:val="000D68DE"/>
    <w:rsid w:val="000D7064"/>
    <w:rsid w:val="000D711C"/>
    <w:rsid w:val="000D783B"/>
    <w:rsid w:val="000E00D3"/>
    <w:rsid w:val="000E04EB"/>
    <w:rsid w:val="000E0DB6"/>
    <w:rsid w:val="000E0EF0"/>
    <w:rsid w:val="000E0F68"/>
    <w:rsid w:val="000E1016"/>
    <w:rsid w:val="000E17B4"/>
    <w:rsid w:val="000E1B29"/>
    <w:rsid w:val="000E2270"/>
    <w:rsid w:val="000E2B5A"/>
    <w:rsid w:val="000E2C33"/>
    <w:rsid w:val="000E3C69"/>
    <w:rsid w:val="000E3D6B"/>
    <w:rsid w:val="000E3DEC"/>
    <w:rsid w:val="000E4096"/>
    <w:rsid w:val="000E43CA"/>
    <w:rsid w:val="000E4902"/>
    <w:rsid w:val="000E5476"/>
    <w:rsid w:val="000E5A36"/>
    <w:rsid w:val="000E63A8"/>
    <w:rsid w:val="000E642E"/>
    <w:rsid w:val="000E6701"/>
    <w:rsid w:val="000E6940"/>
    <w:rsid w:val="000E6DE6"/>
    <w:rsid w:val="000E6E3A"/>
    <w:rsid w:val="000E71BE"/>
    <w:rsid w:val="000E71CE"/>
    <w:rsid w:val="000E726D"/>
    <w:rsid w:val="000E7EE3"/>
    <w:rsid w:val="000F005B"/>
    <w:rsid w:val="000F0264"/>
    <w:rsid w:val="000F0497"/>
    <w:rsid w:val="000F09E7"/>
    <w:rsid w:val="000F0B92"/>
    <w:rsid w:val="000F0FDE"/>
    <w:rsid w:val="000F1116"/>
    <w:rsid w:val="000F18BC"/>
    <w:rsid w:val="000F1A92"/>
    <w:rsid w:val="000F1CAB"/>
    <w:rsid w:val="000F22D4"/>
    <w:rsid w:val="000F2D4C"/>
    <w:rsid w:val="000F31D9"/>
    <w:rsid w:val="000F33B0"/>
    <w:rsid w:val="000F3DD1"/>
    <w:rsid w:val="000F41D1"/>
    <w:rsid w:val="000F42D5"/>
    <w:rsid w:val="000F46B7"/>
    <w:rsid w:val="000F4C69"/>
    <w:rsid w:val="000F4C85"/>
    <w:rsid w:val="000F4CCC"/>
    <w:rsid w:val="000F51A0"/>
    <w:rsid w:val="000F544B"/>
    <w:rsid w:val="000F5852"/>
    <w:rsid w:val="000F58D1"/>
    <w:rsid w:val="000F5E25"/>
    <w:rsid w:val="000F6439"/>
    <w:rsid w:val="000F66B3"/>
    <w:rsid w:val="000F710B"/>
    <w:rsid w:val="000F731F"/>
    <w:rsid w:val="000F7E71"/>
    <w:rsid w:val="000F7FF0"/>
    <w:rsid w:val="001002C7"/>
    <w:rsid w:val="00100326"/>
    <w:rsid w:val="001009D4"/>
    <w:rsid w:val="001010A5"/>
    <w:rsid w:val="00101DDA"/>
    <w:rsid w:val="00102E96"/>
    <w:rsid w:val="00102F39"/>
    <w:rsid w:val="001036F2"/>
    <w:rsid w:val="00103BBB"/>
    <w:rsid w:val="00103C78"/>
    <w:rsid w:val="00103D4D"/>
    <w:rsid w:val="001045A3"/>
    <w:rsid w:val="00104C71"/>
    <w:rsid w:val="00104F6C"/>
    <w:rsid w:val="00105288"/>
    <w:rsid w:val="0010569C"/>
    <w:rsid w:val="00105B7E"/>
    <w:rsid w:val="00105B8F"/>
    <w:rsid w:val="00105B9D"/>
    <w:rsid w:val="00106608"/>
    <w:rsid w:val="001066FE"/>
    <w:rsid w:val="00106A97"/>
    <w:rsid w:val="00106EFB"/>
    <w:rsid w:val="00107EF7"/>
    <w:rsid w:val="00110541"/>
    <w:rsid w:val="0011058F"/>
    <w:rsid w:val="001105D0"/>
    <w:rsid w:val="001106EC"/>
    <w:rsid w:val="00110771"/>
    <w:rsid w:val="00110A6F"/>
    <w:rsid w:val="00111742"/>
    <w:rsid w:val="00111B7B"/>
    <w:rsid w:val="00111BD8"/>
    <w:rsid w:val="00111CC9"/>
    <w:rsid w:val="00111E94"/>
    <w:rsid w:val="00112025"/>
    <w:rsid w:val="00112231"/>
    <w:rsid w:val="00112DFB"/>
    <w:rsid w:val="0011334A"/>
    <w:rsid w:val="00113560"/>
    <w:rsid w:val="00113B5F"/>
    <w:rsid w:val="00113D1D"/>
    <w:rsid w:val="0011418D"/>
    <w:rsid w:val="001148AB"/>
    <w:rsid w:val="00114CE7"/>
    <w:rsid w:val="00114EC2"/>
    <w:rsid w:val="00114F92"/>
    <w:rsid w:val="00115315"/>
    <w:rsid w:val="0011633B"/>
    <w:rsid w:val="00116BCF"/>
    <w:rsid w:val="0011712E"/>
    <w:rsid w:val="00117D71"/>
    <w:rsid w:val="0012024E"/>
    <w:rsid w:val="00120277"/>
    <w:rsid w:val="001203D0"/>
    <w:rsid w:val="00120652"/>
    <w:rsid w:val="00120B07"/>
    <w:rsid w:val="00121582"/>
    <w:rsid w:val="00121B38"/>
    <w:rsid w:val="00121CA7"/>
    <w:rsid w:val="00121EFC"/>
    <w:rsid w:val="00121F54"/>
    <w:rsid w:val="001225C0"/>
    <w:rsid w:val="00122969"/>
    <w:rsid w:val="00122DD7"/>
    <w:rsid w:val="0012307D"/>
    <w:rsid w:val="001234E6"/>
    <w:rsid w:val="001235B0"/>
    <w:rsid w:val="001235F8"/>
    <w:rsid w:val="00123C16"/>
    <w:rsid w:val="00123D9B"/>
    <w:rsid w:val="001244A3"/>
    <w:rsid w:val="001249E7"/>
    <w:rsid w:val="00124B39"/>
    <w:rsid w:val="00124E77"/>
    <w:rsid w:val="00125536"/>
    <w:rsid w:val="0012580A"/>
    <w:rsid w:val="00125E7F"/>
    <w:rsid w:val="00126109"/>
    <w:rsid w:val="00126790"/>
    <w:rsid w:val="001268D8"/>
    <w:rsid w:val="00126CC0"/>
    <w:rsid w:val="00126E5E"/>
    <w:rsid w:val="001272B9"/>
    <w:rsid w:val="001275DF"/>
    <w:rsid w:val="00127A9E"/>
    <w:rsid w:val="00127B2E"/>
    <w:rsid w:val="00127C3D"/>
    <w:rsid w:val="00130485"/>
    <w:rsid w:val="001305C0"/>
    <w:rsid w:val="00130B66"/>
    <w:rsid w:val="00131632"/>
    <w:rsid w:val="0013191F"/>
    <w:rsid w:val="00131D2D"/>
    <w:rsid w:val="00132345"/>
    <w:rsid w:val="00132647"/>
    <w:rsid w:val="001326DC"/>
    <w:rsid w:val="00132F98"/>
    <w:rsid w:val="001341DC"/>
    <w:rsid w:val="00135D63"/>
    <w:rsid w:val="0013658A"/>
    <w:rsid w:val="001366C4"/>
    <w:rsid w:val="00136C59"/>
    <w:rsid w:val="00137718"/>
    <w:rsid w:val="00137B3D"/>
    <w:rsid w:val="00137CE7"/>
    <w:rsid w:val="0014093C"/>
    <w:rsid w:val="00140E92"/>
    <w:rsid w:val="00140F74"/>
    <w:rsid w:val="001416CF"/>
    <w:rsid w:val="00142B81"/>
    <w:rsid w:val="00144587"/>
    <w:rsid w:val="00144595"/>
    <w:rsid w:val="001445F5"/>
    <w:rsid w:val="00145250"/>
    <w:rsid w:val="001453C0"/>
    <w:rsid w:val="001454F8"/>
    <w:rsid w:val="00145605"/>
    <w:rsid w:val="0014560F"/>
    <w:rsid w:val="00146024"/>
    <w:rsid w:val="00146505"/>
    <w:rsid w:val="00147105"/>
    <w:rsid w:val="0014761D"/>
    <w:rsid w:val="001479BC"/>
    <w:rsid w:val="0015018F"/>
    <w:rsid w:val="00150A7F"/>
    <w:rsid w:val="0015161E"/>
    <w:rsid w:val="001519B3"/>
    <w:rsid w:val="00151A8D"/>
    <w:rsid w:val="00151CB7"/>
    <w:rsid w:val="00151D57"/>
    <w:rsid w:val="00151E13"/>
    <w:rsid w:val="00152A50"/>
    <w:rsid w:val="00152EC9"/>
    <w:rsid w:val="00152FB9"/>
    <w:rsid w:val="00153081"/>
    <w:rsid w:val="001536F1"/>
    <w:rsid w:val="00153DD2"/>
    <w:rsid w:val="00154073"/>
    <w:rsid w:val="0015457E"/>
    <w:rsid w:val="001545A9"/>
    <w:rsid w:val="00154A3E"/>
    <w:rsid w:val="00154B0B"/>
    <w:rsid w:val="00154CDB"/>
    <w:rsid w:val="001550CB"/>
    <w:rsid w:val="001553EF"/>
    <w:rsid w:val="0015558C"/>
    <w:rsid w:val="00155C1A"/>
    <w:rsid w:val="00155EDE"/>
    <w:rsid w:val="0015605F"/>
    <w:rsid w:val="001567B6"/>
    <w:rsid w:val="00156DDE"/>
    <w:rsid w:val="00157143"/>
    <w:rsid w:val="001576BD"/>
    <w:rsid w:val="00157A97"/>
    <w:rsid w:val="00160754"/>
    <w:rsid w:val="00160774"/>
    <w:rsid w:val="00160F48"/>
    <w:rsid w:val="001610E4"/>
    <w:rsid w:val="00161380"/>
    <w:rsid w:val="00161660"/>
    <w:rsid w:val="0016191F"/>
    <w:rsid w:val="00161D70"/>
    <w:rsid w:val="00162712"/>
    <w:rsid w:val="00162792"/>
    <w:rsid w:val="00162971"/>
    <w:rsid w:val="00162B0B"/>
    <w:rsid w:val="001633E9"/>
    <w:rsid w:val="00164F66"/>
    <w:rsid w:val="001661F0"/>
    <w:rsid w:val="0016683A"/>
    <w:rsid w:val="00166B53"/>
    <w:rsid w:val="00166F0A"/>
    <w:rsid w:val="001670FD"/>
    <w:rsid w:val="001678BF"/>
    <w:rsid w:val="00170C78"/>
    <w:rsid w:val="00170E11"/>
    <w:rsid w:val="0017121A"/>
    <w:rsid w:val="0017179C"/>
    <w:rsid w:val="00171C73"/>
    <w:rsid w:val="00171E57"/>
    <w:rsid w:val="001720D9"/>
    <w:rsid w:val="00172220"/>
    <w:rsid w:val="001725A5"/>
    <w:rsid w:val="00172750"/>
    <w:rsid w:val="001728DE"/>
    <w:rsid w:val="00172B99"/>
    <w:rsid w:val="00172ED7"/>
    <w:rsid w:val="00173A64"/>
    <w:rsid w:val="00174261"/>
    <w:rsid w:val="00174716"/>
    <w:rsid w:val="00174729"/>
    <w:rsid w:val="001747ED"/>
    <w:rsid w:val="00174B52"/>
    <w:rsid w:val="00174FA3"/>
    <w:rsid w:val="00175046"/>
    <w:rsid w:val="001751A1"/>
    <w:rsid w:val="00175CC4"/>
    <w:rsid w:val="0017630C"/>
    <w:rsid w:val="00176324"/>
    <w:rsid w:val="0017644B"/>
    <w:rsid w:val="00176737"/>
    <w:rsid w:val="00176767"/>
    <w:rsid w:val="00176FB6"/>
    <w:rsid w:val="001773E9"/>
    <w:rsid w:val="00177412"/>
    <w:rsid w:val="001776BF"/>
    <w:rsid w:val="00177BFF"/>
    <w:rsid w:val="00180DBD"/>
    <w:rsid w:val="00180EB6"/>
    <w:rsid w:val="001811B1"/>
    <w:rsid w:val="0018170C"/>
    <w:rsid w:val="00181D15"/>
    <w:rsid w:val="00181DC6"/>
    <w:rsid w:val="00182251"/>
    <w:rsid w:val="00182512"/>
    <w:rsid w:val="0018298E"/>
    <w:rsid w:val="00182BD9"/>
    <w:rsid w:val="00182CD9"/>
    <w:rsid w:val="00182DC7"/>
    <w:rsid w:val="00182DDA"/>
    <w:rsid w:val="00183810"/>
    <w:rsid w:val="00183A24"/>
    <w:rsid w:val="00184039"/>
    <w:rsid w:val="00184540"/>
    <w:rsid w:val="00184CEF"/>
    <w:rsid w:val="001851DA"/>
    <w:rsid w:val="00185277"/>
    <w:rsid w:val="0018569A"/>
    <w:rsid w:val="0018573D"/>
    <w:rsid w:val="001857EA"/>
    <w:rsid w:val="00185A2E"/>
    <w:rsid w:val="001860E9"/>
    <w:rsid w:val="0018652D"/>
    <w:rsid w:val="001866C8"/>
    <w:rsid w:val="00186742"/>
    <w:rsid w:val="001869B0"/>
    <w:rsid w:val="00186B09"/>
    <w:rsid w:val="001875B0"/>
    <w:rsid w:val="00187ACF"/>
    <w:rsid w:val="00187CF6"/>
    <w:rsid w:val="00187F40"/>
    <w:rsid w:val="00187FA9"/>
    <w:rsid w:val="00190146"/>
    <w:rsid w:val="001904F8"/>
    <w:rsid w:val="00191268"/>
    <w:rsid w:val="001916A8"/>
    <w:rsid w:val="001916E9"/>
    <w:rsid w:val="00191771"/>
    <w:rsid w:val="001918FF"/>
    <w:rsid w:val="00191DDF"/>
    <w:rsid w:val="001928F5"/>
    <w:rsid w:val="001936C9"/>
    <w:rsid w:val="00194077"/>
    <w:rsid w:val="00194540"/>
    <w:rsid w:val="00194A79"/>
    <w:rsid w:val="001954CC"/>
    <w:rsid w:val="00196566"/>
    <w:rsid w:val="00196799"/>
    <w:rsid w:val="001967FF"/>
    <w:rsid w:val="00196EA2"/>
    <w:rsid w:val="00197EE2"/>
    <w:rsid w:val="001A0337"/>
    <w:rsid w:val="001A0546"/>
    <w:rsid w:val="001A14F7"/>
    <w:rsid w:val="001A1658"/>
    <w:rsid w:val="001A1AC2"/>
    <w:rsid w:val="001A1B4F"/>
    <w:rsid w:val="001A1E04"/>
    <w:rsid w:val="001A29E9"/>
    <w:rsid w:val="001A2D18"/>
    <w:rsid w:val="001A2EAE"/>
    <w:rsid w:val="001A2EB2"/>
    <w:rsid w:val="001A324A"/>
    <w:rsid w:val="001A328F"/>
    <w:rsid w:val="001A3A84"/>
    <w:rsid w:val="001A420F"/>
    <w:rsid w:val="001A4546"/>
    <w:rsid w:val="001A49DA"/>
    <w:rsid w:val="001A4ACF"/>
    <w:rsid w:val="001A4F4C"/>
    <w:rsid w:val="001A5624"/>
    <w:rsid w:val="001A594C"/>
    <w:rsid w:val="001A5BB9"/>
    <w:rsid w:val="001A5FAC"/>
    <w:rsid w:val="001A6081"/>
    <w:rsid w:val="001A60DD"/>
    <w:rsid w:val="001A6107"/>
    <w:rsid w:val="001A62D8"/>
    <w:rsid w:val="001A637F"/>
    <w:rsid w:val="001A63B4"/>
    <w:rsid w:val="001A6862"/>
    <w:rsid w:val="001A6935"/>
    <w:rsid w:val="001A7012"/>
    <w:rsid w:val="001A710D"/>
    <w:rsid w:val="001B0461"/>
    <w:rsid w:val="001B046E"/>
    <w:rsid w:val="001B04CA"/>
    <w:rsid w:val="001B0791"/>
    <w:rsid w:val="001B08CF"/>
    <w:rsid w:val="001B0935"/>
    <w:rsid w:val="001B0BFD"/>
    <w:rsid w:val="001B0E36"/>
    <w:rsid w:val="001B1FAC"/>
    <w:rsid w:val="001B288E"/>
    <w:rsid w:val="001B2F61"/>
    <w:rsid w:val="001B3682"/>
    <w:rsid w:val="001B3A0F"/>
    <w:rsid w:val="001B3E71"/>
    <w:rsid w:val="001B43A2"/>
    <w:rsid w:val="001B4817"/>
    <w:rsid w:val="001B4C1A"/>
    <w:rsid w:val="001B4FDA"/>
    <w:rsid w:val="001B506F"/>
    <w:rsid w:val="001B5312"/>
    <w:rsid w:val="001B53B5"/>
    <w:rsid w:val="001B5564"/>
    <w:rsid w:val="001B5BE6"/>
    <w:rsid w:val="001B5C94"/>
    <w:rsid w:val="001B6188"/>
    <w:rsid w:val="001B6E94"/>
    <w:rsid w:val="001B730A"/>
    <w:rsid w:val="001B752D"/>
    <w:rsid w:val="001B7CBD"/>
    <w:rsid w:val="001B7E0B"/>
    <w:rsid w:val="001C0258"/>
    <w:rsid w:val="001C079D"/>
    <w:rsid w:val="001C0AEA"/>
    <w:rsid w:val="001C17B6"/>
    <w:rsid w:val="001C1C62"/>
    <w:rsid w:val="001C21C9"/>
    <w:rsid w:val="001C22F9"/>
    <w:rsid w:val="001C236B"/>
    <w:rsid w:val="001C251B"/>
    <w:rsid w:val="001C274C"/>
    <w:rsid w:val="001C2776"/>
    <w:rsid w:val="001C2B13"/>
    <w:rsid w:val="001C33C9"/>
    <w:rsid w:val="001C4609"/>
    <w:rsid w:val="001C4B92"/>
    <w:rsid w:val="001C56C6"/>
    <w:rsid w:val="001C5F98"/>
    <w:rsid w:val="001C6697"/>
    <w:rsid w:val="001C6769"/>
    <w:rsid w:val="001C6993"/>
    <w:rsid w:val="001C69FE"/>
    <w:rsid w:val="001C6DB1"/>
    <w:rsid w:val="001C6FC0"/>
    <w:rsid w:val="001C7453"/>
    <w:rsid w:val="001C750A"/>
    <w:rsid w:val="001C7B88"/>
    <w:rsid w:val="001D00A8"/>
    <w:rsid w:val="001D07CD"/>
    <w:rsid w:val="001D0F99"/>
    <w:rsid w:val="001D10B2"/>
    <w:rsid w:val="001D15D4"/>
    <w:rsid w:val="001D1FA7"/>
    <w:rsid w:val="001D2323"/>
    <w:rsid w:val="001D24F4"/>
    <w:rsid w:val="001D2765"/>
    <w:rsid w:val="001D28D2"/>
    <w:rsid w:val="001D28ED"/>
    <w:rsid w:val="001D2A5A"/>
    <w:rsid w:val="001D303D"/>
    <w:rsid w:val="001D310D"/>
    <w:rsid w:val="001D33ED"/>
    <w:rsid w:val="001D40CF"/>
    <w:rsid w:val="001D49AE"/>
    <w:rsid w:val="001D5139"/>
    <w:rsid w:val="001D525B"/>
    <w:rsid w:val="001D52BA"/>
    <w:rsid w:val="001D53D3"/>
    <w:rsid w:val="001D5809"/>
    <w:rsid w:val="001D5938"/>
    <w:rsid w:val="001D5D64"/>
    <w:rsid w:val="001D6719"/>
    <w:rsid w:val="001D6739"/>
    <w:rsid w:val="001D6871"/>
    <w:rsid w:val="001D6D36"/>
    <w:rsid w:val="001D6F79"/>
    <w:rsid w:val="001D71B2"/>
    <w:rsid w:val="001D75FE"/>
    <w:rsid w:val="001D79FD"/>
    <w:rsid w:val="001D7EB6"/>
    <w:rsid w:val="001E001F"/>
    <w:rsid w:val="001E08F4"/>
    <w:rsid w:val="001E0B9B"/>
    <w:rsid w:val="001E0F1E"/>
    <w:rsid w:val="001E17A6"/>
    <w:rsid w:val="001E2044"/>
    <w:rsid w:val="001E21C6"/>
    <w:rsid w:val="001E26B0"/>
    <w:rsid w:val="001E28C6"/>
    <w:rsid w:val="001E2995"/>
    <w:rsid w:val="001E2C9F"/>
    <w:rsid w:val="001E2CAF"/>
    <w:rsid w:val="001E3176"/>
    <w:rsid w:val="001E3A31"/>
    <w:rsid w:val="001E3CE3"/>
    <w:rsid w:val="001E4381"/>
    <w:rsid w:val="001E47F7"/>
    <w:rsid w:val="001E4C92"/>
    <w:rsid w:val="001E5798"/>
    <w:rsid w:val="001F01BC"/>
    <w:rsid w:val="001F0768"/>
    <w:rsid w:val="001F0A7B"/>
    <w:rsid w:val="001F1136"/>
    <w:rsid w:val="001F1259"/>
    <w:rsid w:val="001F1795"/>
    <w:rsid w:val="001F18CE"/>
    <w:rsid w:val="001F19EB"/>
    <w:rsid w:val="001F1D7D"/>
    <w:rsid w:val="001F20CB"/>
    <w:rsid w:val="001F21A5"/>
    <w:rsid w:val="001F2244"/>
    <w:rsid w:val="001F2425"/>
    <w:rsid w:val="001F2688"/>
    <w:rsid w:val="001F29FD"/>
    <w:rsid w:val="001F2FFE"/>
    <w:rsid w:val="001F3237"/>
    <w:rsid w:val="001F3707"/>
    <w:rsid w:val="001F3997"/>
    <w:rsid w:val="001F497A"/>
    <w:rsid w:val="001F4DBC"/>
    <w:rsid w:val="001F57DC"/>
    <w:rsid w:val="001F64A3"/>
    <w:rsid w:val="001F6559"/>
    <w:rsid w:val="001F6595"/>
    <w:rsid w:val="001F6845"/>
    <w:rsid w:val="001F6D48"/>
    <w:rsid w:val="001F735B"/>
    <w:rsid w:val="001F75B1"/>
    <w:rsid w:val="002007E6"/>
    <w:rsid w:val="00200D49"/>
    <w:rsid w:val="00200D96"/>
    <w:rsid w:val="0020100F"/>
    <w:rsid w:val="0020186B"/>
    <w:rsid w:val="002020DF"/>
    <w:rsid w:val="002036D8"/>
    <w:rsid w:val="00203967"/>
    <w:rsid w:val="002048D5"/>
    <w:rsid w:val="002048DE"/>
    <w:rsid w:val="00204B94"/>
    <w:rsid w:val="00204C88"/>
    <w:rsid w:val="00204FFC"/>
    <w:rsid w:val="0020545D"/>
    <w:rsid w:val="002056BA"/>
    <w:rsid w:val="00205F45"/>
    <w:rsid w:val="002063BC"/>
    <w:rsid w:val="002069DC"/>
    <w:rsid w:val="00206C3B"/>
    <w:rsid w:val="00206CF7"/>
    <w:rsid w:val="002072E3"/>
    <w:rsid w:val="0020748F"/>
    <w:rsid w:val="002076B6"/>
    <w:rsid w:val="00207D11"/>
    <w:rsid w:val="002101DA"/>
    <w:rsid w:val="0021032C"/>
    <w:rsid w:val="00210464"/>
    <w:rsid w:val="0021062D"/>
    <w:rsid w:val="00210E57"/>
    <w:rsid w:val="00210FDD"/>
    <w:rsid w:val="002112BF"/>
    <w:rsid w:val="00211325"/>
    <w:rsid w:val="00211355"/>
    <w:rsid w:val="00211386"/>
    <w:rsid w:val="002113D5"/>
    <w:rsid w:val="00211D63"/>
    <w:rsid w:val="002122E8"/>
    <w:rsid w:val="00212333"/>
    <w:rsid w:val="002124BE"/>
    <w:rsid w:val="002126E8"/>
    <w:rsid w:val="0021297E"/>
    <w:rsid w:val="00212CE8"/>
    <w:rsid w:val="00213067"/>
    <w:rsid w:val="00213A25"/>
    <w:rsid w:val="0021444B"/>
    <w:rsid w:val="002145E1"/>
    <w:rsid w:val="002149B8"/>
    <w:rsid w:val="00215B69"/>
    <w:rsid w:val="002160C8"/>
    <w:rsid w:val="0021640B"/>
    <w:rsid w:val="002167EC"/>
    <w:rsid w:val="002176D7"/>
    <w:rsid w:val="00217722"/>
    <w:rsid w:val="0021792F"/>
    <w:rsid w:val="00217B50"/>
    <w:rsid w:val="00220220"/>
    <w:rsid w:val="00220331"/>
    <w:rsid w:val="0022034D"/>
    <w:rsid w:val="0022078C"/>
    <w:rsid w:val="0022100F"/>
    <w:rsid w:val="002211B3"/>
    <w:rsid w:val="002216CF"/>
    <w:rsid w:val="00221ADC"/>
    <w:rsid w:val="00222959"/>
    <w:rsid w:val="00222CBB"/>
    <w:rsid w:val="00223EE6"/>
    <w:rsid w:val="0022402D"/>
    <w:rsid w:val="002244F9"/>
    <w:rsid w:val="00224600"/>
    <w:rsid w:val="00224C14"/>
    <w:rsid w:val="002256C5"/>
    <w:rsid w:val="00225971"/>
    <w:rsid w:val="002259AE"/>
    <w:rsid w:val="00225A7A"/>
    <w:rsid w:val="00225BB8"/>
    <w:rsid w:val="0022600F"/>
    <w:rsid w:val="00226017"/>
    <w:rsid w:val="00226089"/>
    <w:rsid w:val="00226553"/>
    <w:rsid w:val="0022666F"/>
    <w:rsid w:val="00226D40"/>
    <w:rsid w:val="00226E45"/>
    <w:rsid w:val="0022708E"/>
    <w:rsid w:val="0022761B"/>
    <w:rsid w:val="002277D3"/>
    <w:rsid w:val="00230240"/>
    <w:rsid w:val="00231412"/>
    <w:rsid w:val="00231FA2"/>
    <w:rsid w:val="002320F5"/>
    <w:rsid w:val="002321EC"/>
    <w:rsid w:val="00232271"/>
    <w:rsid w:val="00232355"/>
    <w:rsid w:val="00232581"/>
    <w:rsid w:val="00232F7B"/>
    <w:rsid w:val="0023314A"/>
    <w:rsid w:val="00233A48"/>
    <w:rsid w:val="00233C22"/>
    <w:rsid w:val="00233DEE"/>
    <w:rsid w:val="00233ED7"/>
    <w:rsid w:val="00234FC4"/>
    <w:rsid w:val="0023550A"/>
    <w:rsid w:val="00235C98"/>
    <w:rsid w:val="00236163"/>
    <w:rsid w:val="002367A1"/>
    <w:rsid w:val="002369D1"/>
    <w:rsid w:val="00236A70"/>
    <w:rsid w:val="00236C77"/>
    <w:rsid w:val="00237511"/>
    <w:rsid w:val="00237688"/>
    <w:rsid w:val="00237A2E"/>
    <w:rsid w:val="0024008D"/>
    <w:rsid w:val="00241F55"/>
    <w:rsid w:val="00242161"/>
    <w:rsid w:val="0024292A"/>
    <w:rsid w:val="002429CB"/>
    <w:rsid w:val="00242DA8"/>
    <w:rsid w:val="00242F3A"/>
    <w:rsid w:val="00242F90"/>
    <w:rsid w:val="00243530"/>
    <w:rsid w:val="00243D99"/>
    <w:rsid w:val="002441BE"/>
    <w:rsid w:val="00245387"/>
    <w:rsid w:val="00245390"/>
    <w:rsid w:val="00245439"/>
    <w:rsid w:val="00246198"/>
    <w:rsid w:val="00246261"/>
    <w:rsid w:val="00246D73"/>
    <w:rsid w:val="0024745B"/>
    <w:rsid w:val="00247651"/>
    <w:rsid w:val="0024796A"/>
    <w:rsid w:val="0025062E"/>
    <w:rsid w:val="002509C4"/>
    <w:rsid w:val="00250C13"/>
    <w:rsid w:val="00251145"/>
    <w:rsid w:val="002512F2"/>
    <w:rsid w:val="002516B8"/>
    <w:rsid w:val="002518C8"/>
    <w:rsid w:val="00251F5C"/>
    <w:rsid w:val="00252894"/>
    <w:rsid w:val="00252A28"/>
    <w:rsid w:val="00252B90"/>
    <w:rsid w:val="00252D80"/>
    <w:rsid w:val="00253968"/>
    <w:rsid w:val="00253AD3"/>
    <w:rsid w:val="00254825"/>
    <w:rsid w:val="00254B84"/>
    <w:rsid w:val="00255906"/>
    <w:rsid w:val="00255F4A"/>
    <w:rsid w:val="00256033"/>
    <w:rsid w:val="002560E7"/>
    <w:rsid w:val="002560E9"/>
    <w:rsid w:val="0025682A"/>
    <w:rsid w:val="00256C50"/>
    <w:rsid w:val="00256DA2"/>
    <w:rsid w:val="0025733C"/>
    <w:rsid w:val="00257666"/>
    <w:rsid w:val="00257C4A"/>
    <w:rsid w:val="00257F94"/>
    <w:rsid w:val="00257FB0"/>
    <w:rsid w:val="00260626"/>
    <w:rsid w:val="00260800"/>
    <w:rsid w:val="002608A4"/>
    <w:rsid w:val="00260C47"/>
    <w:rsid w:val="00261091"/>
    <w:rsid w:val="002611E9"/>
    <w:rsid w:val="00261599"/>
    <w:rsid w:val="0026173F"/>
    <w:rsid w:val="00262DD6"/>
    <w:rsid w:val="0026311B"/>
    <w:rsid w:val="002634A1"/>
    <w:rsid w:val="002634F5"/>
    <w:rsid w:val="002636D7"/>
    <w:rsid w:val="00263A5B"/>
    <w:rsid w:val="00263B6C"/>
    <w:rsid w:val="0026408A"/>
    <w:rsid w:val="002641B8"/>
    <w:rsid w:val="0026472B"/>
    <w:rsid w:val="00264C44"/>
    <w:rsid w:val="00264CE1"/>
    <w:rsid w:val="00265FC8"/>
    <w:rsid w:val="00265FCA"/>
    <w:rsid w:val="00266783"/>
    <w:rsid w:val="00266AED"/>
    <w:rsid w:val="00267720"/>
    <w:rsid w:val="00267B01"/>
    <w:rsid w:val="00267E33"/>
    <w:rsid w:val="002700B2"/>
    <w:rsid w:val="0027049F"/>
    <w:rsid w:val="0027063C"/>
    <w:rsid w:val="00270842"/>
    <w:rsid w:val="00270857"/>
    <w:rsid w:val="00270A4E"/>
    <w:rsid w:val="00271D57"/>
    <w:rsid w:val="00272081"/>
    <w:rsid w:val="002730A8"/>
    <w:rsid w:val="002730EE"/>
    <w:rsid w:val="0027360C"/>
    <w:rsid w:val="0027397D"/>
    <w:rsid w:val="00275003"/>
    <w:rsid w:val="00275028"/>
    <w:rsid w:val="002750C4"/>
    <w:rsid w:val="0027523B"/>
    <w:rsid w:val="00276331"/>
    <w:rsid w:val="00276AB6"/>
    <w:rsid w:val="00276BB9"/>
    <w:rsid w:val="00276D5A"/>
    <w:rsid w:val="0028031C"/>
    <w:rsid w:val="0028131D"/>
    <w:rsid w:val="00281F73"/>
    <w:rsid w:val="002826A8"/>
    <w:rsid w:val="00283229"/>
    <w:rsid w:val="0028323A"/>
    <w:rsid w:val="00283730"/>
    <w:rsid w:val="00283745"/>
    <w:rsid w:val="00283746"/>
    <w:rsid w:val="0028470D"/>
    <w:rsid w:val="00284814"/>
    <w:rsid w:val="00284A6A"/>
    <w:rsid w:val="00284E35"/>
    <w:rsid w:val="00285222"/>
    <w:rsid w:val="00285359"/>
    <w:rsid w:val="00286F1B"/>
    <w:rsid w:val="00287BE4"/>
    <w:rsid w:val="00287E98"/>
    <w:rsid w:val="00287F35"/>
    <w:rsid w:val="00290436"/>
    <w:rsid w:val="0029067E"/>
    <w:rsid w:val="0029093D"/>
    <w:rsid w:val="00290D88"/>
    <w:rsid w:val="00290DAB"/>
    <w:rsid w:val="0029115C"/>
    <w:rsid w:val="002911A4"/>
    <w:rsid w:val="00291788"/>
    <w:rsid w:val="00291998"/>
    <w:rsid w:val="00291CFC"/>
    <w:rsid w:val="00291F43"/>
    <w:rsid w:val="002924D9"/>
    <w:rsid w:val="00292C91"/>
    <w:rsid w:val="002930EA"/>
    <w:rsid w:val="0029386A"/>
    <w:rsid w:val="002942C6"/>
    <w:rsid w:val="00294406"/>
    <w:rsid w:val="002949C9"/>
    <w:rsid w:val="0029510E"/>
    <w:rsid w:val="00295380"/>
    <w:rsid w:val="0029617F"/>
    <w:rsid w:val="00296491"/>
    <w:rsid w:val="002966CE"/>
    <w:rsid w:val="002968F9"/>
    <w:rsid w:val="002971FB"/>
    <w:rsid w:val="002974C7"/>
    <w:rsid w:val="0029762B"/>
    <w:rsid w:val="002978E3"/>
    <w:rsid w:val="0029795F"/>
    <w:rsid w:val="00297E86"/>
    <w:rsid w:val="002A0111"/>
    <w:rsid w:val="002A050A"/>
    <w:rsid w:val="002A0572"/>
    <w:rsid w:val="002A059D"/>
    <w:rsid w:val="002A0E21"/>
    <w:rsid w:val="002A1014"/>
    <w:rsid w:val="002A1103"/>
    <w:rsid w:val="002A1557"/>
    <w:rsid w:val="002A194D"/>
    <w:rsid w:val="002A1BF0"/>
    <w:rsid w:val="002A1BFA"/>
    <w:rsid w:val="002A2003"/>
    <w:rsid w:val="002A2336"/>
    <w:rsid w:val="002A2710"/>
    <w:rsid w:val="002A2752"/>
    <w:rsid w:val="002A2B4D"/>
    <w:rsid w:val="002A2E41"/>
    <w:rsid w:val="002A333E"/>
    <w:rsid w:val="002A396C"/>
    <w:rsid w:val="002A3B88"/>
    <w:rsid w:val="002A3CC1"/>
    <w:rsid w:val="002A4038"/>
    <w:rsid w:val="002A44CF"/>
    <w:rsid w:val="002A4E2C"/>
    <w:rsid w:val="002A4FF1"/>
    <w:rsid w:val="002A510C"/>
    <w:rsid w:val="002A559D"/>
    <w:rsid w:val="002A5682"/>
    <w:rsid w:val="002A5AD7"/>
    <w:rsid w:val="002A5BAD"/>
    <w:rsid w:val="002A5FA0"/>
    <w:rsid w:val="002A64DD"/>
    <w:rsid w:val="002A6992"/>
    <w:rsid w:val="002A6C7D"/>
    <w:rsid w:val="002A7FF1"/>
    <w:rsid w:val="002B0D95"/>
    <w:rsid w:val="002B1165"/>
    <w:rsid w:val="002B18E4"/>
    <w:rsid w:val="002B1F6B"/>
    <w:rsid w:val="002B1FB7"/>
    <w:rsid w:val="002B23C0"/>
    <w:rsid w:val="002B25A0"/>
    <w:rsid w:val="002B2BE6"/>
    <w:rsid w:val="002B311B"/>
    <w:rsid w:val="002B31FD"/>
    <w:rsid w:val="002B37ED"/>
    <w:rsid w:val="002B3902"/>
    <w:rsid w:val="002B3CBD"/>
    <w:rsid w:val="002B3D05"/>
    <w:rsid w:val="002B4478"/>
    <w:rsid w:val="002B4690"/>
    <w:rsid w:val="002B4788"/>
    <w:rsid w:val="002B481B"/>
    <w:rsid w:val="002B5048"/>
    <w:rsid w:val="002B506C"/>
    <w:rsid w:val="002B517F"/>
    <w:rsid w:val="002B55D5"/>
    <w:rsid w:val="002B5C57"/>
    <w:rsid w:val="002B5CCD"/>
    <w:rsid w:val="002B5F61"/>
    <w:rsid w:val="002B60E2"/>
    <w:rsid w:val="002B61B6"/>
    <w:rsid w:val="002B6631"/>
    <w:rsid w:val="002B68CA"/>
    <w:rsid w:val="002B6BDD"/>
    <w:rsid w:val="002B6C18"/>
    <w:rsid w:val="002B74D1"/>
    <w:rsid w:val="002B7880"/>
    <w:rsid w:val="002B78C3"/>
    <w:rsid w:val="002B7CBF"/>
    <w:rsid w:val="002C09C9"/>
    <w:rsid w:val="002C0E10"/>
    <w:rsid w:val="002C11FE"/>
    <w:rsid w:val="002C1C9F"/>
    <w:rsid w:val="002C278F"/>
    <w:rsid w:val="002C2878"/>
    <w:rsid w:val="002C28DB"/>
    <w:rsid w:val="002C2A8F"/>
    <w:rsid w:val="002C2ADF"/>
    <w:rsid w:val="002C345B"/>
    <w:rsid w:val="002C405B"/>
    <w:rsid w:val="002C4721"/>
    <w:rsid w:val="002C555F"/>
    <w:rsid w:val="002C575C"/>
    <w:rsid w:val="002C5A46"/>
    <w:rsid w:val="002C60AB"/>
    <w:rsid w:val="002C636B"/>
    <w:rsid w:val="002C654C"/>
    <w:rsid w:val="002C6620"/>
    <w:rsid w:val="002C67C6"/>
    <w:rsid w:val="002C7CE3"/>
    <w:rsid w:val="002C7D77"/>
    <w:rsid w:val="002C7E6C"/>
    <w:rsid w:val="002D06DE"/>
    <w:rsid w:val="002D0D8F"/>
    <w:rsid w:val="002D1B63"/>
    <w:rsid w:val="002D1D94"/>
    <w:rsid w:val="002D2012"/>
    <w:rsid w:val="002D21AC"/>
    <w:rsid w:val="002D2A98"/>
    <w:rsid w:val="002D33E8"/>
    <w:rsid w:val="002D369F"/>
    <w:rsid w:val="002D3B02"/>
    <w:rsid w:val="002D3CBE"/>
    <w:rsid w:val="002D4903"/>
    <w:rsid w:val="002D495E"/>
    <w:rsid w:val="002D4BF3"/>
    <w:rsid w:val="002D4EAC"/>
    <w:rsid w:val="002D50F0"/>
    <w:rsid w:val="002D57AD"/>
    <w:rsid w:val="002D5912"/>
    <w:rsid w:val="002D5A3A"/>
    <w:rsid w:val="002D644C"/>
    <w:rsid w:val="002D6752"/>
    <w:rsid w:val="002D682B"/>
    <w:rsid w:val="002D7110"/>
    <w:rsid w:val="002D77AC"/>
    <w:rsid w:val="002D77EE"/>
    <w:rsid w:val="002D7DB0"/>
    <w:rsid w:val="002D7FEC"/>
    <w:rsid w:val="002E0E03"/>
    <w:rsid w:val="002E0F28"/>
    <w:rsid w:val="002E115D"/>
    <w:rsid w:val="002E11DB"/>
    <w:rsid w:val="002E1CEE"/>
    <w:rsid w:val="002E1DEB"/>
    <w:rsid w:val="002E2BA3"/>
    <w:rsid w:val="002E2D0B"/>
    <w:rsid w:val="002E30EF"/>
    <w:rsid w:val="002E3492"/>
    <w:rsid w:val="002E3AED"/>
    <w:rsid w:val="002E401E"/>
    <w:rsid w:val="002E48AC"/>
    <w:rsid w:val="002E4B0B"/>
    <w:rsid w:val="002E4BCF"/>
    <w:rsid w:val="002E4EAD"/>
    <w:rsid w:val="002E4FD3"/>
    <w:rsid w:val="002E5540"/>
    <w:rsid w:val="002E5614"/>
    <w:rsid w:val="002E57BB"/>
    <w:rsid w:val="002E5F3F"/>
    <w:rsid w:val="002E5FD2"/>
    <w:rsid w:val="002E6FE2"/>
    <w:rsid w:val="002E70EC"/>
    <w:rsid w:val="002E7385"/>
    <w:rsid w:val="002E738F"/>
    <w:rsid w:val="002E74FC"/>
    <w:rsid w:val="002E79C0"/>
    <w:rsid w:val="002F0389"/>
    <w:rsid w:val="002F0D86"/>
    <w:rsid w:val="002F1523"/>
    <w:rsid w:val="002F19A8"/>
    <w:rsid w:val="002F1DF4"/>
    <w:rsid w:val="002F1E0E"/>
    <w:rsid w:val="002F2145"/>
    <w:rsid w:val="002F24E4"/>
    <w:rsid w:val="002F299A"/>
    <w:rsid w:val="002F2BFC"/>
    <w:rsid w:val="002F2D01"/>
    <w:rsid w:val="002F31BD"/>
    <w:rsid w:val="002F3240"/>
    <w:rsid w:val="002F3857"/>
    <w:rsid w:val="002F3CC3"/>
    <w:rsid w:val="002F3F33"/>
    <w:rsid w:val="002F3F4E"/>
    <w:rsid w:val="002F4076"/>
    <w:rsid w:val="002F4533"/>
    <w:rsid w:val="002F4543"/>
    <w:rsid w:val="002F4B8A"/>
    <w:rsid w:val="002F4C30"/>
    <w:rsid w:val="002F55F1"/>
    <w:rsid w:val="002F563B"/>
    <w:rsid w:val="002F5B26"/>
    <w:rsid w:val="002F641B"/>
    <w:rsid w:val="002F70D9"/>
    <w:rsid w:val="002F7B42"/>
    <w:rsid w:val="002F7CB6"/>
    <w:rsid w:val="002F7CE7"/>
    <w:rsid w:val="002F7D38"/>
    <w:rsid w:val="002F7E4C"/>
    <w:rsid w:val="003005FD"/>
    <w:rsid w:val="00300BC0"/>
    <w:rsid w:val="00300E7B"/>
    <w:rsid w:val="003012C3"/>
    <w:rsid w:val="00301493"/>
    <w:rsid w:val="0030155E"/>
    <w:rsid w:val="00301C89"/>
    <w:rsid w:val="00303053"/>
    <w:rsid w:val="003038A7"/>
    <w:rsid w:val="00303DA8"/>
    <w:rsid w:val="003048AC"/>
    <w:rsid w:val="00304B83"/>
    <w:rsid w:val="003057D3"/>
    <w:rsid w:val="00305A09"/>
    <w:rsid w:val="00305F4A"/>
    <w:rsid w:val="003060BE"/>
    <w:rsid w:val="003064A1"/>
    <w:rsid w:val="00306A4E"/>
    <w:rsid w:val="00306F8C"/>
    <w:rsid w:val="003075A9"/>
    <w:rsid w:val="00307CAD"/>
    <w:rsid w:val="00307ED6"/>
    <w:rsid w:val="00310164"/>
    <w:rsid w:val="003112CA"/>
    <w:rsid w:val="0031150E"/>
    <w:rsid w:val="00311572"/>
    <w:rsid w:val="00311878"/>
    <w:rsid w:val="0031190B"/>
    <w:rsid w:val="00312357"/>
    <w:rsid w:val="0031284C"/>
    <w:rsid w:val="00312D26"/>
    <w:rsid w:val="00312FD4"/>
    <w:rsid w:val="00313089"/>
    <w:rsid w:val="003130E2"/>
    <w:rsid w:val="003133B5"/>
    <w:rsid w:val="0031343E"/>
    <w:rsid w:val="003138D7"/>
    <w:rsid w:val="00313EAB"/>
    <w:rsid w:val="00314206"/>
    <w:rsid w:val="00314B17"/>
    <w:rsid w:val="00314BC5"/>
    <w:rsid w:val="00314DF9"/>
    <w:rsid w:val="00316461"/>
    <w:rsid w:val="00316910"/>
    <w:rsid w:val="00316CC6"/>
    <w:rsid w:val="003170D1"/>
    <w:rsid w:val="00317268"/>
    <w:rsid w:val="00317749"/>
    <w:rsid w:val="00317799"/>
    <w:rsid w:val="003177CD"/>
    <w:rsid w:val="00317C67"/>
    <w:rsid w:val="00320732"/>
    <w:rsid w:val="00320B92"/>
    <w:rsid w:val="00320C48"/>
    <w:rsid w:val="00320D54"/>
    <w:rsid w:val="00320F16"/>
    <w:rsid w:val="003210B8"/>
    <w:rsid w:val="003218B7"/>
    <w:rsid w:val="00321DC5"/>
    <w:rsid w:val="00321E2C"/>
    <w:rsid w:val="00322025"/>
    <w:rsid w:val="003220EF"/>
    <w:rsid w:val="00322210"/>
    <w:rsid w:val="003223F9"/>
    <w:rsid w:val="003226A3"/>
    <w:rsid w:val="003226C4"/>
    <w:rsid w:val="00322A3A"/>
    <w:rsid w:val="00322A7C"/>
    <w:rsid w:val="00322CFA"/>
    <w:rsid w:val="00322DFF"/>
    <w:rsid w:val="00322F24"/>
    <w:rsid w:val="003233E9"/>
    <w:rsid w:val="00323633"/>
    <w:rsid w:val="00323779"/>
    <w:rsid w:val="00323E00"/>
    <w:rsid w:val="00323F11"/>
    <w:rsid w:val="0032423C"/>
    <w:rsid w:val="003242EC"/>
    <w:rsid w:val="003245C3"/>
    <w:rsid w:val="003250D7"/>
    <w:rsid w:val="0032514D"/>
    <w:rsid w:val="00325A17"/>
    <w:rsid w:val="00325ECE"/>
    <w:rsid w:val="00326249"/>
    <w:rsid w:val="003264E8"/>
    <w:rsid w:val="0032650B"/>
    <w:rsid w:val="00326BC7"/>
    <w:rsid w:val="0032702D"/>
    <w:rsid w:val="003270DF"/>
    <w:rsid w:val="003270FF"/>
    <w:rsid w:val="003275BC"/>
    <w:rsid w:val="00327C11"/>
    <w:rsid w:val="00327D6B"/>
    <w:rsid w:val="0033040F"/>
    <w:rsid w:val="00330BBB"/>
    <w:rsid w:val="003338F4"/>
    <w:rsid w:val="00333C84"/>
    <w:rsid w:val="00334CF7"/>
    <w:rsid w:val="00335605"/>
    <w:rsid w:val="00335877"/>
    <w:rsid w:val="00335F31"/>
    <w:rsid w:val="003361D4"/>
    <w:rsid w:val="003362F5"/>
    <w:rsid w:val="003362FF"/>
    <w:rsid w:val="0033662B"/>
    <w:rsid w:val="00336941"/>
    <w:rsid w:val="00336FFF"/>
    <w:rsid w:val="00337EBC"/>
    <w:rsid w:val="00340271"/>
    <w:rsid w:val="00340941"/>
    <w:rsid w:val="00341240"/>
    <w:rsid w:val="003414EB"/>
    <w:rsid w:val="00341613"/>
    <w:rsid w:val="00341F01"/>
    <w:rsid w:val="00342622"/>
    <w:rsid w:val="00343266"/>
    <w:rsid w:val="00343BA9"/>
    <w:rsid w:val="00343D5D"/>
    <w:rsid w:val="00343FFB"/>
    <w:rsid w:val="00344035"/>
    <w:rsid w:val="00344807"/>
    <w:rsid w:val="00344D56"/>
    <w:rsid w:val="0034540A"/>
    <w:rsid w:val="00345681"/>
    <w:rsid w:val="003458BB"/>
    <w:rsid w:val="00345B0D"/>
    <w:rsid w:val="00346623"/>
    <w:rsid w:val="00347022"/>
    <w:rsid w:val="00347161"/>
    <w:rsid w:val="00347FEA"/>
    <w:rsid w:val="003501D3"/>
    <w:rsid w:val="0035092A"/>
    <w:rsid w:val="003509FD"/>
    <w:rsid w:val="00350A9D"/>
    <w:rsid w:val="00350F53"/>
    <w:rsid w:val="0035105D"/>
    <w:rsid w:val="003515EC"/>
    <w:rsid w:val="00351BDF"/>
    <w:rsid w:val="0035243E"/>
    <w:rsid w:val="003529A8"/>
    <w:rsid w:val="00352B52"/>
    <w:rsid w:val="00352CF9"/>
    <w:rsid w:val="00352E91"/>
    <w:rsid w:val="003535A1"/>
    <w:rsid w:val="00353663"/>
    <w:rsid w:val="00353874"/>
    <w:rsid w:val="00353884"/>
    <w:rsid w:val="00353A69"/>
    <w:rsid w:val="00354682"/>
    <w:rsid w:val="00354937"/>
    <w:rsid w:val="003549BC"/>
    <w:rsid w:val="00354DAF"/>
    <w:rsid w:val="00354EB9"/>
    <w:rsid w:val="003552AD"/>
    <w:rsid w:val="00355A38"/>
    <w:rsid w:val="00355CEF"/>
    <w:rsid w:val="00355D85"/>
    <w:rsid w:val="00356296"/>
    <w:rsid w:val="00356682"/>
    <w:rsid w:val="0035691C"/>
    <w:rsid w:val="00357398"/>
    <w:rsid w:val="00357A84"/>
    <w:rsid w:val="00357B6C"/>
    <w:rsid w:val="00360763"/>
    <w:rsid w:val="00360795"/>
    <w:rsid w:val="00360BCE"/>
    <w:rsid w:val="003610A0"/>
    <w:rsid w:val="00361A08"/>
    <w:rsid w:val="003623C7"/>
    <w:rsid w:val="003628E2"/>
    <w:rsid w:val="00362AE1"/>
    <w:rsid w:val="00362F49"/>
    <w:rsid w:val="00363886"/>
    <w:rsid w:val="00363E84"/>
    <w:rsid w:val="00364C8A"/>
    <w:rsid w:val="00364F89"/>
    <w:rsid w:val="00365186"/>
    <w:rsid w:val="00365916"/>
    <w:rsid w:val="00365C5A"/>
    <w:rsid w:val="00365E22"/>
    <w:rsid w:val="00366031"/>
    <w:rsid w:val="00366245"/>
    <w:rsid w:val="003662C2"/>
    <w:rsid w:val="003663C9"/>
    <w:rsid w:val="00366BE7"/>
    <w:rsid w:val="00366EB6"/>
    <w:rsid w:val="00367478"/>
    <w:rsid w:val="003674E6"/>
    <w:rsid w:val="0036774D"/>
    <w:rsid w:val="00367A1E"/>
    <w:rsid w:val="00367B9C"/>
    <w:rsid w:val="00367F79"/>
    <w:rsid w:val="00370250"/>
    <w:rsid w:val="003711A5"/>
    <w:rsid w:val="00371670"/>
    <w:rsid w:val="003716AF"/>
    <w:rsid w:val="00371A70"/>
    <w:rsid w:val="00371F88"/>
    <w:rsid w:val="00372385"/>
    <w:rsid w:val="0037238E"/>
    <w:rsid w:val="00372A82"/>
    <w:rsid w:val="00372AC7"/>
    <w:rsid w:val="00372B49"/>
    <w:rsid w:val="00373888"/>
    <w:rsid w:val="003738E7"/>
    <w:rsid w:val="00373980"/>
    <w:rsid w:val="00373985"/>
    <w:rsid w:val="00373F7B"/>
    <w:rsid w:val="003741F6"/>
    <w:rsid w:val="003742C5"/>
    <w:rsid w:val="00374C07"/>
    <w:rsid w:val="00374D5B"/>
    <w:rsid w:val="00374FB8"/>
    <w:rsid w:val="00374FDC"/>
    <w:rsid w:val="00375208"/>
    <w:rsid w:val="00375631"/>
    <w:rsid w:val="0037573C"/>
    <w:rsid w:val="00375C3F"/>
    <w:rsid w:val="00375CBF"/>
    <w:rsid w:val="00375EFC"/>
    <w:rsid w:val="00376886"/>
    <w:rsid w:val="003772EB"/>
    <w:rsid w:val="003779E5"/>
    <w:rsid w:val="0038040D"/>
    <w:rsid w:val="00380AF0"/>
    <w:rsid w:val="003814B9"/>
    <w:rsid w:val="00381563"/>
    <w:rsid w:val="00381D55"/>
    <w:rsid w:val="00382476"/>
    <w:rsid w:val="003826A9"/>
    <w:rsid w:val="003826CA"/>
    <w:rsid w:val="00382F03"/>
    <w:rsid w:val="00383416"/>
    <w:rsid w:val="003837CC"/>
    <w:rsid w:val="00383A9F"/>
    <w:rsid w:val="0038406D"/>
    <w:rsid w:val="0038462A"/>
    <w:rsid w:val="003846B4"/>
    <w:rsid w:val="003847E1"/>
    <w:rsid w:val="003848CB"/>
    <w:rsid w:val="00384DA1"/>
    <w:rsid w:val="00385328"/>
    <w:rsid w:val="003854DE"/>
    <w:rsid w:val="0038573F"/>
    <w:rsid w:val="003859B2"/>
    <w:rsid w:val="00385A06"/>
    <w:rsid w:val="00385BE0"/>
    <w:rsid w:val="003866DE"/>
    <w:rsid w:val="00386D14"/>
    <w:rsid w:val="00386F5A"/>
    <w:rsid w:val="00387243"/>
    <w:rsid w:val="00387502"/>
    <w:rsid w:val="0038784A"/>
    <w:rsid w:val="00387C08"/>
    <w:rsid w:val="00390139"/>
    <w:rsid w:val="0039035E"/>
    <w:rsid w:val="003904B9"/>
    <w:rsid w:val="0039068B"/>
    <w:rsid w:val="003906D8"/>
    <w:rsid w:val="0039076E"/>
    <w:rsid w:val="00390E0D"/>
    <w:rsid w:val="003911FD"/>
    <w:rsid w:val="00391677"/>
    <w:rsid w:val="003918C2"/>
    <w:rsid w:val="003918E4"/>
    <w:rsid w:val="00391F0F"/>
    <w:rsid w:val="0039293B"/>
    <w:rsid w:val="00392E74"/>
    <w:rsid w:val="00392EAC"/>
    <w:rsid w:val="00393093"/>
    <w:rsid w:val="0039310B"/>
    <w:rsid w:val="0039324E"/>
    <w:rsid w:val="00393359"/>
    <w:rsid w:val="003937DC"/>
    <w:rsid w:val="0039389D"/>
    <w:rsid w:val="00394187"/>
    <w:rsid w:val="0039454B"/>
    <w:rsid w:val="003947B2"/>
    <w:rsid w:val="00394B1C"/>
    <w:rsid w:val="00394EBE"/>
    <w:rsid w:val="003950E3"/>
    <w:rsid w:val="00395AD7"/>
    <w:rsid w:val="00395B1E"/>
    <w:rsid w:val="00395B26"/>
    <w:rsid w:val="00395B9D"/>
    <w:rsid w:val="00395CFE"/>
    <w:rsid w:val="003960DA"/>
    <w:rsid w:val="0039611D"/>
    <w:rsid w:val="00396691"/>
    <w:rsid w:val="00396C0C"/>
    <w:rsid w:val="00396FCD"/>
    <w:rsid w:val="00397049"/>
    <w:rsid w:val="0039798A"/>
    <w:rsid w:val="00397A02"/>
    <w:rsid w:val="003A0350"/>
    <w:rsid w:val="003A0D24"/>
    <w:rsid w:val="003A16E1"/>
    <w:rsid w:val="003A23C0"/>
    <w:rsid w:val="003A2748"/>
    <w:rsid w:val="003A2A13"/>
    <w:rsid w:val="003A30F3"/>
    <w:rsid w:val="003A3A08"/>
    <w:rsid w:val="003A3F69"/>
    <w:rsid w:val="003A50B5"/>
    <w:rsid w:val="003A5543"/>
    <w:rsid w:val="003A5630"/>
    <w:rsid w:val="003A607E"/>
    <w:rsid w:val="003A64F6"/>
    <w:rsid w:val="003A6757"/>
    <w:rsid w:val="003A6797"/>
    <w:rsid w:val="003A6D09"/>
    <w:rsid w:val="003A6D1A"/>
    <w:rsid w:val="003A79BB"/>
    <w:rsid w:val="003A7AD8"/>
    <w:rsid w:val="003A7B52"/>
    <w:rsid w:val="003B03F7"/>
    <w:rsid w:val="003B05D9"/>
    <w:rsid w:val="003B0C26"/>
    <w:rsid w:val="003B0CEB"/>
    <w:rsid w:val="003B0ED9"/>
    <w:rsid w:val="003B0F98"/>
    <w:rsid w:val="003B11B8"/>
    <w:rsid w:val="003B123F"/>
    <w:rsid w:val="003B125A"/>
    <w:rsid w:val="003B1272"/>
    <w:rsid w:val="003B12E8"/>
    <w:rsid w:val="003B130F"/>
    <w:rsid w:val="003B1402"/>
    <w:rsid w:val="003B16AF"/>
    <w:rsid w:val="003B1F26"/>
    <w:rsid w:val="003B2248"/>
    <w:rsid w:val="003B2BFE"/>
    <w:rsid w:val="003B36A2"/>
    <w:rsid w:val="003B39C0"/>
    <w:rsid w:val="003B3A14"/>
    <w:rsid w:val="003B3C3A"/>
    <w:rsid w:val="003B3CAE"/>
    <w:rsid w:val="003B3DAF"/>
    <w:rsid w:val="003B4D10"/>
    <w:rsid w:val="003B4E8A"/>
    <w:rsid w:val="003B5572"/>
    <w:rsid w:val="003B5AB1"/>
    <w:rsid w:val="003B6610"/>
    <w:rsid w:val="003B6A84"/>
    <w:rsid w:val="003B6B06"/>
    <w:rsid w:val="003B748B"/>
    <w:rsid w:val="003B7749"/>
    <w:rsid w:val="003B7AD8"/>
    <w:rsid w:val="003B7ED9"/>
    <w:rsid w:val="003C0042"/>
    <w:rsid w:val="003C00CB"/>
    <w:rsid w:val="003C0133"/>
    <w:rsid w:val="003C0853"/>
    <w:rsid w:val="003C0D58"/>
    <w:rsid w:val="003C0E30"/>
    <w:rsid w:val="003C1073"/>
    <w:rsid w:val="003C10EA"/>
    <w:rsid w:val="003C16A5"/>
    <w:rsid w:val="003C18FD"/>
    <w:rsid w:val="003C20BE"/>
    <w:rsid w:val="003C2B86"/>
    <w:rsid w:val="003C35FE"/>
    <w:rsid w:val="003C39F4"/>
    <w:rsid w:val="003C45DC"/>
    <w:rsid w:val="003C4B98"/>
    <w:rsid w:val="003C526A"/>
    <w:rsid w:val="003C653F"/>
    <w:rsid w:val="003C68C2"/>
    <w:rsid w:val="003C6A10"/>
    <w:rsid w:val="003C6CEE"/>
    <w:rsid w:val="003C72E0"/>
    <w:rsid w:val="003C75A6"/>
    <w:rsid w:val="003D0269"/>
    <w:rsid w:val="003D1247"/>
    <w:rsid w:val="003D1817"/>
    <w:rsid w:val="003D19E5"/>
    <w:rsid w:val="003D1AB5"/>
    <w:rsid w:val="003D2332"/>
    <w:rsid w:val="003D24A2"/>
    <w:rsid w:val="003D2517"/>
    <w:rsid w:val="003D2B56"/>
    <w:rsid w:val="003D2D07"/>
    <w:rsid w:val="003D2E02"/>
    <w:rsid w:val="003D311D"/>
    <w:rsid w:val="003D31E1"/>
    <w:rsid w:val="003D3893"/>
    <w:rsid w:val="003D38C8"/>
    <w:rsid w:val="003D3B05"/>
    <w:rsid w:val="003D3D55"/>
    <w:rsid w:val="003D4143"/>
    <w:rsid w:val="003D4734"/>
    <w:rsid w:val="003D5B29"/>
    <w:rsid w:val="003D6012"/>
    <w:rsid w:val="003D61C4"/>
    <w:rsid w:val="003D66D3"/>
    <w:rsid w:val="003D6B2C"/>
    <w:rsid w:val="003D6DE9"/>
    <w:rsid w:val="003D7071"/>
    <w:rsid w:val="003D71A1"/>
    <w:rsid w:val="003D79A6"/>
    <w:rsid w:val="003D7F64"/>
    <w:rsid w:val="003E02EE"/>
    <w:rsid w:val="003E0D16"/>
    <w:rsid w:val="003E0F8F"/>
    <w:rsid w:val="003E1BE6"/>
    <w:rsid w:val="003E1FED"/>
    <w:rsid w:val="003E21BD"/>
    <w:rsid w:val="003E22D7"/>
    <w:rsid w:val="003E2DAA"/>
    <w:rsid w:val="003E308B"/>
    <w:rsid w:val="003E3330"/>
    <w:rsid w:val="003E33A0"/>
    <w:rsid w:val="003E38DE"/>
    <w:rsid w:val="003E456E"/>
    <w:rsid w:val="003E4E72"/>
    <w:rsid w:val="003E5280"/>
    <w:rsid w:val="003E547F"/>
    <w:rsid w:val="003E5589"/>
    <w:rsid w:val="003E571A"/>
    <w:rsid w:val="003E5761"/>
    <w:rsid w:val="003E5ABF"/>
    <w:rsid w:val="003E5BDC"/>
    <w:rsid w:val="003E645F"/>
    <w:rsid w:val="003E6955"/>
    <w:rsid w:val="003E6BC6"/>
    <w:rsid w:val="003E6DDF"/>
    <w:rsid w:val="003E6E7B"/>
    <w:rsid w:val="003F0238"/>
    <w:rsid w:val="003F091D"/>
    <w:rsid w:val="003F169E"/>
    <w:rsid w:val="003F18A8"/>
    <w:rsid w:val="003F1961"/>
    <w:rsid w:val="003F1F51"/>
    <w:rsid w:val="003F204F"/>
    <w:rsid w:val="003F24FC"/>
    <w:rsid w:val="003F27B8"/>
    <w:rsid w:val="003F2BE6"/>
    <w:rsid w:val="003F56F0"/>
    <w:rsid w:val="003F5C7E"/>
    <w:rsid w:val="003F5E25"/>
    <w:rsid w:val="003F6792"/>
    <w:rsid w:val="003F6DAC"/>
    <w:rsid w:val="003F6E91"/>
    <w:rsid w:val="003F7553"/>
    <w:rsid w:val="003F759F"/>
    <w:rsid w:val="003F75C4"/>
    <w:rsid w:val="003F789C"/>
    <w:rsid w:val="003F7B94"/>
    <w:rsid w:val="003F7DF7"/>
    <w:rsid w:val="003F7FA1"/>
    <w:rsid w:val="004004D3"/>
    <w:rsid w:val="0040081B"/>
    <w:rsid w:val="0040088E"/>
    <w:rsid w:val="00400C6F"/>
    <w:rsid w:val="00401380"/>
    <w:rsid w:val="00401490"/>
    <w:rsid w:val="00401684"/>
    <w:rsid w:val="004016FC"/>
    <w:rsid w:val="00401803"/>
    <w:rsid w:val="00401B1C"/>
    <w:rsid w:val="00401B30"/>
    <w:rsid w:val="004022F9"/>
    <w:rsid w:val="0040262C"/>
    <w:rsid w:val="00402943"/>
    <w:rsid w:val="00402C95"/>
    <w:rsid w:val="00402E0E"/>
    <w:rsid w:val="0040314A"/>
    <w:rsid w:val="00403273"/>
    <w:rsid w:val="00403569"/>
    <w:rsid w:val="004036F1"/>
    <w:rsid w:val="00404086"/>
    <w:rsid w:val="004045DB"/>
    <w:rsid w:val="00404647"/>
    <w:rsid w:val="004053FE"/>
    <w:rsid w:val="004054F8"/>
    <w:rsid w:val="00405D30"/>
    <w:rsid w:val="00405D64"/>
    <w:rsid w:val="00405D98"/>
    <w:rsid w:val="00406200"/>
    <w:rsid w:val="00406323"/>
    <w:rsid w:val="0040635E"/>
    <w:rsid w:val="004064CD"/>
    <w:rsid w:val="004065F3"/>
    <w:rsid w:val="004067A5"/>
    <w:rsid w:val="004067B7"/>
    <w:rsid w:val="00406A35"/>
    <w:rsid w:val="004074DF"/>
    <w:rsid w:val="00407E04"/>
    <w:rsid w:val="00407E50"/>
    <w:rsid w:val="00407ED8"/>
    <w:rsid w:val="0041005C"/>
    <w:rsid w:val="004100F3"/>
    <w:rsid w:val="00410453"/>
    <w:rsid w:val="00410A40"/>
    <w:rsid w:val="00410CE9"/>
    <w:rsid w:val="00410D22"/>
    <w:rsid w:val="00410D92"/>
    <w:rsid w:val="004113CA"/>
    <w:rsid w:val="00412052"/>
    <w:rsid w:val="004120EC"/>
    <w:rsid w:val="004123DF"/>
    <w:rsid w:val="00412461"/>
    <w:rsid w:val="00412575"/>
    <w:rsid w:val="00412829"/>
    <w:rsid w:val="00412A5E"/>
    <w:rsid w:val="00412BFD"/>
    <w:rsid w:val="00412DAA"/>
    <w:rsid w:val="00413301"/>
    <w:rsid w:val="0041356A"/>
    <w:rsid w:val="0041357C"/>
    <w:rsid w:val="0041390D"/>
    <w:rsid w:val="00413C4F"/>
    <w:rsid w:val="004140A9"/>
    <w:rsid w:val="00414AB9"/>
    <w:rsid w:val="00414E84"/>
    <w:rsid w:val="00415D87"/>
    <w:rsid w:val="004160C3"/>
    <w:rsid w:val="0041686D"/>
    <w:rsid w:val="00416BB9"/>
    <w:rsid w:val="00417139"/>
    <w:rsid w:val="004201CA"/>
    <w:rsid w:val="004203D7"/>
    <w:rsid w:val="004204AC"/>
    <w:rsid w:val="00420F8B"/>
    <w:rsid w:val="00421060"/>
    <w:rsid w:val="0042142C"/>
    <w:rsid w:val="0042153B"/>
    <w:rsid w:val="00421556"/>
    <w:rsid w:val="00421698"/>
    <w:rsid w:val="00421CA7"/>
    <w:rsid w:val="0042259A"/>
    <w:rsid w:val="0042315A"/>
    <w:rsid w:val="004237E0"/>
    <w:rsid w:val="00423AF1"/>
    <w:rsid w:val="00423CD3"/>
    <w:rsid w:val="004250BE"/>
    <w:rsid w:val="004258FF"/>
    <w:rsid w:val="00425B16"/>
    <w:rsid w:val="00425BC0"/>
    <w:rsid w:val="00425D8C"/>
    <w:rsid w:val="00425EF9"/>
    <w:rsid w:val="00425FD4"/>
    <w:rsid w:val="00426263"/>
    <w:rsid w:val="0042631C"/>
    <w:rsid w:val="00426642"/>
    <w:rsid w:val="0042697A"/>
    <w:rsid w:val="00426CD6"/>
    <w:rsid w:val="00426F15"/>
    <w:rsid w:val="00426F55"/>
    <w:rsid w:val="00427B81"/>
    <w:rsid w:val="00427CD4"/>
    <w:rsid w:val="00427F9F"/>
    <w:rsid w:val="0043054E"/>
    <w:rsid w:val="0043066B"/>
    <w:rsid w:val="004309BF"/>
    <w:rsid w:val="004310D8"/>
    <w:rsid w:val="004310EB"/>
    <w:rsid w:val="004318CA"/>
    <w:rsid w:val="00431A3D"/>
    <w:rsid w:val="00431E23"/>
    <w:rsid w:val="00432496"/>
    <w:rsid w:val="00432CFC"/>
    <w:rsid w:val="00433562"/>
    <w:rsid w:val="0043497C"/>
    <w:rsid w:val="00434AB0"/>
    <w:rsid w:val="0043510F"/>
    <w:rsid w:val="00435589"/>
    <w:rsid w:val="00436059"/>
    <w:rsid w:val="00436114"/>
    <w:rsid w:val="00436650"/>
    <w:rsid w:val="00437F59"/>
    <w:rsid w:val="00440310"/>
    <w:rsid w:val="00440AE4"/>
    <w:rsid w:val="00440C4F"/>
    <w:rsid w:val="0044101E"/>
    <w:rsid w:val="004414DA"/>
    <w:rsid w:val="004414F4"/>
    <w:rsid w:val="00441821"/>
    <w:rsid w:val="00441840"/>
    <w:rsid w:val="00441CB2"/>
    <w:rsid w:val="00441CD0"/>
    <w:rsid w:val="004420DA"/>
    <w:rsid w:val="004423B6"/>
    <w:rsid w:val="004424FB"/>
    <w:rsid w:val="0044336F"/>
    <w:rsid w:val="00443458"/>
    <w:rsid w:val="004435E4"/>
    <w:rsid w:val="00443768"/>
    <w:rsid w:val="00443C57"/>
    <w:rsid w:val="00443F2C"/>
    <w:rsid w:val="00443F78"/>
    <w:rsid w:val="00444268"/>
    <w:rsid w:val="004448D1"/>
    <w:rsid w:val="00444B09"/>
    <w:rsid w:val="00444F3A"/>
    <w:rsid w:val="00445211"/>
    <w:rsid w:val="00445397"/>
    <w:rsid w:val="0044565A"/>
    <w:rsid w:val="00446072"/>
    <w:rsid w:val="00446402"/>
    <w:rsid w:val="004467B4"/>
    <w:rsid w:val="0044736D"/>
    <w:rsid w:val="00447700"/>
    <w:rsid w:val="00447AF2"/>
    <w:rsid w:val="00447D24"/>
    <w:rsid w:val="0045071E"/>
    <w:rsid w:val="004507DB"/>
    <w:rsid w:val="004514BF"/>
    <w:rsid w:val="004514CC"/>
    <w:rsid w:val="00451A47"/>
    <w:rsid w:val="0045234B"/>
    <w:rsid w:val="004524FA"/>
    <w:rsid w:val="00452AA8"/>
    <w:rsid w:val="00453C63"/>
    <w:rsid w:val="00453EAB"/>
    <w:rsid w:val="00454071"/>
    <w:rsid w:val="0045456B"/>
    <w:rsid w:val="004546DE"/>
    <w:rsid w:val="00454BAC"/>
    <w:rsid w:val="00454C63"/>
    <w:rsid w:val="00455337"/>
    <w:rsid w:val="004556DF"/>
    <w:rsid w:val="004558CC"/>
    <w:rsid w:val="00455BEF"/>
    <w:rsid w:val="00456383"/>
    <w:rsid w:val="00456B6C"/>
    <w:rsid w:val="00456CAC"/>
    <w:rsid w:val="00456D38"/>
    <w:rsid w:val="00456D6B"/>
    <w:rsid w:val="00456F25"/>
    <w:rsid w:val="00456FB5"/>
    <w:rsid w:val="0045707B"/>
    <w:rsid w:val="00457AA9"/>
    <w:rsid w:val="00457DE8"/>
    <w:rsid w:val="0046043F"/>
    <w:rsid w:val="00460A7F"/>
    <w:rsid w:val="00460CAC"/>
    <w:rsid w:val="00460F98"/>
    <w:rsid w:val="004613DB"/>
    <w:rsid w:val="00461478"/>
    <w:rsid w:val="004618F4"/>
    <w:rsid w:val="00462180"/>
    <w:rsid w:val="004623B0"/>
    <w:rsid w:val="004626FA"/>
    <w:rsid w:val="00462BC6"/>
    <w:rsid w:val="0046312A"/>
    <w:rsid w:val="0046315F"/>
    <w:rsid w:val="00463634"/>
    <w:rsid w:val="00463760"/>
    <w:rsid w:val="004637E9"/>
    <w:rsid w:val="00463989"/>
    <w:rsid w:val="00463D80"/>
    <w:rsid w:val="00464154"/>
    <w:rsid w:val="004645A0"/>
    <w:rsid w:val="00464F9E"/>
    <w:rsid w:val="00465103"/>
    <w:rsid w:val="004652E3"/>
    <w:rsid w:val="00465EE3"/>
    <w:rsid w:val="00466350"/>
    <w:rsid w:val="0046652D"/>
    <w:rsid w:val="00466845"/>
    <w:rsid w:val="004668B8"/>
    <w:rsid w:val="00466E09"/>
    <w:rsid w:val="00467874"/>
    <w:rsid w:val="00467A8B"/>
    <w:rsid w:val="00467EF4"/>
    <w:rsid w:val="00470197"/>
    <w:rsid w:val="00470380"/>
    <w:rsid w:val="0047094B"/>
    <w:rsid w:val="00470A73"/>
    <w:rsid w:val="00470BA3"/>
    <w:rsid w:val="00471166"/>
    <w:rsid w:val="00471343"/>
    <w:rsid w:val="00471450"/>
    <w:rsid w:val="00472054"/>
    <w:rsid w:val="00472C84"/>
    <w:rsid w:val="004734B0"/>
    <w:rsid w:val="004736B6"/>
    <w:rsid w:val="00474670"/>
    <w:rsid w:val="004746BC"/>
    <w:rsid w:val="00474796"/>
    <w:rsid w:val="00474E1D"/>
    <w:rsid w:val="0047503E"/>
    <w:rsid w:val="0047553D"/>
    <w:rsid w:val="00475759"/>
    <w:rsid w:val="004761BD"/>
    <w:rsid w:val="004765AF"/>
    <w:rsid w:val="004767C0"/>
    <w:rsid w:val="00476D11"/>
    <w:rsid w:val="0047748A"/>
    <w:rsid w:val="0047782D"/>
    <w:rsid w:val="0047790D"/>
    <w:rsid w:val="00477AF5"/>
    <w:rsid w:val="0048111A"/>
    <w:rsid w:val="004814EC"/>
    <w:rsid w:val="004815FF"/>
    <w:rsid w:val="00481696"/>
    <w:rsid w:val="00481855"/>
    <w:rsid w:val="0048255E"/>
    <w:rsid w:val="00482878"/>
    <w:rsid w:val="00482879"/>
    <w:rsid w:val="00482A81"/>
    <w:rsid w:val="00482A9A"/>
    <w:rsid w:val="00483173"/>
    <w:rsid w:val="0048343D"/>
    <w:rsid w:val="0048426F"/>
    <w:rsid w:val="00484640"/>
    <w:rsid w:val="00484AF2"/>
    <w:rsid w:val="00484B57"/>
    <w:rsid w:val="00484C60"/>
    <w:rsid w:val="00484F2D"/>
    <w:rsid w:val="0048519C"/>
    <w:rsid w:val="00485275"/>
    <w:rsid w:val="004855CE"/>
    <w:rsid w:val="00485CA8"/>
    <w:rsid w:val="00485D5F"/>
    <w:rsid w:val="00486077"/>
    <w:rsid w:val="0048609E"/>
    <w:rsid w:val="00486387"/>
    <w:rsid w:val="004875E2"/>
    <w:rsid w:val="0048793B"/>
    <w:rsid w:val="00487FC1"/>
    <w:rsid w:val="004900F2"/>
    <w:rsid w:val="0049013C"/>
    <w:rsid w:val="00490529"/>
    <w:rsid w:val="0049070C"/>
    <w:rsid w:val="00491412"/>
    <w:rsid w:val="00491590"/>
    <w:rsid w:val="00491866"/>
    <w:rsid w:val="00491ED4"/>
    <w:rsid w:val="00491EE8"/>
    <w:rsid w:val="00492D88"/>
    <w:rsid w:val="00493A96"/>
    <w:rsid w:val="00493FD1"/>
    <w:rsid w:val="00494090"/>
    <w:rsid w:val="00494E2D"/>
    <w:rsid w:val="00495BCB"/>
    <w:rsid w:val="00495E2E"/>
    <w:rsid w:val="004962DB"/>
    <w:rsid w:val="00496319"/>
    <w:rsid w:val="004965B6"/>
    <w:rsid w:val="00496624"/>
    <w:rsid w:val="00496CF9"/>
    <w:rsid w:val="00497500"/>
    <w:rsid w:val="00497693"/>
    <w:rsid w:val="00497BEF"/>
    <w:rsid w:val="00497F33"/>
    <w:rsid w:val="004A0031"/>
    <w:rsid w:val="004A06CB"/>
    <w:rsid w:val="004A0EB2"/>
    <w:rsid w:val="004A10A2"/>
    <w:rsid w:val="004A1121"/>
    <w:rsid w:val="004A1650"/>
    <w:rsid w:val="004A16A3"/>
    <w:rsid w:val="004A196C"/>
    <w:rsid w:val="004A19BC"/>
    <w:rsid w:val="004A1D2C"/>
    <w:rsid w:val="004A1F6D"/>
    <w:rsid w:val="004A20DD"/>
    <w:rsid w:val="004A22CA"/>
    <w:rsid w:val="004A2AB6"/>
    <w:rsid w:val="004A2F7D"/>
    <w:rsid w:val="004A325C"/>
    <w:rsid w:val="004A3B98"/>
    <w:rsid w:val="004A3CCB"/>
    <w:rsid w:val="004A4B53"/>
    <w:rsid w:val="004A50F1"/>
    <w:rsid w:val="004A52C8"/>
    <w:rsid w:val="004A52E2"/>
    <w:rsid w:val="004A5596"/>
    <w:rsid w:val="004A5627"/>
    <w:rsid w:val="004A60A9"/>
    <w:rsid w:val="004A6262"/>
    <w:rsid w:val="004A633E"/>
    <w:rsid w:val="004A6D69"/>
    <w:rsid w:val="004A7195"/>
    <w:rsid w:val="004A7523"/>
    <w:rsid w:val="004A771D"/>
    <w:rsid w:val="004A7D0B"/>
    <w:rsid w:val="004B0245"/>
    <w:rsid w:val="004B070F"/>
    <w:rsid w:val="004B0A53"/>
    <w:rsid w:val="004B14C9"/>
    <w:rsid w:val="004B1A77"/>
    <w:rsid w:val="004B1D5B"/>
    <w:rsid w:val="004B402D"/>
    <w:rsid w:val="004B4D2B"/>
    <w:rsid w:val="004B5251"/>
    <w:rsid w:val="004B55E2"/>
    <w:rsid w:val="004B56AC"/>
    <w:rsid w:val="004B59A5"/>
    <w:rsid w:val="004B5B0B"/>
    <w:rsid w:val="004B5B83"/>
    <w:rsid w:val="004B5FF8"/>
    <w:rsid w:val="004B6693"/>
    <w:rsid w:val="004B690A"/>
    <w:rsid w:val="004B6A3F"/>
    <w:rsid w:val="004B6D5E"/>
    <w:rsid w:val="004B6DBC"/>
    <w:rsid w:val="004B6E9B"/>
    <w:rsid w:val="004B7012"/>
    <w:rsid w:val="004B710A"/>
    <w:rsid w:val="004B7971"/>
    <w:rsid w:val="004B7A51"/>
    <w:rsid w:val="004B7F62"/>
    <w:rsid w:val="004C035D"/>
    <w:rsid w:val="004C0517"/>
    <w:rsid w:val="004C072F"/>
    <w:rsid w:val="004C0D40"/>
    <w:rsid w:val="004C0E6B"/>
    <w:rsid w:val="004C125E"/>
    <w:rsid w:val="004C128A"/>
    <w:rsid w:val="004C1D21"/>
    <w:rsid w:val="004C1ED0"/>
    <w:rsid w:val="004C27C5"/>
    <w:rsid w:val="004C3591"/>
    <w:rsid w:val="004C370E"/>
    <w:rsid w:val="004C3EEE"/>
    <w:rsid w:val="004C406A"/>
    <w:rsid w:val="004C436B"/>
    <w:rsid w:val="004C4710"/>
    <w:rsid w:val="004C4741"/>
    <w:rsid w:val="004C4CEE"/>
    <w:rsid w:val="004C4DD1"/>
    <w:rsid w:val="004C4EBD"/>
    <w:rsid w:val="004C4F3D"/>
    <w:rsid w:val="004C56FA"/>
    <w:rsid w:val="004C5A63"/>
    <w:rsid w:val="004C60AA"/>
    <w:rsid w:val="004C6512"/>
    <w:rsid w:val="004C65F4"/>
    <w:rsid w:val="004C6613"/>
    <w:rsid w:val="004C679A"/>
    <w:rsid w:val="004C6CDE"/>
    <w:rsid w:val="004C7A8E"/>
    <w:rsid w:val="004D0192"/>
    <w:rsid w:val="004D048D"/>
    <w:rsid w:val="004D0874"/>
    <w:rsid w:val="004D0A54"/>
    <w:rsid w:val="004D157B"/>
    <w:rsid w:val="004D19B5"/>
    <w:rsid w:val="004D1F18"/>
    <w:rsid w:val="004D202E"/>
    <w:rsid w:val="004D2089"/>
    <w:rsid w:val="004D285D"/>
    <w:rsid w:val="004D2CC8"/>
    <w:rsid w:val="004D2FA3"/>
    <w:rsid w:val="004D302C"/>
    <w:rsid w:val="004D3647"/>
    <w:rsid w:val="004D393E"/>
    <w:rsid w:val="004D400D"/>
    <w:rsid w:val="004D4584"/>
    <w:rsid w:val="004D45EE"/>
    <w:rsid w:val="004D4EFC"/>
    <w:rsid w:val="004D53FB"/>
    <w:rsid w:val="004D5BD7"/>
    <w:rsid w:val="004D64B7"/>
    <w:rsid w:val="004D6C96"/>
    <w:rsid w:val="004D73E3"/>
    <w:rsid w:val="004D79C1"/>
    <w:rsid w:val="004D7B2B"/>
    <w:rsid w:val="004E0041"/>
    <w:rsid w:val="004E057D"/>
    <w:rsid w:val="004E0FF2"/>
    <w:rsid w:val="004E1C3A"/>
    <w:rsid w:val="004E1F6E"/>
    <w:rsid w:val="004E249E"/>
    <w:rsid w:val="004E2FD0"/>
    <w:rsid w:val="004E37F2"/>
    <w:rsid w:val="004E3BEA"/>
    <w:rsid w:val="004E407A"/>
    <w:rsid w:val="004E42A7"/>
    <w:rsid w:val="004E43D2"/>
    <w:rsid w:val="004E4FB6"/>
    <w:rsid w:val="004E5A27"/>
    <w:rsid w:val="004E5C06"/>
    <w:rsid w:val="004E5E1B"/>
    <w:rsid w:val="004E7097"/>
    <w:rsid w:val="004E799B"/>
    <w:rsid w:val="004E79A9"/>
    <w:rsid w:val="004E7A35"/>
    <w:rsid w:val="004E7B24"/>
    <w:rsid w:val="004E7BCB"/>
    <w:rsid w:val="004E7BEA"/>
    <w:rsid w:val="004E7E55"/>
    <w:rsid w:val="004F0204"/>
    <w:rsid w:val="004F0772"/>
    <w:rsid w:val="004F177A"/>
    <w:rsid w:val="004F3BD4"/>
    <w:rsid w:val="004F4317"/>
    <w:rsid w:val="004F44FA"/>
    <w:rsid w:val="004F4AED"/>
    <w:rsid w:val="004F5370"/>
    <w:rsid w:val="004F57E4"/>
    <w:rsid w:val="004F5E10"/>
    <w:rsid w:val="004F5E35"/>
    <w:rsid w:val="004F6119"/>
    <w:rsid w:val="004F63DA"/>
    <w:rsid w:val="004F6ED4"/>
    <w:rsid w:val="005000FD"/>
    <w:rsid w:val="0050064B"/>
    <w:rsid w:val="00500FEB"/>
    <w:rsid w:val="005013C7"/>
    <w:rsid w:val="00501462"/>
    <w:rsid w:val="005014C6"/>
    <w:rsid w:val="00501704"/>
    <w:rsid w:val="00501723"/>
    <w:rsid w:val="00501FC2"/>
    <w:rsid w:val="00502079"/>
    <w:rsid w:val="005020E3"/>
    <w:rsid w:val="00502318"/>
    <w:rsid w:val="0050240F"/>
    <w:rsid w:val="0050257C"/>
    <w:rsid w:val="00502614"/>
    <w:rsid w:val="00502A32"/>
    <w:rsid w:val="00503111"/>
    <w:rsid w:val="00503150"/>
    <w:rsid w:val="00503534"/>
    <w:rsid w:val="00503745"/>
    <w:rsid w:val="00503895"/>
    <w:rsid w:val="00503C3B"/>
    <w:rsid w:val="00503C96"/>
    <w:rsid w:val="00503F6A"/>
    <w:rsid w:val="005049E9"/>
    <w:rsid w:val="00504CEA"/>
    <w:rsid w:val="00505263"/>
    <w:rsid w:val="005055EF"/>
    <w:rsid w:val="00506B78"/>
    <w:rsid w:val="00506E03"/>
    <w:rsid w:val="00507025"/>
    <w:rsid w:val="0050708A"/>
    <w:rsid w:val="005070B9"/>
    <w:rsid w:val="00507CEA"/>
    <w:rsid w:val="00507EE3"/>
    <w:rsid w:val="005100A5"/>
    <w:rsid w:val="0051051C"/>
    <w:rsid w:val="00510FEC"/>
    <w:rsid w:val="00511634"/>
    <w:rsid w:val="00511DFD"/>
    <w:rsid w:val="00511F02"/>
    <w:rsid w:val="00512033"/>
    <w:rsid w:val="00512254"/>
    <w:rsid w:val="005125C0"/>
    <w:rsid w:val="0051298A"/>
    <w:rsid w:val="00513285"/>
    <w:rsid w:val="005137A5"/>
    <w:rsid w:val="00514000"/>
    <w:rsid w:val="005141AA"/>
    <w:rsid w:val="00514836"/>
    <w:rsid w:val="005149FB"/>
    <w:rsid w:val="00515341"/>
    <w:rsid w:val="00515456"/>
    <w:rsid w:val="005154F4"/>
    <w:rsid w:val="00515539"/>
    <w:rsid w:val="00515628"/>
    <w:rsid w:val="0051575C"/>
    <w:rsid w:val="0051587C"/>
    <w:rsid w:val="005161E0"/>
    <w:rsid w:val="00516874"/>
    <w:rsid w:val="00516F4A"/>
    <w:rsid w:val="005202A9"/>
    <w:rsid w:val="0052064A"/>
    <w:rsid w:val="00520CA6"/>
    <w:rsid w:val="00520EA6"/>
    <w:rsid w:val="005210FC"/>
    <w:rsid w:val="005216D3"/>
    <w:rsid w:val="00521ECC"/>
    <w:rsid w:val="00521F94"/>
    <w:rsid w:val="00522182"/>
    <w:rsid w:val="00522608"/>
    <w:rsid w:val="00522788"/>
    <w:rsid w:val="00522CC9"/>
    <w:rsid w:val="00522DFC"/>
    <w:rsid w:val="00523402"/>
    <w:rsid w:val="00523BA2"/>
    <w:rsid w:val="00524493"/>
    <w:rsid w:val="005249B9"/>
    <w:rsid w:val="005249E4"/>
    <w:rsid w:val="00525001"/>
    <w:rsid w:val="00525057"/>
    <w:rsid w:val="00525C0E"/>
    <w:rsid w:val="00526371"/>
    <w:rsid w:val="00526599"/>
    <w:rsid w:val="00526B0B"/>
    <w:rsid w:val="00526C8A"/>
    <w:rsid w:val="00527183"/>
    <w:rsid w:val="005300BC"/>
    <w:rsid w:val="005308F0"/>
    <w:rsid w:val="00530937"/>
    <w:rsid w:val="00531475"/>
    <w:rsid w:val="00531525"/>
    <w:rsid w:val="005318AB"/>
    <w:rsid w:val="00532405"/>
    <w:rsid w:val="005328A0"/>
    <w:rsid w:val="00532A3A"/>
    <w:rsid w:val="00532D88"/>
    <w:rsid w:val="00532DBA"/>
    <w:rsid w:val="00533294"/>
    <w:rsid w:val="005337FE"/>
    <w:rsid w:val="00533C4A"/>
    <w:rsid w:val="005340D7"/>
    <w:rsid w:val="0053435A"/>
    <w:rsid w:val="0053496C"/>
    <w:rsid w:val="00534C60"/>
    <w:rsid w:val="00534DF3"/>
    <w:rsid w:val="00534F9C"/>
    <w:rsid w:val="00535082"/>
    <w:rsid w:val="00535690"/>
    <w:rsid w:val="00535915"/>
    <w:rsid w:val="00535E3C"/>
    <w:rsid w:val="00535EC0"/>
    <w:rsid w:val="0053603E"/>
    <w:rsid w:val="00536775"/>
    <w:rsid w:val="005369C0"/>
    <w:rsid w:val="00537085"/>
    <w:rsid w:val="00537104"/>
    <w:rsid w:val="0053741A"/>
    <w:rsid w:val="0053781C"/>
    <w:rsid w:val="00540579"/>
    <w:rsid w:val="00540875"/>
    <w:rsid w:val="00540966"/>
    <w:rsid w:val="00540B37"/>
    <w:rsid w:val="00540CF7"/>
    <w:rsid w:val="00541F9A"/>
    <w:rsid w:val="00542C26"/>
    <w:rsid w:val="00544009"/>
    <w:rsid w:val="00544310"/>
    <w:rsid w:val="005456F1"/>
    <w:rsid w:val="00545890"/>
    <w:rsid w:val="00545B35"/>
    <w:rsid w:val="00545E3C"/>
    <w:rsid w:val="005467F3"/>
    <w:rsid w:val="00546836"/>
    <w:rsid w:val="00546884"/>
    <w:rsid w:val="00546D87"/>
    <w:rsid w:val="0054748D"/>
    <w:rsid w:val="0054752E"/>
    <w:rsid w:val="00547E94"/>
    <w:rsid w:val="0055003F"/>
    <w:rsid w:val="0055113C"/>
    <w:rsid w:val="005513F7"/>
    <w:rsid w:val="0055158D"/>
    <w:rsid w:val="00552CBB"/>
    <w:rsid w:val="005538B5"/>
    <w:rsid w:val="00553BA8"/>
    <w:rsid w:val="00553D47"/>
    <w:rsid w:val="00553F45"/>
    <w:rsid w:val="00554564"/>
    <w:rsid w:val="00554B8A"/>
    <w:rsid w:val="0055527E"/>
    <w:rsid w:val="00555414"/>
    <w:rsid w:val="00555EC7"/>
    <w:rsid w:val="005566C5"/>
    <w:rsid w:val="00556F43"/>
    <w:rsid w:val="00556F59"/>
    <w:rsid w:val="0055732A"/>
    <w:rsid w:val="0055749B"/>
    <w:rsid w:val="00557FDD"/>
    <w:rsid w:val="00560977"/>
    <w:rsid w:val="00560CC3"/>
    <w:rsid w:val="00560DFC"/>
    <w:rsid w:val="00561C3F"/>
    <w:rsid w:val="005622A1"/>
    <w:rsid w:val="00562BB3"/>
    <w:rsid w:val="00562CF0"/>
    <w:rsid w:val="00562DA2"/>
    <w:rsid w:val="00562FF4"/>
    <w:rsid w:val="00563466"/>
    <w:rsid w:val="005635DF"/>
    <w:rsid w:val="00563AD8"/>
    <w:rsid w:val="00563B02"/>
    <w:rsid w:val="00564239"/>
    <w:rsid w:val="0056438A"/>
    <w:rsid w:val="00564BE8"/>
    <w:rsid w:val="00564F3A"/>
    <w:rsid w:val="00564FAF"/>
    <w:rsid w:val="00565150"/>
    <w:rsid w:val="00565559"/>
    <w:rsid w:val="00565A36"/>
    <w:rsid w:val="00565AFA"/>
    <w:rsid w:val="00565C52"/>
    <w:rsid w:val="005661F7"/>
    <w:rsid w:val="005662E4"/>
    <w:rsid w:val="005667F6"/>
    <w:rsid w:val="00566872"/>
    <w:rsid w:val="00567375"/>
    <w:rsid w:val="00570518"/>
    <w:rsid w:val="005707D9"/>
    <w:rsid w:val="00570E5B"/>
    <w:rsid w:val="00571017"/>
    <w:rsid w:val="00571025"/>
    <w:rsid w:val="0057118F"/>
    <w:rsid w:val="0057138C"/>
    <w:rsid w:val="00572040"/>
    <w:rsid w:val="00572196"/>
    <w:rsid w:val="005725AF"/>
    <w:rsid w:val="00573C1F"/>
    <w:rsid w:val="005748A3"/>
    <w:rsid w:val="0057492C"/>
    <w:rsid w:val="00574AA8"/>
    <w:rsid w:val="00574B06"/>
    <w:rsid w:val="005755AE"/>
    <w:rsid w:val="00575817"/>
    <w:rsid w:val="005775DE"/>
    <w:rsid w:val="00577923"/>
    <w:rsid w:val="00577D5D"/>
    <w:rsid w:val="00580B45"/>
    <w:rsid w:val="00580D69"/>
    <w:rsid w:val="00581C36"/>
    <w:rsid w:val="00581EF4"/>
    <w:rsid w:val="0058241E"/>
    <w:rsid w:val="00582863"/>
    <w:rsid w:val="00582A8B"/>
    <w:rsid w:val="00582A9D"/>
    <w:rsid w:val="00582BC9"/>
    <w:rsid w:val="00582C70"/>
    <w:rsid w:val="00582F80"/>
    <w:rsid w:val="005836EA"/>
    <w:rsid w:val="00583B73"/>
    <w:rsid w:val="00583C21"/>
    <w:rsid w:val="0058424E"/>
    <w:rsid w:val="005846DB"/>
    <w:rsid w:val="005864C8"/>
    <w:rsid w:val="00586686"/>
    <w:rsid w:val="00586C57"/>
    <w:rsid w:val="00586FC5"/>
    <w:rsid w:val="0058750C"/>
    <w:rsid w:val="0058796E"/>
    <w:rsid w:val="005900E9"/>
    <w:rsid w:val="005902D3"/>
    <w:rsid w:val="0059089C"/>
    <w:rsid w:val="0059166A"/>
    <w:rsid w:val="00591CAE"/>
    <w:rsid w:val="00592073"/>
    <w:rsid w:val="0059212E"/>
    <w:rsid w:val="005929A5"/>
    <w:rsid w:val="00592D8A"/>
    <w:rsid w:val="005936A7"/>
    <w:rsid w:val="00593AC5"/>
    <w:rsid w:val="00594190"/>
    <w:rsid w:val="00594A3C"/>
    <w:rsid w:val="00595293"/>
    <w:rsid w:val="00595EC7"/>
    <w:rsid w:val="00596049"/>
    <w:rsid w:val="00596C10"/>
    <w:rsid w:val="00596C8F"/>
    <w:rsid w:val="00596DFE"/>
    <w:rsid w:val="005970DD"/>
    <w:rsid w:val="00597553"/>
    <w:rsid w:val="00597A76"/>
    <w:rsid w:val="00597C7C"/>
    <w:rsid w:val="005A0894"/>
    <w:rsid w:val="005A0C47"/>
    <w:rsid w:val="005A0C62"/>
    <w:rsid w:val="005A0D72"/>
    <w:rsid w:val="005A1443"/>
    <w:rsid w:val="005A1524"/>
    <w:rsid w:val="005A1EB1"/>
    <w:rsid w:val="005A2001"/>
    <w:rsid w:val="005A24E2"/>
    <w:rsid w:val="005A34B3"/>
    <w:rsid w:val="005A38BC"/>
    <w:rsid w:val="005A3BF9"/>
    <w:rsid w:val="005A404B"/>
    <w:rsid w:val="005A47D2"/>
    <w:rsid w:val="005A4EC2"/>
    <w:rsid w:val="005A4FF2"/>
    <w:rsid w:val="005A5F73"/>
    <w:rsid w:val="005A648F"/>
    <w:rsid w:val="005A64B1"/>
    <w:rsid w:val="005A6660"/>
    <w:rsid w:val="005A6898"/>
    <w:rsid w:val="005A70C3"/>
    <w:rsid w:val="005A796A"/>
    <w:rsid w:val="005A79ED"/>
    <w:rsid w:val="005A7D85"/>
    <w:rsid w:val="005A7E69"/>
    <w:rsid w:val="005B03CD"/>
    <w:rsid w:val="005B04AD"/>
    <w:rsid w:val="005B0E8D"/>
    <w:rsid w:val="005B144E"/>
    <w:rsid w:val="005B17D6"/>
    <w:rsid w:val="005B2199"/>
    <w:rsid w:val="005B21CF"/>
    <w:rsid w:val="005B2F4D"/>
    <w:rsid w:val="005B2F6B"/>
    <w:rsid w:val="005B2FF1"/>
    <w:rsid w:val="005B348B"/>
    <w:rsid w:val="005B392B"/>
    <w:rsid w:val="005B4123"/>
    <w:rsid w:val="005B4291"/>
    <w:rsid w:val="005B4BC9"/>
    <w:rsid w:val="005B4D45"/>
    <w:rsid w:val="005B4E13"/>
    <w:rsid w:val="005B5583"/>
    <w:rsid w:val="005B60B2"/>
    <w:rsid w:val="005B654F"/>
    <w:rsid w:val="005B6679"/>
    <w:rsid w:val="005B724B"/>
    <w:rsid w:val="005C01A5"/>
    <w:rsid w:val="005C020C"/>
    <w:rsid w:val="005C047D"/>
    <w:rsid w:val="005C08A0"/>
    <w:rsid w:val="005C0C85"/>
    <w:rsid w:val="005C15D5"/>
    <w:rsid w:val="005C1710"/>
    <w:rsid w:val="005C1D34"/>
    <w:rsid w:val="005C2239"/>
    <w:rsid w:val="005C2631"/>
    <w:rsid w:val="005C27DC"/>
    <w:rsid w:val="005C34C4"/>
    <w:rsid w:val="005C3601"/>
    <w:rsid w:val="005C3635"/>
    <w:rsid w:val="005C3BA5"/>
    <w:rsid w:val="005C4340"/>
    <w:rsid w:val="005C4587"/>
    <w:rsid w:val="005C48CC"/>
    <w:rsid w:val="005C4BDC"/>
    <w:rsid w:val="005C4FB1"/>
    <w:rsid w:val="005C5258"/>
    <w:rsid w:val="005C5FE7"/>
    <w:rsid w:val="005C6058"/>
    <w:rsid w:val="005C6A20"/>
    <w:rsid w:val="005C6E04"/>
    <w:rsid w:val="005C72AD"/>
    <w:rsid w:val="005C760C"/>
    <w:rsid w:val="005C76DB"/>
    <w:rsid w:val="005C76F9"/>
    <w:rsid w:val="005C7964"/>
    <w:rsid w:val="005D02D7"/>
    <w:rsid w:val="005D0EC0"/>
    <w:rsid w:val="005D157B"/>
    <w:rsid w:val="005D1C19"/>
    <w:rsid w:val="005D1D2C"/>
    <w:rsid w:val="005D1DA5"/>
    <w:rsid w:val="005D2BE3"/>
    <w:rsid w:val="005D377A"/>
    <w:rsid w:val="005D3805"/>
    <w:rsid w:val="005D3C62"/>
    <w:rsid w:val="005D44F0"/>
    <w:rsid w:val="005D48AD"/>
    <w:rsid w:val="005D683E"/>
    <w:rsid w:val="005D701E"/>
    <w:rsid w:val="005D763E"/>
    <w:rsid w:val="005D7651"/>
    <w:rsid w:val="005D7EC3"/>
    <w:rsid w:val="005E062B"/>
    <w:rsid w:val="005E0AD5"/>
    <w:rsid w:val="005E1FEB"/>
    <w:rsid w:val="005E21F7"/>
    <w:rsid w:val="005E280D"/>
    <w:rsid w:val="005E29DA"/>
    <w:rsid w:val="005E2A78"/>
    <w:rsid w:val="005E2DE6"/>
    <w:rsid w:val="005E2E03"/>
    <w:rsid w:val="005E2FEA"/>
    <w:rsid w:val="005E3787"/>
    <w:rsid w:val="005E405F"/>
    <w:rsid w:val="005E451A"/>
    <w:rsid w:val="005E4779"/>
    <w:rsid w:val="005E4BA2"/>
    <w:rsid w:val="005E4C3C"/>
    <w:rsid w:val="005E4DE9"/>
    <w:rsid w:val="005E4F94"/>
    <w:rsid w:val="005E5801"/>
    <w:rsid w:val="005E5DBD"/>
    <w:rsid w:val="005E5FCE"/>
    <w:rsid w:val="005E601E"/>
    <w:rsid w:val="005E6181"/>
    <w:rsid w:val="005E654B"/>
    <w:rsid w:val="005E6BD3"/>
    <w:rsid w:val="005F01CC"/>
    <w:rsid w:val="005F0D78"/>
    <w:rsid w:val="005F0E7C"/>
    <w:rsid w:val="005F1214"/>
    <w:rsid w:val="005F1A80"/>
    <w:rsid w:val="005F24B0"/>
    <w:rsid w:val="005F27F5"/>
    <w:rsid w:val="005F2885"/>
    <w:rsid w:val="005F2FDD"/>
    <w:rsid w:val="005F319A"/>
    <w:rsid w:val="005F31AF"/>
    <w:rsid w:val="005F32AD"/>
    <w:rsid w:val="005F34B6"/>
    <w:rsid w:val="005F3D90"/>
    <w:rsid w:val="005F4016"/>
    <w:rsid w:val="005F4058"/>
    <w:rsid w:val="005F4D02"/>
    <w:rsid w:val="005F540C"/>
    <w:rsid w:val="005F54DE"/>
    <w:rsid w:val="005F54EB"/>
    <w:rsid w:val="005F5578"/>
    <w:rsid w:val="005F56FD"/>
    <w:rsid w:val="005F5812"/>
    <w:rsid w:val="005F5943"/>
    <w:rsid w:val="005F5A32"/>
    <w:rsid w:val="005F5A41"/>
    <w:rsid w:val="005F5BCC"/>
    <w:rsid w:val="005F5F7D"/>
    <w:rsid w:val="005F6A4A"/>
    <w:rsid w:val="005F6B24"/>
    <w:rsid w:val="005F6ED2"/>
    <w:rsid w:val="005F6F1A"/>
    <w:rsid w:val="005F6FD7"/>
    <w:rsid w:val="005F726C"/>
    <w:rsid w:val="005F7E5D"/>
    <w:rsid w:val="005F7FDC"/>
    <w:rsid w:val="006006B8"/>
    <w:rsid w:val="00600C0F"/>
    <w:rsid w:val="00600C15"/>
    <w:rsid w:val="00601156"/>
    <w:rsid w:val="00601777"/>
    <w:rsid w:val="006018C8"/>
    <w:rsid w:val="006018EA"/>
    <w:rsid w:val="006019B6"/>
    <w:rsid w:val="0060215B"/>
    <w:rsid w:val="006025C4"/>
    <w:rsid w:val="006042E7"/>
    <w:rsid w:val="006045CF"/>
    <w:rsid w:val="00605583"/>
    <w:rsid w:val="006056F6"/>
    <w:rsid w:val="00605D20"/>
    <w:rsid w:val="00605E9B"/>
    <w:rsid w:val="00605FB1"/>
    <w:rsid w:val="006075FC"/>
    <w:rsid w:val="0060786B"/>
    <w:rsid w:val="00610261"/>
    <w:rsid w:val="0061086E"/>
    <w:rsid w:val="0061088D"/>
    <w:rsid w:val="00610AC6"/>
    <w:rsid w:val="00611461"/>
    <w:rsid w:val="0061181C"/>
    <w:rsid w:val="00611B92"/>
    <w:rsid w:val="00612541"/>
    <w:rsid w:val="006127F0"/>
    <w:rsid w:val="00612B91"/>
    <w:rsid w:val="00612F8E"/>
    <w:rsid w:val="00613D39"/>
    <w:rsid w:val="00613E90"/>
    <w:rsid w:val="00614B13"/>
    <w:rsid w:val="00615118"/>
    <w:rsid w:val="00615BAA"/>
    <w:rsid w:val="00615C49"/>
    <w:rsid w:val="0061643D"/>
    <w:rsid w:val="00616591"/>
    <w:rsid w:val="006168B9"/>
    <w:rsid w:val="006169B7"/>
    <w:rsid w:val="00616CDC"/>
    <w:rsid w:val="00616FDA"/>
    <w:rsid w:val="006176A4"/>
    <w:rsid w:val="00617938"/>
    <w:rsid w:val="00620483"/>
    <w:rsid w:val="0062091B"/>
    <w:rsid w:val="006210EF"/>
    <w:rsid w:val="00621155"/>
    <w:rsid w:val="006215FE"/>
    <w:rsid w:val="00621B17"/>
    <w:rsid w:val="00621FDA"/>
    <w:rsid w:val="0062224A"/>
    <w:rsid w:val="006228C0"/>
    <w:rsid w:val="00622A21"/>
    <w:rsid w:val="00623AF7"/>
    <w:rsid w:val="00623FB9"/>
    <w:rsid w:val="0062427B"/>
    <w:rsid w:val="00624652"/>
    <w:rsid w:val="00624691"/>
    <w:rsid w:val="00624924"/>
    <w:rsid w:val="0062506D"/>
    <w:rsid w:val="006253C0"/>
    <w:rsid w:val="006259D7"/>
    <w:rsid w:val="00625CD4"/>
    <w:rsid w:val="00625F0F"/>
    <w:rsid w:val="00626052"/>
    <w:rsid w:val="00626123"/>
    <w:rsid w:val="00626374"/>
    <w:rsid w:val="0062663F"/>
    <w:rsid w:val="00626658"/>
    <w:rsid w:val="00626BCB"/>
    <w:rsid w:val="0062726D"/>
    <w:rsid w:val="0062772D"/>
    <w:rsid w:val="00627F35"/>
    <w:rsid w:val="00630568"/>
    <w:rsid w:val="00630995"/>
    <w:rsid w:val="00630AA2"/>
    <w:rsid w:val="00630BC0"/>
    <w:rsid w:val="00630DAC"/>
    <w:rsid w:val="00630EF8"/>
    <w:rsid w:val="00631336"/>
    <w:rsid w:val="00631960"/>
    <w:rsid w:val="00631B10"/>
    <w:rsid w:val="0063249C"/>
    <w:rsid w:val="0063264A"/>
    <w:rsid w:val="006327A5"/>
    <w:rsid w:val="0063286E"/>
    <w:rsid w:val="00632B8C"/>
    <w:rsid w:val="00633068"/>
    <w:rsid w:val="00633093"/>
    <w:rsid w:val="00633699"/>
    <w:rsid w:val="00633B37"/>
    <w:rsid w:val="00634279"/>
    <w:rsid w:val="00634433"/>
    <w:rsid w:val="0063494B"/>
    <w:rsid w:val="00634D00"/>
    <w:rsid w:val="00635429"/>
    <w:rsid w:val="006354B5"/>
    <w:rsid w:val="006359F9"/>
    <w:rsid w:val="006360DB"/>
    <w:rsid w:val="00636323"/>
    <w:rsid w:val="00636C30"/>
    <w:rsid w:val="00636E9D"/>
    <w:rsid w:val="006374C0"/>
    <w:rsid w:val="0063759F"/>
    <w:rsid w:val="006376E7"/>
    <w:rsid w:val="006378C8"/>
    <w:rsid w:val="0063797E"/>
    <w:rsid w:val="00637BD8"/>
    <w:rsid w:val="0064076C"/>
    <w:rsid w:val="00640CF6"/>
    <w:rsid w:val="00640F77"/>
    <w:rsid w:val="00640FC2"/>
    <w:rsid w:val="00641126"/>
    <w:rsid w:val="00641721"/>
    <w:rsid w:val="0064178D"/>
    <w:rsid w:val="00641B01"/>
    <w:rsid w:val="006421E6"/>
    <w:rsid w:val="0064281F"/>
    <w:rsid w:val="00642A44"/>
    <w:rsid w:val="00642B11"/>
    <w:rsid w:val="00642F2A"/>
    <w:rsid w:val="00643079"/>
    <w:rsid w:val="006435DE"/>
    <w:rsid w:val="00643978"/>
    <w:rsid w:val="00643D76"/>
    <w:rsid w:val="00643E43"/>
    <w:rsid w:val="00644025"/>
    <w:rsid w:val="00644505"/>
    <w:rsid w:val="006447F4"/>
    <w:rsid w:val="0064483C"/>
    <w:rsid w:val="00644C4A"/>
    <w:rsid w:val="00644D0C"/>
    <w:rsid w:val="006450F8"/>
    <w:rsid w:val="006451BF"/>
    <w:rsid w:val="00645AA6"/>
    <w:rsid w:val="006461A8"/>
    <w:rsid w:val="00646D4F"/>
    <w:rsid w:val="00646D7C"/>
    <w:rsid w:val="006471F1"/>
    <w:rsid w:val="0065030B"/>
    <w:rsid w:val="00650376"/>
    <w:rsid w:val="006511CF"/>
    <w:rsid w:val="006513AC"/>
    <w:rsid w:val="00651E42"/>
    <w:rsid w:val="006523AB"/>
    <w:rsid w:val="0065336A"/>
    <w:rsid w:val="00653A1D"/>
    <w:rsid w:val="00653CAB"/>
    <w:rsid w:val="00653D3B"/>
    <w:rsid w:val="00654840"/>
    <w:rsid w:val="00654D4A"/>
    <w:rsid w:val="00654F8D"/>
    <w:rsid w:val="00655110"/>
    <w:rsid w:val="006565EB"/>
    <w:rsid w:val="0065664A"/>
    <w:rsid w:val="0065667A"/>
    <w:rsid w:val="00656D26"/>
    <w:rsid w:val="0065708E"/>
    <w:rsid w:val="0065719F"/>
    <w:rsid w:val="00657795"/>
    <w:rsid w:val="0066067A"/>
    <w:rsid w:val="00661239"/>
    <w:rsid w:val="00661B5B"/>
    <w:rsid w:val="00661F20"/>
    <w:rsid w:val="00662391"/>
    <w:rsid w:val="00662539"/>
    <w:rsid w:val="00662EE3"/>
    <w:rsid w:val="00662F6F"/>
    <w:rsid w:val="00662FC6"/>
    <w:rsid w:val="006630F4"/>
    <w:rsid w:val="00663572"/>
    <w:rsid w:val="006639BD"/>
    <w:rsid w:val="00664BD1"/>
    <w:rsid w:val="006650AF"/>
    <w:rsid w:val="006652A0"/>
    <w:rsid w:val="0066547C"/>
    <w:rsid w:val="006657E3"/>
    <w:rsid w:val="006659A4"/>
    <w:rsid w:val="006659B0"/>
    <w:rsid w:val="00665A53"/>
    <w:rsid w:val="006660F3"/>
    <w:rsid w:val="00666190"/>
    <w:rsid w:val="00666419"/>
    <w:rsid w:val="00666520"/>
    <w:rsid w:val="006669E1"/>
    <w:rsid w:val="00667261"/>
    <w:rsid w:val="0066777E"/>
    <w:rsid w:val="006678A9"/>
    <w:rsid w:val="0067041F"/>
    <w:rsid w:val="00670642"/>
    <w:rsid w:val="00670D4A"/>
    <w:rsid w:val="00671300"/>
    <w:rsid w:val="006721FE"/>
    <w:rsid w:val="00672313"/>
    <w:rsid w:val="00672416"/>
    <w:rsid w:val="0067265E"/>
    <w:rsid w:val="00672894"/>
    <w:rsid w:val="00673086"/>
    <w:rsid w:val="006732CB"/>
    <w:rsid w:val="00673939"/>
    <w:rsid w:val="00673C89"/>
    <w:rsid w:val="00673F20"/>
    <w:rsid w:val="00674026"/>
    <w:rsid w:val="00674909"/>
    <w:rsid w:val="00675143"/>
    <w:rsid w:val="006758AF"/>
    <w:rsid w:val="00675A19"/>
    <w:rsid w:val="00675CEF"/>
    <w:rsid w:val="00675D5E"/>
    <w:rsid w:val="00675E1C"/>
    <w:rsid w:val="00675FCF"/>
    <w:rsid w:val="0067608D"/>
    <w:rsid w:val="00677079"/>
    <w:rsid w:val="006770C5"/>
    <w:rsid w:val="00677168"/>
    <w:rsid w:val="00677BE0"/>
    <w:rsid w:val="0068017D"/>
    <w:rsid w:val="0068023F"/>
    <w:rsid w:val="006807F9"/>
    <w:rsid w:val="00680817"/>
    <w:rsid w:val="006809C4"/>
    <w:rsid w:val="00680B6E"/>
    <w:rsid w:val="00680D98"/>
    <w:rsid w:val="0068128F"/>
    <w:rsid w:val="00681373"/>
    <w:rsid w:val="006817B0"/>
    <w:rsid w:val="006817D3"/>
    <w:rsid w:val="00681AC2"/>
    <w:rsid w:val="00681B8F"/>
    <w:rsid w:val="0068209A"/>
    <w:rsid w:val="0068237D"/>
    <w:rsid w:val="00682783"/>
    <w:rsid w:val="00682892"/>
    <w:rsid w:val="00683152"/>
    <w:rsid w:val="0068381D"/>
    <w:rsid w:val="00684273"/>
    <w:rsid w:val="00684441"/>
    <w:rsid w:val="00684E67"/>
    <w:rsid w:val="006853A3"/>
    <w:rsid w:val="00685A7F"/>
    <w:rsid w:val="0068651C"/>
    <w:rsid w:val="00686A15"/>
    <w:rsid w:val="00686D6A"/>
    <w:rsid w:val="00686E57"/>
    <w:rsid w:val="00686E92"/>
    <w:rsid w:val="0068719A"/>
    <w:rsid w:val="006874F2"/>
    <w:rsid w:val="006903C7"/>
    <w:rsid w:val="00690633"/>
    <w:rsid w:val="00690B0D"/>
    <w:rsid w:val="0069102B"/>
    <w:rsid w:val="00691422"/>
    <w:rsid w:val="006915A3"/>
    <w:rsid w:val="00691658"/>
    <w:rsid w:val="00691C6C"/>
    <w:rsid w:val="006923FC"/>
    <w:rsid w:val="006926EC"/>
    <w:rsid w:val="00692EC5"/>
    <w:rsid w:val="006935F4"/>
    <w:rsid w:val="006939C9"/>
    <w:rsid w:val="0069433B"/>
    <w:rsid w:val="0069458B"/>
    <w:rsid w:val="006956E3"/>
    <w:rsid w:val="0069585D"/>
    <w:rsid w:val="0069591C"/>
    <w:rsid w:val="0069596B"/>
    <w:rsid w:val="00695AF1"/>
    <w:rsid w:val="00695BF9"/>
    <w:rsid w:val="00695D73"/>
    <w:rsid w:val="00696324"/>
    <w:rsid w:val="006964EE"/>
    <w:rsid w:val="00696726"/>
    <w:rsid w:val="00696EDB"/>
    <w:rsid w:val="006973A6"/>
    <w:rsid w:val="00697823"/>
    <w:rsid w:val="00697B60"/>
    <w:rsid w:val="006A0547"/>
    <w:rsid w:val="006A0903"/>
    <w:rsid w:val="006A15A2"/>
    <w:rsid w:val="006A2B40"/>
    <w:rsid w:val="006A2BD9"/>
    <w:rsid w:val="006A3270"/>
    <w:rsid w:val="006A3C4F"/>
    <w:rsid w:val="006A3E0B"/>
    <w:rsid w:val="006A5C13"/>
    <w:rsid w:val="006A6093"/>
    <w:rsid w:val="006A6113"/>
    <w:rsid w:val="006A6136"/>
    <w:rsid w:val="006A66A6"/>
    <w:rsid w:val="006A67E7"/>
    <w:rsid w:val="006A6D8A"/>
    <w:rsid w:val="006A7444"/>
    <w:rsid w:val="006A74D1"/>
    <w:rsid w:val="006A788D"/>
    <w:rsid w:val="006A7B6C"/>
    <w:rsid w:val="006B01A9"/>
    <w:rsid w:val="006B0986"/>
    <w:rsid w:val="006B0D29"/>
    <w:rsid w:val="006B182A"/>
    <w:rsid w:val="006B1DD5"/>
    <w:rsid w:val="006B2187"/>
    <w:rsid w:val="006B239F"/>
    <w:rsid w:val="006B2536"/>
    <w:rsid w:val="006B270C"/>
    <w:rsid w:val="006B2C22"/>
    <w:rsid w:val="006B2DD4"/>
    <w:rsid w:val="006B3EAF"/>
    <w:rsid w:val="006B50FF"/>
    <w:rsid w:val="006B67AB"/>
    <w:rsid w:val="006B6A40"/>
    <w:rsid w:val="006B6BB1"/>
    <w:rsid w:val="006B6D94"/>
    <w:rsid w:val="006B739F"/>
    <w:rsid w:val="006C0E9F"/>
    <w:rsid w:val="006C1CAA"/>
    <w:rsid w:val="006C2BD2"/>
    <w:rsid w:val="006C311E"/>
    <w:rsid w:val="006C38AE"/>
    <w:rsid w:val="006C3AA4"/>
    <w:rsid w:val="006C3AE9"/>
    <w:rsid w:val="006C3D35"/>
    <w:rsid w:val="006C4904"/>
    <w:rsid w:val="006C5074"/>
    <w:rsid w:val="006C533A"/>
    <w:rsid w:val="006C664B"/>
    <w:rsid w:val="006C6AF9"/>
    <w:rsid w:val="006C6E42"/>
    <w:rsid w:val="006C7B37"/>
    <w:rsid w:val="006C7FE9"/>
    <w:rsid w:val="006D0274"/>
    <w:rsid w:val="006D03A7"/>
    <w:rsid w:val="006D07D3"/>
    <w:rsid w:val="006D0A0F"/>
    <w:rsid w:val="006D0A25"/>
    <w:rsid w:val="006D0A5E"/>
    <w:rsid w:val="006D16A6"/>
    <w:rsid w:val="006D16E3"/>
    <w:rsid w:val="006D1DE5"/>
    <w:rsid w:val="006D287B"/>
    <w:rsid w:val="006D297F"/>
    <w:rsid w:val="006D3754"/>
    <w:rsid w:val="006D3AE0"/>
    <w:rsid w:val="006D3BFA"/>
    <w:rsid w:val="006D463B"/>
    <w:rsid w:val="006D4649"/>
    <w:rsid w:val="006D4CD9"/>
    <w:rsid w:val="006D4D3B"/>
    <w:rsid w:val="006D51B0"/>
    <w:rsid w:val="006D5597"/>
    <w:rsid w:val="006D56E0"/>
    <w:rsid w:val="006D57D9"/>
    <w:rsid w:val="006D616A"/>
    <w:rsid w:val="006D6337"/>
    <w:rsid w:val="006D64F7"/>
    <w:rsid w:val="006D6E5A"/>
    <w:rsid w:val="006D6EBA"/>
    <w:rsid w:val="006D6F2E"/>
    <w:rsid w:val="006D793C"/>
    <w:rsid w:val="006D7A7B"/>
    <w:rsid w:val="006D7ED9"/>
    <w:rsid w:val="006D7FB1"/>
    <w:rsid w:val="006E051F"/>
    <w:rsid w:val="006E0689"/>
    <w:rsid w:val="006E0738"/>
    <w:rsid w:val="006E0D7C"/>
    <w:rsid w:val="006E0E0B"/>
    <w:rsid w:val="006E0E24"/>
    <w:rsid w:val="006E0E36"/>
    <w:rsid w:val="006E133E"/>
    <w:rsid w:val="006E243F"/>
    <w:rsid w:val="006E247C"/>
    <w:rsid w:val="006E270A"/>
    <w:rsid w:val="006E27EB"/>
    <w:rsid w:val="006E2BFE"/>
    <w:rsid w:val="006E3282"/>
    <w:rsid w:val="006E3765"/>
    <w:rsid w:val="006E3D5A"/>
    <w:rsid w:val="006E41C1"/>
    <w:rsid w:val="006E4549"/>
    <w:rsid w:val="006E482A"/>
    <w:rsid w:val="006E49F5"/>
    <w:rsid w:val="006E4F6F"/>
    <w:rsid w:val="006E4F7E"/>
    <w:rsid w:val="006E5125"/>
    <w:rsid w:val="006E575D"/>
    <w:rsid w:val="006E6549"/>
    <w:rsid w:val="006E65A8"/>
    <w:rsid w:val="006E6B2B"/>
    <w:rsid w:val="006E7630"/>
    <w:rsid w:val="006F01FC"/>
    <w:rsid w:val="006F1573"/>
    <w:rsid w:val="006F1670"/>
    <w:rsid w:val="006F17FD"/>
    <w:rsid w:val="006F1A6E"/>
    <w:rsid w:val="006F1F13"/>
    <w:rsid w:val="006F1FBE"/>
    <w:rsid w:val="006F2527"/>
    <w:rsid w:val="006F29EA"/>
    <w:rsid w:val="006F2E72"/>
    <w:rsid w:val="006F2F38"/>
    <w:rsid w:val="006F3155"/>
    <w:rsid w:val="006F3234"/>
    <w:rsid w:val="006F36DB"/>
    <w:rsid w:val="006F3855"/>
    <w:rsid w:val="006F3B90"/>
    <w:rsid w:val="006F3FF7"/>
    <w:rsid w:val="006F42C9"/>
    <w:rsid w:val="006F4BAF"/>
    <w:rsid w:val="006F4BD4"/>
    <w:rsid w:val="006F4E73"/>
    <w:rsid w:val="006F50EC"/>
    <w:rsid w:val="006F5145"/>
    <w:rsid w:val="006F532B"/>
    <w:rsid w:val="006F5B4C"/>
    <w:rsid w:val="006F6104"/>
    <w:rsid w:val="006F656B"/>
    <w:rsid w:val="006F6FF3"/>
    <w:rsid w:val="006F7C54"/>
    <w:rsid w:val="006F7E34"/>
    <w:rsid w:val="006F7E8A"/>
    <w:rsid w:val="006F7F95"/>
    <w:rsid w:val="0070117F"/>
    <w:rsid w:val="007012C7"/>
    <w:rsid w:val="007013E2"/>
    <w:rsid w:val="007017B7"/>
    <w:rsid w:val="007017DD"/>
    <w:rsid w:val="00701CC8"/>
    <w:rsid w:val="00701F70"/>
    <w:rsid w:val="00701F89"/>
    <w:rsid w:val="0070229C"/>
    <w:rsid w:val="00702D92"/>
    <w:rsid w:val="0070305D"/>
    <w:rsid w:val="007030AD"/>
    <w:rsid w:val="00703149"/>
    <w:rsid w:val="007034D6"/>
    <w:rsid w:val="00703945"/>
    <w:rsid w:val="00703C67"/>
    <w:rsid w:val="00704BA3"/>
    <w:rsid w:val="00704DE8"/>
    <w:rsid w:val="00705826"/>
    <w:rsid w:val="00705C13"/>
    <w:rsid w:val="00705C35"/>
    <w:rsid w:val="0070635E"/>
    <w:rsid w:val="00706911"/>
    <w:rsid w:val="00706D87"/>
    <w:rsid w:val="00707731"/>
    <w:rsid w:val="007077BE"/>
    <w:rsid w:val="00707947"/>
    <w:rsid w:val="00707B0E"/>
    <w:rsid w:val="00707B2F"/>
    <w:rsid w:val="0071020A"/>
    <w:rsid w:val="00710338"/>
    <w:rsid w:val="00710649"/>
    <w:rsid w:val="00710792"/>
    <w:rsid w:val="00710AA2"/>
    <w:rsid w:val="007114F3"/>
    <w:rsid w:val="00711BA5"/>
    <w:rsid w:val="00712909"/>
    <w:rsid w:val="00712D0A"/>
    <w:rsid w:val="00712D6A"/>
    <w:rsid w:val="007136C3"/>
    <w:rsid w:val="00713980"/>
    <w:rsid w:val="0071404A"/>
    <w:rsid w:val="00714233"/>
    <w:rsid w:val="0071477F"/>
    <w:rsid w:val="00714A2E"/>
    <w:rsid w:val="00714C72"/>
    <w:rsid w:val="007158BD"/>
    <w:rsid w:val="0071593E"/>
    <w:rsid w:val="00715EB3"/>
    <w:rsid w:val="00715EE2"/>
    <w:rsid w:val="00715FDB"/>
    <w:rsid w:val="00716CD7"/>
    <w:rsid w:val="00717731"/>
    <w:rsid w:val="00717879"/>
    <w:rsid w:val="0071799F"/>
    <w:rsid w:val="00717A56"/>
    <w:rsid w:val="00717B23"/>
    <w:rsid w:val="00717CCA"/>
    <w:rsid w:val="00720136"/>
    <w:rsid w:val="007202C6"/>
    <w:rsid w:val="00720BE9"/>
    <w:rsid w:val="0072137C"/>
    <w:rsid w:val="00721532"/>
    <w:rsid w:val="00724441"/>
    <w:rsid w:val="00724A6A"/>
    <w:rsid w:val="007251C1"/>
    <w:rsid w:val="00725DCA"/>
    <w:rsid w:val="00725F8D"/>
    <w:rsid w:val="007260CD"/>
    <w:rsid w:val="00726408"/>
    <w:rsid w:val="007264AC"/>
    <w:rsid w:val="00726FF4"/>
    <w:rsid w:val="00727C4A"/>
    <w:rsid w:val="007305B3"/>
    <w:rsid w:val="007305C7"/>
    <w:rsid w:val="007308BE"/>
    <w:rsid w:val="00731723"/>
    <w:rsid w:val="007322E0"/>
    <w:rsid w:val="007324E3"/>
    <w:rsid w:val="00732C90"/>
    <w:rsid w:val="0073332B"/>
    <w:rsid w:val="00733414"/>
    <w:rsid w:val="00733592"/>
    <w:rsid w:val="00733FC9"/>
    <w:rsid w:val="007340A7"/>
    <w:rsid w:val="007346A8"/>
    <w:rsid w:val="00734E1A"/>
    <w:rsid w:val="00734FFE"/>
    <w:rsid w:val="00735117"/>
    <w:rsid w:val="00735816"/>
    <w:rsid w:val="00735B63"/>
    <w:rsid w:val="00735C17"/>
    <w:rsid w:val="00736780"/>
    <w:rsid w:val="00737253"/>
    <w:rsid w:val="00740360"/>
    <w:rsid w:val="00740516"/>
    <w:rsid w:val="00740720"/>
    <w:rsid w:val="00740DB0"/>
    <w:rsid w:val="0074137A"/>
    <w:rsid w:val="00741823"/>
    <w:rsid w:val="00741AE6"/>
    <w:rsid w:val="00742873"/>
    <w:rsid w:val="007429BD"/>
    <w:rsid w:val="00742A59"/>
    <w:rsid w:val="00742F7E"/>
    <w:rsid w:val="00742FBB"/>
    <w:rsid w:val="00743125"/>
    <w:rsid w:val="00743181"/>
    <w:rsid w:val="00743399"/>
    <w:rsid w:val="00743429"/>
    <w:rsid w:val="00743DF0"/>
    <w:rsid w:val="00744262"/>
    <w:rsid w:val="0074580B"/>
    <w:rsid w:val="007458AE"/>
    <w:rsid w:val="00745A17"/>
    <w:rsid w:val="00745F68"/>
    <w:rsid w:val="00746134"/>
    <w:rsid w:val="00746271"/>
    <w:rsid w:val="0074632B"/>
    <w:rsid w:val="00746591"/>
    <w:rsid w:val="007465B1"/>
    <w:rsid w:val="00746615"/>
    <w:rsid w:val="007466AC"/>
    <w:rsid w:val="00746879"/>
    <w:rsid w:val="007468E8"/>
    <w:rsid w:val="00746A45"/>
    <w:rsid w:val="00746C33"/>
    <w:rsid w:val="00746D1A"/>
    <w:rsid w:val="007473A6"/>
    <w:rsid w:val="00747563"/>
    <w:rsid w:val="007475C4"/>
    <w:rsid w:val="0074766E"/>
    <w:rsid w:val="00750142"/>
    <w:rsid w:val="007502FB"/>
    <w:rsid w:val="0075054A"/>
    <w:rsid w:val="00750AE9"/>
    <w:rsid w:val="0075174B"/>
    <w:rsid w:val="00751BC8"/>
    <w:rsid w:val="00751CB9"/>
    <w:rsid w:val="00752320"/>
    <w:rsid w:val="00752F13"/>
    <w:rsid w:val="007535FA"/>
    <w:rsid w:val="007539D0"/>
    <w:rsid w:val="00753B87"/>
    <w:rsid w:val="00753CD6"/>
    <w:rsid w:val="00753FB5"/>
    <w:rsid w:val="007547FE"/>
    <w:rsid w:val="00754820"/>
    <w:rsid w:val="00754A07"/>
    <w:rsid w:val="007550E4"/>
    <w:rsid w:val="00755A1E"/>
    <w:rsid w:val="00755BAE"/>
    <w:rsid w:val="00755F0E"/>
    <w:rsid w:val="0075664F"/>
    <w:rsid w:val="00756949"/>
    <w:rsid w:val="00757123"/>
    <w:rsid w:val="00757301"/>
    <w:rsid w:val="00757885"/>
    <w:rsid w:val="00757B07"/>
    <w:rsid w:val="00760360"/>
    <w:rsid w:val="007605CA"/>
    <w:rsid w:val="00760728"/>
    <w:rsid w:val="007617FD"/>
    <w:rsid w:val="00762291"/>
    <w:rsid w:val="00762306"/>
    <w:rsid w:val="00762B68"/>
    <w:rsid w:val="007634C4"/>
    <w:rsid w:val="007637CC"/>
    <w:rsid w:val="00763E73"/>
    <w:rsid w:val="00764333"/>
    <w:rsid w:val="00764384"/>
    <w:rsid w:val="007648A7"/>
    <w:rsid w:val="00764C70"/>
    <w:rsid w:val="00764CB5"/>
    <w:rsid w:val="00765042"/>
    <w:rsid w:val="0076560E"/>
    <w:rsid w:val="007658CF"/>
    <w:rsid w:val="00766196"/>
    <w:rsid w:val="0076619C"/>
    <w:rsid w:val="00766E53"/>
    <w:rsid w:val="00767921"/>
    <w:rsid w:val="00767A8E"/>
    <w:rsid w:val="00770345"/>
    <w:rsid w:val="007707D0"/>
    <w:rsid w:val="00770A51"/>
    <w:rsid w:val="00770CB7"/>
    <w:rsid w:val="00770CDB"/>
    <w:rsid w:val="00770E49"/>
    <w:rsid w:val="00770E4B"/>
    <w:rsid w:val="0077138C"/>
    <w:rsid w:val="007722C1"/>
    <w:rsid w:val="00772798"/>
    <w:rsid w:val="00772D68"/>
    <w:rsid w:val="00772EB1"/>
    <w:rsid w:val="00772F98"/>
    <w:rsid w:val="00773ABD"/>
    <w:rsid w:val="00773C3A"/>
    <w:rsid w:val="00773C57"/>
    <w:rsid w:val="00774417"/>
    <w:rsid w:val="00774457"/>
    <w:rsid w:val="0077459F"/>
    <w:rsid w:val="00774732"/>
    <w:rsid w:val="0077564B"/>
    <w:rsid w:val="00775811"/>
    <w:rsid w:val="00775FD9"/>
    <w:rsid w:val="00776592"/>
    <w:rsid w:val="007769D7"/>
    <w:rsid w:val="00777163"/>
    <w:rsid w:val="007775F3"/>
    <w:rsid w:val="007778F7"/>
    <w:rsid w:val="00777BEF"/>
    <w:rsid w:val="00780892"/>
    <w:rsid w:val="00780CB8"/>
    <w:rsid w:val="00780CD6"/>
    <w:rsid w:val="007811FF"/>
    <w:rsid w:val="00781227"/>
    <w:rsid w:val="0078140D"/>
    <w:rsid w:val="00781A33"/>
    <w:rsid w:val="00781A39"/>
    <w:rsid w:val="00781C17"/>
    <w:rsid w:val="00781F92"/>
    <w:rsid w:val="0078262A"/>
    <w:rsid w:val="007827BF"/>
    <w:rsid w:val="00782E55"/>
    <w:rsid w:val="00783D2C"/>
    <w:rsid w:val="0078465B"/>
    <w:rsid w:val="00784BF0"/>
    <w:rsid w:val="00784DEB"/>
    <w:rsid w:val="00784F03"/>
    <w:rsid w:val="007855F1"/>
    <w:rsid w:val="00785831"/>
    <w:rsid w:val="00785D8D"/>
    <w:rsid w:val="00786347"/>
    <w:rsid w:val="007865C9"/>
    <w:rsid w:val="007868B0"/>
    <w:rsid w:val="00786A8A"/>
    <w:rsid w:val="00786AEF"/>
    <w:rsid w:val="007870B1"/>
    <w:rsid w:val="00787D02"/>
    <w:rsid w:val="007900DA"/>
    <w:rsid w:val="0079081E"/>
    <w:rsid w:val="00791426"/>
    <w:rsid w:val="00791466"/>
    <w:rsid w:val="00791C4D"/>
    <w:rsid w:val="00791F90"/>
    <w:rsid w:val="00792B10"/>
    <w:rsid w:val="00792F20"/>
    <w:rsid w:val="00793067"/>
    <w:rsid w:val="00793735"/>
    <w:rsid w:val="007938FA"/>
    <w:rsid w:val="007939AF"/>
    <w:rsid w:val="00793D39"/>
    <w:rsid w:val="00793F31"/>
    <w:rsid w:val="007945BD"/>
    <w:rsid w:val="00794777"/>
    <w:rsid w:val="00794B82"/>
    <w:rsid w:val="00794BF9"/>
    <w:rsid w:val="00794CE7"/>
    <w:rsid w:val="00794D20"/>
    <w:rsid w:val="00794DAC"/>
    <w:rsid w:val="00794E38"/>
    <w:rsid w:val="00794E3F"/>
    <w:rsid w:val="007952FE"/>
    <w:rsid w:val="00795A18"/>
    <w:rsid w:val="00795CCE"/>
    <w:rsid w:val="00795E6D"/>
    <w:rsid w:val="00796928"/>
    <w:rsid w:val="007975CA"/>
    <w:rsid w:val="00797886"/>
    <w:rsid w:val="007A08B7"/>
    <w:rsid w:val="007A1797"/>
    <w:rsid w:val="007A1FC7"/>
    <w:rsid w:val="007A2095"/>
    <w:rsid w:val="007A2328"/>
    <w:rsid w:val="007A2B0B"/>
    <w:rsid w:val="007A30E9"/>
    <w:rsid w:val="007A3198"/>
    <w:rsid w:val="007A33C0"/>
    <w:rsid w:val="007A3418"/>
    <w:rsid w:val="007A3922"/>
    <w:rsid w:val="007A4804"/>
    <w:rsid w:val="007A4935"/>
    <w:rsid w:val="007A4ADE"/>
    <w:rsid w:val="007A52DC"/>
    <w:rsid w:val="007A56DB"/>
    <w:rsid w:val="007A5734"/>
    <w:rsid w:val="007A60F5"/>
    <w:rsid w:val="007A68BA"/>
    <w:rsid w:val="007A6AAB"/>
    <w:rsid w:val="007A7289"/>
    <w:rsid w:val="007A7F1A"/>
    <w:rsid w:val="007B0147"/>
    <w:rsid w:val="007B1420"/>
    <w:rsid w:val="007B1B91"/>
    <w:rsid w:val="007B2080"/>
    <w:rsid w:val="007B24AE"/>
    <w:rsid w:val="007B3BA1"/>
    <w:rsid w:val="007B48C2"/>
    <w:rsid w:val="007B4DCF"/>
    <w:rsid w:val="007B565F"/>
    <w:rsid w:val="007B5E3B"/>
    <w:rsid w:val="007B6046"/>
    <w:rsid w:val="007B6C8C"/>
    <w:rsid w:val="007B70D4"/>
    <w:rsid w:val="007B7903"/>
    <w:rsid w:val="007B7929"/>
    <w:rsid w:val="007B7E95"/>
    <w:rsid w:val="007C02C6"/>
    <w:rsid w:val="007C19B3"/>
    <w:rsid w:val="007C1B95"/>
    <w:rsid w:val="007C297B"/>
    <w:rsid w:val="007C39E1"/>
    <w:rsid w:val="007C3B4C"/>
    <w:rsid w:val="007C3E08"/>
    <w:rsid w:val="007C426A"/>
    <w:rsid w:val="007C4450"/>
    <w:rsid w:val="007C457E"/>
    <w:rsid w:val="007C4640"/>
    <w:rsid w:val="007C47B8"/>
    <w:rsid w:val="007C49F5"/>
    <w:rsid w:val="007C4DCD"/>
    <w:rsid w:val="007C4EF2"/>
    <w:rsid w:val="007C559B"/>
    <w:rsid w:val="007C5CA2"/>
    <w:rsid w:val="007C616C"/>
    <w:rsid w:val="007C62A4"/>
    <w:rsid w:val="007C63DD"/>
    <w:rsid w:val="007C67E9"/>
    <w:rsid w:val="007C757A"/>
    <w:rsid w:val="007C7A36"/>
    <w:rsid w:val="007C7A5A"/>
    <w:rsid w:val="007C7DD2"/>
    <w:rsid w:val="007C7E2D"/>
    <w:rsid w:val="007C7E5F"/>
    <w:rsid w:val="007D030A"/>
    <w:rsid w:val="007D039B"/>
    <w:rsid w:val="007D07D3"/>
    <w:rsid w:val="007D113E"/>
    <w:rsid w:val="007D1C25"/>
    <w:rsid w:val="007D1E0C"/>
    <w:rsid w:val="007D200E"/>
    <w:rsid w:val="007D21FF"/>
    <w:rsid w:val="007D2C16"/>
    <w:rsid w:val="007D2CB5"/>
    <w:rsid w:val="007D2EA5"/>
    <w:rsid w:val="007D3C02"/>
    <w:rsid w:val="007D4230"/>
    <w:rsid w:val="007D495A"/>
    <w:rsid w:val="007D4DBE"/>
    <w:rsid w:val="007D4DCD"/>
    <w:rsid w:val="007D50FE"/>
    <w:rsid w:val="007D51A1"/>
    <w:rsid w:val="007D55F2"/>
    <w:rsid w:val="007D5803"/>
    <w:rsid w:val="007D58E2"/>
    <w:rsid w:val="007D5F6B"/>
    <w:rsid w:val="007D600A"/>
    <w:rsid w:val="007D60BC"/>
    <w:rsid w:val="007D7181"/>
    <w:rsid w:val="007D725A"/>
    <w:rsid w:val="007D741A"/>
    <w:rsid w:val="007D7C8A"/>
    <w:rsid w:val="007E0703"/>
    <w:rsid w:val="007E0915"/>
    <w:rsid w:val="007E096D"/>
    <w:rsid w:val="007E0B94"/>
    <w:rsid w:val="007E1273"/>
    <w:rsid w:val="007E1433"/>
    <w:rsid w:val="007E16FB"/>
    <w:rsid w:val="007E18D3"/>
    <w:rsid w:val="007E1D9A"/>
    <w:rsid w:val="007E23BF"/>
    <w:rsid w:val="007E28C0"/>
    <w:rsid w:val="007E2C7A"/>
    <w:rsid w:val="007E36F7"/>
    <w:rsid w:val="007E3E56"/>
    <w:rsid w:val="007E40DE"/>
    <w:rsid w:val="007E4102"/>
    <w:rsid w:val="007E4765"/>
    <w:rsid w:val="007E4943"/>
    <w:rsid w:val="007E4CCE"/>
    <w:rsid w:val="007E4D48"/>
    <w:rsid w:val="007E57DE"/>
    <w:rsid w:val="007E6061"/>
    <w:rsid w:val="007E615C"/>
    <w:rsid w:val="007E6794"/>
    <w:rsid w:val="007E6E44"/>
    <w:rsid w:val="007E6FA3"/>
    <w:rsid w:val="007E77AD"/>
    <w:rsid w:val="007F0DEE"/>
    <w:rsid w:val="007F1F05"/>
    <w:rsid w:val="007F1FE6"/>
    <w:rsid w:val="007F2AF9"/>
    <w:rsid w:val="007F2F74"/>
    <w:rsid w:val="007F3514"/>
    <w:rsid w:val="007F3591"/>
    <w:rsid w:val="007F35AB"/>
    <w:rsid w:val="007F37CC"/>
    <w:rsid w:val="007F3B45"/>
    <w:rsid w:val="007F3C2A"/>
    <w:rsid w:val="007F3CA4"/>
    <w:rsid w:val="007F48F4"/>
    <w:rsid w:val="007F4C51"/>
    <w:rsid w:val="007F4CE2"/>
    <w:rsid w:val="007F4E08"/>
    <w:rsid w:val="007F510A"/>
    <w:rsid w:val="007F5DD6"/>
    <w:rsid w:val="007F638B"/>
    <w:rsid w:val="007F6960"/>
    <w:rsid w:val="007F6A28"/>
    <w:rsid w:val="007F74A6"/>
    <w:rsid w:val="007F7AAA"/>
    <w:rsid w:val="0080012F"/>
    <w:rsid w:val="008006D6"/>
    <w:rsid w:val="00800917"/>
    <w:rsid w:val="0080144D"/>
    <w:rsid w:val="008019E7"/>
    <w:rsid w:val="008020F2"/>
    <w:rsid w:val="00802377"/>
    <w:rsid w:val="00802B33"/>
    <w:rsid w:val="00802B92"/>
    <w:rsid w:val="00802F65"/>
    <w:rsid w:val="0080313C"/>
    <w:rsid w:val="008032A4"/>
    <w:rsid w:val="00803486"/>
    <w:rsid w:val="00803602"/>
    <w:rsid w:val="00803CD1"/>
    <w:rsid w:val="008040C9"/>
    <w:rsid w:val="00804248"/>
    <w:rsid w:val="00804797"/>
    <w:rsid w:val="008047E8"/>
    <w:rsid w:val="00804931"/>
    <w:rsid w:val="008050D7"/>
    <w:rsid w:val="008051DF"/>
    <w:rsid w:val="008055D5"/>
    <w:rsid w:val="00805BA5"/>
    <w:rsid w:val="00806360"/>
    <w:rsid w:val="00806501"/>
    <w:rsid w:val="008065C3"/>
    <w:rsid w:val="008066EA"/>
    <w:rsid w:val="00806921"/>
    <w:rsid w:val="00806DBD"/>
    <w:rsid w:val="00806E62"/>
    <w:rsid w:val="00807218"/>
    <w:rsid w:val="00807505"/>
    <w:rsid w:val="00807656"/>
    <w:rsid w:val="00807826"/>
    <w:rsid w:val="00807A3B"/>
    <w:rsid w:val="0081150B"/>
    <w:rsid w:val="00811E4A"/>
    <w:rsid w:val="00811E78"/>
    <w:rsid w:val="00811F8D"/>
    <w:rsid w:val="00812056"/>
    <w:rsid w:val="00812058"/>
    <w:rsid w:val="008122A7"/>
    <w:rsid w:val="00812692"/>
    <w:rsid w:val="00812D36"/>
    <w:rsid w:val="00813455"/>
    <w:rsid w:val="008139BA"/>
    <w:rsid w:val="00814573"/>
    <w:rsid w:val="0081502B"/>
    <w:rsid w:val="008152D6"/>
    <w:rsid w:val="00815C6D"/>
    <w:rsid w:val="0081617F"/>
    <w:rsid w:val="008161A3"/>
    <w:rsid w:val="008166FA"/>
    <w:rsid w:val="00816B72"/>
    <w:rsid w:val="00816D8F"/>
    <w:rsid w:val="00816DD1"/>
    <w:rsid w:val="0081763A"/>
    <w:rsid w:val="00817A84"/>
    <w:rsid w:val="008200AF"/>
    <w:rsid w:val="008202C7"/>
    <w:rsid w:val="00820634"/>
    <w:rsid w:val="00820C06"/>
    <w:rsid w:val="0082242D"/>
    <w:rsid w:val="0082299B"/>
    <w:rsid w:val="00822AF7"/>
    <w:rsid w:val="00823002"/>
    <w:rsid w:val="0082305F"/>
    <w:rsid w:val="00823D8E"/>
    <w:rsid w:val="008241D6"/>
    <w:rsid w:val="00824390"/>
    <w:rsid w:val="008244C5"/>
    <w:rsid w:val="00824C14"/>
    <w:rsid w:val="00824D85"/>
    <w:rsid w:val="00824F4F"/>
    <w:rsid w:val="0082551A"/>
    <w:rsid w:val="008256EF"/>
    <w:rsid w:val="008257A9"/>
    <w:rsid w:val="00825D48"/>
    <w:rsid w:val="00825E77"/>
    <w:rsid w:val="00825F75"/>
    <w:rsid w:val="008262F0"/>
    <w:rsid w:val="00826BC5"/>
    <w:rsid w:val="0082703D"/>
    <w:rsid w:val="00827230"/>
    <w:rsid w:val="008272BD"/>
    <w:rsid w:val="0082762A"/>
    <w:rsid w:val="00827EBF"/>
    <w:rsid w:val="00830428"/>
    <w:rsid w:val="00830576"/>
    <w:rsid w:val="008305C9"/>
    <w:rsid w:val="00830698"/>
    <w:rsid w:val="00830966"/>
    <w:rsid w:val="00830BBF"/>
    <w:rsid w:val="00830D13"/>
    <w:rsid w:val="00830F83"/>
    <w:rsid w:val="00830FFA"/>
    <w:rsid w:val="0083159A"/>
    <w:rsid w:val="008323E0"/>
    <w:rsid w:val="00832598"/>
    <w:rsid w:val="00832C81"/>
    <w:rsid w:val="00832D75"/>
    <w:rsid w:val="00832EAC"/>
    <w:rsid w:val="008334FB"/>
    <w:rsid w:val="00833EC0"/>
    <w:rsid w:val="0083429D"/>
    <w:rsid w:val="0083478C"/>
    <w:rsid w:val="00834B11"/>
    <w:rsid w:val="00834BA2"/>
    <w:rsid w:val="00835223"/>
    <w:rsid w:val="008353E6"/>
    <w:rsid w:val="00835513"/>
    <w:rsid w:val="00835995"/>
    <w:rsid w:val="008359A0"/>
    <w:rsid w:val="00835B79"/>
    <w:rsid w:val="00835F59"/>
    <w:rsid w:val="00836178"/>
    <w:rsid w:val="00836243"/>
    <w:rsid w:val="008364E7"/>
    <w:rsid w:val="0083751D"/>
    <w:rsid w:val="00837789"/>
    <w:rsid w:val="00837A76"/>
    <w:rsid w:val="00837C05"/>
    <w:rsid w:val="00837F22"/>
    <w:rsid w:val="008406FF"/>
    <w:rsid w:val="00841174"/>
    <w:rsid w:val="0084120A"/>
    <w:rsid w:val="00841927"/>
    <w:rsid w:val="00841F18"/>
    <w:rsid w:val="0084221A"/>
    <w:rsid w:val="008426F4"/>
    <w:rsid w:val="0084293C"/>
    <w:rsid w:val="008429DE"/>
    <w:rsid w:val="00842FB5"/>
    <w:rsid w:val="008437D1"/>
    <w:rsid w:val="00844D68"/>
    <w:rsid w:val="00844D8C"/>
    <w:rsid w:val="00844EDA"/>
    <w:rsid w:val="008450F4"/>
    <w:rsid w:val="0084519C"/>
    <w:rsid w:val="008453C4"/>
    <w:rsid w:val="008453FB"/>
    <w:rsid w:val="008455BC"/>
    <w:rsid w:val="00845D76"/>
    <w:rsid w:val="00846295"/>
    <w:rsid w:val="008465E4"/>
    <w:rsid w:val="00846866"/>
    <w:rsid w:val="008479F3"/>
    <w:rsid w:val="00850225"/>
    <w:rsid w:val="00850260"/>
    <w:rsid w:val="0085030A"/>
    <w:rsid w:val="00850E95"/>
    <w:rsid w:val="00850EBD"/>
    <w:rsid w:val="00851829"/>
    <w:rsid w:val="00851872"/>
    <w:rsid w:val="00851885"/>
    <w:rsid w:val="008519EA"/>
    <w:rsid w:val="00851EC3"/>
    <w:rsid w:val="0085370E"/>
    <w:rsid w:val="008538BC"/>
    <w:rsid w:val="00853C9D"/>
    <w:rsid w:val="00853CC5"/>
    <w:rsid w:val="00853DD7"/>
    <w:rsid w:val="008544D7"/>
    <w:rsid w:val="008544EA"/>
    <w:rsid w:val="008550C5"/>
    <w:rsid w:val="008550E5"/>
    <w:rsid w:val="008554BB"/>
    <w:rsid w:val="00855F24"/>
    <w:rsid w:val="008561A1"/>
    <w:rsid w:val="00856879"/>
    <w:rsid w:val="00856CDC"/>
    <w:rsid w:val="00856D1D"/>
    <w:rsid w:val="00856F68"/>
    <w:rsid w:val="008572D2"/>
    <w:rsid w:val="008572F6"/>
    <w:rsid w:val="008574A9"/>
    <w:rsid w:val="00860B07"/>
    <w:rsid w:val="008614D4"/>
    <w:rsid w:val="0086224A"/>
    <w:rsid w:val="008627B5"/>
    <w:rsid w:val="0086320B"/>
    <w:rsid w:val="008635EB"/>
    <w:rsid w:val="00863992"/>
    <w:rsid w:val="00863AB5"/>
    <w:rsid w:val="00863E97"/>
    <w:rsid w:val="00863F0E"/>
    <w:rsid w:val="008643BC"/>
    <w:rsid w:val="0086480A"/>
    <w:rsid w:val="00864995"/>
    <w:rsid w:val="0086545A"/>
    <w:rsid w:val="008654C0"/>
    <w:rsid w:val="00865D26"/>
    <w:rsid w:val="00865ECE"/>
    <w:rsid w:val="008662DB"/>
    <w:rsid w:val="00866638"/>
    <w:rsid w:val="00866A10"/>
    <w:rsid w:val="008677D5"/>
    <w:rsid w:val="008707A2"/>
    <w:rsid w:val="00870953"/>
    <w:rsid w:val="00871A39"/>
    <w:rsid w:val="00871C47"/>
    <w:rsid w:val="008722AA"/>
    <w:rsid w:val="00872B97"/>
    <w:rsid w:val="00873C37"/>
    <w:rsid w:val="008744A4"/>
    <w:rsid w:val="008744AC"/>
    <w:rsid w:val="00874E0D"/>
    <w:rsid w:val="008751A0"/>
    <w:rsid w:val="0087521F"/>
    <w:rsid w:val="0087538D"/>
    <w:rsid w:val="0087576F"/>
    <w:rsid w:val="008758C1"/>
    <w:rsid w:val="00875A5B"/>
    <w:rsid w:val="00875BD6"/>
    <w:rsid w:val="00875DC2"/>
    <w:rsid w:val="008762AB"/>
    <w:rsid w:val="0087664A"/>
    <w:rsid w:val="00876C0B"/>
    <w:rsid w:val="00877222"/>
    <w:rsid w:val="008775BD"/>
    <w:rsid w:val="0087773C"/>
    <w:rsid w:val="00877E3C"/>
    <w:rsid w:val="008800FC"/>
    <w:rsid w:val="00880106"/>
    <w:rsid w:val="008805F0"/>
    <w:rsid w:val="00880CC4"/>
    <w:rsid w:val="00881BBB"/>
    <w:rsid w:val="00881CC1"/>
    <w:rsid w:val="00881E07"/>
    <w:rsid w:val="00881F17"/>
    <w:rsid w:val="00882495"/>
    <w:rsid w:val="00882783"/>
    <w:rsid w:val="008827A6"/>
    <w:rsid w:val="0088292B"/>
    <w:rsid w:val="00882B7A"/>
    <w:rsid w:val="00883A3F"/>
    <w:rsid w:val="008840D2"/>
    <w:rsid w:val="0088444F"/>
    <w:rsid w:val="00885DF1"/>
    <w:rsid w:val="0088641E"/>
    <w:rsid w:val="00886EF0"/>
    <w:rsid w:val="00887113"/>
    <w:rsid w:val="0088739E"/>
    <w:rsid w:val="008877D8"/>
    <w:rsid w:val="00887FDF"/>
    <w:rsid w:val="00890292"/>
    <w:rsid w:val="008903CC"/>
    <w:rsid w:val="008904D8"/>
    <w:rsid w:val="008909A1"/>
    <w:rsid w:val="00890A61"/>
    <w:rsid w:val="00890BD5"/>
    <w:rsid w:val="0089101E"/>
    <w:rsid w:val="00891892"/>
    <w:rsid w:val="008918BF"/>
    <w:rsid w:val="00891F75"/>
    <w:rsid w:val="00891FCA"/>
    <w:rsid w:val="00892824"/>
    <w:rsid w:val="00892A96"/>
    <w:rsid w:val="00892B4D"/>
    <w:rsid w:val="0089302C"/>
    <w:rsid w:val="00893204"/>
    <w:rsid w:val="0089337F"/>
    <w:rsid w:val="0089371A"/>
    <w:rsid w:val="00893AFD"/>
    <w:rsid w:val="00893DF9"/>
    <w:rsid w:val="008952C4"/>
    <w:rsid w:val="00895831"/>
    <w:rsid w:val="00896258"/>
    <w:rsid w:val="00896722"/>
    <w:rsid w:val="00896FD6"/>
    <w:rsid w:val="008973F2"/>
    <w:rsid w:val="008975BD"/>
    <w:rsid w:val="00897886"/>
    <w:rsid w:val="00897C65"/>
    <w:rsid w:val="008A0108"/>
    <w:rsid w:val="008A0CC6"/>
    <w:rsid w:val="008A156B"/>
    <w:rsid w:val="008A2394"/>
    <w:rsid w:val="008A2A71"/>
    <w:rsid w:val="008A2D8B"/>
    <w:rsid w:val="008A36C0"/>
    <w:rsid w:val="008A3ADB"/>
    <w:rsid w:val="008A3C1D"/>
    <w:rsid w:val="008A4217"/>
    <w:rsid w:val="008A4487"/>
    <w:rsid w:val="008A51C2"/>
    <w:rsid w:val="008A5922"/>
    <w:rsid w:val="008A60A4"/>
    <w:rsid w:val="008A69DB"/>
    <w:rsid w:val="008A6BE2"/>
    <w:rsid w:val="008A6C0C"/>
    <w:rsid w:val="008A6F72"/>
    <w:rsid w:val="008A718C"/>
    <w:rsid w:val="008A75E6"/>
    <w:rsid w:val="008A7A41"/>
    <w:rsid w:val="008A7A8E"/>
    <w:rsid w:val="008A7AA5"/>
    <w:rsid w:val="008A7DEA"/>
    <w:rsid w:val="008B02D7"/>
    <w:rsid w:val="008B0A72"/>
    <w:rsid w:val="008B0ACD"/>
    <w:rsid w:val="008B0C5A"/>
    <w:rsid w:val="008B0F3D"/>
    <w:rsid w:val="008B15EA"/>
    <w:rsid w:val="008B165B"/>
    <w:rsid w:val="008B1DFE"/>
    <w:rsid w:val="008B34B5"/>
    <w:rsid w:val="008B3535"/>
    <w:rsid w:val="008B36E6"/>
    <w:rsid w:val="008B3702"/>
    <w:rsid w:val="008B3DD8"/>
    <w:rsid w:val="008B4628"/>
    <w:rsid w:val="008B4A50"/>
    <w:rsid w:val="008B5498"/>
    <w:rsid w:val="008B566A"/>
    <w:rsid w:val="008B5C88"/>
    <w:rsid w:val="008B666B"/>
    <w:rsid w:val="008B6874"/>
    <w:rsid w:val="008B6AFF"/>
    <w:rsid w:val="008B7390"/>
    <w:rsid w:val="008B7616"/>
    <w:rsid w:val="008B7D65"/>
    <w:rsid w:val="008B7D72"/>
    <w:rsid w:val="008B7E58"/>
    <w:rsid w:val="008C1818"/>
    <w:rsid w:val="008C1B0E"/>
    <w:rsid w:val="008C222B"/>
    <w:rsid w:val="008C26CE"/>
    <w:rsid w:val="008C29A8"/>
    <w:rsid w:val="008C2D53"/>
    <w:rsid w:val="008C2ED7"/>
    <w:rsid w:val="008C3166"/>
    <w:rsid w:val="008C3405"/>
    <w:rsid w:val="008C3EBA"/>
    <w:rsid w:val="008C3F49"/>
    <w:rsid w:val="008C443D"/>
    <w:rsid w:val="008C45DA"/>
    <w:rsid w:val="008C4856"/>
    <w:rsid w:val="008C4BF2"/>
    <w:rsid w:val="008C4C90"/>
    <w:rsid w:val="008C4DE6"/>
    <w:rsid w:val="008C57A1"/>
    <w:rsid w:val="008C63BC"/>
    <w:rsid w:val="008C6D24"/>
    <w:rsid w:val="008C6E42"/>
    <w:rsid w:val="008C726F"/>
    <w:rsid w:val="008C744E"/>
    <w:rsid w:val="008C7EAE"/>
    <w:rsid w:val="008D015C"/>
    <w:rsid w:val="008D0DAF"/>
    <w:rsid w:val="008D1964"/>
    <w:rsid w:val="008D206F"/>
    <w:rsid w:val="008D2A1B"/>
    <w:rsid w:val="008D2B4B"/>
    <w:rsid w:val="008D2C44"/>
    <w:rsid w:val="008D36A8"/>
    <w:rsid w:val="008D3D37"/>
    <w:rsid w:val="008D3F77"/>
    <w:rsid w:val="008D4567"/>
    <w:rsid w:val="008D49AF"/>
    <w:rsid w:val="008D4C5D"/>
    <w:rsid w:val="008D5E13"/>
    <w:rsid w:val="008D60AE"/>
    <w:rsid w:val="008D62D0"/>
    <w:rsid w:val="008D648E"/>
    <w:rsid w:val="008D650D"/>
    <w:rsid w:val="008D6BC7"/>
    <w:rsid w:val="008D744F"/>
    <w:rsid w:val="008E0687"/>
    <w:rsid w:val="008E0CB3"/>
    <w:rsid w:val="008E1277"/>
    <w:rsid w:val="008E13E3"/>
    <w:rsid w:val="008E244C"/>
    <w:rsid w:val="008E248C"/>
    <w:rsid w:val="008E2BA0"/>
    <w:rsid w:val="008E2BB4"/>
    <w:rsid w:val="008E2CE4"/>
    <w:rsid w:val="008E3255"/>
    <w:rsid w:val="008E389C"/>
    <w:rsid w:val="008E38E2"/>
    <w:rsid w:val="008E3C5A"/>
    <w:rsid w:val="008E3E6D"/>
    <w:rsid w:val="008E40F8"/>
    <w:rsid w:val="008E4662"/>
    <w:rsid w:val="008E4C58"/>
    <w:rsid w:val="008E4CF8"/>
    <w:rsid w:val="008E5AB0"/>
    <w:rsid w:val="008E67B8"/>
    <w:rsid w:val="008E6ABB"/>
    <w:rsid w:val="008E6D67"/>
    <w:rsid w:val="008E70A3"/>
    <w:rsid w:val="008E7B50"/>
    <w:rsid w:val="008E7B96"/>
    <w:rsid w:val="008E7D38"/>
    <w:rsid w:val="008E7FDD"/>
    <w:rsid w:val="008F01E8"/>
    <w:rsid w:val="008F02CC"/>
    <w:rsid w:val="008F03E0"/>
    <w:rsid w:val="008F074B"/>
    <w:rsid w:val="008F0A23"/>
    <w:rsid w:val="008F0AE0"/>
    <w:rsid w:val="008F0B66"/>
    <w:rsid w:val="008F0B79"/>
    <w:rsid w:val="008F1086"/>
    <w:rsid w:val="008F1507"/>
    <w:rsid w:val="008F1E44"/>
    <w:rsid w:val="008F213A"/>
    <w:rsid w:val="008F2522"/>
    <w:rsid w:val="008F26AD"/>
    <w:rsid w:val="008F273E"/>
    <w:rsid w:val="008F3096"/>
    <w:rsid w:val="008F354F"/>
    <w:rsid w:val="008F37A7"/>
    <w:rsid w:val="008F3B6B"/>
    <w:rsid w:val="008F3FD4"/>
    <w:rsid w:val="008F40A6"/>
    <w:rsid w:val="008F40B4"/>
    <w:rsid w:val="008F4656"/>
    <w:rsid w:val="008F49ED"/>
    <w:rsid w:val="008F4C1B"/>
    <w:rsid w:val="008F4CB0"/>
    <w:rsid w:val="008F5281"/>
    <w:rsid w:val="008F5455"/>
    <w:rsid w:val="008F54B4"/>
    <w:rsid w:val="008F54FD"/>
    <w:rsid w:val="008F55C5"/>
    <w:rsid w:val="008F5CCE"/>
    <w:rsid w:val="008F5EE6"/>
    <w:rsid w:val="008F63A8"/>
    <w:rsid w:val="008F6482"/>
    <w:rsid w:val="008F6879"/>
    <w:rsid w:val="008F68E2"/>
    <w:rsid w:val="008F6BC5"/>
    <w:rsid w:val="008F6F62"/>
    <w:rsid w:val="008F7087"/>
    <w:rsid w:val="008F7215"/>
    <w:rsid w:val="008F744F"/>
    <w:rsid w:val="008F7656"/>
    <w:rsid w:val="009001BE"/>
    <w:rsid w:val="0090076B"/>
    <w:rsid w:val="0090082C"/>
    <w:rsid w:val="00900DD6"/>
    <w:rsid w:val="009010CF"/>
    <w:rsid w:val="0090197E"/>
    <w:rsid w:val="00901C2E"/>
    <w:rsid w:val="00901D87"/>
    <w:rsid w:val="00901DA2"/>
    <w:rsid w:val="00901FD8"/>
    <w:rsid w:val="0090246B"/>
    <w:rsid w:val="00902851"/>
    <w:rsid w:val="00902C87"/>
    <w:rsid w:val="00903039"/>
    <w:rsid w:val="0090313A"/>
    <w:rsid w:val="009047F6"/>
    <w:rsid w:val="00904D27"/>
    <w:rsid w:val="00904D2B"/>
    <w:rsid w:val="009058B1"/>
    <w:rsid w:val="00905D16"/>
    <w:rsid w:val="00906280"/>
    <w:rsid w:val="0090689D"/>
    <w:rsid w:val="009070F6"/>
    <w:rsid w:val="009073FF"/>
    <w:rsid w:val="00907871"/>
    <w:rsid w:val="00907B01"/>
    <w:rsid w:val="0091075A"/>
    <w:rsid w:val="00910B3E"/>
    <w:rsid w:val="00911234"/>
    <w:rsid w:val="009114D6"/>
    <w:rsid w:val="009115A2"/>
    <w:rsid w:val="009116A9"/>
    <w:rsid w:val="0091200E"/>
    <w:rsid w:val="00912706"/>
    <w:rsid w:val="00912855"/>
    <w:rsid w:val="00912BC7"/>
    <w:rsid w:val="009131D7"/>
    <w:rsid w:val="0091385D"/>
    <w:rsid w:val="00913BBA"/>
    <w:rsid w:val="0091420F"/>
    <w:rsid w:val="009144DD"/>
    <w:rsid w:val="00914AF0"/>
    <w:rsid w:val="0091528B"/>
    <w:rsid w:val="00915EF9"/>
    <w:rsid w:val="00916721"/>
    <w:rsid w:val="00916939"/>
    <w:rsid w:val="00916B5A"/>
    <w:rsid w:val="00916D99"/>
    <w:rsid w:val="00917588"/>
    <w:rsid w:val="00917924"/>
    <w:rsid w:val="0092009B"/>
    <w:rsid w:val="00920697"/>
    <w:rsid w:val="00920C15"/>
    <w:rsid w:val="00920CE5"/>
    <w:rsid w:val="00921A2A"/>
    <w:rsid w:val="0092264F"/>
    <w:rsid w:val="00922E06"/>
    <w:rsid w:val="009230CE"/>
    <w:rsid w:val="009242C0"/>
    <w:rsid w:val="009244C6"/>
    <w:rsid w:val="00924A85"/>
    <w:rsid w:val="00924BDE"/>
    <w:rsid w:val="009256B0"/>
    <w:rsid w:val="009257E8"/>
    <w:rsid w:val="009259C8"/>
    <w:rsid w:val="00925F68"/>
    <w:rsid w:val="00926A78"/>
    <w:rsid w:val="0092701B"/>
    <w:rsid w:val="009275B4"/>
    <w:rsid w:val="00927903"/>
    <w:rsid w:val="00927C34"/>
    <w:rsid w:val="00927CAC"/>
    <w:rsid w:val="00927CAF"/>
    <w:rsid w:val="00927CD3"/>
    <w:rsid w:val="00930085"/>
    <w:rsid w:val="009301A4"/>
    <w:rsid w:val="009302B0"/>
    <w:rsid w:val="009306F1"/>
    <w:rsid w:val="00930B94"/>
    <w:rsid w:val="00930D73"/>
    <w:rsid w:val="00931501"/>
    <w:rsid w:val="00931B5A"/>
    <w:rsid w:val="00931DD3"/>
    <w:rsid w:val="009322AC"/>
    <w:rsid w:val="00932B73"/>
    <w:rsid w:val="00933A22"/>
    <w:rsid w:val="00933C74"/>
    <w:rsid w:val="0093414C"/>
    <w:rsid w:val="00934151"/>
    <w:rsid w:val="00934835"/>
    <w:rsid w:val="00934EF0"/>
    <w:rsid w:val="00935550"/>
    <w:rsid w:val="009355E3"/>
    <w:rsid w:val="009355F4"/>
    <w:rsid w:val="0093562F"/>
    <w:rsid w:val="00935D09"/>
    <w:rsid w:val="00935EDD"/>
    <w:rsid w:val="009366D1"/>
    <w:rsid w:val="00936843"/>
    <w:rsid w:val="00936A5A"/>
    <w:rsid w:val="00936AB5"/>
    <w:rsid w:val="00936B74"/>
    <w:rsid w:val="0093790F"/>
    <w:rsid w:val="00937C9F"/>
    <w:rsid w:val="00940134"/>
    <w:rsid w:val="00940376"/>
    <w:rsid w:val="009409F5"/>
    <w:rsid w:val="00940BED"/>
    <w:rsid w:val="00940F36"/>
    <w:rsid w:val="009411A2"/>
    <w:rsid w:val="0094137E"/>
    <w:rsid w:val="009419F0"/>
    <w:rsid w:val="00941A06"/>
    <w:rsid w:val="00941A32"/>
    <w:rsid w:val="00941BAF"/>
    <w:rsid w:val="00941CB7"/>
    <w:rsid w:val="00941D91"/>
    <w:rsid w:val="009422D1"/>
    <w:rsid w:val="00943BDE"/>
    <w:rsid w:val="00943D3B"/>
    <w:rsid w:val="00944149"/>
    <w:rsid w:val="0094428B"/>
    <w:rsid w:val="00944445"/>
    <w:rsid w:val="00944B15"/>
    <w:rsid w:val="00945A74"/>
    <w:rsid w:val="00945F5D"/>
    <w:rsid w:val="00946650"/>
    <w:rsid w:val="00946856"/>
    <w:rsid w:val="00946F89"/>
    <w:rsid w:val="00947004"/>
    <w:rsid w:val="009472B2"/>
    <w:rsid w:val="00947359"/>
    <w:rsid w:val="00947450"/>
    <w:rsid w:val="00947EAD"/>
    <w:rsid w:val="00950043"/>
    <w:rsid w:val="009500B5"/>
    <w:rsid w:val="009503F5"/>
    <w:rsid w:val="009505FE"/>
    <w:rsid w:val="0095077C"/>
    <w:rsid w:val="00950B67"/>
    <w:rsid w:val="00950D6A"/>
    <w:rsid w:val="00951439"/>
    <w:rsid w:val="00951478"/>
    <w:rsid w:val="009515BD"/>
    <w:rsid w:val="00951AFE"/>
    <w:rsid w:val="00951C16"/>
    <w:rsid w:val="0095259E"/>
    <w:rsid w:val="0095281A"/>
    <w:rsid w:val="00952D07"/>
    <w:rsid w:val="00952D42"/>
    <w:rsid w:val="00952F49"/>
    <w:rsid w:val="009532AD"/>
    <w:rsid w:val="00953712"/>
    <w:rsid w:val="00953DA1"/>
    <w:rsid w:val="00953E70"/>
    <w:rsid w:val="00954994"/>
    <w:rsid w:val="00954BE5"/>
    <w:rsid w:val="00954C92"/>
    <w:rsid w:val="00954F4D"/>
    <w:rsid w:val="009554FA"/>
    <w:rsid w:val="009562AB"/>
    <w:rsid w:val="00956363"/>
    <w:rsid w:val="00956E19"/>
    <w:rsid w:val="009570AD"/>
    <w:rsid w:val="0095721B"/>
    <w:rsid w:val="00957525"/>
    <w:rsid w:val="009575C8"/>
    <w:rsid w:val="0095765E"/>
    <w:rsid w:val="00957A6C"/>
    <w:rsid w:val="00960020"/>
    <w:rsid w:val="00960719"/>
    <w:rsid w:val="0096085A"/>
    <w:rsid w:val="0096089C"/>
    <w:rsid w:val="009615E7"/>
    <w:rsid w:val="009617E7"/>
    <w:rsid w:val="009619D2"/>
    <w:rsid w:val="00961AAA"/>
    <w:rsid w:val="00961B16"/>
    <w:rsid w:val="00961B47"/>
    <w:rsid w:val="00962422"/>
    <w:rsid w:val="00962879"/>
    <w:rsid w:val="00962A01"/>
    <w:rsid w:val="00962AAB"/>
    <w:rsid w:val="00962FCE"/>
    <w:rsid w:val="00963020"/>
    <w:rsid w:val="00963673"/>
    <w:rsid w:val="0096374E"/>
    <w:rsid w:val="009638D7"/>
    <w:rsid w:val="00963C4F"/>
    <w:rsid w:val="009641A4"/>
    <w:rsid w:val="009643BC"/>
    <w:rsid w:val="00964420"/>
    <w:rsid w:val="0096464B"/>
    <w:rsid w:val="00964E60"/>
    <w:rsid w:val="0096516A"/>
    <w:rsid w:val="0096549A"/>
    <w:rsid w:val="0096565A"/>
    <w:rsid w:val="0096583D"/>
    <w:rsid w:val="00965FA2"/>
    <w:rsid w:val="00966362"/>
    <w:rsid w:val="0096636C"/>
    <w:rsid w:val="00966683"/>
    <w:rsid w:val="00966DA9"/>
    <w:rsid w:val="00970A39"/>
    <w:rsid w:val="00970BC2"/>
    <w:rsid w:val="00970C2D"/>
    <w:rsid w:val="00970F54"/>
    <w:rsid w:val="009711DB"/>
    <w:rsid w:val="00971C8E"/>
    <w:rsid w:val="00971D58"/>
    <w:rsid w:val="00971ED5"/>
    <w:rsid w:val="0097206B"/>
    <w:rsid w:val="009725D6"/>
    <w:rsid w:val="00972FBE"/>
    <w:rsid w:val="00973038"/>
    <w:rsid w:val="009734DD"/>
    <w:rsid w:val="0097384F"/>
    <w:rsid w:val="00973CE3"/>
    <w:rsid w:val="0097427C"/>
    <w:rsid w:val="00974444"/>
    <w:rsid w:val="00974F0C"/>
    <w:rsid w:val="009751DD"/>
    <w:rsid w:val="0097583F"/>
    <w:rsid w:val="00975AFA"/>
    <w:rsid w:val="00975CFC"/>
    <w:rsid w:val="00976504"/>
    <w:rsid w:val="00976D22"/>
    <w:rsid w:val="00976EAE"/>
    <w:rsid w:val="00977BB8"/>
    <w:rsid w:val="0098047A"/>
    <w:rsid w:val="00980631"/>
    <w:rsid w:val="0098067C"/>
    <w:rsid w:val="009808A8"/>
    <w:rsid w:val="00980CBC"/>
    <w:rsid w:val="00980FD4"/>
    <w:rsid w:val="0098169A"/>
    <w:rsid w:val="00981988"/>
    <w:rsid w:val="00982080"/>
    <w:rsid w:val="00982A97"/>
    <w:rsid w:val="00982CB2"/>
    <w:rsid w:val="00982FDD"/>
    <w:rsid w:val="009832D2"/>
    <w:rsid w:val="00983553"/>
    <w:rsid w:val="00983668"/>
    <w:rsid w:val="0098381D"/>
    <w:rsid w:val="00983EA3"/>
    <w:rsid w:val="009840E7"/>
    <w:rsid w:val="0098411F"/>
    <w:rsid w:val="00984B0B"/>
    <w:rsid w:val="0098581A"/>
    <w:rsid w:val="009862DC"/>
    <w:rsid w:val="00986CF3"/>
    <w:rsid w:val="00987107"/>
    <w:rsid w:val="00987113"/>
    <w:rsid w:val="0098737D"/>
    <w:rsid w:val="009900FF"/>
    <w:rsid w:val="009905FB"/>
    <w:rsid w:val="00990BA3"/>
    <w:rsid w:val="00990DB0"/>
    <w:rsid w:val="00990FE6"/>
    <w:rsid w:val="009910C2"/>
    <w:rsid w:val="009912E6"/>
    <w:rsid w:val="009913C1"/>
    <w:rsid w:val="00991C46"/>
    <w:rsid w:val="00991E6E"/>
    <w:rsid w:val="00992008"/>
    <w:rsid w:val="00992094"/>
    <w:rsid w:val="00992803"/>
    <w:rsid w:val="009929D9"/>
    <w:rsid w:val="00992AD4"/>
    <w:rsid w:val="009931B2"/>
    <w:rsid w:val="00993DAC"/>
    <w:rsid w:val="00993FF0"/>
    <w:rsid w:val="009942C7"/>
    <w:rsid w:val="009948ED"/>
    <w:rsid w:val="00994939"/>
    <w:rsid w:val="00994CE8"/>
    <w:rsid w:val="00994F20"/>
    <w:rsid w:val="00995B02"/>
    <w:rsid w:val="00995CFD"/>
    <w:rsid w:val="00995D8B"/>
    <w:rsid w:val="009963CF"/>
    <w:rsid w:val="009967C3"/>
    <w:rsid w:val="00996D71"/>
    <w:rsid w:val="009970BC"/>
    <w:rsid w:val="00997BEE"/>
    <w:rsid w:val="00997E4E"/>
    <w:rsid w:val="009A0ACE"/>
    <w:rsid w:val="009A16DD"/>
    <w:rsid w:val="009A1A6A"/>
    <w:rsid w:val="009A2892"/>
    <w:rsid w:val="009A28F1"/>
    <w:rsid w:val="009A2B16"/>
    <w:rsid w:val="009A3219"/>
    <w:rsid w:val="009A34C8"/>
    <w:rsid w:val="009A3780"/>
    <w:rsid w:val="009A49F0"/>
    <w:rsid w:val="009A4DB9"/>
    <w:rsid w:val="009A4FC7"/>
    <w:rsid w:val="009A55A8"/>
    <w:rsid w:val="009A570C"/>
    <w:rsid w:val="009A5B6F"/>
    <w:rsid w:val="009A5EE9"/>
    <w:rsid w:val="009A5FEF"/>
    <w:rsid w:val="009A6556"/>
    <w:rsid w:val="009A67E0"/>
    <w:rsid w:val="009A6A12"/>
    <w:rsid w:val="009A6EB2"/>
    <w:rsid w:val="009A6F82"/>
    <w:rsid w:val="009A7356"/>
    <w:rsid w:val="009A7989"/>
    <w:rsid w:val="009A7FCB"/>
    <w:rsid w:val="009B0027"/>
    <w:rsid w:val="009B01A1"/>
    <w:rsid w:val="009B0479"/>
    <w:rsid w:val="009B04B7"/>
    <w:rsid w:val="009B0745"/>
    <w:rsid w:val="009B0992"/>
    <w:rsid w:val="009B0BCA"/>
    <w:rsid w:val="009B0C73"/>
    <w:rsid w:val="009B0CA0"/>
    <w:rsid w:val="009B0EAC"/>
    <w:rsid w:val="009B19F1"/>
    <w:rsid w:val="009B1B8D"/>
    <w:rsid w:val="009B1E32"/>
    <w:rsid w:val="009B269D"/>
    <w:rsid w:val="009B3951"/>
    <w:rsid w:val="009B3BBF"/>
    <w:rsid w:val="009B3ECA"/>
    <w:rsid w:val="009B4393"/>
    <w:rsid w:val="009B4438"/>
    <w:rsid w:val="009B4B78"/>
    <w:rsid w:val="009B4F2E"/>
    <w:rsid w:val="009B5326"/>
    <w:rsid w:val="009B583F"/>
    <w:rsid w:val="009B5E93"/>
    <w:rsid w:val="009B657D"/>
    <w:rsid w:val="009B751C"/>
    <w:rsid w:val="009C056A"/>
    <w:rsid w:val="009C064D"/>
    <w:rsid w:val="009C08D2"/>
    <w:rsid w:val="009C1486"/>
    <w:rsid w:val="009C3194"/>
    <w:rsid w:val="009C3565"/>
    <w:rsid w:val="009C3698"/>
    <w:rsid w:val="009C36BD"/>
    <w:rsid w:val="009C3FA1"/>
    <w:rsid w:val="009C4620"/>
    <w:rsid w:val="009C4CE6"/>
    <w:rsid w:val="009C50D0"/>
    <w:rsid w:val="009C51F0"/>
    <w:rsid w:val="009C5C37"/>
    <w:rsid w:val="009C5CDD"/>
    <w:rsid w:val="009C5D02"/>
    <w:rsid w:val="009C6DE2"/>
    <w:rsid w:val="009C71A5"/>
    <w:rsid w:val="009C7241"/>
    <w:rsid w:val="009C7264"/>
    <w:rsid w:val="009C76B5"/>
    <w:rsid w:val="009D09CD"/>
    <w:rsid w:val="009D0C7A"/>
    <w:rsid w:val="009D0CD0"/>
    <w:rsid w:val="009D14FA"/>
    <w:rsid w:val="009D17D4"/>
    <w:rsid w:val="009D181A"/>
    <w:rsid w:val="009D1EBD"/>
    <w:rsid w:val="009D20CC"/>
    <w:rsid w:val="009D2760"/>
    <w:rsid w:val="009D2B46"/>
    <w:rsid w:val="009D2F68"/>
    <w:rsid w:val="009D313A"/>
    <w:rsid w:val="009D3222"/>
    <w:rsid w:val="009D3481"/>
    <w:rsid w:val="009D374C"/>
    <w:rsid w:val="009D477F"/>
    <w:rsid w:val="009D48C1"/>
    <w:rsid w:val="009D521B"/>
    <w:rsid w:val="009D56FB"/>
    <w:rsid w:val="009D5913"/>
    <w:rsid w:val="009D67A6"/>
    <w:rsid w:val="009D6BA0"/>
    <w:rsid w:val="009D6BFD"/>
    <w:rsid w:val="009D6D8C"/>
    <w:rsid w:val="009D76F8"/>
    <w:rsid w:val="009E009C"/>
    <w:rsid w:val="009E0143"/>
    <w:rsid w:val="009E05D5"/>
    <w:rsid w:val="009E12DA"/>
    <w:rsid w:val="009E1582"/>
    <w:rsid w:val="009E15D6"/>
    <w:rsid w:val="009E16BE"/>
    <w:rsid w:val="009E1E04"/>
    <w:rsid w:val="009E2B71"/>
    <w:rsid w:val="009E2C7E"/>
    <w:rsid w:val="009E30DA"/>
    <w:rsid w:val="009E310D"/>
    <w:rsid w:val="009E3710"/>
    <w:rsid w:val="009E436D"/>
    <w:rsid w:val="009E493B"/>
    <w:rsid w:val="009E5065"/>
    <w:rsid w:val="009E5605"/>
    <w:rsid w:val="009E61C0"/>
    <w:rsid w:val="009E64C8"/>
    <w:rsid w:val="009E65EC"/>
    <w:rsid w:val="009E6640"/>
    <w:rsid w:val="009E690E"/>
    <w:rsid w:val="009E6A66"/>
    <w:rsid w:val="009E6AE2"/>
    <w:rsid w:val="009E6B0F"/>
    <w:rsid w:val="009E6EB2"/>
    <w:rsid w:val="009E7F48"/>
    <w:rsid w:val="009F01E7"/>
    <w:rsid w:val="009F02A2"/>
    <w:rsid w:val="009F10F8"/>
    <w:rsid w:val="009F1392"/>
    <w:rsid w:val="009F146D"/>
    <w:rsid w:val="009F154A"/>
    <w:rsid w:val="009F1E3D"/>
    <w:rsid w:val="009F202C"/>
    <w:rsid w:val="009F20F1"/>
    <w:rsid w:val="009F2297"/>
    <w:rsid w:val="009F25A9"/>
    <w:rsid w:val="009F25C9"/>
    <w:rsid w:val="009F2738"/>
    <w:rsid w:val="009F2A29"/>
    <w:rsid w:val="009F2D5A"/>
    <w:rsid w:val="009F2F71"/>
    <w:rsid w:val="009F3171"/>
    <w:rsid w:val="009F326E"/>
    <w:rsid w:val="009F3DA3"/>
    <w:rsid w:val="009F3F01"/>
    <w:rsid w:val="009F4931"/>
    <w:rsid w:val="009F4AAC"/>
    <w:rsid w:val="009F4C48"/>
    <w:rsid w:val="009F4D73"/>
    <w:rsid w:val="009F51A2"/>
    <w:rsid w:val="009F5A1A"/>
    <w:rsid w:val="009F5AD7"/>
    <w:rsid w:val="009F6333"/>
    <w:rsid w:val="009F6529"/>
    <w:rsid w:val="009F699C"/>
    <w:rsid w:val="009F6D35"/>
    <w:rsid w:val="009F6F09"/>
    <w:rsid w:val="009F71B5"/>
    <w:rsid w:val="00A0134F"/>
    <w:rsid w:val="00A02B65"/>
    <w:rsid w:val="00A02DCE"/>
    <w:rsid w:val="00A02E3F"/>
    <w:rsid w:val="00A03393"/>
    <w:rsid w:val="00A03C42"/>
    <w:rsid w:val="00A03F25"/>
    <w:rsid w:val="00A0514B"/>
    <w:rsid w:val="00A0647B"/>
    <w:rsid w:val="00A07329"/>
    <w:rsid w:val="00A076C3"/>
    <w:rsid w:val="00A07E95"/>
    <w:rsid w:val="00A1014E"/>
    <w:rsid w:val="00A109D4"/>
    <w:rsid w:val="00A10D78"/>
    <w:rsid w:val="00A1120C"/>
    <w:rsid w:val="00A1187B"/>
    <w:rsid w:val="00A11954"/>
    <w:rsid w:val="00A12301"/>
    <w:rsid w:val="00A126DE"/>
    <w:rsid w:val="00A12E32"/>
    <w:rsid w:val="00A12F89"/>
    <w:rsid w:val="00A13110"/>
    <w:rsid w:val="00A132E6"/>
    <w:rsid w:val="00A13C83"/>
    <w:rsid w:val="00A15239"/>
    <w:rsid w:val="00A1534F"/>
    <w:rsid w:val="00A15887"/>
    <w:rsid w:val="00A15A3E"/>
    <w:rsid w:val="00A15D31"/>
    <w:rsid w:val="00A15DC1"/>
    <w:rsid w:val="00A15E59"/>
    <w:rsid w:val="00A162E0"/>
    <w:rsid w:val="00A16306"/>
    <w:rsid w:val="00A1655D"/>
    <w:rsid w:val="00A16707"/>
    <w:rsid w:val="00A169C7"/>
    <w:rsid w:val="00A16BCD"/>
    <w:rsid w:val="00A203CA"/>
    <w:rsid w:val="00A206C0"/>
    <w:rsid w:val="00A20753"/>
    <w:rsid w:val="00A20A43"/>
    <w:rsid w:val="00A20CDE"/>
    <w:rsid w:val="00A2118F"/>
    <w:rsid w:val="00A211EB"/>
    <w:rsid w:val="00A21904"/>
    <w:rsid w:val="00A21FD3"/>
    <w:rsid w:val="00A22A92"/>
    <w:rsid w:val="00A233A9"/>
    <w:rsid w:val="00A23489"/>
    <w:rsid w:val="00A23609"/>
    <w:rsid w:val="00A236AB"/>
    <w:rsid w:val="00A239C3"/>
    <w:rsid w:val="00A23B88"/>
    <w:rsid w:val="00A24030"/>
    <w:rsid w:val="00A24DAB"/>
    <w:rsid w:val="00A251FA"/>
    <w:rsid w:val="00A253E5"/>
    <w:rsid w:val="00A2581C"/>
    <w:rsid w:val="00A259FE"/>
    <w:rsid w:val="00A25A3D"/>
    <w:rsid w:val="00A265FE"/>
    <w:rsid w:val="00A26B47"/>
    <w:rsid w:val="00A26C79"/>
    <w:rsid w:val="00A26EA9"/>
    <w:rsid w:val="00A278C5"/>
    <w:rsid w:val="00A27C06"/>
    <w:rsid w:val="00A27D94"/>
    <w:rsid w:val="00A27F5B"/>
    <w:rsid w:val="00A30AC9"/>
    <w:rsid w:val="00A30D48"/>
    <w:rsid w:val="00A31E22"/>
    <w:rsid w:val="00A32391"/>
    <w:rsid w:val="00A32449"/>
    <w:rsid w:val="00A3244C"/>
    <w:rsid w:val="00A32E50"/>
    <w:rsid w:val="00A33005"/>
    <w:rsid w:val="00A332F8"/>
    <w:rsid w:val="00A33E94"/>
    <w:rsid w:val="00A33FF5"/>
    <w:rsid w:val="00A3429C"/>
    <w:rsid w:val="00A34409"/>
    <w:rsid w:val="00A356F8"/>
    <w:rsid w:val="00A3642F"/>
    <w:rsid w:val="00A36BB4"/>
    <w:rsid w:val="00A36E4A"/>
    <w:rsid w:val="00A36EA2"/>
    <w:rsid w:val="00A36F10"/>
    <w:rsid w:val="00A36F7D"/>
    <w:rsid w:val="00A37259"/>
    <w:rsid w:val="00A3735D"/>
    <w:rsid w:val="00A37385"/>
    <w:rsid w:val="00A40204"/>
    <w:rsid w:val="00A40BCB"/>
    <w:rsid w:val="00A40BD7"/>
    <w:rsid w:val="00A40CC0"/>
    <w:rsid w:val="00A40D82"/>
    <w:rsid w:val="00A40FDB"/>
    <w:rsid w:val="00A41425"/>
    <w:rsid w:val="00A41CAD"/>
    <w:rsid w:val="00A41E3A"/>
    <w:rsid w:val="00A42CE1"/>
    <w:rsid w:val="00A42F8A"/>
    <w:rsid w:val="00A42FBA"/>
    <w:rsid w:val="00A43683"/>
    <w:rsid w:val="00A43DE3"/>
    <w:rsid w:val="00A44000"/>
    <w:rsid w:val="00A44212"/>
    <w:rsid w:val="00A4428A"/>
    <w:rsid w:val="00A44970"/>
    <w:rsid w:val="00A44B1C"/>
    <w:rsid w:val="00A44CA2"/>
    <w:rsid w:val="00A44D64"/>
    <w:rsid w:val="00A45121"/>
    <w:rsid w:val="00A45125"/>
    <w:rsid w:val="00A455B0"/>
    <w:rsid w:val="00A45A61"/>
    <w:rsid w:val="00A4603F"/>
    <w:rsid w:val="00A461B2"/>
    <w:rsid w:val="00A46A5D"/>
    <w:rsid w:val="00A46B24"/>
    <w:rsid w:val="00A46FC6"/>
    <w:rsid w:val="00A4731B"/>
    <w:rsid w:val="00A473B1"/>
    <w:rsid w:val="00A476C2"/>
    <w:rsid w:val="00A5054B"/>
    <w:rsid w:val="00A50E2D"/>
    <w:rsid w:val="00A51755"/>
    <w:rsid w:val="00A5185F"/>
    <w:rsid w:val="00A51AB2"/>
    <w:rsid w:val="00A51B2C"/>
    <w:rsid w:val="00A51C11"/>
    <w:rsid w:val="00A51EC2"/>
    <w:rsid w:val="00A522B1"/>
    <w:rsid w:val="00A528FB"/>
    <w:rsid w:val="00A52945"/>
    <w:rsid w:val="00A532D1"/>
    <w:rsid w:val="00A53ADA"/>
    <w:rsid w:val="00A53F24"/>
    <w:rsid w:val="00A54383"/>
    <w:rsid w:val="00A5458D"/>
    <w:rsid w:val="00A545AE"/>
    <w:rsid w:val="00A54D04"/>
    <w:rsid w:val="00A54FA2"/>
    <w:rsid w:val="00A55436"/>
    <w:rsid w:val="00A556FE"/>
    <w:rsid w:val="00A55851"/>
    <w:rsid w:val="00A55DDC"/>
    <w:rsid w:val="00A55DF6"/>
    <w:rsid w:val="00A55FA7"/>
    <w:rsid w:val="00A563F7"/>
    <w:rsid w:val="00A572BD"/>
    <w:rsid w:val="00A573B6"/>
    <w:rsid w:val="00A577C6"/>
    <w:rsid w:val="00A57ACA"/>
    <w:rsid w:val="00A57D25"/>
    <w:rsid w:val="00A57E6A"/>
    <w:rsid w:val="00A60163"/>
    <w:rsid w:val="00A61158"/>
    <w:rsid w:val="00A618D1"/>
    <w:rsid w:val="00A61C73"/>
    <w:rsid w:val="00A62266"/>
    <w:rsid w:val="00A62ADB"/>
    <w:rsid w:val="00A62C9C"/>
    <w:rsid w:val="00A62E8E"/>
    <w:rsid w:val="00A62F4A"/>
    <w:rsid w:val="00A63708"/>
    <w:rsid w:val="00A63CA2"/>
    <w:rsid w:val="00A63CCD"/>
    <w:rsid w:val="00A64339"/>
    <w:rsid w:val="00A6437C"/>
    <w:rsid w:val="00A64668"/>
    <w:rsid w:val="00A65647"/>
    <w:rsid w:val="00A65881"/>
    <w:rsid w:val="00A65EB2"/>
    <w:rsid w:val="00A65FE2"/>
    <w:rsid w:val="00A665B8"/>
    <w:rsid w:val="00A66A8A"/>
    <w:rsid w:val="00A66DC6"/>
    <w:rsid w:val="00A67061"/>
    <w:rsid w:val="00A671EF"/>
    <w:rsid w:val="00A672AE"/>
    <w:rsid w:val="00A67635"/>
    <w:rsid w:val="00A67A19"/>
    <w:rsid w:val="00A67A25"/>
    <w:rsid w:val="00A67B3C"/>
    <w:rsid w:val="00A67C51"/>
    <w:rsid w:val="00A67E57"/>
    <w:rsid w:val="00A70474"/>
    <w:rsid w:val="00A7065C"/>
    <w:rsid w:val="00A707AA"/>
    <w:rsid w:val="00A71060"/>
    <w:rsid w:val="00A7176E"/>
    <w:rsid w:val="00A71BEF"/>
    <w:rsid w:val="00A7221D"/>
    <w:rsid w:val="00A72B08"/>
    <w:rsid w:val="00A72BE9"/>
    <w:rsid w:val="00A72E36"/>
    <w:rsid w:val="00A73C85"/>
    <w:rsid w:val="00A75100"/>
    <w:rsid w:val="00A7516A"/>
    <w:rsid w:val="00A75239"/>
    <w:rsid w:val="00A75243"/>
    <w:rsid w:val="00A754C9"/>
    <w:rsid w:val="00A75606"/>
    <w:rsid w:val="00A757DB"/>
    <w:rsid w:val="00A75947"/>
    <w:rsid w:val="00A75BFB"/>
    <w:rsid w:val="00A76185"/>
    <w:rsid w:val="00A763B0"/>
    <w:rsid w:val="00A76816"/>
    <w:rsid w:val="00A775D4"/>
    <w:rsid w:val="00A7779D"/>
    <w:rsid w:val="00A77A75"/>
    <w:rsid w:val="00A808F8"/>
    <w:rsid w:val="00A812C5"/>
    <w:rsid w:val="00A8139D"/>
    <w:rsid w:val="00A816E8"/>
    <w:rsid w:val="00A81A0C"/>
    <w:rsid w:val="00A82CAA"/>
    <w:rsid w:val="00A831D2"/>
    <w:rsid w:val="00A833B4"/>
    <w:rsid w:val="00A835A9"/>
    <w:rsid w:val="00A8363F"/>
    <w:rsid w:val="00A839E9"/>
    <w:rsid w:val="00A83BE5"/>
    <w:rsid w:val="00A84052"/>
    <w:rsid w:val="00A84792"/>
    <w:rsid w:val="00A848D6"/>
    <w:rsid w:val="00A849E3"/>
    <w:rsid w:val="00A84E53"/>
    <w:rsid w:val="00A85077"/>
    <w:rsid w:val="00A8540A"/>
    <w:rsid w:val="00A85566"/>
    <w:rsid w:val="00A85C4D"/>
    <w:rsid w:val="00A86002"/>
    <w:rsid w:val="00A86498"/>
    <w:rsid w:val="00A86706"/>
    <w:rsid w:val="00A86E19"/>
    <w:rsid w:val="00A86E23"/>
    <w:rsid w:val="00A87701"/>
    <w:rsid w:val="00A877B6"/>
    <w:rsid w:val="00A90D82"/>
    <w:rsid w:val="00A91246"/>
    <w:rsid w:val="00A91368"/>
    <w:rsid w:val="00A9149B"/>
    <w:rsid w:val="00A92179"/>
    <w:rsid w:val="00A9292D"/>
    <w:rsid w:val="00A929B8"/>
    <w:rsid w:val="00A92CF4"/>
    <w:rsid w:val="00A92F16"/>
    <w:rsid w:val="00A938FE"/>
    <w:rsid w:val="00A93A22"/>
    <w:rsid w:val="00A93CAF"/>
    <w:rsid w:val="00A93DE9"/>
    <w:rsid w:val="00A94105"/>
    <w:rsid w:val="00A94D05"/>
    <w:rsid w:val="00A9515D"/>
    <w:rsid w:val="00A9516C"/>
    <w:rsid w:val="00A9569D"/>
    <w:rsid w:val="00A95721"/>
    <w:rsid w:val="00A959D3"/>
    <w:rsid w:val="00A95B2C"/>
    <w:rsid w:val="00A964D5"/>
    <w:rsid w:val="00A96F17"/>
    <w:rsid w:val="00A97076"/>
    <w:rsid w:val="00A97355"/>
    <w:rsid w:val="00A97489"/>
    <w:rsid w:val="00A9759E"/>
    <w:rsid w:val="00A97AB6"/>
    <w:rsid w:val="00A97E8C"/>
    <w:rsid w:val="00AA0575"/>
    <w:rsid w:val="00AA06B6"/>
    <w:rsid w:val="00AA0AA3"/>
    <w:rsid w:val="00AA1338"/>
    <w:rsid w:val="00AA13E6"/>
    <w:rsid w:val="00AA18AD"/>
    <w:rsid w:val="00AA18D8"/>
    <w:rsid w:val="00AA1CBC"/>
    <w:rsid w:val="00AA2C13"/>
    <w:rsid w:val="00AA3E81"/>
    <w:rsid w:val="00AA45F2"/>
    <w:rsid w:val="00AA4614"/>
    <w:rsid w:val="00AA4798"/>
    <w:rsid w:val="00AA47F6"/>
    <w:rsid w:val="00AA4E36"/>
    <w:rsid w:val="00AA51DC"/>
    <w:rsid w:val="00AA5511"/>
    <w:rsid w:val="00AA5609"/>
    <w:rsid w:val="00AA5694"/>
    <w:rsid w:val="00AA57BF"/>
    <w:rsid w:val="00AA57EC"/>
    <w:rsid w:val="00AA5D18"/>
    <w:rsid w:val="00AA6000"/>
    <w:rsid w:val="00AA60C4"/>
    <w:rsid w:val="00AA6146"/>
    <w:rsid w:val="00AA643F"/>
    <w:rsid w:val="00AA6580"/>
    <w:rsid w:val="00AA68F6"/>
    <w:rsid w:val="00AA6D3D"/>
    <w:rsid w:val="00AA7896"/>
    <w:rsid w:val="00AB007B"/>
    <w:rsid w:val="00AB025A"/>
    <w:rsid w:val="00AB051C"/>
    <w:rsid w:val="00AB0F02"/>
    <w:rsid w:val="00AB1056"/>
    <w:rsid w:val="00AB10B0"/>
    <w:rsid w:val="00AB1220"/>
    <w:rsid w:val="00AB1608"/>
    <w:rsid w:val="00AB1E1C"/>
    <w:rsid w:val="00AB1F9E"/>
    <w:rsid w:val="00AB2187"/>
    <w:rsid w:val="00AB257E"/>
    <w:rsid w:val="00AB29E2"/>
    <w:rsid w:val="00AB2A54"/>
    <w:rsid w:val="00AB321C"/>
    <w:rsid w:val="00AB37CC"/>
    <w:rsid w:val="00AB43EA"/>
    <w:rsid w:val="00AB4819"/>
    <w:rsid w:val="00AB5414"/>
    <w:rsid w:val="00AB5C3F"/>
    <w:rsid w:val="00AB5D8A"/>
    <w:rsid w:val="00AB61FD"/>
    <w:rsid w:val="00AB6D3E"/>
    <w:rsid w:val="00AB744C"/>
    <w:rsid w:val="00AB7A72"/>
    <w:rsid w:val="00AB7EDD"/>
    <w:rsid w:val="00AC012F"/>
    <w:rsid w:val="00AC013A"/>
    <w:rsid w:val="00AC0D8A"/>
    <w:rsid w:val="00AC1558"/>
    <w:rsid w:val="00AC1771"/>
    <w:rsid w:val="00AC17BA"/>
    <w:rsid w:val="00AC18F2"/>
    <w:rsid w:val="00AC1C8A"/>
    <w:rsid w:val="00AC1D30"/>
    <w:rsid w:val="00AC2565"/>
    <w:rsid w:val="00AC2691"/>
    <w:rsid w:val="00AC28A1"/>
    <w:rsid w:val="00AC2C5A"/>
    <w:rsid w:val="00AC36DE"/>
    <w:rsid w:val="00AC38FC"/>
    <w:rsid w:val="00AC3E36"/>
    <w:rsid w:val="00AC3F46"/>
    <w:rsid w:val="00AC407D"/>
    <w:rsid w:val="00AC4962"/>
    <w:rsid w:val="00AC4AAF"/>
    <w:rsid w:val="00AC4E64"/>
    <w:rsid w:val="00AC4F4E"/>
    <w:rsid w:val="00AC51A4"/>
    <w:rsid w:val="00AC558A"/>
    <w:rsid w:val="00AC57C3"/>
    <w:rsid w:val="00AC5843"/>
    <w:rsid w:val="00AC600E"/>
    <w:rsid w:val="00AC611C"/>
    <w:rsid w:val="00AC6330"/>
    <w:rsid w:val="00AC6B43"/>
    <w:rsid w:val="00AC71CA"/>
    <w:rsid w:val="00AC73A8"/>
    <w:rsid w:val="00AC7F92"/>
    <w:rsid w:val="00AD053C"/>
    <w:rsid w:val="00AD08EE"/>
    <w:rsid w:val="00AD0AE1"/>
    <w:rsid w:val="00AD0FF1"/>
    <w:rsid w:val="00AD11A1"/>
    <w:rsid w:val="00AD14C1"/>
    <w:rsid w:val="00AD16CF"/>
    <w:rsid w:val="00AD29CB"/>
    <w:rsid w:val="00AD2A26"/>
    <w:rsid w:val="00AD2AB0"/>
    <w:rsid w:val="00AD2C39"/>
    <w:rsid w:val="00AD2C64"/>
    <w:rsid w:val="00AD2E14"/>
    <w:rsid w:val="00AD30A5"/>
    <w:rsid w:val="00AD34D0"/>
    <w:rsid w:val="00AD39CF"/>
    <w:rsid w:val="00AD3B43"/>
    <w:rsid w:val="00AD3C56"/>
    <w:rsid w:val="00AD4206"/>
    <w:rsid w:val="00AD4399"/>
    <w:rsid w:val="00AD4676"/>
    <w:rsid w:val="00AD474A"/>
    <w:rsid w:val="00AD49F7"/>
    <w:rsid w:val="00AD4AA9"/>
    <w:rsid w:val="00AD4B8D"/>
    <w:rsid w:val="00AD4BBF"/>
    <w:rsid w:val="00AD5291"/>
    <w:rsid w:val="00AD583D"/>
    <w:rsid w:val="00AD594B"/>
    <w:rsid w:val="00AD5F7E"/>
    <w:rsid w:val="00AD6091"/>
    <w:rsid w:val="00AD63DD"/>
    <w:rsid w:val="00AD6A22"/>
    <w:rsid w:val="00AD725F"/>
    <w:rsid w:val="00AD76EE"/>
    <w:rsid w:val="00AD7881"/>
    <w:rsid w:val="00AD7A3E"/>
    <w:rsid w:val="00AD7A7C"/>
    <w:rsid w:val="00AD7AEE"/>
    <w:rsid w:val="00AE000E"/>
    <w:rsid w:val="00AE03FA"/>
    <w:rsid w:val="00AE0C8F"/>
    <w:rsid w:val="00AE10AD"/>
    <w:rsid w:val="00AE14B0"/>
    <w:rsid w:val="00AE1638"/>
    <w:rsid w:val="00AE1D4C"/>
    <w:rsid w:val="00AE1D9D"/>
    <w:rsid w:val="00AE2018"/>
    <w:rsid w:val="00AE278D"/>
    <w:rsid w:val="00AE288C"/>
    <w:rsid w:val="00AE2C4D"/>
    <w:rsid w:val="00AE2C52"/>
    <w:rsid w:val="00AE2C56"/>
    <w:rsid w:val="00AE2DEC"/>
    <w:rsid w:val="00AE43AA"/>
    <w:rsid w:val="00AE481C"/>
    <w:rsid w:val="00AE4DEE"/>
    <w:rsid w:val="00AE5107"/>
    <w:rsid w:val="00AE6810"/>
    <w:rsid w:val="00AE690C"/>
    <w:rsid w:val="00AE6D34"/>
    <w:rsid w:val="00AE726C"/>
    <w:rsid w:val="00AE72B6"/>
    <w:rsid w:val="00AF01EF"/>
    <w:rsid w:val="00AF0214"/>
    <w:rsid w:val="00AF0439"/>
    <w:rsid w:val="00AF0680"/>
    <w:rsid w:val="00AF0B00"/>
    <w:rsid w:val="00AF138D"/>
    <w:rsid w:val="00AF1AA9"/>
    <w:rsid w:val="00AF2322"/>
    <w:rsid w:val="00AF35C3"/>
    <w:rsid w:val="00AF367B"/>
    <w:rsid w:val="00AF3C2F"/>
    <w:rsid w:val="00AF4197"/>
    <w:rsid w:val="00AF49B8"/>
    <w:rsid w:val="00AF4C25"/>
    <w:rsid w:val="00AF4D9C"/>
    <w:rsid w:val="00AF4E99"/>
    <w:rsid w:val="00AF54CB"/>
    <w:rsid w:val="00AF5711"/>
    <w:rsid w:val="00AF57F2"/>
    <w:rsid w:val="00AF5F0C"/>
    <w:rsid w:val="00AF63AC"/>
    <w:rsid w:val="00AF6425"/>
    <w:rsid w:val="00AF653D"/>
    <w:rsid w:val="00AF67B8"/>
    <w:rsid w:val="00AF7165"/>
    <w:rsid w:val="00AF7511"/>
    <w:rsid w:val="00AF7529"/>
    <w:rsid w:val="00AF774F"/>
    <w:rsid w:val="00AF7C41"/>
    <w:rsid w:val="00B005F6"/>
    <w:rsid w:val="00B0155A"/>
    <w:rsid w:val="00B015C7"/>
    <w:rsid w:val="00B017FA"/>
    <w:rsid w:val="00B020DE"/>
    <w:rsid w:val="00B023CD"/>
    <w:rsid w:val="00B027ED"/>
    <w:rsid w:val="00B02F89"/>
    <w:rsid w:val="00B03058"/>
    <w:rsid w:val="00B036CF"/>
    <w:rsid w:val="00B03EFF"/>
    <w:rsid w:val="00B045F0"/>
    <w:rsid w:val="00B04671"/>
    <w:rsid w:val="00B047AF"/>
    <w:rsid w:val="00B04857"/>
    <w:rsid w:val="00B04F9D"/>
    <w:rsid w:val="00B05C94"/>
    <w:rsid w:val="00B05F24"/>
    <w:rsid w:val="00B062CA"/>
    <w:rsid w:val="00B06636"/>
    <w:rsid w:val="00B068B7"/>
    <w:rsid w:val="00B06B49"/>
    <w:rsid w:val="00B06B5F"/>
    <w:rsid w:val="00B07737"/>
    <w:rsid w:val="00B07A3F"/>
    <w:rsid w:val="00B07A4C"/>
    <w:rsid w:val="00B07C60"/>
    <w:rsid w:val="00B07EE6"/>
    <w:rsid w:val="00B102D4"/>
    <w:rsid w:val="00B10C27"/>
    <w:rsid w:val="00B113B3"/>
    <w:rsid w:val="00B11951"/>
    <w:rsid w:val="00B11BE5"/>
    <w:rsid w:val="00B120A7"/>
    <w:rsid w:val="00B12700"/>
    <w:rsid w:val="00B12A4F"/>
    <w:rsid w:val="00B1335F"/>
    <w:rsid w:val="00B13A07"/>
    <w:rsid w:val="00B1492A"/>
    <w:rsid w:val="00B14980"/>
    <w:rsid w:val="00B14DA5"/>
    <w:rsid w:val="00B14E5E"/>
    <w:rsid w:val="00B15A83"/>
    <w:rsid w:val="00B1690C"/>
    <w:rsid w:val="00B169A5"/>
    <w:rsid w:val="00B16D6B"/>
    <w:rsid w:val="00B16EBD"/>
    <w:rsid w:val="00B17264"/>
    <w:rsid w:val="00B17530"/>
    <w:rsid w:val="00B17AF4"/>
    <w:rsid w:val="00B17B89"/>
    <w:rsid w:val="00B17D9F"/>
    <w:rsid w:val="00B17F68"/>
    <w:rsid w:val="00B200EF"/>
    <w:rsid w:val="00B20C4B"/>
    <w:rsid w:val="00B20D63"/>
    <w:rsid w:val="00B20E55"/>
    <w:rsid w:val="00B21571"/>
    <w:rsid w:val="00B2163D"/>
    <w:rsid w:val="00B21819"/>
    <w:rsid w:val="00B21952"/>
    <w:rsid w:val="00B2242B"/>
    <w:rsid w:val="00B23312"/>
    <w:rsid w:val="00B234A4"/>
    <w:rsid w:val="00B23500"/>
    <w:rsid w:val="00B23D56"/>
    <w:rsid w:val="00B23ED3"/>
    <w:rsid w:val="00B24740"/>
    <w:rsid w:val="00B24AB3"/>
    <w:rsid w:val="00B24B17"/>
    <w:rsid w:val="00B250A2"/>
    <w:rsid w:val="00B25B25"/>
    <w:rsid w:val="00B25FC1"/>
    <w:rsid w:val="00B2608F"/>
    <w:rsid w:val="00B260C5"/>
    <w:rsid w:val="00B26191"/>
    <w:rsid w:val="00B26252"/>
    <w:rsid w:val="00B2668D"/>
    <w:rsid w:val="00B2679B"/>
    <w:rsid w:val="00B26C60"/>
    <w:rsid w:val="00B27560"/>
    <w:rsid w:val="00B30193"/>
    <w:rsid w:val="00B305FD"/>
    <w:rsid w:val="00B30DA0"/>
    <w:rsid w:val="00B3108D"/>
    <w:rsid w:val="00B31A42"/>
    <w:rsid w:val="00B31B1C"/>
    <w:rsid w:val="00B32130"/>
    <w:rsid w:val="00B3216F"/>
    <w:rsid w:val="00B329AC"/>
    <w:rsid w:val="00B32FA8"/>
    <w:rsid w:val="00B3396C"/>
    <w:rsid w:val="00B3403A"/>
    <w:rsid w:val="00B34303"/>
    <w:rsid w:val="00B347FC"/>
    <w:rsid w:val="00B35105"/>
    <w:rsid w:val="00B357FF"/>
    <w:rsid w:val="00B358AE"/>
    <w:rsid w:val="00B35B98"/>
    <w:rsid w:val="00B35F5E"/>
    <w:rsid w:val="00B35F6A"/>
    <w:rsid w:val="00B36168"/>
    <w:rsid w:val="00B367B7"/>
    <w:rsid w:val="00B3720B"/>
    <w:rsid w:val="00B37A15"/>
    <w:rsid w:val="00B37D00"/>
    <w:rsid w:val="00B37F62"/>
    <w:rsid w:val="00B4003C"/>
    <w:rsid w:val="00B4013E"/>
    <w:rsid w:val="00B408A3"/>
    <w:rsid w:val="00B41316"/>
    <w:rsid w:val="00B41623"/>
    <w:rsid w:val="00B41A2A"/>
    <w:rsid w:val="00B41B4A"/>
    <w:rsid w:val="00B41C72"/>
    <w:rsid w:val="00B42ECE"/>
    <w:rsid w:val="00B430C4"/>
    <w:rsid w:val="00B43BE5"/>
    <w:rsid w:val="00B43D5A"/>
    <w:rsid w:val="00B4401A"/>
    <w:rsid w:val="00B44EAE"/>
    <w:rsid w:val="00B44FCC"/>
    <w:rsid w:val="00B45584"/>
    <w:rsid w:val="00B457C0"/>
    <w:rsid w:val="00B45A52"/>
    <w:rsid w:val="00B46B03"/>
    <w:rsid w:val="00B46F22"/>
    <w:rsid w:val="00B47090"/>
    <w:rsid w:val="00B470E7"/>
    <w:rsid w:val="00B4726E"/>
    <w:rsid w:val="00B47369"/>
    <w:rsid w:val="00B47865"/>
    <w:rsid w:val="00B50194"/>
    <w:rsid w:val="00B503C2"/>
    <w:rsid w:val="00B50C37"/>
    <w:rsid w:val="00B51181"/>
    <w:rsid w:val="00B51752"/>
    <w:rsid w:val="00B517B9"/>
    <w:rsid w:val="00B51E90"/>
    <w:rsid w:val="00B5243D"/>
    <w:rsid w:val="00B52733"/>
    <w:rsid w:val="00B52962"/>
    <w:rsid w:val="00B52D0E"/>
    <w:rsid w:val="00B52E6C"/>
    <w:rsid w:val="00B53309"/>
    <w:rsid w:val="00B53AB2"/>
    <w:rsid w:val="00B54685"/>
    <w:rsid w:val="00B54C7B"/>
    <w:rsid w:val="00B553B0"/>
    <w:rsid w:val="00B556C3"/>
    <w:rsid w:val="00B55702"/>
    <w:rsid w:val="00B55C84"/>
    <w:rsid w:val="00B57AEF"/>
    <w:rsid w:val="00B57D24"/>
    <w:rsid w:val="00B600C2"/>
    <w:rsid w:val="00B6016C"/>
    <w:rsid w:val="00B607A7"/>
    <w:rsid w:val="00B60A83"/>
    <w:rsid w:val="00B60DF6"/>
    <w:rsid w:val="00B60F25"/>
    <w:rsid w:val="00B61046"/>
    <w:rsid w:val="00B6173A"/>
    <w:rsid w:val="00B61E3C"/>
    <w:rsid w:val="00B61EB1"/>
    <w:rsid w:val="00B627BC"/>
    <w:rsid w:val="00B62C21"/>
    <w:rsid w:val="00B633E5"/>
    <w:rsid w:val="00B6377D"/>
    <w:rsid w:val="00B6395A"/>
    <w:rsid w:val="00B63B2C"/>
    <w:rsid w:val="00B63B50"/>
    <w:rsid w:val="00B63DB3"/>
    <w:rsid w:val="00B640C2"/>
    <w:rsid w:val="00B640DA"/>
    <w:rsid w:val="00B640EB"/>
    <w:rsid w:val="00B64147"/>
    <w:rsid w:val="00B646E6"/>
    <w:rsid w:val="00B647FA"/>
    <w:rsid w:val="00B6512A"/>
    <w:rsid w:val="00B65378"/>
    <w:rsid w:val="00B65468"/>
    <w:rsid w:val="00B655D9"/>
    <w:rsid w:val="00B657A0"/>
    <w:rsid w:val="00B657C2"/>
    <w:rsid w:val="00B65C00"/>
    <w:rsid w:val="00B663D9"/>
    <w:rsid w:val="00B67A5A"/>
    <w:rsid w:val="00B67FCA"/>
    <w:rsid w:val="00B70831"/>
    <w:rsid w:val="00B7087C"/>
    <w:rsid w:val="00B70905"/>
    <w:rsid w:val="00B70A44"/>
    <w:rsid w:val="00B70C12"/>
    <w:rsid w:val="00B70CAC"/>
    <w:rsid w:val="00B71007"/>
    <w:rsid w:val="00B7124E"/>
    <w:rsid w:val="00B712CC"/>
    <w:rsid w:val="00B71C30"/>
    <w:rsid w:val="00B71E81"/>
    <w:rsid w:val="00B726F1"/>
    <w:rsid w:val="00B72982"/>
    <w:rsid w:val="00B72AB0"/>
    <w:rsid w:val="00B72BFB"/>
    <w:rsid w:val="00B735BA"/>
    <w:rsid w:val="00B738D9"/>
    <w:rsid w:val="00B7416D"/>
    <w:rsid w:val="00B743DB"/>
    <w:rsid w:val="00B74440"/>
    <w:rsid w:val="00B74C54"/>
    <w:rsid w:val="00B74F59"/>
    <w:rsid w:val="00B75194"/>
    <w:rsid w:val="00B75720"/>
    <w:rsid w:val="00B765D6"/>
    <w:rsid w:val="00B76725"/>
    <w:rsid w:val="00B7672A"/>
    <w:rsid w:val="00B76AFE"/>
    <w:rsid w:val="00B76FE1"/>
    <w:rsid w:val="00B77902"/>
    <w:rsid w:val="00B77B45"/>
    <w:rsid w:val="00B8011C"/>
    <w:rsid w:val="00B8023E"/>
    <w:rsid w:val="00B805E1"/>
    <w:rsid w:val="00B80DBC"/>
    <w:rsid w:val="00B81517"/>
    <w:rsid w:val="00B81618"/>
    <w:rsid w:val="00B81CB1"/>
    <w:rsid w:val="00B81EC1"/>
    <w:rsid w:val="00B81F48"/>
    <w:rsid w:val="00B821F6"/>
    <w:rsid w:val="00B82BE6"/>
    <w:rsid w:val="00B82F90"/>
    <w:rsid w:val="00B8303F"/>
    <w:rsid w:val="00B83409"/>
    <w:rsid w:val="00B836C2"/>
    <w:rsid w:val="00B838D0"/>
    <w:rsid w:val="00B838D2"/>
    <w:rsid w:val="00B83A5B"/>
    <w:rsid w:val="00B8431B"/>
    <w:rsid w:val="00B846E7"/>
    <w:rsid w:val="00B8490D"/>
    <w:rsid w:val="00B849DC"/>
    <w:rsid w:val="00B84A8D"/>
    <w:rsid w:val="00B854A1"/>
    <w:rsid w:val="00B85573"/>
    <w:rsid w:val="00B85AAC"/>
    <w:rsid w:val="00B85B8D"/>
    <w:rsid w:val="00B85FAF"/>
    <w:rsid w:val="00B865D6"/>
    <w:rsid w:val="00B86614"/>
    <w:rsid w:val="00B86D8A"/>
    <w:rsid w:val="00B86F9B"/>
    <w:rsid w:val="00B870B7"/>
    <w:rsid w:val="00B871C5"/>
    <w:rsid w:val="00B87780"/>
    <w:rsid w:val="00B877AB"/>
    <w:rsid w:val="00B87938"/>
    <w:rsid w:val="00B87EC1"/>
    <w:rsid w:val="00B90062"/>
    <w:rsid w:val="00B903FC"/>
    <w:rsid w:val="00B90769"/>
    <w:rsid w:val="00B91745"/>
    <w:rsid w:val="00B91774"/>
    <w:rsid w:val="00B91EBB"/>
    <w:rsid w:val="00B91F8E"/>
    <w:rsid w:val="00B92256"/>
    <w:rsid w:val="00B924A4"/>
    <w:rsid w:val="00B925EE"/>
    <w:rsid w:val="00B926FA"/>
    <w:rsid w:val="00B92BC3"/>
    <w:rsid w:val="00B92BD7"/>
    <w:rsid w:val="00B9363D"/>
    <w:rsid w:val="00B9379D"/>
    <w:rsid w:val="00B93ACB"/>
    <w:rsid w:val="00B93CD8"/>
    <w:rsid w:val="00B93FB2"/>
    <w:rsid w:val="00B9402C"/>
    <w:rsid w:val="00B943DE"/>
    <w:rsid w:val="00B943E1"/>
    <w:rsid w:val="00B94878"/>
    <w:rsid w:val="00B954DB"/>
    <w:rsid w:val="00B95573"/>
    <w:rsid w:val="00B95694"/>
    <w:rsid w:val="00B95A23"/>
    <w:rsid w:val="00B9641D"/>
    <w:rsid w:val="00B96632"/>
    <w:rsid w:val="00B966C0"/>
    <w:rsid w:val="00B96719"/>
    <w:rsid w:val="00B96923"/>
    <w:rsid w:val="00BA0151"/>
    <w:rsid w:val="00BA043B"/>
    <w:rsid w:val="00BA0E15"/>
    <w:rsid w:val="00BA14F5"/>
    <w:rsid w:val="00BA15BF"/>
    <w:rsid w:val="00BA1B8F"/>
    <w:rsid w:val="00BA1DAD"/>
    <w:rsid w:val="00BA1F71"/>
    <w:rsid w:val="00BA2345"/>
    <w:rsid w:val="00BA25D7"/>
    <w:rsid w:val="00BA262D"/>
    <w:rsid w:val="00BA2B77"/>
    <w:rsid w:val="00BA2BE8"/>
    <w:rsid w:val="00BA2CAA"/>
    <w:rsid w:val="00BA2E06"/>
    <w:rsid w:val="00BA38F6"/>
    <w:rsid w:val="00BA4BC5"/>
    <w:rsid w:val="00BA4C54"/>
    <w:rsid w:val="00BA4EC6"/>
    <w:rsid w:val="00BA4F67"/>
    <w:rsid w:val="00BA5194"/>
    <w:rsid w:val="00BA618E"/>
    <w:rsid w:val="00BA6AF2"/>
    <w:rsid w:val="00BA72B5"/>
    <w:rsid w:val="00BA7430"/>
    <w:rsid w:val="00BA7C0E"/>
    <w:rsid w:val="00BA7DF7"/>
    <w:rsid w:val="00BB07FE"/>
    <w:rsid w:val="00BB0FE0"/>
    <w:rsid w:val="00BB10B0"/>
    <w:rsid w:val="00BB18D2"/>
    <w:rsid w:val="00BB1F83"/>
    <w:rsid w:val="00BB21BD"/>
    <w:rsid w:val="00BB314E"/>
    <w:rsid w:val="00BB31BF"/>
    <w:rsid w:val="00BB32A1"/>
    <w:rsid w:val="00BB356B"/>
    <w:rsid w:val="00BB39E4"/>
    <w:rsid w:val="00BB3DC1"/>
    <w:rsid w:val="00BB4096"/>
    <w:rsid w:val="00BB4875"/>
    <w:rsid w:val="00BB4E60"/>
    <w:rsid w:val="00BB4F53"/>
    <w:rsid w:val="00BB5638"/>
    <w:rsid w:val="00BB5772"/>
    <w:rsid w:val="00BB57BE"/>
    <w:rsid w:val="00BB5B01"/>
    <w:rsid w:val="00BB6259"/>
    <w:rsid w:val="00BB6381"/>
    <w:rsid w:val="00BB6583"/>
    <w:rsid w:val="00BB65F9"/>
    <w:rsid w:val="00BB67FE"/>
    <w:rsid w:val="00BB6B52"/>
    <w:rsid w:val="00BB6D2F"/>
    <w:rsid w:val="00BB6DD2"/>
    <w:rsid w:val="00BB7307"/>
    <w:rsid w:val="00BB763E"/>
    <w:rsid w:val="00BB79E7"/>
    <w:rsid w:val="00BB7F35"/>
    <w:rsid w:val="00BC04D9"/>
    <w:rsid w:val="00BC0E1F"/>
    <w:rsid w:val="00BC0ED9"/>
    <w:rsid w:val="00BC15AB"/>
    <w:rsid w:val="00BC25DB"/>
    <w:rsid w:val="00BC25F6"/>
    <w:rsid w:val="00BC2FCA"/>
    <w:rsid w:val="00BC2FCB"/>
    <w:rsid w:val="00BC303C"/>
    <w:rsid w:val="00BC317E"/>
    <w:rsid w:val="00BC3217"/>
    <w:rsid w:val="00BC35DB"/>
    <w:rsid w:val="00BC3924"/>
    <w:rsid w:val="00BC39C0"/>
    <w:rsid w:val="00BC3ACA"/>
    <w:rsid w:val="00BC3D94"/>
    <w:rsid w:val="00BC3EF2"/>
    <w:rsid w:val="00BC48A5"/>
    <w:rsid w:val="00BC5287"/>
    <w:rsid w:val="00BC5B2B"/>
    <w:rsid w:val="00BC66DE"/>
    <w:rsid w:val="00BC7910"/>
    <w:rsid w:val="00BD0480"/>
    <w:rsid w:val="00BD06C1"/>
    <w:rsid w:val="00BD0712"/>
    <w:rsid w:val="00BD085E"/>
    <w:rsid w:val="00BD0AAC"/>
    <w:rsid w:val="00BD0FCB"/>
    <w:rsid w:val="00BD1079"/>
    <w:rsid w:val="00BD1678"/>
    <w:rsid w:val="00BD18AA"/>
    <w:rsid w:val="00BD19DB"/>
    <w:rsid w:val="00BD1BCD"/>
    <w:rsid w:val="00BD2335"/>
    <w:rsid w:val="00BD23D6"/>
    <w:rsid w:val="00BD24AA"/>
    <w:rsid w:val="00BD25FA"/>
    <w:rsid w:val="00BD279C"/>
    <w:rsid w:val="00BD320D"/>
    <w:rsid w:val="00BD3235"/>
    <w:rsid w:val="00BD35F9"/>
    <w:rsid w:val="00BD3F45"/>
    <w:rsid w:val="00BD435D"/>
    <w:rsid w:val="00BD462E"/>
    <w:rsid w:val="00BD4760"/>
    <w:rsid w:val="00BD492C"/>
    <w:rsid w:val="00BD58EB"/>
    <w:rsid w:val="00BD5EF5"/>
    <w:rsid w:val="00BD6842"/>
    <w:rsid w:val="00BD68DE"/>
    <w:rsid w:val="00BD6AB9"/>
    <w:rsid w:val="00BD6DDE"/>
    <w:rsid w:val="00BD6F8B"/>
    <w:rsid w:val="00BD7468"/>
    <w:rsid w:val="00BD76E0"/>
    <w:rsid w:val="00BD7830"/>
    <w:rsid w:val="00BD7BDE"/>
    <w:rsid w:val="00BD7C95"/>
    <w:rsid w:val="00BD7F1B"/>
    <w:rsid w:val="00BE0081"/>
    <w:rsid w:val="00BE0512"/>
    <w:rsid w:val="00BE073D"/>
    <w:rsid w:val="00BE098A"/>
    <w:rsid w:val="00BE0AD0"/>
    <w:rsid w:val="00BE0B76"/>
    <w:rsid w:val="00BE129C"/>
    <w:rsid w:val="00BE1708"/>
    <w:rsid w:val="00BE1737"/>
    <w:rsid w:val="00BE24DB"/>
    <w:rsid w:val="00BE274F"/>
    <w:rsid w:val="00BE29D4"/>
    <w:rsid w:val="00BE3B0C"/>
    <w:rsid w:val="00BE4154"/>
    <w:rsid w:val="00BE434E"/>
    <w:rsid w:val="00BE4415"/>
    <w:rsid w:val="00BE444B"/>
    <w:rsid w:val="00BE4874"/>
    <w:rsid w:val="00BE4DD7"/>
    <w:rsid w:val="00BE4FA5"/>
    <w:rsid w:val="00BE5357"/>
    <w:rsid w:val="00BE53E1"/>
    <w:rsid w:val="00BE5457"/>
    <w:rsid w:val="00BE596F"/>
    <w:rsid w:val="00BE5C58"/>
    <w:rsid w:val="00BE60E2"/>
    <w:rsid w:val="00BE6336"/>
    <w:rsid w:val="00BE6838"/>
    <w:rsid w:val="00BE6D2A"/>
    <w:rsid w:val="00BE6FBD"/>
    <w:rsid w:val="00BE748D"/>
    <w:rsid w:val="00BE7888"/>
    <w:rsid w:val="00BE7C45"/>
    <w:rsid w:val="00BF028B"/>
    <w:rsid w:val="00BF08E9"/>
    <w:rsid w:val="00BF1541"/>
    <w:rsid w:val="00BF1B20"/>
    <w:rsid w:val="00BF2129"/>
    <w:rsid w:val="00BF215D"/>
    <w:rsid w:val="00BF2472"/>
    <w:rsid w:val="00BF2495"/>
    <w:rsid w:val="00BF2D51"/>
    <w:rsid w:val="00BF2DB8"/>
    <w:rsid w:val="00BF390F"/>
    <w:rsid w:val="00BF3C7E"/>
    <w:rsid w:val="00BF3E24"/>
    <w:rsid w:val="00BF3FC1"/>
    <w:rsid w:val="00BF408F"/>
    <w:rsid w:val="00BF467E"/>
    <w:rsid w:val="00BF46B6"/>
    <w:rsid w:val="00BF47E4"/>
    <w:rsid w:val="00BF484A"/>
    <w:rsid w:val="00BF504E"/>
    <w:rsid w:val="00BF54B0"/>
    <w:rsid w:val="00BF5A11"/>
    <w:rsid w:val="00BF5B3B"/>
    <w:rsid w:val="00BF5C2E"/>
    <w:rsid w:val="00BF6566"/>
    <w:rsid w:val="00BF6576"/>
    <w:rsid w:val="00BF66C8"/>
    <w:rsid w:val="00BF6CB1"/>
    <w:rsid w:val="00BF6CBA"/>
    <w:rsid w:val="00BF6E6C"/>
    <w:rsid w:val="00BF7503"/>
    <w:rsid w:val="00BF772A"/>
    <w:rsid w:val="00C00024"/>
    <w:rsid w:val="00C0038E"/>
    <w:rsid w:val="00C004D1"/>
    <w:rsid w:val="00C00B14"/>
    <w:rsid w:val="00C00E41"/>
    <w:rsid w:val="00C00F04"/>
    <w:rsid w:val="00C018B3"/>
    <w:rsid w:val="00C01A2C"/>
    <w:rsid w:val="00C01E48"/>
    <w:rsid w:val="00C01EC4"/>
    <w:rsid w:val="00C0247B"/>
    <w:rsid w:val="00C02CAB"/>
    <w:rsid w:val="00C03122"/>
    <w:rsid w:val="00C0318B"/>
    <w:rsid w:val="00C034EC"/>
    <w:rsid w:val="00C03B3C"/>
    <w:rsid w:val="00C03D48"/>
    <w:rsid w:val="00C0434F"/>
    <w:rsid w:val="00C04B37"/>
    <w:rsid w:val="00C04D60"/>
    <w:rsid w:val="00C04E04"/>
    <w:rsid w:val="00C04F97"/>
    <w:rsid w:val="00C0518E"/>
    <w:rsid w:val="00C0635E"/>
    <w:rsid w:val="00C072CC"/>
    <w:rsid w:val="00C0735C"/>
    <w:rsid w:val="00C0736E"/>
    <w:rsid w:val="00C0795B"/>
    <w:rsid w:val="00C07A28"/>
    <w:rsid w:val="00C07B33"/>
    <w:rsid w:val="00C07FDC"/>
    <w:rsid w:val="00C102C3"/>
    <w:rsid w:val="00C10845"/>
    <w:rsid w:val="00C10A02"/>
    <w:rsid w:val="00C10D45"/>
    <w:rsid w:val="00C11AD2"/>
    <w:rsid w:val="00C11AF3"/>
    <w:rsid w:val="00C120DF"/>
    <w:rsid w:val="00C12554"/>
    <w:rsid w:val="00C125D0"/>
    <w:rsid w:val="00C1268F"/>
    <w:rsid w:val="00C12B8C"/>
    <w:rsid w:val="00C12C42"/>
    <w:rsid w:val="00C12DEB"/>
    <w:rsid w:val="00C131F0"/>
    <w:rsid w:val="00C137A2"/>
    <w:rsid w:val="00C138A4"/>
    <w:rsid w:val="00C1426C"/>
    <w:rsid w:val="00C142BE"/>
    <w:rsid w:val="00C14527"/>
    <w:rsid w:val="00C148EE"/>
    <w:rsid w:val="00C14DD3"/>
    <w:rsid w:val="00C155E7"/>
    <w:rsid w:val="00C1594F"/>
    <w:rsid w:val="00C159D8"/>
    <w:rsid w:val="00C16691"/>
    <w:rsid w:val="00C16C7B"/>
    <w:rsid w:val="00C16E5E"/>
    <w:rsid w:val="00C1748E"/>
    <w:rsid w:val="00C17667"/>
    <w:rsid w:val="00C17A17"/>
    <w:rsid w:val="00C17CEC"/>
    <w:rsid w:val="00C201B2"/>
    <w:rsid w:val="00C2139B"/>
    <w:rsid w:val="00C214DE"/>
    <w:rsid w:val="00C218C3"/>
    <w:rsid w:val="00C218CD"/>
    <w:rsid w:val="00C21C1F"/>
    <w:rsid w:val="00C22017"/>
    <w:rsid w:val="00C23B87"/>
    <w:rsid w:val="00C241F0"/>
    <w:rsid w:val="00C242A1"/>
    <w:rsid w:val="00C24B86"/>
    <w:rsid w:val="00C24D96"/>
    <w:rsid w:val="00C25432"/>
    <w:rsid w:val="00C25676"/>
    <w:rsid w:val="00C2587B"/>
    <w:rsid w:val="00C25A98"/>
    <w:rsid w:val="00C263C8"/>
    <w:rsid w:val="00C2661D"/>
    <w:rsid w:val="00C26638"/>
    <w:rsid w:val="00C26788"/>
    <w:rsid w:val="00C26A32"/>
    <w:rsid w:val="00C27AE9"/>
    <w:rsid w:val="00C27EEA"/>
    <w:rsid w:val="00C30620"/>
    <w:rsid w:val="00C30C85"/>
    <w:rsid w:val="00C30D1B"/>
    <w:rsid w:val="00C30E5D"/>
    <w:rsid w:val="00C313B7"/>
    <w:rsid w:val="00C31ECB"/>
    <w:rsid w:val="00C32682"/>
    <w:rsid w:val="00C32B49"/>
    <w:rsid w:val="00C33D65"/>
    <w:rsid w:val="00C33DA3"/>
    <w:rsid w:val="00C34022"/>
    <w:rsid w:val="00C34118"/>
    <w:rsid w:val="00C34246"/>
    <w:rsid w:val="00C343CE"/>
    <w:rsid w:val="00C34890"/>
    <w:rsid w:val="00C34DFD"/>
    <w:rsid w:val="00C34EF4"/>
    <w:rsid w:val="00C35155"/>
    <w:rsid w:val="00C35197"/>
    <w:rsid w:val="00C353C1"/>
    <w:rsid w:val="00C357FD"/>
    <w:rsid w:val="00C35C07"/>
    <w:rsid w:val="00C35EE4"/>
    <w:rsid w:val="00C36028"/>
    <w:rsid w:val="00C361EA"/>
    <w:rsid w:val="00C365B6"/>
    <w:rsid w:val="00C3668A"/>
    <w:rsid w:val="00C36893"/>
    <w:rsid w:val="00C3696B"/>
    <w:rsid w:val="00C36E8A"/>
    <w:rsid w:val="00C37853"/>
    <w:rsid w:val="00C40114"/>
    <w:rsid w:val="00C40188"/>
    <w:rsid w:val="00C401B1"/>
    <w:rsid w:val="00C40443"/>
    <w:rsid w:val="00C4137C"/>
    <w:rsid w:val="00C4186C"/>
    <w:rsid w:val="00C41CD0"/>
    <w:rsid w:val="00C41DFA"/>
    <w:rsid w:val="00C41E06"/>
    <w:rsid w:val="00C41E9D"/>
    <w:rsid w:val="00C41F42"/>
    <w:rsid w:val="00C435A0"/>
    <w:rsid w:val="00C436CA"/>
    <w:rsid w:val="00C4395F"/>
    <w:rsid w:val="00C43B63"/>
    <w:rsid w:val="00C43DDC"/>
    <w:rsid w:val="00C4402A"/>
    <w:rsid w:val="00C440EC"/>
    <w:rsid w:val="00C443CB"/>
    <w:rsid w:val="00C44CEA"/>
    <w:rsid w:val="00C454FD"/>
    <w:rsid w:val="00C458AF"/>
    <w:rsid w:val="00C4597A"/>
    <w:rsid w:val="00C45BF3"/>
    <w:rsid w:val="00C45C9C"/>
    <w:rsid w:val="00C45F08"/>
    <w:rsid w:val="00C45FA2"/>
    <w:rsid w:val="00C46090"/>
    <w:rsid w:val="00C46D5A"/>
    <w:rsid w:val="00C46FFE"/>
    <w:rsid w:val="00C47364"/>
    <w:rsid w:val="00C4780B"/>
    <w:rsid w:val="00C47A11"/>
    <w:rsid w:val="00C50B71"/>
    <w:rsid w:val="00C50ED0"/>
    <w:rsid w:val="00C51859"/>
    <w:rsid w:val="00C519DD"/>
    <w:rsid w:val="00C51E66"/>
    <w:rsid w:val="00C5209E"/>
    <w:rsid w:val="00C525B4"/>
    <w:rsid w:val="00C526E4"/>
    <w:rsid w:val="00C528CE"/>
    <w:rsid w:val="00C5340F"/>
    <w:rsid w:val="00C5373E"/>
    <w:rsid w:val="00C54B73"/>
    <w:rsid w:val="00C54FEC"/>
    <w:rsid w:val="00C550D6"/>
    <w:rsid w:val="00C561B3"/>
    <w:rsid w:val="00C56CAC"/>
    <w:rsid w:val="00C573EB"/>
    <w:rsid w:val="00C57B3D"/>
    <w:rsid w:val="00C57D02"/>
    <w:rsid w:val="00C6020F"/>
    <w:rsid w:val="00C602D5"/>
    <w:rsid w:val="00C604F5"/>
    <w:rsid w:val="00C604FF"/>
    <w:rsid w:val="00C612EF"/>
    <w:rsid w:val="00C613CD"/>
    <w:rsid w:val="00C615A1"/>
    <w:rsid w:val="00C61803"/>
    <w:rsid w:val="00C621A8"/>
    <w:rsid w:val="00C62376"/>
    <w:rsid w:val="00C6244B"/>
    <w:rsid w:val="00C624EA"/>
    <w:rsid w:val="00C629F2"/>
    <w:rsid w:val="00C62D3B"/>
    <w:rsid w:val="00C63239"/>
    <w:rsid w:val="00C636A7"/>
    <w:rsid w:val="00C63E79"/>
    <w:rsid w:val="00C6400B"/>
    <w:rsid w:val="00C64504"/>
    <w:rsid w:val="00C6451C"/>
    <w:rsid w:val="00C6472D"/>
    <w:rsid w:val="00C64B3B"/>
    <w:rsid w:val="00C65BE2"/>
    <w:rsid w:val="00C65EFC"/>
    <w:rsid w:val="00C67068"/>
    <w:rsid w:val="00C6725D"/>
    <w:rsid w:val="00C67646"/>
    <w:rsid w:val="00C67A8D"/>
    <w:rsid w:val="00C67AED"/>
    <w:rsid w:val="00C701AF"/>
    <w:rsid w:val="00C703A0"/>
    <w:rsid w:val="00C703BE"/>
    <w:rsid w:val="00C70818"/>
    <w:rsid w:val="00C7089D"/>
    <w:rsid w:val="00C70A03"/>
    <w:rsid w:val="00C70AB4"/>
    <w:rsid w:val="00C71884"/>
    <w:rsid w:val="00C72078"/>
    <w:rsid w:val="00C722A5"/>
    <w:rsid w:val="00C727F5"/>
    <w:rsid w:val="00C7283A"/>
    <w:rsid w:val="00C738BE"/>
    <w:rsid w:val="00C73AC8"/>
    <w:rsid w:val="00C73C82"/>
    <w:rsid w:val="00C74166"/>
    <w:rsid w:val="00C74E74"/>
    <w:rsid w:val="00C753B8"/>
    <w:rsid w:val="00C7552D"/>
    <w:rsid w:val="00C7572F"/>
    <w:rsid w:val="00C75DD1"/>
    <w:rsid w:val="00C76021"/>
    <w:rsid w:val="00C76425"/>
    <w:rsid w:val="00C765E7"/>
    <w:rsid w:val="00C7699D"/>
    <w:rsid w:val="00C77A04"/>
    <w:rsid w:val="00C802E4"/>
    <w:rsid w:val="00C80610"/>
    <w:rsid w:val="00C8070F"/>
    <w:rsid w:val="00C80BFE"/>
    <w:rsid w:val="00C80CDA"/>
    <w:rsid w:val="00C80E92"/>
    <w:rsid w:val="00C80FDF"/>
    <w:rsid w:val="00C81FD2"/>
    <w:rsid w:val="00C820AE"/>
    <w:rsid w:val="00C820C0"/>
    <w:rsid w:val="00C82323"/>
    <w:rsid w:val="00C823C0"/>
    <w:rsid w:val="00C82544"/>
    <w:rsid w:val="00C82A92"/>
    <w:rsid w:val="00C82EA8"/>
    <w:rsid w:val="00C8349B"/>
    <w:rsid w:val="00C838C2"/>
    <w:rsid w:val="00C83E4A"/>
    <w:rsid w:val="00C83F52"/>
    <w:rsid w:val="00C8423A"/>
    <w:rsid w:val="00C843D5"/>
    <w:rsid w:val="00C8463E"/>
    <w:rsid w:val="00C84862"/>
    <w:rsid w:val="00C848F1"/>
    <w:rsid w:val="00C854D5"/>
    <w:rsid w:val="00C856D5"/>
    <w:rsid w:val="00C856E1"/>
    <w:rsid w:val="00C85890"/>
    <w:rsid w:val="00C858F2"/>
    <w:rsid w:val="00C867B4"/>
    <w:rsid w:val="00C8683E"/>
    <w:rsid w:val="00C87320"/>
    <w:rsid w:val="00C876A3"/>
    <w:rsid w:val="00C901F3"/>
    <w:rsid w:val="00C90500"/>
    <w:rsid w:val="00C91717"/>
    <w:rsid w:val="00C91A01"/>
    <w:rsid w:val="00C9211B"/>
    <w:rsid w:val="00C93092"/>
    <w:rsid w:val="00C932F3"/>
    <w:rsid w:val="00C93745"/>
    <w:rsid w:val="00C93C71"/>
    <w:rsid w:val="00C94825"/>
    <w:rsid w:val="00C94838"/>
    <w:rsid w:val="00C95834"/>
    <w:rsid w:val="00C95BF4"/>
    <w:rsid w:val="00C96219"/>
    <w:rsid w:val="00C963B1"/>
    <w:rsid w:val="00C96AE3"/>
    <w:rsid w:val="00C9779B"/>
    <w:rsid w:val="00C97F0F"/>
    <w:rsid w:val="00CA0302"/>
    <w:rsid w:val="00CA074D"/>
    <w:rsid w:val="00CA0C7B"/>
    <w:rsid w:val="00CA0D3C"/>
    <w:rsid w:val="00CA0EDB"/>
    <w:rsid w:val="00CA1872"/>
    <w:rsid w:val="00CA269A"/>
    <w:rsid w:val="00CA27A0"/>
    <w:rsid w:val="00CA2FD4"/>
    <w:rsid w:val="00CA3003"/>
    <w:rsid w:val="00CA323C"/>
    <w:rsid w:val="00CA36F8"/>
    <w:rsid w:val="00CA386E"/>
    <w:rsid w:val="00CA39F8"/>
    <w:rsid w:val="00CA40D3"/>
    <w:rsid w:val="00CA42BD"/>
    <w:rsid w:val="00CA4576"/>
    <w:rsid w:val="00CA502A"/>
    <w:rsid w:val="00CA51BD"/>
    <w:rsid w:val="00CA551D"/>
    <w:rsid w:val="00CA5715"/>
    <w:rsid w:val="00CA5976"/>
    <w:rsid w:val="00CA5A30"/>
    <w:rsid w:val="00CA5BE6"/>
    <w:rsid w:val="00CA5CDC"/>
    <w:rsid w:val="00CA649B"/>
    <w:rsid w:val="00CA67DD"/>
    <w:rsid w:val="00CA6B97"/>
    <w:rsid w:val="00CA6DCA"/>
    <w:rsid w:val="00CA724F"/>
    <w:rsid w:val="00CA751A"/>
    <w:rsid w:val="00CA79A1"/>
    <w:rsid w:val="00CA7A7C"/>
    <w:rsid w:val="00CA7E73"/>
    <w:rsid w:val="00CB0096"/>
    <w:rsid w:val="00CB0395"/>
    <w:rsid w:val="00CB1458"/>
    <w:rsid w:val="00CB168D"/>
    <w:rsid w:val="00CB18D6"/>
    <w:rsid w:val="00CB1E0E"/>
    <w:rsid w:val="00CB20E2"/>
    <w:rsid w:val="00CB21A9"/>
    <w:rsid w:val="00CB24B9"/>
    <w:rsid w:val="00CB2601"/>
    <w:rsid w:val="00CB28D1"/>
    <w:rsid w:val="00CB2BCB"/>
    <w:rsid w:val="00CB2C8F"/>
    <w:rsid w:val="00CB2EC3"/>
    <w:rsid w:val="00CB301C"/>
    <w:rsid w:val="00CB3111"/>
    <w:rsid w:val="00CB35B6"/>
    <w:rsid w:val="00CB3D12"/>
    <w:rsid w:val="00CB461E"/>
    <w:rsid w:val="00CB4B5C"/>
    <w:rsid w:val="00CB4C4F"/>
    <w:rsid w:val="00CB5060"/>
    <w:rsid w:val="00CB5422"/>
    <w:rsid w:val="00CB5962"/>
    <w:rsid w:val="00CB59DB"/>
    <w:rsid w:val="00CB5C5C"/>
    <w:rsid w:val="00CB659F"/>
    <w:rsid w:val="00CB6878"/>
    <w:rsid w:val="00CB6EAE"/>
    <w:rsid w:val="00CB7509"/>
    <w:rsid w:val="00CB7C05"/>
    <w:rsid w:val="00CB7DD5"/>
    <w:rsid w:val="00CB7F4D"/>
    <w:rsid w:val="00CB7FB8"/>
    <w:rsid w:val="00CC033C"/>
    <w:rsid w:val="00CC069B"/>
    <w:rsid w:val="00CC17B8"/>
    <w:rsid w:val="00CC1FF5"/>
    <w:rsid w:val="00CC216C"/>
    <w:rsid w:val="00CC2205"/>
    <w:rsid w:val="00CC2753"/>
    <w:rsid w:val="00CC2814"/>
    <w:rsid w:val="00CC284F"/>
    <w:rsid w:val="00CC2E39"/>
    <w:rsid w:val="00CC2F9B"/>
    <w:rsid w:val="00CC2FAA"/>
    <w:rsid w:val="00CC341F"/>
    <w:rsid w:val="00CC352B"/>
    <w:rsid w:val="00CC3532"/>
    <w:rsid w:val="00CC38D2"/>
    <w:rsid w:val="00CC38E9"/>
    <w:rsid w:val="00CC3BA3"/>
    <w:rsid w:val="00CC3D6F"/>
    <w:rsid w:val="00CC425A"/>
    <w:rsid w:val="00CC4945"/>
    <w:rsid w:val="00CC4DCB"/>
    <w:rsid w:val="00CC4E9E"/>
    <w:rsid w:val="00CC50B0"/>
    <w:rsid w:val="00CC5290"/>
    <w:rsid w:val="00CC5337"/>
    <w:rsid w:val="00CC5357"/>
    <w:rsid w:val="00CC5829"/>
    <w:rsid w:val="00CC5F6B"/>
    <w:rsid w:val="00CC610C"/>
    <w:rsid w:val="00CC6183"/>
    <w:rsid w:val="00CC6342"/>
    <w:rsid w:val="00CC6C0C"/>
    <w:rsid w:val="00CC6CB7"/>
    <w:rsid w:val="00CC797B"/>
    <w:rsid w:val="00CD0015"/>
    <w:rsid w:val="00CD06FA"/>
    <w:rsid w:val="00CD0CB6"/>
    <w:rsid w:val="00CD10C9"/>
    <w:rsid w:val="00CD1100"/>
    <w:rsid w:val="00CD155E"/>
    <w:rsid w:val="00CD16B3"/>
    <w:rsid w:val="00CD2BCD"/>
    <w:rsid w:val="00CD3717"/>
    <w:rsid w:val="00CD382F"/>
    <w:rsid w:val="00CD3CBF"/>
    <w:rsid w:val="00CD428E"/>
    <w:rsid w:val="00CD4889"/>
    <w:rsid w:val="00CD4DE5"/>
    <w:rsid w:val="00CD4E02"/>
    <w:rsid w:val="00CD5223"/>
    <w:rsid w:val="00CD5F8E"/>
    <w:rsid w:val="00CD6739"/>
    <w:rsid w:val="00CD6B19"/>
    <w:rsid w:val="00CD6D2C"/>
    <w:rsid w:val="00CD6DA0"/>
    <w:rsid w:val="00CD7875"/>
    <w:rsid w:val="00CD788A"/>
    <w:rsid w:val="00CE00FA"/>
    <w:rsid w:val="00CE08C9"/>
    <w:rsid w:val="00CE1451"/>
    <w:rsid w:val="00CE1604"/>
    <w:rsid w:val="00CE196C"/>
    <w:rsid w:val="00CE1D01"/>
    <w:rsid w:val="00CE1E61"/>
    <w:rsid w:val="00CE249A"/>
    <w:rsid w:val="00CE2A50"/>
    <w:rsid w:val="00CE31B8"/>
    <w:rsid w:val="00CE324D"/>
    <w:rsid w:val="00CE358D"/>
    <w:rsid w:val="00CE4132"/>
    <w:rsid w:val="00CE470B"/>
    <w:rsid w:val="00CE470D"/>
    <w:rsid w:val="00CE48AE"/>
    <w:rsid w:val="00CE4EC3"/>
    <w:rsid w:val="00CE4F7C"/>
    <w:rsid w:val="00CE5114"/>
    <w:rsid w:val="00CE5317"/>
    <w:rsid w:val="00CE586B"/>
    <w:rsid w:val="00CE5AD1"/>
    <w:rsid w:val="00CE5F14"/>
    <w:rsid w:val="00CE6267"/>
    <w:rsid w:val="00CE6C86"/>
    <w:rsid w:val="00CE6E29"/>
    <w:rsid w:val="00CE702E"/>
    <w:rsid w:val="00CE7527"/>
    <w:rsid w:val="00CE7649"/>
    <w:rsid w:val="00CE76FC"/>
    <w:rsid w:val="00CF0577"/>
    <w:rsid w:val="00CF106B"/>
    <w:rsid w:val="00CF12CD"/>
    <w:rsid w:val="00CF1E21"/>
    <w:rsid w:val="00CF23BE"/>
    <w:rsid w:val="00CF2B15"/>
    <w:rsid w:val="00CF33F6"/>
    <w:rsid w:val="00CF34D6"/>
    <w:rsid w:val="00CF3933"/>
    <w:rsid w:val="00CF3C5E"/>
    <w:rsid w:val="00CF3F77"/>
    <w:rsid w:val="00CF465E"/>
    <w:rsid w:val="00CF4B29"/>
    <w:rsid w:val="00CF4BDB"/>
    <w:rsid w:val="00CF5171"/>
    <w:rsid w:val="00CF5472"/>
    <w:rsid w:val="00CF5A4C"/>
    <w:rsid w:val="00CF5B91"/>
    <w:rsid w:val="00CF64DC"/>
    <w:rsid w:val="00CF6732"/>
    <w:rsid w:val="00CF6C50"/>
    <w:rsid w:val="00CF6CDB"/>
    <w:rsid w:val="00CF6CE1"/>
    <w:rsid w:val="00CF6E2B"/>
    <w:rsid w:val="00CF782D"/>
    <w:rsid w:val="00CF7CCC"/>
    <w:rsid w:val="00CF7D20"/>
    <w:rsid w:val="00D0016B"/>
    <w:rsid w:val="00D00AB6"/>
    <w:rsid w:val="00D014B7"/>
    <w:rsid w:val="00D01B8F"/>
    <w:rsid w:val="00D01F2A"/>
    <w:rsid w:val="00D01F38"/>
    <w:rsid w:val="00D01F41"/>
    <w:rsid w:val="00D02283"/>
    <w:rsid w:val="00D02383"/>
    <w:rsid w:val="00D025A3"/>
    <w:rsid w:val="00D0339D"/>
    <w:rsid w:val="00D0377E"/>
    <w:rsid w:val="00D03A80"/>
    <w:rsid w:val="00D03CBA"/>
    <w:rsid w:val="00D03E1A"/>
    <w:rsid w:val="00D03F3F"/>
    <w:rsid w:val="00D04257"/>
    <w:rsid w:val="00D04C6D"/>
    <w:rsid w:val="00D04F59"/>
    <w:rsid w:val="00D05003"/>
    <w:rsid w:val="00D05458"/>
    <w:rsid w:val="00D05C12"/>
    <w:rsid w:val="00D05D81"/>
    <w:rsid w:val="00D06AAD"/>
    <w:rsid w:val="00D07253"/>
    <w:rsid w:val="00D072F5"/>
    <w:rsid w:val="00D076B3"/>
    <w:rsid w:val="00D078FC"/>
    <w:rsid w:val="00D07ADE"/>
    <w:rsid w:val="00D107ED"/>
    <w:rsid w:val="00D10AFB"/>
    <w:rsid w:val="00D10C84"/>
    <w:rsid w:val="00D10CBF"/>
    <w:rsid w:val="00D10E6D"/>
    <w:rsid w:val="00D11340"/>
    <w:rsid w:val="00D118B9"/>
    <w:rsid w:val="00D121DB"/>
    <w:rsid w:val="00D124A2"/>
    <w:rsid w:val="00D1268B"/>
    <w:rsid w:val="00D12E93"/>
    <w:rsid w:val="00D131EE"/>
    <w:rsid w:val="00D1361E"/>
    <w:rsid w:val="00D13A28"/>
    <w:rsid w:val="00D13E44"/>
    <w:rsid w:val="00D14885"/>
    <w:rsid w:val="00D15984"/>
    <w:rsid w:val="00D15C5D"/>
    <w:rsid w:val="00D15CAA"/>
    <w:rsid w:val="00D16061"/>
    <w:rsid w:val="00D160A3"/>
    <w:rsid w:val="00D16338"/>
    <w:rsid w:val="00D167B8"/>
    <w:rsid w:val="00D16A19"/>
    <w:rsid w:val="00D177A8"/>
    <w:rsid w:val="00D204A9"/>
    <w:rsid w:val="00D207F1"/>
    <w:rsid w:val="00D20BF1"/>
    <w:rsid w:val="00D20E8A"/>
    <w:rsid w:val="00D21949"/>
    <w:rsid w:val="00D21D75"/>
    <w:rsid w:val="00D223F5"/>
    <w:rsid w:val="00D23593"/>
    <w:rsid w:val="00D2360B"/>
    <w:rsid w:val="00D236ED"/>
    <w:rsid w:val="00D23A3D"/>
    <w:rsid w:val="00D23B20"/>
    <w:rsid w:val="00D23F65"/>
    <w:rsid w:val="00D24256"/>
    <w:rsid w:val="00D248AD"/>
    <w:rsid w:val="00D24BE8"/>
    <w:rsid w:val="00D24C3F"/>
    <w:rsid w:val="00D25077"/>
    <w:rsid w:val="00D26402"/>
    <w:rsid w:val="00D26632"/>
    <w:rsid w:val="00D2666F"/>
    <w:rsid w:val="00D26948"/>
    <w:rsid w:val="00D26CA3"/>
    <w:rsid w:val="00D26D35"/>
    <w:rsid w:val="00D26EB1"/>
    <w:rsid w:val="00D26FE7"/>
    <w:rsid w:val="00D272F6"/>
    <w:rsid w:val="00D273D7"/>
    <w:rsid w:val="00D27D91"/>
    <w:rsid w:val="00D3042F"/>
    <w:rsid w:val="00D30771"/>
    <w:rsid w:val="00D30C28"/>
    <w:rsid w:val="00D30CB1"/>
    <w:rsid w:val="00D30CE2"/>
    <w:rsid w:val="00D30FA8"/>
    <w:rsid w:val="00D311D5"/>
    <w:rsid w:val="00D31434"/>
    <w:rsid w:val="00D318A0"/>
    <w:rsid w:val="00D333FC"/>
    <w:rsid w:val="00D33618"/>
    <w:rsid w:val="00D33A90"/>
    <w:rsid w:val="00D33AD0"/>
    <w:rsid w:val="00D33DA4"/>
    <w:rsid w:val="00D33F61"/>
    <w:rsid w:val="00D34367"/>
    <w:rsid w:val="00D34CD7"/>
    <w:rsid w:val="00D356A6"/>
    <w:rsid w:val="00D35BA3"/>
    <w:rsid w:val="00D35D8A"/>
    <w:rsid w:val="00D35E25"/>
    <w:rsid w:val="00D36211"/>
    <w:rsid w:val="00D3627B"/>
    <w:rsid w:val="00D3667D"/>
    <w:rsid w:val="00D3670C"/>
    <w:rsid w:val="00D3696C"/>
    <w:rsid w:val="00D36A13"/>
    <w:rsid w:val="00D36C4C"/>
    <w:rsid w:val="00D37747"/>
    <w:rsid w:val="00D37D03"/>
    <w:rsid w:val="00D37E1E"/>
    <w:rsid w:val="00D40045"/>
    <w:rsid w:val="00D400E9"/>
    <w:rsid w:val="00D404CF"/>
    <w:rsid w:val="00D40766"/>
    <w:rsid w:val="00D40795"/>
    <w:rsid w:val="00D40B89"/>
    <w:rsid w:val="00D40B98"/>
    <w:rsid w:val="00D417D7"/>
    <w:rsid w:val="00D41AA6"/>
    <w:rsid w:val="00D41AEA"/>
    <w:rsid w:val="00D41B16"/>
    <w:rsid w:val="00D422AE"/>
    <w:rsid w:val="00D422F0"/>
    <w:rsid w:val="00D429A8"/>
    <w:rsid w:val="00D42B99"/>
    <w:rsid w:val="00D42D5D"/>
    <w:rsid w:val="00D42E60"/>
    <w:rsid w:val="00D43296"/>
    <w:rsid w:val="00D43649"/>
    <w:rsid w:val="00D4371F"/>
    <w:rsid w:val="00D43AA7"/>
    <w:rsid w:val="00D440C3"/>
    <w:rsid w:val="00D449A3"/>
    <w:rsid w:val="00D452FC"/>
    <w:rsid w:val="00D455D0"/>
    <w:rsid w:val="00D4573C"/>
    <w:rsid w:val="00D45B80"/>
    <w:rsid w:val="00D45F78"/>
    <w:rsid w:val="00D45FFB"/>
    <w:rsid w:val="00D461A5"/>
    <w:rsid w:val="00D464DE"/>
    <w:rsid w:val="00D46B4C"/>
    <w:rsid w:val="00D46C5B"/>
    <w:rsid w:val="00D46C65"/>
    <w:rsid w:val="00D46D1E"/>
    <w:rsid w:val="00D46E0A"/>
    <w:rsid w:val="00D4715C"/>
    <w:rsid w:val="00D47416"/>
    <w:rsid w:val="00D474D0"/>
    <w:rsid w:val="00D47AB7"/>
    <w:rsid w:val="00D47D45"/>
    <w:rsid w:val="00D47E4F"/>
    <w:rsid w:val="00D47F6D"/>
    <w:rsid w:val="00D50BBD"/>
    <w:rsid w:val="00D50DDD"/>
    <w:rsid w:val="00D51FFF"/>
    <w:rsid w:val="00D522BE"/>
    <w:rsid w:val="00D52675"/>
    <w:rsid w:val="00D5294D"/>
    <w:rsid w:val="00D52EEA"/>
    <w:rsid w:val="00D53956"/>
    <w:rsid w:val="00D54729"/>
    <w:rsid w:val="00D54862"/>
    <w:rsid w:val="00D548A8"/>
    <w:rsid w:val="00D552A7"/>
    <w:rsid w:val="00D55306"/>
    <w:rsid w:val="00D559D8"/>
    <w:rsid w:val="00D55AB3"/>
    <w:rsid w:val="00D5622A"/>
    <w:rsid w:val="00D56323"/>
    <w:rsid w:val="00D5636E"/>
    <w:rsid w:val="00D56790"/>
    <w:rsid w:val="00D56B4D"/>
    <w:rsid w:val="00D56E16"/>
    <w:rsid w:val="00D5708E"/>
    <w:rsid w:val="00D57272"/>
    <w:rsid w:val="00D574D7"/>
    <w:rsid w:val="00D57A18"/>
    <w:rsid w:val="00D60558"/>
    <w:rsid w:val="00D607D7"/>
    <w:rsid w:val="00D608A8"/>
    <w:rsid w:val="00D60F91"/>
    <w:rsid w:val="00D60FE9"/>
    <w:rsid w:val="00D61550"/>
    <w:rsid w:val="00D61A1E"/>
    <w:rsid w:val="00D62333"/>
    <w:rsid w:val="00D62774"/>
    <w:rsid w:val="00D62C60"/>
    <w:rsid w:val="00D6345B"/>
    <w:rsid w:val="00D635F3"/>
    <w:rsid w:val="00D63832"/>
    <w:rsid w:val="00D63950"/>
    <w:rsid w:val="00D63C67"/>
    <w:rsid w:val="00D63F12"/>
    <w:rsid w:val="00D6427C"/>
    <w:rsid w:val="00D64B4B"/>
    <w:rsid w:val="00D64D79"/>
    <w:rsid w:val="00D65C6A"/>
    <w:rsid w:val="00D65FD8"/>
    <w:rsid w:val="00D6762E"/>
    <w:rsid w:val="00D6791C"/>
    <w:rsid w:val="00D67AC5"/>
    <w:rsid w:val="00D67EEB"/>
    <w:rsid w:val="00D67FEA"/>
    <w:rsid w:val="00D70062"/>
    <w:rsid w:val="00D70712"/>
    <w:rsid w:val="00D71285"/>
    <w:rsid w:val="00D7164E"/>
    <w:rsid w:val="00D71BF8"/>
    <w:rsid w:val="00D7202A"/>
    <w:rsid w:val="00D72C08"/>
    <w:rsid w:val="00D73014"/>
    <w:rsid w:val="00D736D2"/>
    <w:rsid w:val="00D736E3"/>
    <w:rsid w:val="00D73C98"/>
    <w:rsid w:val="00D73CFF"/>
    <w:rsid w:val="00D73DBF"/>
    <w:rsid w:val="00D74276"/>
    <w:rsid w:val="00D749B9"/>
    <w:rsid w:val="00D752BC"/>
    <w:rsid w:val="00D7598E"/>
    <w:rsid w:val="00D75B8A"/>
    <w:rsid w:val="00D75C84"/>
    <w:rsid w:val="00D75D14"/>
    <w:rsid w:val="00D75DF3"/>
    <w:rsid w:val="00D75FE3"/>
    <w:rsid w:val="00D769DD"/>
    <w:rsid w:val="00D76FE0"/>
    <w:rsid w:val="00D77072"/>
    <w:rsid w:val="00D7755C"/>
    <w:rsid w:val="00D77706"/>
    <w:rsid w:val="00D77713"/>
    <w:rsid w:val="00D77AE7"/>
    <w:rsid w:val="00D80427"/>
    <w:rsid w:val="00D80512"/>
    <w:rsid w:val="00D805B7"/>
    <w:rsid w:val="00D810C5"/>
    <w:rsid w:val="00D816A4"/>
    <w:rsid w:val="00D81769"/>
    <w:rsid w:val="00D817A5"/>
    <w:rsid w:val="00D82992"/>
    <w:rsid w:val="00D829CA"/>
    <w:rsid w:val="00D82A09"/>
    <w:rsid w:val="00D831FA"/>
    <w:rsid w:val="00D84650"/>
    <w:rsid w:val="00D8483D"/>
    <w:rsid w:val="00D84C27"/>
    <w:rsid w:val="00D8509A"/>
    <w:rsid w:val="00D85439"/>
    <w:rsid w:val="00D85E75"/>
    <w:rsid w:val="00D86216"/>
    <w:rsid w:val="00D86553"/>
    <w:rsid w:val="00D867DC"/>
    <w:rsid w:val="00D86BAE"/>
    <w:rsid w:val="00D86DDA"/>
    <w:rsid w:val="00D86EAA"/>
    <w:rsid w:val="00D877DA"/>
    <w:rsid w:val="00D87D7D"/>
    <w:rsid w:val="00D905B8"/>
    <w:rsid w:val="00D90629"/>
    <w:rsid w:val="00D906A2"/>
    <w:rsid w:val="00D906E3"/>
    <w:rsid w:val="00D90BB2"/>
    <w:rsid w:val="00D90BE5"/>
    <w:rsid w:val="00D9115F"/>
    <w:rsid w:val="00D913F6"/>
    <w:rsid w:val="00D919E4"/>
    <w:rsid w:val="00D91DE7"/>
    <w:rsid w:val="00D92070"/>
    <w:rsid w:val="00D9222F"/>
    <w:rsid w:val="00D92368"/>
    <w:rsid w:val="00D92919"/>
    <w:rsid w:val="00D9296A"/>
    <w:rsid w:val="00D92A9D"/>
    <w:rsid w:val="00D92AC4"/>
    <w:rsid w:val="00D92F57"/>
    <w:rsid w:val="00D9308C"/>
    <w:rsid w:val="00D931A8"/>
    <w:rsid w:val="00D932B0"/>
    <w:rsid w:val="00D93596"/>
    <w:rsid w:val="00D93C1E"/>
    <w:rsid w:val="00D94B25"/>
    <w:rsid w:val="00D94E28"/>
    <w:rsid w:val="00D94ECD"/>
    <w:rsid w:val="00D95B82"/>
    <w:rsid w:val="00D95FF9"/>
    <w:rsid w:val="00D962BD"/>
    <w:rsid w:val="00D96359"/>
    <w:rsid w:val="00D968D1"/>
    <w:rsid w:val="00D974FA"/>
    <w:rsid w:val="00D97B7C"/>
    <w:rsid w:val="00DA005C"/>
    <w:rsid w:val="00DA00E0"/>
    <w:rsid w:val="00DA09B6"/>
    <w:rsid w:val="00DA0A43"/>
    <w:rsid w:val="00DA2173"/>
    <w:rsid w:val="00DA2B22"/>
    <w:rsid w:val="00DA2B9F"/>
    <w:rsid w:val="00DA2BCB"/>
    <w:rsid w:val="00DA305B"/>
    <w:rsid w:val="00DA314D"/>
    <w:rsid w:val="00DA454A"/>
    <w:rsid w:val="00DA464A"/>
    <w:rsid w:val="00DA4771"/>
    <w:rsid w:val="00DA4D5C"/>
    <w:rsid w:val="00DA533C"/>
    <w:rsid w:val="00DA5570"/>
    <w:rsid w:val="00DA5D0D"/>
    <w:rsid w:val="00DA5E72"/>
    <w:rsid w:val="00DA5F8F"/>
    <w:rsid w:val="00DA684C"/>
    <w:rsid w:val="00DA68A4"/>
    <w:rsid w:val="00DA6A88"/>
    <w:rsid w:val="00DA6ABE"/>
    <w:rsid w:val="00DA6D7C"/>
    <w:rsid w:val="00DA70EA"/>
    <w:rsid w:val="00DA7AA4"/>
    <w:rsid w:val="00DA7C40"/>
    <w:rsid w:val="00DA7F17"/>
    <w:rsid w:val="00DB026A"/>
    <w:rsid w:val="00DB0D32"/>
    <w:rsid w:val="00DB105B"/>
    <w:rsid w:val="00DB145E"/>
    <w:rsid w:val="00DB1F4B"/>
    <w:rsid w:val="00DB224C"/>
    <w:rsid w:val="00DB2687"/>
    <w:rsid w:val="00DB29FE"/>
    <w:rsid w:val="00DB2BD6"/>
    <w:rsid w:val="00DB354C"/>
    <w:rsid w:val="00DB385D"/>
    <w:rsid w:val="00DB3A99"/>
    <w:rsid w:val="00DB3B17"/>
    <w:rsid w:val="00DB3DDE"/>
    <w:rsid w:val="00DB3FF2"/>
    <w:rsid w:val="00DB4000"/>
    <w:rsid w:val="00DB44AB"/>
    <w:rsid w:val="00DB4778"/>
    <w:rsid w:val="00DB4C97"/>
    <w:rsid w:val="00DB4E67"/>
    <w:rsid w:val="00DB4E71"/>
    <w:rsid w:val="00DB4EE3"/>
    <w:rsid w:val="00DB52E6"/>
    <w:rsid w:val="00DB5502"/>
    <w:rsid w:val="00DB5605"/>
    <w:rsid w:val="00DB5905"/>
    <w:rsid w:val="00DB5B88"/>
    <w:rsid w:val="00DB655B"/>
    <w:rsid w:val="00DB6694"/>
    <w:rsid w:val="00DB6AC5"/>
    <w:rsid w:val="00DB79C6"/>
    <w:rsid w:val="00DC03C1"/>
    <w:rsid w:val="00DC041E"/>
    <w:rsid w:val="00DC0749"/>
    <w:rsid w:val="00DC0ECC"/>
    <w:rsid w:val="00DC1029"/>
    <w:rsid w:val="00DC1ABD"/>
    <w:rsid w:val="00DC214C"/>
    <w:rsid w:val="00DC2B59"/>
    <w:rsid w:val="00DC2FE3"/>
    <w:rsid w:val="00DC346A"/>
    <w:rsid w:val="00DC386C"/>
    <w:rsid w:val="00DC3A95"/>
    <w:rsid w:val="00DC3BE7"/>
    <w:rsid w:val="00DC415B"/>
    <w:rsid w:val="00DC418F"/>
    <w:rsid w:val="00DC41FA"/>
    <w:rsid w:val="00DC428B"/>
    <w:rsid w:val="00DC4F3F"/>
    <w:rsid w:val="00DC54CF"/>
    <w:rsid w:val="00DC58B8"/>
    <w:rsid w:val="00DC58E7"/>
    <w:rsid w:val="00DC5CB8"/>
    <w:rsid w:val="00DC5EEF"/>
    <w:rsid w:val="00DC69EC"/>
    <w:rsid w:val="00DC6C09"/>
    <w:rsid w:val="00DC6FA9"/>
    <w:rsid w:val="00DC76DB"/>
    <w:rsid w:val="00DC7BB3"/>
    <w:rsid w:val="00DC7DAD"/>
    <w:rsid w:val="00DC7FFD"/>
    <w:rsid w:val="00DD0042"/>
    <w:rsid w:val="00DD065A"/>
    <w:rsid w:val="00DD07DA"/>
    <w:rsid w:val="00DD15BC"/>
    <w:rsid w:val="00DD179F"/>
    <w:rsid w:val="00DD188F"/>
    <w:rsid w:val="00DD1CCE"/>
    <w:rsid w:val="00DD213A"/>
    <w:rsid w:val="00DD2200"/>
    <w:rsid w:val="00DD2BC7"/>
    <w:rsid w:val="00DD3187"/>
    <w:rsid w:val="00DD3280"/>
    <w:rsid w:val="00DD32C5"/>
    <w:rsid w:val="00DD3505"/>
    <w:rsid w:val="00DD3F96"/>
    <w:rsid w:val="00DD43AE"/>
    <w:rsid w:val="00DD451A"/>
    <w:rsid w:val="00DD4CAC"/>
    <w:rsid w:val="00DD5E0D"/>
    <w:rsid w:val="00DD6040"/>
    <w:rsid w:val="00DD735E"/>
    <w:rsid w:val="00DD790C"/>
    <w:rsid w:val="00DE058F"/>
    <w:rsid w:val="00DE14F7"/>
    <w:rsid w:val="00DE17FC"/>
    <w:rsid w:val="00DE23F7"/>
    <w:rsid w:val="00DE439F"/>
    <w:rsid w:val="00DE486D"/>
    <w:rsid w:val="00DE4A25"/>
    <w:rsid w:val="00DE602B"/>
    <w:rsid w:val="00DE6235"/>
    <w:rsid w:val="00DE6A19"/>
    <w:rsid w:val="00DE6A85"/>
    <w:rsid w:val="00DE6ABF"/>
    <w:rsid w:val="00DE6D0E"/>
    <w:rsid w:val="00DE6E06"/>
    <w:rsid w:val="00DE70A7"/>
    <w:rsid w:val="00DE71A3"/>
    <w:rsid w:val="00DE745D"/>
    <w:rsid w:val="00DF0A8B"/>
    <w:rsid w:val="00DF1844"/>
    <w:rsid w:val="00DF1C86"/>
    <w:rsid w:val="00DF22F8"/>
    <w:rsid w:val="00DF26A1"/>
    <w:rsid w:val="00DF27C1"/>
    <w:rsid w:val="00DF29F6"/>
    <w:rsid w:val="00DF32D7"/>
    <w:rsid w:val="00DF35CD"/>
    <w:rsid w:val="00DF3889"/>
    <w:rsid w:val="00DF4013"/>
    <w:rsid w:val="00DF4257"/>
    <w:rsid w:val="00DF4AF6"/>
    <w:rsid w:val="00DF4E39"/>
    <w:rsid w:val="00DF5271"/>
    <w:rsid w:val="00DF6090"/>
    <w:rsid w:val="00DF65F2"/>
    <w:rsid w:val="00DF67DA"/>
    <w:rsid w:val="00DF6933"/>
    <w:rsid w:val="00DF69DA"/>
    <w:rsid w:val="00DF6EE9"/>
    <w:rsid w:val="00DF7B94"/>
    <w:rsid w:val="00DF7F77"/>
    <w:rsid w:val="00E00F07"/>
    <w:rsid w:val="00E01007"/>
    <w:rsid w:val="00E01369"/>
    <w:rsid w:val="00E01630"/>
    <w:rsid w:val="00E02329"/>
    <w:rsid w:val="00E024C2"/>
    <w:rsid w:val="00E025F9"/>
    <w:rsid w:val="00E02B9C"/>
    <w:rsid w:val="00E02CA9"/>
    <w:rsid w:val="00E034A3"/>
    <w:rsid w:val="00E03890"/>
    <w:rsid w:val="00E03A52"/>
    <w:rsid w:val="00E03B00"/>
    <w:rsid w:val="00E03C38"/>
    <w:rsid w:val="00E047AE"/>
    <w:rsid w:val="00E05183"/>
    <w:rsid w:val="00E05B39"/>
    <w:rsid w:val="00E05D68"/>
    <w:rsid w:val="00E05FF4"/>
    <w:rsid w:val="00E06956"/>
    <w:rsid w:val="00E06CE1"/>
    <w:rsid w:val="00E070BD"/>
    <w:rsid w:val="00E0751E"/>
    <w:rsid w:val="00E10531"/>
    <w:rsid w:val="00E107D1"/>
    <w:rsid w:val="00E10F05"/>
    <w:rsid w:val="00E11615"/>
    <w:rsid w:val="00E118C2"/>
    <w:rsid w:val="00E121A0"/>
    <w:rsid w:val="00E123EF"/>
    <w:rsid w:val="00E12984"/>
    <w:rsid w:val="00E12EE1"/>
    <w:rsid w:val="00E138EB"/>
    <w:rsid w:val="00E1474F"/>
    <w:rsid w:val="00E14ED9"/>
    <w:rsid w:val="00E151C4"/>
    <w:rsid w:val="00E15446"/>
    <w:rsid w:val="00E15B60"/>
    <w:rsid w:val="00E15C00"/>
    <w:rsid w:val="00E15C75"/>
    <w:rsid w:val="00E15E32"/>
    <w:rsid w:val="00E15ED2"/>
    <w:rsid w:val="00E160BE"/>
    <w:rsid w:val="00E1615A"/>
    <w:rsid w:val="00E1639E"/>
    <w:rsid w:val="00E1674A"/>
    <w:rsid w:val="00E167D9"/>
    <w:rsid w:val="00E168DA"/>
    <w:rsid w:val="00E1735D"/>
    <w:rsid w:val="00E17981"/>
    <w:rsid w:val="00E17EB9"/>
    <w:rsid w:val="00E207C9"/>
    <w:rsid w:val="00E21449"/>
    <w:rsid w:val="00E21ABB"/>
    <w:rsid w:val="00E21DB4"/>
    <w:rsid w:val="00E21E64"/>
    <w:rsid w:val="00E224A3"/>
    <w:rsid w:val="00E22736"/>
    <w:rsid w:val="00E22C8F"/>
    <w:rsid w:val="00E23168"/>
    <w:rsid w:val="00E23306"/>
    <w:rsid w:val="00E23685"/>
    <w:rsid w:val="00E239C9"/>
    <w:rsid w:val="00E23B92"/>
    <w:rsid w:val="00E23C2C"/>
    <w:rsid w:val="00E23D8B"/>
    <w:rsid w:val="00E24E69"/>
    <w:rsid w:val="00E25281"/>
    <w:rsid w:val="00E25510"/>
    <w:rsid w:val="00E257D2"/>
    <w:rsid w:val="00E25EEC"/>
    <w:rsid w:val="00E25F31"/>
    <w:rsid w:val="00E27BA8"/>
    <w:rsid w:val="00E27DC6"/>
    <w:rsid w:val="00E3018C"/>
    <w:rsid w:val="00E30562"/>
    <w:rsid w:val="00E30C2E"/>
    <w:rsid w:val="00E30D65"/>
    <w:rsid w:val="00E31B24"/>
    <w:rsid w:val="00E31EBB"/>
    <w:rsid w:val="00E32624"/>
    <w:rsid w:val="00E3306F"/>
    <w:rsid w:val="00E3315D"/>
    <w:rsid w:val="00E331C2"/>
    <w:rsid w:val="00E33E9E"/>
    <w:rsid w:val="00E3407E"/>
    <w:rsid w:val="00E340B3"/>
    <w:rsid w:val="00E34378"/>
    <w:rsid w:val="00E34E7A"/>
    <w:rsid w:val="00E35224"/>
    <w:rsid w:val="00E352C5"/>
    <w:rsid w:val="00E3564A"/>
    <w:rsid w:val="00E358A3"/>
    <w:rsid w:val="00E36CA4"/>
    <w:rsid w:val="00E36D1E"/>
    <w:rsid w:val="00E370C1"/>
    <w:rsid w:val="00E37207"/>
    <w:rsid w:val="00E3740D"/>
    <w:rsid w:val="00E37819"/>
    <w:rsid w:val="00E37ECC"/>
    <w:rsid w:val="00E40586"/>
    <w:rsid w:val="00E40800"/>
    <w:rsid w:val="00E411C5"/>
    <w:rsid w:val="00E412DD"/>
    <w:rsid w:val="00E41799"/>
    <w:rsid w:val="00E41D67"/>
    <w:rsid w:val="00E41E51"/>
    <w:rsid w:val="00E41F6D"/>
    <w:rsid w:val="00E423F1"/>
    <w:rsid w:val="00E448C1"/>
    <w:rsid w:val="00E44A2A"/>
    <w:rsid w:val="00E44ECB"/>
    <w:rsid w:val="00E45113"/>
    <w:rsid w:val="00E4526D"/>
    <w:rsid w:val="00E4541B"/>
    <w:rsid w:val="00E4549C"/>
    <w:rsid w:val="00E454D6"/>
    <w:rsid w:val="00E4561F"/>
    <w:rsid w:val="00E456AA"/>
    <w:rsid w:val="00E459D4"/>
    <w:rsid w:val="00E45E4C"/>
    <w:rsid w:val="00E465E1"/>
    <w:rsid w:val="00E46635"/>
    <w:rsid w:val="00E4676D"/>
    <w:rsid w:val="00E46A74"/>
    <w:rsid w:val="00E46B67"/>
    <w:rsid w:val="00E471B3"/>
    <w:rsid w:val="00E47865"/>
    <w:rsid w:val="00E47B2E"/>
    <w:rsid w:val="00E47D92"/>
    <w:rsid w:val="00E47DF7"/>
    <w:rsid w:val="00E5043B"/>
    <w:rsid w:val="00E50BD2"/>
    <w:rsid w:val="00E50C8F"/>
    <w:rsid w:val="00E50CC0"/>
    <w:rsid w:val="00E50D94"/>
    <w:rsid w:val="00E51322"/>
    <w:rsid w:val="00E51D59"/>
    <w:rsid w:val="00E52865"/>
    <w:rsid w:val="00E52C91"/>
    <w:rsid w:val="00E5347D"/>
    <w:rsid w:val="00E5390E"/>
    <w:rsid w:val="00E5413C"/>
    <w:rsid w:val="00E54B82"/>
    <w:rsid w:val="00E54D30"/>
    <w:rsid w:val="00E54D8A"/>
    <w:rsid w:val="00E56273"/>
    <w:rsid w:val="00E56C71"/>
    <w:rsid w:val="00E570B0"/>
    <w:rsid w:val="00E57189"/>
    <w:rsid w:val="00E57323"/>
    <w:rsid w:val="00E57904"/>
    <w:rsid w:val="00E60B65"/>
    <w:rsid w:val="00E60F81"/>
    <w:rsid w:val="00E60FE1"/>
    <w:rsid w:val="00E610C9"/>
    <w:rsid w:val="00E6161C"/>
    <w:rsid w:val="00E616F9"/>
    <w:rsid w:val="00E61C1D"/>
    <w:rsid w:val="00E61D97"/>
    <w:rsid w:val="00E6259E"/>
    <w:rsid w:val="00E6261B"/>
    <w:rsid w:val="00E631AB"/>
    <w:rsid w:val="00E63A35"/>
    <w:rsid w:val="00E63AC6"/>
    <w:rsid w:val="00E640D1"/>
    <w:rsid w:val="00E643A8"/>
    <w:rsid w:val="00E644B8"/>
    <w:rsid w:val="00E64AE0"/>
    <w:rsid w:val="00E64E75"/>
    <w:rsid w:val="00E65EA5"/>
    <w:rsid w:val="00E65F86"/>
    <w:rsid w:val="00E66773"/>
    <w:rsid w:val="00E66D08"/>
    <w:rsid w:val="00E67824"/>
    <w:rsid w:val="00E67CDC"/>
    <w:rsid w:val="00E7005C"/>
    <w:rsid w:val="00E703CE"/>
    <w:rsid w:val="00E704A8"/>
    <w:rsid w:val="00E70549"/>
    <w:rsid w:val="00E70693"/>
    <w:rsid w:val="00E70AB1"/>
    <w:rsid w:val="00E70BBA"/>
    <w:rsid w:val="00E711F5"/>
    <w:rsid w:val="00E715C7"/>
    <w:rsid w:val="00E71F76"/>
    <w:rsid w:val="00E72346"/>
    <w:rsid w:val="00E72377"/>
    <w:rsid w:val="00E727DD"/>
    <w:rsid w:val="00E72BCD"/>
    <w:rsid w:val="00E72C35"/>
    <w:rsid w:val="00E736C1"/>
    <w:rsid w:val="00E736EA"/>
    <w:rsid w:val="00E73FE3"/>
    <w:rsid w:val="00E74587"/>
    <w:rsid w:val="00E74620"/>
    <w:rsid w:val="00E748A9"/>
    <w:rsid w:val="00E74C00"/>
    <w:rsid w:val="00E74DD1"/>
    <w:rsid w:val="00E752F6"/>
    <w:rsid w:val="00E759AF"/>
    <w:rsid w:val="00E76099"/>
    <w:rsid w:val="00E7639E"/>
    <w:rsid w:val="00E76FF8"/>
    <w:rsid w:val="00E772A2"/>
    <w:rsid w:val="00E777AA"/>
    <w:rsid w:val="00E77D5D"/>
    <w:rsid w:val="00E8046F"/>
    <w:rsid w:val="00E805EC"/>
    <w:rsid w:val="00E80A6F"/>
    <w:rsid w:val="00E80C2E"/>
    <w:rsid w:val="00E81673"/>
    <w:rsid w:val="00E828BD"/>
    <w:rsid w:val="00E830D0"/>
    <w:rsid w:val="00E83243"/>
    <w:rsid w:val="00E84D92"/>
    <w:rsid w:val="00E85185"/>
    <w:rsid w:val="00E853A7"/>
    <w:rsid w:val="00E854D2"/>
    <w:rsid w:val="00E862BA"/>
    <w:rsid w:val="00E86F7B"/>
    <w:rsid w:val="00E870C7"/>
    <w:rsid w:val="00E874A0"/>
    <w:rsid w:val="00E8755D"/>
    <w:rsid w:val="00E90164"/>
    <w:rsid w:val="00E9049E"/>
    <w:rsid w:val="00E904B1"/>
    <w:rsid w:val="00E90595"/>
    <w:rsid w:val="00E91506"/>
    <w:rsid w:val="00E91B9A"/>
    <w:rsid w:val="00E91F64"/>
    <w:rsid w:val="00E925AC"/>
    <w:rsid w:val="00E92C85"/>
    <w:rsid w:val="00E92E0F"/>
    <w:rsid w:val="00E92EA0"/>
    <w:rsid w:val="00E93007"/>
    <w:rsid w:val="00E93428"/>
    <w:rsid w:val="00E9393A"/>
    <w:rsid w:val="00E93B4B"/>
    <w:rsid w:val="00E947FB"/>
    <w:rsid w:val="00E94F61"/>
    <w:rsid w:val="00E9500A"/>
    <w:rsid w:val="00E95041"/>
    <w:rsid w:val="00E95D77"/>
    <w:rsid w:val="00E96032"/>
    <w:rsid w:val="00E968A0"/>
    <w:rsid w:val="00E9697C"/>
    <w:rsid w:val="00E96A82"/>
    <w:rsid w:val="00E96C33"/>
    <w:rsid w:val="00E96F75"/>
    <w:rsid w:val="00E9734F"/>
    <w:rsid w:val="00E9738D"/>
    <w:rsid w:val="00E97738"/>
    <w:rsid w:val="00E97ECD"/>
    <w:rsid w:val="00EA02A1"/>
    <w:rsid w:val="00EA044F"/>
    <w:rsid w:val="00EA07BE"/>
    <w:rsid w:val="00EA1CAA"/>
    <w:rsid w:val="00EA20A6"/>
    <w:rsid w:val="00EA23C9"/>
    <w:rsid w:val="00EA2893"/>
    <w:rsid w:val="00EA28BD"/>
    <w:rsid w:val="00EA32DA"/>
    <w:rsid w:val="00EA32F8"/>
    <w:rsid w:val="00EA338A"/>
    <w:rsid w:val="00EA34CB"/>
    <w:rsid w:val="00EA3565"/>
    <w:rsid w:val="00EA3AD2"/>
    <w:rsid w:val="00EA428D"/>
    <w:rsid w:val="00EA42C1"/>
    <w:rsid w:val="00EA47A3"/>
    <w:rsid w:val="00EA4AC9"/>
    <w:rsid w:val="00EA5170"/>
    <w:rsid w:val="00EA5620"/>
    <w:rsid w:val="00EA56FA"/>
    <w:rsid w:val="00EA57B2"/>
    <w:rsid w:val="00EA5981"/>
    <w:rsid w:val="00EA5C6A"/>
    <w:rsid w:val="00EA63FA"/>
    <w:rsid w:val="00EA6620"/>
    <w:rsid w:val="00EA7094"/>
    <w:rsid w:val="00EA7B40"/>
    <w:rsid w:val="00EA7EE5"/>
    <w:rsid w:val="00EB02F1"/>
    <w:rsid w:val="00EB0723"/>
    <w:rsid w:val="00EB08F4"/>
    <w:rsid w:val="00EB0E78"/>
    <w:rsid w:val="00EB1207"/>
    <w:rsid w:val="00EB127F"/>
    <w:rsid w:val="00EB1280"/>
    <w:rsid w:val="00EB1775"/>
    <w:rsid w:val="00EB187F"/>
    <w:rsid w:val="00EB18C8"/>
    <w:rsid w:val="00EB289D"/>
    <w:rsid w:val="00EB2CCB"/>
    <w:rsid w:val="00EB2E83"/>
    <w:rsid w:val="00EB36C8"/>
    <w:rsid w:val="00EB3856"/>
    <w:rsid w:val="00EB3AAD"/>
    <w:rsid w:val="00EB3D01"/>
    <w:rsid w:val="00EB423C"/>
    <w:rsid w:val="00EB444B"/>
    <w:rsid w:val="00EB538F"/>
    <w:rsid w:val="00EB5653"/>
    <w:rsid w:val="00EB58F9"/>
    <w:rsid w:val="00EB6461"/>
    <w:rsid w:val="00EB69E0"/>
    <w:rsid w:val="00EB6E73"/>
    <w:rsid w:val="00EB754D"/>
    <w:rsid w:val="00EB78D2"/>
    <w:rsid w:val="00EB7B73"/>
    <w:rsid w:val="00EC02B4"/>
    <w:rsid w:val="00EC03A7"/>
    <w:rsid w:val="00EC0774"/>
    <w:rsid w:val="00EC083A"/>
    <w:rsid w:val="00EC0F2B"/>
    <w:rsid w:val="00EC0F72"/>
    <w:rsid w:val="00EC10B0"/>
    <w:rsid w:val="00EC1456"/>
    <w:rsid w:val="00EC1A2D"/>
    <w:rsid w:val="00EC22AC"/>
    <w:rsid w:val="00EC23B6"/>
    <w:rsid w:val="00EC2503"/>
    <w:rsid w:val="00EC2AE0"/>
    <w:rsid w:val="00EC2F18"/>
    <w:rsid w:val="00EC2F81"/>
    <w:rsid w:val="00EC33DF"/>
    <w:rsid w:val="00EC36C9"/>
    <w:rsid w:val="00EC3815"/>
    <w:rsid w:val="00EC3C92"/>
    <w:rsid w:val="00EC410C"/>
    <w:rsid w:val="00EC422A"/>
    <w:rsid w:val="00EC5695"/>
    <w:rsid w:val="00EC5E90"/>
    <w:rsid w:val="00EC5FBD"/>
    <w:rsid w:val="00EC646E"/>
    <w:rsid w:val="00EC6930"/>
    <w:rsid w:val="00EC70A6"/>
    <w:rsid w:val="00EC7E52"/>
    <w:rsid w:val="00ED0174"/>
    <w:rsid w:val="00ED0CE0"/>
    <w:rsid w:val="00ED22A8"/>
    <w:rsid w:val="00ED2582"/>
    <w:rsid w:val="00ED2C3E"/>
    <w:rsid w:val="00ED32D1"/>
    <w:rsid w:val="00ED34DF"/>
    <w:rsid w:val="00ED3517"/>
    <w:rsid w:val="00ED4283"/>
    <w:rsid w:val="00ED4874"/>
    <w:rsid w:val="00ED4B92"/>
    <w:rsid w:val="00ED4BBB"/>
    <w:rsid w:val="00ED5664"/>
    <w:rsid w:val="00ED59AB"/>
    <w:rsid w:val="00ED5B84"/>
    <w:rsid w:val="00ED6541"/>
    <w:rsid w:val="00ED6906"/>
    <w:rsid w:val="00ED6C11"/>
    <w:rsid w:val="00ED7026"/>
    <w:rsid w:val="00ED78B6"/>
    <w:rsid w:val="00ED798F"/>
    <w:rsid w:val="00ED79A0"/>
    <w:rsid w:val="00EE01EE"/>
    <w:rsid w:val="00EE02A6"/>
    <w:rsid w:val="00EE0792"/>
    <w:rsid w:val="00EE086B"/>
    <w:rsid w:val="00EE0D0B"/>
    <w:rsid w:val="00EE0D36"/>
    <w:rsid w:val="00EE0E27"/>
    <w:rsid w:val="00EE22E0"/>
    <w:rsid w:val="00EE2338"/>
    <w:rsid w:val="00EE2719"/>
    <w:rsid w:val="00EE2C12"/>
    <w:rsid w:val="00EE304E"/>
    <w:rsid w:val="00EE3779"/>
    <w:rsid w:val="00EE3803"/>
    <w:rsid w:val="00EE3B15"/>
    <w:rsid w:val="00EE44A8"/>
    <w:rsid w:val="00EE4509"/>
    <w:rsid w:val="00EE4750"/>
    <w:rsid w:val="00EE4AAA"/>
    <w:rsid w:val="00EE52C9"/>
    <w:rsid w:val="00EE5655"/>
    <w:rsid w:val="00EE5935"/>
    <w:rsid w:val="00EE5C61"/>
    <w:rsid w:val="00EE5D46"/>
    <w:rsid w:val="00EE6280"/>
    <w:rsid w:val="00EE6298"/>
    <w:rsid w:val="00EE6882"/>
    <w:rsid w:val="00EE6956"/>
    <w:rsid w:val="00EE6EBB"/>
    <w:rsid w:val="00EE72BC"/>
    <w:rsid w:val="00EE770C"/>
    <w:rsid w:val="00EE7AFA"/>
    <w:rsid w:val="00EF00F2"/>
    <w:rsid w:val="00EF024A"/>
    <w:rsid w:val="00EF0618"/>
    <w:rsid w:val="00EF0AA2"/>
    <w:rsid w:val="00EF13F9"/>
    <w:rsid w:val="00EF15E2"/>
    <w:rsid w:val="00EF189B"/>
    <w:rsid w:val="00EF1E5C"/>
    <w:rsid w:val="00EF35DF"/>
    <w:rsid w:val="00EF3A9A"/>
    <w:rsid w:val="00EF4269"/>
    <w:rsid w:val="00EF45A1"/>
    <w:rsid w:val="00EF498F"/>
    <w:rsid w:val="00EF4AAB"/>
    <w:rsid w:val="00EF4D57"/>
    <w:rsid w:val="00EF5227"/>
    <w:rsid w:val="00EF5D56"/>
    <w:rsid w:val="00EF6088"/>
    <w:rsid w:val="00EF646B"/>
    <w:rsid w:val="00EF65DD"/>
    <w:rsid w:val="00EF66D1"/>
    <w:rsid w:val="00EF6995"/>
    <w:rsid w:val="00EF7493"/>
    <w:rsid w:val="00EF7D60"/>
    <w:rsid w:val="00F000C9"/>
    <w:rsid w:val="00F0049C"/>
    <w:rsid w:val="00F00A0C"/>
    <w:rsid w:val="00F01166"/>
    <w:rsid w:val="00F01A70"/>
    <w:rsid w:val="00F02096"/>
    <w:rsid w:val="00F02751"/>
    <w:rsid w:val="00F02D22"/>
    <w:rsid w:val="00F02F62"/>
    <w:rsid w:val="00F0308A"/>
    <w:rsid w:val="00F032CA"/>
    <w:rsid w:val="00F032CD"/>
    <w:rsid w:val="00F03510"/>
    <w:rsid w:val="00F04515"/>
    <w:rsid w:val="00F0484B"/>
    <w:rsid w:val="00F04A26"/>
    <w:rsid w:val="00F04C34"/>
    <w:rsid w:val="00F04D16"/>
    <w:rsid w:val="00F04ED2"/>
    <w:rsid w:val="00F04F21"/>
    <w:rsid w:val="00F05A0F"/>
    <w:rsid w:val="00F05BA4"/>
    <w:rsid w:val="00F05F73"/>
    <w:rsid w:val="00F0626B"/>
    <w:rsid w:val="00F06372"/>
    <w:rsid w:val="00F065A9"/>
    <w:rsid w:val="00F06726"/>
    <w:rsid w:val="00F068C1"/>
    <w:rsid w:val="00F0695F"/>
    <w:rsid w:val="00F06964"/>
    <w:rsid w:val="00F07052"/>
    <w:rsid w:val="00F0725D"/>
    <w:rsid w:val="00F07EF5"/>
    <w:rsid w:val="00F1004C"/>
    <w:rsid w:val="00F10ADE"/>
    <w:rsid w:val="00F11212"/>
    <w:rsid w:val="00F1131B"/>
    <w:rsid w:val="00F116C5"/>
    <w:rsid w:val="00F119CE"/>
    <w:rsid w:val="00F123BB"/>
    <w:rsid w:val="00F12A4C"/>
    <w:rsid w:val="00F12A56"/>
    <w:rsid w:val="00F12C10"/>
    <w:rsid w:val="00F12D16"/>
    <w:rsid w:val="00F12D71"/>
    <w:rsid w:val="00F1310B"/>
    <w:rsid w:val="00F1330D"/>
    <w:rsid w:val="00F13843"/>
    <w:rsid w:val="00F13D43"/>
    <w:rsid w:val="00F141F4"/>
    <w:rsid w:val="00F14784"/>
    <w:rsid w:val="00F147BE"/>
    <w:rsid w:val="00F15178"/>
    <w:rsid w:val="00F1573B"/>
    <w:rsid w:val="00F158F3"/>
    <w:rsid w:val="00F159F6"/>
    <w:rsid w:val="00F15C1D"/>
    <w:rsid w:val="00F170DD"/>
    <w:rsid w:val="00F170DF"/>
    <w:rsid w:val="00F20678"/>
    <w:rsid w:val="00F2098C"/>
    <w:rsid w:val="00F20999"/>
    <w:rsid w:val="00F21173"/>
    <w:rsid w:val="00F2197A"/>
    <w:rsid w:val="00F2286B"/>
    <w:rsid w:val="00F22E2E"/>
    <w:rsid w:val="00F23085"/>
    <w:rsid w:val="00F23442"/>
    <w:rsid w:val="00F235E2"/>
    <w:rsid w:val="00F2567B"/>
    <w:rsid w:val="00F260CA"/>
    <w:rsid w:val="00F26481"/>
    <w:rsid w:val="00F26D72"/>
    <w:rsid w:val="00F26FCA"/>
    <w:rsid w:val="00F2713D"/>
    <w:rsid w:val="00F274F6"/>
    <w:rsid w:val="00F279EA"/>
    <w:rsid w:val="00F27F66"/>
    <w:rsid w:val="00F3009F"/>
    <w:rsid w:val="00F300F2"/>
    <w:rsid w:val="00F301D7"/>
    <w:rsid w:val="00F3034E"/>
    <w:rsid w:val="00F30D72"/>
    <w:rsid w:val="00F31024"/>
    <w:rsid w:val="00F317D4"/>
    <w:rsid w:val="00F31DA6"/>
    <w:rsid w:val="00F32348"/>
    <w:rsid w:val="00F3272A"/>
    <w:rsid w:val="00F32799"/>
    <w:rsid w:val="00F3310C"/>
    <w:rsid w:val="00F340E2"/>
    <w:rsid w:val="00F34133"/>
    <w:rsid w:val="00F349FD"/>
    <w:rsid w:val="00F35174"/>
    <w:rsid w:val="00F35502"/>
    <w:rsid w:val="00F35540"/>
    <w:rsid w:val="00F358E4"/>
    <w:rsid w:val="00F3596F"/>
    <w:rsid w:val="00F36515"/>
    <w:rsid w:val="00F36AF3"/>
    <w:rsid w:val="00F36B8A"/>
    <w:rsid w:val="00F36C5B"/>
    <w:rsid w:val="00F375A8"/>
    <w:rsid w:val="00F375F3"/>
    <w:rsid w:val="00F377B8"/>
    <w:rsid w:val="00F377C4"/>
    <w:rsid w:val="00F37AEB"/>
    <w:rsid w:val="00F37EF4"/>
    <w:rsid w:val="00F400FF"/>
    <w:rsid w:val="00F40573"/>
    <w:rsid w:val="00F406B9"/>
    <w:rsid w:val="00F40927"/>
    <w:rsid w:val="00F40A8C"/>
    <w:rsid w:val="00F40CCF"/>
    <w:rsid w:val="00F40DDD"/>
    <w:rsid w:val="00F4163B"/>
    <w:rsid w:val="00F41E21"/>
    <w:rsid w:val="00F41FD6"/>
    <w:rsid w:val="00F42305"/>
    <w:rsid w:val="00F43014"/>
    <w:rsid w:val="00F430DD"/>
    <w:rsid w:val="00F43369"/>
    <w:rsid w:val="00F43A6D"/>
    <w:rsid w:val="00F43BDB"/>
    <w:rsid w:val="00F43F50"/>
    <w:rsid w:val="00F449F9"/>
    <w:rsid w:val="00F44E27"/>
    <w:rsid w:val="00F4501F"/>
    <w:rsid w:val="00F458C3"/>
    <w:rsid w:val="00F4647F"/>
    <w:rsid w:val="00F50118"/>
    <w:rsid w:val="00F50ED1"/>
    <w:rsid w:val="00F50F4B"/>
    <w:rsid w:val="00F5123A"/>
    <w:rsid w:val="00F513EE"/>
    <w:rsid w:val="00F5145B"/>
    <w:rsid w:val="00F51575"/>
    <w:rsid w:val="00F52479"/>
    <w:rsid w:val="00F52674"/>
    <w:rsid w:val="00F529F1"/>
    <w:rsid w:val="00F52A03"/>
    <w:rsid w:val="00F52B04"/>
    <w:rsid w:val="00F52D3D"/>
    <w:rsid w:val="00F53634"/>
    <w:rsid w:val="00F536F9"/>
    <w:rsid w:val="00F5377A"/>
    <w:rsid w:val="00F53CB5"/>
    <w:rsid w:val="00F53EAA"/>
    <w:rsid w:val="00F54108"/>
    <w:rsid w:val="00F54585"/>
    <w:rsid w:val="00F55897"/>
    <w:rsid w:val="00F561B8"/>
    <w:rsid w:val="00F56887"/>
    <w:rsid w:val="00F57656"/>
    <w:rsid w:val="00F579D4"/>
    <w:rsid w:val="00F57AAB"/>
    <w:rsid w:val="00F57BBF"/>
    <w:rsid w:val="00F57D7B"/>
    <w:rsid w:val="00F60E46"/>
    <w:rsid w:val="00F6111C"/>
    <w:rsid w:val="00F613AD"/>
    <w:rsid w:val="00F61E66"/>
    <w:rsid w:val="00F62765"/>
    <w:rsid w:val="00F62F5B"/>
    <w:rsid w:val="00F63320"/>
    <w:rsid w:val="00F633E3"/>
    <w:rsid w:val="00F63728"/>
    <w:rsid w:val="00F63CFA"/>
    <w:rsid w:val="00F63EB3"/>
    <w:rsid w:val="00F647B0"/>
    <w:rsid w:val="00F64C12"/>
    <w:rsid w:val="00F64C9D"/>
    <w:rsid w:val="00F6501F"/>
    <w:rsid w:val="00F653D9"/>
    <w:rsid w:val="00F65532"/>
    <w:rsid w:val="00F65A98"/>
    <w:rsid w:val="00F65D72"/>
    <w:rsid w:val="00F66426"/>
    <w:rsid w:val="00F6645E"/>
    <w:rsid w:val="00F66635"/>
    <w:rsid w:val="00F666F0"/>
    <w:rsid w:val="00F67196"/>
    <w:rsid w:val="00F67E5F"/>
    <w:rsid w:val="00F708CF"/>
    <w:rsid w:val="00F7135E"/>
    <w:rsid w:val="00F71768"/>
    <w:rsid w:val="00F718E8"/>
    <w:rsid w:val="00F71C28"/>
    <w:rsid w:val="00F71F50"/>
    <w:rsid w:val="00F724FA"/>
    <w:rsid w:val="00F725BB"/>
    <w:rsid w:val="00F726F2"/>
    <w:rsid w:val="00F72AB8"/>
    <w:rsid w:val="00F73A1E"/>
    <w:rsid w:val="00F73E42"/>
    <w:rsid w:val="00F73F1D"/>
    <w:rsid w:val="00F740CA"/>
    <w:rsid w:val="00F74BDC"/>
    <w:rsid w:val="00F74F90"/>
    <w:rsid w:val="00F7502D"/>
    <w:rsid w:val="00F7540A"/>
    <w:rsid w:val="00F7565F"/>
    <w:rsid w:val="00F75B87"/>
    <w:rsid w:val="00F75BE7"/>
    <w:rsid w:val="00F761B2"/>
    <w:rsid w:val="00F76E24"/>
    <w:rsid w:val="00F7798D"/>
    <w:rsid w:val="00F77BFE"/>
    <w:rsid w:val="00F77E24"/>
    <w:rsid w:val="00F807C6"/>
    <w:rsid w:val="00F80FA6"/>
    <w:rsid w:val="00F80FAD"/>
    <w:rsid w:val="00F81140"/>
    <w:rsid w:val="00F81408"/>
    <w:rsid w:val="00F81853"/>
    <w:rsid w:val="00F821C7"/>
    <w:rsid w:val="00F82CB7"/>
    <w:rsid w:val="00F8306A"/>
    <w:rsid w:val="00F83262"/>
    <w:rsid w:val="00F8373B"/>
    <w:rsid w:val="00F83892"/>
    <w:rsid w:val="00F83935"/>
    <w:rsid w:val="00F83B1F"/>
    <w:rsid w:val="00F83F7C"/>
    <w:rsid w:val="00F841F5"/>
    <w:rsid w:val="00F84502"/>
    <w:rsid w:val="00F846E0"/>
    <w:rsid w:val="00F84986"/>
    <w:rsid w:val="00F850E4"/>
    <w:rsid w:val="00F85C19"/>
    <w:rsid w:val="00F865EB"/>
    <w:rsid w:val="00F86B48"/>
    <w:rsid w:val="00F86C5C"/>
    <w:rsid w:val="00F86CFF"/>
    <w:rsid w:val="00F86D56"/>
    <w:rsid w:val="00F86DA3"/>
    <w:rsid w:val="00F8760A"/>
    <w:rsid w:val="00F8760D"/>
    <w:rsid w:val="00F8770C"/>
    <w:rsid w:val="00F87ABE"/>
    <w:rsid w:val="00F90572"/>
    <w:rsid w:val="00F909F2"/>
    <w:rsid w:val="00F9100A"/>
    <w:rsid w:val="00F9228F"/>
    <w:rsid w:val="00F9271D"/>
    <w:rsid w:val="00F939D9"/>
    <w:rsid w:val="00F93C74"/>
    <w:rsid w:val="00F93DC4"/>
    <w:rsid w:val="00F94780"/>
    <w:rsid w:val="00F94A85"/>
    <w:rsid w:val="00F94B44"/>
    <w:rsid w:val="00F94D94"/>
    <w:rsid w:val="00F94FD7"/>
    <w:rsid w:val="00F9520C"/>
    <w:rsid w:val="00F95337"/>
    <w:rsid w:val="00F95548"/>
    <w:rsid w:val="00F95D13"/>
    <w:rsid w:val="00F95FFA"/>
    <w:rsid w:val="00F960C1"/>
    <w:rsid w:val="00F96114"/>
    <w:rsid w:val="00F963C8"/>
    <w:rsid w:val="00F963FF"/>
    <w:rsid w:val="00F97331"/>
    <w:rsid w:val="00F9765B"/>
    <w:rsid w:val="00F97788"/>
    <w:rsid w:val="00F97D0C"/>
    <w:rsid w:val="00FA091E"/>
    <w:rsid w:val="00FA0D13"/>
    <w:rsid w:val="00FA1610"/>
    <w:rsid w:val="00FA16BB"/>
    <w:rsid w:val="00FA17A6"/>
    <w:rsid w:val="00FA22D8"/>
    <w:rsid w:val="00FA2983"/>
    <w:rsid w:val="00FA2B57"/>
    <w:rsid w:val="00FA31D2"/>
    <w:rsid w:val="00FA31D8"/>
    <w:rsid w:val="00FA3750"/>
    <w:rsid w:val="00FA3BEF"/>
    <w:rsid w:val="00FA3EBA"/>
    <w:rsid w:val="00FA4754"/>
    <w:rsid w:val="00FA4863"/>
    <w:rsid w:val="00FA4D05"/>
    <w:rsid w:val="00FA4DAE"/>
    <w:rsid w:val="00FA4E17"/>
    <w:rsid w:val="00FA558D"/>
    <w:rsid w:val="00FA5668"/>
    <w:rsid w:val="00FA57B3"/>
    <w:rsid w:val="00FA5814"/>
    <w:rsid w:val="00FA5CA7"/>
    <w:rsid w:val="00FA601C"/>
    <w:rsid w:val="00FA6187"/>
    <w:rsid w:val="00FA6A95"/>
    <w:rsid w:val="00FA70FD"/>
    <w:rsid w:val="00FA72B6"/>
    <w:rsid w:val="00FA73AD"/>
    <w:rsid w:val="00FA75A2"/>
    <w:rsid w:val="00FA76CE"/>
    <w:rsid w:val="00FA76EF"/>
    <w:rsid w:val="00FA784A"/>
    <w:rsid w:val="00FA78BF"/>
    <w:rsid w:val="00FA79EF"/>
    <w:rsid w:val="00FA7E1E"/>
    <w:rsid w:val="00FB02E9"/>
    <w:rsid w:val="00FB0429"/>
    <w:rsid w:val="00FB045E"/>
    <w:rsid w:val="00FB0959"/>
    <w:rsid w:val="00FB1905"/>
    <w:rsid w:val="00FB1FAF"/>
    <w:rsid w:val="00FB2282"/>
    <w:rsid w:val="00FB2590"/>
    <w:rsid w:val="00FB25BA"/>
    <w:rsid w:val="00FB27B3"/>
    <w:rsid w:val="00FB2A78"/>
    <w:rsid w:val="00FB2CF8"/>
    <w:rsid w:val="00FB32BB"/>
    <w:rsid w:val="00FB38A7"/>
    <w:rsid w:val="00FB4023"/>
    <w:rsid w:val="00FB4086"/>
    <w:rsid w:val="00FB46A2"/>
    <w:rsid w:val="00FB47CA"/>
    <w:rsid w:val="00FB5685"/>
    <w:rsid w:val="00FB5916"/>
    <w:rsid w:val="00FB5B49"/>
    <w:rsid w:val="00FB5EF9"/>
    <w:rsid w:val="00FB6534"/>
    <w:rsid w:val="00FB66B9"/>
    <w:rsid w:val="00FB70DD"/>
    <w:rsid w:val="00FB7A91"/>
    <w:rsid w:val="00FC0569"/>
    <w:rsid w:val="00FC0585"/>
    <w:rsid w:val="00FC0819"/>
    <w:rsid w:val="00FC0BDA"/>
    <w:rsid w:val="00FC0E6F"/>
    <w:rsid w:val="00FC1112"/>
    <w:rsid w:val="00FC1441"/>
    <w:rsid w:val="00FC1E00"/>
    <w:rsid w:val="00FC1FE1"/>
    <w:rsid w:val="00FC24FE"/>
    <w:rsid w:val="00FC2766"/>
    <w:rsid w:val="00FC2848"/>
    <w:rsid w:val="00FC3573"/>
    <w:rsid w:val="00FC37E8"/>
    <w:rsid w:val="00FC3A83"/>
    <w:rsid w:val="00FC3B77"/>
    <w:rsid w:val="00FC431A"/>
    <w:rsid w:val="00FC4AC0"/>
    <w:rsid w:val="00FC4C4C"/>
    <w:rsid w:val="00FC5279"/>
    <w:rsid w:val="00FC52E0"/>
    <w:rsid w:val="00FC56BD"/>
    <w:rsid w:val="00FC5BDF"/>
    <w:rsid w:val="00FC62A5"/>
    <w:rsid w:val="00FC657D"/>
    <w:rsid w:val="00FC6E2C"/>
    <w:rsid w:val="00FC7158"/>
    <w:rsid w:val="00FC77AF"/>
    <w:rsid w:val="00FD08F6"/>
    <w:rsid w:val="00FD138F"/>
    <w:rsid w:val="00FD1662"/>
    <w:rsid w:val="00FD18CA"/>
    <w:rsid w:val="00FD19EB"/>
    <w:rsid w:val="00FD1A45"/>
    <w:rsid w:val="00FD1CE2"/>
    <w:rsid w:val="00FD2311"/>
    <w:rsid w:val="00FD257B"/>
    <w:rsid w:val="00FD2A02"/>
    <w:rsid w:val="00FD2D2C"/>
    <w:rsid w:val="00FD2EE4"/>
    <w:rsid w:val="00FD3F8D"/>
    <w:rsid w:val="00FD4229"/>
    <w:rsid w:val="00FD42EF"/>
    <w:rsid w:val="00FD476D"/>
    <w:rsid w:val="00FD4C40"/>
    <w:rsid w:val="00FD5647"/>
    <w:rsid w:val="00FD6E57"/>
    <w:rsid w:val="00FD74B3"/>
    <w:rsid w:val="00FE00A4"/>
    <w:rsid w:val="00FE045A"/>
    <w:rsid w:val="00FE077A"/>
    <w:rsid w:val="00FE0A17"/>
    <w:rsid w:val="00FE0D3D"/>
    <w:rsid w:val="00FE0DDD"/>
    <w:rsid w:val="00FE1950"/>
    <w:rsid w:val="00FE1BCE"/>
    <w:rsid w:val="00FE2170"/>
    <w:rsid w:val="00FE2694"/>
    <w:rsid w:val="00FE26A0"/>
    <w:rsid w:val="00FE29E0"/>
    <w:rsid w:val="00FE2BAF"/>
    <w:rsid w:val="00FE2D07"/>
    <w:rsid w:val="00FE2FF7"/>
    <w:rsid w:val="00FE3271"/>
    <w:rsid w:val="00FE34E5"/>
    <w:rsid w:val="00FE350D"/>
    <w:rsid w:val="00FE3CE5"/>
    <w:rsid w:val="00FE446F"/>
    <w:rsid w:val="00FE44D9"/>
    <w:rsid w:val="00FE46E1"/>
    <w:rsid w:val="00FE4713"/>
    <w:rsid w:val="00FE4739"/>
    <w:rsid w:val="00FE47FC"/>
    <w:rsid w:val="00FE4A22"/>
    <w:rsid w:val="00FE4D49"/>
    <w:rsid w:val="00FE5743"/>
    <w:rsid w:val="00FE581D"/>
    <w:rsid w:val="00FE5834"/>
    <w:rsid w:val="00FE592E"/>
    <w:rsid w:val="00FE5FC3"/>
    <w:rsid w:val="00FE61BA"/>
    <w:rsid w:val="00FE6975"/>
    <w:rsid w:val="00FE6FB5"/>
    <w:rsid w:val="00FE7478"/>
    <w:rsid w:val="00FE7572"/>
    <w:rsid w:val="00FE78AE"/>
    <w:rsid w:val="00FE7A54"/>
    <w:rsid w:val="00FF03C1"/>
    <w:rsid w:val="00FF0D9E"/>
    <w:rsid w:val="00FF1709"/>
    <w:rsid w:val="00FF22DF"/>
    <w:rsid w:val="00FF2482"/>
    <w:rsid w:val="00FF2540"/>
    <w:rsid w:val="00FF390B"/>
    <w:rsid w:val="00FF3E14"/>
    <w:rsid w:val="00FF3FC5"/>
    <w:rsid w:val="00FF4070"/>
    <w:rsid w:val="00FF506F"/>
    <w:rsid w:val="00FF5150"/>
    <w:rsid w:val="00FF56E2"/>
    <w:rsid w:val="00FF57D2"/>
    <w:rsid w:val="00FF5DB0"/>
    <w:rsid w:val="00FF5F19"/>
    <w:rsid w:val="00FF611E"/>
    <w:rsid w:val="00FF6261"/>
    <w:rsid w:val="00FF6AAC"/>
    <w:rsid w:val="00FF6E80"/>
    <w:rsid w:val="00FF6F67"/>
    <w:rsid w:val="00FF7062"/>
    <w:rsid w:val="00FF71CE"/>
    <w:rsid w:val="00FF72C0"/>
    <w:rsid w:val="00FF767E"/>
    <w:rsid w:val="00FF79B8"/>
    <w:rsid w:val="52C2B05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A8F07E"/>
  <w15:docId w15:val="{05E18CFB-6AE9-43F8-B10C-3C8C76298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1A47"/>
    <w:pPr>
      <w:spacing w:before="160" w:line="336" w:lineRule="auto"/>
    </w:pPr>
    <w:rPr>
      <w:lang w:val="en-AU"/>
    </w:rPr>
  </w:style>
  <w:style w:type="paragraph" w:styleId="Heading1">
    <w:name w:val="heading 1"/>
    <w:basedOn w:val="Normal"/>
    <w:next w:val="Normal"/>
    <w:link w:val="Heading1Char"/>
    <w:uiPriority w:val="9"/>
    <w:qFormat/>
    <w:rsid w:val="002E7385"/>
    <w:pPr>
      <w:keepNext/>
      <w:keepLines/>
      <w:pageBreakBefore/>
      <w:spacing w:before="240" w:after="320"/>
      <w:outlineLvl w:val="0"/>
    </w:pPr>
    <w:rPr>
      <w:rFonts w:ascii="Tahoma" w:eastAsiaTheme="majorEastAsia" w:hAnsi="Tahoma" w:cstheme="majorBidi"/>
      <w:color w:val="CE0058" w:themeColor="accent2"/>
      <w:sz w:val="40"/>
      <w:szCs w:val="32"/>
    </w:rPr>
  </w:style>
  <w:style w:type="paragraph" w:styleId="Heading2">
    <w:name w:val="heading 2"/>
    <w:basedOn w:val="Normal"/>
    <w:next w:val="Normal"/>
    <w:link w:val="Heading2Char"/>
    <w:uiPriority w:val="9"/>
    <w:unhideWhenUsed/>
    <w:qFormat/>
    <w:rsid w:val="002E7385"/>
    <w:pPr>
      <w:keepNext/>
      <w:keepLines/>
      <w:spacing w:before="240"/>
      <w:outlineLvl w:val="1"/>
    </w:pPr>
    <w:rPr>
      <w:rFonts w:ascii="Tahoma" w:eastAsiaTheme="majorEastAsia" w:hAnsi="Tahoma" w:cstheme="majorBidi"/>
      <w:b/>
      <w:sz w:val="26"/>
      <w:szCs w:val="26"/>
    </w:rPr>
  </w:style>
  <w:style w:type="paragraph" w:styleId="Heading3">
    <w:name w:val="heading 3"/>
    <w:basedOn w:val="Normal"/>
    <w:next w:val="Normal"/>
    <w:link w:val="Heading3Char"/>
    <w:uiPriority w:val="9"/>
    <w:unhideWhenUsed/>
    <w:qFormat/>
    <w:rsid w:val="002E7385"/>
    <w:pPr>
      <w:keepNext/>
      <w:keepLines/>
      <w:spacing w:before="200" w:after="120"/>
      <w:outlineLvl w:val="2"/>
    </w:pPr>
    <w:rPr>
      <w:rFonts w:ascii="Tahoma" w:eastAsiaTheme="majorEastAsia" w:hAnsi="Tahoma" w:cstheme="majorBidi"/>
      <w:b/>
      <w:color w:val="4986A0" w:themeColor="text2"/>
      <w:szCs w:val="24"/>
    </w:rPr>
  </w:style>
  <w:style w:type="paragraph" w:styleId="Heading4">
    <w:name w:val="heading 4"/>
    <w:basedOn w:val="Normal"/>
    <w:next w:val="Normal"/>
    <w:link w:val="Heading4Char"/>
    <w:uiPriority w:val="9"/>
    <w:unhideWhenUsed/>
    <w:qFormat/>
    <w:rsid w:val="002E7385"/>
    <w:pPr>
      <w:keepNext/>
      <w:keepLines/>
      <w:spacing w:before="120" w:after="0"/>
      <w:outlineLvl w:val="3"/>
    </w:pPr>
    <w:rPr>
      <w:rFonts w:ascii="Tahoma" w:eastAsiaTheme="majorEastAsia" w:hAnsi="Tahoma" w:cstheme="majorBidi"/>
      <w:b/>
      <w:iCs/>
      <w:color w:val="75787B" w:themeColor="background2"/>
    </w:rPr>
  </w:style>
  <w:style w:type="paragraph" w:styleId="Heading5">
    <w:name w:val="heading 5"/>
    <w:basedOn w:val="Normal"/>
    <w:next w:val="Normal"/>
    <w:link w:val="Heading5Char"/>
    <w:uiPriority w:val="9"/>
    <w:semiHidden/>
    <w:unhideWhenUsed/>
    <w:rsid w:val="006A0547"/>
    <w:pPr>
      <w:keepNext/>
      <w:keepLines/>
      <w:spacing w:before="200" w:after="0"/>
      <w:outlineLvl w:val="4"/>
    </w:pPr>
    <w:rPr>
      <w:rFonts w:asciiTheme="majorHAnsi" w:eastAsiaTheme="majorEastAsia" w:hAnsiTheme="majorHAnsi" w:cstheme="majorBidi"/>
      <w:i/>
      <w:color w:val="11304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AE03FA"/>
    <w:pPr>
      <w:tabs>
        <w:tab w:val="center" w:pos="4680"/>
        <w:tab w:val="right" w:pos="9360"/>
      </w:tabs>
      <w:spacing w:after="0"/>
    </w:pPr>
  </w:style>
  <w:style w:type="character" w:customStyle="1" w:styleId="HeaderChar">
    <w:name w:val="Header Char"/>
    <w:basedOn w:val="DefaultParagraphFont"/>
    <w:link w:val="Header"/>
    <w:uiPriority w:val="99"/>
    <w:semiHidden/>
    <w:rsid w:val="00812056"/>
    <w:rPr>
      <w:lang w:val="en-AU"/>
    </w:rPr>
  </w:style>
  <w:style w:type="paragraph" w:styleId="Footer">
    <w:name w:val="footer"/>
    <w:basedOn w:val="Normal"/>
    <w:link w:val="FooterChar"/>
    <w:uiPriority w:val="99"/>
    <w:unhideWhenUsed/>
    <w:rsid w:val="00CF34D6"/>
    <w:pPr>
      <w:tabs>
        <w:tab w:val="center" w:pos="4680"/>
        <w:tab w:val="right" w:pos="9360"/>
      </w:tabs>
      <w:spacing w:before="120" w:after="0" w:line="288" w:lineRule="auto"/>
      <w:contextualSpacing/>
    </w:pPr>
    <w:rPr>
      <w:color w:val="75787B" w:themeColor="background2"/>
    </w:rPr>
  </w:style>
  <w:style w:type="character" w:customStyle="1" w:styleId="FooterChar">
    <w:name w:val="Footer Char"/>
    <w:basedOn w:val="DefaultParagraphFont"/>
    <w:link w:val="Footer"/>
    <w:uiPriority w:val="99"/>
    <w:rsid w:val="00CF34D6"/>
    <w:rPr>
      <w:color w:val="75787B" w:themeColor="background2"/>
    </w:rPr>
  </w:style>
  <w:style w:type="paragraph" w:styleId="Title">
    <w:name w:val="Title"/>
    <w:basedOn w:val="Normal"/>
    <w:next w:val="Normal"/>
    <w:link w:val="TitleChar"/>
    <w:uiPriority w:val="10"/>
    <w:semiHidden/>
    <w:qFormat/>
    <w:rsid w:val="002E7385"/>
    <w:pPr>
      <w:spacing w:after="280"/>
      <w:contextualSpacing/>
    </w:pPr>
    <w:rPr>
      <w:rFonts w:ascii="Tahoma" w:eastAsiaTheme="majorEastAsia" w:hAnsi="Tahoma" w:cstheme="majorBidi"/>
      <w:color w:val="4986A0" w:themeColor="text2"/>
      <w:kern w:val="28"/>
      <w:sz w:val="52"/>
      <w:szCs w:val="56"/>
    </w:rPr>
  </w:style>
  <w:style w:type="character" w:customStyle="1" w:styleId="TitleChar">
    <w:name w:val="Title Char"/>
    <w:basedOn w:val="DefaultParagraphFont"/>
    <w:link w:val="Title"/>
    <w:uiPriority w:val="10"/>
    <w:semiHidden/>
    <w:rsid w:val="00812056"/>
    <w:rPr>
      <w:rFonts w:ascii="Tahoma" w:eastAsiaTheme="majorEastAsia" w:hAnsi="Tahoma" w:cstheme="majorBidi"/>
      <w:color w:val="4986A0" w:themeColor="text2"/>
      <w:kern w:val="28"/>
      <w:sz w:val="52"/>
      <w:szCs w:val="56"/>
      <w:lang w:val="en-AU"/>
    </w:rPr>
  </w:style>
  <w:style w:type="paragraph" w:styleId="Subtitle">
    <w:name w:val="Subtitle"/>
    <w:basedOn w:val="Normal"/>
    <w:next w:val="Normal"/>
    <w:link w:val="SubtitleChar"/>
    <w:uiPriority w:val="11"/>
    <w:qFormat/>
    <w:rsid w:val="002E7385"/>
    <w:pPr>
      <w:numPr>
        <w:ilvl w:val="1"/>
      </w:numPr>
      <w:spacing w:after="240"/>
    </w:pPr>
    <w:rPr>
      <w:rFonts w:ascii="Tahoma" w:eastAsiaTheme="minorEastAsia" w:hAnsi="Tahoma"/>
      <w:color w:val="75787B" w:themeColor="background2"/>
      <w:sz w:val="28"/>
    </w:rPr>
  </w:style>
  <w:style w:type="character" w:customStyle="1" w:styleId="SubtitleChar">
    <w:name w:val="Subtitle Char"/>
    <w:basedOn w:val="DefaultParagraphFont"/>
    <w:link w:val="Subtitle"/>
    <w:uiPriority w:val="11"/>
    <w:rsid w:val="002E7385"/>
    <w:rPr>
      <w:rFonts w:ascii="Tahoma" w:eastAsiaTheme="minorEastAsia" w:hAnsi="Tahoma"/>
      <w:color w:val="75787B" w:themeColor="background2"/>
      <w:sz w:val="28"/>
    </w:rPr>
  </w:style>
  <w:style w:type="character" w:styleId="PlaceholderText">
    <w:name w:val="Placeholder Text"/>
    <w:basedOn w:val="DefaultParagraphFont"/>
    <w:uiPriority w:val="99"/>
    <w:semiHidden/>
    <w:rsid w:val="00615C49"/>
    <w:rPr>
      <w:color w:val="808080"/>
    </w:rPr>
  </w:style>
  <w:style w:type="table" w:styleId="TableGrid">
    <w:name w:val="Table Grid"/>
    <w:basedOn w:val="TableNormal"/>
    <w:uiPriority w:val="39"/>
    <w:rsid w:val="005C6E04"/>
    <w:pPr>
      <w:spacing w:after="0" w:line="240" w:lineRule="auto"/>
    </w:pPr>
    <w:tblPr>
      <w:tblStyleRowBandSize w:val="1"/>
      <w:tblBorders>
        <w:insideH w:val="single" w:sz="8" w:space="0" w:color="FFFFFF" w:themeColor="background1"/>
      </w:tblBorders>
      <w:tblCellMar>
        <w:top w:w="85" w:type="dxa"/>
        <w:left w:w="85" w:type="dxa"/>
        <w:bottom w:w="85" w:type="dxa"/>
        <w:right w:w="57" w:type="dxa"/>
      </w:tblCellMar>
    </w:tblPr>
    <w:tblStylePr w:type="firstRow">
      <w:rPr>
        <w:b/>
        <w:color w:val="FFFFFF" w:themeColor="background1"/>
      </w:rPr>
      <w:tblPr/>
      <w:tcPr>
        <w:shd w:val="clear" w:color="auto" w:fill="4986A0" w:themeFill="text2"/>
      </w:tcPr>
    </w:tblStylePr>
    <w:tblStylePr w:type="lastRow">
      <w:rPr>
        <w:b/>
      </w:rPr>
      <w:tblPr/>
      <w:tcPr>
        <w:tcBorders>
          <w:top w:val="nil"/>
          <w:left w:val="nil"/>
          <w:bottom w:val="nil"/>
          <w:right w:val="nil"/>
          <w:insideH w:val="nil"/>
          <w:insideV w:val="nil"/>
          <w:tl2br w:val="nil"/>
          <w:tr2bl w:val="nil"/>
        </w:tcBorders>
        <w:shd w:val="clear" w:color="auto" w:fill="F2F2F2" w:themeFill="background1" w:themeFillShade="F2"/>
      </w:tcPr>
    </w:tblStylePr>
    <w:tblStylePr w:type="band1Horz">
      <w:tblPr/>
      <w:tcPr>
        <w:shd w:val="clear" w:color="auto" w:fill="F2F2F2" w:themeFill="background1" w:themeFillShade="F2"/>
      </w:tcPr>
    </w:tblStylePr>
    <w:tblStylePr w:type="band2Horz">
      <w:tblPr/>
      <w:tcPr>
        <w:shd w:val="clear" w:color="auto" w:fill="E3E3E4" w:themeFill="background2" w:themeFillTint="33"/>
      </w:tcPr>
    </w:tblStylePr>
  </w:style>
  <w:style w:type="table" w:customStyle="1" w:styleId="FooterTable">
    <w:name w:val="Footer Table"/>
    <w:basedOn w:val="TableNormal"/>
    <w:uiPriority w:val="99"/>
    <w:rsid w:val="007B6C8C"/>
    <w:pPr>
      <w:spacing w:after="0" w:line="240" w:lineRule="auto"/>
      <w:jc w:val="center"/>
    </w:pPr>
    <w:tblPr>
      <w:jc w:val="right"/>
      <w:tblBorders>
        <w:insideV w:val="single" w:sz="12" w:space="0" w:color="FFFFFF" w:themeColor="background1"/>
      </w:tblBorders>
      <w:tblCellMar>
        <w:left w:w="85" w:type="dxa"/>
        <w:right w:w="85" w:type="dxa"/>
      </w:tblCellMar>
    </w:tblPr>
    <w:trPr>
      <w:jc w:val="right"/>
    </w:trPr>
    <w:tcPr>
      <w:shd w:val="clear" w:color="auto" w:fill="CE0058" w:themeFill="accent2"/>
      <w:vAlign w:val="center"/>
    </w:tcPr>
    <w:tblStylePr w:type="firstCol">
      <w:tblPr/>
      <w:tcPr>
        <w:shd w:val="clear" w:color="auto" w:fill="CE0058" w:themeFill="accent2"/>
      </w:tcPr>
    </w:tblStylePr>
  </w:style>
  <w:style w:type="character" w:customStyle="1" w:styleId="Heading1Char">
    <w:name w:val="Heading 1 Char"/>
    <w:basedOn w:val="DefaultParagraphFont"/>
    <w:link w:val="Heading1"/>
    <w:uiPriority w:val="9"/>
    <w:rsid w:val="002E7385"/>
    <w:rPr>
      <w:rFonts w:ascii="Tahoma" w:eastAsiaTheme="majorEastAsia" w:hAnsi="Tahoma" w:cstheme="majorBidi"/>
      <w:color w:val="CE0058" w:themeColor="accent2"/>
      <w:sz w:val="40"/>
      <w:szCs w:val="32"/>
    </w:rPr>
  </w:style>
  <w:style w:type="character" w:customStyle="1" w:styleId="Heading2Char">
    <w:name w:val="Heading 2 Char"/>
    <w:basedOn w:val="DefaultParagraphFont"/>
    <w:link w:val="Heading2"/>
    <w:uiPriority w:val="9"/>
    <w:rsid w:val="002E7385"/>
    <w:rPr>
      <w:rFonts w:ascii="Tahoma" w:eastAsiaTheme="majorEastAsia" w:hAnsi="Tahoma" w:cstheme="majorBidi"/>
      <w:b/>
      <w:sz w:val="26"/>
      <w:szCs w:val="26"/>
    </w:rPr>
  </w:style>
  <w:style w:type="paragraph" w:styleId="ListBullet">
    <w:name w:val="List Bullet"/>
    <w:basedOn w:val="Normal"/>
    <w:link w:val="ListBulletChar"/>
    <w:uiPriority w:val="99"/>
    <w:unhideWhenUsed/>
    <w:qFormat/>
    <w:rsid w:val="00DC2B59"/>
    <w:pPr>
      <w:numPr>
        <w:numId w:val="1"/>
      </w:numPr>
      <w:contextualSpacing/>
    </w:pPr>
  </w:style>
  <w:style w:type="paragraph" w:styleId="BalloonText">
    <w:name w:val="Balloon Text"/>
    <w:basedOn w:val="Normal"/>
    <w:link w:val="BalloonTextChar"/>
    <w:uiPriority w:val="99"/>
    <w:semiHidden/>
    <w:unhideWhenUsed/>
    <w:rsid w:val="00865EC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5ECE"/>
    <w:rPr>
      <w:rFonts w:ascii="Segoe UI" w:hAnsi="Segoe UI" w:cs="Segoe UI"/>
      <w:sz w:val="18"/>
      <w:szCs w:val="18"/>
    </w:rPr>
  </w:style>
  <w:style w:type="paragraph" w:customStyle="1" w:styleId="Heading1numbered">
    <w:name w:val="Heading 1 numbered"/>
    <w:basedOn w:val="Heading1"/>
    <w:next w:val="Normal"/>
    <w:qFormat/>
    <w:rsid w:val="005F5578"/>
    <w:pPr>
      <w:numPr>
        <w:numId w:val="30"/>
      </w:numPr>
    </w:pPr>
  </w:style>
  <w:style w:type="paragraph" w:customStyle="1" w:styleId="Heading2numbered">
    <w:name w:val="Heading 2 numbered"/>
    <w:basedOn w:val="Heading2"/>
    <w:next w:val="Normal"/>
    <w:qFormat/>
    <w:rsid w:val="005F5578"/>
    <w:pPr>
      <w:numPr>
        <w:ilvl w:val="1"/>
        <w:numId w:val="30"/>
      </w:numPr>
    </w:pPr>
  </w:style>
  <w:style w:type="numbering" w:customStyle="1" w:styleId="Bullet">
    <w:name w:val="Bullet"/>
    <w:uiPriority w:val="99"/>
    <w:rsid w:val="00DC2B59"/>
    <w:pPr>
      <w:numPr>
        <w:numId w:val="10"/>
      </w:numPr>
    </w:pPr>
  </w:style>
  <w:style w:type="numbering" w:customStyle="1" w:styleId="NumberedHeadings">
    <w:name w:val="Numbered Headings"/>
    <w:uiPriority w:val="99"/>
    <w:rsid w:val="005F5578"/>
    <w:pPr>
      <w:numPr>
        <w:numId w:val="11"/>
      </w:numPr>
    </w:pPr>
  </w:style>
  <w:style w:type="paragraph" w:styleId="ListBullet2">
    <w:name w:val="List Bullet 2"/>
    <w:basedOn w:val="Normal"/>
    <w:link w:val="ListBullet2Char"/>
    <w:uiPriority w:val="99"/>
    <w:unhideWhenUsed/>
    <w:qFormat/>
    <w:rsid w:val="00DC2B59"/>
    <w:pPr>
      <w:numPr>
        <w:ilvl w:val="1"/>
        <w:numId w:val="36"/>
      </w:numPr>
      <w:contextualSpacing/>
    </w:pPr>
  </w:style>
  <w:style w:type="paragraph" w:customStyle="1" w:styleId="TitleCentred">
    <w:name w:val="Title Centred"/>
    <w:basedOn w:val="Title"/>
    <w:link w:val="TitleCentredChar"/>
    <w:semiHidden/>
    <w:qFormat/>
    <w:rsid w:val="00062AE4"/>
    <w:pPr>
      <w:framePr w:wrap="around" w:vAnchor="page" w:hAnchor="page" w:xAlign="center" w:yAlign="center" w:anchorLock="1"/>
      <w:jc w:val="center"/>
    </w:pPr>
  </w:style>
  <w:style w:type="paragraph" w:customStyle="1" w:styleId="SubtitleCentred">
    <w:name w:val="Subtitle Centred"/>
    <w:basedOn w:val="Subtitle"/>
    <w:rsid w:val="00062AE4"/>
    <w:pPr>
      <w:framePr w:wrap="around" w:vAnchor="page" w:hAnchor="page" w:xAlign="center" w:yAlign="center" w:anchorLock="1"/>
      <w:jc w:val="center"/>
    </w:pPr>
  </w:style>
  <w:style w:type="character" w:customStyle="1" w:styleId="TitleCentredChar">
    <w:name w:val="Title Centred Char"/>
    <w:basedOn w:val="TitleChar"/>
    <w:link w:val="TitleCentred"/>
    <w:semiHidden/>
    <w:rsid w:val="00812056"/>
    <w:rPr>
      <w:rFonts w:ascii="Tahoma" w:eastAsiaTheme="majorEastAsia" w:hAnsi="Tahoma" w:cstheme="majorBidi"/>
      <w:color w:val="4986A0" w:themeColor="text2"/>
      <w:kern w:val="28"/>
      <w:sz w:val="52"/>
      <w:szCs w:val="56"/>
      <w:lang w:val="en-AU"/>
    </w:rPr>
  </w:style>
  <w:style w:type="character" w:styleId="PageNumber">
    <w:name w:val="page number"/>
    <w:basedOn w:val="DefaultParagraphFont"/>
    <w:uiPriority w:val="99"/>
    <w:rsid w:val="007B6C8C"/>
    <w:rPr>
      <w:b/>
      <w:color w:val="FFFFFF" w:themeColor="background1"/>
      <w:sz w:val="22"/>
      <w:bdr w:val="none" w:sz="0" w:space="0" w:color="auto"/>
      <w:shd w:val="clear" w:color="auto" w:fill="CE0058" w:themeFill="accent2"/>
    </w:rPr>
  </w:style>
  <w:style w:type="paragraph" w:customStyle="1" w:styleId="Pull-out">
    <w:name w:val="Pull-out"/>
    <w:basedOn w:val="Normal"/>
    <w:qFormat/>
    <w:rsid w:val="00C753B8"/>
    <w:pPr>
      <w:pBdr>
        <w:top w:val="single" w:sz="48" w:space="1" w:color="B2CFDC" w:themeColor="text2" w:themeTint="66"/>
        <w:left w:val="single" w:sz="48" w:space="4" w:color="B2CFDC" w:themeColor="text2" w:themeTint="66"/>
        <w:bottom w:val="single" w:sz="48" w:space="1" w:color="B2CFDC" w:themeColor="text2" w:themeTint="66"/>
        <w:right w:val="single" w:sz="48" w:space="4" w:color="B2CFDC" w:themeColor="text2" w:themeTint="66"/>
      </w:pBdr>
      <w:shd w:val="clear" w:color="auto" w:fill="B2CFDC" w:themeFill="text2" w:themeFillTint="66"/>
      <w:ind w:left="198" w:right="198"/>
    </w:pPr>
  </w:style>
  <w:style w:type="paragraph" w:styleId="Quote">
    <w:name w:val="Quote"/>
    <w:basedOn w:val="Normal"/>
    <w:next w:val="Normal"/>
    <w:link w:val="QuoteChar"/>
    <w:uiPriority w:val="29"/>
    <w:qFormat/>
    <w:rsid w:val="00C753B8"/>
    <w:pPr>
      <w:spacing w:before="240" w:after="240"/>
      <w:ind w:left="567"/>
    </w:pPr>
    <w:rPr>
      <w:iCs/>
      <w:color w:val="4986A0" w:themeColor="text2"/>
    </w:rPr>
  </w:style>
  <w:style w:type="character" w:customStyle="1" w:styleId="QuoteChar">
    <w:name w:val="Quote Char"/>
    <w:basedOn w:val="DefaultParagraphFont"/>
    <w:link w:val="Quote"/>
    <w:uiPriority w:val="29"/>
    <w:rsid w:val="00C753B8"/>
    <w:rPr>
      <w:iCs/>
      <w:color w:val="4986A0" w:themeColor="text2"/>
    </w:rPr>
  </w:style>
  <w:style w:type="paragraph" w:styleId="NoSpacing">
    <w:name w:val="No Spacing"/>
    <w:link w:val="NoSpacingChar"/>
    <w:uiPriority w:val="1"/>
    <w:semiHidden/>
    <w:qFormat/>
    <w:rsid w:val="005C6E04"/>
    <w:pPr>
      <w:spacing w:after="0" w:line="240" w:lineRule="auto"/>
    </w:pPr>
  </w:style>
  <w:style w:type="table" w:customStyle="1" w:styleId="TwoColumnTable">
    <w:name w:val="Two Column Table"/>
    <w:basedOn w:val="TableNormal"/>
    <w:uiPriority w:val="99"/>
    <w:rsid w:val="00B027ED"/>
    <w:pPr>
      <w:spacing w:after="0" w:line="240" w:lineRule="auto"/>
    </w:pPr>
    <w:tblPr>
      <w:tblCellMar>
        <w:top w:w="113" w:type="dxa"/>
        <w:left w:w="85" w:type="dxa"/>
        <w:right w:w="0" w:type="dxa"/>
      </w:tblCellMar>
    </w:tblPr>
    <w:tblStylePr w:type="firstRow">
      <w:tblPr/>
      <w:tcPr>
        <w:tcBorders>
          <w:top w:val="single" w:sz="8" w:space="0" w:color="4986A0" w:themeColor="text2"/>
          <w:left w:val="nil"/>
          <w:bottom w:val="nil"/>
          <w:right w:val="nil"/>
          <w:insideH w:val="nil"/>
          <w:insideV w:val="nil"/>
          <w:tl2br w:val="nil"/>
          <w:tr2bl w:val="nil"/>
        </w:tcBorders>
      </w:tcPr>
    </w:tblStylePr>
    <w:tblStylePr w:type="lastRow">
      <w:tblPr/>
      <w:tcPr>
        <w:tcBorders>
          <w:top w:val="nil"/>
          <w:left w:val="nil"/>
          <w:bottom w:val="single" w:sz="8" w:space="0" w:color="4986A0" w:themeColor="text2"/>
          <w:right w:val="nil"/>
          <w:insideH w:val="nil"/>
          <w:insideV w:val="nil"/>
          <w:tl2br w:val="nil"/>
          <w:tr2bl w:val="nil"/>
        </w:tcBorders>
      </w:tcPr>
    </w:tblStylePr>
  </w:style>
  <w:style w:type="character" w:customStyle="1" w:styleId="Heading3Char">
    <w:name w:val="Heading 3 Char"/>
    <w:basedOn w:val="DefaultParagraphFont"/>
    <w:link w:val="Heading3"/>
    <w:uiPriority w:val="9"/>
    <w:rsid w:val="002E7385"/>
    <w:rPr>
      <w:rFonts w:ascii="Tahoma" w:eastAsiaTheme="majorEastAsia" w:hAnsi="Tahoma" w:cstheme="majorBidi"/>
      <w:b/>
      <w:color w:val="4986A0" w:themeColor="text2"/>
      <w:szCs w:val="24"/>
    </w:rPr>
  </w:style>
  <w:style w:type="paragraph" w:styleId="TOC2">
    <w:name w:val="toc 2"/>
    <w:basedOn w:val="TOC1"/>
    <w:next w:val="Normal"/>
    <w:autoRedefine/>
    <w:uiPriority w:val="39"/>
    <w:rsid w:val="00662FC6"/>
    <w:pPr>
      <w:tabs>
        <w:tab w:val="left" w:pos="851"/>
      </w:tabs>
      <w:ind w:left="851" w:hanging="840"/>
    </w:pPr>
    <w:rPr>
      <w:bCs/>
      <w:noProof/>
    </w:rPr>
  </w:style>
  <w:style w:type="paragraph" w:styleId="TOC1">
    <w:name w:val="toc 1"/>
    <w:basedOn w:val="Normal"/>
    <w:next w:val="Normal"/>
    <w:autoRedefine/>
    <w:uiPriority w:val="39"/>
    <w:rsid w:val="00936B74"/>
    <w:pPr>
      <w:tabs>
        <w:tab w:val="right" w:pos="9582"/>
      </w:tabs>
      <w:spacing w:before="40" w:after="40" w:line="288" w:lineRule="auto"/>
      <w:ind w:right="567"/>
      <w:contextualSpacing/>
    </w:pPr>
    <w:rPr>
      <w:b/>
    </w:rPr>
  </w:style>
  <w:style w:type="character" w:styleId="Hyperlink">
    <w:name w:val="Hyperlink"/>
    <w:basedOn w:val="DefaultParagraphFont"/>
    <w:uiPriority w:val="99"/>
    <w:unhideWhenUsed/>
    <w:rsid w:val="00F40927"/>
    <w:rPr>
      <w:color w:val="0000FF"/>
      <w:u w:val="single"/>
    </w:rPr>
  </w:style>
  <w:style w:type="paragraph" w:styleId="TOCHeading">
    <w:name w:val="TOC Heading"/>
    <w:next w:val="Normal"/>
    <w:uiPriority w:val="39"/>
    <w:unhideWhenUsed/>
    <w:qFormat/>
    <w:rsid w:val="002E7385"/>
    <w:pPr>
      <w:spacing w:before="240" w:after="320" w:line="240" w:lineRule="auto"/>
    </w:pPr>
    <w:rPr>
      <w:rFonts w:ascii="Tahoma" w:eastAsiaTheme="majorEastAsia" w:hAnsi="Tahoma" w:cstheme="majorBidi"/>
      <w:color w:val="CE0058" w:themeColor="accent2"/>
      <w:sz w:val="40"/>
      <w:szCs w:val="32"/>
    </w:rPr>
  </w:style>
  <w:style w:type="character" w:styleId="Strong">
    <w:name w:val="Strong"/>
    <w:basedOn w:val="DefaultParagraphFont"/>
    <w:uiPriority w:val="22"/>
    <w:semiHidden/>
    <w:qFormat/>
    <w:rsid w:val="00710792"/>
    <w:rPr>
      <w:b/>
      <w:bCs/>
    </w:rPr>
  </w:style>
  <w:style w:type="paragraph" w:styleId="ListParagraph">
    <w:name w:val="List Paragraph"/>
    <w:basedOn w:val="Normal"/>
    <w:uiPriority w:val="34"/>
    <w:qFormat/>
    <w:rsid w:val="00DC2B59"/>
    <w:pPr>
      <w:numPr>
        <w:ilvl w:val="2"/>
        <w:numId w:val="36"/>
      </w:numPr>
      <w:contextualSpacing/>
    </w:pPr>
  </w:style>
  <w:style w:type="paragraph" w:styleId="ListBullet3">
    <w:name w:val="List Bullet 3"/>
    <w:basedOn w:val="Normal"/>
    <w:uiPriority w:val="99"/>
    <w:unhideWhenUsed/>
    <w:rsid w:val="00DC2B59"/>
    <w:pPr>
      <w:numPr>
        <w:ilvl w:val="3"/>
        <w:numId w:val="36"/>
      </w:numPr>
      <w:contextualSpacing/>
    </w:pPr>
  </w:style>
  <w:style w:type="paragraph" w:styleId="ListNumber">
    <w:name w:val="List Number"/>
    <w:basedOn w:val="Normal"/>
    <w:uiPriority w:val="99"/>
    <w:unhideWhenUsed/>
    <w:rsid w:val="006F29EA"/>
    <w:pPr>
      <w:ind w:left="567" w:hanging="567"/>
      <w:contextualSpacing/>
    </w:pPr>
  </w:style>
  <w:style w:type="paragraph" w:styleId="ListNumber2">
    <w:name w:val="List Number 2"/>
    <w:basedOn w:val="Normal"/>
    <w:uiPriority w:val="99"/>
    <w:unhideWhenUsed/>
    <w:qFormat/>
    <w:rsid w:val="006F29EA"/>
    <w:pPr>
      <w:ind w:left="851" w:hanging="851"/>
      <w:contextualSpacing/>
    </w:pPr>
  </w:style>
  <w:style w:type="numbering" w:customStyle="1" w:styleId="CustomNumberlist">
    <w:name w:val="Custom Number list"/>
    <w:uiPriority w:val="99"/>
    <w:rsid w:val="006F29EA"/>
    <w:pPr>
      <w:numPr>
        <w:numId w:val="17"/>
      </w:numPr>
    </w:pPr>
  </w:style>
  <w:style w:type="paragraph" w:customStyle="1" w:styleId="ListLetters0">
    <w:name w:val="List Letters"/>
    <w:link w:val="ListLettersChar"/>
    <w:qFormat/>
    <w:rsid w:val="00CF34D6"/>
    <w:pPr>
      <w:numPr>
        <w:numId w:val="32"/>
      </w:numPr>
      <w:spacing w:line="336" w:lineRule="auto"/>
      <w:contextualSpacing/>
    </w:pPr>
  </w:style>
  <w:style w:type="paragraph" w:styleId="ListNumber3">
    <w:name w:val="List Number 3"/>
    <w:basedOn w:val="Normal"/>
    <w:link w:val="ListNumber3Char"/>
    <w:uiPriority w:val="99"/>
    <w:unhideWhenUsed/>
    <w:qFormat/>
    <w:rsid w:val="006F29EA"/>
    <w:pPr>
      <w:ind w:left="1134" w:hanging="1134"/>
      <w:contextualSpacing/>
    </w:pPr>
  </w:style>
  <w:style w:type="paragraph" w:customStyle="1" w:styleId="TableHeading">
    <w:name w:val="Table Heading"/>
    <w:basedOn w:val="NoSpacing"/>
    <w:link w:val="TableHeadingChar"/>
    <w:qFormat/>
    <w:rsid w:val="00792B10"/>
    <w:rPr>
      <w:color w:val="FFFFFF" w:themeColor="background1"/>
    </w:rPr>
  </w:style>
  <w:style w:type="character" w:customStyle="1" w:styleId="ListNumber3Char">
    <w:name w:val="List Number 3 Char"/>
    <w:basedOn w:val="DefaultParagraphFont"/>
    <w:link w:val="ListNumber3"/>
    <w:uiPriority w:val="99"/>
    <w:rsid w:val="00DC2B59"/>
    <w:rPr>
      <w:lang w:val="en-AU"/>
    </w:rPr>
  </w:style>
  <w:style w:type="character" w:customStyle="1" w:styleId="ListLettersChar">
    <w:name w:val="List Letters Char"/>
    <w:basedOn w:val="ListNumber3Char"/>
    <w:link w:val="ListLetters0"/>
    <w:rsid w:val="00CF34D6"/>
    <w:rPr>
      <w:lang w:val="en-AU"/>
    </w:rPr>
  </w:style>
  <w:style w:type="paragraph" w:customStyle="1" w:styleId="TableBody">
    <w:name w:val="Table Body"/>
    <w:basedOn w:val="NoSpacing"/>
    <w:link w:val="TableBodyChar"/>
    <w:qFormat/>
    <w:rsid w:val="00792B10"/>
  </w:style>
  <w:style w:type="character" w:customStyle="1" w:styleId="NoSpacingChar">
    <w:name w:val="No Spacing Char"/>
    <w:basedOn w:val="DefaultParagraphFont"/>
    <w:link w:val="NoSpacing"/>
    <w:uiPriority w:val="1"/>
    <w:semiHidden/>
    <w:rsid w:val="00812056"/>
  </w:style>
  <w:style w:type="character" w:customStyle="1" w:styleId="TableHeadingChar">
    <w:name w:val="Table Heading Char"/>
    <w:basedOn w:val="NoSpacingChar"/>
    <w:link w:val="TableHeading"/>
    <w:rsid w:val="00792B10"/>
    <w:rPr>
      <w:color w:val="FFFFFF" w:themeColor="background1"/>
    </w:rPr>
  </w:style>
  <w:style w:type="paragraph" w:customStyle="1" w:styleId="TableBold">
    <w:name w:val="Table Bold"/>
    <w:basedOn w:val="NoSpacing"/>
    <w:link w:val="TableBoldChar"/>
    <w:qFormat/>
    <w:rsid w:val="00792B10"/>
    <w:rPr>
      <w:b/>
    </w:rPr>
  </w:style>
  <w:style w:type="character" w:customStyle="1" w:styleId="TableBodyChar">
    <w:name w:val="Table Body Char"/>
    <w:basedOn w:val="NoSpacingChar"/>
    <w:link w:val="TableBody"/>
    <w:rsid w:val="00792B10"/>
  </w:style>
  <w:style w:type="paragraph" w:styleId="TOC3">
    <w:name w:val="toc 3"/>
    <w:basedOn w:val="TOC2"/>
    <w:next w:val="Normal"/>
    <w:autoRedefine/>
    <w:uiPriority w:val="39"/>
    <w:rsid w:val="00013AA5"/>
    <w:pPr>
      <w:ind w:left="284" w:right="0" w:hanging="284"/>
    </w:pPr>
  </w:style>
  <w:style w:type="character" w:customStyle="1" w:styleId="TableBoldChar">
    <w:name w:val="Table Bold Char"/>
    <w:basedOn w:val="NoSpacingChar"/>
    <w:link w:val="TableBold"/>
    <w:rsid w:val="00792B10"/>
    <w:rPr>
      <w:b/>
    </w:rPr>
  </w:style>
  <w:style w:type="paragraph" w:customStyle="1" w:styleId="TableBullet">
    <w:name w:val="Table Bullet"/>
    <w:basedOn w:val="ListBullet"/>
    <w:link w:val="TableBulletChar"/>
    <w:qFormat/>
    <w:rsid w:val="00E03B00"/>
    <w:pPr>
      <w:numPr>
        <w:numId w:val="27"/>
      </w:numPr>
      <w:spacing w:after="0"/>
    </w:pPr>
  </w:style>
  <w:style w:type="paragraph" w:customStyle="1" w:styleId="TableBullet2">
    <w:name w:val="Table Bullet 2"/>
    <w:basedOn w:val="ListBullet2"/>
    <w:link w:val="TableBullet2Char"/>
    <w:qFormat/>
    <w:rsid w:val="00E03B00"/>
    <w:pPr>
      <w:numPr>
        <w:numId w:val="27"/>
      </w:numPr>
      <w:spacing w:after="0"/>
    </w:pPr>
  </w:style>
  <w:style w:type="character" w:customStyle="1" w:styleId="ListBulletChar">
    <w:name w:val="List Bullet Char"/>
    <w:basedOn w:val="DefaultParagraphFont"/>
    <w:link w:val="ListBullet"/>
    <w:uiPriority w:val="99"/>
    <w:rsid w:val="00E03B00"/>
    <w:rPr>
      <w:lang w:val="en-AU"/>
    </w:rPr>
  </w:style>
  <w:style w:type="character" w:customStyle="1" w:styleId="TableBulletChar">
    <w:name w:val="Table Bullet Char"/>
    <w:basedOn w:val="ListBulletChar"/>
    <w:link w:val="TableBullet"/>
    <w:rsid w:val="00E03B00"/>
    <w:rPr>
      <w:lang w:val="en-AU"/>
    </w:rPr>
  </w:style>
  <w:style w:type="numbering" w:customStyle="1" w:styleId="TableBullets">
    <w:name w:val="Table Bullets"/>
    <w:uiPriority w:val="99"/>
    <w:rsid w:val="00E03B00"/>
    <w:pPr>
      <w:numPr>
        <w:numId w:val="26"/>
      </w:numPr>
    </w:pPr>
  </w:style>
  <w:style w:type="character" w:customStyle="1" w:styleId="ListBullet2Char">
    <w:name w:val="List Bullet 2 Char"/>
    <w:basedOn w:val="DefaultParagraphFont"/>
    <w:link w:val="ListBullet2"/>
    <w:uiPriority w:val="99"/>
    <w:rsid w:val="00E03B00"/>
  </w:style>
  <w:style w:type="character" w:customStyle="1" w:styleId="TableBullet2Char">
    <w:name w:val="Table Bullet 2 Char"/>
    <w:basedOn w:val="ListBullet2Char"/>
    <w:link w:val="TableBullet2"/>
    <w:rsid w:val="00E03B00"/>
    <w:rPr>
      <w:lang w:val="en-AU"/>
    </w:rPr>
  </w:style>
  <w:style w:type="paragraph" w:customStyle="1" w:styleId="TableListNumber">
    <w:name w:val="Table List Number"/>
    <w:basedOn w:val="TableBullet"/>
    <w:link w:val="TableListNumberChar"/>
    <w:qFormat/>
    <w:rsid w:val="00E03B00"/>
    <w:pPr>
      <w:numPr>
        <w:ilvl w:val="2"/>
      </w:numPr>
    </w:pPr>
  </w:style>
  <w:style w:type="paragraph" w:customStyle="1" w:styleId="TableListNumber2">
    <w:name w:val="Table List Number 2"/>
    <w:basedOn w:val="TableListNumber"/>
    <w:link w:val="TableListNumber2Char"/>
    <w:qFormat/>
    <w:rsid w:val="00E03B00"/>
    <w:pPr>
      <w:numPr>
        <w:ilvl w:val="3"/>
      </w:numPr>
    </w:pPr>
  </w:style>
  <w:style w:type="character" w:customStyle="1" w:styleId="TableListNumberChar">
    <w:name w:val="Table List Number Char"/>
    <w:basedOn w:val="TableBulletChar"/>
    <w:link w:val="TableListNumber"/>
    <w:rsid w:val="00E03B00"/>
    <w:rPr>
      <w:lang w:val="en-AU"/>
    </w:rPr>
  </w:style>
  <w:style w:type="character" w:customStyle="1" w:styleId="TableListNumber2Char">
    <w:name w:val="Table List Number 2 Char"/>
    <w:basedOn w:val="TableListNumberChar"/>
    <w:link w:val="TableListNumber2"/>
    <w:rsid w:val="00E03B00"/>
    <w:rPr>
      <w:lang w:val="en-AU"/>
    </w:rPr>
  </w:style>
  <w:style w:type="table" w:customStyle="1" w:styleId="TwoColumnImage">
    <w:name w:val="Two Column Image"/>
    <w:basedOn w:val="TableNormal"/>
    <w:uiPriority w:val="99"/>
    <w:rsid w:val="0043066B"/>
    <w:pPr>
      <w:spacing w:after="0" w:line="240" w:lineRule="auto"/>
    </w:pPr>
    <w:tblPr>
      <w:tblCellMar>
        <w:left w:w="0" w:type="dxa"/>
        <w:right w:w="170" w:type="dxa"/>
      </w:tblCellMar>
    </w:tblPr>
  </w:style>
  <w:style w:type="paragraph" w:customStyle="1" w:styleId="PageNumberBox">
    <w:name w:val="Page Number Box"/>
    <w:basedOn w:val="NoSpacing"/>
    <w:semiHidden/>
    <w:qFormat/>
    <w:rsid w:val="006E6B2B"/>
    <w:pPr>
      <w:framePr w:hSpace="57" w:wrap="around" w:hAnchor="text" w:xAlign="right" w:yAlign="bottom"/>
      <w:suppressOverlap/>
      <w:jc w:val="center"/>
    </w:pPr>
  </w:style>
  <w:style w:type="paragraph" w:customStyle="1" w:styleId="FooterSpace">
    <w:name w:val="Footer Space"/>
    <w:basedOn w:val="Footer"/>
    <w:semiHidden/>
    <w:qFormat/>
    <w:rsid w:val="00E9393A"/>
    <w:pPr>
      <w:spacing w:before="480"/>
    </w:pPr>
  </w:style>
  <w:style w:type="paragraph" w:customStyle="1" w:styleId="Pa2">
    <w:name w:val="Pa2"/>
    <w:basedOn w:val="Normal"/>
    <w:next w:val="Normal"/>
    <w:uiPriority w:val="99"/>
    <w:semiHidden/>
    <w:rsid w:val="002C2ADF"/>
    <w:pPr>
      <w:autoSpaceDE w:val="0"/>
      <w:autoSpaceDN w:val="0"/>
      <w:adjustRightInd w:val="0"/>
      <w:spacing w:after="0" w:line="201" w:lineRule="atLeast"/>
    </w:pPr>
    <w:rPr>
      <w:rFonts w:ascii="Arial" w:hAnsi="Arial" w:cs="Arial"/>
      <w:sz w:val="24"/>
      <w:szCs w:val="24"/>
      <w:lang w:val="en-GB"/>
    </w:rPr>
  </w:style>
  <w:style w:type="paragraph" w:styleId="FootnoteText">
    <w:name w:val="footnote text"/>
    <w:aliases w:val="Footnote,DTE-Voetnoottekst,(NECG) Footnote Text,ALTS FOOTNOTE"/>
    <w:basedOn w:val="Normal"/>
    <w:link w:val="FootnoteTextChar"/>
    <w:uiPriority w:val="99"/>
    <w:unhideWhenUsed/>
    <w:qFormat/>
    <w:rsid w:val="00CF33F6"/>
    <w:pPr>
      <w:spacing w:after="0" w:line="240" w:lineRule="auto"/>
    </w:pPr>
    <w:rPr>
      <w:sz w:val="18"/>
      <w:szCs w:val="20"/>
    </w:rPr>
  </w:style>
  <w:style w:type="character" w:customStyle="1" w:styleId="FootnoteTextChar">
    <w:name w:val="Footnote Text Char"/>
    <w:aliases w:val="Footnote Char,DTE-Voetnoottekst Char,(NECG) Footnote Text Char,ALTS FOOTNOTE Char"/>
    <w:basedOn w:val="DefaultParagraphFont"/>
    <w:link w:val="FootnoteText"/>
    <w:uiPriority w:val="99"/>
    <w:rsid w:val="00CF33F6"/>
    <w:rPr>
      <w:sz w:val="18"/>
      <w:szCs w:val="20"/>
    </w:rPr>
  </w:style>
  <w:style w:type="character" w:styleId="FootnoteReference">
    <w:name w:val="footnote reference"/>
    <w:aliases w:val="SFG_Footnote_Reference,(NECG) Footnote Reference,(NECG) Footnote Reference1,(NECG) Footnote Reference2,o,Style 3,Style 12,fr,Appel note de bas de p,Style 124,(NECG) Footnote Reference3,(NECG) Footnote Reference4"/>
    <w:basedOn w:val="DefaultParagraphFont"/>
    <w:uiPriority w:val="99"/>
    <w:unhideWhenUsed/>
    <w:rsid w:val="00E9393A"/>
    <w:rPr>
      <w:vertAlign w:val="superscript"/>
    </w:rPr>
  </w:style>
  <w:style w:type="paragraph" w:customStyle="1" w:styleId="Figure-Table-BoxHeading">
    <w:name w:val="Figure-Table-Box Heading"/>
    <w:link w:val="Figure-Table-BoxHeadingChar"/>
    <w:qFormat/>
    <w:rsid w:val="00CF34D6"/>
    <w:pPr>
      <w:numPr>
        <w:ilvl w:val="3"/>
        <w:numId w:val="30"/>
      </w:numPr>
      <w:spacing w:before="120" w:after="120" w:line="432" w:lineRule="auto"/>
    </w:pPr>
    <w:rPr>
      <w:rFonts w:asciiTheme="majorHAnsi" w:eastAsiaTheme="majorEastAsia" w:hAnsiTheme="majorHAnsi" w:cstheme="majorBidi"/>
      <w:b/>
      <w:color w:val="4986A0" w:themeColor="text2"/>
      <w:szCs w:val="24"/>
    </w:rPr>
  </w:style>
  <w:style w:type="paragraph" w:customStyle="1" w:styleId="Figure-Table-BoxSubtitle">
    <w:name w:val="Figure-Table-Box Subtitle"/>
    <w:basedOn w:val="Figure-Table-BoxHeading"/>
    <w:link w:val="Figure-Table-BoxSubtitleChar"/>
    <w:qFormat/>
    <w:rsid w:val="00DC3BE7"/>
    <w:pPr>
      <w:numPr>
        <w:ilvl w:val="0"/>
        <w:numId w:val="0"/>
      </w:numPr>
      <w:ind w:left="851"/>
    </w:pPr>
    <w:rPr>
      <w:b w:val="0"/>
    </w:rPr>
  </w:style>
  <w:style w:type="character" w:customStyle="1" w:styleId="Figure-Table-BoxHeadingChar">
    <w:name w:val="Figure-Table-Box Heading Char"/>
    <w:basedOn w:val="Heading3Char"/>
    <w:link w:val="Figure-Table-BoxHeading"/>
    <w:rsid w:val="00CF34D6"/>
    <w:rPr>
      <w:rFonts w:asciiTheme="majorHAnsi" w:eastAsiaTheme="majorEastAsia" w:hAnsiTheme="majorHAnsi" w:cstheme="majorBidi"/>
      <w:b/>
      <w:color w:val="4986A0" w:themeColor="text2"/>
      <w:szCs w:val="24"/>
    </w:rPr>
  </w:style>
  <w:style w:type="paragraph" w:customStyle="1" w:styleId="Heading3numbered">
    <w:name w:val="Heading 3 numbered"/>
    <w:basedOn w:val="Heading3"/>
    <w:next w:val="Normal"/>
    <w:link w:val="Heading3numberedChar"/>
    <w:qFormat/>
    <w:rsid w:val="005F5578"/>
    <w:pPr>
      <w:numPr>
        <w:ilvl w:val="2"/>
        <w:numId w:val="30"/>
      </w:numPr>
    </w:pPr>
  </w:style>
  <w:style w:type="character" w:customStyle="1" w:styleId="Figure-Table-BoxSubtitleChar">
    <w:name w:val="Figure-Table-Box Subtitle Char"/>
    <w:basedOn w:val="Figure-Table-BoxHeadingChar"/>
    <w:link w:val="Figure-Table-BoxSubtitle"/>
    <w:rsid w:val="00DC3BE7"/>
    <w:rPr>
      <w:rFonts w:asciiTheme="majorHAnsi" w:eastAsiaTheme="majorEastAsia" w:hAnsiTheme="majorHAnsi" w:cstheme="majorBidi"/>
      <w:b w:val="0"/>
      <w:caps w:val="0"/>
      <w:color w:val="4986A0" w:themeColor="text2"/>
      <w:szCs w:val="24"/>
    </w:rPr>
  </w:style>
  <w:style w:type="character" w:customStyle="1" w:styleId="Heading4Char">
    <w:name w:val="Heading 4 Char"/>
    <w:basedOn w:val="DefaultParagraphFont"/>
    <w:link w:val="Heading4"/>
    <w:uiPriority w:val="9"/>
    <w:rsid w:val="002E7385"/>
    <w:rPr>
      <w:rFonts w:ascii="Tahoma" w:eastAsiaTheme="majorEastAsia" w:hAnsi="Tahoma" w:cstheme="majorBidi"/>
      <w:b/>
      <w:iCs/>
      <w:color w:val="75787B" w:themeColor="background2"/>
    </w:rPr>
  </w:style>
  <w:style w:type="character" w:customStyle="1" w:styleId="Heading3numberedChar">
    <w:name w:val="Heading 3 numbered Char"/>
    <w:basedOn w:val="Heading3Char"/>
    <w:link w:val="Heading3numbered"/>
    <w:rsid w:val="005F5578"/>
    <w:rPr>
      <w:rFonts w:asciiTheme="majorHAnsi" w:eastAsiaTheme="majorEastAsia" w:hAnsiTheme="majorHAnsi" w:cstheme="majorBidi"/>
      <w:b/>
      <w:caps w:val="0"/>
      <w:color w:val="4986A0" w:themeColor="text2"/>
      <w:szCs w:val="24"/>
    </w:rPr>
  </w:style>
  <w:style w:type="numbering" w:customStyle="1" w:styleId="ListLetters">
    <w:name w:val="ListLetters"/>
    <w:uiPriority w:val="99"/>
    <w:rsid w:val="009B583F"/>
    <w:pPr>
      <w:numPr>
        <w:numId w:val="32"/>
      </w:numPr>
    </w:pPr>
  </w:style>
  <w:style w:type="paragraph" w:styleId="Caption">
    <w:name w:val="caption"/>
    <w:basedOn w:val="Normal"/>
    <w:next w:val="Normal"/>
    <w:uiPriority w:val="35"/>
    <w:unhideWhenUsed/>
    <w:qFormat/>
    <w:rsid w:val="00232581"/>
    <w:pPr>
      <w:spacing w:before="120"/>
    </w:pPr>
    <w:rPr>
      <w:iCs/>
      <w:color w:val="4986A0" w:themeColor="text2"/>
      <w:sz w:val="18"/>
      <w:szCs w:val="18"/>
    </w:rPr>
  </w:style>
  <w:style w:type="paragraph" w:customStyle="1" w:styleId="Source">
    <w:name w:val="Source"/>
    <w:basedOn w:val="Caption"/>
    <w:qFormat/>
    <w:rsid w:val="00232581"/>
    <w:pPr>
      <w:jc w:val="right"/>
    </w:pPr>
  </w:style>
  <w:style w:type="paragraph" w:customStyle="1" w:styleId="Pull-outHeading">
    <w:name w:val="Pull-out Heading"/>
    <w:basedOn w:val="Pull-out"/>
    <w:qFormat/>
    <w:rsid w:val="00BD19DB"/>
    <w:rPr>
      <w:b/>
      <w:bCs/>
    </w:rPr>
  </w:style>
  <w:style w:type="paragraph" w:customStyle="1" w:styleId="Pull-outBullet1">
    <w:name w:val="Pull-out Bullet 1"/>
    <w:basedOn w:val="Pull-out"/>
    <w:qFormat/>
    <w:rsid w:val="00BD19DB"/>
    <w:pPr>
      <w:numPr>
        <w:numId w:val="34"/>
      </w:numPr>
      <w:ind w:left="482"/>
    </w:pPr>
  </w:style>
  <w:style w:type="paragraph" w:customStyle="1" w:styleId="Pull-outBullet2">
    <w:name w:val="Pull-out Bullet 2"/>
    <w:basedOn w:val="Pull-outBullet1"/>
    <w:qFormat/>
    <w:rsid w:val="00BD19DB"/>
    <w:pPr>
      <w:numPr>
        <w:ilvl w:val="1"/>
      </w:numPr>
      <w:ind w:left="482" w:hanging="284"/>
    </w:pPr>
  </w:style>
  <w:style w:type="paragraph" w:customStyle="1" w:styleId="Pull-outListNumber1">
    <w:name w:val="Pull-out List Number 1"/>
    <w:basedOn w:val="Pull-outBullet2"/>
    <w:qFormat/>
    <w:rsid w:val="00BD19DB"/>
    <w:pPr>
      <w:numPr>
        <w:ilvl w:val="2"/>
      </w:numPr>
      <w:ind w:left="482"/>
    </w:pPr>
  </w:style>
  <w:style w:type="paragraph" w:customStyle="1" w:styleId="Pull-outListNumber2">
    <w:name w:val="Pull-out List Number 2"/>
    <w:basedOn w:val="Pull-outListNumber1"/>
    <w:qFormat/>
    <w:rsid w:val="00BD19DB"/>
    <w:pPr>
      <w:numPr>
        <w:ilvl w:val="3"/>
      </w:numPr>
      <w:ind w:left="765"/>
    </w:pPr>
  </w:style>
  <w:style w:type="numbering" w:customStyle="1" w:styleId="Pull-outlists">
    <w:name w:val="Pull-out lists"/>
    <w:uiPriority w:val="99"/>
    <w:rsid w:val="00BD19DB"/>
    <w:pPr>
      <w:numPr>
        <w:numId w:val="34"/>
      </w:numPr>
    </w:pPr>
  </w:style>
  <w:style w:type="paragraph" w:styleId="TOC4">
    <w:name w:val="toc 4"/>
    <w:basedOn w:val="Normal"/>
    <w:next w:val="Normal"/>
    <w:autoRedefine/>
    <w:uiPriority w:val="39"/>
    <w:rsid w:val="00A211EB"/>
    <w:pPr>
      <w:tabs>
        <w:tab w:val="left" w:pos="851"/>
        <w:tab w:val="right" w:pos="9582"/>
      </w:tabs>
      <w:adjustRightInd w:val="0"/>
      <w:spacing w:before="40" w:after="40" w:line="288" w:lineRule="auto"/>
      <w:ind w:left="851" w:right="567" w:hanging="567"/>
      <w:contextualSpacing/>
    </w:pPr>
    <w:rPr>
      <w:noProof/>
    </w:rPr>
  </w:style>
  <w:style w:type="paragraph" w:customStyle="1" w:styleId="CC07A0386FA64D568AFDD5FEA5383BC7">
    <w:name w:val="CC07A0386FA64D568AFDD5FEA5383BC7"/>
    <w:semiHidden/>
    <w:locked/>
    <w:rsid w:val="008A7A8E"/>
    <w:rPr>
      <w:rFonts w:eastAsiaTheme="minorEastAsia"/>
    </w:rPr>
  </w:style>
  <w:style w:type="paragraph" w:styleId="TOC5">
    <w:name w:val="toc 5"/>
    <w:basedOn w:val="Normal"/>
    <w:next w:val="Normal"/>
    <w:autoRedefine/>
    <w:uiPriority w:val="39"/>
    <w:rsid w:val="00936B74"/>
    <w:pPr>
      <w:tabs>
        <w:tab w:val="right" w:pos="9582"/>
      </w:tabs>
      <w:spacing w:before="40" w:after="40" w:line="288" w:lineRule="auto"/>
      <w:ind w:left="851" w:right="567"/>
      <w:contextualSpacing/>
    </w:pPr>
  </w:style>
  <w:style w:type="paragraph" w:styleId="TOC6">
    <w:name w:val="toc 6"/>
    <w:basedOn w:val="Normal"/>
    <w:next w:val="Normal"/>
    <w:autoRedefine/>
    <w:uiPriority w:val="39"/>
    <w:rsid w:val="00936B74"/>
    <w:pPr>
      <w:tabs>
        <w:tab w:val="right" w:pos="9582"/>
      </w:tabs>
      <w:spacing w:before="40" w:after="40" w:line="288" w:lineRule="auto"/>
      <w:ind w:left="1702" w:right="567" w:hanging="851"/>
    </w:pPr>
  </w:style>
  <w:style w:type="character" w:customStyle="1" w:styleId="Heading5Char">
    <w:name w:val="Heading 5 Char"/>
    <w:basedOn w:val="DefaultParagraphFont"/>
    <w:link w:val="Heading5"/>
    <w:uiPriority w:val="9"/>
    <w:semiHidden/>
    <w:rsid w:val="006A0547"/>
    <w:rPr>
      <w:rFonts w:asciiTheme="majorHAnsi" w:eastAsiaTheme="majorEastAsia" w:hAnsiTheme="majorHAnsi" w:cstheme="majorBidi"/>
      <w:i/>
      <w:color w:val="113048" w:themeColor="accent1" w:themeShade="7F"/>
      <w:lang w:val="en-AU"/>
    </w:rPr>
  </w:style>
  <w:style w:type="character" w:customStyle="1" w:styleId="Legislationquote">
    <w:name w:val="Legislation quote"/>
    <w:basedOn w:val="DefaultParagraphFont"/>
    <w:uiPriority w:val="1"/>
    <w:qFormat/>
    <w:rsid w:val="00F260CA"/>
    <w:rPr>
      <w:color w:val="FF4895" w:themeColor="accent2" w:themeTint="99"/>
    </w:rPr>
  </w:style>
  <w:style w:type="paragraph" w:styleId="TOC7">
    <w:name w:val="toc 7"/>
    <w:basedOn w:val="Normal"/>
    <w:next w:val="Normal"/>
    <w:autoRedefine/>
    <w:uiPriority w:val="39"/>
    <w:semiHidden/>
    <w:unhideWhenUsed/>
    <w:rsid w:val="00936B74"/>
    <w:pPr>
      <w:spacing w:before="40" w:after="40" w:line="288" w:lineRule="auto"/>
      <w:ind w:left="1321"/>
    </w:pPr>
  </w:style>
  <w:style w:type="paragraph" w:styleId="TOC8">
    <w:name w:val="toc 8"/>
    <w:basedOn w:val="Normal"/>
    <w:next w:val="Normal"/>
    <w:autoRedefine/>
    <w:uiPriority w:val="39"/>
    <w:semiHidden/>
    <w:unhideWhenUsed/>
    <w:rsid w:val="00936B74"/>
    <w:pPr>
      <w:spacing w:before="40" w:after="40" w:line="288" w:lineRule="auto"/>
      <w:ind w:left="1542"/>
    </w:pPr>
  </w:style>
  <w:style w:type="paragraph" w:styleId="TOC9">
    <w:name w:val="toc 9"/>
    <w:basedOn w:val="Normal"/>
    <w:next w:val="Normal"/>
    <w:autoRedefine/>
    <w:uiPriority w:val="39"/>
    <w:semiHidden/>
    <w:unhideWhenUsed/>
    <w:rsid w:val="00936B74"/>
    <w:pPr>
      <w:spacing w:before="40" w:after="40" w:line="288" w:lineRule="auto"/>
      <w:ind w:left="1758"/>
    </w:pPr>
  </w:style>
  <w:style w:type="character" w:styleId="FollowedHyperlink">
    <w:name w:val="FollowedHyperlink"/>
    <w:basedOn w:val="DefaultParagraphFont"/>
    <w:uiPriority w:val="99"/>
    <w:semiHidden/>
    <w:unhideWhenUsed/>
    <w:rsid w:val="007E0B94"/>
    <w:rPr>
      <w:color w:val="000000" w:themeColor="followedHyperlink"/>
      <w:u w:val="single"/>
    </w:rPr>
  </w:style>
  <w:style w:type="character" w:styleId="UnresolvedMention">
    <w:name w:val="Unresolved Mention"/>
    <w:basedOn w:val="DefaultParagraphFont"/>
    <w:uiPriority w:val="99"/>
    <w:semiHidden/>
    <w:unhideWhenUsed/>
    <w:rsid w:val="0009486C"/>
    <w:rPr>
      <w:color w:val="605E5C"/>
      <w:shd w:val="clear" w:color="auto" w:fill="E1DFDD"/>
    </w:rPr>
  </w:style>
  <w:style w:type="paragraph" w:styleId="Revision">
    <w:name w:val="Revision"/>
    <w:hidden/>
    <w:uiPriority w:val="99"/>
    <w:semiHidden/>
    <w:rsid w:val="00231FA2"/>
    <w:pPr>
      <w:spacing w:after="0" w:line="240" w:lineRule="auto"/>
    </w:pPr>
    <w:rPr>
      <w:lang w:val="en-AU"/>
    </w:rPr>
  </w:style>
  <w:style w:type="character" w:styleId="CommentReference">
    <w:name w:val="annotation reference"/>
    <w:basedOn w:val="DefaultParagraphFont"/>
    <w:uiPriority w:val="99"/>
    <w:semiHidden/>
    <w:unhideWhenUsed/>
    <w:rsid w:val="009A6EB2"/>
    <w:rPr>
      <w:sz w:val="16"/>
      <w:szCs w:val="16"/>
    </w:rPr>
  </w:style>
  <w:style w:type="paragraph" w:styleId="CommentText">
    <w:name w:val="annotation text"/>
    <w:basedOn w:val="Normal"/>
    <w:link w:val="CommentTextChar"/>
    <w:uiPriority w:val="99"/>
    <w:unhideWhenUsed/>
    <w:rsid w:val="009A6EB2"/>
    <w:pPr>
      <w:spacing w:line="240" w:lineRule="auto"/>
    </w:pPr>
    <w:rPr>
      <w:sz w:val="20"/>
      <w:szCs w:val="20"/>
    </w:rPr>
  </w:style>
  <w:style w:type="character" w:customStyle="1" w:styleId="CommentTextChar">
    <w:name w:val="Comment Text Char"/>
    <w:basedOn w:val="DefaultParagraphFont"/>
    <w:link w:val="CommentText"/>
    <w:uiPriority w:val="99"/>
    <w:rsid w:val="009A6EB2"/>
    <w:rPr>
      <w:sz w:val="20"/>
      <w:szCs w:val="20"/>
      <w:lang w:val="en-AU"/>
    </w:rPr>
  </w:style>
  <w:style w:type="paragraph" w:styleId="CommentSubject">
    <w:name w:val="annotation subject"/>
    <w:basedOn w:val="CommentText"/>
    <w:next w:val="CommentText"/>
    <w:link w:val="CommentSubjectChar"/>
    <w:uiPriority w:val="99"/>
    <w:semiHidden/>
    <w:unhideWhenUsed/>
    <w:rsid w:val="00AA13E6"/>
    <w:rPr>
      <w:b/>
      <w:bCs/>
    </w:rPr>
  </w:style>
  <w:style w:type="character" w:customStyle="1" w:styleId="CommentSubjectChar">
    <w:name w:val="Comment Subject Char"/>
    <w:basedOn w:val="CommentTextChar"/>
    <w:link w:val="CommentSubject"/>
    <w:uiPriority w:val="99"/>
    <w:semiHidden/>
    <w:rsid w:val="00AA13E6"/>
    <w:rPr>
      <w:b/>
      <w:bCs/>
      <w:sz w:val="20"/>
      <w:szCs w:val="20"/>
      <w:lang w:val="en-AU"/>
    </w:rPr>
  </w:style>
  <w:style w:type="character" w:styleId="Mention">
    <w:name w:val="Mention"/>
    <w:basedOn w:val="DefaultParagraphFont"/>
    <w:uiPriority w:val="99"/>
    <w:unhideWhenUsed/>
    <w:rsid w:val="00AA18AD"/>
    <w:rPr>
      <w:color w:val="2B579A"/>
      <w:shd w:val="clear" w:color="auto" w:fill="E1DFDD"/>
    </w:rPr>
  </w:style>
  <w:style w:type="paragraph" w:styleId="EndnoteText">
    <w:name w:val="endnote text"/>
    <w:basedOn w:val="Normal"/>
    <w:link w:val="EndnoteTextChar"/>
    <w:uiPriority w:val="99"/>
    <w:semiHidden/>
    <w:unhideWhenUsed/>
    <w:rsid w:val="0095721B"/>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95721B"/>
    <w:rPr>
      <w:sz w:val="20"/>
      <w:szCs w:val="20"/>
      <w:lang w:val="en-AU"/>
    </w:rPr>
  </w:style>
  <w:style w:type="character" w:styleId="EndnoteReference">
    <w:name w:val="endnote reference"/>
    <w:basedOn w:val="DefaultParagraphFont"/>
    <w:uiPriority w:val="99"/>
    <w:semiHidden/>
    <w:unhideWhenUsed/>
    <w:rsid w:val="0095721B"/>
    <w:rPr>
      <w:vertAlign w:val="superscript"/>
    </w:rPr>
  </w:style>
  <w:style w:type="table" w:styleId="PlainTable1">
    <w:name w:val="Plain Table 1"/>
    <w:basedOn w:val="TableNormal"/>
    <w:uiPriority w:val="41"/>
    <w:rsid w:val="006630F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228817">
      <w:bodyDiv w:val="1"/>
      <w:marLeft w:val="0"/>
      <w:marRight w:val="0"/>
      <w:marTop w:val="0"/>
      <w:marBottom w:val="0"/>
      <w:divBdr>
        <w:top w:val="none" w:sz="0" w:space="0" w:color="auto"/>
        <w:left w:val="none" w:sz="0" w:space="0" w:color="auto"/>
        <w:bottom w:val="none" w:sz="0" w:space="0" w:color="auto"/>
        <w:right w:val="none" w:sz="0" w:space="0" w:color="auto"/>
      </w:divBdr>
    </w:div>
    <w:div w:id="162167407">
      <w:bodyDiv w:val="1"/>
      <w:marLeft w:val="0"/>
      <w:marRight w:val="0"/>
      <w:marTop w:val="0"/>
      <w:marBottom w:val="0"/>
      <w:divBdr>
        <w:top w:val="none" w:sz="0" w:space="0" w:color="auto"/>
        <w:left w:val="none" w:sz="0" w:space="0" w:color="auto"/>
        <w:bottom w:val="none" w:sz="0" w:space="0" w:color="auto"/>
        <w:right w:val="none" w:sz="0" w:space="0" w:color="auto"/>
      </w:divBdr>
    </w:div>
    <w:div w:id="169103134">
      <w:bodyDiv w:val="1"/>
      <w:marLeft w:val="0"/>
      <w:marRight w:val="0"/>
      <w:marTop w:val="0"/>
      <w:marBottom w:val="0"/>
      <w:divBdr>
        <w:top w:val="none" w:sz="0" w:space="0" w:color="auto"/>
        <w:left w:val="none" w:sz="0" w:space="0" w:color="auto"/>
        <w:bottom w:val="none" w:sz="0" w:space="0" w:color="auto"/>
        <w:right w:val="none" w:sz="0" w:space="0" w:color="auto"/>
      </w:divBdr>
    </w:div>
    <w:div w:id="367264565">
      <w:bodyDiv w:val="1"/>
      <w:marLeft w:val="0"/>
      <w:marRight w:val="0"/>
      <w:marTop w:val="0"/>
      <w:marBottom w:val="0"/>
      <w:divBdr>
        <w:top w:val="none" w:sz="0" w:space="0" w:color="auto"/>
        <w:left w:val="none" w:sz="0" w:space="0" w:color="auto"/>
        <w:bottom w:val="none" w:sz="0" w:space="0" w:color="auto"/>
        <w:right w:val="none" w:sz="0" w:space="0" w:color="auto"/>
      </w:divBdr>
    </w:div>
    <w:div w:id="467288428">
      <w:bodyDiv w:val="1"/>
      <w:marLeft w:val="0"/>
      <w:marRight w:val="0"/>
      <w:marTop w:val="0"/>
      <w:marBottom w:val="0"/>
      <w:divBdr>
        <w:top w:val="none" w:sz="0" w:space="0" w:color="auto"/>
        <w:left w:val="none" w:sz="0" w:space="0" w:color="auto"/>
        <w:bottom w:val="none" w:sz="0" w:space="0" w:color="auto"/>
        <w:right w:val="none" w:sz="0" w:space="0" w:color="auto"/>
      </w:divBdr>
    </w:div>
    <w:div w:id="510800749">
      <w:bodyDiv w:val="1"/>
      <w:marLeft w:val="0"/>
      <w:marRight w:val="0"/>
      <w:marTop w:val="0"/>
      <w:marBottom w:val="0"/>
      <w:divBdr>
        <w:top w:val="none" w:sz="0" w:space="0" w:color="auto"/>
        <w:left w:val="none" w:sz="0" w:space="0" w:color="auto"/>
        <w:bottom w:val="none" w:sz="0" w:space="0" w:color="auto"/>
        <w:right w:val="none" w:sz="0" w:space="0" w:color="auto"/>
      </w:divBdr>
    </w:div>
    <w:div w:id="580452587">
      <w:bodyDiv w:val="1"/>
      <w:marLeft w:val="0"/>
      <w:marRight w:val="0"/>
      <w:marTop w:val="0"/>
      <w:marBottom w:val="0"/>
      <w:divBdr>
        <w:top w:val="none" w:sz="0" w:space="0" w:color="auto"/>
        <w:left w:val="none" w:sz="0" w:space="0" w:color="auto"/>
        <w:bottom w:val="none" w:sz="0" w:space="0" w:color="auto"/>
        <w:right w:val="none" w:sz="0" w:space="0" w:color="auto"/>
      </w:divBdr>
    </w:div>
    <w:div w:id="706688219">
      <w:bodyDiv w:val="1"/>
      <w:marLeft w:val="0"/>
      <w:marRight w:val="0"/>
      <w:marTop w:val="0"/>
      <w:marBottom w:val="0"/>
      <w:divBdr>
        <w:top w:val="none" w:sz="0" w:space="0" w:color="auto"/>
        <w:left w:val="none" w:sz="0" w:space="0" w:color="auto"/>
        <w:bottom w:val="none" w:sz="0" w:space="0" w:color="auto"/>
        <w:right w:val="none" w:sz="0" w:space="0" w:color="auto"/>
      </w:divBdr>
    </w:div>
    <w:div w:id="907228410">
      <w:bodyDiv w:val="1"/>
      <w:marLeft w:val="0"/>
      <w:marRight w:val="0"/>
      <w:marTop w:val="0"/>
      <w:marBottom w:val="0"/>
      <w:divBdr>
        <w:top w:val="none" w:sz="0" w:space="0" w:color="auto"/>
        <w:left w:val="none" w:sz="0" w:space="0" w:color="auto"/>
        <w:bottom w:val="none" w:sz="0" w:space="0" w:color="auto"/>
        <w:right w:val="none" w:sz="0" w:space="0" w:color="auto"/>
      </w:divBdr>
    </w:div>
    <w:div w:id="1040982229">
      <w:bodyDiv w:val="1"/>
      <w:marLeft w:val="0"/>
      <w:marRight w:val="0"/>
      <w:marTop w:val="0"/>
      <w:marBottom w:val="0"/>
      <w:divBdr>
        <w:top w:val="none" w:sz="0" w:space="0" w:color="auto"/>
        <w:left w:val="none" w:sz="0" w:space="0" w:color="auto"/>
        <w:bottom w:val="none" w:sz="0" w:space="0" w:color="auto"/>
        <w:right w:val="none" w:sz="0" w:space="0" w:color="auto"/>
      </w:divBdr>
    </w:div>
    <w:div w:id="1112240512">
      <w:bodyDiv w:val="1"/>
      <w:marLeft w:val="0"/>
      <w:marRight w:val="0"/>
      <w:marTop w:val="0"/>
      <w:marBottom w:val="0"/>
      <w:divBdr>
        <w:top w:val="none" w:sz="0" w:space="0" w:color="auto"/>
        <w:left w:val="none" w:sz="0" w:space="0" w:color="auto"/>
        <w:bottom w:val="none" w:sz="0" w:space="0" w:color="auto"/>
        <w:right w:val="none" w:sz="0" w:space="0" w:color="auto"/>
      </w:divBdr>
    </w:div>
    <w:div w:id="1227105766">
      <w:bodyDiv w:val="1"/>
      <w:marLeft w:val="0"/>
      <w:marRight w:val="0"/>
      <w:marTop w:val="0"/>
      <w:marBottom w:val="0"/>
      <w:divBdr>
        <w:top w:val="none" w:sz="0" w:space="0" w:color="auto"/>
        <w:left w:val="none" w:sz="0" w:space="0" w:color="auto"/>
        <w:bottom w:val="none" w:sz="0" w:space="0" w:color="auto"/>
        <w:right w:val="none" w:sz="0" w:space="0" w:color="auto"/>
      </w:divBdr>
    </w:div>
    <w:div w:id="1341471003">
      <w:bodyDiv w:val="1"/>
      <w:marLeft w:val="0"/>
      <w:marRight w:val="0"/>
      <w:marTop w:val="0"/>
      <w:marBottom w:val="0"/>
      <w:divBdr>
        <w:top w:val="none" w:sz="0" w:space="0" w:color="auto"/>
        <w:left w:val="none" w:sz="0" w:space="0" w:color="auto"/>
        <w:bottom w:val="none" w:sz="0" w:space="0" w:color="auto"/>
        <w:right w:val="none" w:sz="0" w:space="0" w:color="auto"/>
      </w:divBdr>
    </w:div>
    <w:div w:id="1434402111">
      <w:bodyDiv w:val="1"/>
      <w:marLeft w:val="0"/>
      <w:marRight w:val="0"/>
      <w:marTop w:val="0"/>
      <w:marBottom w:val="0"/>
      <w:divBdr>
        <w:top w:val="none" w:sz="0" w:space="0" w:color="auto"/>
        <w:left w:val="none" w:sz="0" w:space="0" w:color="auto"/>
        <w:bottom w:val="none" w:sz="0" w:space="0" w:color="auto"/>
        <w:right w:val="none" w:sz="0" w:space="0" w:color="auto"/>
      </w:divBdr>
    </w:div>
    <w:div w:id="1489519574">
      <w:bodyDiv w:val="1"/>
      <w:marLeft w:val="0"/>
      <w:marRight w:val="0"/>
      <w:marTop w:val="0"/>
      <w:marBottom w:val="0"/>
      <w:divBdr>
        <w:top w:val="none" w:sz="0" w:space="0" w:color="auto"/>
        <w:left w:val="none" w:sz="0" w:space="0" w:color="auto"/>
        <w:bottom w:val="none" w:sz="0" w:space="0" w:color="auto"/>
        <w:right w:val="none" w:sz="0" w:space="0" w:color="auto"/>
      </w:divBdr>
    </w:div>
    <w:div w:id="1820072764">
      <w:bodyDiv w:val="1"/>
      <w:marLeft w:val="0"/>
      <w:marRight w:val="0"/>
      <w:marTop w:val="0"/>
      <w:marBottom w:val="0"/>
      <w:divBdr>
        <w:top w:val="none" w:sz="0" w:space="0" w:color="auto"/>
        <w:left w:val="none" w:sz="0" w:space="0" w:color="auto"/>
        <w:bottom w:val="none" w:sz="0" w:space="0" w:color="auto"/>
        <w:right w:val="none" w:sz="0" w:space="0" w:color="auto"/>
      </w:divBdr>
    </w:div>
    <w:div w:id="1895238810">
      <w:bodyDiv w:val="1"/>
      <w:marLeft w:val="0"/>
      <w:marRight w:val="0"/>
      <w:marTop w:val="0"/>
      <w:marBottom w:val="0"/>
      <w:divBdr>
        <w:top w:val="none" w:sz="0" w:space="0" w:color="auto"/>
        <w:left w:val="none" w:sz="0" w:space="0" w:color="auto"/>
        <w:bottom w:val="none" w:sz="0" w:space="0" w:color="auto"/>
        <w:right w:val="none" w:sz="0" w:space="0" w:color="auto"/>
      </w:divBdr>
    </w:div>
    <w:div w:id="2069062633">
      <w:bodyDiv w:val="1"/>
      <w:marLeft w:val="0"/>
      <w:marRight w:val="0"/>
      <w:marTop w:val="0"/>
      <w:marBottom w:val="0"/>
      <w:divBdr>
        <w:top w:val="none" w:sz="0" w:space="0" w:color="auto"/>
        <w:left w:val="none" w:sz="0" w:space="0" w:color="auto"/>
        <w:bottom w:val="none" w:sz="0" w:space="0" w:color="auto"/>
        <w:right w:val="none" w:sz="0" w:space="0" w:color="auto"/>
      </w:divBdr>
    </w:div>
    <w:div w:id="2077704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3.xml"/><Relationship Id="rId21" Type="http://schemas.openxmlformats.org/officeDocument/2006/relationships/header" Target="header8.xml"/><Relationship Id="rId42" Type="http://schemas.openxmlformats.org/officeDocument/2006/relationships/hyperlink" Target="https://www.fairtrading.nsw.gov.au/buying-products-and-services/buying-services/motor-repairs/tow-truck-fees-for-light-vehicles" TargetMode="External"/><Relationship Id="rId47" Type="http://schemas.openxmlformats.org/officeDocument/2006/relationships/header" Target="header25.xml"/><Relationship Id="rId63" Type="http://schemas.openxmlformats.org/officeDocument/2006/relationships/header" Target="header35.xml"/><Relationship Id="rId68" Type="http://schemas.openxmlformats.org/officeDocument/2006/relationships/hyperlink" Target="https://transport.vic.gov.au/plan-a-journey/maps/accident-towing-allocation-map" TargetMode="External"/><Relationship Id="rId84" Type="http://schemas.openxmlformats.org/officeDocument/2006/relationships/footer" Target="footer17.xml"/><Relationship Id="rId89" Type="http://schemas.openxmlformats.org/officeDocument/2006/relationships/fontTable" Target="fontTable.xml"/><Relationship Id="rId16" Type="http://schemas.openxmlformats.org/officeDocument/2006/relationships/header" Target="header4.xml"/><Relationship Id="rId11" Type="http://schemas.openxmlformats.org/officeDocument/2006/relationships/header" Target="header1.xml"/><Relationship Id="rId32" Type="http://schemas.openxmlformats.org/officeDocument/2006/relationships/footer" Target="footer5.xml"/><Relationship Id="rId37" Type="http://schemas.openxmlformats.org/officeDocument/2006/relationships/chart" Target="charts/chart1.xml"/><Relationship Id="rId53" Type="http://schemas.openxmlformats.org/officeDocument/2006/relationships/chart" Target="charts/chart4.xml"/><Relationship Id="rId58" Type="http://schemas.openxmlformats.org/officeDocument/2006/relationships/header" Target="header31.xml"/><Relationship Id="rId74" Type="http://schemas.openxmlformats.org/officeDocument/2006/relationships/hyperlink" Target="https://www.tmr.qld.gov.au/business-industry/accreditations/tow-truck-licensing-scheme" TargetMode="External"/><Relationship Id="rId79" Type="http://schemas.openxmlformats.org/officeDocument/2006/relationships/header" Target="header42.xml"/><Relationship Id="rId5" Type="http://schemas.openxmlformats.org/officeDocument/2006/relationships/numbering" Target="numbering.xml"/><Relationship Id="rId90" Type="http://schemas.openxmlformats.org/officeDocument/2006/relationships/glossaryDocument" Target="glossary/document.xml"/><Relationship Id="rId14" Type="http://schemas.openxmlformats.org/officeDocument/2006/relationships/hyperlink" Target="http://creativecommons.org/licenses/by/4.0/" TargetMode="External"/><Relationship Id="rId22" Type="http://schemas.openxmlformats.org/officeDocument/2006/relationships/footer" Target="footer2.xml"/><Relationship Id="rId27" Type="http://schemas.openxmlformats.org/officeDocument/2006/relationships/header" Target="header12.xml"/><Relationship Id="rId30" Type="http://schemas.openxmlformats.org/officeDocument/2006/relationships/footer" Target="footer4.xml"/><Relationship Id="rId35" Type="http://schemas.openxmlformats.org/officeDocument/2006/relationships/footer" Target="footer6.xml"/><Relationship Id="rId43" Type="http://schemas.openxmlformats.org/officeDocument/2006/relationships/header" Target="header22.xml"/><Relationship Id="rId48" Type="http://schemas.openxmlformats.org/officeDocument/2006/relationships/header" Target="header26.xml"/><Relationship Id="rId56" Type="http://schemas.openxmlformats.org/officeDocument/2006/relationships/footer" Target="footer10.xml"/><Relationship Id="rId64" Type="http://schemas.openxmlformats.org/officeDocument/2006/relationships/footer" Target="footer12.xml"/><Relationship Id="rId69" Type="http://schemas.openxmlformats.org/officeDocument/2006/relationships/header" Target="header37.xml"/><Relationship Id="rId77" Type="http://schemas.openxmlformats.org/officeDocument/2006/relationships/header" Target="header41.xml"/><Relationship Id="rId8" Type="http://schemas.openxmlformats.org/officeDocument/2006/relationships/webSettings" Target="webSettings.xml"/><Relationship Id="rId51" Type="http://schemas.openxmlformats.org/officeDocument/2006/relationships/chart" Target="charts/chart2.xml"/><Relationship Id="rId72" Type="http://schemas.openxmlformats.org/officeDocument/2006/relationships/header" Target="header39.xml"/><Relationship Id="rId80" Type="http://schemas.openxmlformats.org/officeDocument/2006/relationships/image" Target="media/image4.png"/><Relationship Id="rId85" Type="http://schemas.openxmlformats.org/officeDocument/2006/relationships/chart" Target="charts/chart5.xm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header" Target="header5.xml"/><Relationship Id="rId25" Type="http://schemas.openxmlformats.org/officeDocument/2006/relationships/header" Target="header11.xml"/><Relationship Id="rId33" Type="http://schemas.openxmlformats.org/officeDocument/2006/relationships/header" Target="header16.xml"/><Relationship Id="rId38" Type="http://schemas.openxmlformats.org/officeDocument/2006/relationships/header" Target="header19.xml"/><Relationship Id="rId46" Type="http://schemas.openxmlformats.org/officeDocument/2006/relationships/header" Target="header24.xml"/><Relationship Id="rId59" Type="http://schemas.openxmlformats.org/officeDocument/2006/relationships/header" Target="header32.xml"/><Relationship Id="rId67" Type="http://schemas.openxmlformats.org/officeDocument/2006/relationships/image" Target="media/image3.png"/><Relationship Id="rId20" Type="http://schemas.openxmlformats.org/officeDocument/2006/relationships/header" Target="header7.xml"/><Relationship Id="rId41" Type="http://schemas.openxmlformats.org/officeDocument/2006/relationships/header" Target="header21.xml"/><Relationship Id="rId54" Type="http://schemas.openxmlformats.org/officeDocument/2006/relationships/header" Target="header28.xml"/><Relationship Id="rId62" Type="http://schemas.openxmlformats.org/officeDocument/2006/relationships/header" Target="header34.xml"/><Relationship Id="rId70" Type="http://schemas.openxmlformats.org/officeDocument/2006/relationships/header" Target="header38.xml"/><Relationship Id="rId75" Type="http://schemas.openxmlformats.org/officeDocument/2006/relationships/footer" Target="footer15.xml"/><Relationship Id="rId83" Type="http://schemas.openxmlformats.org/officeDocument/2006/relationships/image" Target="media/image7.png"/><Relationship Id="rId88" Type="http://schemas.openxmlformats.org/officeDocument/2006/relationships/footer" Target="footer18.xm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2.png"/><Relationship Id="rId23" Type="http://schemas.openxmlformats.org/officeDocument/2006/relationships/header" Target="header9.xml"/><Relationship Id="rId28" Type="http://schemas.openxmlformats.org/officeDocument/2006/relationships/header" Target="header13.xml"/><Relationship Id="rId36" Type="http://schemas.openxmlformats.org/officeDocument/2006/relationships/header" Target="header18.xml"/><Relationship Id="rId49" Type="http://schemas.openxmlformats.org/officeDocument/2006/relationships/footer" Target="footer9.xml"/><Relationship Id="rId57" Type="http://schemas.openxmlformats.org/officeDocument/2006/relationships/header" Target="header30.xml"/><Relationship Id="rId10" Type="http://schemas.openxmlformats.org/officeDocument/2006/relationships/endnotes" Target="endnotes.xml"/><Relationship Id="rId31" Type="http://schemas.openxmlformats.org/officeDocument/2006/relationships/header" Target="header15.xml"/><Relationship Id="rId44" Type="http://schemas.openxmlformats.org/officeDocument/2006/relationships/header" Target="header23.xml"/><Relationship Id="rId52" Type="http://schemas.openxmlformats.org/officeDocument/2006/relationships/chart" Target="charts/chart3.xml"/><Relationship Id="rId60" Type="http://schemas.openxmlformats.org/officeDocument/2006/relationships/footer" Target="footer11.xml"/><Relationship Id="rId65" Type="http://schemas.openxmlformats.org/officeDocument/2006/relationships/header" Target="header36.xml"/><Relationship Id="rId73" Type="http://schemas.openxmlformats.org/officeDocument/2006/relationships/hyperlink" Target="https://www.fairtrading.nsw.gov.au/buying-products-and-services/buying-services/motor-repairs/tow-truck-fees-for-light-vehicles" TargetMode="External"/><Relationship Id="rId78" Type="http://schemas.openxmlformats.org/officeDocument/2006/relationships/footer" Target="footer16.xml"/><Relationship Id="rId81" Type="http://schemas.openxmlformats.org/officeDocument/2006/relationships/image" Target="media/image5.png"/><Relationship Id="rId86" Type="http://schemas.openxmlformats.org/officeDocument/2006/relationships/chart" Target="charts/chart6.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eader" Target="header3.xml"/><Relationship Id="rId18" Type="http://schemas.openxmlformats.org/officeDocument/2006/relationships/footer" Target="footer1.xml"/><Relationship Id="rId39" Type="http://schemas.openxmlformats.org/officeDocument/2006/relationships/header" Target="header20.xml"/><Relationship Id="rId34" Type="http://schemas.openxmlformats.org/officeDocument/2006/relationships/header" Target="header17.xml"/><Relationship Id="rId50" Type="http://schemas.openxmlformats.org/officeDocument/2006/relationships/header" Target="header27.xml"/><Relationship Id="rId55" Type="http://schemas.openxmlformats.org/officeDocument/2006/relationships/header" Target="header29.xml"/><Relationship Id="rId76" Type="http://schemas.openxmlformats.org/officeDocument/2006/relationships/header" Target="header40.xml"/><Relationship Id="rId7" Type="http://schemas.openxmlformats.org/officeDocument/2006/relationships/settings" Target="settings.xml"/><Relationship Id="rId71" Type="http://schemas.openxmlformats.org/officeDocument/2006/relationships/footer" Target="footer14.xml"/><Relationship Id="rId2" Type="http://schemas.openxmlformats.org/officeDocument/2006/relationships/customXml" Target="../customXml/item2.xml"/><Relationship Id="rId29" Type="http://schemas.openxmlformats.org/officeDocument/2006/relationships/header" Target="header14.xml"/><Relationship Id="rId24" Type="http://schemas.openxmlformats.org/officeDocument/2006/relationships/header" Target="header10.xml"/><Relationship Id="rId40" Type="http://schemas.openxmlformats.org/officeDocument/2006/relationships/footer" Target="footer7.xml"/><Relationship Id="rId45" Type="http://schemas.openxmlformats.org/officeDocument/2006/relationships/footer" Target="footer8.xml"/><Relationship Id="rId66" Type="http://schemas.openxmlformats.org/officeDocument/2006/relationships/footer" Target="footer13.xml"/><Relationship Id="rId87" Type="http://schemas.openxmlformats.org/officeDocument/2006/relationships/chart" Target="charts/chart7.xml"/><Relationship Id="rId61" Type="http://schemas.openxmlformats.org/officeDocument/2006/relationships/header" Target="header33.xml"/><Relationship Id="rId82" Type="http://schemas.openxmlformats.org/officeDocument/2006/relationships/image" Target="media/image6.png"/><Relationship Id="rId19" Type="http://schemas.openxmlformats.org/officeDocument/2006/relationships/header" Target="header6.xml"/></Relationships>
</file>

<file path=word/_rels/footnotes.xml.rels><?xml version="1.0" encoding="UTF-8" standalone="yes"?>
<Relationships xmlns="http://schemas.openxmlformats.org/package/2006/relationships"><Relationship Id="rId3" Type="http://schemas.openxmlformats.org/officeDocument/2006/relationships/hyperlink" Target="https://www.transport.wa.gov.au/mediaFiles/licensing/DVS_P_CrashTowing_DRIS.pdf" TargetMode="External"/><Relationship Id="rId2" Type="http://schemas.openxmlformats.org/officeDocument/2006/relationships/hyperlink" Target="https://www.transport.wa.gov.au/licensing/maximum-charges-for-crash-towing.asp" TargetMode="External"/><Relationship Id="rId1" Type="http://schemas.openxmlformats.org/officeDocument/2006/relationships/hyperlink" Target="https://www.aaa.asn.au/research-data/electric-vehicle/" TargetMode="External"/><Relationship Id="rId5" Type="http://schemas.openxmlformats.org/officeDocument/2006/relationships/hyperlink" Target="https://www.abs.gov.au/statistics/industry/industry-overview/estimates-industry-multifactor-productivity/2020-21" TargetMode="External"/><Relationship Id="rId4" Type="http://schemas.openxmlformats.org/officeDocument/2006/relationships/hyperlink" Target="https://www.transport.wa.gov.au/licensing/maximum-charges-for-crash-towing.asp"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charts/_rels/chart1.xml.rels><?xml version="1.0" encoding="UTF-8" standalone="yes"?>
<Relationships xmlns="http://schemas.openxmlformats.org/package/2006/relationships"><Relationship Id="rId3" Type="http://schemas.openxmlformats.org/officeDocument/2006/relationships/oleObject" Target="https://escvic.sharepoint.com/teams/Transport-ESC-/Shared%20Documents/Accident%20towing/Data%20and%20analysis/2024/SS%20-%20Accident%20towing%20fees%20review%202024%20-%20Final%20Report%20Analysis%20and%20Calculations%20-%20v1.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https://escvic.sharepoint.com/teams/Transport-ESC-/Shared%20Documents/Accident%20towing/Data%20and%20analysis/2024/SS%20-%20Productivity%20data%20and%20analysis%202024%20Review%20PY%20-%20Final%20Report.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1" Type="http://schemas.openxmlformats.org/officeDocument/2006/relationships/oleObject" Target="https://escvic.sharepoint.com/teams/Transport-ESC-/Shared%20Documents/Accident%20towing/Data%20and%20analysis/2024/SS%20-%20Productivity%20data%20and%20analysis%202024%20Review%20PY%20-%20Final%20Report.xlsx" TargetMode="External"/></Relationships>
</file>

<file path=word/charts/_rels/chart4.xml.rels><?xml version="1.0" encoding="UTF-8" standalone="yes"?>
<Relationships xmlns="http://schemas.openxmlformats.org/package/2006/relationships"><Relationship Id="rId3" Type="http://schemas.openxmlformats.org/officeDocument/2006/relationships/oleObject" Target="https://escvic-my.sharepoint.com/personal/emily_evans_esc_vic_gov_au/Documents/Desktop/to%20delete/EE%20-%20Fee%20indexation%20-%20price%20floor%20and%20productivity%20factor.xlsx" TargetMode="External"/><Relationship Id="rId2" Type="http://schemas.microsoft.com/office/2011/relationships/chartColorStyle" Target="colors3.xml"/><Relationship Id="rId1" Type="http://schemas.microsoft.com/office/2011/relationships/chartStyle" Target="style3.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PYee\OneDrive%20-%20Essential%20Services%20Commission\Accident%20towing\Data%20and%20analysis\2024\SS%20-%20Accident%20towing%20fees%20review%202024%20-%20Final%20Report%20Analysis%20and%20Calculations%20-%20v1.xlsx" TargetMode="External"/><Relationship Id="rId2" Type="http://schemas.microsoft.com/office/2011/relationships/chartColorStyle" Target="colors4.xml"/><Relationship Id="rId1" Type="http://schemas.microsoft.com/office/2011/relationships/chartStyle" Target="style4.xml"/></Relationships>
</file>

<file path=word/charts/_rels/chart6.xml.rels><?xml version="1.0" encoding="UTF-8" standalone="yes"?>
<Relationships xmlns="http://schemas.openxmlformats.org/package/2006/relationships"><Relationship Id="rId3" Type="http://schemas.openxmlformats.org/officeDocument/2006/relationships/oleObject" Target="https://escvic.sharepoint.com/teams/Transport-ESC-/Shared%20Documents/Accident%20towing/Data%20and%20analysis/2024/SS%20-%20Accident%20towing%20fees%20review%202024%20-%20Final%20Report%20Analysis%20and%20Calculations%20-%20v1.xlsx" TargetMode="External"/><Relationship Id="rId2" Type="http://schemas.microsoft.com/office/2011/relationships/chartColorStyle" Target="colors5.xml"/><Relationship Id="rId1" Type="http://schemas.microsoft.com/office/2011/relationships/chartStyle" Target="style5.xml"/></Relationships>
</file>

<file path=word/charts/_rels/chart7.xml.rels><?xml version="1.0" encoding="UTF-8" standalone="yes"?>
<Relationships xmlns="http://schemas.openxmlformats.org/package/2006/relationships"><Relationship Id="rId3" Type="http://schemas.openxmlformats.org/officeDocument/2006/relationships/oleObject" Target="https://escvic.sharepoint.com/teams/Transport-ESC-/Shared%20Documents/Accident%20towing/Data%20and%20analysis/2024/SS%20-%20Accident%20towing%20fees%20review%202024%20-%20Draft%20Report%20Analysis%20and%20Calculations%20-%20v2.xlsx" TargetMode="External"/><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4.7967533406637487E-2"/>
          <c:y val="6.8289488681442218E-2"/>
          <c:w val="0.93608635964075715"/>
          <c:h val="0.77037273703859255"/>
        </c:manualLayout>
      </c:layout>
      <c:lineChart>
        <c:grouping val="standard"/>
        <c:varyColors val="0"/>
        <c:ser>
          <c:idx val="0"/>
          <c:order val="0"/>
          <c:spPr>
            <a:ln w="28575" cap="rnd">
              <a:solidFill>
                <a:srgbClr val="236192"/>
              </a:solidFill>
              <a:round/>
            </a:ln>
            <a:effectLst/>
          </c:spPr>
          <c:marker>
            <c:symbol val="none"/>
          </c:marker>
          <c:cat>
            <c:numRef>
              <c:f>'CH2'!$C$61:$C$192</c:f>
              <c:numCache>
                <c:formatCode>mmm\-yy</c:formatCode>
                <c:ptCount val="132"/>
                <c:pt idx="0">
                  <c:v>41640</c:v>
                </c:pt>
                <c:pt idx="1">
                  <c:v>41671</c:v>
                </c:pt>
                <c:pt idx="2">
                  <c:v>41699</c:v>
                </c:pt>
                <c:pt idx="3">
                  <c:v>41730</c:v>
                </c:pt>
                <c:pt idx="4">
                  <c:v>41760</c:v>
                </c:pt>
                <c:pt idx="5">
                  <c:v>41791</c:v>
                </c:pt>
                <c:pt idx="6">
                  <c:v>41821</c:v>
                </c:pt>
                <c:pt idx="7">
                  <c:v>41852</c:v>
                </c:pt>
                <c:pt idx="8">
                  <c:v>41883</c:v>
                </c:pt>
                <c:pt idx="9">
                  <c:v>41913</c:v>
                </c:pt>
                <c:pt idx="10">
                  <c:v>41944</c:v>
                </c:pt>
                <c:pt idx="11">
                  <c:v>41974</c:v>
                </c:pt>
                <c:pt idx="12">
                  <c:v>42005</c:v>
                </c:pt>
                <c:pt idx="13">
                  <c:v>42036</c:v>
                </c:pt>
                <c:pt idx="14">
                  <c:v>42064</c:v>
                </c:pt>
                <c:pt idx="15">
                  <c:v>42095</c:v>
                </c:pt>
                <c:pt idx="16">
                  <c:v>42125</c:v>
                </c:pt>
                <c:pt idx="17">
                  <c:v>42156</c:v>
                </c:pt>
                <c:pt idx="18">
                  <c:v>42186</c:v>
                </c:pt>
                <c:pt idx="19">
                  <c:v>42217</c:v>
                </c:pt>
                <c:pt idx="20">
                  <c:v>42248</c:v>
                </c:pt>
                <c:pt idx="21">
                  <c:v>42278</c:v>
                </c:pt>
                <c:pt idx="22">
                  <c:v>42309</c:v>
                </c:pt>
                <c:pt idx="23">
                  <c:v>42339</c:v>
                </c:pt>
                <c:pt idx="24">
                  <c:v>42370</c:v>
                </c:pt>
                <c:pt idx="25">
                  <c:v>42401</c:v>
                </c:pt>
                <c:pt idx="26">
                  <c:v>42430</c:v>
                </c:pt>
                <c:pt idx="27">
                  <c:v>42461</c:v>
                </c:pt>
                <c:pt idx="28">
                  <c:v>42491</c:v>
                </c:pt>
                <c:pt idx="29">
                  <c:v>42522</c:v>
                </c:pt>
                <c:pt idx="30">
                  <c:v>42552</c:v>
                </c:pt>
                <c:pt idx="31">
                  <c:v>42583</c:v>
                </c:pt>
                <c:pt idx="32">
                  <c:v>42614</c:v>
                </c:pt>
                <c:pt idx="33">
                  <c:v>42644</c:v>
                </c:pt>
                <c:pt idx="34">
                  <c:v>42675</c:v>
                </c:pt>
                <c:pt idx="35">
                  <c:v>42705</c:v>
                </c:pt>
                <c:pt idx="36">
                  <c:v>42736</c:v>
                </c:pt>
                <c:pt idx="37">
                  <c:v>42767</c:v>
                </c:pt>
                <c:pt idx="38">
                  <c:v>42795</c:v>
                </c:pt>
                <c:pt idx="39">
                  <c:v>42826</c:v>
                </c:pt>
                <c:pt idx="40">
                  <c:v>42856</c:v>
                </c:pt>
                <c:pt idx="41">
                  <c:v>42887</c:v>
                </c:pt>
                <c:pt idx="42">
                  <c:v>42917</c:v>
                </c:pt>
                <c:pt idx="43">
                  <c:v>42948</c:v>
                </c:pt>
                <c:pt idx="44">
                  <c:v>42979</c:v>
                </c:pt>
                <c:pt idx="45">
                  <c:v>43009</c:v>
                </c:pt>
                <c:pt idx="46">
                  <c:v>43040</c:v>
                </c:pt>
                <c:pt idx="47">
                  <c:v>43070</c:v>
                </c:pt>
                <c:pt idx="48">
                  <c:v>43101</c:v>
                </c:pt>
                <c:pt idx="49">
                  <c:v>43132</c:v>
                </c:pt>
                <c:pt idx="50">
                  <c:v>43160</c:v>
                </c:pt>
                <c:pt idx="51">
                  <c:v>43191</c:v>
                </c:pt>
                <c:pt idx="52">
                  <c:v>43221</c:v>
                </c:pt>
                <c:pt idx="53">
                  <c:v>43252</c:v>
                </c:pt>
                <c:pt idx="54">
                  <c:v>43282</c:v>
                </c:pt>
                <c:pt idx="55">
                  <c:v>43313</c:v>
                </c:pt>
                <c:pt idx="56">
                  <c:v>43344</c:v>
                </c:pt>
                <c:pt idx="57">
                  <c:v>43374</c:v>
                </c:pt>
                <c:pt idx="58">
                  <c:v>43405</c:v>
                </c:pt>
                <c:pt idx="59">
                  <c:v>43435</c:v>
                </c:pt>
                <c:pt idx="60">
                  <c:v>43466</c:v>
                </c:pt>
                <c:pt idx="61">
                  <c:v>43497</c:v>
                </c:pt>
                <c:pt idx="62">
                  <c:v>43525</c:v>
                </c:pt>
                <c:pt idx="63">
                  <c:v>43556</c:v>
                </c:pt>
                <c:pt idx="64">
                  <c:v>43586</c:v>
                </c:pt>
                <c:pt idx="65">
                  <c:v>43617</c:v>
                </c:pt>
                <c:pt idx="66">
                  <c:v>43647</c:v>
                </c:pt>
                <c:pt idx="67">
                  <c:v>43678</c:v>
                </c:pt>
                <c:pt idx="68">
                  <c:v>43709</c:v>
                </c:pt>
                <c:pt idx="69">
                  <c:v>43739</c:v>
                </c:pt>
                <c:pt idx="70">
                  <c:v>43770</c:v>
                </c:pt>
                <c:pt idx="71">
                  <c:v>43800</c:v>
                </c:pt>
                <c:pt idx="72">
                  <c:v>43831</c:v>
                </c:pt>
                <c:pt idx="73">
                  <c:v>43862</c:v>
                </c:pt>
                <c:pt idx="74">
                  <c:v>43891</c:v>
                </c:pt>
                <c:pt idx="75">
                  <c:v>43922</c:v>
                </c:pt>
                <c:pt idx="76">
                  <c:v>43952</c:v>
                </c:pt>
                <c:pt idx="77">
                  <c:v>43983</c:v>
                </c:pt>
                <c:pt idx="78">
                  <c:v>44013</c:v>
                </c:pt>
                <c:pt idx="79">
                  <c:v>44044</c:v>
                </c:pt>
                <c:pt idx="80">
                  <c:v>44075</c:v>
                </c:pt>
                <c:pt idx="81">
                  <c:v>44105</c:v>
                </c:pt>
                <c:pt idx="82">
                  <c:v>44136</c:v>
                </c:pt>
                <c:pt idx="83">
                  <c:v>44166</c:v>
                </c:pt>
                <c:pt idx="84">
                  <c:v>44197</c:v>
                </c:pt>
                <c:pt idx="85">
                  <c:v>44228</c:v>
                </c:pt>
                <c:pt idx="86">
                  <c:v>44256</c:v>
                </c:pt>
                <c:pt idx="87">
                  <c:v>44287</c:v>
                </c:pt>
                <c:pt idx="88">
                  <c:v>44317</c:v>
                </c:pt>
                <c:pt idx="89">
                  <c:v>44348</c:v>
                </c:pt>
                <c:pt idx="90">
                  <c:v>44378</c:v>
                </c:pt>
                <c:pt idx="91">
                  <c:v>44409</c:v>
                </c:pt>
                <c:pt idx="92">
                  <c:v>44440</c:v>
                </c:pt>
                <c:pt idx="93">
                  <c:v>44470</c:v>
                </c:pt>
                <c:pt idx="94">
                  <c:v>44501</c:v>
                </c:pt>
                <c:pt idx="95">
                  <c:v>44531</c:v>
                </c:pt>
                <c:pt idx="96">
                  <c:v>44562</c:v>
                </c:pt>
                <c:pt idx="97">
                  <c:v>44593</c:v>
                </c:pt>
                <c:pt idx="98">
                  <c:v>44621</c:v>
                </c:pt>
                <c:pt idx="99">
                  <c:v>44652</c:v>
                </c:pt>
                <c:pt idx="100">
                  <c:v>44682</c:v>
                </c:pt>
                <c:pt idx="101">
                  <c:v>44713</c:v>
                </c:pt>
                <c:pt idx="102">
                  <c:v>44743</c:v>
                </c:pt>
                <c:pt idx="103">
                  <c:v>44774</c:v>
                </c:pt>
                <c:pt idx="104">
                  <c:v>44805</c:v>
                </c:pt>
                <c:pt idx="105">
                  <c:v>44835</c:v>
                </c:pt>
                <c:pt idx="106">
                  <c:v>44866</c:v>
                </c:pt>
                <c:pt idx="107">
                  <c:v>44896</c:v>
                </c:pt>
                <c:pt idx="108">
                  <c:v>44927</c:v>
                </c:pt>
                <c:pt idx="109">
                  <c:v>44958</c:v>
                </c:pt>
                <c:pt idx="110">
                  <c:v>44986</c:v>
                </c:pt>
                <c:pt idx="111">
                  <c:v>45017</c:v>
                </c:pt>
                <c:pt idx="112">
                  <c:v>45047</c:v>
                </c:pt>
                <c:pt idx="113">
                  <c:v>45078</c:v>
                </c:pt>
                <c:pt idx="114">
                  <c:v>45108</c:v>
                </c:pt>
                <c:pt idx="115">
                  <c:v>45139</c:v>
                </c:pt>
                <c:pt idx="116">
                  <c:v>45170</c:v>
                </c:pt>
                <c:pt idx="117">
                  <c:v>45200</c:v>
                </c:pt>
                <c:pt idx="118">
                  <c:v>45231</c:v>
                </c:pt>
                <c:pt idx="119">
                  <c:v>45261</c:v>
                </c:pt>
                <c:pt idx="120">
                  <c:v>45292</c:v>
                </c:pt>
                <c:pt idx="121">
                  <c:v>45323</c:v>
                </c:pt>
                <c:pt idx="122">
                  <c:v>45352</c:v>
                </c:pt>
                <c:pt idx="123">
                  <c:v>45383</c:v>
                </c:pt>
                <c:pt idx="124">
                  <c:v>45413</c:v>
                </c:pt>
                <c:pt idx="125">
                  <c:v>45444</c:v>
                </c:pt>
                <c:pt idx="126">
                  <c:v>45474</c:v>
                </c:pt>
                <c:pt idx="127">
                  <c:v>45505</c:v>
                </c:pt>
                <c:pt idx="128">
                  <c:v>45536</c:v>
                </c:pt>
                <c:pt idx="129">
                  <c:v>45566</c:v>
                </c:pt>
                <c:pt idx="130">
                  <c:v>45597</c:v>
                </c:pt>
                <c:pt idx="131">
                  <c:v>45627</c:v>
                </c:pt>
              </c:numCache>
            </c:numRef>
          </c:cat>
          <c:val>
            <c:numRef>
              <c:f>'CH2'!$D$61:$D$192</c:f>
              <c:numCache>
                <c:formatCode>0</c:formatCode>
                <c:ptCount val="132"/>
                <c:pt idx="0">
                  <c:v>3238</c:v>
                </c:pt>
                <c:pt idx="1">
                  <c:v>3342</c:v>
                </c:pt>
                <c:pt idx="2">
                  <c:v>3950</c:v>
                </c:pt>
                <c:pt idx="3">
                  <c:v>3827</c:v>
                </c:pt>
                <c:pt idx="4">
                  <c:v>3855</c:v>
                </c:pt>
                <c:pt idx="5">
                  <c:v>3972</c:v>
                </c:pt>
                <c:pt idx="6">
                  <c:v>3958</c:v>
                </c:pt>
                <c:pt idx="7">
                  <c:v>3889</c:v>
                </c:pt>
                <c:pt idx="8">
                  <c:v>3796</c:v>
                </c:pt>
                <c:pt idx="9">
                  <c:v>4082</c:v>
                </c:pt>
                <c:pt idx="10">
                  <c:v>3936</c:v>
                </c:pt>
                <c:pt idx="11">
                  <c:v>3737</c:v>
                </c:pt>
                <c:pt idx="12" formatCode="General">
                  <c:v>3192</c:v>
                </c:pt>
                <c:pt idx="13" formatCode="General">
                  <c:v>3555</c:v>
                </c:pt>
                <c:pt idx="14" formatCode="General">
                  <c:v>4007</c:v>
                </c:pt>
                <c:pt idx="15" formatCode="General">
                  <c:v>3870</c:v>
                </c:pt>
                <c:pt idx="16" formatCode="General">
                  <c:v>4167</c:v>
                </c:pt>
                <c:pt idx="17" formatCode="General">
                  <c:v>3743</c:v>
                </c:pt>
                <c:pt idx="18" formatCode="General">
                  <c:v>4174</c:v>
                </c:pt>
                <c:pt idx="19" formatCode="General">
                  <c:v>4020</c:v>
                </c:pt>
                <c:pt idx="20" formatCode="General">
                  <c:v>3829</c:v>
                </c:pt>
                <c:pt idx="21" formatCode="General">
                  <c:v>4136</c:v>
                </c:pt>
                <c:pt idx="22" formatCode="General">
                  <c:v>3824</c:v>
                </c:pt>
                <c:pt idx="23" formatCode="General">
                  <c:v>4034</c:v>
                </c:pt>
                <c:pt idx="24" formatCode="General">
                  <c:v>3198</c:v>
                </c:pt>
                <c:pt idx="25" formatCode="General">
                  <c:v>3837</c:v>
                </c:pt>
                <c:pt idx="26" formatCode="General">
                  <c:v>3963</c:v>
                </c:pt>
                <c:pt idx="27" formatCode="General">
                  <c:v>3953</c:v>
                </c:pt>
                <c:pt idx="28" formatCode="General">
                  <c:v>4387</c:v>
                </c:pt>
                <c:pt idx="29" formatCode="General">
                  <c:v>4249</c:v>
                </c:pt>
                <c:pt idx="30" formatCode="General">
                  <c:v>4240</c:v>
                </c:pt>
                <c:pt idx="31" formatCode="General">
                  <c:v>4325</c:v>
                </c:pt>
                <c:pt idx="32" formatCode="General">
                  <c:v>4101</c:v>
                </c:pt>
                <c:pt idx="33" formatCode="General">
                  <c:v>4325</c:v>
                </c:pt>
                <c:pt idx="34" formatCode="General">
                  <c:v>4269</c:v>
                </c:pt>
                <c:pt idx="35" formatCode="General">
                  <c:v>4267</c:v>
                </c:pt>
                <c:pt idx="36" formatCode="General">
                  <c:v>3321</c:v>
                </c:pt>
                <c:pt idx="37" formatCode="General">
                  <c:v>3920</c:v>
                </c:pt>
                <c:pt idx="38" formatCode="General">
                  <c:v>4549</c:v>
                </c:pt>
                <c:pt idx="39" formatCode="General">
                  <c:v>3726</c:v>
                </c:pt>
                <c:pt idx="40" formatCode="General">
                  <c:v>4434</c:v>
                </c:pt>
                <c:pt idx="41" formatCode="General">
                  <c:v>4343</c:v>
                </c:pt>
                <c:pt idx="42" formatCode="General">
                  <c:v>4361</c:v>
                </c:pt>
                <c:pt idx="43" formatCode="General">
                  <c:v>4434</c:v>
                </c:pt>
                <c:pt idx="44" formatCode="General">
                  <c:v>3877</c:v>
                </c:pt>
                <c:pt idx="45" formatCode="General">
                  <c:v>4541</c:v>
                </c:pt>
                <c:pt idx="46" formatCode="General">
                  <c:v>4550</c:v>
                </c:pt>
                <c:pt idx="47" formatCode="General">
                  <c:v>4087</c:v>
                </c:pt>
                <c:pt idx="48" formatCode="General">
                  <c:v>3830</c:v>
                </c:pt>
                <c:pt idx="49" formatCode="General">
                  <c:v>4571</c:v>
                </c:pt>
                <c:pt idx="50" formatCode="General">
                  <c:v>5062</c:v>
                </c:pt>
                <c:pt idx="51" formatCode="General">
                  <c:v>4497</c:v>
                </c:pt>
                <c:pt idx="52" formatCode="General">
                  <c:v>5127</c:v>
                </c:pt>
                <c:pt idx="53" formatCode="General">
                  <c:v>4952</c:v>
                </c:pt>
                <c:pt idx="54" formatCode="General">
                  <c:v>4601</c:v>
                </c:pt>
                <c:pt idx="55" formatCode="General">
                  <c:v>4868</c:v>
                </c:pt>
                <c:pt idx="56" formatCode="General">
                  <c:v>4461</c:v>
                </c:pt>
                <c:pt idx="57" formatCode="General">
                  <c:v>4722</c:v>
                </c:pt>
                <c:pt idx="58" formatCode="General">
                  <c:v>4660</c:v>
                </c:pt>
                <c:pt idx="59" formatCode="General">
                  <c:v>4475</c:v>
                </c:pt>
                <c:pt idx="60" formatCode="General">
                  <c:v>3864</c:v>
                </c:pt>
                <c:pt idx="61" formatCode="General">
                  <c:v>4419</c:v>
                </c:pt>
                <c:pt idx="62" formatCode="General">
                  <c:v>4991</c:v>
                </c:pt>
                <c:pt idx="63" formatCode="General">
                  <c:v>4266</c:v>
                </c:pt>
                <c:pt idx="64" formatCode="General">
                  <c:v>5157</c:v>
                </c:pt>
                <c:pt idx="65" formatCode="General">
                  <c:v>4899</c:v>
                </c:pt>
                <c:pt idx="66" formatCode="General">
                  <c:v>4788</c:v>
                </c:pt>
                <c:pt idx="67" formatCode="General">
                  <c:v>4954</c:v>
                </c:pt>
                <c:pt idx="68" formatCode="General">
                  <c:v>4426</c:v>
                </c:pt>
                <c:pt idx="69" formatCode="General">
                  <c:v>5134</c:v>
                </c:pt>
                <c:pt idx="70" formatCode="General">
                  <c:v>4786</c:v>
                </c:pt>
                <c:pt idx="71" formatCode="General">
                  <c:v>4368</c:v>
                </c:pt>
                <c:pt idx="72" formatCode="General">
                  <c:v>4192</c:v>
                </c:pt>
                <c:pt idx="73" formatCode="General">
                  <c:v>4621</c:v>
                </c:pt>
                <c:pt idx="74" formatCode="General">
                  <c:v>4207</c:v>
                </c:pt>
                <c:pt idx="75" formatCode="General">
                  <c:v>2154</c:v>
                </c:pt>
                <c:pt idx="76" formatCode="General">
                  <c:v>2761</c:v>
                </c:pt>
                <c:pt idx="77" formatCode="General">
                  <c:v>3413</c:v>
                </c:pt>
                <c:pt idx="78" formatCode="General">
                  <c:v>2777</c:v>
                </c:pt>
                <c:pt idx="79" formatCode="General">
                  <c:v>1888</c:v>
                </c:pt>
                <c:pt idx="80" formatCode="General">
                  <c:v>1871</c:v>
                </c:pt>
                <c:pt idx="81" formatCode="General">
                  <c:v>2588</c:v>
                </c:pt>
                <c:pt idx="82" formatCode="General">
                  <c:v>3699</c:v>
                </c:pt>
                <c:pt idx="83" formatCode="General">
                  <c:v>4041</c:v>
                </c:pt>
                <c:pt idx="84" formatCode="General">
                  <c:v>3648</c:v>
                </c:pt>
                <c:pt idx="85" formatCode="General">
                  <c:v>4985</c:v>
                </c:pt>
                <c:pt idx="86" formatCode="General">
                  <c:v>3733</c:v>
                </c:pt>
                <c:pt idx="87" formatCode="General">
                  <c:v>4359</c:v>
                </c:pt>
                <c:pt idx="88" formatCode="General">
                  <c:v>4666</c:v>
                </c:pt>
                <c:pt idx="89" formatCode="General">
                  <c:v>3926</c:v>
                </c:pt>
                <c:pt idx="90" formatCode="General">
                  <c:v>3903</c:v>
                </c:pt>
                <c:pt idx="91" formatCode="General">
                  <c:v>2767</c:v>
                </c:pt>
                <c:pt idx="92" formatCode="General">
                  <c:v>2378</c:v>
                </c:pt>
                <c:pt idx="93" formatCode="General">
                  <c:v>2790</c:v>
                </c:pt>
                <c:pt idx="94" formatCode="General">
                  <c:v>4315</c:v>
                </c:pt>
                <c:pt idx="95" formatCode="General">
                  <c:v>4806</c:v>
                </c:pt>
                <c:pt idx="96" formatCode="General">
                  <c:v>3618</c:v>
                </c:pt>
                <c:pt idx="97" formatCode="General">
                  <c:v>4272</c:v>
                </c:pt>
                <c:pt idx="98" formatCode="General">
                  <c:v>4873</c:v>
                </c:pt>
                <c:pt idx="99" formatCode="General">
                  <c:v>4199</c:v>
                </c:pt>
                <c:pt idx="100" formatCode="General">
                  <c:v>5071</c:v>
                </c:pt>
                <c:pt idx="101" formatCode="General">
                  <c:v>4828</c:v>
                </c:pt>
                <c:pt idx="102" formatCode="General">
                  <c:v>4984</c:v>
                </c:pt>
                <c:pt idx="103" formatCode="General">
                  <c:v>5110</c:v>
                </c:pt>
                <c:pt idx="104" formatCode="General">
                  <c:v>4402</c:v>
                </c:pt>
                <c:pt idx="105" formatCode="General">
                  <c:v>5080</c:v>
                </c:pt>
                <c:pt idx="106" formatCode="General">
                  <c:v>4946</c:v>
                </c:pt>
                <c:pt idx="107" formatCode="General">
                  <c:v>4673</c:v>
                </c:pt>
                <c:pt idx="108" formatCode="General">
                  <c:v>4043</c:v>
                </c:pt>
                <c:pt idx="109" formatCode="General">
                  <c:v>4594</c:v>
                </c:pt>
                <c:pt idx="110" formatCode="General">
                  <c:v>5375</c:v>
                </c:pt>
                <c:pt idx="111" formatCode="General">
                  <c:v>4552</c:v>
                </c:pt>
                <c:pt idx="112" formatCode="General">
                  <c:v>5415</c:v>
                </c:pt>
                <c:pt idx="113" formatCode="General">
                  <c:v>4913</c:v>
                </c:pt>
                <c:pt idx="114" formatCode="General">
                  <c:v>5103</c:v>
                </c:pt>
                <c:pt idx="115" formatCode="General">
                  <c:v>5108</c:v>
                </c:pt>
                <c:pt idx="116" formatCode="General">
                  <c:v>4486</c:v>
                </c:pt>
                <c:pt idx="117" formatCode="General">
                  <c:v>5143</c:v>
                </c:pt>
                <c:pt idx="118" formatCode="General">
                  <c:v>4834</c:v>
                </c:pt>
                <c:pt idx="119" formatCode="General">
                  <c:v>4440</c:v>
                </c:pt>
                <c:pt idx="120" formatCode="General">
                  <c:v>4276</c:v>
                </c:pt>
                <c:pt idx="121" formatCode="General">
                  <c:v>4570</c:v>
                </c:pt>
                <c:pt idx="122" formatCode="General">
                  <c:v>4878</c:v>
                </c:pt>
                <c:pt idx="123" formatCode="General">
                  <c:v>4780</c:v>
                </c:pt>
                <c:pt idx="124" formatCode="General">
                  <c:v>5322</c:v>
                </c:pt>
                <c:pt idx="125" formatCode="General">
                  <c:v>4680</c:v>
                </c:pt>
                <c:pt idx="126" formatCode="General">
                  <c:v>5186</c:v>
                </c:pt>
                <c:pt idx="127" formatCode="General">
                  <c:v>4790</c:v>
                </c:pt>
                <c:pt idx="128" formatCode="General">
                  <c:v>4452</c:v>
                </c:pt>
                <c:pt idx="129" formatCode="General">
                  <c:v>5314</c:v>
                </c:pt>
                <c:pt idx="130" formatCode="General">
                  <c:v>5180</c:v>
                </c:pt>
                <c:pt idx="131" formatCode="General">
                  <c:v>4774</c:v>
                </c:pt>
              </c:numCache>
            </c:numRef>
          </c:val>
          <c:smooth val="0"/>
          <c:extLst>
            <c:ext xmlns:c16="http://schemas.microsoft.com/office/drawing/2014/chart" uri="{C3380CC4-5D6E-409C-BE32-E72D297353CC}">
              <c16:uniqueId val="{00000000-1450-4A43-8B4B-12B08AA2F967}"/>
            </c:ext>
          </c:extLst>
        </c:ser>
        <c:dLbls>
          <c:showLegendKey val="0"/>
          <c:showVal val="0"/>
          <c:showCatName val="0"/>
          <c:showSerName val="0"/>
          <c:showPercent val="0"/>
          <c:showBubbleSize val="0"/>
        </c:dLbls>
        <c:smooth val="0"/>
        <c:axId val="1500196800"/>
        <c:axId val="1500194504"/>
      </c:lineChart>
      <c:dateAx>
        <c:axId val="1500196800"/>
        <c:scaling>
          <c:orientation val="minMax"/>
        </c:scaling>
        <c:delete val="0"/>
        <c:axPos val="b"/>
        <c:numFmt formatCode="mmm\-yy" sourceLinked="1"/>
        <c:majorTickMark val="none"/>
        <c:minorTickMark val="none"/>
        <c:tickLblPos val="nextTo"/>
        <c:spPr>
          <a:noFill/>
          <a:ln w="9525" cap="flat" cmpd="sng" algn="ctr">
            <a:solidFill>
              <a:schemeClr val="tx1"/>
            </a:solidFill>
            <a:round/>
          </a:ln>
          <a:effectLst/>
        </c:spPr>
        <c:txPr>
          <a:bodyPr rot="-5400000" spcFirstLastPara="1" vertOverflow="ellipsis"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500194504"/>
        <c:crosses val="autoZero"/>
        <c:auto val="1"/>
        <c:lblOffset val="100"/>
        <c:baseTimeUnit val="months"/>
        <c:majorUnit val="3"/>
        <c:majorTimeUnit val="months"/>
      </c:dateAx>
      <c:valAx>
        <c:axId val="1500194504"/>
        <c:scaling>
          <c:orientation val="minMax"/>
        </c:scaling>
        <c:delete val="0"/>
        <c:axPos val="l"/>
        <c:majorGridlines>
          <c:spPr>
            <a:ln w="9525" cap="flat" cmpd="sng" algn="ctr">
              <a:solidFill>
                <a:schemeClr val="bg1">
                  <a:lumMod val="85000"/>
                </a:schemeClr>
              </a:solidFill>
              <a:prstDash val="dash"/>
              <a:round/>
            </a:ln>
            <a:effectLst/>
          </c:spPr>
        </c:majorGridlines>
        <c:numFmt formatCode="#,##0" sourceLinked="0"/>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105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50019680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bg2">
          <a:lumMod val="20000"/>
          <a:lumOff val="80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Analysis!$C$26</c:f>
              <c:strCache>
                <c:ptCount val="1"/>
                <c:pt idx="0">
                  <c:v>Labour productivity - Quality adjusted hours worked basis</c:v>
                </c:pt>
              </c:strCache>
            </c:strRef>
          </c:tx>
          <c:spPr>
            <a:ln w="28575" cap="rnd">
              <a:solidFill>
                <a:schemeClr val="accent1"/>
              </a:solidFill>
              <a:round/>
            </a:ln>
            <a:effectLst/>
          </c:spPr>
          <c:marker>
            <c:symbol val="none"/>
          </c:marker>
          <c:cat>
            <c:strRef>
              <c:f>Analysis!$Q$25:$AL$25</c:f>
              <c:strCache>
                <c:ptCount val="22"/>
                <c:pt idx="0">
                  <c:v>2002-03</c:v>
                </c:pt>
                <c:pt idx="1">
                  <c:v>2003-04</c:v>
                </c:pt>
                <c:pt idx="2">
                  <c:v>2004-05</c:v>
                </c:pt>
                <c:pt idx="3">
                  <c:v>2005-06</c:v>
                </c:pt>
                <c:pt idx="4">
                  <c:v>2006-07</c:v>
                </c:pt>
                <c:pt idx="5">
                  <c:v>2007-08</c:v>
                </c:pt>
                <c:pt idx="6">
                  <c:v>2008-09</c:v>
                </c:pt>
                <c:pt idx="7">
                  <c:v>2009-10</c:v>
                </c:pt>
                <c:pt idx="8">
                  <c:v>2010-11</c:v>
                </c:pt>
                <c:pt idx="9">
                  <c:v>2011-12</c:v>
                </c:pt>
                <c:pt idx="10">
                  <c:v>2012-13</c:v>
                </c:pt>
                <c:pt idx="11">
                  <c:v>2013-14</c:v>
                </c:pt>
                <c:pt idx="12">
                  <c:v>2014-15</c:v>
                </c:pt>
                <c:pt idx="13">
                  <c:v>2015-16</c:v>
                </c:pt>
                <c:pt idx="14">
                  <c:v>2016-17</c:v>
                </c:pt>
                <c:pt idx="15">
                  <c:v>2017-18</c:v>
                </c:pt>
                <c:pt idx="16">
                  <c:v>2018-19</c:v>
                </c:pt>
                <c:pt idx="17">
                  <c:v>2019-20</c:v>
                </c:pt>
                <c:pt idx="18">
                  <c:v>2020-21</c:v>
                </c:pt>
                <c:pt idx="19">
                  <c:v>2021-22</c:v>
                </c:pt>
                <c:pt idx="20">
                  <c:v>2022-23</c:v>
                </c:pt>
                <c:pt idx="21">
                  <c:v>2023-24</c:v>
                </c:pt>
              </c:strCache>
              <c:extLst/>
            </c:strRef>
          </c:cat>
          <c:val>
            <c:numRef>
              <c:f>Analysis!$Q$26:$AL$26</c:f>
              <c:numCache>
                <c:formatCode>General</c:formatCode>
                <c:ptCount val="22"/>
                <c:pt idx="0">
                  <c:v>94.01</c:v>
                </c:pt>
                <c:pt idx="1">
                  <c:v>94.95</c:v>
                </c:pt>
                <c:pt idx="2">
                  <c:v>93.95</c:v>
                </c:pt>
                <c:pt idx="3">
                  <c:v>93.28</c:v>
                </c:pt>
                <c:pt idx="4">
                  <c:v>97.34</c:v>
                </c:pt>
                <c:pt idx="5">
                  <c:v>99.01</c:v>
                </c:pt>
                <c:pt idx="6">
                  <c:v>100.34</c:v>
                </c:pt>
                <c:pt idx="7">
                  <c:v>99.38</c:v>
                </c:pt>
                <c:pt idx="8">
                  <c:v>100.4</c:v>
                </c:pt>
                <c:pt idx="9">
                  <c:v>105.27</c:v>
                </c:pt>
                <c:pt idx="10">
                  <c:v>106.82</c:v>
                </c:pt>
                <c:pt idx="11">
                  <c:v>103.78</c:v>
                </c:pt>
                <c:pt idx="12">
                  <c:v>106.82</c:v>
                </c:pt>
                <c:pt idx="13">
                  <c:v>106.76</c:v>
                </c:pt>
                <c:pt idx="14">
                  <c:v>107.05</c:v>
                </c:pt>
                <c:pt idx="15">
                  <c:v>102.56</c:v>
                </c:pt>
                <c:pt idx="16">
                  <c:v>102.48</c:v>
                </c:pt>
                <c:pt idx="17">
                  <c:v>98.3</c:v>
                </c:pt>
                <c:pt idx="18">
                  <c:v>94.93</c:v>
                </c:pt>
                <c:pt idx="19">
                  <c:v>101.74</c:v>
                </c:pt>
                <c:pt idx="20">
                  <c:v>100</c:v>
                </c:pt>
                <c:pt idx="21">
                  <c:v>106.13</c:v>
                </c:pt>
              </c:numCache>
              <c:extLst/>
            </c:numRef>
          </c:val>
          <c:smooth val="0"/>
          <c:extLst>
            <c:ext xmlns:c16="http://schemas.microsoft.com/office/drawing/2014/chart" uri="{C3380CC4-5D6E-409C-BE32-E72D297353CC}">
              <c16:uniqueId val="{00000000-B019-432F-96AA-07AC2DAF07DC}"/>
            </c:ext>
          </c:extLst>
        </c:ser>
        <c:ser>
          <c:idx val="2"/>
          <c:order val="2"/>
          <c:tx>
            <c:strRef>
              <c:f>Analysis!$C$28</c:f>
              <c:strCache>
                <c:ptCount val="1"/>
                <c:pt idx="0">
                  <c:v>Capital productivity</c:v>
                </c:pt>
              </c:strCache>
            </c:strRef>
          </c:tx>
          <c:spPr>
            <a:ln w="28575" cap="rnd">
              <a:solidFill>
                <a:schemeClr val="accent5"/>
              </a:solidFill>
              <a:round/>
            </a:ln>
            <a:effectLst/>
          </c:spPr>
          <c:marker>
            <c:symbol val="none"/>
          </c:marker>
          <c:cat>
            <c:strRef>
              <c:f>Analysis!$Q$25:$AL$25</c:f>
              <c:strCache>
                <c:ptCount val="22"/>
                <c:pt idx="0">
                  <c:v>2002-03</c:v>
                </c:pt>
                <c:pt idx="1">
                  <c:v>2003-04</c:v>
                </c:pt>
                <c:pt idx="2">
                  <c:v>2004-05</c:v>
                </c:pt>
                <c:pt idx="3">
                  <c:v>2005-06</c:v>
                </c:pt>
                <c:pt idx="4">
                  <c:v>2006-07</c:v>
                </c:pt>
                <c:pt idx="5">
                  <c:v>2007-08</c:v>
                </c:pt>
                <c:pt idx="6">
                  <c:v>2008-09</c:v>
                </c:pt>
                <c:pt idx="7">
                  <c:v>2009-10</c:v>
                </c:pt>
                <c:pt idx="8">
                  <c:v>2010-11</c:v>
                </c:pt>
                <c:pt idx="9">
                  <c:v>2011-12</c:v>
                </c:pt>
                <c:pt idx="10">
                  <c:v>2012-13</c:v>
                </c:pt>
                <c:pt idx="11">
                  <c:v>2013-14</c:v>
                </c:pt>
                <c:pt idx="12">
                  <c:v>2014-15</c:v>
                </c:pt>
                <c:pt idx="13">
                  <c:v>2015-16</c:v>
                </c:pt>
                <c:pt idx="14">
                  <c:v>2016-17</c:v>
                </c:pt>
                <c:pt idx="15">
                  <c:v>2017-18</c:v>
                </c:pt>
                <c:pt idx="16">
                  <c:v>2018-19</c:v>
                </c:pt>
                <c:pt idx="17">
                  <c:v>2019-20</c:v>
                </c:pt>
                <c:pt idx="18">
                  <c:v>2020-21</c:v>
                </c:pt>
                <c:pt idx="19">
                  <c:v>2021-22</c:v>
                </c:pt>
                <c:pt idx="20">
                  <c:v>2022-23</c:v>
                </c:pt>
                <c:pt idx="21">
                  <c:v>2023-24</c:v>
                </c:pt>
              </c:strCache>
              <c:extLst/>
            </c:strRef>
          </c:cat>
          <c:val>
            <c:numRef>
              <c:f>Analysis!$Q$28:$AL$28</c:f>
              <c:numCache>
                <c:formatCode>General</c:formatCode>
                <c:ptCount val="22"/>
                <c:pt idx="0">
                  <c:v>132.82</c:v>
                </c:pt>
                <c:pt idx="1">
                  <c:v>130.31</c:v>
                </c:pt>
                <c:pt idx="2">
                  <c:v>131.12</c:v>
                </c:pt>
                <c:pt idx="3">
                  <c:v>128.13999999999999</c:v>
                </c:pt>
                <c:pt idx="4">
                  <c:v>129.71</c:v>
                </c:pt>
                <c:pt idx="5">
                  <c:v>130.13999999999999</c:v>
                </c:pt>
                <c:pt idx="6">
                  <c:v>122.78</c:v>
                </c:pt>
                <c:pt idx="7">
                  <c:v>119.72</c:v>
                </c:pt>
                <c:pt idx="8">
                  <c:v>118.3</c:v>
                </c:pt>
                <c:pt idx="9">
                  <c:v>117.17</c:v>
                </c:pt>
                <c:pt idx="10">
                  <c:v>116.8</c:v>
                </c:pt>
                <c:pt idx="11">
                  <c:v>113.09</c:v>
                </c:pt>
                <c:pt idx="12">
                  <c:v>110.37</c:v>
                </c:pt>
                <c:pt idx="13">
                  <c:v>110.02</c:v>
                </c:pt>
                <c:pt idx="14">
                  <c:v>110.4</c:v>
                </c:pt>
                <c:pt idx="15">
                  <c:v>109.53</c:v>
                </c:pt>
                <c:pt idx="16">
                  <c:v>107.56</c:v>
                </c:pt>
                <c:pt idx="17">
                  <c:v>98.53</c:v>
                </c:pt>
                <c:pt idx="18">
                  <c:v>87.56</c:v>
                </c:pt>
                <c:pt idx="19">
                  <c:v>93.79</c:v>
                </c:pt>
                <c:pt idx="20">
                  <c:v>100</c:v>
                </c:pt>
                <c:pt idx="21">
                  <c:v>101.29</c:v>
                </c:pt>
              </c:numCache>
              <c:extLst/>
            </c:numRef>
          </c:val>
          <c:smooth val="0"/>
          <c:extLst>
            <c:ext xmlns:c16="http://schemas.microsoft.com/office/drawing/2014/chart" uri="{C3380CC4-5D6E-409C-BE32-E72D297353CC}">
              <c16:uniqueId val="{00000001-B019-432F-96AA-07AC2DAF07DC}"/>
            </c:ext>
          </c:extLst>
        </c:ser>
        <c:dLbls>
          <c:showLegendKey val="0"/>
          <c:showVal val="0"/>
          <c:showCatName val="0"/>
          <c:showSerName val="0"/>
          <c:showPercent val="0"/>
          <c:showBubbleSize val="0"/>
        </c:dLbls>
        <c:marker val="1"/>
        <c:smooth val="0"/>
        <c:axId val="1300470688"/>
        <c:axId val="1300472128"/>
      </c:lineChart>
      <c:lineChart>
        <c:grouping val="standard"/>
        <c:varyColors val="0"/>
        <c:ser>
          <c:idx val="1"/>
          <c:order val="1"/>
          <c:tx>
            <c:strRef>
              <c:f>Analysis!$C$21</c:f>
              <c:strCache>
                <c:ptCount val="1"/>
                <c:pt idx="0">
                  <c:v>Gross value added based multifactor productivity - Hours worked basis</c:v>
                </c:pt>
              </c:strCache>
            </c:strRef>
          </c:tx>
          <c:spPr>
            <a:ln w="28575" cap="rnd">
              <a:solidFill>
                <a:schemeClr val="accent2"/>
              </a:solidFill>
              <a:prstDash val="dash"/>
              <a:round/>
            </a:ln>
            <a:effectLst/>
          </c:spPr>
          <c:marker>
            <c:symbol val="none"/>
          </c:marker>
          <c:cat>
            <c:strRef>
              <c:f>Analysis!$Q$25:$AK$25</c:f>
              <c:strCache>
                <c:ptCount val="21"/>
                <c:pt idx="0">
                  <c:v>2002-03</c:v>
                </c:pt>
                <c:pt idx="1">
                  <c:v>2003-04</c:v>
                </c:pt>
                <c:pt idx="2">
                  <c:v>2004-05</c:v>
                </c:pt>
                <c:pt idx="3">
                  <c:v>2005-06</c:v>
                </c:pt>
                <c:pt idx="4">
                  <c:v>2006-07</c:v>
                </c:pt>
                <c:pt idx="5">
                  <c:v>2007-08</c:v>
                </c:pt>
                <c:pt idx="6">
                  <c:v>2008-09</c:v>
                </c:pt>
                <c:pt idx="7">
                  <c:v>2009-10</c:v>
                </c:pt>
                <c:pt idx="8">
                  <c:v>2010-11</c:v>
                </c:pt>
                <c:pt idx="9">
                  <c:v>2011-12</c:v>
                </c:pt>
                <c:pt idx="10">
                  <c:v>2012-13</c:v>
                </c:pt>
                <c:pt idx="11">
                  <c:v>2013-14</c:v>
                </c:pt>
                <c:pt idx="12">
                  <c:v>2014-15</c:v>
                </c:pt>
                <c:pt idx="13">
                  <c:v>2015-16</c:v>
                </c:pt>
                <c:pt idx="14">
                  <c:v>2016-17</c:v>
                </c:pt>
                <c:pt idx="15">
                  <c:v>2017-18</c:v>
                </c:pt>
                <c:pt idx="16">
                  <c:v>2018-19</c:v>
                </c:pt>
                <c:pt idx="17">
                  <c:v>2019-20</c:v>
                </c:pt>
                <c:pt idx="18">
                  <c:v>2020-21</c:v>
                </c:pt>
                <c:pt idx="19">
                  <c:v>2021-22</c:v>
                </c:pt>
                <c:pt idx="20">
                  <c:v>2022-23</c:v>
                </c:pt>
              </c:strCache>
              <c:extLst/>
            </c:strRef>
          </c:cat>
          <c:val>
            <c:numRef>
              <c:f>Analysis!$Q$21:$AL$21</c:f>
              <c:numCache>
                <c:formatCode>General</c:formatCode>
                <c:ptCount val="22"/>
                <c:pt idx="0">
                  <c:v>102.88</c:v>
                </c:pt>
                <c:pt idx="1">
                  <c:v>102.91</c:v>
                </c:pt>
                <c:pt idx="2">
                  <c:v>102.63</c:v>
                </c:pt>
                <c:pt idx="3">
                  <c:v>101.44</c:v>
                </c:pt>
                <c:pt idx="4">
                  <c:v>104.83</c:v>
                </c:pt>
                <c:pt idx="5">
                  <c:v>106.24</c:v>
                </c:pt>
                <c:pt idx="6">
                  <c:v>104.85</c:v>
                </c:pt>
                <c:pt idx="7">
                  <c:v>103.4</c:v>
                </c:pt>
                <c:pt idx="8">
                  <c:v>103.74</c:v>
                </c:pt>
                <c:pt idx="9">
                  <c:v>106.66</c:v>
                </c:pt>
                <c:pt idx="10">
                  <c:v>107.74</c:v>
                </c:pt>
                <c:pt idx="11">
                  <c:v>104.84</c:v>
                </c:pt>
                <c:pt idx="12">
                  <c:v>105.98</c:v>
                </c:pt>
                <c:pt idx="13">
                  <c:v>106.11</c:v>
                </c:pt>
                <c:pt idx="14">
                  <c:v>106.69</c:v>
                </c:pt>
                <c:pt idx="15">
                  <c:v>103.98</c:v>
                </c:pt>
                <c:pt idx="16">
                  <c:v>103.4</c:v>
                </c:pt>
                <c:pt idx="17">
                  <c:v>97.59</c:v>
                </c:pt>
                <c:pt idx="18">
                  <c:v>91.47</c:v>
                </c:pt>
                <c:pt idx="19">
                  <c:v>98.23</c:v>
                </c:pt>
                <c:pt idx="20">
                  <c:v>100</c:v>
                </c:pt>
                <c:pt idx="21">
                  <c:v>104.27</c:v>
                </c:pt>
              </c:numCache>
              <c:extLst/>
            </c:numRef>
          </c:val>
          <c:smooth val="0"/>
          <c:extLst>
            <c:ext xmlns:c16="http://schemas.microsoft.com/office/drawing/2014/chart" uri="{C3380CC4-5D6E-409C-BE32-E72D297353CC}">
              <c16:uniqueId val="{00000002-B019-432F-96AA-07AC2DAF07DC}"/>
            </c:ext>
          </c:extLst>
        </c:ser>
        <c:dLbls>
          <c:showLegendKey val="0"/>
          <c:showVal val="0"/>
          <c:showCatName val="0"/>
          <c:showSerName val="0"/>
          <c:showPercent val="0"/>
          <c:showBubbleSize val="0"/>
        </c:dLbls>
        <c:marker val="1"/>
        <c:smooth val="0"/>
        <c:axId val="1104350384"/>
        <c:axId val="1104348464"/>
      </c:lineChart>
      <c:catAx>
        <c:axId val="1300470688"/>
        <c:scaling>
          <c:orientation val="minMax"/>
        </c:scaling>
        <c:delete val="0"/>
        <c:axPos val="b"/>
        <c:numFmt formatCode="General" sourceLinked="1"/>
        <c:majorTickMark val="none"/>
        <c:minorTickMark val="none"/>
        <c:tickLblPos val="nextTo"/>
        <c:spPr>
          <a:noFill/>
          <a:ln w="9525" cap="flat" cmpd="sng" algn="ctr">
            <a:solidFill>
              <a:schemeClr val="tx1"/>
            </a:solidFill>
            <a:round/>
          </a:ln>
          <a:effectLst/>
        </c:spPr>
        <c:txPr>
          <a:bodyPr rot="-54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00472128"/>
        <c:crosses val="autoZero"/>
        <c:auto val="1"/>
        <c:lblAlgn val="ctr"/>
        <c:lblOffset val="100"/>
        <c:noMultiLvlLbl val="0"/>
      </c:catAx>
      <c:valAx>
        <c:axId val="1300472128"/>
        <c:scaling>
          <c:orientation val="minMax"/>
          <c:max val="150"/>
          <c:min val="80"/>
        </c:scaling>
        <c:delete val="0"/>
        <c:axPos val="l"/>
        <c:majorGridlines>
          <c:spPr>
            <a:ln w="9525" cap="flat" cmpd="sng" algn="ctr">
              <a:solidFill>
                <a:schemeClr val="tx1">
                  <a:lumMod val="15000"/>
                  <a:lumOff val="85000"/>
                </a:schemeClr>
              </a:solidFill>
              <a:prstDash val="dash"/>
              <a:round/>
            </a:ln>
            <a:effectLst/>
          </c:spPr>
        </c:majorGridlines>
        <c:title>
          <c:tx>
            <c:rich>
              <a:bodyPr rot="-540000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r>
                  <a:rPr lang="en-AU" sz="1050" b="0"/>
                  <a:t>Partial productivity</a:t>
                </a:r>
                <a:r>
                  <a:rPr lang="en-AU" sz="1050" b="0" baseline="0"/>
                  <a:t> index</a:t>
                </a:r>
                <a:endParaRPr lang="en-AU" sz="1050" b="0"/>
              </a:p>
            </c:rich>
          </c:tx>
          <c:overlay val="0"/>
          <c:spPr>
            <a:noFill/>
            <a:ln>
              <a:noFill/>
            </a:ln>
            <a:effectLst/>
          </c:spPr>
          <c:txPr>
            <a:bodyPr rot="-540000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en-AU"/>
            </a:p>
          </c:txPr>
        </c:title>
        <c:numFmt formatCode="General" sourceLinked="1"/>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00470688"/>
        <c:crosses val="autoZero"/>
        <c:crossBetween val="between"/>
        <c:majorUnit val="5"/>
      </c:valAx>
      <c:valAx>
        <c:axId val="1104348464"/>
        <c:scaling>
          <c:orientation val="minMax"/>
        </c:scaling>
        <c:delete val="0"/>
        <c:axPos val="r"/>
        <c:title>
          <c:tx>
            <c:rich>
              <a:bodyPr rot="-540000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r>
                  <a:rPr lang="en-AU" sz="1050"/>
                  <a:t>Multifactor</a:t>
                </a:r>
                <a:r>
                  <a:rPr lang="en-AU" sz="1050" baseline="0"/>
                  <a:t> productivity index</a:t>
                </a:r>
                <a:endParaRPr lang="en-AU" sz="1050"/>
              </a:p>
            </c:rich>
          </c:tx>
          <c:overlay val="0"/>
          <c:spPr>
            <a:noFill/>
            <a:ln>
              <a:noFill/>
            </a:ln>
            <a:effectLst/>
          </c:spPr>
          <c:txPr>
            <a:bodyPr rot="-540000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en-AU"/>
            </a:p>
          </c:txPr>
        </c:title>
        <c:numFmt formatCode="General" sourceLinked="1"/>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04350384"/>
        <c:crosses val="max"/>
        <c:crossBetween val="between"/>
      </c:valAx>
      <c:catAx>
        <c:axId val="1104350384"/>
        <c:scaling>
          <c:orientation val="minMax"/>
        </c:scaling>
        <c:delete val="1"/>
        <c:axPos val="b"/>
        <c:numFmt formatCode="General" sourceLinked="1"/>
        <c:majorTickMark val="out"/>
        <c:minorTickMark val="none"/>
        <c:tickLblPos val="nextTo"/>
        <c:crossAx val="1104348464"/>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span"/>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Analysis!$AI$11</c:f>
              <c:strCache>
                <c:ptCount val="1"/>
                <c:pt idx="0">
                  <c:v>Accident allocations per licence  (left axis)</c:v>
                </c:pt>
              </c:strCache>
            </c:strRef>
          </c:tx>
          <c:spPr>
            <a:ln w="28575" cap="rnd">
              <a:solidFill>
                <a:schemeClr val="accent4"/>
              </a:solidFill>
              <a:round/>
            </a:ln>
            <a:effectLst/>
          </c:spPr>
          <c:marker>
            <c:symbol val="none"/>
          </c:marker>
          <c:cat>
            <c:numRef>
              <c:f>Analysis!$AJ$10:$AV$10</c:f>
              <c:numCache>
                <c:formatCode>General</c:formatCode>
                <c:ptCount val="13"/>
                <c:pt idx="0">
                  <c:v>2012</c:v>
                </c:pt>
                <c:pt idx="1">
                  <c:v>2013</c:v>
                </c:pt>
                <c:pt idx="2">
                  <c:v>2014</c:v>
                </c:pt>
                <c:pt idx="3">
                  <c:v>2015</c:v>
                </c:pt>
                <c:pt idx="4">
                  <c:v>2016</c:v>
                </c:pt>
                <c:pt idx="5">
                  <c:v>2017</c:v>
                </c:pt>
                <c:pt idx="6">
                  <c:v>2018</c:v>
                </c:pt>
                <c:pt idx="7">
                  <c:v>2019</c:v>
                </c:pt>
                <c:pt idx="8">
                  <c:v>2020</c:v>
                </c:pt>
                <c:pt idx="9">
                  <c:v>2021</c:v>
                </c:pt>
                <c:pt idx="10">
                  <c:v>2022</c:v>
                </c:pt>
                <c:pt idx="11">
                  <c:v>2023</c:v>
                </c:pt>
                <c:pt idx="12">
                  <c:v>2024</c:v>
                </c:pt>
              </c:numCache>
            </c:numRef>
          </c:cat>
          <c:val>
            <c:numRef>
              <c:f>Analysis!$AJ$11:$AV$11</c:f>
              <c:numCache>
                <c:formatCode>0</c:formatCode>
                <c:ptCount val="13"/>
                <c:pt idx="0">
                  <c:v>107.62945368171022</c:v>
                </c:pt>
                <c:pt idx="1">
                  <c:v>108.20902612826603</c:v>
                </c:pt>
                <c:pt idx="2">
                  <c:v>108.27078384798099</c:v>
                </c:pt>
                <c:pt idx="3">
                  <c:v>110.57244655581948</c:v>
                </c:pt>
                <c:pt idx="4">
                  <c:v>116.6603325415677</c:v>
                </c:pt>
                <c:pt idx="5">
                  <c:v>119.10451306413302</c:v>
                </c:pt>
                <c:pt idx="6">
                  <c:v>132.60332541567695</c:v>
                </c:pt>
                <c:pt idx="7">
                  <c:v>133.14014251781472</c:v>
                </c:pt>
                <c:pt idx="8">
                  <c:v>90.764845605700714</c:v>
                </c:pt>
                <c:pt idx="9">
                  <c:v>109.91923990498812</c:v>
                </c:pt>
                <c:pt idx="10">
                  <c:v>133.14964370546318</c:v>
                </c:pt>
                <c:pt idx="11">
                  <c:v>137.78147268408551</c:v>
                </c:pt>
                <c:pt idx="12">
                  <c:v>138.24703087885985</c:v>
                </c:pt>
              </c:numCache>
            </c:numRef>
          </c:val>
          <c:smooth val="0"/>
          <c:extLst>
            <c:ext xmlns:c16="http://schemas.microsoft.com/office/drawing/2014/chart" uri="{C3380CC4-5D6E-409C-BE32-E72D297353CC}">
              <c16:uniqueId val="{00000000-A8B1-4825-BFF6-973B9CFF07C5}"/>
            </c:ext>
          </c:extLst>
        </c:ser>
        <c:dLbls>
          <c:showLegendKey val="0"/>
          <c:showVal val="0"/>
          <c:showCatName val="0"/>
          <c:showSerName val="0"/>
          <c:showPercent val="0"/>
          <c:showBubbleSize val="0"/>
        </c:dLbls>
        <c:marker val="1"/>
        <c:smooth val="0"/>
        <c:axId val="912634656"/>
        <c:axId val="912637536"/>
      </c:lineChart>
      <c:lineChart>
        <c:grouping val="standard"/>
        <c:varyColors val="0"/>
        <c:ser>
          <c:idx val="1"/>
          <c:order val="1"/>
          <c:tx>
            <c:strRef>
              <c:f>Analysis!$AI$12</c:f>
              <c:strCache>
                <c:ptCount val="1"/>
                <c:pt idx="0">
                  <c:v>Accident allocations per licenced tow truck (right axis)</c:v>
                </c:pt>
              </c:strCache>
            </c:strRef>
          </c:tx>
          <c:spPr>
            <a:ln w="28575" cap="rnd">
              <a:solidFill>
                <a:schemeClr val="accent1"/>
              </a:solidFill>
              <a:round/>
            </a:ln>
            <a:effectLst/>
          </c:spPr>
          <c:marker>
            <c:symbol val="none"/>
          </c:marker>
          <c:cat>
            <c:numRef>
              <c:f>Analysis!$AJ$10:$AV$10</c:f>
              <c:numCache>
                <c:formatCode>General</c:formatCode>
                <c:ptCount val="13"/>
                <c:pt idx="0">
                  <c:v>2012</c:v>
                </c:pt>
                <c:pt idx="1">
                  <c:v>2013</c:v>
                </c:pt>
                <c:pt idx="2">
                  <c:v>2014</c:v>
                </c:pt>
                <c:pt idx="3">
                  <c:v>2015</c:v>
                </c:pt>
                <c:pt idx="4">
                  <c:v>2016</c:v>
                </c:pt>
                <c:pt idx="5">
                  <c:v>2017</c:v>
                </c:pt>
                <c:pt idx="6">
                  <c:v>2018</c:v>
                </c:pt>
                <c:pt idx="7">
                  <c:v>2019</c:v>
                </c:pt>
                <c:pt idx="8">
                  <c:v>2020</c:v>
                </c:pt>
                <c:pt idx="9">
                  <c:v>2021</c:v>
                </c:pt>
                <c:pt idx="10">
                  <c:v>2022</c:v>
                </c:pt>
                <c:pt idx="11">
                  <c:v>2023</c:v>
                </c:pt>
                <c:pt idx="12">
                  <c:v>2024</c:v>
                </c:pt>
              </c:numCache>
            </c:numRef>
          </c:cat>
          <c:val>
            <c:numRef>
              <c:f>Analysis!$AJ$12:$AV$12</c:f>
              <c:numCache>
                <c:formatCode>0</c:formatCode>
                <c:ptCount val="13"/>
                <c:pt idx="0">
                  <c:v>179.8095238095238</c:v>
                </c:pt>
                <c:pt idx="1">
                  <c:v>186.24693376941946</c:v>
                </c:pt>
                <c:pt idx="2">
                  <c:v>192.16694772344013</c:v>
                </c:pt>
                <c:pt idx="3">
                  <c:v>202.57180156657964</c:v>
                </c:pt>
                <c:pt idx="4">
                  <c:v>220.83633093525182</c:v>
                </c:pt>
                <c:pt idx="5">
                  <c:v>233.2232558139535</c:v>
                </c:pt>
                <c:pt idx="6">
                  <c:v>259.65581395348835</c:v>
                </c:pt>
                <c:pt idx="7">
                  <c:v>260.70697674418602</c:v>
                </c:pt>
                <c:pt idx="8">
                  <c:v>177.73023255813953</c:v>
                </c:pt>
                <c:pt idx="9">
                  <c:v>215.23720930232557</c:v>
                </c:pt>
                <c:pt idx="10">
                  <c:v>260.72558139534885</c:v>
                </c:pt>
                <c:pt idx="11">
                  <c:v>268.5462962962963</c:v>
                </c:pt>
                <c:pt idx="12">
                  <c:v>273.24882629107981</c:v>
                </c:pt>
              </c:numCache>
            </c:numRef>
          </c:val>
          <c:smooth val="0"/>
          <c:extLst>
            <c:ext xmlns:c16="http://schemas.microsoft.com/office/drawing/2014/chart" uri="{C3380CC4-5D6E-409C-BE32-E72D297353CC}">
              <c16:uniqueId val="{00000001-A8B1-4825-BFF6-973B9CFF07C5}"/>
            </c:ext>
          </c:extLst>
        </c:ser>
        <c:dLbls>
          <c:showLegendKey val="0"/>
          <c:showVal val="0"/>
          <c:showCatName val="0"/>
          <c:showSerName val="0"/>
          <c:showPercent val="0"/>
          <c:showBubbleSize val="0"/>
        </c:dLbls>
        <c:marker val="1"/>
        <c:smooth val="0"/>
        <c:axId val="159181983"/>
        <c:axId val="159204063"/>
      </c:lineChart>
      <c:catAx>
        <c:axId val="912634656"/>
        <c:scaling>
          <c:orientation val="minMax"/>
        </c:scaling>
        <c:delete val="0"/>
        <c:axPos val="b"/>
        <c:numFmt formatCode="General" sourceLinked="1"/>
        <c:majorTickMark val="none"/>
        <c:minorTickMark val="none"/>
        <c:tickLblPos val="nextTo"/>
        <c:spPr>
          <a:noFill/>
          <a:ln w="9525" cap="flat" cmpd="sng" algn="ctr">
            <a:solidFill>
              <a:schemeClr val="tx1"/>
            </a:solidFill>
            <a:round/>
          </a:ln>
          <a:effectLst/>
        </c:spPr>
        <c:txPr>
          <a:bodyPr rot="-60000000" vert="horz"/>
          <a:lstStyle/>
          <a:p>
            <a:pPr>
              <a:defRPr/>
            </a:pPr>
            <a:endParaRPr lang="en-US"/>
          </a:p>
        </c:txPr>
        <c:crossAx val="912637536"/>
        <c:crosses val="autoZero"/>
        <c:auto val="1"/>
        <c:lblAlgn val="ctr"/>
        <c:lblOffset val="100"/>
        <c:noMultiLvlLbl val="0"/>
      </c:catAx>
      <c:valAx>
        <c:axId val="912637536"/>
        <c:scaling>
          <c:orientation val="minMax"/>
        </c:scaling>
        <c:delete val="0"/>
        <c:axPos val="l"/>
        <c:majorGridlines>
          <c:spPr>
            <a:ln w="9525" cap="flat" cmpd="sng" algn="ctr">
              <a:solidFill>
                <a:schemeClr val="tx1">
                  <a:lumMod val="15000"/>
                  <a:lumOff val="85000"/>
                </a:schemeClr>
              </a:solidFill>
              <a:prstDash val="dash"/>
              <a:round/>
            </a:ln>
            <a:effectLst/>
          </c:spPr>
        </c:majorGridlines>
        <c:numFmt formatCode="0" sourceLinked="1"/>
        <c:majorTickMark val="out"/>
        <c:minorTickMark val="none"/>
        <c:tickLblPos val="nextTo"/>
        <c:spPr>
          <a:noFill/>
          <a:ln>
            <a:solidFill>
              <a:schemeClr val="tx1"/>
            </a:solidFill>
          </a:ln>
          <a:effectLst/>
        </c:spPr>
        <c:txPr>
          <a:bodyPr rot="-60000000" vert="horz"/>
          <a:lstStyle/>
          <a:p>
            <a:pPr>
              <a:defRPr/>
            </a:pPr>
            <a:endParaRPr lang="en-US"/>
          </a:p>
        </c:txPr>
        <c:crossAx val="912634656"/>
        <c:crosses val="autoZero"/>
        <c:crossBetween val="between"/>
      </c:valAx>
      <c:valAx>
        <c:axId val="159204063"/>
        <c:scaling>
          <c:orientation val="minMax"/>
        </c:scaling>
        <c:delete val="0"/>
        <c:axPos val="r"/>
        <c:numFmt formatCode="0" sourceLinked="1"/>
        <c:majorTickMark val="out"/>
        <c:minorTickMark val="none"/>
        <c:tickLblPos val="nextTo"/>
        <c:spPr>
          <a:noFill/>
          <a:ln>
            <a:solidFill>
              <a:schemeClr val="tx1"/>
            </a:solidFill>
          </a:ln>
          <a:effectLst/>
        </c:spPr>
        <c:txPr>
          <a:bodyPr rot="-60000000" vert="horz"/>
          <a:lstStyle/>
          <a:p>
            <a:pPr>
              <a:defRPr/>
            </a:pPr>
            <a:endParaRPr lang="en-US"/>
          </a:p>
        </c:txPr>
        <c:crossAx val="159181983"/>
        <c:crosses val="max"/>
        <c:crossBetween val="between"/>
      </c:valAx>
      <c:catAx>
        <c:axId val="159181983"/>
        <c:scaling>
          <c:orientation val="minMax"/>
        </c:scaling>
        <c:delete val="1"/>
        <c:axPos val="b"/>
        <c:numFmt formatCode="General" sourceLinked="1"/>
        <c:majorTickMark val="out"/>
        <c:minorTickMark val="none"/>
        <c:tickLblPos val="nextTo"/>
        <c:crossAx val="159204063"/>
        <c:crosses val="autoZero"/>
        <c:auto val="1"/>
        <c:lblAlgn val="ctr"/>
        <c:lblOffset val="100"/>
        <c:noMultiLvlLbl val="0"/>
      </c:catAx>
      <c:spPr>
        <a:noFill/>
        <a:ln>
          <a:noFill/>
        </a:ln>
        <a:effectLst/>
      </c:spPr>
    </c:plotArea>
    <c:legend>
      <c:legendPos val="b"/>
      <c:overlay val="0"/>
      <c:spPr>
        <a:noFill/>
        <a:ln>
          <a:noFill/>
        </a:ln>
        <a:effectLst/>
      </c:spPr>
      <c:txPr>
        <a:bodyPr rot="0" vert="horz"/>
        <a:lstStyle/>
        <a:p>
          <a:pPr>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'Fees and charges'!$C$90</c:f>
              <c:strCache>
                <c:ptCount val="1"/>
                <c:pt idx="0">
                  <c:v>Actual increase in fees</c:v>
                </c:pt>
              </c:strCache>
            </c:strRef>
          </c:tx>
          <c:spPr>
            <a:ln w="28575" cap="rnd">
              <a:solidFill>
                <a:schemeClr val="accent1"/>
              </a:solidFill>
              <a:round/>
            </a:ln>
            <a:effectLst/>
          </c:spPr>
          <c:marker>
            <c:symbol val="none"/>
          </c:marker>
          <c:cat>
            <c:strRef>
              <c:f>'Fees and charges'!$D$89:$O$89</c:f>
              <c:strCache>
                <c:ptCount val="12"/>
                <c:pt idx="0">
                  <c:v>2013-14</c:v>
                </c:pt>
                <c:pt idx="1">
                  <c:v>2014-15</c:v>
                </c:pt>
                <c:pt idx="2">
                  <c:v> 2015-16 </c:v>
                </c:pt>
                <c:pt idx="3">
                  <c:v> 2016-17 </c:v>
                </c:pt>
                <c:pt idx="4">
                  <c:v> 2017-18 </c:v>
                </c:pt>
                <c:pt idx="5">
                  <c:v> 2018-19 </c:v>
                </c:pt>
                <c:pt idx="6">
                  <c:v> 2019-20 </c:v>
                </c:pt>
                <c:pt idx="7">
                  <c:v> 2020-21 </c:v>
                </c:pt>
                <c:pt idx="8">
                  <c:v> 2021-22 </c:v>
                </c:pt>
                <c:pt idx="9">
                  <c:v> 2022-23 </c:v>
                </c:pt>
                <c:pt idx="10">
                  <c:v> 2023-24 </c:v>
                </c:pt>
                <c:pt idx="11">
                  <c:v> 2024-25 </c:v>
                </c:pt>
              </c:strCache>
            </c:strRef>
          </c:cat>
          <c:val>
            <c:numRef>
              <c:f>'Fees and charges'!$D$90:$O$90</c:f>
              <c:numCache>
                <c:formatCode>_(* #,##0_);_(* \(#,##0\);_(* "-"??_);_(@_)</c:formatCode>
                <c:ptCount val="12"/>
                <c:pt idx="0" formatCode="General">
                  <c:v>100</c:v>
                </c:pt>
                <c:pt idx="1">
                  <c:v>102.42094861660078</c:v>
                </c:pt>
                <c:pt idx="2">
                  <c:v>102.42094861660078</c:v>
                </c:pt>
                <c:pt idx="3">
                  <c:v>102.42094861660078</c:v>
                </c:pt>
                <c:pt idx="4">
                  <c:v>106.81818181818181</c:v>
                </c:pt>
                <c:pt idx="5">
                  <c:v>109.38735177865613</c:v>
                </c:pt>
                <c:pt idx="6">
                  <c:v>109.38735177865613</c:v>
                </c:pt>
                <c:pt idx="7">
                  <c:v>112.35177865612648</c:v>
                </c:pt>
                <c:pt idx="8">
                  <c:v>112.35177865612648</c:v>
                </c:pt>
                <c:pt idx="9">
                  <c:v>126.67984189723317</c:v>
                </c:pt>
                <c:pt idx="10">
                  <c:v>130.97826086956522</c:v>
                </c:pt>
                <c:pt idx="11">
                  <c:v>134.78260869565216</c:v>
                </c:pt>
              </c:numCache>
            </c:numRef>
          </c:val>
          <c:smooth val="0"/>
          <c:extLst>
            <c:ext xmlns:c16="http://schemas.microsoft.com/office/drawing/2014/chart" uri="{C3380CC4-5D6E-409C-BE32-E72D297353CC}">
              <c16:uniqueId val="{00000000-EB1D-4957-A0E7-7E21FBE2271E}"/>
            </c:ext>
          </c:extLst>
        </c:ser>
        <c:ser>
          <c:idx val="2"/>
          <c:order val="1"/>
          <c:tx>
            <c:strRef>
              <c:f>'Fees and charges'!$C$100</c:f>
              <c:strCache>
                <c:ptCount val="1"/>
                <c:pt idx="0">
                  <c:v>Melbourne Transport CPI</c:v>
                </c:pt>
              </c:strCache>
            </c:strRef>
          </c:tx>
          <c:spPr>
            <a:ln w="28575" cap="rnd">
              <a:solidFill>
                <a:srgbClr val="FF0000"/>
              </a:solidFill>
              <a:round/>
            </a:ln>
            <a:effectLst/>
          </c:spPr>
          <c:marker>
            <c:symbol val="none"/>
          </c:marker>
          <c:cat>
            <c:strRef>
              <c:f>'Fees and charges'!$D$89:$O$89</c:f>
              <c:strCache>
                <c:ptCount val="12"/>
                <c:pt idx="0">
                  <c:v>2013-14</c:v>
                </c:pt>
                <c:pt idx="1">
                  <c:v>2014-15</c:v>
                </c:pt>
                <c:pt idx="2">
                  <c:v> 2015-16 </c:v>
                </c:pt>
                <c:pt idx="3">
                  <c:v> 2016-17 </c:v>
                </c:pt>
                <c:pt idx="4">
                  <c:v> 2017-18 </c:v>
                </c:pt>
                <c:pt idx="5">
                  <c:v> 2018-19 </c:v>
                </c:pt>
                <c:pt idx="6">
                  <c:v> 2019-20 </c:v>
                </c:pt>
                <c:pt idx="7">
                  <c:v> 2020-21 </c:v>
                </c:pt>
                <c:pt idx="8">
                  <c:v> 2021-22 </c:v>
                </c:pt>
                <c:pt idx="9">
                  <c:v> 2022-23 </c:v>
                </c:pt>
                <c:pt idx="10">
                  <c:v> 2023-24 </c:v>
                </c:pt>
                <c:pt idx="11">
                  <c:v> 2024-25 </c:v>
                </c:pt>
              </c:strCache>
            </c:strRef>
          </c:cat>
          <c:val>
            <c:numRef>
              <c:f>'Fees and charges'!$D$100:$O$100</c:f>
              <c:numCache>
                <c:formatCode>0</c:formatCode>
                <c:ptCount val="12"/>
                <c:pt idx="0">
                  <c:v>100</c:v>
                </c:pt>
                <c:pt idx="1">
                  <c:v>102.91262135922329</c:v>
                </c:pt>
                <c:pt idx="2">
                  <c:v>96.116504854368927</c:v>
                </c:pt>
                <c:pt idx="3">
                  <c:v>95.533980582524279</c:v>
                </c:pt>
                <c:pt idx="4">
                  <c:v>100.09708737864077</c:v>
                </c:pt>
                <c:pt idx="5">
                  <c:v>103.00970873786407</c:v>
                </c:pt>
                <c:pt idx="6">
                  <c:v>102.81553398058253</c:v>
                </c:pt>
                <c:pt idx="7">
                  <c:v>106.11650485436894</c:v>
                </c:pt>
                <c:pt idx="8">
                  <c:v>106.11650485436894</c:v>
                </c:pt>
                <c:pt idx="9">
                  <c:v>120.19417475728157</c:v>
                </c:pt>
                <c:pt idx="10">
                  <c:v>124.85436893203885</c:v>
                </c:pt>
                <c:pt idx="11">
                  <c:v>129.12621359223303</c:v>
                </c:pt>
              </c:numCache>
            </c:numRef>
          </c:val>
          <c:smooth val="0"/>
          <c:extLst>
            <c:ext xmlns:c16="http://schemas.microsoft.com/office/drawing/2014/chart" uri="{C3380CC4-5D6E-409C-BE32-E72D297353CC}">
              <c16:uniqueId val="{00000001-EB1D-4957-A0E7-7E21FBE2271E}"/>
            </c:ext>
          </c:extLst>
        </c:ser>
        <c:dLbls>
          <c:showLegendKey val="0"/>
          <c:showVal val="0"/>
          <c:showCatName val="0"/>
          <c:showSerName val="0"/>
          <c:showPercent val="0"/>
          <c:showBubbleSize val="0"/>
        </c:dLbls>
        <c:smooth val="0"/>
        <c:axId val="521542368"/>
        <c:axId val="521540928"/>
      </c:lineChart>
      <c:catAx>
        <c:axId val="521542368"/>
        <c:scaling>
          <c:orientation val="minMax"/>
        </c:scaling>
        <c:delete val="0"/>
        <c:axPos val="b"/>
        <c:numFmt formatCode="General" sourceLinked="1"/>
        <c:majorTickMark val="none"/>
        <c:minorTickMark val="none"/>
        <c:tickLblPos val="nextTo"/>
        <c:spPr>
          <a:noFill/>
          <a:ln w="9525" cap="flat" cmpd="sng" algn="ctr">
            <a:solidFill>
              <a:schemeClr val="tx1"/>
            </a:solidFill>
            <a:round/>
          </a:ln>
          <a:effectLst/>
        </c:spPr>
        <c:txPr>
          <a:bodyPr rot="-54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21540928"/>
        <c:crosses val="autoZero"/>
        <c:auto val="1"/>
        <c:lblAlgn val="ctr"/>
        <c:lblOffset val="100"/>
        <c:noMultiLvlLbl val="0"/>
      </c:catAx>
      <c:valAx>
        <c:axId val="521540928"/>
        <c:scaling>
          <c:orientation val="minMax"/>
          <c:min val="8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sz="1050" b="0"/>
                  <a:t>Index</a:t>
                </a:r>
                <a:endParaRPr lang="en-AU" b="0"/>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AU"/>
            </a:p>
          </c:txPr>
        </c:title>
        <c:numFmt formatCode="General" sourceLinked="1"/>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215423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650951128751576"/>
          <c:y val="6.5821897347994762E-2"/>
          <c:w val="0.80490990699811127"/>
          <c:h val="0.78717523702008207"/>
        </c:manualLayout>
      </c:layout>
      <c:barChart>
        <c:barDir val="col"/>
        <c:grouping val="clustered"/>
        <c:varyColors val="0"/>
        <c:ser>
          <c:idx val="0"/>
          <c:order val="0"/>
          <c:tx>
            <c:strRef>
              <c:f>'Appendix F'!$C$9</c:f>
              <c:strCache>
                <c:ptCount val="1"/>
                <c:pt idx="0">
                  <c:v>Accident allocations</c:v>
                </c:pt>
              </c:strCache>
            </c:strRef>
          </c:tx>
          <c:spPr>
            <a:solidFill>
              <a:srgbClr val="236192"/>
            </a:solidFill>
            <a:ln>
              <a:solidFill>
                <a:schemeClr val="tx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'Appendix F'!$R$8:$W$8</c:f>
              <c:numCache>
                <c:formatCode>General</c:formatCode>
                <c:ptCount val="6"/>
                <c:pt idx="0">
                  <c:v>2018</c:v>
                </c:pt>
                <c:pt idx="1">
                  <c:v>2019</c:v>
                </c:pt>
                <c:pt idx="2">
                  <c:v>2020</c:v>
                </c:pt>
                <c:pt idx="3">
                  <c:v>2021</c:v>
                </c:pt>
                <c:pt idx="4">
                  <c:v>2022</c:v>
                </c:pt>
                <c:pt idx="5">
                  <c:v>2023</c:v>
                </c:pt>
              </c:numCache>
            </c:numRef>
          </c:cat>
          <c:val>
            <c:numRef>
              <c:f>'Appendix F'!$R$9:$W$9</c:f>
              <c:numCache>
                <c:formatCode>_-* #,##0_-;\-* #,##0_-;_-* "-"??_-;_-@_-</c:formatCode>
                <c:ptCount val="6"/>
                <c:pt idx="0">
                  <c:v>55826</c:v>
                </c:pt>
                <c:pt idx="1">
                  <c:v>56052</c:v>
                </c:pt>
                <c:pt idx="2">
                  <c:v>38212</c:v>
                </c:pt>
                <c:pt idx="3">
                  <c:v>46276</c:v>
                </c:pt>
                <c:pt idx="4">
                  <c:v>56056</c:v>
                </c:pt>
                <c:pt idx="5">
                  <c:v>58006</c:v>
                </c:pt>
              </c:numCache>
            </c:numRef>
          </c:val>
          <c:extLst>
            <c:ext xmlns:c16="http://schemas.microsoft.com/office/drawing/2014/chart" uri="{C3380CC4-5D6E-409C-BE32-E72D297353CC}">
              <c16:uniqueId val="{00000000-7358-4164-AF8A-933FDB73595B}"/>
            </c:ext>
          </c:extLst>
        </c:ser>
        <c:dLbls>
          <c:showLegendKey val="0"/>
          <c:showVal val="0"/>
          <c:showCatName val="0"/>
          <c:showSerName val="0"/>
          <c:showPercent val="0"/>
          <c:showBubbleSize val="0"/>
        </c:dLbls>
        <c:gapWidth val="219"/>
        <c:overlap val="-27"/>
        <c:axId val="1617515920"/>
        <c:axId val="1617510344"/>
      </c:barChart>
      <c:catAx>
        <c:axId val="1617515920"/>
        <c:scaling>
          <c:orientation val="minMax"/>
        </c:scaling>
        <c:delete val="0"/>
        <c:axPos val="b"/>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1617510344"/>
        <c:crossesAt val="0"/>
        <c:auto val="1"/>
        <c:lblAlgn val="ctr"/>
        <c:lblOffset val="100"/>
        <c:noMultiLvlLbl val="0"/>
      </c:catAx>
      <c:valAx>
        <c:axId val="1617510344"/>
        <c:scaling>
          <c:orientation val="minMax"/>
        </c:scaling>
        <c:delete val="0"/>
        <c:axPos val="l"/>
        <c:majorGridlines>
          <c:spPr>
            <a:ln w="9525" cap="flat" cmpd="sng" algn="ctr">
              <a:solidFill>
                <a:schemeClr val="tx1">
                  <a:lumMod val="15000"/>
                  <a:lumOff val="85000"/>
                </a:schemeClr>
              </a:solidFill>
              <a:prstDash val="dash"/>
              <a:round/>
            </a:ln>
            <a:effectLst/>
          </c:spPr>
        </c:majorGridlines>
        <c:title>
          <c:tx>
            <c:rich>
              <a:bodyPr rot="-54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r>
                  <a:rPr lang="en-AU" sz="1000" b="0"/>
                  <a:t>Number</a:t>
                </a:r>
                <a:r>
                  <a:rPr lang="en-AU" sz="1000" b="0" baseline="0"/>
                  <a:t> of a</a:t>
                </a:r>
                <a:r>
                  <a:rPr lang="en-AU" sz="1000" b="0"/>
                  <a:t>ccident allocations</a:t>
                </a:r>
              </a:p>
            </c:rich>
          </c:tx>
          <c:layout>
            <c:manualLayout>
              <c:xMode val="edge"/>
              <c:yMode val="edge"/>
              <c:x val="2.4813035017230027E-2"/>
              <c:y val="4.5350316839462314E-2"/>
            </c:manualLayout>
          </c:layout>
          <c:overlay val="0"/>
          <c:spPr>
            <a:noFill/>
            <a:ln>
              <a:noFill/>
            </a:ln>
            <a:effectLst/>
          </c:spPr>
          <c:txPr>
            <a:bodyPr rot="-54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title>
        <c:numFmt formatCode="_-* #,##0_-;\-* #,##0_-;_-* &quot;-&quot;??_-;_-@_-" sourceLinked="1"/>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161751592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bg2">
          <a:lumMod val="20000"/>
          <a:lumOff val="80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4986766918398802E-2"/>
          <c:y val="4.6605235530949522E-2"/>
          <c:w val="0.78351010610929905"/>
          <c:h val="0.78915474343707936"/>
        </c:manualLayout>
      </c:layout>
      <c:barChart>
        <c:barDir val="col"/>
        <c:grouping val="clustered"/>
        <c:varyColors val="0"/>
        <c:ser>
          <c:idx val="1"/>
          <c:order val="1"/>
          <c:tx>
            <c:strRef>
              <c:f>'Appendix E'!$X$89</c:f>
              <c:strCache>
                <c:ptCount val="1"/>
                <c:pt idx="0">
                  <c:v>Number of trades (left axis)</c:v>
                </c:pt>
              </c:strCache>
            </c:strRef>
          </c:tx>
          <c:spPr>
            <a:solidFill>
              <a:schemeClr val="accent1">
                <a:lumMod val="75000"/>
              </a:schemeClr>
            </a:solidFill>
            <a:ln>
              <a:solidFill>
                <a:schemeClr val="tx1"/>
              </a:solidFill>
            </a:ln>
            <a:effectLst/>
          </c:spPr>
          <c:invertIfNegative val="0"/>
          <c:cat>
            <c:numRef>
              <c:f>'Appendix E'!$Y$75:$AD$75</c:f>
              <c:numCache>
                <c:formatCode>General</c:formatCode>
                <c:ptCount val="6"/>
                <c:pt idx="0">
                  <c:v>2018</c:v>
                </c:pt>
                <c:pt idx="1">
                  <c:v>2019</c:v>
                </c:pt>
                <c:pt idx="2">
                  <c:v>2020</c:v>
                </c:pt>
                <c:pt idx="3">
                  <c:v>2021</c:v>
                </c:pt>
                <c:pt idx="4">
                  <c:v>2022</c:v>
                </c:pt>
                <c:pt idx="5">
                  <c:v>2023</c:v>
                </c:pt>
              </c:numCache>
            </c:numRef>
          </c:cat>
          <c:val>
            <c:numRef>
              <c:f>'Appendix E'!$Y$62:$AD$62</c:f>
              <c:numCache>
                <c:formatCode>_-* #,##0_-;\-* #,##0_-;_-* "-"??_-;_-@_-</c:formatCode>
                <c:ptCount val="6"/>
                <c:pt idx="0">
                  <c:v>11</c:v>
                </c:pt>
                <c:pt idx="1">
                  <c:v>18</c:v>
                </c:pt>
                <c:pt idx="2">
                  <c:v>6</c:v>
                </c:pt>
                <c:pt idx="3" formatCode="0">
                  <c:v>7</c:v>
                </c:pt>
                <c:pt idx="4" formatCode="0">
                  <c:v>11</c:v>
                </c:pt>
                <c:pt idx="5" formatCode="0">
                  <c:v>3</c:v>
                </c:pt>
              </c:numCache>
            </c:numRef>
          </c:val>
          <c:extLst>
            <c:ext xmlns:c16="http://schemas.microsoft.com/office/drawing/2014/chart" uri="{C3380CC4-5D6E-409C-BE32-E72D297353CC}">
              <c16:uniqueId val="{00000000-4994-4891-BD04-F7F8BCFFC379}"/>
            </c:ext>
          </c:extLst>
        </c:ser>
        <c:dLbls>
          <c:showLegendKey val="0"/>
          <c:showVal val="0"/>
          <c:showCatName val="0"/>
          <c:showSerName val="0"/>
          <c:showPercent val="0"/>
          <c:showBubbleSize val="0"/>
        </c:dLbls>
        <c:gapWidth val="150"/>
        <c:axId val="979884896"/>
        <c:axId val="979885224"/>
      </c:barChart>
      <c:lineChart>
        <c:grouping val="standard"/>
        <c:varyColors val="0"/>
        <c:ser>
          <c:idx val="0"/>
          <c:order val="0"/>
          <c:tx>
            <c:strRef>
              <c:f>'Appendix E'!$X$90</c:f>
              <c:strCache>
                <c:ptCount val="1"/>
                <c:pt idx="0">
                  <c:v>Average value (right axis)</c:v>
                </c:pt>
              </c:strCache>
            </c:strRef>
          </c:tx>
          <c:spPr>
            <a:ln w="28575" cap="rnd">
              <a:solidFill>
                <a:srgbClr val="C00000"/>
              </a:solidFill>
              <a:round/>
            </a:ln>
            <a:effectLst/>
          </c:spPr>
          <c:marker>
            <c:symbol val="none"/>
          </c:marker>
          <c:cat>
            <c:numRef>
              <c:f>'Appendix E'!$Y$75:$AD$75</c:f>
              <c:numCache>
                <c:formatCode>General</c:formatCode>
                <c:ptCount val="6"/>
                <c:pt idx="0">
                  <c:v>2018</c:v>
                </c:pt>
                <c:pt idx="1">
                  <c:v>2019</c:v>
                </c:pt>
                <c:pt idx="2">
                  <c:v>2020</c:v>
                </c:pt>
                <c:pt idx="3">
                  <c:v>2021</c:v>
                </c:pt>
                <c:pt idx="4">
                  <c:v>2022</c:v>
                </c:pt>
                <c:pt idx="5">
                  <c:v>2023</c:v>
                </c:pt>
              </c:numCache>
            </c:numRef>
          </c:cat>
          <c:val>
            <c:numRef>
              <c:f>'Appendix E'!$Y$78:$AD$78</c:f>
              <c:numCache>
                <c:formatCode>_-"$"* #,##0_-;\-"$"* #,##0_-;_-"$"* "-"??_-;_-@_-</c:formatCode>
                <c:ptCount val="6"/>
                <c:pt idx="0">
                  <c:v>373500</c:v>
                </c:pt>
                <c:pt idx="1">
                  <c:v>353700</c:v>
                </c:pt>
                <c:pt idx="2">
                  <c:v>350000</c:v>
                </c:pt>
                <c:pt idx="3">
                  <c:v>536800</c:v>
                </c:pt>
                <c:pt idx="4">
                  <c:v>547667</c:v>
                </c:pt>
                <c:pt idx="5">
                  <c:v>583333</c:v>
                </c:pt>
              </c:numCache>
            </c:numRef>
          </c:val>
          <c:smooth val="0"/>
          <c:extLst>
            <c:ext xmlns:c16="http://schemas.microsoft.com/office/drawing/2014/chart" uri="{C3380CC4-5D6E-409C-BE32-E72D297353CC}">
              <c16:uniqueId val="{00000001-4994-4891-BD04-F7F8BCFFC379}"/>
            </c:ext>
          </c:extLst>
        </c:ser>
        <c:dLbls>
          <c:showLegendKey val="0"/>
          <c:showVal val="0"/>
          <c:showCatName val="0"/>
          <c:showSerName val="0"/>
          <c:showPercent val="0"/>
          <c:showBubbleSize val="0"/>
        </c:dLbls>
        <c:marker val="1"/>
        <c:smooth val="0"/>
        <c:axId val="1232040320"/>
        <c:axId val="1232045600"/>
      </c:lineChart>
      <c:catAx>
        <c:axId val="979884896"/>
        <c:scaling>
          <c:orientation val="minMax"/>
        </c:scaling>
        <c:delete val="0"/>
        <c:axPos val="b"/>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979885224"/>
        <c:crosses val="autoZero"/>
        <c:auto val="1"/>
        <c:lblAlgn val="ctr"/>
        <c:lblOffset val="100"/>
        <c:noMultiLvlLbl val="0"/>
      </c:catAx>
      <c:valAx>
        <c:axId val="979885224"/>
        <c:scaling>
          <c:orientation val="minMax"/>
        </c:scaling>
        <c:delete val="0"/>
        <c:axPos val="l"/>
        <c:majorGridlines>
          <c:spPr>
            <a:ln w="9525" cap="flat" cmpd="sng" algn="ctr">
              <a:solidFill>
                <a:schemeClr val="bg1">
                  <a:lumMod val="85000"/>
                </a:schemeClr>
              </a:solidFill>
              <a:prstDash val="dash"/>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AU" sz="1000">
                    <a:latin typeface="Arial" panose="020B0604020202020204" pitchFamily="34" charset="0"/>
                    <a:cs typeface="Arial" panose="020B0604020202020204" pitchFamily="34" charset="0"/>
                  </a:rPr>
                  <a:t>Number of trades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_-* #,##0_-;\-* #,##0_-;_-* &quot;-&quot;??_-;_-@_-" sourceLinked="1"/>
        <c:majorTickMark val="out"/>
        <c:minorTickMark val="none"/>
        <c:tickLblPos val="nextTo"/>
        <c:spPr>
          <a:noFill/>
          <a:ln>
            <a:solidFill>
              <a:schemeClr val="tx1"/>
            </a:solidFill>
            <a:prstDash val="solid"/>
          </a:ln>
          <a:effectLst/>
        </c:spPr>
        <c:txPr>
          <a:bodyPr rot="-60000000" spcFirstLastPara="1" vertOverflow="ellipsis" vert="horz" wrap="square" anchor="ctr" anchorCtr="1"/>
          <a:lstStyle/>
          <a:p>
            <a:pPr>
              <a:defRPr sz="105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979884896"/>
        <c:crosses val="autoZero"/>
        <c:crossBetween val="between"/>
      </c:valAx>
      <c:valAx>
        <c:axId val="1232045600"/>
        <c:scaling>
          <c:orientation val="minMax"/>
        </c:scaling>
        <c:delete val="0"/>
        <c:axPos val="r"/>
        <c:title>
          <c:tx>
            <c:rich>
              <a:bodyPr rot="-54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r>
                  <a:rPr lang="en-AU" sz="1100"/>
                  <a:t>Average velue ($)</a:t>
                </a:r>
              </a:p>
            </c:rich>
          </c:tx>
          <c:overlay val="0"/>
          <c:spPr>
            <a:noFill/>
            <a:ln>
              <a:noFill/>
            </a:ln>
            <a:effectLst/>
          </c:spPr>
          <c:txPr>
            <a:bodyPr rot="-54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title>
        <c:numFmt formatCode="_-&quot;$&quot;* #,##0_-;\-&quot;$&quot;* #,##0_-;_-&quot;$&quot;* &quot;-&quot;??_-;_-@_-"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232040320"/>
        <c:crosses val="max"/>
        <c:crossBetween val="between"/>
      </c:valAx>
      <c:catAx>
        <c:axId val="1232040320"/>
        <c:scaling>
          <c:orientation val="minMax"/>
        </c:scaling>
        <c:delete val="1"/>
        <c:axPos val="b"/>
        <c:numFmt formatCode="General" sourceLinked="1"/>
        <c:majorTickMark val="out"/>
        <c:minorTickMark val="none"/>
        <c:tickLblPos val="nextTo"/>
        <c:crossAx val="1232045600"/>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bg2">
          <a:lumMod val="20000"/>
          <a:lumOff val="80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1"/>
          <c:order val="0"/>
          <c:tx>
            <c:strRef>
              <c:f>'[SS - Accident towing fees review 2024 - Draft Report Analysis and Calculations - v2.xlsx]Appendix F'!$C$160</c:f>
              <c:strCache>
                <c:ptCount val="1"/>
                <c:pt idx="0">
                  <c:v>Complaints</c:v>
                </c:pt>
              </c:strCache>
            </c:strRef>
          </c:tx>
          <c:spPr>
            <a:solidFill>
              <a:srgbClr val="236192"/>
            </a:solidFill>
            <a:ln>
              <a:solidFill>
                <a:schemeClr val="tx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'[SS - Accident towing fees review 2024 - Draft Report Analysis and Calculations - v2.xlsx]Appendix F'!$G$159:$L$159</c:f>
              <c:numCache>
                <c:formatCode>General</c:formatCode>
                <c:ptCount val="6"/>
                <c:pt idx="0">
                  <c:v>2018</c:v>
                </c:pt>
                <c:pt idx="1">
                  <c:v>2019</c:v>
                </c:pt>
                <c:pt idx="2">
                  <c:v>2020</c:v>
                </c:pt>
                <c:pt idx="3">
                  <c:v>2021</c:v>
                </c:pt>
                <c:pt idx="4">
                  <c:v>2022</c:v>
                </c:pt>
                <c:pt idx="5">
                  <c:v>2023</c:v>
                </c:pt>
              </c:numCache>
            </c:numRef>
          </c:cat>
          <c:val>
            <c:numRef>
              <c:f>'[SS - Accident towing fees review 2024 - Draft Report Analysis and Calculations - v2.xlsx]Appendix F'!$G$160:$L$160</c:f>
              <c:numCache>
                <c:formatCode>_-* #,##0_-;\-* #,##0_-;_-* "-"??_-;_-@_-</c:formatCode>
                <c:ptCount val="6"/>
                <c:pt idx="0">
                  <c:v>48</c:v>
                </c:pt>
                <c:pt idx="1">
                  <c:v>61</c:v>
                </c:pt>
                <c:pt idx="2">
                  <c:v>93</c:v>
                </c:pt>
                <c:pt idx="3">
                  <c:v>96</c:v>
                </c:pt>
                <c:pt idx="4">
                  <c:v>143</c:v>
                </c:pt>
                <c:pt idx="5">
                  <c:v>103</c:v>
                </c:pt>
              </c:numCache>
            </c:numRef>
          </c:val>
          <c:extLst>
            <c:ext xmlns:c16="http://schemas.microsoft.com/office/drawing/2014/chart" uri="{C3380CC4-5D6E-409C-BE32-E72D297353CC}">
              <c16:uniqueId val="{00000000-40AE-4847-BDA6-ECC801A930D7}"/>
            </c:ext>
          </c:extLst>
        </c:ser>
        <c:dLbls>
          <c:showLegendKey val="0"/>
          <c:showVal val="0"/>
          <c:showCatName val="0"/>
          <c:showSerName val="0"/>
          <c:showPercent val="0"/>
          <c:showBubbleSize val="0"/>
        </c:dLbls>
        <c:gapWidth val="219"/>
        <c:overlap val="-27"/>
        <c:axId val="979888832"/>
        <c:axId val="979883912"/>
        <c:extLst/>
      </c:barChart>
      <c:catAx>
        <c:axId val="979888832"/>
        <c:scaling>
          <c:orientation val="minMax"/>
        </c:scaling>
        <c:delete val="0"/>
        <c:axPos val="b"/>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crossAx val="979883912"/>
        <c:crosses val="autoZero"/>
        <c:auto val="1"/>
        <c:lblAlgn val="ctr"/>
        <c:lblOffset val="100"/>
        <c:noMultiLvlLbl val="0"/>
      </c:catAx>
      <c:valAx>
        <c:axId val="979883912"/>
        <c:scaling>
          <c:orientation val="minMax"/>
        </c:scaling>
        <c:delete val="0"/>
        <c:axPos val="l"/>
        <c:majorGridlines>
          <c:spPr>
            <a:ln w="9525" cap="flat" cmpd="sng" algn="ctr">
              <a:solidFill>
                <a:schemeClr val="tx1">
                  <a:lumMod val="15000"/>
                  <a:lumOff val="85000"/>
                </a:schemeClr>
              </a:solidFill>
              <a:prstDash val="dash"/>
              <a:round/>
            </a:ln>
            <a:effectLst/>
          </c:spPr>
        </c:majorGridlines>
        <c:title>
          <c:tx>
            <c:rich>
              <a:bodyPr rot="-5400000" spcFirstLastPara="1" vertOverflow="ellipsis" vert="horz" wrap="square" anchor="ctr" anchorCtr="1"/>
              <a:lstStyle/>
              <a:p>
                <a:pPr>
                  <a:defRPr sz="1050" b="1" i="0" u="none" strike="noStrike" kern="1200" baseline="0">
                    <a:solidFill>
                      <a:schemeClr val="tx1">
                        <a:lumMod val="65000"/>
                        <a:lumOff val="35000"/>
                      </a:schemeClr>
                    </a:solidFill>
                    <a:latin typeface="+mn-lt"/>
                    <a:ea typeface="+mn-ea"/>
                    <a:cs typeface="+mn-cs"/>
                  </a:defRPr>
                </a:pPr>
                <a:r>
                  <a:rPr lang="en-AU" sz="1050" b="0" baseline="0">
                    <a:latin typeface="+mn-lt"/>
                  </a:rPr>
                  <a:t>Number of complaints</a:t>
                </a:r>
              </a:p>
            </c:rich>
          </c:tx>
          <c:overlay val="0"/>
          <c:spPr>
            <a:noFill/>
            <a:ln>
              <a:noFill/>
            </a:ln>
            <a:effectLst/>
          </c:spPr>
          <c:txPr>
            <a:bodyPr rot="-5400000" spcFirstLastPara="1" vertOverflow="ellipsis" vert="horz" wrap="square" anchor="ctr" anchorCtr="1"/>
            <a:lstStyle/>
            <a:p>
              <a:pPr>
                <a:defRPr sz="1050" b="1" i="0" u="none" strike="noStrike" kern="1200" baseline="0">
                  <a:solidFill>
                    <a:schemeClr val="tx1">
                      <a:lumMod val="65000"/>
                      <a:lumOff val="35000"/>
                    </a:schemeClr>
                  </a:solidFill>
                  <a:latin typeface="+mn-lt"/>
                  <a:ea typeface="+mn-ea"/>
                  <a:cs typeface="+mn-cs"/>
                </a:defRPr>
              </a:pPr>
              <a:endParaRPr lang="en-US"/>
            </a:p>
          </c:txPr>
        </c:title>
        <c:numFmt formatCode="_-* #,##0_-;\-* #,##0_-;_-* &quot;-&quot;??_-;_-@_-" sourceLinked="1"/>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crossAx val="97988883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B26D8CCC9534309B9B5E9DB9F905536"/>
        <w:category>
          <w:name w:val="General"/>
          <w:gallery w:val="placeholder"/>
        </w:category>
        <w:types>
          <w:type w:val="bbPlcHdr"/>
        </w:types>
        <w:behaviors>
          <w:behavior w:val="content"/>
        </w:behaviors>
        <w:guid w:val="{929608A6-3918-41DB-B90C-E08C06D8411E}"/>
      </w:docPartPr>
      <w:docPartBody>
        <w:p w:rsidR="008C4DE6" w:rsidRDefault="008C4DE6">
          <w:pPr>
            <w:pStyle w:val="0B26D8CCC9534309B9B5E9DB9F905536"/>
          </w:pPr>
          <w:r>
            <w:t xml:space="preserve">  </w:t>
          </w:r>
        </w:p>
      </w:docPartBody>
    </w:docPart>
    <w:docPart>
      <w:docPartPr>
        <w:name w:val="CD34D51FC7ED4B339ADA211D80BD0736"/>
        <w:category>
          <w:name w:val="General"/>
          <w:gallery w:val="placeholder"/>
        </w:category>
        <w:types>
          <w:type w:val="bbPlcHdr"/>
        </w:types>
        <w:behaviors>
          <w:behavior w:val="content"/>
        </w:behaviors>
        <w:guid w:val="{4707C07B-F417-474E-98DB-DB00C68970C5}"/>
      </w:docPartPr>
      <w:docPartBody>
        <w:p w:rsidR="008C4DE6" w:rsidRDefault="008C4DE6">
          <w:pPr>
            <w:pStyle w:val="CD34D51FC7ED4B339ADA211D80BD0736"/>
          </w:pPr>
          <w:r w:rsidRPr="00DA005C">
            <w:t>[Title, use ‘Title’ type style. Content will automatically link to internal footer]</w:t>
          </w:r>
        </w:p>
      </w:docPartBody>
    </w:docPart>
    <w:docPart>
      <w:docPartPr>
        <w:name w:val="497FFFCC3E4C42669754D74AE9ACD1A6"/>
        <w:category>
          <w:name w:val="General"/>
          <w:gallery w:val="placeholder"/>
        </w:category>
        <w:types>
          <w:type w:val="bbPlcHdr"/>
        </w:types>
        <w:behaviors>
          <w:behavior w:val="content"/>
        </w:behaviors>
        <w:guid w:val="{1DF5E685-046C-4885-92CE-584535BF234B}"/>
      </w:docPartPr>
      <w:docPartBody>
        <w:p w:rsidR="008C4DE6" w:rsidRDefault="008C4DE6">
          <w:pPr>
            <w:pStyle w:val="497FFFCC3E4C42669754D74AE9ACD1A6"/>
          </w:pPr>
          <w:r w:rsidRPr="008249C5">
            <w:rPr>
              <w:rStyle w:val="PlaceholderText"/>
            </w:rPr>
            <w:t>[</w:t>
          </w:r>
          <w:r>
            <w:rPr>
              <w:rStyle w:val="PlaceholderText"/>
            </w:rPr>
            <w:t>Subtitle</w:t>
          </w:r>
          <w:r w:rsidRPr="008249C5">
            <w:rPr>
              <w:rStyle w:val="PlaceholderText"/>
            </w:rPr>
            <w:t>]</w:t>
          </w:r>
        </w:p>
      </w:docPartBody>
    </w:docPart>
    <w:docPart>
      <w:docPartPr>
        <w:name w:val="A723C0574D55492B9A7CFA29173E400A"/>
        <w:category>
          <w:name w:val="General"/>
          <w:gallery w:val="placeholder"/>
        </w:category>
        <w:types>
          <w:type w:val="bbPlcHdr"/>
        </w:types>
        <w:behaviors>
          <w:behavior w:val="content"/>
        </w:behaviors>
        <w:guid w:val="{B2C5BB97-D87C-4735-93A8-12F537A6D3B2}"/>
      </w:docPartPr>
      <w:docPartBody>
        <w:p w:rsidR="008C4DE6" w:rsidRDefault="008C4DE6">
          <w:pPr>
            <w:pStyle w:val="A723C0574D55492B9A7CFA29173E400A"/>
          </w:pPr>
          <w:r>
            <w:t>[</w:t>
          </w:r>
          <w:r w:rsidRPr="00615C49">
            <w:t>Click or tap to enter a date</w:t>
          </w:r>
          <w:r>
            <w:t>, or click to manually type custom date]</w:t>
          </w:r>
        </w:p>
      </w:docPartBody>
    </w:docPart>
    <w:docPart>
      <w:docPartPr>
        <w:name w:val="F0144DCCD14F4430B410C534DEC49CFC"/>
        <w:category>
          <w:name w:val="General"/>
          <w:gallery w:val="placeholder"/>
        </w:category>
        <w:types>
          <w:type w:val="bbPlcHdr"/>
        </w:types>
        <w:behaviors>
          <w:behavior w:val="content"/>
        </w:behaviors>
        <w:guid w:val="{F9145317-1F7D-495B-8401-A6F325B7EA43}"/>
      </w:docPartPr>
      <w:docPartBody>
        <w:p w:rsidR="008C4DE6" w:rsidRDefault="008C4DE6">
          <w:pPr>
            <w:pStyle w:val="F0144DCCD14F4430B410C534DEC49CFC"/>
          </w:pPr>
          <w:r w:rsidRPr="00360763">
            <w:rPr>
              <w:highlight w:val="lightGray"/>
            </w:rPr>
            <w:t>[Click to select a year]</w:t>
          </w:r>
        </w:p>
      </w:docPartBody>
    </w:docPart>
    <w:docPart>
      <w:docPartPr>
        <w:name w:val="26784A1D736647D8B114B513D6A59510"/>
        <w:category>
          <w:name w:val="General"/>
          <w:gallery w:val="placeholder"/>
        </w:category>
        <w:types>
          <w:type w:val="bbPlcHdr"/>
        </w:types>
        <w:behaviors>
          <w:behavior w:val="content"/>
        </w:behaviors>
        <w:guid w:val="{36BB0435-05DF-4372-BBC1-9C70CB465966}"/>
      </w:docPartPr>
      <w:docPartBody>
        <w:p w:rsidR="008C4DE6" w:rsidRDefault="008C4DE6">
          <w:pPr>
            <w:pStyle w:val="26784A1D736647D8B114B513D6A59510"/>
          </w:pPr>
          <w:r w:rsidRPr="005F3D90">
            <w:rPr>
              <w:highlight w:val="lightGray"/>
            </w:rPr>
            <w:t>[Title]</w:t>
          </w:r>
        </w:p>
      </w:docPartBody>
    </w:docPart>
    <w:docPart>
      <w:docPartPr>
        <w:name w:val="C3B5F2BDCEE444C89923D06CD3C3F258"/>
        <w:category>
          <w:name w:val="General"/>
          <w:gallery w:val="placeholder"/>
        </w:category>
        <w:types>
          <w:type w:val="bbPlcHdr"/>
        </w:types>
        <w:behaviors>
          <w:behavior w:val="content"/>
        </w:behaviors>
        <w:guid w:val="{5C612B0C-6141-4EE6-8371-E57C5835C17A}"/>
      </w:docPartPr>
      <w:docPartBody>
        <w:p w:rsidR="008C4DE6" w:rsidRDefault="008C4DE6">
          <w:pPr>
            <w:pStyle w:val="C3B5F2BDCEE444C89923D06CD3C3F258"/>
          </w:pPr>
          <w:r w:rsidRPr="00563AD8">
            <w:rPr>
              <w:highlight w:val="lightGray"/>
            </w:rPr>
            <w:t>[Subtitle]</w:t>
          </w:r>
        </w:p>
      </w:docPartBody>
    </w:docPart>
    <w:docPart>
      <w:docPartPr>
        <w:name w:val="4D5448C5BCBB48A5ADB9B10F82C7EB18"/>
        <w:category>
          <w:name w:val="General"/>
          <w:gallery w:val="placeholder"/>
        </w:category>
        <w:types>
          <w:type w:val="bbPlcHdr"/>
        </w:types>
        <w:behaviors>
          <w:behavior w:val="content"/>
        </w:behaviors>
        <w:guid w:val="{5C67CA86-B72F-443A-9B26-05E402E9E27D}"/>
      </w:docPartPr>
      <w:docPartBody>
        <w:p w:rsidR="008C4DE6" w:rsidRDefault="008C4DE6">
          <w:pPr>
            <w:pStyle w:val="4D5448C5BCBB48A5ADB9B10F82C7EB18"/>
          </w:pPr>
          <w:r w:rsidRPr="005F3D90">
            <w:rPr>
              <w:highlight w:val="lightGray"/>
            </w:rPr>
            <w:t xml:space="preserve">[Click to select </w:t>
          </w:r>
          <w:r>
            <w:rPr>
              <w:highlight w:val="lightGray"/>
            </w:rPr>
            <w:t>a date</w:t>
          </w:r>
          <w:r w:rsidRPr="005F3D90">
            <w:rPr>
              <w:highlight w:val="lightGray"/>
            </w:rPr>
            <w:t>]</w:t>
          </w:r>
        </w:p>
      </w:docPartBody>
    </w:docPart>
    <w:docPart>
      <w:docPartPr>
        <w:name w:val="AED240F9F4284DE780CFD1F88DF04FC6"/>
        <w:category>
          <w:name w:val="General"/>
          <w:gallery w:val="placeholder"/>
        </w:category>
        <w:types>
          <w:type w:val="bbPlcHdr"/>
        </w:types>
        <w:behaviors>
          <w:behavior w:val="content"/>
        </w:behaviors>
        <w:guid w:val="{6A6BA8AB-CD4D-4EE3-9D50-6D4E93CBB2CE}"/>
      </w:docPartPr>
      <w:docPartBody>
        <w:p w:rsidR="008C4DE6" w:rsidRDefault="008C4DE6">
          <w:pPr>
            <w:pStyle w:val="AED240F9F4284DE780CFD1F88DF04FC6"/>
          </w:pPr>
          <w:r w:rsidRPr="00360763">
            <w:rPr>
              <w:highlight w:val="lightGray"/>
            </w:rPr>
            <w:t>[Click to select a year]</w:t>
          </w:r>
        </w:p>
      </w:docPartBody>
    </w:docPart>
    <w:docPart>
      <w:docPartPr>
        <w:name w:val="487FBD851FCC403582D343AFA8BA353C"/>
        <w:category>
          <w:name w:val="General"/>
          <w:gallery w:val="placeholder"/>
        </w:category>
        <w:types>
          <w:type w:val="bbPlcHdr"/>
        </w:types>
        <w:behaviors>
          <w:behavior w:val="content"/>
        </w:behaviors>
        <w:guid w:val="{186A3B9A-252A-4D57-8A11-1B108806FF7F}"/>
      </w:docPartPr>
      <w:docPartBody>
        <w:p w:rsidR="008C4DE6" w:rsidRDefault="008C4DE6">
          <w:pPr>
            <w:pStyle w:val="487FBD851FCC403582D343AFA8BA353C"/>
          </w:pPr>
          <w:r w:rsidRPr="005F3D90">
            <w:rPr>
              <w:highlight w:val="lightGray"/>
            </w:rPr>
            <w:t>[Title]</w:t>
          </w:r>
        </w:p>
      </w:docPartBody>
    </w:docPart>
    <w:docPart>
      <w:docPartPr>
        <w:name w:val="263E7BA8FD8B4D3FB49F8A47DF3F1C90"/>
        <w:category>
          <w:name w:val="General"/>
          <w:gallery w:val="placeholder"/>
        </w:category>
        <w:types>
          <w:type w:val="bbPlcHdr"/>
        </w:types>
        <w:behaviors>
          <w:behavior w:val="content"/>
        </w:behaviors>
        <w:guid w:val="{3D2108F9-E9F0-4540-B4D4-82509033EF72}"/>
      </w:docPartPr>
      <w:docPartBody>
        <w:p w:rsidR="008C4DE6" w:rsidRDefault="008C4DE6">
          <w:pPr>
            <w:pStyle w:val="263E7BA8FD8B4D3FB49F8A47DF3F1C90"/>
          </w:pPr>
          <w:r>
            <w:t xml:space="preserve">  </w:t>
          </w:r>
        </w:p>
      </w:docPartBody>
    </w:docPart>
    <w:docPart>
      <w:docPartPr>
        <w:name w:val="E8FBB1693C42492B8F8EF5D86554E641"/>
        <w:category>
          <w:name w:val="General"/>
          <w:gallery w:val="placeholder"/>
        </w:category>
        <w:types>
          <w:type w:val="bbPlcHdr"/>
        </w:types>
        <w:behaviors>
          <w:behavior w:val="content"/>
        </w:behaviors>
        <w:guid w:val="{105E4619-780E-4996-9243-93D668489044}"/>
      </w:docPartPr>
      <w:docPartBody>
        <w:p w:rsidR="008C4DE6" w:rsidRDefault="008C4DE6">
          <w:pPr>
            <w:pStyle w:val="E8FBB1693C42492B8F8EF5D86554E641"/>
          </w:pPr>
          <w:r w:rsidRPr="00AD2E14">
            <w:rPr>
              <w:b/>
              <w:highlight w:val="lightGray"/>
            </w:rPr>
            <w:t>[Title]</w:t>
          </w:r>
        </w:p>
      </w:docPartBody>
    </w:docPart>
    <w:docPart>
      <w:docPartPr>
        <w:name w:val="58A60AF94E8F418CA9D9039AA656CE76"/>
        <w:category>
          <w:name w:val="General"/>
          <w:gallery w:val="placeholder"/>
        </w:category>
        <w:types>
          <w:type w:val="bbPlcHdr"/>
        </w:types>
        <w:behaviors>
          <w:behavior w:val="content"/>
        </w:behaviors>
        <w:guid w:val="{E2842075-A29F-4CC6-9CEC-D18EF8841095}"/>
      </w:docPartPr>
      <w:docPartBody>
        <w:p w:rsidR="008C4DE6" w:rsidRDefault="008C4DE6">
          <w:pPr>
            <w:pStyle w:val="58A60AF94E8F418CA9D9039AA656CE76"/>
          </w:pPr>
          <w:r w:rsidRPr="00AD2E14">
            <w:rPr>
              <w:b/>
              <w:highlight w:val="lightGray"/>
            </w:rPr>
            <w:t>[Title]</w:t>
          </w:r>
        </w:p>
      </w:docPartBody>
    </w:docPart>
    <w:docPart>
      <w:docPartPr>
        <w:name w:val="50C019EA09DB4D5693A8FA217A393B3D"/>
        <w:category>
          <w:name w:val="General"/>
          <w:gallery w:val="placeholder"/>
        </w:category>
        <w:types>
          <w:type w:val="bbPlcHdr"/>
        </w:types>
        <w:behaviors>
          <w:behavior w:val="content"/>
        </w:behaviors>
        <w:guid w:val="{22E88354-03DD-4EE6-AC58-52A27F31E615}"/>
      </w:docPartPr>
      <w:docPartBody>
        <w:p w:rsidR="008C4DE6" w:rsidRDefault="008C4DE6">
          <w:pPr>
            <w:pStyle w:val="50C019EA09DB4D5693A8FA217A393B3D"/>
          </w:pPr>
          <w:r w:rsidRPr="00AD2E14">
            <w:rPr>
              <w:b/>
              <w:highlight w:val="lightGray"/>
            </w:rPr>
            <w:t>[Title]</w:t>
          </w:r>
        </w:p>
      </w:docPartBody>
    </w:docPart>
    <w:docPart>
      <w:docPartPr>
        <w:name w:val="8227E3090E3546F59CFE991730890388"/>
        <w:category>
          <w:name w:val="General"/>
          <w:gallery w:val="placeholder"/>
        </w:category>
        <w:types>
          <w:type w:val="bbPlcHdr"/>
        </w:types>
        <w:behaviors>
          <w:behavior w:val="content"/>
        </w:behaviors>
        <w:guid w:val="{A3FB90E9-761D-4F36-902D-0C3758588028}"/>
      </w:docPartPr>
      <w:docPartBody>
        <w:p w:rsidR="008C4DE6" w:rsidRDefault="008C4DE6">
          <w:pPr>
            <w:pStyle w:val="8227E3090E3546F59CFE991730890388"/>
          </w:pPr>
          <w:r w:rsidRPr="00AD2E14">
            <w:rPr>
              <w:b/>
              <w:highlight w:val="lightGray"/>
            </w:rPr>
            <w:t>[Title]</w:t>
          </w:r>
        </w:p>
      </w:docPartBody>
    </w:docPart>
    <w:docPart>
      <w:docPartPr>
        <w:name w:val="ED45353F227C4E90AF5C1148AD5534DC"/>
        <w:category>
          <w:name w:val="General"/>
          <w:gallery w:val="placeholder"/>
        </w:category>
        <w:types>
          <w:type w:val="bbPlcHdr"/>
        </w:types>
        <w:behaviors>
          <w:behavior w:val="content"/>
        </w:behaviors>
        <w:guid w:val="{FBD1A0AB-9289-4031-B6CA-BDD7E0265205}"/>
      </w:docPartPr>
      <w:docPartBody>
        <w:p w:rsidR="0049705E" w:rsidRDefault="00023E64" w:rsidP="00023E64">
          <w:pPr>
            <w:pStyle w:val="ED45353F227C4E90AF5C1148AD5534DC"/>
          </w:pPr>
          <w:r w:rsidRPr="00AD2E14">
            <w:rPr>
              <w:b/>
              <w:highlight w:val="lightGray"/>
            </w:rPr>
            <w:t>[Title]</w:t>
          </w:r>
        </w:p>
      </w:docPartBody>
    </w:docPart>
    <w:docPart>
      <w:docPartPr>
        <w:name w:val="3A18B1E846E74A328211AAD8ABAEC651"/>
        <w:category>
          <w:name w:val="General"/>
          <w:gallery w:val="placeholder"/>
        </w:category>
        <w:types>
          <w:type w:val="bbPlcHdr"/>
        </w:types>
        <w:behaviors>
          <w:behavior w:val="content"/>
        </w:behaviors>
        <w:guid w:val="{07B1EE10-7F75-43E1-8892-16211EC620B3}"/>
      </w:docPartPr>
      <w:docPartBody>
        <w:p w:rsidR="0049705E" w:rsidRDefault="00023E64" w:rsidP="00023E64">
          <w:pPr>
            <w:pStyle w:val="3A18B1E846E74A328211AAD8ABAEC651"/>
          </w:pPr>
          <w:r w:rsidRPr="00AD2E14">
            <w:rPr>
              <w:b/>
              <w:highlight w:val="lightGray"/>
            </w:rPr>
            <w:t>[Title]</w:t>
          </w:r>
        </w:p>
      </w:docPartBody>
    </w:docPart>
    <w:docPart>
      <w:docPartPr>
        <w:name w:val="2EA176736048465987BFECA3B19E02A8"/>
        <w:category>
          <w:name w:val="General"/>
          <w:gallery w:val="placeholder"/>
        </w:category>
        <w:types>
          <w:type w:val="bbPlcHdr"/>
        </w:types>
        <w:behaviors>
          <w:behavior w:val="content"/>
        </w:behaviors>
        <w:guid w:val="{37E310A0-7A69-449F-B80B-0EB905AB453B}"/>
      </w:docPartPr>
      <w:docPartBody>
        <w:p w:rsidR="00836431" w:rsidRDefault="00F64F5F">
          <w:pPr>
            <w:pStyle w:val="2EA176736048465987BFECA3B19E02A8"/>
          </w:pPr>
          <w:r w:rsidRPr="00AD2E14">
            <w:rPr>
              <w:b/>
              <w:highlight w:val="lightGray"/>
            </w:rPr>
            <w:t>[Title]</w:t>
          </w:r>
        </w:p>
      </w:docPartBody>
    </w:docPart>
    <w:docPart>
      <w:docPartPr>
        <w:name w:val="D25F326C4B3C459E85076C36840E6F0C"/>
        <w:category>
          <w:name w:val="General"/>
          <w:gallery w:val="placeholder"/>
        </w:category>
        <w:types>
          <w:type w:val="bbPlcHdr"/>
        </w:types>
        <w:behaviors>
          <w:behavior w:val="content"/>
        </w:behaviors>
        <w:guid w:val="{4939B41D-F020-4D35-A96B-B064132E0188}"/>
      </w:docPartPr>
      <w:docPartBody>
        <w:p w:rsidR="00836431" w:rsidRDefault="00F64F5F">
          <w:pPr>
            <w:pStyle w:val="D25F326C4B3C459E85076C36840E6F0C"/>
          </w:pPr>
          <w:r w:rsidRPr="00AD2E14">
            <w:rPr>
              <w:b/>
              <w:highlight w:val="lightGray"/>
            </w:rPr>
            <w:t>[Title]</w:t>
          </w:r>
        </w:p>
      </w:docPartBody>
    </w:docPart>
    <w:docPart>
      <w:docPartPr>
        <w:name w:val="1B48D347F761491B8BB6C3A36D2EBE83"/>
        <w:category>
          <w:name w:val="General"/>
          <w:gallery w:val="placeholder"/>
        </w:category>
        <w:types>
          <w:type w:val="bbPlcHdr"/>
        </w:types>
        <w:behaviors>
          <w:behavior w:val="content"/>
        </w:behaviors>
        <w:guid w:val="{BEEAD321-4F92-42D9-A3A6-02028160DD9F}"/>
      </w:docPartPr>
      <w:docPartBody>
        <w:p w:rsidR="00836431" w:rsidRDefault="00000ABC" w:rsidP="00000ABC">
          <w:pPr>
            <w:pStyle w:val="1B48D347F761491B8BB6C3A36D2EBE83"/>
          </w:pPr>
          <w:r w:rsidRPr="00AD2E14">
            <w:rPr>
              <w:b/>
              <w:highlight w:val="lightGray"/>
            </w:rPr>
            <w:t>[Title]</w:t>
          </w:r>
        </w:p>
      </w:docPartBody>
    </w:docPart>
    <w:docPart>
      <w:docPartPr>
        <w:name w:val="6168072FEEAD4E14BFA2F96AC1BD21E4"/>
        <w:category>
          <w:name w:val="General"/>
          <w:gallery w:val="placeholder"/>
        </w:category>
        <w:types>
          <w:type w:val="bbPlcHdr"/>
        </w:types>
        <w:behaviors>
          <w:behavior w:val="content"/>
        </w:behaviors>
        <w:guid w:val="{5ED487AA-3CF4-4D81-87DE-27E58F1ABCED}"/>
      </w:docPartPr>
      <w:docPartBody>
        <w:p w:rsidR="007778D8" w:rsidRDefault="003B61D7" w:rsidP="003B61D7">
          <w:pPr>
            <w:pStyle w:val="6168072FEEAD4E14BFA2F96AC1BD21E4"/>
          </w:pPr>
          <w:r w:rsidRPr="00AD2E14">
            <w:rPr>
              <w:b/>
              <w:highlight w:val="lightGray"/>
            </w:rPr>
            <w:t>[Title]</w:t>
          </w:r>
        </w:p>
      </w:docPartBody>
    </w:docPart>
    <w:docPart>
      <w:docPartPr>
        <w:name w:val="885E10572AB04EF28FA70A4CF17455C4"/>
        <w:category>
          <w:name w:val="General"/>
          <w:gallery w:val="placeholder"/>
        </w:category>
        <w:types>
          <w:type w:val="bbPlcHdr"/>
        </w:types>
        <w:behaviors>
          <w:behavior w:val="content"/>
        </w:behaviors>
        <w:guid w:val="{211E76E4-6AEB-44BB-AF5E-F9AE787C0552}"/>
      </w:docPartPr>
      <w:docPartBody>
        <w:p w:rsidR="00DD0A05" w:rsidRDefault="008A7D16" w:rsidP="008A7D16">
          <w:pPr>
            <w:pStyle w:val="885E10572AB04EF28FA70A4CF17455C4"/>
          </w:pPr>
          <w:r w:rsidRPr="00AD2E14">
            <w:rPr>
              <w:b/>
              <w:highlight w:val="lightGray"/>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DE6"/>
    <w:rsid w:val="00000ABC"/>
    <w:rsid w:val="00004064"/>
    <w:rsid w:val="000042EA"/>
    <w:rsid w:val="00004F57"/>
    <w:rsid w:val="0000659C"/>
    <w:rsid w:val="00017EBE"/>
    <w:rsid w:val="00023CEF"/>
    <w:rsid w:val="00023E64"/>
    <w:rsid w:val="000366C4"/>
    <w:rsid w:val="00042133"/>
    <w:rsid w:val="0005110E"/>
    <w:rsid w:val="0005171F"/>
    <w:rsid w:val="00054724"/>
    <w:rsid w:val="0005624E"/>
    <w:rsid w:val="0006417B"/>
    <w:rsid w:val="0009307E"/>
    <w:rsid w:val="000A1CCE"/>
    <w:rsid w:val="000A473D"/>
    <w:rsid w:val="000B5E9E"/>
    <w:rsid w:val="000C452C"/>
    <w:rsid w:val="000C79F1"/>
    <w:rsid w:val="000D4D7B"/>
    <w:rsid w:val="000D756A"/>
    <w:rsid w:val="000E43E2"/>
    <w:rsid w:val="000F09E7"/>
    <w:rsid w:val="000F0A8A"/>
    <w:rsid w:val="000F277A"/>
    <w:rsid w:val="000F66B3"/>
    <w:rsid w:val="00100326"/>
    <w:rsid w:val="00101AC6"/>
    <w:rsid w:val="0011058F"/>
    <w:rsid w:val="001366C4"/>
    <w:rsid w:val="00140F74"/>
    <w:rsid w:val="00143559"/>
    <w:rsid w:val="001520DB"/>
    <w:rsid w:val="001545A9"/>
    <w:rsid w:val="001558FA"/>
    <w:rsid w:val="0016380E"/>
    <w:rsid w:val="0017179C"/>
    <w:rsid w:val="00173F31"/>
    <w:rsid w:val="00181F37"/>
    <w:rsid w:val="00184CBF"/>
    <w:rsid w:val="001945C5"/>
    <w:rsid w:val="001A6345"/>
    <w:rsid w:val="001A6AC5"/>
    <w:rsid w:val="001B3C6A"/>
    <w:rsid w:val="001B5C94"/>
    <w:rsid w:val="001C790B"/>
    <w:rsid w:val="001D0438"/>
    <w:rsid w:val="001D5F9F"/>
    <w:rsid w:val="001F125F"/>
    <w:rsid w:val="001F4E44"/>
    <w:rsid w:val="001F7273"/>
    <w:rsid w:val="002208AF"/>
    <w:rsid w:val="00252894"/>
    <w:rsid w:val="00252DE1"/>
    <w:rsid w:val="00263E6C"/>
    <w:rsid w:val="00270857"/>
    <w:rsid w:val="002739E9"/>
    <w:rsid w:val="00275DD5"/>
    <w:rsid w:val="00277187"/>
    <w:rsid w:val="00282793"/>
    <w:rsid w:val="00287CF1"/>
    <w:rsid w:val="00290E6C"/>
    <w:rsid w:val="002919F2"/>
    <w:rsid w:val="00296491"/>
    <w:rsid w:val="002974C7"/>
    <w:rsid w:val="002A510C"/>
    <w:rsid w:val="002A5342"/>
    <w:rsid w:val="002B105F"/>
    <w:rsid w:val="002B4E12"/>
    <w:rsid w:val="002C1103"/>
    <w:rsid w:val="002D06FA"/>
    <w:rsid w:val="002D1D94"/>
    <w:rsid w:val="002D3CBE"/>
    <w:rsid w:val="002D7D15"/>
    <w:rsid w:val="002E0E03"/>
    <w:rsid w:val="002F5B26"/>
    <w:rsid w:val="00301D56"/>
    <w:rsid w:val="00314B17"/>
    <w:rsid w:val="003305A5"/>
    <w:rsid w:val="0033230A"/>
    <w:rsid w:val="00370649"/>
    <w:rsid w:val="00373F7B"/>
    <w:rsid w:val="00374BCF"/>
    <w:rsid w:val="00375631"/>
    <w:rsid w:val="00382476"/>
    <w:rsid w:val="0038349A"/>
    <w:rsid w:val="003835AA"/>
    <w:rsid w:val="0038573F"/>
    <w:rsid w:val="00385915"/>
    <w:rsid w:val="00390E0D"/>
    <w:rsid w:val="00397A0B"/>
    <w:rsid w:val="003A3D14"/>
    <w:rsid w:val="003A3E87"/>
    <w:rsid w:val="003B61D7"/>
    <w:rsid w:val="003C1C4A"/>
    <w:rsid w:val="003C6CEE"/>
    <w:rsid w:val="003D2B56"/>
    <w:rsid w:val="003D3B05"/>
    <w:rsid w:val="003F115F"/>
    <w:rsid w:val="004022F9"/>
    <w:rsid w:val="00420027"/>
    <w:rsid w:val="00420F8B"/>
    <w:rsid w:val="00423AF1"/>
    <w:rsid w:val="004242C3"/>
    <w:rsid w:val="00424F44"/>
    <w:rsid w:val="0042609B"/>
    <w:rsid w:val="00432B01"/>
    <w:rsid w:val="00442492"/>
    <w:rsid w:val="004448D1"/>
    <w:rsid w:val="00444B09"/>
    <w:rsid w:val="00444F67"/>
    <w:rsid w:val="00445397"/>
    <w:rsid w:val="004514BF"/>
    <w:rsid w:val="0045456B"/>
    <w:rsid w:val="00466FFA"/>
    <w:rsid w:val="00467848"/>
    <w:rsid w:val="00470197"/>
    <w:rsid w:val="0047061C"/>
    <w:rsid w:val="00481A2C"/>
    <w:rsid w:val="004846C1"/>
    <w:rsid w:val="004867E2"/>
    <w:rsid w:val="00493C89"/>
    <w:rsid w:val="0049705E"/>
    <w:rsid w:val="004A07AF"/>
    <w:rsid w:val="004A1650"/>
    <w:rsid w:val="004A63E1"/>
    <w:rsid w:val="004A690F"/>
    <w:rsid w:val="004B349A"/>
    <w:rsid w:val="004B39F4"/>
    <w:rsid w:val="004B73F1"/>
    <w:rsid w:val="004D4920"/>
    <w:rsid w:val="004D6775"/>
    <w:rsid w:val="004D75AF"/>
    <w:rsid w:val="004E407A"/>
    <w:rsid w:val="004F4AED"/>
    <w:rsid w:val="005020E3"/>
    <w:rsid w:val="00503534"/>
    <w:rsid w:val="00507025"/>
    <w:rsid w:val="0050708A"/>
    <w:rsid w:val="00531F9B"/>
    <w:rsid w:val="0053215E"/>
    <w:rsid w:val="005323D2"/>
    <w:rsid w:val="00541A38"/>
    <w:rsid w:val="0054391A"/>
    <w:rsid w:val="00552C33"/>
    <w:rsid w:val="00557A65"/>
    <w:rsid w:val="00560DFC"/>
    <w:rsid w:val="005622A1"/>
    <w:rsid w:val="00566042"/>
    <w:rsid w:val="005776BA"/>
    <w:rsid w:val="00580B45"/>
    <w:rsid w:val="00584051"/>
    <w:rsid w:val="005867FD"/>
    <w:rsid w:val="005929A5"/>
    <w:rsid w:val="00594A03"/>
    <w:rsid w:val="00597AD5"/>
    <w:rsid w:val="005A1D8B"/>
    <w:rsid w:val="005A47D6"/>
    <w:rsid w:val="005A4EC2"/>
    <w:rsid w:val="005B0E8D"/>
    <w:rsid w:val="005B2548"/>
    <w:rsid w:val="005B4BC9"/>
    <w:rsid w:val="005C3601"/>
    <w:rsid w:val="005C42A2"/>
    <w:rsid w:val="005C6CF0"/>
    <w:rsid w:val="005D2DE7"/>
    <w:rsid w:val="005D5AD3"/>
    <w:rsid w:val="005E0595"/>
    <w:rsid w:val="005E470C"/>
    <w:rsid w:val="00600485"/>
    <w:rsid w:val="00600C15"/>
    <w:rsid w:val="00601794"/>
    <w:rsid w:val="00604EC4"/>
    <w:rsid w:val="00612B91"/>
    <w:rsid w:val="00616CDC"/>
    <w:rsid w:val="00621224"/>
    <w:rsid w:val="00623AF7"/>
    <w:rsid w:val="00627F35"/>
    <w:rsid w:val="006412A6"/>
    <w:rsid w:val="006421A9"/>
    <w:rsid w:val="00660F2B"/>
    <w:rsid w:val="00664E8B"/>
    <w:rsid w:val="00671300"/>
    <w:rsid w:val="00677BE0"/>
    <w:rsid w:val="00693F69"/>
    <w:rsid w:val="006A1C7C"/>
    <w:rsid w:val="006A674F"/>
    <w:rsid w:val="006B1DD5"/>
    <w:rsid w:val="006B2A00"/>
    <w:rsid w:val="006B39DC"/>
    <w:rsid w:val="006C32CB"/>
    <w:rsid w:val="006D0274"/>
    <w:rsid w:val="006D063D"/>
    <w:rsid w:val="006D0718"/>
    <w:rsid w:val="006E080B"/>
    <w:rsid w:val="006E36C3"/>
    <w:rsid w:val="006E3D5A"/>
    <w:rsid w:val="006E575D"/>
    <w:rsid w:val="006F293D"/>
    <w:rsid w:val="006F2B8C"/>
    <w:rsid w:val="00705674"/>
    <w:rsid w:val="00707EBC"/>
    <w:rsid w:val="00742873"/>
    <w:rsid w:val="00746C33"/>
    <w:rsid w:val="007551FD"/>
    <w:rsid w:val="00757123"/>
    <w:rsid w:val="0076473E"/>
    <w:rsid w:val="007648A7"/>
    <w:rsid w:val="007715AF"/>
    <w:rsid w:val="007778D8"/>
    <w:rsid w:val="007811FF"/>
    <w:rsid w:val="00786347"/>
    <w:rsid w:val="007939B9"/>
    <w:rsid w:val="007A4B1D"/>
    <w:rsid w:val="007C02C6"/>
    <w:rsid w:val="007C4450"/>
    <w:rsid w:val="007C5387"/>
    <w:rsid w:val="007C7A36"/>
    <w:rsid w:val="007C7A5A"/>
    <w:rsid w:val="007D79BA"/>
    <w:rsid w:val="007E6061"/>
    <w:rsid w:val="007E777F"/>
    <w:rsid w:val="007F0D8B"/>
    <w:rsid w:val="007F4217"/>
    <w:rsid w:val="00801B08"/>
    <w:rsid w:val="008226F7"/>
    <w:rsid w:val="00836178"/>
    <w:rsid w:val="00836431"/>
    <w:rsid w:val="00836C91"/>
    <w:rsid w:val="0084293C"/>
    <w:rsid w:val="0084362B"/>
    <w:rsid w:val="008453FB"/>
    <w:rsid w:val="0084646E"/>
    <w:rsid w:val="00855F24"/>
    <w:rsid w:val="00857F0F"/>
    <w:rsid w:val="00860218"/>
    <w:rsid w:val="00871C47"/>
    <w:rsid w:val="00872266"/>
    <w:rsid w:val="00880CC4"/>
    <w:rsid w:val="00882495"/>
    <w:rsid w:val="00886FF8"/>
    <w:rsid w:val="00893D90"/>
    <w:rsid w:val="00893E59"/>
    <w:rsid w:val="00895C3F"/>
    <w:rsid w:val="008A7D16"/>
    <w:rsid w:val="008C26CE"/>
    <w:rsid w:val="008C4DE6"/>
    <w:rsid w:val="008C4F3E"/>
    <w:rsid w:val="008D2D0A"/>
    <w:rsid w:val="008D6C6B"/>
    <w:rsid w:val="008E4D5C"/>
    <w:rsid w:val="008F0C68"/>
    <w:rsid w:val="008F1FDD"/>
    <w:rsid w:val="00901C2E"/>
    <w:rsid w:val="009047F6"/>
    <w:rsid w:val="00926F72"/>
    <w:rsid w:val="00931730"/>
    <w:rsid w:val="00937EC5"/>
    <w:rsid w:val="0094200B"/>
    <w:rsid w:val="00942ECA"/>
    <w:rsid w:val="00944629"/>
    <w:rsid w:val="009466E3"/>
    <w:rsid w:val="00947766"/>
    <w:rsid w:val="0095012C"/>
    <w:rsid w:val="009503F5"/>
    <w:rsid w:val="00951439"/>
    <w:rsid w:val="00957525"/>
    <w:rsid w:val="00960383"/>
    <w:rsid w:val="00966BD3"/>
    <w:rsid w:val="00971782"/>
    <w:rsid w:val="00976504"/>
    <w:rsid w:val="009808A8"/>
    <w:rsid w:val="00990DB0"/>
    <w:rsid w:val="00994EFD"/>
    <w:rsid w:val="009967C3"/>
    <w:rsid w:val="009A3219"/>
    <w:rsid w:val="009A3E89"/>
    <w:rsid w:val="009A54BE"/>
    <w:rsid w:val="009B1B8D"/>
    <w:rsid w:val="009D6D86"/>
    <w:rsid w:val="009D7676"/>
    <w:rsid w:val="009F10F8"/>
    <w:rsid w:val="00A01193"/>
    <w:rsid w:val="00A02DCE"/>
    <w:rsid w:val="00A12F89"/>
    <w:rsid w:val="00A1362D"/>
    <w:rsid w:val="00A15239"/>
    <w:rsid w:val="00A251FA"/>
    <w:rsid w:val="00A43683"/>
    <w:rsid w:val="00A47368"/>
    <w:rsid w:val="00A476C2"/>
    <w:rsid w:val="00A47B48"/>
    <w:rsid w:val="00A54383"/>
    <w:rsid w:val="00A606F9"/>
    <w:rsid w:val="00A72F89"/>
    <w:rsid w:val="00A753C4"/>
    <w:rsid w:val="00A776D2"/>
    <w:rsid w:val="00A84472"/>
    <w:rsid w:val="00A8500E"/>
    <w:rsid w:val="00A91363"/>
    <w:rsid w:val="00AA2526"/>
    <w:rsid w:val="00AA2B3A"/>
    <w:rsid w:val="00AB00F3"/>
    <w:rsid w:val="00AB01A9"/>
    <w:rsid w:val="00AB321C"/>
    <w:rsid w:val="00AC6330"/>
    <w:rsid w:val="00AD0D85"/>
    <w:rsid w:val="00AD2A26"/>
    <w:rsid w:val="00AD594B"/>
    <w:rsid w:val="00AE278D"/>
    <w:rsid w:val="00B10A28"/>
    <w:rsid w:val="00B20C4B"/>
    <w:rsid w:val="00B23312"/>
    <w:rsid w:val="00B23DE6"/>
    <w:rsid w:val="00B3062E"/>
    <w:rsid w:val="00B4003C"/>
    <w:rsid w:val="00B40ECE"/>
    <w:rsid w:val="00B41A2A"/>
    <w:rsid w:val="00B4381B"/>
    <w:rsid w:val="00B46BC5"/>
    <w:rsid w:val="00B5589C"/>
    <w:rsid w:val="00B7087C"/>
    <w:rsid w:val="00B84CB0"/>
    <w:rsid w:val="00B865D6"/>
    <w:rsid w:val="00B935D2"/>
    <w:rsid w:val="00BA0182"/>
    <w:rsid w:val="00BA526D"/>
    <w:rsid w:val="00BB175B"/>
    <w:rsid w:val="00BB314E"/>
    <w:rsid w:val="00BB3E9C"/>
    <w:rsid w:val="00BB4096"/>
    <w:rsid w:val="00BB51B2"/>
    <w:rsid w:val="00BB67FE"/>
    <w:rsid w:val="00BC303C"/>
    <w:rsid w:val="00BC3217"/>
    <w:rsid w:val="00BD1B11"/>
    <w:rsid w:val="00BD6AB9"/>
    <w:rsid w:val="00BE073D"/>
    <w:rsid w:val="00BE5357"/>
    <w:rsid w:val="00BE53E1"/>
    <w:rsid w:val="00BF1E20"/>
    <w:rsid w:val="00BF7503"/>
    <w:rsid w:val="00C027D4"/>
    <w:rsid w:val="00C03BEE"/>
    <w:rsid w:val="00C11AD2"/>
    <w:rsid w:val="00C12CA5"/>
    <w:rsid w:val="00C17F0E"/>
    <w:rsid w:val="00C200AA"/>
    <w:rsid w:val="00C26977"/>
    <w:rsid w:val="00C46090"/>
    <w:rsid w:val="00C534CF"/>
    <w:rsid w:val="00C67646"/>
    <w:rsid w:val="00C73AC8"/>
    <w:rsid w:val="00C83F52"/>
    <w:rsid w:val="00C94B3A"/>
    <w:rsid w:val="00C94E0B"/>
    <w:rsid w:val="00CA27A0"/>
    <w:rsid w:val="00CB72F7"/>
    <w:rsid w:val="00CC414C"/>
    <w:rsid w:val="00CC425A"/>
    <w:rsid w:val="00CC4DCB"/>
    <w:rsid w:val="00CC6342"/>
    <w:rsid w:val="00CC6C0C"/>
    <w:rsid w:val="00CD04A5"/>
    <w:rsid w:val="00CD428E"/>
    <w:rsid w:val="00CE0C32"/>
    <w:rsid w:val="00CE5317"/>
    <w:rsid w:val="00CF4183"/>
    <w:rsid w:val="00CF4BDB"/>
    <w:rsid w:val="00CF5A4C"/>
    <w:rsid w:val="00CF7CCC"/>
    <w:rsid w:val="00D03A80"/>
    <w:rsid w:val="00D1571C"/>
    <w:rsid w:val="00D179D2"/>
    <w:rsid w:val="00D36D41"/>
    <w:rsid w:val="00D417D7"/>
    <w:rsid w:val="00D425E2"/>
    <w:rsid w:val="00D47F6D"/>
    <w:rsid w:val="00D52721"/>
    <w:rsid w:val="00D56B4D"/>
    <w:rsid w:val="00D628B6"/>
    <w:rsid w:val="00D6427C"/>
    <w:rsid w:val="00D65D74"/>
    <w:rsid w:val="00D832F5"/>
    <w:rsid w:val="00D877DA"/>
    <w:rsid w:val="00DB2C64"/>
    <w:rsid w:val="00DC03C1"/>
    <w:rsid w:val="00DC186B"/>
    <w:rsid w:val="00DC22B5"/>
    <w:rsid w:val="00DC508C"/>
    <w:rsid w:val="00DC6C09"/>
    <w:rsid w:val="00DD0A05"/>
    <w:rsid w:val="00DD20A5"/>
    <w:rsid w:val="00DD2D28"/>
    <w:rsid w:val="00DE6D0E"/>
    <w:rsid w:val="00DE758F"/>
    <w:rsid w:val="00DF1C86"/>
    <w:rsid w:val="00E00F07"/>
    <w:rsid w:val="00E02B9C"/>
    <w:rsid w:val="00E04A5F"/>
    <w:rsid w:val="00E12C06"/>
    <w:rsid w:val="00E22332"/>
    <w:rsid w:val="00E25F31"/>
    <w:rsid w:val="00E2792E"/>
    <w:rsid w:val="00E30D65"/>
    <w:rsid w:val="00E3564A"/>
    <w:rsid w:val="00E41170"/>
    <w:rsid w:val="00E50081"/>
    <w:rsid w:val="00E506AE"/>
    <w:rsid w:val="00E61C1D"/>
    <w:rsid w:val="00E64AE0"/>
    <w:rsid w:val="00E74DD1"/>
    <w:rsid w:val="00E83DA4"/>
    <w:rsid w:val="00E853A7"/>
    <w:rsid w:val="00E94703"/>
    <w:rsid w:val="00E94BB2"/>
    <w:rsid w:val="00E9702F"/>
    <w:rsid w:val="00EA42C1"/>
    <w:rsid w:val="00EA63FA"/>
    <w:rsid w:val="00EA7C2D"/>
    <w:rsid w:val="00EB378E"/>
    <w:rsid w:val="00EC0A11"/>
    <w:rsid w:val="00EC410C"/>
    <w:rsid w:val="00EC5F77"/>
    <w:rsid w:val="00ED01F6"/>
    <w:rsid w:val="00ED1B15"/>
    <w:rsid w:val="00EE0B97"/>
    <w:rsid w:val="00EE3BD8"/>
    <w:rsid w:val="00EE5655"/>
    <w:rsid w:val="00EF1E23"/>
    <w:rsid w:val="00EF7FB7"/>
    <w:rsid w:val="00F02D22"/>
    <w:rsid w:val="00F03510"/>
    <w:rsid w:val="00F04D16"/>
    <w:rsid w:val="00F06372"/>
    <w:rsid w:val="00F16CFC"/>
    <w:rsid w:val="00F225CD"/>
    <w:rsid w:val="00F5123A"/>
    <w:rsid w:val="00F5377A"/>
    <w:rsid w:val="00F61E66"/>
    <w:rsid w:val="00F6255D"/>
    <w:rsid w:val="00F64F5F"/>
    <w:rsid w:val="00F66D6E"/>
    <w:rsid w:val="00F7123C"/>
    <w:rsid w:val="00F7309A"/>
    <w:rsid w:val="00F75D0E"/>
    <w:rsid w:val="00F850EA"/>
    <w:rsid w:val="00F8770C"/>
    <w:rsid w:val="00FC00C6"/>
    <w:rsid w:val="00FC0363"/>
    <w:rsid w:val="00FC1582"/>
    <w:rsid w:val="00FC52E0"/>
    <w:rsid w:val="00FE03DC"/>
    <w:rsid w:val="00FE0A17"/>
    <w:rsid w:val="00FE6975"/>
    <w:rsid w:val="00FF5F19"/>
    <w:rsid w:val="00FF79B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B26D8CCC9534309B9B5E9DB9F905536">
    <w:name w:val="0B26D8CCC9534309B9B5E9DB9F905536"/>
  </w:style>
  <w:style w:type="paragraph" w:customStyle="1" w:styleId="CD34D51FC7ED4B339ADA211D80BD0736">
    <w:name w:val="CD34D51FC7ED4B339ADA211D80BD0736"/>
  </w:style>
  <w:style w:type="character" w:styleId="PlaceholderText">
    <w:name w:val="Placeholder Text"/>
    <w:basedOn w:val="DefaultParagraphFont"/>
    <w:uiPriority w:val="99"/>
    <w:semiHidden/>
    <w:rPr>
      <w:color w:val="808080"/>
    </w:rPr>
  </w:style>
  <w:style w:type="paragraph" w:customStyle="1" w:styleId="497FFFCC3E4C42669754D74AE9ACD1A6">
    <w:name w:val="497FFFCC3E4C42669754D74AE9ACD1A6"/>
  </w:style>
  <w:style w:type="paragraph" w:customStyle="1" w:styleId="A723C0574D55492B9A7CFA29173E400A">
    <w:name w:val="A723C0574D55492B9A7CFA29173E400A"/>
  </w:style>
  <w:style w:type="paragraph" w:customStyle="1" w:styleId="F0144DCCD14F4430B410C534DEC49CFC">
    <w:name w:val="F0144DCCD14F4430B410C534DEC49CFC"/>
  </w:style>
  <w:style w:type="paragraph" w:customStyle="1" w:styleId="26784A1D736647D8B114B513D6A59510">
    <w:name w:val="26784A1D736647D8B114B513D6A59510"/>
  </w:style>
  <w:style w:type="paragraph" w:customStyle="1" w:styleId="C3B5F2BDCEE444C89923D06CD3C3F258">
    <w:name w:val="C3B5F2BDCEE444C89923D06CD3C3F258"/>
  </w:style>
  <w:style w:type="paragraph" w:customStyle="1" w:styleId="4D5448C5BCBB48A5ADB9B10F82C7EB18">
    <w:name w:val="4D5448C5BCBB48A5ADB9B10F82C7EB18"/>
  </w:style>
  <w:style w:type="paragraph" w:customStyle="1" w:styleId="AED240F9F4284DE780CFD1F88DF04FC6">
    <w:name w:val="AED240F9F4284DE780CFD1F88DF04FC6"/>
  </w:style>
  <w:style w:type="paragraph" w:customStyle="1" w:styleId="487FBD851FCC403582D343AFA8BA353C">
    <w:name w:val="487FBD851FCC403582D343AFA8BA353C"/>
  </w:style>
  <w:style w:type="paragraph" w:customStyle="1" w:styleId="263E7BA8FD8B4D3FB49F8A47DF3F1C90">
    <w:name w:val="263E7BA8FD8B4D3FB49F8A47DF3F1C90"/>
  </w:style>
  <w:style w:type="paragraph" w:customStyle="1" w:styleId="E8FBB1693C42492B8F8EF5D86554E641">
    <w:name w:val="E8FBB1693C42492B8F8EF5D86554E641"/>
  </w:style>
  <w:style w:type="paragraph" w:customStyle="1" w:styleId="ED45353F227C4E90AF5C1148AD5534DC">
    <w:name w:val="ED45353F227C4E90AF5C1148AD5534DC"/>
    <w:rsid w:val="00023E64"/>
    <w:pPr>
      <w:spacing w:line="278" w:lineRule="auto"/>
    </w:pPr>
    <w:rPr>
      <w:kern w:val="2"/>
      <w:sz w:val="24"/>
      <w:szCs w:val="24"/>
      <w14:ligatures w14:val="standardContextual"/>
    </w:rPr>
  </w:style>
  <w:style w:type="paragraph" w:customStyle="1" w:styleId="58A60AF94E8F418CA9D9039AA656CE76">
    <w:name w:val="58A60AF94E8F418CA9D9039AA656CE76"/>
  </w:style>
  <w:style w:type="paragraph" w:customStyle="1" w:styleId="50C019EA09DB4D5693A8FA217A393B3D">
    <w:name w:val="50C019EA09DB4D5693A8FA217A393B3D"/>
  </w:style>
  <w:style w:type="paragraph" w:customStyle="1" w:styleId="8227E3090E3546F59CFE991730890388">
    <w:name w:val="8227E3090E3546F59CFE991730890388"/>
  </w:style>
  <w:style w:type="paragraph" w:customStyle="1" w:styleId="3A18B1E846E74A328211AAD8ABAEC651">
    <w:name w:val="3A18B1E846E74A328211AAD8ABAEC651"/>
    <w:rsid w:val="00023E64"/>
    <w:pPr>
      <w:spacing w:line="278" w:lineRule="auto"/>
    </w:pPr>
    <w:rPr>
      <w:kern w:val="2"/>
      <w:sz w:val="24"/>
      <w:szCs w:val="24"/>
      <w14:ligatures w14:val="standardContextual"/>
    </w:rPr>
  </w:style>
  <w:style w:type="paragraph" w:customStyle="1" w:styleId="2EA176736048465987BFECA3B19E02A8">
    <w:name w:val="2EA176736048465987BFECA3B19E02A8"/>
    <w:pPr>
      <w:spacing w:line="278" w:lineRule="auto"/>
    </w:pPr>
    <w:rPr>
      <w:kern w:val="2"/>
      <w:sz w:val="24"/>
      <w:szCs w:val="24"/>
      <w14:ligatures w14:val="standardContextual"/>
    </w:rPr>
  </w:style>
  <w:style w:type="paragraph" w:customStyle="1" w:styleId="D25F326C4B3C459E85076C36840E6F0C">
    <w:name w:val="D25F326C4B3C459E85076C36840E6F0C"/>
    <w:pPr>
      <w:spacing w:line="278" w:lineRule="auto"/>
    </w:pPr>
    <w:rPr>
      <w:kern w:val="2"/>
      <w:sz w:val="24"/>
      <w:szCs w:val="24"/>
      <w14:ligatures w14:val="standardContextual"/>
    </w:rPr>
  </w:style>
  <w:style w:type="paragraph" w:customStyle="1" w:styleId="1B48D347F761491B8BB6C3A36D2EBE83">
    <w:name w:val="1B48D347F761491B8BB6C3A36D2EBE83"/>
    <w:rsid w:val="00000ABC"/>
    <w:pPr>
      <w:spacing w:line="278" w:lineRule="auto"/>
    </w:pPr>
    <w:rPr>
      <w:kern w:val="2"/>
      <w:sz w:val="24"/>
      <w:szCs w:val="24"/>
      <w14:ligatures w14:val="standardContextual"/>
    </w:rPr>
  </w:style>
  <w:style w:type="paragraph" w:customStyle="1" w:styleId="6168072FEEAD4E14BFA2F96AC1BD21E4">
    <w:name w:val="6168072FEEAD4E14BFA2F96AC1BD21E4"/>
    <w:rsid w:val="003B61D7"/>
    <w:pPr>
      <w:spacing w:line="278" w:lineRule="auto"/>
    </w:pPr>
    <w:rPr>
      <w:kern w:val="2"/>
      <w:sz w:val="24"/>
      <w:szCs w:val="24"/>
      <w14:ligatures w14:val="standardContextual"/>
    </w:rPr>
  </w:style>
  <w:style w:type="paragraph" w:customStyle="1" w:styleId="885E10572AB04EF28FA70A4CF17455C4">
    <w:name w:val="885E10572AB04EF28FA70A4CF17455C4"/>
    <w:rsid w:val="008A7D16"/>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ESC PINK">
      <a:dk1>
        <a:sysClr val="windowText" lastClr="000000"/>
      </a:dk1>
      <a:lt1>
        <a:sysClr val="window" lastClr="FFFFFF"/>
      </a:lt1>
      <a:dk2>
        <a:srgbClr val="4986A0"/>
      </a:dk2>
      <a:lt2>
        <a:srgbClr val="75787B"/>
      </a:lt2>
      <a:accent1>
        <a:srgbClr val="236192"/>
      </a:accent1>
      <a:accent2>
        <a:srgbClr val="CE0058"/>
      </a:accent2>
      <a:accent3>
        <a:srgbClr val="4986A0"/>
      </a:accent3>
      <a:accent4>
        <a:srgbClr val="ED8B00"/>
      </a:accent4>
      <a:accent5>
        <a:srgbClr val="183028"/>
      </a:accent5>
      <a:accent6>
        <a:srgbClr val="D50032"/>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F79D47A3BF7B408B434098A259DFF3" ma:contentTypeVersion="13" ma:contentTypeDescription="Create a new document." ma:contentTypeScope="" ma:versionID="f54dec4d2a4589e1b57172151a2f7bd2">
  <xsd:schema xmlns:xsd="http://www.w3.org/2001/XMLSchema" xmlns:xs="http://www.w3.org/2001/XMLSchema" xmlns:p="http://schemas.microsoft.com/office/2006/metadata/properties" xmlns:ns2="c4968f4f-4283-4438-b250-a2bc27aa04e9" xmlns:ns3="a4fbf8de-3250-4a5a-bae8-d57f1e3a24ef" targetNamespace="http://schemas.microsoft.com/office/2006/metadata/properties" ma:root="true" ma:fieldsID="0f678cbfd14998bbe16a83acb3f156d5" ns2:_="" ns3:_="">
    <xsd:import namespace="c4968f4f-4283-4438-b250-a2bc27aa04e9"/>
    <xsd:import namespace="a4fbf8de-3250-4a5a-bae8-d57f1e3a24e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968f4f-4283-4438-b250-a2bc27aa04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ef688115-0302-4e1f-a4da-adfe537ad005"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fbf8de-3250-4a5a-bae8-d57f1e3a24e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e578cdc7-bfdc-4204-b295-929024b4138c}" ma:internalName="TaxCatchAll" ma:showField="CatchAllData" ma:web="a4fbf8de-3250-4a5a-bae8-d57f1e3a24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4968f4f-4283-4438-b250-a2bc27aa04e9">
      <Terms xmlns="http://schemas.microsoft.com/office/infopath/2007/PartnerControls"/>
    </lcf76f155ced4ddcb4097134ff3c332f>
    <TaxCatchAll xmlns="a4fbf8de-3250-4a5a-bae8-d57f1e3a24ef"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A8C524-3CC7-48EE-89F8-1E0406376B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968f4f-4283-4438-b250-a2bc27aa04e9"/>
    <ds:schemaRef ds:uri="a4fbf8de-3250-4a5a-bae8-d57f1e3a24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5F06C2-6403-4B53-AC54-03494C4179FA}">
  <ds:schemaRefs>
    <ds:schemaRef ds:uri="http://schemas.microsoft.com/office/2006/metadata/properties"/>
    <ds:schemaRef ds:uri="http://schemas.microsoft.com/office/infopath/2007/PartnerControls"/>
    <ds:schemaRef ds:uri="c4968f4f-4283-4438-b250-a2bc27aa04e9"/>
    <ds:schemaRef ds:uri="a4fbf8de-3250-4a5a-bae8-d57f1e3a24ef"/>
  </ds:schemaRefs>
</ds:datastoreItem>
</file>

<file path=customXml/itemProps3.xml><?xml version="1.0" encoding="utf-8"?>
<ds:datastoreItem xmlns:ds="http://schemas.openxmlformats.org/officeDocument/2006/customXml" ds:itemID="{DD897EA1-FDE9-4134-A2A2-2566CF18171F}">
  <ds:schemaRefs>
    <ds:schemaRef ds:uri="http://schemas.openxmlformats.org/officeDocument/2006/bibliography"/>
  </ds:schemaRefs>
</ds:datastoreItem>
</file>

<file path=customXml/itemProps4.xml><?xml version="1.0" encoding="utf-8"?>
<ds:datastoreItem xmlns:ds="http://schemas.openxmlformats.org/officeDocument/2006/customXml" ds:itemID="{6C0A4443-2880-4382-9810-1B020FF43D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72</Pages>
  <Words>15598</Words>
  <Characters>88914</Characters>
  <Application>Microsoft Office Word</Application>
  <DocSecurity>0</DocSecurity>
  <Lines>740</Lines>
  <Paragraphs>208</Paragraphs>
  <ScaleCrop>false</ScaleCrop>
  <HeadingPairs>
    <vt:vector size="2" baseType="variant">
      <vt:variant>
        <vt:lpstr>Title</vt:lpstr>
      </vt:variant>
      <vt:variant>
        <vt:i4>1</vt:i4>
      </vt:variant>
    </vt:vector>
  </HeadingPairs>
  <TitlesOfParts>
    <vt:vector size="1" baseType="lpstr">
      <vt:lpstr>Accident Towing Fees Review 2025</vt:lpstr>
    </vt:vector>
  </TitlesOfParts>
  <Company/>
  <LinksUpToDate>false</LinksUpToDate>
  <CharactersWithSpaces>104304</CharactersWithSpaces>
  <SharedDoc>false</SharedDoc>
  <HLinks>
    <vt:vector size="270" baseType="variant">
      <vt:variant>
        <vt:i4>1376346</vt:i4>
      </vt:variant>
      <vt:variant>
        <vt:i4>219</vt:i4>
      </vt:variant>
      <vt:variant>
        <vt:i4>0</vt:i4>
      </vt:variant>
      <vt:variant>
        <vt:i4>5</vt:i4>
      </vt:variant>
      <vt:variant>
        <vt:lpwstr>https://www.tmr.qld.gov.au/business-industry/accreditations/tow-truck-licensing-scheme</vt:lpwstr>
      </vt:variant>
      <vt:variant>
        <vt:lpwstr>max-reg-tow-charges</vt:lpwstr>
      </vt:variant>
      <vt:variant>
        <vt:i4>2818171</vt:i4>
      </vt:variant>
      <vt:variant>
        <vt:i4>216</vt:i4>
      </vt:variant>
      <vt:variant>
        <vt:i4>0</vt:i4>
      </vt:variant>
      <vt:variant>
        <vt:i4>5</vt:i4>
      </vt:variant>
      <vt:variant>
        <vt:lpwstr>https://www.fairtrading.nsw.gov.au/buying-products-and-services/buying-services/motor-repairs/tow-truck-fees-for-light-vehicles</vt:lpwstr>
      </vt:variant>
      <vt:variant>
        <vt:lpwstr/>
      </vt:variant>
      <vt:variant>
        <vt:i4>8061053</vt:i4>
      </vt:variant>
      <vt:variant>
        <vt:i4>213</vt:i4>
      </vt:variant>
      <vt:variant>
        <vt:i4>0</vt:i4>
      </vt:variant>
      <vt:variant>
        <vt:i4>5</vt:i4>
      </vt:variant>
      <vt:variant>
        <vt:lpwstr>https://transport.vic.gov.au/plan-a-journey/maps/accident-towing-allocation-map</vt:lpwstr>
      </vt:variant>
      <vt:variant>
        <vt:lpwstr/>
      </vt:variant>
      <vt:variant>
        <vt:i4>1900596</vt:i4>
      </vt:variant>
      <vt:variant>
        <vt:i4>206</vt:i4>
      </vt:variant>
      <vt:variant>
        <vt:i4>0</vt:i4>
      </vt:variant>
      <vt:variant>
        <vt:i4>5</vt:i4>
      </vt:variant>
      <vt:variant>
        <vt:lpwstr/>
      </vt:variant>
      <vt:variant>
        <vt:lpwstr>_Toc190265343</vt:lpwstr>
      </vt:variant>
      <vt:variant>
        <vt:i4>1703988</vt:i4>
      </vt:variant>
      <vt:variant>
        <vt:i4>200</vt:i4>
      </vt:variant>
      <vt:variant>
        <vt:i4>0</vt:i4>
      </vt:variant>
      <vt:variant>
        <vt:i4>5</vt:i4>
      </vt:variant>
      <vt:variant>
        <vt:lpwstr/>
      </vt:variant>
      <vt:variant>
        <vt:lpwstr>_Toc190265338</vt:lpwstr>
      </vt:variant>
      <vt:variant>
        <vt:i4>1703988</vt:i4>
      </vt:variant>
      <vt:variant>
        <vt:i4>194</vt:i4>
      </vt:variant>
      <vt:variant>
        <vt:i4>0</vt:i4>
      </vt:variant>
      <vt:variant>
        <vt:i4>5</vt:i4>
      </vt:variant>
      <vt:variant>
        <vt:lpwstr/>
      </vt:variant>
      <vt:variant>
        <vt:lpwstr>_Toc190265333</vt:lpwstr>
      </vt:variant>
      <vt:variant>
        <vt:i4>1769524</vt:i4>
      </vt:variant>
      <vt:variant>
        <vt:i4>188</vt:i4>
      </vt:variant>
      <vt:variant>
        <vt:i4>0</vt:i4>
      </vt:variant>
      <vt:variant>
        <vt:i4>5</vt:i4>
      </vt:variant>
      <vt:variant>
        <vt:lpwstr/>
      </vt:variant>
      <vt:variant>
        <vt:lpwstr>_Toc190265327</vt:lpwstr>
      </vt:variant>
      <vt:variant>
        <vt:i4>1769524</vt:i4>
      </vt:variant>
      <vt:variant>
        <vt:i4>182</vt:i4>
      </vt:variant>
      <vt:variant>
        <vt:i4>0</vt:i4>
      </vt:variant>
      <vt:variant>
        <vt:i4>5</vt:i4>
      </vt:variant>
      <vt:variant>
        <vt:lpwstr/>
      </vt:variant>
      <vt:variant>
        <vt:lpwstr>_Toc190265326</vt:lpwstr>
      </vt:variant>
      <vt:variant>
        <vt:i4>1769524</vt:i4>
      </vt:variant>
      <vt:variant>
        <vt:i4>176</vt:i4>
      </vt:variant>
      <vt:variant>
        <vt:i4>0</vt:i4>
      </vt:variant>
      <vt:variant>
        <vt:i4>5</vt:i4>
      </vt:variant>
      <vt:variant>
        <vt:lpwstr/>
      </vt:variant>
      <vt:variant>
        <vt:lpwstr>_Toc190265325</vt:lpwstr>
      </vt:variant>
      <vt:variant>
        <vt:i4>1769524</vt:i4>
      </vt:variant>
      <vt:variant>
        <vt:i4>170</vt:i4>
      </vt:variant>
      <vt:variant>
        <vt:i4>0</vt:i4>
      </vt:variant>
      <vt:variant>
        <vt:i4>5</vt:i4>
      </vt:variant>
      <vt:variant>
        <vt:lpwstr/>
      </vt:variant>
      <vt:variant>
        <vt:lpwstr>_Toc190265324</vt:lpwstr>
      </vt:variant>
      <vt:variant>
        <vt:i4>1769524</vt:i4>
      </vt:variant>
      <vt:variant>
        <vt:i4>164</vt:i4>
      </vt:variant>
      <vt:variant>
        <vt:i4>0</vt:i4>
      </vt:variant>
      <vt:variant>
        <vt:i4>5</vt:i4>
      </vt:variant>
      <vt:variant>
        <vt:lpwstr/>
      </vt:variant>
      <vt:variant>
        <vt:lpwstr>_Toc190265323</vt:lpwstr>
      </vt:variant>
      <vt:variant>
        <vt:i4>1769524</vt:i4>
      </vt:variant>
      <vt:variant>
        <vt:i4>158</vt:i4>
      </vt:variant>
      <vt:variant>
        <vt:i4>0</vt:i4>
      </vt:variant>
      <vt:variant>
        <vt:i4>5</vt:i4>
      </vt:variant>
      <vt:variant>
        <vt:lpwstr/>
      </vt:variant>
      <vt:variant>
        <vt:lpwstr>_Toc190265322</vt:lpwstr>
      </vt:variant>
      <vt:variant>
        <vt:i4>1769524</vt:i4>
      </vt:variant>
      <vt:variant>
        <vt:i4>152</vt:i4>
      </vt:variant>
      <vt:variant>
        <vt:i4>0</vt:i4>
      </vt:variant>
      <vt:variant>
        <vt:i4>5</vt:i4>
      </vt:variant>
      <vt:variant>
        <vt:lpwstr/>
      </vt:variant>
      <vt:variant>
        <vt:lpwstr>_Toc190265321</vt:lpwstr>
      </vt:variant>
      <vt:variant>
        <vt:i4>1769524</vt:i4>
      </vt:variant>
      <vt:variant>
        <vt:i4>146</vt:i4>
      </vt:variant>
      <vt:variant>
        <vt:i4>0</vt:i4>
      </vt:variant>
      <vt:variant>
        <vt:i4>5</vt:i4>
      </vt:variant>
      <vt:variant>
        <vt:lpwstr/>
      </vt:variant>
      <vt:variant>
        <vt:lpwstr>_Toc190265320</vt:lpwstr>
      </vt:variant>
      <vt:variant>
        <vt:i4>1572916</vt:i4>
      </vt:variant>
      <vt:variant>
        <vt:i4>140</vt:i4>
      </vt:variant>
      <vt:variant>
        <vt:i4>0</vt:i4>
      </vt:variant>
      <vt:variant>
        <vt:i4>5</vt:i4>
      </vt:variant>
      <vt:variant>
        <vt:lpwstr/>
      </vt:variant>
      <vt:variant>
        <vt:lpwstr>_Toc190265317</vt:lpwstr>
      </vt:variant>
      <vt:variant>
        <vt:i4>1572916</vt:i4>
      </vt:variant>
      <vt:variant>
        <vt:i4>134</vt:i4>
      </vt:variant>
      <vt:variant>
        <vt:i4>0</vt:i4>
      </vt:variant>
      <vt:variant>
        <vt:i4>5</vt:i4>
      </vt:variant>
      <vt:variant>
        <vt:lpwstr/>
      </vt:variant>
      <vt:variant>
        <vt:lpwstr>_Toc190265316</vt:lpwstr>
      </vt:variant>
      <vt:variant>
        <vt:i4>1572916</vt:i4>
      </vt:variant>
      <vt:variant>
        <vt:i4>128</vt:i4>
      </vt:variant>
      <vt:variant>
        <vt:i4>0</vt:i4>
      </vt:variant>
      <vt:variant>
        <vt:i4>5</vt:i4>
      </vt:variant>
      <vt:variant>
        <vt:lpwstr/>
      </vt:variant>
      <vt:variant>
        <vt:lpwstr>_Toc190265311</vt:lpwstr>
      </vt:variant>
      <vt:variant>
        <vt:i4>1572916</vt:i4>
      </vt:variant>
      <vt:variant>
        <vt:i4>122</vt:i4>
      </vt:variant>
      <vt:variant>
        <vt:i4>0</vt:i4>
      </vt:variant>
      <vt:variant>
        <vt:i4>5</vt:i4>
      </vt:variant>
      <vt:variant>
        <vt:lpwstr/>
      </vt:variant>
      <vt:variant>
        <vt:lpwstr>_Toc190265310</vt:lpwstr>
      </vt:variant>
      <vt:variant>
        <vt:i4>1638452</vt:i4>
      </vt:variant>
      <vt:variant>
        <vt:i4>116</vt:i4>
      </vt:variant>
      <vt:variant>
        <vt:i4>0</vt:i4>
      </vt:variant>
      <vt:variant>
        <vt:i4>5</vt:i4>
      </vt:variant>
      <vt:variant>
        <vt:lpwstr/>
      </vt:variant>
      <vt:variant>
        <vt:lpwstr>_Toc190265309</vt:lpwstr>
      </vt:variant>
      <vt:variant>
        <vt:i4>1638452</vt:i4>
      </vt:variant>
      <vt:variant>
        <vt:i4>110</vt:i4>
      </vt:variant>
      <vt:variant>
        <vt:i4>0</vt:i4>
      </vt:variant>
      <vt:variant>
        <vt:i4>5</vt:i4>
      </vt:variant>
      <vt:variant>
        <vt:lpwstr/>
      </vt:variant>
      <vt:variant>
        <vt:lpwstr>_Toc190265305</vt:lpwstr>
      </vt:variant>
      <vt:variant>
        <vt:i4>1638452</vt:i4>
      </vt:variant>
      <vt:variant>
        <vt:i4>104</vt:i4>
      </vt:variant>
      <vt:variant>
        <vt:i4>0</vt:i4>
      </vt:variant>
      <vt:variant>
        <vt:i4>5</vt:i4>
      </vt:variant>
      <vt:variant>
        <vt:lpwstr/>
      </vt:variant>
      <vt:variant>
        <vt:lpwstr>_Toc190265304</vt:lpwstr>
      </vt:variant>
      <vt:variant>
        <vt:i4>1638452</vt:i4>
      </vt:variant>
      <vt:variant>
        <vt:i4>98</vt:i4>
      </vt:variant>
      <vt:variant>
        <vt:i4>0</vt:i4>
      </vt:variant>
      <vt:variant>
        <vt:i4>5</vt:i4>
      </vt:variant>
      <vt:variant>
        <vt:lpwstr/>
      </vt:variant>
      <vt:variant>
        <vt:lpwstr>_Toc190265303</vt:lpwstr>
      </vt:variant>
      <vt:variant>
        <vt:i4>1638452</vt:i4>
      </vt:variant>
      <vt:variant>
        <vt:i4>92</vt:i4>
      </vt:variant>
      <vt:variant>
        <vt:i4>0</vt:i4>
      </vt:variant>
      <vt:variant>
        <vt:i4>5</vt:i4>
      </vt:variant>
      <vt:variant>
        <vt:lpwstr/>
      </vt:variant>
      <vt:variant>
        <vt:lpwstr>_Toc190265302</vt:lpwstr>
      </vt:variant>
      <vt:variant>
        <vt:i4>1048629</vt:i4>
      </vt:variant>
      <vt:variant>
        <vt:i4>86</vt:i4>
      </vt:variant>
      <vt:variant>
        <vt:i4>0</vt:i4>
      </vt:variant>
      <vt:variant>
        <vt:i4>5</vt:i4>
      </vt:variant>
      <vt:variant>
        <vt:lpwstr/>
      </vt:variant>
      <vt:variant>
        <vt:lpwstr>_Toc190265299</vt:lpwstr>
      </vt:variant>
      <vt:variant>
        <vt:i4>1048629</vt:i4>
      </vt:variant>
      <vt:variant>
        <vt:i4>80</vt:i4>
      </vt:variant>
      <vt:variant>
        <vt:i4>0</vt:i4>
      </vt:variant>
      <vt:variant>
        <vt:i4>5</vt:i4>
      </vt:variant>
      <vt:variant>
        <vt:lpwstr/>
      </vt:variant>
      <vt:variant>
        <vt:lpwstr>_Toc190265298</vt:lpwstr>
      </vt:variant>
      <vt:variant>
        <vt:i4>1048629</vt:i4>
      </vt:variant>
      <vt:variant>
        <vt:i4>74</vt:i4>
      </vt:variant>
      <vt:variant>
        <vt:i4>0</vt:i4>
      </vt:variant>
      <vt:variant>
        <vt:i4>5</vt:i4>
      </vt:variant>
      <vt:variant>
        <vt:lpwstr/>
      </vt:variant>
      <vt:variant>
        <vt:lpwstr>_Toc190265297</vt:lpwstr>
      </vt:variant>
      <vt:variant>
        <vt:i4>1048629</vt:i4>
      </vt:variant>
      <vt:variant>
        <vt:i4>68</vt:i4>
      </vt:variant>
      <vt:variant>
        <vt:i4>0</vt:i4>
      </vt:variant>
      <vt:variant>
        <vt:i4>5</vt:i4>
      </vt:variant>
      <vt:variant>
        <vt:lpwstr/>
      </vt:variant>
      <vt:variant>
        <vt:lpwstr>_Toc190265296</vt:lpwstr>
      </vt:variant>
      <vt:variant>
        <vt:i4>1048629</vt:i4>
      </vt:variant>
      <vt:variant>
        <vt:i4>62</vt:i4>
      </vt:variant>
      <vt:variant>
        <vt:i4>0</vt:i4>
      </vt:variant>
      <vt:variant>
        <vt:i4>5</vt:i4>
      </vt:variant>
      <vt:variant>
        <vt:lpwstr/>
      </vt:variant>
      <vt:variant>
        <vt:lpwstr>_Toc190265295</vt:lpwstr>
      </vt:variant>
      <vt:variant>
        <vt:i4>1048629</vt:i4>
      </vt:variant>
      <vt:variant>
        <vt:i4>56</vt:i4>
      </vt:variant>
      <vt:variant>
        <vt:i4>0</vt:i4>
      </vt:variant>
      <vt:variant>
        <vt:i4>5</vt:i4>
      </vt:variant>
      <vt:variant>
        <vt:lpwstr/>
      </vt:variant>
      <vt:variant>
        <vt:lpwstr>_Toc190265294</vt:lpwstr>
      </vt:variant>
      <vt:variant>
        <vt:i4>1048629</vt:i4>
      </vt:variant>
      <vt:variant>
        <vt:i4>50</vt:i4>
      </vt:variant>
      <vt:variant>
        <vt:i4>0</vt:i4>
      </vt:variant>
      <vt:variant>
        <vt:i4>5</vt:i4>
      </vt:variant>
      <vt:variant>
        <vt:lpwstr/>
      </vt:variant>
      <vt:variant>
        <vt:lpwstr>_Toc190265290</vt:lpwstr>
      </vt:variant>
      <vt:variant>
        <vt:i4>1114165</vt:i4>
      </vt:variant>
      <vt:variant>
        <vt:i4>44</vt:i4>
      </vt:variant>
      <vt:variant>
        <vt:i4>0</vt:i4>
      </vt:variant>
      <vt:variant>
        <vt:i4>5</vt:i4>
      </vt:variant>
      <vt:variant>
        <vt:lpwstr/>
      </vt:variant>
      <vt:variant>
        <vt:lpwstr>_Toc190265289</vt:lpwstr>
      </vt:variant>
      <vt:variant>
        <vt:i4>1114165</vt:i4>
      </vt:variant>
      <vt:variant>
        <vt:i4>38</vt:i4>
      </vt:variant>
      <vt:variant>
        <vt:i4>0</vt:i4>
      </vt:variant>
      <vt:variant>
        <vt:i4>5</vt:i4>
      </vt:variant>
      <vt:variant>
        <vt:lpwstr/>
      </vt:variant>
      <vt:variant>
        <vt:lpwstr>_Toc190265288</vt:lpwstr>
      </vt:variant>
      <vt:variant>
        <vt:i4>1114165</vt:i4>
      </vt:variant>
      <vt:variant>
        <vt:i4>32</vt:i4>
      </vt:variant>
      <vt:variant>
        <vt:i4>0</vt:i4>
      </vt:variant>
      <vt:variant>
        <vt:i4>5</vt:i4>
      </vt:variant>
      <vt:variant>
        <vt:lpwstr/>
      </vt:variant>
      <vt:variant>
        <vt:lpwstr>_Toc190265286</vt:lpwstr>
      </vt:variant>
      <vt:variant>
        <vt:i4>1114165</vt:i4>
      </vt:variant>
      <vt:variant>
        <vt:i4>26</vt:i4>
      </vt:variant>
      <vt:variant>
        <vt:i4>0</vt:i4>
      </vt:variant>
      <vt:variant>
        <vt:i4>5</vt:i4>
      </vt:variant>
      <vt:variant>
        <vt:lpwstr/>
      </vt:variant>
      <vt:variant>
        <vt:lpwstr>_Toc190265285</vt:lpwstr>
      </vt:variant>
      <vt:variant>
        <vt:i4>1114165</vt:i4>
      </vt:variant>
      <vt:variant>
        <vt:i4>20</vt:i4>
      </vt:variant>
      <vt:variant>
        <vt:i4>0</vt:i4>
      </vt:variant>
      <vt:variant>
        <vt:i4>5</vt:i4>
      </vt:variant>
      <vt:variant>
        <vt:lpwstr/>
      </vt:variant>
      <vt:variant>
        <vt:lpwstr>_Toc190265282</vt:lpwstr>
      </vt:variant>
      <vt:variant>
        <vt:i4>1114165</vt:i4>
      </vt:variant>
      <vt:variant>
        <vt:i4>14</vt:i4>
      </vt:variant>
      <vt:variant>
        <vt:i4>0</vt:i4>
      </vt:variant>
      <vt:variant>
        <vt:i4>5</vt:i4>
      </vt:variant>
      <vt:variant>
        <vt:lpwstr/>
      </vt:variant>
      <vt:variant>
        <vt:lpwstr>_Toc190265281</vt:lpwstr>
      </vt:variant>
      <vt:variant>
        <vt:i4>1114165</vt:i4>
      </vt:variant>
      <vt:variant>
        <vt:i4>8</vt:i4>
      </vt:variant>
      <vt:variant>
        <vt:i4>0</vt:i4>
      </vt:variant>
      <vt:variant>
        <vt:i4>5</vt:i4>
      </vt:variant>
      <vt:variant>
        <vt:lpwstr/>
      </vt:variant>
      <vt:variant>
        <vt:lpwstr>_Toc190265280</vt:lpwstr>
      </vt:variant>
      <vt:variant>
        <vt:i4>1966133</vt:i4>
      </vt:variant>
      <vt:variant>
        <vt:i4>2</vt:i4>
      </vt:variant>
      <vt:variant>
        <vt:i4>0</vt:i4>
      </vt:variant>
      <vt:variant>
        <vt:i4>5</vt:i4>
      </vt:variant>
      <vt:variant>
        <vt:lpwstr/>
      </vt:variant>
      <vt:variant>
        <vt:lpwstr>_Toc190265277</vt:lpwstr>
      </vt:variant>
      <vt:variant>
        <vt:i4>5374028</vt:i4>
      </vt:variant>
      <vt:variant>
        <vt:i4>12</vt:i4>
      </vt:variant>
      <vt:variant>
        <vt:i4>0</vt:i4>
      </vt:variant>
      <vt:variant>
        <vt:i4>5</vt:i4>
      </vt:variant>
      <vt:variant>
        <vt:lpwstr>https://www.abs.gov.au/statistics/industry/industry-overview/estimates-industry-multifactor-productivity/2020-21</vt:lpwstr>
      </vt:variant>
      <vt:variant>
        <vt:lpwstr/>
      </vt:variant>
      <vt:variant>
        <vt:i4>6553714</vt:i4>
      </vt:variant>
      <vt:variant>
        <vt:i4>9</vt:i4>
      </vt:variant>
      <vt:variant>
        <vt:i4>0</vt:i4>
      </vt:variant>
      <vt:variant>
        <vt:i4>5</vt:i4>
      </vt:variant>
      <vt:variant>
        <vt:lpwstr>https://www.transport.wa.gov.au/licensing/maximum-charges-for-crash-towing.asp</vt:lpwstr>
      </vt:variant>
      <vt:variant>
        <vt:lpwstr/>
      </vt:variant>
      <vt:variant>
        <vt:i4>7798801</vt:i4>
      </vt:variant>
      <vt:variant>
        <vt:i4>6</vt:i4>
      </vt:variant>
      <vt:variant>
        <vt:i4>0</vt:i4>
      </vt:variant>
      <vt:variant>
        <vt:i4>5</vt:i4>
      </vt:variant>
      <vt:variant>
        <vt:lpwstr>https://www.transport.wa.gov.au/mediaFiles/licensing/DVS_P_CrashTowing_DRIS.pdf</vt:lpwstr>
      </vt:variant>
      <vt:variant>
        <vt:lpwstr/>
      </vt:variant>
      <vt:variant>
        <vt:i4>6553714</vt:i4>
      </vt:variant>
      <vt:variant>
        <vt:i4>3</vt:i4>
      </vt:variant>
      <vt:variant>
        <vt:i4>0</vt:i4>
      </vt:variant>
      <vt:variant>
        <vt:i4>5</vt:i4>
      </vt:variant>
      <vt:variant>
        <vt:lpwstr>https://www.transport.wa.gov.au/licensing/maximum-charges-for-crash-towing.asp</vt:lpwstr>
      </vt:variant>
      <vt:variant>
        <vt:lpwstr/>
      </vt:variant>
      <vt:variant>
        <vt:i4>8257570</vt:i4>
      </vt:variant>
      <vt:variant>
        <vt:i4>0</vt:i4>
      </vt:variant>
      <vt:variant>
        <vt:i4>0</vt:i4>
      </vt:variant>
      <vt:variant>
        <vt:i4>5</vt:i4>
      </vt:variant>
      <vt:variant>
        <vt:lpwstr>https://www.aaa.asn.au/research-data/electric-vehicle/</vt:lpwstr>
      </vt:variant>
      <vt:variant>
        <vt:lpwstr/>
      </vt:variant>
      <vt:variant>
        <vt:i4>458774</vt:i4>
      </vt:variant>
      <vt:variant>
        <vt:i4>3</vt:i4>
      </vt:variant>
      <vt:variant>
        <vt:i4>0</vt:i4>
      </vt:variant>
      <vt:variant>
        <vt:i4>5</vt:i4>
      </vt:variant>
      <vt:variant>
        <vt:lpwstr>https://www.esc.vic.gov.au/sites/default/files/documents/1e2e09a7-e904-43e2-b766-835a03335bf7.pdf</vt:lpwstr>
      </vt:variant>
      <vt:variant>
        <vt:lpwstr/>
      </vt:variant>
      <vt:variant>
        <vt:i4>6553714</vt:i4>
      </vt:variant>
      <vt:variant>
        <vt:i4>0</vt:i4>
      </vt:variant>
      <vt:variant>
        <vt:i4>0</vt:i4>
      </vt:variant>
      <vt:variant>
        <vt:i4>5</vt:i4>
      </vt:variant>
      <vt:variant>
        <vt:lpwstr>https://www.transport.wa.gov.au/licensing/maximum-charges-for-crash-towing.asp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Accident Towing Fees Review 2025</dc:title>
  <dc:subject/>
  <dc:creator>Chris Baxter (ESC)</dc:creator>
  <cp:keywords>[SEC=UNOFFICIAL]</cp:keywords>
  <dc:description>Final Report</dc:description>
  <cp:lastModifiedBy>Patrice Yee (ESC)</cp:lastModifiedBy>
  <cp:revision>2</cp:revision>
  <cp:lastPrinted>2025-05-27T03:56:00Z</cp:lastPrinted>
  <dcterms:created xsi:type="dcterms:W3CDTF">2025-06-23T06:56:00Z</dcterms:created>
  <dcterms:modified xsi:type="dcterms:W3CDTF">2025-06-23T06:56:00Z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2019.2.1.vic.gov.au</vt:lpwstr>
  </property>
  <property fmtid="{D5CDD505-2E9C-101B-9397-08002B2CF9AE}" pid="3" name="PM_Caveats_Count">
    <vt:lpwstr>0</vt:lpwstr>
  </property>
  <property fmtid="{D5CDD505-2E9C-101B-9397-08002B2CF9AE}" pid="4" name="PM_Version">
    <vt:lpwstr>2018.4</vt:lpwstr>
  </property>
  <property fmtid="{D5CDD505-2E9C-101B-9397-08002B2CF9AE}" pid="5" name="PM_Note">
    <vt:lpwstr/>
  </property>
  <property fmtid="{D5CDD505-2E9C-101B-9397-08002B2CF9AE}" pid="6" name="PMHMAC">
    <vt:lpwstr>v=2022.1;a=SHA256;h=39C6FD4CF35E27E12C8C60888A95287B99B81F095F08F06152711A8AAB1E266D</vt:lpwstr>
  </property>
  <property fmtid="{D5CDD505-2E9C-101B-9397-08002B2CF9AE}" pid="7" name="PM_Qualifier">
    <vt:lpwstr/>
  </property>
  <property fmtid="{D5CDD505-2E9C-101B-9397-08002B2CF9AE}" pid="8" name="PM_SecurityClassification">
    <vt:lpwstr>UNOFFICIAL</vt:lpwstr>
  </property>
  <property fmtid="{D5CDD505-2E9C-101B-9397-08002B2CF9AE}" pid="9" name="PM_ProtectiveMarkingValue_Header">
    <vt:lpwstr>UNOFFICIAL</vt:lpwstr>
  </property>
  <property fmtid="{D5CDD505-2E9C-101B-9397-08002B2CF9AE}" pid="10" name="PM_OriginationTimeStamp">
    <vt:lpwstr>2024-12-17T23:41:32Z</vt:lpwstr>
  </property>
  <property fmtid="{D5CDD505-2E9C-101B-9397-08002B2CF9AE}" pid="11" name="PM_Markers">
    <vt:lpwstr/>
  </property>
  <property fmtid="{D5CDD505-2E9C-101B-9397-08002B2CF9AE}" pid="12" name="PM_InsertionValue">
    <vt:lpwstr>UNOFFICIAL</vt:lpwstr>
  </property>
  <property fmtid="{D5CDD505-2E9C-101B-9397-08002B2CF9AE}" pid="13" name="PM_Originator_Hash_SHA1">
    <vt:lpwstr>B5431915AEA2F673408959524DE39058477C3B30</vt:lpwstr>
  </property>
  <property fmtid="{D5CDD505-2E9C-101B-9397-08002B2CF9AE}" pid="14" name="PM_DisplayValueSecClassificationWithQualifier">
    <vt:lpwstr>UNOFFICIAL</vt:lpwstr>
  </property>
  <property fmtid="{D5CDD505-2E9C-101B-9397-08002B2CF9AE}" pid="15" name="PM_Originating_FileId">
    <vt:lpwstr>102B11FE666A4B7FB1A47912A4CC5D66</vt:lpwstr>
  </property>
  <property fmtid="{D5CDD505-2E9C-101B-9397-08002B2CF9AE}" pid="16" name="PM_ProtectiveMarkingValue_Footer">
    <vt:lpwstr>UNOFFICIAL</vt:lpwstr>
  </property>
  <property fmtid="{D5CDD505-2E9C-101B-9397-08002B2CF9AE}" pid="17" name="PM_ProtectiveMarkingImage_Header">
    <vt:lpwstr>C:\Program Files\Common Files\janusNET Shared\janusSEAL\Images\DocumentSlashBlue.png</vt:lpwstr>
  </property>
  <property fmtid="{D5CDD505-2E9C-101B-9397-08002B2CF9AE}" pid="18" name="PM_ProtectiveMarkingImage_Footer">
    <vt:lpwstr>C:\Program Files\Common Files\janusNET Shared\janusSEAL\Images\DocumentSlashBlue.png</vt:lpwstr>
  </property>
  <property fmtid="{D5CDD505-2E9C-101B-9397-08002B2CF9AE}" pid="19" name="PM_Display">
    <vt:lpwstr>UNOFFICIAL</vt:lpwstr>
  </property>
  <property fmtid="{D5CDD505-2E9C-101B-9397-08002B2CF9AE}" pid="20" name="PM_OriginatorUserAccountName_SHA256">
    <vt:lpwstr>8A0F9730CA37E13E9CC09E70E60E2AA72856B3BA887AF88B40F3AC03C3283D75</vt:lpwstr>
  </property>
  <property fmtid="{D5CDD505-2E9C-101B-9397-08002B2CF9AE}" pid="21" name="PM_OriginatorDomainName_SHA256">
    <vt:lpwstr>9E5929A2B0C9364118E50F7972B6A4AA763F815A803675E11226272E392AE99C</vt:lpwstr>
  </property>
  <property fmtid="{D5CDD505-2E9C-101B-9397-08002B2CF9AE}" pid="22" name="PMUuid">
    <vt:lpwstr>v=2022.2;d=vic.gov.au;g=DBB53C2B-A4B8-50FB-B09D-42EC596A5DC3</vt:lpwstr>
  </property>
  <property fmtid="{D5CDD505-2E9C-101B-9397-08002B2CF9AE}" pid="23" name="PM_Hash_Version">
    <vt:lpwstr>2022.1</vt:lpwstr>
  </property>
  <property fmtid="{D5CDD505-2E9C-101B-9397-08002B2CF9AE}" pid="24" name="PM_Hash_Salt_Prev">
    <vt:lpwstr>3B0A6C8CD0E4024ED8F2B6F910AF010D</vt:lpwstr>
  </property>
  <property fmtid="{D5CDD505-2E9C-101B-9397-08002B2CF9AE}" pid="25" name="PM_Hash_Salt">
    <vt:lpwstr>6A5DD0BADAA1413EBF09FFF766E0F888</vt:lpwstr>
  </property>
  <property fmtid="{D5CDD505-2E9C-101B-9397-08002B2CF9AE}" pid="26" name="PM_Hash_SHA1">
    <vt:lpwstr>82DBAEC608F72C8096444AB3CF2995EC37EDB681</vt:lpwstr>
  </property>
  <property fmtid="{D5CDD505-2E9C-101B-9397-08002B2CF9AE}" pid="27" name="PM_SecurityClassification_Prev">
    <vt:lpwstr>OFFICIAL</vt:lpwstr>
  </property>
  <property fmtid="{D5CDD505-2E9C-101B-9397-08002B2CF9AE}" pid="28" name="PM_Qualifier_Prev">
    <vt:lpwstr/>
  </property>
  <property fmtid="{D5CDD505-2E9C-101B-9397-08002B2CF9AE}" pid="29" name="ClassificationContentMarkingHeaderShapeIds">
    <vt:lpwstr>5deaa0c3,48c4d691,41ac594c,30bf7f1b,1d3bfb62,43ecd60,7fa64335,98300f8,5ac83cc1,5e0b6ec,79516efd,ea5be4c,645d44c,16d75219,4da91f9d,2f13aad,2b4082a3,1ea3a8ce,55a5cf38,3cc0737e,70075bff,13bb750e,68308f82,362b2329</vt:lpwstr>
  </property>
  <property fmtid="{D5CDD505-2E9C-101B-9397-08002B2CF9AE}" pid="30" name="ClassificationContentMarkingHeaderShapeIds-1">
    <vt:lpwstr>31a40583,686d982,74eb91ca,74b37a88,7fc380b,5ebfa444,20c21f59,34d58220,405e028b,4be26c25,7f4f0d13,479ec18e,453654a5,37924f7d,b9a38a,3425c34d,12eb2ca2,5ad5eca2,4fc535f9,53fd2a53,582f31de,25eb0152,5b2cb982</vt:lpwstr>
  </property>
  <property fmtid="{D5CDD505-2E9C-101B-9397-08002B2CF9AE}" pid="31" name="ClassificationContentMarkingHeaderShapeIds-2">
    <vt:lpwstr>f8d3951,50d962e,4fb58687,4bc0c0ab,7aae572d,166ab675,3894d9d1</vt:lpwstr>
  </property>
  <property fmtid="{D5CDD505-2E9C-101B-9397-08002B2CF9AE}" pid="32" name="ClassificationContentMarkingHeaderFontProps">
    <vt:lpwstr>#ff0000,12,Calibri</vt:lpwstr>
  </property>
  <property fmtid="{D5CDD505-2E9C-101B-9397-08002B2CF9AE}" pid="33" name="ClassificationContentMarkingHeaderText">
    <vt:lpwstr>OFFICIAL</vt:lpwstr>
  </property>
  <property fmtid="{D5CDD505-2E9C-101B-9397-08002B2CF9AE}" pid="34" name="MSIP_Label_c62a3d98-e4c9-4917-991a-0f0276b71296_Enabled">
    <vt:lpwstr>true</vt:lpwstr>
  </property>
  <property fmtid="{D5CDD505-2E9C-101B-9397-08002B2CF9AE}" pid="35" name="MSIP_Label_c62a3d98-e4c9-4917-991a-0f0276b71296_SetDate">
    <vt:lpwstr>2025-02-11T02:54:58Z</vt:lpwstr>
  </property>
  <property fmtid="{D5CDD505-2E9C-101B-9397-08002B2CF9AE}" pid="36" name="MSIP_Label_c62a3d98-e4c9-4917-991a-0f0276b71296_Method">
    <vt:lpwstr>Standard</vt:lpwstr>
  </property>
  <property fmtid="{D5CDD505-2E9C-101B-9397-08002B2CF9AE}" pid="37" name="MSIP_Label_c62a3d98-e4c9-4917-991a-0f0276b71296_Name">
    <vt:lpwstr>OFFICIAL</vt:lpwstr>
  </property>
  <property fmtid="{D5CDD505-2E9C-101B-9397-08002B2CF9AE}" pid="38" name="MSIP_Label_c62a3d98-e4c9-4917-991a-0f0276b71296_SiteId">
    <vt:lpwstr>5f894de5-5651-487a-aaff-5a8c899b254d</vt:lpwstr>
  </property>
  <property fmtid="{D5CDD505-2E9C-101B-9397-08002B2CF9AE}" pid="39" name="MSIP_Label_c62a3d98-e4c9-4917-991a-0f0276b71296_ActionId">
    <vt:lpwstr>6dd6023d-831c-4b22-8d9d-95f90b738599</vt:lpwstr>
  </property>
  <property fmtid="{D5CDD505-2E9C-101B-9397-08002B2CF9AE}" pid="40" name="MSIP_Label_c62a3d98-e4c9-4917-991a-0f0276b71296_ContentBits">
    <vt:lpwstr>1</vt:lpwstr>
  </property>
  <property fmtid="{D5CDD505-2E9C-101B-9397-08002B2CF9AE}" pid="41" name="ContentTypeId">
    <vt:lpwstr>0x010100DAF79D47A3BF7B408B434098A259DFF3</vt:lpwstr>
  </property>
  <property fmtid="{D5CDD505-2E9C-101B-9397-08002B2CF9AE}" pid="42" name="MediaServiceImageTags">
    <vt:lpwstr/>
  </property>
</Properties>
</file>