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7.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9.xml" ContentType="application/vnd.openxmlformats-officedocument.wordprocessingml.footer+xml"/>
  <Override PartName="/word/header3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Toc480988875" w:displacedByCustomXml="next"/>
    <w:bookmarkStart w:id="2" w:name="_Toc481138187" w:displacedByCustomXml="next"/>
    <w:bookmarkStart w:id="3" w:name="_Toc481138395" w:displacedByCustomXml="next"/>
    <w:bookmarkStart w:id="4" w:name="_Hlk481497640" w:displacedByCustomXml="next"/>
    <w:sdt>
      <w:sdtPr>
        <w:rPr>
          <w:lang w:val="en-AU"/>
        </w:rPr>
        <w:id w:val="-1806228930"/>
        <w:docPartObj>
          <w:docPartGallery w:val="Cover Pages"/>
          <w:docPartUnique/>
        </w:docPartObj>
      </w:sdtPr>
      <w:sdtContent>
        <w:sdt>
          <w:sdtPr>
            <w:id w:val="-1193684748"/>
            <w:placeholder>
              <w:docPart w:val="0B26D8CCC9534309B9B5E9DB9F905536"/>
            </w:placeholder>
            <w:showingPlcHdr/>
            <w:text/>
          </w:sdtPr>
          <w:sdtContent>
            <w:p w14:paraId="07269E15" w14:textId="77777777" w:rsidR="00067DD9" w:rsidRDefault="00067DD9" w:rsidP="00633068">
              <w:pPr>
                <w:pStyle w:val="NoSpacing"/>
                <w:sectPr w:rsidR="00067DD9" w:rsidSect="00703C67">
                  <w:headerReference w:type="even" r:id="rId8"/>
                  <w:headerReference w:type="default" r:id="rId9"/>
                  <w:headerReference w:type="first" r:id="rId10"/>
                  <w:type w:val="continuous"/>
                  <w:pgSz w:w="11906" w:h="16838" w:code="9"/>
                  <w:pgMar w:top="1134" w:right="1134" w:bottom="1134" w:left="1134" w:header="709" w:footer="692" w:gutter="0"/>
                  <w:pgNumType w:start="0"/>
                  <w:cols w:space="708"/>
                  <w:docGrid w:linePitch="360"/>
                </w:sectPr>
              </w:pPr>
              <w:r>
                <w:t xml:space="preserve">  </w:t>
              </w:r>
            </w:p>
          </w:sdtContent>
        </w:sdt>
        <w:p w14:paraId="6F8B325D" w14:textId="5988D6E0" w:rsidR="00067DD9" w:rsidRPr="0063494B" w:rsidRDefault="00000000" w:rsidP="00633068">
          <w:pPr>
            <w:pStyle w:val="Title"/>
          </w:pPr>
          <w:sdt>
            <w:sdtPr>
              <w:alias w:val="Title"/>
              <w:tag w:val=""/>
              <w:id w:val="-1656833702"/>
              <w:placeholder>
                <w:docPart w:val="CD34D51FC7ED4B339ADA211D80BD0736"/>
              </w:placeholder>
              <w:dataBinding w:prefixMappings="xmlns:ns0='http://purl.org/dc/elements/1.1/' xmlns:ns1='http://schemas.openxmlformats.org/package/2006/metadata/core-properties' " w:xpath="/ns1:coreProperties[1]/ns0:title[1]" w:storeItemID="{6C3C8BC8-F283-45AE-878A-BAB7291924A1}"/>
              <w:text/>
            </w:sdtPr>
            <w:sdtContent>
              <w:r w:rsidR="003472A0">
                <w:t>Public Lighting Code Review: Final Decision</w:t>
              </w:r>
            </w:sdtContent>
          </w:sdt>
        </w:p>
        <w:p w14:paraId="4A181677" w14:textId="147C5D2F" w:rsidR="00067DD9" w:rsidRDefault="00067DD9" w:rsidP="00633068">
          <w:pPr>
            <w:pStyle w:val="Subtitle"/>
          </w:pPr>
        </w:p>
        <w:p w14:paraId="1922B6AA" w14:textId="16CEAF07" w:rsidR="00067DD9" w:rsidRDefault="00000000" w:rsidP="000A7FD9">
          <w:pPr>
            <w:pStyle w:val="Subtitle"/>
          </w:pPr>
          <w:sdt>
            <w:sdtPr>
              <w:id w:val="1251166870"/>
              <w:placeholder>
                <w:docPart w:val="7C97602F347B4A2EB1F0FF39FB266326"/>
              </w:placeholder>
              <w:date w:fullDate="2025-11-19T00:00:00Z">
                <w:dateFormat w:val="d MMMM yyyy"/>
                <w:lid w:val="en-US"/>
                <w:storeMappedDataAs w:val="dateTime"/>
                <w:calendar w:val="gregorian"/>
              </w:date>
            </w:sdtPr>
            <w:sdtContent>
              <w:r w:rsidR="00C06ECF">
                <w:rPr>
                  <w:lang w:val="en-US"/>
                </w:rPr>
                <w:t>19 November 2025</w:t>
              </w:r>
            </w:sdtContent>
          </w:sdt>
        </w:p>
        <w:p w14:paraId="63C64CA8" w14:textId="77777777" w:rsidR="00067DD9" w:rsidRDefault="00067DD9"/>
        <w:p w14:paraId="4977AC03" w14:textId="77777777" w:rsidR="00067DD9" w:rsidRDefault="00067DD9">
          <w:pPr>
            <w:spacing w:line="259" w:lineRule="auto"/>
          </w:pPr>
          <w:r>
            <w:br w:type="page"/>
          </w:r>
        </w:p>
      </w:sdtContent>
    </w:sdt>
    <w:p w14:paraId="0F0EC6E9" w14:textId="77777777" w:rsidR="00D04C6D" w:rsidRDefault="00D04C6D" w:rsidP="00D04C6D"/>
    <w:p w14:paraId="44F187A0" w14:textId="77777777" w:rsidR="00D04C6D" w:rsidRDefault="00D04C6D" w:rsidP="00D04C6D"/>
    <w:p w14:paraId="00ECDAB3" w14:textId="77777777" w:rsidR="00D04C6D" w:rsidRDefault="00D04C6D" w:rsidP="00D04C6D"/>
    <w:p w14:paraId="198EA2C7" w14:textId="77777777" w:rsidR="00D04C6D" w:rsidRDefault="00D04C6D" w:rsidP="00D04C6D"/>
    <w:p w14:paraId="1007640B" w14:textId="77777777" w:rsidR="00D04C6D" w:rsidRDefault="00D04C6D" w:rsidP="00D04C6D"/>
    <w:p w14:paraId="0695BE5F" w14:textId="77777777" w:rsidR="00D04C6D" w:rsidRDefault="00D04C6D" w:rsidP="00D04C6D">
      <w:pPr>
        <w:pStyle w:val="Heading2"/>
      </w:pPr>
      <w:bookmarkStart w:id="5" w:name="_Toc200537676"/>
      <w:bookmarkStart w:id="6" w:name="_Toc201585315"/>
      <w:bookmarkStart w:id="7" w:name="_Toc206766288"/>
      <w:bookmarkStart w:id="8" w:name="_Toc211584757"/>
      <w:bookmarkStart w:id="9" w:name="_Toc211601258"/>
      <w:bookmarkStart w:id="10" w:name="_Toc213317305"/>
      <w:bookmarkStart w:id="11" w:name="_Toc213317385"/>
      <w:bookmarkStart w:id="12" w:name="_Toc213414239"/>
      <w:bookmarkStart w:id="13" w:name="_Toc213416962"/>
      <w:r>
        <w:t>Acknowledgement</w:t>
      </w:r>
      <w:bookmarkEnd w:id="5"/>
      <w:bookmarkEnd w:id="6"/>
      <w:bookmarkEnd w:id="7"/>
      <w:bookmarkEnd w:id="8"/>
      <w:bookmarkEnd w:id="9"/>
      <w:bookmarkEnd w:id="10"/>
      <w:bookmarkEnd w:id="11"/>
      <w:bookmarkEnd w:id="12"/>
      <w:bookmarkEnd w:id="13"/>
    </w:p>
    <w:p w14:paraId="39B4FF77" w14:textId="77777777" w:rsidR="00D04C6D" w:rsidRDefault="00D04C6D" w:rsidP="00D04C6D">
      <w:r>
        <w:t>We acknowledge the Traditional Owners of the lands and waterways on which we work and live.</w:t>
      </w:r>
    </w:p>
    <w:p w14:paraId="6FB95C38" w14:textId="77777777" w:rsidR="00D04C6D" w:rsidRDefault="00D04C6D" w:rsidP="00D04C6D">
      <w:r>
        <w:t xml:space="preserve">We acknowledge all Aboriginal and Torres Strait Islander </w:t>
      </w:r>
      <w:proofErr w:type="gramStart"/>
      <w:r>
        <w:t>communities, and</w:t>
      </w:r>
      <w:proofErr w:type="gramEnd"/>
      <w:r>
        <w:t xml:space="preserve"> pay our respects to Elders past and present.</w:t>
      </w:r>
    </w:p>
    <w:p w14:paraId="3513CCBA" w14:textId="77777777" w:rsidR="00D04C6D" w:rsidRDefault="00D04C6D" w:rsidP="00D04C6D">
      <w:r>
        <w:t>As the First Peoples of this land, belonging to the world’s oldest living cultures, we recognise and value their knowledge, and ongoing role in shaping and enriching the story of Victoria.  </w:t>
      </w:r>
    </w:p>
    <w:p w14:paraId="53A1C320" w14:textId="77777777" w:rsidR="00F83935" w:rsidRDefault="00F83935" w:rsidP="000D4547">
      <w:pPr>
        <w:pStyle w:val="NoSpacing"/>
        <w:rPr>
          <w:b/>
        </w:rPr>
      </w:pPr>
    </w:p>
    <w:p w14:paraId="7FC78E5E" w14:textId="77777777" w:rsidR="00D04C6D" w:rsidRDefault="00D04C6D" w:rsidP="00F83935">
      <w:pPr>
        <w:spacing w:line="259" w:lineRule="auto"/>
        <w:rPr>
          <w:rStyle w:val="Strong"/>
        </w:rPr>
      </w:pPr>
    </w:p>
    <w:p w14:paraId="25ADB3FF" w14:textId="77777777" w:rsidR="00D04C6D" w:rsidRDefault="00D04C6D" w:rsidP="00F83935">
      <w:pPr>
        <w:spacing w:line="259" w:lineRule="auto"/>
        <w:rPr>
          <w:rStyle w:val="Strong"/>
        </w:rPr>
      </w:pPr>
    </w:p>
    <w:p w14:paraId="13DEFD41" w14:textId="77777777" w:rsidR="00D04C6D" w:rsidRDefault="00D04C6D" w:rsidP="00F83935">
      <w:pPr>
        <w:spacing w:line="259" w:lineRule="auto"/>
        <w:rPr>
          <w:rStyle w:val="Strong"/>
        </w:rPr>
      </w:pPr>
    </w:p>
    <w:p w14:paraId="6CA66241" w14:textId="77777777" w:rsidR="00D04C6D" w:rsidRDefault="00D04C6D" w:rsidP="00F83935">
      <w:pPr>
        <w:spacing w:line="259" w:lineRule="auto"/>
        <w:rPr>
          <w:rStyle w:val="Strong"/>
        </w:rPr>
      </w:pPr>
    </w:p>
    <w:p w14:paraId="461447EE" w14:textId="77777777" w:rsidR="00881E07" w:rsidRPr="00F83935" w:rsidRDefault="00881E07" w:rsidP="00F83935">
      <w:pPr>
        <w:spacing w:line="259" w:lineRule="auto"/>
        <w:rPr>
          <w:rStyle w:val="Strong"/>
          <w:b w:val="0"/>
          <w:bCs w:val="0"/>
        </w:rPr>
      </w:pPr>
      <w:r w:rsidRPr="00710792">
        <w:rPr>
          <w:rStyle w:val="Strong"/>
        </w:rPr>
        <w:t>An appropriate citation for this paper is:</w:t>
      </w:r>
      <w:bookmarkEnd w:id="3"/>
      <w:bookmarkEnd w:id="2"/>
      <w:bookmarkEnd w:id="1"/>
    </w:p>
    <w:p w14:paraId="13185A18" w14:textId="01B0E3FE" w:rsidR="00943BDE" w:rsidRDefault="00881E07" w:rsidP="00943BDE">
      <w:r>
        <w:t>Essential Services Commission</w:t>
      </w:r>
      <w:r w:rsidR="003904B9">
        <w:t xml:space="preserve"> </w:t>
      </w:r>
      <w:sdt>
        <w:sdtPr>
          <w:alias w:val="Year"/>
          <w:tag w:val="Year"/>
          <w:id w:val="-1184668763"/>
          <w:placeholder>
            <w:docPart w:val="F0144DCCD14F4430B410C534DEC49CFC"/>
          </w:placeholder>
          <w:dropDownList>
            <w:listItem w:value="Choose an item."/>
            <w:listItem w:displayText="2020" w:value="2020"/>
            <w:listItem w:displayText="2021" w:value="2021"/>
            <w:listItem w:displayText="2022" w:value="2022"/>
            <w:listItem w:displayText="2023" w:value="2023"/>
            <w:listItem w:displayText="2024" w:value="2024"/>
            <w:listItem w:displayText="2025" w:value="2025"/>
          </w:dropDownList>
        </w:sdtPr>
        <w:sdtContent>
          <w:r w:rsidR="00B3631F">
            <w:t>2025</w:t>
          </w:r>
        </w:sdtContent>
      </w:sdt>
      <w:r>
        <w:t xml:space="preserve">, </w:t>
      </w:r>
      <w:sdt>
        <w:sdtPr>
          <w:rPr>
            <w:i/>
            <w:iCs/>
          </w:rPr>
          <w:alias w:val="Title"/>
          <w:tag w:val=""/>
          <w:id w:val="1260560542"/>
          <w:placeholder>
            <w:docPart w:val="26784A1D736647D8B114B513D6A59510"/>
          </w:placeholder>
          <w:dataBinding w:prefixMappings="xmlns:ns0='http://purl.org/dc/elements/1.1/' xmlns:ns1='http://schemas.openxmlformats.org/package/2006/metadata/core-properties' " w:xpath="/ns1:coreProperties[1]/ns0:title[1]" w:storeItemID="{6C3C8BC8-F283-45AE-878A-BAB7291924A1}"/>
          <w:text/>
        </w:sdtPr>
        <w:sdtContent>
          <w:r w:rsidR="003472A0">
            <w:rPr>
              <w:i/>
              <w:iCs/>
            </w:rPr>
            <w:t>Public Lighting Code Review: Final Decision</w:t>
          </w:r>
        </w:sdtContent>
      </w:sdt>
      <w:r w:rsidR="00633068" w:rsidRPr="006C4177">
        <w:rPr>
          <w:i/>
          <w:iCs/>
        </w:rPr>
        <w:t xml:space="preserve">: </w:t>
      </w:r>
      <w:sdt>
        <w:sdtPr>
          <w:rPr>
            <w:i/>
            <w:iCs/>
          </w:rPr>
          <w:alias w:val="Subtitle"/>
          <w:tag w:val=""/>
          <w:id w:val="-295916621"/>
          <w:placeholder>
            <w:docPart w:val="C3B5F2BDCEE444C89923D06CD3C3F258"/>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E15C44" w:rsidRPr="00563AD8">
            <w:rPr>
              <w:highlight w:val="lightGray"/>
            </w:rPr>
            <w:t>[Subtitle]</w:t>
          </w:r>
        </w:sdtContent>
      </w:sdt>
      <w:r w:rsidR="00012434">
        <w:t>,</w:t>
      </w:r>
      <w:r w:rsidR="00633068">
        <w:t xml:space="preserve"> </w:t>
      </w:r>
      <w:sdt>
        <w:sdtPr>
          <w:alias w:val="Date"/>
          <w:tag w:val="Year"/>
          <w:id w:val="-733004738"/>
          <w:placeholder>
            <w:docPart w:val="1905839601E74549B0AF2D6CA72239F7"/>
          </w:placeholder>
          <w:date w:fullDate="2025-08-20T00:00:00Z">
            <w:dateFormat w:val="d MMMM "/>
            <w:lid w:val="en-US"/>
            <w:storeMappedDataAs w:val="dateTime"/>
            <w:calendar w:val="gregorian"/>
          </w:date>
        </w:sdtPr>
        <w:sdtContent>
          <w:r w:rsidR="008E1389" w:rsidRPr="00FC66CD">
            <w:rPr>
              <w:lang w:val="en-US"/>
            </w:rPr>
            <w:t xml:space="preserve">20 August </w:t>
          </w:r>
        </w:sdtContent>
      </w:sdt>
    </w:p>
    <w:p w14:paraId="2844FC06" w14:textId="77777777" w:rsidR="00710792" w:rsidRDefault="00710792" w:rsidP="00710792">
      <w:pPr>
        <w:rPr>
          <w:rStyle w:val="Strong"/>
        </w:rPr>
      </w:pPr>
      <w:bookmarkStart w:id="14" w:name="_Toc480988876"/>
      <w:bookmarkStart w:id="15" w:name="_Toc481138188"/>
      <w:bookmarkStart w:id="16" w:name="_Toc481138396"/>
    </w:p>
    <w:bookmarkEnd w:id="14"/>
    <w:bookmarkEnd w:id="15"/>
    <w:bookmarkEnd w:id="16"/>
    <w:p w14:paraId="79853995" w14:textId="1E88DB6E" w:rsidR="0050064B" w:rsidRDefault="00881E07" w:rsidP="00943BDE">
      <w:r>
        <w:t xml:space="preserve">© </w:t>
      </w:r>
      <w:r w:rsidR="00563AD8">
        <w:t>Essential Services Commission</w:t>
      </w:r>
      <w:r w:rsidR="00012434">
        <w:t>,</w:t>
      </w:r>
      <w:r w:rsidR="00563AD8">
        <w:t xml:space="preserve"> </w:t>
      </w:r>
      <w:sdt>
        <w:sdtPr>
          <w:alias w:val="Year"/>
          <w:tag w:val="Year"/>
          <w:id w:val="1606076632"/>
          <w:placeholder>
            <w:docPart w:val="AED240F9F4284DE780CFD1F88DF04FC6"/>
          </w:placeholder>
          <w:dropDownList>
            <w:listItem w:value="Choose an item."/>
            <w:listItem w:displayText="2020" w:value="2020"/>
            <w:listItem w:displayText="2021" w:value="2021"/>
            <w:listItem w:displayText="2022" w:value="2022"/>
            <w:listItem w:displayText="2023" w:value="2023"/>
            <w:listItem w:displayText="2024" w:value="2024"/>
            <w:listItem w:displayText="2025" w:value="2025"/>
          </w:dropDownList>
        </w:sdtPr>
        <w:sdtContent>
          <w:r w:rsidR="002F0B42">
            <w:t>2025</w:t>
          </w:r>
        </w:sdtContent>
      </w:sdt>
    </w:p>
    <w:p w14:paraId="06FF0D4E" w14:textId="77777777" w:rsidR="00881E07" w:rsidRDefault="0050064B" w:rsidP="00881E07">
      <w:r w:rsidRPr="00F70F20">
        <w:rPr>
          <w:noProof/>
          <w:lang w:eastAsia="en-AU"/>
        </w:rPr>
        <w:drawing>
          <wp:inline distT="0" distB="0" distL="0" distR="0" wp14:anchorId="238C5CA6" wp14:editId="5ACB09F8">
            <wp:extent cx="1198800" cy="421200"/>
            <wp:effectExtent l="0" t="0" r="1905" b="0"/>
            <wp:docPr id="4" name="Picture 4" descr="untitl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untitled">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8800" cy="421200"/>
                    </a:xfrm>
                    <a:prstGeom prst="rect">
                      <a:avLst/>
                    </a:prstGeom>
                    <a:noFill/>
                  </pic:spPr>
                </pic:pic>
              </a:graphicData>
            </a:graphic>
          </wp:inline>
        </w:drawing>
      </w:r>
      <w:r w:rsidR="00881E07">
        <w:t xml:space="preserve"> </w:t>
      </w:r>
    </w:p>
    <w:p w14:paraId="01AE2CB3" w14:textId="226D20DE" w:rsidR="00881E07" w:rsidRDefault="00881E07" w:rsidP="00881E07">
      <w:r>
        <w:t xml:space="preserve">This work, </w:t>
      </w:r>
      <w:sdt>
        <w:sdtPr>
          <w:alias w:val="Title"/>
          <w:tag w:val=""/>
          <w:id w:val="1731569904"/>
          <w:placeholder>
            <w:docPart w:val="487FBD851FCC403582D343AFA8BA353C"/>
          </w:placeholder>
          <w:dataBinding w:prefixMappings="xmlns:ns0='http://purl.org/dc/elements/1.1/' xmlns:ns1='http://schemas.openxmlformats.org/package/2006/metadata/core-properties' " w:xpath="/ns1:coreProperties[1]/ns0:title[1]" w:storeItemID="{6C3C8BC8-F283-45AE-878A-BAB7291924A1}"/>
          <w:text/>
        </w:sdtPr>
        <w:sdtContent>
          <w:r w:rsidR="003472A0">
            <w:t>Public Lighting Code Review: Final Decision</w:t>
          </w:r>
        </w:sdtContent>
      </w:sdt>
      <w:r>
        <w:t>, is licensed under a Creative Commons Attribution 4.0 licence [creativecommons.org/licen</w:t>
      </w:r>
      <w:r w:rsidR="00563AD8">
        <w:t>ses/by/4.0]. You are free to re-</w:t>
      </w:r>
      <w:r>
        <w:t>use the work under that licence, on the condition that you credit the Essential Services Commission as author, indicate if changes were made and comply with the other licence terms.</w:t>
      </w:r>
    </w:p>
    <w:p w14:paraId="11F58DD2" w14:textId="77777777" w:rsidR="00EA47A3" w:rsidRDefault="00881E07" w:rsidP="00881E07">
      <w:r>
        <w:t>The licence does not apply to any brand logo, images or photographs within the publication.</w:t>
      </w:r>
    </w:p>
    <w:p w14:paraId="144E6D03" w14:textId="77777777" w:rsidR="00717CCA" w:rsidRDefault="00717CCA" w:rsidP="00881E07"/>
    <w:p w14:paraId="1FB8CDA8" w14:textId="77777777" w:rsidR="00717CCA" w:rsidRDefault="00717CCA" w:rsidP="00881E07"/>
    <w:bookmarkEnd w:id="4" w:displacedByCustomXml="next"/>
    <w:sdt>
      <w:sdtPr>
        <w:id w:val="1641840776"/>
        <w:lock w:val="sdtContentLocked"/>
        <w:placeholder>
          <w:docPart w:val="263E7BA8FD8B4D3FB49F8A47DF3F1C90"/>
        </w:placeholder>
        <w:showingPlcHdr/>
        <w:text/>
      </w:sdtPr>
      <w:sdtContent>
        <w:p w14:paraId="0FB6570A" w14:textId="77777777" w:rsidR="004309BF" w:rsidRDefault="004309BF" w:rsidP="004309BF">
          <w:r>
            <w:t xml:space="preserve">  </w:t>
          </w:r>
        </w:p>
      </w:sdtContent>
    </w:sdt>
    <w:p w14:paraId="6135C62A" w14:textId="77777777" w:rsidR="008F7087" w:rsidRDefault="008F7087" w:rsidP="00710792">
      <w:pPr>
        <w:pStyle w:val="Heading1"/>
        <w:sectPr w:rsidR="008F7087" w:rsidSect="008F7087">
          <w:headerReference w:type="even" r:id="rId13"/>
          <w:headerReference w:type="default" r:id="rId14"/>
          <w:footerReference w:type="default" r:id="rId15"/>
          <w:headerReference w:type="first" r:id="rId16"/>
          <w:type w:val="continuous"/>
          <w:pgSz w:w="11906" w:h="16838" w:code="9"/>
          <w:pgMar w:top="1134" w:right="1134" w:bottom="1134" w:left="1134" w:header="709" w:footer="692" w:gutter="0"/>
          <w:pgNumType w:fmt="lowerRoman"/>
          <w:cols w:space="708"/>
          <w:docGrid w:linePitch="360"/>
        </w:sectPr>
      </w:pPr>
      <w:bookmarkStart w:id="17" w:name="_Toc481138189"/>
      <w:bookmarkStart w:id="18" w:name="_Toc481138397"/>
    </w:p>
    <w:bookmarkEnd w:id="17"/>
    <w:bookmarkEnd w:id="18"/>
    <w:p w14:paraId="092332AF" w14:textId="77777777" w:rsidR="0012640B" w:rsidRDefault="00D3670C" w:rsidP="008B3256">
      <w:pPr>
        <w:pStyle w:val="TOCHeading"/>
        <w:rPr>
          <w:noProof/>
        </w:rPr>
      </w:pPr>
      <w:r w:rsidRPr="00394187">
        <w:rPr>
          <w:rStyle w:val="Hyperlink"/>
          <w:color w:val="CE0058" w:themeColor="accent2"/>
          <w:u w:val="none"/>
        </w:rPr>
        <w:t>Contents</w:t>
      </w:r>
      <w:r w:rsidR="00782E55">
        <w:rPr>
          <w:b/>
          <w:color w:val="236192" w:themeColor="accent1"/>
        </w:rPr>
        <w:fldChar w:fldCharType="begin"/>
      </w:r>
      <w:r w:rsidR="00782E55">
        <w:rPr>
          <w:color w:val="236192" w:themeColor="accent1"/>
        </w:rPr>
        <w:instrText xml:space="preserve"> TOC \h \z \t "Heading 1,1,Heading 2,3,Heading 3,5,Heading 1 numbered,2,Heading 2 numbered,4,Heading 3 numbered,6" </w:instrText>
      </w:r>
      <w:r w:rsidR="00782E55">
        <w:rPr>
          <w:b/>
          <w:color w:val="236192" w:themeColor="accent1"/>
        </w:rPr>
        <w:fldChar w:fldCharType="separate"/>
      </w:r>
    </w:p>
    <w:p w14:paraId="350CE97C" w14:textId="29CFB7FB" w:rsidR="0012640B" w:rsidRDefault="0012640B">
      <w:pPr>
        <w:pStyle w:val="TOC1"/>
        <w:rPr>
          <w:rFonts w:eastAsiaTheme="minorEastAsia"/>
          <w:b w:val="0"/>
          <w:noProof/>
          <w:kern w:val="2"/>
          <w:sz w:val="24"/>
          <w:szCs w:val="24"/>
          <w:lang w:eastAsia="en-AU"/>
          <w14:ligatures w14:val="standardContextual"/>
        </w:rPr>
      </w:pPr>
      <w:hyperlink w:anchor="_Toc213416963" w:history="1">
        <w:r w:rsidRPr="00A22A8A">
          <w:rPr>
            <w:rStyle w:val="Hyperlink"/>
            <w:noProof/>
          </w:rPr>
          <w:t>Summary</w:t>
        </w:r>
        <w:r>
          <w:rPr>
            <w:noProof/>
            <w:webHidden/>
          </w:rPr>
          <w:tab/>
        </w:r>
        <w:r>
          <w:rPr>
            <w:noProof/>
            <w:webHidden/>
          </w:rPr>
          <w:fldChar w:fldCharType="begin"/>
        </w:r>
        <w:r>
          <w:rPr>
            <w:noProof/>
            <w:webHidden/>
          </w:rPr>
          <w:instrText xml:space="preserve"> PAGEREF _Toc213416963 \h </w:instrText>
        </w:r>
        <w:r>
          <w:rPr>
            <w:noProof/>
            <w:webHidden/>
          </w:rPr>
        </w:r>
        <w:r>
          <w:rPr>
            <w:noProof/>
            <w:webHidden/>
          </w:rPr>
          <w:fldChar w:fldCharType="separate"/>
        </w:r>
        <w:r w:rsidR="00D50E6B">
          <w:rPr>
            <w:noProof/>
            <w:webHidden/>
          </w:rPr>
          <w:t>iii</w:t>
        </w:r>
        <w:r>
          <w:rPr>
            <w:noProof/>
            <w:webHidden/>
          </w:rPr>
          <w:fldChar w:fldCharType="end"/>
        </w:r>
      </w:hyperlink>
    </w:p>
    <w:p w14:paraId="4B65FB9C" w14:textId="28D33282" w:rsidR="0012640B" w:rsidRDefault="0012640B">
      <w:pPr>
        <w:pStyle w:val="TOC5"/>
        <w:rPr>
          <w:rFonts w:eastAsiaTheme="minorEastAsia"/>
          <w:noProof/>
          <w:kern w:val="2"/>
          <w:sz w:val="24"/>
          <w:szCs w:val="24"/>
          <w:lang w:eastAsia="en-AU"/>
          <w14:ligatures w14:val="standardContextual"/>
        </w:rPr>
      </w:pPr>
      <w:hyperlink w:anchor="_Toc213416964" w:history="1">
        <w:r w:rsidRPr="00A22A8A">
          <w:rPr>
            <w:rStyle w:val="Hyperlink"/>
            <w:noProof/>
          </w:rPr>
          <w:t>Other instruments covering customer public lighting</w:t>
        </w:r>
        <w:r>
          <w:rPr>
            <w:noProof/>
            <w:webHidden/>
          </w:rPr>
          <w:tab/>
        </w:r>
        <w:r>
          <w:rPr>
            <w:noProof/>
            <w:webHidden/>
          </w:rPr>
          <w:fldChar w:fldCharType="begin"/>
        </w:r>
        <w:r>
          <w:rPr>
            <w:noProof/>
            <w:webHidden/>
          </w:rPr>
          <w:instrText xml:space="preserve"> PAGEREF _Toc213416964 \h </w:instrText>
        </w:r>
        <w:r>
          <w:rPr>
            <w:noProof/>
            <w:webHidden/>
          </w:rPr>
        </w:r>
        <w:r>
          <w:rPr>
            <w:noProof/>
            <w:webHidden/>
          </w:rPr>
          <w:fldChar w:fldCharType="separate"/>
        </w:r>
        <w:r w:rsidR="00D50E6B">
          <w:rPr>
            <w:noProof/>
            <w:webHidden/>
          </w:rPr>
          <w:t>iii</w:t>
        </w:r>
        <w:r>
          <w:rPr>
            <w:noProof/>
            <w:webHidden/>
          </w:rPr>
          <w:fldChar w:fldCharType="end"/>
        </w:r>
      </w:hyperlink>
    </w:p>
    <w:p w14:paraId="2272670A" w14:textId="097928BD" w:rsidR="0012640B" w:rsidRDefault="0012640B">
      <w:pPr>
        <w:pStyle w:val="TOC5"/>
        <w:rPr>
          <w:rFonts w:eastAsiaTheme="minorEastAsia"/>
          <w:noProof/>
          <w:kern w:val="2"/>
          <w:sz w:val="24"/>
          <w:szCs w:val="24"/>
          <w:lang w:eastAsia="en-AU"/>
          <w14:ligatures w14:val="standardContextual"/>
        </w:rPr>
      </w:pPr>
      <w:hyperlink w:anchor="_Toc213416965" w:history="1">
        <w:r w:rsidRPr="00A22A8A">
          <w:rPr>
            <w:rStyle w:val="Hyperlink"/>
            <w:noProof/>
          </w:rPr>
          <w:t>Public lighting review consultation feedback</w:t>
        </w:r>
        <w:r>
          <w:rPr>
            <w:noProof/>
            <w:webHidden/>
          </w:rPr>
          <w:tab/>
        </w:r>
        <w:r>
          <w:rPr>
            <w:noProof/>
            <w:webHidden/>
          </w:rPr>
          <w:fldChar w:fldCharType="begin"/>
        </w:r>
        <w:r>
          <w:rPr>
            <w:noProof/>
            <w:webHidden/>
          </w:rPr>
          <w:instrText xml:space="preserve"> PAGEREF _Toc213416965 \h </w:instrText>
        </w:r>
        <w:r>
          <w:rPr>
            <w:noProof/>
            <w:webHidden/>
          </w:rPr>
        </w:r>
        <w:r>
          <w:rPr>
            <w:noProof/>
            <w:webHidden/>
          </w:rPr>
          <w:fldChar w:fldCharType="separate"/>
        </w:r>
        <w:r w:rsidR="00D50E6B">
          <w:rPr>
            <w:noProof/>
            <w:webHidden/>
          </w:rPr>
          <w:t>iv</w:t>
        </w:r>
        <w:r>
          <w:rPr>
            <w:noProof/>
            <w:webHidden/>
          </w:rPr>
          <w:fldChar w:fldCharType="end"/>
        </w:r>
      </w:hyperlink>
    </w:p>
    <w:p w14:paraId="19E7BC88" w14:textId="4DA1E290" w:rsidR="0012640B" w:rsidRDefault="0012640B">
      <w:pPr>
        <w:pStyle w:val="TOC1"/>
        <w:rPr>
          <w:rFonts w:eastAsiaTheme="minorEastAsia"/>
          <w:b w:val="0"/>
          <w:noProof/>
          <w:kern w:val="2"/>
          <w:sz w:val="24"/>
          <w:szCs w:val="24"/>
          <w:lang w:eastAsia="en-AU"/>
          <w14:ligatures w14:val="standardContextual"/>
        </w:rPr>
      </w:pPr>
      <w:hyperlink w:anchor="_Toc213416966" w:history="1">
        <w:r w:rsidRPr="00A22A8A">
          <w:rPr>
            <w:rStyle w:val="Hyperlink"/>
            <w:noProof/>
          </w:rPr>
          <w:t>Introduction</w:t>
        </w:r>
        <w:r>
          <w:rPr>
            <w:noProof/>
            <w:webHidden/>
          </w:rPr>
          <w:tab/>
        </w:r>
        <w:r>
          <w:rPr>
            <w:noProof/>
            <w:webHidden/>
          </w:rPr>
          <w:fldChar w:fldCharType="begin"/>
        </w:r>
        <w:r>
          <w:rPr>
            <w:noProof/>
            <w:webHidden/>
          </w:rPr>
          <w:instrText xml:space="preserve"> PAGEREF _Toc213416966 \h </w:instrText>
        </w:r>
        <w:r>
          <w:rPr>
            <w:noProof/>
            <w:webHidden/>
          </w:rPr>
        </w:r>
        <w:r>
          <w:rPr>
            <w:noProof/>
            <w:webHidden/>
          </w:rPr>
          <w:fldChar w:fldCharType="separate"/>
        </w:r>
        <w:r w:rsidR="00D50E6B">
          <w:rPr>
            <w:noProof/>
            <w:webHidden/>
          </w:rPr>
          <w:t>5</w:t>
        </w:r>
        <w:r>
          <w:rPr>
            <w:noProof/>
            <w:webHidden/>
          </w:rPr>
          <w:fldChar w:fldCharType="end"/>
        </w:r>
      </w:hyperlink>
    </w:p>
    <w:p w14:paraId="6A387556" w14:textId="2A332274" w:rsidR="0012640B" w:rsidRDefault="0012640B">
      <w:pPr>
        <w:pStyle w:val="TOC3"/>
        <w:rPr>
          <w:rFonts w:eastAsiaTheme="minorEastAsia"/>
          <w:kern w:val="2"/>
          <w:sz w:val="24"/>
          <w:szCs w:val="24"/>
          <w:lang w:eastAsia="en-AU"/>
          <w14:ligatures w14:val="standardContextual"/>
        </w:rPr>
      </w:pPr>
      <w:hyperlink w:anchor="_Toc213416967" w:history="1">
        <w:r w:rsidRPr="00A22A8A">
          <w:rPr>
            <w:rStyle w:val="Hyperlink"/>
            <w:rFonts w:eastAsia="Tahoma" w:cs="Tahoma"/>
          </w:rPr>
          <w:t>Public lighting framework</w:t>
        </w:r>
        <w:r>
          <w:rPr>
            <w:webHidden/>
          </w:rPr>
          <w:tab/>
        </w:r>
        <w:r>
          <w:rPr>
            <w:webHidden/>
          </w:rPr>
          <w:fldChar w:fldCharType="begin"/>
        </w:r>
        <w:r>
          <w:rPr>
            <w:webHidden/>
          </w:rPr>
          <w:instrText xml:space="preserve"> PAGEREF _Toc213416967 \h </w:instrText>
        </w:r>
        <w:r>
          <w:rPr>
            <w:webHidden/>
          </w:rPr>
        </w:r>
        <w:r>
          <w:rPr>
            <w:webHidden/>
          </w:rPr>
          <w:fldChar w:fldCharType="separate"/>
        </w:r>
        <w:r w:rsidR="00D50E6B">
          <w:rPr>
            <w:webHidden/>
          </w:rPr>
          <w:t>5</w:t>
        </w:r>
        <w:r>
          <w:rPr>
            <w:webHidden/>
          </w:rPr>
          <w:fldChar w:fldCharType="end"/>
        </w:r>
      </w:hyperlink>
    </w:p>
    <w:p w14:paraId="12FA4C78" w14:textId="2D9DA47E" w:rsidR="0012640B" w:rsidRDefault="0012640B">
      <w:pPr>
        <w:pStyle w:val="TOC5"/>
        <w:rPr>
          <w:rFonts w:eastAsiaTheme="minorEastAsia"/>
          <w:noProof/>
          <w:kern w:val="2"/>
          <w:sz w:val="24"/>
          <w:szCs w:val="24"/>
          <w:lang w:eastAsia="en-AU"/>
          <w14:ligatures w14:val="standardContextual"/>
        </w:rPr>
      </w:pPr>
      <w:hyperlink w:anchor="_Toc213416968" w:history="1">
        <w:r w:rsidRPr="00A22A8A">
          <w:rPr>
            <w:rStyle w:val="Hyperlink"/>
            <w:noProof/>
            <w:lang w:val="en-US"/>
          </w:rPr>
          <w:t>Connection to the national regulations</w:t>
        </w:r>
        <w:r>
          <w:rPr>
            <w:noProof/>
            <w:webHidden/>
          </w:rPr>
          <w:tab/>
        </w:r>
        <w:r>
          <w:rPr>
            <w:noProof/>
            <w:webHidden/>
          </w:rPr>
          <w:fldChar w:fldCharType="begin"/>
        </w:r>
        <w:r>
          <w:rPr>
            <w:noProof/>
            <w:webHidden/>
          </w:rPr>
          <w:instrText xml:space="preserve"> PAGEREF _Toc213416968 \h </w:instrText>
        </w:r>
        <w:r>
          <w:rPr>
            <w:noProof/>
            <w:webHidden/>
          </w:rPr>
        </w:r>
        <w:r>
          <w:rPr>
            <w:noProof/>
            <w:webHidden/>
          </w:rPr>
          <w:fldChar w:fldCharType="separate"/>
        </w:r>
        <w:r w:rsidR="00D50E6B">
          <w:rPr>
            <w:noProof/>
            <w:webHidden/>
          </w:rPr>
          <w:t>5</w:t>
        </w:r>
        <w:r>
          <w:rPr>
            <w:noProof/>
            <w:webHidden/>
          </w:rPr>
          <w:fldChar w:fldCharType="end"/>
        </w:r>
      </w:hyperlink>
    </w:p>
    <w:p w14:paraId="27546479" w14:textId="389ABEFA" w:rsidR="0012640B" w:rsidRDefault="0012640B">
      <w:pPr>
        <w:pStyle w:val="TOC5"/>
        <w:rPr>
          <w:rFonts w:eastAsiaTheme="minorEastAsia"/>
          <w:noProof/>
          <w:kern w:val="2"/>
          <w:sz w:val="24"/>
          <w:szCs w:val="24"/>
          <w:lang w:eastAsia="en-AU"/>
          <w14:ligatures w14:val="standardContextual"/>
        </w:rPr>
      </w:pPr>
      <w:hyperlink w:anchor="_Toc213416969" w:history="1">
        <w:r w:rsidRPr="00A22A8A">
          <w:rPr>
            <w:rStyle w:val="Hyperlink"/>
            <w:noProof/>
            <w:lang w:val="en-US"/>
          </w:rPr>
          <w:t>Obligations under the Public Lighting Code</w:t>
        </w:r>
        <w:r>
          <w:rPr>
            <w:noProof/>
            <w:webHidden/>
          </w:rPr>
          <w:tab/>
        </w:r>
        <w:r>
          <w:rPr>
            <w:noProof/>
            <w:webHidden/>
          </w:rPr>
          <w:fldChar w:fldCharType="begin"/>
        </w:r>
        <w:r>
          <w:rPr>
            <w:noProof/>
            <w:webHidden/>
          </w:rPr>
          <w:instrText xml:space="preserve"> PAGEREF _Toc213416969 \h </w:instrText>
        </w:r>
        <w:r>
          <w:rPr>
            <w:noProof/>
            <w:webHidden/>
          </w:rPr>
        </w:r>
        <w:r>
          <w:rPr>
            <w:noProof/>
            <w:webHidden/>
          </w:rPr>
          <w:fldChar w:fldCharType="separate"/>
        </w:r>
        <w:r w:rsidR="00D50E6B">
          <w:rPr>
            <w:noProof/>
            <w:webHidden/>
          </w:rPr>
          <w:t>5</w:t>
        </w:r>
        <w:r>
          <w:rPr>
            <w:noProof/>
            <w:webHidden/>
          </w:rPr>
          <w:fldChar w:fldCharType="end"/>
        </w:r>
      </w:hyperlink>
    </w:p>
    <w:p w14:paraId="6B9F375E" w14:textId="6609C374" w:rsidR="0012640B" w:rsidRDefault="0012640B">
      <w:pPr>
        <w:pStyle w:val="TOC1"/>
        <w:rPr>
          <w:rFonts w:eastAsiaTheme="minorEastAsia"/>
          <w:b w:val="0"/>
          <w:noProof/>
          <w:kern w:val="2"/>
          <w:sz w:val="24"/>
          <w:szCs w:val="24"/>
          <w:lang w:eastAsia="en-AU"/>
          <w14:ligatures w14:val="standardContextual"/>
        </w:rPr>
      </w:pPr>
      <w:hyperlink w:anchor="_Toc213416970" w:history="1">
        <w:r w:rsidRPr="00A22A8A">
          <w:rPr>
            <w:rStyle w:val="Hyperlink"/>
            <w:noProof/>
          </w:rPr>
          <w:t>Revoking the Public Lighting Code</w:t>
        </w:r>
        <w:r>
          <w:rPr>
            <w:noProof/>
            <w:webHidden/>
          </w:rPr>
          <w:tab/>
        </w:r>
        <w:r>
          <w:rPr>
            <w:noProof/>
            <w:webHidden/>
          </w:rPr>
          <w:fldChar w:fldCharType="begin"/>
        </w:r>
        <w:r>
          <w:rPr>
            <w:noProof/>
            <w:webHidden/>
          </w:rPr>
          <w:instrText xml:space="preserve"> PAGEREF _Toc213416970 \h </w:instrText>
        </w:r>
        <w:r>
          <w:rPr>
            <w:noProof/>
            <w:webHidden/>
          </w:rPr>
        </w:r>
        <w:r>
          <w:rPr>
            <w:noProof/>
            <w:webHidden/>
          </w:rPr>
          <w:fldChar w:fldCharType="separate"/>
        </w:r>
        <w:r w:rsidR="00D50E6B">
          <w:rPr>
            <w:noProof/>
            <w:webHidden/>
          </w:rPr>
          <w:t>6</w:t>
        </w:r>
        <w:r>
          <w:rPr>
            <w:noProof/>
            <w:webHidden/>
          </w:rPr>
          <w:fldChar w:fldCharType="end"/>
        </w:r>
      </w:hyperlink>
    </w:p>
    <w:p w14:paraId="561C00F1" w14:textId="435A044B" w:rsidR="0012640B" w:rsidRDefault="0012640B">
      <w:pPr>
        <w:pStyle w:val="TOC3"/>
        <w:rPr>
          <w:rFonts w:eastAsiaTheme="minorEastAsia"/>
          <w:kern w:val="2"/>
          <w:sz w:val="24"/>
          <w:szCs w:val="24"/>
          <w:lang w:eastAsia="en-AU"/>
          <w14:ligatures w14:val="standardContextual"/>
        </w:rPr>
      </w:pPr>
      <w:hyperlink w:anchor="_Toc213416971" w:history="1">
        <w:r w:rsidRPr="00A22A8A">
          <w:rPr>
            <w:rStyle w:val="Hyperlink"/>
            <w:rFonts w:eastAsia="Tahoma" w:cs="Tahoma"/>
          </w:rPr>
          <w:t>Reducing regulatory overlap and duplication</w:t>
        </w:r>
        <w:r>
          <w:rPr>
            <w:webHidden/>
          </w:rPr>
          <w:tab/>
        </w:r>
        <w:r>
          <w:rPr>
            <w:webHidden/>
          </w:rPr>
          <w:fldChar w:fldCharType="begin"/>
        </w:r>
        <w:r>
          <w:rPr>
            <w:webHidden/>
          </w:rPr>
          <w:instrText xml:space="preserve"> PAGEREF _Toc213416971 \h </w:instrText>
        </w:r>
        <w:r>
          <w:rPr>
            <w:webHidden/>
          </w:rPr>
        </w:r>
        <w:r>
          <w:rPr>
            <w:webHidden/>
          </w:rPr>
          <w:fldChar w:fldCharType="separate"/>
        </w:r>
        <w:r w:rsidR="00D50E6B">
          <w:rPr>
            <w:webHidden/>
          </w:rPr>
          <w:t>6</w:t>
        </w:r>
        <w:r>
          <w:rPr>
            <w:webHidden/>
          </w:rPr>
          <w:fldChar w:fldCharType="end"/>
        </w:r>
      </w:hyperlink>
    </w:p>
    <w:p w14:paraId="0B5CF7B1" w14:textId="585482BE" w:rsidR="0012640B" w:rsidRDefault="0012640B">
      <w:pPr>
        <w:pStyle w:val="TOC5"/>
        <w:rPr>
          <w:rFonts w:eastAsiaTheme="minorEastAsia"/>
          <w:noProof/>
          <w:kern w:val="2"/>
          <w:sz w:val="24"/>
          <w:szCs w:val="24"/>
          <w:lang w:eastAsia="en-AU"/>
          <w14:ligatures w14:val="standardContextual"/>
        </w:rPr>
      </w:pPr>
      <w:hyperlink w:anchor="_Toc213416972" w:history="1">
        <w:r w:rsidRPr="00A22A8A">
          <w:rPr>
            <w:rStyle w:val="Hyperlink"/>
            <w:noProof/>
            <w:lang w:val="en-US"/>
          </w:rPr>
          <w:t>Stakeholder support to retain three obligations</w:t>
        </w:r>
        <w:r>
          <w:rPr>
            <w:noProof/>
            <w:webHidden/>
          </w:rPr>
          <w:tab/>
        </w:r>
        <w:r>
          <w:rPr>
            <w:noProof/>
            <w:webHidden/>
          </w:rPr>
          <w:fldChar w:fldCharType="begin"/>
        </w:r>
        <w:r>
          <w:rPr>
            <w:noProof/>
            <w:webHidden/>
          </w:rPr>
          <w:instrText xml:space="preserve"> PAGEREF _Toc213416972 \h </w:instrText>
        </w:r>
        <w:r>
          <w:rPr>
            <w:noProof/>
            <w:webHidden/>
          </w:rPr>
        </w:r>
        <w:r>
          <w:rPr>
            <w:noProof/>
            <w:webHidden/>
          </w:rPr>
          <w:fldChar w:fldCharType="separate"/>
        </w:r>
        <w:r w:rsidR="00D50E6B">
          <w:rPr>
            <w:noProof/>
            <w:webHidden/>
          </w:rPr>
          <w:t>7</w:t>
        </w:r>
        <w:r>
          <w:rPr>
            <w:noProof/>
            <w:webHidden/>
          </w:rPr>
          <w:fldChar w:fldCharType="end"/>
        </w:r>
      </w:hyperlink>
    </w:p>
    <w:p w14:paraId="0897087D" w14:textId="57EA495F" w:rsidR="0012640B" w:rsidRDefault="0012640B">
      <w:pPr>
        <w:pStyle w:val="TOC3"/>
        <w:rPr>
          <w:rFonts w:eastAsiaTheme="minorEastAsia"/>
          <w:kern w:val="2"/>
          <w:sz w:val="24"/>
          <w:szCs w:val="24"/>
          <w:lang w:eastAsia="en-AU"/>
          <w14:ligatures w14:val="standardContextual"/>
        </w:rPr>
      </w:pPr>
      <w:hyperlink w:anchor="_Toc213416973" w:history="1">
        <w:r w:rsidRPr="00A22A8A">
          <w:rPr>
            <w:rStyle w:val="Hyperlink"/>
            <w:rFonts w:eastAsia="Tahoma" w:cs="Tahoma"/>
          </w:rPr>
          <w:t>Standard and non-standard fitting obligations complement the national connections framework (National Electricity Rules chapter 5A)</w:t>
        </w:r>
        <w:r>
          <w:rPr>
            <w:webHidden/>
          </w:rPr>
          <w:tab/>
        </w:r>
        <w:r>
          <w:rPr>
            <w:webHidden/>
          </w:rPr>
          <w:fldChar w:fldCharType="begin"/>
        </w:r>
        <w:r>
          <w:rPr>
            <w:webHidden/>
          </w:rPr>
          <w:instrText xml:space="preserve"> PAGEREF _Toc213416973 \h </w:instrText>
        </w:r>
        <w:r>
          <w:rPr>
            <w:webHidden/>
          </w:rPr>
        </w:r>
        <w:r>
          <w:rPr>
            <w:webHidden/>
          </w:rPr>
          <w:fldChar w:fldCharType="separate"/>
        </w:r>
        <w:r w:rsidR="00D50E6B">
          <w:rPr>
            <w:webHidden/>
          </w:rPr>
          <w:t>7</w:t>
        </w:r>
        <w:r>
          <w:rPr>
            <w:webHidden/>
          </w:rPr>
          <w:fldChar w:fldCharType="end"/>
        </w:r>
      </w:hyperlink>
    </w:p>
    <w:p w14:paraId="252D45F4" w14:textId="6E21E7F8" w:rsidR="0012640B" w:rsidRDefault="0012640B">
      <w:pPr>
        <w:pStyle w:val="TOC5"/>
        <w:rPr>
          <w:rFonts w:eastAsiaTheme="minorEastAsia"/>
          <w:noProof/>
          <w:kern w:val="2"/>
          <w:sz w:val="24"/>
          <w:szCs w:val="24"/>
          <w:lang w:eastAsia="en-AU"/>
          <w14:ligatures w14:val="standardContextual"/>
        </w:rPr>
      </w:pPr>
      <w:hyperlink w:anchor="_Toc213416974" w:history="1">
        <w:r w:rsidRPr="00A22A8A">
          <w:rPr>
            <w:rStyle w:val="Hyperlink"/>
            <w:noProof/>
            <w:lang w:val="en-US"/>
          </w:rPr>
          <w:t>Standard and non-standard fittings</w:t>
        </w:r>
        <w:r>
          <w:rPr>
            <w:noProof/>
            <w:webHidden/>
          </w:rPr>
          <w:tab/>
        </w:r>
        <w:r>
          <w:rPr>
            <w:noProof/>
            <w:webHidden/>
          </w:rPr>
          <w:fldChar w:fldCharType="begin"/>
        </w:r>
        <w:r>
          <w:rPr>
            <w:noProof/>
            <w:webHidden/>
          </w:rPr>
          <w:instrText xml:space="preserve"> PAGEREF _Toc213416974 \h </w:instrText>
        </w:r>
        <w:r>
          <w:rPr>
            <w:noProof/>
            <w:webHidden/>
          </w:rPr>
        </w:r>
        <w:r>
          <w:rPr>
            <w:noProof/>
            <w:webHidden/>
          </w:rPr>
          <w:fldChar w:fldCharType="separate"/>
        </w:r>
        <w:r w:rsidR="00D50E6B">
          <w:rPr>
            <w:noProof/>
            <w:webHidden/>
          </w:rPr>
          <w:t>7</w:t>
        </w:r>
        <w:r>
          <w:rPr>
            <w:noProof/>
            <w:webHidden/>
          </w:rPr>
          <w:fldChar w:fldCharType="end"/>
        </w:r>
      </w:hyperlink>
    </w:p>
    <w:p w14:paraId="54E1715D" w14:textId="468BE3CE" w:rsidR="0012640B" w:rsidRDefault="0012640B">
      <w:pPr>
        <w:pStyle w:val="TOC3"/>
        <w:rPr>
          <w:rFonts w:eastAsiaTheme="minorEastAsia"/>
          <w:kern w:val="2"/>
          <w:sz w:val="24"/>
          <w:szCs w:val="24"/>
          <w:lang w:eastAsia="en-AU"/>
          <w14:ligatures w14:val="standardContextual"/>
        </w:rPr>
      </w:pPr>
      <w:hyperlink w:anchor="_Toc213416975" w:history="1">
        <w:r w:rsidRPr="00A22A8A">
          <w:rPr>
            <w:rStyle w:val="Hyperlink"/>
            <w:rFonts w:eastAsia="Tahoma" w:cs="Tahoma"/>
          </w:rPr>
          <w:t>Billing provision overlaps with the Electricity Industry Act</w:t>
        </w:r>
        <w:r>
          <w:rPr>
            <w:webHidden/>
          </w:rPr>
          <w:tab/>
        </w:r>
        <w:r>
          <w:rPr>
            <w:webHidden/>
          </w:rPr>
          <w:fldChar w:fldCharType="begin"/>
        </w:r>
        <w:r>
          <w:rPr>
            <w:webHidden/>
          </w:rPr>
          <w:instrText xml:space="preserve"> PAGEREF _Toc213416975 \h </w:instrText>
        </w:r>
        <w:r>
          <w:rPr>
            <w:webHidden/>
          </w:rPr>
        </w:r>
        <w:r>
          <w:rPr>
            <w:webHidden/>
          </w:rPr>
          <w:fldChar w:fldCharType="separate"/>
        </w:r>
        <w:r w:rsidR="00D50E6B">
          <w:rPr>
            <w:webHidden/>
          </w:rPr>
          <w:t>8</w:t>
        </w:r>
        <w:r>
          <w:rPr>
            <w:webHidden/>
          </w:rPr>
          <w:fldChar w:fldCharType="end"/>
        </w:r>
      </w:hyperlink>
    </w:p>
    <w:p w14:paraId="67C6E0D0" w14:textId="00BBDAE4" w:rsidR="0012640B" w:rsidRDefault="0012640B">
      <w:pPr>
        <w:pStyle w:val="TOC5"/>
        <w:rPr>
          <w:rFonts w:eastAsiaTheme="minorEastAsia"/>
          <w:noProof/>
          <w:kern w:val="2"/>
          <w:sz w:val="24"/>
          <w:szCs w:val="24"/>
          <w:lang w:eastAsia="en-AU"/>
          <w14:ligatures w14:val="standardContextual"/>
        </w:rPr>
      </w:pPr>
      <w:hyperlink w:anchor="_Toc213416976" w:history="1">
        <w:r w:rsidRPr="00A22A8A">
          <w:rPr>
            <w:rStyle w:val="Hyperlink"/>
            <w:noProof/>
            <w:lang w:val="en-US"/>
          </w:rPr>
          <w:t>Distributor billing</w:t>
        </w:r>
        <w:r>
          <w:rPr>
            <w:noProof/>
            <w:webHidden/>
          </w:rPr>
          <w:tab/>
        </w:r>
        <w:r>
          <w:rPr>
            <w:noProof/>
            <w:webHidden/>
          </w:rPr>
          <w:fldChar w:fldCharType="begin"/>
        </w:r>
        <w:r>
          <w:rPr>
            <w:noProof/>
            <w:webHidden/>
          </w:rPr>
          <w:instrText xml:space="preserve"> PAGEREF _Toc213416976 \h </w:instrText>
        </w:r>
        <w:r>
          <w:rPr>
            <w:noProof/>
            <w:webHidden/>
          </w:rPr>
        </w:r>
        <w:r>
          <w:rPr>
            <w:noProof/>
            <w:webHidden/>
          </w:rPr>
          <w:fldChar w:fldCharType="separate"/>
        </w:r>
        <w:r w:rsidR="00D50E6B">
          <w:rPr>
            <w:noProof/>
            <w:webHidden/>
          </w:rPr>
          <w:t>8</w:t>
        </w:r>
        <w:r>
          <w:rPr>
            <w:noProof/>
            <w:webHidden/>
          </w:rPr>
          <w:fldChar w:fldCharType="end"/>
        </w:r>
      </w:hyperlink>
    </w:p>
    <w:p w14:paraId="53AB7835" w14:textId="5A9D0555" w:rsidR="0012640B" w:rsidRDefault="0012640B">
      <w:pPr>
        <w:pStyle w:val="TOC3"/>
        <w:rPr>
          <w:rFonts w:eastAsiaTheme="minorEastAsia"/>
          <w:kern w:val="2"/>
          <w:sz w:val="24"/>
          <w:szCs w:val="24"/>
          <w:lang w:eastAsia="en-AU"/>
          <w14:ligatures w14:val="standardContextual"/>
        </w:rPr>
      </w:pPr>
      <w:hyperlink w:anchor="_Toc213416977" w:history="1">
        <w:r w:rsidRPr="00A22A8A">
          <w:rPr>
            <w:rStyle w:val="Hyperlink"/>
            <w:rFonts w:eastAsia="Tahoma" w:cs="Tahoma"/>
          </w:rPr>
          <w:t>Guaranteed service level payments</w:t>
        </w:r>
        <w:r>
          <w:rPr>
            <w:webHidden/>
          </w:rPr>
          <w:tab/>
        </w:r>
        <w:r>
          <w:rPr>
            <w:webHidden/>
          </w:rPr>
          <w:fldChar w:fldCharType="begin"/>
        </w:r>
        <w:r>
          <w:rPr>
            <w:webHidden/>
          </w:rPr>
          <w:instrText xml:space="preserve"> PAGEREF _Toc213416977 \h </w:instrText>
        </w:r>
        <w:r>
          <w:rPr>
            <w:webHidden/>
          </w:rPr>
        </w:r>
        <w:r>
          <w:rPr>
            <w:webHidden/>
          </w:rPr>
          <w:fldChar w:fldCharType="separate"/>
        </w:r>
        <w:r w:rsidR="00D50E6B">
          <w:rPr>
            <w:webHidden/>
          </w:rPr>
          <w:t>9</w:t>
        </w:r>
        <w:r>
          <w:rPr>
            <w:webHidden/>
          </w:rPr>
          <w:fldChar w:fldCharType="end"/>
        </w:r>
      </w:hyperlink>
    </w:p>
    <w:p w14:paraId="6D21B267" w14:textId="110FFD36" w:rsidR="0012640B" w:rsidRDefault="0012640B">
      <w:pPr>
        <w:pStyle w:val="TOC5"/>
        <w:rPr>
          <w:rFonts w:eastAsiaTheme="minorEastAsia"/>
          <w:noProof/>
          <w:kern w:val="2"/>
          <w:sz w:val="24"/>
          <w:szCs w:val="24"/>
          <w:lang w:eastAsia="en-AU"/>
          <w14:ligatures w14:val="standardContextual"/>
        </w:rPr>
      </w:pPr>
      <w:hyperlink w:anchor="_Toc213416981" w:history="1">
        <w:r w:rsidRPr="00A22A8A">
          <w:rPr>
            <w:rStyle w:val="Hyperlink"/>
            <w:noProof/>
            <w:lang w:val="en-US"/>
          </w:rPr>
          <w:t>Stakeholder feedback</w:t>
        </w:r>
        <w:r>
          <w:rPr>
            <w:noProof/>
            <w:webHidden/>
          </w:rPr>
          <w:tab/>
        </w:r>
        <w:r>
          <w:rPr>
            <w:noProof/>
            <w:webHidden/>
          </w:rPr>
          <w:fldChar w:fldCharType="begin"/>
        </w:r>
        <w:r>
          <w:rPr>
            <w:noProof/>
            <w:webHidden/>
          </w:rPr>
          <w:instrText xml:space="preserve"> PAGEREF _Toc213416981 \h </w:instrText>
        </w:r>
        <w:r>
          <w:rPr>
            <w:noProof/>
            <w:webHidden/>
          </w:rPr>
        </w:r>
        <w:r>
          <w:rPr>
            <w:noProof/>
            <w:webHidden/>
          </w:rPr>
          <w:fldChar w:fldCharType="separate"/>
        </w:r>
        <w:r w:rsidR="00D50E6B">
          <w:rPr>
            <w:noProof/>
            <w:webHidden/>
          </w:rPr>
          <w:t>9</w:t>
        </w:r>
        <w:r>
          <w:rPr>
            <w:noProof/>
            <w:webHidden/>
          </w:rPr>
          <w:fldChar w:fldCharType="end"/>
        </w:r>
      </w:hyperlink>
    </w:p>
    <w:p w14:paraId="40C612E1" w14:textId="7F3EE111" w:rsidR="0012640B" w:rsidRDefault="0012640B">
      <w:pPr>
        <w:pStyle w:val="TOC3"/>
        <w:rPr>
          <w:rFonts w:eastAsiaTheme="minorEastAsia"/>
          <w:kern w:val="2"/>
          <w:sz w:val="24"/>
          <w:szCs w:val="24"/>
          <w:lang w:eastAsia="en-AU"/>
          <w14:ligatures w14:val="standardContextual"/>
        </w:rPr>
      </w:pPr>
      <w:hyperlink w:anchor="_Toc213416982" w:history="1">
        <w:r w:rsidRPr="00A22A8A">
          <w:rPr>
            <w:rStyle w:val="Hyperlink"/>
            <w:rFonts w:eastAsia="Tahoma" w:cs="Tahoma"/>
          </w:rPr>
          <w:t>Other policy matters</w:t>
        </w:r>
        <w:r>
          <w:rPr>
            <w:webHidden/>
          </w:rPr>
          <w:tab/>
        </w:r>
        <w:r>
          <w:rPr>
            <w:webHidden/>
          </w:rPr>
          <w:fldChar w:fldCharType="begin"/>
        </w:r>
        <w:r>
          <w:rPr>
            <w:webHidden/>
          </w:rPr>
          <w:instrText xml:space="preserve"> PAGEREF _Toc213416982 \h </w:instrText>
        </w:r>
        <w:r>
          <w:rPr>
            <w:webHidden/>
          </w:rPr>
        </w:r>
        <w:r>
          <w:rPr>
            <w:webHidden/>
          </w:rPr>
          <w:fldChar w:fldCharType="separate"/>
        </w:r>
        <w:r w:rsidR="00D50E6B">
          <w:rPr>
            <w:webHidden/>
          </w:rPr>
          <w:t>10</w:t>
        </w:r>
        <w:r>
          <w:rPr>
            <w:webHidden/>
          </w:rPr>
          <w:fldChar w:fldCharType="end"/>
        </w:r>
      </w:hyperlink>
    </w:p>
    <w:p w14:paraId="2B51C2FF" w14:textId="7194C4F3" w:rsidR="0012640B" w:rsidRDefault="0012640B">
      <w:pPr>
        <w:pStyle w:val="TOC6"/>
        <w:rPr>
          <w:rFonts w:eastAsiaTheme="minorEastAsia"/>
          <w:noProof/>
          <w:kern w:val="2"/>
          <w:sz w:val="24"/>
          <w:szCs w:val="24"/>
          <w:lang w:eastAsia="en-AU"/>
          <w14:ligatures w14:val="standardContextual"/>
        </w:rPr>
      </w:pPr>
      <w:hyperlink w:anchor="_Toc213416987" w:history="1">
        <w:r w:rsidRPr="00A22A8A">
          <w:rPr>
            <w:rStyle w:val="Hyperlink"/>
            <w:noProof/>
            <w:lang w:val="en-US"/>
          </w:rPr>
          <w:t>Updating replacement cycles for public lighting</w:t>
        </w:r>
        <w:r>
          <w:rPr>
            <w:noProof/>
            <w:webHidden/>
          </w:rPr>
          <w:tab/>
        </w:r>
        <w:r>
          <w:rPr>
            <w:noProof/>
            <w:webHidden/>
          </w:rPr>
          <w:fldChar w:fldCharType="begin"/>
        </w:r>
        <w:r>
          <w:rPr>
            <w:noProof/>
            <w:webHidden/>
          </w:rPr>
          <w:instrText xml:space="preserve"> PAGEREF _Toc213416987 \h </w:instrText>
        </w:r>
        <w:r>
          <w:rPr>
            <w:noProof/>
            <w:webHidden/>
          </w:rPr>
        </w:r>
        <w:r>
          <w:rPr>
            <w:noProof/>
            <w:webHidden/>
          </w:rPr>
          <w:fldChar w:fldCharType="separate"/>
        </w:r>
        <w:r w:rsidR="00D50E6B">
          <w:rPr>
            <w:noProof/>
            <w:webHidden/>
          </w:rPr>
          <w:t>11</w:t>
        </w:r>
        <w:r>
          <w:rPr>
            <w:noProof/>
            <w:webHidden/>
          </w:rPr>
          <w:fldChar w:fldCharType="end"/>
        </w:r>
      </w:hyperlink>
    </w:p>
    <w:p w14:paraId="7AB26DC6" w14:textId="11563ABD" w:rsidR="0012640B" w:rsidRDefault="0012640B">
      <w:pPr>
        <w:pStyle w:val="TOC5"/>
        <w:rPr>
          <w:rFonts w:eastAsiaTheme="minorEastAsia"/>
          <w:noProof/>
          <w:kern w:val="2"/>
          <w:sz w:val="24"/>
          <w:szCs w:val="24"/>
          <w:lang w:eastAsia="en-AU"/>
          <w14:ligatures w14:val="standardContextual"/>
        </w:rPr>
      </w:pPr>
      <w:hyperlink w:anchor="_Toc213416988" w:history="1">
        <w:r w:rsidRPr="00A22A8A">
          <w:rPr>
            <w:rStyle w:val="Hyperlink"/>
            <w:noProof/>
            <w:lang w:val="en-US"/>
          </w:rPr>
          <w:t>Updating definitions and terms for relevance</w:t>
        </w:r>
        <w:r>
          <w:rPr>
            <w:noProof/>
            <w:webHidden/>
          </w:rPr>
          <w:tab/>
        </w:r>
        <w:r>
          <w:rPr>
            <w:noProof/>
            <w:webHidden/>
          </w:rPr>
          <w:fldChar w:fldCharType="begin"/>
        </w:r>
        <w:r>
          <w:rPr>
            <w:noProof/>
            <w:webHidden/>
          </w:rPr>
          <w:instrText xml:space="preserve"> PAGEREF _Toc213416988 \h </w:instrText>
        </w:r>
        <w:r>
          <w:rPr>
            <w:noProof/>
            <w:webHidden/>
          </w:rPr>
        </w:r>
        <w:r>
          <w:rPr>
            <w:noProof/>
            <w:webHidden/>
          </w:rPr>
          <w:fldChar w:fldCharType="separate"/>
        </w:r>
        <w:r w:rsidR="00D50E6B">
          <w:rPr>
            <w:noProof/>
            <w:webHidden/>
          </w:rPr>
          <w:t>12</w:t>
        </w:r>
        <w:r>
          <w:rPr>
            <w:noProof/>
            <w:webHidden/>
          </w:rPr>
          <w:fldChar w:fldCharType="end"/>
        </w:r>
      </w:hyperlink>
    </w:p>
    <w:p w14:paraId="2A2A4D87" w14:textId="1EB5A21C" w:rsidR="0012640B" w:rsidRDefault="0012640B">
      <w:pPr>
        <w:pStyle w:val="TOC3"/>
        <w:rPr>
          <w:rFonts w:eastAsiaTheme="minorEastAsia"/>
          <w:kern w:val="2"/>
          <w:sz w:val="24"/>
          <w:szCs w:val="24"/>
          <w:lang w:eastAsia="en-AU"/>
          <w14:ligatures w14:val="standardContextual"/>
        </w:rPr>
      </w:pPr>
      <w:hyperlink w:anchor="_Toc213416989" w:history="1">
        <w:r w:rsidRPr="00A22A8A">
          <w:rPr>
            <w:rStyle w:val="Hyperlink"/>
            <w:rFonts w:eastAsia="Tahoma" w:cs="Tahoma"/>
          </w:rPr>
          <w:t>Administrative updates</w:t>
        </w:r>
        <w:r>
          <w:rPr>
            <w:webHidden/>
          </w:rPr>
          <w:tab/>
        </w:r>
        <w:r>
          <w:rPr>
            <w:webHidden/>
          </w:rPr>
          <w:fldChar w:fldCharType="begin"/>
        </w:r>
        <w:r>
          <w:rPr>
            <w:webHidden/>
          </w:rPr>
          <w:instrText xml:space="preserve"> PAGEREF _Toc213416989 \h </w:instrText>
        </w:r>
        <w:r>
          <w:rPr>
            <w:webHidden/>
          </w:rPr>
        </w:r>
        <w:r>
          <w:rPr>
            <w:webHidden/>
          </w:rPr>
          <w:fldChar w:fldCharType="separate"/>
        </w:r>
        <w:r w:rsidR="00D50E6B">
          <w:rPr>
            <w:webHidden/>
          </w:rPr>
          <w:t>12</w:t>
        </w:r>
        <w:r>
          <w:rPr>
            <w:webHidden/>
          </w:rPr>
          <w:fldChar w:fldCharType="end"/>
        </w:r>
      </w:hyperlink>
    </w:p>
    <w:p w14:paraId="33ECEC9D" w14:textId="0696C84E" w:rsidR="0012640B" w:rsidRDefault="0012640B">
      <w:pPr>
        <w:pStyle w:val="TOC1"/>
        <w:rPr>
          <w:rFonts w:eastAsiaTheme="minorEastAsia"/>
          <w:b w:val="0"/>
          <w:noProof/>
          <w:kern w:val="2"/>
          <w:sz w:val="24"/>
          <w:szCs w:val="24"/>
          <w:lang w:eastAsia="en-AU"/>
          <w14:ligatures w14:val="standardContextual"/>
        </w:rPr>
      </w:pPr>
      <w:hyperlink w:anchor="_Toc213416990" w:history="1">
        <w:r w:rsidRPr="00A22A8A">
          <w:rPr>
            <w:rStyle w:val="Hyperlink"/>
            <w:noProof/>
          </w:rPr>
          <w:t>Timing and next steps</w:t>
        </w:r>
        <w:r>
          <w:rPr>
            <w:noProof/>
            <w:webHidden/>
          </w:rPr>
          <w:tab/>
        </w:r>
        <w:r>
          <w:rPr>
            <w:noProof/>
            <w:webHidden/>
          </w:rPr>
          <w:fldChar w:fldCharType="begin"/>
        </w:r>
        <w:r>
          <w:rPr>
            <w:noProof/>
            <w:webHidden/>
          </w:rPr>
          <w:instrText xml:space="preserve"> PAGEREF _Toc213416990 \h </w:instrText>
        </w:r>
        <w:r>
          <w:rPr>
            <w:noProof/>
            <w:webHidden/>
          </w:rPr>
        </w:r>
        <w:r>
          <w:rPr>
            <w:noProof/>
            <w:webHidden/>
          </w:rPr>
          <w:fldChar w:fldCharType="separate"/>
        </w:r>
        <w:r w:rsidR="00D50E6B">
          <w:rPr>
            <w:noProof/>
            <w:webHidden/>
          </w:rPr>
          <w:t>17</w:t>
        </w:r>
        <w:r>
          <w:rPr>
            <w:noProof/>
            <w:webHidden/>
          </w:rPr>
          <w:fldChar w:fldCharType="end"/>
        </w:r>
      </w:hyperlink>
    </w:p>
    <w:p w14:paraId="233E2232" w14:textId="4A6B5DB7" w:rsidR="0012640B" w:rsidRDefault="0012640B">
      <w:pPr>
        <w:pStyle w:val="TOC5"/>
        <w:rPr>
          <w:rFonts w:eastAsiaTheme="minorEastAsia"/>
          <w:noProof/>
          <w:kern w:val="2"/>
          <w:sz w:val="24"/>
          <w:szCs w:val="24"/>
          <w:lang w:eastAsia="en-AU"/>
          <w14:ligatures w14:val="standardContextual"/>
        </w:rPr>
      </w:pPr>
      <w:hyperlink w:anchor="_Toc213416991" w:history="1">
        <w:r w:rsidRPr="00A22A8A">
          <w:rPr>
            <w:rStyle w:val="Hyperlink"/>
            <w:noProof/>
            <w:lang w:val="en-US"/>
          </w:rPr>
          <w:t>Further information regarding this review</w:t>
        </w:r>
        <w:r>
          <w:rPr>
            <w:noProof/>
            <w:webHidden/>
          </w:rPr>
          <w:tab/>
        </w:r>
        <w:r>
          <w:rPr>
            <w:noProof/>
            <w:webHidden/>
          </w:rPr>
          <w:fldChar w:fldCharType="begin"/>
        </w:r>
        <w:r>
          <w:rPr>
            <w:noProof/>
            <w:webHidden/>
          </w:rPr>
          <w:instrText xml:space="preserve"> PAGEREF _Toc213416991 \h </w:instrText>
        </w:r>
        <w:r>
          <w:rPr>
            <w:noProof/>
            <w:webHidden/>
          </w:rPr>
        </w:r>
        <w:r>
          <w:rPr>
            <w:noProof/>
            <w:webHidden/>
          </w:rPr>
          <w:fldChar w:fldCharType="separate"/>
        </w:r>
        <w:r w:rsidR="00D50E6B">
          <w:rPr>
            <w:noProof/>
            <w:webHidden/>
          </w:rPr>
          <w:t>17</w:t>
        </w:r>
        <w:r>
          <w:rPr>
            <w:noProof/>
            <w:webHidden/>
          </w:rPr>
          <w:fldChar w:fldCharType="end"/>
        </w:r>
      </w:hyperlink>
    </w:p>
    <w:p w14:paraId="21B2A5DE" w14:textId="05FCE685" w:rsidR="0012640B" w:rsidRDefault="0012640B">
      <w:pPr>
        <w:pStyle w:val="TOC1"/>
        <w:rPr>
          <w:rFonts w:eastAsiaTheme="minorEastAsia"/>
          <w:b w:val="0"/>
          <w:noProof/>
          <w:kern w:val="2"/>
          <w:sz w:val="24"/>
          <w:szCs w:val="24"/>
          <w:lang w:eastAsia="en-AU"/>
          <w14:ligatures w14:val="standardContextual"/>
        </w:rPr>
      </w:pPr>
      <w:hyperlink w:anchor="_Toc213416992" w:history="1">
        <w:r w:rsidRPr="00A22A8A">
          <w:rPr>
            <w:rStyle w:val="Hyperlink"/>
            <w:noProof/>
          </w:rPr>
          <w:t>Glossary</w:t>
        </w:r>
        <w:r>
          <w:rPr>
            <w:noProof/>
            <w:webHidden/>
          </w:rPr>
          <w:tab/>
        </w:r>
        <w:r>
          <w:rPr>
            <w:noProof/>
            <w:webHidden/>
          </w:rPr>
          <w:fldChar w:fldCharType="begin"/>
        </w:r>
        <w:r>
          <w:rPr>
            <w:noProof/>
            <w:webHidden/>
          </w:rPr>
          <w:instrText xml:space="preserve"> PAGEREF _Toc213416992 \h </w:instrText>
        </w:r>
        <w:r>
          <w:rPr>
            <w:noProof/>
            <w:webHidden/>
          </w:rPr>
        </w:r>
        <w:r>
          <w:rPr>
            <w:noProof/>
            <w:webHidden/>
          </w:rPr>
          <w:fldChar w:fldCharType="separate"/>
        </w:r>
        <w:r w:rsidR="00D50E6B">
          <w:rPr>
            <w:noProof/>
            <w:webHidden/>
          </w:rPr>
          <w:t>18</w:t>
        </w:r>
        <w:r>
          <w:rPr>
            <w:noProof/>
            <w:webHidden/>
          </w:rPr>
          <w:fldChar w:fldCharType="end"/>
        </w:r>
      </w:hyperlink>
    </w:p>
    <w:p w14:paraId="5D91F6FC" w14:textId="511C527D" w:rsidR="0012640B" w:rsidRDefault="0012640B">
      <w:pPr>
        <w:pStyle w:val="TOC1"/>
        <w:rPr>
          <w:rFonts w:eastAsiaTheme="minorEastAsia"/>
          <w:b w:val="0"/>
          <w:noProof/>
          <w:kern w:val="2"/>
          <w:sz w:val="24"/>
          <w:szCs w:val="24"/>
          <w:lang w:eastAsia="en-AU"/>
          <w14:ligatures w14:val="standardContextual"/>
        </w:rPr>
      </w:pPr>
      <w:hyperlink w:anchor="_Toc213416993" w:history="1">
        <w:r w:rsidRPr="00A22A8A">
          <w:rPr>
            <w:rStyle w:val="Hyperlink"/>
            <w:noProof/>
          </w:rPr>
          <w:t>Appendix A</w:t>
        </w:r>
        <w:r>
          <w:rPr>
            <w:noProof/>
            <w:webHidden/>
          </w:rPr>
          <w:tab/>
        </w:r>
        <w:r>
          <w:rPr>
            <w:noProof/>
            <w:webHidden/>
          </w:rPr>
          <w:fldChar w:fldCharType="begin"/>
        </w:r>
        <w:r>
          <w:rPr>
            <w:noProof/>
            <w:webHidden/>
          </w:rPr>
          <w:instrText xml:space="preserve"> PAGEREF _Toc213416993 \h </w:instrText>
        </w:r>
        <w:r>
          <w:rPr>
            <w:noProof/>
            <w:webHidden/>
          </w:rPr>
        </w:r>
        <w:r>
          <w:rPr>
            <w:noProof/>
            <w:webHidden/>
          </w:rPr>
          <w:fldChar w:fldCharType="separate"/>
        </w:r>
        <w:r w:rsidR="00D50E6B">
          <w:rPr>
            <w:noProof/>
            <w:webHidden/>
          </w:rPr>
          <w:t>19</w:t>
        </w:r>
        <w:r>
          <w:rPr>
            <w:noProof/>
            <w:webHidden/>
          </w:rPr>
          <w:fldChar w:fldCharType="end"/>
        </w:r>
      </w:hyperlink>
    </w:p>
    <w:p w14:paraId="02DB3EA9" w14:textId="60881718" w:rsidR="00D3670C" w:rsidRDefault="00782E55" w:rsidP="00D3670C">
      <w:r>
        <w:rPr>
          <w:color w:val="236192" w:themeColor="accent1"/>
        </w:rPr>
        <w:fldChar w:fldCharType="end"/>
      </w:r>
    </w:p>
    <w:p w14:paraId="524B30A9" w14:textId="77777777" w:rsidR="0076314D" w:rsidRDefault="0076314D" w:rsidP="0076314D"/>
    <w:p w14:paraId="1272355E" w14:textId="562CC39F" w:rsidR="0076314D" w:rsidRDefault="0076314D" w:rsidP="0012640B">
      <w:pPr>
        <w:tabs>
          <w:tab w:val="left" w:pos="2091"/>
          <w:tab w:val="left" w:pos="2696"/>
        </w:tabs>
      </w:pPr>
      <w:r>
        <w:tab/>
      </w:r>
      <w:r w:rsidR="0012640B">
        <w:tab/>
      </w:r>
    </w:p>
    <w:p w14:paraId="7BBD624F" w14:textId="2497D923" w:rsidR="0076314D" w:rsidRPr="0076314D" w:rsidRDefault="0076314D" w:rsidP="0076314D">
      <w:pPr>
        <w:tabs>
          <w:tab w:val="left" w:pos="2091"/>
        </w:tabs>
        <w:sectPr w:rsidR="0076314D" w:rsidRPr="0076314D" w:rsidSect="00A236AB">
          <w:headerReference w:type="even" r:id="rId17"/>
          <w:headerReference w:type="default" r:id="rId18"/>
          <w:footerReference w:type="default" r:id="rId19"/>
          <w:headerReference w:type="first" r:id="rId20"/>
          <w:type w:val="continuous"/>
          <w:pgSz w:w="11906" w:h="16838" w:code="9"/>
          <w:pgMar w:top="1134" w:right="1558" w:bottom="1134" w:left="1134" w:header="709" w:footer="692" w:gutter="0"/>
          <w:pgNumType w:fmt="lowerRoman"/>
          <w:cols w:space="708"/>
          <w:docGrid w:linePitch="360"/>
        </w:sectPr>
      </w:pPr>
      <w:r>
        <w:tab/>
      </w:r>
    </w:p>
    <w:p w14:paraId="2B71710E" w14:textId="77777777" w:rsidR="00710792" w:rsidRDefault="00710792" w:rsidP="00710792">
      <w:pPr>
        <w:pStyle w:val="Heading1"/>
      </w:pPr>
      <w:bookmarkStart w:id="19" w:name="_Toc213416963"/>
      <w:r>
        <w:lastRenderedPageBreak/>
        <w:t>Summary</w:t>
      </w:r>
      <w:bookmarkEnd w:id="19"/>
    </w:p>
    <w:p w14:paraId="69DB56EB" w14:textId="55D4B442" w:rsidR="004C13D5" w:rsidRDefault="004C13D5" w:rsidP="001632B2">
      <w:pPr>
        <w:pStyle w:val="Pull-outBullet1"/>
        <w:pBdr>
          <w:bottom w:val="single" w:sz="48" w:space="0" w:color="B2CFDC" w:themeColor="text2" w:themeTint="66"/>
        </w:pBdr>
        <w:ind w:left="482"/>
        <w:rPr>
          <w:lang w:val="en-US"/>
        </w:rPr>
      </w:pPr>
      <w:r w:rsidRPr="00A52615">
        <w:rPr>
          <w:lang w:val="en-US"/>
        </w:rPr>
        <w:t xml:space="preserve">The </w:t>
      </w:r>
      <w:r w:rsidRPr="00516E40">
        <w:rPr>
          <w:lang w:val="en-US"/>
        </w:rPr>
        <w:t>Essential Services Commission has decided to revoke the Public Lighting Code</w:t>
      </w:r>
      <w:r>
        <w:rPr>
          <w:lang w:val="en-US"/>
        </w:rPr>
        <w:t>. Some</w:t>
      </w:r>
      <w:r w:rsidRPr="00516E40">
        <w:rPr>
          <w:lang w:val="en-US"/>
        </w:rPr>
        <w:t xml:space="preserve"> obligations </w:t>
      </w:r>
      <w:r>
        <w:rPr>
          <w:lang w:val="en-US"/>
        </w:rPr>
        <w:t>will be transferred in</w:t>
      </w:r>
      <w:r w:rsidRPr="00516E40">
        <w:rPr>
          <w:lang w:val="en-US"/>
        </w:rPr>
        <w:t xml:space="preserve">to the Electricity Distribution Code of Practice. </w:t>
      </w:r>
    </w:p>
    <w:p w14:paraId="1EA275F3" w14:textId="1F6CA395" w:rsidR="004C13D5" w:rsidRDefault="004C13D5" w:rsidP="001632B2">
      <w:pPr>
        <w:pStyle w:val="Pull-outBullet1"/>
        <w:pBdr>
          <w:bottom w:val="single" w:sz="48" w:space="0" w:color="B2CFDC" w:themeColor="text2" w:themeTint="66"/>
        </w:pBdr>
        <w:ind w:left="482"/>
        <w:rPr>
          <w:lang w:val="en-US"/>
        </w:rPr>
      </w:pPr>
      <w:r w:rsidRPr="00A52615">
        <w:rPr>
          <w:lang w:val="en-US"/>
        </w:rPr>
        <w:t xml:space="preserve">Many stakeholders </w:t>
      </w:r>
      <w:r>
        <w:rPr>
          <w:lang w:val="en-US"/>
        </w:rPr>
        <w:t xml:space="preserve">(such as </w:t>
      </w:r>
      <w:r w:rsidRPr="00A52615">
        <w:rPr>
          <w:lang w:val="en-US"/>
        </w:rPr>
        <w:t xml:space="preserve">electricity distribution businesses and the </w:t>
      </w:r>
      <w:r w:rsidR="000F524F">
        <w:rPr>
          <w:lang w:val="en-US"/>
        </w:rPr>
        <w:t xml:space="preserve">Victorian Greenhouse Alliance </w:t>
      </w:r>
      <w:r w:rsidR="009A65D9">
        <w:rPr>
          <w:lang w:val="en-US"/>
        </w:rPr>
        <w:t>– an alliance of</w:t>
      </w:r>
      <w:r w:rsidRPr="00A52615">
        <w:rPr>
          <w:lang w:val="en-US"/>
        </w:rPr>
        <w:t xml:space="preserve"> 7</w:t>
      </w:r>
      <w:r>
        <w:rPr>
          <w:lang w:val="en-US"/>
        </w:rPr>
        <w:t>0</w:t>
      </w:r>
      <w:r w:rsidRPr="00A52615">
        <w:rPr>
          <w:lang w:val="en-US"/>
        </w:rPr>
        <w:t xml:space="preserve"> local </w:t>
      </w:r>
      <w:r>
        <w:rPr>
          <w:lang w:val="en-US"/>
        </w:rPr>
        <w:t>c</w:t>
      </w:r>
      <w:r w:rsidRPr="00A52615">
        <w:rPr>
          <w:lang w:val="en-US"/>
        </w:rPr>
        <w:t>ouncils)</w:t>
      </w:r>
      <w:r>
        <w:rPr>
          <w:lang w:val="en-US"/>
        </w:rPr>
        <w:t xml:space="preserve"> </w:t>
      </w:r>
      <w:r w:rsidRPr="00A52615">
        <w:rPr>
          <w:lang w:val="en-US"/>
        </w:rPr>
        <w:t>support</w:t>
      </w:r>
      <w:r w:rsidR="00E41A84">
        <w:rPr>
          <w:lang w:val="en-US"/>
        </w:rPr>
        <w:t>ed</w:t>
      </w:r>
      <w:r w:rsidRPr="00A52615">
        <w:rPr>
          <w:lang w:val="en-US"/>
        </w:rPr>
        <w:t xml:space="preserve"> revo</w:t>
      </w:r>
      <w:r w:rsidR="00E41A84">
        <w:rPr>
          <w:lang w:val="en-US"/>
        </w:rPr>
        <w:t>cation,</w:t>
      </w:r>
      <w:r w:rsidRPr="00A52615">
        <w:rPr>
          <w:lang w:val="en-US"/>
        </w:rPr>
        <w:t xml:space="preserve"> </w:t>
      </w:r>
      <w:r>
        <w:rPr>
          <w:lang w:val="en-US"/>
        </w:rPr>
        <w:t>while</w:t>
      </w:r>
      <w:r w:rsidRPr="00A52615">
        <w:rPr>
          <w:lang w:val="en-US"/>
        </w:rPr>
        <w:t xml:space="preserve"> retain</w:t>
      </w:r>
      <w:r>
        <w:rPr>
          <w:lang w:val="en-US"/>
        </w:rPr>
        <w:t>ing</w:t>
      </w:r>
      <w:r w:rsidRPr="00A52615">
        <w:rPr>
          <w:lang w:val="en-US"/>
        </w:rPr>
        <w:t xml:space="preserve"> some obligations. </w:t>
      </w:r>
    </w:p>
    <w:p w14:paraId="5993B96D" w14:textId="0E19C14E" w:rsidR="004C13D5" w:rsidRPr="00516E40" w:rsidRDefault="004C13D5" w:rsidP="001632B2">
      <w:pPr>
        <w:pStyle w:val="Pull-outBullet1"/>
        <w:pBdr>
          <w:bottom w:val="single" w:sz="48" w:space="0" w:color="B2CFDC" w:themeColor="text2" w:themeTint="66"/>
        </w:pBdr>
        <w:ind w:left="482"/>
        <w:rPr>
          <w:lang w:val="en-US"/>
        </w:rPr>
      </w:pPr>
      <w:r w:rsidRPr="00516E40">
        <w:rPr>
          <w:lang w:val="en-US"/>
        </w:rPr>
        <w:t xml:space="preserve">The Public Lighting Code will </w:t>
      </w:r>
      <w:r>
        <w:rPr>
          <w:lang w:val="en-US"/>
        </w:rPr>
        <w:t xml:space="preserve">be revoked </w:t>
      </w:r>
      <w:r w:rsidRPr="00516E40">
        <w:rPr>
          <w:lang w:val="en-US"/>
        </w:rPr>
        <w:t xml:space="preserve">on 31 December 2025. </w:t>
      </w:r>
    </w:p>
    <w:p w14:paraId="133D75C0" w14:textId="77777777" w:rsidR="004C13D5" w:rsidRPr="00516E40" w:rsidRDefault="004C13D5" w:rsidP="001632B2">
      <w:pPr>
        <w:pStyle w:val="Pull-outBullet1"/>
        <w:pBdr>
          <w:bottom w:val="single" w:sz="48" w:space="0" w:color="B2CFDC" w:themeColor="text2" w:themeTint="66"/>
        </w:pBdr>
        <w:ind w:left="482"/>
        <w:rPr>
          <w:lang w:val="en-US"/>
        </w:rPr>
      </w:pPr>
      <w:r w:rsidRPr="00516E40">
        <w:rPr>
          <w:lang w:val="en-US"/>
        </w:rPr>
        <w:t xml:space="preserve">The </w:t>
      </w:r>
      <w:r>
        <w:rPr>
          <w:lang w:val="en-US"/>
        </w:rPr>
        <w:t>retained</w:t>
      </w:r>
      <w:r w:rsidRPr="00516E40">
        <w:rPr>
          <w:lang w:val="en-US"/>
        </w:rPr>
        <w:t xml:space="preserve"> obligations </w:t>
      </w:r>
      <w:r>
        <w:rPr>
          <w:lang w:val="en-US"/>
        </w:rPr>
        <w:t xml:space="preserve">transferred </w:t>
      </w:r>
      <w:r w:rsidRPr="00516E40">
        <w:rPr>
          <w:lang w:val="en-US"/>
        </w:rPr>
        <w:t>to the Electricity Distribution Code of Practice will take effect from 1 January 2026.</w:t>
      </w:r>
    </w:p>
    <w:p w14:paraId="37DAF07C" w14:textId="1095A24E" w:rsidR="004C13D5" w:rsidRPr="004E6E0A" w:rsidRDefault="004C13D5" w:rsidP="004C13D5">
      <w:pPr>
        <w:rPr>
          <w:lang w:val="en-US"/>
        </w:rPr>
      </w:pPr>
      <w:r w:rsidRPr="004E6E0A">
        <w:rPr>
          <w:lang w:val="en-US"/>
        </w:rPr>
        <w:t xml:space="preserve">This paper details our </w:t>
      </w:r>
      <w:r>
        <w:rPr>
          <w:lang w:val="en-US"/>
        </w:rPr>
        <w:t xml:space="preserve">final </w:t>
      </w:r>
      <w:r w:rsidRPr="004E6E0A">
        <w:rPr>
          <w:lang w:val="en-US"/>
        </w:rPr>
        <w:t xml:space="preserve">decision to revoke the </w:t>
      </w:r>
      <w:r>
        <w:rPr>
          <w:lang w:val="en-US"/>
        </w:rPr>
        <w:t xml:space="preserve">Public Lighting </w:t>
      </w:r>
      <w:proofErr w:type="gramStart"/>
      <w:r>
        <w:rPr>
          <w:lang w:val="en-US"/>
        </w:rPr>
        <w:t>Code (‘</w:t>
      </w:r>
      <w:proofErr w:type="gramEnd"/>
      <w:r>
        <w:rPr>
          <w:lang w:val="en-US"/>
        </w:rPr>
        <w:t xml:space="preserve">code’ or ‘the code’) </w:t>
      </w:r>
      <w:r w:rsidRPr="004E6E0A">
        <w:rPr>
          <w:lang w:val="en-US"/>
        </w:rPr>
        <w:t xml:space="preserve">and </w:t>
      </w:r>
      <w:r>
        <w:rPr>
          <w:lang w:val="en-US"/>
        </w:rPr>
        <w:t xml:space="preserve">to transfer some relevant obligations to </w:t>
      </w:r>
      <w:r w:rsidRPr="004E6E0A">
        <w:rPr>
          <w:lang w:val="en-US"/>
        </w:rPr>
        <w:t xml:space="preserve">the Electricity </w:t>
      </w:r>
      <w:r>
        <w:rPr>
          <w:lang w:val="en-US"/>
        </w:rPr>
        <w:t>Distribution Code of Practice</w:t>
      </w:r>
      <w:r w:rsidRPr="004E6E0A">
        <w:rPr>
          <w:lang w:val="en-US"/>
        </w:rPr>
        <w:t xml:space="preserve">. </w:t>
      </w:r>
    </w:p>
    <w:p w14:paraId="6548A58D" w14:textId="1A068710" w:rsidR="004C13D5" w:rsidRDefault="004C13D5" w:rsidP="004C13D5">
      <w:pPr>
        <w:rPr>
          <w:lang w:val="en-US"/>
        </w:rPr>
      </w:pPr>
      <w:r>
        <w:rPr>
          <w:lang w:val="en-US"/>
        </w:rPr>
        <w:t xml:space="preserve">This is in line with </w:t>
      </w:r>
      <w:r w:rsidRPr="004E6E0A">
        <w:rPr>
          <w:lang w:val="en-US"/>
        </w:rPr>
        <w:t xml:space="preserve">section 76(3) of the Essential Services Commission Act 2001, </w:t>
      </w:r>
      <w:r>
        <w:rPr>
          <w:lang w:val="en-US"/>
        </w:rPr>
        <w:t xml:space="preserve">which requires </w:t>
      </w:r>
      <w:r w:rsidRPr="004E6E0A">
        <w:rPr>
          <w:lang w:val="en-US"/>
        </w:rPr>
        <w:t>the</w:t>
      </w:r>
      <w:r>
        <w:rPr>
          <w:lang w:val="en-US"/>
        </w:rPr>
        <w:t xml:space="preserve"> Public Lighting Code to be remade</w:t>
      </w:r>
      <w:r w:rsidRPr="004E6E0A" w:rsidDel="00E1395C">
        <w:rPr>
          <w:lang w:val="en-US"/>
        </w:rPr>
        <w:t xml:space="preserve"> </w:t>
      </w:r>
      <w:r>
        <w:rPr>
          <w:lang w:val="en-US"/>
        </w:rPr>
        <w:t xml:space="preserve">by </w:t>
      </w:r>
      <w:r w:rsidRPr="004E6E0A">
        <w:rPr>
          <w:lang w:val="en-US"/>
        </w:rPr>
        <w:t xml:space="preserve">31 December </w:t>
      </w:r>
      <w:proofErr w:type="gramStart"/>
      <w:r w:rsidRPr="004E6E0A">
        <w:rPr>
          <w:lang w:val="en-US"/>
        </w:rPr>
        <w:t>2025</w:t>
      </w:r>
      <w:proofErr w:type="gramEnd"/>
      <w:r w:rsidR="00E1395C">
        <w:rPr>
          <w:lang w:val="en-US"/>
        </w:rPr>
        <w:t xml:space="preserve"> or it will be automatically revoked</w:t>
      </w:r>
      <w:r w:rsidRPr="004E6E0A">
        <w:rPr>
          <w:lang w:val="en-US"/>
        </w:rPr>
        <w:t xml:space="preserve">. </w:t>
      </w:r>
      <w:r>
        <w:rPr>
          <w:lang w:val="en-US"/>
        </w:rPr>
        <w:t xml:space="preserve">Our final decision </w:t>
      </w:r>
      <w:r w:rsidRPr="004E6E0A">
        <w:rPr>
          <w:lang w:val="en-US"/>
        </w:rPr>
        <w:t xml:space="preserve">follows a review of the </w:t>
      </w:r>
      <w:r>
        <w:rPr>
          <w:lang w:val="en-US"/>
        </w:rPr>
        <w:t>Public Lighting Code.</w:t>
      </w:r>
      <w:r w:rsidRPr="004E6E0A">
        <w:rPr>
          <w:lang w:val="en-US"/>
        </w:rPr>
        <w:t xml:space="preserve"> </w:t>
      </w:r>
      <w:r w:rsidR="004C2022">
        <w:rPr>
          <w:lang w:val="en-US"/>
        </w:rPr>
        <w:t xml:space="preserve">The </w:t>
      </w:r>
      <w:r>
        <w:rPr>
          <w:lang w:val="en-US"/>
        </w:rPr>
        <w:t xml:space="preserve">review considered if the code is fit for purpose and </w:t>
      </w:r>
      <w:r w:rsidR="00EE09BE">
        <w:rPr>
          <w:lang w:val="en-US"/>
        </w:rPr>
        <w:t xml:space="preserve">considered </w:t>
      </w:r>
      <w:r>
        <w:rPr>
          <w:lang w:val="en-US"/>
        </w:rPr>
        <w:t xml:space="preserve">stakeholder feedback </w:t>
      </w:r>
      <w:r w:rsidR="00EE09BE">
        <w:rPr>
          <w:lang w:val="en-US"/>
        </w:rPr>
        <w:t xml:space="preserve">on whether </w:t>
      </w:r>
      <w:r>
        <w:rPr>
          <w:lang w:val="en-US"/>
        </w:rPr>
        <w:t>obligations</w:t>
      </w:r>
      <w:r w:rsidR="00EE09BE">
        <w:rPr>
          <w:lang w:val="en-US"/>
        </w:rPr>
        <w:t xml:space="preserve"> remain relevant </w:t>
      </w:r>
      <w:r w:rsidRPr="004E6E0A">
        <w:rPr>
          <w:lang w:val="en-US"/>
        </w:rPr>
        <w:t>and need to be retained.</w:t>
      </w:r>
    </w:p>
    <w:p w14:paraId="2F0410A1" w14:textId="77777777" w:rsidR="004C13D5" w:rsidRDefault="004C13D5" w:rsidP="004C13D5">
      <w:pPr>
        <w:pStyle w:val="Heading3"/>
      </w:pPr>
      <w:bookmarkStart w:id="20" w:name="_Toc204086872"/>
      <w:bookmarkStart w:id="21" w:name="_Toc212113739"/>
      <w:bookmarkStart w:id="22" w:name="_Toc213416964"/>
      <w:r>
        <w:t>Other instruments covering customer public lighting</w:t>
      </w:r>
      <w:bookmarkEnd w:id="20"/>
      <w:bookmarkEnd w:id="21"/>
      <w:bookmarkEnd w:id="22"/>
    </w:p>
    <w:p w14:paraId="49FEB45F" w14:textId="4FDC2A94" w:rsidR="004C13D5" w:rsidRDefault="004C13D5" w:rsidP="004C13D5">
      <w:pPr>
        <w:rPr>
          <w:lang w:val="en-US"/>
        </w:rPr>
      </w:pPr>
      <w:r>
        <w:t xml:space="preserve">We consider that obligations in the </w:t>
      </w:r>
      <w:r>
        <w:rPr>
          <w:lang w:val="en-US"/>
        </w:rPr>
        <w:t xml:space="preserve">Public Lighting Code </w:t>
      </w:r>
      <w:r>
        <w:t>are sufficiently provided for in the following instruments:</w:t>
      </w:r>
      <w:r>
        <w:rPr>
          <w:lang w:val="en-US"/>
        </w:rPr>
        <w:t xml:space="preserve"> </w:t>
      </w:r>
    </w:p>
    <w:p w14:paraId="4B5A9014" w14:textId="77777777" w:rsidR="004C13D5" w:rsidRPr="00B95C0F" w:rsidRDefault="004C13D5" w:rsidP="001632B2">
      <w:pPr>
        <w:pStyle w:val="ListBullet"/>
      </w:pPr>
      <w:r w:rsidRPr="00430AD4">
        <w:rPr>
          <w:lang w:val="en-AU"/>
        </w:rPr>
        <w:t>National</w:t>
      </w:r>
      <w:r w:rsidRPr="00B95C0F">
        <w:t xml:space="preserve"> </w:t>
      </w:r>
      <w:r w:rsidRPr="00430AD4">
        <w:t>Electricity</w:t>
      </w:r>
      <w:r w:rsidRPr="00B95C0F">
        <w:t xml:space="preserve"> Rules (NER)</w:t>
      </w:r>
    </w:p>
    <w:p w14:paraId="6C563ADC" w14:textId="77777777" w:rsidR="004C13D5" w:rsidRDefault="004C13D5" w:rsidP="001632B2">
      <w:pPr>
        <w:pStyle w:val="ListBullet"/>
      </w:pPr>
      <w:r>
        <w:t>Electricity Distribution Code of Practice (</w:t>
      </w:r>
      <w:proofErr w:type="spellStart"/>
      <w:r>
        <w:t>EDCoP</w:t>
      </w:r>
      <w:proofErr w:type="spellEnd"/>
      <w:r>
        <w:t>).</w:t>
      </w:r>
    </w:p>
    <w:p w14:paraId="431D03D5" w14:textId="4C5A4BC7" w:rsidR="004C13D5" w:rsidRPr="00B95C0F" w:rsidRDefault="004C13D5" w:rsidP="004C13D5">
      <w:pPr>
        <w:rPr>
          <w:lang w:val="en-US"/>
        </w:rPr>
      </w:pPr>
      <w:r>
        <w:t xml:space="preserve">Our decision to revoke the </w:t>
      </w:r>
      <w:r>
        <w:rPr>
          <w:lang w:val="en-US"/>
        </w:rPr>
        <w:t xml:space="preserve">Public Lighting Code </w:t>
      </w:r>
      <w:r>
        <w:t>will remove unnecessary overlap and outdated rules it imposes. This will support the operation of the N</w:t>
      </w:r>
      <w:r w:rsidR="00D231F4">
        <w:t xml:space="preserve">ational </w:t>
      </w:r>
      <w:r>
        <w:t>E</w:t>
      </w:r>
      <w:r w:rsidR="00D231F4">
        <w:t xml:space="preserve">lectricity </w:t>
      </w:r>
      <w:r>
        <w:t>R</w:t>
      </w:r>
      <w:r w:rsidR="00D231F4">
        <w:t>ules</w:t>
      </w:r>
      <w:r>
        <w:t xml:space="preserve"> and the E</w:t>
      </w:r>
      <w:r w:rsidR="00D231F4">
        <w:t xml:space="preserve">lectricity </w:t>
      </w:r>
      <w:r>
        <w:t>D</w:t>
      </w:r>
      <w:r w:rsidR="00D231F4">
        <w:t xml:space="preserve">istribution </w:t>
      </w:r>
      <w:r>
        <w:t>C</w:t>
      </w:r>
      <w:r w:rsidR="00392908">
        <w:t xml:space="preserve">ode </w:t>
      </w:r>
      <w:r>
        <w:t>o</w:t>
      </w:r>
      <w:r w:rsidR="00392908">
        <w:t xml:space="preserve">f </w:t>
      </w:r>
      <w:r>
        <w:t>P</w:t>
      </w:r>
      <w:r w:rsidR="00392908">
        <w:t>ractice</w:t>
      </w:r>
      <w:r>
        <w:t xml:space="preserve">. </w:t>
      </w:r>
    </w:p>
    <w:p w14:paraId="2BDE3840" w14:textId="77777777" w:rsidR="00607E4C" w:rsidRDefault="00607E4C">
      <w:pPr>
        <w:spacing w:before="0" w:line="259" w:lineRule="auto"/>
        <w:rPr>
          <w:rFonts w:ascii="Tahoma" w:eastAsiaTheme="majorEastAsia" w:hAnsi="Tahoma" w:cstheme="majorBidi"/>
          <w:b/>
          <w:color w:val="4986A0" w:themeColor="text2"/>
          <w:szCs w:val="24"/>
        </w:rPr>
      </w:pPr>
      <w:bookmarkStart w:id="23" w:name="_Toc212113740"/>
      <w:r>
        <w:br w:type="page"/>
      </w:r>
    </w:p>
    <w:p w14:paraId="4B28CA3C" w14:textId="77777777" w:rsidR="004C13D5" w:rsidRPr="00DB13AE" w:rsidRDefault="004C13D5" w:rsidP="004C13D5">
      <w:pPr>
        <w:pStyle w:val="Heading3"/>
        <w:rPr>
          <w:rFonts w:eastAsia="Tahoma" w:cs="Tahoma"/>
        </w:rPr>
      </w:pPr>
      <w:bookmarkStart w:id="24" w:name="_Toc213416965"/>
      <w:r>
        <w:lastRenderedPageBreak/>
        <w:t>Public lighting review consultation feedback</w:t>
      </w:r>
      <w:bookmarkEnd w:id="23"/>
      <w:bookmarkEnd w:id="24"/>
    </w:p>
    <w:p w14:paraId="76E3410D" w14:textId="20B080DC" w:rsidR="004C13D5" w:rsidRDefault="004C13D5" w:rsidP="004C13D5">
      <w:pPr>
        <w:pStyle w:val="Pull-outBullet1"/>
        <w:ind w:left="482"/>
        <w:rPr>
          <w:lang w:val="en-US"/>
        </w:rPr>
      </w:pPr>
      <w:r>
        <w:rPr>
          <w:lang w:val="en-US"/>
        </w:rPr>
        <w:t xml:space="preserve">We received ten submissions. </w:t>
      </w:r>
    </w:p>
    <w:p w14:paraId="07438716" w14:textId="3F19ED3B" w:rsidR="004C13D5" w:rsidRPr="00516E40" w:rsidRDefault="004C13D5" w:rsidP="004C13D5">
      <w:pPr>
        <w:pStyle w:val="Pull-outBullet1"/>
        <w:ind w:left="482"/>
        <w:rPr>
          <w:lang w:val="en-US"/>
        </w:rPr>
      </w:pPr>
      <w:r w:rsidRPr="00A52615">
        <w:rPr>
          <w:lang w:val="en-US"/>
        </w:rPr>
        <w:t xml:space="preserve">Most electricity distribution businesses and the </w:t>
      </w:r>
      <w:r>
        <w:rPr>
          <w:lang w:val="en-US"/>
        </w:rPr>
        <w:t>Victorian Greenhouse Alliance (an alliance</w:t>
      </w:r>
      <w:r w:rsidRPr="00A52615">
        <w:rPr>
          <w:lang w:val="en-US"/>
        </w:rPr>
        <w:t xml:space="preserve"> </w:t>
      </w:r>
      <w:r w:rsidR="0097314F">
        <w:rPr>
          <w:lang w:val="en-US"/>
        </w:rPr>
        <w:t>of</w:t>
      </w:r>
      <w:r w:rsidRPr="00A52615">
        <w:rPr>
          <w:lang w:val="en-US"/>
        </w:rPr>
        <w:t xml:space="preserve"> 7</w:t>
      </w:r>
      <w:r>
        <w:rPr>
          <w:lang w:val="en-US"/>
        </w:rPr>
        <w:t>0</w:t>
      </w:r>
      <w:r w:rsidRPr="00A52615">
        <w:rPr>
          <w:lang w:val="en-US"/>
        </w:rPr>
        <w:t xml:space="preserve"> local </w:t>
      </w:r>
      <w:r>
        <w:rPr>
          <w:lang w:val="en-US"/>
        </w:rPr>
        <w:t>c</w:t>
      </w:r>
      <w:r w:rsidRPr="00A52615">
        <w:rPr>
          <w:lang w:val="en-US"/>
        </w:rPr>
        <w:t xml:space="preserve">ouncils) expressed support </w:t>
      </w:r>
      <w:r w:rsidR="00B75BC7">
        <w:rPr>
          <w:lang w:val="en-US"/>
        </w:rPr>
        <w:t>to</w:t>
      </w:r>
      <w:r w:rsidRPr="00A52615">
        <w:rPr>
          <w:lang w:val="en-US"/>
        </w:rPr>
        <w:t xml:space="preserve"> revok</w:t>
      </w:r>
      <w:r w:rsidR="00B75BC7">
        <w:rPr>
          <w:lang w:val="en-US"/>
        </w:rPr>
        <w:t>e</w:t>
      </w:r>
      <w:r w:rsidRPr="00A52615">
        <w:rPr>
          <w:lang w:val="en-US"/>
        </w:rPr>
        <w:t xml:space="preserve"> the Public Lighting Code but suggest</w:t>
      </w:r>
      <w:r>
        <w:rPr>
          <w:lang w:val="en-US"/>
        </w:rPr>
        <w:t>ed</w:t>
      </w:r>
      <w:r w:rsidRPr="00A52615">
        <w:rPr>
          <w:lang w:val="en-US"/>
        </w:rPr>
        <w:t xml:space="preserve"> some amendments and additional obligations </w:t>
      </w:r>
      <w:r>
        <w:rPr>
          <w:lang w:val="en-US"/>
        </w:rPr>
        <w:t xml:space="preserve">be </w:t>
      </w:r>
      <w:r w:rsidRPr="00A52615">
        <w:rPr>
          <w:lang w:val="en-US"/>
        </w:rPr>
        <w:t>retain</w:t>
      </w:r>
      <w:r>
        <w:rPr>
          <w:lang w:val="en-US"/>
        </w:rPr>
        <w:t>ed</w:t>
      </w:r>
      <w:r w:rsidRPr="00A52615">
        <w:rPr>
          <w:lang w:val="en-US"/>
        </w:rPr>
        <w:t>.</w:t>
      </w:r>
    </w:p>
    <w:p w14:paraId="44A2181B" w14:textId="60AEC567" w:rsidR="004C13D5" w:rsidRPr="00516E40" w:rsidRDefault="004C13D5" w:rsidP="004C13D5">
      <w:pPr>
        <w:pStyle w:val="Pull-outBullet1"/>
        <w:ind w:left="482"/>
        <w:rPr>
          <w:lang w:val="en-US"/>
        </w:rPr>
      </w:pPr>
      <w:r>
        <w:rPr>
          <w:lang w:val="en-US"/>
        </w:rPr>
        <w:t xml:space="preserve">Some individual </w:t>
      </w:r>
      <w:r w:rsidRPr="00516E40">
        <w:rPr>
          <w:lang w:val="en-US"/>
        </w:rPr>
        <w:t xml:space="preserve">public </w:t>
      </w:r>
      <w:r>
        <w:rPr>
          <w:lang w:val="en-US"/>
        </w:rPr>
        <w:t xml:space="preserve">submissions </w:t>
      </w:r>
      <w:r w:rsidRPr="00516E40">
        <w:rPr>
          <w:lang w:val="en-US"/>
        </w:rPr>
        <w:t xml:space="preserve">did not support </w:t>
      </w:r>
      <w:r w:rsidR="00650A51">
        <w:rPr>
          <w:lang w:val="en-US"/>
        </w:rPr>
        <w:t>the</w:t>
      </w:r>
      <w:r>
        <w:rPr>
          <w:lang w:val="en-US"/>
        </w:rPr>
        <w:t xml:space="preserve"> </w:t>
      </w:r>
      <w:r w:rsidRPr="00516E40">
        <w:rPr>
          <w:lang w:val="en-US"/>
        </w:rPr>
        <w:t>revo</w:t>
      </w:r>
      <w:r w:rsidR="00650A51">
        <w:rPr>
          <w:lang w:val="en-US"/>
        </w:rPr>
        <w:t>cation</w:t>
      </w:r>
      <w:r>
        <w:rPr>
          <w:lang w:val="en-US"/>
        </w:rPr>
        <w:t xml:space="preserve"> </w:t>
      </w:r>
      <w:r w:rsidR="00650A51">
        <w:rPr>
          <w:lang w:val="en-US"/>
        </w:rPr>
        <w:t xml:space="preserve">of </w:t>
      </w:r>
      <w:r w:rsidRPr="00A52615">
        <w:rPr>
          <w:lang w:val="en-US"/>
        </w:rPr>
        <w:t>the Public Lighting Code</w:t>
      </w:r>
      <w:r>
        <w:rPr>
          <w:lang w:val="en-US"/>
        </w:rPr>
        <w:t xml:space="preserve">. Some of these submissions </w:t>
      </w:r>
      <w:r w:rsidRPr="00516E40">
        <w:rPr>
          <w:lang w:val="en-US"/>
        </w:rPr>
        <w:t>propos</w:t>
      </w:r>
      <w:r>
        <w:rPr>
          <w:lang w:val="en-US"/>
        </w:rPr>
        <w:t>ed</w:t>
      </w:r>
      <w:r w:rsidRPr="00516E40">
        <w:rPr>
          <w:lang w:val="en-US"/>
        </w:rPr>
        <w:t xml:space="preserve"> </w:t>
      </w:r>
      <w:r w:rsidR="003D1322">
        <w:rPr>
          <w:lang w:val="en-US"/>
        </w:rPr>
        <w:t xml:space="preserve">broader policy </w:t>
      </w:r>
      <w:r w:rsidR="0060116F">
        <w:rPr>
          <w:lang w:val="en-US"/>
        </w:rPr>
        <w:t xml:space="preserve">changes, </w:t>
      </w:r>
      <w:r>
        <w:rPr>
          <w:lang w:val="en-US"/>
        </w:rPr>
        <w:t xml:space="preserve">additional </w:t>
      </w:r>
      <w:r w:rsidR="0060116F">
        <w:rPr>
          <w:lang w:val="en-US"/>
        </w:rPr>
        <w:t xml:space="preserve">obligations </w:t>
      </w:r>
      <w:r w:rsidRPr="00516E40">
        <w:rPr>
          <w:lang w:val="en-US"/>
        </w:rPr>
        <w:t>and improved service standards.</w:t>
      </w:r>
    </w:p>
    <w:p w14:paraId="198397BB" w14:textId="59FB51FE" w:rsidR="004C13D5" w:rsidRPr="00E1346B" w:rsidRDefault="004C13D5" w:rsidP="004C13D5">
      <w:pPr>
        <w:rPr>
          <w:lang w:val="en-US"/>
        </w:rPr>
      </w:pPr>
      <w:r w:rsidRPr="00E1346B">
        <w:rPr>
          <w:lang w:val="en-US"/>
        </w:rPr>
        <w:t xml:space="preserve">On </w:t>
      </w:r>
      <w:r>
        <w:rPr>
          <w:lang w:val="en-US"/>
        </w:rPr>
        <w:t xml:space="preserve">28 August </w:t>
      </w:r>
      <w:r w:rsidRPr="00E1346B">
        <w:rPr>
          <w:lang w:val="en-US"/>
        </w:rPr>
        <w:t xml:space="preserve">2025, we </w:t>
      </w:r>
      <w:r>
        <w:rPr>
          <w:lang w:val="en-US"/>
        </w:rPr>
        <w:t xml:space="preserve">published </w:t>
      </w:r>
      <w:r w:rsidRPr="00E1346B">
        <w:rPr>
          <w:lang w:val="en-US"/>
        </w:rPr>
        <w:t xml:space="preserve">a </w:t>
      </w:r>
      <w:r>
        <w:rPr>
          <w:lang w:val="en-US"/>
        </w:rPr>
        <w:t xml:space="preserve">public </w:t>
      </w:r>
      <w:r w:rsidRPr="00E1346B">
        <w:rPr>
          <w:lang w:val="en-US"/>
        </w:rPr>
        <w:t xml:space="preserve">consultation paper </w:t>
      </w:r>
      <w:r>
        <w:rPr>
          <w:lang w:val="en-US"/>
        </w:rPr>
        <w:t xml:space="preserve">on our review of the </w:t>
      </w:r>
      <w:r w:rsidR="00505609">
        <w:rPr>
          <w:lang w:val="en-US"/>
        </w:rPr>
        <w:t>code</w:t>
      </w:r>
      <w:r w:rsidR="00685B03">
        <w:rPr>
          <w:lang w:val="en-US"/>
        </w:rPr>
        <w:t xml:space="preserve"> </w:t>
      </w:r>
      <w:r>
        <w:rPr>
          <w:lang w:val="en-US"/>
        </w:rPr>
        <w:t xml:space="preserve">and </w:t>
      </w:r>
      <w:r w:rsidRPr="00E1346B">
        <w:rPr>
          <w:lang w:val="en-US"/>
        </w:rPr>
        <w:t>invit</w:t>
      </w:r>
      <w:r>
        <w:rPr>
          <w:lang w:val="en-US"/>
        </w:rPr>
        <w:t xml:space="preserve">ed stakeholders to engage with us and </w:t>
      </w:r>
      <w:r w:rsidRPr="00E1346B">
        <w:rPr>
          <w:lang w:val="en-US"/>
        </w:rPr>
        <w:t xml:space="preserve">provide </w:t>
      </w:r>
      <w:r>
        <w:rPr>
          <w:lang w:val="en-US"/>
        </w:rPr>
        <w:t xml:space="preserve">their </w:t>
      </w:r>
      <w:r w:rsidRPr="00E1346B">
        <w:rPr>
          <w:lang w:val="en-US"/>
        </w:rPr>
        <w:t xml:space="preserve">written feedback. The </w:t>
      </w:r>
      <w:r>
        <w:rPr>
          <w:lang w:val="en-US"/>
        </w:rPr>
        <w:t xml:space="preserve">consultation </w:t>
      </w:r>
      <w:r w:rsidRPr="00E1346B">
        <w:rPr>
          <w:lang w:val="en-US"/>
        </w:rPr>
        <w:t>paper detailed our proposal to revoke the</w:t>
      </w:r>
      <w:r>
        <w:rPr>
          <w:lang w:val="en-US"/>
        </w:rPr>
        <w:t xml:space="preserve"> code while retaining and transferring some relevant obligations to the E</w:t>
      </w:r>
      <w:r w:rsidR="0057157F">
        <w:rPr>
          <w:lang w:val="en-US"/>
        </w:rPr>
        <w:t>lectricity Distribution Code of Pract</w:t>
      </w:r>
      <w:r w:rsidR="00685B03">
        <w:rPr>
          <w:lang w:val="en-US"/>
        </w:rPr>
        <w:t>ice</w:t>
      </w:r>
      <w:r>
        <w:rPr>
          <w:lang w:val="en-US"/>
        </w:rPr>
        <w:t xml:space="preserve">. We also sought feedback </w:t>
      </w:r>
      <w:r w:rsidR="00B00441">
        <w:rPr>
          <w:lang w:val="en-US"/>
        </w:rPr>
        <w:t>on</w:t>
      </w:r>
      <w:r w:rsidRPr="00E1346B" w:rsidDel="006E10BA">
        <w:rPr>
          <w:lang w:val="en-US"/>
        </w:rPr>
        <w:t xml:space="preserve"> </w:t>
      </w:r>
      <w:r w:rsidR="006E10BA">
        <w:rPr>
          <w:lang w:val="en-US"/>
        </w:rPr>
        <w:t>strong</w:t>
      </w:r>
      <w:r w:rsidR="006E10BA" w:rsidRPr="00E1346B">
        <w:rPr>
          <w:lang w:val="en-US"/>
        </w:rPr>
        <w:t xml:space="preserve"> </w:t>
      </w:r>
      <w:r w:rsidRPr="00E1346B">
        <w:rPr>
          <w:lang w:val="en-US"/>
        </w:rPr>
        <w:t xml:space="preserve">reasons </w:t>
      </w:r>
      <w:r>
        <w:rPr>
          <w:lang w:val="en-US"/>
        </w:rPr>
        <w:t>to</w:t>
      </w:r>
      <w:r w:rsidRPr="00E1346B">
        <w:rPr>
          <w:lang w:val="en-US"/>
        </w:rPr>
        <w:t xml:space="preserve"> </w:t>
      </w:r>
      <w:r>
        <w:rPr>
          <w:lang w:val="en-US"/>
        </w:rPr>
        <w:t>retain</w:t>
      </w:r>
      <w:r w:rsidRPr="00E1346B">
        <w:rPr>
          <w:lang w:val="en-US"/>
        </w:rPr>
        <w:t xml:space="preserve"> any </w:t>
      </w:r>
      <w:r>
        <w:rPr>
          <w:lang w:val="en-US"/>
        </w:rPr>
        <w:t>other obligations.</w:t>
      </w:r>
      <w:r w:rsidRPr="00E1346B">
        <w:rPr>
          <w:lang w:val="en-US"/>
        </w:rPr>
        <w:t xml:space="preserve"> </w:t>
      </w:r>
    </w:p>
    <w:p w14:paraId="67BC0A6F" w14:textId="77777777" w:rsidR="00EB24BB" w:rsidRDefault="003B381C" w:rsidP="004C13D5">
      <w:pPr>
        <w:rPr>
          <w:lang w:val="en-US"/>
        </w:rPr>
      </w:pPr>
      <w:r>
        <w:rPr>
          <w:lang w:val="en-US"/>
        </w:rPr>
        <w:t xml:space="preserve">We also consulted the following bodies </w:t>
      </w:r>
      <w:r w:rsidR="00166A78">
        <w:rPr>
          <w:lang w:val="en-US"/>
        </w:rPr>
        <w:t>and government departments</w:t>
      </w:r>
      <w:r w:rsidR="00EB24BB">
        <w:rPr>
          <w:lang w:val="en-US"/>
        </w:rPr>
        <w:t>:</w:t>
      </w:r>
    </w:p>
    <w:p w14:paraId="7A74CEC9" w14:textId="2E9520A2" w:rsidR="00EB24BB" w:rsidRDefault="004C13D5" w:rsidP="001632B2">
      <w:pPr>
        <w:pStyle w:val="ListBullet"/>
      </w:pPr>
      <w:r w:rsidRPr="00EB24BB">
        <w:t>Australian Energy Regulator</w:t>
      </w:r>
      <w:r w:rsidR="00EB24BB">
        <w:t xml:space="preserve"> </w:t>
      </w:r>
    </w:p>
    <w:p w14:paraId="1133A999" w14:textId="77777777" w:rsidR="00EB24BB" w:rsidRDefault="004C13D5" w:rsidP="001632B2">
      <w:pPr>
        <w:pStyle w:val="ListBullet"/>
      </w:pPr>
      <w:r w:rsidRPr="00EB24BB">
        <w:t xml:space="preserve">Department of Energy, Environment and Climate Action </w:t>
      </w:r>
    </w:p>
    <w:p w14:paraId="274F4352" w14:textId="77777777" w:rsidR="00EB24BB" w:rsidRDefault="004C13D5" w:rsidP="001632B2">
      <w:pPr>
        <w:pStyle w:val="ListBullet"/>
      </w:pPr>
      <w:r w:rsidRPr="00EB24BB">
        <w:t xml:space="preserve">Department of Treasury and Finance </w:t>
      </w:r>
    </w:p>
    <w:p w14:paraId="3253E1AA" w14:textId="4B45D5C0" w:rsidR="00EB24BB" w:rsidRDefault="004C13D5" w:rsidP="001632B2">
      <w:pPr>
        <w:pStyle w:val="ListBullet"/>
      </w:pPr>
      <w:r w:rsidRPr="00EB24BB">
        <w:t xml:space="preserve">Energy Safe Victoria </w:t>
      </w:r>
    </w:p>
    <w:p w14:paraId="6860A531" w14:textId="7D8CFE80" w:rsidR="004C13D5" w:rsidRPr="00EB24BB" w:rsidRDefault="004C13D5" w:rsidP="001632B2">
      <w:pPr>
        <w:pStyle w:val="ListBullet"/>
      </w:pPr>
      <w:r w:rsidRPr="00EB24BB">
        <w:t>VicRoads</w:t>
      </w:r>
      <w:r w:rsidR="003A49F4">
        <w:t xml:space="preserve"> (part of the Department of Transport and Planning)</w:t>
      </w:r>
      <w:r w:rsidRPr="00EB24BB">
        <w:t>.</w:t>
      </w:r>
    </w:p>
    <w:p w14:paraId="5EAE34D9" w14:textId="7865AF8A" w:rsidR="004C13D5" w:rsidRDefault="004C13D5" w:rsidP="004C13D5">
      <w:pPr>
        <w:rPr>
          <w:lang w:val="en-US"/>
        </w:rPr>
      </w:pPr>
      <w:r>
        <w:rPr>
          <w:lang w:val="en-US"/>
        </w:rPr>
        <w:t xml:space="preserve">We received ten submissions </w:t>
      </w:r>
      <w:r w:rsidRPr="00E1346B">
        <w:rPr>
          <w:lang w:val="en-US"/>
        </w:rPr>
        <w:t xml:space="preserve">including </w:t>
      </w:r>
      <w:r>
        <w:rPr>
          <w:lang w:val="en-US"/>
        </w:rPr>
        <w:t xml:space="preserve">four from </w:t>
      </w:r>
      <w:r w:rsidRPr="00E1346B">
        <w:rPr>
          <w:lang w:val="en-US"/>
        </w:rPr>
        <w:t xml:space="preserve">electricity distribution businesses, </w:t>
      </w:r>
      <w:r>
        <w:rPr>
          <w:lang w:val="en-US"/>
        </w:rPr>
        <w:t xml:space="preserve">two representing local councils and six from individual members of the public. See the submissions on our </w:t>
      </w:r>
      <w:hyperlink r:id="rId21" w:history="1">
        <w:r w:rsidRPr="003368F1">
          <w:rPr>
            <w:rStyle w:val="Hyperlink"/>
          </w:rPr>
          <w:t>website</w:t>
        </w:r>
      </w:hyperlink>
      <w:r>
        <w:rPr>
          <w:lang w:val="en-US"/>
        </w:rPr>
        <w:t>.</w:t>
      </w:r>
    </w:p>
    <w:p w14:paraId="524788F5" w14:textId="4611E698" w:rsidR="00B95C0F" w:rsidRPr="00B95C0F" w:rsidRDefault="00B95C0F" w:rsidP="00B95C0F">
      <w:pPr>
        <w:rPr>
          <w:lang w:val="en-US"/>
        </w:rPr>
      </w:pPr>
    </w:p>
    <w:p w14:paraId="4E2970E5" w14:textId="3F12BCDB" w:rsidR="004855CE" w:rsidRDefault="002C2ADF" w:rsidP="004855CE">
      <w:pPr>
        <w:rPr>
          <w:noProof/>
          <w:lang w:val="en-GB" w:eastAsia="zh-CN"/>
        </w:rPr>
      </w:pPr>
      <w:r w:rsidRPr="002C2ADF">
        <w:rPr>
          <w:noProof/>
          <w:lang w:val="en-GB" w:eastAsia="zh-CN"/>
        </w:rPr>
        <w:t xml:space="preserve"> </w:t>
      </w:r>
    </w:p>
    <w:p w14:paraId="26DCF269" w14:textId="77777777" w:rsidR="00B503C2" w:rsidRDefault="00B503C2" w:rsidP="004855CE"/>
    <w:p w14:paraId="054C6B3B" w14:textId="77777777" w:rsidR="008F7087" w:rsidRDefault="008F7087" w:rsidP="00B503C2"/>
    <w:p w14:paraId="5FBA7C0A" w14:textId="77777777" w:rsidR="00B503C2" w:rsidRDefault="00B503C2" w:rsidP="00B503C2">
      <w:pPr>
        <w:sectPr w:rsidR="00B503C2" w:rsidSect="008F7087">
          <w:headerReference w:type="even" r:id="rId22"/>
          <w:headerReference w:type="default" r:id="rId23"/>
          <w:footerReference w:type="default" r:id="rId24"/>
          <w:headerReference w:type="first" r:id="rId25"/>
          <w:type w:val="continuous"/>
          <w:pgSz w:w="11906" w:h="16838" w:code="9"/>
          <w:pgMar w:top="1134" w:right="1134" w:bottom="1134" w:left="1134" w:header="709" w:footer="692" w:gutter="0"/>
          <w:pgNumType w:fmt="lowerRoman"/>
          <w:cols w:space="708"/>
          <w:docGrid w:linePitch="360"/>
        </w:sectPr>
      </w:pPr>
    </w:p>
    <w:p w14:paraId="10358206" w14:textId="77777777" w:rsidR="00B503C2" w:rsidRDefault="00B503C2" w:rsidP="00B503C2"/>
    <w:p w14:paraId="6EAA09A4" w14:textId="77777777" w:rsidR="00396744" w:rsidRDefault="00396744" w:rsidP="00710792">
      <w:pPr>
        <w:pStyle w:val="Heading1"/>
        <w:sectPr w:rsidR="00396744" w:rsidSect="008F7087">
          <w:headerReference w:type="even" r:id="rId26"/>
          <w:headerReference w:type="default" r:id="rId27"/>
          <w:footerReference w:type="default" r:id="rId28"/>
          <w:headerReference w:type="first" r:id="rId29"/>
          <w:type w:val="continuous"/>
          <w:pgSz w:w="11906" w:h="16838" w:code="9"/>
          <w:pgMar w:top="1134" w:right="1134" w:bottom="1134" w:left="1134" w:header="709" w:footer="692" w:gutter="0"/>
          <w:pgNumType w:fmt="lowerRoman"/>
          <w:cols w:space="708"/>
          <w:docGrid w:linePitch="360"/>
        </w:sectPr>
      </w:pPr>
    </w:p>
    <w:p w14:paraId="6FC9D35A" w14:textId="71992596" w:rsidR="00710792" w:rsidRDefault="00426036" w:rsidP="00710792">
      <w:pPr>
        <w:pStyle w:val="Heading1"/>
      </w:pPr>
      <w:bookmarkStart w:id="25" w:name="_Toc213416966"/>
      <w:r>
        <w:lastRenderedPageBreak/>
        <w:t>Introduction</w:t>
      </w:r>
      <w:bookmarkEnd w:id="25"/>
      <w:r>
        <w:t xml:space="preserve"> </w:t>
      </w:r>
    </w:p>
    <w:p w14:paraId="5FBC4184" w14:textId="19856CB2" w:rsidR="00317CD8" w:rsidRDefault="00317CD8" w:rsidP="00317CD8">
      <w:pPr>
        <w:spacing w:after="120"/>
        <w:rPr>
          <w:rFonts w:ascii="Arial" w:eastAsia="Arial" w:hAnsi="Arial" w:cs="Arial"/>
          <w:lang w:val="en-US"/>
        </w:rPr>
      </w:pPr>
      <w:bookmarkStart w:id="26" w:name="_Toc480988882"/>
      <w:bookmarkStart w:id="27" w:name="_Toc481138193"/>
      <w:bookmarkStart w:id="28" w:name="_Toc481138401"/>
      <w:r w:rsidRPr="00443A9C">
        <w:rPr>
          <w:rFonts w:ascii="Arial" w:eastAsia="Arial" w:hAnsi="Arial" w:cs="Arial"/>
          <w:lang w:val="en-US"/>
        </w:rPr>
        <w:t xml:space="preserve">The </w:t>
      </w:r>
      <w:r>
        <w:rPr>
          <w:lang w:val="en-US"/>
        </w:rPr>
        <w:t>Public Lighting Code</w:t>
      </w:r>
      <w:r w:rsidR="00381F8B">
        <w:rPr>
          <w:lang w:val="en-US"/>
        </w:rPr>
        <w:t xml:space="preserve"> (the code)</w:t>
      </w:r>
      <w:r>
        <w:rPr>
          <w:lang w:val="en-US"/>
        </w:rPr>
        <w:t xml:space="preserve"> </w:t>
      </w:r>
      <w:r w:rsidRPr="00443A9C">
        <w:rPr>
          <w:rFonts w:ascii="Arial" w:eastAsia="Arial" w:hAnsi="Arial" w:cs="Arial"/>
          <w:lang w:val="en-US"/>
        </w:rPr>
        <w:t>w</w:t>
      </w:r>
      <w:r>
        <w:rPr>
          <w:rFonts w:ascii="Arial" w:eastAsia="Arial" w:hAnsi="Arial" w:cs="Arial"/>
          <w:lang w:val="en-US"/>
        </w:rPr>
        <w:t>as</w:t>
      </w:r>
      <w:r w:rsidRPr="00443A9C">
        <w:rPr>
          <w:rFonts w:ascii="Arial" w:eastAsia="Arial" w:hAnsi="Arial" w:cs="Arial"/>
          <w:lang w:val="en-US"/>
        </w:rPr>
        <w:t xml:space="preserve"> published in </w:t>
      </w:r>
      <w:r w:rsidR="001A45FA">
        <w:rPr>
          <w:rFonts w:ascii="Arial" w:eastAsia="Arial" w:hAnsi="Arial" w:cs="Arial"/>
          <w:lang w:val="en-US"/>
        </w:rPr>
        <w:t>September 2001</w:t>
      </w:r>
      <w:r w:rsidRPr="00443A9C">
        <w:rPr>
          <w:rFonts w:ascii="Arial" w:eastAsia="Arial" w:hAnsi="Arial" w:cs="Arial"/>
          <w:lang w:val="en-US"/>
        </w:rPr>
        <w:t xml:space="preserve"> by the Office of the Regulator General</w:t>
      </w:r>
      <w:r>
        <w:rPr>
          <w:rFonts w:ascii="Arial" w:eastAsia="Arial" w:hAnsi="Arial" w:cs="Arial"/>
          <w:lang w:val="en-US"/>
        </w:rPr>
        <w:t>.</w:t>
      </w:r>
      <w:r w:rsidRPr="00443A9C">
        <w:rPr>
          <w:rFonts w:ascii="Arial" w:eastAsia="Arial" w:hAnsi="Arial" w:cs="Arial"/>
          <w:lang w:val="en-US"/>
        </w:rPr>
        <w:t xml:space="preserve"> </w:t>
      </w:r>
      <w:r>
        <w:rPr>
          <w:rFonts w:ascii="Arial" w:eastAsia="Arial" w:hAnsi="Arial" w:cs="Arial"/>
          <w:lang w:val="en-US"/>
        </w:rPr>
        <w:t>It</w:t>
      </w:r>
      <w:r w:rsidRPr="00443A9C">
        <w:rPr>
          <w:rFonts w:ascii="Arial" w:eastAsia="Arial" w:hAnsi="Arial" w:cs="Arial"/>
          <w:lang w:val="en-US"/>
        </w:rPr>
        <w:t xml:space="preserve"> predate</w:t>
      </w:r>
      <w:r>
        <w:rPr>
          <w:rFonts w:ascii="Arial" w:eastAsia="Arial" w:hAnsi="Arial" w:cs="Arial"/>
          <w:lang w:val="en-US"/>
        </w:rPr>
        <w:t>s</w:t>
      </w:r>
      <w:r w:rsidRPr="00443A9C">
        <w:rPr>
          <w:rFonts w:ascii="Arial" w:eastAsia="Arial" w:hAnsi="Arial" w:cs="Arial"/>
          <w:lang w:val="en-US"/>
        </w:rPr>
        <w:t xml:space="preserve"> Victoria’s adoption of the national electricity regulatory framework. ​</w:t>
      </w:r>
    </w:p>
    <w:p w14:paraId="542A3FB1" w14:textId="238E25E8" w:rsidR="00317CD8" w:rsidRPr="00443A9C" w:rsidRDefault="00317CD8" w:rsidP="00317CD8">
      <w:pPr>
        <w:spacing w:after="120"/>
        <w:rPr>
          <w:rFonts w:ascii="Arial" w:eastAsia="Arial" w:hAnsi="Arial" w:cs="Arial"/>
          <w:lang w:val="en-US"/>
        </w:rPr>
      </w:pPr>
      <w:r>
        <w:rPr>
          <w:rFonts w:ascii="Arial" w:eastAsia="Arial" w:hAnsi="Arial" w:cs="Arial"/>
          <w:lang w:val="en-US"/>
        </w:rPr>
        <w:t xml:space="preserve">The code was last reviewed in 2015 when the Guaranteed Service Level (GSL) framework was updated. It </w:t>
      </w:r>
      <w:r w:rsidRPr="00443A9C">
        <w:rPr>
          <w:rFonts w:ascii="Arial" w:eastAsia="Arial" w:hAnsi="Arial" w:cs="Arial"/>
          <w:lang w:val="en-US"/>
        </w:rPr>
        <w:t>w</w:t>
      </w:r>
      <w:r>
        <w:rPr>
          <w:rFonts w:ascii="Arial" w:eastAsia="Arial" w:hAnsi="Arial" w:cs="Arial"/>
          <w:lang w:val="en-US"/>
        </w:rPr>
        <w:t>as</w:t>
      </w:r>
      <w:r w:rsidRPr="00443A9C">
        <w:rPr>
          <w:rFonts w:ascii="Arial" w:eastAsia="Arial" w:hAnsi="Arial" w:cs="Arial"/>
          <w:lang w:val="en-US"/>
        </w:rPr>
        <w:t xml:space="preserve"> deemed </w:t>
      </w:r>
      <w:r>
        <w:rPr>
          <w:rFonts w:ascii="Arial" w:eastAsia="Arial" w:hAnsi="Arial" w:cs="Arial"/>
          <w:lang w:val="en-US"/>
        </w:rPr>
        <w:t xml:space="preserve">to be a </w:t>
      </w:r>
      <w:r w:rsidRPr="00443A9C">
        <w:rPr>
          <w:rFonts w:ascii="Arial" w:eastAsia="Arial" w:hAnsi="Arial" w:cs="Arial"/>
          <w:lang w:val="en-US"/>
        </w:rPr>
        <w:t xml:space="preserve">code of practice </w:t>
      </w:r>
      <w:r>
        <w:rPr>
          <w:rFonts w:ascii="Arial" w:eastAsia="Arial" w:hAnsi="Arial" w:cs="Arial"/>
          <w:lang w:val="en-US"/>
        </w:rPr>
        <w:t xml:space="preserve">for the purposes of the Essential Services Commission Act </w:t>
      </w:r>
      <w:r w:rsidRPr="00443A9C">
        <w:rPr>
          <w:rFonts w:ascii="Arial" w:eastAsia="Arial" w:hAnsi="Arial" w:cs="Arial"/>
          <w:lang w:val="en-US"/>
        </w:rPr>
        <w:t>on</w:t>
      </w:r>
      <w:r w:rsidR="0091677F">
        <w:rPr>
          <w:rFonts w:ascii="Arial" w:eastAsia="Arial" w:hAnsi="Arial" w:cs="Arial"/>
          <w:lang w:val="en-US"/>
        </w:rPr>
        <w:t xml:space="preserve"> </w:t>
      </w:r>
      <w:r w:rsidRPr="00443A9C">
        <w:rPr>
          <w:rFonts w:ascii="Arial" w:eastAsia="Arial" w:hAnsi="Arial" w:cs="Arial"/>
          <w:lang w:val="en-US"/>
        </w:rPr>
        <w:t>1 December 2021.</w:t>
      </w:r>
      <w:r>
        <w:rPr>
          <w:rStyle w:val="FootnoteReference"/>
          <w:rFonts w:ascii="Arial" w:eastAsia="Arial" w:hAnsi="Arial" w:cs="Arial"/>
          <w:lang w:val="en-US"/>
        </w:rPr>
        <w:footnoteReference w:id="1"/>
      </w:r>
    </w:p>
    <w:p w14:paraId="73DA41DD" w14:textId="77777777" w:rsidR="00317CD8" w:rsidRPr="00DB13AE" w:rsidRDefault="00317CD8" w:rsidP="00317CD8">
      <w:pPr>
        <w:pStyle w:val="Heading2"/>
        <w:spacing w:after="120"/>
        <w:rPr>
          <w:rFonts w:eastAsia="Tahoma" w:cs="Tahoma"/>
        </w:rPr>
      </w:pPr>
      <w:bookmarkStart w:id="29" w:name="_Toc212113742"/>
      <w:bookmarkStart w:id="30" w:name="_Toc213416967"/>
      <w:r w:rsidRPr="00DB13AE">
        <w:rPr>
          <w:rFonts w:eastAsia="Tahoma" w:cs="Tahoma"/>
        </w:rPr>
        <w:t>Public lighting framework</w:t>
      </w:r>
      <w:bookmarkEnd w:id="29"/>
      <w:bookmarkEnd w:id="30"/>
    </w:p>
    <w:p w14:paraId="68F3D012" w14:textId="311BD00F" w:rsidR="00317CD8" w:rsidRDefault="00317CD8" w:rsidP="00317CD8">
      <w:pPr>
        <w:rPr>
          <w:lang w:val="en-US"/>
        </w:rPr>
      </w:pPr>
      <w:r w:rsidRPr="00F64D37">
        <w:rPr>
          <w:lang w:val="en-US"/>
        </w:rPr>
        <w:t>The</w:t>
      </w:r>
      <w:r>
        <w:rPr>
          <w:lang w:val="en-US"/>
        </w:rPr>
        <w:t xml:space="preserve"> code’s framework c</w:t>
      </w:r>
      <w:r w:rsidRPr="00F64D37">
        <w:rPr>
          <w:lang w:val="en-US"/>
        </w:rPr>
        <w:t xml:space="preserve">overs </w:t>
      </w:r>
      <w:r>
        <w:rPr>
          <w:lang w:val="en-US"/>
        </w:rPr>
        <w:t>the provision of public lighting activities by electricity distribution businesses. The code focuses on:</w:t>
      </w:r>
    </w:p>
    <w:p w14:paraId="6C8237B9" w14:textId="77777777" w:rsidR="00317CD8" w:rsidRPr="001632B2" w:rsidRDefault="00317CD8" w:rsidP="001632B2">
      <w:pPr>
        <w:pStyle w:val="ListBullet"/>
      </w:pPr>
      <w:r w:rsidRPr="001632B2">
        <w:t>asset management</w:t>
      </w:r>
    </w:p>
    <w:p w14:paraId="5AA0B7B4" w14:textId="77777777" w:rsidR="00317CD8" w:rsidRPr="001632B2" w:rsidRDefault="00317CD8" w:rsidP="001632B2">
      <w:pPr>
        <w:pStyle w:val="ListBullet"/>
      </w:pPr>
      <w:r w:rsidRPr="001632B2">
        <w:t>service standards</w:t>
      </w:r>
    </w:p>
    <w:p w14:paraId="62B46C33" w14:textId="77777777" w:rsidR="00317CD8" w:rsidRPr="001632B2" w:rsidRDefault="00317CD8" w:rsidP="001632B2">
      <w:pPr>
        <w:pStyle w:val="ListBullet"/>
      </w:pPr>
      <w:r w:rsidRPr="001632B2">
        <w:t>information provision</w:t>
      </w:r>
    </w:p>
    <w:p w14:paraId="3EA7CB60" w14:textId="77777777" w:rsidR="00317CD8" w:rsidRPr="001632B2" w:rsidRDefault="00317CD8" w:rsidP="001632B2">
      <w:pPr>
        <w:pStyle w:val="ListBullet"/>
      </w:pPr>
      <w:r w:rsidRPr="001632B2">
        <w:t>dispute resolution</w:t>
      </w:r>
    </w:p>
    <w:p w14:paraId="4631FC77" w14:textId="77777777" w:rsidR="00317CD8" w:rsidRPr="00EC634F" w:rsidRDefault="00317CD8" w:rsidP="001632B2">
      <w:pPr>
        <w:pStyle w:val="ListBullet"/>
      </w:pPr>
      <w:r w:rsidRPr="001632B2">
        <w:t>negotiation</w:t>
      </w:r>
      <w:r w:rsidRPr="00EC634F">
        <w:t xml:space="preserve"> of the public lighting connection process. </w:t>
      </w:r>
    </w:p>
    <w:p w14:paraId="06AF2BDD" w14:textId="77777777" w:rsidR="00317CD8" w:rsidRDefault="00317CD8" w:rsidP="00317CD8">
      <w:pPr>
        <w:pStyle w:val="Heading3"/>
        <w:rPr>
          <w:lang w:val="en-US"/>
        </w:rPr>
      </w:pPr>
      <w:bookmarkStart w:id="31" w:name="_Toc212113743"/>
      <w:bookmarkStart w:id="32" w:name="_Toc213416968"/>
      <w:r>
        <w:rPr>
          <w:lang w:val="en-US"/>
        </w:rPr>
        <w:t>Connection to the national regulations</w:t>
      </w:r>
      <w:bookmarkEnd w:id="31"/>
      <w:bookmarkEnd w:id="32"/>
    </w:p>
    <w:p w14:paraId="09326D78" w14:textId="19FCB970" w:rsidR="00317CD8" w:rsidRDefault="00317CD8" w:rsidP="00317CD8">
      <w:pPr>
        <w:rPr>
          <w:lang w:val="en-US"/>
        </w:rPr>
      </w:pPr>
      <w:r>
        <w:rPr>
          <w:lang w:val="en-US"/>
        </w:rPr>
        <w:t>Parts of the code (such as asset management requirements and the connection framework) interact</w:t>
      </w:r>
      <w:r w:rsidRPr="00F64D37">
        <w:rPr>
          <w:lang w:val="en-US"/>
        </w:rPr>
        <w:t xml:space="preserve"> with the National Electricity Rules</w:t>
      </w:r>
      <w:r>
        <w:rPr>
          <w:lang w:val="en-US"/>
        </w:rPr>
        <w:t>’</w:t>
      </w:r>
      <w:r w:rsidRPr="00F64D37">
        <w:rPr>
          <w:lang w:val="en-US"/>
        </w:rPr>
        <w:t xml:space="preserve"> </w:t>
      </w:r>
      <w:r>
        <w:rPr>
          <w:lang w:val="en-US"/>
        </w:rPr>
        <w:t xml:space="preserve">distribution network economic regulatory framework (administered by the </w:t>
      </w:r>
      <w:r w:rsidRPr="00F64D37">
        <w:rPr>
          <w:lang w:val="en-US"/>
        </w:rPr>
        <w:t xml:space="preserve">Australian Energy </w:t>
      </w:r>
      <w:r>
        <w:rPr>
          <w:lang w:val="en-US"/>
        </w:rPr>
        <w:t>Regulator). This means the code requires electricity distribution businesses to deliver public lighting services</w:t>
      </w:r>
      <w:r w:rsidR="006D69D8">
        <w:rPr>
          <w:lang w:val="en-US"/>
        </w:rPr>
        <w:t xml:space="preserve"> but</w:t>
      </w:r>
      <w:r>
        <w:rPr>
          <w:lang w:val="en-US"/>
        </w:rPr>
        <w:t xml:space="preserve"> in accordance with the national economic regulatory framework.</w:t>
      </w:r>
      <w:r w:rsidR="00C50A6D">
        <w:rPr>
          <w:rStyle w:val="FootnoteReference"/>
          <w:lang w:val="en-US"/>
        </w:rPr>
        <w:footnoteReference w:id="2"/>
      </w:r>
      <w:r>
        <w:rPr>
          <w:lang w:val="en-US"/>
        </w:rPr>
        <w:t xml:space="preserve"> </w:t>
      </w:r>
    </w:p>
    <w:p w14:paraId="6E9E4033" w14:textId="2EA79FF6" w:rsidR="00317CD8" w:rsidRDefault="00317CD8" w:rsidP="00317CD8">
      <w:pPr>
        <w:pStyle w:val="Heading3"/>
        <w:rPr>
          <w:lang w:val="en-US"/>
        </w:rPr>
      </w:pPr>
      <w:bookmarkStart w:id="33" w:name="_Toc212113744"/>
      <w:bookmarkStart w:id="34" w:name="_Toc213416969"/>
      <w:r>
        <w:rPr>
          <w:lang w:val="en-US"/>
        </w:rPr>
        <w:t>Obligations under the Public Lighting Code</w:t>
      </w:r>
      <w:bookmarkEnd w:id="33"/>
      <w:bookmarkEnd w:id="34"/>
    </w:p>
    <w:p w14:paraId="33709799" w14:textId="7148BBB4" w:rsidR="000F2018" w:rsidRDefault="00317CD8" w:rsidP="00317CD8">
      <w:pPr>
        <w:rPr>
          <w:lang w:val="en-US"/>
        </w:rPr>
      </w:pPr>
      <w:r>
        <w:rPr>
          <w:lang w:val="en-US"/>
        </w:rPr>
        <w:t>The code’s obligations apply to electricity distribution businesses in their interactions and negotiations with large public lighting customers such as</w:t>
      </w:r>
      <w:r w:rsidR="0091677F">
        <w:rPr>
          <w:lang w:val="en-US"/>
        </w:rPr>
        <w:t xml:space="preserve"> </w:t>
      </w:r>
      <w:r>
        <w:rPr>
          <w:lang w:val="en-US"/>
        </w:rPr>
        <w:t>local councils</w:t>
      </w:r>
      <w:r w:rsidR="0091677F">
        <w:rPr>
          <w:lang w:val="en-US"/>
        </w:rPr>
        <w:t xml:space="preserve"> and </w:t>
      </w:r>
      <w:r>
        <w:rPr>
          <w:lang w:val="en-US"/>
        </w:rPr>
        <w:t>VicRoads</w:t>
      </w:r>
      <w:r w:rsidR="00A608CB">
        <w:rPr>
          <w:lang w:val="en-US"/>
        </w:rPr>
        <w:t>.</w:t>
      </w:r>
      <w:r w:rsidR="006358CA">
        <w:rPr>
          <w:rStyle w:val="FootnoteReference"/>
          <w:lang w:val="en-US"/>
        </w:rPr>
        <w:footnoteReference w:id="3"/>
      </w:r>
      <w:r w:rsidR="00A608CB">
        <w:rPr>
          <w:lang w:val="en-US"/>
        </w:rPr>
        <w:t xml:space="preserve"> </w:t>
      </w:r>
    </w:p>
    <w:p w14:paraId="228AED5F" w14:textId="31016B4F" w:rsidR="007A584F" w:rsidRDefault="00317CD8" w:rsidP="00F64D37">
      <w:pPr>
        <w:rPr>
          <w:lang w:val="en-US"/>
        </w:rPr>
      </w:pPr>
      <w:r>
        <w:rPr>
          <w:lang w:val="en-US"/>
        </w:rPr>
        <w:t xml:space="preserve">In addition, electricity distribution businesses have ongoing obligations under the code to manage and maintain public lighting service standards. These </w:t>
      </w:r>
      <w:r w:rsidR="00726527">
        <w:rPr>
          <w:lang w:val="en-US"/>
        </w:rPr>
        <w:t xml:space="preserve">service standard </w:t>
      </w:r>
      <w:r>
        <w:rPr>
          <w:lang w:val="en-US"/>
        </w:rPr>
        <w:t>obligations will continue to apply when they are transferred to the Electricity Distribution Code of Practice.</w:t>
      </w:r>
      <w:r w:rsidR="00C3662E">
        <w:rPr>
          <w:lang w:val="en-US"/>
        </w:rPr>
        <w:t xml:space="preserve">     </w:t>
      </w:r>
    </w:p>
    <w:p w14:paraId="3C0DB7AC" w14:textId="1E7E88A6" w:rsidR="007A3B2A" w:rsidRPr="00341B46" w:rsidRDefault="00977AF8" w:rsidP="007A3B2A">
      <w:pPr>
        <w:pStyle w:val="Heading1"/>
      </w:pPr>
      <w:bookmarkStart w:id="35" w:name="_Toc213416970"/>
      <w:r w:rsidRPr="00341B46">
        <w:lastRenderedPageBreak/>
        <w:t xml:space="preserve">Revoking the </w:t>
      </w:r>
      <w:r w:rsidR="007A3B2A" w:rsidRPr="00341B46">
        <w:t>Public Lighting Code</w:t>
      </w:r>
      <w:bookmarkEnd w:id="35"/>
    </w:p>
    <w:p w14:paraId="423B40F9" w14:textId="774CFEB3" w:rsidR="00143AB2" w:rsidRPr="00516E40" w:rsidRDefault="00143AB2" w:rsidP="00143AB2">
      <w:pPr>
        <w:pStyle w:val="Pull-outBullet1"/>
        <w:ind w:left="482"/>
        <w:rPr>
          <w:lang w:val="en-US"/>
        </w:rPr>
      </w:pPr>
      <w:r w:rsidRPr="00516E40">
        <w:rPr>
          <w:lang w:val="en-US"/>
        </w:rPr>
        <w:t xml:space="preserve">The Public Lighting Code will </w:t>
      </w:r>
      <w:r>
        <w:rPr>
          <w:lang w:val="en-US"/>
        </w:rPr>
        <w:t xml:space="preserve">be revoked </w:t>
      </w:r>
      <w:r w:rsidRPr="00516E40">
        <w:rPr>
          <w:lang w:val="en-US"/>
        </w:rPr>
        <w:t xml:space="preserve">on 31 December 2025. </w:t>
      </w:r>
    </w:p>
    <w:p w14:paraId="763872FC" w14:textId="0C55822E" w:rsidR="00143AB2" w:rsidRPr="00516E40" w:rsidRDefault="00A21CAA" w:rsidP="00143AB2">
      <w:pPr>
        <w:pStyle w:val="Pull-outBullet1"/>
        <w:ind w:left="482"/>
        <w:rPr>
          <w:lang w:val="en-US"/>
        </w:rPr>
      </w:pPr>
      <w:r>
        <w:rPr>
          <w:lang w:val="en-US"/>
        </w:rPr>
        <w:t xml:space="preserve">We will retain some </w:t>
      </w:r>
      <w:proofErr w:type="gramStart"/>
      <w:r>
        <w:rPr>
          <w:lang w:val="en-US"/>
        </w:rPr>
        <w:t>obligations,</w:t>
      </w:r>
      <w:proofErr w:type="gramEnd"/>
      <w:r>
        <w:rPr>
          <w:lang w:val="en-US"/>
        </w:rPr>
        <w:t xml:space="preserve"> by transferring these to </w:t>
      </w:r>
      <w:r w:rsidR="00143AB2" w:rsidRPr="00516E40">
        <w:rPr>
          <w:lang w:val="en-US"/>
        </w:rPr>
        <w:t>the Electricity Distribution Code of Practice</w:t>
      </w:r>
      <w:r>
        <w:rPr>
          <w:lang w:val="en-US"/>
        </w:rPr>
        <w:t xml:space="preserve">. This </w:t>
      </w:r>
      <w:r w:rsidR="00143AB2" w:rsidRPr="00516E40">
        <w:rPr>
          <w:lang w:val="en-US"/>
        </w:rPr>
        <w:t>will take effect from 1 January 2026.</w:t>
      </w:r>
    </w:p>
    <w:p w14:paraId="6EA02847" w14:textId="77777777" w:rsidR="00143AB2" w:rsidRPr="004544B4" w:rsidRDefault="00143AB2" w:rsidP="00143AB2">
      <w:pPr>
        <w:pStyle w:val="Heading2"/>
        <w:spacing w:after="120"/>
        <w:rPr>
          <w:rFonts w:eastAsia="Tahoma" w:cs="Tahoma"/>
        </w:rPr>
      </w:pPr>
      <w:bookmarkStart w:id="36" w:name="_Toc212113746"/>
      <w:bookmarkStart w:id="37" w:name="_Toc213416971"/>
      <w:r w:rsidRPr="004544B4">
        <w:rPr>
          <w:rFonts w:eastAsia="Tahoma" w:cs="Tahoma"/>
        </w:rPr>
        <w:t>Reducing regulatory overlap and duplication</w:t>
      </w:r>
      <w:bookmarkEnd w:id="36"/>
      <w:bookmarkEnd w:id="37"/>
      <w:r w:rsidRPr="004544B4">
        <w:rPr>
          <w:rFonts w:eastAsia="Tahoma" w:cs="Tahoma"/>
        </w:rPr>
        <w:t xml:space="preserve">  </w:t>
      </w:r>
    </w:p>
    <w:p w14:paraId="11361A04" w14:textId="7DD2849D" w:rsidR="00143AB2" w:rsidRPr="00FC19DD" w:rsidRDefault="00143AB2" w:rsidP="00143AB2">
      <w:pPr>
        <w:spacing w:after="120"/>
        <w:rPr>
          <w:rFonts w:ascii="Arial" w:eastAsia="Arial" w:hAnsi="Arial" w:cs="Arial"/>
          <w:lang w:val="en-US"/>
        </w:rPr>
      </w:pPr>
      <w:r>
        <w:rPr>
          <w:rFonts w:ascii="Arial" w:eastAsia="Arial" w:hAnsi="Arial" w:cs="Arial"/>
          <w:lang w:val="en-US"/>
        </w:rPr>
        <w:t>Many stakeholder submissions support</w:t>
      </w:r>
      <w:r w:rsidR="00E73A10">
        <w:rPr>
          <w:rFonts w:ascii="Arial" w:eastAsia="Arial" w:hAnsi="Arial" w:cs="Arial"/>
          <w:lang w:val="en-US"/>
        </w:rPr>
        <w:t>ed</w:t>
      </w:r>
      <w:r>
        <w:rPr>
          <w:rFonts w:ascii="Arial" w:eastAsia="Arial" w:hAnsi="Arial" w:cs="Arial"/>
          <w:lang w:val="en-US"/>
        </w:rPr>
        <w:t xml:space="preserve"> our proposal to revoke the </w:t>
      </w:r>
      <w:r w:rsidR="00E34CA1">
        <w:rPr>
          <w:rFonts w:ascii="Arial" w:eastAsia="Arial" w:hAnsi="Arial" w:cs="Arial"/>
          <w:lang w:val="en-US"/>
        </w:rPr>
        <w:t>code</w:t>
      </w:r>
      <w:r>
        <w:rPr>
          <w:rFonts w:ascii="Arial" w:eastAsia="Arial" w:hAnsi="Arial" w:cs="Arial"/>
          <w:lang w:val="en-US"/>
        </w:rPr>
        <w:t>.</w:t>
      </w:r>
      <w:r>
        <w:rPr>
          <w:rStyle w:val="FootnoteReference"/>
          <w:rFonts w:ascii="Arial" w:eastAsia="Arial" w:hAnsi="Arial" w:cs="Arial"/>
          <w:lang w:val="en-US"/>
        </w:rPr>
        <w:footnoteReference w:id="4"/>
      </w:r>
      <w:r>
        <w:rPr>
          <w:rFonts w:ascii="Arial" w:eastAsia="Arial" w:hAnsi="Arial" w:cs="Arial"/>
          <w:lang w:val="en-US"/>
        </w:rPr>
        <w:t xml:space="preserve"> They </w:t>
      </w:r>
      <w:r w:rsidR="00790871">
        <w:rPr>
          <w:rFonts w:ascii="Arial" w:eastAsia="Arial" w:hAnsi="Arial" w:cs="Arial"/>
          <w:lang w:val="en-US"/>
        </w:rPr>
        <w:t>agreed</w:t>
      </w:r>
      <w:r>
        <w:rPr>
          <w:rFonts w:ascii="Arial" w:eastAsia="Arial" w:hAnsi="Arial" w:cs="Arial"/>
          <w:lang w:val="en-US"/>
        </w:rPr>
        <w:t xml:space="preserve"> that the code is no longer fit-for-purpose, with many</w:t>
      </w:r>
      <w:r w:rsidRPr="0054648A">
        <w:rPr>
          <w:rFonts w:ascii="Arial" w:eastAsia="Arial" w:hAnsi="Arial" w:cs="Arial"/>
          <w:lang w:val="en-US"/>
        </w:rPr>
        <w:t xml:space="preserve"> </w:t>
      </w:r>
      <w:r>
        <w:rPr>
          <w:rFonts w:ascii="Arial" w:eastAsia="Arial" w:hAnsi="Arial" w:cs="Arial"/>
          <w:lang w:val="en-US"/>
        </w:rPr>
        <w:t xml:space="preserve">key </w:t>
      </w:r>
      <w:r w:rsidRPr="0054648A">
        <w:rPr>
          <w:rFonts w:ascii="Arial" w:eastAsia="Arial" w:hAnsi="Arial" w:cs="Arial"/>
          <w:lang w:val="en-US"/>
        </w:rPr>
        <w:t xml:space="preserve">obligations </w:t>
      </w:r>
      <w:r>
        <w:rPr>
          <w:rFonts w:ascii="Arial" w:eastAsia="Arial" w:hAnsi="Arial" w:cs="Arial"/>
          <w:lang w:val="en-US"/>
        </w:rPr>
        <w:t>(such as the connection</w:t>
      </w:r>
      <w:r w:rsidR="00157232">
        <w:rPr>
          <w:rFonts w:ascii="Arial" w:eastAsia="Arial" w:hAnsi="Arial" w:cs="Arial"/>
          <w:lang w:val="en-US"/>
        </w:rPr>
        <w:t>s</w:t>
      </w:r>
      <w:r>
        <w:rPr>
          <w:rFonts w:ascii="Arial" w:eastAsia="Arial" w:hAnsi="Arial" w:cs="Arial"/>
          <w:lang w:val="en-US"/>
        </w:rPr>
        <w:t xml:space="preserve"> framework) </w:t>
      </w:r>
      <w:r>
        <w:rPr>
          <w:lang w:val="en-US"/>
        </w:rPr>
        <w:t xml:space="preserve">overlapping or </w:t>
      </w:r>
      <w:r>
        <w:rPr>
          <w:rFonts w:ascii="Arial" w:eastAsia="Arial" w:hAnsi="Arial" w:cs="Arial"/>
          <w:lang w:val="en-US"/>
        </w:rPr>
        <w:t>duplicating the national framework.</w:t>
      </w:r>
    </w:p>
    <w:p w14:paraId="4418F533" w14:textId="3EBD256D" w:rsidR="00143AB2" w:rsidRPr="004544B4" w:rsidRDefault="00143AB2" w:rsidP="00143AB2">
      <w:pPr>
        <w:spacing w:after="120"/>
        <w:rPr>
          <w:rFonts w:ascii="Arial" w:eastAsia="Arial" w:hAnsi="Arial" w:cs="Arial"/>
          <w:lang w:val="en-US"/>
        </w:rPr>
      </w:pPr>
      <w:r w:rsidRPr="0054648A">
        <w:rPr>
          <w:rFonts w:ascii="Arial" w:eastAsia="Arial" w:hAnsi="Arial" w:cs="Arial"/>
          <w:lang w:val="en-US"/>
        </w:rPr>
        <w:t xml:space="preserve">Other </w:t>
      </w:r>
      <w:r w:rsidRPr="00170D58">
        <w:rPr>
          <w:rFonts w:ascii="Arial" w:eastAsia="Arial" w:hAnsi="Arial" w:cs="Arial"/>
          <w:lang w:val="en-US"/>
        </w:rPr>
        <w:t>Victoria</w:t>
      </w:r>
      <w:r>
        <w:rPr>
          <w:rFonts w:ascii="Arial" w:eastAsia="Arial" w:hAnsi="Arial" w:cs="Arial"/>
          <w:lang w:val="en-US"/>
        </w:rPr>
        <w:t>n-</w:t>
      </w:r>
      <w:r w:rsidRPr="00170D58">
        <w:rPr>
          <w:rFonts w:ascii="Arial" w:eastAsia="Arial" w:hAnsi="Arial" w:cs="Arial"/>
          <w:lang w:val="en-US"/>
        </w:rPr>
        <w:t>specific obligations</w:t>
      </w:r>
      <w:r w:rsidRPr="0054648A">
        <w:rPr>
          <w:rFonts w:ascii="Arial" w:eastAsia="Arial" w:hAnsi="Arial" w:cs="Arial"/>
          <w:lang w:val="en-US"/>
        </w:rPr>
        <w:t xml:space="preserve"> are</w:t>
      </w:r>
      <w:r w:rsidR="00CF13BB">
        <w:rPr>
          <w:rFonts w:ascii="Arial" w:eastAsia="Arial" w:hAnsi="Arial" w:cs="Arial"/>
          <w:lang w:val="en-US"/>
        </w:rPr>
        <w:t xml:space="preserve"> also</w:t>
      </w:r>
      <w:r w:rsidRPr="0054648A">
        <w:rPr>
          <w:rFonts w:ascii="Arial" w:eastAsia="Arial" w:hAnsi="Arial" w:cs="Arial"/>
          <w:lang w:val="en-US"/>
        </w:rPr>
        <w:t xml:space="preserve"> </w:t>
      </w:r>
      <w:r>
        <w:rPr>
          <w:rFonts w:ascii="Arial" w:eastAsia="Arial" w:hAnsi="Arial" w:cs="Arial"/>
          <w:lang w:val="en-US"/>
        </w:rPr>
        <w:t xml:space="preserve">duplicated, </w:t>
      </w:r>
      <w:r w:rsidRPr="004544B4">
        <w:rPr>
          <w:rFonts w:ascii="Arial" w:eastAsia="Arial" w:hAnsi="Arial" w:cs="Arial"/>
          <w:lang w:val="en-US"/>
        </w:rPr>
        <w:t>includ</w:t>
      </w:r>
      <w:r w:rsidR="001B6C52">
        <w:rPr>
          <w:rFonts w:ascii="Arial" w:eastAsia="Arial" w:hAnsi="Arial" w:cs="Arial"/>
          <w:lang w:val="en-US"/>
        </w:rPr>
        <w:t>ing</w:t>
      </w:r>
      <w:r w:rsidRPr="004544B4">
        <w:rPr>
          <w:rFonts w:ascii="Arial" w:eastAsia="Arial" w:hAnsi="Arial" w:cs="Arial"/>
          <w:lang w:val="en-US"/>
        </w:rPr>
        <w:t xml:space="preserve"> </w:t>
      </w:r>
      <w:r>
        <w:rPr>
          <w:rFonts w:ascii="Arial" w:eastAsia="Arial" w:hAnsi="Arial" w:cs="Arial"/>
          <w:lang w:val="en-US"/>
        </w:rPr>
        <w:t>asset management</w:t>
      </w:r>
      <w:r w:rsidRPr="004544B4">
        <w:rPr>
          <w:rFonts w:ascii="Arial" w:eastAsia="Arial" w:hAnsi="Arial" w:cs="Arial"/>
          <w:lang w:val="en-US"/>
        </w:rPr>
        <w:t xml:space="preserve"> </w:t>
      </w:r>
      <w:r w:rsidR="00AF7D0C">
        <w:rPr>
          <w:rFonts w:ascii="Arial" w:eastAsia="Arial" w:hAnsi="Arial" w:cs="Arial"/>
          <w:lang w:val="en-US"/>
        </w:rPr>
        <w:t>requirements</w:t>
      </w:r>
      <w:r>
        <w:rPr>
          <w:rFonts w:ascii="Arial" w:eastAsia="Arial" w:hAnsi="Arial" w:cs="Arial"/>
          <w:lang w:val="en-US"/>
        </w:rPr>
        <w:t xml:space="preserve">, processes for handling complaints and dispute resolution. Where gaps </w:t>
      </w:r>
      <w:r w:rsidR="009C6A93">
        <w:rPr>
          <w:rFonts w:ascii="Arial" w:eastAsia="Arial" w:hAnsi="Arial" w:cs="Arial"/>
          <w:lang w:val="en-US"/>
        </w:rPr>
        <w:t>exist,</w:t>
      </w:r>
      <w:r>
        <w:rPr>
          <w:rFonts w:ascii="Arial" w:eastAsia="Arial" w:hAnsi="Arial" w:cs="Arial"/>
          <w:lang w:val="en-US"/>
        </w:rPr>
        <w:t xml:space="preserve"> we will transfer those obligations to </w:t>
      </w:r>
      <w:r w:rsidRPr="0054648A">
        <w:rPr>
          <w:rFonts w:ascii="Arial" w:eastAsia="Arial" w:hAnsi="Arial" w:cs="Arial"/>
          <w:lang w:val="en-US"/>
        </w:rPr>
        <w:t xml:space="preserve">the </w:t>
      </w:r>
      <w:r>
        <w:rPr>
          <w:rFonts w:ascii="Arial" w:eastAsia="Arial" w:hAnsi="Arial" w:cs="Arial"/>
          <w:lang w:val="en-US"/>
        </w:rPr>
        <w:t>Electricity Distribution Code of Practice.</w:t>
      </w:r>
      <w:r w:rsidRPr="0054648A">
        <w:rPr>
          <w:rFonts w:ascii="Arial" w:eastAsia="Arial" w:hAnsi="Arial" w:cs="Arial"/>
          <w:lang w:val="en-US"/>
        </w:rPr>
        <w:t xml:space="preserve"> </w:t>
      </w:r>
      <w:r>
        <w:rPr>
          <w:rFonts w:ascii="Arial" w:eastAsia="Arial" w:hAnsi="Arial" w:cs="Arial"/>
          <w:lang w:val="en-US"/>
        </w:rPr>
        <w:t xml:space="preserve">Our consultation paper </w:t>
      </w:r>
      <w:r w:rsidRPr="004544B4">
        <w:rPr>
          <w:rFonts w:ascii="Arial" w:eastAsia="Arial" w:hAnsi="Arial" w:cs="Arial"/>
          <w:lang w:val="en-US"/>
        </w:rPr>
        <w:t>provide</w:t>
      </w:r>
      <w:r>
        <w:rPr>
          <w:rFonts w:ascii="Arial" w:eastAsia="Arial" w:hAnsi="Arial" w:cs="Arial"/>
          <w:lang w:val="en-US"/>
        </w:rPr>
        <w:t>d</w:t>
      </w:r>
      <w:r w:rsidRPr="004544B4">
        <w:rPr>
          <w:rFonts w:ascii="Arial" w:eastAsia="Arial" w:hAnsi="Arial" w:cs="Arial"/>
          <w:lang w:val="en-US"/>
        </w:rPr>
        <w:t xml:space="preserve"> a clause-by-clause analysis of the </w:t>
      </w:r>
      <w:r>
        <w:rPr>
          <w:rFonts w:ascii="Arial" w:eastAsia="Arial" w:hAnsi="Arial" w:cs="Arial"/>
          <w:lang w:val="en-US"/>
        </w:rPr>
        <w:t>code to outline our approach to revocation</w:t>
      </w:r>
      <w:r w:rsidRPr="004544B4">
        <w:rPr>
          <w:rFonts w:ascii="Arial" w:eastAsia="Arial" w:hAnsi="Arial" w:cs="Arial"/>
          <w:lang w:val="en-US"/>
        </w:rPr>
        <w:t>.</w:t>
      </w:r>
      <w:r>
        <w:rPr>
          <w:rStyle w:val="FootnoteReference"/>
          <w:rFonts w:ascii="Arial" w:eastAsia="Arial" w:hAnsi="Arial" w:cs="Arial"/>
          <w:lang w:val="en-US"/>
        </w:rPr>
        <w:footnoteReference w:id="5"/>
      </w:r>
      <w:r w:rsidRPr="004544B4">
        <w:rPr>
          <w:rFonts w:ascii="Arial" w:eastAsia="Arial" w:hAnsi="Arial" w:cs="Arial"/>
          <w:lang w:val="en-US"/>
        </w:rPr>
        <w:t xml:space="preserve"> It detail</w:t>
      </w:r>
      <w:r>
        <w:rPr>
          <w:rFonts w:ascii="Arial" w:eastAsia="Arial" w:hAnsi="Arial" w:cs="Arial"/>
          <w:lang w:val="en-US"/>
        </w:rPr>
        <w:t>ed</w:t>
      </w:r>
      <w:r w:rsidRPr="004544B4">
        <w:rPr>
          <w:rFonts w:ascii="Arial" w:eastAsia="Arial" w:hAnsi="Arial" w:cs="Arial"/>
          <w:lang w:val="en-US"/>
        </w:rPr>
        <w:t xml:space="preserve"> why we consider</w:t>
      </w:r>
      <w:r>
        <w:rPr>
          <w:rFonts w:ascii="Arial" w:eastAsia="Arial" w:hAnsi="Arial" w:cs="Arial"/>
          <w:lang w:val="en-US"/>
        </w:rPr>
        <w:t>ed</w:t>
      </w:r>
      <w:r w:rsidRPr="004544B4">
        <w:rPr>
          <w:rFonts w:ascii="Arial" w:eastAsia="Arial" w:hAnsi="Arial" w:cs="Arial"/>
          <w:lang w:val="en-US"/>
        </w:rPr>
        <w:t xml:space="preserve"> </w:t>
      </w:r>
      <w:r>
        <w:rPr>
          <w:rFonts w:ascii="Arial" w:eastAsia="Arial" w:hAnsi="Arial" w:cs="Arial"/>
          <w:lang w:val="en-US"/>
        </w:rPr>
        <w:t xml:space="preserve">the </w:t>
      </w:r>
      <w:r w:rsidRPr="004544B4">
        <w:rPr>
          <w:rFonts w:ascii="Arial" w:eastAsia="Arial" w:hAnsi="Arial" w:cs="Arial"/>
          <w:lang w:val="en-US"/>
        </w:rPr>
        <w:t xml:space="preserve">obligations within </w:t>
      </w:r>
      <w:r>
        <w:rPr>
          <w:rFonts w:ascii="Arial" w:eastAsia="Arial" w:hAnsi="Arial" w:cs="Arial"/>
          <w:lang w:val="en-US"/>
        </w:rPr>
        <w:t xml:space="preserve">the code </w:t>
      </w:r>
      <w:r w:rsidRPr="004544B4">
        <w:rPr>
          <w:rFonts w:ascii="Arial" w:eastAsia="Arial" w:hAnsi="Arial" w:cs="Arial"/>
          <w:lang w:val="en-US"/>
        </w:rPr>
        <w:t>are: </w:t>
      </w:r>
    </w:p>
    <w:p w14:paraId="0C8388D0" w14:textId="77777777" w:rsidR="00143AB2" w:rsidRPr="004544B4" w:rsidRDefault="00143AB2" w:rsidP="001632B2">
      <w:pPr>
        <w:pStyle w:val="ListBullet"/>
      </w:pPr>
      <w:r>
        <w:t xml:space="preserve">overlapped or </w:t>
      </w:r>
      <w:r w:rsidRPr="004544B4">
        <w:t xml:space="preserve">duplicated </w:t>
      </w:r>
      <w:r>
        <w:t>by</w:t>
      </w:r>
      <w:r w:rsidRPr="004544B4">
        <w:t xml:space="preserve"> the national framework or other codes of practice </w:t>
      </w:r>
    </w:p>
    <w:p w14:paraId="2D243A87" w14:textId="77777777" w:rsidR="00143AB2" w:rsidRPr="004544B4" w:rsidRDefault="00143AB2" w:rsidP="001632B2">
      <w:pPr>
        <w:pStyle w:val="ListBullet"/>
      </w:pPr>
      <w:r w:rsidRPr="004544B4">
        <w:t>outdated </w:t>
      </w:r>
    </w:p>
    <w:p w14:paraId="61E611E6" w14:textId="77777777" w:rsidR="00143AB2" w:rsidRPr="004544B4" w:rsidRDefault="00143AB2" w:rsidP="001632B2">
      <w:pPr>
        <w:pStyle w:val="ListBullet"/>
      </w:pPr>
      <w:r w:rsidRPr="004544B4">
        <w:t>not relevant</w:t>
      </w:r>
      <w:r>
        <w:t>.</w:t>
      </w:r>
    </w:p>
    <w:p w14:paraId="3C416F5C" w14:textId="4640A393" w:rsidR="007B2231" w:rsidRDefault="007B2231" w:rsidP="007B2231">
      <w:pPr>
        <w:spacing w:after="120"/>
        <w:rPr>
          <w:rFonts w:ascii="Arial" w:eastAsia="Arial" w:hAnsi="Arial" w:cs="Arial"/>
          <w:lang w:val="en-US"/>
        </w:rPr>
      </w:pPr>
      <w:r>
        <w:rPr>
          <w:rFonts w:ascii="Arial" w:eastAsia="Arial" w:hAnsi="Arial" w:cs="Arial"/>
          <w:lang w:val="en-US"/>
        </w:rPr>
        <w:t>Our final decision is to revoke the Public Lighting Code.</w:t>
      </w:r>
    </w:p>
    <w:p w14:paraId="6D44FCCC" w14:textId="77777777" w:rsidR="00E055F7" w:rsidRDefault="00D242BA" w:rsidP="00143AB2">
      <w:pPr>
        <w:spacing w:after="120"/>
        <w:rPr>
          <w:rFonts w:ascii="Arial" w:eastAsia="Arial" w:hAnsi="Arial" w:cs="Arial"/>
          <w:lang w:val="en-US"/>
        </w:rPr>
      </w:pPr>
      <w:r>
        <w:rPr>
          <w:rFonts w:ascii="Arial" w:eastAsia="Arial" w:hAnsi="Arial" w:cs="Arial"/>
          <w:lang w:val="en-US"/>
        </w:rPr>
        <w:t>S</w:t>
      </w:r>
      <w:r w:rsidR="00143AB2" w:rsidRPr="000A3123">
        <w:rPr>
          <w:rFonts w:ascii="Arial" w:eastAsia="Arial" w:hAnsi="Arial" w:cs="Arial"/>
          <w:lang w:val="en-US"/>
        </w:rPr>
        <w:t xml:space="preserve">ome stakeholders </w:t>
      </w:r>
      <w:r w:rsidR="00157232" w:rsidRPr="000A3123">
        <w:rPr>
          <w:rFonts w:ascii="Arial" w:eastAsia="Arial" w:hAnsi="Arial" w:cs="Arial"/>
          <w:lang w:val="en-US"/>
        </w:rPr>
        <w:t xml:space="preserve">suggested </w:t>
      </w:r>
      <w:r w:rsidR="00143AB2" w:rsidRPr="000A3123">
        <w:rPr>
          <w:rFonts w:ascii="Arial" w:eastAsia="Arial" w:hAnsi="Arial" w:cs="Arial"/>
          <w:lang w:val="en-US"/>
        </w:rPr>
        <w:t>t</w:t>
      </w:r>
      <w:r w:rsidR="00691B38" w:rsidRPr="000A3123">
        <w:rPr>
          <w:rFonts w:ascii="Arial" w:eastAsia="Arial" w:hAnsi="Arial" w:cs="Arial"/>
          <w:lang w:val="en-US"/>
        </w:rPr>
        <w:t>hree</w:t>
      </w:r>
      <w:r w:rsidR="00143AB2" w:rsidRPr="000A3123">
        <w:rPr>
          <w:rFonts w:ascii="Arial" w:eastAsia="Arial" w:hAnsi="Arial" w:cs="Arial"/>
          <w:lang w:val="en-US"/>
        </w:rPr>
        <w:t xml:space="preserve"> obligations </w:t>
      </w:r>
      <w:r w:rsidR="00157232" w:rsidRPr="000A3123">
        <w:rPr>
          <w:rFonts w:ascii="Arial" w:eastAsia="Arial" w:hAnsi="Arial" w:cs="Arial"/>
          <w:lang w:val="en-US"/>
        </w:rPr>
        <w:t>that could be retained</w:t>
      </w:r>
      <w:r w:rsidR="000A00F0" w:rsidRPr="000A3123">
        <w:rPr>
          <w:rFonts w:ascii="Arial" w:eastAsia="Arial" w:hAnsi="Arial" w:cs="Arial"/>
          <w:lang w:val="en-US"/>
        </w:rPr>
        <w:t xml:space="preserve">. Our final decision is </w:t>
      </w:r>
      <w:r w:rsidR="00143AB2" w:rsidRPr="000A3123">
        <w:rPr>
          <w:rFonts w:ascii="Arial" w:eastAsia="Arial" w:hAnsi="Arial" w:cs="Arial"/>
          <w:lang w:val="en-US"/>
        </w:rPr>
        <w:t>to</w:t>
      </w:r>
      <w:r w:rsidR="006C5CF9" w:rsidRPr="000A3123">
        <w:rPr>
          <w:rFonts w:ascii="Arial" w:eastAsia="Arial" w:hAnsi="Arial" w:cs="Arial"/>
          <w:lang w:val="en-US"/>
        </w:rPr>
        <w:t xml:space="preserve"> retain </w:t>
      </w:r>
      <w:r w:rsidR="00691B38" w:rsidRPr="000A3123">
        <w:rPr>
          <w:rFonts w:ascii="Arial" w:eastAsia="Arial" w:hAnsi="Arial" w:cs="Arial"/>
          <w:lang w:val="en-US"/>
        </w:rPr>
        <w:t>two</w:t>
      </w:r>
      <w:r w:rsidR="0016480C" w:rsidRPr="000A3123">
        <w:rPr>
          <w:rFonts w:ascii="Arial" w:eastAsia="Arial" w:hAnsi="Arial" w:cs="Arial"/>
          <w:lang w:val="en-US"/>
        </w:rPr>
        <w:t xml:space="preserve"> of those</w:t>
      </w:r>
      <w:r w:rsidR="006C5CF9" w:rsidRPr="000A3123">
        <w:rPr>
          <w:rFonts w:ascii="Arial" w:eastAsia="Arial" w:hAnsi="Arial" w:cs="Arial"/>
          <w:lang w:val="en-US"/>
        </w:rPr>
        <w:t xml:space="preserve"> obligations</w:t>
      </w:r>
      <w:r w:rsidR="008B5D8C" w:rsidRPr="000A3123">
        <w:rPr>
          <w:rFonts w:ascii="Arial" w:eastAsia="Arial" w:hAnsi="Arial" w:cs="Arial"/>
          <w:lang w:val="en-US"/>
        </w:rPr>
        <w:t xml:space="preserve"> (</w:t>
      </w:r>
      <w:r w:rsidR="007C3F07" w:rsidRPr="000A3123">
        <w:rPr>
          <w:rFonts w:ascii="Arial" w:eastAsia="Arial" w:hAnsi="Arial" w:cs="Arial"/>
          <w:lang w:val="en-US"/>
        </w:rPr>
        <w:t xml:space="preserve">by transferring </w:t>
      </w:r>
      <w:r w:rsidR="002D1AFE" w:rsidRPr="000A3123">
        <w:rPr>
          <w:rFonts w:ascii="Arial" w:eastAsia="Arial" w:hAnsi="Arial" w:cs="Arial"/>
          <w:lang w:val="en-US"/>
        </w:rPr>
        <w:t>the</w:t>
      </w:r>
      <w:r w:rsidR="00B46063" w:rsidRPr="000A3123">
        <w:rPr>
          <w:rFonts w:ascii="Arial" w:eastAsia="Arial" w:hAnsi="Arial" w:cs="Arial"/>
          <w:lang w:val="en-US"/>
        </w:rPr>
        <w:t>m</w:t>
      </w:r>
      <w:r w:rsidR="007C3F07" w:rsidRPr="000A3123">
        <w:rPr>
          <w:rFonts w:ascii="Arial" w:eastAsia="Arial" w:hAnsi="Arial" w:cs="Arial"/>
          <w:lang w:val="en-US"/>
        </w:rPr>
        <w:t xml:space="preserve"> to the Electricity Distribution Code of Practice)</w:t>
      </w:r>
      <w:r w:rsidR="008B5D8C" w:rsidRPr="000A3123">
        <w:rPr>
          <w:rFonts w:ascii="Arial" w:eastAsia="Arial" w:hAnsi="Arial" w:cs="Arial"/>
          <w:lang w:val="en-US"/>
        </w:rPr>
        <w:t>.</w:t>
      </w:r>
      <w:r w:rsidR="00143AB2" w:rsidRPr="000A3123">
        <w:rPr>
          <w:rFonts w:ascii="Arial" w:eastAsia="Arial" w:hAnsi="Arial" w:cs="Arial"/>
          <w:lang w:val="en-US"/>
        </w:rPr>
        <w:t xml:space="preserve"> </w:t>
      </w:r>
    </w:p>
    <w:p w14:paraId="2A8FAEC0" w14:textId="635A5184" w:rsidR="00E055F7" w:rsidRPr="004544B4" w:rsidRDefault="00E055F7" w:rsidP="00E055F7">
      <w:pPr>
        <w:spacing w:after="120"/>
        <w:rPr>
          <w:rFonts w:ascii="Arial" w:eastAsia="Arial" w:hAnsi="Arial" w:cs="Arial"/>
          <w:lang w:val="en-US"/>
        </w:rPr>
      </w:pPr>
      <w:r>
        <w:rPr>
          <w:rFonts w:ascii="Arial" w:eastAsia="Arial" w:hAnsi="Arial" w:cs="Arial"/>
          <w:lang w:val="en-US"/>
        </w:rPr>
        <w:t xml:space="preserve">We also considered the costs and benefits of our decision. We expect our </w:t>
      </w:r>
      <w:r w:rsidRPr="00A1764D">
        <w:rPr>
          <w:rFonts w:ascii="Arial" w:eastAsia="Arial" w:hAnsi="Arial" w:cs="Arial"/>
          <w:lang w:val="en-US"/>
        </w:rPr>
        <w:t xml:space="preserve">proposed changes </w:t>
      </w:r>
      <w:r w:rsidR="00F4104F">
        <w:rPr>
          <w:rFonts w:ascii="Arial" w:eastAsia="Arial" w:hAnsi="Arial" w:cs="Arial"/>
          <w:lang w:val="en-US"/>
        </w:rPr>
        <w:t>will</w:t>
      </w:r>
      <w:r>
        <w:rPr>
          <w:rFonts w:ascii="Arial" w:eastAsia="Arial" w:hAnsi="Arial" w:cs="Arial"/>
          <w:lang w:val="en-US"/>
        </w:rPr>
        <w:t xml:space="preserve"> reduce </w:t>
      </w:r>
      <w:r w:rsidRPr="00A1764D">
        <w:rPr>
          <w:rFonts w:ascii="Arial" w:eastAsia="Arial" w:hAnsi="Arial" w:cs="Arial"/>
          <w:lang w:val="en-US"/>
        </w:rPr>
        <w:t>cost</w:t>
      </w:r>
      <w:r>
        <w:rPr>
          <w:rFonts w:ascii="Arial" w:eastAsia="Arial" w:hAnsi="Arial" w:cs="Arial"/>
          <w:lang w:val="en-US"/>
        </w:rPr>
        <w:t>s</w:t>
      </w:r>
      <w:r w:rsidRPr="00A1764D">
        <w:rPr>
          <w:rFonts w:ascii="Arial" w:eastAsia="Arial" w:hAnsi="Arial" w:cs="Arial"/>
          <w:lang w:val="en-US"/>
        </w:rPr>
        <w:t xml:space="preserve"> </w:t>
      </w:r>
      <w:r>
        <w:rPr>
          <w:rFonts w:ascii="Arial" w:eastAsia="Arial" w:hAnsi="Arial" w:cs="Arial"/>
          <w:lang w:val="en-US"/>
        </w:rPr>
        <w:t xml:space="preserve">compared to </w:t>
      </w:r>
      <w:r w:rsidRPr="00A1764D">
        <w:rPr>
          <w:rFonts w:ascii="Arial" w:eastAsia="Arial" w:hAnsi="Arial" w:cs="Arial"/>
          <w:lang w:val="en-US"/>
        </w:rPr>
        <w:t xml:space="preserve">retaining the entire </w:t>
      </w:r>
      <w:r w:rsidR="00BF5437">
        <w:rPr>
          <w:rFonts w:ascii="Arial" w:eastAsia="Arial" w:hAnsi="Arial" w:cs="Arial"/>
          <w:lang w:val="en-US"/>
        </w:rPr>
        <w:t>code</w:t>
      </w:r>
      <w:r w:rsidRPr="00A1764D">
        <w:rPr>
          <w:rFonts w:ascii="Arial" w:eastAsia="Arial" w:hAnsi="Arial" w:cs="Arial"/>
          <w:lang w:val="en-US"/>
        </w:rPr>
        <w:t xml:space="preserve">. </w:t>
      </w:r>
      <w:r>
        <w:rPr>
          <w:rFonts w:ascii="Arial" w:eastAsia="Arial" w:hAnsi="Arial" w:cs="Arial"/>
          <w:lang w:val="en-US"/>
        </w:rPr>
        <w:t xml:space="preserve">Our final decision </w:t>
      </w:r>
      <w:r w:rsidRPr="00A1764D">
        <w:rPr>
          <w:rFonts w:ascii="Arial" w:eastAsia="Arial" w:hAnsi="Arial" w:cs="Arial"/>
          <w:lang w:val="en-US"/>
        </w:rPr>
        <w:t>reduce</w:t>
      </w:r>
      <w:r>
        <w:rPr>
          <w:rFonts w:ascii="Arial" w:eastAsia="Arial" w:hAnsi="Arial" w:cs="Arial"/>
          <w:lang w:val="en-US"/>
        </w:rPr>
        <w:t>s</w:t>
      </w:r>
      <w:r w:rsidRPr="00A1764D">
        <w:rPr>
          <w:rFonts w:ascii="Arial" w:eastAsia="Arial" w:hAnsi="Arial" w:cs="Arial"/>
          <w:lang w:val="en-US"/>
        </w:rPr>
        <w:t xml:space="preserve"> </w:t>
      </w:r>
      <w:r>
        <w:rPr>
          <w:rFonts w:ascii="Arial" w:eastAsia="Arial" w:hAnsi="Arial" w:cs="Arial"/>
          <w:lang w:val="en-US"/>
        </w:rPr>
        <w:t xml:space="preserve">regulatory overlap and </w:t>
      </w:r>
      <w:r w:rsidRPr="00A1764D">
        <w:rPr>
          <w:rFonts w:ascii="Arial" w:eastAsia="Arial" w:hAnsi="Arial" w:cs="Arial"/>
          <w:lang w:val="en-US"/>
        </w:rPr>
        <w:t xml:space="preserve">duplication, </w:t>
      </w:r>
      <w:r>
        <w:rPr>
          <w:rFonts w:ascii="Arial" w:eastAsia="Arial" w:hAnsi="Arial" w:cs="Arial"/>
          <w:lang w:val="en-US"/>
        </w:rPr>
        <w:t xml:space="preserve">gives </w:t>
      </w:r>
      <w:r w:rsidRPr="00A1764D">
        <w:rPr>
          <w:rFonts w:ascii="Arial" w:eastAsia="Arial" w:hAnsi="Arial" w:cs="Arial"/>
          <w:lang w:val="en-US"/>
        </w:rPr>
        <w:t xml:space="preserve">clarity for industry, and more flexibility that benefits </w:t>
      </w:r>
      <w:r w:rsidR="0013640E">
        <w:rPr>
          <w:rFonts w:ascii="Arial" w:eastAsia="Arial" w:hAnsi="Arial" w:cs="Arial"/>
          <w:lang w:val="en-US"/>
        </w:rPr>
        <w:t xml:space="preserve">public lighting </w:t>
      </w:r>
      <w:r w:rsidRPr="00A1764D">
        <w:rPr>
          <w:rFonts w:ascii="Arial" w:eastAsia="Arial" w:hAnsi="Arial" w:cs="Arial"/>
          <w:lang w:val="en-US"/>
        </w:rPr>
        <w:t>customer</w:t>
      </w:r>
      <w:r>
        <w:rPr>
          <w:rFonts w:ascii="Arial" w:eastAsia="Arial" w:hAnsi="Arial" w:cs="Arial"/>
          <w:lang w:val="en-US"/>
        </w:rPr>
        <w:t>s</w:t>
      </w:r>
      <w:r w:rsidRPr="00A1764D">
        <w:rPr>
          <w:rFonts w:ascii="Arial" w:eastAsia="Arial" w:hAnsi="Arial" w:cs="Arial"/>
          <w:lang w:val="en-US"/>
        </w:rPr>
        <w:t xml:space="preserve"> and </w:t>
      </w:r>
      <w:r w:rsidR="0013640E">
        <w:rPr>
          <w:rFonts w:ascii="Arial" w:eastAsia="Arial" w:hAnsi="Arial" w:cs="Arial"/>
          <w:lang w:val="en-US"/>
        </w:rPr>
        <w:t xml:space="preserve">electricity </w:t>
      </w:r>
      <w:r w:rsidRPr="00A1764D">
        <w:rPr>
          <w:rFonts w:ascii="Arial" w:eastAsia="Arial" w:hAnsi="Arial" w:cs="Arial"/>
          <w:lang w:val="en-US"/>
        </w:rPr>
        <w:t>distribut</w:t>
      </w:r>
      <w:r w:rsidR="0013640E">
        <w:rPr>
          <w:rFonts w:ascii="Arial" w:eastAsia="Arial" w:hAnsi="Arial" w:cs="Arial"/>
          <w:lang w:val="en-US"/>
        </w:rPr>
        <w:t>ion businesses</w:t>
      </w:r>
      <w:r>
        <w:rPr>
          <w:rFonts w:ascii="Arial" w:eastAsia="Arial" w:hAnsi="Arial" w:cs="Arial"/>
          <w:lang w:val="en-US"/>
        </w:rPr>
        <w:t>.</w:t>
      </w:r>
      <w:r>
        <w:rPr>
          <w:rStyle w:val="FootnoteReference"/>
          <w:rFonts w:ascii="Arial" w:eastAsia="Arial" w:hAnsi="Arial" w:cs="Arial"/>
          <w:lang w:val="en-US"/>
        </w:rPr>
        <w:footnoteReference w:id="6"/>
      </w:r>
      <w:r>
        <w:rPr>
          <w:rFonts w:ascii="Arial" w:eastAsia="Arial" w:hAnsi="Arial" w:cs="Arial"/>
          <w:lang w:val="en-US"/>
        </w:rPr>
        <w:t xml:space="preserve"> </w:t>
      </w:r>
    </w:p>
    <w:p w14:paraId="5249A1FC" w14:textId="690AC62C" w:rsidR="00143AB2" w:rsidRDefault="00143AB2" w:rsidP="00143AB2">
      <w:pPr>
        <w:spacing w:after="120"/>
        <w:rPr>
          <w:rFonts w:ascii="Arial" w:eastAsia="Arial" w:hAnsi="Arial" w:cs="Arial"/>
          <w:lang w:val="en-US"/>
        </w:rPr>
      </w:pPr>
      <w:r w:rsidRPr="000A3123">
        <w:rPr>
          <w:rFonts w:ascii="Arial" w:eastAsia="Arial" w:hAnsi="Arial" w:cs="Arial"/>
          <w:lang w:val="en-US"/>
        </w:rPr>
        <w:t>The following</w:t>
      </w:r>
      <w:r>
        <w:rPr>
          <w:rFonts w:ascii="Arial" w:eastAsia="Arial" w:hAnsi="Arial" w:cs="Arial"/>
          <w:lang w:val="en-US"/>
        </w:rPr>
        <w:t xml:space="preserve"> sections detail </w:t>
      </w:r>
      <w:r w:rsidR="008766D0">
        <w:rPr>
          <w:rFonts w:ascii="Arial" w:eastAsia="Arial" w:hAnsi="Arial" w:cs="Arial"/>
          <w:lang w:val="en-US"/>
        </w:rPr>
        <w:t xml:space="preserve">our </w:t>
      </w:r>
      <w:r>
        <w:rPr>
          <w:rFonts w:ascii="Arial" w:eastAsia="Arial" w:hAnsi="Arial" w:cs="Arial"/>
          <w:lang w:val="en-US"/>
        </w:rPr>
        <w:t>considerations.</w:t>
      </w:r>
    </w:p>
    <w:p w14:paraId="6DD81CEE" w14:textId="70DB27F3" w:rsidR="00143AB2" w:rsidRDefault="00143AB2" w:rsidP="00143AB2">
      <w:pPr>
        <w:pStyle w:val="Heading3"/>
        <w:rPr>
          <w:lang w:val="en-US"/>
        </w:rPr>
      </w:pPr>
      <w:bookmarkStart w:id="38" w:name="_Toc212113747"/>
      <w:bookmarkStart w:id="39" w:name="_Toc213416972"/>
      <w:r>
        <w:rPr>
          <w:lang w:val="en-US"/>
        </w:rPr>
        <w:lastRenderedPageBreak/>
        <w:t>Stakeholder support to retain t</w:t>
      </w:r>
      <w:r w:rsidR="00874D4B">
        <w:rPr>
          <w:lang w:val="en-US"/>
        </w:rPr>
        <w:t>hree</w:t>
      </w:r>
      <w:r>
        <w:rPr>
          <w:lang w:val="en-US"/>
        </w:rPr>
        <w:t xml:space="preserve"> obligations</w:t>
      </w:r>
      <w:bookmarkEnd w:id="38"/>
      <w:bookmarkEnd w:id="39"/>
      <w:r>
        <w:rPr>
          <w:lang w:val="en-US"/>
        </w:rPr>
        <w:t xml:space="preserve"> </w:t>
      </w:r>
    </w:p>
    <w:p w14:paraId="16DAD53E" w14:textId="530DAD3D" w:rsidR="00143AB2" w:rsidRDefault="00143AB2" w:rsidP="00143AB2">
      <w:pPr>
        <w:spacing w:after="120"/>
        <w:rPr>
          <w:rFonts w:ascii="Arial" w:eastAsia="Arial" w:hAnsi="Arial" w:cs="Arial"/>
          <w:lang w:val="en-US"/>
        </w:rPr>
      </w:pPr>
      <w:r>
        <w:rPr>
          <w:rFonts w:ascii="Arial" w:eastAsia="Arial" w:hAnsi="Arial" w:cs="Arial"/>
          <w:lang w:val="en-US"/>
        </w:rPr>
        <w:t xml:space="preserve">In our consultation paper we proposed to revoke the code in its entirety and retain some </w:t>
      </w:r>
      <w:r w:rsidR="00D8453D">
        <w:rPr>
          <w:rFonts w:ascii="Arial" w:eastAsia="Arial" w:hAnsi="Arial" w:cs="Arial"/>
          <w:lang w:val="en-US"/>
        </w:rPr>
        <w:t xml:space="preserve">obligations </w:t>
      </w:r>
      <w:r>
        <w:rPr>
          <w:rFonts w:ascii="Arial" w:eastAsia="Arial" w:hAnsi="Arial" w:cs="Arial"/>
          <w:lang w:val="en-US"/>
        </w:rPr>
        <w:t xml:space="preserve">under the Electricity Distribution Code of Practice. </w:t>
      </w:r>
      <w:r w:rsidR="00BD189E">
        <w:rPr>
          <w:rFonts w:ascii="Arial" w:eastAsia="Arial" w:hAnsi="Arial" w:cs="Arial"/>
          <w:lang w:val="en-US"/>
        </w:rPr>
        <w:t>S</w:t>
      </w:r>
      <w:r>
        <w:rPr>
          <w:rFonts w:ascii="Arial" w:eastAsia="Arial" w:hAnsi="Arial" w:cs="Arial"/>
          <w:lang w:val="en-US"/>
        </w:rPr>
        <w:t>ome electricity distribution businesses,</w:t>
      </w:r>
      <w:r w:rsidR="00577C6B">
        <w:rPr>
          <w:rStyle w:val="FootnoteReference"/>
          <w:rFonts w:ascii="Arial" w:eastAsia="Arial" w:hAnsi="Arial" w:cs="Arial"/>
          <w:lang w:val="en-US"/>
        </w:rPr>
        <w:footnoteReference w:id="7"/>
      </w:r>
      <w:r>
        <w:rPr>
          <w:rFonts w:ascii="Arial" w:eastAsia="Arial" w:hAnsi="Arial" w:cs="Arial"/>
          <w:lang w:val="en-US"/>
        </w:rPr>
        <w:t xml:space="preserve"> the </w:t>
      </w:r>
      <w:r w:rsidR="006B0FE6">
        <w:rPr>
          <w:rFonts w:ascii="Arial" w:eastAsia="Arial" w:hAnsi="Arial" w:cs="Arial"/>
          <w:lang w:val="en-US"/>
        </w:rPr>
        <w:t xml:space="preserve">Victorian Greenhouse Alliance </w:t>
      </w:r>
      <w:r>
        <w:rPr>
          <w:rFonts w:ascii="Arial" w:eastAsia="Arial" w:hAnsi="Arial" w:cs="Arial"/>
          <w:lang w:val="en-US"/>
        </w:rPr>
        <w:t xml:space="preserve">and </w:t>
      </w:r>
      <w:r w:rsidR="00B747F6">
        <w:rPr>
          <w:rFonts w:ascii="Arial" w:eastAsia="Arial" w:hAnsi="Arial" w:cs="Arial"/>
          <w:lang w:val="en-US"/>
        </w:rPr>
        <w:t xml:space="preserve">the </w:t>
      </w:r>
      <w:r w:rsidR="00B747F6" w:rsidRPr="00B747F6">
        <w:rPr>
          <w:rFonts w:ascii="Arial" w:eastAsia="Arial" w:hAnsi="Arial" w:cs="Arial"/>
        </w:rPr>
        <w:t>Gannawarra Shire Counci</w:t>
      </w:r>
      <w:r w:rsidR="00B747F6">
        <w:rPr>
          <w:rFonts w:ascii="Arial" w:eastAsia="Arial" w:hAnsi="Arial" w:cs="Arial"/>
        </w:rPr>
        <w:t xml:space="preserve">l </w:t>
      </w:r>
      <w:r>
        <w:rPr>
          <w:rFonts w:ascii="Arial" w:eastAsia="Arial" w:hAnsi="Arial" w:cs="Arial"/>
          <w:lang w:val="en-US"/>
        </w:rPr>
        <w:t>submission</w:t>
      </w:r>
      <w:r w:rsidR="0069056F">
        <w:rPr>
          <w:rFonts w:ascii="Arial" w:eastAsia="Arial" w:hAnsi="Arial" w:cs="Arial"/>
          <w:lang w:val="en-US"/>
        </w:rPr>
        <w:t>s</w:t>
      </w:r>
      <w:r>
        <w:rPr>
          <w:rFonts w:ascii="Arial" w:eastAsia="Arial" w:hAnsi="Arial" w:cs="Arial"/>
          <w:lang w:val="en-US"/>
        </w:rPr>
        <w:t xml:space="preserve"> </w:t>
      </w:r>
      <w:r w:rsidR="008766D0">
        <w:rPr>
          <w:rFonts w:ascii="Arial" w:eastAsia="Arial" w:hAnsi="Arial" w:cs="Arial"/>
          <w:lang w:val="en-US"/>
        </w:rPr>
        <w:t xml:space="preserve">suggested that </w:t>
      </w:r>
      <w:r>
        <w:rPr>
          <w:rFonts w:ascii="Arial" w:eastAsia="Arial" w:hAnsi="Arial" w:cs="Arial"/>
          <w:lang w:val="en-US"/>
        </w:rPr>
        <w:t>t</w:t>
      </w:r>
      <w:r w:rsidR="00770C13">
        <w:rPr>
          <w:rFonts w:ascii="Arial" w:eastAsia="Arial" w:hAnsi="Arial" w:cs="Arial"/>
          <w:lang w:val="en-US"/>
        </w:rPr>
        <w:t>hree</w:t>
      </w:r>
      <w:r w:rsidDel="008766D0">
        <w:rPr>
          <w:rFonts w:ascii="Arial" w:eastAsia="Arial" w:hAnsi="Arial" w:cs="Arial"/>
          <w:lang w:val="en-US"/>
        </w:rPr>
        <w:t xml:space="preserve"> </w:t>
      </w:r>
      <w:r>
        <w:rPr>
          <w:rFonts w:ascii="Arial" w:eastAsia="Arial" w:hAnsi="Arial" w:cs="Arial"/>
          <w:lang w:val="en-US"/>
        </w:rPr>
        <w:t xml:space="preserve">obligations </w:t>
      </w:r>
      <w:r w:rsidR="00042AF6">
        <w:rPr>
          <w:rFonts w:ascii="Arial" w:eastAsia="Arial" w:hAnsi="Arial" w:cs="Arial"/>
          <w:lang w:val="en-US"/>
        </w:rPr>
        <w:t xml:space="preserve">should </w:t>
      </w:r>
      <w:r>
        <w:rPr>
          <w:rFonts w:ascii="Arial" w:eastAsia="Arial" w:hAnsi="Arial" w:cs="Arial"/>
          <w:lang w:val="en-US"/>
        </w:rPr>
        <w:t xml:space="preserve">be retained and not revoked. </w:t>
      </w:r>
    </w:p>
    <w:p w14:paraId="64336BE3" w14:textId="2D4BC041" w:rsidR="00143AB2" w:rsidRDefault="00143AB2" w:rsidP="00143AB2">
      <w:pPr>
        <w:spacing w:after="120"/>
        <w:rPr>
          <w:rFonts w:ascii="Arial" w:eastAsia="Arial" w:hAnsi="Arial" w:cs="Arial"/>
          <w:lang w:val="en-US"/>
        </w:rPr>
      </w:pPr>
      <w:r>
        <w:rPr>
          <w:rFonts w:ascii="Arial" w:eastAsia="Arial" w:hAnsi="Arial" w:cs="Arial"/>
          <w:lang w:val="en-US"/>
        </w:rPr>
        <w:t>The t</w:t>
      </w:r>
      <w:r w:rsidR="00770C13">
        <w:rPr>
          <w:rFonts w:ascii="Arial" w:eastAsia="Arial" w:hAnsi="Arial" w:cs="Arial"/>
          <w:lang w:val="en-US"/>
        </w:rPr>
        <w:t>hree</w:t>
      </w:r>
      <w:r w:rsidDel="008766D0">
        <w:rPr>
          <w:rFonts w:ascii="Arial" w:eastAsia="Arial" w:hAnsi="Arial" w:cs="Arial"/>
          <w:lang w:val="en-US"/>
        </w:rPr>
        <w:t xml:space="preserve"> </w:t>
      </w:r>
      <w:r>
        <w:rPr>
          <w:rFonts w:ascii="Arial" w:eastAsia="Arial" w:hAnsi="Arial" w:cs="Arial"/>
          <w:lang w:val="en-US"/>
        </w:rPr>
        <w:t xml:space="preserve">obligations relate to: </w:t>
      </w:r>
    </w:p>
    <w:p w14:paraId="23BEBE6E" w14:textId="5ED6A83C" w:rsidR="00143AB2" w:rsidRDefault="00143AB2" w:rsidP="001632B2">
      <w:pPr>
        <w:pStyle w:val="ListBullet"/>
      </w:pPr>
      <w:r>
        <w:t xml:space="preserve">Clauses 3.2 and 3.3 - Standard and non-standard fitting product approval processes </w:t>
      </w:r>
      <w:r w:rsidR="00DE4309">
        <w:t xml:space="preserve">respectively </w:t>
      </w:r>
      <w:r>
        <w:t xml:space="preserve">to support the negotiated connections framework </w:t>
      </w:r>
    </w:p>
    <w:p w14:paraId="679C4911" w14:textId="77777777" w:rsidR="00143AB2" w:rsidRPr="00073F9C" w:rsidRDefault="00143AB2" w:rsidP="001632B2">
      <w:pPr>
        <w:pStyle w:val="ListBullet"/>
      </w:pPr>
      <w:r>
        <w:t xml:space="preserve">Clause 6 - Billing provision to support situations where the lighting assets may not have a retailer assigned. Instead, the distributor offers billing services to the public lighting customer. </w:t>
      </w:r>
    </w:p>
    <w:p w14:paraId="71ABF979" w14:textId="5D2951DE" w:rsidR="00143AB2" w:rsidRDefault="003F3339" w:rsidP="00143AB2">
      <w:pPr>
        <w:spacing w:after="120"/>
        <w:rPr>
          <w:rFonts w:ascii="Arial" w:eastAsia="Arial" w:hAnsi="Arial" w:cs="Arial"/>
          <w:lang w:val="en-US"/>
        </w:rPr>
      </w:pPr>
      <w:r>
        <w:rPr>
          <w:rFonts w:ascii="Arial" w:eastAsia="Arial" w:hAnsi="Arial" w:cs="Arial"/>
          <w:lang w:val="en-US"/>
        </w:rPr>
        <w:t xml:space="preserve">Given </w:t>
      </w:r>
      <w:r w:rsidR="004B3D74">
        <w:rPr>
          <w:rFonts w:ascii="Arial" w:eastAsia="Arial" w:hAnsi="Arial" w:cs="Arial"/>
          <w:lang w:val="en-US"/>
        </w:rPr>
        <w:t>these views</w:t>
      </w:r>
      <w:r w:rsidR="00143AB2">
        <w:rPr>
          <w:rFonts w:ascii="Arial" w:eastAsia="Arial" w:hAnsi="Arial" w:cs="Arial"/>
          <w:lang w:val="en-US"/>
        </w:rPr>
        <w:t xml:space="preserve">, we have further considered the relevance of these obligations below. </w:t>
      </w:r>
    </w:p>
    <w:p w14:paraId="6D8E912A" w14:textId="47EFEF9F" w:rsidR="00143AB2" w:rsidRPr="00E66359" w:rsidRDefault="00143AB2" w:rsidP="00143AB2">
      <w:pPr>
        <w:pStyle w:val="Heading2"/>
        <w:spacing w:after="120"/>
        <w:rPr>
          <w:rFonts w:eastAsia="Tahoma" w:cs="Tahoma"/>
        </w:rPr>
      </w:pPr>
      <w:bookmarkStart w:id="40" w:name="_Toc212113748"/>
      <w:bookmarkStart w:id="41" w:name="_Toc213416973"/>
      <w:r>
        <w:rPr>
          <w:rFonts w:eastAsia="Tahoma" w:cs="Tahoma"/>
        </w:rPr>
        <w:t xml:space="preserve">Standard and non-standard fitting obligations </w:t>
      </w:r>
      <w:r w:rsidR="00B03BE0">
        <w:rPr>
          <w:rFonts w:eastAsia="Tahoma" w:cs="Tahoma"/>
        </w:rPr>
        <w:t xml:space="preserve">complement </w:t>
      </w:r>
      <w:r>
        <w:rPr>
          <w:rFonts w:eastAsia="Tahoma" w:cs="Tahoma"/>
        </w:rPr>
        <w:t>the n</w:t>
      </w:r>
      <w:r w:rsidRPr="00E66359">
        <w:rPr>
          <w:rFonts w:eastAsia="Tahoma" w:cs="Tahoma"/>
        </w:rPr>
        <w:t>ational connection</w:t>
      </w:r>
      <w:r w:rsidR="00696307">
        <w:rPr>
          <w:rFonts w:eastAsia="Tahoma" w:cs="Tahoma"/>
        </w:rPr>
        <w:t>s</w:t>
      </w:r>
      <w:r w:rsidRPr="00E66359">
        <w:rPr>
          <w:rFonts w:eastAsia="Tahoma" w:cs="Tahoma"/>
        </w:rPr>
        <w:t xml:space="preserve"> framework</w:t>
      </w:r>
      <w:r>
        <w:rPr>
          <w:rFonts w:eastAsia="Tahoma" w:cs="Tahoma"/>
        </w:rPr>
        <w:t xml:space="preserve"> (National Electricity Rules chapter 5A)</w:t>
      </w:r>
      <w:bookmarkEnd w:id="40"/>
      <w:bookmarkEnd w:id="41"/>
    </w:p>
    <w:p w14:paraId="217EA2BF" w14:textId="77777777" w:rsidR="00143AB2" w:rsidRDefault="00143AB2" w:rsidP="00143AB2">
      <w:pPr>
        <w:pStyle w:val="Heading3"/>
        <w:rPr>
          <w:lang w:val="en-US"/>
        </w:rPr>
      </w:pPr>
      <w:bookmarkStart w:id="42" w:name="_Toc212113749"/>
      <w:bookmarkStart w:id="43" w:name="_Toc213416974"/>
      <w:r>
        <w:rPr>
          <w:lang w:val="en-US"/>
        </w:rPr>
        <w:t>Standard and non-standard fittings</w:t>
      </w:r>
      <w:bookmarkEnd w:id="42"/>
      <w:bookmarkEnd w:id="43"/>
    </w:p>
    <w:p w14:paraId="12364105" w14:textId="2226428B" w:rsidR="00143AB2" w:rsidRDefault="00143AB2" w:rsidP="00143AB2">
      <w:pPr>
        <w:rPr>
          <w:lang w:val="en-US"/>
        </w:rPr>
      </w:pPr>
      <w:r>
        <w:rPr>
          <w:lang w:val="en-US"/>
        </w:rPr>
        <w:t>The</w:t>
      </w:r>
      <w:r w:rsidDel="00213F03">
        <w:rPr>
          <w:lang w:val="en-US"/>
        </w:rPr>
        <w:t xml:space="preserve"> </w:t>
      </w:r>
      <w:r w:rsidR="003440B5">
        <w:rPr>
          <w:lang w:val="en-US"/>
        </w:rPr>
        <w:t xml:space="preserve">code uses the </w:t>
      </w:r>
      <w:r w:rsidR="00213F03">
        <w:rPr>
          <w:lang w:val="en-US"/>
        </w:rPr>
        <w:t xml:space="preserve">terms </w:t>
      </w:r>
      <w:r>
        <w:rPr>
          <w:lang w:val="en-US"/>
        </w:rPr>
        <w:t>‘standard’ and ‘non-standard fittings’ in clauses 3.2 and 3.3 respectively. They are used to describe the various standard and non-standard components and parts (</w:t>
      </w:r>
      <w:r w:rsidR="007B557A">
        <w:rPr>
          <w:lang w:val="en-US"/>
        </w:rPr>
        <w:t>for example</w:t>
      </w:r>
      <w:r w:rsidR="00685864">
        <w:rPr>
          <w:lang w:val="en-US"/>
        </w:rPr>
        <w:t>,</w:t>
      </w:r>
      <w:r>
        <w:rPr>
          <w:lang w:val="en-US"/>
        </w:rPr>
        <w:t xml:space="preserve"> the lamps, control equipment, brackets</w:t>
      </w:r>
      <w:r w:rsidR="007B557A">
        <w:rPr>
          <w:lang w:val="en-US"/>
        </w:rPr>
        <w:t xml:space="preserve"> and</w:t>
      </w:r>
      <w:r>
        <w:rPr>
          <w:lang w:val="en-US"/>
        </w:rPr>
        <w:t xml:space="preserve"> poles etc</w:t>
      </w:r>
      <w:r w:rsidR="00F53977">
        <w:rPr>
          <w:lang w:val="en-US"/>
        </w:rPr>
        <w:t>.</w:t>
      </w:r>
      <w:r w:rsidR="007B557A">
        <w:rPr>
          <w:lang w:val="en-US"/>
        </w:rPr>
        <w:t>)</w:t>
      </w:r>
      <w:r>
        <w:rPr>
          <w:lang w:val="en-US"/>
        </w:rPr>
        <w:t xml:space="preserve"> that makes up the public lighting system. </w:t>
      </w:r>
    </w:p>
    <w:p w14:paraId="4669292B" w14:textId="3867B5C3" w:rsidR="00143AB2" w:rsidRPr="000A3123" w:rsidRDefault="00143AB2" w:rsidP="00143AB2">
      <w:pPr>
        <w:rPr>
          <w:lang w:val="en-US"/>
        </w:rPr>
      </w:pPr>
      <w:r>
        <w:rPr>
          <w:lang w:val="en-US"/>
        </w:rPr>
        <w:t xml:space="preserve">Many stakeholders expressed support </w:t>
      </w:r>
      <w:proofErr w:type="gramStart"/>
      <w:r>
        <w:rPr>
          <w:lang w:val="en-US"/>
        </w:rPr>
        <w:t>to retain</w:t>
      </w:r>
      <w:proofErr w:type="gramEnd"/>
      <w:r>
        <w:rPr>
          <w:lang w:val="en-US"/>
        </w:rPr>
        <w:t xml:space="preserve"> these two </w:t>
      </w:r>
      <w:r w:rsidR="005D0323">
        <w:rPr>
          <w:lang w:val="en-US"/>
        </w:rPr>
        <w:t>obligations</w:t>
      </w:r>
      <w:r>
        <w:rPr>
          <w:lang w:val="en-US"/>
        </w:rPr>
        <w:t>.</w:t>
      </w:r>
      <w:r w:rsidR="00860A98" w:rsidRPr="00860A98">
        <w:rPr>
          <w:rStyle w:val="FootnoteReference"/>
          <w:lang w:val="en-US"/>
        </w:rPr>
        <w:t xml:space="preserve"> </w:t>
      </w:r>
      <w:r w:rsidR="00860A98">
        <w:rPr>
          <w:rStyle w:val="FootnoteReference"/>
          <w:lang w:val="en-US"/>
        </w:rPr>
        <w:footnoteReference w:id="8"/>
      </w:r>
      <w:r>
        <w:rPr>
          <w:lang w:val="en-US"/>
        </w:rPr>
        <w:t xml:space="preserve"> </w:t>
      </w:r>
      <w:r w:rsidR="00937FC5">
        <w:rPr>
          <w:lang w:val="en-US"/>
        </w:rPr>
        <w:t>They</w:t>
      </w:r>
      <w:r w:rsidDel="008436BC">
        <w:rPr>
          <w:lang w:val="en-US"/>
        </w:rPr>
        <w:t xml:space="preserve"> </w:t>
      </w:r>
      <w:r w:rsidR="00E027BF">
        <w:rPr>
          <w:lang w:val="en-US"/>
        </w:rPr>
        <w:t>consider</w:t>
      </w:r>
      <w:r w:rsidR="008436BC">
        <w:rPr>
          <w:lang w:val="en-US"/>
        </w:rPr>
        <w:t xml:space="preserve"> that these </w:t>
      </w:r>
      <w:r>
        <w:rPr>
          <w:lang w:val="en-US"/>
        </w:rPr>
        <w:t xml:space="preserve">obligations </w:t>
      </w:r>
      <w:r w:rsidR="008436BC">
        <w:rPr>
          <w:lang w:val="en-US"/>
        </w:rPr>
        <w:t xml:space="preserve">provide </w:t>
      </w:r>
      <w:r>
        <w:rPr>
          <w:lang w:val="en-US"/>
        </w:rPr>
        <w:t xml:space="preserve">more clarity </w:t>
      </w:r>
      <w:r w:rsidR="008436BC">
        <w:rPr>
          <w:lang w:val="en-US"/>
        </w:rPr>
        <w:t xml:space="preserve">compared to </w:t>
      </w:r>
      <w:r>
        <w:rPr>
          <w:lang w:val="en-US"/>
        </w:rPr>
        <w:t xml:space="preserve">the national </w:t>
      </w:r>
      <w:proofErr w:type="gramStart"/>
      <w:r>
        <w:rPr>
          <w:lang w:val="en-US"/>
        </w:rPr>
        <w:t>connection</w:t>
      </w:r>
      <w:r w:rsidR="007D10D0">
        <w:rPr>
          <w:lang w:val="en-US"/>
        </w:rPr>
        <w:t>s</w:t>
      </w:r>
      <w:proofErr w:type="gramEnd"/>
      <w:r>
        <w:rPr>
          <w:lang w:val="en-US"/>
        </w:rPr>
        <w:t xml:space="preserve"> framework. This </w:t>
      </w:r>
      <w:r w:rsidR="00E83642">
        <w:rPr>
          <w:lang w:val="en-US"/>
        </w:rPr>
        <w:t xml:space="preserve">helps streamline </w:t>
      </w:r>
      <w:r>
        <w:rPr>
          <w:lang w:val="en-US"/>
        </w:rPr>
        <w:t>negotiation</w:t>
      </w:r>
      <w:r w:rsidR="00E83642">
        <w:rPr>
          <w:lang w:val="en-US"/>
        </w:rPr>
        <w:t xml:space="preserve">s </w:t>
      </w:r>
      <w:r w:rsidRPr="000A3123">
        <w:rPr>
          <w:lang w:val="en-US"/>
        </w:rPr>
        <w:t xml:space="preserve">when </w:t>
      </w:r>
      <w:r w:rsidR="00FA21CE">
        <w:rPr>
          <w:lang w:val="en-US"/>
        </w:rPr>
        <w:t xml:space="preserve">public lighting customers </w:t>
      </w:r>
      <w:r w:rsidRPr="000A3123">
        <w:rPr>
          <w:lang w:val="en-US"/>
        </w:rPr>
        <w:t>seek to introduce new standard and non-standard fittings</w:t>
      </w:r>
      <w:r w:rsidR="004B5D63">
        <w:rPr>
          <w:lang w:val="en-US"/>
        </w:rPr>
        <w:t xml:space="preserve"> with </w:t>
      </w:r>
      <w:r w:rsidR="00AA13C7">
        <w:rPr>
          <w:lang w:val="en-US"/>
        </w:rPr>
        <w:t>electricity distribution businesses</w:t>
      </w:r>
      <w:r w:rsidR="00E83642" w:rsidRPr="000A3123">
        <w:rPr>
          <w:lang w:val="en-US"/>
        </w:rPr>
        <w:t>.</w:t>
      </w:r>
    </w:p>
    <w:p w14:paraId="46058EEB" w14:textId="5B015BF7" w:rsidR="00A404FF" w:rsidRPr="000A3123" w:rsidRDefault="00FE3503" w:rsidP="00A404FF">
      <w:pPr>
        <w:rPr>
          <w:lang w:val="en-US"/>
        </w:rPr>
      </w:pPr>
      <w:r>
        <w:rPr>
          <w:lang w:val="en-US"/>
        </w:rPr>
        <w:t>W</w:t>
      </w:r>
      <w:r w:rsidR="00101D1F" w:rsidRPr="000A3123">
        <w:rPr>
          <w:lang w:val="en-US"/>
        </w:rPr>
        <w:t xml:space="preserve">e </w:t>
      </w:r>
      <w:r w:rsidR="00A404FF" w:rsidRPr="000A3123">
        <w:rPr>
          <w:lang w:val="en-US"/>
        </w:rPr>
        <w:t xml:space="preserve">agree </w:t>
      </w:r>
      <w:r>
        <w:rPr>
          <w:lang w:val="en-US"/>
        </w:rPr>
        <w:t>with stakeholders’ views. T</w:t>
      </w:r>
      <w:r w:rsidR="00A404FF" w:rsidRPr="000A3123">
        <w:rPr>
          <w:lang w:val="en-US"/>
        </w:rPr>
        <w:t xml:space="preserve">hese obligations </w:t>
      </w:r>
      <w:r w:rsidR="00601BE7" w:rsidRPr="000A3123">
        <w:rPr>
          <w:lang w:val="en-US"/>
        </w:rPr>
        <w:t xml:space="preserve">continue to be useful </w:t>
      </w:r>
      <w:r w:rsidR="001C1C55" w:rsidRPr="000A3123">
        <w:rPr>
          <w:lang w:val="en-US"/>
        </w:rPr>
        <w:t xml:space="preserve">for </w:t>
      </w:r>
      <w:r w:rsidR="00A404FF" w:rsidRPr="000A3123">
        <w:rPr>
          <w:lang w:val="en-US"/>
        </w:rPr>
        <w:t>negotiation</w:t>
      </w:r>
      <w:r w:rsidR="001C1C55" w:rsidRPr="000A3123">
        <w:rPr>
          <w:lang w:val="en-US"/>
        </w:rPr>
        <w:t xml:space="preserve"> between </w:t>
      </w:r>
      <w:r w:rsidR="00876DD8" w:rsidRPr="000A3123">
        <w:rPr>
          <w:lang w:val="en-US"/>
        </w:rPr>
        <w:t xml:space="preserve">public lighting </w:t>
      </w:r>
      <w:r w:rsidR="001C1C55" w:rsidRPr="000A3123">
        <w:rPr>
          <w:lang w:val="en-US"/>
        </w:rPr>
        <w:t xml:space="preserve">customers and </w:t>
      </w:r>
      <w:r w:rsidR="00876DD8" w:rsidRPr="000A3123">
        <w:rPr>
          <w:lang w:val="en-US"/>
        </w:rPr>
        <w:t xml:space="preserve">electricity </w:t>
      </w:r>
      <w:r w:rsidR="001C1C55" w:rsidRPr="000A3123">
        <w:rPr>
          <w:lang w:val="en-US"/>
        </w:rPr>
        <w:t>distribut</w:t>
      </w:r>
      <w:r w:rsidR="00876DD8" w:rsidRPr="000A3123">
        <w:rPr>
          <w:lang w:val="en-US"/>
        </w:rPr>
        <w:t>ion businesses</w:t>
      </w:r>
      <w:r w:rsidR="00A404FF" w:rsidRPr="000A3123">
        <w:rPr>
          <w:lang w:val="en-US"/>
        </w:rPr>
        <w:t xml:space="preserve">. </w:t>
      </w:r>
      <w:r w:rsidR="00272FDC">
        <w:rPr>
          <w:lang w:val="en-US"/>
        </w:rPr>
        <w:t xml:space="preserve">They </w:t>
      </w:r>
      <w:r w:rsidR="001C1C55" w:rsidRPr="000A3123">
        <w:rPr>
          <w:lang w:val="en-US"/>
        </w:rPr>
        <w:t xml:space="preserve">also support the streamlining of current </w:t>
      </w:r>
      <w:r w:rsidR="00601BE7" w:rsidRPr="000A3123">
        <w:rPr>
          <w:lang w:val="en-US"/>
        </w:rPr>
        <w:t>process</w:t>
      </w:r>
      <w:r w:rsidR="001C1C55" w:rsidRPr="000A3123">
        <w:rPr>
          <w:lang w:val="en-US"/>
        </w:rPr>
        <w:t>es</w:t>
      </w:r>
      <w:r w:rsidR="00601BE7" w:rsidRPr="000A3123">
        <w:rPr>
          <w:lang w:val="en-US"/>
        </w:rPr>
        <w:t xml:space="preserve"> </w:t>
      </w:r>
      <w:r w:rsidR="001C1C55" w:rsidRPr="000A3123">
        <w:rPr>
          <w:lang w:val="en-US"/>
        </w:rPr>
        <w:t xml:space="preserve">for introducing </w:t>
      </w:r>
      <w:r w:rsidR="00601BE7" w:rsidRPr="000A3123">
        <w:rPr>
          <w:lang w:val="en-US"/>
        </w:rPr>
        <w:t>new standard and non-standard products.</w:t>
      </w:r>
      <w:r w:rsidR="001C1C55" w:rsidRPr="000A3123">
        <w:rPr>
          <w:lang w:val="en-US"/>
        </w:rPr>
        <w:t xml:space="preserve"> </w:t>
      </w:r>
      <w:r w:rsidR="00A404FF" w:rsidRPr="000A3123">
        <w:rPr>
          <w:lang w:val="en-US"/>
        </w:rPr>
        <w:t>We also consider</w:t>
      </w:r>
      <w:r w:rsidR="00143AB2" w:rsidRPr="000A3123" w:rsidDel="00101D1F">
        <w:rPr>
          <w:lang w:val="en-US"/>
        </w:rPr>
        <w:t xml:space="preserve"> </w:t>
      </w:r>
      <w:r w:rsidR="00143AB2" w:rsidRPr="000A3123">
        <w:rPr>
          <w:lang w:val="en-US"/>
        </w:rPr>
        <w:t xml:space="preserve">these obligations </w:t>
      </w:r>
      <w:proofErr w:type="gramStart"/>
      <w:r w:rsidR="00143AB2" w:rsidRPr="000A3123">
        <w:rPr>
          <w:lang w:val="en-US"/>
        </w:rPr>
        <w:t>complement</w:t>
      </w:r>
      <w:proofErr w:type="gramEnd"/>
      <w:r w:rsidR="00143AB2" w:rsidRPr="000A3123">
        <w:rPr>
          <w:lang w:val="en-US"/>
        </w:rPr>
        <w:t xml:space="preserve"> the national connection</w:t>
      </w:r>
      <w:r w:rsidR="002D2856" w:rsidRPr="000A3123">
        <w:rPr>
          <w:lang w:val="en-US"/>
        </w:rPr>
        <w:t>s</w:t>
      </w:r>
      <w:r w:rsidR="00143AB2" w:rsidRPr="000A3123">
        <w:rPr>
          <w:lang w:val="en-US"/>
        </w:rPr>
        <w:t xml:space="preserve"> framework. </w:t>
      </w:r>
    </w:p>
    <w:p w14:paraId="4B5D33FB" w14:textId="5DA7F2B8" w:rsidR="00143AB2" w:rsidRDefault="00143AB2" w:rsidP="00A404FF">
      <w:pPr>
        <w:rPr>
          <w:lang w:val="en-US"/>
        </w:rPr>
      </w:pPr>
      <w:r w:rsidRPr="000A3123">
        <w:rPr>
          <w:lang w:val="en-US"/>
        </w:rPr>
        <w:lastRenderedPageBreak/>
        <w:t xml:space="preserve">Our final decision is to retain these obligations </w:t>
      </w:r>
      <w:r w:rsidR="00C733FE" w:rsidRPr="000A3123">
        <w:rPr>
          <w:lang w:val="en-US"/>
        </w:rPr>
        <w:t xml:space="preserve">by </w:t>
      </w:r>
      <w:r w:rsidRPr="000A3123">
        <w:rPr>
          <w:lang w:val="en-US"/>
        </w:rPr>
        <w:t>transferr</w:t>
      </w:r>
      <w:r w:rsidR="00C733FE" w:rsidRPr="000A3123">
        <w:rPr>
          <w:lang w:val="en-US"/>
        </w:rPr>
        <w:t xml:space="preserve">ing them </w:t>
      </w:r>
      <w:r w:rsidRPr="000A3123">
        <w:rPr>
          <w:lang w:val="en-US"/>
        </w:rPr>
        <w:t>to the Electricity Distribution Code of Practice</w:t>
      </w:r>
      <w:r w:rsidR="00044D86" w:rsidRPr="000A3123">
        <w:rPr>
          <w:lang w:val="en-US"/>
        </w:rPr>
        <w:t xml:space="preserve"> – as new clauses 19.8 and 19.9</w:t>
      </w:r>
      <w:r w:rsidRPr="000A3123">
        <w:rPr>
          <w:lang w:val="en-US"/>
        </w:rPr>
        <w:t xml:space="preserve">. </w:t>
      </w:r>
      <w:r w:rsidR="00601BE7" w:rsidRPr="000A3123">
        <w:rPr>
          <w:lang w:val="en-US"/>
        </w:rPr>
        <w:t xml:space="preserve">This will take effect from 1 January 2026 (immediately after the </w:t>
      </w:r>
      <w:r w:rsidR="007551B0" w:rsidRPr="000A3123">
        <w:rPr>
          <w:lang w:val="en-US"/>
        </w:rPr>
        <w:t xml:space="preserve">code </w:t>
      </w:r>
      <w:r w:rsidR="00601BE7" w:rsidRPr="000A3123">
        <w:rPr>
          <w:lang w:val="en-US"/>
        </w:rPr>
        <w:t>has been revoked).</w:t>
      </w:r>
    </w:p>
    <w:p w14:paraId="51A00A76" w14:textId="7F22803B" w:rsidR="00143AB2" w:rsidRPr="00310967" w:rsidRDefault="00143AB2" w:rsidP="00143AB2">
      <w:pPr>
        <w:pStyle w:val="Heading2"/>
        <w:spacing w:after="120"/>
        <w:rPr>
          <w:rFonts w:eastAsia="Tahoma" w:cs="Tahoma"/>
        </w:rPr>
      </w:pPr>
      <w:bookmarkStart w:id="44" w:name="_Toc212113750"/>
      <w:bookmarkStart w:id="45" w:name="_Toc213416975"/>
      <w:r>
        <w:rPr>
          <w:rFonts w:eastAsia="Tahoma" w:cs="Tahoma"/>
        </w:rPr>
        <w:t>Billing provision overlap</w:t>
      </w:r>
      <w:r w:rsidR="00253AD7">
        <w:rPr>
          <w:rFonts w:eastAsia="Tahoma" w:cs="Tahoma"/>
        </w:rPr>
        <w:t>s</w:t>
      </w:r>
      <w:r>
        <w:rPr>
          <w:rFonts w:eastAsia="Tahoma" w:cs="Tahoma"/>
        </w:rPr>
        <w:t xml:space="preserve"> with the Electricity Industry Act</w:t>
      </w:r>
      <w:bookmarkEnd w:id="44"/>
      <w:bookmarkEnd w:id="45"/>
    </w:p>
    <w:p w14:paraId="03BE2863" w14:textId="77777777" w:rsidR="00143AB2" w:rsidRDefault="00143AB2" w:rsidP="00143AB2">
      <w:pPr>
        <w:pStyle w:val="Heading3"/>
        <w:rPr>
          <w:lang w:val="en-US"/>
        </w:rPr>
      </w:pPr>
      <w:bookmarkStart w:id="46" w:name="_Toc212113751"/>
      <w:bookmarkStart w:id="47" w:name="_Toc213416976"/>
      <w:r>
        <w:rPr>
          <w:lang w:val="en-US"/>
        </w:rPr>
        <w:t>Distributor billing</w:t>
      </w:r>
      <w:bookmarkEnd w:id="46"/>
      <w:bookmarkEnd w:id="47"/>
    </w:p>
    <w:p w14:paraId="31201770" w14:textId="26A0179D" w:rsidR="00143AB2" w:rsidRPr="00146EC9" w:rsidRDefault="00143AB2" w:rsidP="00143AB2">
      <w:pPr>
        <w:rPr>
          <w:lang w:val="en-US"/>
        </w:rPr>
      </w:pPr>
      <w:r>
        <w:rPr>
          <w:lang w:val="en-US"/>
        </w:rPr>
        <w:t xml:space="preserve">Some electricity distribution businesses and </w:t>
      </w:r>
      <w:r w:rsidR="00253AD7">
        <w:rPr>
          <w:rFonts w:ascii="Arial" w:eastAsia="Arial" w:hAnsi="Arial" w:cs="Arial"/>
          <w:lang w:val="en-US"/>
        </w:rPr>
        <w:t xml:space="preserve">the </w:t>
      </w:r>
      <w:r w:rsidR="00253AD7" w:rsidRPr="00B747F6">
        <w:rPr>
          <w:rFonts w:ascii="Arial" w:eastAsia="Arial" w:hAnsi="Arial" w:cs="Arial"/>
        </w:rPr>
        <w:t>Gannawarra Shire Counci</w:t>
      </w:r>
      <w:r w:rsidR="00253AD7">
        <w:rPr>
          <w:rFonts w:ascii="Arial" w:eastAsia="Arial" w:hAnsi="Arial" w:cs="Arial"/>
        </w:rPr>
        <w:t>l</w:t>
      </w:r>
      <w:r w:rsidR="00253AD7">
        <w:rPr>
          <w:lang w:val="en-US"/>
        </w:rPr>
        <w:t xml:space="preserve"> </w:t>
      </w:r>
      <w:r>
        <w:rPr>
          <w:lang w:val="en-US"/>
        </w:rPr>
        <w:t xml:space="preserve">suggested we retain and transfer clause 6 of the code into the Electricity Distribution Code of Practice. This clause enables electricity distribution businesses to bill a public lighting customer where no retailer is assigned to specific public lighting assets. </w:t>
      </w:r>
      <w:r w:rsidR="005048B0">
        <w:rPr>
          <w:lang w:val="en-US"/>
        </w:rPr>
        <w:t>S</w:t>
      </w:r>
      <w:r>
        <w:rPr>
          <w:lang w:val="en-US"/>
        </w:rPr>
        <w:t xml:space="preserve">ome electricity distribution businesses </w:t>
      </w:r>
      <w:r w:rsidR="005048B0">
        <w:rPr>
          <w:lang w:val="en-US"/>
        </w:rPr>
        <w:t xml:space="preserve">submitted that </w:t>
      </w:r>
      <w:r>
        <w:rPr>
          <w:lang w:val="en-US"/>
        </w:rPr>
        <w:t>such occurrences are relatively uncommon</w:t>
      </w:r>
      <w:r w:rsidR="005048B0">
        <w:rPr>
          <w:lang w:val="en-US"/>
        </w:rPr>
        <w:t>. However</w:t>
      </w:r>
      <w:r>
        <w:rPr>
          <w:lang w:val="en-US"/>
        </w:rPr>
        <w:t xml:space="preserve">, </w:t>
      </w:r>
      <w:r w:rsidR="009807E2">
        <w:rPr>
          <w:lang w:val="en-US"/>
        </w:rPr>
        <w:t xml:space="preserve">they considered </w:t>
      </w:r>
      <w:r>
        <w:rPr>
          <w:lang w:val="en-US"/>
        </w:rPr>
        <w:t>this obligation helps with clarity should such a situation occur.</w:t>
      </w:r>
      <w:r>
        <w:rPr>
          <w:rStyle w:val="FootnoteReference"/>
          <w:lang w:val="en-US"/>
        </w:rPr>
        <w:footnoteReference w:id="9"/>
      </w:r>
      <w:r>
        <w:rPr>
          <w:lang w:val="en-US"/>
        </w:rPr>
        <w:t xml:space="preserve">   </w:t>
      </w:r>
    </w:p>
    <w:p w14:paraId="372FE361" w14:textId="6F66A543" w:rsidR="00143AB2" w:rsidRDefault="00143AB2" w:rsidP="00143AB2">
      <w:pPr>
        <w:rPr>
          <w:lang w:val="en-US"/>
        </w:rPr>
      </w:pPr>
      <w:r>
        <w:rPr>
          <w:lang w:val="en-US"/>
        </w:rPr>
        <w:t>We have considered th</w:t>
      </w:r>
      <w:r w:rsidR="002D1F08">
        <w:rPr>
          <w:lang w:val="en-US"/>
        </w:rPr>
        <w:t>is</w:t>
      </w:r>
      <w:r>
        <w:rPr>
          <w:lang w:val="en-US"/>
        </w:rPr>
        <w:t xml:space="preserve"> feedback but maintain our approach to revoke this obligation. We highlight the following key factors that support its revocation: </w:t>
      </w:r>
    </w:p>
    <w:p w14:paraId="4332C2DA" w14:textId="7ACD1E8B" w:rsidR="00143AB2" w:rsidRPr="00F35479" w:rsidRDefault="00143AB2" w:rsidP="001632B2">
      <w:pPr>
        <w:pStyle w:val="ListBullet"/>
      </w:pPr>
      <w:r w:rsidRPr="00F35479">
        <w:t xml:space="preserve">A retail </w:t>
      </w:r>
      <w:r w:rsidR="00C60F8A" w:rsidRPr="00F35479">
        <w:t>license</w:t>
      </w:r>
      <w:r w:rsidRPr="00F35479">
        <w:t xml:space="preserve"> is required under the Electricity Industry Act 2000 to </w:t>
      </w:r>
      <w:r w:rsidR="00A063F8">
        <w:t>sell</w:t>
      </w:r>
      <w:r w:rsidRPr="00F35479">
        <w:t xml:space="preserve"> electricity in Victoria</w:t>
      </w:r>
      <w:r>
        <w:t xml:space="preserve">. It is a contravention of the </w:t>
      </w:r>
      <w:r w:rsidRPr="00F35479">
        <w:t xml:space="preserve">Act </w:t>
      </w:r>
      <w:r>
        <w:t>to do so without one</w:t>
      </w:r>
      <w:r w:rsidRPr="00F35479">
        <w:t xml:space="preserve">. </w:t>
      </w:r>
    </w:p>
    <w:p w14:paraId="0D69EB08" w14:textId="012C8BBB" w:rsidR="00143AB2" w:rsidRPr="00A1666A" w:rsidRDefault="00143AB2" w:rsidP="001632B2">
      <w:pPr>
        <w:pStyle w:val="ListBullet"/>
      </w:pPr>
      <w:r>
        <w:t xml:space="preserve">No </w:t>
      </w:r>
      <w:r w:rsidRPr="00626167">
        <w:t>licen</w:t>
      </w:r>
      <w:r>
        <w:t>s</w:t>
      </w:r>
      <w:r w:rsidRPr="00626167">
        <w:t xml:space="preserve">ed electricity distribution business currently </w:t>
      </w:r>
      <w:r>
        <w:t>hold</w:t>
      </w:r>
      <w:r w:rsidR="001571EB">
        <w:t>s</w:t>
      </w:r>
      <w:r w:rsidRPr="00626167">
        <w:t xml:space="preserve"> a retail </w:t>
      </w:r>
      <w:r w:rsidR="00C60F8A" w:rsidRPr="00626167">
        <w:t>license</w:t>
      </w:r>
      <w:r>
        <w:t xml:space="preserve"> </w:t>
      </w:r>
      <w:r w:rsidR="001571EB">
        <w:t>(which would permit th</w:t>
      </w:r>
      <w:r w:rsidR="00F45652">
        <w:t>em</w:t>
      </w:r>
      <w:r w:rsidRPr="00626167">
        <w:t xml:space="preserve"> to issue a bill to </w:t>
      </w:r>
      <w:r w:rsidR="009807E2">
        <w:t xml:space="preserve">a </w:t>
      </w:r>
      <w:r>
        <w:t xml:space="preserve">public lighting </w:t>
      </w:r>
      <w:r w:rsidRPr="00626167">
        <w:t>customer</w:t>
      </w:r>
      <w:r w:rsidR="00F45652">
        <w:t>)</w:t>
      </w:r>
      <w:r w:rsidRPr="00626167">
        <w:t xml:space="preserve">. </w:t>
      </w:r>
    </w:p>
    <w:p w14:paraId="109DFF23" w14:textId="438AC848" w:rsidR="00143AB2" w:rsidRDefault="00143AB2" w:rsidP="00143AB2">
      <w:pPr>
        <w:rPr>
          <w:lang w:val="en-US"/>
        </w:rPr>
      </w:pPr>
      <w:r>
        <w:rPr>
          <w:lang w:val="en-US"/>
        </w:rPr>
        <w:t xml:space="preserve">We encourage all electricity distribution businesses to negotiate arrangements with public lighting customers to find a retailer. </w:t>
      </w:r>
      <w:r w:rsidR="00FF115D">
        <w:rPr>
          <w:lang w:val="en-US"/>
        </w:rPr>
        <w:t>W</w:t>
      </w:r>
      <w:r>
        <w:rPr>
          <w:lang w:val="en-US"/>
        </w:rPr>
        <w:t xml:space="preserve">e will continue </w:t>
      </w:r>
      <w:r w:rsidR="001F5485">
        <w:rPr>
          <w:lang w:val="en-US"/>
        </w:rPr>
        <w:t xml:space="preserve">to </w:t>
      </w:r>
      <w:r>
        <w:rPr>
          <w:lang w:val="en-US"/>
        </w:rPr>
        <w:t>monitor the sector</w:t>
      </w:r>
      <w:r w:rsidR="001F5485">
        <w:rPr>
          <w:lang w:val="en-US"/>
        </w:rPr>
        <w:t>’s compliance with this arrangement</w:t>
      </w:r>
      <w:r w:rsidR="00F566CD">
        <w:rPr>
          <w:lang w:val="en-US"/>
        </w:rPr>
        <w:t xml:space="preserve">, considering </w:t>
      </w:r>
      <w:r w:rsidR="00AC338C">
        <w:t xml:space="preserve">our </w:t>
      </w:r>
      <w:r w:rsidR="00F566CD">
        <w:t xml:space="preserve">compliance and enforcement </w:t>
      </w:r>
      <w:r w:rsidR="00AC338C">
        <w:t>priorities</w:t>
      </w:r>
      <w:r w:rsidR="00F566CD">
        <w:t xml:space="preserve"> and approach</w:t>
      </w:r>
      <w:r w:rsidR="00AC338C">
        <w:t>.</w:t>
      </w:r>
      <w:r w:rsidR="00F566CD">
        <w:rPr>
          <w:rStyle w:val="FootnoteReference"/>
        </w:rPr>
        <w:footnoteReference w:id="10"/>
      </w:r>
      <w:r w:rsidR="00AC338C">
        <w:t xml:space="preserve"> </w:t>
      </w:r>
      <w:r>
        <w:rPr>
          <w:lang w:val="en-US"/>
        </w:rPr>
        <w:t xml:space="preserve">            </w:t>
      </w:r>
    </w:p>
    <w:p w14:paraId="58E6291C" w14:textId="4CA7A495" w:rsidR="0086573F" w:rsidRDefault="0086573F" w:rsidP="00143AB2">
      <w:pPr>
        <w:pStyle w:val="Heading2"/>
        <w:spacing w:after="120"/>
        <w:rPr>
          <w:rFonts w:eastAsia="Tahoma" w:cs="Tahoma"/>
        </w:rPr>
      </w:pPr>
      <w:bookmarkStart w:id="48" w:name="_Toc213416977"/>
      <w:bookmarkStart w:id="49" w:name="_Toc212113752"/>
      <w:r>
        <w:rPr>
          <w:rFonts w:eastAsia="Tahoma" w:cs="Tahoma"/>
        </w:rPr>
        <w:lastRenderedPageBreak/>
        <w:t>Guaranteed</w:t>
      </w:r>
      <w:r w:rsidR="00DE5A85">
        <w:rPr>
          <w:rFonts w:eastAsia="Tahoma" w:cs="Tahoma"/>
        </w:rPr>
        <w:t xml:space="preserve"> </w:t>
      </w:r>
      <w:r w:rsidR="0015211C">
        <w:rPr>
          <w:rFonts w:eastAsia="Tahoma" w:cs="Tahoma"/>
        </w:rPr>
        <w:t>s</w:t>
      </w:r>
      <w:r>
        <w:rPr>
          <w:rFonts w:eastAsia="Tahoma" w:cs="Tahoma"/>
        </w:rPr>
        <w:t xml:space="preserve">ervice </w:t>
      </w:r>
      <w:r w:rsidR="0015211C">
        <w:rPr>
          <w:rFonts w:eastAsia="Tahoma" w:cs="Tahoma"/>
        </w:rPr>
        <w:t>l</w:t>
      </w:r>
      <w:r>
        <w:rPr>
          <w:rFonts w:eastAsia="Tahoma" w:cs="Tahoma"/>
        </w:rPr>
        <w:t>evel</w:t>
      </w:r>
      <w:r w:rsidR="0015211C">
        <w:rPr>
          <w:rFonts w:eastAsia="Tahoma" w:cs="Tahoma"/>
        </w:rPr>
        <w:t xml:space="preserve"> payments</w:t>
      </w:r>
      <w:bookmarkEnd w:id="48"/>
    </w:p>
    <w:p w14:paraId="59D4667E" w14:textId="5A4BE2A9" w:rsidR="00902098" w:rsidRDefault="00902098" w:rsidP="00902098">
      <w:pPr>
        <w:pStyle w:val="Heading2"/>
        <w:spacing w:after="120"/>
        <w:rPr>
          <w:rFonts w:asciiTheme="minorHAnsi" w:eastAsiaTheme="minorHAnsi" w:hAnsiTheme="minorHAnsi" w:cstheme="minorBidi"/>
          <w:b w:val="0"/>
          <w:sz w:val="22"/>
          <w:szCs w:val="22"/>
          <w:lang w:val="en-US"/>
        </w:rPr>
      </w:pPr>
      <w:bookmarkStart w:id="50" w:name="_Toc212812575"/>
      <w:bookmarkStart w:id="51" w:name="_Toc212819521"/>
      <w:bookmarkStart w:id="52" w:name="_Toc213317321"/>
      <w:bookmarkStart w:id="53" w:name="_Toc213317401"/>
      <w:bookmarkStart w:id="54" w:name="_Toc213414255"/>
      <w:bookmarkStart w:id="55" w:name="_Toc213416978"/>
      <w:r>
        <w:rPr>
          <w:rFonts w:asciiTheme="minorHAnsi" w:eastAsiaTheme="minorHAnsi" w:hAnsiTheme="minorHAnsi" w:cstheme="minorBidi"/>
          <w:b w:val="0"/>
          <w:sz w:val="22"/>
          <w:szCs w:val="22"/>
          <w:lang w:val="en-US"/>
        </w:rPr>
        <w:t xml:space="preserve">The </w:t>
      </w:r>
      <w:r w:rsidR="003D2BE0">
        <w:rPr>
          <w:rFonts w:asciiTheme="minorHAnsi" w:eastAsiaTheme="minorHAnsi" w:hAnsiTheme="minorHAnsi" w:cstheme="minorBidi"/>
          <w:b w:val="0"/>
          <w:sz w:val="22"/>
          <w:szCs w:val="22"/>
          <w:lang w:val="en-US"/>
        </w:rPr>
        <w:t xml:space="preserve">code </w:t>
      </w:r>
      <w:r>
        <w:rPr>
          <w:rFonts w:asciiTheme="minorHAnsi" w:eastAsiaTheme="minorHAnsi" w:hAnsiTheme="minorHAnsi" w:cstheme="minorBidi"/>
          <w:b w:val="0"/>
          <w:sz w:val="22"/>
          <w:szCs w:val="22"/>
          <w:lang w:val="en-US"/>
        </w:rPr>
        <w:t>current</w:t>
      </w:r>
      <w:r w:rsidR="003D2BE0">
        <w:rPr>
          <w:rFonts w:asciiTheme="minorHAnsi" w:eastAsiaTheme="minorHAnsi" w:hAnsiTheme="minorHAnsi" w:cstheme="minorBidi"/>
          <w:b w:val="0"/>
          <w:sz w:val="22"/>
          <w:szCs w:val="22"/>
          <w:lang w:val="en-US"/>
        </w:rPr>
        <w:t>ly includes a</w:t>
      </w:r>
      <w:r>
        <w:rPr>
          <w:rFonts w:asciiTheme="minorHAnsi" w:eastAsiaTheme="minorHAnsi" w:hAnsiTheme="minorHAnsi" w:cstheme="minorBidi"/>
          <w:b w:val="0"/>
          <w:sz w:val="22"/>
          <w:szCs w:val="22"/>
          <w:lang w:val="en-US"/>
        </w:rPr>
        <w:t xml:space="preserve"> guaranteed service level scheme </w:t>
      </w:r>
      <w:r w:rsidR="003D2BE0">
        <w:rPr>
          <w:rFonts w:asciiTheme="minorHAnsi" w:eastAsiaTheme="minorHAnsi" w:hAnsiTheme="minorHAnsi" w:cstheme="minorBidi"/>
          <w:b w:val="0"/>
          <w:sz w:val="22"/>
          <w:szCs w:val="22"/>
          <w:lang w:val="en-US"/>
        </w:rPr>
        <w:t xml:space="preserve">for public lighting. It </w:t>
      </w:r>
      <w:r>
        <w:rPr>
          <w:rFonts w:asciiTheme="minorHAnsi" w:eastAsiaTheme="minorHAnsi" w:hAnsiTheme="minorHAnsi" w:cstheme="minorBidi"/>
          <w:b w:val="0"/>
          <w:sz w:val="22"/>
          <w:szCs w:val="22"/>
          <w:lang w:val="en-US"/>
        </w:rPr>
        <w:t>provides for a payment of $25 to a person who reports a public lighting fault (if they live adjacent to the faulty public light and the distributor does not repair the light within 2 business days of being notified).</w:t>
      </w:r>
      <w:bookmarkEnd w:id="50"/>
      <w:bookmarkEnd w:id="51"/>
      <w:bookmarkEnd w:id="52"/>
      <w:bookmarkEnd w:id="53"/>
      <w:bookmarkEnd w:id="54"/>
      <w:bookmarkEnd w:id="55"/>
    </w:p>
    <w:p w14:paraId="2376BFE4" w14:textId="11D31A94" w:rsidR="007A2F26" w:rsidRDefault="002E686C" w:rsidP="00CB513B">
      <w:pPr>
        <w:pStyle w:val="Heading2"/>
        <w:spacing w:after="120"/>
        <w:rPr>
          <w:rFonts w:asciiTheme="minorHAnsi" w:eastAsiaTheme="minorHAnsi" w:hAnsiTheme="minorHAnsi" w:cstheme="minorBidi"/>
          <w:b w:val="0"/>
          <w:sz w:val="22"/>
          <w:szCs w:val="22"/>
          <w:lang w:val="en-US"/>
        </w:rPr>
      </w:pPr>
      <w:bookmarkStart w:id="56" w:name="_Toc212812576"/>
      <w:bookmarkStart w:id="57" w:name="_Toc212819522"/>
      <w:bookmarkStart w:id="58" w:name="_Toc213317322"/>
      <w:bookmarkStart w:id="59" w:name="_Toc213317402"/>
      <w:bookmarkStart w:id="60" w:name="_Toc213414256"/>
      <w:bookmarkStart w:id="61" w:name="_Toc213416979"/>
      <w:bookmarkStart w:id="62" w:name="_Toc212761774"/>
      <w:r>
        <w:rPr>
          <w:rFonts w:asciiTheme="minorHAnsi" w:eastAsiaTheme="minorHAnsi" w:hAnsiTheme="minorHAnsi" w:cstheme="minorBidi"/>
          <w:b w:val="0"/>
          <w:sz w:val="22"/>
          <w:szCs w:val="22"/>
          <w:lang w:val="en-US"/>
        </w:rPr>
        <w:t>S</w:t>
      </w:r>
      <w:r w:rsidR="004B4158">
        <w:rPr>
          <w:rFonts w:asciiTheme="minorHAnsi" w:eastAsiaTheme="minorHAnsi" w:hAnsiTheme="minorHAnsi" w:cstheme="minorBidi"/>
          <w:b w:val="0"/>
          <w:sz w:val="22"/>
          <w:szCs w:val="22"/>
          <w:lang w:val="en-US"/>
        </w:rPr>
        <w:t>everal stakeholders</w:t>
      </w:r>
      <w:r w:rsidR="00902098">
        <w:rPr>
          <w:rFonts w:asciiTheme="minorHAnsi" w:eastAsiaTheme="minorHAnsi" w:hAnsiTheme="minorHAnsi" w:cstheme="minorBidi"/>
          <w:b w:val="0"/>
          <w:sz w:val="22"/>
          <w:szCs w:val="22"/>
          <w:lang w:val="en-US"/>
        </w:rPr>
        <w:t xml:space="preserve"> </w:t>
      </w:r>
      <w:r w:rsidR="00B26AB6">
        <w:rPr>
          <w:rFonts w:asciiTheme="minorHAnsi" w:eastAsiaTheme="minorHAnsi" w:hAnsiTheme="minorHAnsi" w:cstheme="minorBidi"/>
          <w:b w:val="0"/>
          <w:sz w:val="22"/>
          <w:szCs w:val="22"/>
          <w:lang w:val="en-US"/>
        </w:rPr>
        <w:t xml:space="preserve">suggested </w:t>
      </w:r>
      <w:r w:rsidR="009A684B">
        <w:rPr>
          <w:rFonts w:asciiTheme="minorHAnsi" w:eastAsiaTheme="minorHAnsi" w:hAnsiTheme="minorHAnsi" w:cstheme="minorBidi"/>
          <w:b w:val="0"/>
          <w:sz w:val="22"/>
          <w:szCs w:val="22"/>
          <w:lang w:val="en-US"/>
        </w:rPr>
        <w:t xml:space="preserve">changes </w:t>
      </w:r>
      <w:r w:rsidR="00B26AB6">
        <w:rPr>
          <w:rFonts w:asciiTheme="minorHAnsi" w:eastAsiaTheme="minorHAnsi" w:hAnsiTheme="minorHAnsi" w:cstheme="minorBidi"/>
          <w:b w:val="0"/>
          <w:sz w:val="22"/>
          <w:szCs w:val="22"/>
          <w:lang w:val="en-US"/>
        </w:rPr>
        <w:t xml:space="preserve">to </w:t>
      </w:r>
      <w:r w:rsidR="000C10DE">
        <w:rPr>
          <w:rFonts w:asciiTheme="minorHAnsi" w:eastAsiaTheme="minorHAnsi" w:hAnsiTheme="minorHAnsi" w:cstheme="minorBidi"/>
          <w:b w:val="0"/>
          <w:sz w:val="22"/>
          <w:szCs w:val="22"/>
          <w:lang w:val="en-US"/>
        </w:rPr>
        <w:t xml:space="preserve">the </w:t>
      </w:r>
      <w:r w:rsidR="003C4ED7">
        <w:rPr>
          <w:rFonts w:asciiTheme="minorHAnsi" w:eastAsiaTheme="minorHAnsi" w:hAnsiTheme="minorHAnsi" w:cstheme="minorBidi"/>
          <w:b w:val="0"/>
          <w:sz w:val="22"/>
          <w:szCs w:val="22"/>
          <w:lang w:val="en-US"/>
        </w:rPr>
        <w:t>guaranteed service level</w:t>
      </w:r>
      <w:r w:rsidR="004B1C4F">
        <w:rPr>
          <w:rFonts w:asciiTheme="minorHAnsi" w:eastAsiaTheme="minorHAnsi" w:hAnsiTheme="minorHAnsi" w:cstheme="minorBidi"/>
          <w:b w:val="0"/>
          <w:sz w:val="22"/>
          <w:szCs w:val="22"/>
          <w:lang w:val="en-US"/>
        </w:rPr>
        <w:t xml:space="preserve"> </w:t>
      </w:r>
      <w:r w:rsidR="006922B7">
        <w:rPr>
          <w:rFonts w:asciiTheme="minorHAnsi" w:eastAsiaTheme="minorHAnsi" w:hAnsiTheme="minorHAnsi" w:cstheme="minorBidi"/>
          <w:b w:val="0"/>
          <w:sz w:val="22"/>
          <w:szCs w:val="22"/>
          <w:lang w:val="en-US"/>
        </w:rPr>
        <w:t xml:space="preserve">scheme </w:t>
      </w:r>
      <w:r w:rsidR="004B4158">
        <w:rPr>
          <w:rFonts w:asciiTheme="minorHAnsi" w:eastAsiaTheme="minorHAnsi" w:hAnsiTheme="minorHAnsi" w:cstheme="minorBidi"/>
          <w:b w:val="0"/>
          <w:sz w:val="22"/>
          <w:szCs w:val="22"/>
          <w:lang w:val="en-US"/>
        </w:rPr>
        <w:t>for public lighting</w:t>
      </w:r>
      <w:r w:rsidR="000C10DE">
        <w:rPr>
          <w:rFonts w:asciiTheme="minorHAnsi" w:eastAsiaTheme="minorHAnsi" w:hAnsiTheme="minorHAnsi" w:cstheme="minorBidi"/>
          <w:b w:val="0"/>
          <w:sz w:val="22"/>
          <w:szCs w:val="22"/>
          <w:lang w:val="en-US"/>
        </w:rPr>
        <w:t>.</w:t>
      </w:r>
      <w:r w:rsidR="002E44C2">
        <w:rPr>
          <w:rFonts w:asciiTheme="minorHAnsi" w:eastAsiaTheme="minorHAnsi" w:hAnsiTheme="minorHAnsi" w:cstheme="minorBidi"/>
          <w:b w:val="0"/>
          <w:sz w:val="22"/>
          <w:szCs w:val="22"/>
          <w:lang w:val="en-US"/>
        </w:rPr>
        <w:t xml:space="preserve"> </w:t>
      </w:r>
      <w:r w:rsidR="00902098">
        <w:rPr>
          <w:rFonts w:asciiTheme="minorHAnsi" w:eastAsiaTheme="minorHAnsi" w:hAnsiTheme="minorHAnsi" w:cstheme="minorBidi"/>
          <w:b w:val="0"/>
          <w:sz w:val="22"/>
          <w:szCs w:val="22"/>
          <w:lang w:val="en-US"/>
        </w:rPr>
        <w:t>However, o</w:t>
      </w:r>
      <w:r w:rsidR="00D577C8">
        <w:rPr>
          <w:rFonts w:asciiTheme="minorHAnsi" w:eastAsiaTheme="minorHAnsi" w:hAnsiTheme="minorHAnsi" w:cstheme="minorBidi"/>
          <w:b w:val="0"/>
          <w:sz w:val="22"/>
          <w:szCs w:val="22"/>
          <w:lang w:val="en-US"/>
        </w:rPr>
        <w:t xml:space="preserve">ur final decision is not to make any changes to the </w:t>
      </w:r>
      <w:r w:rsidR="00613167" w:rsidRPr="003B6ACE">
        <w:rPr>
          <w:rFonts w:asciiTheme="minorHAnsi" w:eastAsiaTheme="minorHAnsi" w:hAnsiTheme="minorHAnsi" w:cstheme="minorBidi"/>
          <w:b w:val="0"/>
          <w:sz w:val="22"/>
          <w:szCs w:val="22"/>
          <w:lang w:val="en-US"/>
        </w:rPr>
        <w:t xml:space="preserve">current </w:t>
      </w:r>
      <w:r w:rsidR="00D577C8">
        <w:rPr>
          <w:rFonts w:asciiTheme="minorHAnsi" w:eastAsiaTheme="minorHAnsi" w:hAnsiTheme="minorHAnsi" w:cstheme="minorBidi"/>
          <w:b w:val="0"/>
          <w:sz w:val="22"/>
          <w:szCs w:val="22"/>
          <w:lang w:val="en-US"/>
        </w:rPr>
        <w:t>scheme.</w:t>
      </w:r>
      <w:bookmarkEnd w:id="56"/>
      <w:bookmarkEnd w:id="57"/>
      <w:bookmarkEnd w:id="58"/>
      <w:bookmarkEnd w:id="59"/>
      <w:bookmarkEnd w:id="60"/>
      <w:bookmarkEnd w:id="61"/>
      <w:r w:rsidR="00D577C8">
        <w:rPr>
          <w:rFonts w:asciiTheme="minorHAnsi" w:eastAsiaTheme="minorHAnsi" w:hAnsiTheme="minorHAnsi" w:cstheme="minorBidi"/>
          <w:b w:val="0"/>
          <w:sz w:val="22"/>
          <w:szCs w:val="22"/>
          <w:lang w:val="en-US"/>
        </w:rPr>
        <w:t xml:space="preserve"> </w:t>
      </w:r>
    </w:p>
    <w:p w14:paraId="2B44E505" w14:textId="7FEF18C6" w:rsidR="00D577C8" w:rsidRDefault="00E448CE" w:rsidP="00CB513B">
      <w:pPr>
        <w:pStyle w:val="Heading2"/>
        <w:spacing w:after="120"/>
        <w:rPr>
          <w:rFonts w:asciiTheme="minorHAnsi" w:eastAsiaTheme="minorHAnsi" w:hAnsiTheme="minorHAnsi" w:cstheme="minorBidi"/>
          <w:b w:val="0"/>
          <w:sz w:val="22"/>
          <w:szCs w:val="22"/>
          <w:lang w:val="en-US"/>
        </w:rPr>
      </w:pPr>
      <w:bookmarkStart w:id="63" w:name="_Toc212812577"/>
      <w:bookmarkStart w:id="64" w:name="_Toc212819523"/>
      <w:bookmarkStart w:id="65" w:name="_Toc213317323"/>
      <w:bookmarkStart w:id="66" w:name="_Toc213317403"/>
      <w:bookmarkStart w:id="67" w:name="_Toc213414257"/>
      <w:bookmarkStart w:id="68" w:name="_Toc213416980"/>
      <w:r>
        <w:rPr>
          <w:rFonts w:asciiTheme="minorHAnsi" w:eastAsiaTheme="minorHAnsi" w:hAnsiTheme="minorHAnsi" w:cstheme="minorBidi"/>
          <w:b w:val="0"/>
          <w:sz w:val="22"/>
          <w:szCs w:val="22"/>
          <w:lang w:val="en-US"/>
        </w:rPr>
        <w:t xml:space="preserve">We note that </w:t>
      </w:r>
      <w:r w:rsidR="00A228FF">
        <w:rPr>
          <w:rFonts w:asciiTheme="minorHAnsi" w:eastAsiaTheme="minorHAnsi" w:hAnsiTheme="minorHAnsi" w:cstheme="minorBidi"/>
          <w:b w:val="0"/>
          <w:sz w:val="22"/>
          <w:szCs w:val="22"/>
          <w:lang w:val="en-US"/>
        </w:rPr>
        <w:t xml:space="preserve">distributors </w:t>
      </w:r>
      <w:r w:rsidR="00A228FF" w:rsidRPr="00A228FF">
        <w:rPr>
          <w:rFonts w:asciiTheme="minorHAnsi" w:eastAsiaTheme="minorHAnsi" w:hAnsiTheme="minorHAnsi" w:cstheme="minorBidi"/>
          <w:b w:val="0"/>
          <w:sz w:val="22"/>
          <w:szCs w:val="22"/>
          <w:lang w:val="en-US"/>
        </w:rPr>
        <w:t xml:space="preserve">are proposing bulk replacement of </w:t>
      </w:r>
      <w:r w:rsidR="00DE13A7">
        <w:rPr>
          <w:rFonts w:asciiTheme="minorHAnsi" w:eastAsiaTheme="minorHAnsi" w:hAnsiTheme="minorHAnsi" w:cstheme="minorBidi"/>
          <w:b w:val="0"/>
          <w:sz w:val="22"/>
          <w:szCs w:val="22"/>
          <w:lang w:val="en-US"/>
        </w:rPr>
        <w:t>their</w:t>
      </w:r>
      <w:r w:rsidR="00DE13A7" w:rsidRPr="00A228FF">
        <w:rPr>
          <w:rFonts w:asciiTheme="minorHAnsi" w:eastAsiaTheme="minorHAnsi" w:hAnsiTheme="minorHAnsi" w:cstheme="minorBidi"/>
          <w:b w:val="0"/>
          <w:sz w:val="22"/>
          <w:szCs w:val="22"/>
          <w:lang w:val="en-US"/>
        </w:rPr>
        <w:t xml:space="preserve"> </w:t>
      </w:r>
      <w:r w:rsidR="00A228FF" w:rsidRPr="00A228FF">
        <w:rPr>
          <w:rFonts w:asciiTheme="minorHAnsi" w:eastAsiaTheme="minorHAnsi" w:hAnsiTheme="minorHAnsi" w:cstheme="minorBidi"/>
          <w:b w:val="0"/>
          <w:sz w:val="22"/>
          <w:szCs w:val="22"/>
          <w:lang w:val="en-US"/>
        </w:rPr>
        <w:t>public lighting with the Australian Energy Regulator</w:t>
      </w:r>
      <w:r w:rsidR="00637662">
        <w:rPr>
          <w:rFonts w:asciiTheme="minorHAnsi" w:eastAsiaTheme="minorHAnsi" w:hAnsiTheme="minorHAnsi" w:cstheme="minorBidi"/>
          <w:b w:val="0"/>
          <w:sz w:val="22"/>
          <w:szCs w:val="22"/>
          <w:lang w:val="en-US"/>
        </w:rPr>
        <w:t xml:space="preserve">, </w:t>
      </w:r>
      <w:r w:rsidR="001875DB">
        <w:rPr>
          <w:rFonts w:asciiTheme="minorHAnsi" w:eastAsiaTheme="minorHAnsi" w:hAnsiTheme="minorHAnsi" w:cstheme="minorBidi"/>
          <w:b w:val="0"/>
          <w:sz w:val="22"/>
          <w:szCs w:val="22"/>
          <w:lang w:val="en-US"/>
        </w:rPr>
        <w:t xml:space="preserve">as part of the regulatory determinations for </w:t>
      </w:r>
      <w:r w:rsidR="00637662">
        <w:rPr>
          <w:rFonts w:asciiTheme="minorHAnsi" w:eastAsiaTheme="minorHAnsi" w:hAnsiTheme="minorHAnsi" w:cstheme="minorBidi"/>
          <w:b w:val="0"/>
          <w:sz w:val="22"/>
          <w:szCs w:val="22"/>
          <w:lang w:val="en-US"/>
        </w:rPr>
        <w:t>2026-2031</w:t>
      </w:r>
      <w:r w:rsidR="00A228FF" w:rsidRPr="00A228FF">
        <w:rPr>
          <w:rFonts w:asciiTheme="minorHAnsi" w:eastAsiaTheme="minorHAnsi" w:hAnsiTheme="minorHAnsi" w:cstheme="minorBidi"/>
          <w:b w:val="0"/>
          <w:sz w:val="22"/>
          <w:szCs w:val="22"/>
          <w:lang w:val="en-US"/>
        </w:rPr>
        <w:t>.</w:t>
      </w:r>
      <w:r w:rsidR="008F6974">
        <w:rPr>
          <w:rStyle w:val="FootnoteReference"/>
          <w:rFonts w:asciiTheme="minorHAnsi" w:eastAsiaTheme="minorHAnsi" w:hAnsiTheme="minorHAnsi" w:cstheme="minorBidi"/>
          <w:b w:val="0"/>
          <w:sz w:val="22"/>
          <w:szCs w:val="22"/>
          <w:lang w:val="en-US"/>
        </w:rPr>
        <w:footnoteReference w:id="11"/>
      </w:r>
      <w:r w:rsidR="00A228FF" w:rsidRPr="00A228FF">
        <w:rPr>
          <w:rFonts w:asciiTheme="minorHAnsi" w:eastAsiaTheme="minorHAnsi" w:hAnsiTheme="minorHAnsi" w:cstheme="minorBidi"/>
          <w:b w:val="0"/>
          <w:sz w:val="22"/>
          <w:szCs w:val="22"/>
          <w:lang w:val="en-US"/>
        </w:rPr>
        <w:t xml:space="preserve"> </w:t>
      </w:r>
      <w:r w:rsidR="00361262">
        <w:rPr>
          <w:rFonts w:asciiTheme="minorHAnsi" w:eastAsiaTheme="minorHAnsi" w:hAnsiTheme="minorHAnsi" w:cstheme="minorBidi"/>
          <w:b w:val="0"/>
          <w:sz w:val="22"/>
          <w:szCs w:val="22"/>
          <w:lang w:val="en-US"/>
        </w:rPr>
        <w:t xml:space="preserve">It would be more appropriate to consider broader changes to the </w:t>
      </w:r>
      <w:r w:rsidR="00010831">
        <w:rPr>
          <w:rFonts w:asciiTheme="minorHAnsi" w:eastAsiaTheme="minorHAnsi" w:hAnsiTheme="minorHAnsi" w:cstheme="minorBidi"/>
          <w:b w:val="0"/>
          <w:sz w:val="22"/>
          <w:szCs w:val="22"/>
          <w:lang w:val="en-US"/>
        </w:rPr>
        <w:t xml:space="preserve">guaranteed </w:t>
      </w:r>
      <w:r w:rsidR="00E73333">
        <w:rPr>
          <w:rFonts w:asciiTheme="minorHAnsi" w:eastAsiaTheme="minorHAnsi" w:hAnsiTheme="minorHAnsi" w:cstheme="minorBidi"/>
          <w:b w:val="0"/>
          <w:sz w:val="22"/>
          <w:szCs w:val="22"/>
          <w:lang w:val="en-US"/>
        </w:rPr>
        <w:t xml:space="preserve">service level </w:t>
      </w:r>
      <w:r w:rsidR="00361262">
        <w:rPr>
          <w:rFonts w:asciiTheme="minorHAnsi" w:eastAsiaTheme="minorHAnsi" w:hAnsiTheme="minorHAnsi" w:cstheme="minorBidi"/>
          <w:b w:val="0"/>
          <w:sz w:val="22"/>
          <w:szCs w:val="22"/>
          <w:lang w:val="en-US"/>
        </w:rPr>
        <w:t xml:space="preserve">scheme after </w:t>
      </w:r>
      <w:r w:rsidR="007A2F26">
        <w:rPr>
          <w:rFonts w:asciiTheme="minorHAnsi" w:eastAsiaTheme="minorHAnsi" w:hAnsiTheme="minorHAnsi" w:cstheme="minorBidi"/>
          <w:b w:val="0"/>
          <w:sz w:val="22"/>
          <w:szCs w:val="22"/>
          <w:lang w:val="en-US"/>
        </w:rPr>
        <w:t xml:space="preserve">the </w:t>
      </w:r>
      <w:r w:rsidR="009418D6">
        <w:rPr>
          <w:rFonts w:asciiTheme="minorHAnsi" w:eastAsiaTheme="minorHAnsi" w:hAnsiTheme="minorHAnsi" w:cstheme="minorBidi"/>
          <w:b w:val="0"/>
          <w:sz w:val="22"/>
          <w:szCs w:val="22"/>
          <w:lang w:val="en-US"/>
        </w:rPr>
        <w:t xml:space="preserve">fleet </w:t>
      </w:r>
      <w:r w:rsidR="007A2F26">
        <w:rPr>
          <w:rFonts w:asciiTheme="minorHAnsi" w:eastAsiaTheme="minorHAnsi" w:hAnsiTheme="minorHAnsi" w:cstheme="minorBidi"/>
          <w:b w:val="0"/>
          <w:sz w:val="22"/>
          <w:szCs w:val="22"/>
          <w:lang w:val="en-US"/>
        </w:rPr>
        <w:t>of older public lights are replaced.</w:t>
      </w:r>
      <w:bookmarkEnd w:id="63"/>
      <w:bookmarkEnd w:id="64"/>
      <w:bookmarkEnd w:id="65"/>
      <w:bookmarkEnd w:id="66"/>
      <w:bookmarkEnd w:id="67"/>
      <w:bookmarkEnd w:id="68"/>
    </w:p>
    <w:p w14:paraId="12790712" w14:textId="3605EF07" w:rsidR="007A2F26" w:rsidRPr="007A2F26" w:rsidRDefault="007A2F26" w:rsidP="007E25F7">
      <w:pPr>
        <w:rPr>
          <w:lang w:val="en-US"/>
        </w:rPr>
      </w:pPr>
      <w:r>
        <w:rPr>
          <w:lang w:val="en-US"/>
        </w:rPr>
        <w:t>We describe stakeholders’ feedback and our response</w:t>
      </w:r>
      <w:r w:rsidR="00492327">
        <w:rPr>
          <w:lang w:val="en-US"/>
        </w:rPr>
        <w:t>s</w:t>
      </w:r>
      <w:r>
        <w:rPr>
          <w:lang w:val="en-US"/>
        </w:rPr>
        <w:t xml:space="preserve"> further below.</w:t>
      </w:r>
    </w:p>
    <w:p w14:paraId="79DB84C5" w14:textId="41D5EEAF" w:rsidR="007A2F26" w:rsidRDefault="007A2F26" w:rsidP="007E25F7">
      <w:pPr>
        <w:pStyle w:val="Heading3"/>
        <w:rPr>
          <w:lang w:val="en-US"/>
        </w:rPr>
      </w:pPr>
      <w:bookmarkStart w:id="69" w:name="_Toc213416981"/>
      <w:r w:rsidRPr="007E25F7">
        <w:rPr>
          <w:lang w:val="en-US"/>
        </w:rPr>
        <w:t xml:space="preserve">Stakeholder </w:t>
      </w:r>
      <w:r>
        <w:rPr>
          <w:lang w:val="en-US"/>
        </w:rPr>
        <w:t>feedback</w:t>
      </w:r>
      <w:bookmarkEnd w:id="62"/>
      <w:bookmarkEnd w:id="69"/>
    </w:p>
    <w:p w14:paraId="7026B513" w14:textId="474EA53B" w:rsidR="00C1409A" w:rsidRDefault="0097059B" w:rsidP="0033468B">
      <w:r>
        <w:rPr>
          <w:lang w:val="en-US"/>
        </w:rPr>
        <w:t xml:space="preserve">Electricity distribution businesses </w:t>
      </w:r>
      <w:r w:rsidR="005E0A32">
        <w:rPr>
          <w:lang w:val="en-US"/>
        </w:rPr>
        <w:t xml:space="preserve">suggested </w:t>
      </w:r>
      <w:r w:rsidR="00304120">
        <w:rPr>
          <w:lang w:val="en-US"/>
        </w:rPr>
        <w:t xml:space="preserve">increasing the </w:t>
      </w:r>
      <w:r w:rsidR="00DE78F2">
        <w:rPr>
          <w:lang w:val="en-US"/>
        </w:rPr>
        <w:t xml:space="preserve">response </w:t>
      </w:r>
      <w:r w:rsidR="00304120">
        <w:rPr>
          <w:lang w:val="en-US"/>
        </w:rPr>
        <w:t xml:space="preserve">time </w:t>
      </w:r>
      <w:r w:rsidR="00DE78F2">
        <w:rPr>
          <w:lang w:val="en-US"/>
        </w:rPr>
        <w:t>to repair</w:t>
      </w:r>
      <w:r w:rsidR="00850F76">
        <w:rPr>
          <w:lang w:val="en-US"/>
        </w:rPr>
        <w:t xml:space="preserve"> </w:t>
      </w:r>
      <w:r w:rsidR="003F4B05">
        <w:rPr>
          <w:lang w:val="en-US"/>
        </w:rPr>
        <w:t xml:space="preserve">faulty </w:t>
      </w:r>
      <w:r w:rsidR="00E01E69" w:rsidRPr="00E01E69">
        <w:rPr>
          <w:lang w:val="en-US"/>
        </w:rPr>
        <w:t>public light</w:t>
      </w:r>
      <w:r w:rsidR="00DE78F2">
        <w:rPr>
          <w:lang w:val="en-US"/>
        </w:rPr>
        <w:t>s</w:t>
      </w:r>
      <w:r w:rsidR="00B06AA4">
        <w:rPr>
          <w:lang w:val="en-US"/>
        </w:rPr>
        <w:t xml:space="preserve">, for a </w:t>
      </w:r>
      <w:r w:rsidR="00CD0C22">
        <w:rPr>
          <w:lang w:val="en-US"/>
        </w:rPr>
        <w:t xml:space="preserve">person to receive a </w:t>
      </w:r>
      <w:r w:rsidR="00B06AA4">
        <w:rPr>
          <w:lang w:val="en-US"/>
        </w:rPr>
        <w:t>guaranteed service level payment</w:t>
      </w:r>
      <w:r w:rsidR="007E2FAB">
        <w:rPr>
          <w:lang w:val="en-US"/>
        </w:rPr>
        <w:t xml:space="preserve">. </w:t>
      </w:r>
      <w:r w:rsidR="0058421F">
        <w:t xml:space="preserve">CitiPower, Powercor and United Energy suggested </w:t>
      </w:r>
      <w:r w:rsidR="00850F76" w:rsidRPr="0058421F">
        <w:t xml:space="preserve">the </w:t>
      </w:r>
      <w:r w:rsidR="00B7719D">
        <w:t xml:space="preserve">response period </w:t>
      </w:r>
      <w:r w:rsidR="00BA2148" w:rsidRPr="0058421F">
        <w:t xml:space="preserve">be changed </w:t>
      </w:r>
      <w:r w:rsidR="00E01E69" w:rsidRPr="0058421F">
        <w:t>from 2 business days to 10 business days</w:t>
      </w:r>
      <w:r w:rsidR="00B7719D">
        <w:t xml:space="preserve">, and </w:t>
      </w:r>
      <w:r w:rsidR="00C1409A">
        <w:t xml:space="preserve">Jemena </w:t>
      </w:r>
      <w:r w:rsidR="007B0542">
        <w:t xml:space="preserve">suggested </w:t>
      </w:r>
      <w:r w:rsidR="00B7719D">
        <w:t xml:space="preserve">it </w:t>
      </w:r>
      <w:r w:rsidR="00F37620">
        <w:t xml:space="preserve">to </w:t>
      </w:r>
      <w:r w:rsidR="00B7719D">
        <w:t xml:space="preserve">be </w:t>
      </w:r>
      <w:r w:rsidR="00C1409A">
        <w:t>7</w:t>
      </w:r>
      <w:r w:rsidR="00C1409A" w:rsidRPr="0058421F">
        <w:t xml:space="preserve"> business days</w:t>
      </w:r>
      <w:r w:rsidR="006C6184">
        <w:t xml:space="preserve"> (to align with the minimum service standard under </w:t>
      </w:r>
      <w:r w:rsidR="00691430">
        <w:t>clause 19.7.1(b)</w:t>
      </w:r>
      <w:r w:rsidR="006C6184">
        <w:t>)</w:t>
      </w:r>
      <w:r w:rsidR="00C1409A" w:rsidRPr="0058421F">
        <w:t>.</w:t>
      </w:r>
    </w:p>
    <w:p w14:paraId="24583F34" w14:textId="036CDD6B" w:rsidR="00915F38" w:rsidRDefault="002F7E93" w:rsidP="008C5355">
      <w:r>
        <w:t>However, w</w:t>
      </w:r>
      <w:r w:rsidR="00915F38">
        <w:t xml:space="preserve">e consider </w:t>
      </w:r>
      <w:r w:rsidR="00401E70">
        <w:t xml:space="preserve">the </w:t>
      </w:r>
      <w:r w:rsidR="0047678E">
        <w:t xml:space="preserve">current </w:t>
      </w:r>
      <w:r w:rsidR="00915F38">
        <w:t>2 business day</w:t>
      </w:r>
      <w:r w:rsidR="005A4B20">
        <w:t>s</w:t>
      </w:r>
      <w:r w:rsidR="00915F38">
        <w:t xml:space="preserve"> </w:t>
      </w:r>
      <w:r w:rsidR="009F5E34">
        <w:t xml:space="preserve">response </w:t>
      </w:r>
      <w:r w:rsidR="00401E70">
        <w:t xml:space="preserve">time for </w:t>
      </w:r>
      <w:r w:rsidR="00DA4478">
        <w:t xml:space="preserve">a </w:t>
      </w:r>
      <w:r w:rsidR="0097059B">
        <w:t xml:space="preserve">guaranteed service level </w:t>
      </w:r>
      <w:r w:rsidR="00401E70">
        <w:t xml:space="preserve">payment </w:t>
      </w:r>
      <w:r w:rsidR="0047678E">
        <w:t>is still</w:t>
      </w:r>
      <w:r w:rsidR="00401E70">
        <w:t xml:space="preserve"> </w:t>
      </w:r>
      <w:r w:rsidR="00915F38">
        <w:t>appropriate</w:t>
      </w:r>
      <w:r>
        <w:t xml:space="preserve">. </w:t>
      </w:r>
      <w:r w:rsidR="0047678E">
        <w:t xml:space="preserve">We note that </w:t>
      </w:r>
      <w:r w:rsidR="00915F38">
        <w:t xml:space="preserve">members of the public </w:t>
      </w:r>
      <w:r w:rsidR="006832C5">
        <w:t xml:space="preserve">have raised </w:t>
      </w:r>
      <w:r w:rsidR="00915F38">
        <w:t xml:space="preserve">poor repair response </w:t>
      </w:r>
      <w:r w:rsidR="006832C5">
        <w:t xml:space="preserve">times </w:t>
      </w:r>
      <w:r w:rsidR="00915F38">
        <w:t xml:space="preserve">by some </w:t>
      </w:r>
      <w:r w:rsidR="0085470C">
        <w:t xml:space="preserve">electricity </w:t>
      </w:r>
      <w:r w:rsidR="00915F38">
        <w:t>distribut</w:t>
      </w:r>
      <w:r w:rsidR="0085470C">
        <w:t>ion businesses</w:t>
      </w:r>
      <w:r w:rsidR="00915F38">
        <w:t>.</w:t>
      </w:r>
      <w:r w:rsidR="004B3838">
        <w:rPr>
          <w:rStyle w:val="FootnoteReference"/>
        </w:rPr>
        <w:footnoteReference w:id="12"/>
      </w:r>
      <w:r w:rsidR="00A44155">
        <w:t xml:space="preserve"> </w:t>
      </w:r>
      <w:r w:rsidR="0047678E">
        <w:t>Keeping this shorter period</w:t>
      </w:r>
      <w:r w:rsidR="00EC1D3B">
        <w:t xml:space="preserve"> highlights </w:t>
      </w:r>
      <w:r w:rsidR="006F6182">
        <w:t xml:space="preserve">to </w:t>
      </w:r>
      <w:r w:rsidR="00435AD8">
        <w:t>electricity distribution businesses</w:t>
      </w:r>
      <w:r w:rsidR="007C10B1">
        <w:t xml:space="preserve"> </w:t>
      </w:r>
      <w:r w:rsidR="006F6182">
        <w:t xml:space="preserve">of their </w:t>
      </w:r>
      <w:r w:rsidR="00D52793">
        <w:t xml:space="preserve">on-going </w:t>
      </w:r>
      <w:r w:rsidR="00915F38">
        <w:t xml:space="preserve">responsibilities to deliver appropriate public lighting services. </w:t>
      </w:r>
    </w:p>
    <w:p w14:paraId="270FBB17" w14:textId="5063AA68" w:rsidR="008B0259" w:rsidRDefault="00100111" w:rsidP="008B0259">
      <w:r>
        <w:t>We note that t</w:t>
      </w:r>
      <w:r w:rsidR="008B779D">
        <w:t>here is a distinct</w:t>
      </w:r>
      <w:r w:rsidR="007C10B1">
        <w:rPr>
          <w:lang w:val="en-US"/>
        </w:rPr>
        <w:t xml:space="preserve"> difference between </w:t>
      </w:r>
      <w:r w:rsidR="002C04AD" w:rsidRPr="002C04AD">
        <w:rPr>
          <w:lang w:val="en-US"/>
        </w:rPr>
        <w:t xml:space="preserve">the </w:t>
      </w:r>
      <w:r w:rsidR="005B3AEA">
        <w:rPr>
          <w:lang w:val="en-US"/>
        </w:rPr>
        <w:t>guaran</w:t>
      </w:r>
      <w:r w:rsidR="006F7F37">
        <w:rPr>
          <w:lang w:val="en-US"/>
        </w:rPr>
        <w:t xml:space="preserve">teed service level </w:t>
      </w:r>
      <w:r w:rsidR="001C2960">
        <w:rPr>
          <w:lang w:val="en-US"/>
        </w:rPr>
        <w:t xml:space="preserve">scheme </w:t>
      </w:r>
      <w:r w:rsidR="002C04AD" w:rsidRPr="002C04AD">
        <w:rPr>
          <w:lang w:val="en-US"/>
        </w:rPr>
        <w:t xml:space="preserve">and minimum service standard </w:t>
      </w:r>
      <w:r w:rsidR="00BF635D">
        <w:rPr>
          <w:lang w:val="en-US"/>
        </w:rPr>
        <w:t xml:space="preserve">for </w:t>
      </w:r>
      <w:r w:rsidR="00BF635D" w:rsidRPr="002C04AD">
        <w:rPr>
          <w:lang w:val="en-US"/>
        </w:rPr>
        <w:t>public lighting</w:t>
      </w:r>
      <w:r w:rsidR="0038176D">
        <w:rPr>
          <w:lang w:val="en-US"/>
        </w:rPr>
        <w:t xml:space="preserve">. </w:t>
      </w:r>
      <w:r w:rsidR="00B40E45">
        <w:rPr>
          <w:lang w:val="en-US"/>
        </w:rPr>
        <w:t xml:space="preserve">It </w:t>
      </w:r>
      <w:r w:rsidR="008B779D">
        <w:rPr>
          <w:lang w:val="en-US"/>
        </w:rPr>
        <w:t>is</w:t>
      </w:r>
      <w:r w:rsidR="00B40E45">
        <w:rPr>
          <w:lang w:val="en-US"/>
        </w:rPr>
        <w:t xml:space="preserve"> appropriate for the two </w:t>
      </w:r>
      <w:r w:rsidR="00902098">
        <w:rPr>
          <w:lang w:val="en-US"/>
        </w:rPr>
        <w:t xml:space="preserve">different </w:t>
      </w:r>
      <w:r w:rsidR="00B40E45">
        <w:rPr>
          <w:lang w:val="en-US"/>
        </w:rPr>
        <w:t>obligations</w:t>
      </w:r>
      <w:r w:rsidR="007C10B1">
        <w:rPr>
          <w:lang w:val="en-US"/>
        </w:rPr>
        <w:t xml:space="preserve"> </w:t>
      </w:r>
      <w:r w:rsidR="00B40E45">
        <w:rPr>
          <w:lang w:val="en-US"/>
        </w:rPr>
        <w:t xml:space="preserve">to have different </w:t>
      </w:r>
      <w:r w:rsidR="00EA2018">
        <w:rPr>
          <w:lang w:val="en-US"/>
        </w:rPr>
        <w:t xml:space="preserve">response </w:t>
      </w:r>
      <w:r w:rsidR="00476DA5">
        <w:rPr>
          <w:lang w:val="en-US"/>
        </w:rPr>
        <w:t>time</w:t>
      </w:r>
      <w:r w:rsidR="00EA2018">
        <w:rPr>
          <w:lang w:val="en-US"/>
        </w:rPr>
        <w:t xml:space="preserve"> </w:t>
      </w:r>
      <w:r w:rsidR="00476DA5">
        <w:rPr>
          <w:lang w:val="en-US"/>
        </w:rPr>
        <w:t>periods</w:t>
      </w:r>
      <w:r w:rsidR="008B779D">
        <w:rPr>
          <w:lang w:val="en-US"/>
        </w:rPr>
        <w:t xml:space="preserve">, and for the </w:t>
      </w:r>
      <w:r w:rsidR="00D80200">
        <w:rPr>
          <w:lang w:val="en-US"/>
        </w:rPr>
        <w:t xml:space="preserve">guaranteed service level </w:t>
      </w:r>
      <w:r w:rsidR="008B779D">
        <w:rPr>
          <w:lang w:val="en-US"/>
        </w:rPr>
        <w:t>scheme to be targeted</w:t>
      </w:r>
      <w:r w:rsidR="008B0259">
        <w:rPr>
          <w:lang w:val="en-US"/>
        </w:rPr>
        <w:t>.</w:t>
      </w:r>
      <w:r w:rsidR="00AC53B4">
        <w:rPr>
          <w:lang w:val="en-US"/>
        </w:rPr>
        <w:t xml:space="preserve"> Expanding further</w:t>
      </w:r>
      <w:r w:rsidR="004264DB">
        <w:rPr>
          <w:lang w:val="en-US"/>
        </w:rPr>
        <w:t>:</w:t>
      </w:r>
    </w:p>
    <w:p w14:paraId="13648639" w14:textId="1B74B726" w:rsidR="004264DB" w:rsidRDefault="00B57739" w:rsidP="005F3E62">
      <w:pPr>
        <w:pStyle w:val="ListBullet"/>
        <w:ind w:left="284" w:hanging="284"/>
      </w:pPr>
      <w:r>
        <w:t xml:space="preserve">The </w:t>
      </w:r>
      <w:r w:rsidR="00616B1F" w:rsidRPr="004264DB">
        <w:rPr>
          <w:b/>
          <w:bCs/>
        </w:rPr>
        <w:t>guaranteed service level</w:t>
      </w:r>
      <w:r w:rsidR="004B1C4F" w:rsidRPr="004264DB">
        <w:rPr>
          <w:b/>
          <w:bCs/>
        </w:rPr>
        <w:t xml:space="preserve"> </w:t>
      </w:r>
      <w:r w:rsidR="00680499" w:rsidRPr="004264DB">
        <w:rPr>
          <w:b/>
          <w:bCs/>
        </w:rPr>
        <w:t>scheme</w:t>
      </w:r>
      <w:r>
        <w:t xml:space="preserve"> </w:t>
      </w:r>
      <w:r w:rsidR="001B73D6">
        <w:t xml:space="preserve">provides a recognition payment to a person who </w:t>
      </w:r>
      <w:r w:rsidR="002C04AD" w:rsidRPr="00B57739">
        <w:t>first reports a fault (</w:t>
      </w:r>
      <w:proofErr w:type="spellStart"/>
      <w:r w:rsidR="00087E6D" w:rsidRPr="00087E6D">
        <w:t>neighbouring</w:t>
      </w:r>
      <w:proofErr w:type="spellEnd"/>
      <w:r w:rsidR="002C04AD" w:rsidRPr="00B57739">
        <w:t xml:space="preserve"> their </w:t>
      </w:r>
      <w:proofErr w:type="gramStart"/>
      <w:r w:rsidR="002C04AD" w:rsidRPr="00B57739">
        <w:t>premise</w:t>
      </w:r>
      <w:proofErr w:type="gramEnd"/>
      <w:r w:rsidR="002C04AD" w:rsidRPr="00B57739">
        <w:t>)</w:t>
      </w:r>
      <w:r w:rsidR="001B73D6">
        <w:t>,</w:t>
      </w:r>
      <w:r w:rsidR="002C04AD" w:rsidRPr="00B57739">
        <w:t xml:space="preserve"> that has not been repaired within 2 </w:t>
      </w:r>
      <w:r w:rsidR="002448AB">
        <w:t xml:space="preserve">business </w:t>
      </w:r>
      <w:r w:rsidR="002C04AD" w:rsidRPr="00B57739">
        <w:t>days (of identifying it).</w:t>
      </w:r>
      <w:r w:rsidR="00FC0F84">
        <w:t xml:space="preserve"> </w:t>
      </w:r>
      <w:r w:rsidR="00607F91">
        <w:t xml:space="preserve">This </w:t>
      </w:r>
      <w:proofErr w:type="spellStart"/>
      <w:r w:rsidR="00607F91">
        <w:t>recognises</w:t>
      </w:r>
      <w:proofErr w:type="spellEnd"/>
      <w:r w:rsidR="00607F91">
        <w:t xml:space="preserve"> the efforts of a person to support</w:t>
      </w:r>
      <w:r w:rsidR="009E4438">
        <w:t xml:space="preserve"> </w:t>
      </w:r>
      <w:r w:rsidR="002229C7">
        <w:t xml:space="preserve">the </w:t>
      </w:r>
      <w:r w:rsidR="00AC2773">
        <w:t xml:space="preserve">electricity distribution </w:t>
      </w:r>
      <w:r w:rsidR="00E374E7">
        <w:t>business</w:t>
      </w:r>
      <w:r w:rsidR="00CA6799">
        <w:t>es’</w:t>
      </w:r>
      <w:r w:rsidR="00FF4DB6">
        <w:t xml:space="preserve"> </w:t>
      </w:r>
      <w:r w:rsidR="009E4438">
        <w:t xml:space="preserve">obligation to monitor, maintain and repair public lighting. It also </w:t>
      </w:r>
      <w:proofErr w:type="spellStart"/>
      <w:r w:rsidR="009E4438">
        <w:t>recognises</w:t>
      </w:r>
      <w:proofErr w:type="spellEnd"/>
      <w:r w:rsidR="009E4438">
        <w:t xml:space="preserve"> the </w:t>
      </w:r>
      <w:r w:rsidR="009E4438">
        <w:lastRenderedPageBreak/>
        <w:t xml:space="preserve">potential inconvenience caused to </w:t>
      </w:r>
      <w:r w:rsidR="008B0259">
        <w:t xml:space="preserve">a person most </w:t>
      </w:r>
      <w:r w:rsidR="006B31BE">
        <w:t xml:space="preserve">likely </w:t>
      </w:r>
      <w:r w:rsidR="00233812">
        <w:t>i</w:t>
      </w:r>
      <w:r w:rsidR="008B0259">
        <w:t>mpacted by the public lighting fault (namely the property closest to the fault).</w:t>
      </w:r>
      <w:r w:rsidR="00F20499">
        <w:t xml:space="preserve"> </w:t>
      </w:r>
      <w:r w:rsidR="009C6D25">
        <w:t xml:space="preserve">The </w:t>
      </w:r>
      <w:r w:rsidR="003D61BE">
        <w:t>guaranteed service level s</w:t>
      </w:r>
      <w:r w:rsidR="009C6D25">
        <w:t xml:space="preserve">cheme </w:t>
      </w:r>
      <w:r w:rsidR="009E1D1A">
        <w:t xml:space="preserve">can be </w:t>
      </w:r>
      <w:proofErr w:type="gramStart"/>
      <w:r w:rsidR="009E1D1A">
        <w:t>enforced</w:t>
      </w:r>
      <w:r w:rsidR="00FD71A8">
        <w:t>,</w:t>
      </w:r>
      <w:proofErr w:type="gramEnd"/>
      <w:r w:rsidR="009E1D1A">
        <w:t xml:space="preserve"> if </w:t>
      </w:r>
      <w:r w:rsidR="001E6D7E">
        <w:t xml:space="preserve">electricity distribution businesses do not make payment to </w:t>
      </w:r>
      <w:r w:rsidR="00C23254">
        <w:t xml:space="preserve">the person </w:t>
      </w:r>
      <w:r w:rsidR="0059024B">
        <w:t xml:space="preserve">who first reports </w:t>
      </w:r>
      <w:r w:rsidR="005305F8">
        <w:t>a fault</w:t>
      </w:r>
      <w:r w:rsidR="008709B4">
        <w:t xml:space="preserve"> </w:t>
      </w:r>
      <w:r w:rsidR="00F34D5F">
        <w:t xml:space="preserve">and </w:t>
      </w:r>
      <w:r w:rsidR="00835662">
        <w:t>resides</w:t>
      </w:r>
      <w:r w:rsidR="008709B4">
        <w:t xml:space="preserve"> nearby</w:t>
      </w:r>
      <w:r w:rsidR="005305F8">
        <w:t>.</w:t>
      </w:r>
    </w:p>
    <w:p w14:paraId="398065F0" w14:textId="3AB5DFD0" w:rsidR="002C04AD" w:rsidRPr="00B57739" w:rsidRDefault="002C04AD" w:rsidP="005F3E62">
      <w:pPr>
        <w:pStyle w:val="ListBullet"/>
        <w:ind w:left="284" w:hanging="284"/>
      </w:pPr>
      <w:r w:rsidRPr="00B57739">
        <w:t xml:space="preserve">The </w:t>
      </w:r>
      <w:r w:rsidRPr="004264DB">
        <w:rPr>
          <w:b/>
        </w:rPr>
        <w:t>minimum service standard</w:t>
      </w:r>
      <w:r w:rsidRPr="00B57739">
        <w:t xml:space="preserve"> </w:t>
      </w:r>
      <w:r w:rsidR="00027087">
        <w:t xml:space="preserve">is </w:t>
      </w:r>
      <w:proofErr w:type="gramStart"/>
      <w:r w:rsidR="00027087">
        <w:t>a performance</w:t>
      </w:r>
      <w:proofErr w:type="gramEnd"/>
      <w:r w:rsidR="00027087">
        <w:t xml:space="preserve"> standard. It </w:t>
      </w:r>
      <w:r w:rsidRPr="00B57739">
        <w:t>require</w:t>
      </w:r>
      <w:r w:rsidR="003C748F">
        <w:t>s</w:t>
      </w:r>
      <w:r w:rsidRPr="00B57739">
        <w:t xml:space="preserve"> </w:t>
      </w:r>
      <w:r w:rsidR="001213C8">
        <w:t xml:space="preserve">electricity distribution businesses </w:t>
      </w:r>
      <w:r w:rsidRPr="00B57739">
        <w:t xml:space="preserve">to repair faults within 7 </w:t>
      </w:r>
      <w:r w:rsidR="00835662">
        <w:t xml:space="preserve">business </w:t>
      </w:r>
      <w:r w:rsidRPr="00B57739">
        <w:t>days with public lighting customer</w:t>
      </w:r>
      <w:r w:rsidR="00A55F33">
        <w:t>s</w:t>
      </w:r>
      <w:r w:rsidRPr="00B57739">
        <w:t xml:space="preserve"> (</w:t>
      </w:r>
      <w:r w:rsidR="0000277E">
        <w:t xml:space="preserve">such as </w:t>
      </w:r>
      <w:r w:rsidRPr="00B57739">
        <w:t xml:space="preserve">local </w:t>
      </w:r>
      <w:r w:rsidR="00644E2A">
        <w:t>c</w:t>
      </w:r>
      <w:r w:rsidRPr="00B57739">
        <w:t>ouncils</w:t>
      </w:r>
      <w:r w:rsidR="00C650D0">
        <w:t xml:space="preserve">, </w:t>
      </w:r>
      <w:r w:rsidR="00097799">
        <w:t>and VicRoads</w:t>
      </w:r>
      <w:r w:rsidR="007D76BE">
        <w:t>).</w:t>
      </w:r>
      <w:r w:rsidR="00097799">
        <w:rPr>
          <w:rStyle w:val="FootnoteReference"/>
        </w:rPr>
        <w:footnoteReference w:id="13"/>
      </w:r>
      <w:r w:rsidR="00DB79ED">
        <w:t xml:space="preserve"> </w:t>
      </w:r>
      <w:r w:rsidR="000A4D0B">
        <w:t xml:space="preserve">This standard </w:t>
      </w:r>
      <w:r w:rsidR="00401197">
        <w:t xml:space="preserve">also obligates </w:t>
      </w:r>
      <w:r w:rsidR="00BB1D1E">
        <w:t xml:space="preserve">electricity </w:t>
      </w:r>
      <w:r w:rsidR="00401197">
        <w:t>distribut</w:t>
      </w:r>
      <w:r w:rsidR="00BB1D1E">
        <w:t>ion</w:t>
      </w:r>
      <w:r w:rsidR="00401197">
        <w:t xml:space="preserve"> </w:t>
      </w:r>
      <w:r w:rsidR="00BB1D1E">
        <w:t xml:space="preserve">businesses </w:t>
      </w:r>
      <w:r w:rsidR="00401197">
        <w:t xml:space="preserve">to </w:t>
      </w:r>
      <w:r w:rsidR="002C4722">
        <w:t xml:space="preserve">regularly monitor faulty lights, which is </w:t>
      </w:r>
      <w:r w:rsidR="00BB1D1E">
        <w:t xml:space="preserve">their </w:t>
      </w:r>
      <w:r w:rsidR="002C4722">
        <w:t>responsibility (</w:t>
      </w:r>
      <w:r w:rsidR="00BF3A35">
        <w:t xml:space="preserve">and </w:t>
      </w:r>
      <w:r w:rsidR="002C4722">
        <w:t xml:space="preserve">not members of the </w:t>
      </w:r>
      <w:proofErr w:type="gramStart"/>
      <w:r w:rsidR="002C4722">
        <w:t>general public</w:t>
      </w:r>
      <w:proofErr w:type="gramEnd"/>
      <w:r w:rsidR="002C4722">
        <w:t xml:space="preserve">). </w:t>
      </w:r>
      <w:r w:rsidR="00C311C0">
        <w:t>This</w:t>
      </w:r>
      <w:r w:rsidR="00DB79ED">
        <w:t xml:space="preserve"> </w:t>
      </w:r>
      <w:r w:rsidR="002311F5">
        <w:t xml:space="preserve">minimum </w:t>
      </w:r>
      <w:r w:rsidR="00501930">
        <w:t xml:space="preserve">service </w:t>
      </w:r>
      <w:r w:rsidR="00DB79ED">
        <w:t xml:space="preserve">standard </w:t>
      </w:r>
      <w:r w:rsidR="00D845D4">
        <w:t xml:space="preserve">can be enforced, if </w:t>
      </w:r>
      <w:r w:rsidR="00432190">
        <w:t xml:space="preserve">electricity distribution businesses </w:t>
      </w:r>
      <w:r w:rsidR="00D845D4">
        <w:t xml:space="preserve">do not repair the </w:t>
      </w:r>
      <w:r w:rsidR="003B3810">
        <w:t>fault in time.</w:t>
      </w:r>
    </w:p>
    <w:p w14:paraId="389885D5" w14:textId="596CDE58" w:rsidR="007D48DB" w:rsidRDefault="00930C39" w:rsidP="007D48DB">
      <w:r>
        <w:t xml:space="preserve">Separate from the </w:t>
      </w:r>
      <w:r w:rsidR="008D7851">
        <w:t xml:space="preserve">electricity </w:t>
      </w:r>
      <w:r>
        <w:t>distribut</w:t>
      </w:r>
      <w:r w:rsidR="008D7851">
        <w:t>ion businesses’</w:t>
      </w:r>
      <w:r>
        <w:t xml:space="preserve"> suggestions, a</w:t>
      </w:r>
      <w:r w:rsidR="007D48DB">
        <w:t xml:space="preserve">n individual member of the public also suggested that a </w:t>
      </w:r>
      <w:r w:rsidR="007D48DB" w:rsidRPr="00386C0E">
        <w:rPr>
          <w:lang w:val="en-US"/>
        </w:rPr>
        <w:t>guaranteed service level</w:t>
      </w:r>
      <w:r w:rsidR="007D48DB">
        <w:t xml:space="preserve"> payment should extend to any person who reports a faulty public light (rather than limit it only to a person residing in a neighbouring property of a faulty light). However, this would broaden the intent of the scheme.</w:t>
      </w:r>
    </w:p>
    <w:p w14:paraId="638452FD" w14:textId="3CAB0A8F" w:rsidR="00804E7D" w:rsidRPr="00B57739" w:rsidRDefault="00804E7D" w:rsidP="008A6713">
      <w:r>
        <w:t xml:space="preserve">On balance, our final decision is to maintain the current </w:t>
      </w:r>
      <w:r w:rsidR="005B6152">
        <w:t>gua</w:t>
      </w:r>
      <w:r w:rsidR="0027448E">
        <w:t>ranteed service level</w:t>
      </w:r>
      <w:r>
        <w:t xml:space="preserve"> scheme.</w:t>
      </w:r>
    </w:p>
    <w:p w14:paraId="65DEC52A" w14:textId="5C121043" w:rsidR="00E04037" w:rsidRDefault="0056784B" w:rsidP="00E04037">
      <w:pPr>
        <w:pStyle w:val="Heading2"/>
        <w:spacing w:after="120"/>
        <w:rPr>
          <w:rFonts w:eastAsia="Tahoma" w:cs="Tahoma"/>
        </w:rPr>
      </w:pPr>
      <w:bookmarkStart w:id="70" w:name="_Toc213416982"/>
      <w:r>
        <w:rPr>
          <w:rFonts w:eastAsia="Tahoma" w:cs="Tahoma"/>
        </w:rPr>
        <w:t>Other</w:t>
      </w:r>
      <w:r w:rsidR="00E04037">
        <w:rPr>
          <w:rFonts w:eastAsia="Tahoma" w:cs="Tahoma"/>
        </w:rPr>
        <w:t xml:space="preserve"> policy </w:t>
      </w:r>
      <w:r>
        <w:rPr>
          <w:rFonts w:eastAsia="Tahoma" w:cs="Tahoma"/>
        </w:rPr>
        <w:t>matters</w:t>
      </w:r>
      <w:bookmarkEnd w:id="70"/>
    </w:p>
    <w:p w14:paraId="2A37D9CC" w14:textId="409AB2CE" w:rsidR="00437CB1" w:rsidRDefault="00570160" w:rsidP="0056784B">
      <w:r>
        <w:t xml:space="preserve">Stakeholders raised other policy matters </w:t>
      </w:r>
      <w:r w:rsidR="004A5964">
        <w:t xml:space="preserve">such as introducing </w:t>
      </w:r>
      <w:r w:rsidR="00301F4C">
        <w:t>a</w:t>
      </w:r>
      <w:r w:rsidR="004A5964">
        <w:t xml:space="preserve"> definition of complex faults for major roads. </w:t>
      </w:r>
      <w:r w:rsidR="00500A16">
        <w:t xml:space="preserve">We consider </w:t>
      </w:r>
      <w:r w:rsidR="00253A7F">
        <w:t>it</w:t>
      </w:r>
      <w:r w:rsidR="00D32EC1">
        <w:t xml:space="preserve"> appropriate </w:t>
      </w:r>
      <w:r w:rsidR="00EB6CEB">
        <w:t xml:space="preserve">for </w:t>
      </w:r>
      <w:r w:rsidR="00500C84">
        <w:t xml:space="preserve">electricity distribution businesses </w:t>
      </w:r>
      <w:r w:rsidR="00EB6CEB">
        <w:t xml:space="preserve">to </w:t>
      </w:r>
      <w:r w:rsidR="00B20992">
        <w:t>engag</w:t>
      </w:r>
      <w:r w:rsidR="00EB6CEB">
        <w:t>e</w:t>
      </w:r>
      <w:r w:rsidR="00B20992">
        <w:t xml:space="preserve"> </w:t>
      </w:r>
      <w:r w:rsidR="00817E33">
        <w:t xml:space="preserve">directly </w:t>
      </w:r>
      <w:r w:rsidR="00365358">
        <w:t xml:space="preserve">on operational matters </w:t>
      </w:r>
      <w:r w:rsidR="001D02DA">
        <w:t xml:space="preserve">with </w:t>
      </w:r>
      <w:r w:rsidR="00123832">
        <w:t xml:space="preserve">the </w:t>
      </w:r>
      <w:r w:rsidR="00B20992">
        <w:t xml:space="preserve">relevant </w:t>
      </w:r>
      <w:r w:rsidR="00673226">
        <w:t>parties such as local councils, the road authority, train and tram operators and other utility service providers</w:t>
      </w:r>
      <w:r w:rsidR="00D32EC1">
        <w:t xml:space="preserve"> to re</w:t>
      </w:r>
      <w:r w:rsidR="002E59B1">
        <w:t>solve</w:t>
      </w:r>
      <w:r w:rsidR="00D32EC1">
        <w:t xml:space="preserve"> the issue</w:t>
      </w:r>
      <w:r w:rsidR="00673226">
        <w:t>.</w:t>
      </w:r>
      <w:r w:rsidR="006B5FF7">
        <w:t xml:space="preserve"> We note</w:t>
      </w:r>
      <w:r w:rsidR="000827E0">
        <w:t xml:space="preserve"> </w:t>
      </w:r>
      <w:r w:rsidR="006B5FF7">
        <w:t xml:space="preserve">these bodies may </w:t>
      </w:r>
      <w:r w:rsidR="00635250">
        <w:t xml:space="preserve">operate under </w:t>
      </w:r>
      <w:r w:rsidR="006B5FF7">
        <w:t>their own regulatory framework</w:t>
      </w:r>
      <w:r w:rsidR="00635250">
        <w:t>s</w:t>
      </w:r>
      <w:r w:rsidR="006B5FF7">
        <w:t>.</w:t>
      </w:r>
    </w:p>
    <w:p w14:paraId="33E70BB6" w14:textId="1B97B650" w:rsidR="00E64CAA" w:rsidRDefault="00AC1880" w:rsidP="0056784B">
      <w:r>
        <w:t xml:space="preserve">Some stakeholders raised poor </w:t>
      </w:r>
      <w:r w:rsidR="00E4095D">
        <w:t>performance</w:t>
      </w:r>
      <w:r>
        <w:t xml:space="preserve"> to repair faulty lights. </w:t>
      </w:r>
      <w:r w:rsidR="00096C60">
        <w:t>Ele</w:t>
      </w:r>
      <w:r w:rsidR="008D2387">
        <w:t xml:space="preserve">ctricity </w:t>
      </w:r>
      <w:r w:rsidR="003A7065">
        <w:t>d</w:t>
      </w:r>
      <w:r w:rsidR="00FA500F">
        <w:t>istribut</w:t>
      </w:r>
      <w:r w:rsidR="003A7065">
        <w:t xml:space="preserve">ion businesses </w:t>
      </w:r>
      <w:r w:rsidR="00A82BF4">
        <w:t xml:space="preserve">will </w:t>
      </w:r>
      <w:r w:rsidR="0094610B">
        <w:t xml:space="preserve">continue to </w:t>
      </w:r>
      <w:r w:rsidR="002C5035">
        <w:t>hav</w:t>
      </w:r>
      <w:r w:rsidR="00A82BF4">
        <w:t>e</w:t>
      </w:r>
      <w:r w:rsidR="002C5035">
        <w:t xml:space="preserve"> </w:t>
      </w:r>
      <w:r w:rsidR="006C3E0F">
        <w:t>obligation</w:t>
      </w:r>
      <w:r w:rsidR="00EB120F">
        <w:t>s</w:t>
      </w:r>
      <w:r w:rsidR="00FA500F">
        <w:t xml:space="preserve"> to </w:t>
      </w:r>
      <w:r w:rsidR="00DA0F94">
        <w:t xml:space="preserve">deliver </w:t>
      </w:r>
      <w:r w:rsidR="00436202">
        <w:rPr>
          <w:rFonts w:ascii="Arial" w:eastAsia="Arial" w:hAnsi="Arial" w:cs="Arial"/>
        </w:rPr>
        <w:t xml:space="preserve">public lighting </w:t>
      </w:r>
      <w:r w:rsidR="007A4CFC">
        <w:rPr>
          <w:rFonts w:ascii="Arial" w:eastAsia="Arial" w:hAnsi="Arial" w:cs="Arial"/>
        </w:rPr>
        <w:t>s</w:t>
      </w:r>
      <w:r w:rsidR="004E4E88">
        <w:rPr>
          <w:rFonts w:ascii="Arial" w:eastAsia="Arial" w:hAnsi="Arial" w:cs="Arial"/>
        </w:rPr>
        <w:t>ervice</w:t>
      </w:r>
      <w:r w:rsidR="007A4CFC">
        <w:rPr>
          <w:rFonts w:ascii="Arial" w:eastAsia="Arial" w:hAnsi="Arial" w:cs="Arial"/>
        </w:rPr>
        <w:t>s</w:t>
      </w:r>
      <w:r w:rsidR="00522DAF">
        <w:rPr>
          <w:rFonts w:ascii="Arial" w:eastAsia="Arial" w:hAnsi="Arial" w:cs="Arial"/>
        </w:rPr>
        <w:t xml:space="preserve"> (</w:t>
      </w:r>
      <w:r w:rsidR="0094610B">
        <w:rPr>
          <w:rFonts w:ascii="Arial" w:eastAsia="Arial" w:hAnsi="Arial" w:cs="Arial"/>
        </w:rPr>
        <w:t xml:space="preserve">as we are transferring </w:t>
      </w:r>
      <w:r w:rsidR="008D6510">
        <w:rPr>
          <w:rFonts w:ascii="Arial" w:eastAsia="Arial" w:hAnsi="Arial" w:cs="Arial"/>
        </w:rPr>
        <w:t xml:space="preserve">the </w:t>
      </w:r>
      <w:r w:rsidR="0094610B">
        <w:rPr>
          <w:rFonts w:ascii="Arial" w:eastAsia="Arial" w:hAnsi="Arial" w:cs="Arial"/>
        </w:rPr>
        <w:t>minimum service standards to the Electricity Distribution Code of Practice)</w:t>
      </w:r>
      <w:r w:rsidR="006C3E0F">
        <w:rPr>
          <w:rFonts w:ascii="Arial" w:eastAsia="Arial" w:hAnsi="Arial" w:cs="Arial"/>
        </w:rPr>
        <w:t>.</w:t>
      </w:r>
      <w:r w:rsidR="004E4E88">
        <w:t xml:space="preserve"> </w:t>
      </w:r>
      <w:r w:rsidR="002A7BEC">
        <w:t xml:space="preserve">These obligations are </w:t>
      </w:r>
      <w:proofErr w:type="gramStart"/>
      <w:r w:rsidR="002A7BEC">
        <w:t>enforceable</w:t>
      </w:r>
      <w:proofErr w:type="gramEnd"/>
      <w:r w:rsidR="0077205F">
        <w:t xml:space="preserve"> and</w:t>
      </w:r>
      <w:r w:rsidR="009D641B">
        <w:t xml:space="preserve"> </w:t>
      </w:r>
      <w:r w:rsidR="0077205F">
        <w:t>w</w:t>
      </w:r>
      <w:r w:rsidR="002A7BEC">
        <w:t xml:space="preserve">e can consider actions </w:t>
      </w:r>
      <w:r w:rsidR="0094610B">
        <w:t>for potential non-</w:t>
      </w:r>
      <w:r w:rsidR="002A7BEC">
        <w:t>compliance</w:t>
      </w:r>
      <w:r w:rsidR="0094610B">
        <w:t>,</w:t>
      </w:r>
      <w:r w:rsidR="002A7BEC">
        <w:t xml:space="preserve"> </w:t>
      </w:r>
      <w:r w:rsidR="00522DAF">
        <w:t>informed</w:t>
      </w:r>
      <w:r w:rsidR="002A7BEC">
        <w:t xml:space="preserve"> by our Compliance and Enforcement Policy and </w:t>
      </w:r>
      <w:r w:rsidR="00522DAF">
        <w:t>priorities.</w:t>
      </w:r>
      <w:r w:rsidR="00522DAF">
        <w:rPr>
          <w:rStyle w:val="FootnoteReference"/>
        </w:rPr>
        <w:footnoteReference w:id="14"/>
      </w:r>
    </w:p>
    <w:p w14:paraId="45AAD825" w14:textId="41A3D834" w:rsidR="006B5221" w:rsidRDefault="00525A34" w:rsidP="00467C70">
      <w:r>
        <w:t xml:space="preserve">Other matters raised by stakeholders included </w:t>
      </w:r>
      <w:r w:rsidR="00B01106">
        <w:t>making</w:t>
      </w:r>
      <w:r w:rsidR="002B742E">
        <w:t xml:space="preserve"> public</w:t>
      </w:r>
      <w:r w:rsidR="00B01106">
        <w:t xml:space="preserve"> lights energy efficient, minimising light pollution</w:t>
      </w:r>
      <w:r w:rsidR="00075B28">
        <w:t xml:space="preserve"> </w:t>
      </w:r>
      <w:r w:rsidR="002B742E">
        <w:t xml:space="preserve">in context of astrophotography and </w:t>
      </w:r>
      <w:r w:rsidR="00AF3ACD">
        <w:t xml:space="preserve">to promote </w:t>
      </w:r>
      <w:r w:rsidR="00A83C32">
        <w:t xml:space="preserve">lighting designs that support </w:t>
      </w:r>
      <w:r w:rsidR="00524732">
        <w:t xml:space="preserve">Australian </w:t>
      </w:r>
      <w:r w:rsidR="002B742E">
        <w:t>wildlife</w:t>
      </w:r>
      <w:r w:rsidR="00524732">
        <w:t xml:space="preserve">, many of </w:t>
      </w:r>
      <w:r w:rsidR="00DE5722">
        <w:t>which are nocturnal</w:t>
      </w:r>
      <w:r w:rsidR="00C91E19">
        <w:t xml:space="preserve"> species</w:t>
      </w:r>
      <w:r w:rsidR="00DE5722">
        <w:t>.</w:t>
      </w:r>
      <w:r w:rsidR="00DC4A02">
        <w:t xml:space="preserve"> </w:t>
      </w:r>
      <w:r w:rsidR="00C91E19">
        <w:t xml:space="preserve">We </w:t>
      </w:r>
      <w:r w:rsidR="00AD5D49">
        <w:t>note</w:t>
      </w:r>
      <w:r w:rsidR="005B1A91">
        <w:t>d</w:t>
      </w:r>
      <w:r w:rsidR="00C91E19">
        <w:t xml:space="preserve"> </w:t>
      </w:r>
      <w:r w:rsidR="00F103F8">
        <w:t xml:space="preserve">but </w:t>
      </w:r>
      <w:r w:rsidR="00AD5D49">
        <w:t xml:space="preserve">considered </w:t>
      </w:r>
      <w:r w:rsidR="00A31EF5">
        <w:t>the</w:t>
      </w:r>
      <w:r w:rsidR="00325F0C">
        <w:t>se</w:t>
      </w:r>
      <w:r w:rsidR="00A31EF5">
        <w:t xml:space="preserve"> </w:t>
      </w:r>
      <w:r w:rsidR="0010390A">
        <w:t xml:space="preserve">matters </w:t>
      </w:r>
      <w:r w:rsidR="00AD5D49">
        <w:t xml:space="preserve">to be </w:t>
      </w:r>
      <w:r w:rsidR="007D316C">
        <w:t>out</w:t>
      </w:r>
      <w:r w:rsidR="001F5671">
        <w:t>side</w:t>
      </w:r>
      <w:r w:rsidR="007D316C">
        <w:t xml:space="preserve"> </w:t>
      </w:r>
      <w:r w:rsidR="001F5671">
        <w:t xml:space="preserve">the </w:t>
      </w:r>
      <w:r w:rsidR="007D316C">
        <w:t xml:space="preserve">scope </w:t>
      </w:r>
      <w:r w:rsidR="001F5671">
        <w:t xml:space="preserve">of </w:t>
      </w:r>
      <w:r w:rsidR="007D316C">
        <w:t>this review.</w:t>
      </w:r>
      <w:r w:rsidR="006B5FF7">
        <w:t xml:space="preserve"> </w:t>
      </w:r>
      <w:r w:rsidR="00673226">
        <w:t xml:space="preserve"> </w:t>
      </w:r>
      <w:r w:rsidR="002C68FC">
        <w:t xml:space="preserve"> </w:t>
      </w:r>
      <w:r w:rsidR="00896788">
        <w:t xml:space="preserve"> </w:t>
      </w:r>
    </w:p>
    <w:p w14:paraId="185198A4" w14:textId="685BCF10" w:rsidR="00143AB2" w:rsidRPr="00E66359" w:rsidRDefault="00143AB2" w:rsidP="00143AB2">
      <w:pPr>
        <w:pStyle w:val="Heading2"/>
        <w:spacing w:after="120"/>
        <w:rPr>
          <w:rFonts w:eastAsia="Tahoma" w:cs="Tahoma"/>
        </w:rPr>
      </w:pPr>
      <w:bookmarkStart w:id="71" w:name="_Toc212812579"/>
      <w:bookmarkStart w:id="72" w:name="_Toc212819525"/>
      <w:bookmarkStart w:id="73" w:name="_Toc213317326"/>
      <w:bookmarkStart w:id="74" w:name="_Toc213317406"/>
      <w:bookmarkStart w:id="75" w:name="_Toc213414260"/>
      <w:bookmarkStart w:id="76" w:name="_Toc213416983"/>
      <w:r w:rsidRPr="00E66359">
        <w:rPr>
          <w:rFonts w:eastAsia="Tahoma" w:cs="Tahoma"/>
        </w:rPr>
        <w:lastRenderedPageBreak/>
        <w:t xml:space="preserve">Transferring relevant </w:t>
      </w:r>
      <w:r>
        <w:rPr>
          <w:rFonts w:eastAsia="Tahoma" w:cs="Tahoma"/>
        </w:rPr>
        <w:t>obligations</w:t>
      </w:r>
      <w:r w:rsidRPr="00E66359">
        <w:rPr>
          <w:rFonts w:eastAsia="Tahoma" w:cs="Tahoma"/>
        </w:rPr>
        <w:t xml:space="preserve"> to the Electricity Distribution Code of Practice</w:t>
      </w:r>
      <w:bookmarkEnd w:id="49"/>
      <w:bookmarkEnd w:id="71"/>
      <w:bookmarkEnd w:id="72"/>
      <w:bookmarkEnd w:id="73"/>
      <w:bookmarkEnd w:id="74"/>
      <w:bookmarkEnd w:id="75"/>
      <w:bookmarkEnd w:id="76"/>
    </w:p>
    <w:p w14:paraId="6AC5BEAF" w14:textId="3C28C3C4" w:rsidR="002E44C2" w:rsidRDefault="00143AB2" w:rsidP="00143AB2">
      <w:pPr>
        <w:pStyle w:val="Heading2"/>
        <w:rPr>
          <w:rFonts w:asciiTheme="minorHAnsi" w:eastAsiaTheme="minorHAnsi" w:hAnsiTheme="minorHAnsi" w:cstheme="minorBidi"/>
          <w:b w:val="0"/>
          <w:sz w:val="22"/>
          <w:szCs w:val="22"/>
          <w:lang w:val="en-US"/>
        </w:rPr>
      </w:pPr>
      <w:bookmarkStart w:id="77" w:name="_Toc212812580"/>
      <w:bookmarkStart w:id="78" w:name="_Toc212819526"/>
      <w:bookmarkStart w:id="79" w:name="_Toc213317327"/>
      <w:bookmarkStart w:id="80" w:name="_Toc213317407"/>
      <w:bookmarkStart w:id="81" w:name="_Toc213414261"/>
      <w:bookmarkStart w:id="82" w:name="_Toc213416984"/>
      <w:bookmarkStart w:id="83" w:name="_Toc211584659"/>
      <w:bookmarkStart w:id="84" w:name="_Toc211584772"/>
      <w:bookmarkStart w:id="85" w:name="_Toc211601274"/>
      <w:bookmarkStart w:id="86" w:name="_Toc212113753"/>
      <w:bookmarkStart w:id="87" w:name="_Toc212115611"/>
      <w:bookmarkStart w:id="88" w:name="_Toc212761778"/>
      <w:bookmarkStart w:id="89" w:name="_Toc201583967"/>
      <w:bookmarkStart w:id="90" w:name="_Toc201585129"/>
      <w:bookmarkStart w:id="91" w:name="_Toc201585323"/>
      <w:bookmarkStart w:id="92" w:name="_Toc204163020"/>
      <w:bookmarkStart w:id="93" w:name="_Toc206766299"/>
      <w:r>
        <w:rPr>
          <w:rFonts w:asciiTheme="minorHAnsi" w:eastAsiaTheme="minorHAnsi" w:hAnsiTheme="minorHAnsi" w:cstheme="minorBidi"/>
          <w:b w:val="0"/>
          <w:sz w:val="22"/>
          <w:szCs w:val="22"/>
          <w:lang w:val="en-US"/>
        </w:rPr>
        <w:t xml:space="preserve">Our consultation paper proposed to transfer some </w:t>
      </w:r>
      <w:r w:rsidRPr="000A3123">
        <w:rPr>
          <w:rFonts w:asciiTheme="minorHAnsi" w:eastAsiaTheme="minorHAnsi" w:hAnsiTheme="minorHAnsi" w:cstheme="minorBidi"/>
          <w:b w:val="0"/>
          <w:sz w:val="22"/>
          <w:szCs w:val="22"/>
          <w:lang w:val="en-US"/>
        </w:rPr>
        <w:t xml:space="preserve">obligations to the Electricity Distribution Code of Practice. Our final decision maintains this approach with the addition of two new obligations related to standard and non-standard fitting requirements as discussed in the previous section. We have also included some drafting and definition amendments as suggested by some stakeholders to help clarify the obligations </w:t>
      </w:r>
      <w:r w:rsidR="008D5709" w:rsidRPr="000A3123">
        <w:rPr>
          <w:rFonts w:asciiTheme="minorHAnsi" w:eastAsiaTheme="minorHAnsi" w:hAnsiTheme="minorHAnsi" w:cstheme="minorBidi"/>
          <w:b w:val="0"/>
          <w:sz w:val="22"/>
          <w:szCs w:val="22"/>
          <w:lang w:val="en-US"/>
        </w:rPr>
        <w:t xml:space="preserve">being </w:t>
      </w:r>
      <w:r w:rsidRPr="000A3123">
        <w:rPr>
          <w:rFonts w:asciiTheme="minorHAnsi" w:eastAsiaTheme="minorHAnsi" w:hAnsiTheme="minorHAnsi" w:cstheme="minorBidi"/>
          <w:b w:val="0"/>
          <w:sz w:val="22"/>
          <w:szCs w:val="22"/>
          <w:lang w:val="en-US"/>
        </w:rPr>
        <w:t>transferred.</w:t>
      </w:r>
      <w:bookmarkEnd w:id="77"/>
      <w:bookmarkEnd w:id="78"/>
      <w:bookmarkEnd w:id="79"/>
      <w:bookmarkEnd w:id="80"/>
      <w:bookmarkEnd w:id="81"/>
      <w:bookmarkEnd w:id="82"/>
      <w:r>
        <w:rPr>
          <w:rFonts w:asciiTheme="minorHAnsi" w:eastAsiaTheme="minorHAnsi" w:hAnsiTheme="minorHAnsi" w:cstheme="minorBidi"/>
          <w:b w:val="0"/>
          <w:sz w:val="22"/>
          <w:szCs w:val="22"/>
          <w:lang w:val="en-US"/>
        </w:rPr>
        <w:t xml:space="preserve"> </w:t>
      </w:r>
    </w:p>
    <w:p w14:paraId="4A6CB496" w14:textId="6A9FDC81" w:rsidR="002E44C2" w:rsidRDefault="002E44C2" w:rsidP="00143AB2">
      <w:pPr>
        <w:pStyle w:val="Heading2"/>
        <w:rPr>
          <w:rFonts w:asciiTheme="minorHAnsi" w:eastAsiaTheme="minorHAnsi" w:hAnsiTheme="minorHAnsi" w:cstheme="minorBidi"/>
          <w:b w:val="0"/>
          <w:sz w:val="22"/>
          <w:szCs w:val="22"/>
          <w:lang w:val="en-US"/>
        </w:rPr>
      </w:pPr>
      <w:bookmarkStart w:id="94" w:name="_Toc212812581"/>
      <w:bookmarkStart w:id="95" w:name="_Toc212819527"/>
      <w:bookmarkStart w:id="96" w:name="_Toc213317328"/>
      <w:bookmarkStart w:id="97" w:name="_Toc213317408"/>
      <w:bookmarkStart w:id="98" w:name="_Toc213414262"/>
      <w:bookmarkStart w:id="99" w:name="_Toc213416985"/>
      <w:r>
        <w:rPr>
          <w:rFonts w:asciiTheme="minorHAnsi" w:eastAsiaTheme="minorHAnsi" w:hAnsiTheme="minorHAnsi" w:cstheme="minorBidi"/>
          <w:b w:val="0"/>
          <w:sz w:val="22"/>
          <w:szCs w:val="22"/>
          <w:lang w:val="en-US"/>
        </w:rPr>
        <w:t xml:space="preserve">In summary, </w:t>
      </w:r>
      <w:r w:rsidR="009459B3">
        <w:rPr>
          <w:rFonts w:asciiTheme="minorHAnsi" w:eastAsiaTheme="minorHAnsi" w:hAnsiTheme="minorHAnsi" w:cstheme="minorBidi"/>
          <w:b w:val="0"/>
          <w:sz w:val="22"/>
          <w:szCs w:val="22"/>
          <w:lang w:val="en-US"/>
        </w:rPr>
        <w:t>t</w:t>
      </w:r>
      <w:r>
        <w:rPr>
          <w:rFonts w:asciiTheme="minorHAnsi" w:eastAsiaTheme="minorHAnsi" w:hAnsiTheme="minorHAnsi" w:cstheme="minorBidi"/>
          <w:b w:val="0"/>
          <w:sz w:val="22"/>
          <w:szCs w:val="22"/>
          <w:lang w:val="en-US"/>
        </w:rPr>
        <w:t xml:space="preserve">he following </w:t>
      </w:r>
      <w:r w:rsidR="007D4467">
        <w:rPr>
          <w:rFonts w:asciiTheme="minorHAnsi" w:eastAsiaTheme="minorHAnsi" w:hAnsiTheme="minorHAnsi" w:cstheme="minorBidi"/>
          <w:b w:val="0"/>
          <w:sz w:val="22"/>
          <w:szCs w:val="22"/>
          <w:lang w:val="en-US"/>
        </w:rPr>
        <w:t xml:space="preserve">public lighting </w:t>
      </w:r>
      <w:r>
        <w:rPr>
          <w:rFonts w:asciiTheme="minorHAnsi" w:eastAsiaTheme="minorHAnsi" w:hAnsiTheme="minorHAnsi" w:cstheme="minorBidi"/>
          <w:b w:val="0"/>
          <w:sz w:val="22"/>
          <w:szCs w:val="22"/>
          <w:lang w:val="en-US"/>
        </w:rPr>
        <w:t>obligations</w:t>
      </w:r>
      <w:r w:rsidR="009459B3">
        <w:rPr>
          <w:rFonts w:asciiTheme="minorHAnsi" w:eastAsiaTheme="minorHAnsi" w:hAnsiTheme="minorHAnsi" w:cstheme="minorBidi"/>
          <w:b w:val="0"/>
          <w:sz w:val="22"/>
          <w:szCs w:val="22"/>
          <w:lang w:val="en-US"/>
        </w:rPr>
        <w:t xml:space="preserve"> will be transferred to the E</w:t>
      </w:r>
      <w:r w:rsidR="005A5E10">
        <w:rPr>
          <w:rFonts w:asciiTheme="minorHAnsi" w:eastAsiaTheme="minorHAnsi" w:hAnsiTheme="minorHAnsi" w:cstheme="minorBidi"/>
          <w:b w:val="0"/>
          <w:sz w:val="22"/>
          <w:szCs w:val="22"/>
          <w:lang w:val="en-US"/>
        </w:rPr>
        <w:t xml:space="preserve">lectricity </w:t>
      </w:r>
      <w:r w:rsidR="009459B3">
        <w:rPr>
          <w:rFonts w:asciiTheme="minorHAnsi" w:eastAsiaTheme="minorHAnsi" w:hAnsiTheme="minorHAnsi" w:cstheme="minorBidi"/>
          <w:b w:val="0"/>
          <w:sz w:val="22"/>
          <w:szCs w:val="22"/>
          <w:lang w:val="en-US"/>
        </w:rPr>
        <w:t>D</w:t>
      </w:r>
      <w:r w:rsidR="005A5E10">
        <w:rPr>
          <w:rFonts w:asciiTheme="minorHAnsi" w:eastAsiaTheme="minorHAnsi" w:hAnsiTheme="minorHAnsi" w:cstheme="minorBidi"/>
          <w:b w:val="0"/>
          <w:sz w:val="22"/>
          <w:szCs w:val="22"/>
          <w:lang w:val="en-US"/>
        </w:rPr>
        <w:t xml:space="preserve">istribution </w:t>
      </w:r>
      <w:r w:rsidR="009459B3">
        <w:rPr>
          <w:rFonts w:asciiTheme="minorHAnsi" w:eastAsiaTheme="minorHAnsi" w:hAnsiTheme="minorHAnsi" w:cstheme="minorBidi"/>
          <w:b w:val="0"/>
          <w:sz w:val="22"/>
          <w:szCs w:val="22"/>
          <w:lang w:val="en-US"/>
        </w:rPr>
        <w:t>C</w:t>
      </w:r>
      <w:r w:rsidR="005A5E10">
        <w:rPr>
          <w:rFonts w:asciiTheme="minorHAnsi" w:eastAsiaTheme="minorHAnsi" w:hAnsiTheme="minorHAnsi" w:cstheme="minorBidi"/>
          <w:b w:val="0"/>
          <w:sz w:val="22"/>
          <w:szCs w:val="22"/>
          <w:lang w:val="en-US"/>
        </w:rPr>
        <w:t xml:space="preserve">ode </w:t>
      </w:r>
      <w:r w:rsidR="009459B3">
        <w:rPr>
          <w:rFonts w:asciiTheme="minorHAnsi" w:eastAsiaTheme="minorHAnsi" w:hAnsiTheme="minorHAnsi" w:cstheme="minorBidi"/>
          <w:b w:val="0"/>
          <w:sz w:val="22"/>
          <w:szCs w:val="22"/>
          <w:lang w:val="en-US"/>
        </w:rPr>
        <w:t>o</w:t>
      </w:r>
      <w:r w:rsidR="005A5E10">
        <w:rPr>
          <w:rFonts w:asciiTheme="minorHAnsi" w:eastAsiaTheme="minorHAnsi" w:hAnsiTheme="minorHAnsi" w:cstheme="minorBidi"/>
          <w:b w:val="0"/>
          <w:sz w:val="22"/>
          <w:szCs w:val="22"/>
          <w:lang w:val="en-US"/>
        </w:rPr>
        <w:t xml:space="preserve">f </w:t>
      </w:r>
      <w:r w:rsidR="009459B3">
        <w:rPr>
          <w:rFonts w:asciiTheme="minorHAnsi" w:eastAsiaTheme="minorHAnsi" w:hAnsiTheme="minorHAnsi" w:cstheme="minorBidi"/>
          <w:b w:val="0"/>
          <w:sz w:val="22"/>
          <w:szCs w:val="22"/>
          <w:lang w:val="en-US"/>
        </w:rPr>
        <w:t>P</w:t>
      </w:r>
      <w:r w:rsidR="005A5E10">
        <w:rPr>
          <w:rFonts w:asciiTheme="minorHAnsi" w:eastAsiaTheme="minorHAnsi" w:hAnsiTheme="minorHAnsi" w:cstheme="minorBidi"/>
          <w:b w:val="0"/>
          <w:sz w:val="22"/>
          <w:szCs w:val="22"/>
          <w:lang w:val="en-US"/>
        </w:rPr>
        <w:t>ractice</w:t>
      </w:r>
      <w:r>
        <w:rPr>
          <w:rFonts w:asciiTheme="minorHAnsi" w:eastAsiaTheme="minorHAnsi" w:hAnsiTheme="minorHAnsi" w:cstheme="minorBidi"/>
          <w:b w:val="0"/>
          <w:sz w:val="22"/>
          <w:szCs w:val="22"/>
          <w:lang w:val="en-US"/>
        </w:rPr>
        <w:t>:</w:t>
      </w:r>
      <w:bookmarkEnd w:id="94"/>
      <w:bookmarkEnd w:id="95"/>
      <w:bookmarkEnd w:id="96"/>
      <w:bookmarkEnd w:id="97"/>
      <w:bookmarkEnd w:id="98"/>
      <w:bookmarkEnd w:id="99"/>
    </w:p>
    <w:p w14:paraId="52C432D7" w14:textId="650F50A9" w:rsidR="00696C06" w:rsidRDefault="00B902FE" w:rsidP="00696C06">
      <w:pPr>
        <w:pStyle w:val="ListBullet"/>
      </w:pPr>
      <w:r>
        <w:t>g</w:t>
      </w:r>
      <w:r w:rsidR="00696C06">
        <w:t>uaranteed service level payments for reporting public lighting faults</w:t>
      </w:r>
    </w:p>
    <w:p w14:paraId="4BDF4E27" w14:textId="06ABA18F" w:rsidR="00696C06" w:rsidRDefault="00B902FE" w:rsidP="00696C06">
      <w:pPr>
        <w:pStyle w:val="ListBullet"/>
      </w:pPr>
      <w:r>
        <w:t>p</w:t>
      </w:r>
      <w:r w:rsidR="00696C06">
        <w:t>ublic lighting minimum standards</w:t>
      </w:r>
    </w:p>
    <w:p w14:paraId="50C60529" w14:textId="2619EE07" w:rsidR="00696C06" w:rsidRDefault="00B902FE" w:rsidP="00696C06">
      <w:pPr>
        <w:pStyle w:val="ListBullet"/>
      </w:pPr>
      <w:r>
        <w:t>approvals for new s</w:t>
      </w:r>
      <w:r w:rsidR="00696C06">
        <w:t>tandard and non-standard fittings</w:t>
      </w:r>
    </w:p>
    <w:p w14:paraId="57C0CB50" w14:textId="4A188D89" w:rsidR="00696C06" w:rsidRDefault="00B902FE" w:rsidP="00696C06">
      <w:pPr>
        <w:pStyle w:val="ListBullet"/>
      </w:pPr>
      <w:r>
        <w:t>i</w:t>
      </w:r>
      <w:r w:rsidR="00696C06">
        <w:t>nformation and reporting obligations</w:t>
      </w:r>
    </w:p>
    <w:p w14:paraId="1A44989A" w14:textId="351043FC" w:rsidR="00696C06" w:rsidRDefault="00B902FE" w:rsidP="00696C06">
      <w:pPr>
        <w:pStyle w:val="ListBullet"/>
      </w:pPr>
      <w:r>
        <w:t>d</w:t>
      </w:r>
      <w:r w:rsidR="00696C06">
        <w:t xml:space="preserve">efinitions </w:t>
      </w:r>
      <w:r>
        <w:t>relating to public lighting obligations</w:t>
      </w:r>
    </w:p>
    <w:p w14:paraId="0D598487" w14:textId="2223A6FD" w:rsidR="00143AB2" w:rsidRPr="00E17C30" w:rsidRDefault="00143AB2" w:rsidP="00143AB2">
      <w:pPr>
        <w:pStyle w:val="Heading2"/>
        <w:rPr>
          <w:rFonts w:asciiTheme="minorHAnsi" w:eastAsiaTheme="minorHAnsi" w:hAnsiTheme="minorHAnsi" w:cstheme="minorBidi"/>
          <w:b w:val="0"/>
          <w:sz w:val="22"/>
          <w:szCs w:val="22"/>
          <w:lang w:val="en-US"/>
        </w:rPr>
      </w:pPr>
      <w:bookmarkStart w:id="100" w:name="_Toc212812582"/>
      <w:bookmarkStart w:id="101" w:name="_Toc212819528"/>
      <w:bookmarkStart w:id="102" w:name="_Toc213317329"/>
      <w:bookmarkStart w:id="103" w:name="_Toc213317409"/>
      <w:bookmarkStart w:id="104" w:name="_Toc213414263"/>
      <w:bookmarkStart w:id="105" w:name="_Toc213416986"/>
      <w:r>
        <w:rPr>
          <w:rFonts w:asciiTheme="minorHAnsi" w:eastAsiaTheme="minorHAnsi" w:hAnsiTheme="minorHAnsi" w:cstheme="minorBidi"/>
          <w:b w:val="0"/>
          <w:sz w:val="22"/>
          <w:szCs w:val="22"/>
          <w:lang w:val="en-US"/>
        </w:rPr>
        <w:t xml:space="preserve">Table 1 provides </w:t>
      </w:r>
      <w:r w:rsidR="002E44C2">
        <w:rPr>
          <w:rFonts w:asciiTheme="minorHAnsi" w:eastAsiaTheme="minorHAnsi" w:hAnsiTheme="minorHAnsi" w:cstheme="minorBidi"/>
          <w:b w:val="0"/>
          <w:sz w:val="22"/>
          <w:szCs w:val="22"/>
          <w:lang w:val="en-US"/>
        </w:rPr>
        <w:t xml:space="preserve">further </w:t>
      </w:r>
      <w:proofErr w:type="gramStart"/>
      <w:r w:rsidR="002E44C2">
        <w:rPr>
          <w:rFonts w:asciiTheme="minorHAnsi" w:eastAsiaTheme="minorHAnsi" w:hAnsiTheme="minorHAnsi" w:cstheme="minorBidi"/>
          <w:b w:val="0"/>
          <w:sz w:val="22"/>
          <w:szCs w:val="22"/>
          <w:lang w:val="en-US"/>
        </w:rPr>
        <w:t>detail</w:t>
      </w:r>
      <w:proofErr w:type="gramEnd"/>
      <w:r w:rsidR="002E44C2">
        <w:rPr>
          <w:rFonts w:asciiTheme="minorHAnsi" w:eastAsiaTheme="minorHAnsi" w:hAnsiTheme="minorHAnsi" w:cstheme="minorBidi"/>
          <w:b w:val="0"/>
          <w:sz w:val="22"/>
          <w:szCs w:val="22"/>
          <w:lang w:val="en-US"/>
        </w:rPr>
        <w:t xml:space="preserve"> of the </w:t>
      </w:r>
      <w:r>
        <w:rPr>
          <w:rFonts w:asciiTheme="minorHAnsi" w:eastAsiaTheme="minorHAnsi" w:hAnsiTheme="minorHAnsi" w:cstheme="minorBidi"/>
          <w:b w:val="0"/>
          <w:sz w:val="22"/>
          <w:szCs w:val="22"/>
          <w:lang w:val="en-US"/>
        </w:rPr>
        <w:t>obligations</w:t>
      </w:r>
      <w:bookmarkEnd w:id="83"/>
      <w:bookmarkEnd w:id="84"/>
      <w:r w:rsidR="00696C06">
        <w:rPr>
          <w:rFonts w:asciiTheme="minorHAnsi" w:eastAsiaTheme="minorHAnsi" w:hAnsiTheme="minorHAnsi" w:cstheme="minorBidi"/>
          <w:b w:val="0"/>
          <w:sz w:val="22"/>
          <w:szCs w:val="22"/>
          <w:lang w:val="en-US"/>
        </w:rPr>
        <w:t xml:space="preserve"> that will be </w:t>
      </w:r>
      <w:r w:rsidR="00EA21A1">
        <w:rPr>
          <w:rFonts w:asciiTheme="minorHAnsi" w:eastAsiaTheme="minorHAnsi" w:hAnsiTheme="minorHAnsi" w:cstheme="minorBidi"/>
          <w:b w:val="0"/>
          <w:sz w:val="22"/>
          <w:szCs w:val="22"/>
          <w:lang w:val="en-US"/>
        </w:rPr>
        <w:t>transferred</w:t>
      </w:r>
      <w:r w:rsidRPr="00E17C30">
        <w:rPr>
          <w:rFonts w:asciiTheme="minorHAnsi" w:eastAsiaTheme="minorHAnsi" w:hAnsiTheme="minorHAnsi" w:cstheme="minorBidi"/>
          <w:b w:val="0"/>
          <w:sz w:val="22"/>
          <w:szCs w:val="22"/>
          <w:lang w:val="en-US"/>
        </w:rPr>
        <w:t>.</w:t>
      </w:r>
      <w:bookmarkEnd w:id="85"/>
      <w:bookmarkEnd w:id="86"/>
      <w:bookmarkEnd w:id="87"/>
      <w:bookmarkEnd w:id="88"/>
      <w:bookmarkEnd w:id="100"/>
      <w:bookmarkEnd w:id="101"/>
      <w:bookmarkEnd w:id="102"/>
      <w:bookmarkEnd w:id="103"/>
      <w:bookmarkEnd w:id="104"/>
      <w:bookmarkEnd w:id="105"/>
    </w:p>
    <w:bookmarkEnd w:id="89"/>
    <w:bookmarkEnd w:id="90"/>
    <w:bookmarkEnd w:id="91"/>
    <w:bookmarkEnd w:id="92"/>
    <w:bookmarkEnd w:id="93"/>
    <w:p w14:paraId="77F23B87" w14:textId="3FC1DF28" w:rsidR="00D0193B" w:rsidRDefault="00772665" w:rsidP="00A23766">
      <w:pPr>
        <w:rPr>
          <w:lang w:val="en-US"/>
        </w:rPr>
      </w:pPr>
      <w:r>
        <w:rPr>
          <w:lang w:val="en-US"/>
        </w:rPr>
        <w:t>S</w:t>
      </w:r>
      <w:r w:rsidR="00BF67A3">
        <w:rPr>
          <w:lang w:val="en-US"/>
        </w:rPr>
        <w:t>takeholder</w:t>
      </w:r>
      <w:r w:rsidR="00760DE6">
        <w:rPr>
          <w:lang w:val="en-US"/>
        </w:rPr>
        <w:t>s</w:t>
      </w:r>
      <w:r w:rsidR="00BF67A3">
        <w:rPr>
          <w:lang w:val="en-US"/>
        </w:rPr>
        <w:t xml:space="preserve"> agreed </w:t>
      </w:r>
      <w:r w:rsidR="00CE030B">
        <w:rPr>
          <w:lang w:val="en-US"/>
        </w:rPr>
        <w:t>with our proposal to retain key obligations</w:t>
      </w:r>
      <w:r w:rsidR="00B5550C">
        <w:rPr>
          <w:lang w:val="en-US"/>
        </w:rPr>
        <w:t>.</w:t>
      </w:r>
      <w:r w:rsidR="00CE030B">
        <w:rPr>
          <w:lang w:val="en-US"/>
        </w:rPr>
        <w:t xml:space="preserve"> </w:t>
      </w:r>
      <w:r w:rsidR="00B5550C">
        <w:rPr>
          <w:lang w:val="en-US"/>
        </w:rPr>
        <w:t xml:space="preserve">However, </w:t>
      </w:r>
      <w:r w:rsidR="00CE030B">
        <w:rPr>
          <w:lang w:val="en-US"/>
        </w:rPr>
        <w:t xml:space="preserve">some stakeholders </w:t>
      </w:r>
      <w:r w:rsidR="00965F2B">
        <w:rPr>
          <w:lang w:val="en-US"/>
        </w:rPr>
        <w:t xml:space="preserve">also </w:t>
      </w:r>
      <w:r w:rsidR="00CE030B">
        <w:rPr>
          <w:lang w:val="en-US"/>
        </w:rPr>
        <w:t xml:space="preserve">proposed updating certain definitions and terms to be more up-to-date and relevant with current industry practices. We </w:t>
      </w:r>
      <w:r w:rsidR="00A23766">
        <w:rPr>
          <w:lang w:val="en-US"/>
        </w:rPr>
        <w:t xml:space="preserve">agree with </w:t>
      </w:r>
      <w:r w:rsidR="00501EF5">
        <w:rPr>
          <w:lang w:val="en-US"/>
        </w:rPr>
        <w:t xml:space="preserve">most of </w:t>
      </w:r>
      <w:r w:rsidR="00A23766">
        <w:rPr>
          <w:lang w:val="en-US"/>
        </w:rPr>
        <w:t xml:space="preserve">these updates and </w:t>
      </w:r>
      <w:r w:rsidR="00F86091">
        <w:rPr>
          <w:lang w:val="en-US"/>
        </w:rPr>
        <w:t xml:space="preserve">made some amendments </w:t>
      </w:r>
      <w:r w:rsidR="00EE415E">
        <w:rPr>
          <w:lang w:val="en-US"/>
        </w:rPr>
        <w:t xml:space="preserve">to incorporate </w:t>
      </w:r>
      <w:r w:rsidR="00596B25">
        <w:rPr>
          <w:lang w:val="en-US"/>
        </w:rPr>
        <w:t xml:space="preserve">the </w:t>
      </w:r>
      <w:r w:rsidR="00B55954">
        <w:rPr>
          <w:lang w:val="en-US"/>
        </w:rPr>
        <w:t xml:space="preserve">stakeholder </w:t>
      </w:r>
      <w:r w:rsidR="00EE415E">
        <w:rPr>
          <w:lang w:val="en-US"/>
        </w:rPr>
        <w:t xml:space="preserve">feedback. We </w:t>
      </w:r>
      <w:r w:rsidR="00A23766">
        <w:rPr>
          <w:lang w:val="en-US"/>
        </w:rPr>
        <w:t xml:space="preserve">outline </w:t>
      </w:r>
      <w:r w:rsidR="00E31E9E">
        <w:rPr>
          <w:lang w:val="en-US"/>
        </w:rPr>
        <w:t xml:space="preserve">below </w:t>
      </w:r>
      <w:r w:rsidR="004C141C">
        <w:rPr>
          <w:lang w:val="en-US"/>
        </w:rPr>
        <w:t xml:space="preserve">some </w:t>
      </w:r>
      <w:r w:rsidR="00A23766">
        <w:rPr>
          <w:lang w:val="en-US"/>
        </w:rPr>
        <w:t xml:space="preserve">key updates we </w:t>
      </w:r>
      <w:r w:rsidR="00EE415E">
        <w:rPr>
          <w:lang w:val="en-US"/>
        </w:rPr>
        <w:t>have</w:t>
      </w:r>
      <w:r w:rsidR="00A23766">
        <w:rPr>
          <w:lang w:val="en-US"/>
        </w:rPr>
        <w:t xml:space="preserve"> include</w:t>
      </w:r>
      <w:r w:rsidR="00EE415E">
        <w:rPr>
          <w:lang w:val="en-US"/>
        </w:rPr>
        <w:t>d</w:t>
      </w:r>
      <w:r w:rsidR="00A23766">
        <w:rPr>
          <w:lang w:val="en-US"/>
        </w:rPr>
        <w:t xml:space="preserve"> </w:t>
      </w:r>
      <w:proofErr w:type="gramStart"/>
      <w:r w:rsidR="00596B25">
        <w:rPr>
          <w:lang w:val="en-US"/>
        </w:rPr>
        <w:t>to</w:t>
      </w:r>
      <w:proofErr w:type="gramEnd"/>
      <w:r w:rsidR="00A23766">
        <w:rPr>
          <w:lang w:val="en-US"/>
        </w:rPr>
        <w:t xml:space="preserve"> the transfer</w:t>
      </w:r>
      <w:r w:rsidR="00104BCD">
        <w:rPr>
          <w:lang w:val="en-US"/>
        </w:rPr>
        <w:t>ring</w:t>
      </w:r>
      <w:r w:rsidR="00A23766">
        <w:rPr>
          <w:lang w:val="en-US"/>
        </w:rPr>
        <w:t xml:space="preserve"> obligations.</w:t>
      </w:r>
      <w:r w:rsidR="00810018">
        <w:rPr>
          <w:lang w:val="en-US"/>
        </w:rPr>
        <w:t xml:space="preserve"> </w:t>
      </w:r>
    </w:p>
    <w:p w14:paraId="307DB1B9" w14:textId="4CAC4A32" w:rsidR="00E6692C" w:rsidRDefault="00377505" w:rsidP="001D32AA">
      <w:pPr>
        <w:pStyle w:val="Heading3numbered"/>
        <w:rPr>
          <w:lang w:val="en-US"/>
        </w:rPr>
      </w:pPr>
      <w:bookmarkStart w:id="106" w:name="_Toc213416987"/>
      <w:r>
        <w:rPr>
          <w:lang w:val="en-US"/>
        </w:rPr>
        <w:t>Updating replacement cycles for public lighting</w:t>
      </w:r>
      <w:bookmarkEnd w:id="106"/>
    </w:p>
    <w:p w14:paraId="0819E6C5" w14:textId="7E535E8D" w:rsidR="00F07774" w:rsidRPr="00AF0187" w:rsidRDefault="00D0193B" w:rsidP="00940D4D">
      <w:pPr>
        <w:rPr>
          <w:lang w:val="en-US"/>
        </w:rPr>
      </w:pPr>
      <w:r>
        <w:rPr>
          <w:lang w:val="en-US"/>
        </w:rPr>
        <w:t xml:space="preserve">In our </w:t>
      </w:r>
      <w:r w:rsidR="00F817AE">
        <w:rPr>
          <w:lang w:val="en-US"/>
        </w:rPr>
        <w:t>consultation paper</w:t>
      </w:r>
      <w:r>
        <w:rPr>
          <w:lang w:val="en-US"/>
        </w:rPr>
        <w:t>, we</w:t>
      </w:r>
      <w:r w:rsidR="00F817AE">
        <w:rPr>
          <w:lang w:val="en-US"/>
        </w:rPr>
        <w:t xml:space="preserve"> </w:t>
      </w:r>
      <w:r>
        <w:rPr>
          <w:lang w:val="en-US"/>
        </w:rPr>
        <w:t xml:space="preserve">proposed </w:t>
      </w:r>
      <w:proofErr w:type="gramStart"/>
      <w:r>
        <w:rPr>
          <w:lang w:val="en-US"/>
        </w:rPr>
        <w:t>to transfer</w:t>
      </w:r>
      <w:proofErr w:type="gramEnd"/>
      <w:r>
        <w:rPr>
          <w:lang w:val="en-US"/>
        </w:rPr>
        <w:t xml:space="preserve"> </w:t>
      </w:r>
      <w:r w:rsidR="00E37654">
        <w:rPr>
          <w:lang w:val="en-US"/>
        </w:rPr>
        <w:t xml:space="preserve">the </w:t>
      </w:r>
      <w:r w:rsidR="00F817AE">
        <w:rPr>
          <w:lang w:val="en-US"/>
        </w:rPr>
        <w:t>minimum service standard obligation</w:t>
      </w:r>
      <w:r>
        <w:rPr>
          <w:lang w:val="en-US"/>
        </w:rPr>
        <w:t>s</w:t>
      </w:r>
      <w:r w:rsidR="00F817AE">
        <w:rPr>
          <w:lang w:val="en-US"/>
        </w:rPr>
        <w:t xml:space="preserve"> </w:t>
      </w:r>
      <w:r w:rsidR="003E07AF">
        <w:rPr>
          <w:lang w:val="en-US"/>
        </w:rPr>
        <w:t>to</w:t>
      </w:r>
      <w:r w:rsidR="00F817AE">
        <w:rPr>
          <w:lang w:val="en-US"/>
        </w:rPr>
        <w:t xml:space="preserve"> clause 19.7.1 </w:t>
      </w:r>
      <w:r>
        <w:rPr>
          <w:lang w:val="en-US"/>
        </w:rPr>
        <w:t xml:space="preserve">of </w:t>
      </w:r>
      <w:r w:rsidR="00F817AE">
        <w:rPr>
          <w:lang w:val="en-US"/>
        </w:rPr>
        <w:t xml:space="preserve">the </w:t>
      </w:r>
      <w:r w:rsidR="006F1E22">
        <w:rPr>
          <w:lang w:val="en-US"/>
        </w:rPr>
        <w:t>Electricity Distribution Code of Practice</w:t>
      </w:r>
      <w:r w:rsidR="00F817AE">
        <w:rPr>
          <w:lang w:val="en-US"/>
        </w:rPr>
        <w:t xml:space="preserve">. </w:t>
      </w:r>
      <w:r w:rsidR="00494EA4">
        <w:rPr>
          <w:lang w:val="en-US"/>
        </w:rPr>
        <w:t xml:space="preserve">We also proposed </w:t>
      </w:r>
      <w:r w:rsidR="00940D4D">
        <w:rPr>
          <w:lang w:val="en-US"/>
        </w:rPr>
        <w:t xml:space="preserve">further </w:t>
      </w:r>
      <w:r w:rsidR="00362143" w:rsidRPr="00A96B53">
        <w:rPr>
          <w:lang w:val="en-US"/>
        </w:rPr>
        <w:t xml:space="preserve">flexibility </w:t>
      </w:r>
      <w:r w:rsidR="00362143" w:rsidRPr="00E37654">
        <w:rPr>
          <w:lang w:val="en-US"/>
        </w:rPr>
        <w:t>for stakeholders</w:t>
      </w:r>
      <w:r w:rsidR="00BA7D5A" w:rsidRPr="00E37654">
        <w:rPr>
          <w:lang w:val="en-US"/>
        </w:rPr>
        <w:t xml:space="preserve"> by</w:t>
      </w:r>
      <w:r w:rsidR="00362143" w:rsidRPr="00E37654">
        <w:rPr>
          <w:lang w:val="en-US"/>
        </w:rPr>
        <w:t xml:space="preserve"> </w:t>
      </w:r>
      <w:r w:rsidR="00BA7D5A" w:rsidRPr="00E37654">
        <w:rPr>
          <w:lang w:val="en-US"/>
        </w:rPr>
        <w:t>r</w:t>
      </w:r>
      <w:r w:rsidR="000F42DD" w:rsidRPr="00E37654">
        <w:rPr>
          <w:lang w:val="en-US"/>
        </w:rPr>
        <w:t>emov</w:t>
      </w:r>
      <w:r w:rsidR="00BA7D5A" w:rsidRPr="00E37654">
        <w:rPr>
          <w:lang w:val="en-US"/>
        </w:rPr>
        <w:t>ing</w:t>
      </w:r>
      <w:r w:rsidR="000F42DD" w:rsidRPr="00E37654">
        <w:rPr>
          <w:lang w:val="en-US"/>
        </w:rPr>
        <w:t xml:space="preserve"> the </w:t>
      </w:r>
      <w:r w:rsidR="00EF098A" w:rsidRPr="00E37654">
        <w:rPr>
          <w:lang w:val="en-US"/>
        </w:rPr>
        <w:t xml:space="preserve">prescribed </w:t>
      </w:r>
      <w:proofErr w:type="gramStart"/>
      <w:r w:rsidR="000F42DD" w:rsidRPr="00E37654">
        <w:rPr>
          <w:lang w:val="en-US"/>
        </w:rPr>
        <w:t>4 or 8 years</w:t>
      </w:r>
      <w:proofErr w:type="gramEnd"/>
      <w:r w:rsidR="000F42DD" w:rsidRPr="00E37654">
        <w:rPr>
          <w:lang w:val="en-US"/>
        </w:rPr>
        <w:t xml:space="preserve"> replacement cycle for public lighting assets</w:t>
      </w:r>
      <w:r w:rsidR="007B7AD4" w:rsidRPr="00E37654">
        <w:rPr>
          <w:lang w:val="en-US"/>
        </w:rPr>
        <w:t>.</w:t>
      </w:r>
      <w:r w:rsidR="000F42DD" w:rsidRPr="00E37654">
        <w:rPr>
          <w:lang w:val="en-US"/>
        </w:rPr>
        <w:t xml:space="preserve"> </w:t>
      </w:r>
      <w:r w:rsidR="00B27867" w:rsidRPr="00E37654">
        <w:rPr>
          <w:lang w:val="en-US"/>
        </w:rPr>
        <w:t xml:space="preserve">The Victorian Greenhouse Alliance </w:t>
      </w:r>
      <w:r w:rsidR="006023F2" w:rsidRPr="00E37654">
        <w:rPr>
          <w:lang w:val="en-US"/>
        </w:rPr>
        <w:t>supported this approach.</w:t>
      </w:r>
      <w:r w:rsidR="006023F2" w:rsidRPr="00AF0187">
        <w:rPr>
          <w:rStyle w:val="FootnoteReference"/>
          <w:lang w:val="en-US"/>
        </w:rPr>
        <w:footnoteReference w:id="15"/>
      </w:r>
    </w:p>
    <w:p w14:paraId="77C8D34C" w14:textId="0AAF0A8D" w:rsidR="00AD194F" w:rsidRPr="004F2EB3" w:rsidRDefault="00FF0DD8" w:rsidP="00377505">
      <w:pPr>
        <w:rPr>
          <w:lang w:val="en-US"/>
        </w:rPr>
      </w:pPr>
      <w:r w:rsidRPr="00AF0187">
        <w:rPr>
          <w:lang w:val="en-US"/>
        </w:rPr>
        <w:t>Our final decision</w:t>
      </w:r>
      <w:r w:rsidR="007E6CE9" w:rsidRPr="00AF0187">
        <w:rPr>
          <w:lang w:val="en-US"/>
        </w:rPr>
        <w:t xml:space="preserve"> </w:t>
      </w:r>
      <w:r w:rsidR="007B7AD4" w:rsidRPr="00AF0187">
        <w:rPr>
          <w:lang w:val="en-US"/>
        </w:rPr>
        <w:t xml:space="preserve">enables </w:t>
      </w:r>
      <w:r w:rsidR="002B4F3B" w:rsidRPr="00AF0187">
        <w:rPr>
          <w:lang w:val="en-US"/>
        </w:rPr>
        <w:t>public lighting customer</w:t>
      </w:r>
      <w:r w:rsidR="001E565B" w:rsidRPr="00AF0187">
        <w:rPr>
          <w:lang w:val="en-US"/>
        </w:rPr>
        <w:t xml:space="preserve">s to negotiate </w:t>
      </w:r>
      <w:r w:rsidR="0056429D" w:rsidRPr="00AF0187">
        <w:rPr>
          <w:lang w:val="en-US"/>
        </w:rPr>
        <w:t>the</w:t>
      </w:r>
      <w:r w:rsidR="001E565B" w:rsidRPr="00AF0187">
        <w:rPr>
          <w:lang w:val="en-US"/>
        </w:rPr>
        <w:t xml:space="preserve"> maintenance plan that best suits their needs</w:t>
      </w:r>
      <w:r w:rsidR="002B4F3B" w:rsidRPr="00AF0187">
        <w:rPr>
          <w:lang w:val="en-US"/>
        </w:rPr>
        <w:t>.</w:t>
      </w:r>
      <w:r w:rsidR="0072729B" w:rsidRPr="00AF0187">
        <w:rPr>
          <w:lang w:val="en-US"/>
        </w:rPr>
        <w:t xml:space="preserve"> </w:t>
      </w:r>
      <w:r w:rsidR="00EB0D48" w:rsidRPr="00AF0187">
        <w:rPr>
          <w:lang w:val="en-US"/>
        </w:rPr>
        <w:t>However, if there is no agreement,</w:t>
      </w:r>
      <w:r w:rsidR="00E95BFC" w:rsidRPr="00AF0187">
        <w:rPr>
          <w:lang w:val="en-US"/>
        </w:rPr>
        <w:t xml:space="preserve"> the minimum standard </w:t>
      </w:r>
      <w:proofErr w:type="gramStart"/>
      <w:r w:rsidR="00E95BFC" w:rsidRPr="00AF0187">
        <w:rPr>
          <w:lang w:val="en-US"/>
        </w:rPr>
        <w:t>reverts back</w:t>
      </w:r>
      <w:proofErr w:type="gramEnd"/>
      <w:r w:rsidR="00E95BFC" w:rsidRPr="00AF0187">
        <w:rPr>
          <w:lang w:val="en-US"/>
        </w:rPr>
        <w:t xml:space="preserve"> to the </w:t>
      </w:r>
      <w:r w:rsidR="00246D0C" w:rsidRPr="00AF0187">
        <w:rPr>
          <w:lang w:val="en-US"/>
        </w:rPr>
        <w:t>standards</w:t>
      </w:r>
      <w:r w:rsidR="000B0256" w:rsidRPr="00AF0187">
        <w:rPr>
          <w:lang w:val="en-US"/>
        </w:rPr>
        <w:t xml:space="preserve"> that we prescribe</w:t>
      </w:r>
      <w:r w:rsidR="00246D0C" w:rsidRPr="00AF0187">
        <w:rPr>
          <w:lang w:val="en-US"/>
        </w:rPr>
        <w:t>.</w:t>
      </w:r>
      <w:r w:rsidR="00EB0D48" w:rsidRPr="00AF0187">
        <w:rPr>
          <w:lang w:val="en-US"/>
        </w:rPr>
        <w:t xml:space="preserve"> </w:t>
      </w:r>
      <w:r w:rsidR="007E6CE9" w:rsidRPr="00AF0187">
        <w:rPr>
          <w:lang w:val="en-US"/>
        </w:rPr>
        <w:t xml:space="preserve">We </w:t>
      </w:r>
      <w:r w:rsidR="000B0256" w:rsidRPr="00AF0187">
        <w:rPr>
          <w:lang w:val="en-US"/>
        </w:rPr>
        <w:t xml:space="preserve">think </w:t>
      </w:r>
      <w:r w:rsidR="007E6CE9" w:rsidRPr="00AF0187">
        <w:rPr>
          <w:lang w:val="en-US"/>
        </w:rPr>
        <w:t>this</w:t>
      </w:r>
      <w:r w:rsidR="00667149" w:rsidRPr="00AF0187">
        <w:rPr>
          <w:lang w:val="en-US"/>
        </w:rPr>
        <w:t xml:space="preserve"> </w:t>
      </w:r>
      <w:r w:rsidR="000B0256" w:rsidRPr="00AF0187">
        <w:rPr>
          <w:lang w:val="en-US"/>
        </w:rPr>
        <w:t xml:space="preserve">provides a </w:t>
      </w:r>
      <w:r w:rsidR="00667149" w:rsidRPr="00AF0187">
        <w:rPr>
          <w:lang w:val="en-US"/>
        </w:rPr>
        <w:t>flexible</w:t>
      </w:r>
      <w:r w:rsidR="007E6CE9" w:rsidRPr="00AF0187">
        <w:rPr>
          <w:lang w:val="en-US"/>
        </w:rPr>
        <w:t xml:space="preserve"> </w:t>
      </w:r>
      <w:r w:rsidR="001A6A8B" w:rsidRPr="00AF0187">
        <w:rPr>
          <w:lang w:val="en-US"/>
        </w:rPr>
        <w:t xml:space="preserve">maintenance </w:t>
      </w:r>
      <w:r w:rsidR="007E6CE9" w:rsidRPr="00AF0187">
        <w:rPr>
          <w:lang w:val="en-US"/>
        </w:rPr>
        <w:t xml:space="preserve">approach </w:t>
      </w:r>
      <w:r w:rsidR="000B0256" w:rsidRPr="00AF0187">
        <w:rPr>
          <w:lang w:val="en-US"/>
        </w:rPr>
        <w:t xml:space="preserve">that can </w:t>
      </w:r>
      <w:r w:rsidR="007E6CE9" w:rsidRPr="00AF0187">
        <w:rPr>
          <w:lang w:val="en-US"/>
        </w:rPr>
        <w:t xml:space="preserve">account for new </w:t>
      </w:r>
      <w:r w:rsidR="003A27A7" w:rsidRPr="00AF0187">
        <w:rPr>
          <w:lang w:val="en-US"/>
        </w:rPr>
        <w:t xml:space="preserve">public </w:t>
      </w:r>
      <w:r w:rsidR="007E6CE9" w:rsidRPr="00AF0187">
        <w:rPr>
          <w:lang w:val="en-US"/>
        </w:rPr>
        <w:t>lighting technology</w:t>
      </w:r>
      <w:r w:rsidR="000B0256" w:rsidRPr="00AF0187">
        <w:rPr>
          <w:lang w:val="en-US"/>
        </w:rPr>
        <w:t>.</w:t>
      </w:r>
      <w:r w:rsidR="00AE2FF4" w:rsidRPr="00AF0187">
        <w:rPr>
          <w:lang w:val="en-US"/>
        </w:rPr>
        <w:t xml:space="preserve"> </w:t>
      </w:r>
      <w:r w:rsidR="000F736A" w:rsidRPr="00AF0187">
        <w:rPr>
          <w:lang w:val="en-US"/>
        </w:rPr>
        <w:t xml:space="preserve">New lighting technologies </w:t>
      </w:r>
      <w:r w:rsidR="003A27A7" w:rsidRPr="00AF0187">
        <w:rPr>
          <w:lang w:val="en-US"/>
        </w:rPr>
        <w:t xml:space="preserve">benefit </w:t>
      </w:r>
      <w:r w:rsidR="007E6CE9" w:rsidRPr="00AF0187">
        <w:rPr>
          <w:lang w:val="en-US"/>
        </w:rPr>
        <w:t xml:space="preserve">all customers </w:t>
      </w:r>
      <w:r w:rsidR="003A27A7" w:rsidRPr="00AF0187">
        <w:rPr>
          <w:lang w:val="en-US"/>
        </w:rPr>
        <w:t xml:space="preserve">through </w:t>
      </w:r>
      <w:r w:rsidR="00AE2FF4" w:rsidRPr="00AF0187">
        <w:rPr>
          <w:lang w:val="en-US"/>
        </w:rPr>
        <w:t xml:space="preserve">energy </w:t>
      </w:r>
      <w:r w:rsidR="007E7EE4" w:rsidRPr="00AF0187">
        <w:rPr>
          <w:lang w:val="en-US"/>
        </w:rPr>
        <w:t>savings</w:t>
      </w:r>
      <w:r w:rsidR="003A27A7" w:rsidRPr="00AF0187">
        <w:rPr>
          <w:lang w:val="en-US"/>
        </w:rPr>
        <w:t xml:space="preserve"> and cost efficiencies </w:t>
      </w:r>
      <w:r w:rsidR="000F736A" w:rsidRPr="00AF0187">
        <w:rPr>
          <w:lang w:val="en-US"/>
        </w:rPr>
        <w:t xml:space="preserve">(such as </w:t>
      </w:r>
      <w:r w:rsidR="005E4A3E" w:rsidRPr="00AF0187">
        <w:rPr>
          <w:iCs/>
          <w:lang w:val="en-US"/>
        </w:rPr>
        <w:t xml:space="preserve">fewer replacements due to </w:t>
      </w:r>
      <w:r w:rsidR="00667149" w:rsidRPr="00AF0187">
        <w:rPr>
          <w:lang w:val="en-US"/>
        </w:rPr>
        <w:t>increase</w:t>
      </w:r>
      <w:r w:rsidR="003A27A7" w:rsidRPr="00AF0187">
        <w:rPr>
          <w:lang w:val="en-US"/>
        </w:rPr>
        <w:t>d</w:t>
      </w:r>
      <w:r w:rsidR="00667149" w:rsidRPr="00AF0187">
        <w:rPr>
          <w:lang w:val="en-US"/>
        </w:rPr>
        <w:t xml:space="preserve"> life span</w:t>
      </w:r>
      <w:r w:rsidR="000F736A" w:rsidRPr="00AF0187">
        <w:rPr>
          <w:lang w:val="en-US"/>
        </w:rPr>
        <w:t>s)</w:t>
      </w:r>
      <w:r w:rsidR="007E6CE9" w:rsidRPr="00AF0187">
        <w:rPr>
          <w:lang w:val="en-US"/>
        </w:rPr>
        <w:t>.</w:t>
      </w:r>
    </w:p>
    <w:p w14:paraId="1529451E" w14:textId="0139D263" w:rsidR="00BC6A18" w:rsidRPr="004F2EB3" w:rsidRDefault="00EF3408" w:rsidP="001D32AA">
      <w:pPr>
        <w:pStyle w:val="Heading3"/>
        <w:rPr>
          <w:lang w:val="en-US"/>
        </w:rPr>
      </w:pPr>
      <w:bookmarkStart w:id="107" w:name="_Toc213416988"/>
      <w:r w:rsidRPr="004F2EB3">
        <w:rPr>
          <w:lang w:val="en-US"/>
        </w:rPr>
        <w:lastRenderedPageBreak/>
        <w:t xml:space="preserve">Updating </w:t>
      </w:r>
      <w:r w:rsidR="0027385C" w:rsidRPr="004F2EB3">
        <w:rPr>
          <w:lang w:val="en-US"/>
        </w:rPr>
        <w:t>definitions and terms for relevance</w:t>
      </w:r>
      <w:bookmarkEnd w:id="107"/>
    </w:p>
    <w:p w14:paraId="67C97B67" w14:textId="5E102D46" w:rsidR="000B0256" w:rsidRPr="00672D2C" w:rsidRDefault="00D15F0F" w:rsidP="0027385C">
      <w:pPr>
        <w:rPr>
          <w:lang w:val="en-US"/>
        </w:rPr>
      </w:pPr>
      <w:r w:rsidRPr="004F2EB3">
        <w:rPr>
          <w:lang w:val="en-US"/>
        </w:rPr>
        <w:t>Stakeholders</w:t>
      </w:r>
      <w:r w:rsidR="0003115A" w:rsidRPr="004F2EB3">
        <w:rPr>
          <w:lang w:val="en-US"/>
        </w:rPr>
        <w:t xml:space="preserve"> </w:t>
      </w:r>
      <w:r w:rsidR="0027385C" w:rsidRPr="004F2EB3">
        <w:rPr>
          <w:lang w:val="en-US"/>
        </w:rPr>
        <w:t>suggested updating certain definitions and terms</w:t>
      </w:r>
      <w:r w:rsidR="007C0534" w:rsidRPr="004F2EB3">
        <w:rPr>
          <w:lang w:val="en-US"/>
        </w:rPr>
        <w:t>,</w:t>
      </w:r>
      <w:r w:rsidR="00CA1AF6" w:rsidRPr="004F2EB3">
        <w:rPr>
          <w:lang w:val="en-US"/>
        </w:rPr>
        <w:t xml:space="preserve"> to be more up-to-date and relevant with current industry practices</w:t>
      </w:r>
      <w:r w:rsidR="005F7147" w:rsidRPr="004F2EB3">
        <w:rPr>
          <w:lang w:val="en-US"/>
        </w:rPr>
        <w:t xml:space="preserve"> </w:t>
      </w:r>
      <w:r w:rsidR="005D5E6B" w:rsidRPr="004F2EB3">
        <w:rPr>
          <w:lang w:val="en-US"/>
        </w:rPr>
        <w:t>or technical standards</w:t>
      </w:r>
      <w:r w:rsidR="0003115A" w:rsidRPr="004F2EB3">
        <w:rPr>
          <w:lang w:val="en-US"/>
        </w:rPr>
        <w:t>.</w:t>
      </w:r>
      <w:r w:rsidR="0003115A">
        <w:rPr>
          <w:lang w:val="en-US"/>
        </w:rPr>
        <w:t xml:space="preserve"> </w:t>
      </w:r>
      <w:r w:rsidR="00153098" w:rsidRPr="00550A26">
        <w:rPr>
          <w:lang w:val="en-US"/>
        </w:rPr>
        <w:t xml:space="preserve">We have incorporated </w:t>
      </w:r>
      <w:r w:rsidR="000B0256" w:rsidRPr="00550A26">
        <w:rPr>
          <w:lang w:val="en-US"/>
        </w:rPr>
        <w:t xml:space="preserve">this </w:t>
      </w:r>
      <w:r w:rsidR="00153098" w:rsidRPr="00550A26">
        <w:rPr>
          <w:lang w:val="en-US"/>
        </w:rPr>
        <w:t>feedback in our final decision</w:t>
      </w:r>
      <w:r w:rsidR="00DF7AFE">
        <w:rPr>
          <w:iCs/>
          <w:lang w:val="en-US"/>
        </w:rPr>
        <w:t xml:space="preserve">. </w:t>
      </w:r>
      <w:r w:rsidR="004A0B43">
        <w:rPr>
          <w:iCs/>
          <w:lang w:val="en-US"/>
        </w:rPr>
        <w:t>Some</w:t>
      </w:r>
      <w:r w:rsidR="00DF7AFE">
        <w:rPr>
          <w:iCs/>
          <w:lang w:val="en-US"/>
        </w:rPr>
        <w:t xml:space="preserve"> examples are</w:t>
      </w:r>
      <w:r w:rsidR="000B0256">
        <w:rPr>
          <w:lang w:val="en-US"/>
        </w:rPr>
        <w:t xml:space="preserve"> </w:t>
      </w:r>
      <w:r w:rsidR="00C60824">
        <w:rPr>
          <w:iCs/>
          <w:lang w:val="en-US"/>
        </w:rPr>
        <w:t>as follows</w:t>
      </w:r>
      <w:r w:rsidR="000B0256" w:rsidRPr="00672D2C">
        <w:rPr>
          <w:lang w:val="en-US"/>
        </w:rPr>
        <w:t>:</w:t>
      </w:r>
    </w:p>
    <w:p w14:paraId="56F8F22B" w14:textId="3A5EE474" w:rsidR="00B21402" w:rsidRPr="00672D2C" w:rsidRDefault="00B21402" w:rsidP="00B21402">
      <w:pPr>
        <w:pStyle w:val="ListBullet"/>
      </w:pPr>
      <w:r w:rsidRPr="00672D2C">
        <w:rPr>
          <w:b/>
        </w:rPr>
        <w:t>Lamps definition.</w:t>
      </w:r>
      <w:r w:rsidRPr="00672D2C">
        <w:t xml:space="preserve">  We have amended the definition of lamps to align with the </w:t>
      </w:r>
      <w:r w:rsidR="005952C7" w:rsidRPr="00672D2C">
        <w:t xml:space="preserve">relevant </w:t>
      </w:r>
      <w:r w:rsidRPr="00672D2C">
        <w:t>Australian Standard AS/NZS 1158.</w:t>
      </w:r>
    </w:p>
    <w:p w14:paraId="276F3935" w14:textId="59A612F2" w:rsidR="00B21402" w:rsidRPr="004A0B43" w:rsidRDefault="00B21402" w:rsidP="00B21402">
      <w:pPr>
        <w:pStyle w:val="ListBullet"/>
      </w:pPr>
      <w:r w:rsidRPr="00672D2C">
        <w:rPr>
          <w:b/>
        </w:rPr>
        <w:t>Large customer definition</w:t>
      </w:r>
      <w:r w:rsidRPr="00672D2C">
        <w:t>. We have amended the definition of a large customer to include public lighting customers</w:t>
      </w:r>
      <w:r w:rsidR="005952C7" w:rsidRPr="00672D2C">
        <w:t xml:space="preserve">. </w:t>
      </w:r>
      <w:r w:rsidR="005952C7" w:rsidRPr="00672D2C">
        <w:rPr>
          <w:iCs/>
        </w:rPr>
        <w:t xml:space="preserve">This </w:t>
      </w:r>
      <w:r w:rsidR="00615571">
        <w:rPr>
          <w:iCs/>
        </w:rPr>
        <w:t xml:space="preserve">allows the use of </w:t>
      </w:r>
      <w:r w:rsidR="004F78D0">
        <w:rPr>
          <w:iCs/>
        </w:rPr>
        <w:t xml:space="preserve">the existing </w:t>
      </w:r>
      <w:r w:rsidR="003C4E10">
        <w:t xml:space="preserve">clause </w:t>
      </w:r>
      <w:r w:rsidR="006323CF">
        <w:t xml:space="preserve">1.5 </w:t>
      </w:r>
      <w:r w:rsidR="00704FF1">
        <w:t>in</w:t>
      </w:r>
      <w:r w:rsidR="00615571">
        <w:t xml:space="preserve"> </w:t>
      </w:r>
      <w:r w:rsidR="003D1F02">
        <w:t xml:space="preserve">the </w:t>
      </w:r>
      <w:r w:rsidR="004468D8">
        <w:t>Electricity Distribution Code of Practice</w:t>
      </w:r>
      <w:r w:rsidR="00615571">
        <w:t xml:space="preserve">, </w:t>
      </w:r>
      <w:r w:rsidR="004F78D0">
        <w:t xml:space="preserve">which </w:t>
      </w:r>
      <w:r w:rsidR="00857284">
        <w:t xml:space="preserve">would </w:t>
      </w:r>
      <w:r w:rsidR="00615571">
        <w:t xml:space="preserve">enable </w:t>
      </w:r>
      <w:r w:rsidR="00924FDF">
        <w:t>public lighting customers (</w:t>
      </w:r>
      <w:proofErr w:type="gramStart"/>
      <w:r w:rsidR="00924FDF">
        <w:t>as</w:t>
      </w:r>
      <w:proofErr w:type="gramEnd"/>
      <w:r w:rsidR="00924FDF">
        <w:t xml:space="preserve"> large customers)</w:t>
      </w:r>
      <w:r w:rsidR="00857284">
        <w:rPr>
          <w:iCs/>
        </w:rPr>
        <w:t xml:space="preserve"> </w:t>
      </w:r>
      <w:r w:rsidR="00615571">
        <w:t>to negotiate bespoke arrangements with</w:t>
      </w:r>
      <w:r w:rsidR="007B3B07">
        <w:t xml:space="preserve"> electricity distribution businesses.</w:t>
      </w:r>
      <w:r w:rsidR="00615571">
        <w:t xml:space="preserve"> </w:t>
      </w:r>
    </w:p>
    <w:p w14:paraId="49CCBECD" w14:textId="31BEFD43" w:rsidR="00B21402" w:rsidRPr="004A0B43" w:rsidRDefault="00B21402" w:rsidP="00B21402">
      <w:pPr>
        <w:pStyle w:val="ListBullet"/>
      </w:pPr>
      <w:r w:rsidRPr="004A0B43">
        <w:rPr>
          <w:b/>
        </w:rPr>
        <w:t>Major Roads definition.</w:t>
      </w:r>
      <w:r w:rsidRPr="004A0B43">
        <w:t xml:space="preserve">  We have amended the definition of </w:t>
      </w:r>
      <w:r w:rsidR="005952C7" w:rsidRPr="004A0B43">
        <w:t>‘</w:t>
      </w:r>
      <w:r w:rsidRPr="004A0B43">
        <w:t>major roads</w:t>
      </w:r>
      <w:r w:rsidR="005952C7" w:rsidRPr="004A0B43">
        <w:t>’</w:t>
      </w:r>
      <w:r w:rsidRPr="004A0B43">
        <w:t xml:space="preserve"> for public lighting</w:t>
      </w:r>
      <w:r w:rsidR="005952C7" w:rsidRPr="004A0B43">
        <w:t xml:space="preserve">, by removing </w:t>
      </w:r>
      <w:r w:rsidRPr="004A0B43">
        <w:t>the reference</w:t>
      </w:r>
      <w:r w:rsidR="00E8392D" w:rsidRPr="004A0B43">
        <w:t xml:space="preserve"> </w:t>
      </w:r>
      <w:r w:rsidR="00D630B7" w:rsidRPr="004A0B43">
        <w:t xml:space="preserve">to how the </w:t>
      </w:r>
      <w:proofErr w:type="spellStart"/>
      <w:r w:rsidR="00D630B7" w:rsidRPr="004A0B43">
        <w:t>Melway</w:t>
      </w:r>
      <w:proofErr w:type="spellEnd"/>
      <w:r w:rsidR="00D630B7" w:rsidRPr="004A0B43">
        <w:t xml:space="preserve"> street directory classifies roads</w:t>
      </w:r>
      <w:r w:rsidRPr="004A0B43">
        <w:t>.</w:t>
      </w:r>
      <w:r w:rsidR="00D630B7" w:rsidRPr="004A0B43">
        <w:t xml:space="preserve"> The new definition </w:t>
      </w:r>
      <w:r w:rsidR="00952123" w:rsidRPr="004A0B43">
        <w:t xml:space="preserve">defines </w:t>
      </w:r>
      <w:r w:rsidRPr="004A0B43">
        <w:t xml:space="preserve">major roads as </w:t>
      </w:r>
      <w:r w:rsidR="00052FE8" w:rsidRPr="004A0B43">
        <w:t xml:space="preserve">those </w:t>
      </w:r>
      <w:r w:rsidRPr="004A0B43">
        <w:t>designated by the Department of Transport and Planning.</w:t>
      </w:r>
    </w:p>
    <w:p w14:paraId="1A5482CE" w14:textId="45C22893" w:rsidR="002E6F72" w:rsidRPr="00F17650" w:rsidRDefault="002E6F72" w:rsidP="001D32AA">
      <w:pPr>
        <w:pStyle w:val="ListBullet"/>
      </w:pPr>
      <w:r w:rsidRPr="001B7A44">
        <w:rPr>
          <w:bCs/>
        </w:rPr>
        <w:t>Smart Lighting</w:t>
      </w:r>
      <w:r w:rsidRPr="00BF088F">
        <w:rPr>
          <w:b/>
        </w:rPr>
        <w:t xml:space="preserve"> Central Management System (CMS).</w:t>
      </w:r>
      <w:r w:rsidRPr="00BF088F">
        <w:t xml:space="preserve"> </w:t>
      </w:r>
      <w:r w:rsidR="005E48ED" w:rsidRPr="00BF088F">
        <w:t>We have introduced a new definition for</w:t>
      </w:r>
      <w:r w:rsidR="006951CA" w:rsidRPr="00BF088F">
        <w:t xml:space="preserve"> t</w:t>
      </w:r>
      <w:r w:rsidRPr="00BF088F">
        <w:t xml:space="preserve">his </w:t>
      </w:r>
      <w:r w:rsidR="006951CA" w:rsidRPr="00BF088F">
        <w:t xml:space="preserve">to </w:t>
      </w:r>
      <w:proofErr w:type="spellStart"/>
      <w:r w:rsidRPr="00BF088F">
        <w:t>recognise</w:t>
      </w:r>
      <w:proofErr w:type="spellEnd"/>
      <w:r w:rsidRPr="00BF088F">
        <w:t xml:space="preserve"> </w:t>
      </w:r>
      <w:r w:rsidR="0080054E" w:rsidRPr="00BF088F">
        <w:t xml:space="preserve">modern control systems adopted by </w:t>
      </w:r>
      <w:r w:rsidR="006951CA" w:rsidRPr="00BF088F">
        <w:t>public lighting customers and electricity distribution businesses</w:t>
      </w:r>
      <w:r w:rsidR="0080054E" w:rsidRPr="00BF088F">
        <w:t xml:space="preserve">, to monitor and maintain public lighting. We have introduced a new definition into the </w:t>
      </w:r>
      <w:r w:rsidR="00031C27" w:rsidRPr="000B7E4A">
        <w:t>Electricity Distribution Code of Practice</w:t>
      </w:r>
      <w:r w:rsidR="0080054E" w:rsidRPr="00C330CF">
        <w:t xml:space="preserve">, as per the definition </w:t>
      </w:r>
      <w:r w:rsidR="00CC2F8A" w:rsidRPr="00C330CF">
        <w:t xml:space="preserve">that is currently </w:t>
      </w:r>
      <w:r w:rsidR="00031C27" w:rsidRPr="00F17650">
        <w:t xml:space="preserve">used </w:t>
      </w:r>
      <w:r w:rsidR="00CC2F8A" w:rsidRPr="00F17650">
        <w:t>in the National Electricity Rules.</w:t>
      </w:r>
    </w:p>
    <w:p w14:paraId="34D838DE" w14:textId="25E8D01B" w:rsidR="000B0256" w:rsidRPr="005E4A3E" w:rsidRDefault="000B0256" w:rsidP="000B7E4A">
      <w:pPr>
        <w:pStyle w:val="ListBullet"/>
        <w:contextualSpacing w:val="0"/>
      </w:pPr>
      <w:r w:rsidRPr="00F17650">
        <w:rPr>
          <w:b/>
        </w:rPr>
        <w:t xml:space="preserve">Smart Control Nodes definition. </w:t>
      </w:r>
      <w:r w:rsidRPr="00F17650">
        <w:t xml:space="preserve">This is a new definition </w:t>
      </w:r>
      <w:r w:rsidR="00480499">
        <w:t xml:space="preserve">introduced </w:t>
      </w:r>
      <w:r w:rsidRPr="00F17650">
        <w:t xml:space="preserve">to capture </w:t>
      </w:r>
      <w:r w:rsidRPr="000B0256">
        <w:rPr>
          <w:iCs/>
        </w:rPr>
        <w:t>new electronic control equipment for public lighting. These modern systems have communication capabilities to interact with smart lighting central management systems (CMS), as noted above.</w:t>
      </w:r>
    </w:p>
    <w:p w14:paraId="3CBFBDC5" w14:textId="7AB0B40D" w:rsidR="000B0256" w:rsidRDefault="000B0256" w:rsidP="000B7E4A">
      <w:r>
        <w:t>Appendix A provides further details on these and other updated terms. It also outlines other stakeholder feedback that we have decided not to progress with.</w:t>
      </w:r>
    </w:p>
    <w:p w14:paraId="25211511" w14:textId="77777777" w:rsidR="00143AB2" w:rsidRDefault="00143AB2" w:rsidP="00143AB2">
      <w:pPr>
        <w:pStyle w:val="Heading2"/>
        <w:spacing w:after="120"/>
        <w:rPr>
          <w:rFonts w:eastAsia="Tahoma" w:cs="Tahoma"/>
        </w:rPr>
      </w:pPr>
      <w:bookmarkStart w:id="108" w:name="_Toc212113754"/>
      <w:bookmarkStart w:id="109" w:name="_Toc213416989"/>
      <w:r>
        <w:rPr>
          <w:rFonts w:eastAsia="Tahoma" w:cs="Tahoma"/>
        </w:rPr>
        <w:t>Administrative updates</w:t>
      </w:r>
      <w:bookmarkEnd w:id="108"/>
      <w:bookmarkEnd w:id="109"/>
      <w:r>
        <w:rPr>
          <w:rFonts w:eastAsia="Tahoma" w:cs="Tahoma"/>
        </w:rPr>
        <w:t xml:space="preserve"> </w:t>
      </w:r>
    </w:p>
    <w:p w14:paraId="0A6EE0A1" w14:textId="77777777" w:rsidR="000158B3" w:rsidRDefault="00E25665" w:rsidP="00FA7BDA">
      <w:pPr>
        <w:rPr>
          <w:lang w:val="en-US"/>
        </w:rPr>
      </w:pPr>
      <w:proofErr w:type="gramStart"/>
      <w:r w:rsidRPr="00E25665">
        <w:rPr>
          <w:lang w:val="en-US"/>
        </w:rPr>
        <w:t>Separate</w:t>
      </w:r>
      <w:proofErr w:type="gramEnd"/>
      <w:r w:rsidRPr="00E25665">
        <w:rPr>
          <w:lang w:val="en-US"/>
        </w:rPr>
        <w:t xml:space="preserve"> </w:t>
      </w:r>
      <w:proofErr w:type="gramStart"/>
      <w:r w:rsidRPr="00E25665">
        <w:rPr>
          <w:lang w:val="en-US"/>
        </w:rPr>
        <w:t>to</w:t>
      </w:r>
      <w:proofErr w:type="gramEnd"/>
      <w:r w:rsidRPr="00E25665">
        <w:rPr>
          <w:lang w:val="en-US"/>
        </w:rPr>
        <w:t xml:space="preserve"> this code review, we have taken this opportunity to undertake some administrative updates to the </w:t>
      </w:r>
      <w:r w:rsidR="000B7E4A">
        <w:rPr>
          <w:lang w:val="en-US"/>
        </w:rPr>
        <w:t>Electricity Distribution Code of Practice</w:t>
      </w:r>
      <w:r w:rsidRPr="00E25665">
        <w:rPr>
          <w:lang w:val="en-US"/>
        </w:rPr>
        <w:t xml:space="preserve">. </w:t>
      </w:r>
    </w:p>
    <w:p w14:paraId="32C0B00A" w14:textId="77777777" w:rsidR="00186E2D" w:rsidRDefault="00E25665" w:rsidP="00FA7BDA">
      <w:pPr>
        <w:rPr>
          <w:lang w:val="en-US"/>
        </w:rPr>
      </w:pPr>
      <w:r w:rsidRPr="00E25665">
        <w:rPr>
          <w:lang w:val="en-US"/>
        </w:rPr>
        <w:t>We have recently published our decision to revoke the Electricity Customer Metering Code of Practice and the Electricity Customer Transfer Code of Practice.</w:t>
      </w:r>
      <w:r w:rsidR="00B01CBA">
        <w:rPr>
          <w:rStyle w:val="FootnoteReference"/>
        </w:rPr>
        <w:footnoteReference w:id="16"/>
      </w:r>
      <w:r w:rsidRPr="00E25665">
        <w:rPr>
          <w:lang w:val="en-US"/>
        </w:rPr>
        <w:t xml:space="preserve"> </w:t>
      </w:r>
    </w:p>
    <w:p w14:paraId="39CD3BF9" w14:textId="02708C3D" w:rsidR="00C33425" w:rsidRDefault="00E25665" w:rsidP="00FA7BDA">
      <w:pPr>
        <w:rPr>
          <w:lang w:val="en-US"/>
        </w:rPr>
      </w:pPr>
      <w:r w:rsidRPr="00E25665">
        <w:rPr>
          <w:lang w:val="en-US"/>
        </w:rPr>
        <w:lastRenderedPageBreak/>
        <w:t xml:space="preserve">The revocation of these codes took effect on 12 September 2025. </w:t>
      </w:r>
      <w:r w:rsidR="000C4668">
        <w:rPr>
          <w:lang w:val="en-US"/>
        </w:rPr>
        <w:t>To a</w:t>
      </w:r>
      <w:r w:rsidR="009B730A">
        <w:rPr>
          <w:lang w:val="en-US"/>
        </w:rPr>
        <w:t>ssist with clarity</w:t>
      </w:r>
      <w:r w:rsidR="002D3B4C">
        <w:rPr>
          <w:lang w:val="en-US"/>
        </w:rPr>
        <w:t xml:space="preserve"> and </w:t>
      </w:r>
      <w:r w:rsidR="00700844">
        <w:rPr>
          <w:lang w:val="en-US"/>
        </w:rPr>
        <w:t xml:space="preserve">to </w:t>
      </w:r>
      <w:r w:rsidR="002D3B4C">
        <w:rPr>
          <w:lang w:val="en-US"/>
        </w:rPr>
        <w:t>reflect the revocation</w:t>
      </w:r>
      <w:r w:rsidR="00967D52">
        <w:rPr>
          <w:lang w:val="en-US"/>
        </w:rPr>
        <w:t xml:space="preserve"> of these </w:t>
      </w:r>
      <w:r w:rsidR="00CB555D">
        <w:rPr>
          <w:lang w:val="en-US"/>
        </w:rPr>
        <w:t>codes</w:t>
      </w:r>
      <w:r w:rsidR="00F47F2F">
        <w:rPr>
          <w:lang w:val="en-US"/>
        </w:rPr>
        <w:t xml:space="preserve">, we have </w:t>
      </w:r>
      <w:r w:rsidR="00CF7831">
        <w:rPr>
          <w:lang w:val="en-US"/>
        </w:rPr>
        <w:t xml:space="preserve">deleted section </w:t>
      </w:r>
      <w:r w:rsidR="00700844">
        <w:rPr>
          <w:lang w:val="en-US"/>
        </w:rPr>
        <w:t xml:space="preserve">6 </w:t>
      </w:r>
      <w:r w:rsidR="009B730A">
        <w:rPr>
          <w:lang w:val="en-US"/>
        </w:rPr>
        <w:t>from the Electricity Distribution Code of Practice</w:t>
      </w:r>
      <w:r w:rsidR="00C33425">
        <w:rPr>
          <w:lang w:val="en-US"/>
        </w:rPr>
        <w:t>.</w:t>
      </w:r>
      <w:r w:rsidR="00700844">
        <w:rPr>
          <w:lang w:val="en-US"/>
        </w:rPr>
        <w:t xml:space="preserve"> </w:t>
      </w:r>
      <w:r w:rsidR="00017206">
        <w:rPr>
          <w:lang w:val="en-US"/>
        </w:rPr>
        <w:t>We note m</w:t>
      </w:r>
      <w:r w:rsidR="00700844">
        <w:rPr>
          <w:lang w:val="en-US"/>
        </w:rPr>
        <w:t xml:space="preserve">etering </w:t>
      </w:r>
      <w:r w:rsidR="003F0788">
        <w:rPr>
          <w:lang w:val="en-US"/>
        </w:rPr>
        <w:t xml:space="preserve">being </w:t>
      </w:r>
      <w:r w:rsidR="00213F37">
        <w:rPr>
          <w:lang w:val="en-US"/>
        </w:rPr>
        <w:t>regulat</w:t>
      </w:r>
      <w:r w:rsidR="003F0788">
        <w:rPr>
          <w:lang w:val="en-US"/>
        </w:rPr>
        <w:t>ed</w:t>
      </w:r>
      <w:r w:rsidR="00700844">
        <w:rPr>
          <w:lang w:val="en-US"/>
        </w:rPr>
        <w:t xml:space="preserve"> under the National Electricity Rules.</w:t>
      </w:r>
    </w:p>
    <w:p w14:paraId="08536981" w14:textId="3C595BD8" w:rsidR="00C11971" w:rsidRDefault="00E25665" w:rsidP="00FA7BDA">
      <w:pPr>
        <w:rPr>
          <w:rFonts w:ascii="Arial" w:eastAsia="Arial" w:hAnsi="Arial" w:cs="Arial"/>
        </w:rPr>
      </w:pPr>
      <w:r w:rsidRPr="00E25665">
        <w:rPr>
          <w:lang w:val="en-US"/>
        </w:rPr>
        <w:t xml:space="preserve">Table 1 </w:t>
      </w:r>
      <w:proofErr w:type="spellStart"/>
      <w:r w:rsidRPr="00E25665">
        <w:rPr>
          <w:lang w:val="en-US"/>
        </w:rPr>
        <w:t>summarises</w:t>
      </w:r>
      <w:proofErr w:type="spellEnd"/>
      <w:r w:rsidRPr="00E25665">
        <w:rPr>
          <w:lang w:val="en-US"/>
        </w:rPr>
        <w:t xml:space="preserve"> the administrative updates to the Electricity Distribution Code of Practice</w:t>
      </w:r>
      <w:r w:rsidR="008843C2">
        <w:rPr>
          <w:lang w:val="en-US"/>
        </w:rPr>
        <w:t>.</w:t>
      </w:r>
      <w:r w:rsidR="003E50F5">
        <w:rPr>
          <w:lang w:val="en-US"/>
        </w:rPr>
        <w:t xml:space="preserve"> </w:t>
      </w:r>
    </w:p>
    <w:p w14:paraId="654C528D" w14:textId="164CB29A" w:rsidR="00C11971" w:rsidRDefault="00C11971" w:rsidP="00C11971">
      <w:pPr>
        <w:pStyle w:val="Figure-Table-BoxHeading"/>
        <w:ind w:left="0" w:firstLine="0"/>
        <w:rPr>
          <w:rFonts w:ascii="Arial" w:eastAsia="Arial" w:hAnsi="Arial" w:cs="Arial"/>
        </w:rPr>
        <w:sectPr w:rsidR="00C11971" w:rsidSect="005E1120">
          <w:headerReference w:type="even" r:id="rId30"/>
          <w:headerReference w:type="default" r:id="rId31"/>
          <w:footerReference w:type="default" r:id="rId32"/>
          <w:headerReference w:type="first" r:id="rId33"/>
          <w:pgSz w:w="11906" w:h="16838" w:code="9"/>
          <w:pgMar w:top="1134" w:right="1134" w:bottom="1134" w:left="1134" w:header="709" w:footer="692" w:gutter="0"/>
          <w:cols w:space="708"/>
          <w:docGrid w:linePitch="360"/>
        </w:sectPr>
      </w:pPr>
    </w:p>
    <w:p w14:paraId="5322BDF7" w14:textId="7C89591F" w:rsidR="00865B44" w:rsidRPr="00324C8D" w:rsidRDefault="00865B44" w:rsidP="00865B44">
      <w:pPr>
        <w:pStyle w:val="Figure-Table-BoxHeading"/>
      </w:pPr>
      <w:r w:rsidRPr="00324C8D">
        <w:lastRenderedPageBreak/>
        <w:t>Table 1</w:t>
      </w:r>
      <w:r w:rsidRPr="003016A6">
        <w:t>:</w:t>
      </w:r>
      <w:r w:rsidRPr="00324C8D">
        <w:t xml:space="preserve"> </w:t>
      </w:r>
      <w:r w:rsidR="008D6FD7">
        <w:t>O</w:t>
      </w:r>
      <w:r>
        <w:t>bligations</w:t>
      </w:r>
      <w:r w:rsidRPr="00324C8D">
        <w:t xml:space="preserve"> to be transferred from the </w:t>
      </w:r>
      <w:r w:rsidRPr="003016A6">
        <w:t>Public Lighting Code</w:t>
      </w:r>
      <w:r w:rsidRPr="00324C8D">
        <w:t xml:space="preserve"> to the </w:t>
      </w:r>
      <w:r w:rsidRPr="003016A6">
        <w:t>Electricity Distribution Code of Practice</w:t>
      </w:r>
    </w:p>
    <w:tbl>
      <w:tblPr>
        <w:tblStyle w:val="TableGrid"/>
        <w:tblW w:w="14640" w:type="dxa"/>
        <w:tblCellMar>
          <w:top w:w="113" w:type="dxa"/>
          <w:bottom w:w="113" w:type="dxa"/>
        </w:tblCellMar>
        <w:tblLook w:val="04A0" w:firstRow="1" w:lastRow="0" w:firstColumn="1" w:lastColumn="0" w:noHBand="0" w:noVBand="1"/>
      </w:tblPr>
      <w:tblGrid>
        <w:gridCol w:w="3402"/>
        <w:gridCol w:w="6379"/>
        <w:gridCol w:w="2354"/>
        <w:gridCol w:w="2505"/>
      </w:tblGrid>
      <w:tr w:rsidR="00865B44" w14:paraId="36C3586C" w14:textId="77777777" w:rsidTr="68F1E8C3">
        <w:trPr>
          <w:cnfStyle w:val="100000000000" w:firstRow="1" w:lastRow="0" w:firstColumn="0" w:lastColumn="0" w:oddVBand="0" w:evenVBand="0" w:oddHBand="0" w:evenHBand="0" w:firstRowFirstColumn="0" w:firstRowLastColumn="0" w:lastRowFirstColumn="0" w:lastRowLastColumn="0"/>
          <w:tblHeader/>
        </w:trPr>
        <w:tc>
          <w:tcPr>
            <w:tcW w:w="3402" w:type="dxa"/>
          </w:tcPr>
          <w:p w14:paraId="76DE8D2A" w14:textId="77777777" w:rsidR="00865B44" w:rsidRDefault="00865B44">
            <w:pPr>
              <w:pStyle w:val="TableBody"/>
            </w:pPr>
            <w:r>
              <w:t>Obligation</w:t>
            </w:r>
          </w:p>
        </w:tc>
        <w:tc>
          <w:tcPr>
            <w:tcW w:w="6379" w:type="dxa"/>
          </w:tcPr>
          <w:p w14:paraId="52DA6C55" w14:textId="77777777" w:rsidR="00865B44" w:rsidRDefault="00865B44">
            <w:pPr>
              <w:pStyle w:val="TableBody"/>
              <w:rPr>
                <w:bCs/>
              </w:rPr>
            </w:pPr>
            <w:r>
              <w:rPr>
                <w:bCs/>
              </w:rPr>
              <w:t>Description</w:t>
            </w:r>
          </w:p>
        </w:tc>
        <w:tc>
          <w:tcPr>
            <w:tcW w:w="2354" w:type="dxa"/>
          </w:tcPr>
          <w:p w14:paraId="207ADE42" w14:textId="155BBE24" w:rsidR="00865B44" w:rsidRPr="00324C8D" w:rsidRDefault="00865B44">
            <w:pPr>
              <w:pStyle w:val="TableBody"/>
            </w:pPr>
            <w:r w:rsidRPr="00445B5A">
              <w:t>Public Lighting Code</w:t>
            </w:r>
            <w:r>
              <w:rPr>
                <w:bCs/>
              </w:rPr>
              <w:t xml:space="preserve"> clauses</w:t>
            </w:r>
          </w:p>
        </w:tc>
        <w:tc>
          <w:tcPr>
            <w:tcW w:w="2505" w:type="dxa"/>
          </w:tcPr>
          <w:p w14:paraId="24AD5A9A" w14:textId="77777777" w:rsidR="00865B44" w:rsidRDefault="00865B44">
            <w:pPr>
              <w:pStyle w:val="TableBody"/>
              <w:rPr>
                <w:b w:val="0"/>
              </w:rPr>
            </w:pPr>
            <w:r>
              <w:t>Proposed new clauses to be transferred</w:t>
            </w:r>
          </w:p>
          <w:p w14:paraId="29798A82" w14:textId="42C95A6A" w:rsidR="00865B44" w:rsidRDefault="00865B44">
            <w:pPr>
              <w:pStyle w:val="TableBody"/>
            </w:pPr>
            <w:r>
              <w:t xml:space="preserve">to the </w:t>
            </w:r>
            <w:r w:rsidR="0030638D">
              <w:t>Electricity Distribution Code of Practice</w:t>
            </w:r>
          </w:p>
        </w:tc>
      </w:tr>
      <w:tr w:rsidR="00865B44" w14:paraId="2EEEC703" w14:textId="77777777" w:rsidTr="68F1E8C3">
        <w:tc>
          <w:tcPr>
            <w:tcW w:w="3402" w:type="dxa"/>
          </w:tcPr>
          <w:p w14:paraId="7F23EDBD" w14:textId="77777777" w:rsidR="00865B44" w:rsidRDefault="00865B44">
            <w:pPr>
              <w:pStyle w:val="TableBody"/>
            </w:pPr>
            <w:r>
              <w:t>Guaranteed Service Levels</w:t>
            </w:r>
          </w:p>
        </w:tc>
        <w:tc>
          <w:tcPr>
            <w:tcW w:w="6379" w:type="dxa"/>
          </w:tcPr>
          <w:p w14:paraId="206468F1" w14:textId="77777777" w:rsidR="00865B44" w:rsidRPr="00A75C0B" w:rsidRDefault="00865B44">
            <w:pPr>
              <w:pStyle w:val="TableBody"/>
            </w:pPr>
            <w:r w:rsidRPr="68F1E8C3">
              <w:rPr>
                <w:lang w:val="en-AU"/>
              </w:rPr>
              <w:t>Electricity distributors are required to provide a payment to individuals who report faults in public lighting infrastructure. We will retain this obligation.</w:t>
            </w:r>
          </w:p>
        </w:tc>
        <w:tc>
          <w:tcPr>
            <w:tcW w:w="2354" w:type="dxa"/>
          </w:tcPr>
          <w:p w14:paraId="471AB400" w14:textId="77777777" w:rsidR="00865B44" w:rsidRDefault="00865B44">
            <w:pPr>
              <w:pStyle w:val="TableBody"/>
            </w:pPr>
            <w:r>
              <w:t>Clause 2.5, (a) and (b)</w:t>
            </w:r>
          </w:p>
        </w:tc>
        <w:tc>
          <w:tcPr>
            <w:tcW w:w="2505" w:type="dxa"/>
          </w:tcPr>
          <w:p w14:paraId="667844A8" w14:textId="36F30AD0" w:rsidR="00865B44" w:rsidRDefault="00865B44">
            <w:pPr>
              <w:pStyle w:val="TableBody"/>
            </w:pPr>
            <w:r>
              <w:t>Clause 14.5.1</w:t>
            </w:r>
            <w:r w:rsidR="00822B8B">
              <w:t>A</w:t>
            </w:r>
            <w:r>
              <w:t>, (</w:t>
            </w:r>
            <w:r w:rsidR="009B0C82">
              <w:t>a</w:t>
            </w:r>
            <w:r>
              <w:t>) and (</w:t>
            </w:r>
            <w:r w:rsidR="009B0C82">
              <w:t>b</w:t>
            </w:r>
            <w:r>
              <w:t>)</w:t>
            </w:r>
          </w:p>
        </w:tc>
      </w:tr>
      <w:tr w:rsidR="00865B44" w14:paraId="7827B4F7" w14:textId="77777777" w:rsidTr="68F1E8C3">
        <w:trPr>
          <w:cnfStyle w:val="000000010000" w:firstRow="0" w:lastRow="0" w:firstColumn="0" w:lastColumn="0" w:oddVBand="0" w:evenVBand="0" w:oddHBand="0" w:evenHBand="1" w:firstRowFirstColumn="0" w:firstRowLastColumn="0" w:lastRowFirstColumn="0" w:lastRowLastColumn="0"/>
        </w:trPr>
        <w:tc>
          <w:tcPr>
            <w:tcW w:w="3402" w:type="dxa"/>
          </w:tcPr>
          <w:p w14:paraId="195579BC" w14:textId="5D28A198" w:rsidR="00865B44" w:rsidRDefault="00865B44">
            <w:pPr>
              <w:pStyle w:val="TableBody"/>
            </w:pPr>
            <w:r>
              <w:t xml:space="preserve">Public lighting minimum standards </w:t>
            </w:r>
          </w:p>
        </w:tc>
        <w:tc>
          <w:tcPr>
            <w:tcW w:w="6379" w:type="dxa"/>
          </w:tcPr>
          <w:p w14:paraId="7F2BEB3F" w14:textId="77777777" w:rsidR="00865B44" w:rsidRPr="004B4578" w:rsidRDefault="00865B44">
            <w:pPr>
              <w:pStyle w:val="TableBody"/>
            </w:pPr>
            <w:r w:rsidRPr="68F1E8C3">
              <w:rPr>
                <w:lang w:val="en-AU"/>
              </w:rPr>
              <w:t>Electricity distributors must operate public lighting at a certain standard – this includes how often lamps are replaced, or the time required to repair or replace them.</w:t>
            </w:r>
          </w:p>
          <w:p w14:paraId="52ECDACE" w14:textId="77777777" w:rsidR="00865B44" w:rsidRPr="004B4578" w:rsidRDefault="00865B44">
            <w:pPr>
              <w:pStyle w:val="TableBody"/>
            </w:pPr>
          </w:p>
          <w:p w14:paraId="6392E1AF" w14:textId="77777777" w:rsidR="00865B44" w:rsidRPr="004B4578" w:rsidRDefault="00865B44">
            <w:pPr>
              <w:pStyle w:val="TableBody"/>
            </w:pPr>
            <w:r w:rsidRPr="004B4578">
              <w:t xml:space="preserve">Because public lighting customers are often </w:t>
            </w:r>
            <w:proofErr w:type="spellStart"/>
            <w:r w:rsidRPr="004B4578">
              <w:t>organisations</w:t>
            </w:r>
            <w:proofErr w:type="spellEnd"/>
            <w:r w:rsidRPr="004B4578">
              <w:t xml:space="preserve"> (such as local councils), distributors must negotiate specific performance targets with them in good faith.</w:t>
            </w:r>
          </w:p>
          <w:p w14:paraId="14E8D00B" w14:textId="77777777" w:rsidR="00865B44" w:rsidRPr="004B4578" w:rsidRDefault="00865B44">
            <w:pPr>
              <w:pStyle w:val="TableBody"/>
            </w:pPr>
          </w:p>
          <w:p w14:paraId="4281E4D4" w14:textId="77777777" w:rsidR="00865B44" w:rsidRPr="004B4578" w:rsidRDefault="00865B44">
            <w:pPr>
              <w:pStyle w:val="TableBody"/>
            </w:pPr>
            <w:r w:rsidRPr="68F1E8C3">
              <w:rPr>
                <w:lang w:val="en-AU"/>
              </w:rPr>
              <w:t>We are retaining these obligations, with some minor amendments. This is to reflect stakeholder feedback and to account for innovations in technology, which have improved the longevity of lamps. Lamp technology also continues to improve, with metering and remote monitoring of lamps expected in the future.</w:t>
            </w:r>
          </w:p>
          <w:p w14:paraId="0C3460A7" w14:textId="77777777" w:rsidR="00865B44" w:rsidRPr="004B4578" w:rsidRDefault="00865B44">
            <w:pPr>
              <w:pStyle w:val="TableBody"/>
            </w:pPr>
          </w:p>
          <w:p w14:paraId="506C8CA8" w14:textId="77777777" w:rsidR="00865B44" w:rsidRPr="004B4578" w:rsidRDefault="00865B44">
            <w:pPr>
              <w:pStyle w:val="TableBody"/>
            </w:pPr>
            <w:r w:rsidRPr="004B4578">
              <w:t>The final decision specific changes are:</w:t>
            </w:r>
          </w:p>
          <w:p w14:paraId="6F5CE664" w14:textId="7A95F302" w:rsidR="00865B44" w:rsidRDefault="003013BB">
            <w:pPr>
              <w:pStyle w:val="TableBody"/>
              <w:numPr>
                <w:ilvl w:val="0"/>
                <w:numId w:val="11"/>
              </w:numPr>
            </w:pPr>
            <w:r>
              <w:t>R</w:t>
            </w:r>
            <w:r w:rsidR="00865B44" w:rsidRPr="004B4578">
              <w:t>emoving references to the 4 and 8 years for lamp and photo-electric cells replacement cycle</w:t>
            </w:r>
            <w:r w:rsidR="00865B44">
              <w:t>,</w:t>
            </w:r>
            <w:r w:rsidR="00865B44" w:rsidRPr="004B4578">
              <w:t xml:space="preserve"> </w:t>
            </w:r>
            <w:r w:rsidR="00865B44">
              <w:t xml:space="preserve">introducing smart control nodes as well as </w:t>
            </w:r>
            <w:r w:rsidR="00865B44" w:rsidRPr="004B4578">
              <w:t>requiring distributors to replace these ‘in accordance with industry best practice or as otherwise required by the public lighting standards</w:t>
            </w:r>
            <w:r w:rsidR="00865B44">
              <w:t>.</w:t>
            </w:r>
            <w:r w:rsidR="00865B44" w:rsidRPr="004B4578">
              <w:t xml:space="preserve">’ </w:t>
            </w:r>
          </w:p>
          <w:p w14:paraId="06935514" w14:textId="77777777" w:rsidR="008C7F76" w:rsidRPr="004B4578" w:rsidRDefault="008C7F76" w:rsidP="008C7F76">
            <w:pPr>
              <w:pStyle w:val="TableBody"/>
              <w:ind w:left="360"/>
            </w:pPr>
          </w:p>
          <w:p w14:paraId="59FF709B" w14:textId="2816F2BB" w:rsidR="00865B44" w:rsidRPr="004B4578" w:rsidRDefault="003013BB">
            <w:pPr>
              <w:pStyle w:val="TableBody"/>
              <w:numPr>
                <w:ilvl w:val="0"/>
                <w:numId w:val="11"/>
              </w:numPr>
            </w:pPr>
            <w:r>
              <w:lastRenderedPageBreak/>
              <w:t>A</w:t>
            </w:r>
            <w:r w:rsidR="00865B44" w:rsidRPr="004B4578">
              <w:t>mending</w:t>
            </w:r>
            <w:r w:rsidR="00865B44" w:rsidRPr="004B4578" w:rsidDel="00F81C45">
              <w:t xml:space="preserve"> </w:t>
            </w:r>
            <w:r w:rsidR="00865B44" w:rsidRPr="004B4578">
              <w:t>references to patro</w:t>
            </w:r>
            <w:r w:rsidR="00865B44">
              <w:t>lling</w:t>
            </w:r>
            <w:r w:rsidR="00865B44" w:rsidRPr="004B4578">
              <w:t xml:space="preserve"> major roads to inspect lights </w:t>
            </w:r>
            <w:r w:rsidR="00865B44">
              <w:t>‘</w:t>
            </w:r>
            <w:r w:rsidR="00865B44" w:rsidRPr="004B4578">
              <w:t>at least 3 times per year</w:t>
            </w:r>
            <w:r w:rsidR="00865B44">
              <w:t>’</w:t>
            </w:r>
            <w:r w:rsidR="00865B44" w:rsidRPr="004B4578">
              <w:t xml:space="preserve">, to </w:t>
            </w:r>
            <w:r w:rsidR="00865B44" w:rsidRPr="004B4578">
              <w:rPr>
                <w:lang w:val="en-AU"/>
              </w:rPr>
              <w:t>be:</w:t>
            </w:r>
          </w:p>
          <w:p w14:paraId="378FC1E7" w14:textId="77777777" w:rsidR="00865B44" w:rsidRPr="004B4578" w:rsidRDefault="00865B44">
            <w:pPr>
              <w:pStyle w:val="TableBody"/>
              <w:numPr>
                <w:ilvl w:val="1"/>
                <w:numId w:val="11"/>
              </w:numPr>
            </w:pPr>
            <w:r w:rsidRPr="004B4578">
              <w:rPr>
                <w:lang w:val="en-AU"/>
              </w:rPr>
              <w:t>‘</w:t>
            </w:r>
            <w:proofErr w:type="gramStart"/>
            <w:r w:rsidRPr="004B4578">
              <w:rPr>
                <w:lang w:val="en-AU"/>
              </w:rPr>
              <w:t>in</w:t>
            </w:r>
            <w:proofErr w:type="gramEnd"/>
            <w:r w:rsidRPr="004B4578">
              <w:rPr>
                <w:lang w:val="en-AU"/>
              </w:rPr>
              <w:t xml:space="preserve"> accordance with industry best practice as agreed with the public lighting customer; or</w:t>
            </w:r>
          </w:p>
          <w:p w14:paraId="210E7B5C" w14:textId="77777777" w:rsidR="00865B44" w:rsidRPr="004B4578" w:rsidRDefault="00865B44">
            <w:pPr>
              <w:pStyle w:val="TableBody"/>
              <w:numPr>
                <w:ilvl w:val="1"/>
                <w:numId w:val="11"/>
              </w:numPr>
            </w:pPr>
            <w:r w:rsidRPr="004B4578">
              <w:rPr>
                <w:lang w:val="en-AU"/>
              </w:rPr>
              <w:t xml:space="preserve">when a central management system is established, a negotiated patrol frequency </w:t>
            </w:r>
            <w:r>
              <w:rPr>
                <w:lang w:val="en-AU"/>
              </w:rPr>
              <w:t xml:space="preserve">as agreed </w:t>
            </w:r>
            <w:r w:rsidRPr="004B4578">
              <w:rPr>
                <w:lang w:val="en-AU"/>
              </w:rPr>
              <w:t>with the public lighting customer; or</w:t>
            </w:r>
          </w:p>
          <w:p w14:paraId="439F33FD" w14:textId="1C7E1D48" w:rsidR="0087752D" w:rsidRPr="004B4578" w:rsidRDefault="00865B44" w:rsidP="00983456">
            <w:pPr>
              <w:pStyle w:val="TableBody"/>
              <w:numPr>
                <w:ilvl w:val="1"/>
                <w:numId w:val="11"/>
              </w:numPr>
            </w:pPr>
            <w:r w:rsidRPr="004B4578">
              <w:t>at least 3 times per year</w:t>
            </w:r>
            <w:r>
              <w:t xml:space="preserve"> where there is no agreement.</w:t>
            </w:r>
            <w:r w:rsidR="001D3881">
              <w:t>’</w:t>
            </w:r>
          </w:p>
        </w:tc>
        <w:tc>
          <w:tcPr>
            <w:tcW w:w="2354" w:type="dxa"/>
          </w:tcPr>
          <w:p w14:paraId="4D9A5A42" w14:textId="77777777" w:rsidR="00865B44" w:rsidRDefault="00865B44">
            <w:pPr>
              <w:pStyle w:val="TableBody"/>
              <w:rPr>
                <w:rFonts w:ascii="Arial" w:eastAsia="Arial" w:hAnsi="Arial" w:cs="Arial"/>
              </w:rPr>
            </w:pPr>
            <w:r>
              <w:lastRenderedPageBreak/>
              <w:t>Clause 2.3.1</w:t>
            </w:r>
            <w:r>
              <w:rPr>
                <w:rFonts w:ascii="Arial" w:eastAsia="Arial" w:hAnsi="Arial" w:cs="Arial"/>
              </w:rPr>
              <w:t xml:space="preserve">, (a) – (g) </w:t>
            </w:r>
          </w:p>
          <w:p w14:paraId="35857EA7" w14:textId="77777777" w:rsidR="00865B44" w:rsidRDefault="00865B44">
            <w:pPr>
              <w:pStyle w:val="TableBody"/>
              <w:rPr>
                <w:rFonts w:ascii="Arial" w:eastAsia="Arial" w:hAnsi="Arial" w:cs="Arial"/>
              </w:rPr>
            </w:pPr>
            <w:r>
              <w:t>C</w:t>
            </w:r>
            <w:r>
              <w:rPr>
                <w:rFonts w:ascii="Arial" w:eastAsia="Arial" w:hAnsi="Arial" w:cs="Arial"/>
              </w:rPr>
              <w:t>lause 2.3.2</w:t>
            </w:r>
          </w:p>
          <w:p w14:paraId="5D589CFD" w14:textId="77777777" w:rsidR="00865B44" w:rsidRDefault="00865B44">
            <w:pPr>
              <w:pStyle w:val="TableBody"/>
            </w:pPr>
            <w:r>
              <w:t>Clause 2.2</w:t>
            </w:r>
          </w:p>
        </w:tc>
        <w:tc>
          <w:tcPr>
            <w:tcW w:w="2505" w:type="dxa"/>
          </w:tcPr>
          <w:p w14:paraId="2B8B8B53" w14:textId="77777777" w:rsidR="00865B44" w:rsidRDefault="00865B44">
            <w:pPr>
              <w:pStyle w:val="TableBody"/>
              <w:rPr>
                <w:rFonts w:ascii="Arial" w:eastAsia="Arial" w:hAnsi="Arial" w:cs="Arial"/>
              </w:rPr>
            </w:pPr>
            <w:r>
              <w:t>Clause 19.7.1</w:t>
            </w:r>
            <w:r>
              <w:rPr>
                <w:rFonts w:ascii="Arial" w:eastAsia="Arial" w:hAnsi="Arial" w:cs="Arial"/>
              </w:rPr>
              <w:t xml:space="preserve">, (a) – (g) </w:t>
            </w:r>
          </w:p>
          <w:p w14:paraId="236CBAD5" w14:textId="77777777" w:rsidR="00865B44" w:rsidRDefault="00865B44">
            <w:pPr>
              <w:pStyle w:val="TableBody"/>
              <w:rPr>
                <w:rFonts w:ascii="Arial" w:eastAsia="Arial" w:hAnsi="Arial" w:cs="Arial"/>
              </w:rPr>
            </w:pPr>
            <w:r>
              <w:t>C</w:t>
            </w:r>
            <w:r>
              <w:rPr>
                <w:rFonts w:ascii="Arial" w:eastAsia="Arial" w:hAnsi="Arial" w:cs="Arial"/>
              </w:rPr>
              <w:t>lause 19.7.2</w:t>
            </w:r>
          </w:p>
          <w:p w14:paraId="448663C3" w14:textId="01B82A60" w:rsidR="00E141DC" w:rsidRDefault="00E141DC">
            <w:pPr>
              <w:pStyle w:val="TableBody"/>
              <w:rPr>
                <w:rFonts w:ascii="Arial" w:eastAsia="Arial" w:hAnsi="Arial" w:cs="Arial"/>
              </w:rPr>
            </w:pPr>
          </w:p>
          <w:p w14:paraId="1D484264" w14:textId="77777777" w:rsidR="00865B44" w:rsidRDefault="00865B44">
            <w:pPr>
              <w:pStyle w:val="TableBody"/>
            </w:pPr>
          </w:p>
        </w:tc>
      </w:tr>
      <w:tr w:rsidR="00865B44" w14:paraId="2A4128E0" w14:textId="77777777" w:rsidTr="68F1E8C3">
        <w:tc>
          <w:tcPr>
            <w:tcW w:w="3402" w:type="dxa"/>
          </w:tcPr>
          <w:p w14:paraId="2656623D" w14:textId="0450159E" w:rsidR="00865B44" w:rsidRDefault="00B902FE">
            <w:pPr>
              <w:pStyle w:val="TableBody"/>
            </w:pPr>
            <w:r>
              <w:t>Approvals for new s</w:t>
            </w:r>
            <w:r w:rsidR="00865B44">
              <w:t>tandard and non-standard fittings</w:t>
            </w:r>
          </w:p>
        </w:tc>
        <w:tc>
          <w:tcPr>
            <w:tcW w:w="6379" w:type="dxa"/>
          </w:tcPr>
          <w:p w14:paraId="5B039766" w14:textId="77777777" w:rsidR="00865B44" w:rsidRDefault="00865B44">
            <w:pPr>
              <w:pStyle w:val="TableBody"/>
            </w:pPr>
            <w:r>
              <w:t xml:space="preserve">These two obligations relate to the product approval process to streamline the introduction of new lighting products. They are </w:t>
            </w:r>
            <w:proofErr w:type="spellStart"/>
            <w:r>
              <w:t>categorised</w:t>
            </w:r>
            <w:proofErr w:type="spellEnd"/>
            <w:r>
              <w:t xml:space="preserve"> as:</w:t>
            </w:r>
          </w:p>
          <w:p w14:paraId="33D40AB5" w14:textId="77777777" w:rsidR="00865B44" w:rsidRDefault="00865B44">
            <w:pPr>
              <w:pStyle w:val="TableBody"/>
            </w:pPr>
          </w:p>
          <w:p w14:paraId="68AB95BF" w14:textId="77777777" w:rsidR="00865B44" w:rsidRDefault="00865B44">
            <w:pPr>
              <w:pStyle w:val="TableBody"/>
              <w:numPr>
                <w:ilvl w:val="0"/>
                <w:numId w:val="11"/>
              </w:numPr>
            </w:pPr>
            <w:r w:rsidRPr="68F1E8C3">
              <w:rPr>
                <w:lang w:val="en-AU"/>
              </w:rPr>
              <w:t>Standard fittings: These are standard lighting products and devices a customer has introduced which a distributor has deemed to be comparable and acceptable to their standard to be used in the distribution system.</w:t>
            </w:r>
          </w:p>
          <w:p w14:paraId="199CB1FB" w14:textId="77777777" w:rsidR="00865B44" w:rsidRDefault="00865B44">
            <w:pPr>
              <w:pStyle w:val="TableBody"/>
              <w:ind w:left="360"/>
            </w:pPr>
          </w:p>
          <w:p w14:paraId="2B64ABBF" w14:textId="77777777" w:rsidR="00865B44" w:rsidRDefault="00865B44">
            <w:pPr>
              <w:pStyle w:val="TableBody"/>
              <w:numPr>
                <w:ilvl w:val="0"/>
                <w:numId w:val="11"/>
              </w:numPr>
            </w:pPr>
            <w:r>
              <w:t xml:space="preserve">Non-standard fittings: These are custom or bespoke lighting products and devices a customer prefers but are not part of the standard fittings (products). </w:t>
            </w:r>
          </w:p>
        </w:tc>
        <w:tc>
          <w:tcPr>
            <w:tcW w:w="2354" w:type="dxa"/>
          </w:tcPr>
          <w:p w14:paraId="501D95C1" w14:textId="77777777" w:rsidR="00865B44" w:rsidRDefault="00865B44">
            <w:pPr>
              <w:pStyle w:val="TableBody"/>
            </w:pPr>
            <w:r>
              <w:t>Clause 3.2</w:t>
            </w:r>
          </w:p>
          <w:p w14:paraId="1A06DF03" w14:textId="77777777" w:rsidR="00865B44" w:rsidRDefault="00865B44">
            <w:pPr>
              <w:pStyle w:val="TableBody"/>
            </w:pPr>
            <w:r>
              <w:t>Clause 3.3</w:t>
            </w:r>
          </w:p>
        </w:tc>
        <w:tc>
          <w:tcPr>
            <w:tcW w:w="2505" w:type="dxa"/>
          </w:tcPr>
          <w:p w14:paraId="14A63E06" w14:textId="77777777" w:rsidR="00865B44" w:rsidRDefault="00865B44">
            <w:pPr>
              <w:pStyle w:val="TableBody"/>
            </w:pPr>
            <w:r>
              <w:t>Clause 19.8</w:t>
            </w:r>
          </w:p>
          <w:p w14:paraId="48A62E0B" w14:textId="77777777" w:rsidR="00865B44" w:rsidRDefault="00865B44">
            <w:pPr>
              <w:pStyle w:val="TableBody"/>
            </w:pPr>
            <w:r>
              <w:t>Clause 19.9</w:t>
            </w:r>
          </w:p>
        </w:tc>
      </w:tr>
      <w:tr w:rsidR="00627C32" w14:paraId="34F7CFF5" w14:textId="77777777" w:rsidTr="68F1E8C3">
        <w:trPr>
          <w:cnfStyle w:val="000000010000" w:firstRow="0" w:lastRow="0" w:firstColumn="0" w:lastColumn="0" w:oddVBand="0" w:evenVBand="0" w:oddHBand="0" w:evenHBand="1" w:firstRowFirstColumn="0" w:firstRowLastColumn="0" w:lastRowFirstColumn="0" w:lastRowLastColumn="0"/>
        </w:trPr>
        <w:tc>
          <w:tcPr>
            <w:tcW w:w="3402" w:type="dxa"/>
          </w:tcPr>
          <w:p w14:paraId="0452A68F" w14:textId="78131901" w:rsidR="00627C32" w:rsidRDefault="00CE26B5">
            <w:pPr>
              <w:pStyle w:val="TableBody"/>
            </w:pPr>
            <w:r w:rsidRPr="68F1E8C3">
              <w:rPr>
                <w:lang w:val="en-AU"/>
              </w:rPr>
              <w:t>U</w:t>
            </w:r>
            <w:r w:rsidR="00627C32" w:rsidRPr="68F1E8C3">
              <w:rPr>
                <w:lang w:val="en-AU"/>
              </w:rPr>
              <w:t>se of distribution system</w:t>
            </w:r>
            <w:r w:rsidRPr="68F1E8C3">
              <w:rPr>
                <w:lang w:val="en-AU"/>
              </w:rPr>
              <w:t xml:space="preserve"> to maintain public lighting asset supply connections</w:t>
            </w:r>
          </w:p>
        </w:tc>
        <w:tc>
          <w:tcPr>
            <w:tcW w:w="6379" w:type="dxa"/>
          </w:tcPr>
          <w:p w14:paraId="71CC7AF6" w14:textId="729B1C0F" w:rsidR="00627C32" w:rsidRDefault="00E06B12">
            <w:pPr>
              <w:pStyle w:val="TableBody"/>
            </w:pPr>
            <w:r w:rsidRPr="68F1E8C3">
              <w:rPr>
                <w:lang w:val="en-AU"/>
              </w:rPr>
              <w:t xml:space="preserve">Transferring the use of the distribution system obligation ensures that electricity distributors </w:t>
            </w:r>
            <w:r w:rsidR="00AE7CED" w:rsidRPr="68F1E8C3">
              <w:rPr>
                <w:lang w:val="en-AU"/>
              </w:rPr>
              <w:t>maint</w:t>
            </w:r>
            <w:r w:rsidR="004F470B" w:rsidRPr="68F1E8C3">
              <w:rPr>
                <w:lang w:val="en-AU"/>
              </w:rPr>
              <w:t>ain</w:t>
            </w:r>
            <w:r w:rsidR="00AE7CED" w:rsidRPr="68F1E8C3">
              <w:rPr>
                <w:lang w:val="en-AU"/>
              </w:rPr>
              <w:t xml:space="preserve"> </w:t>
            </w:r>
            <w:r w:rsidR="00CD42FD" w:rsidRPr="68F1E8C3">
              <w:rPr>
                <w:lang w:val="en-AU"/>
              </w:rPr>
              <w:t xml:space="preserve">the supply connections </w:t>
            </w:r>
            <w:r w:rsidR="008D4C95" w:rsidRPr="68F1E8C3">
              <w:rPr>
                <w:lang w:val="en-AU"/>
              </w:rPr>
              <w:t xml:space="preserve">to </w:t>
            </w:r>
            <w:r w:rsidRPr="68F1E8C3">
              <w:rPr>
                <w:lang w:val="en-AU"/>
              </w:rPr>
              <w:t>public lighting assets</w:t>
            </w:r>
            <w:r w:rsidR="00D573F5" w:rsidRPr="68F1E8C3">
              <w:rPr>
                <w:lang w:val="en-AU"/>
              </w:rPr>
              <w:t>.</w:t>
            </w:r>
            <w:r w:rsidRPr="68F1E8C3">
              <w:rPr>
                <w:lang w:val="en-AU"/>
              </w:rPr>
              <w:t xml:space="preserve"> </w:t>
            </w:r>
          </w:p>
        </w:tc>
        <w:tc>
          <w:tcPr>
            <w:tcW w:w="2354" w:type="dxa"/>
          </w:tcPr>
          <w:p w14:paraId="4C96265A" w14:textId="1D200733" w:rsidR="00627C32" w:rsidRDefault="00AE7C27">
            <w:pPr>
              <w:pStyle w:val="TableBody"/>
            </w:pPr>
            <w:r>
              <w:t>Clause 2.2</w:t>
            </w:r>
          </w:p>
        </w:tc>
        <w:tc>
          <w:tcPr>
            <w:tcW w:w="2505" w:type="dxa"/>
          </w:tcPr>
          <w:p w14:paraId="374A359E" w14:textId="0415CCEA" w:rsidR="00627C32" w:rsidRDefault="00AE7C27">
            <w:pPr>
              <w:pStyle w:val="TableBody"/>
            </w:pPr>
            <w:r>
              <w:t>Clause 19.10</w:t>
            </w:r>
          </w:p>
        </w:tc>
      </w:tr>
      <w:tr w:rsidR="00865B44" w14:paraId="7C6B08F5" w14:textId="77777777" w:rsidTr="68F1E8C3">
        <w:tc>
          <w:tcPr>
            <w:tcW w:w="3402" w:type="dxa"/>
          </w:tcPr>
          <w:p w14:paraId="20C9DACA" w14:textId="77777777" w:rsidR="00865B44" w:rsidRDefault="00865B44">
            <w:pPr>
              <w:pStyle w:val="TableBody"/>
            </w:pPr>
            <w:r>
              <w:t>Information and reporting obligations</w:t>
            </w:r>
          </w:p>
        </w:tc>
        <w:tc>
          <w:tcPr>
            <w:tcW w:w="6379" w:type="dxa"/>
          </w:tcPr>
          <w:p w14:paraId="7ADB40CF" w14:textId="77777777" w:rsidR="00865B44" w:rsidRDefault="00865B44">
            <w:pPr>
              <w:pStyle w:val="TableBody"/>
            </w:pPr>
            <w:r w:rsidRPr="68F1E8C3">
              <w:rPr>
                <w:lang w:val="en-AU"/>
              </w:rPr>
              <w:t xml:space="preserve">These obligations require distributors to provide information, data and reports to a public lighting customer. </w:t>
            </w:r>
          </w:p>
          <w:p w14:paraId="485245B3" w14:textId="77777777" w:rsidR="00865B44" w:rsidRDefault="00865B44">
            <w:pPr>
              <w:pStyle w:val="TableBody"/>
            </w:pPr>
          </w:p>
          <w:p w14:paraId="1748D1A6" w14:textId="77777777" w:rsidR="00865B44" w:rsidRDefault="00865B44">
            <w:pPr>
              <w:pStyle w:val="TableBody"/>
            </w:pPr>
            <w:r>
              <w:lastRenderedPageBreak/>
              <w:t>This includes standard information such as:</w:t>
            </w:r>
          </w:p>
          <w:p w14:paraId="5F9F9D2D" w14:textId="77777777" w:rsidR="00865B44" w:rsidRDefault="00865B44">
            <w:pPr>
              <w:pStyle w:val="TableBody"/>
              <w:numPr>
                <w:ilvl w:val="0"/>
                <w:numId w:val="11"/>
              </w:numPr>
            </w:pPr>
            <w:r>
              <w:t xml:space="preserve">quarterly and annual maintenance progress reports </w:t>
            </w:r>
          </w:p>
          <w:p w14:paraId="095DB951" w14:textId="77777777" w:rsidR="00865B44" w:rsidRDefault="00865B44">
            <w:pPr>
              <w:pStyle w:val="TableBody"/>
              <w:numPr>
                <w:ilvl w:val="0"/>
                <w:numId w:val="11"/>
              </w:numPr>
            </w:pPr>
            <w:r>
              <w:t>quarterly performance reports.</w:t>
            </w:r>
          </w:p>
          <w:p w14:paraId="6B9B1677" w14:textId="77777777" w:rsidR="00865B44" w:rsidRDefault="00865B44">
            <w:pPr>
              <w:pStyle w:val="TableBody"/>
            </w:pPr>
          </w:p>
          <w:p w14:paraId="37B9BC5B" w14:textId="25EA446D" w:rsidR="00865B44" w:rsidRDefault="00865B44">
            <w:pPr>
              <w:pStyle w:val="TableBody"/>
            </w:pPr>
            <w:r w:rsidRPr="68F1E8C3">
              <w:rPr>
                <w:lang w:val="en-AU"/>
              </w:rPr>
              <w:t>To assist with drafting clarity, we have separated ou</w:t>
            </w:r>
            <w:r w:rsidR="00C846E1" w:rsidRPr="68F1E8C3">
              <w:rPr>
                <w:lang w:val="en-AU"/>
              </w:rPr>
              <w:t>t</w:t>
            </w:r>
            <w:r w:rsidRPr="68F1E8C3">
              <w:rPr>
                <w:lang w:val="en-AU"/>
              </w:rPr>
              <w:t xml:space="preserve"> </w:t>
            </w:r>
            <w:r w:rsidR="001F619A" w:rsidRPr="68F1E8C3">
              <w:rPr>
                <w:lang w:val="en-AU"/>
              </w:rPr>
              <w:t xml:space="preserve">the </w:t>
            </w:r>
            <w:r w:rsidR="00AE347B" w:rsidRPr="68F1E8C3">
              <w:rPr>
                <w:lang w:val="en-AU"/>
              </w:rPr>
              <w:t xml:space="preserve">consultation paper </w:t>
            </w:r>
            <w:r w:rsidRPr="68F1E8C3">
              <w:rPr>
                <w:lang w:val="en-AU"/>
              </w:rPr>
              <w:t>clause 25.3.4(</w:t>
            </w:r>
            <w:r w:rsidR="00C05B82" w:rsidRPr="68F1E8C3">
              <w:rPr>
                <w:lang w:val="en-AU"/>
              </w:rPr>
              <w:t>j</w:t>
            </w:r>
            <w:r w:rsidRPr="68F1E8C3">
              <w:rPr>
                <w:lang w:val="en-AU"/>
              </w:rPr>
              <w:t xml:space="preserve">) and inserted </w:t>
            </w:r>
            <w:r w:rsidR="00D40355" w:rsidRPr="68F1E8C3">
              <w:rPr>
                <w:lang w:val="en-AU"/>
              </w:rPr>
              <w:t xml:space="preserve">it </w:t>
            </w:r>
            <w:r w:rsidRPr="68F1E8C3">
              <w:rPr>
                <w:lang w:val="en-AU"/>
              </w:rPr>
              <w:t>a</w:t>
            </w:r>
            <w:r w:rsidR="00AE347B" w:rsidRPr="68F1E8C3">
              <w:rPr>
                <w:lang w:val="en-AU"/>
              </w:rPr>
              <w:t>s a</w:t>
            </w:r>
            <w:r w:rsidRPr="68F1E8C3">
              <w:rPr>
                <w:lang w:val="en-AU"/>
              </w:rPr>
              <w:t xml:space="preserve"> new sub clause 25.3.</w:t>
            </w:r>
            <w:r w:rsidR="00811420" w:rsidRPr="68F1E8C3">
              <w:rPr>
                <w:lang w:val="en-AU"/>
              </w:rPr>
              <w:t>6</w:t>
            </w:r>
            <w:r w:rsidRPr="68F1E8C3">
              <w:rPr>
                <w:lang w:val="en-AU"/>
              </w:rPr>
              <w:t xml:space="preserve">.  </w:t>
            </w:r>
          </w:p>
        </w:tc>
        <w:tc>
          <w:tcPr>
            <w:tcW w:w="2354" w:type="dxa"/>
          </w:tcPr>
          <w:p w14:paraId="6B7BC2E7" w14:textId="77777777" w:rsidR="00865B44" w:rsidRDefault="00865B44">
            <w:pPr>
              <w:pStyle w:val="TableBody"/>
              <w:rPr>
                <w:rFonts w:ascii="Arial" w:eastAsia="Arial" w:hAnsi="Arial" w:cs="Arial"/>
              </w:rPr>
            </w:pPr>
            <w:r>
              <w:lastRenderedPageBreak/>
              <w:t>Clause 5.1.1</w:t>
            </w:r>
          </w:p>
          <w:p w14:paraId="05F0FB94" w14:textId="77777777" w:rsidR="00865B44" w:rsidRDefault="00865B44">
            <w:pPr>
              <w:pStyle w:val="TableBody"/>
              <w:rPr>
                <w:rFonts w:ascii="Arial" w:eastAsia="Arial" w:hAnsi="Arial" w:cs="Arial"/>
              </w:rPr>
            </w:pPr>
            <w:r>
              <w:t xml:space="preserve">Clause 5.2.1, (a) – (g) </w:t>
            </w:r>
          </w:p>
          <w:p w14:paraId="08F0005C" w14:textId="77777777" w:rsidR="00865B44" w:rsidRDefault="00865B44">
            <w:pPr>
              <w:pStyle w:val="TableBody"/>
            </w:pPr>
            <w:r>
              <w:lastRenderedPageBreak/>
              <w:t>Clauses 5.2.2, 5.3 and 5.4</w:t>
            </w:r>
          </w:p>
        </w:tc>
        <w:tc>
          <w:tcPr>
            <w:tcW w:w="2505" w:type="dxa"/>
          </w:tcPr>
          <w:p w14:paraId="7A4A879C" w14:textId="2FEB1E8C" w:rsidR="00865B44" w:rsidRDefault="00865B44">
            <w:pPr>
              <w:pStyle w:val="TableBody"/>
              <w:rPr>
                <w:rFonts w:ascii="Arial" w:eastAsia="Arial" w:hAnsi="Arial" w:cs="Arial"/>
              </w:rPr>
            </w:pPr>
            <w:r>
              <w:lastRenderedPageBreak/>
              <w:t xml:space="preserve">Clause </w:t>
            </w:r>
            <w:r>
              <w:rPr>
                <w:rFonts w:ascii="Arial" w:eastAsia="Arial" w:hAnsi="Arial" w:cs="Arial"/>
              </w:rPr>
              <w:t>25.3.4, (a) – (</w:t>
            </w:r>
            <w:r w:rsidR="00D711B4">
              <w:rPr>
                <w:rFonts w:ascii="Arial" w:eastAsia="Arial" w:hAnsi="Arial" w:cs="Arial"/>
              </w:rPr>
              <w:t>j</w:t>
            </w:r>
            <w:r>
              <w:rPr>
                <w:rFonts w:ascii="Arial" w:eastAsia="Arial" w:hAnsi="Arial" w:cs="Arial"/>
              </w:rPr>
              <w:t>)</w:t>
            </w:r>
          </w:p>
          <w:p w14:paraId="184162BC" w14:textId="77777777" w:rsidR="00865B44" w:rsidRDefault="00865B44">
            <w:pPr>
              <w:pStyle w:val="TableBody"/>
              <w:rPr>
                <w:rFonts w:ascii="Arial" w:eastAsia="Arial" w:hAnsi="Arial" w:cs="Arial"/>
              </w:rPr>
            </w:pPr>
            <w:r>
              <w:rPr>
                <w:rFonts w:ascii="Arial" w:eastAsia="Arial" w:hAnsi="Arial" w:cs="Arial"/>
              </w:rPr>
              <w:t xml:space="preserve">Clause 25.3.5 </w:t>
            </w:r>
          </w:p>
          <w:p w14:paraId="6CD24714" w14:textId="4F93F5D5" w:rsidR="0043106A" w:rsidRDefault="0043106A">
            <w:pPr>
              <w:pStyle w:val="TableBody"/>
              <w:rPr>
                <w:rFonts w:ascii="Arial" w:eastAsia="Arial" w:hAnsi="Arial" w:cs="Arial"/>
              </w:rPr>
            </w:pPr>
            <w:r>
              <w:rPr>
                <w:rFonts w:ascii="Arial" w:eastAsia="Arial" w:hAnsi="Arial" w:cs="Arial"/>
              </w:rPr>
              <w:t>Clause 25.3.6</w:t>
            </w:r>
          </w:p>
          <w:p w14:paraId="1F7591E7" w14:textId="77777777" w:rsidR="00865B44" w:rsidRDefault="00865B44">
            <w:pPr>
              <w:pStyle w:val="TableBody"/>
            </w:pPr>
          </w:p>
        </w:tc>
      </w:tr>
      <w:tr w:rsidR="00865B44" w14:paraId="557A639C" w14:textId="77777777" w:rsidTr="68F1E8C3">
        <w:trPr>
          <w:cnfStyle w:val="000000010000" w:firstRow="0" w:lastRow="0" w:firstColumn="0" w:lastColumn="0" w:oddVBand="0" w:evenVBand="0" w:oddHBand="0" w:evenHBand="1" w:firstRowFirstColumn="0" w:firstRowLastColumn="0" w:lastRowFirstColumn="0" w:lastRowLastColumn="0"/>
        </w:trPr>
        <w:tc>
          <w:tcPr>
            <w:tcW w:w="3402" w:type="dxa"/>
          </w:tcPr>
          <w:p w14:paraId="379ECFF3" w14:textId="77777777" w:rsidR="00865B44" w:rsidRDefault="00865B44">
            <w:pPr>
              <w:pStyle w:val="TableBody"/>
            </w:pPr>
            <w:r>
              <w:lastRenderedPageBreak/>
              <w:t xml:space="preserve">Definitions </w:t>
            </w:r>
          </w:p>
        </w:tc>
        <w:tc>
          <w:tcPr>
            <w:tcW w:w="6379" w:type="dxa"/>
          </w:tcPr>
          <w:p w14:paraId="629C6CED" w14:textId="5D80F8A8" w:rsidR="00865B44" w:rsidRDefault="00865B44">
            <w:pPr>
              <w:pStyle w:val="TableBody"/>
            </w:pPr>
            <w:r>
              <w:t xml:space="preserve">Key definitions that support the </w:t>
            </w:r>
            <w:r w:rsidR="00891C99">
              <w:t xml:space="preserve">public lighting </w:t>
            </w:r>
            <w:r>
              <w:t xml:space="preserve">obligations </w:t>
            </w:r>
            <w:proofErr w:type="gramStart"/>
            <w:r>
              <w:t>to</w:t>
            </w:r>
            <w:proofErr w:type="gramEnd"/>
            <w:r>
              <w:t xml:space="preserve"> be transferred into the Electricity Distribution Code of Practice.</w:t>
            </w:r>
          </w:p>
        </w:tc>
        <w:tc>
          <w:tcPr>
            <w:tcW w:w="2354" w:type="dxa"/>
          </w:tcPr>
          <w:p w14:paraId="260B9D29" w14:textId="77777777" w:rsidR="00865B44" w:rsidRDefault="00865B44">
            <w:pPr>
              <w:pStyle w:val="TableBody"/>
            </w:pPr>
            <w:r>
              <w:t>Definition section</w:t>
            </w:r>
          </w:p>
        </w:tc>
        <w:tc>
          <w:tcPr>
            <w:tcW w:w="2505" w:type="dxa"/>
          </w:tcPr>
          <w:p w14:paraId="2698F84D" w14:textId="77777777" w:rsidR="00865B44" w:rsidRDefault="00865B44">
            <w:pPr>
              <w:pStyle w:val="TableBody"/>
            </w:pPr>
            <w:r>
              <w:t>Definition section</w:t>
            </w:r>
          </w:p>
        </w:tc>
      </w:tr>
      <w:tr w:rsidR="00891C99" w14:paraId="4F191EAF" w14:textId="77777777" w:rsidTr="68F1E8C3">
        <w:tc>
          <w:tcPr>
            <w:tcW w:w="3402" w:type="dxa"/>
          </w:tcPr>
          <w:p w14:paraId="007B2BFC" w14:textId="77777777" w:rsidR="00B8338D" w:rsidRDefault="00B8338D" w:rsidP="00891C99">
            <w:pPr>
              <w:pStyle w:val="TableBody"/>
            </w:pPr>
            <w:r>
              <w:t>Administrative updates</w:t>
            </w:r>
          </w:p>
          <w:p w14:paraId="5C7B4D21" w14:textId="77777777" w:rsidR="00B8338D" w:rsidRDefault="00B8338D" w:rsidP="00891C99">
            <w:pPr>
              <w:pStyle w:val="TableBody"/>
            </w:pPr>
          </w:p>
          <w:p w14:paraId="4B929466" w14:textId="1053088A" w:rsidR="00891C99" w:rsidRDefault="00891C99" w:rsidP="00891C99">
            <w:pPr>
              <w:pStyle w:val="TableBody"/>
            </w:pPr>
            <w:r>
              <w:t>Electricity Customer Metering Code of Practice and</w:t>
            </w:r>
          </w:p>
          <w:p w14:paraId="3CDEFB70" w14:textId="3FD6F430" w:rsidR="00891C99" w:rsidRDefault="00891C99" w:rsidP="00891C99">
            <w:pPr>
              <w:pStyle w:val="TableBody"/>
            </w:pPr>
            <w:r>
              <w:t>Electricity Customer Transfer Code of Practice</w:t>
            </w:r>
            <w:r w:rsidR="006A4AEF">
              <w:t xml:space="preserve"> revocations</w:t>
            </w:r>
          </w:p>
        </w:tc>
        <w:tc>
          <w:tcPr>
            <w:tcW w:w="6379" w:type="dxa"/>
          </w:tcPr>
          <w:p w14:paraId="57705D5E" w14:textId="77777777" w:rsidR="00896A07" w:rsidRDefault="00891C99" w:rsidP="00411A1B">
            <w:pPr>
              <w:pStyle w:val="TableBody"/>
            </w:pPr>
            <w:r w:rsidRPr="68F1E8C3">
              <w:rPr>
                <w:lang w:val="en-AU"/>
              </w:rPr>
              <w:t>We have made some administrative updates to reflect the revocation of the</w:t>
            </w:r>
            <w:r w:rsidR="0036597E" w:rsidRPr="68F1E8C3">
              <w:rPr>
                <w:lang w:val="en-AU"/>
              </w:rPr>
              <w:t>se</w:t>
            </w:r>
            <w:r w:rsidR="00983FCE" w:rsidRPr="68F1E8C3">
              <w:rPr>
                <w:lang w:val="en-AU"/>
              </w:rPr>
              <w:t xml:space="preserve"> metering</w:t>
            </w:r>
            <w:r w:rsidRPr="68F1E8C3">
              <w:rPr>
                <w:lang w:val="en-AU"/>
              </w:rPr>
              <w:t xml:space="preserve"> instruments </w:t>
            </w:r>
            <w:r w:rsidR="00411A1B" w:rsidRPr="68F1E8C3">
              <w:rPr>
                <w:lang w:val="en-AU"/>
              </w:rPr>
              <w:t xml:space="preserve">by deleting section 6 from the </w:t>
            </w:r>
            <w:r w:rsidRPr="68F1E8C3">
              <w:rPr>
                <w:lang w:val="en-AU"/>
              </w:rPr>
              <w:t xml:space="preserve">Electricity Distribution Code of Practice. </w:t>
            </w:r>
          </w:p>
          <w:p w14:paraId="74A7B8F0" w14:textId="77777777" w:rsidR="00896A07" w:rsidRDefault="00896A07" w:rsidP="00411A1B">
            <w:pPr>
              <w:pStyle w:val="TableBody"/>
            </w:pPr>
          </w:p>
          <w:p w14:paraId="5160D2CD" w14:textId="0CBAC86D" w:rsidR="00891C99" w:rsidRDefault="00006BA1" w:rsidP="00411A1B">
            <w:pPr>
              <w:pStyle w:val="TableBody"/>
            </w:pPr>
            <w:r>
              <w:t>Section 6 related to metering matters which are regulated under the National Electricity Rules.</w:t>
            </w:r>
          </w:p>
        </w:tc>
        <w:tc>
          <w:tcPr>
            <w:tcW w:w="2354" w:type="dxa"/>
          </w:tcPr>
          <w:p w14:paraId="0A83D785" w14:textId="782F8A6B" w:rsidR="00891C99" w:rsidRDefault="00891C99" w:rsidP="00891C99">
            <w:pPr>
              <w:pStyle w:val="TableBody"/>
            </w:pPr>
            <w:r>
              <w:t>N/A</w:t>
            </w:r>
          </w:p>
        </w:tc>
        <w:tc>
          <w:tcPr>
            <w:tcW w:w="2505" w:type="dxa"/>
          </w:tcPr>
          <w:p w14:paraId="7EEFC302" w14:textId="52DE2C6C" w:rsidR="00891C99" w:rsidRDefault="00891C99" w:rsidP="00891C99">
            <w:pPr>
              <w:pStyle w:val="TableBody"/>
            </w:pPr>
            <w:r>
              <w:t>N/A</w:t>
            </w:r>
          </w:p>
        </w:tc>
      </w:tr>
    </w:tbl>
    <w:p w14:paraId="534C3601" w14:textId="77777777" w:rsidR="00865B44" w:rsidRDefault="00865B44" w:rsidP="00865B44">
      <w:r>
        <w:t xml:space="preserve"> </w:t>
      </w:r>
    </w:p>
    <w:p w14:paraId="3FB0F2D5" w14:textId="77777777" w:rsidR="00A7594F" w:rsidRDefault="00A7594F" w:rsidP="00A7594F">
      <w:pPr>
        <w:spacing w:after="120"/>
        <w:rPr>
          <w:rFonts w:ascii="Arial" w:eastAsia="Arial" w:hAnsi="Arial" w:cs="Arial"/>
          <w:lang w:val="en-US"/>
        </w:rPr>
      </w:pPr>
    </w:p>
    <w:p w14:paraId="4682F85F" w14:textId="77777777" w:rsidR="00396744" w:rsidRDefault="00396744" w:rsidP="000A539F">
      <w:pPr>
        <w:pStyle w:val="Heading1"/>
        <w:rPr>
          <w:color w:val="D50032" w:themeColor="accent6"/>
        </w:rPr>
        <w:sectPr w:rsidR="00396744" w:rsidSect="0096159F">
          <w:headerReference w:type="even" r:id="rId34"/>
          <w:headerReference w:type="default" r:id="rId35"/>
          <w:footerReference w:type="default" r:id="rId36"/>
          <w:headerReference w:type="first" r:id="rId37"/>
          <w:pgSz w:w="16838" w:h="11906" w:orient="landscape" w:code="9"/>
          <w:pgMar w:top="1134" w:right="1134" w:bottom="1134" w:left="1134" w:header="709" w:footer="692" w:gutter="0"/>
          <w:cols w:space="708"/>
          <w:docGrid w:linePitch="360"/>
        </w:sectPr>
      </w:pPr>
    </w:p>
    <w:p w14:paraId="0809F709" w14:textId="65B5961D" w:rsidR="000A539F" w:rsidRDefault="00A86A7B" w:rsidP="000A539F">
      <w:pPr>
        <w:pStyle w:val="Heading1"/>
        <w:rPr>
          <w:color w:val="D50032" w:themeColor="accent6"/>
        </w:rPr>
      </w:pPr>
      <w:bookmarkStart w:id="110" w:name="_Toc213416990"/>
      <w:r>
        <w:rPr>
          <w:color w:val="D50032" w:themeColor="accent6"/>
        </w:rPr>
        <w:lastRenderedPageBreak/>
        <w:t>Timing and next steps</w:t>
      </w:r>
      <w:bookmarkEnd w:id="110"/>
    </w:p>
    <w:p w14:paraId="0F7C12BC" w14:textId="3E36606B" w:rsidR="002E276C" w:rsidRDefault="002E276C" w:rsidP="002E276C">
      <w:pPr>
        <w:spacing w:after="120"/>
        <w:rPr>
          <w:rFonts w:ascii="Arial" w:eastAsia="Arial" w:hAnsi="Arial" w:cs="Arial"/>
          <w:lang w:val="en-US"/>
        </w:rPr>
      </w:pPr>
      <w:bookmarkStart w:id="111" w:name="_Toc187156939"/>
      <w:r>
        <w:rPr>
          <w:rFonts w:ascii="Arial" w:eastAsia="Arial" w:hAnsi="Arial" w:cs="Arial"/>
          <w:lang w:val="en-US"/>
        </w:rPr>
        <w:t xml:space="preserve">The following outlines the schedule for the revocation and transfer of obligations for the respective instruments. </w:t>
      </w:r>
    </w:p>
    <w:p w14:paraId="25E77DC8" w14:textId="7B9A2B37" w:rsidR="002E276C" w:rsidRPr="00D26D7E" w:rsidRDefault="002E276C" w:rsidP="002E276C">
      <w:pPr>
        <w:pStyle w:val="ListParagraph"/>
        <w:numPr>
          <w:ilvl w:val="0"/>
          <w:numId w:val="23"/>
        </w:numPr>
        <w:spacing w:after="120"/>
        <w:rPr>
          <w:rFonts w:ascii="Arial" w:eastAsia="Arial" w:hAnsi="Arial" w:cs="Arial"/>
          <w:lang w:val="en-US"/>
        </w:rPr>
      </w:pPr>
      <w:r w:rsidRPr="00D26D7E">
        <w:rPr>
          <w:rFonts w:ascii="Arial" w:eastAsia="Arial" w:hAnsi="Arial" w:cs="Arial"/>
          <w:lang w:val="en-US"/>
        </w:rPr>
        <w:t xml:space="preserve">The Public Lighting Code </w:t>
      </w:r>
      <w:r w:rsidR="00E63611">
        <w:rPr>
          <w:rFonts w:ascii="Arial" w:eastAsia="Arial" w:hAnsi="Arial" w:cs="Arial"/>
          <w:lang w:val="en-US"/>
        </w:rPr>
        <w:t xml:space="preserve">- </w:t>
      </w:r>
      <w:r w:rsidR="00796763">
        <w:rPr>
          <w:rFonts w:ascii="Arial" w:eastAsia="Arial" w:hAnsi="Arial" w:cs="Arial"/>
          <w:lang w:val="en-US"/>
        </w:rPr>
        <w:t xml:space="preserve">revoked </w:t>
      </w:r>
      <w:r w:rsidRPr="00D26D7E">
        <w:rPr>
          <w:rFonts w:ascii="Arial" w:eastAsia="Arial" w:hAnsi="Arial" w:cs="Arial"/>
          <w:lang w:val="en-US"/>
        </w:rPr>
        <w:t xml:space="preserve">on 31 December 2025. </w:t>
      </w:r>
    </w:p>
    <w:p w14:paraId="3CD12012" w14:textId="75158ECD" w:rsidR="002E276C" w:rsidRPr="00D26D7E" w:rsidRDefault="002E276C" w:rsidP="002E276C">
      <w:pPr>
        <w:pStyle w:val="ListParagraph"/>
        <w:numPr>
          <w:ilvl w:val="0"/>
          <w:numId w:val="23"/>
        </w:numPr>
        <w:spacing w:after="120"/>
        <w:rPr>
          <w:rFonts w:ascii="Arial" w:eastAsia="Arial" w:hAnsi="Arial" w:cs="Arial"/>
          <w:lang w:val="en-US"/>
        </w:rPr>
      </w:pPr>
      <w:r w:rsidRPr="00D26D7E">
        <w:rPr>
          <w:rFonts w:ascii="Arial" w:eastAsia="Arial" w:hAnsi="Arial" w:cs="Arial"/>
          <w:lang w:val="en-US"/>
        </w:rPr>
        <w:t xml:space="preserve">The Electricity Distribution Code of Practice </w:t>
      </w:r>
      <w:r w:rsidR="0025790D">
        <w:rPr>
          <w:rFonts w:ascii="Arial" w:eastAsia="Arial" w:hAnsi="Arial" w:cs="Arial"/>
          <w:lang w:val="en-US"/>
        </w:rPr>
        <w:t>-</w:t>
      </w:r>
      <w:r w:rsidR="00E63611">
        <w:rPr>
          <w:rFonts w:ascii="Arial" w:eastAsia="Arial" w:hAnsi="Arial" w:cs="Arial"/>
          <w:lang w:val="en-US"/>
        </w:rPr>
        <w:t xml:space="preserve"> retained </w:t>
      </w:r>
      <w:r w:rsidR="0025790D">
        <w:rPr>
          <w:rFonts w:ascii="Arial" w:eastAsia="Arial" w:hAnsi="Arial" w:cs="Arial"/>
          <w:lang w:val="en-US"/>
        </w:rPr>
        <w:t xml:space="preserve">obligations </w:t>
      </w:r>
      <w:r w:rsidRPr="00D26D7E">
        <w:rPr>
          <w:rFonts w:ascii="Arial" w:eastAsia="Arial" w:hAnsi="Arial" w:cs="Arial"/>
          <w:lang w:val="en-US"/>
        </w:rPr>
        <w:t>will take effect from 1 January 2026.</w:t>
      </w:r>
    </w:p>
    <w:p w14:paraId="57FE037A" w14:textId="6839B137" w:rsidR="006244CB" w:rsidDel="00CC2F8A" w:rsidRDefault="006244CB" w:rsidP="006244CB">
      <w:pPr>
        <w:rPr>
          <w:lang w:val="en-US"/>
        </w:rPr>
      </w:pPr>
      <w:bookmarkStart w:id="112" w:name="_Toc212113756"/>
      <w:r w:rsidRPr="00C80B18" w:rsidDel="00CC2F8A">
        <w:rPr>
          <w:lang w:val="en-US"/>
        </w:rPr>
        <w:t>A</w:t>
      </w:r>
      <w:r w:rsidR="00FF2C82">
        <w:rPr>
          <w:lang w:val="en-US"/>
        </w:rPr>
        <w:t>ttachment</w:t>
      </w:r>
      <w:r w:rsidRPr="00C80B18" w:rsidDel="00CC2F8A">
        <w:rPr>
          <w:lang w:val="en-US"/>
        </w:rPr>
        <w:t xml:space="preserve"> </w:t>
      </w:r>
      <w:r w:rsidR="00FF2C82">
        <w:rPr>
          <w:lang w:val="en-US"/>
        </w:rPr>
        <w:t>A</w:t>
      </w:r>
      <w:r w:rsidRPr="00C80B18" w:rsidDel="00CC2F8A">
        <w:rPr>
          <w:lang w:val="en-US"/>
        </w:rPr>
        <w:t xml:space="preserve"> sets out the final </w:t>
      </w:r>
      <w:r w:rsidDel="00CC2F8A">
        <w:rPr>
          <w:lang w:val="en-US"/>
        </w:rPr>
        <w:t xml:space="preserve">drafting </w:t>
      </w:r>
      <w:r w:rsidRPr="00C80B18" w:rsidDel="00CC2F8A">
        <w:rPr>
          <w:lang w:val="en-US"/>
        </w:rPr>
        <w:t xml:space="preserve">amendments to the Electricity Distribution Code of Practice regarding the transferring obligations. </w:t>
      </w:r>
    </w:p>
    <w:p w14:paraId="3DC83824" w14:textId="6AB38205" w:rsidR="002E276C" w:rsidRDefault="002E276C" w:rsidP="002E276C">
      <w:pPr>
        <w:pStyle w:val="Heading3"/>
        <w:rPr>
          <w:lang w:val="en-US"/>
        </w:rPr>
      </w:pPr>
      <w:bookmarkStart w:id="113" w:name="_Toc213416991"/>
      <w:r>
        <w:rPr>
          <w:lang w:val="en-US"/>
        </w:rPr>
        <w:t>Further information regarding this review</w:t>
      </w:r>
      <w:bookmarkEnd w:id="112"/>
      <w:bookmarkEnd w:id="113"/>
    </w:p>
    <w:p w14:paraId="451EA29B" w14:textId="11F3A34A" w:rsidR="002E276C" w:rsidRDefault="002E276C" w:rsidP="002E276C">
      <w:pPr>
        <w:spacing w:after="120"/>
        <w:rPr>
          <w:rFonts w:ascii="Arial" w:eastAsia="Arial" w:hAnsi="Arial" w:cs="Arial"/>
          <w:lang w:val="en-US"/>
        </w:rPr>
      </w:pPr>
      <w:r>
        <w:rPr>
          <w:rFonts w:ascii="Arial" w:eastAsia="Arial" w:hAnsi="Arial" w:cs="Arial"/>
          <w:lang w:val="en-US"/>
        </w:rPr>
        <w:t xml:space="preserve">Further information regarding this review is available on our </w:t>
      </w:r>
      <w:hyperlink r:id="rId38" w:history="1">
        <w:r w:rsidRPr="00BD283D">
          <w:rPr>
            <w:rStyle w:val="Hyperlink"/>
            <w:rFonts w:ascii="Arial" w:eastAsia="Arial" w:hAnsi="Arial" w:cs="Arial"/>
            <w:lang w:val="en-US"/>
          </w:rPr>
          <w:t>webpage</w:t>
        </w:r>
      </w:hyperlink>
      <w:r>
        <w:rPr>
          <w:rFonts w:ascii="Arial" w:eastAsia="Arial" w:hAnsi="Arial" w:cs="Arial"/>
          <w:lang w:val="en-US"/>
        </w:rPr>
        <w:t xml:space="preserve">. </w:t>
      </w:r>
    </w:p>
    <w:p w14:paraId="4350F2DE" w14:textId="037FC9E5" w:rsidR="002E276C" w:rsidRDefault="002E276C" w:rsidP="002E276C">
      <w:pPr>
        <w:spacing w:after="120"/>
        <w:rPr>
          <w:rFonts w:ascii="Arial" w:eastAsia="Arial" w:hAnsi="Arial" w:cs="Arial"/>
          <w:lang w:val="en-US"/>
        </w:rPr>
      </w:pPr>
      <w:r w:rsidRPr="00F0589E">
        <w:rPr>
          <w:rFonts w:ascii="Arial" w:eastAsia="Arial" w:hAnsi="Arial" w:cs="Arial"/>
          <w:lang w:val="en-US"/>
        </w:rPr>
        <w:t>If you have any questions, please contact us at</w:t>
      </w:r>
      <w:r>
        <w:rPr>
          <w:rFonts w:ascii="Arial" w:eastAsia="Arial" w:hAnsi="Arial" w:cs="Arial"/>
          <w:lang w:val="en-US"/>
        </w:rPr>
        <w:t xml:space="preserve">: </w:t>
      </w:r>
      <w:hyperlink r:id="rId39" w:history="1">
        <w:r w:rsidRPr="004151B1">
          <w:rPr>
            <w:rStyle w:val="Hyperlink"/>
            <w:rFonts w:ascii="Arial" w:eastAsia="Arial" w:hAnsi="Arial" w:cs="Arial"/>
            <w:lang w:val="en-US"/>
          </w:rPr>
          <w:t>energyreform@esc.vic.gov.au</w:t>
        </w:r>
      </w:hyperlink>
      <w:r>
        <w:rPr>
          <w:rFonts w:ascii="Arial" w:eastAsia="Arial" w:hAnsi="Arial" w:cs="Arial"/>
          <w:lang w:val="en-US"/>
        </w:rPr>
        <w:t xml:space="preserve"> </w:t>
      </w:r>
    </w:p>
    <w:p w14:paraId="0603D939" w14:textId="04B72452" w:rsidR="00643034" w:rsidRPr="0059538D" w:rsidRDefault="00643034" w:rsidP="00E7111A">
      <w:pPr>
        <w:spacing w:after="120"/>
        <w:rPr>
          <w:rFonts w:ascii="Tahoma" w:eastAsia="Tahoma" w:hAnsi="Tahoma" w:cs="Tahoma"/>
          <w:sz w:val="26"/>
          <w:szCs w:val="26"/>
          <w:lang w:val="en-US"/>
        </w:rPr>
        <w:sectPr w:rsidR="00643034" w:rsidRPr="0059538D" w:rsidSect="005E1120">
          <w:headerReference w:type="even" r:id="rId40"/>
          <w:headerReference w:type="default" r:id="rId41"/>
          <w:footerReference w:type="default" r:id="rId42"/>
          <w:headerReference w:type="first" r:id="rId43"/>
          <w:pgSz w:w="11906" w:h="16838" w:code="9"/>
          <w:pgMar w:top="1134" w:right="1134" w:bottom="1134" w:left="1134" w:header="709" w:footer="692" w:gutter="0"/>
          <w:cols w:space="708"/>
          <w:docGrid w:linePitch="360"/>
        </w:sectPr>
      </w:pPr>
    </w:p>
    <w:p w14:paraId="0A91DF73" w14:textId="4451F70F" w:rsidR="00865ECE" w:rsidRDefault="00542859" w:rsidP="005E2A78">
      <w:pPr>
        <w:pStyle w:val="Heading1"/>
      </w:pPr>
      <w:bookmarkStart w:id="114" w:name="_Toc213416992"/>
      <w:bookmarkEnd w:id="26"/>
      <w:bookmarkEnd w:id="27"/>
      <w:bookmarkEnd w:id="28"/>
      <w:bookmarkEnd w:id="111"/>
      <w:r>
        <w:lastRenderedPageBreak/>
        <w:t>Glossary</w:t>
      </w:r>
      <w:bookmarkEnd w:id="114"/>
    </w:p>
    <w:tbl>
      <w:tblPr>
        <w:tblStyle w:val="TableGrid"/>
        <w:tblW w:w="0" w:type="auto"/>
        <w:tblLook w:val="04A0" w:firstRow="1" w:lastRow="0" w:firstColumn="1" w:lastColumn="0" w:noHBand="0" w:noVBand="1"/>
      </w:tblPr>
      <w:tblGrid>
        <w:gridCol w:w="4819"/>
        <w:gridCol w:w="4819"/>
      </w:tblGrid>
      <w:tr w:rsidR="00BD24AA" w:rsidRPr="00BD24AA" w14:paraId="1CA6A5BF" w14:textId="77777777" w:rsidTr="008D2C44">
        <w:trPr>
          <w:cnfStyle w:val="100000000000" w:firstRow="1" w:lastRow="0" w:firstColumn="0" w:lastColumn="0" w:oddVBand="0" w:evenVBand="0" w:oddHBand="0" w:evenHBand="0" w:firstRowFirstColumn="0" w:firstRowLastColumn="0" w:lastRowFirstColumn="0" w:lastRowLastColumn="0"/>
        </w:trPr>
        <w:tc>
          <w:tcPr>
            <w:tcW w:w="4819" w:type="dxa"/>
          </w:tcPr>
          <w:p w14:paraId="451A1F1B" w14:textId="2CF6C372" w:rsidR="00BD24AA" w:rsidRPr="00BD24AA" w:rsidRDefault="004B46DA" w:rsidP="008D2C44">
            <w:pPr>
              <w:pStyle w:val="TableBody"/>
            </w:pPr>
            <w:r>
              <w:t>Acronym</w:t>
            </w:r>
          </w:p>
        </w:tc>
        <w:tc>
          <w:tcPr>
            <w:tcW w:w="4819" w:type="dxa"/>
          </w:tcPr>
          <w:p w14:paraId="162821D5" w14:textId="2970A17C" w:rsidR="00BD24AA" w:rsidRPr="00BD24AA" w:rsidRDefault="00F33BFB" w:rsidP="008D2C44">
            <w:pPr>
              <w:pStyle w:val="TableBody"/>
            </w:pPr>
            <w:r>
              <w:t>Meaning</w:t>
            </w:r>
          </w:p>
        </w:tc>
      </w:tr>
      <w:tr w:rsidR="00BD24AA" w:rsidRPr="00BD24AA" w14:paraId="7C0BB9A4" w14:textId="77777777" w:rsidTr="008D2C44">
        <w:tc>
          <w:tcPr>
            <w:tcW w:w="4819" w:type="dxa"/>
          </w:tcPr>
          <w:p w14:paraId="40316129" w14:textId="597D1896" w:rsidR="00BD24AA" w:rsidRPr="00BD24AA" w:rsidRDefault="00E66359" w:rsidP="008D2C44">
            <w:pPr>
              <w:pStyle w:val="TableBody"/>
            </w:pPr>
            <w:r>
              <w:t>AER</w:t>
            </w:r>
          </w:p>
        </w:tc>
        <w:tc>
          <w:tcPr>
            <w:tcW w:w="4819" w:type="dxa"/>
          </w:tcPr>
          <w:p w14:paraId="41693464" w14:textId="51A7972E" w:rsidR="00BD24AA" w:rsidRPr="00BD24AA" w:rsidRDefault="00E66359" w:rsidP="008D2C44">
            <w:pPr>
              <w:pStyle w:val="TableBody"/>
            </w:pPr>
            <w:r>
              <w:t>Australian Energy Regulator</w:t>
            </w:r>
          </w:p>
        </w:tc>
      </w:tr>
      <w:tr w:rsidR="00BD24AA" w:rsidRPr="00BD24AA" w14:paraId="4A3724E4" w14:textId="77777777" w:rsidTr="008D2C44">
        <w:trPr>
          <w:cnfStyle w:val="000000010000" w:firstRow="0" w:lastRow="0" w:firstColumn="0" w:lastColumn="0" w:oddVBand="0" w:evenVBand="0" w:oddHBand="0" w:evenHBand="1" w:firstRowFirstColumn="0" w:firstRowLastColumn="0" w:lastRowFirstColumn="0" w:lastRowLastColumn="0"/>
        </w:trPr>
        <w:tc>
          <w:tcPr>
            <w:tcW w:w="4819" w:type="dxa"/>
          </w:tcPr>
          <w:p w14:paraId="68DDB632" w14:textId="45434D83" w:rsidR="00BD24AA" w:rsidRPr="00BD24AA" w:rsidRDefault="00E66359" w:rsidP="008D2C44">
            <w:pPr>
              <w:pStyle w:val="TableBody"/>
            </w:pPr>
            <w:r>
              <w:t>EDCOP</w:t>
            </w:r>
          </w:p>
        </w:tc>
        <w:tc>
          <w:tcPr>
            <w:tcW w:w="4819" w:type="dxa"/>
          </w:tcPr>
          <w:p w14:paraId="1CA3927A" w14:textId="4688C5D1" w:rsidR="00BD24AA" w:rsidRPr="00BD24AA" w:rsidRDefault="00E66359" w:rsidP="008D2C44">
            <w:pPr>
              <w:pStyle w:val="TableBody"/>
            </w:pPr>
            <w:r>
              <w:t>Electricity Distribution Code of Practice</w:t>
            </w:r>
          </w:p>
        </w:tc>
      </w:tr>
      <w:tr w:rsidR="00BD24AA" w:rsidRPr="00BD24AA" w14:paraId="75A1BCBB" w14:textId="77777777" w:rsidTr="008D2C44">
        <w:tc>
          <w:tcPr>
            <w:tcW w:w="4819" w:type="dxa"/>
          </w:tcPr>
          <w:p w14:paraId="408F1F1C" w14:textId="6037DE85" w:rsidR="00BD24AA" w:rsidRPr="00BD24AA" w:rsidRDefault="00E66359" w:rsidP="008D2C44">
            <w:pPr>
              <w:pStyle w:val="TableBody"/>
            </w:pPr>
            <w:r>
              <w:t>GSL</w:t>
            </w:r>
          </w:p>
        </w:tc>
        <w:tc>
          <w:tcPr>
            <w:tcW w:w="4819" w:type="dxa"/>
          </w:tcPr>
          <w:p w14:paraId="4DA95EAC" w14:textId="5B231EF9" w:rsidR="00BD24AA" w:rsidRPr="00BD24AA" w:rsidRDefault="00E66359" w:rsidP="008D2C44">
            <w:pPr>
              <w:pStyle w:val="TableBody"/>
            </w:pPr>
            <w:r>
              <w:t>Guaranteed Service Level</w:t>
            </w:r>
          </w:p>
        </w:tc>
      </w:tr>
      <w:tr w:rsidR="00BD24AA" w:rsidRPr="00BD24AA" w14:paraId="398D9902" w14:textId="77777777" w:rsidTr="008D2C44">
        <w:trPr>
          <w:cnfStyle w:val="000000010000" w:firstRow="0" w:lastRow="0" w:firstColumn="0" w:lastColumn="0" w:oddVBand="0" w:evenVBand="0" w:oddHBand="0" w:evenHBand="1" w:firstRowFirstColumn="0" w:firstRowLastColumn="0" w:lastRowFirstColumn="0" w:lastRowLastColumn="0"/>
        </w:trPr>
        <w:tc>
          <w:tcPr>
            <w:tcW w:w="4819" w:type="dxa"/>
          </w:tcPr>
          <w:p w14:paraId="58D24060" w14:textId="445744DF" w:rsidR="00BD24AA" w:rsidRPr="00BD24AA" w:rsidRDefault="00E66359" w:rsidP="008D2C44">
            <w:pPr>
              <w:pStyle w:val="TableBody"/>
            </w:pPr>
            <w:r>
              <w:t>NER</w:t>
            </w:r>
          </w:p>
        </w:tc>
        <w:tc>
          <w:tcPr>
            <w:tcW w:w="4819" w:type="dxa"/>
          </w:tcPr>
          <w:p w14:paraId="14FC9931" w14:textId="1E43EA74" w:rsidR="00BD24AA" w:rsidRPr="00BD24AA" w:rsidRDefault="00E66359" w:rsidP="008D2C44">
            <w:pPr>
              <w:pStyle w:val="TableBody"/>
            </w:pPr>
            <w:r>
              <w:t>National Electricity Rules</w:t>
            </w:r>
          </w:p>
        </w:tc>
      </w:tr>
      <w:tr w:rsidR="00BD24AA" w:rsidRPr="00BD24AA" w14:paraId="49C37151" w14:textId="77777777" w:rsidTr="008D2C44">
        <w:tc>
          <w:tcPr>
            <w:tcW w:w="4819" w:type="dxa"/>
          </w:tcPr>
          <w:p w14:paraId="0833C203" w14:textId="2CAEAB6E" w:rsidR="00BD24AA" w:rsidRPr="00BD24AA" w:rsidRDefault="00E66359" w:rsidP="008D2C44">
            <w:pPr>
              <w:pStyle w:val="TableBody"/>
            </w:pPr>
            <w:r>
              <w:t>PLCOP</w:t>
            </w:r>
          </w:p>
        </w:tc>
        <w:tc>
          <w:tcPr>
            <w:tcW w:w="4819" w:type="dxa"/>
          </w:tcPr>
          <w:p w14:paraId="44A6B03A" w14:textId="36ABE51A" w:rsidR="00BD24AA" w:rsidRPr="00BD24AA" w:rsidRDefault="00E66359" w:rsidP="008D2C44">
            <w:pPr>
              <w:pStyle w:val="TableBody"/>
            </w:pPr>
            <w:r>
              <w:t>Public Lighting Code of Practice</w:t>
            </w:r>
          </w:p>
        </w:tc>
      </w:tr>
    </w:tbl>
    <w:p w14:paraId="320EC11B" w14:textId="77777777" w:rsidR="009C3565" w:rsidRDefault="009C3565" w:rsidP="00BD24AA"/>
    <w:p w14:paraId="7CD22F84" w14:textId="77777777" w:rsidR="00396744" w:rsidRPr="00396744" w:rsidRDefault="00396744" w:rsidP="00396744"/>
    <w:p w14:paraId="1031F8A1" w14:textId="77777777" w:rsidR="00396744" w:rsidRPr="00396744" w:rsidRDefault="00396744" w:rsidP="00396744"/>
    <w:p w14:paraId="1382C588" w14:textId="77777777" w:rsidR="00396744" w:rsidRPr="00396744" w:rsidRDefault="00396744" w:rsidP="00396744"/>
    <w:p w14:paraId="3AEED6BE" w14:textId="77777777" w:rsidR="00396744" w:rsidRPr="00396744" w:rsidRDefault="00396744" w:rsidP="00396744"/>
    <w:p w14:paraId="5F50DAE9" w14:textId="77777777" w:rsidR="00396744" w:rsidRPr="00396744" w:rsidRDefault="00396744" w:rsidP="00396744"/>
    <w:p w14:paraId="44994FB2" w14:textId="77777777" w:rsidR="00396744" w:rsidRPr="00396744" w:rsidRDefault="00396744" w:rsidP="00396744"/>
    <w:p w14:paraId="52C15F28" w14:textId="77777777" w:rsidR="00396744" w:rsidRPr="00396744" w:rsidRDefault="00396744" w:rsidP="00396744"/>
    <w:p w14:paraId="5AF45D71" w14:textId="77777777" w:rsidR="00396744" w:rsidRPr="00396744" w:rsidRDefault="00396744" w:rsidP="00396744"/>
    <w:p w14:paraId="17619C0E" w14:textId="77777777" w:rsidR="00396744" w:rsidRPr="00396744" w:rsidRDefault="00396744" w:rsidP="00396744"/>
    <w:p w14:paraId="709189E1" w14:textId="77777777" w:rsidR="00396744" w:rsidRPr="00396744" w:rsidRDefault="00396744" w:rsidP="00396744"/>
    <w:p w14:paraId="74FF43D5" w14:textId="77777777" w:rsidR="00396744" w:rsidRPr="00396744" w:rsidRDefault="00396744" w:rsidP="00396744"/>
    <w:p w14:paraId="6EF7B0D0" w14:textId="77777777" w:rsidR="00396744" w:rsidRPr="00396744" w:rsidRDefault="00396744" w:rsidP="00396744"/>
    <w:p w14:paraId="544C139B" w14:textId="0C1B3A2A" w:rsidR="00396744" w:rsidRDefault="00396744" w:rsidP="00C90AFB">
      <w:pPr>
        <w:tabs>
          <w:tab w:val="left" w:pos="1628"/>
          <w:tab w:val="left" w:pos="2049"/>
        </w:tabs>
      </w:pPr>
      <w:r>
        <w:tab/>
      </w:r>
      <w:r w:rsidR="00C90AFB">
        <w:tab/>
      </w:r>
    </w:p>
    <w:p w14:paraId="1C385C90" w14:textId="77777777" w:rsidR="006B238B" w:rsidRDefault="006B238B" w:rsidP="006301E2">
      <w:pPr>
        <w:tabs>
          <w:tab w:val="left" w:pos="1628"/>
        </w:tabs>
      </w:pPr>
    </w:p>
    <w:p w14:paraId="767C2D27" w14:textId="77777777" w:rsidR="006B238B" w:rsidRDefault="006B238B" w:rsidP="006301E2">
      <w:pPr>
        <w:tabs>
          <w:tab w:val="left" w:pos="1628"/>
        </w:tabs>
      </w:pPr>
    </w:p>
    <w:p w14:paraId="56ACC8E4" w14:textId="77777777" w:rsidR="006B238B" w:rsidRDefault="006B238B" w:rsidP="006301E2">
      <w:pPr>
        <w:tabs>
          <w:tab w:val="left" w:pos="1628"/>
        </w:tabs>
      </w:pPr>
    </w:p>
    <w:p w14:paraId="190B286E" w14:textId="77777777" w:rsidR="006B238B" w:rsidRDefault="006B238B" w:rsidP="006301E2">
      <w:pPr>
        <w:tabs>
          <w:tab w:val="left" w:pos="1628"/>
        </w:tabs>
        <w:sectPr w:rsidR="006B238B" w:rsidSect="000D369B">
          <w:headerReference w:type="even" r:id="rId44"/>
          <w:headerReference w:type="default" r:id="rId45"/>
          <w:footerReference w:type="default" r:id="rId46"/>
          <w:headerReference w:type="first" r:id="rId47"/>
          <w:pgSz w:w="11906" w:h="16838" w:code="9"/>
          <w:pgMar w:top="1134" w:right="1134" w:bottom="1134" w:left="1134" w:header="709" w:footer="692" w:gutter="0"/>
          <w:cols w:space="708"/>
          <w:docGrid w:linePitch="360"/>
        </w:sectPr>
      </w:pPr>
    </w:p>
    <w:p w14:paraId="53A68A5A" w14:textId="77777777" w:rsidR="00AB0D80" w:rsidRPr="00AB0D80" w:rsidRDefault="00AB0D80" w:rsidP="004D7B7A">
      <w:pPr>
        <w:pStyle w:val="Heading1"/>
      </w:pPr>
      <w:bookmarkStart w:id="115" w:name="_Toc213416993"/>
      <w:bookmarkStart w:id="116" w:name="_Toc482348009"/>
      <w:r w:rsidRPr="00AB0D80">
        <w:lastRenderedPageBreak/>
        <w:t>Appendix A</w:t>
      </w:r>
      <w:bookmarkEnd w:id="115"/>
      <w:r w:rsidRPr="00AB0D80">
        <w:t xml:space="preserve"> </w:t>
      </w:r>
      <w:bookmarkEnd w:id="116"/>
    </w:p>
    <w:p w14:paraId="37167C6E" w14:textId="6478C966" w:rsidR="00AB0D80" w:rsidRPr="00AB0D80" w:rsidRDefault="00AB0D80" w:rsidP="00AB0D80">
      <w:pPr>
        <w:keepNext/>
        <w:keepLines/>
        <w:spacing w:before="240"/>
        <w:outlineLvl w:val="1"/>
        <w:rPr>
          <w:rFonts w:ascii="Tahoma" w:eastAsia="SimHei" w:hAnsi="Tahoma" w:cs="Arial"/>
          <w:b/>
          <w:sz w:val="26"/>
          <w:szCs w:val="26"/>
        </w:rPr>
      </w:pPr>
      <w:r w:rsidRPr="00AB0D80">
        <w:rPr>
          <w:rFonts w:ascii="Tahoma" w:eastAsia="SimHei" w:hAnsi="Tahoma" w:cs="Arial"/>
          <w:b/>
          <w:sz w:val="26"/>
          <w:szCs w:val="26"/>
        </w:rPr>
        <w:t>Stakeholder feedback considerations – Public Lighting Code Review</w:t>
      </w:r>
    </w:p>
    <w:p w14:paraId="74B06AB7" w14:textId="08D347F7" w:rsidR="00AB0D80" w:rsidRPr="00AB0D80" w:rsidRDefault="00AB0D80" w:rsidP="00AB0D80">
      <w:pPr>
        <w:rPr>
          <w:rFonts w:ascii="Arial" w:eastAsia="Arial" w:hAnsi="Arial" w:cs="Arial"/>
        </w:rPr>
      </w:pPr>
      <w:r w:rsidRPr="00AB0D80">
        <w:rPr>
          <w:rFonts w:ascii="Arial" w:eastAsia="Arial" w:hAnsi="Arial" w:cs="Arial"/>
        </w:rPr>
        <w:t>Below is a summary of the commission’s consideration to stakeholder feedback with the Public Lighting Code Review – Consultation Paper. It has been prepared for the sole purpose of aiding this final decision.</w:t>
      </w:r>
    </w:p>
    <w:p w14:paraId="2EFAD7C2" w14:textId="0ABCE4B4" w:rsidR="00AB0D80" w:rsidRPr="00AB0D80" w:rsidRDefault="00AB0D80" w:rsidP="00AB0D80">
      <w:pPr>
        <w:keepNext/>
        <w:keepLines/>
        <w:spacing w:before="200" w:after="120"/>
        <w:outlineLvl w:val="2"/>
        <w:rPr>
          <w:rFonts w:ascii="Tahoma" w:eastAsia="SimHei" w:hAnsi="Tahoma" w:cs="Arial"/>
          <w:b/>
          <w:color w:val="4986A0"/>
          <w:szCs w:val="24"/>
        </w:rPr>
      </w:pPr>
      <w:r w:rsidRPr="00AB0D80">
        <w:rPr>
          <w:rFonts w:ascii="Tahoma" w:eastAsia="SimHei" w:hAnsi="Tahoma" w:cs="Arial"/>
          <w:b/>
          <w:color w:val="4986A0"/>
          <w:szCs w:val="24"/>
        </w:rPr>
        <w:t>Table 1 – Public Lighting Code Review – Stakeholder Feedback Considerations</w:t>
      </w: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657"/>
        <w:gridCol w:w="6343"/>
      </w:tblGrid>
      <w:tr w:rsidR="00AB0D80" w:rsidRPr="00AB0D80" w14:paraId="1DA475DD" w14:textId="77777777" w:rsidTr="00DA09CE">
        <w:trPr>
          <w:cnfStyle w:val="100000000000" w:firstRow="1" w:lastRow="0" w:firstColumn="0" w:lastColumn="0" w:oddVBand="0" w:evenVBand="0" w:oddHBand="0" w:evenHBand="0" w:firstRowFirstColumn="0" w:firstRowLastColumn="0" w:lastRowFirstColumn="0" w:lastRowLastColumn="0"/>
        </w:trPr>
        <w:tc>
          <w:tcPr>
            <w:tcW w:w="1560" w:type="dxa"/>
          </w:tcPr>
          <w:p w14:paraId="6833E8E4" w14:textId="77777777" w:rsidR="00AB0D80" w:rsidRPr="00AB0D80" w:rsidRDefault="00AB0D80" w:rsidP="00AB0D80">
            <w:pPr>
              <w:rPr>
                <w:rFonts w:ascii="Arial" w:eastAsia="Arial" w:hAnsi="Arial" w:cs="Arial"/>
              </w:rPr>
            </w:pPr>
            <w:r w:rsidRPr="00AB0D80">
              <w:rPr>
                <w:rFonts w:ascii="Arial" w:eastAsia="Arial" w:hAnsi="Arial" w:cs="Arial"/>
              </w:rPr>
              <w:t>Stakeholder</w:t>
            </w:r>
          </w:p>
        </w:tc>
        <w:tc>
          <w:tcPr>
            <w:tcW w:w="6657" w:type="dxa"/>
          </w:tcPr>
          <w:p w14:paraId="2A7A749B" w14:textId="77777777" w:rsidR="00AB0D80" w:rsidRPr="00AB0D80" w:rsidRDefault="00AB0D80" w:rsidP="00AB0D80">
            <w:pPr>
              <w:rPr>
                <w:rFonts w:ascii="Arial" w:eastAsia="Arial" w:hAnsi="Arial" w:cs="Arial"/>
              </w:rPr>
            </w:pPr>
            <w:r w:rsidRPr="00AB0D80">
              <w:rPr>
                <w:rFonts w:ascii="Arial" w:eastAsia="Arial" w:hAnsi="Arial" w:cs="Arial"/>
              </w:rPr>
              <w:t>Feedback</w:t>
            </w:r>
          </w:p>
        </w:tc>
        <w:tc>
          <w:tcPr>
            <w:tcW w:w="6343" w:type="dxa"/>
          </w:tcPr>
          <w:p w14:paraId="36D828DD" w14:textId="77777777" w:rsidR="00AB0D80" w:rsidRPr="00AB0D80" w:rsidRDefault="00AB0D80" w:rsidP="00AB0D80">
            <w:pPr>
              <w:rPr>
                <w:rFonts w:ascii="Arial" w:eastAsia="Arial" w:hAnsi="Arial" w:cs="Arial"/>
              </w:rPr>
            </w:pPr>
            <w:r w:rsidRPr="00AB0D80">
              <w:rPr>
                <w:rFonts w:ascii="Arial" w:eastAsia="Arial" w:hAnsi="Arial" w:cs="Arial"/>
              </w:rPr>
              <w:t>Our consideration</w:t>
            </w:r>
          </w:p>
        </w:tc>
      </w:tr>
      <w:tr w:rsidR="00AB0D80" w:rsidRPr="00AB0D80" w14:paraId="5C46570A" w14:textId="77777777" w:rsidTr="00DA09CE">
        <w:trPr>
          <w:cnfStyle w:val="000000100000" w:firstRow="0" w:lastRow="0" w:firstColumn="0" w:lastColumn="0" w:oddVBand="0" w:evenVBand="0" w:oddHBand="1" w:evenHBand="0" w:firstRowFirstColumn="0" w:firstRowLastColumn="0" w:lastRowFirstColumn="0" w:lastRowLastColumn="0"/>
        </w:trPr>
        <w:tc>
          <w:tcPr>
            <w:tcW w:w="1560" w:type="dxa"/>
            <w:vMerge w:val="restart"/>
          </w:tcPr>
          <w:p w14:paraId="494A4F04" w14:textId="0675AF3D" w:rsidR="00AB0D80" w:rsidRPr="00AB0D80" w:rsidRDefault="00AB0D80" w:rsidP="00AB0D80">
            <w:pPr>
              <w:rPr>
                <w:rFonts w:ascii="Arial" w:eastAsia="Arial" w:hAnsi="Arial" w:cs="Arial"/>
                <w:b/>
                <w:bCs/>
              </w:rPr>
            </w:pPr>
            <w:proofErr w:type="spellStart"/>
            <w:r w:rsidRPr="00AB0D80">
              <w:rPr>
                <w:rFonts w:ascii="Arial" w:eastAsia="Arial" w:hAnsi="Arial" w:cs="Arial"/>
                <w:b/>
                <w:bCs/>
              </w:rPr>
              <w:t>Cit</w:t>
            </w:r>
            <w:r w:rsidR="0065736E">
              <w:rPr>
                <w:rFonts w:ascii="Arial" w:eastAsia="Arial" w:hAnsi="Arial" w:cs="Arial"/>
                <w:b/>
                <w:bCs/>
              </w:rPr>
              <w:t>i</w:t>
            </w:r>
            <w:r w:rsidRPr="00AB0D80">
              <w:rPr>
                <w:rFonts w:ascii="Arial" w:eastAsia="Arial" w:hAnsi="Arial" w:cs="Arial"/>
                <w:b/>
                <w:bCs/>
              </w:rPr>
              <w:t>power</w:t>
            </w:r>
            <w:proofErr w:type="spellEnd"/>
            <w:r w:rsidRPr="00AB0D80">
              <w:rPr>
                <w:rFonts w:ascii="Arial" w:eastAsia="Arial" w:hAnsi="Arial" w:cs="Arial"/>
                <w:b/>
                <w:bCs/>
              </w:rPr>
              <w:t>, Powercor and United Energy</w:t>
            </w:r>
          </w:p>
          <w:p w14:paraId="42C61AFA" w14:textId="77777777" w:rsidR="00AB0D80" w:rsidRPr="00AB0D80" w:rsidRDefault="00AB0D80" w:rsidP="00AB0D80">
            <w:pPr>
              <w:rPr>
                <w:rFonts w:ascii="Arial" w:eastAsia="Arial" w:hAnsi="Arial" w:cs="Arial"/>
                <w:b/>
                <w:bCs/>
              </w:rPr>
            </w:pPr>
            <w:r w:rsidRPr="00AB0D80">
              <w:rPr>
                <w:rFonts w:ascii="Arial" w:eastAsia="Arial" w:hAnsi="Arial" w:cs="Arial"/>
                <w:b/>
                <w:bCs/>
              </w:rPr>
              <w:t>(distributors)</w:t>
            </w:r>
          </w:p>
        </w:tc>
        <w:tc>
          <w:tcPr>
            <w:tcW w:w="6657" w:type="dxa"/>
          </w:tcPr>
          <w:p w14:paraId="4505D072" w14:textId="77777777" w:rsidR="00AB0D80" w:rsidRPr="00AB0D80" w:rsidRDefault="00AB0D80" w:rsidP="00AB0D80">
            <w:pPr>
              <w:rPr>
                <w:rFonts w:ascii="Arial" w:eastAsia="Arial" w:hAnsi="Arial" w:cs="Arial"/>
                <w:b/>
                <w:bCs/>
              </w:rPr>
            </w:pPr>
            <w:r w:rsidRPr="00AB0D80">
              <w:rPr>
                <w:rFonts w:ascii="Arial" w:eastAsia="Arial" w:hAnsi="Arial" w:cs="Arial"/>
                <w:b/>
                <w:bCs/>
              </w:rPr>
              <w:t>Distribution System and public lighting assets definition</w:t>
            </w:r>
          </w:p>
          <w:p w14:paraId="0B1A8746" w14:textId="77777777" w:rsidR="00AB0D80" w:rsidRPr="00AB0D80" w:rsidRDefault="00AB0D80" w:rsidP="00AB0D80">
            <w:pPr>
              <w:rPr>
                <w:rFonts w:ascii="Arial" w:eastAsia="Arial" w:hAnsi="Arial" w:cs="Arial"/>
              </w:rPr>
            </w:pPr>
            <w:r w:rsidRPr="00AB0D80">
              <w:rPr>
                <w:rFonts w:ascii="Arial" w:eastAsia="Arial" w:hAnsi="Arial" w:cs="Arial"/>
              </w:rPr>
              <w:t xml:space="preserve">The commission proposes to amend the </w:t>
            </w:r>
            <w:proofErr w:type="spellStart"/>
            <w:r w:rsidRPr="00AB0D80">
              <w:rPr>
                <w:rFonts w:ascii="Arial" w:eastAsia="Arial" w:hAnsi="Arial" w:cs="Arial"/>
              </w:rPr>
              <w:t>EDCoP</w:t>
            </w:r>
            <w:proofErr w:type="spellEnd"/>
            <w:r w:rsidRPr="00AB0D80">
              <w:rPr>
                <w:rFonts w:ascii="Arial" w:eastAsia="Arial" w:hAnsi="Arial" w:cs="Arial"/>
              </w:rPr>
              <w:t xml:space="preserve"> definition of ‘distribution system’ to explicitly include public lighting assets. This would achieve the intent of applying existing asset management requirements to public lighting. Such a definitional change has unintended effects by extending the term ‘distribution system’ across all </w:t>
            </w:r>
            <w:proofErr w:type="spellStart"/>
            <w:r w:rsidRPr="00AB0D80">
              <w:rPr>
                <w:rFonts w:ascii="Arial" w:eastAsia="Arial" w:hAnsi="Arial" w:cs="Arial"/>
              </w:rPr>
              <w:t>EDCoP</w:t>
            </w:r>
            <w:proofErr w:type="spellEnd"/>
            <w:r w:rsidRPr="00AB0D80">
              <w:rPr>
                <w:rFonts w:ascii="Arial" w:eastAsia="Arial" w:hAnsi="Arial" w:cs="Arial"/>
              </w:rPr>
              <w:t xml:space="preserve"> provisions. This includes areas not specifically designed for public lighting. </w:t>
            </w:r>
          </w:p>
          <w:p w14:paraId="13C44473" w14:textId="77777777" w:rsidR="00AB0D80" w:rsidRPr="00AB0D80" w:rsidRDefault="00AB0D80" w:rsidP="00AB0D80">
            <w:pPr>
              <w:rPr>
                <w:rFonts w:ascii="Arial" w:eastAsia="Arial" w:hAnsi="Arial" w:cs="Arial"/>
              </w:rPr>
            </w:pPr>
            <w:r w:rsidRPr="00AB0D80">
              <w:rPr>
                <w:rFonts w:ascii="Arial" w:eastAsia="Arial" w:hAnsi="Arial" w:cs="Arial"/>
              </w:rPr>
              <w:t xml:space="preserve">We recommend that the Commission adopts an explicit reference to ‘public lighting assets’ to ensure the relevant clauses only apply where they are intended to do so (for example, clause 19.2.1 on asset management). This will prevent the unintended expansion of unrelated rights and obligations across the </w:t>
            </w:r>
            <w:proofErr w:type="spellStart"/>
            <w:r w:rsidRPr="00AB0D80">
              <w:rPr>
                <w:rFonts w:ascii="Arial" w:eastAsia="Arial" w:hAnsi="Arial" w:cs="Arial"/>
              </w:rPr>
              <w:t>EDCoP</w:t>
            </w:r>
            <w:proofErr w:type="spellEnd"/>
            <w:r w:rsidRPr="00AB0D80">
              <w:rPr>
                <w:rFonts w:ascii="Arial" w:eastAsia="Arial" w:hAnsi="Arial" w:cs="Arial"/>
              </w:rPr>
              <w:t>.</w:t>
            </w:r>
          </w:p>
        </w:tc>
        <w:tc>
          <w:tcPr>
            <w:tcW w:w="6343" w:type="dxa"/>
          </w:tcPr>
          <w:p w14:paraId="6B82B635" w14:textId="77777777" w:rsidR="00AB0D80" w:rsidRPr="00AB0D80" w:rsidRDefault="00AB0D80" w:rsidP="00AB0D80">
            <w:pPr>
              <w:rPr>
                <w:rFonts w:ascii="Arial" w:eastAsia="Arial" w:hAnsi="Arial" w:cs="Arial"/>
              </w:rPr>
            </w:pPr>
            <w:r w:rsidRPr="00AB0D80">
              <w:rPr>
                <w:rFonts w:ascii="Arial" w:eastAsia="Arial" w:hAnsi="Arial" w:cs="Arial"/>
              </w:rPr>
              <w:t xml:space="preserve">We have considered and incorporated this feedback in our final Electricity Distribution Code of Practice drafting. </w:t>
            </w:r>
          </w:p>
          <w:p w14:paraId="10950592" w14:textId="77777777" w:rsidR="00AB0D80" w:rsidRPr="00AB0D80" w:rsidRDefault="00AB0D80" w:rsidP="00AB0D80">
            <w:pPr>
              <w:rPr>
                <w:rFonts w:ascii="Arial" w:eastAsia="Arial" w:hAnsi="Arial" w:cs="Arial"/>
              </w:rPr>
            </w:pPr>
            <w:r w:rsidRPr="00AB0D80">
              <w:rPr>
                <w:rFonts w:ascii="Arial" w:eastAsia="Arial" w:hAnsi="Arial" w:cs="Arial"/>
              </w:rPr>
              <w:t xml:space="preserve">The definition of ‘public lighting assets’ is to be applicable to the assets that a licensed distributor has responsibility for under the ‘distribution system’ definition. </w:t>
            </w:r>
          </w:p>
          <w:p w14:paraId="40035E52" w14:textId="77777777" w:rsidR="00AB0D80" w:rsidRPr="00AB0D80" w:rsidRDefault="00AB0D80" w:rsidP="00AB0D80">
            <w:pPr>
              <w:rPr>
                <w:rFonts w:ascii="Arial" w:eastAsia="Arial" w:hAnsi="Arial" w:cs="Arial"/>
              </w:rPr>
            </w:pPr>
            <w:r w:rsidRPr="00AB0D80">
              <w:rPr>
                <w:rFonts w:ascii="Arial" w:eastAsia="Arial" w:hAnsi="Arial" w:cs="Arial"/>
              </w:rPr>
              <w:t>We acknowledge there could be cases where licensed distributors and public lighting customers may require negotiation or have agreements to assist with demarcation clarity.</w:t>
            </w:r>
          </w:p>
        </w:tc>
      </w:tr>
      <w:tr w:rsidR="00AB0D80" w:rsidRPr="00AB0D80" w14:paraId="31E5AFCC" w14:textId="77777777" w:rsidTr="00DA09CE">
        <w:trPr>
          <w:cnfStyle w:val="000000010000" w:firstRow="0" w:lastRow="0" w:firstColumn="0" w:lastColumn="0" w:oddVBand="0" w:evenVBand="0" w:oddHBand="0" w:evenHBand="1" w:firstRowFirstColumn="0" w:firstRowLastColumn="0" w:lastRowFirstColumn="0" w:lastRowLastColumn="0"/>
        </w:trPr>
        <w:tc>
          <w:tcPr>
            <w:tcW w:w="1560" w:type="dxa"/>
            <w:vMerge/>
          </w:tcPr>
          <w:p w14:paraId="11860004" w14:textId="77777777" w:rsidR="00AB0D80" w:rsidRPr="00AB0D80" w:rsidRDefault="00AB0D80" w:rsidP="00AB0D80">
            <w:pPr>
              <w:rPr>
                <w:rFonts w:ascii="Arial" w:eastAsia="Arial" w:hAnsi="Arial" w:cs="Arial"/>
              </w:rPr>
            </w:pPr>
          </w:p>
        </w:tc>
        <w:tc>
          <w:tcPr>
            <w:tcW w:w="6657" w:type="dxa"/>
          </w:tcPr>
          <w:p w14:paraId="5CBB43B6" w14:textId="77777777" w:rsidR="00AB0D80" w:rsidRPr="00AB0D80" w:rsidRDefault="00AB0D80" w:rsidP="00AB0D80">
            <w:pPr>
              <w:rPr>
                <w:rFonts w:ascii="Arial" w:eastAsia="Arial" w:hAnsi="Arial" w:cs="Arial"/>
                <w:b/>
                <w:bCs/>
              </w:rPr>
            </w:pPr>
            <w:r w:rsidRPr="00AB0D80">
              <w:rPr>
                <w:rFonts w:ascii="Arial" w:eastAsia="Arial" w:hAnsi="Arial" w:cs="Arial"/>
                <w:b/>
                <w:bCs/>
              </w:rPr>
              <w:t>Ability to vary obligations by agreement</w:t>
            </w:r>
          </w:p>
          <w:p w14:paraId="1721880B" w14:textId="77777777" w:rsidR="00AB0D80" w:rsidRPr="00AB0D80" w:rsidRDefault="00AB0D80" w:rsidP="00AB0D80">
            <w:pPr>
              <w:rPr>
                <w:rFonts w:ascii="Arial" w:eastAsia="Arial" w:hAnsi="Arial" w:cs="Arial"/>
              </w:rPr>
            </w:pPr>
            <w:r w:rsidRPr="00AB0D80">
              <w:rPr>
                <w:rFonts w:ascii="Arial" w:eastAsia="Arial" w:hAnsi="Arial" w:cs="Arial"/>
              </w:rPr>
              <w:t xml:space="preserve">Under clause 1.4 of the PLC, distributors and public lighting customers may vary their rights and obligations by written agreement. In the </w:t>
            </w:r>
            <w:proofErr w:type="spellStart"/>
            <w:r w:rsidRPr="00AB0D80">
              <w:rPr>
                <w:rFonts w:ascii="Arial" w:eastAsia="Arial" w:hAnsi="Arial" w:cs="Arial"/>
              </w:rPr>
              <w:t>EDCoP</w:t>
            </w:r>
            <w:proofErr w:type="spellEnd"/>
            <w:r w:rsidRPr="00AB0D80">
              <w:rPr>
                <w:rFonts w:ascii="Arial" w:eastAsia="Arial" w:hAnsi="Arial" w:cs="Arial"/>
              </w:rPr>
              <w:t>, this flexibility is narrower as it applies only where the customer meets the definition of a ‘large customer’ (≥ 500 kVA demand or ≥ 160 MWh annual consumption) and where the variation does not reduce rights, or increase obligations, without providing equal value benefits. We recommend the Commission considers retention of a mechanism that allows negotiated variations with all public lighting customers, not only ‘large customers’ to maintain flexibility and support efficient management of service arrangements.</w:t>
            </w:r>
          </w:p>
        </w:tc>
        <w:tc>
          <w:tcPr>
            <w:tcW w:w="6343" w:type="dxa"/>
          </w:tcPr>
          <w:p w14:paraId="7C6CC930" w14:textId="77777777" w:rsidR="00AB0D80" w:rsidRPr="00AB0D80" w:rsidRDefault="00AB0D80" w:rsidP="00AB0D80">
            <w:pPr>
              <w:rPr>
                <w:rFonts w:ascii="Arial" w:eastAsia="Arial" w:hAnsi="Arial" w:cs="Arial"/>
              </w:rPr>
            </w:pPr>
            <w:r w:rsidRPr="00AB0D80">
              <w:rPr>
                <w:rFonts w:ascii="Arial" w:eastAsia="Arial" w:hAnsi="Arial" w:cs="Arial"/>
              </w:rPr>
              <w:t xml:space="preserve">We have considered and incorporated this feedback in our final Electricity Distribution Code of Practice drafting. </w:t>
            </w:r>
          </w:p>
          <w:p w14:paraId="746F234E" w14:textId="77777777" w:rsidR="00AB0D80" w:rsidRPr="00AB0D80" w:rsidRDefault="00AB0D80" w:rsidP="00AB0D80">
            <w:pPr>
              <w:rPr>
                <w:rFonts w:ascii="Arial" w:eastAsia="Arial" w:hAnsi="Arial" w:cs="Arial"/>
              </w:rPr>
            </w:pPr>
            <w:r w:rsidRPr="00AB0D80">
              <w:rPr>
                <w:rFonts w:ascii="Arial" w:eastAsia="Arial" w:hAnsi="Arial" w:cs="Arial"/>
              </w:rPr>
              <w:t>We have amended the ‘large customer’ definition by inserting a new category (b) public lighting customer.</w:t>
            </w:r>
          </w:p>
          <w:p w14:paraId="66AA64B0" w14:textId="77777777" w:rsidR="00AB0D80" w:rsidRPr="00AB0D80" w:rsidRDefault="00AB0D80" w:rsidP="00AB0D80">
            <w:pPr>
              <w:rPr>
                <w:rFonts w:ascii="Arial" w:eastAsia="Arial" w:hAnsi="Arial" w:cs="Arial"/>
              </w:rPr>
            </w:pPr>
          </w:p>
        </w:tc>
      </w:tr>
      <w:tr w:rsidR="00AB0D80" w:rsidRPr="00AB0D80" w14:paraId="28D1E2E5" w14:textId="77777777" w:rsidTr="00DA09CE">
        <w:trPr>
          <w:cnfStyle w:val="000000100000" w:firstRow="0" w:lastRow="0" w:firstColumn="0" w:lastColumn="0" w:oddVBand="0" w:evenVBand="0" w:oddHBand="1" w:evenHBand="0" w:firstRowFirstColumn="0" w:firstRowLastColumn="0" w:lastRowFirstColumn="0" w:lastRowLastColumn="0"/>
        </w:trPr>
        <w:tc>
          <w:tcPr>
            <w:tcW w:w="1560" w:type="dxa"/>
            <w:vMerge/>
          </w:tcPr>
          <w:p w14:paraId="5395E240" w14:textId="77777777" w:rsidR="00AB0D80" w:rsidRPr="00AB0D80" w:rsidRDefault="00AB0D80" w:rsidP="00AB0D80">
            <w:pPr>
              <w:rPr>
                <w:rFonts w:ascii="Arial" w:eastAsia="Arial" w:hAnsi="Arial" w:cs="Arial"/>
              </w:rPr>
            </w:pPr>
          </w:p>
        </w:tc>
        <w:tc>
          <w:tcPr>
            <w:tcW w:w="6657" w:type="dxa"/>
          </w:tcPr>
          <w:p w14:paraId="3815937B" w14:textId="77777777" w:rsidR="00AB0D80" w:rsidRPr="00AB0D80" w:rsidRDefault="00AB0D80" w:rsidP="00AB0D80">
            <w:pPr>
              <w:rPr>
                <w:rFonts w:ascii="Arial" w:eastAsia="Arial" w:hAnsi="Arial" w:cs="Arial"/>
                <w:b/>
                <w:bCs/>
              </w:rPr>
            </w:pPr>
            <w:r w:rsidRPr="00AB0D80">
              <w:rPr>
                <w:rFonts w:ascii="Arial" w:eastAsia="Arial" w:hAnsi="Arial" w:cs="Arial"/>
                <w:b/>
                <w:bCs/>
              </w:rPr>
              <w:t>Billing and service Information clarity</w:t>
            </w:r>
          </w:p>
          <w:p w14:paraId="2EC7B48B" w14:textId="77777777" w:rsidR="00AB0D80" w:rsidRPr="00AB0D80" w:rsidRDefault="00AB0D80" w:rsidP="00AB0D80">
            <w:pPr>
              <w:rPr>
                <w:rFonts w:ascii="Arial" w:eastAsia="Arial" w:hAnsi="Arial" w:cs="Arial"/>
              </w:rPr>
            </w:pPr>
            <w:r w:rsidRPr="00AB0D80">
              <w:rPr>
                <w:rFonts w:ascii="Arial" w:eastAsia="Arial" w:hAnsi="Arial" w:cs="Arial"/>
              </w:rPr>
              <w:t xml:space="preserve">The proposed new clause 25.3.4(k) of the </w:t>
            </w:r>
            <w:proofErr w:type="spellStart"/>
            <w:r w:rsidRPr="00AB0D80">
              <w:rPr>
                <w:rFonts w:ascii="Arial" w:eastAsia="Arial" w:hAnsi="Arial" w:cs="Arial"/>
              </w:rPr>
              <w:t>EDCoP</w:t>
            </w:r>
            <w:proofErr w:type="spellEnd"/>
            <w:r w:rsidRPr="00AB0D80">
              <w:rPr>
                <w:rFonts w:ascii="Arial" w:eastAsia="Arial" w:hAnsi="Arial" w:cs="Arial"/>
              </w:rPr>
              <w:t xml:space="preserve"> requires distributors to provide billing information that enables public lighting customers to verify the amounts charged. We suggest the Commission clarify how this obligation is intended to operate in situations where customers are billed indirectly through retailers. Clear and targeted drafting will help avoid confusion and ensure that the information provided remains meaningful and proportionate to customer needs.</w:t>
            </w:r>
          </w:p>
        </w:tc>
        <w:tc>
          <w:tcPr>
            <w:tcW w:w="6343" w:type="dxa"/>
          </w:tcPr>
          <w:p w14:paraId="3E6610B0" w14:textId="1BFB1046" w:rsidR="00AB0D80" w:rsidRPr="00AB0D80" w:rsidRDefault="00AB0D80" w:rsidP="00AB0D80">
            <w:pPr>
              <w:rPr>
                <w:rFonts w:ascii="Arial" w:eastAsia="Arial" w:hAnsi="Arial" w:cs="Arial"/>
              </w:rPr>
            </w:pPr>
            <w:r w:rsidRPr="00AB0D80">
              <w:rPr>
                <w:rFonts w:ascii="Arial" w:eastAsia="Arial" w:hAnsi="Arial" w:cs="Arial"/>
              </w:rPr>
              <w:t>New clause 25.3.4(k) in the Electricity Distribution Code of Practice is the direct transferral of the current clause 5.3 in the Public Lighting Code.</w:t>
            </w:r>
          </w:p>
          <w:p w14:paraId="6C9B01C2" w14:textId="18269531" w:rsidR="00AB0D80" w:rsidRPr="00AB0D80" w:rsidRDefault="00AB0D80" w:rsidP="00AB0D80">
            <w:pPr>
              <w:rPr>
                <w:rFonts w:ascii="Arial" w:eastAsia="Arial" w:hAnsi="Arial" w:cs="Arial"/>
              </w:rPr>
            </w:pPr>
            <w:r w:rsidRPr="00AB0D80">
              <w:rPr>
                <w:rFonts w:ascii="Arial" w:eastAsia="Arial" w:hAnsi="Arial" w:cs="Arial"/>
              </w:rPr>
              <w:t xml:space="preserve">Distributors have obligation to provide </w:t>
            </w:r>
            <w:r w:rsidR="0082463E" w:rsidRPr="00AB0D80">
              <w:rPr>
                <w:rFonts w:ascii="Arial" w:eastAsia="Arial" w:hAnsi="Arial" w:cs="Arial"/>
              </w:rPr>
              <w:t>this information</w:t>
            </w:r>
            <w:r w:rsidRPr="00AB0D80">
              <w:rPr>
                <w:rFonts w:ascii="Arial" w:eastAsia="Arial" w:hAnsi="Arial" w:cs="Arial"/>
              </w:rPr>
              <w:t xml:space="preserve"> to the public lighting customer under the current Public Lighting Code where retailers process the billing information. </w:t>
            </w:r>
          </w:p>
          <w:p w14:paraId="119F56CE" w14:textId="77777777" w:rsidR="00AB0D80" w:rsidRPr="00AB0D80" w:rsidRDefault="00AB0D80" w:rsidP="00AB0D80">
            <w:pPr>
              <w:rPr>
                <w:rFonts w:ascii="Arial" w:eastAsia="Arial" w:hAnsi="Arial" w:cs="Arial"/>
              </w:rPr>
            </w:pPr>
            <w:r w:rsidRPr="00AB0D80">
              <w:rPr>
                <w:rFonts w:ascii="Arial" w:eastAsia="Arial" w:hAnsi="Arial" w:cs="Arial"/>
              </w:rPr>
              <w:t>Distributors are expected to continue and maintain an equivalent service through this transferring obligation.</w:t>
            </w:r>
          </w:p>
        </w:tc>
      </w:tr>
      <w:tr w:rsidR="00AB0D80" w:rsidRPr="00AB0D80" w14:paraId="21A438A4" w14:textId="77777777" w:rsidTr="00DA09CE">
        <w:trPr>
          <w:cnfStyle w:val="000000010000" w:firstRow="0" w:lastRow="0" w:firstColumn="0" w:lastColumn="0" w:oddVBand="0" w:evenVBand="0" w:oddHBand="0" w:evenHBand="1" w:firstRowFirstColumn="0" w:firstRowLastColumn="0" w:lastRowFirstColumn="0" w:lastRowLastColumn="0"/>
        </w:trPr>
        <w:tc>
          <w:tcPr>
            <w:tcW w:w="1560" w:type="dxa"/>
            <w:vMerge/>
          </w:tcPr>
          <w:p w14:paraId="16FA3EAA" w14:textId="77777777" w:rsidR="00AB0D80" w:rsidRPr="00AB0D80" w:rsidRDefault="00AB0D80" w:rsidP="00AB0D80">
            <w:pPr>
              <w:rPr>
                <w:rFonts w:ascii="Arial" w:eastAsia="Arial" w:hAnsi="Arial" w:cs="Arial"/>
              </w:rPr>
            </w:pPr>
          </w:p>
        </w:tc>
        <w:tc>
          <w:tcPr>
            <w:tcW w:w="6657" w:type="dxa"/>
          </w:tcPr>
          <w:p w14:paraId="1942C093" w14:textId="77777777" w:rsidR="00AB0D80" w:rsidRPr="00AB0D80" w:rsidRDefault="00AB0D80" w:rsidP="00AB0D80">
            <w:pPr>
              <w:rPr>
                <w:rFonts w:ascii="Arial" w:eastAsia="Arial" w:hAnsi="Arial" w:cs="Arial"/>
                <w:b/>
                <w:bCs/>
              </w:rPr>
            </w:pPr>
            <w:r w:rsidRPr="00AB0D80">
              <w:rPr>
                <w:rFonts w:ascii="Arial" w:eastAsia="Arial" w:hAnsi="Arial" w:cs="Arial"/>
                <w:b/>
                <w:bCs/>
              </w:rPr>
              <w:t>Information and data</w:t>
            </w:r>
          </w:p>
          <w:p w14:paraId="30E27F73" w14:textId="77777777" w:rsidR="00AB0D80" w:rsidRPr="00AB0D80" w:rsidRDefault="00AB0D80" w:rsidP="00AB0D80">
            <w:pPr>
              <w:rPr>
                <w:rFonts w:ascii="Arial" w:eastAsia="Arial" w:hAnsi="Arial" w:cs="Arial"/>
                <w:b/>
                <w:bCs/>
              </w:rPr>
            </w:pPr>
            <w:r w:rsidRPr="00AB0D80">
              <w:rPr>
                <w:rFonts w:ascii="Arial" w:eastAsia="Arial" w:hAnsi="Arial" w:cs="Arial"/>
              </w:rPr>
              <w:t>In relation to reporting and data provision under proposed clause 25.3.4, the requirement to agree data formats with each public lighting customer could create unnecessary administrative burden. We suggest allowing the use of standard formats such as CSV or DXF by default with alternatives available by agreement.</w:t>
            </w:r>
          </w:p>
        </w:tc>
        <w:tc>
          <w:tcPr>
            <w:tcW w:w="6343" w:type="dxa"/>
          </w:tcPr>
          <w:p w14:paraId="7C403385" w14:textId="77777777" w:rsidR="00AB0D80" w:rsidRPr="00AB0D80" w:rsidRDefault="00AB0D80" w:rsidP="00AB0D80">
            <w:pPr>
              <w:rPr>
                <w:rFonts w:ascii="Arial" w:eastAsia="Arial" w:hAnsi="Arial" w:cs="Arial"/>
              </w:rPr>
            </w:pPr>
            <w:r w:rsidRPr="00AB0D80">
              <w:rPr>
                <w:rFonts w:ascii="Arial" w:eastAsia="Arial" w:hAnsi="Arial" w:cs="Arial"/>
              </w:rPr>
              <w:t xml:space="preserve">We have considered and incorporated this feedback in our final Electricity Distribution Code of Practice drafting. </w:t>
            </w:r>
          </w:p>
          <w:p w14:paraId="46055FDD" w14:textId="1BCCD753" w:rsidR="00AB0D80" w:rsidRPr="00AB0D80" w:rsidRDefault="00AB0D80" w:rsidP="00AB0D80">
            <w:pPr>
              <w:rPr>
                <w:rFonts w:ascii="Arial" w:eastAsia="Arial" w:hAnsi="Arial" w:cs="Arial"/>
              </w:rPr>
            </w:pPr>
            <w:r w:rsidRPr="00AB0D80">
              <w:rPr>
                <w:rFonts w:ascii="Arial" w:eastAsia="Arial" w:hAnsi="Arial" w:cs="Arial"/>
              </w:rPr>
              <w:t>Clause 25.3.4(a) now specifies the same default data standard as currently provisioned in the Public Lighting Code.</w:t>
            </w:r>
          </w:p>
          <w:p w14:paraId="573B8683" w14:textId="77777777" w:rsidR="00AB0D80" w:rsidRPr="00AB0D80" w:rsidRDefault="00AB0D80" w:rsidP="00AB0D80">
            <w:pPr>
              <w:rPr>
                <w:rFonts w:ascii="Arial" w:eastAsia="Arial" w:hAnsi="Arial" w:cs="Arial"/>
              </w:rPr>
            </w:pPr>
          </w:p>
        </w:tc>
      </w:tr>
      <w:tr w:rsidR="00AB0D80" w:rsidRPr="00AB0D80" w14:paraId="22EAF506" w14:textId="77777777" w:rsidTr="00DA09CE">
        <w:trPr>
          <w:cnfStyle w:val="000000100000" w:firstRow="0" w:lastRow="0" w:firstColumn="0" w:lastColumn="0" w:oddVBand="0" w:evenVBand="0" w:oddHBand="1" w:evenHBand="0" w:firstRowFirstColumn="0" w:firstRowLastColumn="0" w:lastRowFirstColumn="0" w:lastRowLastColumn="0"/>
        </w:trPr>
        <w:tc>
          <w:tcPr>
            <w:tcW w:w="1560" w:type="dxa"/>
            <w:vMerge/>
          </w:tcPr>
          <w:p w14:paraId="341DB861" w14:textId="77777777" w:rsidR="00AB0D80" w:rsidRPr="00AB0D80" w:rsidRDefault="00AB0D80" w:rsidP="00AB0D80">
            <w:pPr>
              <w:rPr>
                <w:rFonts w:ascii="Arial" w:eastAsia="Arial" w:hAnsi="Arial" w:cs="Arial"/>
              </w:rPr>
            </w:pPr>
          </w:p>
        </w:tc>
        <w:tc>
          <w:tcPr>
            <w:tcW w:w="6657" w:type="dxa"/>
          </w:tcPr>
          <w:p w14:paraId="7337420B" w14:textId="77777777" w:rsidR="00AB0D80" w:rsidRPr="00AB0D80" w:rsidRDefault="00AB0D80" w:rsidP="00AB0D80">
            <w:pPr>
              <w:rPr>
                <w:rFonts w:ascii="Arial" w:eastAsia="Arial" w:hAnsi="Arial" w:cs="Arial"/>
                <w:b/>
                <w:bCs/>
              </w:rPr>
            </w:pPr>
            <w:r w:rsidRPr="00AB0D80">
              <w:rPr>
                <w:rFonts w:ascii="Arial" w:eastAsia="Arial" w:hAnsi="Arial" w:cs="Arial"/>
                <w:b/>
                <w:bCs/>
              </w:rPr>
              <w:t>Wholesale market</w:t>
            </w:r>
          </w:p>
          <w:p w14:paraId="29ED93E9" w14:textId="77777777" w:rsidR="00AB0D80" w:rsidRPr="00AB0D80" w:rsidRDefault="00AB0D80" w:rsidP="00AB0D80">
            <w:pPr>
              <w:rPr>
                <w:rFonts w:ascii="Arial" w:eastAsia="Arial" w:hAnsi="Arial" w:cs="Arial"/>
              </w:rPr>
            </w:pPr>
            <w:r w:rsidRPr="00AB0D80">
              <w:rPr>
                <w:rFonts w:ascii="Arial" w:eastAsia="Arial" w:hAnsi="Arial" w:cs="Arial"/>
              </w:rPr>
              <w:t>We recommend retaining the reference to the wholesale electricity market in clause 25.3.4(j). This is so customers who wish to source electricity directly from the wholesale market can do so.</w:t>
            </w:r>
          </w:p>
        </w:tc>
        <w:tc>
          <w:tcPr>
            <w:tcW w:w="6343" w:type="dxa"/>
          </w:tcPr>
          <w:p w14:paraId="1A502B7C" w14:textId="77777777" w:rsidR="00AB0D80" w:rsidRPr="00AB0D80" w:rsidRDefault="00AB0D80" w:rsidP="00AB0D80">
            <w:pPr>
              <w:rPr>
                <w:rFonts w:ascii="Arial" w:eastAsia="Arial" w:hAnsi="Arial" w:cs="Arial"/>
              </w:rPr>
            </w:pPr>
            <w:r w:rsidRPr="00AB0D80">
              <w:rPr>
                <w:rFonts w:ascii="Arial" w:eastAsia="Arial" w:hAnsi="Arial" w:cs="Arial"/>
              </w:rPr>
              <w:t xml:space="preserve">We have considered and incorporated this feedback in our final Electricity Distribution Code of Practice drafting. </w:t>
            </w:r>
          </w:p>
          <w:p w14:paraId="10A105B9" w14:textId="62A236C7" w:rsidR="00AB0D80" w:rsidRPr="00AB0D80" w:rsidRDefault="00E71D15" w:rsidP="00AB0D80">
            <w:pPr>
              <w:rPr>
                <w:rFonts w:ascii="Arial" w:eastAsia="Arial" w:hAnsi="Arial" w:cs="Arial"/>
              </w:rPr>
            </w:pPr>
            <w:r>
              <w:rPr>
                <w:rFonts w:ascii="Arial" w:eastAsia="Arial" w:hAnsi="Arial" w:cs="Arial"/>
              </w:rPr>
              <w:t xml:space="preserve">We have separated out </w:t>
            </w:r>
            <w:r w:rsidR="000D634B">
              <w:rPr>
                <w:rFonts w:ascii="Arial" w:eastAsia="Arial" w:hAnsi="Arial" w:cs="Arial"/>
              </w:rPr>
              <w:t xml:space="preserve">clause 25.3.4(j) </w:t>
            </w:r>
            <w:r>
              <w:rPr>
                <w:rFonts w:ascii="Arial" w:eastAsia="Arial" w:hAnsi="Arial" w:cs="Arial"/>
              </w:rPr>
              <w:t>into</w:t>
            </w:r>
            <w:r w:rsidR="006E09B6">
              <w:rPr>
                <w:rFonts w:ascii="Arial" w:eastAsia="Arial" w:hAnsi="Arial" w:cs="Arial"/>
              </w:rPr>
              <w:t xml:space="preserve"> a</w:t>
            </w:r>
            <w:r>
              <w:rPr>
                <w:rFonts w:ascii="Arial" w:eastAsia="Arial" w:hAnsi="Arial" w:cs="Arial"/>
              </w:rPr>
              <w:t xml:space="preserve"> new c</w:t>
            </w:r>
            <w:r w:rsidR="00AB0D80" w:rsidRPr="00AB0D80">
              <w:rPr>
                <w:rFonts w:ascii="Arial" w:eastAsia="Arial" w:hAnsi="Arial" w:cs="Arial"/>
              </w:rPr>
              <w:t>lause 25.3.</w:t>
            </w:r>
            <w:r w:rsidR="00D90A51">
              <w:rPr>
                <w:rFonts w:ascii="Arial" w:eastAsia="Arial" w:hAnsi="Arial" w:cs="Arial"/>
              </w:rPr>
              <w:t>6</w:t>
            </w:r>
            <w:r>
              <w:rPr>
                <w:rFonts w:ascii="Arial" w:eastAsia="Arial" w:hAnsi="Arial" w:cs="Arial"/>
              </w:rPr>
              <w:t>. It</w:t>
            </w:r>
            <w:r w:rsidR="00AB0D80" w:rsidRPr="00AB0D80">
              <w:rPr>
                <w:rFonts w:ascii="Arial" w:eastAsia="Arial" w:hAnsi="Arial" w:cs="Arial"/>
              </w:rPr>
              <w:t xml:space="preserve"> now incorporates this </w:t>
            </w:r>
            <w:proofErr w:type="gramStart"/>
            <w:r w:rsidR="00F23C58">
              <w:rPr>
                <w:rFonts w:ascii="Arial" w:eastAsia="Arial" w:hAnsi="Arial" w:cs="Arial"/>
              </w:rPr>
              <w:t>drafting</w:t>
            </w:r>
            <w:proofErr w:type="gramEnd"/>
            <w:r w:rsidR="00F23C58">
              <w:rPr>
                <w:rFonts w:ascii="Arial" w:eastAsia="Arial" w:hAnsi="Arial" w:cs="Arial"/>
              </w:rPr>
              <w:t xml:space="preserve"> </w:t>
            </w:r>
            <w:r w:rsidR="003D2DA0">
              <w:rPr>
                <w:rFonts w:ascii="Arial" w:eastAsia="Arial" w:hAnsi="Arial" w:cs="Arial"/>
              </w:rPr>
              <w:t>so</w:t>
            </w:r>
            <w:r w:rsidR="00AB0D80" w:rsidRPr="00AB0D80">
              <w:rPr>
                <w:rFonts w:ascii="Arial" w:eastAsia="Arial" w:hAnsi="Arial" w:cs="Arial"/>
              </w:rPr>
              <w:t xml:space="preserve"> </w:t>
            </w:r>
            <w:r w:rsidR="003D2DA0">
              <w:rPr>
                <w:rFonts w:ascii="Arial" w:eastAsia="Arial" w:hAnsi="Arial" w:cs="Arial"/>
              </w:rPr>
              <w:t xml:space="preserve">public lighting </w:t>
            </w:r>
            <w:r w:rsidR="00AB0D80" w:rsidRPr="00AB0D80">
              <w:rPr>
                <w:rFonts w:ascii="Arial" w:eastAsia="Arial" w:hAnsi="Arial" w:cs="Arial"/>
              </w:rPr>
              <w:t xml:space="preserve">customers </w:t>
            </w:r>
            <w:r w:rsidR="003D2DA0">
              <w:rPr>
                <w:rFonts w:ascii="Arial" w:eastAsia="Arial" w:hAnsi="Arial" w:cs="Arial"/>
              </w:rPr>
              <w:t xml:space="preserve">are informed on their </w:t>
            </w:r>
            <w:r w:rsidR="00A133B2">
              <w:rPr>
                <w:rFonts w:ascii="Arial" w:eastAsia="Arial" w:hAnsi="Arial" w:cs="Arial"/>
              </w:rPr>
              <w:t xml:space="preserve">rights and </w:t>
            </w:r>
            <w:r w:rsidR="00AF4726">
              <w:rPr>
                <w:rFonts w:ascii="Arial" w:eastAsia="Arial" w:hAnsi="Arial" w:cs="Arial"/>
              </w:rPr>
              <w:t xml:space="preserve">required information </w:t>
            </w:r>
            <w:r w:rsidR="00AB0D80" w:rsidRPr="00AB0D80">
              <w:rPr>
                <w:rFonts w:ascii="Arial" w:eastAsia="Arial" w:hAnsi="Arial" w:cs="Arial"/>
              </w:rPr>
              <w:t>to be able to engage with the wholesale market.</w:t>
            </w:r>
          </w:p>
          <w:p w14:paraId="0C653D3D" w14:textId="77777777" w:rsidR="00AB0D80" w:rsidRPr="00AB0D80" w:rsidRDefault="00AB0D80" w:rsidP="00AB0D80">
            <w:pPr>
              <w:rPr>
                <w:rFonts w:ascii="Arial" w:eastAsia="Arial" w:hAnsi="Arial" w:cs="Arial"/>
              </w:rPr>
            </w:pPr>
          </w:p>
        </w:tc>
      </w:tr>
      <w:tr w:rsidR="00AB0D80" w:rsidRPr="00AB0D80" w14:paraId="366BD4B2" w14:textId="77777777" w:rsidTr="00DA09CE">
        <w:trPr>
          <w:cnfStyle w:val="000000010000" w:firstRow="0" w:lastRow="0" w:firstColumn="0" w:lastColumn="0" w:oddVBand="0" w:evenVBand="0" w:oddHBand="0" w:evenHBand="1" w:firstRowFirstColumn="0" w:firstRowLastColumn="0" w:lastRowFirstColumn="0" w:lastRowLastColumn="0"/>
        </w:trPr>
        <w:tc>
          <w:tcPr>
            <w:tcW w:w="1560" w:type="dxa"/>
            <w:vMerge/>
          </w:tcPr>
          <w:p w14:paraId="2AC6B2EF" w14:textId="77777777" w:rsidR="00AB0D80" w:rsidRPr="00AB0D80" w:rsidRDefault="00AB0D80" w:rsidP="00AB0D80">
            <w:pPr>
              <w:rPr>
                <w:rFonts w:ascii="Arial" w:eastAsia="Arial" w:hAnsi="Arial" w:cs="Arial"/>
              </w:rPr>
            </w:pPr>
          </w:p>
        </w:tc>
        <w:tc>
          <w:tcPr>
            <w:tcW w:w="6657" w:type="dxa"/>
          </w:tcPr>
          <w:p w14:paraId="23CB46CE" w14:textId="77777777" w:rsidR="00AB0D80" w:rsidRPr="00AB0D80" w:rsidRDefault="00AB0D80" w:rsidP="00AB0D80">
            <w:pPr>
              <w:rPr>
                <w:rFonts w:ascii="Arial" w:eastAsia="Arial" w:hAnsi="Arial" w:cs="Arial"/>
                <w:b/>
                <w:bCs/>
              </w:rPr>
            </w:pPr>
            <w:r w:rsidRPr="00AB0D80">
              <w:rPr>
                <w:rFonts w:ascii="Arial" w:eastAsia="Arial" w:hAnsi="Arial" w:cs="Arial"/>
                <w:b/>
                <w:bCs/>
              </w:rPr>
              <w:t>Separation of clause 25.3.4(l)</w:t>
            </w:r>
          </w:p>
          <w:p w14:paraId="4868075B" w14:textId="77777777" w:rsidR="00AB0D80" w:rsidRPr="00AB0D80" w:rsidRDefault="00AB0D80" w:rsidP="00AB0D80">
            <w:pPr>
              <w:rPr>
                <w:rFonts w:ascii="Arial" w:eastAsia="Arial" w:hAnsi="Arial" w:cs="Arial"/>
              </w:rPr>
            </w:pPr>
            <w:r w:rsidRPr="00AB0D80">
              <w:rPr>
                <w:rFonts w:ascii="Arial" w:eastAsia="Arial" w:hAnsi="Arial" w:cs="Arial"/>
              </w:rPr>
              <w:t>Finally, the opening wording of clause 25.3.4 should be tightened to make clear it applies to distributor owned public lighting assets, and some requirements such as the reporting of charges in paragraph (l) would be clearer and easier to implement if expressed as separate standalone clauses.</w:t>
            </w:r>
          </w:p>
        </w:tc>
        <w:tc>
          <w:tcPr>
            <w:tcW w:w="6343" w:type="dxa"/>
          </w:tcPr>
          <w:p w14:paraId="59EF0294" w14:textId="77777777" w:rsidR="00AB0D80" w:rsidRPr="00AB0D80" w:rsidRDefault="00AB0D80" w:rsidP="00AB0D80">
            <w:pPr>
              <w:rPr>
                <w:rFonts w:ascii="Arial" w:eastAsia="Arial" w:hAnsi="Arial" w:cs="Arial"/>
              </w:rPr>
            </w:pPr>
            <w:r w:rsidRPr="00AB0D80">
              <w:rPr>
                <w:rFonts w:ascii="Arial" w:eastAsia="Arial" w:hAnsi="Arial" w:cs="Arial"/>
              </w:rPr>
              <w:t>We have considered and incorporated this feedback in our final Electricity Distribution Code of Practice drafting.</w:t>
            </w:r>
          </w:p>
          <w:p w14:paraId="4142BD69" w14:textId="55473CD2" w:rsidR="00AB0D80" w:rsidRPr="00AB0D80" w:rsidRDefault="00AB0D80" w:rsidP="00AB0D80">
            <w:pPr>
              <w:rPr>
                <w:rFonts w:ascii="Arial" w:eastAsia="Arial" w:hAnsi="Arial" w:cs="Arial"/>
              </w:rPr>
            </w:pPr>
            <w:r w:rsidRPr="00AB0D80">
              <w:rPr>
                <w:rFonts w:ascii="Arial" w:eastAsia="Arial" w:hAnsi="Arial" w:cs="Arial"/>
              </w:rPr>
              <w:t>We have separate</w:t>
            </w:r>
            <w:r w:rsidR="00A64034">
              <w:rPr>
                <w:rFonts w:ascii="Arial" w:eastAsia="Arial" w:hAnsi="Arial" w:cs="Arial"/>
              </w:rPr>
              <w:t>d</w:t>
            </w:r>
            <w:r w:rsidRPr="00AB0D80">
              <w:rPr>
                <w:rFonts w:ascii="Arial" w:eastAsia="Arial" w:hAnsi="Arial" w:cs="Arial"/>
              </w:rPr>
              <w:t xml:space="preserve"> out 25.3.4(l) into a new clause 25.3.5 in the Electricity Distribution Code of Practice.</w:t>
            </w:r>
          </w:p>
          <w:p w14:paraId="38693039" w14:textId="77777777" w:rsidR="00AB0D80" w:rsidRPr="00AB0D80" w:rsidRDefault="00AB0D80" w:rsidP="00AB0D80">
            <w:pPr>
              <w:rPr>
                <w:rFonts w:ascii="Arial" w:eastAsia="Arial" w:hAnsi="Arial" w:cs="Arial"/>
              </w:rPr>
            </w:pPr>
          </w:p>
        </w:tc>
      </w:tr>
      <w:tr w:rsidR="00AB0D80" w:rsidRPr="00AB0D80" w14:paraId="0BF20A3B" w14:textId="77777777" w:rsidTr="00DA09CE">
        <w:trPr>
          <w:cnfStyle w:val="000000100000" w:firstRow="0" w:lastRow="0" w:firstColumn="0" w:lastColumn="0" w:oddVBand="0" w:evenVBand="0" w:oddHBand="1" w:evenHBand="0" w:firstRowFirstColumn="0" w:firstRowLastColumn="0" w:lastRowFirstColumn="0" w:lastRowLastColumn="0"/>
        </w:trPr>
        <w:tc>
          <w:tcPr>
            <w:tcW w:w="1560" w:type="dxa"/>
            <w:vMerge/>
          </w:tcPr>
          <w:p w14:paraId="61CB9045" w14:textId="77777777" w:rsidR="00AB0D80" w:rsidRPr="00AB0D80" w:rsidRDefault="00AB0D80" w:rsidP="00AB0D80">
            <w:pPr>
              <w:rPr>
                <w:rFonts w:ascii="Arial" w:eastAsia="Arial" w:hAnsi="Arial" w:cs="Arial"/>
              </w:rPr>
            </w:pPr>
          </w:p>
        </w:tc>
        <w:tc>
          <w:tcPr>
            <w:tcW w:w="6657" w:type="dxa"/>
          </w:tcPr>
          <w:p w14:paraId="596A9E93" w14:textId="77777777" w:rsidR="00AB0D80" w:rsidRPr="00AB0D80" w:rsidRDefault="00AB0D80" w:rsidP="00AB0D80">
            <w:pPr>
              <w:rPr>
                <w:rFonts w:ascii="Arial" w:eastAsia="Arial" w:hAnsi="Arial" w:cs="Arial"/>
                <w:b/>
                <w:bCs/>
              </w:rPr>
            </w:pPr>
            <w:r w:rsidRPr="00AB0D80">
              <w:rPr>
                <w:rFonts w:ascii="Arial" w:eastAsia="Arial" w:hAnsi="Arial" w:cs="Arial"/>
                <w:b/>
                <w:bCs/>
              </w:rPr>
              <w:t>Standard and non-standard fitting</w:t>
            </w:r>
          </w:p>
          <w:p w14:paraId="6A5262BD" w14:textId="77777777" w:rsidR="00AB0D80" w:rsidRPr="00AB0D80" w:rsidRDefault="00AB0D80" w:rsidP="00AB0D80">
            <w:pPr>
              <w:rPr>
                <w:rFonts w:ascii="Arial" w:eastAsia="Arial" w:hAnsi="Arial" w:cs="Arial"/>
              </w:rPr>
            </w:pPr>
            <w:r w:rsidRPr="00AB0D80">
              <w:rPr>
                <w:rFonts w:ascii="Arial" w:eastAsia="Arial" w:hAnsi="Arial" w:cs="Arial"/>
              </w:rPr>
              <w:t>Recommend retaining the relevant obligations (clauses 3.2 and 3.3 from the Public Lighting Code of Practice)</w:t>
            </w:r>
          </w:p>
        </w:tc>
        <w:tc>
          <w:tcPr>
            <w:tcW w:w="6343" w:type="dxa"/>
          </w:tcPr>
          <w:p w14:paraId="75A2D7BB" w14:textId="77777777" w:rsidR="00AB0D80" w:rsidRPr="00AB0D80" w:rsidRDefault="00AB0D80" w:rsidP="00AB0D80">
            <w:pPr>
              <w:rPr>
                <w:rFonts w:ascii="Arial" w:eastAsia="Arial" w:hAnsi="Arial" w:cs="Arial"/>
              </w:rPr>
            </w:pPr>
            <w:r w:rsidRPr="00AB0D80">
              <w:rPr>
                <w:rFonts w:ascii="Arial" w:eastAsia="Arial" w:hAnsi="Arial" w:cs="Arial"/>
              </w:rPr>
              <w:t xml:space="preserve">We agree with the feedback and have transferred these two obligations into the Electricity Distribution Code of Practice. </w:t>
            </w:r>
          </w:p>
          <w:p w14:paraId="033B106E" w14:textId="0DADC9A1" w:rsidR="00AB0D80" w:rsidRPr="00AB0D80" w:rsidRDefault="00AB0D80" w:rsidP="00AB0D80">
            <w:pPr>
              <w:rPr>
                <w:rFonts w:ascii="Arial" w:eastAsia="Arial" w:hAnsi="Arial" w:cs="Arial"/>
              </w:rPr>
            </w:pPr>
            <w:r w:rsidRPr="00AB0D80">
              <w:rPr>
                <w:rFonts w:ascii="Arial" w:eastAsia="Arial" w:hAnsi="Arial" w:cs="Arial"/>
              </w:rPr>
              <w:t>We have expanded further on the reasoning for these obligations in our final decision paper.</w:t>
            </w:r>
          </w:p>
        </w:tc>
      </w:tr>
      <w:tr w:rsidR="00AB0D80" w:rsidRPr="00AB0D80" w14:paraId="47AD9DB6" w14:textId="77777777" w:rsidTr="00DA09CE">
        <w:trPr>
          <w:cnfStyle w:val="000000010000" w:firstRow="0" w:lastRow="0" w:firstColumn="0" w:lastColumn="0" w:oddVBand="0" w:evenVBand="0" w:oddHBand="0" w:evenHBand="1" w:firstRowFirstColumn="0" w:firstRowLastColumn="0" w:lastRowFirstColumn="0" w:lastRowLastColumn="0"/>
        </w:trPr>
        <w:tc>
          <w:tcPr>
            <w:tcW w:w="1560" w:type="dxa"/>
            <w:vMerge/>
          </w:tcPr>
          <w:p w14:paraId="5F7F2ABD" w14:textId="77777777" w:rsidR="00AB0D80" w:rsidRPr="00AB0D80" w:rsidRDefault="00AB0D80" w:rsidP="00AB0D80">
            <w:pPr>
              <w:rPr>
                <w:rFonts w:ascii="Arial" w:eastAsia="Arial" w:hAnsi="Arial" w:cs="Arial"/>
              </w:rPr>
            </w:pPr>
          </w:p>
        </w:tc>
        <w:tc>
          <w:tcPr>
            <w:tcW w:w="6657" w:type="dxa"/>
          </w:tcPr>
          <w:p w14:paraId="2C977310" w14:textId="77777777" w:rsidR="00AB0D80" w:rsidRPr="00AB0D80" w:rsidRDefault="00AB0D80" w:rsidP="00AB0D80">
            <w:pPr>
              <w:rPr>
                <w:rFonts w:ascii="Arial" w:eastAsia="Arial" w:hAnsi="Arial" w:cs="Arial"/>
                <w:b/>
                <w:bCs/>
              </w:rPr>
            </w:pPr>
            <w:r w:rsidRPr="00AB0D80">
              <w:rPr>
                <w:rFonts w:ascii="Arial" w:eastAsia="Arial" w:hAnsi="Arial" w:cs="Arial"/>
                <w:b/>
                <w:bCs/>
              </w:rPr>
              <w:t xml:space="preserve">Distributor billing </w:t>
            </w:r>
          </w:p>
          <w:p w14:paraId="4925F245" w14:textId="77777777" w:rsidR="00AB0D80" w:rsidRPr="00AB0D80" w:rsidRDefault="00AB0D80" w:rsidP="00AB0D80">
            <w:pPr>
              <w:rPr>
                <w:rFonts w:ascii="Arial" w:eastAsia="Arial" w:hAnsi="Arial" w:cs="Arial"/>
              </w:rPr>
            </w:pPr>
            <w:r w:rsidRPr="00AB0D80">
              <w:rPr>
                <w:rFonts w:ascii="Arial" w:eastAsia="Arial" w:hAnsi="Arial" w:cs="Arial"/>
              </w:rPr>
              <w:t>Clause 6 provides a consistent default billing arrangement where no retailer is involved and acts as a clear reference point for resolving disputes. While these scenarios are now relatively uncommon, keeping this clause ensures there remains a reliable framework should such situations arise.</w:t>
            </w:r>
          </w:p>
        </w:tc>
        <w:tc>
          <w:tcPr>
            <w:tcW w:w="6343" w:type="dxa"/>
          </w:tcPr>
          <w:p w14:paraId="4FCC2984" w14:textId="07E4FEF3" w:rsidR="00AB0D80" w:rsidRPr="00AB0D80" w:rsidRDefault="00AB0D80" w:rsidP="00AB0D80">
            <w:pPr>
              <w:rPr>
                <w:rFonts w:ascii="Arial" w:eastAsia="Arial" w:hAnsi="Arial" w:cs="Arial"/>
              </w:rPr>
            </w:pPr>
            <w:r w:rsidRPr="00AB0D80">
              <w:rPr>
                <w:rFonts w:ascii="Arial" w:eastAsia="Arial" w:hAnsi="Arial" w:cs="Arial"/>
              </w:rPr>
              <w:t xml:space="preserve">Our final decision is to revoke this obligation. We note that no </w:t>
            </w:r>
            <w:r w:rsidR="00C85772">
              <w:rPr>
                <w:rFonts w:ascii="Arial" w:eastAsia="Arial" w:hAnsi="Arial" w:cs="Arial"/>
              </w:rPr>
              <w:t xml:space="preserve">electricity distribution business currently </w:t>
            </w:r>
            <w:r w:rsidRPr="00AB0D80">
              <w:rPr>
                <w:rFonts w:ascii="Arial" w:eastAsia="Arial" w:hAnsi="Arial" w:cs="Arial"/>
              </w:rPr>
              <w:t>holds a retail licence under the Electricity Industry Act to perform this activity</w:t>
            </w:r>
            <w:r w:rsidR="00E87364">
              <w:rPr>
                <w:rFonts w:ascii="Arial" w:eastAsia="Arial" w:hAnsi="Arial" w:cs="Arial"/>
              </w:rPr>
              <w:t xml:space="preserve"> (and a contravention of the Act to do so without a licence)</w:t>
            </w:r>
            <w:r w:rsidRPr="00AB0D80">
              <w:rPr>
                <w:rFonts w:ascii="Arial" w:eastAsia="Arial" w:hAnsi="Arial" w:cs="Arial"/>
              </w:rPr>
              <w:t xml:space="preserve">. </w:t>
            </w:r>
          </w:p>
          <w:p w14:paraId="66618EBC" w14:textId="77777777" w:rsidR="00AB0D80" w:rsidRPr="00AB0D80" w:rsidRDefault="00AB0D80" w:rsidP="00AB0D80">
            <w:pPr>
              <w:rPr>
                <w:rFonts w:ascii="Arial" w:eastAsia="Arial" w:hAnsi="Arial" w:cs="Arial"/>
              </w:rPr>
            </w:pPr>
            <w:r w:rsidRPr="00AB0D80">
              <w:rPr>
                <w:rFonts w:ascii="Arial" w:eastAsia="Arial" w:hAnsi="Arial" w:cs="Arial"/>
              </w:rPr>
              <w:t xml:space="preserve">We have expanded further on the reasoning for this in our final decision paper.  </w:t>
            </w:r>
          </w:p>
        </w:tc>
      </w:tr>
      <w:tr w:rsidR="00AB0D80" w:rsidRPr="00AB0D80" w14:paraId="7A91D6A4" w14:textId="77777777" w:rsidTr="00DA09CE">
        <w:trPr>
          <w:cnfStyle w:val="000000100000" w:firstRow="0" w:lastRow="0" w:firstColumn="0" w:lastColumn="0" w:oddVBand="0" w:evenVBand="0" w:oddHBand="1" w:evenHBand="0" w:firstRowFirstColumn="0" w:firstRowLastColumn="0" w:lastRowFirstColumn="0" w:lastRowLastColumn="0"/>
        </w:trPr>
        <w:tc>
          <w:tcPr>
            <w:tcW w:w="1560" w:type="dxa"/>
            <w:vMerge/>
          </w:tcPr>
          <w:p w14:paraId="6A8819AB" w14:textId="77777777" w:rsidR="00AB0D80" w:rsidRPr="00AB0D80" w:rsidRDefault="00AB0D80" w:rsidP="00AB0D80">
            <w:pPr>
              <w:rPr>
                <w:rFonts w:ascii="Arial" w:eastAsia="Arial" w:hAnsi="Arial" w:cs="Arial"/>
              </w:rPr>
            </w:pPr>
          </w:p>
        </w:tc>
        <w:tc>
          <w:tcPr>
            <w:tcW w:w="6657" w:type="dxa"/>
          </w:tcPr>
          <w:p w14:paraId="024DAB10" w14:textId="77777777" w:rsidR="00AB0D80" w:rsidRPr="00AB0D80" w:rsidRDefault="00AB0D80" w:rsidP="00AB0D80">
            <w:pPr>
              <w:rPr>
                <w:rFonts w:ascii="Arial" w:eastAsia="Arial" w:hAnsi="Arial" w:cs="Arial"/>
                <w:b/>
                <w:bCs/>
              </w:rPr>
            </w:pPr>
            <w:r w:rsidRPr="00AB0D80">
              <w:rPr>
                <w:rFonts w:ascii="Arial" w:eastAsia="Arial" w:hAnsi="Arial" w:cs="Arial"/>
                <w:b/>
                <w:bCs/>
              </w:rPr>
              <w:t xml:space="preserve">Outdated Public lighting customer definitions: </w:t>
            </w:r>
          </w:p>
          <w:p w14:paraId="78A8348A" w14:textId="77777777" w:rsidR="00AB0D80" w:rsidRPr="00AB0D80" w:rsidRDefault="00AB0D80" w:rsidP="00AB0D80">
            <w:pPr>
              <w:numPr>
                <w:ilvl w:val="0"/>
                <w:numId w:val="28"/>
              </w:numPr>
              <w:contextualSpacing/>
              <w:rPr>
                <w:rFonts w:ascii="Arial" w:eastAsia="Arial" w:hAnsi="Arial" w:cs="Arial"/>
              </w:rPr>
            </w:pPr>
            <w:r w:rsidRPr="00AB0D80">
              <w:rPr>
                <w:rFonts w:ascii="Arial" w:eastAsia="Arial" w:hAnsi="Arial" w:cs="Arial"/>
              </w:rPr>
              <w:t xml:space="preserve">VicRoads; and </w:t>
            </w:r>
          </w:p>
          <w:p w14:paraId="67F48705" w14:textId="77777777" w:rsidR="00AB0D80" w:rsidRPr="00AB0D80" w:rsidRDefault="00AB0D80" w:rsidP="00AB0D80">
            <w:pPr>
              <w:numPr>
                <w:ilvl w:val="0"/>
                <w:numId w:val="28"/>
              </w:numPr>
              <w:contextualSpacing/>
              <w:rPr>
                <w:rFonts w:ascii="Arial" w:eastAsia="Arial" w:hAnsi="Arial" w:cs="Arial"/>
              </w:rPr>
            </w:pPr>
            <w:r w:rsidRPr="00AB0D80">
              <w:rPr>
                <w:rFonts w:ascii="Arial" w:eastAsia="Arial" w:hAnsi="Arial" w:cs="Arial"/>
              </w:rPr>
              <w:t xml:space="preserve">the Docklands authority. </w:t>
            </w:r>
          </w:p>
        </w:tc>
        <w:tc>
          <w:tcPr>
            <w:tcW w:w="6343" w:type="dxa"/>
          </w:tcPr>
          <w:p w14:paraId="2AECC986" w14:textId="77777777" w:rsidR="00AB0D80" w:rsidRPr="00AB0D80" w:rsidRDefault="00AB0D80" w:rsidP="00AB0D80">
            <w:pPr>
              <w:rPr>
                <w:rFonts w:ascii="Arial" w:eastAsia="Arial" w:hAnsi="Arial" w:cs="Arial"/>
              </w:rPr>
            </w:pPr>
            <w:r w:rsidRPr="00AB0D80">
              <w:rPr>
                <w:rFonts w:ascii="Arial" w:eastAsia="Arial" w:hAnsi="Arial" w:cs="Arial"/>
              </w:rPr>
              <w:t xml:space="preserve">We have considered and incorporated this feedback in our final Electricity Distribution Code of Practice drafting to update the public lighting customer definition to: </w:t>
            </w:r>
          </w:p>
          <w:p w14:paraId="58FBD313" w14:textId="77777777" w:rsidR="00AB0D80" w:rsidRPr="00AB0D80" w:rsidRDefault="00AB0D80" w:rsidP="00AB0D80">
            <w:pPr>
              <w:numPr>
                <w:ilvl w:val="0"/>
                <w:numId w:val="27"/>
              </w:numPr>
              <w:contextualSpacing/>
              <w:rPr>
                <w:rFonts w:ascii="Arial" w:eastAsia="Arial" w:hAnsi="Arial" w:cs="Arial"/>
              </w:rPr>
            </w:pPr>
            <w:r w:rsidRPr="00AB0D80">
              <w:rPr>
                <w:rFonts w:ascii="Arial" w:eastAsia="Arial" w:hAnsi="Arial" w:cs="Arial"/>
              </w:rPr>
              <w:t>replace ‘VicRoads’ with the ‘Department of Transport and Planning’; and</w:t>
            </w:r>
          </w:p>
          <w:p w14:paraId="4FDD5EFC" w14:textId="77777777" w:rsidR="00AB0D80" w:rsidRPr="00AB0D80" w:rsidRDefault="00AB0D80" w:rsidP="00AB0D80">
            <w:pPr>
              <w:numPr>
                <w:ilvl w:val="0"/>
                <w:numId w:val="27"/>
              </w:numPr>
              <w:contextualSpacing/>
              <w:rPr>
                <w:rFonts w:ascii="Arial" w:eastAsia="Arial" w:hAnsi="Arial" w:cs="Arial"/>
              </w:rPr>
            </w:pPr>
            <w:r w:rsidRPr="00AB0D80">
              <w:rPr>
                <w:rFonts w:ascii="Arial" w:eastAsia="Arial" w:hAnsi="Arial" w:cs="Arial"/>
              </w:rPr>
              <w:t>remove the ‘Dockland Authority’ reference</w:t>
            </w:r>
            <w:r w:rsidRPr="00AB0D80">
              <w:rPr>
                <w:rFonts w:ascii="Arial" w:eastAsia="Arial" w:hAnsi="Arial" w:cs="Arial"/>
                <w:vertAlign w:val="superscript"/>
              </w:rPr>
              <w:footnoteReference w:id="17"/>
            </w:r>
            <w:r w:rsidRPr="00AB0D80">
              <w:rPr>
                <w:rFonts w:ascii="Arial" w:eastAsia="Arial" w:hAnsi="Arial" w:cs="Arial"/>
              </w:rPr>
              <w:t xml:space="preserve"> </w:t>
            </w:r>
          </w:p>
        </w:tc>
      </w:tr>
      <w:tr w:rsidR="00AB0D80" w:rsidRPr="00AB0D80" w14:paraId="12D39DAD" w14:textId="77777777" w:rsidTr="00DA09CE">
        <w:trPr>
          <w:cnfStyle w:val="000000010000" w:firstRow="0" w:lastRow="0" w:firstColumn="0" w:lastColumn="0" w:oddVBand="0" w:evenVBand="0" w:oddHBand="0" w:evenHBand="1" w:firstRowFirstColumn="0" w:firstRowLastColumn="0" w:lastRowFirstColumn="0" w:lastRowLastColumn="0"/>
        </w:trPr>
        <w:tc>
          <w:tcPr>
            <w:tcW w:w="1560" w:type="dxa"/>
            <w:vMerge/>
          </w:tcPr>
          <w:p w14:paraId="47E43D66" w14:textId="77777777" w:rsidR="00AB0D80" w:rsidRPr="00AB0D80" w:rsidRDefault="00AB0D80" w:rsidP="00AB0D80">
            <w:pPr>
              <w:rPr>
                <w:rFonts w:ascii="Arial" w:eastAsia="Arial" w:hAnsi="Arial" w:cs="Arial"/>
              </w:rPr>
            </w:pPr>
          </w:p>
        </w:tc>
        <w:tc>
          <w:tcPr>
            <w:tcW w:w="6657" w:type="dxa"/>
          </w:tcPr>
          <w:p w14:paraId="1A145A95" w14:textId="77777777" w:rsidR="00AB0D80" w:rsidRPr="00AB0D80" w:rsidRDefault="00AB0D80" w:rsidP="00AB0D80">
            <w:pPr>
              <w:rPr>
                <w:rFonts w:ascii="Arial" w:eastAsia="Arial" w:hAnsi="Arial" w:cs="Arial"/>
                <w:b/>
                <w:bCs/>
              </w:rPr>
            </w:pPr>
            <w:r w:rsidRPr="00AB0D80">
              <w:rPr>
                <w:rFonts w:ascii="Arial" w:eastAsia="Arial" w:hAnsi="Arial" w:cs="Arial"/>
                <w:b/>
                <w:bCs/>
              </w:rPr>
              <w:t xml:space="preserve">Guaranteed Service Level (GSL) repair condition. </w:t>
            </w:r>
          </w:p>
          <w:p w14:paraId="19E3C885" w14:textId="77777777" w:rsidR="00AB0D80" w:rsidRPr="00AB0D80" w:rsidRDefault="00AB0D80" w:rsidP="00AB0D80">
            <w:pPr>
              <w:rPr>
                <w:rFonts w:ascii="Arial" w:eastAsia="Arial" w:hAnsi="Arial" w:cs="Arial"/>
              </w:rPr>
            </w:pPr>
            <w:r w:rsidRPr="00AB0D80">
              <w:rPr>
                <w:rFonts w:ascii="Arial" w:eastAsia="Arial" w:hAnsi="Arial" w:cs="Arial"/>
              </w:rPr>
              <w:t>Amend the public lighting repairing condition from 2 business days to 10 business days.</w:t>
            </w:r>
          </w:p>
        </w:tc>
        <w:tc>
          <w:tcPr>
            <w:tcW w:w="6343" w:type="dxa"/>
          </w:tcPr>
          <w:p w14:paraId="5290473E" w14:textId="77777777" w:rsidR="00AB0D80" w:rsidRPr="00AB0D80" w:rsidRDefault="00AB0D80" w:rsidP="00AB0D80">
            <w:pPr>
              <w:rPr>
                <w:rFonts w:ascii="Arial" w:eastAsia="Arial" w:hAnsi="Arial" w:cs="Arial"/>
              </w:rPr>
            </w:pPr>
            <w:r w:rsidRPr="00AB0D80">
              <w:rPr>
                <w:rFonts w:ascii="Arial" w:eastAsia="Arial" w:hAnsi="Arial" w:cs="Arial"/>
              </w:rPr>
              <w:t xml:space="preserve">We consider our policy position to retain 2 business days is appropriate. </w:t>
            </w:r>
          </w:p>
          <w:p w14:paraId="040A06D2" w14:textId="77777777" w:rsidR="00AB0D80" w:rsidRPr="00AB0D80" w:rsidRDefault="00AB0D80" w:rsidP="00AB0D80">
            <w:pPr>
              <w:rPr>
                <w:rFonts w:ascii="Arial" w:eastAsia="Arial" w:hAnsi="Arial" w:cs="Arial"/>
              </w:rPr>
            </w:pPr>
            <w:r w:rsidRPr="00AB0D80">
              <w:rPr>
                <w:rFonts w:ascii="Arial" w:eastAsia="Arial" w:hAnsi="Arial" w:cs="Arial"/>
              </w:rPr>
              <w:t xml:space="preserve">We also note submissions by individual members of the public raising poor repair response issues by some distributors. </w:t>
            </w:r>
          </w:p>
          <w:p w14:paraId="0FB44BFB" w14:textId="77777777" w:rsidR="00AB0D80" w:rsidRPr="00AB0D80" w:rsidRDefault="00AB0D80" w:rsidP="00AB0D80">
            <w:pPr>
              <w:rPr>
                <w:rFonts w:ascii="Arial" w:eastAsia="Arial" w:hAnsi="Arial" w:cs="Arial"/>
              </w:rPr>
            </w:pPr>
            <w:r w:rsidRPr="00AB0D80">
              <w:rPr>
                <w:rFonts w:ascii="Arial" w:eastAsia="Arial" w:hAnsi="Arial" w:cs="Arial"/>
              </w:rPr>
              <w:t xml:space="preserve">Maintaining this obligation helps to highlight to distributors of their responsibilities to delivering appropriate public lighting services.    </w:t>
            </w:r>
          </w:p>
        </w:tc>
      </w:tr>
      <w:tr w:rsidR="00AB0D80" w:rsidRPr="00AB0D80" w14:paraId="68936DE3" w14:textId="77777777" w:rsidTr="00DA09CE">
        <w:trPr>
          <w:cnfStyle w:val="000000100000" w:firstRow="0" w:lastRow="0" w:firstColumn="0" w:lastColumn="0" w:oddVBand="0" w:evenVBand="0" w:oddHBand="1" w:evenHBand="0" w:firstRowFirstColumn="0" w:firstRowLastColumn="0" w:lastRowFirstColumn="0" w:lastRowLastColumn="0"/>
        </w:trPr>
        <w:tc>
          <w:tcPr>
            <w:tcW w:w="1560" w:type="dxa"/>
            <w:vMerge w:val="restart"/>
          </w:tcPr>
          <w:p w14:paraId="5B549FE2" w14:textId="77777777" w:rsidR="00AB0D80" w:rsidRPr="00AB0D80" w:rsidRDefault="00AB0D80" w:rsidP="00AB0D80">
            <w:pPr>
              <w:rPr>
                <w:rFonts w:ascii="Arial" w:eastAsia="Arial" w:hAnsi="Arial" w:cs="Arial"/>
                <w:b/>
                <w:bCs/>
              </w:rPr>
            </w:pPr>
            <w:r w:rsidRPr="00AB0D80">
              <w:rPr>
                <w:rFonts w:ascii="Arial" w:eastAsia="Arial" w:hAnsi="Arial" w:cs="Arial"/>
                <w:b/>
                <w:bCs/>
              </w:rPr>
              <w:t>Jemena (distributor)</w:t>
            </w:r>
          </w:p>
        </w:tc>
        <w:tc>
          <w:tcPr>
            <w:tcW w:w="6657" w:type="dxa"/>
          </w:tcPr>
          <w:p w14:paraId="5886771E" w14:textId="77777777" w:rsidR="00AB0D80" w:rsidRPr="00AB0D80" w:rsidRDefault="00AB0D80" w:rsidP="00AB0D80">
            <w:pPr>
              <w:rPr>
                <w:rFonts w:ascii="Arial" w:eastAsia="Arial" w:hAnsi="Arial" w:cs="Arial"/>
                <w:b/>
                <w:bCs/>
              </w:rPr>
            </w:pPr>
            <w:r w:rsidRPr="00AB0D80">
              <w:rPr>
                <w:rFonts w:ascii="Arial" w:eastAsia="Arial" w:hAnsi="Arial" w:cs="Arial"/>
                <w:b/>
                <w:bCs/>
              </w:rPr>
              <w:t>Minimum 3 times annual patrols.</w:t>
            </w:r>
          </w:p>
          <w:p w14:paraId="3994A7D2" w14:textId="77777777" w:rsidR="00AB0D80" w:rsidRPr="00AB0D80" w:rsidRDefault="00AB0D80" w:rsidP="00AB0D80">
            <w:pPr>
              <w:rPr>
                <w:rFonts w:ascii="Arial" w:eastAsia="Arial" w:hAnsi="Arial" w:cs="Arial"/>
              </w:rPr>
            </w:pPr>
            <w:r w:rsidRPr="00AB0D80">
              <w:rPr>
                <w:rFonts w:ascii="Arial" w:eastAsia="Arial" w:hAnsi="Arial" w:cs="Arial"/>
              </w:rPr>
              <w:t xml:space="preserve">We do not consider the nightly patrol ‘at least 3 times per year’ is necessary. </w:t>
            </w:r>
            <w:proofErr w:type="gramStart"/>
            <w:r w:rsidRPr="00AB0D80">
              <w:rPr>
                <w:rFonts w:ascii="Arial" w:eastAsia="Arial" w:hAnsi="Arial" w:cs="Arial"/>
              </w:rPr>
              <w:t>More and more</w:t>
            </w:r>
            <w:proofErr w:type="gramEnd"/>
            <w:r w:rsidRPr="00AB0D80">
              <w:rPr>
                <w:rFonts w:ascii="Arial" w:eastAsia="Arial" w:hAnsi="Arial" w:cs="Arial"/>
              </w:rPr>
              <w:t xml:space="preserve"> smart cell lights are being installed, and councils strongly support the accelerated LED rollout. Smart cell lights can be monitored remotely on an ongoing basis, which is what Jemena is already doing.</w:t>
            </w:r>
          </w:p>
        </w:tc>
        <w:tc>
          <w:tcPr>
            <w:tcW w:w="6343" w:type="dxa"/>
          </w:tcPr>
          <w:p w14:paraId="16F6E8AD" w14:textId="77777777" w:rsidR="00AB0D80" w:rsidRPr="00AB0D80" w:rsidRDefault="00AB0D80" w:rsidP="00AB0D80">
            <w:pPr>
              <w:rPr>
                <w:rFonts w:ascii="Arial" w:eastAsia="Arial" w:hAnsi="Arial" w:cs="Arial"/>
              </w:rPr>
            </w:pPr>
            <w:r w:rsidRPr="00AB0D80">
              <w:rPr>
                <w:rFonts w:ascii="Arial" w:eastAsia="Arial" w:hAnsi="Arial" w:cs="Arial"/>
              </w:rPr>
              <w:t xml:space="preserve">We acknowledge the public lighting space transitioning to adopt and benefiting from smart lighting technologies in the future. </w:t>
            </w:r>
          </w:p>
          <w:p w14:paraId="1948EFF8" w14:textId="4EC5255D" w:rsidR="00AB0D80" w:rsidRPr="00AB0D80" w:rsidRDefault="00AB0D80" w:rsidP="00AB0D80">
            <w:pPr>
              <w:rPr>
                <w:rFonts w:ascii="Arial" w:eastAsia="Arial" w:hAnsi="Arial" w:cs="Arial"/>
              </w:rPr>
            </w:pPr>
            <w:r w:rsidRPr="00AB0D80">
              <w:rPr>
                <w:rFonts w:ascii="Arial" w:eastAsia="Arial" w:hAnsi="Arial" w:cs="Arial"/>
              </w:rPr>
              <w:t xml:space="preserve">However, while new lighting technology helps over time, many existing lights cannot be remotely monitored nor the pace of the technology adoption to be uniform by all </w:t>
            </w:r>
            <w:r w:rsidR="00ED0B23">
              <w:rPr>
                <w:rFonts w:ascii="Arial" w:eastAsia="Arial" w:hAnsi="Arial" w:cs="Arial"/>
              </w:rPr>
              <w:t xml:space="preserve">public lighting </w:t>
            </w:r>
            <w:r w:rsidRPr="00AB0D80">
              <w:rPr>
                <w:rFonts w:ascii="Arial" w:eastAsia="Arial" w:hAnsi="Arial" w:cs="Arial"/>
              </w:rPr>
              <w:t xml:space="preserve">customers. </w:t>
            </w:r>
          </w:p>
          <w:p w14:paraId="1E2ABCA3" w14:textId="1FF9CE91" w:rsidR="00AB0D80" w:rsidRPr="00AB0D80" w:rsidRDefault="00AB0D80" w:rsidP="00AB0D80">
            <w:pPr>
              <w:rPr>
                <w:rFonts w:ascii="Arial" w:eastAsia="Arial" w:hAnsi="Arial" w:cs="Arial"/>
              </w:rPr>
            </w:pPr>
            <w:r w:rsidRPr="00AB0D80">
              <w:rPr>
                <w:rFonts w:ascii="Arial" w:eastAsia="Arial" w:hAnsi="Arial" w:cs="Arial"/>
              </w:rPr>
              <w:t xml:space="preserve">The transferring obligation would enable distributors and </w:t>
            </w:r>
            <w:r w:rsidR="00ED0B23">
              <w:rPr>
                <w:rFonts w:ascii="Arial" w:eastAsia="Arial" w:hAnsi="Arial" w:cs="Arial"/>
              </w:rPr>
              <w:t xml:space="preserve">public lighting </w:t>
            </w:r>
            <w:r w:rsidRPr="00AB0D80">
              <w:rPr>
                <w:rFonts w:ascii="Arial" w:eastAsia="Arial" w:hAnsi="Arial" w:cs="Arial"/>
              </w:rPr>
              <w:t xml:space="preserve">customers to negotiate these monitoring periods where smart technologies </w:t>
            </w:r>
            <w:proofErr w:type="gramStart"/>
            <w:r w:rsidRPr="00AB0D80">
              <w:rPr>
                <w:rFonts w:ascii="Arial" w:eastAsia="Arial" w:hAnsi="Arial" w:cs="Arial"/>
              </w:rPr>
              <w:t>becomes</w:t>
            </w:r>
            <w:proofErr w:type="gramEnd"/>
            <w:r w:rsidRPr="00AB0D80">
              <w:rPr>
                <w:rFonts w:ascii="Arial" w:eastAsia="Arial" w:hAnsi="Arial" w:cs="Arial"/>
              </w:rPr>
              <w:t xml:space="preserve"> available but defaulting to 3 patrols per year if there is no </w:t>
            </w:r>
            <w:r w:rsidR="004E1C0F">
              <w:rPr>
                <w:rFonts w:ascii="Arial" w:eastAsia="Arial" w:hAnsi="Arial" w:cs="Arial"/>
              </w:rPr>
              <w:t xml:space="preserve">remote </w:t>
            </w:r>
            <w:r w:rsidR="00B6427C">
              <w:rPr>
                <w:rFonts w:ascii="Arial" w:eastAsia="Arial" w:hAnsi="Arial" w:cs="Arial"/>
              </w:rPr>
              <w:t xml:space="preserve">monitoring </w:t>
            </w:r>
            <w:r w:rsidR="001A2011">
              <w:rPr>
                <w:rFonts w:ascii="Arial" w:eastAsia="Arial" w:hAnsi="Arial" w:cs="Arial"/>
              </w:rPr>
              <w:t>or</w:t>
            </w:r>
            <w:r w:rsidR="00B6427C">
              <w:rPr>
                <w:rFonts w:ascii="Arial" w:eastAsia="Arial" w:hAnsi="Arial" w:cs="Arial"/>
              </w:rPr>
              <w:t xml:space="preserve"> </w:t>
            </w:r>
            <w:r w:rsidRPr="00AB0D80">
              <w:rPr>
                <w:rFonts w:ascii="Arial" w:eastAsia="Arial" w:hAnsi="Arial" w:cs="Arial"/>
              </w:rPr>
              <w:t xml:space="preserve">agreement.  </w:t>
            </w:r>
          </w:p>
        </w:tc>
      </w:tr>
      <w:tr w:rsidR="00AB0D80" w:rsidRPr="00AB0D80" w14:paraId="18D006DE" w14:textId="77777777" w:rsidTr="00DA09CE">
        <w:trPr>
          <w:cnfStyle w:val="000000010000" w:firstRow="0" w:lastRow="0" w:firstColumn="0" w:lastColumn="0" w:oddVBand="0" w:evenVBand="0" w:oddHBand="0" w:evenHBand="1" w:firstRowFirstColumn="0" w:firstRowLastColumn="0" w:lastRowFirstColumn="0" w:lastRowLastColumn="0"/>
        </w:trPr>
        <w:tc>
          <w:tcPr>
            <w:tcW w:w="1560" w:type="dxa"/>
            <w:vMerge/>
          </w:tcPr>
          <w:p w14:paraId="7AEB91E6" w14:textId="77777777" w:rsidR="00AB0D80" w:rsidRPr="00AB0D80" w:rsidRDefault="00AB0D80" w:rsidP="00AB0D80">
            <w:pPr>
              <w:rPr>
                <w:rFonts w:ascii="Arial" w:eastAsia="Arial" w:hAnsi="Arial" w:cs="Arial"/>
              </w:rPr>
            </w:pPr>
          </w:p>
        </w:tc>
        <w:tc>
          <w:tcPr>
            <w:tcW w:w="6657" w:type="dxa"/>
          </w:tcPr>
          <w:p w14:paraId="3A492F19" w14:textId="77777777" w:rsidR="00AB0D80" w:rsidRPr="00AB0D80" w:rsidRDefault="00AB0D80" w:rsidP="00AB0D80">
            <w:pPr>
              <w:rPr>
                <w:rFonts w:ascii="Arial" w:eastAsia="Arial" w:hAnsi="Arial" w:cs="Arial"/>
                <w:b/>
                <w:bCs/>
              </w:rPr>
            </w:pPr>
            <w:r w:rsidRPr="00AB0D80">
              <w:rPr>
                <w:rFonts w:ascii="Arial" w:eastAsia="Arial" w:hAnsi="Arial" w:cs="Arial"/>
                <w:b/>
                <w:bCs/>
              </w:rPr>
              <w:t xml:space="preserve">Guaranteed Service Level (GSL) repair condition. </w:t>
            </w:r>
          </w:p>
          <w:p w14:paraId="24A0A661" w14:textId="77777777" w:rsidR="00AB0D80" w:rsidRPr="00AB0D80" w:rsidRDefault="00AB0D80" w:rsidP="00AB0D80">
            <w:pPr>
              <w:rPr>
                <w:rFonts w:ascii="Arial" w:eastAsia="Arial" w:hAnsi="Arial" w:cs="Arial"/>
              </w:rPr>
            </w:pPr>
            <w:r w:rsidRPr="00AB0D80">
              <w:rPr>
                <w:rFonts w:ascii="Arial" w:eastAsia="Arial" w:hAnsi="Arial" w:cs="Arial"/>
              </w:rPr>
              <w:lastRenderedPageBreak/>
              <w:t>Amend the public lighting repairing condition from 2 business days to 7 business days (to match the minimum service standard requirements).</w:t>
            </w:r>
          </w:p>
        </w:tc>
        <w:tc>
          <w:tcPr>
            <w:tcW w:w="6343" w:type="dxa"/>
          </w:tcPr>
          <w:p w14:paraId="421B97FA" w14:textId="77777777" w:rsidR="00AB0D80" w:rsidRPr="00AB0D80" w:rsidRDefault="00AB0D80" w:rsidP="00AB0D80">
            <w:pPr>
              <w:rPr>
                <w:rFonts w:ascii="Arial" w:eastAsia="Arial" w:hAnsi="Arial" w:cs="Arial"/>
              </w:rPr>
            </w:pPr>
            <w:proofErr w:type="gramStart"/>
            <w:r w:rsidRPr="00AB0D80">
              <w:rPr>
                <w:rFonts w:ascii="Arial" w:eastAsia="Arial" w:hAnsi="Arial" w:cs="Arial"/>
              </w:rPr>
              <w:lastRenderedPageBreak/>
              <w:t>Similar to</w:t>
            </w:r>
            <w:proofErr w:type="gramEnd"/>
            <w:r w:rsidRPr="00AB0D80">
              <w:rPr>
                <w:rFonts w:ascii="Arial" w:eastAsia="Arial" w:hAnsi="Arial" w:cs="Arial"/>
              </w:rPr>
              <w:t xml:space="preserve"> our consideration with </w:t>
            </w:r>
            <w:proofErr w:type="spellStart"/>
            <w:r w:rsidRPr="00AB0D80">
              <w:rPr>
                <w:rFonts w:ascii="Arial" w:eastAsia="Arial" w:hAnsi="Arial" w:cs="Arial"/>
              </w:rPr>
              <w:t>Citipower</w:t>
            </w:r>
            <w:proofErr w:type="spellEnd"/>
            <w:r w:rsidRPr="00AB0D80">
              <w:rPr>
                <w:rFonts w:ascii="Arial" w:eastAsia="Arial" w:hAnsi="Arial" w:cs="Arial"/>
              </w:rPr>
              <w:t xml:space="preserve">, Powercor and United Energy’s submission, we consider our policy position to retain 2 business days is appropriate. </w:t>
            </w:r>
          </w:p>
          <w:p w14:paraId="37A22943" w14:textId="77777777" w:rsidR="00AB0D80" w:rsidRPr="00AB0D80" w:rsidRDefault="00AB0D80" w:rsidP="00AB0D80">
            <w:pPr>
              <w:rPr>
                <w:rFonts w:ascii="Arial" w:eastAsia="Arial" w:hAnsi="Arial" w:cs="Arial"/>
              </w:rPr>
            </w:pPr>
            <w:r w:rsidRPr="00AB0D80">
              <w:rPr>
                <w:rFonts w:ascii="Arial" w:eastAsia="Arial" w:hAnsi="Arial" w:cs="Arial"/>
              </w:rPr>
              <w:lastRenderedPageBreak/>
              <w:t xml:space="preserve">We note submissions by individual members of the public raising poor repair response by some distributors. </w:t>
            </w:r>
          </w:p>
          <w:p w14:paraId="55FDF411" w14:textId="77777777" w:rsidR="00B27CCB" w:rsidRDefault="00AB0D80" w:rsidP="00AB0D80">
            <w:pPr>
              <w:rPr>
                <w:rFonts w:ascii="Arial" w:eastAsia="Arial" w:hAnsi="Arial" w:cs="Arial"/>
              </w:rPr>
            </w:pPr>
            <w:r w:rsidRPr="00AB0D80">
              <w:rPr>
                <w:rFonts w:ascii="Arial" w:eastAsia="Arial" w:hAnsi="Arial" w:cs="Arial"/>
              </w:rPr>
              <w:t xml:space="preserve">Maintaining this obligation helps to highlight to distributors of their responsibilities to delivering appropriate public lighting services. </w:t>
            </w:r>
          </w:p>
          <w:p w14:paraId="6315C834" w14:textId="2769A2FB" w:rsidR="00AB0D80" w:rsidRPr="00AB0D80" w:rsidRDefault="00AB0D80" w:rsidP="00AB0D80">
            <w:pPr>
              <w:rPr>
                <w:rFonts w:ascii="Arial" w:eastAsia="Arial" w:hAnsi="Arial" w:cs="Arial"/>
              </w:rPr>
            </w:pPr>
            <w:r w:rsidRPr="00AB0D80">
              <w:rPr>
                <w:rFonts w:ascii="Arial" w:eastAsia="Arial" w:hAnsi="Arial" w:cs="Arial"/>
              </w:rPr>
              <w:t>Additionally, we highlight that the public lighting G</w:t>
            </w:r>
            <w:r w:rsidR="0053797D">
              <w:rPr>
                <w:rFonts w:ascii="Arial" w:eastAsia="Arial" w:hAnsi="Arial" w:cs="Arial"/>
              </w:rPr>
              <w:t xml:space="preserve">uaranteed </w:t>
            </w:r>
            <w:r w:rsidRPr="00AB0D80">
              <w:rPr>
                <w:rFonts w:ascii="Arial" w:eastAsia="Arial" w:hAnsi="Arial" w:cs="Arial"/>
              </w:rPr>
              <w:t>S</w:t>
            </w:r>
            <w:r w:rsidR="0053797D">
              <w:rPr>
                <w:rFonts w:ascii="Arial" w:eastAsia="Arial" w:hAnsi="Arial" w:cs="Arial"/>
              </w:rPr>
              <w:t xml:space="preserve">ervice </w:t>
            </w:r>
            <w:r w:rsidRPr="00AB0D80">
              <w:rPr>
                <w:rFonts w:ascii="Arial" w:eastAsia="Arial" w:hAnsi="Arial" w:cs="Arial"/>
              </w:rPr>
              <w:t>L</w:t>
            </w:r>
            <w:r w:rsidR="0053797D">
              <w:rPr>
                <w:rFonts w:ascii="Arial" w:eastAsia="Arial" w:hAnsi="Arial" w:cs="Arial"/>
              </w:rPr>
              <w:t>evel (GSL) scheme</w:t>
            </w:r>
            <w:r w:rsidRPr="00AB0D80">
              <w:rPr>
                <w:rFonts w:ascii="Arial" w:eastAsia="Arial" w:hAnsi="Arial" w:cs="Arial"/>
              </w:rPr>
              <w:t xml:space="preserve"> and the minimum service standard are different obligations: </w:t>
            </w:r>
          </w:p>
          <w:p w14:paraId="55AE5D10" w14:textId="0142365F" w:rsidR="00AB0D80" w:rsidRPr="00AB0D80" w:rsidRDefault="00AB0D80" w:rsidP="00AB0D80">
            <w:pPr>
              <w:numPr>
                <w:ilvl w:val="0"/>
                <w:numId w:val="29"/>
              </w:numPr>
              <w:contextualSpacing/>
              <w:rPr>
                <w:rFonts w:ascii="Arial" w:eastAsia="Arial" w:hAnsi="Arial" w:cs="Arial"/>
              </w:rPr>
            </w:pPr>
            <w:r w:rsidRPr="00AB0D80">
              <w:rPr>
                <w:rFonts w:ascii="Arial" w:eastAsia="Arial" w:hAnsi="Arial" w:cs="Arial"/>
              </w:rPr>
              <w:t xml:space="preserve">A GSL payment must be made to a residential / small business customer who first reports a fault (neighbouring to their premise) that has not been repaired within 2 </w:t>
            </w:r>
            <w:r w:rsidR="0035535B">
              <w:rPr>
                <w:rFonts w:ascii="Arial" w:eastAsia="Arial" w:hAnsi="Arial" w:cs="Arial"/>
              </w:rPr>
              <w:t xml:space="preserve">business </w:t>
            </w:r>
            <w:r w:rsidRPr="00AB0D80">
              <w:rPr>
                <w:rFonts w:ascii="Arial" w:eastAsia="Arial" w:hAnsi="Arial" w:cs="Arial"/>
              </w:rPr>
              <w:t>days (of identifying it).</w:t>
            </w:r>
          </w:p>
          <w:p w14:paraId="1D35176A" w14:textId="3E9B0920" w:rsidR="00AB0D80" w:rsidRPr="00AB0D80" w:rsidRDefault="00AB0D80" w:rsidP="00AB0D80">
            <w:pPr>
              <w:numPr>
                <w:ilvl w:val="0"/>
                <w:numId w:val="29"/>
              </w:numPr>
              <w:contextualSpacing/>
              <w:rPr>
                <w:rFonts w:ascii="Arial" w:eastAsia="Arial" w:hAnsi="Arial" w:cs="Arial"/>
              </w:rPr>
            </w:pPr>
            <w:r w:rsidRPr="00AB0D80">
              <w:rPr>
                <w:rFonts w:ascii="Arial" w:eastAsia="Arial" w:hAnsi="Arial" w:cs="Arial"/>
              </w:rPr>
              <w:t xml:space="preserve">The minimum service standard reflects performance measures to require distributors to repair faults within 7 </w:t>
            </w:r>
            <w:r w:rsidR="0035535B">
              <w:rPr>
                <w:rFonts w:ascii="Arial" w:eastAsia="Arial" w:hAnsi="Arial" w:cs="Arial"/>
              </w:rPr>
              <w:t xml:space="preserve">business </w:t>
            </w:r>
            <w:r w:rsidRPr="00AB0D80">
              <w:rPr>
                <w:rFonts w:ascii="Arial" w:eastAsia="Arial" w:hAnsi="Arial" w:cs="Arial"/>
              </w:rPr>
              <w:t>days with a public lighting customer (local Councils and the Department of Transport and Planning - VicRoads).</w:t>
            </w:r>
          </w:p>
        </w:tc>
      </w:tr>
      <w:tr w:rsidR="00AB0D80" w:rsidRPr="00AB0D80" w14:paraId="5A1E52DB" w14:textId="77777777" w:rsidTr="00DA09CE">
        <w:trPr>
          <w:cnfStyle w:val="000000100000" w:firstRow="0" w:lastRow="0" w:firstColumn="0" w:lastColumn="0" w:oddVBand="0" w:evenVBand="0" w:oddHBand="1" w:evenHBand="0" w:firstRowFirstColumn="0" w:firstRowLastColumn="0" w:lastRowFirstColumn="0" w:lastRowLastColumn="0"/>
        </w:trPr>
        <w:tc>
          <w:tcPr>
            <w:tcW w:w="1560" w:type="dxa"/>
            <w:vMerge w:val="restart"/>
          </w:tcPr>
          <w:p w14:paraId="7FA41F74" w14:textId="77777777" w:rsidR="00AB0D80" w:rsidRPr="00AB0D80" w:rsidRDefault="00AB0D80" w:rsidP="00AB0D80">
            <w:pPr>
              <w:rPr>
                <w:rFonts w:ascii="Arial" w:eastAsia="Arial" w:hAnsi="Arial" w:cs="Arial"/>
                <w:b/>
                <w:bCs/>
              </w:rPr>
            </w:pPr>
            <w:r w:rsidRPr="00AB0D80">
              <w:rPr>
                <w:rFonts w:ascii="Arial" w:eastAsia="Arial" w:hAnsi="Arial" w:cs="Arial"/>
                <w:b/>
                <w:bCs/>
              </w:rPr>
              <w:lastRenderedPageBreak/>
              <w:t>Victorian Greenhouse Alliance</w:t>
            </w:r>
          </w:p>
          <w:p w14:paraId="565796CE" w14:textId="77777777" w:rsidR="00AB0D80" w:rsidRPr="00AB0D80" w:rsidRDefault="00AB0D80" w:rsidP="00AB0D80">
            <w:pPr>
              <w:rPr>
                <w:rFonts w:ascii="Arial" w:eastAsia="Arial" w:hAnsi="Arial" w:cs="Arial"/>
                <w:b/>
                <w:bCs/>
              </w:rPr>
            </w:pPr>
            <w:r w:rsidRPr="00AB0D80">
              <w:rPr>
                <w:rFonts w:ascii="Arial" w:eastAsia="Arial" w:hAnsi="Arial" w:cs="Arial"/>
                <w:b/>
                <w:bCs/>
              </w:rPr>
              <w:lastRenderedPageBreak/>
              <w:t>(an alliance of 70 local councils)</w:t>
            </w:r>
          </w:p>
        </w:tc>
        <w:tc>
          <w:tcPr>
            <w:tcW w:w="6657" w:type="dxa"/>
          </w:tcPr>
          <w:p w14:paraId="79414BCD" w14:textId="77777777" w:rsidR="00AB0D80" w:rsidRPr="00AB0D80" w:rsidRDefault="00AB0D80" w:rsidP="00AB0D80">
            <w:pPr>
              <w:rPr>
                <w:rFonts w:ascii="Arial" w:eastAsia="Arial" w:hAnsi="Arial" w:cs="Arial"/>
                <w:b/>
                <w:bCs/>
              </w:rPr>
            </w:pPr>
            <w:r w:rsidRPr="00AB0D80">
              <w:rPr>
                <w:rFonts w:ascii="Arial" w:eastAsia="Arial" w:hAnsi="Arial" w:cs="Arial"/>
                <w:b/>
                <w:bCs/>
              </w:rPr>
              <w:lastRenderedPageBreak/>
              <w:t>Fault report definition</w:t>
            </w:r>
          </w:p>
          <w:p w14:paraId="5905F80C" w14:textId="77777777" w:rsidR="00AB0D80" w:rsidRPr="00AB0D80" w:rsidRDefault="00AB0D80" w:rsidP="00AB0D80">
            <w:pPr>
              <w:rPr>
                <w:rFonts w:ascii="Arial" w:eastAsia="Arial" w:hAnsi="Arial" w:cs="Arial"/>
              </w:rPr>
            </w:pPr>
            <w:r w:rsidRPr="00AB0D80">
              <w:rPr>
                <w:rFonts w:ascii="Arial" w:eastAsia="Arial" w:hAnsi="Arial" w:cs="Arial"/>
                <w:i/>
                <w:iCs/>
              </w:rPr>
              <w:t>(a) distributor’s</w:t>
            </w:r>
            <w:r w:rsidRPr="00AB0D80">
              <w:rPr>
                <w:rFonts w:ascii="Arial" w:eastAsia="Arial" w:hAnsi="Arial" w:cs="Arial"/>
              </w:rPr>
              <w:t xml:space="preserve"> </w:t>
            </w:r>
            <w:proofErr w:type="gramStart"/>
            <w:r w:rsidRPr="00AB0D80">
              <w:rPr>
                <w:rFonts w:ascii="Arial" w:eastAsia="Arial" w:hAnsi="Arial" w:cs="Arial"/>
              </w:rPr>
              <w:t>24 hour</w:t>
            </w:r>
            <w:proofErr w:type="gramEnd"/>
            <w:r w:rsidRPr="00AB0D80">
              <w:rPr>
                <w:rFonts w:ascii="Arial" w:eastAsia="Arial" w:hAnsi="Arial" w:cs="Arial"/>
              </w:rPr>
              <w:t xml:space="preserve"> call centre or digital reporting system receives a report of a fault (from any source).</w:t>
            </w:r>
          </w:p>
          <w:p w14:paraId="5509D8DF" w14:textId="77777777" w:rsidR="00AB0D80" w:rsidRPr="00AB0D80" w:rsidRDefault="00AB0D80" w:rsidP="00AB0D80">
            <w:pPr>
              <w:rPr>
                <w:rFonts w:ascii="Arial" w:eastAsia="Arial" w:hAnsi="Arial" w:cs="Arial"/>
              </w:rPr>
            </w:pPr>
          </w:p>
        </w:tc>
        <w:tc>
          <w:tcPr>
            <w:tcW w:w="6343" w:type="dxa"/>
          </w:tcPr>
          <w:p w14:paraId="4FC83B1F" w14:textId="77777777" w:rsidR="00036B51" w:rsidRDefault="00AB0D80" w:rsidP="00AB0D80">
            <w:pPr>
              <w:rPr>
                <w:rFonts w:ascii="Arial" w:eastAsia="Arial" w:hAnsi="Arial" w:cs="Arial"/>
              </w:rPr>
            </w:pPr>
            <w:r w:rsidRPr="00AB0D80">
              <w:rPr>
                <w:rFonts w:ascii="Arial" w:eastAsia="Arial" w:hAnsi="Arial" w:cs="Arial"/>
              </w:rPr>
              <w:t>We have considered and incorporated this feedback in our final Electricity Distribution Code of Practice</w:t>
            </w:r>
            <w:r w:rsidR="00036B51">
              <w:rPr>
                <w:rFonts w:ascii="Arial" w:eastAsia="Arial" w:hAnsi="Arial" w:cs="Arial"/>
              </w:rPr>
              <w:t>.</w:t>
            </w:r>
            <w:r w:rsidRPr="00AB0D80">
              <w:rPr>
                <w:rFonts w:ascii="Arial" w:eastAsia="Arial" w:hAnsi="Arial" w:cs="Arial"/>
              </w:rPr>
              <w:t xml:space="preserve"> </w:t>
            </w:r>
          </w:p>
          <w:p w14:paraId="0CDECAFF" w14:textId="7F5DA7D2" w:rsidR="00AB0D80" w:rsidRPr="00AB0D80" w:rsidRDefault="00036B51" w:rsidP="00AB0D80">
            <w:pPr>
              <w:rPr>
                <w:rFonts w:ascii="Arial" w:eastAsia="Arial" w:hAnsi="Arial" w:cs="Arial"/>
              </w:rPr>
            </w:pPr>
            <w:r>
              <w:rPr>
                <w:rFonts w:ascii="Arial" w:eastAsia="Arial" w:hAnsi="Arial" w:cs="Arial"/>
              </w:rPr>
              <w:t xml:space="preserve">The definition of </w:t>
            </w:r>
            <w:r w:rsidR="00B83493">
              <w:rPr>
                <w:rFonts w:ascii="Arial" w:eastAsia="Arial" w:hAnsi="Arial" w:cs="Arial"/>
              </w:rPr>
              <w:t>‘</w:t>
            </w:r>
            <w:r w:rsidR="002C498F">
              <w:rPr>
                <w:rFonts w:ascii="Arial" w:eastAsia="Arial" w:hAnsi="Arial" w:cs="Arial"/>
              </w:rPr>
              <w:t>fault report</w:t>
            </w:r>
            <w:r w:rsidR="00B83493">
              <w:rPr>
                <w:rFonts w:ascii="Arial" w:eastAsia="Arial" w:hAnsi="Arial" w:cs="Arial"/>
              </w:rPr>
              <w:t>’</w:t>
            </w:r>
            <w:r w:rsidR="002C498F">
              <w:rPr>
                <w:rFonts w:ascii="Arial" w:eastAsia="Arial" w:hAnsi="Arial" w:cs="Arial"/>
              </w:rPr>
              <w:t xml:space="preserve"> </w:t>
            </w:r>
            <w:r>
              <w:rPr>
                <w:rFonts w:ascii="Arial" w:eastAsia="Arial" w:hAnsi="Arial" w:cs="Arial"/>
              </w:rPr>
              <w:t xml:space="preserve">has been </w:t>
            </w:r>
            <w:r w:rsidR="00AB0D80" w:rsidRPr="00AB0D80">
              <w:rPr>
                <w:rFonts w:ascii="Arial" w:eastAsia="Arial" w:hAnsi="Arial" w:cs="Arial"/>
              </w:rPr>
              <w:t>amended</w:t>
            </w:r>
            <w:r w:rsidR="0026745B">
              <w:rPr>
                <w:rFonts w:ascii="Arial" w:eastAsia="Arial" w:hAnsi="Arial" w:cs="Arial"/>
              </w:rPr>
              <w:t xml:space="preserve"> to include the term ‘electronic</w:t>
            </w:r>
            <w:r w:rsidR="005A41D7">
              <w:rPr>
                <w:rFonts w:ascii="Arial" w:eastAsia="Arial" w:hAnsi="Arial" w:cs="Arial"/>
              </w:rPr>
              <w:t xml:space="preserve"> communication</w:t>
            </w:r>
            <w:r w:rsidR="0026745B">
              <w:rPr>
                <w:rFonts w:ascii="Arial" w:eastAsia="Arial" w:hAnsi="Arial" w:cs="Arial"/>
              </w:rPr>
              <w:t>’ reporting system</w:t>
            </w:r>
            <w:r w:rsidR="00AB0D80" w:rsidRPr="00AB0D80">
              <w:rPr>
                <w:rFonts w:ascii="Arial" w:eastAsia="Arial" w:hAnsi="Arial" w:cs="Arial"/>
              </w:rPr>
              <w:t xml:space="preserve">. </w:t>
            </w:r>
          </w:p>
        </w:tc>
      </w:tr>
      <w:tr w:rsidR="00AB0D80" w:rsidRPr="00AB0D80" w14:paraId="02FC94FC" w14:textId="77777777" w:rsidTr="00DA09CE">
        <w:trPr>
          <w:cnfStyle w:val="000000010000" w:firstRow="0" w:lastRow="0" w:firstColumn="0" w:lastColumn="0" w:oddVBand="0" w:evenVBand="0" w:oddHBand="0" w:evenHBand="1" w:firstRowFirstColumn="0" w:firstRowLastColumn="0" w:lastRowFirstColumn="0" w:lastRowLastColumn="0"/>
        </w:trPr>
        <w:tc>
          <w:tcPr>
            <w:tcW w:w="1560" w:type="dxa"/>
            <w:vMerge/>
          </w:tcPr>
          <w:p w14:paraId="585D7A91" w14:textId="77777777" w:rsidR="00AB0D80" w:rsidRPr="00AB0D80" w:rsidRDefault="00AB0D80" w:rsidP="00AB0D80">
            <w:pPr>
              <w:rPr>
                <w:rFonts w:ascii="Arial" w:eastAsia="Arial" w:hAnsi="Arial" w:cs="Arial"/>
              </w:rPr>
            </w:pPr>
          </w:p>
        </w:tc>
        <w:tc>
          <w:tcPr>
            <w:tcW w:w="6657" w:type="dxa"/>
          </w:tcPr>
          <w:p w14:paraId="1533F2CE" w14:textId="77777777" w:rsidR="00AB0D80" w:rsidRPr="00AB0D80" w:rsidRDefault="00AB0D80" w:rsidP="00AB0D80">
            <w:pPr>
              <w:rPr>
                <w:rFonts w:ascii="Arial" w:eastAsia="Arial" w:hAnsi="Arial" w:cs="Arial"/>
                <w:b/>
                <w:bCs/>
              </w:rPr>
            </w:pPr>
            <w:r w:rsidRPr="00AB0D80">
              <w:rPr>
                <w:rFonts w:ascii="Arial" w:eastAsia="Arial" w:hAnsi="Arial" w:cs="Arial"/>
                <w:b/>
                <w:bCs/>
              </w:rPr>
              <w:t>Introduce a new definition of SLCMS</w:t>
            </w:r>
          </w:p>
          <w:p w14:paraId="04F6926B" w14:textId="77777777" w:rsidR="00AB0D80" w:rsidRPr="00AB0D80" w:rsidRDefault="00AB0D80" w:rsidP="00AB0D80">
            <w:pPr>
              <w:rPr>
                <w:rFonts w:ascii="Arial" w:eastAsia="Arial" w:hAnsi="Arial" w:cs="Arial"/>
              </w:rPr>
            </w:pPr>
            <w:r w:rsidRPr="00AB0D80">
              <w:rPr>
                <w:rFonts w:ascii="Arial" w:eastAsia="Arial" w:hAnsi="Arial" w:cs="Arial"/>
              </w:rPr>
              <w:t>Recommend also a definition of Smart Lighting Central Management System (SLCMS) as we refer to it several time throughout the comments.</w:t>
            </w:r>
          </w:p>
        </w:tc>
        <w:tc>
          <w:tcPr>
            <w:tcW w:w="6343" w:type="dxa"/>
          </w:tcPr>
          <w:p w14:paraId="025BD496" w14:textId="77777777" w:rsidR="00AB0D80" w:rsidRPr="00AB0D80" w:rsidRDefault="00AB0D80" w:rsidP="00AB0D80">
            <w:pPr>
              <w:rPr>
                <w:rFonts w:ascii="Arial" w:eastAsia="Arial" w:hAnsi="Arial" w:cs="Arial"/>
              </w:rPr>
            </w:pPr>
            <w:r w:rsidRPr="00AB0D80">
              <w:rPr>
                <w:rFonts w:ascii="Arial" w:eastAsia="Arial" w:hAnsi="Arial" w:cs="Arial"/>
              </w:rPr>
              <w:t>We have considered and incorporated this feedback in our final Electricity Distribution Code of Practice drafting.</w:t>
            </w:r>
          </w:p>
          <w:p w14:paraId="17F73D6F" w14:textId="738BAECF" w:rsidR="00AB0D80" w:rsidRPr="00AB0D80" w:rsidRDefault="00AB0D80" w:rsidP="00AB0D80">
            <w:pPr>
              <w:rPr>
                <w:rFonts w:ascii="Arial" w:eastAsia="Arial" w:hAnsi="Arial" w:cs="Arial"/>
              </w:rPr>
            </w:pPr>
            <w:r w:rsidRPr="00AB0D80">
              <w:rPr>
                <w:rFonts w:ascii="Arial" w:eastAsia="Arial" w:hAnsi="Arial" w:cs="Arial"/>
              </w:rPr>
              <w:t xml:space="preserve">A new definition ‘Central Management System’ </w:t>
            </w:r>
            <w:r w:rsidR="006265F9">
              <w:rPr>
                <w:rFonts w:ascii="Arial" w:eastAsia="Arial" w:hAnsi="Arial" w:cs="Arial"/>
              </w:rPr>
              <w:t xml:space="preserve">(CMS) </w:t>
            </w:r>
            <w:r w:rsidRPr="00AB0D80">
              <w:rPr>
                <w:rFonts w:ascii="Arial" w:eastAsia="Arial" w:hAnsi="Arial" w:cs="Arial"/>
              </w:rPr>
              <w:t xml:space="preserve">has been inserted in the definition section in the Electricity Distribution Code of Practice. This new definition aligns with the National Electricity Rules. </w:t>
            </w:r>
          </w:p>
        </w:tc>
      </w:tr>
      <w:tr w:rsidR="00AB0D80" w:rsidRPr="00AB0D80" w14:paraId="162C7E2A" w14:textId="77777777" w:rsidTr="00DA09CE">
        <w:trPr>
          <w:cnfStyle w:val="000000100000" w:firstRow="0" w:lastRow="0" w:firstColumn="0" w:lastColumn="0" w:oddVBand="0" w:evenVBand="0" w:oddHBand="1" w:evenHBand="0" w:firstRowFirstColumn="0" w:firstRowLastColumn="0" w:lastRowFirstColumn="0" w:lastRowLastColumn="0"/>
        </w:trPr>
        <w:tc>
          <w:tcPr>
            <w:tcW w:w="1560" w:type="dxa"/>
            <w:vMerge/>
          </w:tcPr>
          <w:p w14:paraId="2EEC40DE" w14:textId="77777777" w:rsidR="00AB0D80" w:rsidRPr="00AB0D80" w:rsidRDefault="00AB0D80" w:rsidP="00AB0D80">
            <w:pPr>
              <w:rPr>
                <w:rFonts w:ascii="Arial" w:eastAsia="Arial" w:hAnsi="Arial" w:cs="Arial"/>
              </w:rPr>
            </w:pPr>
          </w:p>
        </w:tc>
        <w:tc>
          <w:tcPr>
            <w:tcW w:w="6657" w:type="dxa"/>
          </w:tcPr>
          <w:p w14:paraId="38815CC4" w14:textId="77777777" w:rsidR="00AB0D80" w:rsidRPr="00AB0D80" w:rsidRDefault="00AB0D80" w:rsidP="00AB0D80">
            <w:pPr>
              <w:rPr>
                <w:rFonts w:ascii="Arial" w:eastAsia="Arial" w:hAnsi="Arial" w:cs="Arial"/>
                <w:b/>
                <w:bCs/>
              </w:rPr>
            </w:pPr>
            <w:r w:rsidRPr="00AB0D80">
              <w:rPr>
                <w:rFonts w:ascii="Arial" w:eastAsia="Arial" w:hAnsi="Arial" w:cs="Arial"/>
                <w:b/>
                <w:bCs/>
              </w:rPr>
              <w:t>Lamp definition</w:t>
            </w:r>
          </w:p>
          <w:p w14:paraId="55D0AD0F" w14:textId="77777777" w:rsidR="00AB0D80" w:rsidRPr="00AB0D80" w:rsidRDefault="00AB0D80" w:rsidP="00AB0D80">
            <w:pPr>
              <w:rPr>
                <w:rFonts w:ascii="Arial" w:eastAsia="Arial" w:hAnsi="Arial" w:cs="Arial"/>
              </w:rPr>
            </w:pPr>
            <w:r w:rsidRPr="00AB0D80">
              <w:rPr>
                <w:rFonts w:ascii="Arial" w:eastAsia="Arial" w:hAnsi="Arial" w:cs="Arial"/>
              </w:rPr>
              <w:t>Recommend aligning with definitions in AS 1158.0 i.e.:</w:t>
            </w:r>
          </w:p>
          <w:p w14:paraId="418BFAD5" w14:textId="77777777" w:rsidR="00AB0D80" w:rsidRPr="00AB0D80" w:rsidRDefault="00AB0D80" w:rsidP="00AB0D80">
            <w:pPr>
              <w:rPr>
                <w:rFonts w:ascii="Arial" w:eastAsia="Arial" w:hAnsi="Arial" w:cs="Arial"/>
              </w:rPr>
            </w:pPr>
            <w:r w:rsidRPr="00AB0D80">
              <w:rPr>
                <w:rFonts w:ascii="Arial" w:eastAsia="Arial" w:hAnsi="Arial" w:cs="Arial"/>
              </w:rPr>
              <w:t>The generic term for the light source in a luminaire.</w:t>
            </w:r>
          </w:p>
        </w:tc>
        <w:tc>
          <w:tcPr>
            <w:tcW w:w="6343" w:type="dxa"/>
          </w:tcPr>
          <w:p w14:paraId="322283D0" w14:textId="77777777" w:rsidR="00AB0D80" w:rsidRPr="00AB0D80" w:rsidRDefault="00AB0D80" w:rsidP="00AB0D80">
            <w:pPr>
              <w:rPr>
                <w:rFonts w:ascii="Arial" w:eastAsia="Arial" w:hAnsi="Arial" w:cs="Arial"/>
              </w:rPr>
            </w:pPr>
            <w:r w:rsidRPr="00AB0D80">
              <w:rPr>
                <w:rFonts w:ascii="Arial" w:eastAsia="Arial" w:hAnsi="Arial" w:cs="Arial"/>
              </w:rPr>
              <w:t>We have considered and incorporated this feedback in our final Electricity Distribution Code of Practice drafting.</w:t>
            </w:r>
          </w:p>
          <w:p w14:paraId="71279282" w14:textId="77777777" w:rsidR="00AB0D80" w:rsidRPr="00AB0D80" w:rsidRDefault="00AB0D80" w:rsidP="00AB0D80">
            <w:pPr>
              <w:rPr>
                <w:rFonts w:ascii="Arial" w:eastAsia="Arial" w:hAnsi="Arial" w:cs="Arial"/>
              </w:rPr>
            </w:pPr>
            <w:r w:rsidRPr="00AB0D80">
              <w:rPr>
                <w:rFonts w:ascii="Arial" w:eastAsia="Arial" w:hAnsi="Arial" w:cs="Arial"/>
              </w:rPr>
              <w:t xml:space="preserve">The definition of ‘Lamp’ now algins with the Australian Standard AS1158. </w:t>
            </w:r>
          </w:p>
        </w:tc>
      </w:tr>
      <w:tr w:rsidR="00AB0D80" w:rsidRPr="00AB0D80" w14:paraId="42FD0C33" w14:textId="77777777" w:rsidTr="00DA09CE">
        <w:trPr>
          <w:cnfStyle w:val="000000010000" w:firstRow="0" w:lastRow="0" w:firstColumn="0" w:lastColumn="0" w:oddVBand="0" w:evenVBand="0" w:oddHBand="0" w:evenHBand="1" w:firstRowFirstColumn="0" w:firstRowLastColumn="0" w:lastRowFirstColumn="0" w:lastRowLastColumn="0"/>
        </w:trPr>
        <w:tc>
          <w:tcPr>
            <w:tcW w:w="1560" w:type="dxa"/>
            <w:vMerge/>
          </w:tcPr>
          <w:p w14:paraId="43F0CB54" w14:textId="77777777" w:rsidR="00AB0D80" w:rsidRPr="00AB0D80" w:rsidRDefault="00AB0D80" w:rsidP="00AB0D80">
            <w:pPr>
              <w:rPr>
                <w:rFonts w:ascii="Arial" w:eastAsia="Arial" w:hAnsi="Arial" w:cs="Arial"/>
              </w:rPr>
            </w:pPr>
          </w:p>
        </w:tc>
        <w:tc>
          <w:tcPr>
            <w:tcW w:w="6657" w:type="dxa"/>
          </w:tcPr>
          <w:p w14:paraId="07B52698" w14:textId="77777777" w:rsidR="00AB0D80" w:rsidRPr="00AB0D80" w:rsidRDefault="00AB0D80" w:rsidP="00AB0D80">
            <w:pPr>
              <w:rPr>
                <w:rFonts w:ascii="Arial" w:eastAsia="Arial" w:hAnsi="Arial" w:cs="Arial"/>
                <w:b/>
                <w:bCs/>
              </w:rPr>
            </w:pPr>
            <w:r w:rsidRPr="00AB0D80">
              <w:rPr>
                <w:rFonts w:ascii="Arial" w:eastAsia="Arial" w:hAnsi="Arial" w:cs="Arial"/>
                <w:b/>
                <w:bCs/>
              </w:rPr>
              <w:t>Major Roads definition</w:t>
            </w:r>
          </w:p>
          <w:p w14:paraId="4B9636DC" w14:textId="77777777" w:rsidR="00AB0D80" w:rsidRPr="00AB0D80" w:rsidRDefault="00AB0D80" w:rsidP="00AB0D80">
            <w:pPr>
              <w:rPr>
                <w:rFonts w:ascii="Arial" w:eastAsia="Arial" w:hAnsi="Arial" w:cs="Arial"/>
              </w:rPr>
            </w:pPr>
            <w:r w:rsidRPr="00AB0D80">
              <w:rPr>
                <w:rFonts w:ascii="Arial" w:eastAsia="Arial" w:hAnsi="Arial" w:cs="Arial"/>
              </w:rPr>
              <w:t xml:space="preserve">Recommend redefining this as per </w:t>
            </w:r>
            <w:proofErr w:type="spellStart"/>
            <w:r w:rsidRPr="00AB0D80">
              <w:rPr>
                <w:rFonts w:ascii="Arial" w:eastAsia="Arial" w:hAnsi="Arial" w:cs="Arial"/>
              </w:rPr>
              <w:t>DtP</w:t>
            </w:r>
            <w:proofErr w:type="spellEnd"/>
            <w:r w:rsidRPr="00AB0D80">
              <w:rPr>
                <w:rFonts w:ascii="Arial" w:eastAsia="Arial" w:hAnsi="Arial" w:cs="Arial"/>
              </w:rPr>
              <w:t xml:space="preserve"> (i.e. remove </w:t>
            </w:r>
            <w:proofErr w:type="spellStart"/>
            <w:r w:rsidRPr="00AB0D80">
              <w:rPr>
                <w:rFonts w:ascii="Arial" w:eastAsia="Arial" w:hAnsi="Arial" w:cs="Arial"/>
              </w:rPr>
              <w:t>Melway</w:t>
            </w:r>
            <w:proofErr w:type="spellEnd"/>
            <w:r w:rsidRPr="00AB0D80">
              <w:rPr>
                <w:rFonts w:ascii="Arial" w:eastAsia="Arial" w:hAnsi="Arial" w:cs="Arial"/>
              </w:rPr>
              <w:t xml:space="preserve"> reference).</w:t>
            </w:r>
          </w:p>
          <w:p w14:paraId="5CC3851D" w14:textId="77777777" w:rsidR="00AB0D80" w:rsidRPr="00AB0D80" w:rsidRDefault="00AB0D80" w:rsidP="00AB0D80">
            <w:pPr>
              <w:rPr>
                <w:rFonts w:ascii="Arial" w:eastAsia="Arial" w:hAnsi="Arial" w:cs="Arial"/>
              </w:rPr>
            </w:pPr>
            <w:r w:rsidRPr="00AB0D80">
              <w:rPr>
                <w:rFonts w:ascii="Arial" w:eastAsia="Arial" w:hAnsi="Arial" w:cs="Arial"/>
              </w:rPr>
              <w:t>major road means a road designated by the Victorian Department of Transport as ‘M’, ‘A’ or ‘B’.</w:t>
            </w:r>
          </w:p>
        </w:tc>
        <w:tc>
          <w:tcPr>
            <w:tcW w:w="6343" w:type="dxa"/>
          </w:tcPr>
          <w:p w14:paraId="53D698A7" w14:textId="77777777" w:rsidR="00AB0D80" w:rsidRPr="00AB0D80" w:rsidRDefault="00AB0D80" w:rsidP="00AB0D80">
            <w:pPr>
              <w:rPr>
                <w:rFonts w:ascii="Arial" w:eastAsia="Arial" w:hAnsi="Arial" w:cs="Arial"/>
              </w:rPr>
            </w:pPr>
            <w:r w:rsidRPr="00AB0D80">
              <w:rPr>
                <w:rFonts w:ascii="Arial" w:eastAsia="Arial" w:hAnsi="Arial" w:cs="Arial"/>
              </w:rPr>
              <w:t xml:space="preserve">We have considered and incorporated this feedback in our final Electricity Distribution Code of Practice drafting.  </w:t>
            </w:r>
          </w:p>
          <w:p w14:paraId="6AAB26D1" w14:textId="1B6334DF" w:rsidR="00AB0D80" w:rsidRPr="00AB0D80" w:rsidRDefault="00AB0D80" w:rsidP="00AB0D80">
            <w:pPr>
              <w:rPr>
                <w:rFonts w:ascii="Arial" w:eastAsia="Arial" w:hAnsi="Arial" w:cs="Arial"/>
              </w:rPr>
            </w:pPr>
            <w:r w:rsidRPr="00AB0D80">
              <w:rPr>
                <w:rFonts w:ascii="Arial" w:eastAsia="Arial" w:hAnsi="Arial" w:cs="Arial"/>
              </w:rPr>
              <w:t xml:space="preserve">We have removed the </w:t>
            </w:r>
            <w:proofErr w:type="spellStart"/>
            <w:r w:rsidRPr="00AB0D80">
              <w:rPr>
                <w:rFonts w:ascii="Arial" w:eastAsia="Arial" w:hAnsi="Arial" w:cs="Arial"/>
              </w:rPr>
              <w:t>Melway</w:t>
            </w:r>
            <w:proofErr w:type="spellEnd"/>
            <w:r w:rsidRPr="00AB0D80">
              <w:rPr>
                <w:rFonts w:ascii="Arial" w:eastAsia="Arial" w:hAnsi="Arial" w:cs="Arial"/>
              </w:rPr>
              <w:t xml:space="preserve"> reference in this definition. Major Roads are now those designated by the Victorian Department of Transport </w:t>
            </w:r>
            <w:r w:rsidR="00626B04">
              <w:rPr>
                <w:rFonts w:ascii="Arial" w:eastAsia="Arial" w:hAnsi="Arial" w:cs="Arial"/>
              </w:rPr>
              <w:t xml:space="preserve">and Planning </w:t>
            </w:r>
            <w:r w:rsidRPr="00AB0D80">
              <w:rPr>
                <w:rFonts w:ascii="Arial" w:eastAsia="Arial" w:hAnsi="Arial" w:cs="Arial"/>
              </w:rPr>
              <w:t>as ‘M’, ‘A’ or ‘B’.</w:t>
            </w:r>
          </w:p>
        </w:tc>
      </w:tr>
      <w:tr w:rsidR="00AB0D80" w:rsidRPr="00AB0D80" w14:paraId="4B9B07A1" w14:textId="77777777" w:rsidTr="00DA09CE">
        <w:trPr>
          <w:cnfStyle w:val="000000100000" w:firstRow="0" w:lastRow="0" w:firstColumn="0" w:lastColumn="0" w:oddVBand="0" w:evenVBand="0" w:oddHBand="1" w:evenHBand="0" w:firstRowFirstColumn="0" w:firstRowLastColumn="0" w:lastRowFirstColumn="0" w:lastRowLastColumn="0"/>
        </w:trPr>
        <w:tc>
          <w:tcPr>
            <w:tcW w:w="1560" w:type="dxa"/>
            <w:vMerge/>
          </w:tcPr>
          <w:p w14:paraId="00C9C611" w14:textId="77777777" w:rsidR="00AB0D80" w:rsidRPr="00AB0D80" w:rsidRDefault="00AB0D80" w:rsidP="00AB0D80">
            <w:pPr>
              <w:rPr>
                <w:rFonts w:ascii="Arial" w:eastAsia="Arial" w:hAnsi="Arial" w:cs="Arial"/>
              </w:rPr>
            </w:pPr>
          </w:p>
        </w:tc>
        <w:tc>
          <w:tcPr>
            <w:tcW w:w="6657" w:type="dxa"/>
          </w:tcPr>
          <w:p w14:paraId="57C01CDE" w14:textId="77777777" w:rsidR="00AB0D80" w:rsidRPr="00AB0D80" w:rsidRDefault="00AB0D80" w:rsidP="00AB0D80">
            <w:pPr>
              <w:rPr>
                <w:rFonts w:ascii="Arial" w:eastAsia="Arial" w:hAnsi="Arial" w:cs="Arial"/>
                <w:b/>
                <w:bCs/>
              </w:rPr>
            </w:pPr>
            <w:r w:rsidRPr="00AB0D80">
              <w:rPr>
                <w:rFonts w:ascii="Arial" w:eastAsia="Arial" w:hAnsi="Arial" w:cs="Arial"/>
                <w:b/>
                <w:bCs/>
              </w:rPr>
              <w:t>Non-major road lamps definition</w:t>
            </w:r>
          </w:p>
          <w:p w14:paraId="00204E50" w14:textId="77777777" w:rsidR="00AB0D80" w:rsidRPr="00AB0D80" w:rsidRDefault="00AB0D80" w:rsidP="00AB0D80">
            <w:pPr>
              <w:rPr>
                <w:rFonts w:ascii="Arial" w:eastAsia="Arial" w:hAnsi="Arial" w:cs="Arial"/>
              </w:rPr>
            </w:pPr>
            <w:r w:rsidRPr="00AB0D80">
              <w:rPr>
                <w:rFonts w:ascii="Arial" w:eastAsia="Arial" w:hAnsi="Arial" w:cs="Arial"/>
              </w:rPr>
              <w:t>Recommend changing this to:</w:t>
            </w:r>
          </w:p>
          <w:p w14:paraId="726913F3" w14:textId="77777777" w:rsidR="00AB0D80" w:rsidRPr="00AB0D80" w:rsidRDefault="00AB0D80" w:rsidP="00AB0D80">
            <w:pPr>
              <w:rPr>
                <w:rFonts w:ascii="Arial" w:eastAsia="Arial" w:hAnsi="Arial" w:cs="Arial"/>
              </w:rPr>
            </w:pPr>
            <w:r w:rsidRPr="00AB0D80">
              <w:rPr>
                <w:rFonts w:ascii="Arial" w:eastAsia="Arial" w:hAnsi="Arial" w:cs="Arial"/>
                <w:b/>
                <w:bCs/>
                <w:i/>
                <w:iCs/>
              </w:rPr>
              <w:lastRenderedPageBreak/>
              <w:t xml:space="preserve">non-major road luminaire </w:t>
            </w:r>
            <w:r w:rsidRPr="00AB0D80">
              <w:rPr>
                <w:rFonts w:ascii="Arial" w:eastAsia="Arial" w:hAnsi="Arial" w:cs="Arial"/>
              </w:rPr>
              <w:t xml:space="preserve">means a </w:t>
            </w:r>
            <w:r w:rsidRPr="00AB0D80">
              <w:rPr>
                <w:rFonts w:ascii="Arial" w:eastAsia="Arial" w:hAnsi="Arial" w:cs="Arial"/>
                <w:i/>
                <w:iCs/>
              </w:rPr>
              <w:t xml:space="preserve">luminaire </w:t>
            </w:r>
            <w:r w:rsidRPr="00AB0D80">
              <w:rPr>
                <w:rFonts w:ascii="Arial" w:eastAsia="Arial" w:hAnsi="Arial" w:cs="Arial"/>
              </w:rPr>
              <w:t xml:space="preserve">installed other than on </w:t>
            </w:r>
            <w:r w:rsidRPr="00AB0D80">
              <w:rPr>
                <w:rFonts w:ascii="Arial" w:eastAsia="Arial" w:hAnsi="Arial" w:cs="Arial"/>
                <w:i/>
                <w:iCs/>
              </w:rPr>
              <w:t>major road</w:t>
            </w:r>
            <w:r w:rsidRPr="00AB0D80">
              <w:rPr>
                <w:rFonts w:ascii="Arial" w:eastAsia="Arial" w:hAnsi="Arial" w:cs="Arial"/>
              </w:rPr>
              <w:t xml:space="preserve"> and includes </w:t>
            </w:r>
            <w:r w:rsidRPr="00AB0D80">
              <w:rPr>
                <w:rFonts w:ascii="Arial" w:eastAsia="Arial" w:hAnsi="Arial" w:cs="Arial"/>
                <w:i/>
                <w:iCs/>
              </w:rPr>
              <w:t xml:space="preserve">luminaires </w:t>
            </w:r>
            <w:r w:rsidRPr="00AB0D80">
              <w:rPr>
                <w:rFonts w:ascii="Arial" w:eastAsia="Arial" w:hAnsi="Arial" w:cs="Arial"/>
              </w:rPr>
              <w:t>installed in off street locations by DNSPs including car parks, pathways and parks.</w:t>
            </w:r>
          </w:p>
        </w:tc>
        <w:tc>
          <w:tcPr>
            <w:tcW w:w="6343" w:type="dxa"/>
          </w:tcPr>
          <w:p w14:paraId="442F36A8" w14:textId="77777777" w:rsidR="00AB0D80" w:rsidRPr="00AB0D80" w:rsidRDefault="00AB0D80" w:rsidP="00AB0D80">
            <w:pPr>
              <w:rPr>
                <w:rFonts w:ascii="Arial" w:eastAsia="Arial" w:hAnsi="Arial" w:cs="Arial"/>
              </w:rPr>
            </w:pPr>
            <w:r w:rsidRPr="00AB0D80">
              <w:rPr>
                <w:rFonts w:ascii="Arial" w:eastAsia="Arial" w:hAnsi="Arial" w:cs="Arial"/>
              </w:rPr>
              <w:lastRenderedPageBreak/>
              <w:t>We have considered and incorporated this feedback in our final Electricity Distribution Code of Practice drafting.</w:t>
            </w:r>
          </w:p>
          <w:p w14:paraId="6250AA1D" w14:textId="464768D5" w:rsidR="00AB0D80" w:rsidRPr="00AB0D80" w:rsidRDefault="00AB0D80" w:rsidP="00AB0D80">
            <w:pPr>
              <w:rPr>
                <w:rFonts w:ascii="Arial" w:eastAsia="Arial" w:hAnsi="Arial" w:cs="Arial"/>
              </w:rPr>
            </w:pPr>
            <w:r w:rsidRPr="00AB0D80">
              <w:rPr>
                <w:rFonts w:ascii="Arial" w:eastAsia="Arial" w:hAnsi="Arial" w:cs="Arial"/>
              </w:rPr>
              <w:t>We note the Public Lighting Code applie</w:t>
            </w:r>
            <w:r w:rsidR="004617E2">
              <w:rPr>
                <w:rFonts w:ascii="Arial" w:eastAsia="Arial" w:hAnsi="Arial" w:cs="Arial"/>
              </w:rPr>
              <w:t>s</w:t>
            </w:r>
            <w:r w:rsidRPr="00AB0D80">
              <w:rPr>
                <w:rFonts w:ascii="Arial" w:eastAsia="Arial" w:hAnsi="Arial" w:cs="Arial"/>
              </w:rPr>
              <w:t xml:space="preserve"> to licensed distributors. Therefore, the definition of non-major road </w:t>
            </w:r>
            <w:r w:rsidRPr="00AB0D80">
              <w:rPr>
                <w:rFonts w:ascii="Arial" w:eastAsia="Arial" w:hAnsi="Arial" w:cs="Arial"/>
              </w:rPr>
              <w:lastRenderedPageBreak/>
              <w:t xml:space="preserve">luminaire in the Electricity Distribution Code of Practice </w:t>
            </w:r>
            <w:proofErr w:type="gramStart"/>
            <w:r w:rsidRPr="00AB0D80">
              <w:rPr>
                <w:rFonts w:ascii="Arial" w:eastAsia="Arial" w:hAnsi="Arial" w:cs="Arial"/>
              </w:rPr>
              <w:t>focus</w:t>
            </w:r>
            <w:proofErr w:type="gramEnd"/>
            <w:r w:rsidRPr="00AB0D80">
              <w:rPr>
                <w:rFonts w:ascii="Arial" w:eastAsia="Arial" w:hAnsi="Arial" w:cs="Arial"/>
              </w:rPr>
              <w:t xml:space="preserve"> the definition to apply to licenced distributors.</w:t>
            </w:r>
          </w:p>
        </w:tc>
      </w:tr>
      <w:tr w:rsidR="00AB0D80" w:rsidRPr="00AB0D80" w14:paraId="7BF10976" w14:textId="77777777" w:rsidTr="00DA09CE">
        <w:trPr>
          <w:cnfStyle w:val="000000010000" w:firstRow="0" w:lastRow="0" w:firstColumn="0" w:lastColumn="0" w:oddVBand="0" w:evenVBand="0" w:oddHBand="0" w:evenHBand="1" w:firstRowFirstColumn="0" w:firstRowLastColumn="0" w:lastRowFirstColumn="0" w:lastRowLastColumn="0"/>
        </w:trPr>
        <w:tc>
          <w:tcPr>
            <w:tcW w:w="1560" w:type="dxa"/>
            <w:vMerge/>
          </w:tcPr>
          <w:p w14:paraId="15809750" w14:textId="77777777" w:rsidR="00AB0D80" w:rsidRPr="00AB0D80" w:rsidRDefault="00AB0D80" w:rsidP="00AB0D80">
            <w:pPr>
              <w:rPr>
                <w:rFonts w:ascii="Arial" w:eastAsia="Arial" w:hAnsi="Arial" w:cs="Arial"/>
              </w:rPr>
            </w:pPr>
          </w:p>
        </w:tc>
        <w:tc>
          <w:tcPr>
            <w:tcW w:w="6657" w:type="dxa"/>
          </w:tcPr>
          <w:p w14:paraId="01399A27" w14:textId="77777777" w:rsidR="00AB0D80" w:rsidRPr="00AB0D80" w:rsidRDefault="00AB0D80" w:rsidP="00AB0D80">
            <w:pPr>
              <w:rPr>
                <w:rFonts w:ascii="Arial" w:eastAsia="Arial" w:hAnsi="Arial" w:cs="Arial"/>
                <w:b/>
                <w:bCs/>
              </w:rPr>
            </w:pPr>
            <w:r w:rsidRPr="00AB0D80">
              <w:rPr>
                <w:rFonts w:ascii="Arial" w:eastAsia="Arial" w:hAnsi="Arial" w:cs="Arial"/>
                <w:b/>
                <w:bCs/>
              </w:rPr>
              <w:t>Non-standard fitting definition</w:t>
            </w:r>
          </w:p>
          <w:p w14:paraId="19DB8597" w14:textId="77777777" w:rsidR="00AB0D80" w:rsidRPr="00AB0D80" w:rsidRDefault="00AB0D80" w:rsidP="00AB0D80">
            <w:pPr>
              <w:rPr>
                <w:rFonts w:ascii="Arial" w:eastAsia="Arial" w:hAnsi="Arial" w:cs="Arial"/>
              </w:rPr>
            </w:pPr>
            <w:r w:rsidRPr="00AB0D80">
              <w:rPr>
                <w:rFonts w:ascii="Arial" w:eastAsia="Arial" w:hAnsi="Arial" w:cs="Arial"/>
              </w:rPr>
              <w:t>An approved non-standard fitting is a luminaire, pole, bracket or attachment that has been approved by a distributor use in a VESI public lighting scheme but is not an approved standard fitting.</w:t>
            </w:r>
          </w:p>
          <w:p w14:paraId="15A0A6E9" w14:textId="77777777" w:rsidR="00AB0D80" w:rsidRPr="00AB0D80" w:rsidRDefault="00AB0D80" w:rsidP="00AB0D80">
            <w:pPr>
              <w:rPr>
                <w:rFonts w:ascii="Arial" w:eastAsia="Arial" w:hAnsi="Arial" w:cs="Arial"/>
              </w:rPr>
            </w:pPr>
            <w:r w:rsidRPr="00AB0D80">
              <w:rPr>
                <w:rFonts w:ascii="Arial" w:eastAsia="Arial" w:hAnsi="Arial" w:cs="Arial"/>
              </w:rPr>
              <w:t>Approved non-standard fittings may also often be referred to as decorative fittings and are primarily used within underground estates or within retail areas to enhance the beautification of the local environment.</w:t>
            </w:r>
          </w:p>
        </w:tc>
        <w:tc>
          <w:tcPr>
            <w:tcW w:w="6343" w:type="dxa"/>
          </w:tcPr>
          <w:p w14:paraId="018177F7" w14:textId="40033192" w:rsidR="00AB0D80" w:rsidRDefault="00AB0D80" w:rsidP="00AB0D80">
            <w:pPr>
              <w:rPr>
                <w:rFonts w:ascii="Arial" w:eastAsia="Arial" w:hAnsi="Arial" w:cs="Arial"/>
              </w:rPr>
            </w:pPr>
            <w:r w:rsidRPr="00AB0D80">
              <w:rPr>
                <w:rFonts w:ascii="Arial" w:eastAsia="Arial" w:hAnsi="Arial" w:cs="Arial"/>
              </w:rPr>
              <w:t xml:space="preserve">We have considered this feedback but have retained the current definition drafting to maintain clarity rather than adopting the </w:t>
            </w:r>
            <w:r w:rsidR="00837E90">
              <w:rPr>
                <w:rFonts w:ascii="Arial" w:eastAsia="Arial" w:hAnsi="Arial" w:cs="Arial"/>
              </w:rPr>
              <w:t xml:space="preserve">suggested </w:t>
            </w:r>
            <w:r w:rsidRPr="00AB0D80">
              <w:rPr>
                <w:rFonts w:ascii="Arial" w:eastAsia="Arial" w:hAnsi="Arial" w:cs="Arial"/>
              </w:rPr>
              <w:t>feedback</w:t>
            </w:r>
            <w:r w:rsidR="00837E90">
              <w:rPr>
                <w:rFonts w:ascii="Arial" w:eastAsia="Arial" w:hAnsi="Arial" w:cs="Arial"/>
              </w:rPr>
              <w:t>.</w:t>
            </w:r>
            <w:r w:rsidRPr="00AB0D80">
              <w:rPr>
                <w:rFonts w:ascii="Arial" w:eastAsia="Arial" w:hAnsi="Arial" w:cs="Arial"/>
              </w:rPr>
              <w:t xml:space="preserve"> </w:t>
            </w:r>
          </w:p>
          <w:p w14:paraId="4F2FE856" w14:textId="77777777" w:rsidR="00F46284" w:rsidRPr="00AB0D80" w:rsidRDefault="00F46284" w:rsidP="00AB0D80">
            <w:pPr>
              <w:rPr>
                <w:rFonts w:ascii="Arial" w:eastAsia="Arial" w:hAnsi="Arial" w:cs="Arial"/>
              </w:rPr>
            </w:pPr>
          </w:p>
        </w:tc>
      </w:tr>
      <w:tr w:rsidR="00AB0D80" w:rsidRPr="00AB0D80" w14:paraId="603FE166" w14:textId="77777777" w:rsidTr="00DA09CE">
        <w:trPr>
          <w:cnfStyle w:val="000000100000" w:firstRow="0" w:lastRow="0" w:firstColumn="0" w:lastColumn="0" w:oddVBand="0" w:evenVBand="0" w:oddHBand="1" w:evenHBand="0" w:firstRowFirstColumn="0" w:firstRowLastColumn="0" w:lastRowFirstColumn="0" w:lastRowLastColumn="0"/>
        </w:trPr>
        <w:tc>
          <w:tcPr>
            <w:tcW w:w="1560" w:type="dxa"/>
            <w:vMerge/>
          </w:tcPr>
          <w:p w14:paraId="6904F0B2" w14:textId="77777777" w:rsidR="00AB0D80" w:rsidRPr="00AB0D80" w:rsidRDefault="00AB0D80" w:rsidP="00AB0D80">
            <w:pPr>
              <w:rPr>
                <w:rFonts w:ascii="Arial" w:eastAsia="Arial" w:hAnsi="Arial" w:cs="Arial"/>
              </w:rPr>
            </w:pPr>
          </w:p>
        </w:tc>
        <w:tc>
          <w:tcPr>
            <w:tcW w:w="6657" w:type="dxa"/>
          </w:tcPr>
          <w:p w14:paraId="7D92CE2D" w14:textId="77777777" w:rsidR="00AB0D80" w:rsidRPr="00AB0D80" w:rsidRDefault="00AB0D80" w:rsidP="00AB0D80">
            <w:pPr>
              <w:rPr>
                <w:rFonts w:ascii="Arial" w:eastAsia="Arial" w:hAnsi="Arial" w:cs="Arial"/>
                <w:b/>
                <w:bCs/>
              </w:rPr>
            </w:pPr>
            <w:r w:rsidRPr="00AB0D80">
              <w:rPr>
                <w:rFonts w:ascii="Arial" w:eastAsia="Arial" w:hAnsi="Arial" w:cs="Arial"/>
                <w:b/>
                <w:bCs/>
              </w:rPr>
              <w:t>Standard fitting definition</w:t>
            </w:r>
          </w:p>
          <w:p w14:paraId="03FC9BAC" w14:textId="77777777" w:rsidR="00AB0D80" w:rsidRPr="00AB0D80" w:rsidRDefault="00AB0D80" w:rsidP="00AB0D80">
            <w:pPr>
              <w:rPr>
                <w:rFonts w:ascii="Arial" w:eastAsia="Arial" w:hAnsi="Arial" w:cs="Arial"/>
              </w:rPr>
            </w:pPr>
            <w:r w:rsidRPr="00AB0D80">
              <w:rPr>
                <w:rFonts w:ascii="Arial" w:eastAsia="Arial" w:hAnsi="Arial" w:cs="Arial"/>
              </w:rPr>
              <w:t>Replace the term ‘fitting’ throughout to ‘luminaire’ and to mean: Standard products</w:t>
            </w:r>
          </w:p>
          <w:p w14:paraId="0CECCAC3" w14:textId="77777777" w:rsidR="00AB0D80" w:rsidRPr="00AB0D80" w:rsidRDefault="00AB0D80" w:rsidP="00AB0D80">
            <w:pPr>
              <w:rPr>
                <w:rFonts w:ascii="Arial" w:eastAsia="Arial" w:hAnsi="Arial" w:cs="Arial"/>
              </w:rPr>
            </w:pPr>
            <w:r w:rsidRPr="00AB0D80">
              <w:rPr>
                <w:rFonts w:ascii="Arial" w:eastAsia="Arial" w:hAnsi="Arial" w:cs="Arial"/>
              </w:rPr>
              <w:t xml:space="preserve">Distributors maintain replacement stock of </w:t>
            </w:r>
            <w:proofErr w:type="gramStart"/>
            <w:r w:rsidRPr="00AB0D80">
              <w:rPr>
                <w:rFonts w:ascii="Arial" w:eastAsia="Arial" w:hAnsi="Arial" w:cs="Arial"/>
              </w:rPr>
              <w:t>a number of</w:t>
            </w:r>
            <w:proofErr w:type="gramEnd"/>
            <w:r w:rsidRPr="00AB0D80">
              <w:rPr>
                <w:rFonts w:ascii="Arial" w:eastAsia="Arial" w:hAnsi="Arial" w:cs="Arial"/>
              </w:rPr>
              <w:t xml:space="preserve"> public lighting products including lamps, photo-electric cells, luminaires, brackets, public lighting poles, supply cable and control equipment. These assets, which are primarily used in large scale across distribution networks are classified as approved standard product</w:t>
            </w:r>
          </w:p>
        </w:tc>
        <w:tc>
          <w:tcPr>
            <w:tcW w:w="6343" w:type="dxa"/>
          </w:tcPr>
          <w:p w14:paraId="73C9EA98" w14:textId="77777777" w:rsidR="00AB0D80" w:rsidRDefault="00AB0D80" w:rsidP="00AB0D80">
            <w:pPr>
              <w:rPr>
                <w:rFonts w:ascii="Arial" w:eastAsia="Arial" w:hAnsi="Arial" w:cs="Arial"/>
              </w:rPr>
            </w:pPr>
            <w:r w:rsidRPr="00AB0D80">
              <w:rPr>
                <w:rFonts w:ascii="Arial" w:eastAsia="Arial" w:hAnsi="Arial" w:cs="Arial"/>
              </w:rPr>
              <w:t>We have considered this feedback but have retained the current definition drafting to maintain clarity rather than adopting the feedback suggestion.</w:t>
            </w:r>
          </w:p>
          <w:p w14:paraId="732B53EF" w14:textId="3F10B16F" w:rsidR="00E91D54" w:rsidRPr="00AB0D80" w:rsidRDefault="00E91D54" w:rsidP="00AB0D80">
            <w:pPr>
              <w:rPr>
                <w:rFonts w:ascii="Arial" w:eastAsia="Arial" w:hAnsi="Arial" w:cs="Arial"/>
              </w:rPr>
            </w:pPr>
          </w:p>
        </w:tc>
      </w:tr>
      <w:tr w:rsidR="00AB0D80" w:rsidRPr="00AB0D80" w14:paraId="6A5D4449" w14:textId="77777777" w:rsidTr="00DA09CE">
        <w:trPr>
          <w:cnfStyle w:val="000000010000" w:firstRow="0" w:lastRow="0" w:firstColumn="0" w:lastColumn="0" w:oddVBand="0" w:evenVBand="0" w:oddHBand="0" w:evenHBand="1" w:firstRowFirstColumn="0" w:firstRowLastColumn="0" w:lastRowFirstColumn="0" w:lastRowLastColumn="0"/>
        </w:trPr>
        <w:tc>
          <w:tcPr>
            <w:tcW w:w="1560" w:type="dxa"/>
            <w:vMerge/>
          </w:tcPr>
          <w:p w14:paraId="0DB6DD59" w14:textId="77777777" w:rsidR="00AB0D80" w:rsidRPr="00AB0D80" w:rsidRDefault="00AB0D80" w:rsidP="00AB0D80">
            <w:pPr>
              <w:rPr>
                <w:rFonts w:ascii="Arial" w:eastAsia="Arial" w:hAnsi="Arial" w:cs="Arial"/>
              </w:rPr>
            </w:pPr>
          </w:p>
        </w:tc>
        <w:tc>
          <w:tcPr>
            <w:tcW w:w="6657" w:type="dxa"/>
          </w:tcPr>
          <w:p w14:paraId="3B566A43" w14:textId="77777777" w:rsidR="00AB0D80" w:rsidRPr="00AB0D80" w:rsidRDefault="00AB0D80" w:rsidP="00AB0D80">
            <w:pPr>
              <w:rPr>
                <w:rFonts w:ascii="Arial" w:eastAsia="Arial" w:hAnsi="Arial" w:cs="Arial"/>
                <w:b/>
                <w:bCs/>
              </w:rPr>
            </w:pPr>
            <w:r w:rsidRPr="00AB0D80">
              <w:rPr>
                <w:rFonts w:ascii="Arial" w:eastAsia="Arial" w:hAnsi="Arial" w:cs="Arial"/>
                <w:b/>
                <w:bCs/>
              </w:rPr>
              <w:t>Fault reporting channel</w:t>
            </w:r>
          </w:p>
          <w:p w14:paraId="7D375863" w14:textId="77777777" w:rsidR="00AB0D80" w:rsidRPr="00AB0D80" w:rsidRDefault="00AB0D80" w:rsidP="00AB0D80">
            <w:pPr>
              <w:rPr>
                <w:rFonts w:ascii="Arial" w:eastAsia="Arial" w:hAnsi="Arial" w:cs="Arial"/>
              </w:rPr>
            </w:pPr>
            <w:r w:rsidRPr="00AB0D80">
              <w:rPr>
                <w:rFonts w:ascii="Arial" w:eastAsia="Arial" w:hAnsi="Arial" w:cs="Arial"/>
              </w:rPr>
              <w:t>Electricity Distribution Code of Practice Clause 19.7.1 (a):</w:t>
            </w:r>
            <w:r w:rsidRPr="00AB0D80">
              <w:rPr>
                <w:rFonts w:ascii="Arial" w:eastAsia="Arial" w:hAnsi="Arial" w:cs="Arial"/>
              </w:rPr>
              <w:tab/>
            </w:r>
          </w:p>
          <w:p w14:paraId="4F46DC2E" w14:textId="77777777" w:rsidR="00AB0D80" w:rsidRPr="00AB0D80" w:rsidRDefault="00AB0D80" w:rsidP="00AB0D80">
            <w:pPr>
              <w:numPr>
                <w:ilvl w:val="0"/>
                <w:numId w:val="32"/>
              </w:numPr>
              <w:contextualSpacing/>
              <w:rPr>
                <w:rFonts w:ascii="Arial" w:eastAsia="Arial" w:hAnsi="Arial" w:cs="Arial"/>
              </w:rPr>
            </w:pPr>
            <w:r w:rsidRPr="00AB0D80">
              <w:rPr>
                <w:rFonts w:ascii="Arial" w:eastAsia="Arial" w:hAnsi="Arial" w:cs="Arial"/>
              </w:rPr>
              <w:t xml:space="preserve">operate a </w:t>
            </w:r>
            <w:proofErr w:type="gramStart"/>
            <w:r w:rsidRPr="00AB0D80">
              <w:rPr>
                <w:rFonts w:ascii="Arial" w:eastAsia="Arial" w:hAnsi="Arial" w:cs="Arial"/>
              </w:rPr>
              <w:t>24 hour</w:t>
            </w:r>
            <w:proofErr w:type="gramEnd"/>
            <w:r w:rsidRPr="00AB0D80">
              <w:rPr>
                <w:rFonts w:ascii="Arial" w:eastAsia="Arial" w:hAnsi="Arial" w:cs="Arial"/>
              </w:rPr>
              <w:t xml:space="preserve"> call centre and/or online platform to receive public and public lighting customer fault report; and</w:t>
            </w:r>
          </w:p>
        </w:tc>
        <w:tc>
          <w:tcPr>
            <w:tcW w:w="6343" w:type="dxa"/>
          </w:tcPr>
          <w:p w14:paraId="6C79A142" w14:textId="77777777" w:rsidR="00AB0D80" w:rsidRPr="00AB0D80" w:rsidRDefault="00AB0D80" w:rsidP="00AB0D80">
            <w:pPr>
              <w:rPr>
                <w:rFonts w:ascii="Arial" w:eastAsia="Arial" w:hAnsi="Arial" w:cs="Arial"/>
              </w:rPr>
            </w:pPr>
            <w:r w:rsidRPr="00AB0D80">
              <w:rPr>
                <w:rFonts w:ascii="Arial" w:eastAsia="Arial" w:hAnsi="Arial" w:cs="Arial"/>
              </w:rPr>
              <w:t>We have considered and incorporated this feedback in our final Electricity Distribution Code of Practice drafting.</w:t>
            </w:r>
          </w:p>
          <w:p w14:paraId="112C44EF" w14:textId="09B6BBCE" w:rsidR="00AB0D80" w:rsidRPr="00AB0D80" w:rsidRDefault="00AB0D80" w:rsidP="00AB0D80">
            <w:pPr>
              <w:rPr>
                <w:rFonts w:ascii="Arial" w:eastAsia="Arial" w:hAnsi="Arial" w:cs="Arial"/>
              </w:rPr>
            </w:pPr>
            <w:r w:rsidRPr="00AB0D80">
              <w:rPr>
                <w:rFonts w:ascii="Arial" w:eastAsia="Arial" w:hAnsi="Arial" w:cs="Arial"/>
              </w:rPr>
              <w:t>Clause 19.7.1(a) has been amended</w:t>
            </w:r>
            <w:r w:rsidR="00653DC8">
              <w:rPr>
                <w:rFonts w:ascii="Arial" w:eastAsia="Arial" w:hAnsi="Arial" w:cs="Arial"/>
              </w:rPr>
              <w:t xml:space="preserve"> to include the term ‘electronic</w:t>
            </w:r>
            <w:r w:rsidR="00EA3374">
              <w:rPr>
                <w:rFonts w:ascii="Arial" w:eastAsia="Arial" w:hAnsi="Arial" w:cs="Arial"/>
              </w:rPr>
              <w:t xml:space="preserve"> communication</w:t>
            </w:r>
            <w:r w:rsidR="00653DC8">
              <w:rPr>
                <w:rFonts w:ascii="Arial" w:eastAsia="Arial" w:hAnsi="Arial" w:cs="Arial"/>
              </w:rPr>
              <w:t>’ system</w:t>
            </w:r>
            <w:r w:rsidR="00653DC8" w:rsidRPr="00AB0D80">
              <w:rPr>
                <w:rFonts w:ascii="Arial" w:eastAsia="Arial" w:hAnsi="Arial" w:cs="Arial"/>
              </w:rPr>
              <w:t>.</w:t>
            </w:r>
          </w:p>
        </w:tc>
      </w:tr>
      <w:tr w:rsidR="00AB0D80" w:rsidRPr="00AB0D80" w14:paraId="3D41A26B" w14:textId="77777777" w:rsidTr="00DA09CE">
        <w:trPr>
          <w:cnfStyle w:val="000000100000" w:firstRow="0" w:lastRow="0" w:firstColumn="0" w:lastColumn="0" w:oddVBand="0" w:evenVBand="0" w:oddHBand="1" w:evenHBand="0" w:firstRowFirstColumn="0" w:firstRowLastColumn="0" w:lastRowFirstColumn="0" w:lastRowLastColumn="0"/>
        </w:trPr>
        <w:tc>
          <w:tcPr>
            <w:tcW w:w="1560" w:type="dxa"/>
            <w:vMerge/>
          </w:tcPr>
          <w:p w14:paraId="17119EF5" w14:textId="77777777" w:rsidR="00AB0D80" w:rsidRPr="00AB0D80" w:rsidRDefault="00AB0D80" w:rsidP="00AB0D80">
            <w:pPr>
              <w:rPr>
                <w:rFonts w:ascii="Arial" w:eastAsia="Arial" w:hAnsi="Arial" w:cs="Arial"/>
              </w:rPr>
            </w:pPr>
          </w:p>
        </w:tc>
        <w:tc>
          <w:tcPr>
            <w:tcW w:w="6657" w:type="dxa"/>
          </w:tcPr>
          <w:p w14:paraId="1A0BC8D7" w14:textId="77777777" w:rsidR="00AB0D80" w:rsidRPr="00AB0D80" w:rsidRDefault="00AB0D80" w:rsidP="00AB0D80">
            <w:pPr>
              <w:rPr>
                <w:rFonts w:ascii="Arial" w:eastAsia="Arial" w:hAnsi="Arial" w:cs="Arial"/>
                <w:b/>
                <w:bCs/>
              </w:rPr>
            </w:pPr>
            <w:r w:rsidRPr="00AB0D80">
              <w:rPr>
                <w:rFonts w:ascii="Arial" w:eastAsia="Arial" w:hAnsi="Arial" w:cs="Arial"/>
                <w:b/>
                <w:bCs/>
              </w:rPr>
              <w:t xml:space="preserve">Minimum standard - </w:t>
            </w:r>
            <w:proofErr w:type="gramStart"/>
            <w:r w:rsidRPr="00AB0D80">
              <w:rPr>
                <w:rFonts w:ascii="Arial" w:eastAsia="Arial" w:hAnsi="Arial" w:cs="Arial"/>
                <w:b/>
                <w:bCs/>
              </w:rPr>
              <w:t>Non-major</w:t>
            </w:r>
            <w:proofErr w:type="gramEnd"/>
            <w:r w:rsidRPr="00AB0D80">
              <w:rPr>
                <w:rFonts w:ascii="Arial" w:eastAsia="Arial" w:hAnsi="Arial" w:cs="Arial"/>
                <w:b/>
                <w:bCs/>
              </w:rPr>
              <w:t xml:space="preserve"> road lamp replacement</w:t>
            </w:r>
          </w:p>
          <w:p w14:paraId="51249D8C" w14:textId="77777777" w:rsidR="00AB0D80" w:rsidRPr="00AB0D80" w:rsidRDefault="00AB0D80" w:rsidP="00AB0D80">
            <w:pPr>
              <w:rPr>
                <w:rFonts w:ascii="Arial" w:eastAsia="Arial" w:hAnsi="Arial" w:cs="Arial"/>
              </w:rPr>
            </w:pPr>
            <w:r w:rsidRPr="00AB0D80">
              <w:rPr>
                <w:rFonts w:ascii="Arial" w:eastAsia="Arial" w:hAnsi="Arial" w:cs="Arial"/>
              </w:rPr>
              <w:t>Electricity Distribution Code of Practice Clause 19.7.1 (c)</w:t>
            </w:r>
            <w:r w:rsidRPr="00AB0D80">
              <w:rPr>
                <w:rFonts w:ascii="Arial" w:eastAsia="Arial" w:hAnsi="Arial" w:cs="Arial"/>
              </w:rPr>
              <w:tab/>
            </w:r>
          </w:p>
          <w:p w14:paraId="04BCDB9B" w14:textId="77777777" w:rsidR="00AB0D80" w:rsidRPr="00AB0D80" w:rsidRDefault="00AB0D80" w:rsidP="00AB0D80">
            <w:pPr>
              <w:numPr>
                <w:ilvl w:val="0"/>
                <w:numId w:val="32"/>
              </w:numPr>
              <w:contextualSpacing/>
              <w:rPr>
                <w:rFonts w:ascii="Arial" w:eastAsia="Arial" w:hAnsi="Arial" w:cs="Arial"/>
              </w:rPr>
            </w:pPr>
            <w:r w:rsidRPr="00AB0D80">
              <w:rPr>
                <w:rFonts w:ascii="Arial" w:eastAsia="Arial" w:hAnsi="Arial" w:cs="Arial"/>
              </w:rPr>
              <w:t xml:space="preserve">replace </w:t>
            </w:r>
            <w:r w:rsidRPr="00AB0D80">
              <w:rPr>
                <w:rFonts w:ascii="Arial" w:eastAsia="Arial" w:hAnsi="Arial" w:cs="Arial"/>
                <w:strike/>
              </w:rPr>
              <w:t>non-major road</w:t>
            </w:r>
            <w:r w:rsidRPr="00AB0D80">
              <w:rPr>
                <w:rFonts w:ascii="Arial" w:eastAsia="Arial" w:hAnsi="Arial" w:cs="Arial"/>
              </w:rPr>
              <w:t xml:space="preserve"> lamps </w:t>
            </w:r>
            <w:r w:rsidRPr="00AB0D80">
              <w:rPr>
                <w:rFonts w:ascii="Arial" w:eastAsia="Arial" w:hAnsi="Arial" w:cs="Arial"/>
                <w:strike/>
              </w:rPr>
              <w:t>at least every 4 years or otherwise</w:t>
            </w:r>
            <w:r w:rsidRPr="00AB0D80">
              <w:rPr>
                <w:rFonts w:ascii="Arial" w:eastAsia="Arial" w:hAnsi="Arial" w:cs="Arial"/>
              </w:rPr>
              <w:t xml:space="preserve"> in accordance with industry best practice or as required by the public lighting standards;</w:t>
            </w:r>
          </w:p>
        </w:tc>
        <w:tc>
          <w:tcPr>
            <w:tcW w:w="6343" w:type="dxa"/>
          </w:tcPr>
          <w:p w14:paraId="5C417152" w14:textId="77777777" w:rsidR="00AB0D80" w:rsidRPr="00AB0D80" w:rsidRDefault="00AB0D80" w:rsidP="00AB0D80">
            <w:pPr>
              <w:rPr>
                <w:rFonts w:ascii="Arial" w:eastAsia="Arial" w:hAnsi="Arial" w:cs="Arial"/>
              </w:rPr>
            </w:pPr>
            <w:r w:rsidRPr="00AB0D80">
              <w:rPr>
                <w:rFonts w:ascii="Arial" w:eastAsia="Arial" w:hAnsi="Arial" w:cs="Arial"/>
              </w:rPr>
              <w:t>We have considered and incorporated this feedback in our final Electricity Distribution Code of Practice drafting.</w:t>
            </w:r>
          </w:p>
          <w:p w14:paraId="55A5307A" w14:textId="3C3EA669" w:rsidR="00AB0D80" w:rsidRPr="00AB0D80" w:rsidRDefault="00AB0D80" w:rsidP="00AB0D80">
            <w:pPr>
              <w:rPr>
                <w:rFonts w:ascii="Arial" w:eastAsia="Arial" w:hAnsi="Arial" w:cs="Arial"/>
              </w:rPr>
            </w:pPr>
            <w:r w:rsidRPr="00AB0D80">
              <w:rPr>
                <w:rFonts w:ascii="Arial" w:eastAsia="Arial" w:hAnsi="Arial" w:cs="Arial"/>
              </w:rPr>
              <w:t xml:space="preserve">Clause 19.7.1(c) has deleted the </w:t>
            </w:r>
            <w:r w:rsidR="00523A41">
              <w:rPr>
                <w:rFonts w:ascii="Arial" w:eastAsia="Arial" w:hAnsi="Arial" w:cs="Arial"/>
              </w:rPr>
              <w:t>drafting</w:t>
            </w:r>
            <w:r w:rsidRPr="00AB0D80">
              <w:rPr>
                <w:rFonts w:ascii="Arial" w:eastAsia="Arial" w:hAnsi="Arial" w:cs="Arial"/>
              </w:rPr>
              <w:t xml:space="preserve"> </w:t>
            </w:r>
            <w:r w:rsidR="00523A41">
              <w:rPr>
                <w:rFonts w:ascii="Arial" w:eastAsia="Arial" w:hAnsi="Arial" w:cs="Arial"/>
              </w:rPr>
              <w:t>of</w:t>
            </w:r>
            <w:r w:rsidRPr="00AB0D80">
              <w:rPr>
                <w:rFonts w:ascii="Arial" w:eastAsia="Arial" w:hAnsi="Arial" w:cs="Arial"/>
              </w:rPr>
              <w:t xml:space="preserve"> ‘non-major roads’ and the ‘at least every 4 years or otherwise’.</w:t>
            </w:r>
          </w:p>
        </w:tc>
      </w:tr>
      <w:tr w:rsidR="00AB0D80" w:rsidRPr="00AB0D80" w14:paraId="72BE5DDB" w14:textId="77777777" w:rsidTr="00DA09CE">
        <w:trPr>
          <w:cnfStyle w:val="000000010000" w:firstRow="0" w:lastRow="0" w:firstColumn="0" w:lastColumn="0" w:oddVBand="0" w:evenVBand="0" w:oddHBand="0" w:evenHBand="1" w:firstRowFirstColumn="0" w:firstRowLastColumn="0" w:lastRowFirstColumn="0" w:lastRowLastColumn="0"/>
        </w:trPr>
        <w:tc>
          <w:tcPr>
            <w:tcW w:w="1560" w:type="dxa"/>
            <w:vMerge/>
          </w:tcPr>
          <w:p w14:paraId="1A00C481" w14:textId="77777777" w:rsidR="00AB0D80" w:rsidRPr="00AB0D80" w:rsidRDefault="00AB0D80" w:rsidP="00AB0D80">
            <w:pPr>
              <w:rPr>
                <w:rFonts w:ascii="Arial" w:eastAsia="Arial" w:hAnsi="Arial" w:cs="Arial"/>
              </w:rPr>
            </w:pPr>
          </w:p>
        </w:tc>
        <w:tc>
          <w:tcPr>
            <w:tcW w:w="6657" w:type="dxa"/>
          </w:tcPr>
          <w:p w14:paraId="2A7F5657" w14:textId="77777777" w:rsidR="00AB0D80" w:rsidRPr="00AB0D80" w:rsidRDefault="00AB0D80" w:rsidP="00AB0D80">
            <w:pPr>
              <w:rPr>
                <w:rFonts w:ascii="Arial" w:eastAsia="Arial" w:hAnsi="Arial" w:cs="Arial"/>
                <w:b/>
                <w:bCs/>
              </w:rPr>
            </w:pPr>
            <w:r w:rsidRPr="00AB0D80">
              <w:rPr>
                <w:rFonts w:ascii="Arial" w:eastAsia="Arial" w:hAnsi="Arial" w:cs="Arial"/>
                <w:b/>
                <w:bCs/>
              </w:rPr>
              <w:t>Minimum standard – Photo-electric cell and smart control nodes replacement</w:t>
            </w:r>
          </w:p>
          <w:p w14:paraId="72201A66" w14:textId="77777777" w:rsidR="00AB0D80" w:rsidRPr="00AB0D80" w:rsidRDefault="00AB0D80" w:rsidP="00AB0D80">
            <w:pPr>
              <w:rPr>
                <w:rFonts w:ascii="Arial" w:eastAsia="Arial" w:hAnsi="Arial" w:cs="Arial"/>
              </w:rPr>
            </w:pPr>
            <w:r w:rsidRPr="00AB0D80">
              <w:rPr>
                <w:rFonts w:ascii="Arial" w:eastAsia="Arial" w:hAnsi="Arial" w:cs="Arial"/>
              </w:rPr>
              <w:t>Electricity Distribution Code of Practice Clause 19.7.1 (e)</w:t>
            </w:r>
            <w:r w:rsidRPr="00AB0D80">
              <w:rPr>
                <w:rFonts w:ascii="Arial" w:eastAsia="Arial" w:hAnsi="Arial" w:cs="Arial"/>
              </w:rPr>
              <w:tab/>
            </w:r>
          </w:p>
          <w:p w14:paraId="54A1B03E" w14:textId="77777777" w:rsidR="00AB0D80" w:rsidRPr="00AB0D80" w:rsidRDefault="00AB0D80" w:rsidP="00AB0D80">
            <w:pPr>
              <w:numPr>
                <w:ilvl w:val="0"/>
                <w:numId w:val="32"/>
              </w:numPr>
              <w:contextualSpacing/>
              <w:rPr>
                <w:rFonts w:ascii="Arial" w:eastAsia="Arial" w:hAnsi="Arial" w:cs="Arial"/>
                <w:b/>
                <w:bCs/>
              </w:rPr>
            </w:pPr>
            <w:r w:rsidRPr="00AB0D80">
              <w:rPr>
                <w:rFonts w:ascii="Arial" w:eastAsia="Arial" w:hAnsi="Arial" w:cs="Arial"/>
              </w:rPr>
              <w:t xml:space="preserve">replace photo-electric cells and smart control nodes </w:t>
            </w:r>
            <w:r w:rsidRPr="00AB0D80">
              <w:rPr>
                <w:rFonts w:ascii="Arial" w:eastAsia="Arial" w:hAnsi="Arial" w:cs="Arial"/>
                <w:strike/>
              </w:rPr>
              <w:t>at least every 8 years or otherwise</w:t>
            </w:r>
            <w:r w:rsidRPr="00AB0D80">
              <w:rPr>
                <w:rFonts w:ascii="Arial" w:eastAsia="Arial" w:hAnsi="Arial" w:cs="Arial"/>
              </w:rPr>
              <w:t xml:space="preserve"> in accordance with industry best practice or as required by the public lighting standards;</w:t>
            </w:r>
          </w:p>
        </w:tc>
        <w:tc>
          <w:tcPr>
            <w:tcW w:w="6343" w:type="dxa"/>
          </w:tcPr>
          <w:p w14:paraId="59F317A8" w14:textId="77777777" w:rsidR="00AB0D80" w:rsidRPr="00AB0D80" w:rsidRDefault="00AB0D80" w:rsidP="00AB0D80">
            <w:pPr>
              <w:rPr>
                <w:rFonts w:ascii="Arial" w:eastAsia="Arial" w:hAnsi="Arial" w:cs="Arial"/>
              </w:rPr>
            </w:pPr>
            <w:r w:rsidRPr="00AB0D80">
              <w:rPr>
                <w:rFonts w:ascii="Arial" w:eastAsia="Arial" w:hAnsi="Arial" w:cs="Arial"/>
              </w:rPr>
              <w:t>We have considered and incorporated this feedback in our final Electricity Distribution Code of Practice drafting.</w:t>
            </w:r>
          </w:p>
          <w:p w14:paraId="5DDF7FC4" w14:textId="77777777" w:rsidR="00AB0D80" w:rsidRPr="00AB0D80" w:rsidRDefault="00AB0D80" w:rsidP="00AB0D80">
            <w:pPr>
              <w:rPr>
                <w:rFonts w:ascii="Arial" w:eastAsia="Arial" w:hAnsi="Arial" w:cs="Arial"/>
              </w:rPr>
            </w:pPr>
            <w:r w:rsidRPr="00AB0D80">
              <w:rPr>
                <w:rFonts w:ascii="Arial" w:eastAsia="Arial" w:hAnsi="Arial" w:cs="Arial"/>
              </w:rPr>
              <w:t xml:space="preserve">Clause 19.7.1(e) has been amended and: </w:t>
            </w:r>
          </w:p>
          <w:p w14:paraId="62356615" w14:textId="77777777" w:rsidR="00AB0D80" w:rsidRPr="00AB0D80" w:rsidRDefault="00AB0D80" w:rsidP="00AB0D80">
            <w:pPr>
              <w:numPr>
                <w:ilvl w:val="0"/>
                <w:numId w:val="34"/>
              </w:numPr>
              <w:contextualSpacing/>
              <w:rPr>
                <w:rFonts w:ascii="Arial" w:eastAsia="Arial" w:hAnsi="Arial" w:cs="Arial"/>
              </w:rPr>
            </w:pPr>
            <w:r w:rsidRPr="00AB0D80">
              <w:rPr>
                <w:rFonts w:ascii="Arial" w:eastAsia="Arial" w:hAnsi="Arial" w:cs="Arial"/>
              </w:rPr>
              <w:t xml:space="preserve">introduced and inserted here a new ‘smart control node’ definition. </w:t>
            </w:r>
          </w:p>
          <w:p w14:paraId="359A1257" w14:textId="77777777" w:rsidR="00AB0D80" w:rsidRPr="00AB0D80" w:rsidRDefault="00AB0D80" w:rsidP="00AB0D80">
            <w:pPr>
              <w:numPr>
                <w:ilvl w:val="0"/>
                <w:numId w:val="34"/>
              </w:numPr>
              <w:contextualSpacing/>
              <w:rPr>
                <w:rFonts w:ascii="Arial" w:eastAsia="Arial" w:hAnsi="Arial" w:cs="Arial"/>
              </w:rPr>
            </w:pPr>
            <w:r w:rsidRPr="00AB0D80">
              <w:rPr>
                <w:rFonts w:ascii="Arial" w:eastAsia="Arial" w:hAnsi="Arial" w:cs="Arial"/>
              </w:rPr>
              <w:t>deleted the drafting ‘at least every 8 years or otherwise’</w:t>
            </w:r>
          </w:p>
        </w:tc>
      </w:tr>
      <w:tr w:rsidR="00AB0D80" w:rsidRPr="00AB0D80" w14:paraId="2FDF5928" w14:textId="77777777" w:rsidTr="00DA09CE">
        <w:trPr>
          <w:cnfStyle w:val="000000100000" w:firstRow="0" w:lastRow="0" w:firstColumn="0" w:lastColumn="0" w:oddVBand="0" w:evenVBand="0" w:oddHBand="1" w:evenHBand="0" w:firstRowFirstColumn="0" w:firstRowLastColumn="0" w:lastRowFirstColumn="0" w:lastRowLastColumn="0"/>
        </w:trPr>
        <w:tc>
          <w:tcPr>
            <w:tcW w:w="1560" w:type="dxa"/>
            <w:vMerge/>
          </w:tcPr>
          <w:p w14:paraId="0C239AFD" w14:textId="77777777" w:rsidR="00AB0D80" w:rsidRPr="00AB0D80" w:rsidRDefault="00AB0D80" w:rsidP="00AB0D80">
            <w:pPr>
              <w:rPr>
                <w:rFonts w:ascii="Arial" w:eastAsia="Arial" w:hAnsi="Arial" w:cs="Arial"/>
              </w:rPr>
            </w:pPr>
          </w:p>
        </w:tc>
        <w:tc>
          <w:tcPr>
            <w:tcW w:w="6657" w:type="dxa"/>
          </w:tcPr>
          <w:p w14:paraId="4CFD9C46" w14:textId="77777777" w:rsidR="00AB0D80" w:rsidRPr="00AB0D80" w:rsidRDefault="00AB0D80" w:rsidP="00AB0D80">
            <w:pPr>
              <w:rPr>
                <w:rFonts w:ascii="Arial" w:eastAsia="Arial" w:hAnsi="Arial" w:cs="Arial"/>
                <w:b/>
                <w:bCs/>
              </w:rPr>
            </w:pPr>
            <w:r w:rsidRPr="00AB0D80">
              <w:rPr>
                <w:rFonts w:ascii="Arial" w:eastAsia="Arial" w:hAnsi="Arial" w:cs="Arial"/>
                <w:b/>
                <w:bCs/>
              </w:rPr>
              <w:t xml:space="preserve">Minimum standard – 3 times annual patrols </w:t>
            </w:r>
          </w:p>
          <w:p w14:paraId="38610465" w14:textId="77777777" w:rsidR="00AB0D80" w:rsidRPr="00AB0D80" w:rsidRDefault="00AB0D80" w:rsidP="00AB0D80">
            <w:pPr>
              <w:rPr>
                <w:rFonts w:ascii="Arial" w:eastAsia="Arial" w:hAnsi="Arial" w:cs="Arial"/>
              </w:rPr>
            </w:pPr>
            <w:r w:rsidRPr="00AB0D80">
              <w:rPr>
                <w:rFonts w:ascii="Arial" w:eastAsia="Arial" w:hAnsi="Arial" w:cs="Arial"/>
              </w:rPr>
              <w:t xml:space="preserve">Electricity Distribution Code of Practice Clause 19.7.1 (f) </w:t>
            </w:r>
          </w:p>
          <w:p w14:paraId="7CF25DCC" w14:textId="77777777" w:rsidR="00AB0D80" w:rsidRPr="00AB0D80" w:rsidRDefault="00AB0D80" w:rsidP="00AB0D80">
            <w:pPr>
              <w:numPr>
                <w:ilvl w:val="0"/>
                <w:numId w:val="32"/>
              </w:numPr>
              <w:contextualSpacing/>
              <w:rPr>
                <w:rFonts w:ascii="Arial" w:eastAsia="Arial" w:hAnsi="Arial" w:cs="Arial"/>
              </w:rPr>
            </w:pPr>
            <w:r w:rsidRPr="00AB0D80">
              <w:rPr>
                <w:rFonts w:ascii="Arial" w:eastAsia="Arial" w:hAnsi="Arial" w:cs="Arial"/>
              </w:rPr>
              <w:t xml:space="preserve">routinely patrol major roads at night to inspect, replace or repair luminaires in accordance with industry best practice </w:t>
            </w:r>
            <w:r w:rsidRPr="00AB0D80">
              <w:rPr>
                <w:rFonts w:ascii="Arial" w:eastAsia="Arial" w:hAnsi="Arial" w:cs="Arial"/>
              </w:rPr>
              <w:lastRenderedPageBreak/>
              <w:t>as agreed to with the public lighting customer or at least 3 times per year; OR when a SLCMS is established for major road luminaires that provides asset fault information across the DNSP region or within a defined geographic region (such as a local government area).</w:t>
            </w:r>
          </w:p>
        </w:tc>
        <w:tc>
          <w:tcPr>
            <w:tcW w:w="6343" w:type="dxa"/>
          </w:tcPr>
          <w:p w14:paraId="79054368" w14:textId="77777777" w:rsidR="00AB0D80" w:rsidRPr="00AB0D80" w:rsidRDefault="00AB0D80" w:rsidP="00AB0D80">
            <w:pPr>
              <w:rPr>
                <w:rFonts w:ascii="Arial" w:eastAsia="Arial" w:hAnsi="Arial" w:cs="Arial"/>
              </w:rPr>
            </w:pPr>
            <w:r w:rsidRPr="00AB0D80">
              <w:rPr>
                <w:rFonts w:ascii="Arial" w:eastAsia="Arial" w:hAnsi="Arial" w:cs="Arial"/>
              </w:rPr>
              <w:lastRenderedPageBreak/>
              <w:t>We have considered and incorporated this feedback in our final Electricity Distribution Code of Practice drafting.</w:t>
            </w:r>
          </w:p>
          <w:p w14:paraId="59F7E6FD" w14:textId="77777777" w:rsidR="00AB0D80" w:rsidRPr="00AB0D80" w:rsidRDefault="00AB0D80" w:rsidP="00AB0D80">
            <w:pPr>
              <w:rPr>
                <w:rFonts w:ascii="Arial" w:eastAsia="Arial" w:hAnsi="Arial" w:cs="Arial"/>
              </w:rPr>
            </w:pPr>
            <w:r w:rsidRPr="00AB0D80">
              <w:rPr>
                <w:rFonts w:ascii="Arial" w:eastAsia="Arial" w:hAnsi="Arial" w:cs="Arial"/>
              </w:rPr>
              <w:lastRenderedPageBreak/>
              <w:t>To assist with drafting clarity and to insert the new ‘Central Management System’ definition, we have split clause 19.7.1(f) into three new sub-categories as follows:</w:t>
            </w:r>
          </w:p>
          <w:p w14:paraId="16655BA4" w14:textId="77777777" w:rsidR="00AB0D80" w:rsidRPr="00AB0D80" w:rsidRDefault="00AB0D80" w:rsidP="00AB0D80">
            <w:pPr>
              <w:rPr>
                <w:rFonts w:ascii="Arial" w:eastAsia="Arial" w:hAnsi="Arial" w:cs="Arial"/>
              </w:rPr>
            </w:pPr>
            <w:r w:rsidRPr="00AB0D80">
              <w:rPr>
                <w:rFonts w:ascii="Arial" w:eastAsia="Arial" w:hAnsi="Arial" w:cs="Arial"/>
              </w:rPr>
              <w:t xml:space="preserve">19.7.1(f) routinely patrol major roads at night to inspect, replace or repair luminaires in accordance with: </w:t>
            </w:r>
          </w:p>
          <w:p w14:paraId="4979735A" w14:textId="77777777" w:rsidR="00AB0D80" w:rsidRPr="00AB0D80" w:rsidRDefault="00AB0D80" w:rsidP="00AB0D80">
            <w:pPr>
              <w:ind w:left="720"/>
              <w:rPr>
                <w:rFonts w:ascii="Arial" w:eastAsia="Arial" w:hAnsi="Arial" w:cs="Arial"/>
              </w:rPr>
            </w:pPr>
            <w:r w:rsidRPr="00AB0D80">
              <w:rPr>
                <w:rFonts w:ascii="Arial" w:eastAsia="Arial" w:hAnsi="Arial" w:cs="Arial"/>
              </w:rPr>
              <w:t>(</w:t>
            </w:r>
            <w:proofErr w:type="spellStart"/>
            <w:r w:rsidRPr="00AB0D80">
              <w:rPr>
                <w:rFonts w:ascii="Arial" w:eastAsia="Arial" w:hAnsi="Arial" w:cs="Arial"/>
              </w:rPr>
              <w:t>i</w:t>
            </w:r>
            <w:proofErr w:type="spellEnd"/>
            <w:r w:rsidRPr="00AB0D80">
              <w:rPr>
                <w:rFonts w:ascii="Arial" w:eastAsia="Arial" w:hAnsi="Arial" w:cs="Arial"/>
              </w:rPr>
              <w:t xml:space="preserve">) industry best practice as agreed with the public lighting customer; or </w:t>
            </w:r>
          </w:p>
          <w:p w14:paraId="534B1631" w14:textId="77777777" w:rsidR="00AB0D80" w:rsidRPr="00AB0D80" w:rsidRDefault="00AB0D80" w:rsidP="00AB0D80">
            <w:pPr>
              <w:ind w:left="720"/>
              <w:rPr>
                <w:rFonts w:ascii="Arial" w:eastAsia="Arial" w:hAnsi="Arial" w:cs="Arial"/>
              </w:rPr>
            </w:pPr>
            <w:r w:rsidRPr="00AB0D80">
              <w:rPr>
                <w:rFonts w:ascii="Arial" w:eastAsia="Arial" w:hAnsi="Arial" w:cs="Arial"/>
              </w:rPr>
              <w:t xml:space="preserve">(ii) when a central management system is established to serve a geographic region in agreement with the public lighting customer for major roads luminaires; or </w:t>
            </w:r>
          </w:p>
          <w:p w14:paraId="029F2F1F" w14:textId="77777777" w:rsidR="00AB0D80" w:rsidRPr="00AB0D80" w:rsidRDefault="00AB0D80" w:rsidP="00AB0D80">
            <w:pPr>
              <w:ind w:left="720"/>
              <w:rPr>
                <w:rFonts w:ascii="Arial" w:eastAsia="Arial" w:hAnsi="Arial" w:cs="Arial"/>
              </w:rPr>
            </w:pPr>
            <w:r w:rsidRPr="00AB0D80">
              <w:rPr>
                <w:rFonts w:ascii="Arial" w:eastAsia="Arial" w:hAnsi="Arial" w:cs="Arial"/>
              </w:rPr>
              <w:t>(iii) at least 3 times per year.</w:t>
            </w:r>
          </w:p>
        </w:tc>
      </w:tr>
      <w:tr w:rsidR="00AB0D80" w:rsidRPr="00AB0D80" w14:paraId="7878EE20" w14:textId="77777777" w:rsidTr="00DA09CE">
        <w:trPr>
          <w:cnfStyle w:val="000000010000" w:firstRow="0" w:lastRow="0" w:firstColumn="0" w:lastColumn="0" w:oddVBand="0" w:evenVBand="0" w:oddHBand="0" w:evenHBand="1" w:firstRowFirstColumn="0" w:firstRowLastColumn="0" w:lastRowFirstColumn="0" w:lastRowLastColumn="0"/>
        </w:trPr>
        <w:tc>
          <w:tcPr>
            <w:tcW w:w="1560" w:type="dxa"/>
            <w:vMerge/>
          </w:tcPr>
          <w:p w14:paraId="266C2369" w14:textId="77777777" w:rsidR="00AB0D80" w:rsidRPr="00AB0D80" w:rsidRDefault="00AB0D80" w:rsidP="00AB0D80">
            <w:pPr>
              <w:rPr>
                <w:rFonts w:ascii="Arial" w:eastAsia="Arial" w:hAnsi="Arial" w:cs="Arial"/>
              </w:rPr>
            </w:pPr>
          </w:p>
        </w:tc>
        <w:tc>
          <w:tcPr>
            <w:tcW w:w="6657" w:type="dxa"/>
          </w:tcPr>
          <w:p w14:paraId="1D972F64" w14:textId="77777777" w:rsidR="00AB0D80" w:rsidRPr="00AB0D80" w:rsidRDefault="00AB0D80" w:rsidP="00AB0D80">
            <w:pPr>
              <w:rPr>
                <w:rFonts w:ascii="Arial" w:eastAsia="Arial" w:hAnsi="Arial" w:cs="Arial"/>
                <w:b/>
                <w:bCs/>
              </w:rPr>
            </w:pPr>
            <w:r w:rsidRPr="00AB0D80">
              <w:rPr>
                <w:rFonts w:ascii="Arial" w:eastAsia="Arial" w:hAnsi="Arial" w:cs="Arial"/>
                <w:b/>
                <w:bCs/>
              </w:rPr>
              <w:t xml:space="preserve">Minimum standard – lamp useful life  </w:t>
            </w:r>
          </w:p>
          <w:p w14:paraId="4C01C44D" w14:textId="77777777" w:rsidR="00AB0D80" w:rsidRPr="00AB0D80" w:rsidRDefault="00AB0D80" w:rsidP="00AB0D80">
            <w:pPr>
              <w:rPr>
                <w:rFonts w:ascii="Arial" w:eastAsia="Arial" w:hAnsi="Arial" w:cs="Arial"/>
              </w:rPr>
            </w:pPr>
            <w:r w:rsidRPr="00AB0D80">
              <w:rPr>
                <w:rFonts w:ascii="Arial" w:eastAsia="Arial" w:hAnsi="Arial" w:cs="Arial"/>
              </w:rPr>
              <w:t xml:space="preserve">Electricity Distribution Code of Practice Clause 19.7.1 (g) </w:t>
            </w:r>
          </w:p>
          <w:p w14:paraId="7AD4A7EB" w14:textId="77777777" w:rsidR="00AB0D80" w:rsidRPr="00AB0D80" w:rsidRDefault="00AB0D80" w:rsidP="00AB0D80">
            <w:pPr>
              <w:numPr>
                <w:ilvl w:val="0"/>
                <w:numId w:val="32"/>
              </w:numPr>
              <w:contextualSpacing/>
              <w:rPr>
                <w:rFonts w:ascii="Arial" w:eastAsia="Arial" w:hAnsi="Arial" w:cs="Arial"/>
              </w:rPr>
            </w:pPr>
            <w:r w:rsidRPr="00AB0D80">
              <w:rPr>
                <w:rFonts w:ascii="Arial" w:eastAsia="Arial" w:hAnsi="Arial" w:cs="Arial"/>
              </w:rPr>
              <w:t>Replace with ‘useful’, i.e. DNSPs do not routinely replace assets at end of economic life.</w:t>
            </w:r>
          </w:p>
        </w:tc>
        <w:tc>
          <w:tcPr>
            <w:tcW w:w="6343" w:type="dxa"/>
          </w:tcPr>
          <w:p w14:paraId="4B3ADC6E" w14:textId="77777777" w:rsidR="00AB0D80" w:rsidRPr="00AB0D80" w:rsidRDefault="00AB0D80" w:rsidP="00AB0D80">
            <w:pPr>
              <w:rPr>
                <w:rFonts w:ascii="Arial" w:eastAsia="Arial" w:hAnsi="Arial" w:cs="Arial"/>
              </w:rPr>
            </w:pPr>
            <w:r w:rsidRPr="00AB0D80">
              <w:rPr>
                <w:rFonts w:ascii="Arial" w:eastAsia="Arial" w:hAnsi="Arial" w:cs="Arial"/>
              </w:rPr>
              <w:t>We have considered and incorporated this feedback in our final Electricity Distribution Code of Practice drafting.</w:t>
            </w:r>
          </w:p>
          <w:p w14:paraId="2C273DC1" w14:textId="78E96412" w:rsidR="00AB0D80" w:rsidRPr="00AB0D80" w:rsidRDefault="00AB0D80" w:rsidP="00AB0D80">
            <w:pPr>
              <w:rPr>
                <w:rFonts w:ascii="Arial" w:eastAsia="Arial" w:hAnsi="Arial" w:cs="Arial"/>
              </w:rPr>
            </w:pPr>
            <w:r w:rsidRPr="00AB0D80">
              <w:rPr>
                <w:rFonts w:ascii="Arial" w:eastAsia="Arial" w:hAnsi="Arial" w:cs="Arial"/>
              </w:rPr>
              <w:t xml:space="preserve">Clause 19.7.1(g) has been amended to replace the </w:t>
            </w:r>
            <w:r w:rsidR="00A1231B">
              <w:rPr>
                <w:rFonts w:ascii="Arial" w:eastAsia="Arial" w:hAnsi="Arial" w:cs="Arial"/>
              </w:rPr>
              <w:t>term</w:t>
            </w:r>
            <w:r w:rsidRPr="00AB0D80">
              <w:rPr>
                <w:rFonts w:ascii="Arial" w:eastAsia="Arial" w:hAnsi="Arial" w:cs="Arial"/>
              </w:rPr>
              <w:t xml:space="preserve"> ‘economic’ with ‘useful’.</w:t>
            </w:r>
          </w:p>
        </w:tc>
      </w:tr>
      <w:tr w:rsidR="00AB0D80" w:rsidRPr="00AB0D80" w14:paraId="034933C0" w14:textId="77777777" w:rsidTr="00DA09CE">
        <w:trPr>
          <w:cnfStyle w:val="000000100000" w:firstRow="0" w:lastRow="0" w:firstColumn="0" w:lastColumn="0" w:oddVBand="0" w:evenVBand="0" w:oddHBand="1" w:evenHBand="0" w:firstRowFirstColumn="0" w:firstRowLastColumn="0" w:lastRowFirstColumn="0" w:lastRowLastColumn="0"/>
        </w:trPr>
        <w:tc>
          <w:tcPr>
            <w:tcW w:w="1560" w:type="dxa"/>
            <w:vMerge/>
          </w:tcPr>
          <w:p w14:paraId="525439BC" w14:textId="77777777" w:rsidR="00AB0D80" w:rsidRPr="00AB0D80" w:rsidRDefault="00AB0D80" w:rsidP="00AB0D80">
            <w:pPr>
              <w:rPr>
                <w:rFonts w:ascii="Arial" w:eastAsia="Arial" w:hAnsi="Arial" w:cs="Arial"/>
              </w:rPr>
            </w:pPr>
          </w:p>
        </w:tc>
        <w:tc>
          <w:tcPr>
            <w:tcW w:w="6657" w:type="dxa"/>
          </w:tcPr>
          <w:p w14:paraId="0437C1BC" w14:textId="77777777" w:rsidR="00AB0D80" w:rsidRPr="00AB0D80" w:rsidRDefault="00AB0D80" w:rsidP="00AB0D80">
            <w:pPr>
              <w:rPr>
                <w:rFonts w:ascii="Arial" w:eastAsia="Arial" w:hAnsi="Arial" w:cs="Arial"/>
                <w:b/>
                <w:bCs/>
              </w:rPr>
            </w:pPr>
            <w:r w:rsidRPr="00AB0D80">
              <w:rPr>
                <w:rFonts w:ascii="Arial" w:eastAsia="Arial" w:hAnsi="Arial" w:cs="Arial"/>
                <w:b/>
                <w:bCs/>
              </w:rPr>
              <w:t>Standard and non-standard fitting</w:t>
            </w:r>
          </w:p>
          <w:p w14:paraId="6A0FF401" w14:textId="77777777" w:rsidR="00AB0D80" w:rsidRPr="00AB0D80" w:rsidRDefault="00AB0D80" w:rsidP="00AB0D80">
            <w:pPr>
              <w:rPr>
                <w:rFonts w:ascii="Arial" w:eastAsia="Arial" w:hAnsi="Arial" w:cs="Arial"/>
                <w:b/>
                <w:bCs/>
              </w:rPr>
            </w:pPr>
            <w:r w:rsidRPr="00AB0D80">
              <w:rPr>
                <w:rFonts w:ascii="Arial" w:eastAsia="Arial" w:hAnsi="Arial" w:cs="Arial"/>
              </w:rPr>
              <w:t>Recommend retaining the relevant obligations (clauses 3.2 and 3.3 from the Public Lighting Code of Practice)</w:t>
            </w:r>
          </w:p>
        </w:tc>
        <w:tc>
          <w:tcPr>
            <w:tcW w:w="6343" w:type="dxa"/>
          </w:tcPr>
          <w:p w14:paraId="0110B8BD" w14:textId="77777777" w:rsidR="00AB0D80" w:rsidRPr="00AB0D80" w:rsidRDefault="00AB0D80" w:rsidP="00AB0D80">
            <w:pPr>
              <w:rPr>
                <w:rFonts w:ascii="Arial" w:eastAsia="Arial" w:hAnsi="Arial" w:cs="Arial"/>
              </w:rPr>
            </w:pPr>
            <w:r w:rsidRPr="00AB0D80">
              <w:rPr>
                <w:rFonts w:ascii="Arial" w:eastAsia="Arial" w:hAnsi="Arial" w:cs="Arial"/>
              </w:rPr>
              <w:t xml:space="preserve">We agree with the feedback and have transferred these two obligations into the Electricity Distribution Code of Practice. </w:t>
            </w:r>
          </w:p>
          <w:p w14:paraId="798BCD20" w14:textId="77777777" w:rsidR="00AB0D80" w:rsidRPr="00AB0D80" w:rsidRDefault="00AB0D80" w:rsidP="00AB0D80">
            <w:pPr>
              <w:rPr>
                <w:rFonts w:ascii="Arial" w:eastAsia="Arial" w:hAnsi="Arial" w:cs="Arial"/>
              </w:rPr>
            </w:pPr>
            <w:r w:rsidRPr="00AB0D80">
              <w:rPr>
                <w:rFonts w:ascii="Arial" w:eastAsia="Arial" w:hAnsi="Arial" w:cs="Arial"/>
              </w:rPr>
              <w:t>We have expanded further on the reasoning for these obligations in our final decision paper.</w:t>
            </w:r>
          </w:p>
        </w:tc>
      </w:tr>
      <w:tr w:rsidR="00AB0D80" w:rsidRPr="00AB0D80" w14:paraId="7C3E45E0" w14:textId="77777777" w:rsidTr="00DA09CE">
        <w:trPr>
          <w:cnfStyle w:val="000000010000" w:firstRow="0" w:lastRow="0" w:firstColumn="0" w:lastColumn="0" w:oddVBand="0" w:evenVBand="0" w:oddHBand="0" w:evenHBand="1" w:firstRowFirstColumn="0" w:firstRowLastColumn="0" w:lastRowFirstColumn="0" w:lastRowLastColumn="0"/>
        </w:trPr>
        <w:tc>
          <w:tcPr>
            <w:tcW w:w="1560" w:type="dxa"/>
            <w:vMerge w:val="restart"/>
          </w:tcPr>
          <w:p w14:paraId="2A52F3CA" w14:textId="77777777" w:rsidR="00AB0D80" w:rsidRPr="00AB0D80" w:rsidRDefault="00AB0D80" w:rsidP="00AB0D80">
            <w:pPr>
              <w:rPr>
                <w:rFonts w:ascii="Arial" w:eastAsia="Arial" w:hAnsi="Arial" w:cs="Arial"/>
                <w:b/>
                <w:bCs/>
              </w:rPr>
            </w:pPr>
            <w:r w:rsidRPr="00AB0D80">
              <w:rPr>
                <w:rFonts w:ascii="Arial" w:eastAsia="Arial" w:hAnsi="Arial" w:cs="Arial"/>
                <w:b/>
                <w:bCs/>
              </w:rPr>
              <w:lastRenderedPageBreak/>
              <w:t>Gannawarra Shire Council</w:t>
            </w:r>
          </w:p>
        </w:tc>
        <w:tc>
          <w:tcPr>
            <w:tcW w:w="6657" w:type="dxa"/>
          </w:tcPr>
          <w:p w14:paraId="4B5F5836" w14:textId="77777777" w:rsidR="00AB0D80" w:rsidRPr="00AB0D80" w:rsidRDefault="00AB0D80" w:rsidP="00AB0D80">
            <w:pPr>
              <w:rPr>
                <w:rFonts w:ascii="Arial" w:eastAsia="Arial" w:hAnsi="Arial" w:cs="Arial"/>
                <w:b/>
                <w:bCs/>
              </w:rPr>
            </w:pPr>
            <w:r w:rsidRPr="00AB0D80">
              <w:rPr>
                <w:rFonts w:ascii="Arial" w:eastAsia="Arial" w:hAnsi="Arial" w:cs="Arial"/>
                <w:b/>
                <w:bCs/>
              </w:rPr>
              <w:t>Distributor data</w:t>
            </w:r>
          </w:p>
          <w:p w14:paraId="23C7F991" w14:textId="77777777" w:rsidR="00AB0D80" w:rsidRPr="00AB0D80" w:rsidRDefault="00AB0D80" w:rsidP="00AB0D80">
            <w:pPr>
              <w:rPr>
                <w:rFonts w:ascii="Arial" w:eastAsia="Arial" w:hAnsi="Arial" w:cs="Arial"/>
              </w:rPr>
            </w:pPr>
            <w:r w:rsidRPr="00AB0D80">
              <w:rPr>
                <w:rFonts w:ascii="Arial" w:eastAsia="Arial" w:hAnsi="Arial" w:cs="Arial"/>
              </w:rPr>
              <w:t>Distributor data provision and reporting requirements (asset lists, spatial data, lamp/pole type, installation/replacement history).</w:t>
            </w:r>
          </w:p>
        </w:tc>
        <w:tc>
          <w:tcPr>
            <w:tcW w:w="6343" w:type="dxa"/>
          </w:tcPr>
          <w:p w14:paraId="49BE035F" w14:textId="77777777" w:rsidR="00AB0D80" w:rsidRPr="00AB0D80" w:rsidRDefault="00AB0D80" w:rsidP="00AB0D80">
            <w:pPr>
              <w:rPr>
                <w:rFonts w:ascii="Arial" w:eastAsia="Arial" w:hAnsi="Arial" w:cs="Arial"/>
              </w:rPr>
            </w:pPr>
            <w:r w:rsidRPr="00AB0D80">
              <w:rPr>
                <w:rFonts w:ascii="Arial" w:eastAsia="Arial" w:hAnsi="Arial" w:cs="Arial"/>
              </w:rPr>
              <w:t xml:space="preserve">We have considered this feedback but consider the following obligations sufficiently cover to continue the suggested requirements under the Electricity Distribution Code of Practice. We note: </w:t>
            </w:r>
          </w:p>
          <w:p w14:paraId="1994293B" w14:textId="61FE0793" w:rsidR="00AB0D80" w:rsidRPr="00AB0D80" w:rsidRDefault="00AB0D80" w:rsidP="00AB0D80">
            <w:pPr>
              <w:numPr>
                <w:ilvl w:val="0"/>
                <w:numId w:val="35"/>
              </w:numPr>
              <w:contextualSpacing/>
              <w:rPr>
                <w:rFonts w:ascii="Arial" w:eastAsia="Arial" w:hAnsi="Arial" w:cs="Arial"/>
              </w:rPr>
            </w:pPr>
            <w:r w:rsidRPr="00AB0D80">
              <w:rPr>
                <w:rFonts w:ascii="Arial" w:eastAsia="Arial" w:hAnsi="Arial" w:cs="Arial"/>
              </w:rPr>
              <w:t>clause 19.2.1(a</w:t>
            </w:r>
            <w:proofErr w:type="gramStart"/>
            <w:r w:rsidRPr="00AB0D80">
              <w:rPr>
                <w:rFonts w:ascii="Arial" w:eastAsia="Arial" w:hAnsi="Arial" w:cs="Arial"/>
              </w:rPr>
              <w:t>)</w:t>
            </w:r>
            <w:r w:rsidR="002B7FB4">
              <w:rPr>
                <w:rFonts w:ascii="Arial" w:eastAsia="Arial" w:hAnsi="Arial" w:cs="Arial"/>
              </w:rPr>
              <w:t>,</w:t>
            </w:r>
            <w:r w:rsidRPr="00AB0D80">
              <w:rPr>
                <w:rFonts w:ascii="Arial" w:eastAsia="Arial" w:hAnsi="Arial" w:cs="Arial"/>
              </w:rPr>
              <w:t>(</w:t>
            </w:r>
            <w:proofErr w:type="gramEnd"/>
            <w:r w:rsidRPr="00AB0D80">
              <w:rPr>
                <w:rFonts w:ascii="Arial" w:eastAsia="Arial" w:hAnsi="Arial" w:cs="Arial"/>
              </w:rPr>
              <w:t>b) – Asset management obligation</w:t>
            </w:r>
          </w:p>
          <w:p w14:paraId="63FE8E7A" w14:textId="77777777" w:rsidR="00AB0D80" w:rsidRPr="00AB0D80" w:rsidRDefault="00AB0D80" w:rsidP="00AB0D80">
            <w:pPr>
              <w:numPr>
                <w:ilvl w:val="0"/>
                <w:numId w:val="35"/>
              </w:numPr>
              <w:contextualSpacing/>
              <w:rPr>
                <w:rFonts w:ascii="Arial" w:eastAsia="Arial" w:hAnsi="Arial" w:cs="Arial"/>
              </w:rPr>
            </w:pPr>
            <w:r w:rsidRPr="00AB0D80">
              <w:rPr>
                <w:rFonts w:ascii="Arial" w:eastAsia="Arial" w:hAnsi="Arial" w:cs="Arial"/>
              </w:rPr>
              <w:t>clause 25.3.4 – Information obligation.</w:t>
            </w:r>
          </w:p>
          <w:p w14:paraId="37ACDA8D" w14:textId="77777777" w:rsidR="00AB0D80" w:rsidRPr="00AB0D80" w:rsidRDefault="00AB0D80" w:rsidP="00AB0D80">
            <w:pPr>
              <w:rPr>
                <w:rFonts w:ascii="Arial" w:eastAsia="Arial" w:hAnsi="Arial" w:cs="Arial"/>
              </w:rPr>
            </w:pPr>
            <w:r w:rsidRPr="00AB0D80">
              <w:rPr>
                <w:rFonts w:ascii="Arial" w:eastAsia="Arial" w:hAnsi="Arial" w:cs="Arial"/>
              </w:rPr>
              <w:t xml:space="preserve">Clause 19.2.1(a)(b) obligates distributors to manage their assets. This includes managing their asset registry, locations, and maintenance plans. </w:t>
            </w:r>
          </w:p>
          <w:p w14:paraId="7D493334" w14:textId="77777777" w:rsidR="00AB0D80" w:rsidRPr="00AB0D80" w:rsidRDefault="00AB0D80" w:rsidP="00AB0D80">
            <w:pPr>
              <w:rPr>
                <w:rFonts w:ascii="Arial" w:eastAsia="Arial" w:hAnsi="Arial" w:cs="Arial"/>
              </w:rPr>
            </w:pPr>
            <w:r w:rsidRPr="00AB0D80">
              <w:rPr>
                <w:rFonts w:ascii="Arial" w:eastAsia="Arial" w:hAnsi="Arial" w:cs="Arial"/>
              </w:rPr>
              <w:t xml:space="preserve">Clause 25.3.4 obligates distributors to provide public lighting asset data and information to the public lighting customer.  </w:t>
            </w:r>
          </w:p>
        </w:tc>
      </w:tr>
      <w:tr w:rsidR="00AB0D80" w:rsidRPr="00AB0D80" w14:paraId="641DB591" w14:textId="77777777" w:rsidTr="00DA09CE">
        <w:trPr>
          <w:cnfStyle w:val="000000100000" w:firstRow="0" w:lastRow="0" w:firstColumn="0" w:lastColumn="0" w:oddVBand="0" w:evenVBand="0" w:oddHBand="1" w:evenHBand="0" w:firstRowFirstColumn="0" w:firstRowLastColumn="0" w:lastRowFirstColumn="0" w:lastRowLastColumn="0"/>
        </w:trPr>
        <w:tc>
          <w:tcPr>
            <w:tcW w:w="1560" w:type="dxa"/>
            <w:vMerge/>
          </w:tcPr>
          <w:p w14:paraId="7C0BA978" w14:textId="77777777" w:rsidR="00AB0D80" w:rsidRPr="00AB0D80" w:rsidRDefault="00AB0D80" w:rsidP="00AB0D80">
            <w:pPr>
              <w:rPr>
                <w:rFonts w:ascii="Arial" w:eastAsia="Arial" w:hAnsi="Arial" w:cs="Arial"/>
              </w:rPr>
            </w:pPr>
          </w:p>
        </w:tc>
        <w:tc>
          <w:tcPr>
            <w:tcW w:w="6657" w:type="dxa"/>
          </w:tcPr>
          <w:p w14:paraId="66714D9D" w14:textId="77777777" w:rsidR="00AB0D80" w:rsidRPr="00AB0D80" w:rsidRDefault="00AB0D80" w:rsidP="00AB0D80">
            <w:pPr>
              <w:rPr>
                <w:rFonts w:ascii="Arial" w:eastAsia="Arial" w:hAnsi="Arial" w:cs="Arial"/>
                <w:b/>
                <w:bCs/>
              </w:rPr>
            </w:pPr>
            <w:r w:rsidRPr="00AB0D80">
              <w:rPr>
                <w:rFonts w:ascii="Arial" w:eastAsia="Arial" w:hAnsi="Arial" w:cs="Arial"/>
                <w:b/>
                <w:bCs/>
              </w:rPr>
              <w:t>Minimum service standards</w:t>
            </w:r>
          </w:p>
          <w:p w14:paraId="23BB64F7" w14:textId="77777777" w:rsidR="00AB0D80" w:rsidRPr="00AB0D80" w:rsidRDefault="00AB0D80" w:rsidP="00AB0D80">
            <w:pPr>
              <w:rPr>
                <w:rFonts w:ascii="Arial" w:eastAsia="Arial" w:hAnsi="Arial" w:cs="Arial"/>
              </w:rPr>
            </w:pPr>
            <w:r w:rsidRPr="00AB0D80">
              <w:rPr>
                <w:rFonts w:ascii="Arial" w:eastAsia="Arial" w:hAnsi="Arial" w:cs="Arial"/>
              </w:rPr>
              <w:t>Minimum operational and fault response standards, including guaranteed service levels.</w:t>
            </w:r>
          </w:p>
        </w:tc>
        <w:tc>
          <w:tcPr>
            <w:tcW w:w="6343" w:type="dxa"/>
          </w:tcPr>
          <w:p w14:paraId="671D24E8" w14:textId="77777777" w:rsidR="00AB0D80" w:rsidRPr="00AB0D80" w:rsidRDefault="00AB0D80" w:rsidP="00AB0D80">
            <w:pPr>
              <w:rPr>
                <w:rFonts w:ascii="Arial" w:eastAsia="Arial" w:hAnsi="Arial" w:cs="Arial"/>
              </w:rPr>
            </w:pPr>
            <w:r w:rsidRPr="00AB0D80">
              <w:rPr>
                <w:rFonts w:ascii="Arial" w:eastAsia="Arial" w:hAnsi="Arial" w:cs="Arial"/>
              </w:rPr>
              <w:t>We highlight the new clause 19.7 transferred to the Electricity Distribution Code of Practice is the equivalent obligation to continue these requirements.</w:t>
            </w:r>
          </w:p>
        </w:tc>
      </w:tr>
      <w:tr w:rsidR="00AB0D80" w:rsidRPr="00AB0D80" w14:paraId="3DA86D69" w14:textId="77777777" w:rsidTr="00DA09CE">
        <w:trPr>
          <w:cnfStyle w:val="000000010000" w:firstRow="0" w:lastRow="0" w:firstColumn="0" w:lastColumn="0" w:oddVBand="0" w:evenVBand="0" w:oddHBand="0" w:evenHBand="1" w:firstRowFirstColumn="0" w:firstRowLastColumn="0" w:lastRowFirstColumn="0" w:lastRowLastColumn="0"/>
        </w:trPr>
        <w:tc>
          <w:tcPr>
            <w:tcW w:w="1560" w:type="dxa"/>
            <w:vMerge/>
          </w:tcPr>
          <w:p w14:paraId="62CB5AFC" w14:textId="77777777" w:rsidR="00AB0D80" w:rsidRPr="00AB0D80" w:rsidRDefault="00AB0D80" w:rsidP="00AB0D80">
            <w:pPr>
              <w:rPr>
                <w:rFonts w:ascii="Arial" w:eastAsia="Arial" w:hAnsi="Arial" w:cs="Arial"/>
              </w:rPr>
            </w:pPr>
          </w:p>
        </w:tc>
        <w:tc>
          <w:tcPr>
            <w:tcW w:w="6657" w:type="dxa"/>
          </w:tcPr>
          <w:p w14:paraId="2E6E5130" w14:textId="77777777" w:rsidR="00AB0D80" w:rsidRPr="00AB0D80" w:rsidRDefault="00AB0D80" w:rsidP="00AB0D80">
            <w:pPr>
              <w:rPr>
                <w:rFonts w:ascii="Arial" w:eastAsia="Arial" w:hAnsi="Arial" w:cs="Arial"/>
                <w:b/>
                <w:bCs/>
              </w:rPr>
            </w:pPr>
            <w:r w:rsidRPr="00AB0D80">
              <w:rPr>
                <w:rFonts w:ascii="Arial" w:eastAsia="Arial" w:hAnsi="Arial" w:cs="Arial"/>
                <w:b/>
                <w:bCs/>
              </w:rPr>
              <w:t>Standard and non-standard fittings</w:t>
            </w:r>
          </w:p>
          <w:p w14:paraId="592D5788" w14:textId="77777777" w:rsidR="00AB0D80" w:rsidRPr="00AB0D80" w:rsidRDefault="00AB0D80" w:rsidP="00AB0D80">
            <w:pPr>
              <w:rPr>
                <w:rFonts w:ascii="Arial" w:eastAsia="Arial" w:hAnsi="Arial" w:cs="Arial"/>
              </w:rPr>
            </w:pPr>
            <w:r w:rsidRPr="00AB0D80">
              <w:rPr>
                <w:rFonts w:ascii="Arial" w:eastAsia="Arial" w:hAnsi="Arial" w:cs="Arial"/>
              </w:rPr>
              <w:t>Clear processes for standard and non-standard fittings, with approval timelines and cost responsibilities</w:t>
            </w:r>
          </w:p>
        </w:tc>
        <w:tc>
          <w:tcPr>
            <w:tcW w:w="6343" w:type="dxa"/>
          </w:tcPr>
          <w:p w14:paraId="3B83E5FB" w14:textId="77777777" w:rsidR="00AB0D80" w:rsidRPr="00AB0D80" w:rsidRDefault="00AB0D80" w:rsidP="00AB0D80">
            <w:pPr>
              <w:rPr>
                <w:rFonts w:ascii="Arial" w:eastAsia="Arial" w:hAnsi="Arial" w:cs="Arial"/>
              </w:rPr>
            </w:pPr>
            <w:r w:rsidRPr="00AB0D80">
              <w:rPr>
                <w:rFonts w:ascii="Arial" w:eastAsia="Arial" w:hAnsi="Arial" w:cs="Arial"/>
              </w:rPr>
              <w:t xml:space="preserve">We agree with the feedback and have transferred these two obligations into the Electricity Distribution Code of Practice. </w:t>
            </w:r>
          </w:p>
          <w:p w14:paraId="4E1AA566" w14:textId="77777777" w:rsidR="00AB0D80" w:rsidRPr="00AB0D80" w:rsidRDefault="00AB0D80" w:rsidP="00AB0D80">
            <w:pPr>
              <w:rPr>
                <w:rFonts w:ascii="Arial" w:eastAsia="Arial" w:hAnsi="Arial" w:cs="Arial"/>
              </w:rPr>
            </w:pPr>
            <w:r w:rsidRPr="00AB0D80">
              <w:rPr>
                <w:rFonts w:ascii="Arial" w:eastAsia="Arial" w:hAnsi="Arial" w:cs="Arial"/>
              </w:rPr>
              <w:t>We have expanded further on the reasoning for these obligations in our final decision paper.</w:t>
            </w:r>
          </w:p>
          <w:p w14:paraId="6F482460" w14:textId="77777777" w:rsidR="00AB0D80" w:rsidRPr="00AB0D80" w:rsidRDefault="00AB0D80" w:rsidP="00AB0D80">
            <w:pPr>
              <w:rPr>
                <w:rFonts w:ascii="Arial" w:eastAsia="Arial" w:hAnsi="Arial" w:cs="Arial"/>
              </w:rPr>
            </w:pPr>
            <w:r w:rsidRPr="00AB0D80">
              <w:rPr>
                <w:rFonts w:ascii="Arial" w:eastAsia="Arial" w:hAnsi="Arial" w:cs="Arial"/>
              </w:rPr>
              <w:lastRenderedPageBreak/>
              <w:t>Separately, distributor service costs are administered under the national economic framework regulated by the Australian Energy Regulator.</w:t>
            </w:r>
          </w:p>
        </w:tc>
      </w:tr>
      <w:tr w:rsidR="00AB0D80" w:rsidRPr="00AB0D80" w14:paraId="40047208" w14:textId="77777777" w:rsidTr="00DA09CE">
        <w:trPr>
          <w:cnfStyle w:val="000000100000" w:firstRow="0" w:lastRow="0" w:firstColumn="0" w:lastColumn="0" w:oddVBand="0" w:evenVBand="0" w:oddHBand="1" w:evenHBand="0" w:firstRowFirstColumn="0" w:firstRowLastColumn="0" w:lastRowFirstColumn="0" w:lastRowLastColumn="0"/>
        </w:trPr>
        <w:tc>
          <w:tcPr>
            <w:tcW w:w="1560" w:type="dxa"/>
            <w:vMerge/>
          </w:tcPr>
          <w:p w14:paraId="017A3CC6" w14:textId="77777777" w:rsidR="00AB0D80" w:rsidRPr="00AB0D80" w:rsidRDefault="00AB0D80" w:rsidP="00AB0D80">
            <w:pPr>
              <w:rPr>
                <w:rFonts w:ascii="Arial" w:eastAsia="Arial" w:hAnsi="Arial" w:cs="Arial"/>
              </w:rPr>
            </w:pPr>
          </w:p>
        </w:tc>
        <w:tc>
          <w:tcPr>
            <w:tcW w:w="6657" w:type="dxa"/>
          </w:tcPr>
          <w:p w14:paraId="497A336C" w14:textId="77777777" w:rsidR="00AB0D80" w:rsidRPr="00AB0D80" w:rsidRDefault="00AB0D80" w:rsidP="00AB0D80">
            <w:pPr>
              <w:rPr>
                <w:rFonts w:ascii="Arial" w:eastAsia="Arial" w:hAnsi="Arial" w:cs="Arial"/>
                <w:b/>
                <w:bCs/>
              </w:rPr>
            </w:pPr>
            <w:r w:rsidRPr="00AB0D80">
              <w:rPr>
                <w:rFonts w:ascii="Arial" w:eastAsia="Arial" w:hAnsi="Arial" w:cs="Arial"/>
                <w:b/>
                <w:bCs/>
              </w:rPr>
              <w:t>Design notice</w:t>
            </w:r>
          </w:p>
          <w:p w14:paraId="7013989D" w14:textId="77777777" w:rsidR="00AB0D80" w:rsidRPr="00AB0D80" w:rsidRDefault="00AB0D80" w:rsidP="00AB0D80">
            <w:pPr>
              <w:rPr>
                <w:rFonts w:ascii="Arial" w:eastAsia="Arial" w:hAnsi="Arial" w:cs="Arial"/>
              </w:rPr>
            </w:pPr>
            <w:r w:rsidRPr="00AB0D80">
              <w:rPr>
                <w:rFonts w:ascii="Arial" w:eastAsia="Arial" w:hAnsi="Arial" w:cs="Arial"/>
              </w:rPr>
              <w:t>Design and notice requirements for new lighting or alterations, ensuring alignment with AS/NZS 1158 and local planning requirements</w:t>
            </w:r>
          </w:p>
        </w:tc>
        <w:tc>
          <w:tcPr>
            <w:tcW w:w="6343" w:type="dxa"/>
          </w:tcPr>
          <w:p w14:paraId="3AD2B74C" w14:textId="020CD7CD" w:rsidR="00AB0D80" w:rsidRPr="00AB0D80" w:rsidRDefault="00AB0D80" w:rsidP="00AB0D80">
            <w:pPr>
              <w:rPr>
                <w:rFonts w:ascii="Arial" w:eastAsia="Arial" w:hAnsi="Arial" w:cs="Arial"/>
              </w:rPr>
            </w:pPr>
            <w:r w:rsidRPr="00AB0D80">
              <w:rPr>
                <w:rFonts w:ascii="Arial" w:eastAsia="Arial" w:hAnsi="Arial" w:cs="Arial"/>
              </w:rPr>
              <w:t>We consider the connection framework under the National Electricity (Victoria) Act 2005, Schedule 2, captures the intent of th</w:t>
            </w:r>
            <w:r w:rsidR="00F14283">
              <w:rPr>
                <w:rFonts w:ascii="Arial" w:eastAsia="Arial" w:hAnsi="Arial" w:cs="Arial"/>
              </w:rPr>
              <w:t>is requirement</w:t>
            </w:r>
            <w:r w:rsidR="008F63ED">
              <w:rPr>
                <w:rFonts w:ascii="Arial" w:eastAsia="Arial" w:hAnsi="Arial" w:cs="Arial"/>
              </w:rPr>
              <w:t xml:space="preserve"> </w:t>
            </w:r>
            <w:r w:rsidR="000A58C5">
              <w:rPr>
                <w:rFonts w:ascii="Arial" w:eastAsia="Arial" w:hAnsi="Arial" w:cs="Arial"/>
              </w:rPr>
              <w:t xml:space="preserve">to </w:t>
            </w:r>
            <w:r w:rsidR="008F63ED">
              <w:rPr>
                <w:rFonts w:ascii="Arial" w:eastAsia="Arial" w:hAnsi="Arial" w:cs="Arial"/>
              </w:rPr>
              <w:t xml:space="preserve">not require </w:t>
            </w:r>
            <w:r w:rsidR="000A58C5">
              <w:rPr>
                <w:rFonts w:ascii="Arial" w:eastAsia="Arial" w:hAnsi="Arial" w:cs="Arial"/>
              </w:rPr>
              <w:t>the</w:t>
            </w:r>
            <w:r w:rsidR="00335F07">
              <w:rPr>
                <w:rFonts w:ascii="Arial" w:eastAsia="Arial" w:hAnsi="Arial" w:cs="Arial"/>
              </w:rPr>
              <w:t xml:space="preserve"> transfer</w:t>
            </w:r>
            <w:r w:rsidR="000A58C5">
              <w:rPr>
                <w:rFonts w:ascii="Arial" w:eastAsia="Arial" w:hAnsi="Arial" w:cs="Arial"/>
              </w:rPr>
              <w:t>r</w:t>
            </w:r>
            <w:r w:rsidR="00335F07">
              <w:rPr>
                <w:rFonts w:ascii="Arial" w:eastAsia="Arial" w:hAnsi="Arial" w:cs="Arial"/>
              </w:rPr>
              <w:t>al of this obligation</w:t>
            </w:r>
            <w:r w:rsidR="008C3CFB">
              <w:rPr>
                <w:rFonts w:ascii="Arial" w:eastAsia="Arial" w:hAnsi="Arial" w:cs="Arial"/>
              </w:rPr>
              <w:t xml:space="preserve">. </w:t>
            </w:r>
            <w:r w:rsidR="00E80C27">
              <w:rPr>
                <w:rFonts w:ascii="Arial" w:eastAsia="Arial" w:hAnsi="Arial" w:cs="Arial"/>
              </w:rPr>
              <w:t xml:space="preserve">Under </w:t>
            </w:r>
            <w:r w:rsidR="005A2B6B">
              <w:rPr>
                <w:rFonts w:ascii="Arial" w:eastAsia="Arial" w:hAnsi="Arial" w:cs="Arial"/>
              </w:rPr>
              <w:t>the adopted national</w:t>
            </w:r>
            <w:r w:rsidR="00E80C27">
              <w:rPr>
                <w:rFonts w:ascii="Arial" w:eastAsia="Arial" w:hAnsi="Arial" w:cs="Arial"/>
              </w:rPr>
              <w:t xml:space="preserve"> </w:t>
            </w:r>
            <w:r w:rsidR="005B1A3D">
              <w:rPr>
                <w:rFonts w:ascii="Arial" w:eastAsia="Arial" w:hAnsi="Arial" w:cs="Arial"/>
              </w:rPr>
              <w:t>f</w:t>
            </w:r>
            <w:r w:rsidRPr="00AB0D80">
              <w:rPr>
                <w:rFonts w:ascii="Arial" w:eastAsia="Arial" w:hAnsi="Arial" w:cs="Arial"/>
              </w:rPr>
              <w:t>ramework, Part C, clause 5A.C.3(a)(3)</w:t>
            </w:r>
            <w:r w:rsidR="00E80C27">
              <w:rPr>
                <w:rFonts w:ascii="Arial" w:eastAsia="Arial" w:hAnsi="Arial" w:cs="Arial"/>
              </w:rPr>
              <w:t xml:space="preserve"> is noted as follows</w:t>
            </w:r>
            <w:r w:rsidRPr="00AB0D80">
              <w:rPr>
                <w:rFonts w:ascii="Arial" w:eastAsia="Arial" w:hAnsi="Arial" w:cs="Arial"/>
              </w:rPr>
              <w:t>:</w:t>
            </w:r>
          </w:p>
          <w:p w14:paraId="40CEA69E" w14:textId="77777777" w:rsidR="00AB0D80" w:rsidRPr="00AB0D80" w:rsidRDefault="00AB0D80" w:rsidP="00AB0D80">
            <w:pPr>
              <w:numPr>
                <w:ilvl w:val="0"/>
                <w:numId w:val="36"/>
              </w:numPr>
              <w:contextualSpacing/>
              <w:rPr>
                <w:rFonts w:ascii="Arial" w:eastAsia="Arial" w:hAnsi="Arial" w:cs="Arial"/>
              </w:rPr>
            </w:pPr>
            <w:r w:rsidRPr="00AB0D80">
              <w:rPr>
                <w:rFonts w:ascii="Arial" w:eastAsia="Arial" w:hAnsi="Arial" w:cs="Arial"/>
              </w:rPr>
              <w:t>The Distribution Network Service Provider might, according to the circumstances of a particular case, need to provide further information to ensure the connection applicant is properly informed – for example, information about:</w:t>
            </w:r>
          </w:p>
          <w:p w14:paraId="52DAC43A" w14:textId="77777777" w:rsidR="00AB0D80" w:rsidRPr="00AB0D80" w:rsidRDefault="00AB0D80" w:rsidP="00AB0D80">
            <w:pPr>
              <w:numPr>
                <w:ilvl w:val="1"/>
                <w:numId w:val="36"/>
              </w:numPr>
              <w:contextualSpacing/>
              <w:rPr>
                <w:rFonts w:ascii="Arial" w:eastAsia="Arial" w:hAnsi="Arial" w:cs="Arial"/>
              </w:rPr>
            </w:pPr>
            <w:r w:rsidRPr="00AB0D80">
              <w:rPr>
                <w:rFonts w:ascii="Arial" w:eastAsia="Arial" w:hAnsi="Arial" w:cs="Arial"/>
              </w:rPr>
              <w:t xml:space="preserve">technical and safety </w:t>
            </w:r>
            <w:proofErr w:type="gramStart"/>
            <w:r w:rsidRPr="00AB0D80">
              <w:rPr>
                <w:rFonts w:ascii="Arial" w:eastAsia="Arial" w:hAnsi="Arial" w:cs="Arial"/>
              </w:rPr>
              <w:t>requirements;</w:t>
            </w:r>
            <w:proofErr w:type="gramEnd"/>
          </w:p>
          <w:p w14:paraId="2DA6D431" w14:textId="77777777" w:rsidR="00AB0D80" w:rsidRPr="00AB0D80" w:rsidRDefault="00AB0D80" w:rsidP="00AB0D80">
            <w:pPr>
              <w:numPr>
                <w:ilvl w:val="1"/>
                <w:numId w:val="36"/>
              </w:numPr>
              <w:contextualSpacing/>
              <w:rPr>
                <w:rFonts w:ascii="Arial" w:eastAsia="Arial" w:hAnsi="Arial" w:cs="Arial"/>
              </w:rPr>
            </w:pPr>
            <w:r w:rsidRPr="00AB0D80">
              <w:rPr>
                <w:rFonts w:ascii="Arial" w:eastAsia="Arial" w:hAnsi="Arial" w:cs="Arial"/>
              </w:rPr>
              <w:t xml:space="preserve">the types of connection that are technically </w:t>
            </w:r>
            <w:proofErr w:type="gramStart"/>
            <w:r w:rsidRPr="00AB0D80">
              <w:rPr>
                <w:rFonts w:ascii="Arial" w:eastAsia="Arial" w:hAnsi="Arial" w:cs="Arial"/>
              </w:rPr>
              <w:t>feasible;</w:t>
            </w:r>
            <w:proofErr w:type="gramEnd"/>
          </w:p>
          <w:p w14:paraId="74271D96" w14:textId="77777777" w:rsidR="00AB0D80" w:rsidRPr="00AB0D80" w:rsidRDefault="00AB0D80" w:rsidP="00AB0D80">
            <w:pPr>
              <w:numPr>
                <w:ilvl w:val="1"/>
                <w:numId w:val="36"/>
              </w:numPr>
              <w:contextualSpacing/>
              <w:rPr>
                <w:rFonts w:ascii="Arial" w:eastAsia="Arial" w:hAnsi="Arial" w:cs="Arial"/>
              </w:rPr>
            </w:pPr>
            <w:r w:rsidRPr="00AB0D80">
              <w:rPr>
                <w:rFonts w:ascii="Arial" w:eastAsia="Arial" w:hAnsi="Arial" w:cs="Arial"/>
              </w:rPr>
              <w:t xml:space="preserve">network capacity at the proposed connection </w:t>
            </w:r>
            <w:proofErr w:type="gramStart"/>
            <w:r w:rsidRPr="00AB0D80">
              <w:rPr>
                <w:rFonts w:ascii="Arial" w:eastAsia="Arial" w:hAnsi="Arial" w:cs="Arial"/>
              </w:rPr>
              <w:t>point;</w:t>
            </w:r>
            <w:proofErr w:type="gramEnd"/>
          </w:p>
          <w:p w14:paraId="1BA6EFC4" w14:textId="77777777" w:rsidR="00AB0D80" w:rsidRPr="00AB0D80" w:rsidRDefault="00AB0D80" w:rsidP="00AB0D80">
            <w:pPr>
              <w:numPr>
                <w:ilvl w:val="1"/>
                <w:numId w:val="36"/>
              </w:numPr>
              <w:contextualSpacing/>
              <w:rPr>
                <w:rFonts w:ascii="Arial" w:eastAsia="Arial" w:hAnsi="Arial" w:cs="Arial"/>
              </w:rPr>
            </w:pPr>
            <w:r w:rsidRPr="00AB0D80">
              <w:rPr>
                <w:rFonts w:ascii="Arial" w:eastAsia="Arial" w:hAnsi="Arial" w:cs="Arial"/>
              </w:rPr>
              <w:t xml:space="preserve">possible strategies to reduce the cost of the connection. </w:t>
            </w:r>
          </w:p>
          <w:p w14:paraId="0057B697" w14:textId="27B22410" w:rsidR="00AB0D80" w:rsidRPr="00AB0D80" w:rsidRDefault="005A2B6B" w:rsidP="00AB0D80">
            <w:pPr>
              <w:rPr>
                <w:rFonts w:ascii="Arial" w:eastAsia="Arial" w:hAnsi="Arial" w:cs="Arial"/>
              </w:rPr>
            </w:pPr>
            <w:r>
              <w:rPr>
                <w:rFonts w:ascii="Arial" w:eastAsia="Arial" w:hAnsi="Arial" w:cs="Arial"/>
              </w:rPr>
              <w:t>T</w:t>
            </w:r>
            <w:r w:rsidR="00AB0D80" w:rsidRPr="00AB0D80">
              <w:rPr>
                <w:rFonts w:ascii="Arial" w:eastAsia="Arial" w:hAnsi="Arial" w:cs="Arial"/>
              </w:rPr>
              <w:t xml:space="preserve">he ‘technical requirements’ </w:t>
            </w:r>
            <w:r>
              <w:rPr>
                <w:rFonts w:ascii="Arial" w:eastAsia="Arial" w:hAnsi="Arial" w:cs="Arial"/>
              </w:rPr>
              <w:t xml:space="preserve">under this part of the </w:t>
            </w:r>
            <w:r w:rsidR="00DB4702">
              <w:rPr>
                <w:rFonts w:ascii="Arial" w:eastAsia="Arial" w:hAnsi="Arial" w:cs="Arial"/>
              </w:rPr>
              <w:t xml:space="preserve">framework </w:t>
            </w:r>
            <w:r w:rsidR="00AB0D80" w:rsidRPr="00AB0D80">
              <w:rPr>
                <w:rFonts w:ascii="Arial" w:eastAsia="Arial" w:hAnsi="Arial" w:cs="Arial"/>
              </w:rPr>
              <w:t>refer</w:t>
            </w:r>
            <w:r w:rsidR="00DB4702">
              <w:rPr>
                <w:rFonts w:ascii="Arial" w:eastAsia="Arial" w:hAnsi="Arial" w:cs="Arial"/>
              </w:rPr>
              <w:t>s</w:t>
            </w:r>
            <w:r w:rsidR="00AB0D80" w:rsidRPr="00AB0D80">
              <w:rPr>
                <w:rFonts w:ascii="Arial" w:eastAsia="Arial" w:hAnsi="Arial" w:cs="Arial"/>
              </w:rPr>
              <w:t xml:space="preserve"> to the distributor’s </w:t>
            </w:r>
            <w:r w:rsidR="000652FE">
              <w:rPr>
                <w:rFonts w:ascii="Arial" w:eastAsia="Arial" w:hAnsi="Arial" w:cs="Arial"/>
              </w:rPr>
              <w:t xml:space="preserve">relevant </w:t>
            </w:r>
            <w:r w:rsidR="00AB0D80" w:rsidRPr="00AB0D80">
              <w:rPr>
                <w:rFonts w:ascii="Arial" w:eastAsia="Arial" w:hAnsi="Arial" w:cs="Arial"/>
              </w:rPr>
              <w:t>technical standards such as AS/NZS 1158</w:t>
            </w:r>
            <w:r w:rsidR="000652FE">
              <w:rPr>
                <w:rFonts w:ascii="Arial" w:eastAsia="Arial" w:hAnsi="Arial" w:cs="Arial"/>
              </w:rPr>
              <w:t xml:space="preserve"> related to public lighting</w:t>
            </w:r>
            <w:r w:rsidR="00AB0D80" w:rsidRPr="00AB0D80">
              <w:rPr>
                <w:rFonts w:ascii="Arial" w:eastAsia="Arial" w:hAnsi="Arial" w:cs="Arial"/>
              </w:rPr>
              <w:t>.</w:t>
            </w:r>
          </w:p>
        </w:tc>
      </w:tr>
      <w:tr w:rsidR="00AB0D80" w:rsidRPr="00AB0D80" w14:paraId="379EC8C7" w14:textId="77777777" w:rsidTr="00DA09CE">
        <w:trPr>
          <w:cnfStyle w:val="000000010000" w:firstRow="0" w:lastRow="0" w:firstColumn="0" w:lastColumn="0" w:oddVBand="0" w:evenVBand="0" w:oddHBand="0" w:evenHBand="1" w:firstRowFirstColumn="0" w:firstRowLastColumn="0" w:lastRowFirstColumn="0" w:lastRowLastColumn="0"/>
        </w:trPr>
        <w:tc>
          <w:tcPr>
            <w:tcW w:w="1560" w:type="dxa"/>
            <w:vMerge/>
          </w:tcPr>
          <w:p w14:paraId="05977913" w14:textId="77777777" w:rsidR="00AB0D80" w:rsidRPr="00AB0D80" w:rsidRDefault="00AB0D80" w:rsidP="00AB0D80">
            <w:pPr>
              <w:rPr>
                <w:rFonts w:ascii="Arial" w:eastAsia="Arial" w:hAnsi="Arial" w:cs="Arial"/>
              </w:rPr>
            </w:pPr>
          </w:p>
        </w:tc>
        <w:tc>
          <w:tcPr>
            <w:tcW w:w="6657" w:type="dxa"/>
          </w:tcPr>
          <w:p w14:paraId="1F0C7970" w14:textId="77777777" w:rsidR="00AB0D80" w:rsidRPr="00AB0D80" w:rsidRDefault="00AB0D80" w:rsidP="00AB0D80">
            <w:pPr>
              <w:rPr>
                <w:rFonts w:ascii="Arial" w:eastAsia="Arial" w:hAnsi="Arial" w:cs="Arial"/>
                <w:b/>
                <w:bCs/>
              </w:rPr>
            </w:pPr>
            <w:r w:rsidRPr="00AB0D80">
              <w:rPr>
                <w:rFonts w:ascii="Arial" w:eastAsia="Arial" w:hAnsi="Arial" w:cs="Arial"/>
                <w:b/>
                <w:bCs/>
              </w:rPr>
              <w:t>Billing transparency</w:t>
            </w:r>
          </w:p>
          <w:p w14:paraId="3C9B859F" w14:textId="77777777" w:rsidR="00AB0D80" w:rsidRPr="00AB0D80" w:rsidRDefault="00AB0D80" w:rsidP="00AB0D80">
            <w:pPr>
              <w:rPr>
                <w:rFonts w:ascii="Arial" w:eastAsia="Arial" w:hAnsi="Arial" w:cs="Arial"/>
              </w:rPr>
            </w:pPr>
            <w:r w:rsidRPr="00AB0D80">
              <w:rPr>
                <w:rFonts w:ascii="Arial" w:eastAsia="Arial" w:hAnsi="Arial" w:cs="Arial"/>
              </w:rPr>
              <w:t>Billing transparency and published charge schedules to support long-term financial planning.</w:t>
            </w:r>
          </w:p>
        </w:tc>
        <w:tc>
          <w:tcPr>
            <w:tcW w:w="6343" w:type="dxa"/>
          </w:tcPr>
          <w:p w14:paraId="5499C1C8" w14:textId="7D108592" w:rsidR="00EE4737" w:rsidRDefault="00654892" w:rsidP="00AB0D80">
            <w:pPr>
              <w:rPr>
                <w:rFonts w:ascii="Arial" w:eastAsia="Arial" w:hAnsi="Arial" w:cs="Arial"/>
              </w:rPr>
            </w:pPr>
            <w:r>
              <w:rPr>
                <w:rFonts w:ascii="Arial" w:eastAsia="Arial" w:hAnsi="Arial" w:cs="Arial"/>
              </w:rPr>
              <w:t>The sch</w:t>
            </w:r>
            <w:r w:rsidR="00EE4737">
              <w:rPr>
                <w:rFonts w:ascii="Arial" w:eastAsia="Arial" w:hAnsi="Arial" w:cs="Arial"/>
              </w:rPr>
              <w:t xml:space="preserve">edule of public lighting service charges </w:t>
            </w:r>
            <w:proofErr w:type="gramStart"/>
            <w:r w:rsidR="00EE4737">
              <w:rPr>
                <w:rFonts w:ascii="Arial" w:eastAsia="Arial" w:hAnsi="Arial" w:cs="Arial"/>
              </w:rPr>
              <w:t>are</w:t>
            </w:r>
            <w:proofErr w:type="gramEnd"/>
            <w:r w:rsidR="00EE4737">
              <w:rPr>
                <w:rFonts w:ascii="Arial" w:eastAsia="Arial" w:hAnsi="Arial" w:cs="Arial"/>
              </w:rPr>
              <w:t xml:space="preserve"> regulated </w:t>
            </w:r>
            <w:r w:rsidR="001974EF">
              <w:rPr>
                <w:rFonts w:ascii="Arial" w:eastAsia="Arial" w:hAnsi="Arial" w:cs="Arial"/>
              </w:rPr>
              <w:t>under</w:t>
            </w:r>
            <w:r w:rsidR="00EE4737">
              <w:rPr>
                <w:rFonts w:ascii="Arial" w:eastAsia="Arial" w:hAnsi="Arial" w:cs="Arial"/>
              </w:rPr>
              <w:t xml:space="preserve"> the national framework and administered by the Australian Energy Regulator.</w:t>
            </w:r>
          </w:p>
          <w:p w14:paraId="2FA7B723" w14:textId="445AC2E6" w:rsidR="00654892" w:rsidRDefault="003323FE" w:rsidP="00AB0D80">
            <w:pPr>
              <w:rPr>
                <w:rFonts w:ascii="Arial" w:eastAsia="Arial" w:hAnsi="Arial" w:cs="Arial"/>
              </w:rPr>
            </w:pPr>
            <w:r>
              <w:rPr>
                <w:rFonts w:ascii="Arial" w:eastAsia="Arial" w:hAnsi="Arial" w:cs="Arial"/>
              </w:rPr>
              <w:t>Separately, o</w:t>
            </w:r>
            <w:r w:rsidR="008443FC" w:rsidRPr="008443FC">
              <w:rPr>
                <w:rFonts w:ascii="Arial" w:eastAsia="Arial" w:hAnsi="Arial" w:cs="Arial"/>
              </w:rPr>
              <w:t>ur final decision is to revoke th</w:t>
            </w:r>
            <w:r w:rsidR="00654892">
              <w:rPr>
                <w:rFonts w:ascii="Arial" w:eastAsia="Arial" w:hAnsi="Arial" w:cs="Arial"/>
              </w:rPr>
              <w:t>e</w:t>
            </w:r>
            <w:r w:rsidR="008443FC" w:rsidRPr="008443FC">
              <w:rPr>
                <w:rFonts w:ascii="Arial" w:eastAsia="Arial" w:hAnsi="Arial" w:cs="Arial"/>
              </w:rPr>
              <w:t xml:space="preserve"> </w:t>
            </w:r>
            <w:r w:rsidR="00002668">
              <w:rPr>
                <w:rFonts w:ascii="Arial" w:eastAsia="Arial" w:hAnsi="Arial" w:cs="Arial"/>
              </w:rPr>
              <w:t xml:space="preserve">billing </w:t>
            </w:r>
            <w:r w:rsidR="00002668" w:rsidRPr="008443FC">
              <w:rPr>
                <w:rFonts w:ascii="Arial" w:eastAsia="Arial" w:hAnsi="Arial" w:cs="Arial"/>
              </w:rPr>
              <w:t>obligation</w:t>
            </w:r>
            <w:r w:rsidR="00002668">
              <w:rPr>
                <w:rFonts w:ascii="Arial" w:eastAsia="Arial" w:hAnsi="Arial" w:cs="Arial"/>
              </w:rPr>
              <w:t xml:space="preserve"> by </w:t>
            </w:r>
            <w:r w:rsidR="001974EF">
              <w:rPr>
                <w:rFonts w:ascii="Arial" w:eastAsia="Arial" w:hAnsi="Arial" w:cs="Arial"/>
              </w:rPr>
              <w:t>e</w:t>
            </w:r>
            <w:r w:rsidR="008443FC" w:rsidRPr="008443FC">
              <w:rPr>
                <w:rFonts w:ascii="Arial" w:eastAsia="Arial" w:hAnsi="Arial" w:cs="Arial"/>
              </w:rPr>
              <w:t>lectricity distribution business</w:t>
            </w:r>
            <w:r w:rsidR="009D1668">
              <w:rPr>
                <w:rFonts w:ascii="Arial" w:eastAsia="Arial" w:hAnsi="Arial" w:cs="Arial"/>
              </w:rPr>
              <w:t>es</w:t>
            </w:r>
            <w:r w:rsidR="008443FC" w:rsidRPr="008443FC">
              <w:rPr>
                <w:rFonts w:ascii="Arial" w:eastAsia="Arial" w:hAnsi="Arial" w:cs="Arial"/>
              </w:rPr>
              <w:t xml:space="preserve"> </w:t>
            </w:r>
            <w:r w:rsidR="008A7960">
              <w:rPr>
                <w:rFonts w:ascii="Arial" w:eastAsia="Arial" w:hAnsi="Arial" w:cs="Arial"/>
              </w:rPr>
              <w:t>becau</w:t>
            </w:r>
            <w:r w:rsidR="009D1668">
              <w:rPr>
                <w:rFonts w:ascii="Arial" w:eastAsia="Arial" w:hAnsi="Arial" w:cs="Arial"/>
              </w:rPr>
              <w:t>s</w:t>
            </w:r>
            <w:r w:rsidR="008A7960">
              <w:rPr>
                <w:rFonts w:ascii="Arial" w:eastAsia="Arial" w:hAnsi="Arial" w:cs="Arial"/>
              </w:rPr>
              <w:t>e</w:t>
            </w:r>
            <w:r w:rsidR="001974EF">
              <w:rPr>
                <w:rFonts w:ascii="Arial" w:eastAsia="Arial" w:hAnsi="Arial" w:cs="Arial"/>
              </w:rPr>
              <w:t xml:space="preserve"> </w:t>
            </w:r>
            <w:r w:rsidR="00582C91">
              <w:rPr>
                <w:rFonts w:ascii="Arial" w:eastAsia="Arial" w:hAnsi="Arial" w:cs="Arial"/>
              </w:rPr>
              <w:t>no</w:t>
            </w:r>
            <w:r w:rsidR="00002668">
              <w:rPr>
                <w:rFonts w:ascii="Arial" w:eastAsia="Arial" w:hAnsi="Arial" w:cs="Arial"/>
              </w:rPr>
              <w:t xml:space="preserve"> distribution business</w:t>
            </w:r>
            <w:r w:rsidR="00582C91">
              <w:rPr>
                <w:rFonts w:ascii="Arial" w:eastAsia="Arial" w:hAnsi="Arial" w:cs="Arial"/>
              </w:rPr>
              <w:t xml:space="preserve"> </w:t>
            </w:r>
            <w:r w:rsidR="008443FC" w:rsidRPr="008443FC">
              <w:rPr>
                <w:rFonts w:ascii="Arial" w:eastAsia="Arial" w:hAnsi="Arial" w:cs="Arial"/>
              </w:rPr>
              <w:t xml:space="preserve">currently holds a retail licence under the Electricity Industry Act to perform this activity (and a contravention of the Act to do so without a licence). </w:t>
            </w:r>
          </w:p>
          <w:p w14:paraId="07D95501" w14:textId="429029FD" w:rsidR="00AB0D80" w:rsidRPr="00AB0D80" w:rsidRDefault="00AB0D80" w:rsidP="00AB0D80">
            <w:pPr>
              <w:rPr>
                <w:rFonts w:ascii="Arial" w:eastAsia="Arial" w:hAnsi="Arial" w:cs="Arial"/>
              </w:rPr>
            </w:pPr>
            <w:r w:rsidRPr="00AB0D80">
              <w:rPr>
                <w:rFonts w:ascii="Arial" w:eastAsia="Arial" w:hAnsi="Arial" w:cs="Arial"/>
              </w:rPr>
              <w:t xml:space="preserve">We have expanded further on the reasoning for this in our final decision paper.  </w:t>
            </w:r>
          </w:p>
        </w:tc>
      </w:tr>
      <w:tr w:rsidR="00AB0D80" w:rsidRPr="00AB0D80" w14:paraId="1BF36EA6" w14:textId="77777777" w:rsidTr="00DA09CE">
        <w:trPr>
          <w:cnfStyle w:val="000000100000" w:firstRow="0" w:lastRow="0" w:firstColumn="0" w:lastColumn="0" w:oddVBand="0" w:evenVBand="0" w:oddHBand="1" w:evenHBand="0" w:firstRowFirstColumn="0" w:firstRowLastColumn="0" w:lastRowFirstColumn="0" w:lastRowLastColumn="0"/>
        </w:trPr>
        <w:tc>
          <w:tcPr>
            <w:tcW w:w="1560" w:type="dxa"/>
            <w:vMerge/>
          </w:tcPr>
          <w:p w14:paraId="618943B9" w14:textId="77777777" w:rsidR="00AB0D80" w:rsidRPr="00AB0D80" w:rsidRDefault="00AB0D80" w:rsidP="00AB0D80">
            <w:pPr>
              <w:rPr>
                <w:rFonts w:ascii="Arial" w:eastAsia="Arial" w:hAnsi="Arial" w:cs="Arial"/>
              </w:rPr>
            </w:pPr>
          </w:p>
        </w:tc>
        <w:tc>
          <w:tcPr>
            <w:tcW w:w="6657" w:type="dxa"/>
          </w:tcPr>
          <w:p w14:paraId="69F7EA58" w14:textId="77777777" w:rsidR="00AB0D80" w:rsidRPr="00AB0D80" w:rsidRDefault="00AB0D80" w:rsidP="00AB0D80">
            <w:pPr>
              <w:rPr>
                <w:rFonts w:ascii="Arial" w:eastAsia="Arial" w:hAnsi="Arial" w:cs="Arial"/>
                <w:b/>
                <w:bCs/>
              </w:rPr>
            </w:pPr>
            <w:r w:rsidRPr="00AB0D80">
              <w:rPr>
                <w:rFonts w:ascii="Arial" w:eastAsia="Arial" w:hAnsi="Arial" w:cs="Arial"/>
                <w:b/>
                <w:bCs/>
              </w:rPr>
              <w:t>Dispute resolution</w:t>
            </w:r>
          </w:p>
          <w:p w14:paraId="66E61F83" w14:textId="77777777" w:rsidR="00AB0D80" w:rsidRPr="00AB0D80" w:rsidRDefault="00AB0D80" w:rsidP="00AB0D80">
            <w:pPr>
              <w:rPr>
                <w:rFonts w:ascii="Arial" w:eastAsia="Arial" w:hAnsi="Arial" w:cs="Arial"/>
              </w:rPr>
            </w:pPr>
            <w:r w:rsidRPr="00AB0D80">
              <w:rPr>
                <w:rFonts w:ascii="Arial" w:eastAsia="Arial" w:hAnsi="Arial" w:cs="Arial"/>
              </w:rPr>
              <w:t>Dispute resolution pathways, including escalation to EWOV.</w:t>
            </w:r>
          </w:p>
        </w:tc>
        <w:tc>
          <w:tcPr>
            <w:tcW w:w="6343" w:type="dxa"/>
          </w:tcPr>
          <w:p w14:paraId="2553D3DC" w14:textId="77777777" w:rsidR="00AB0D80" w:rsidRPr="00AB0D80" w:rsidRDefault="00AB0D80" w:rsidP="00AB0D80">
            <w:pPr>
              <w:rPr>
                <w:rFonts w:ascii="Arial" w:eastAsia="Arial" w:hAnsi="Arial" w:cs="Arial"/>
              </w:rPr>
            </w:pPr>
            <w:r w:rsidRPr="00AB0D80">
              <w:rPr>
                <w:rFonts w:ascii="Arial" w:eastAsia="Arial" w:hAnsi="Arial" w:cs="Arial"/>
              </w:rPr>
              <w:t>We highlight the current clause 18.2 in Electricity Distribution Code of Practice is the equivalent to the dispute resolution framework under clause 7 of the Public Lighting Code of Practice.</w:t>
            </w:r>
          </w:p>
        </w:tc>
      </w:tr>
      <w:tr w:rsidR="00AB0D80" w:rsidRPr="00AB0D80" w14:paraId="2FE1D02C" w14:textId="77777777" w:rsidTr="00DA09CE">
        <w:trPr>
          <w:cnfStyle w:val="000000010000" w:firstRow="0" w:lastRow="0" w:firstColumn="0" w:lastColumn="0" w:oddVBand="0" w:evenVBand="0" w:oddHBand="0" w:evenHBand="1" w:firstRowFirstColumn="0" w:firstRowLastColumn="0" w:lastRowFirstColumn="0" w:lastRowLastColumn="0"/>
        </w:trPr>
        <w:tc>
          <w:tcPr>
            <w:tcW w:w="1560" w:type="dxa"/>
            <w:vMerge w:val="restart"/>
          </w:tcPr>
          <w:p w14:paraId="64E893F8" w14:textId="77777777" w:rsidR="00AB0D80" w:rsidRPr="00AB0D80" w:rsidRDefault="00AB0D80" w:rsidP="00AB0D80">
            <w:pPr>
              <w:rPr>
                <w:rFonts w:ascii="Arial" w:eastAsia="Arial" w:hAnsi="Arial" w:cs="Arial"/>
                <w:b/>
                <w:bCs/>
              </w:rPr>
            </w:pPr>
            <w:r w:rsidRPr="00AB0D80">
              <w:rPr>
                <w:rFonts w:ascii="Arial" w:eastAsia="Arial" w:hAnsi="Arial" w:cs="Arial"/>
                <w:b/>
                <w:bCs/>
              </w:rPr>
              <w:t>Individual 1 submission</w:t>
            </w:r>
          </w:p>
        </w:tc>
        <w:tc>
          <w:tcPr>
            <w:tcW w:w="6657" w:type="dxa"/>
          </w:tcPr>
          <w:p w14:paraId="49817DBD" w14:textId="77777777" w:rsidR="00AB0D80" w:rsidRPr="00AB0D80" w:rsidRDefault="00AB0D80" w:rsidP="00AB0D80">
            <w:pPr>
              <w:rPr>
                <w:rFonts w:ascii="Arial" w:eastAsia="Arial" w:hAnsi="Arial" w:cs="Arial"/>
                <w:b/>
                <w:bCs/>
              </w:rPr>
            </w:pPr>
            <w:r w:rsidRPr="00AB0D80">
              <w:rPr>
                <w:rFonts w:ascii="Arial" w:eastAsia="Arial" w:hAnsi="Arial" w:cs="Arial"/>
                <w:b/>
                <w:bCs/>
              </w:rPr>
              <w:t>Major Roads Oversight/Patrol issues</w:t>
            </w:r>
          </w:p>
          <w:p w14:paraId="07C1A40A" w14:textId="77777777" w:rsidR="00AB0D80" w:rsidRPr="00AB0D80" w:rsidRDefault="00AB0D80" w:rsidP="00AB0D80">
            <w:pPr>
              <w:rPr>
                <w:rFonts w:ascii="Arial" w:eastAsia="Arial" w:hAnsi="Arial" w:cs="Arial"/>
              </w:rPr>
            </w:pPr>
            <w:r w:rsidRPr="00AB0D80">
              <w:rPr>
                <w:rFonts w:ascii="Arial" w:eastAsia="Arial" w:hAnsi="Arial" w:cs="Arial"/>
              </w:rPr>
              <w:t>Have extensive experience in this domain and has been engaging with distributors and the commission for more than 10 years.</w:t>
            </w:r>
          </w:p>
          <w:p w14:paraId="2ABEC816" w14:textId="77777777" w:rsidR="00AB0D80" w:rsidRPr="00AB0D80" w:rsidRDefault="00AB0D80" w:rsidP="00AB0D80">
            <w:pPr>
              <w:rPr>
                <w:rFonts w:ascii="Arial" w:eastAsia="Arial" w:hAnsi="Arial" w:cs="Arial"/>
              </w:rPr>
            </w:pPr>
            <w:r w:rsidRPr="00AB0D80">
              <w:rPr>
                <w:rFonts w:ascii="Arial" w:eastAsia="Arial" w:hAnsi="Arial" w:cs="Arial"/>
              </w:rPr>
              <w:lastRenderedPageBreak/>
              <w:t>Has observed considerable gaps by distributors to conduct prescribed routine patrols to identify faulty public lights on major roads.</w:t>
            </w:r>
          </w:p>
          <w:p w14:paraId="740EAD29" w14:textId="77777777" w:rsidR="00AB0D80" w:rsidRPr="00AB0D80" w:rsidRDefault="00AB0D80" w:rsidP="00AB0D80">
            <w:pPr>
              <w:rPr>
                <w:rFonts w:ascii="Arial" w:eastAsia="Arial" w:hAnsi="Arial" w:cs="Arial"/>
              </w:rPr>
            </w:pPr>
            <w:r w:rsidRPr="00AB0D80">
              <w:rPr>
                <w:rFonts w:ascii="Arial" w:eastAsia="Arial" w:hAnsi="Arial" w:cs="Arial"/>
              </w:rPr>
              <w:t xml:space="preserve">As a result, the individual has observed significant issues by distributors to repair faulty lights in the timely manner. </w:t>
            </w:r>
          </w:p>
        </w:tc>
        <w:tc>
          <w:tcPr>
            <w:tcW w:w="6343" w:type="dxa"/>
          </w:tcPr>
          <w:p w14:paraId="7215EE6F" w14:textId="77777777" w:rsidR="00AB0D80" w:rsidRPr="00AB0D80" w:rsidRDefault="00AB0D80" w:rsidP="00AB0D80">
            <w:pPr>
              <w:rPr>
                <w:rFonts w:ascii="Arial" w:eastAsia="Arial" w:hAnsi="Arial" w:cs="Arial"/>
              </w:rPr>
            </w:pPr>
            <w:r w:rsidRPr="00AB0D80">
              <w:rPr>
                <w:rFonts w:ascii="Arial" w:eastAsia="Arial" w:hAnsi="Arial" w:cs="Arial"/>
              </w:rPr>
              <w:lastRenderedPageBreak/>
              <w:t>We note the Victorian Greenhouse Alliance</w:t>
            </w:r>
            <w:r w:rsidRPr="00AB0D80">
              <w:rPr>
                <w:rFonts w:ascii="Arial" w:eastAsia="Arial" w:hAnsi="Arial" w:cs="Arial"/>
                <w:vertAlign w:val="superscript"/>
              </w:rPr>
              <w:footnoteReference w:id="18"/>
            </w:r>
            <w:r w:rsidRPr="00AB0D80">
              <w:rPr>
                <w:rFonts w:ascii="Arial" w:eastAsia="Arial" w:hAnsi="Arial" w:cs="Arial"/>
              </w:rPr>
              <w:t xml:space="preserve"> submission supporting our approach. Their feedback indicated enabling flexibility rather than expanding this policy from expected </w:t>
            </w:r>
            <w:r w:rsidRPr="00AB0D80">
              <w:rPr>
                <w:rFonts w:ascii="Arial" w:eastAsia="Arial" w:hAnsi="Arial" w:cs="Arial"/>
              </w:rPr>
              <w:lastRenderedPageBreak/>
              <w:t xml:space="preserve">diminishing road patrols through smart lighting / monitoring technology uptake. </w:t>
            </w:r>
          </w:p>
          <w:p w14:paraId="4E6911EF" w14:textId="77777777" w:rsidR="00AB0D80" w:rsidRPr="00AB0D80" w:rsidRDefault="00AB0D80" w:rsidP="00AB0D80">
            <w:pPr>
              <w:rPr>
                <w:rFonts w:ascii="Arial" w:eastAsia="Arial" w:hAnsi="Arial" w:cs="Arial"/>
              </w:rPr>
            </w:pPr>
            <w:r w:rsidRPr="00AB0D80">
              <w:rPr>
                <w:rFonts w:ascii="Arial" w:eastAsia="Arial" w:hAnsi="Arial" w:cs="Arial"/>
              </w:rPr>
              <w:t xml:space="preserve">We consider as relevant to understand how these new technologies may interact and affect this obligation. Therefore, we consider it is too early to consider and introduce new policies at this stage. </w:t>
            </w:r>
          </w:p>
        </w:tc>
      </w:tr>
      <w:tr w:rsidR="00AB0D80" w:rsidRPr="00AB0D80" w14:paraId="47522867" w14:textId="77777777" w:rsidTr="00DA09CE">
        <w:trPr>
          <w:cnfStyle w:val="000000100000" w:firstRow="0" w:lastRow="0" w:firstColumn="0" w:lastColumn="0" w:oddVBand="0" w:evenVBand="0" w:oddHBand="1" w:evenHBand="0" w:firstRowFirstColumn="0" w:firstRowLastColumn="0" w:lastRowFirstColumn="0" w:lastRowLastColumn="0"/>
        </w:trPr>
        <w:tc>
          <w:tcPr>
            <w:tcW w:w="1560" w:type="dxa"/>
            <w:vMerge/>
          </w:tcPr>
          <w:p w14:paraId="04FBF35E" w14:textId="77777777" w:rsidR="00AB0D80" w:rsidRPr="00AB0D80" w:rsidRDefault="00AB0D80" w:rsidP="00AB0D80">
            <w:pPr>
              <w:rPr>
                <w:rFonts w:ascii="Arial" w:eastAsia="Arial" w:hAnsi="Arial" w:cs="Arial"/>
                <w:b/>
                <w:bCs/>
              </w:rPr>
            </w:pPr>
          </w:p>
        </w:tc>
        <w:tc>
          <w:tcPr>
            <w:tcW w:w="6657" w:type="dxa"/>
          </w:tcPr>
          <w:p w14:paraId="50B40649" w14:textId="77777777" w:rsidR="00AB0D80" w:rsidRPr="00AB0D80" w:rsidRDefault="00AB0D80" w:rsidP="00AB0D80">
            <w:pPr>
              <w:rPr>
                <w:rFonts w:ascii="Arial" w:eastAsia="Arial" w:hAnsi="Arial" w:cs="Arial"/>
                <w:b/>
                <w:bCs/>
              </w:rPr>
            </w:pPr>
            <w:r w:rsidRPr="00AB0D80">
              <w:rPr>
                <w:rFonts w:ascii="Arial" w:eastAsia="Arial" w:hAnsi="Arial" w:cs="Arial"/>
                <w:b/>
                <w:bCs/>
              </w:rPr>
              <w:t>Definition of a Complex Fault</w:t>
            </w:r>
          </w:p>
          <w:p w14:paraId="2561EDA5" w14:textId="77777777" w:rsidR="00AB0D80" w:rsidRPr="00AB0D80" w:rsidRDefault="00AB0D80" w:rsidP="00AB0D80">
            <w:pPr>
              <w:rPr>
                <w:rFonts w:ascii="Arial" w:eastAsia="Arial" w:hAnsi="Arial" w:cs="Arial"/>
              </w:rPr>
            </w:pPr>
            <w:r w:rsidRPr="00AB0D80">
              <w:rPr>
                <w:rFonts w:ascii="Arial" w:eastAsia="Arial" w:hAnsi="Arial" w:cs="Arial"/>
              </w:rPr>
              <w:t xml:space="preserve">No definition of a complex fault enables distributors not to fix faulty lights in a timely manner. </w:t>
            </w:r>
          </w:p>
        </w:tc>
        <w:tc>
          <w:tcPr>
            <w:tcW w:w="6343" w:type="dxa"/>
          </w:tcPr>
          <w:p w14:paraId="38E6A597" w14:textId="01D4B5AA" w:rsidR="00AB0D80" w:rsidRPr="00AB0D80" w:rsidRDefault="00AB0D80" w:rsidP="00AB0D80">
            <w:pPr>
              <w:rPr>
                <w:rFonts w:ascii="Arial" w:eastAsia="Arial" w:hAnsi="Arial" w:cs="Arial"/>
              </w:rPr>
            </w:pPr>
            <w:r w:rsidRPr="00AB0D80">
              <w:rPr>
                <w:rFonts w:ascii="Arial" w:eastAsia="Arial" w:hAnsi="Arial" w:cs="Arial"/>
              </w:rPr>
              <w:t xml:space="preserve">Complex faults may involve operational interactions with stakeholders such as VicRoads, Councils, train/tram operators and other utility services </w:t>
            </w:r>
            <w:r w:rsidR="00A80A5C">
              <w:rPr>
                <w:rFonts w:ascii="Arial" w:eastAsia="Arial" w:hAnsi="Arial" w:cs="Arial"/>
              </w:rPr>
              <w:t xml:space="preserve">who may have their own regulatory framework </w:t>
            </w:r>
            <w:r w:rsidR="00BF2A2C">
              <w:rPr>
                <w:rFonts w:ascii="Arial" w:eastAsia="Arial" w:hAnsi="Arial" w:cs="Arial"/>
              </w:rPr>
              <w:t xml:space="preserve">to </w:t>
            </w:r>
            <w:r w:rsidR="00E020A2">
              <w:rPr>
                <w:rFonts w:ascii="Arial" w:eastAsia="Arial" w:hAnsi="Arial" w:cs="Arial"/>
              </w:rPr>
              <w:t>operat</w:t>
            </w:r>
            <w:r w:rsidR="006213AD">
              <w:rPr>
                <w:rFonts w:ascii="Arial" w:eastAsia="Arial" w:hAnsi="Arial" w:cs="Arial"/>
              </w:rPr>
              <w:t>e</w:t>
            </w:r>
            <w:r w:rsidR="00E020A2">
              <w:rPr>
                <w:rFonts w:ascii="Arial" w:eastAsia="Arial" w:hAnsi="Arial" w:cs="Arial"/>
              </w:rPr>
              <w:t xml:space="preserve"> </w:t>
            </w:r>
            <w:r w:rsidR="00AE0A8D">
              <w:rPr>
                <w:rFonts w:ascii="Arial" w:eastAsia="Arial" w:hAnsi="Arial" w:cs="Arial"/>
              </w:rPr>
              <w:t>with</w:t>
            </w:r>
            <w:r w:rsidR="00BF2A2C">
              <w:rPr>
                <w:rFonts w:ascii="Arial" w:eastAsia="Arial" w:hAnsi="Arial" w:cs="Arial"/>
              </w:rPr>
              <w:t xml:space="preserve"> </w:t>
            </w:r>
            <w:r w:rsidRPr="00AB0D80">
              <w:rPr>
                <w:rFonts w:ascii="Arial" w:eastAsia="Arial" w:hAnsi="Arial" w:cs="Arial"/>
              </w:rPr>
              <w:t>that expand</w:t>
            </w:r>
            <w:r w:rsidR="00BF2A2C">
              <w:rPr>
                <w:rFonts w:ascii="Arial" w:eastAsia="Arial" w:hAnsi="Arial" w:cs="Arial"/>
              </w:rPr>
              <w:t>s</w:t>
            </w:r>
            <w:r w:rsidRPr="00AB0D80">
              <w:rPr>
                <w:rFonts w:ascii="Arial" w:eastAsia="Arial" w:hAnsi="Arial" w:cs="Arial"/>
              </w:rPr>
              <w:t xml:space="preserve"> beyond electricity regulations. </w:t>
            </w:r>
          </w:p>
          <w:p w14:paraId="036B52BF" w14:textId="77777777" w:rsidR="00AB0D80" w:rsidRPr="00AB0D80" w:rsidRDefault="00AB0D80" w:rsidP="00AB0D80">
            <w:pPr>
              <w:rPr>
                <w:rFonts w:ascii="Arial" w:eastAsia="Arial" w:hAnsi="Arial" w:cs="Arial"/>
              </w:rPr>
            </w:pPr>
            <w:r w:rsidRPr="00AB0D80">
              <w:rPr>
                <w:rFonts w:ascii="Arial" w:eastAsia="Arial" w:hAnsi="Arial" w:cs="Arial"/>
              </w:rPr>
              <w:t>We consider it is more appropriate for the parties directly involved operationally are best placed to manage such issues. This could be through processes, protocols or where relevant, agreements between parties rather than formal regulations.</w:t>
            </w:r>
          </w:p>
        </w:tc>
      </w:tr>
      <w:tr w:rsidR="00AB0D80" w:rsidRPr="00AB0D80" w14:paraId="7F98019C" w14:textId="77777777" w:rsidTr="00DA09CE">
        <w:trPr>
          <w:cnfStyle w:val="000000010000" w:firstRow="0" w:lastRow="0" w:firstColumn="0" w:lastColumn="0" w:oddVBand="0" w:evenVBand="0" w:oddHBand="0" w:evenHBand="1" w:firstRowFirstColumn="0" w:firstRowLastColumn="0" w:lastRowFirstColumn="0" w:lastRowLastColumn="0"/>
        </w:trPr>
        <w:tc>
          <w:tcPr>
            <w:tcW w:w="1560" w:type="dxa"/>
            <w:vMerge/>
          </w:tcPr>
          <w:p w14:paraId="35E4C80B" w14:textId="77777777" w:rsidR="00AB0D80" w:rsidRPr="00AB0D80" w:rsidRDefault="00AB0D80" w:rsidP="00AB0D80">
            <w:pPr>
              <w:rPr>
                <w:rFonts w:ascii="Arial" w:eastAsia="Arial" w:hAnsi="Arial" w:cs="Arial"/>
                <w:b/>
                <w:bCs/>
              </w:rPr>
            </w:pPr>
          </w:p>
        </w:tc>
        <w:tc>
          <w:tcPr>
            <w:tcW w:w="6657" w:type="dxa"/>
          </w:tcPr>
          <w:p w14:paraId="24DB128F" w14:textId="77777777" w:rsidR="00AB0D80" w:rsidRPr="00AB0D80" w:rsidRDefault="00AB0D80" w:rsidP="00AB0D80">
            <w:pPr>
              <w:rPr>
                <w:rFonts w:ascii="Arial" w:eastAsia="Arial" w:hAnsi="Arial" w:cs="Arial"/>
                <w:b/>
                <w:bCs/>
              </w:rPr>
            </w:pPr>
            <w:r w:rsidRPr="00AB0D80">
              <w:rPr>
                <w:rFonts w:ascii="Arial" w:eastAsia="Arial" w:hAnsi="Arial" w:cs="Arial"/>
                <w:b/>
                <w:bCs/>
              </w:rPr>
              <w:t>Guaranteed Service Level (GSL) condition</w:t>
            </w:r>
          </w:p>
          <w:p w14:paraId="0363B326" w14:textId="77777777" w:rsidR="00AB0D80" w:rsidRPr="00AB0D80" w:rsidRDefault="00AB0D80" w:rsidP="00AB0D80">
            <w:pPr>
              <w:rPr>
                <w:rFonts w:ascii="Arial" w:eastAsia="Arial" w:hAnsi="Arial" w:cs="Arial"/>
              </w:rPr>
            </w:pPr>
            <w:r w:rsidRPr="00AB0D80">
              <w:rPr>
                <w:rFonts w:ascii="Arial" w:eastAsia="Arial" w:hAnsi="Arial" w:cs="Arial"/>
              </w:rPr>
              <w:t>Requirement to be at an adjacent property for compensation payment.</w:t>
            </w:r>
          </w:p>
        </w:tc>
        <w:tc>
          <w:tcPr>
            <w:tcW w:w="6343" w:type="dxa"/>
          </w:tcPr>
          <w:p w14:paraId="22DC58F3" w14:textId="77777777" w:rsidR="00AB0D80" w:rsidRPr="00AB0D80" w:rsidRDefault="00AB0D80" w:rsidP="00AB0D80">
            <w:pPr>
              <w:rPr>
                <w:rFonts w:ascii="Arial" w:eastAsia="Arial" w:hAnsi="Arial" w:cs="Arial"/>
              </w:rPr>
            </w:pPr>
            <w:r w:rsidRPr="00AB0D80">
              <w:rPr>
                <w:rFonts w:ascii="Arial" w:eastAsia="Arial" w:hAnsi="Arial" w:cs="Arial"/>
              </w:rPr>
              <w:t xml:space="preserve">Distributors are proposing bulk replacement of their lighting fleet. </w:t>
            </w:r>
          </w:p>
          <w:p w14:paraId="7A4D3931" w14:textId="77777777" w:rsidR="00AB0D80" w:rsidRPr="00AB0D80" w:rsidRDefault="00AB0D80" w:rsidP="00AB0D80">
            <w:pPr>
              <w:rPr>
                <w:rFonts w:ascii="Arial" w:eastAsia="Arial" w:hAnsi="Arial" w:cs="Arial"/>
              </w:rPr>
            </w:pPr>
            <w:r w:rsidRPr="00AB0D80">
              <w:rPr>
                <w:rFonts w:ascii="Arial" w:eastAsia="Arial" w:hAnsi="Arial" w:cs="Arial"/>
              </w:rPr>
              <w:t>We consider there are limited benefits to changing the GSL framework right now, as the bulk replacement program will need time to work through the system.</w:t>
            </w:r>
          </w:p>
        </w:tc>
      </w:tr>
      <w:tr w:rsidR="00AB0D80" w:rsidRPr="00AB0D80" w14:paraId="4B9028B9" w14:textId="77777777" w:rsidTr="00DA09CE">
        <w:trPr>
          <w:cnfStyle w:val="000000100000" w:firstRow="0" w:lastRow="0" w:firstColumn="0" w:lastColumn="0" w:oddVBand="0" w:evenVBand="0" w:oddHBand="1" w:evenHBand="0" w:firstRowFirstColumn="0" w:firstRowLastColumn="0" w:lastRowFirstColumn="0" w:lastRowLastColumn="0"/>
        </w:trPr>
        <w:tc>
          <w:tcPr>
            <w:tcW w:w="1560" w:type="dxa"/>
            <w:vMerge/>
          </w:tcPr>
          <w:p w14:paraId="0582C4C5" w14:textId="77777777" w:rsidR="00AB0D80" w:rsidRPr="00AB0D80" w:rsidRDefault="00AB0D80" w:rsidP="00AB0D80">
            <w:pPr>
              <w:rPr>
                <w:rFonts w:ascii="Arial" w:eastAsia="Arial" w:hAnsi="Arial" w:cs="Arial"/>
                <w:b/>
                <w:bCs/>
              </w:rPr>
            </w:pPr>
          </w:p>
        </w:tc>
        <w:tc>
          <w:tcPr>
            <w:tcW w:w="6657" w:type="dxa"/>
          </w:tcPr>
          <w:p w14:paraId="04C3803A" w14:textId="77777777" w:rsidR="00AB0D80" w:rsidRPr="00AB0D80" w:rsidRDefault="00AB0D80" w:rsidP="00AB0D80">
            <w:pPr>
              <w:rPr>
                <w:rFonts w:ascii="Arial" w:eastAsia="Arial" w:hAnsi="Arial" w:cs="Arial"/>
                <w:b/>
                <w:bCs/>
              </w:rPr>
            </w:pPr>
            <w:r w:rsidRPr="00AB0D80">
              <w:rPr>
                <w:rFonts w:ascii="Arial" w:eastAsia="Arial" w:hAnsi="Arial" w:cs="Arial"/>
                <w:b/>
                <w:bCs/>
              </w:rPr>
              <w:t>No new policy considerations</w:t>
            </w:r>
          </w:p>
          <w:p w14:paraId="5B1AEF8F" w14:textId="77777777" w:rsidR="00AB0D80" w:rsidRPr="00AB0D80" w:rsidRDefault="00AB0D80" w:rsidP="00AB0D80">
            <w:pPr>
              <w:rPr>
                <w:rFonts w:ascii="Arial" w:eastAsia="Arial" w:hAnsi="Arial" w:cs="Arial"/>
              </w:rPr>
            </w:pPr>
            <w:r w:rsidRPr="00AB0D80">
              <w:rPr>
                <w:rFonts w:ascii="Arial" w:eastAsia="Arial" w:hAnsi="Arial" w:cs="Arial"/>
              </w:rPr>
              <w:t>Why no new policies are being considered.</w:t>
            </w:r>
          </w:p>
        </w:tc>
        <w:tc>
          <w:tcPr>
            <w:tcW w:w="6343" w:type="dxa"/>
          </w:tcPr>
          <w:p w14:paraId="33652D85" w14:textId="77777777" w:rsidR="00AB0D80" w:rsidRPr="00AB0D80" w:rsidRDefault="00AB0D80" w:rsidP="00AB0D80">
            <w:pPr>
              <w:rPr>
                <w:rFonts w:ascii="Arial" w:eastAsia="Arial" w:hAnsi="Arial" w:cs="Arial"/>
              </w:rPr>
            </w:pPr>
            <w:r w:rsidRPr="00AB0D80">
              <w:rPr>
                <w:rFonts w:ascii="Arial" w:eastAsia="Arial" w:hAnsi="Arial" w:cs="Arial"/>
              </w:rPr>
              <w:t xml:space="preserve">We note the introduction of broader new national rules such as the </w:t>
            </w:r>
            <w:hyperlink r:id="rId48" w:history="1">
              <w:r w:rsidRPr="00AB0D80">
                <w:rPr>
                  <w:rFonts w:ascii="Arial" w:eastAsia="Arial" w:hAnsi="Arial" w:cs="Arial"/>
                  <w:color w:val="0000FF"/>
                  <w:u w:val="single"/>
                </w:rPr>
                <w:t>CER flexible trading</w:t>
              </w:r>
            </w:hyperlink>
            <w:r w:rsidRPr="00AB0D80">
              <w:rPr>
                <w:rFonts w:ascii="Arial" w:eastAsia="Arial" w:hAnsi="Arial" w:cs="Arial"/>
              </w:rPr>
              <w:t xml:space="preserve"> to enable the energy transition. This rule is expected to enable smart technologies for public lighting (and is being considered for Victoria). However, until the broader effects of this rule and polices can be appreciated, we consider it is too early to consider new polices at this stage.  </w:t>
            </w:r>
          </w:p>
        </w:tc>
      </w:tr>
      <w:tr w:rsidR="00AB0D80" w:rsidRPr="00AB0D80" w14:paraId="501C0FBF" w14:textId="77777777" w:rsidTr="00DA09CE">
        <w:trPr>
          <w:cnfStyle w:val="000000010000" w:firstRow="0" w:lastRow="0" w:firstColumn="0" w:lastColumn="0" w:oddVBand="0" w:evenVBand="0" w:oddHBand="0" w:evenHBand="1" w:firstRowFirstColumn="0" w:firstRowLastColumn="0" w:lastRowFirstColumn="0" w:lastRowLastColumn="0"/>
        </w:trPr>
        <w:tc>
          <w:tcPr>
            <w:tcW w:w="1560" w:type="dxa"/>
          </w:tcPr>
          <w:p w14:paraId="74772023" w14:textId="77777777" w:rsidR="00AB0D80" w:rsidRPr="00AB0D80" w:rsidRDefault="00AB0D80" w:rsidP="00AB0D80">
            <w:pPr>
              <w:rPr>
                <w:rFonts w:ascii="Arial" w:eastAsia="Arial" w:hAnsi="Arial" w:cs="Arial"/>
                <w:b/>
                <w:bCs/>
              </w:rPr>
            </w:pPr>
            <w:r w:rsidRPr="00AB0D80">
              <w:rPr>
                <w:rFonts w:ascii="Arial" w:eastAsia="Arial" w:hAnsi="Arial" w:cs="Arial"/>
                <w:b/>
                <w:bCs/>
              </w:rPr>
              <w:t>Individual 2 submission</w:t>
            </w:r>
          </w:p>
        </w:tc>
        <w:tc>
          <w:tcPr>
            <w:tcW w:w="6657" w:type="dxa"/>
          </w:tcPr>
          <w:p w14:paraId="1918E43D" w14:textId="77777777" w:rsidR="00AB0D80" w:rsidRPr="00AB0D80" w:rsidRDefault="00AB0D80" w:rsidP="00AB0D80">
            <w:pPr>
              <w:rPr>
                <w:rFonts w:ascii="Arial" w:eastAsia="Arial" w:hAnsi="Arial" w:cs="Arial"/>
              </w:rPr>
            </w:pPr>
            <w:r w:rsidRPr="00AB0D80">
              <w:rPr>
                <w:rFonts w:ascii="Arial" w:eastAsia="Arial" w:hAnsi="Arial" w:cs="Arial"/>
              </w:rPr>
              <w:t>Poor repair response by distributors even with the GSL framework.</w:t>
            </w:r>
          </w:p>
          <w:p w14:paraId="6AF8C602" w14:textId="77777777" w:rsidR="00AB0D80" w:rsidRPr="00AB0D80" w:rsidRDefault="00AB0D80" w:rsidP="00AB0D80">
            <w:pPr>
              <w:rPr>
                <w:rFonts w:ascii="Arial" w:eastAsia="Arial" w:hAnsi="Arial" w:cs="Arial"/>
              </w:rPr>
            </w:pPr>
            <w:r w:rsidRPr="00AB0D80">
              <w:rPr>
                <w:rFonts w:ascii="Arial" w:eastAsia="Arial" w:hAnsi="Arial" w:cs="Arial"/>
              </w:rPr>
              <w:t>Sometime complex ownership models with no clear way to identify who is responsible for the asset.</w:t>
            </w:r>
          </w:p>
          <w:p w14:paraId="64D1305D" w14:textId="77777777" w:rsidR="00AB0D80" w:rsidRPr="00AB0D80" w:rsidRDefault="00AB0D80" w:rsidP="00AB0D80">
            <w:pPr>
              <w:rPr>
                <w:rFonts w:ascii="Arial" w:eastAsia="Arial" w:hAnsi="Arial" w:cs="Arial"/>
              </w:rPr>
            </w:pPr>
            <w:r w:rsidRPr="00AB0D80">
              <w:rPr>
                <w:rFonts w:ascii="Arial" w:eastAsia="Arial" w:hAnsi="Arial" w:cs="Arial"/>
              </w:rPr>
              <w:t xml:space="preserve">Suggested to retain: </w:t>
            </w:r>
          </w:p>
          <w:p w14:paraId="48394084" w14:textId="77777777" w:rsidR="00AB0D80" w:rsidRPr="00AB0D80" w:rsidRDefault="00AB0D80" w:rsidP="00AB0D80">
            <w:pPr>
              <w:numPr>
                <w:ilvl w:val="0"/>
                <w:numId w:val="31"/>
              </w:numPr>
              <w:contextualSpacing/>
              <w:rPr>
                <w:rFonts w:ascii="Arial" w:eastAsia="Arial" w:hAnsi="Arial" w:cs="Arial"/>
              </w:rPr>
            </w:pPr>
            <w:r w:rsidRPr="00AB0D80">
              <w:rPr>
                <w:rFonts w:ascii="Arial" w:eastAsia="Arial" w:hAnsi="Arial" w:cs="Arial"/>
              </w:rPr>
              <w:t>Clause 2.1 – Good asset management</w:t>
            </w:r>
          </w:p>
          <w:p w14:paraId="576CF4E6" w14:textId="77777777" w:rsidR="00AB0D80" w:rsidRPr="00AB0D80" w:rsidRDefault="00AB0D80" w:rsidP="00AB0D80">
            <w:pPr>
              <w:numPr>
                <w:ilvl w:val="0"/>
                <w:numId w:val="31"/>
              </w:numPr>
              <w:contextualSpacing/>
              <w:rPr>
                <w:rFonts w:ascii="Arial" w:eastAsia="Arial" w:hAnsi="Arial" w:cs="Arial"/>
              </w:rPr>
            </w:pPr>
            <w:r w:rsidRPr="00AB0D80">
              <w:rPr>
                <w:rFonts w:ascii="Arial" w:eastAsia="Arial" w:hAnsi="Arial" w:cs="Arial"/>
              </w:rPr>
              <w:t>Clause 5.1.2 – Asset data, ownership and demarcation.</w:t>
            </w:r>
          </w:p>
        </w:tc>
        <w:tc>
          <w:tcPr>
            <w:tcW w:w="6343" w:type="dxa"/>
          </w:tcPr>
          <w:p w14:paraId="09FBF972" w14:textId="2A73FF98" w:rsidR="00AB0D80" w:rsidRPr="00AB0D80" w:rsidRDefault="00AB0D80" w:rsidP="00AB0D80">
            <w:pPr>
              <w:rPr>
                <w:rFonts w:ascii="Arial" w:eastAsia="Arial" w:hAnsi="Arial" w:cs="Arial"/>
              </w:rPr>
            </w:pPr>
            <w:r w:rsidRPr="00AB0D80">
              <w:rPr>
                <w:rFonts w:ascii="Arial" w:eastAsia="Arial" w:hAnsi="Arial" w:cs="Arial"/>
              </w:rPr>
              <w:t xml:space="preserve">We are retaining and transferring some obligations to the Electricity Distribution Code of Practice that </w:t>
            </w:r>
            <w:r w:rsidR="001E209B">
              <w:rPr>
                <w:rFonts w:ascii="Arial" w:eastAsia="Arial" w:hAnsi="Arial" w:cs="Arial"/>
              </w:rPr>
              <w:t xml:space="preserve">electricity </w:t>
            </w:r>
            <w:r w:rsidRPr="00AB0D80">
              <w:rPr>
                <w:rFonts w:ascii="Arial" w:eastAsia="Arial" w:hAnsi="Arial" w:cs="Arial"/>
              </w:rPr>
              <w:t>distribut</w:t>
            </w:r>
            <w:r w:rsidR="001E209B">
              <w:rPr>
                <w:rFonts w:ascii="Arial" w:eastAsia="Arial" w:hAnsi="Arial" w:cs="Arial"/>
              </w:rPr>
              <w:t>ion businesses</w:t>
            </w:r>
            <w:r w:rsidRPr="00AB0D80">
              <w:rPr>
                <w:rFonts w:ascii="Arial" w:eastAsia="Arial" w:hAnsi="Arial" w:cs="Arial"/>
              </w:rPr>
              <w:t xml:space="preserve"> will be held accountable for. </w:t>
            </w:r>
          </w:p>
          <w:p w14:paraId="229D2E62" w14:textId="77777777" w:rsidR="00AB0D80" w:rsidRPr="00AB0D80" w:rsidRDefault="00AB0D80" w:rsidP="00AB0D80">
            <w:pPr>
              <w:rPr>
                <w:rFonts w:ascii="Arial" w:eastAsia="Arial" w:hAnsi="Arial" w:cs="Arial"/>
              </w:rPr>
            </w:pPr>
            <w:r w:rsidRPr="00AB0D80">
              <w:rPr>
                <w:rFonts w:ascii="Arial" w:eastAsia="Arial" w:hAnsi="Arial" w:cs="Arial"/>
              </w:rPr>
              <w:t xml:space="preserve">We highlight: </w:t>
            </w:r>
          </w:p>
          <w:p w14:paraId="03092046" w14:textId="77777777" w:rsidR="00AB0D80" w:rsidRPr="00AB0D80" w:rsidRDefault="00AB0D80" w:rsidP="00AB0D80">
            <w:pPr>
              <w:numPr>
                <w:ilvl w:val="0"/>
                <w:numId w:val="33"/>
              </w:numPr>
              <w:contextualSpacing/>
              <w:rPr>
                <w:rFonts w:ascii="Arial" w:eastAsia="Arial" w:hAnsi="Arial" w:cs="Arial"/>
              </w:rPr>
            </w:pPr>
            <w:r w:rsidRPr="00AB0D80">
              <w:rPr>
                <w:rFonts w:ascii="Arial" w:eastAsia="Arial" w:hAnsi="Arial" w:cs="Arial"/>
              </w:rPr>
              <w:t xml:space="preserve">Clause 19.2.1 - Asset management </w:t>
            </w:r>
          </w:p>
          <w:p w14:paraId="1027D987" w14:textId="77777777" w:rsidR="00AB0D80" w:rsidRPr="00AB0D80" w:rsidRDefault="00AB0D80" w:rsidP="00AB0D80">
            <w:pPr>
              <w:numPr>
                <w:ilvl w:val="0"/>
                <w:numId w:val="33"/>
              </w:numPr>
              <w:contextualSpacing/>
              <w:rPr>
                <w:rFonts w:ascii="Arial" w:eastAsia="Arial" w:hAnsi="Arial" w:cs="Arial"/>
              </w:rPr>
            </w:pPr>
            <w:r w:rsidRPr="00AB0D80">
              <w:rPr>
                <w:rFonts w:ascii="Arial" w:eastAsia="Arial" w:hAnsi="Arial" w:cs="Arial"/>
              </w:rPr>
              <w:t>clause 19.7.1 - Minimum service standards</w:t>
            </w:r>
          </w:p>
          <w:p w14:paraId="63D0B715" w14:textId="77777777" w:rsidR="00AB0D80" w:rsidRPr="00AB0D80" w:rsidRDefault="00AB0D80" w:rsidP="00AB0D80">
            <w:pPr>
              <w:numPr>
                <w:ilvl w:val="0"/>
                <w:numId w:val="33"/>
              </w:numPr>
              <w:contextualSpacing/>
              <w:rPr>
                <w:rFonts w:ascii="Arial" w:eastAsia="Arial" w:hAnsi="Arial" w:cs="Arial"/>
              </w:rPr>
            </w:pPr>
            <w:r w:rsidRPr="00AB0D80">
              <w:rPr>
                <w:rFonts w:ascii="Arial" w:eastAsia="Arial" w:hAnsi="Arial" w:cs="Arial"/>
              </w:rPr>
              <w:t>clause 25.3.4 – Information provisions and asset data</w:t>
            </w:r>
          </w:p>
          <w:p w14:paraId="4A1C4448" w14:textId="0CB1F029" w:rsidR="007A4B22" w:rsidRDefault="00AB0D80" w:rsidP="00AB0D80">
            <w:pPr>
              <w:rPr>
                <w:rFonts w:ascii="Arial" w:eastAsia="Arial" w:hAnsi="Arial" w:cs="Arial"/>
              </w:rPr>
            </w:pPr>
            <w:r w:rsidRPr="00AB0D80">
              <w:rPr>
                <w:rFonts w:ascii="Arial" w:eastAsia="Arial" w:hAnsi="Arial" w:cs="Arial"/>
              </w:rPr>
              <w:t xml:space="preserve">These clauses support to ensure that </w:t>
            </w:r>
            <w:r w:rsidR="00BA5236">
              <w:rPr>
                <w:rFonts w:ascii="Arial" w:eastAsia="Arial" w:hAnsi="Arial" w:cs="Arial"/>
              </w:rPr>
              <w:t xml:space="preserve">electricity </w:t>
            </w:r>
            <w:r w:rsidRPr="00AB0D80">
              <w:rPr>
                <w:rFonts w:ascii="Arial" w:eastAsia="Arial" w:hAnsi="Arial" w:cs="Arial"/>
              </w:rPr>
              <w:t>distribut</w:t>
            </w:r>
            <w:r w:rsidR="00BA5236">
              <w:rPr>
                <w:rFonts w:ascii="Arial" w:eastAsia="Arial" w:hAnsi="Arial" w:cs="Arial"/>
              </w:rPr>
              <w:t>ion businesses</w:t>
            </w:r>
            <w:r w:rsidRPr="00AB0D80">
              <w:rPr>
                <w:rFonts w:ascii="Arial" w:eastAsia="Arial" w:hAnsi="Arial" w:cs="Arial"/>
              </w:rPr>
              <w:t xml:space="preserve"> and public lighting customers such as councils will be able to keep track of their respective assets.</w:t>
            </w:r>
          </w:p>
          <w:p w14:paraId="590C8375" w14:textId="37615384" w:rsidR="00652417" w:rsidRPr="00AB0D80" w:rsidRDefault="009C2D97" w:rsidP="00AB0D80">
            <w:pPr>
              <w:rPr>
                <w:rFonts w:ascii="Arial" w:eastAsia="Arial" w:hAnsi="Arial" w:cs="Arial"/>
              </w:rPr>
            </w:pPr>
            <w:r>
              <w:rPr>
                <w:rFonts w:ascii="Arial" w:eastAsia="Arial" w:hAnsi="Arial" w:cs="Arial"/>
              </w:rPr>
              <w:t>T</w:t>
            </w:r>
            <w:r w:rsidR="00652417">
              <w:rPr>
                <w:rFonts w:ascii="Arial" w:eastAsia="Arial" w:hAnsi="Arial" w:cs="Arial"/>
              </w:rPr>
              <w:t xml:space="preserve">hese obligations are </w:t>
            </w:r>
            <w:r w:rsidR="00F530CC">
              <w:rPr>
                <w:rFonts w:ascii="Arial" w:eastAsia="Arial" w:hAnsi="Arial" w:cs="Arial"/>
              </w:rPr>
              <w:t>enforceable</w:t>
            </w:r>
            <w:r w:rsidR="00C90972">
              <w:rPr>
                <w:rFonts w:ascii="Arial" w:eastAsia="Arial" w:hAnsi="Arial" w:cs="Arial"/>
              </w:rPr>
              <w:t xml:space="preserve">. </w:t>
            </w:r>
            <w:r w:rsidR="00C90972">
              <w:t>We can consider actions for potential non-compliance, informed by our Compliance and Enforcement Policy and priorities</w:t>
            </w:r>
            <w:r w:rsidR="0077722F">
              <w:t>.</w:t>
            </w:r>
            <w:r w:rsidR="009C7F7E">
              <w:rPr>
                <w:rFonts w:ascii="Arial" w:eastAsia="Arial" w:hAnsi="Arial" w:cs="Arial"/>
              </w:rPr>
              <w:t xml:space="preserve"> </w:t>
            </w:r>
            <w:r w:rsidR="00F530CC">
              <w:rPr>
                <w:rFonts w:ascii="Arial" w:eastAsia="Arial" w:hAnsi="Arial" w:cs="Arial"/>
              </w:rPr>
              <w:t xml:space="preserve"> </w:t>
            </w:r>
          </w:p>
        </w:tc>
      </w:tr>
      <w:tr w:rsidR="00AB0D80" w:rsidRPr="00AB0D80" w14:paraId="50FFD397" w14:textId="77777777" w:rsidTr="00DA09CE">
        <w:trPr>
          <w:cnfStyle w:val="000000100000" w:firstRow="0" w:lastRow="0" w:firstColumn="0" w:lastColumn="0" w:oddVBand="0" w:evenVBand="0" w:oddHBand="1" w:evenHBand="0" w:firstRowFirstColumn="0" w:firstRowLastColumn="0" w:lastRowFirstColumn="0" w:lastRowLastColumn="0"/>
        </w:trPr>
        <w:tc>
          <w:tcPr>
            <w:tcW w:w="1560" w:type="dxa"/>
          </w:tcPr>
          <w:p w14:paraId="5F94EFF8" w14:textId="77777777" w:rsidR="00AB0D80" w:rsidRPr="00AB0D80" w:rsidRDefault="00AB0D80" w:rsidP="00AB0D80">
            <w:pPr>
              <w:rPr>
                <w:rFonts w:ascii="Arial" w:eastAsia="Arial" w:hAnsi="Arial" w:cs="Arial"/>
                <w:b/>
                <w:bCs/>
              </w:rPr>
            </w:pPr>
            <w:r w:rsidRPr="00AB0D80">
              <w:rPr>
                <w:rFonts w:ascii="Arial" w:eastAsia="Arial" w:hAnsi="Arial" w:cs="Arial"/>
                <w:b/>
                <w:bCs/>
              </w:rPr>
              <w:lastRenderedPageBreak/>
              <w:t>Individual 3 submission</w:t>
            </w:r>
          </w:p>
        </w:tc>
        <w:tc>
          <w:tcPr>
            <w:tcW w:w="6657" w:type="dxa"/>
          </w:tcPr>
          <w:p w14:paraId="6FC6F846" w14:textId="77777777" w:rsidR="00AB0D80" w:rsidRPr="00AB0D80" w:rsidRDefault="00AB0D80" w:rsidP="00AB0D80">
            <w:pPr>
              <w:rPr>
                <w:rFonts w:ascii="Arial" w:eastAsia="Arial" w:hAnsi="Arial" w:cs="Arial"/>
              </w:rPr>
            </w:pPr>
            <w:r w:rsidRPr="00AB0D80">
              <w:rPr>
                <w:rFonts w:ascii="Arial" w:eastAsia="Arial" w:hAnsi="Arial" w:cs="Arial"/>
              </w:rPr>
              <w:t xml:space="preserve">Public lighting should consider environmental factors such as: </w:t>
            </w:r>
          </w:p>
          <w:p w14:paraId="3F2F86F2" w14:textId="77777777" w:rsidR="00AB0D80" w:rsidRPr="00AB0D80" w:rsidRDefault="00AB0D80" w:rsidP="00AB0D80">
            <w:pPr>
              <w:numPr>
                <w:ilvl w:val="0"/>
                <w:numId w:val="30"/>
              </w:numPr>
              <w:contextualSpacing/>
              <w:rPr>
                <w:rFonts w:ascii="Arial" w:eastAsia="Arial" w:hAnsi="Arial" w:cs="Arial"/>
              </w:rPr>
            </w:pPr>
            <w:r w:rsidRPr="00AB0D80">
              <w:rPr>
                <w:rFonts w:ascii="Arial" w:eastAsia="Arial" w:hAnsi="Arial" w:cs="Arial"/>
              </w:rPr>
              <w:t xml:space="preserve">Light pollution and its impact to astrophotography. </w:t>
            </w:r>
          </w:p>
          <w:p w14:paraId="1D58D2F3" w14:textId="77777777" w:rsidR="00AB0D80" w:rsidRPr="00AB0D80" w:rsidRDefault="00AB0D80" w:rsidP="00AB0D80">
            <w:pPr>
              <w:numPr>
                <w:ilvl w:val="0"/>
                <w:numId w:val="30"/>
              </w:numPr>
              <w:contextualSpacing/>
              <w:rPr>
                <w:rFonts w:ascii="Arial" w:eastAsia="Arial" w:hAnsi="Arial" w:cs="Arial"/>
              </w:rPr>
            </w:pPr>
            <w:r w:rsidRPr="00AB0D80">
              <w:rPr>
                <w:rFonts w:ascii="Arial" w:eastAsia="Arial" w:hAnsi="Arial" w:cs="Arial"/>
              </w:rPr>
              <w:t xml:space="preserve">Promoting lights designs which support Australian wildlife and biodiversity (many of which are nocturnal species). </w:t>
            </w:r>
          </w:p>
          <w:p w14:paraId="73A1705E" w14:textId="77777777" w:rsidR="00AB0D80" w:rsidRPr="00AB0D80" w:rsidRDefault="00AB0D80" w:rsidP="00AB0D80">
            <w:pPr>
              <w:numPr>
                <w:ilvl w:val="0"/>
                <w:numId w:val="30"/>
              </w:numPr>
              <w:contextualSpacing/>
              <w:rPr>
                <w:rFonts w:ascii="Arial" w:eastAsia="Arial" w:hAnsi="Arial" w:cs="Arial"/>
              </w:rPr>
            </w:pPr>
            <w:r w:rsidRPr="00AB0D80">
              <w:rPr>
                <w:rFonts w:ascii="Arial" w:eastAsia="Arial" w:hAnsi="Arial" w:cs="Arial"/>
              </w:rPr>
              <w:t>Integrate energy efficiency and smart lighting technologies.</w:t>
            </w:r>
          </w:p>
        </w:tc>
        <w:tc>
          <w:tcPr>
            <w:tcW w:w="6343" w:type="dxa"/>
          </w:tcPr>
          <w:p w14:paraId="1360B9EA" w14:textId="77777777" w:rsidR="00AB0D80" w:rsidRPr="00AB0D80" w:rsidRDefault="00AB0D80" w:rsidP="00AB0D80">
            <w:pPr>
              <w:rPr>
                <w:rFonts w:ascii="Arial" w:eastAsia="Arial" w:hAnsi="Arial" w:cs="Arial"/>
              </w:rPr>
            </w:pPr>
            <w:r w:rsidRPr="00AB0D80">
              <w:rPr>
                <w:rFonts w:ascii="Arial" w:eastAsia="Arial" w:hAnsi="Arial" w:cs="Arial"/>
              </w:rPr>
              <w:t xml:space="preserve">We note many of these matters may have complex environmental and technical interactions or may sit outside our regulatory framework. </w:t>
            </w:r>
          </w:p>
          <w:p w14:paraId="00C911EA" w14:textId="77777777" w:rsidR="00AB0D80" w:rsidRPr="00AB0D80" w:rsidRDefault="00AB0D80" w:rsidP="00AB0D80">
            <w:pPr>
              <w:rPr>
                <w:rFonts w:ascii="Arial" w:eastAsia="Arial" w:hAnsi="Arial" w:cs="Arial"/>
              </w:rPr>
            </w:pPr>
            <w:r w:rsidRPr="00AB0D80">
              <w:rPr>
                <w:rFonts w:ascii="Arial" w:eastAsia="Arial" w:hAnsi="Arial" w:cs="Arial"/>
              </w:rPr>
              <w:t xml:space="preserve">However, we note that the National Energy Objective was recently amended to include emissions reduction as one of its objectives. </w:t>
            </w:r>
          </w:p>
          <w:p w14:paraId="3CC0F18F" w14:textId="77777777" w:rsidR="00AB0D80" w:rsidRPr="00AB0D80" w:rsidRDefault="00AB0D80" w:rsidP="00AB0D80">
            <w:pPr>
              <w:rPr>
                <w:rFonts w:ascii="Arial" w:eastAsia="Arial" w:hAnsi="Arial" w:cs="Arial"/>
              </w:rPr>
            </w:pPr>
            <w:r w:rsidRPr="00AB0D80">
              <w:rPr>
                <w:rFonts w:ascii="Arial" w:eastAsia="Arial" w:hAnsi="Arial" w:cs="Arial"/>
              </w:rPr>
              <w:t>Therefore, distributors will need to consider how their assets such as public lighting will support these objectives. We note for example distributors proposing bulk adopting LED lighting technology which can support the emissions reduction objective through energy efficiencies.</w:t>
            </w:r>
          </w:p>
        </w:tc>
      </w:tr>
      <w:tr w:rsidR="00AB0D80" w:rsidRPr="00AB0D80" w14:paraId="29ADF878" w14:textId="77777777" w:rsidTr="00DA09CE">
        <w:trPr>
          <w:cnfStyle w:val="000000010000" w:firstRow="0" w:lastRow="0" w:firstColumn="0" w:lastColumn="0" w:oddVBand="0" w:evenVBand="0" w:oddHBand="0" w:evenHBand="1" w:firstRowFirstColumn="0" w:firstRowLastColumn="0" w:lastRowFirstColumn="0" w:lastRowLastColumn="0"/>
        </w:trPr>
        <w:tc>
          <w:tcPr>
            <w:tcW w:w="1560" w:type="dxa"/>
          </w:tcPr>
          <w:p w14:paraId="01652898" w14:textId="77777777" w:rsidR="00AB0D80" w:rsidRPr="00AB0D80" w:rsidRDefault="00AB0D80" w:rsidP="00AB0D80">
            <w:pPr>
              <w:rPr>
                <w:rFonts w:ascii="Arial" w:eastAsia="Arial" w:hAnsi="Arial" w:cs="Arial"/>
                <w:b/>
                <w:bCs/>
              </w:rPr>
            </w:pPr>
            <w:r w:rsidRPr="00AB0D80">
              <w:rPr>
                <w:rFonts w:ascii="Arial" w:eastAsia="Arial" w:hAnsi="Arial" w:cs="Arial"/>
                <w:b/>
                <w:bCs/>
              </w:rPr>
              <w:t>Individual 4 submission</w:t>
            </w:r>
          </w:p>
        </w:tc>
        <w:tc>
          <w:tcPr>
            <w:tcW w:w="6657" w:type="dxa"/>
          </w:tcPr>
          <w:p w14:paraId="20D2EF71" w14:textId="77777777" w:rsidR="00AB0D80" w:rsidRPr="00AB0D80" w:rsidRDefault="00AB0D80" w:rsidP="00AB0D80">
            <w:pPr>
              <w:rPr>
                <w:rFonts w:ascii="Arial" w:eastAsia="Arial" w:hAnsi="Arial" w:cs="Arial"/>
              </w:rPr>
            </w:pPr>
            <w:r w:rsidRPr="00AB0D80">
              <w:rPr>
                <w:rFonts w:ascii="Arial" w:eastAsia="Arial" w:hAnsi="Arial" w:cs="Arial"/>
              </w:rPr>
              <w:t xml:space="preserve">Poor repair response by their local distributor. </w:t>
            </w:r>
          </w:p>
          <w:p w14:paraId="57387993" w14:textId="77777777" w:rsidR="00AB0D80" w:rsidRPr="00AB0D80" w:rsidRDefault="00AB0D80" w:rsidP="00AB0D80">
            <w:pPr>
              <w:rPr>
                <w:rFonts w:ascii="Arial" w:eastAsia="Arial" w:hAnsi="Arial" w:cs="Arial"/>
              </w:rPr>
            </w:pPr>
            <w:r w:rsidRPr="00AB0D80">
              <w:rPr>
                <w:rFonts w:ascii="Arial" w:eastAsia="Arial" w:hAnsi="Arial" w:cs="Arial"/>
              </w:rPr>
              <w:t>Complex ownership model hampering action and who is responsible.</w:t>
            </w:r>
          </w:p>
          <w:p w14:paraId="2C9CD23C" w14:textId="77777777" w:rsidR="00AB0D80" w:rsidRPr="00AB0D80" w:rsidRDefault="00AB0D80" w:rsidP="00AB0D80">
            <w:pPr>
              <w:rPr>
                <w:rFonts w:ascii="Arial" w:eastAsia="Arial" w:hAnsi="Arial" w:cs="Arial"/>
              </w:rPr>
            </w:pPr>
            <w:r w:rsidRPr="00AB0D80">
              <w:rPr>
                <w:rFonts w:ascii="Arial" w:eastAsia="Arial" w:hAnsi="Arial" w:cs="Arial"/>
              </w:rPr>
              <w:t>Distributors only repair when reported by the public. This is too onerous and complex process to report faulty lights.</w:t>
            </w:r>
          </w:p>
        </w:tc>
        <w:tc>
          <w:tcPr>
            <w:tcW w:w="6343" w:type="dxa"/>
          </w:tcPr>
          <w:p w14:paraId="173A1114" w14:textId="048F1191" w:rsidR="00AB0D80" w:rsidRPr="00AB0D80" w:rsidRDefault="00AB0D80" w:rsidP="00AB0D80">
            <w:pPr>
              <w:rPr>
                <w:rFonts w:ascii="Arial" w:eastAsia="Arial" w:hAnsi="Arial" w:cs="Arial"/>
              </w:rPr>
            </w:pPr>
            <w:r w:rsidRPr="00AB0D80">
              <w:rPr>
                <w:rFonts w:ascii="Arial" w:eastAsia="Arial" w:hAnsi="Arial" w:cs="Arial"/>
              </w:rPr>
              <w:t xml:space="preserve">We note some </w:t>
            </w:r>
            <w:r w:rsidR="00FE116D">
              <w:rPr>
                <w:rFonts w:ascii="Arial" w:eastAsia="Arial" w:hAnsi="Arial" w:cs="Arial"/>
              </w:rPr>
              <w:t xml:space="preserve">electricity distributions </w:t>
            </w:r>
            <w:r w:rsidR="009B27C5">
              <w:rPr>
                <w:rFonts w:ascii="Arial" w:eastAsia="Arial" w:hAnsi="Arial" w:cs="Arial"/>
              </w:rPr>
              <w:t xml:space="preserve">businesses </w:t>
            </w:r>
            <w:r w:rsidRPr="00AB0D80">
              <w:rPr>
                <w:rFonts w:ascii="Arial" w:eastAsia="Arial" w:hAnsi="Arial" w:cs="Arial"/>
              </w:rPr>
              <w:t xml:space="preserve">and </w:t>
            </w:r>
            <w:r w:rsidR="009B27C5">
              <w:rPr>
                <w:rFonts w:ascii="Arial" w:eastAsia="Arial" w:hAnsi="Arial" w:cs="Arial"/>
              </w:rPr>
              <w:t xml:space="preserve">public lighting </w:t>
            </w:r>
            <w:r w:rsidRPr="00AB0D80">
              <w:rPr>
                <w:rFonts w:ascii="Arial" w:eastAsia="Arial" w:hAnsi="Arial" w:cs="Arial"/>
              </w:rPr>
              <w:t xml:space="preserve">customers are considering smart lighting technology to remotely monitor lights and faults. However, these will take time. Until their implementation, the current method of public reporting of faulty lights is expected to continue.   </w:t>
            </w:r>
          </w:p>
        </w:tc>
      </w:tr>
      <w:tr w:rsidR="00AB0D80" w:rsidRPr="00AB0D80" w14:paraId="4899DF07" w14:textId="77777777" w:rsidTr="00DA09CE">
        <w:trPr>
          <w:cnfStyle w:val="000000100000" w:firstRow="0" w:lastRow="0" w:firstColumn="0" w:lastColumn="0" w:oddVBand="0" w:evenVBand="0" w:oddHBand="1" w:evenHBand="0" w:firstRowFirstColumn="0" w:firstRowLastColumn="0" w:lastRowFirstColumn="0" w:lastRowLastColumn="0"/>
        </w:trPr>
        <w:tc>
          <w:tcPr>
            <w:tcW w:w="1560" w:type="dxa"/>
          </w:tcPr>
          <w:p w14:paraId="1221E305" w14:textId="77777777" w:rsidR="00AB0D80" w:rsidRPr="00AB0D80" w:rsidRDefault="00AB0D80" w:rsidP="00AB0D80">
            <w:pPr>
              <w:rPr>
                <w:rFonts w:ascii="Arial" w:eastAsia="Arial" w:hAnsi="Arial" w:cs="Arial"/>
                <w:b/>
                <w:bCs/>
              </w:rPr>
            </w:pPr>
            <w:r w:rsidRPr="00AB0D80">
              <w:rPr>
                <w:rFonts w:ascii="Arial" w:eastAsia="Arial" w:hAnsi="Arial" w:cs="Arial"/>
                <w:b/>
                <w:bCs/>
              </w:rPr>
              <w:t>Individual 5 submission</w:t>
            </w:r>
          </w:p>
        </w:tc>
        <w:tc>
          <w:tcPr>
            <w:tcW w:w="6657" w:type="dxa"/>
          </w:tcPr>
          <w:p w14:paraId="390EFEF9" w14:textId="77777777" w:rsidR="00AB0D80" w:rsidRPr="00AB0D80" w:rsidRDefault="00AB0D80" w:rsidP="00AB0D80">
            <w:pPr>
              <w:rPr>
                <w:rFonts w:ascii="Arial" w:eastAsia="Arial" w:hAnsi="Arial" w:cs="Arial"/>
              </w:rPr>
            </w:pPr>
            <w:r w:rsidRPr="00AB0D80">
              <w:rPr>
                <w:rFonts w:ascii="Arial" w:eastAsia="Arial" w:hAnsi="Arial" w:cs="Arial"/>
              </w:rPr>
              <w:t>Modernise standards to include smart lighting technologies.</w:t>
            </w:r>
          </w:p>
        </w:tc>
        <w:tc>
          <w:tcPr>
            <w:tcW w:w="6343" w:type="dxa"/>
          </w:tcPr>
          <w:p w14:paraId="0F586D3A" w14:textId="77777777" w:rsidR="00AB0D80" w:rsidRPr="00AB0D80" w:rsidRDefault="00AB0D80" w:rsidP="00AB0D80">
            <w:pPr>
              <w:rPr>
                <w:rFonts w:ascii="Arial" w:eastAsia="Arial" w:hAnsi="Arial" w:cs="Arial"/>
              </w:rPr>
            </w:pPr>
            <w:r w:rsidRPr="00AB0D80">
              <w:rPr>
                <w:rFonts w:ascii="Arial" w:eastAsia="Arial" w:hAnsi="Arial" w:cs="Arial"/>
              </w:rPr>
              <w:t xml:space="preserve">Our standards focus on minimum standards related to operational performance (e.g. repair response). </w:t>
            </w:r>
          </w:p>
          <w:p w14:paraId="4E630A95" w14:textId="77777777" w:rsidR="00AB0D80" w:rsidRPr="00AB0D80" w:rsidRDefault="00AB0D80" w:rsidP="00AB0D80">
            <w:pPr>
              <w:rPr>
                <w:rFonts w:ascii="Arial" w:eastAsia="Arial" w:hAnsi="Arial" w:cs="Arial"/>
              </w:rPr>
            </w:pPr>
            <w:r w:rsidRPr="00AB0D80">
              <w:rPr>
                <w:rFonts w:ascii="Arial" w:eastAsia="Arial" w:hAnsi="Arial" w:cs="Arial"/>
              </w:rPr>
              <w:t xml:space="preserve">However, we note distributors have been and are further proposing bulk LED replacement programs as well as </w:t>
            </w:r>
            <w:r w:rsidRPr="00AB0D80">
              <w:rPr>
                <w:rFonts w:ascii="Arial" w:eastAsia="Arial" w:hAnsi="Arial" w:cs="Arial"/>
              </w:rPr>
              <w:lastRenderedPageBreak/>
              <w:t xml:space="preserve">considering implementing more sophisticated control / monitoring technologies (from broader energy rule changes beyond our regulations). </w:t>
            </w:r>
          </w:p>
        </w:tc>
      </w:tr>
      <w:tr w:rsidR="00AB0D80" w:rsidRPr="00AB0D80" w14:paraId="37DCF969" w14:textId="77777777" w:rsidTr="00DA09CE">
        <w:trPr>
          <w:cnfStyle w:val="000000010000" w:firstRow="0" w:lastRow="0" w:firstColumn="0" w:lastColumn="0" w:oddVBand="0" w:evenVBand="0" w:oddHBand="0" w:evenHBand="1" w:firstRowFirstColumn="0" w:firstRowLastColumn="0" w:lastRowFirstColumn="0" w:lastRowLastColumn="0"/>
        </w:trPr>
        <w:tc>
          <w:tcPr>
            <w:tcW w:w="1560" w:type="dxa"/>
          </w:tcPr>
          <w:p w14:paraId="520DF4C5" w14:textId="77777777" w:rsidR="00AB0D80" w:rsidRPr="00AB0D80" w:rsidRDefault="00AB0D80" w:rsidP="00AB0D80">
            <w:pPr>
              <w:rPr>
                <w:rFonts w:ascii="Arial" w:eastAsia="Arial" w:hAnsi="Arial" w:cs="Arial"/>
                <w:b/>
                <w:bCs/>
              </w:rPr>
            </w:pPr>
            <w:r w:rsidRPr="00AB0D80">
              <w:rPr>
                <w:rFonts w:ascii="Arial" w:eastAsia="Arial" w:hAnsi="Arial" w:cs="Arial"/>
                <w:b/>
                <w:bCs/>
              </w:rPr>
              <w:lastRenderedPageBreak/>
              <w:t>Individual 6 submission</w:t>
            </w:r>
          </w:p>
        </w:tc>
        <w:tc>
          <w:tcPr>
            <w:tcW w:w="6657" w:type="dxa"/>
          </w:tcPr>
          <w:p w14:paraId="7C74129D" w14:textId="77777777" w:rsidR="00AB0D80" w:rsidRPr="00AB0D80" w:rsidRDefault="00AB0D80" w:rsidP="00AB0D80">
            <w:pPr>
              <w:rPr>
                <w:rFonts w:ascii="Arial" w:eastAsia="Arial" w:hAnsi="Arial" w:cs="Arial"/>
              </w:rPr>
            </w:pPr>
            <w:r w:rsidRPr="00AB0D80">
              <w:rPr>
                <w:rFonts w:ascii="Arial" w:eastAsia="Arial" w:hAnsi="Arial" w:cs="Arial"/>
              </w:rPr>
              <w:t>This submission did not provide relevant comment.</w:t>
            </w:r>
          </w:p>
        </w:tc>
        <w:tc>
          <w:tcPr>
            <w:tcW w:w="6343" w:type="dxa"/>
          </w:tcPr>
          <w:p w14:paraId="0BFB0434" w14:textId="77777777" w:rsidR="00AB0D80" w:rsidRPr="00AB0D80" w:rsidRDefault="00AB0D80" w:rsidP="00AB0D80">
            <w:pPr>
              <w:rPr>
                <w:rFonts w:ascii="Arial" w:eastAsia="Arial" w:hAnsi="Arial" w:cs="Arial"/>
              </w:rPr>
            </w:pPr>
          </w:p>
        </w:tc>
      </w:tr>
    </w:tbl>
    <w:p w14:paraId="335905AA" w14:textId="77777777" w:rsidR="00AB0D80" w:rsidRPr="00AB0D80" w:rsidRDefault="00AB0D80" w:rsidP="00AB0D80">
      <w:pPr>
        <w:rPr>
          <w:rFonts w:ascii="Arial" w:eastAsia="Arial" w:hAnsi="Arial" w:cs="Arial"/>
        </w:rPr>
      </w:pPr>
    </w:p>
    <w:p w14:paraId="4BF8A439" w14:textId="77777777" w:rsidR="006B238B" w:rsidRDefault="006B238B" w:rsidP="006301E2">
      <w:pPr>
        <w:tabs>
          <w:tab w:val="left" w:pos="1628"/>
        </w:tabs>
      </w:pPr>
    </w:p>
    <w:p w14:paraId="324561F2" w14:textId="77777777" w:rsidR="006B238B" w:rsidRDefault="006B238B" w:rsidP="006301E2">
      <w:pPr>
        <w:tabs>
          <w:tab w:val="left" w:pos="1628"/>
        </w:tabs>
      </w:pPr>
    </w:p>
    <w:p w14:paraId="5579BA64" w14:textId="77777777" w:rsidR="006B238B" w:rsidRDefault="006B238B" w:rsidP="006301E2">
      <w:pPr>
        <w:tabs>
          <w:tab w:val="left" w:pos="1628"/>
        </w:tabs>
      </w:pPr>
    </w:p>
    <w:p w14:paraId="55AE18BE" w14:textId="77777777" w:rsidR="006B238B" w:rsidRDefault="006B238B" w:rsidP="006301E2">
      <w:pPr>
        <w:tabs>
          <w:tab w:val="left" w:pos="1628"/>
        </w:tabs>
      </w:pPr>
    </w:p>
    <w:p w14:paraId="51B1475A" w14:textId="77777777" w:rsidR="006B238B" w:rsidRDefault="006B238B" w:rsidP="006301E2">
      <w:pPr>
        <w:tabs>
          <w:tab w:val="left" w:pos="1628"/>
        </w:tabs>
      </w:pPr>
    </w:p>
    <w:p w14:paraId="2D1D4B40" w14:textId="533D6C9A" w:rsidR="006301E2" w:rsidRPr="006301E2" w:rsidRDefault="006301E2" w:rsidP="006301E2">
      <w:pPr>
        <w:tabs>
          <w:tab w:val="left" w:pos="1628"/>
        </w:tabs>
      </w:pPr>
      <w:r>
        <w:tab/>
      </w:r>
    </w:p>
    <w:sectPr w:rsidR="006301E2" w:rsidRPr="006301E2" w:rsidSect="006B238B">
      <w:headerReference w:type="even" r:id="rId49"/>
      <w:headerReference w:type="default" r:id="rId50"/>
      <w:footerReference w:type="default" r:id="rId51"/>
      <w:headerReference w:type="first" r:id="rId52"/>
      <w:pgSz w:w="16838" w:h="11906" w:orient="landscape" w:code="9"/>
      <w:pgMar w:top="1134" w:right="1134" w:bottom="1134" w:left="1134" w:header="709"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97ED0" w14:textId="77777777" w:rsidR="00E4651E" w:rsidRDefault="00E4651E" w:rsidP="00AE03FA">
      <w:pPr>
        <w:spacing w:after="0"/>
      </w:pPr>
      <w:r>
        <w:separator/>
      </w:r>
    </w:p>
    <w:p w14:paraId="03A2A2CC" w14:textId="77777777" w:rsidR="00E4651E" w:rsidRDefault="00E4651E"/>
  </w:endnote>
  <w:endnote w:type="continuationSeparator" w:id="0">
    <w:p w14:paraId="30083752" w14:textId="77777777" w:rsidR="00E4651E" w:rsidRDefault="00E4651E" w:rsidP="00AE03FA">
      <w:pPr>
        <w:spacing w:after="0"/>
      </w:pPr>
      <w:r>
        <w:continuationSeparator/>
      </w:r>
    </w:p>
    <w:p w14:paraId="463F0DEB" w14:textId="77777777" w:rsidR="00E4651E" w:rsidRDefault="00E465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E445D" w14:textId="235DA7A3" w:rsidR="003A30F3" w:rsidRDefault="00B74CFC" w:rsidP="00A236AB">
    <w:pPr>
      <w:pStyle w:val="FooterSpace"/>
      <w:ind w:right="707"/>
    </w:pPr>
    <w:r>
      <w:t>Content</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3A30F3" w14:paraId="34FD5A28"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11318D10" w14:textId="77777777" w:rsidR="003A30F3" w:rsidRPr="009E15D6" w:rsidRDefault="003A30F3" w:rsidP="005E5FCE">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936B74">
            <w:rPr>
              <w:rStyle w:val="PageNumber"/>
              <w:noProof/>
            </w:rPr>
            <w:t>i</w:t>
          </w:r>
          <w:r w:rsidRPr="009E15D6">
            <w:rPr>
              <w:rStyle w:val="PageNumber"/>
            </w:rPr>
            <w:fldChar w:fldCharType="end"/>
          </w:r>
        </w:p>
      </w:tc>
    </w:tr>
  </w:tbl>
  <w:p w14:paraId="767884F9" w14:textId="71A82B3C" w:rsidR="003A30F3" w:rsidRPr="002C2ADF" w:rsidRDefault="003A30F3" w:rsidP="00A236AB">
    <w:pPr>
      <w:pStyle w:val="Footer"/>
      <w:ind w:right="707"/>
      <w:rPr>
        <w:b/>
      </w:rPr>
    </w:pPr>
    <w:r>
      <w:t xml:space="preserve">Essential Services Commission </w:t>
    </w:r>
    <w:sdt>
      <w:sdtPr>
        <w:rPr>
          <w:b/>
        </w:rPr>
        <w:alias w:val="Title"/>
        <w:tag w:val=""/>
        <w:id w:val="779065399"/>
        <w:placeholder>
          <w:docPart w:val="E8FBB1693C42492B8F8EF5D86554E641"/>
        </w:placeholder>
        <w:dataBinding w:prefixMappings="xmlns:ns0='http://purl.org/dc/elements/1.1/' xmlns:ns1='http://schemas.openxmlformats.org/package/2006/metadata/core-properties' " w:xpath="/ns1:coreProperties[1]/ns0:title[1]" w:storeItemID="{6C3C8BC8-F283-45AE-878A-BAB7291924A1}"/>
        <w:text/>
      </w:sdtPr>
      <w:sdtContent>
        <w:r w:rsidR="003472A0">
          <w:rPr>
            <w:b/>
          </w:rPr>
          <w:t>Public Lighting Code Review: Final Decision</w:t>
        </w:r>
      </w:sdtContent>
    </w:sdt>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5BF5" w14:textId="77777777" w:rsidR="003A30F3" w:rsidRPr="00707B2F" w:rsidRDefault="003A30F3" w:rsidP="00A236AB">
    <w:pPr>
      <w:pStyle w:val="FooterSpace"/>
      <w:ind w:right="707"/>
    </w:pPr>
    <w:r>
      <w:t>Contents</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3A30F3" w14:paraId="0A91AA7F"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69EB7FC5" w14:textId="77777777" w:rsidR="003A30F3" w:rsidRPr="009E15D6" w:rsidRDefault="003A30F3" w:rsidP="005E5FCE">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936B74">
            <w:rPr>
              <w:rStyle w:val="PageNumber"/>
              <w:noProof/>
            </w:rPr>
            <w:t>iii</w:t>
          </w:r>
          <w:r w:rsidRPr="009E15D6">
            <w:rPr>
              <w:rStyle w:val="PageNumber"/>
            </w:rPr>
            <w:fldChar w:fldCharType="end"/>
          </w:r>
        </w:p>
      </w:tc>
    </w:tr>
  </w:tbl>
  <w:p w14:paraId="11467C44" w14:textId="5B8F9129" w:rsidR="003A30F3" w:rsidRPr="002C2ADF" w:rsidRDefault="003A30F3" w:rsidP="00A236AB">
    <w:pPr>
      <w:pStyle w:val="Footer"/>
      <w:ind w:right="283"/>
      <w:rPr>
        <w:b/>
      </w:rPr>
    </w:pPr>
    <w:r>
      <w:t xml:space="preserve">Essential Services Commission </w:t>
    </w:r>
    <w:sdt>
      <w:sdtPr>
        <w:rPr>
          <w:b/>
        </w:rPr>
        <w:alias w:val="Title"/>
        <w:tag w:val=""/>
        <w:id w:val="233746944"/>
        <w:placeholder>
          <w:docPart w:val="58A60AF94E8F418CA9D9039AA656CE76"/>
        </w:placeholder>
        <w:dataBinding w:prefixMappings="xmlns:ns0='http://purl.org/dc/elements/1.1/' xmlns:ns1='http://schemas.openxmlformats.org/package/2006/metadata/core-properties' " w:xpath="/ns1:coreProperties[1]/ns0:title[1]" w:storeItemID="{6C3C8BC8-F283-45AE-878A-BAB7291924A1}"/>
        <w:text/>
      </w:sdtPr>
      <w:sdtContent>
        <w:r w:rsidR="003472A0">
          <w:rPr>
            <w:b/>
          </w:rPr>
          <w:t>Public Lighting Code Review: Final Decision</w:t>
        </w:r>
      </w:sdtContent>
    </w:sdt>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A41C" w14:textId="77777777" w:rsidR="003A30F3" w:rsidRDefault="003A30F3" w:rsidP="00A236AB">
    <w:pPr>
      <w:pStyle w:val="FooterSpace"/>
      <w:ind w:right="707"/>
    </w:pPr>
    <w:r>
      <w:t>Summary</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3A30F3" w14:paraId="5A3BE261"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67B9B404" w14:textId="77777777" w:rsidR="003A30F3" w:rsidRPr="009E15D6" w:rsidRDefault="003A30F3" w:rsidP="005E5FCE">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936B74">
            <w:rPr>
              <w:rStyle w:val="PageNumber"/>
              <w:noProof/>
            </w:rPr>
            <w:t>iv</w:t>
          </w:r>
          <w:r w:rsidRPr="009E15D6">
            <w:rPr>
              <w:rStyle w:val="PageNumber"/>
            </w:rPr>
            <w:fldChar w:fldCharType="end"/>
          </w:r>
        </w:p>
      </w:tc>
    </w:tr>
  </w:tbl>
  <w:p w14:paraId="466896C7" w14:textId="2DC0AF2F" w:rsidR="003A30F3" w:rsidRPr="002C2ADF" w:rsidRDefault="003A30F3" w:rsidP="00A236AB">
    <w:pPr>
      <w:pStyle w:val="Footer"/>
      <w:ind w:right="707"/>
      <w:rPr>
        <w:b/>
      </w:rPr>
    </w:pPr>
    <w:r>
      <w:t xml:space="preserve">Essential Services Commission </w:t>
    </w:r>
    <w:sdt>
      <w:sdtPr>
        <w:rPr>
          <w:b/>
        </w:rPr>
        <w:alias w:val="Title"/>
        <w:tag w:val=""/>
        <w:id w:val="215248778"/>
        <w:placeholder>
          <w:docPart w:val="BB9BE0546DA0479FA14CF498A9260DD0"/>
        </w:placeholder>
        <w:dataBinding w:prefixMappings="xmlns:ns0='http://purl.org/dc/elements/1.1/' xmlns:ns1='http://schemas.openxmlformats.org/package/2006/metadata/core-properties' " w:xpath="/ns1:coreProperties[1]/ns0:title[1]" w:storeItemID="{6C3C8BC8-F283-45AE-878A-BAB7291924A1}"/>
        <w:text/>
      </w:sdtPr>
      <w:sdtContent>
        <w:r w:rsidR="003472A0">
          <w:rPr>
            <w:b/>
          </w:rPr>
          <w:t>Public Lighting Code Review: Final Decision</w:t>
        </w:r>
      </w:sdtContent>
    </w:sdt>
    <w:r>
      <w:rPr>
        <w:b/>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6613" w14:textId="3ECD7A03" w:rsidR="003A30F3" w:rsidRDefault="00396744" w:rsidP="00A236AB">
    <w:pPr>
      <w:pStyle w:val="Footer"/>
      <w:ind w:right="707"/>
    </w:pPr>
    <w:r>
      <w:t>Introduction</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3A30F3" w14:paraId="13F60798"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4AAAC28A" w14:textId="77777777" w:rsidR="003A30F3" w:rsidRPr="009E15D6" w:rsidRDefault="003A30F3" w:rsidP="002C2ADF">
          <w:pPr>
            <w:pStyle w:val="Footer"/>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936B74">
            <w:rPr>
              <w:rStyle w:val="PageNumber"/>
              <w:noProof/>
            </w:rPr>
            <w:t>v</w:t>
          </w:r>
          <w:r w:rsidRPr="009E15D6">
            <w:rPr>
              <w:rStyle w:val="PageNumber"/>
            </w:rPr>
            <w:fldChar w:fldCharType="end"/>
          </w:r>
        </w:p>
      </w:tc>
    </w:tr>
  </w:tbl>
  <w:p w14:paraId="608E156E" w14:textId="540D5705" w:rsidR="003A30F3" w:rsidRPr="002C2ADF" w:rsidRDefault="003A30F3" w:rsidP="00A236AB">
    <w:pPr>
      <w:pStyle w:val="Footer"/>
      <w:ind w:right="707"/>
      <w:rPr>
        <w:b/>
      </w:rPr>
    </w:pPr>
    <w:r>
      <w:t xml:space="preserve">Essential Services Commission </w:t>
    </w:r>
    <w:sdt>
      <w:sdtPr>
        <w:rPr>
          <w:b/>
        </w:rPr>
        <w:alias w:val="Title"/>
        <w:tag w:val=""/>
        <w:id w:val="463464720"/>
        <w:placeholder>
          <w:docPart w:val="50C019EA09DB4D5693A8FA217A393B3D"/>
        </w:placeholder>
        <w:dataBinding w:prefixMappings="xmlns:ns0='http://purl.org/dc/elements/1.1/' xmlns:ns1='http://schemas.openxmlformats.org/package/2006/metadata/core-properties' " w:xpath="/ns1:coreProperties[1]/ns0:title[1]" w:storeItemID="{6C3C8BC8-F283-45AE-878A-BAB7291924A1}"/>
        <w:text/>
      </w:sdtPr>
      <w:sdtContent>
        <w:r w:rsidR="003472A0">
          <w:rPr>
            <w:b/>
          </w:rPr>
          <w:t>Public Lighting Code Review: Final Decision</w:t>
        </w:r>
      </w:sdtContent>
    </w:sdt>
    <w:r>
      <w:rPr>
        <w:b/>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9E07" w14:textId="753BB2C3" w:rsidR="004F5880" w:rsidRDefault="00DC7467" w:rsidP="00A236AB">
    <w:pPr>
      <w:pStyle w:val="Footer"/>
      <w:ind w:right="707"/>
    </w:pPr>
    <w:r>
      <w:t>Revoking the Public Lighting Code</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4F5880" w14:paraId="2E32C52A"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7DBF47CF" w14:textId="77777777" w:rsidR="004F5880" w:rsidRPr="009E15D6" w:rsidRDefault="004F5880" w:rsidP="002C2ADF">
          <w:pPr>
            <w:pStyle w:val="Footer"/>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v</w:t>
          </w:r>
          <w:r w:rsidRPr="009E15D6">
            <w:rPr>
              <w:rStyle w:val="PageNumber"/>
            </w:rPr>
            <w:fldChar w:fldCharType="end"/>
          </w:r>
        </w:p>
      </w:tc>
    </w:tr>
  </w:tbl>
  <w:p w14:paraId="6CC2A490" w14:textId="77777777" w:rsidR="004F5880" w:rsidRPr="002C2ADF" w:rsidRDefault="004F5880" w:rsidP="00A236AB">
    <w:pPr>
      <w:pStyle w:val="Footer"/>
      <w:ind w:right="707"/>
      <w:rPr>
        <w:b/>
      </w:rPr>
    </w:pPr>
    <w:r>
      <w:t xml:space="preserve">Essential Services Commission </w:t>
    </w:r>
    <w:sdt>
      <w:sdtPr>
        <w:rPr>
          <w:b/>
        </w:rPr>
        <w:alias w:val="Title"/>
        <w:tag w:val=""/>
        <w:id w:val="-602959566"/>
        <w:placeholder>
          <w:docPart w:val="8825350053014F998DA18FA0A092A98E"/>
        </w:placeholder>
        <w:dataBinding w:prefixMappings="xmlns:ns0='http://purl.org/dc/elements/1.1/' xmlns:ns1='http://schemas.openxmlformats.org/package/2006/metadata/core-properties' " w:xpath="/ns1:coreProperties[1]/ns0:title[1]" w:storeItemID="{6C3C8BC8-F283-45AE-878A-BAB7291924A1}"/>
        <w:text/>
      </w:sdtPr>
      <w:sdtContent>
        <w:r>
          <w:rPr>
            <w:b/>
          </w:rPr>
          <w:t>Public Lighting Code Review: Final Decision</w:t>
        </w:r>
      </w:sdtContent>
    </w:sdt>
    <w:r>
      <w:rPr>
        <w:b/>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396744" w14:paraId="45DE4EF6"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1C9CC92C" w14:textId="77777777" w:rsidR="00396744" w:rsidRPr="009E15D6" w:rsidRDefault="00396744" w:rsidP="002C2ADF">
          <w:pPr>
            <w:pStyle w:val="Footer"/>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v</w:t>
          </w:r>
          <w:r w:rsidRPr="009E15D6">
            <w:rPr>
              <w:rStyle w:val="PageNumber"/>
            </w:rPr>
            <w:fldChar w:fldCharType="end"/>
          </w:r>
        </w:p>
      </w:tc>
    </w:tr>
  </w:tbl>
  <w:p w14:paraId="7C88131F" w14:textId="34C5DF9A" w:rsidR="00396744" w:rsidRPr="002C2ADF" w:rsidRDefault="00396744" w:rsidP="00A236AB">
    <w:pPr>
      <w:pStyle w:val="Footer"/>
      <w:ind w:right="707"/>
      <w:rPr>
        <w:b/>
      </w:rPr>
    </w:pPr>
    <w:r>
      <w:t xml:space="preserve">Essential Services Commission </w:t>
    </w:r>
    <w:sdt>
      <w:sdtPr>
        <w:rPr>
          <w:b/>
        </w:rPr>
        <w:alias w:val="Title"/>
        <w:tag w:val=""/>
        <w:id w:val="129989094"/>
        <w:placeholder>
          <w:docPart w:val="C2740BB97ACC4420A7385FB7FC7BD869"/>
        </w:placeholder>
        <w:dataBinding w:prefixMappings="xmlns:ns0='http://purl.org/dc/elements/1.1/' xmlns:ns1='http://schemas.openxmlformats.org/package/2006/metadata/core-properties' " w:xpath="/ns1:coreProperties[1]/ns0:title[1]" w:storeItemID="{6C3C8BC8-F283-45AE-878A-BAB7291924A1}"/>
        <w:text/>
      </w:sdtPr>
      <w:sdtContent>
        <w:r w:rsidR="003472A0">
          <w:rPr>
            <w:b/>
          </w:rPr>
          <w:t>Public Lighting Code Review: Final Decision</w:t>
        </w:r>
      </w:sdtContent>
    </w:sdt>
    <w:r>
      <w:rPr>
        <w:b/>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E9A78" w14:textId="6B0821C5" w:rsidR="00396744" w:rsidRDefault="00E362A9" w:rsidP="00A236AB">
    <w:pPr>
      <w:pStyle w:val="Footer"/>
      <w:ind w:right="707"/>
    </w:pPr>
    <w:r>
      <w:t>Timing and next steps</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396744" w14:paraId="318215F6"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6D38A796" w14:textId="77777777" w:rsidR="00396744" w:rsidRPr="009E15D6" w:rsidRDefault="00396744" w:rsidP="002C2ADF">
          <w:pPr>
            <w:pStyle w:val="Footer"/>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v</w:t>
          </w:r>
          <w:r w:rsidRPr="009E15D6">
            <w:rPr>
              <w:rStyle w:val="PageNumber"/>
            </w:rPr>
            <w:fldChar w:fldCharType="end"/>
          </w:r>
        </w:p>
      </w:tc>
    </w:tr>
  </w:tbl>
  <w:p w14:paraId="66914A91" w14:textId="261FDA28" w:rsidR="00396744" w:rsidRPr="002C2ADF" w:rsidRDefault="00396744" w:rsidP="00A236AB">
    <w:pPr>
      <w:pStyle w:val="Footer"/>
      <w:ind w:right="707"/>
      <w:rPr>
        <w:b/>
      </w:rPr>
    </w:pPr>
    <w:r>
      <w:t xml:space="preserve">Essential Services Commission </w:t>
    </w:r>
    <w:sdt>
      <w:sdtPr>
        <w:rPr>
          <w:b/>
        </w:rPr>
        <w:alias w:val="Title"/>
        <w:tag w:val=""/>
        <w:id w:val="1865556551"/>
        <w:placeholder>
          <w:docPart w:val="7D5A07224B8742088C8D34A96FEE12D0"/>
        </w:placeholder>
        <w:dataBinding w:prefixMappings="xmlns:ns0='http://purl.org/dc/elements/1.1/' xmlns:ns1='http://schemas.openxmlformats.org/package/2006/metadata/core-properties' " w:xpath="/ns1:coreProperties[1]/ns0:title[1]" w:storeItemID="{6C3C8BC8-F283-45AE-878A-BAB7291924A1}"/>
        <w:text/>
      </w:sdtPr>
      <w:sdtContent>
        <w:r w:rsidR="003472A0">
          <w:rPr>
            <w:b/>
          </w:rPr>
          <w:t>Public Lighting Code Review: Final Decision</w:t>
        </w:r>
      </w:sdtContent>
    </w:sdt>
    <w:r>
      <w:rPr>
        <w:b/>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68A48" w14:textId="38426F9E" w:rsidR="006301E2" w:rsidRDefault="00D52FA5" w:rsidP="00A236AB">
    <w:pPr>
      <w:pStyle w:val="Footer"/>
      <w:ind w:right="707"/>
    </w:pPr>
    <w:r>
      <w:t>Glossary</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6301E2" w14:paraId="0C4C6893"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2C13BD28" w14:textId="77777777" w:rsidR="006301E2" w:rsidRPr="009E15D6" w:rsidRDefault="006301E2" w:rsidP="002C2ADF">
          <w:pPr>
            <w:pStyle w:val="Footer"/>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v</w:t>
          </w:r>
          <w:r w:rsidRPr="009E15D6">
            <w:rPr>
              <w:rStyle w:val="PageNumber"/>
            </w:rPr>
            <w:fldChar w:fldCharType="end"/>
          </w:r>
        </w:p>
      </w:tc>
    </w:tr>
  </w:tbl>
  <w:p w14:paraId="6A5475FD" w14:textId="2F0107C0" w:rsidR="006301E2" w:rsidRPr="002C2ADF" w:rsidRDefault="006301E2" w:rsidP="00A236AB">
    <w:pPr>
      <w:pStyle w:val="Footer"/>
      <w:ind w:right="707"/>
      <w:rPr>
        <w:b/>
      </w:rPr>
    </w:pPr>
    <w:r>
      <w:t xml:space="preserve">Essential Services Commission </w:t>
    </w:r>
    <w:sdt>
      <w:sdtPr>
        <w:rPr>
          <w:b/>
        </w:rPr>
        <w:alias w:val="Title"/>
        <w:tag w:val=""/>
        <w:id w:val="-2099709911"/>
        <w:placeholder>
          <w:docPart w:val="6592645610964798A3B04609D683371F"/>
        </w:placeholder>
        <w:dataBinding w:prefixMappings="xmlns:ns0='http://purl.org/dc/elements/1.1/' xmlns:ns1='http://schemas.openxmlformats.org/package/2006/metadata/core-properties' " w:xpath="/ns1:coreProperties[1]/ns0:title[1]" w:storeItemID="{6C3C8BC8-F283-45AE-878A-BAB7291924A1}"/>
        <w:text/>
      </w:sdtPr>
      <w:sdtContent>
        <w:r w:rsidR="003472A0">
          <w:rPr>
            <w:b/>
          </w:rPr>
          <w:t>Public Lighting Code Review: Final Decision</w:t>
        </w:r>
      </w:sdtContent>
    </w:sdt>
    <w:r>
      <w:rPr>
        <w:b/>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9B1F" w14:textId="78419F5A" w:rsidR="00430CA3" w:rsidRDefault="00430CA3" w:rsidP="00A236AB">
    <w:pPr>
      <w:pStyle w:val="Footer"/>
      <w:ind w:right="707"/>
    </w:pPr>
    <w:r>
      <w:t>Appendix A</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430CA3" w14:paraId="4C831B24"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3CD4D884" w14:textId="77777777" w:rsidR="00430CA3" w:rsidRPr="009E15D6" w:rsidRDefault="00430CA3" w:rsidP="002C2ADF">
          <w:pPr>
            <w:pStyle w:val="Footer"/>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v</w:t>
          </w:r>
          <w:r w:rsidRPr="009E15D6">
            <w:rPr>
              <w:rStyle w:val="PageNumber"/>
            </w:rPr>
            <w:fldChar w:fldCharType="end"/>
          </w:r>
        </w:p>
      </w:tc>
    </w:tr>
  </w:tbl>
  <w:p w14:paraId="5CB51017" w14:textId="559314B5" w:rsidR="00430CA3" w:rsidRPr="002C2ADF" w:rsidRDefault="00430CA3" w:rsidP="00A236AB">
    <w:pPr>
      <w:pStyle w:val="Footer"/>
      <w:ind w:right="707"/>
      <w:rPr>
        <w:b/>
      </w:rPr>
    </w:pPr>
    <w:r>
      <w:t xml:space="preserve">Essential Services Commission </w:t>
    </w:r>
    <w:sdt>
      <w:sdtPr>
        <w:rPr>
          <w:b/>
        </w:rPr>
        <w:alias w:val="Title"/>
        <w:tag w:val=""/>
        <w:id w:val="-1698220646"/>
        <w:placeholder>
          <w:docPart w:val="2854908C206B4DA095CD30BCF745C248"/>
        </w:placeholder>
        <w:dataBinding w:prefixMappings="xmlns:ns0='http://purl.org/dc/elements/1.1/' xmlns:ns1='http://schemas.openxmlformats.org/package/2006/metadata/core-properties' " w:xpath="/ns1:coreProperties[1]/ns0:title[1]" w:storeItemID="{6C3C8BC8-F283-45AE-878A-BAB7291924A1}"/>
        <w:text/>
      </w:sdtPr>
      <w:sdtContent>
        <w:r w:rsidR="003472A0">
          <w:rPr>
            <w:b/>
          </w:rPr>
          <w:t>Public Lighting Code Review: Final Decision</w:t>
        </w:r>
      </w:sdtContent>
    </w:sdt>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34A4A" w14:textId="77777777" w:rsidR="00E4651E" w:rsidRPr="00CF33F6" w:rsidRDefault="00E4651E" w:rsidP="00AE03FA">
      <w:pPr>
        <w:spacing w:after="0"/>
        <w:rPr>
          <w:color w:val="75787B" w:themeColor="background2"/>
        </w:rPr>
      </w:pPr>
      <w:bookmarkStart w:id="0" w:name="_Hlk480978878"/>
      <w:bookmarkEnd w:id="0"/>
      <w:r w:rsidRPr="00CF33F6">
        <w:rPr>
          <w:color w:val="75787B" w:themeColor="background2"/>
        </w:rPr>
        <w:separator/>
      </w:r>
    </w:p>
    <w:p w14:paraId="2485AF0F" w14:textId="77777777" w:rsidR="00E4651E" w:rsidRDefault="00E4651E" w:rsidP="00CF33F6">
      <w:pPr>
        <w:pStyle w:val="NoSpacing"/>
      </w:pPr>
    </w:p>
  </w:footnote>
  <w:footnote w:type="continuationSeparator" w:id="0">
    <w:p w14:paraId="1993B12D" w14:textId="77777777" w:rsidR="00E4651E" w:rsidRDefault="00E4651E" w:rsidP="00AE03FA">
      <w:pPr>
        <w:spacing w:after="0"/>
      </w:pPr>
      <w:r>
        <w:continuationSeparator/>
      </w:r>
    </w:p>
    <w:p w14:paraId="5200C0B2" w14:textId="77777777" w:rsidR="00E4651E" w:rsidRDefault="00E4651E"/>
  </w:footnote>
  <w:footnote w:id="1">
    <w:p w14:paraId="684EB927" w14:textId="77777777" w:rsidR="00317CD8" w:rsidRDefault="00317CD8" w:rsidP="00317CD8">
      <w:pPr>
        <w:pStyle w:val="FootnoteText"/>
      </w:pPr>
      <w:r>
        <w:rPr>
          <w:rStyle w:val="FootnoteReference"/>
        </w:rPr>
        <w:footnoteRef/>
      </w:r>
      <w:r>
        <w:t xml:space="preserve"> </w:t>
      </w:r>
      <w:r w:rsidRPr="006D0D61">
        <w:t>As per section 76 (</w:t>
      </w:r>
      <w:r>
        <w:t>1</w:t>
      </w:r>
      <w:r w:rsidRPr="006D0D61">
        <w:t>)</w:t>
      </w:r>
      <w:r>
        <w:t xml:space="preserve"> (h)</w:t>
      </w:r>
      <w:r w:rsidRPr="006D0D61">
        <w:t xml:space="preserve"> of the </w:t>
      </w:r>
      <w:r w:rsidRPr="007D37C7">
        <w:rPr>
          <w:i/>
          <w:iCs/>
        </w:rPr>
        <w:t>Essential Services Commission Act 2001</w:t>
      </w:r>
      <w:r w:rsidRPr="007D37C7">
        <w:t>.</w:t>
      </w:r>
    </w:p>
  </w:footnote>
  <w:footnote w:id="2">
    <w:p w14:paraId="7E2AE61E" w14:textId="77D48907" w:rsidR="00C50A6D" w:rsidRDefault="00C50A6D">
      <w:pPr>
        <w:pStyle w:val="FootnoteText"/>
      </w:pPr>
      <w:r>
        <w:rPr>
          <w:rStyle w:val="FootnoteReference"/>
        </w:rPr>
        <w:footnoteRef/>
      </w:r>
      <w:r>
        <w:t xml:space="preserve"> National Electricity Rules, Chapter 6</w:t>
      </w:r>
      <w:r w:rsidR="00951DC2">
        <w:t>.</w:t>
      </w:r>
    </w:p>
  </w:footnote>
  <w:footnote w:id="3">
    <w:p w14:paraId="0E55CC59" w14:textId="22AB9696" w:rsidR="006358CA" w:rsidRDefault="006358CA">
      <w:pPr>
        <w:pStyle w:val="FootnoteText"/>
      </w:pPr>
      <w:r>
        <w:rPr>
          <w:rStyle w:val="FootnoteReference"/>
        </w:rPr>
        <w:footnoteRef/>
      </w:r>
      <w:r>
        <w:t xml:space="preserve"> VicRoads is now part of </w:t>
      </w:r>
      <w:r>
        <w:rPr>
          <w:lang w:val="en-US"/>
        </w:rPr>
        <w:t>the Department of Transport and Planning</w:t>
      </w:r>
      <w:r w:rsidR="002E493E">
        <w:rPr>
          <w:lang w:val="en-US"/>
        </w:rPr>
        <w:t>.</w:t>
      </w:r>
    </w:p>
  </w:footnote>
  <w:footnote w:id="4">
    <w:p w14:paraId="6FC6892B" w14:textId="256FFA02" w:rsidR="00143AB2" w:rsidRDefault="00143AB2" w:rsidP="00143AB2">
      <w:pPr>
        <w:pStyle w:val="FootnoteText"/>
      </w:pPr>
      <w:r>
        <w:rPr>
          <w:rStyle w:val="FootnoteReference"/>
        </w:rPr>
        <w:footnoteRef/>
      </w:r>
      <w:r>
        <w:t xml:space="preserve"> Submissions from Citipower, Jemena, Powercor, United Energy and the Victorian Greenhouse Alliance (</w:t>
      </w:r>
      <w:r w:rsidR="00E75A00">
        <w:t xml:space="preserve">an alliance of </w:t>
      </w:r>
      <w:r>
        <w:t xml:space="preserve">70 local </w:t>
      </w:r>
      <w:r w:rsidR="00E75A00">
        <w:t>c</w:t>
      </w:r>
      <w:r>
        <w:t>ouncils)</w:t>
      </w:r>
    </w:p>
  </w:footnote>
  <w:footnote w:id="5">
    <w:p w14:paraId="60065A09" w14:textId="30C2DDF2" w:rsidR="00143AB2" w:rsidRDefault="00143AB2" w:rsidP="00143AB2">
      <w:pPr>
        <w:pStyle w:val="FootnoteText"/>
      </w:pPr>
      <w:r>
        <w:rPr>
          <w:rStyle w:val="FootnoteReference"/>
        </w:rPr>
        <w:footnoteRef/>
      </w:r>
      <w:r>
        <w:t xml:space="preserve"> See our </w:t>
      </w:r>
      <w:r w:rsidR="00AD2D0E">
        <w:t xml:space="preserve">28 August 2025 </w:t>
      </w:r>
      <w:r>
        <w:t xml:space="preserve">consultation paper, </w:t>
      </w:r>
      <w:hyperlink r:id="rId1" w:anchor="tabs-container2" w:history="1">
        <w:r w:rsidR="003E31BF" w:rsidRPr="001E7556">
          <w:rPr>
            <w:rStyle w:val="Hyperlink"/>
          </w:rPr>
          <w:t>A</w:t>
        </w:r>
        <w:r w:rsidRPr="001E7556">
          <w:rPr>
            <w:rStyle w:val="Hyperlink"/>
          </w:rPr>
          <w:t>ppendix A</w:t>
        </w:r>
      </w:hyperlink>
      <w:r>
        <w:t>.</w:t>
      </w:r>
    </w:p>
  </w:footnote>
  <w:footnote w:id="6">
    <w:p w14:paraId="75530859" w14:textId="1152421D" w:rsidR="00E055F7" w:rsidRDefault="00E055F7" w:rsidP="00CF1DA7">
      <w:pPr>
        <w:pStyle w:val="FootnoteText"/>
      </w:pPr>
      <w:r>
        <w:rPr>
          <w:rStyle w:val="FootnoteReference"/>
        </w:rPr>
        <w:footnoteRef/>
      </w:r>
      <w:r>
        <w:t xml:space="preserve"> </w:t>
      </w:r>
      <w:r w:rsidR="00EA6B68">
        <w:t xml:space="preserve">We </w:t>
      </w:r>
      <w:r w:rsidR="00B4229D">
        <w:t xml:space="preserve">also </w:t>
      </w:r>
      <w:r w:rsidR="00CF1DA7">
        <w:t xml:space="preserve">separately estimated </w:t>
      </w:r>
      <w:r w:rsidR="00B4229D">
        <w:t xml:space="preserve">costs </w:t>
      </w:r>
      <w:r w:rsidR="008E139E">
        <w:t>as part of our requirement</w:t>
      </w:r>
      <w:r w:rsidR="00CF1DA7">
        <w:t xml:space="preserve">s relating to Regulatory Impact Statements. Under that approach, we applied </w:t>
      </w:r>
      <w:r>
        <w:t xml:space="preserve">Better Regulation Victoria’s </w:t>
      </w:r>
      <w:r w:rsidRPr="0099292A">
        <w:rPr>
          <w:i/>
          <w:iCs/>
        </w:rPr>
        <w:t>Victorian Guide to Regulation</w:t>
      </w:r>
      <w:r>
        <w:t xml:space="preserve"> </w:t>
      </w:r>
      <w:r w:rsidR="00CF1DA7">
        <w:t xml:space="preserve">to inform these estimates, which considers a </w:t>
      </w:r>
      <w:r w:rsidR="005946AD">
        <w:t xml:space="preserve">different </w:t>
      </w:r>
      <w:r w:rsidR="00CF1DA7">
        <w:t xml:space="preserve">base case where the Public Lighting Code </w:t>
      </w:r>
      <w:r w:rsidR="00FF0055">
        <w:t>is</w:t>
      </w:r>
      <w:r w:rsidR="00670E83">
        <w:t xml:space="preserve"> </w:t>
      </w:r>
      <w:r w:rsidR="00593DB9">
        <w:t xml:space="preserve">entirely </w:t>
      </w:r>
      <w:r w:rsidR="00670E83">
        <w:t>revoked</w:t>
      </w:r>
      <w:r>
        <w:t xml:space="preserve">. </w:t>
      </w:r>
    </w:p>
  </w:footnote>
  <w:footnote w:id="7">
    <w:p w14:paraId="7A756938" w14:textId="78FA0169" w:rsidR="00577C6B" w:rsidRDefault="00577C6B">
      <w:pPr>
        <w:pStyle w:val="FootnoteText"/>
      </w:pPr>
      <w:r>
        <w:rPr>
          <w:rStyle w:val="FootnoteReference"/>
        </w:rPr>
        <w:footnoteRef/>
      </w:r>
      <w:r>
        <w:t xml:space="preserve"> Citipower, Powercor and United Energy submission.</w:t>
      </w:r>
    </w:p>
  </w:footnote>
  <w:footnote w:id="8">
    <w:p w14:paraId="6FD0CD7A" w14:textId="77777777" w:rsidR="00860A98" w:rsidRDefault="00860A98" w:rsidP="00860A98">
      <w:pPr>
        <w:pStyle w:val="FootnoteText"/>
      </w:pPr>
      <w:r>
        <w:rPr>
          <w:rStyle w:val="FootnoteReference"/>
        </w:rPr>
        <w:footnoteRef/>
      </w:r>
      <w:r>
        <w:t xml:space="preserve"> The Victorian Greenhouse Alliance (an alliance of 70 local councils), CitiPower, Powercor and United Energy submissions.</w:t>
      </w:r>
    </w:p>
  </w:footnote>
  <w:footnote w:id="9">
    <w:p w14:paraId="55FB019C" w14:textId="0D215AF5" w:rsidR="00143AB2" w:rsidRDefault="00143AB2" w:rsidP="00143AB2">
      <w:pPr>
        <w:pStyle w:val="FootnoteText"/>
      </w:pPr>
      <w:r>
        <w:rPr>
          <w:rStyle w:val="FootnoteReference"/>
        </w:rPr>
        <w:footnoteRef/>
      </w:r>
      <w:r>
        <w:t xml:space="preserve"> Citi</w:t>
      </w:r>
      <w:r w:rsidR="000F0D38">
        <w:t>P</w:t>
      </w:r>
      <w:r>
        <w:t>ower, Powercor and United Energy</w:t>
      </w:r>
      <w:r w:rsidR="00E22C84">
        <w:t xml:space="preserve"> submission</w:t>
      </w:r>
    </w:p>
  </w:footnote>
  <w:footnote w:id="10">
    <w:p w14:paraId="438D63B6" w14:textId="5F8F9737" w:rsidR="00F566CD" w:rsidRDefault="00F566CD">
      <w:pPr>
        <w:pStyle w:val="FootnoteText"/>
      </w:pPr>
      <w:r>
        <w:rPr>
          <w:rStyle w:val="FootnoteReference"/>
        </w:rPr>
        <w:footnoteRef/>
      </w:r>
      <w:r>
        <w:t xml:space="preserve"> </w:t>
      </w:r>
      <w:hyperlink r:id="rId2" w:history="1">
        <w:r w:rsidR="00510917" w:rsidRPr="00426B68">
          <w:rPr>
            <w:rStyle w:val="Hyperlink"/>
          </w:rPr>
          <w:t xml:space="preserve">Our compliance and enforcement </w:t>
        </w:r>
        <w:r w:rsidR="00426B68" w:rsidRPr="00426B68">
          <w:rPr>
            <w:rStyle w:val="Hyperlink"/>
          </w:rPr>
          <w:t xml:space="preserve">approach and </w:t>
        </w:r>
        <w:r w:rsidR="00510917" w:rsidRPr="00426B68">
          <w:rPr>
            <w:rStyle w:val="Hyperlink"/>
          </w:rPr>
          <w:t>priorities</w:t>
        </w:r>
      </w:hyperlink>
      <w:r w:rsidR="00C33AF5">
        <w:t xml:space="preserve"> </w:t>
      </w:r>
    </w:p>
  </w:footnote>
  <w:footnote w:id="11">
    <w:p w14:paraId="1E75F48E" w14:textId="71515F4B" w:rsidR="008F6974" w:rsidRDefault="008F6974">
      <w:pPr>
        <w:pStyle w:val="FootnoteText"/>
      </w:pPr>
      <w:r>
        <w:rPr>
          <w:rStyle w:val="FootnoteReference"/>
        </w:rPr>
        <w:footnoteRef/>
      </w:r>
      <w:r w:rsidR="000C189F">
        <w:t xml:space="preserve"> </w:t>
      </w:r>
      <w:hyperlink r:id="rId3" w:history="1">
        <w:r w:rsidR="000C189F" w:rsidRPr="008A3D45">
          <w:rPr>
            <w:rStyle w:val="Hyperlink"/>
          </w:rPr>
          <w:t xml:space="preserve">Sample </w:t>
        </w:r>
        <w:r w:rsidR="00CE58ED" w:rsidRPr="008A3D45">
          <w:rPr>
            <w:rStyle w:val="Hyperlink"/>
          </w:rPr>
          <w:t xml:space="preserve">distributor </w:t>
        </w:r>
        <w:r w:rsidR="002A5A8D" w:rsidRPr="008A3D45">
          <w:rPr>
            <w:rStyle w:val="Hyperlink"/>
          </w:rPr>
          <w:t xml:space="preserve">Powercor </w:t>
        </w:r>
        <w:r w:rsidR="00CE58ED" w:rsidRPr="008A3D45">
          <w:rPr>
            <w:rStyle w:val="Hyperlink"/>
          </w:rPr>
          <w:t>bulk</w:t>
        </w:r>
        <w:r w:rsidRPr="008A3D45">
          <w:rPr>
            <w:rStyle w:val="Hyperlink"/>
          </w:rPr>
          <w:t xml:space="preserve"> </w:t>
        </w:r>
        <w:r w:rsidR="00CE58ED" w:rsidRPr="008A3D45">
          <w:rPr>
            <w:rStyle w:val="Hyperlink"/>
          </w:rPr>
          <w:t xml:space="preserve">public lighting </w:t>
        </w:r>
        <w:r w:rsidR="008A3D45" w:rsidRPr="008A3D45">
          <w:rPr>
            <w:rStyle w:val="Hyperlink"/>
          </w:rPr>
          <w:t xml:space="preserve">asset </w:t>
        </w:r>
        <w:r w:rsidR="00CE58ED" w:rsidRPr="008A3D45">
          <w:rPr>
            <w:rStyle w:val="Hyperlink"/>
          </w:rPr>
          <w:t>replacement proposal to the Australian Energy Regulator</w:t>
        </w:r>
      </w:hyperlink>
      <w:r w:rsidR="00CE58ED">
        <w:t>.</w:t>
      </w:r>
    </w:p>
  </w:footnote>
  <w:footnote w:id="12">
    <w:p w14:paraId="3621D33D" w14:textId="17F30BFD" w:rsidR="004B3838" w:rsidRDefault="004B3838">
      <w:pPr>
        <w:pStyle w:val="FootnoteText"/>
      </w:pPr>
      <w:r>
        <w:rPr>
          <w:rStyle w:val="FootnoteReference"/>
        </w:rPr>
        <w:footnoteRef/>
      </w:r>
      <w:r>
        <w:t xml:space="preserve"> </w:t>
      </w:r>
      <w:r w:rsidR="00E64278">
        <w:t>Individual s</w:t>
      </w:r>
      <w:r w:rsidR="009B33C3">
        <w:t>ubmissions</w:t>
      </w:r>
      <w:r w:rsidR="00E64278">
        <w:t>:</w:t>
      </w:r>
      <w:r w:rsidR="009B33C3">
        <w:t xml:space="preserve"> </w:t>
      </w:r>
      <w:r w:rsidR="006200B9">
        <w:t xml:space="preserve">Liam Clifford, </w:t>
      </w:r>
      <w:r w:rsidR="00B902B4">
        <w:t>Christ</w:t>
      </w:r>
      <w:r w:rsidR="00A1573B">
        <w:t>oph</w:t>
      </w:r>
      <w:r w:rsidR="00B902B4">
        <w:t>er Lee</w:t>
      </w:r>
      <w:r w:rsidR="00C150D5">
        <w:t xml:space="preserve"> </w:t>
      </w:r>
      <w:r w:rsidR="009B33C3">
        <w:t xml:space="preserve">and </w:t>
      </w:r>
      <w:r w:rsidR="006200B9">
        <w:t>individual 1</w:t>
      </w:r>
    </w:p>
  </w:footnote>
  <w:footnote w:id="13">
    <w:p w14:paraId="0E059F61" w14:textId="199A8609" w:rsidR="00097799" w:rsidRDefault="00097799">
      <w:pPr>
        <w:pStyle w:val="FootnoteText"/>
      </w:pPr>
      <w:r>
        <w:rPr>
          <w:rStyle w:val="FootnoteReference"/>
        </w:rPr>
        <w:footnoteRef/>
      </w:r>
      <w:r>
        <w:t xml:space="preserve"> VicRoads is now part of the Department of Transport and Planning</w:t>
      </w:r>
      <w:r w:rsidR="007D76BE">
        <w:t>.</w:t>
      </w:r>
    </w:p>
  </w:footnote>
  <w:footnote w:id="14">
    <w:p w14:paraId="642B2F80" w14:textId="29DFF60C" w:rsidR="00522DAF" w:rsidRDefault="00522DAF">
      <w:pPr>
        <w:pStyle w:val="FootnoteText"/>
      </w:pPr>
      <w:r>
        <w:rPr>
          <w:rStyle w:val="FootnoteReference"/>
        </w:rPr>
        <w:footnoteRef/>
      </w:r>
      <w:r>
        <w:t xml:space="preserve"> </w:t>
      </w:r>
      <w:hyperlink r:id="rId4" w:history="1">
        <w:r w:rsidR="00B42AF6" w:rsidRPr="00B42AF6">
          <w:rPr>
            <w:rStyle w:val="Hyperlink"/>
          </w:rPr>
          <w:t>Compliance and Enforcement Policy | Essential Services Commission</w:t>
        </w:r>
      </w:hyperlink>
      <w:r w:rsidR="00B42AF6">
        <w:t xml:space="preserve"> and </w:t>
      </w:r>
      <w:hyperlink r:id="rId5" w:history="1">
        <w:r w:rsidR="00B42AF6" w:rsidRPr="00B42AF6">
          <w:rPr>
            <w:rStyle w:val="Hyperlink"/>
          </w:rPr>
          <w:t>Our compliance and enforcement priorities | Essential Services Commission</w:t>
        </w:r>
      </w:hyperlink>
    </w:p>
  </w:footnote>
  <w:footnote w:id="15">
    <w:p w14:paraId="279B9B88" w14:textId="4FB8C948" w:rsidR="006023F2" w:rsidRDefault="006023F2">
      <w:pPr>
        <w:pStyle w:val="FootnoteText"/>
      </w:pPr>
      <w:r>
        <w:rPr>
          <w:rStyle w:val="FootnoteReference"/>
        </w:rPr>
        <w:footnoteRef/>
      </w:r>
      <w:r>
        <w:t xml:space="preserve"> The Victorian Greenhouse Alliance submission</w:t>
      </w:r>
      <w:r w:rsidR="00F070FB">
        <w:t xml:space="preserve"> </w:t>
      </w:r>
      <w:r w:rsidR="00DE1D1F">
        <w:t xml:space="preserve">directly </w:t>
      </w:r>
      <w:r w:rsidR="00F070FB">
        <w:t>used our draft</w:t>
      </w:r>
      <w:r w:rsidR="00B23090">
        <w:t xml:space="preserve"> </w:t>
      </w:r>
      <w:r w:rsidR="006E122E">
        <w:t xml:space="preserve">Electricity Distribution Code of Practice </w:t>
      </w:r>
      <w:r w:rsidR="009E72BE">
        <w:t xml:space="preserve">code </w:t>
      </w:r>
      <w:r w:rsidR="006E122E">
        <w:t>drafting to provide comments. Th</w:t>
      </w:r>
      <w:r w:rsidR="00D7735C">
        <w:t>eir</w:t>
      </w:r>
      <w:r w:rsidR="006E122E">
        <w:t xml:space="preserve"> </w:t>
      </w:r>
      <w:r w:rsidR="00D7735C">
        <w:t xml:space="preserve">comments </w:t>
      </w:r>
      <w:r w:rsidR="009E72BE">
        <w:t xml:space="preserve">to clause 19.7.1 </w:t>
      </w:r>
      <w:r w:rsidR="00D7735C">
        <w:t xml:space="preserve">are captured </w:t>
      </w:r>
      <w:r w:rsidR="006E122E">
        <w:t>in</w:t>
      </w:r>
      <w:r w:rsidR="00D7735C">
        <w:t xml:space="preserve"> Appendix A.</w:t>
      </w:r>
      <w:r w:rsidR="006E122E">
        <w:t xml:space="preserve"> </w:t>
      </w:r>
      <w:r w:rsidR="00F070FB">
        <w:t xml:space="preserve"> </w:t>
      </w:r>
      <w:r>
        <w:t xml:space="preserve"> </w:t>
      </w:r>
    </w:p>
  </w:footnote>
  <w:footnote w:id="16">
    <w:p w14:paraId="03DAA539" w14:textId="7C6655AF" w:rsidR="00B01CBA" w:rsidRDefault="00B01CBA" w:rsidP="00B01CBA">
      <w:pPr>
        <w:pStyle w:val="FootnoteText"/>
      </w:pPr>
      <w:r>
        <w:rPr>
          <w:rStyle w:val="FootnoteReference"/>
        </w:rPr>
        <w:footnoteRef/>
      </w:r>
      <w:r>
        <w:t xml:space="preserve"> ‘</w:t>
      </w:r>
      <w:hyperlink r:id="rId6" w:history="1">
        <w:r w:rsidRPr="00144508">
          <w:rPr>
            <w:rStyle w:val="Hyperlink"/>
          </w:rPr>
          <w:t>Revoking the Electricity Customer Metering and Transfer Codes of Practice</w:t>
        </w:r>
      </w:hyperlink>
      <w:r>
        <w:t>’, Essential Services Commission, 27 August 2025.</w:t>
      </w:r>
    </w:p>
  </w:footnote>
  <w:footnote w:id="17">
    <w:p w14:paraId="226066AE" w14:textId="77777777" w:rsidR="00AB0D80" w:rsidRDefault="00AB0D80" w:rsidP="00AB0D80">
      <w:pPr>
        <w:pStyle w:val="FootnoteText"/>
      </w:pPr>
      <w:r>
        <w:rPr>
          <w:rStyle w:val="FootnoteReference"/>
        </w:rPr>
        <w:footnoteRef/>
      </w:r>
      <w:r>
        <w:t xml:space="preserve"> In accordance with the Order in Council GG2007S282.</w:t>
      </w:r>
    </w:p>
  </w:footnote>
  <w:footnote w:id="18">
    <w:p w14:paraId="674FE9AA" w14:textId="77777777" w:rsidR="00AB0D80" w:rsidRDefault="00AB0D80" w:rsidP="00AB0D80">
      <w:pPr>
        <w:pStyle w:val="FootnoteText"/>
      </w:pPr>
      <w:r>
        <w:rPr>
          <w:rStyle w:val="FootnoteReference"/>
        </w:rPr>
        <w:footnoteRef/>
      </w:r>
      <w:r>
        <w:t xml:space="preserve"> An alliance committee that represents 70 local Government Councils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9075" w14:textId="1A54D08A" w:rsidR="00D86896" w:rsidRDefault="00D86896">
    <w:pPr>
      <w:pStyle w:val="Header"/>
    </w:pPr>
    <w:r>
      <w:rPr>
        <w:noProof/>
      </w:rPr>
      <mc:AlternateContent>
        <mc:Choice Requires="wps">
          <w:drawing>
            <wp:anchor distT="0" distB="0" distL="0" distR="0" simplePos="0" relativeHeight="251658245" behindDoc="0" locked="0" layoutInCell="1" allowOverlap="1" wp14:anchorId="5A469C0A" wp14:editId="416F65EC">
              <wp:simplePos x="635" y="635"/>
              <wp:positionH relativeFrom="page">
                <wp:align>center</wp:align>
              </wp:positionH>
              <wp:positionV relativeFrom="page">
                <wp:align>top</wp:align>
              </wp:positionV>
              <wp:extent cx="551815" cy="552450"/>
              <wp:effectExtent l="0" t="0" r="635" b="0"/>
              <wp:wrapNone/>
              <wp:docPr id="29135532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2F7A3A98" w14:textId="7F26B441" w:rsidR="00D86896" w:rsidRPr="00D86896" w:rsidRDefault="00D86896" w:rsidP="00D86896">
                          <w:pPr>
                            <w:spacing w:after="0"/>
                            <w:rPr>
                              <w:rFonts w:ascii="Calibri" w:eastAsia="Calibri" w:hAnsi="Calibri" w:cs="Calibri"/>
                              <w:noProof/>
                              <w:color w:val="FF0000"/>
                              <w:sz w:val="24"/>
                              <w:szCs w:val="24"/>
                            </w:rPr>
                          </w:pPr>
                          <w:r w:rsidRPr="00D8689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469C0A" id="_x0000_t202" coordsize="21600,21600" o:spt="202" path="m,l,21600r21600,l21600,xe">
              <v:stroke joinstyle="miter"/>
              <v:path gradientshapeok="t" o:connecttype="rect"/>
            </v:shapetype>
            <v:shape id="Text Box 2" o:spid="_x0000_s1026" type="#_x0000_t202" alt="OFFICIAL" style="position:absolute;margin-left:0;margin-top:0;width:43.45pt;height:43.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" filled="f" stroked="f">
              <v:textbox style="mso-fit-shape-to-text:t" inset="0,15pt,0,0">
                <w:txbxContent>
                  <w:p w14:paraId="2F7A3A98" w14:textId="7F26B441" w:rsidR="00D86896" w:rsidRPr="00D86896" w:rsidRDefault="00D86896" w:rsidP="00D86896">
                    <w:pPr>
                      <w:spacing w:after="0"/>
                      <w:rPr>
                        <w:rFonts w:ascii="Calibri" w:eastAsia="Calibri" w:hAnsi="Calibri" w:cs="Calibri"/>
                        <w:noProof/>
                        <w:color w:val="FF0000"/>
                        <w:sz w:val="24"/>
                        <w:szCs w:val="24"/>
                      </w:rPr>
                    </w:pPr>
                    <w:r w:rsidRPr="00D86896">
                      <w:rPr>
                        <w:rFonts w:ascii="Calibri" w:eastAsia="Calibri" w:hAnsi="Calibri" w:cs="Calibri"/>
                        <w:noProof/>
                        <w:color w:val="FF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666D3" w14:textId="5DC329BD" w:rsidR="00D86896" w:rsidRDefault="00D86896">
    <w:pPr>
      <w:pStyle w:val="Header"/>
    </w:pPr>
    <w:r>
      <w:rPr>
        <w:noProof/>
      </w:rPr>
      <mc:AlternateContent>
        <mc:Choice Requires="wps">
          <w:drawing>
            <wp:anchor distT="0" distB="0" distL="0" distR="0" simplePos="0" relativeHeight="251658254" behindDoc="0" locked="0" layoutInCell="1" allowOverlap="1" wp14:anchorId="405416D7" wp14:editId="3EA617DF">
              <wp:simplePos x="635" y="635"/>
              <wp:positionH relativeFrom="page">
                <wp:align>center</wp:align>
              </wp:positionH>
              <wp:positionV relativeFrom="page">
                <wp:align>top</wp:align>
              </wp:positionV>
              <wp:extent cx="551815" cy="552450"/>
              <wp:effectExtent l="0" t="0" r="635" b="0"/>
              <wp:wrapNone/>
              <wp:docPr id="784765441"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5E6FD805" w14:textId="03BF272A" w:rsidR="00D86896" w:rsidRPr="00D86896" w:rsidRDefault="00D86896" w:rsidP="00D86896">
                          <w:pPr>
                            <w:spacing w:after="0"/>
                            <w:rPr>
                              <w:rFonts w:ascii="Calibri" w:eastAsia="Calibri" w:hAnsi="Calibri" w:cs="Calibri"/>
                              <w:noProof/>
                              <w:color w:val="FF0000"/>
                              <w:sz w:val="24"/>
                              <w:szCs w:val="24"/>
                            </w:rPr>
                          </w:pPr>
                          <w:r w:rsidRPr="00D8689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5416D7" id="_x0000_t202" coordsize="21600,21600" o:spt="202" path="m,l,21600r21600,l21600,xe">
              <v:stroke joinstyle="miter"/>
              <v:path gradientshapeok="t" o:connecttype="rect"/>
            </v:shapetype>
            <v:shape id="Text Box 14" o:spid="_x0000_s1033" type="#_x0000_t202" alt="OFFICIAL" style="position:absolute;margin-left:0;margin-top:0;width:43.45pt;height:43.5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" filled="f" stroked="f">
              <v:textbox style="mso-fit-shape-to-text:t" inset="0,15pt,0,0">
                <w:txbxContent>
                  <w:p w14:paraId="5E6FD805" w14:textId="03BF272A" w:rsidR="00D86896" w:rsidRPr="00D86896" w:rsidRDefault="00D86896" w:rsidP="00D86896">
                    <w:pPr>
                      <w:spacing w:after="0"/>
                      <w:rPr>
                        <w:rFonts w:ascii="Calibri" w:eastAsia="Calibri" w:hAnsi="Calibri" w:cs="Calibri"/>
                        <w:noProof/>
                        <w:color w:val="FF0000"/>
                        <w:sz w:val="24"/>
                        <w:szCs w:val="24"/>
                      </w:rPr>
                    </w:pPr>
                    <w:r w:rsidRPr="00D86896">
                      <w:rPr>
                        <w:rFonts w:ascii="Calibri" w:eastAsia="Calibri" w:hAnsi="Calibri" w:cs="Calibri"/>
                        <w:noProof/>
                        <w:color w:val="FF0000"/>
                        <w:sz w:val="24"/>
                        <w:szCs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F64C" w14:textId="75C06DAE" w:rsidR="00D86896" w:rsidRDefault="00D8689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89EA2" w14:textId="0A93A8E6" w:rsidR="00D86896" w:rsidRDefault="00D86896">
    <w:pPr>
      <w:pStyle w:val="Header"/>
    </w:pPr>
    <w:r>
      <w:rPr>
        <w:noProof/>
      </w:rPr>
      <mc:AlternateContent>
        <mc:Choice Requires="wps">
          <w:drawing>
            <wp:anchor distT="0" distB="0" distL="0" distR="0" simplePos="0" relativeHeight="251658253" behindDoc="0" locked="0" layoutInCell="1" allowOverlap="1" wp14:anchorId="4F3D81D8" wp14:editId="5693FE51">
              <wp:simplePos x="635" y="635"/>
              <wp:positionH relativeFrom="page">
                <wp:align>center</wp:align>
              </wp:positionH>
              <wp:positionV relativeFrom="page">
                <wp:align>top</wp:align>
              </wp:positionV>
              <wp:extent cx="551815" cy="552450"/>
              <wp:effectExtent l="0" t="0" r="635" b="0"/>
              <wp:wrapNone/>
              <wp:docPr id="456425146"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674852BF" w14:textId="5C9B45D9" w:rsidR="00D86896" w:rsidRPr="00D86896" w:rsidRDefault="00D86896" w:rsidP="00D86896">
                          <w:pPr>
                            <w:spacing w:after="0"/>
                            <w:rPr>
                              <w:rFonts w:ascii="Calibri" w:eastAsia="Calibri" w:hAnsi="Calibri" w:cs="Calibri"/>
                              <w:noProof/>
                              <w:color w:val="FF0000"/>
                              <w:sz w:val="24"/>
                              <w:szCs w:val="24"/>
                            </w:rPr>
                          </w:pPr>
                          <w:r w:rsidRPr="00D8689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3D81D8" id="_x0000_t202" coordsize="21600,21600" o:spt="202" path="m,l,21600r21600,l21600,xe">
              <v:stroke joinstyle="miter"/>
              <v:path gradientshapeok="t" o:connecttype="rect"/>
            </v:shapetype>
            <v:shape id="Text Box 13" o:spid="_x0000_s1034" type="#_x0000_t202" alt="OFFICIAL" style="position:absolute;margin-left:0;margin-top:0;width:43.45pt;height:43.5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" filled="f" stroked="f">
              <v:textbox style="mso-fit-shape-to-text:t" inset="0,15pt,0,0">
                <w:txbxContent>
                  <w:p w14:paraId="674852BF" w14:textId="5C9B45D9" w:rsidR="00D86896" w:rsidRPr="00D86896" w:rsidRDefault="00D86896" w:rsidP="00D86896">
                    <w:pPr>
                      <w:spacing w:after="0"/>
                      <w:rPr>
                        <w:rFonts w:ascii="Calibri" w:eastAsia="Calibri" w:hAnsi="Calibri" w:cs="Calibri"/>
                        <w:noProof/>
                        <w:color w:val="FF0000"/>
                        <w:sz w:val="24"/>
                        <w:szCs w:val="24"/>
                      </w:rPr>
                    </w:pPr>
                    <w:r w:rsidRPr="00D86896">
                      <w:rPr>
                        <w:rFonts w:ascii="Calibri" w:eastAsia="Calibri" w:hAnsi="Calibri" w:cs="Calibri"/>
                        <w:noProof/>
                        <w:color w:val="FF0000"/>
                        <w:sz w:val="24"/>
                        <w:szCs w:val="24"/>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5D04" w14:textId="017CA19E" w:rsidR="00D86896" w:rsidRDefault="00D86896">
    <w:pPr>
      <w:pStyle w:val="Header"/>
    </w:pPr>
    <w:r>
      <w:rPr>
        <w:noProof/>
      </w:rPr>
      <mc:AlternateContent>
        <mc:Choice Requires="wps">
          <w:drawing>
            <wp:anchor distT="0" distB="0" distL="0" distR="0" simplePos="0" relativeHeight="251658257" behindDoc="0" locked="0" layoutInCell="1" allowOverlap="1" wp14:anchorId="58542DD9" wp14:editId="2DCD1CC3">
              <wp:simplePos x="635" y="635"/>
              <wp:positionH relativeFrom="page">
                <wp:align>center</wp:align>
              </wp:positionH>
              <wp:positionV relativeFrom="page">
                <wp:align>top</wp:align>
              </wp:positionV>
              <wp:extent cx="551815" cy="552450"/>
              <wp:effectExtent l="0" t="0" r="635" b="0"/>
              <wp:wrapNone/>
              <wp:docPr id="1701334010"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58B5C959" w14:textId="50FA4641" w:rsidR="00D86896" w:rsidRPr="00D86896" w:rsidRDefault="00D86896" w:rsidP="00D86896">
                          <w:pPr>
                            <w:spacing w:after="0"/>
                            <w:rPr>
                              <w:rFonts w:ascii="Calibri" w:eastAsia="Calibri" w:hAnsi="Calibri" w:cs="Calibri"/>
                              <w:noProof/>
                              <w:color w:val="FF0000"/>
                              <w:sz w:val="24"/>
                              <w:szCs w:val="24"/>
                            </w:rPr>
                          </w:pPr>
                          <w:r w:rsidRPr="00D8689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542DD9" id="_x0000_t202" coordsize="21600,21600" o:spt="202" path="m,l,21600r21600,l21600,xe">
              <v:stroke joinstyle="miter"/>
              <v:path gradientshapeok="t" o:connecttype="rect"/>
            </v:shapetype>
            <v:shape id="Text Box 17" o:spid="_x0000_s1035" type="#_x0000_t202" alt="OFFICIAL" style="position:absolute;margin-left:0;margin-top:0;width:43.45pt;height:43.5pt;z-index:2516582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" filled="f" stroked="f">
              <v:textbox style="mso-fit-shape-to-text:t" inset="0,15pt,0,0">
                <w:txbxContent>
                  <w:p w14:paraId="58B5C959" w14:textId="50FA4641" w:rsidR="00D86896" w:rsidRPr="00D86896" w:rsidRDefault="00D86896" w:rsidP="00D86896">
                    <w:pPr>
                      <w:spacing w:after="0"/>
                      <w:rPr>
                        <w:rFonts w:ascii="Calibri" w:eastAsia="Calibri" w:hAnsi="Calibri" w:cs="Calibri"/>
                        <w:noProof/>
                        <w:color w:val="FF0000"/>
                        <w:sz w:val="24"/>
                        <w:szCs w:val="24"/>
                      </w:rPr>
                    </w:pPr>
                    <w:r w:rsidRPr="00D86896">
                      <w:rPr>
                        <w:rFonts w:ascii="Calibri" w:eastAsia="Calibri" w:hAnsi="Calibri" w:cs="Calibri"/>
                        <w:noProof/>
                        <w:color w:val="FF0000"/>
                        <w:sz w:val="24"/>
                        <w:szCs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BFEFF" w14:textId="2550DE7A" w:rsidR="00D86896" w:rsidRDefault="00D86896">
    <w:pPr>
      <w:pStyle w:val="Header"/>
    </w:pPr>
    <w:r>
      <w:rPr>
        <w:noProof/>
      </w:rPr>
      <mc:AlternateContent>
        <mc:Choice Requires="wps">
          <w:drawing>
            <wp:anchor distT="0" distB="0" distL="0" distR="0" simplePos="0" relativeHeight="251658258" behindDoc="0" locked="0" layoutInCell="1" allowOverlap="1" wp14:anchorId="583732CA" wp14:editId="13CD27C7">
              <wp:simplePos x="635" y="635"/>
              <wp:positionH relativeFrom="page">
                <wp:align>center</wp:align>
              </wp:positionH>
              <wp:positionV relativeFrom="page">
                <wp:align>top</wp:align>
              </wp:positionV>
              <wp:extent cx="551815" cy="552450"/>
              <wp:effectExtent l="0" t="0" r="635" b="0"/>
              <wp:wrapNone/>
              <wp:docPr id="860794491"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425A7A68" w14:textId="2416C525" w:rsidR="00D86896" w:rsidRPr="00D86896" w:rsidRDefault="00D86896" w:rsidP="00D86896">
                          <w:pPr>
                            <w:spacing w:after="0"/>
                            <w:rPr>
                              <w:rFonts w:ascii="Calibri" w:eastAsia="Calibri" w:hAnsi="Calibri" w:cs="Calibri"/>
                              <w:noProof/>
                              <w:color w:val="FF0000"/>
                              <w:sz w:val="24"/>
                              <w:szCs w:val="24"/>
                            </w:rPr>
                          </w:pPr>
                          <w:r w:rsidRPr="00D8689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3732CA" id="_x0000_t202" coordsize="21600,21600" o:spt="202" path="m,l,21600r21600,l21600,xe">
              <v:stroke joinstyle="miter"/>
              <v:path gradientshapeok="t" o:connecttype="rect"/>
            </v:shapetype>
            <v:shape id="Text Box 18" o:spid="_x0000_s1036" type="#_x0000_t202" alt="OFFICIAL" style="position:absolute;margin-left:0;margin-top:0;width:43.45pt;height:43.5pt;z-index:25165825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" filled="f" stroked="f">
              <v:textbox style="mso-fit-shape-to-text:t" inset="0,15pt,0,0">
                <w:txbxContent>
                  <w:p w14:paraId="425A7A68" w14:textId="2416C525" w:rsidR="00D86896" w:rsidRPr="00D86896" w:rsidRDefault="00D86896" w:rsidP="00D86896">
                    <w:pPr>
                      <w:spacing w:after="0"/>
                      <w:rPr>
                        <w:rFonts w:ascii="Calibri" w:eastAsia="Calibri" w:hAnsi="Calibri" w:cs="Calibri"/>
                        <w:noProof/>
                        <w:color w:val="FF0000"/>
                        <w:sz w:val="24"/>
                        <w:szCs w:val="24"/>
                      </w:rPr>
                    </w:pPr>
                    <w:r w:rsidRPr="00D86896">
                      <w:rPr>
                        <w:rFonts w:ascii="Calibri" w:eastAsia="Calibri" w:hAnsi="Calibri" w:cs="Calibri"/>
                        <w:noProof/>
                        <w:color w:val="FF0000"/>
                        <w:sz w:val="24"/>
                        <w:szCs w:val="24"/>
                      </w:rPr>
                      <w:t>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3CB0F" w14:textId="61A13BB6" w:rsidR="00D86896" w:rsidRDefault="00D86896">
    <w:pPr>
      <w:pStyle w:val="Header"/>
    </w:pPr>
    <w:r>
      <w:rPr>
        <w:noProof/>
      </w:rPr>
      <mc:AlternateContent>
        <mc:Choice Requires="wps">
          <w:drawing>
            <wp:anchor distT="0" distB="0" distL="0" distR="0" simplePos="0" relativeHeight="251658256" behindDoc="0" locked="0" layoutInCell="1" allowOverlap="1" wp14:anchorId="001547E9" wp14:editId="65A2F5DD">
              <wp:simplePos x="635" y="635"/>
              <wp:positionH relativeFrom="page">
                <wp:align>center</wp:align>
              </wp:positionH>
              <wp:positionV relativeFrom="page">
                <wp:align>top</wp:align>
              </wp:positionV>
              <wp:extent cx="551815" cy="552450"/>
              <wp:effectExtent l="0" t="0" r="635" b="0"/>
              <wp:wrapNone/>
              <wp:docPr id="934750228"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24DCBC69" w14:textId="4334D087" w:rsidR="00D86896" w:rsidRPr="00D86896" w:rsidRDefault="00D86896" w:rsidP="00D86896">
                          <w:pPr>
                            <w:spacing w:after="0"/>
                            <w:rPr>
                              <w:rFonts w:ascii="Calibri" w:eastAsia="Calibri" w:hAnsi="Calibri" w:cs="Calibri"/>
                              <w:noProof/>
                              <w:color w:val="FF0000"/>
                              <w:sz w:val="24"/>
                              <w:szCs w:val="24"/>
                            </w:rPr>
                          </w:pPr>
                          <w:r w:rsidRPr="00D8689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1547E9" id="_x0000_t202" coordsize="21600,21600" o:spt="202" path="m,l,21600r21600,l21600,xe">
              <v:stroke joinstyle="miter"/>
              <v:path gradientshapeok="t" o:connecttype="rect"/>
            </v:shapetype>
            <v:shape id="Text Box 16" o:spid="_x0000_s1037" type="#_x0000_t202" alt="OFFICIAL" style="position:absolute;margin-left:0;margin-top:0;width:43.45pt;height:43.5pt;z-index:251658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" filled="f" stroked="f">
              <v:textbox style="mso-fit-shape-to-text:t" inset="0,15pt,0,0">
                <w:txbxContent>
                  <w:p w14:paraId="24DCBC69" w14:textId="4334D087" w:rsidR="00D86896" w:rsidRPr="00D86896" w:rsidRDefault="00D86896" w:rsidP="00D86896">
                    <w:pPr>
                      <w:spacing w:after="0"/>
                      <w:rPr>
                        <w:rFonts w:ascii="Calibri" w:eastAsia="Calibri" w:hAnsi="Calibri" w:cs="Calibri"/>
                        <w:noProof/>
                        <w:color w:val="FF0000"/>
                        <w:sz w:val="24"/>
                        <w:szCs w:val="24"/>
                      </w:rPr>
                    </w:pPr>
                    <w:r w:rsidRPr="00D86896">
                      <w:rPr>
                        <w:rFonts w:ascii="Calibri" w:eastAsia="Calibri" w:hAnsi="Calibri" w:cs="Calibri"/>
                        <w:noProof/>
                        <w:color w:val="FF0000"/>
                        <w:sz w:val="24"/>
                        <w:szCs w:val="24"/>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AD922" w14:textId="32747C60" w:rsidR="00E808E0" w:rsidRDefault="00E808E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608CA" w14:textId="39D44EBF" w:rsidR="00E808E0" w:rsidRDefault="00E808E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B9ED1" w14:textId="2A73AB04" w:rsidR="00E808E0" w:rsidRDefault="00E808E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DD9EA" w14:textId="77DE0BCA" w:rsidR="00E808E0" w:rsidRDefault="00E808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31B7A" w14:textId="6B41A2E3" w:rsidR="003A30F3" w:rsidRPr="00633068" w:rsidRDefault="003A30F3" w:rsidP="00633068">
    <w:pPr>
      <w:pStyle w:val="Header"/>
      <w:tabs>
        <w:tab w:val="clear" w:pos="4680"/>
        <w:tab w:val="clear" w:pos="9360"/>
        <w:tab w:val="left" w:pos="2236"/>
      </w:tabs>
    </w:pPr>
    <w:r>
      <w:rPr>
        <w:noProof/>
        <w:lang w:eastAsia="en-AU"/>
      </w:rPr>
      <mc:AlternateContent>
        <mc:Choice Requires="wpg">
          <w:drawing>
            <wp:anchor distT="0" distB="0" distL="114300" distR="114300" simplePos="0" relativeHeight="251658243" behindDoc="0" locked="1" layoutInCell="1" allowOverlap="1" wp14:anchorId="28F6F227" wp14:editId="5012C292">
              <wp:simplePos x="0" y="0"/>
              <wp:positionH relativeFrom="page">
                <wp:align>right</wp:align>
              </wp:positionH>
              <wp:positionV relativeFrom="page">
                <wp:align>bottom</wp:align>
              </wp:positionV>
              <wp:extent cx="7282800" cy="6199200"/>
              <wp:effectExtent l="0" t="0" r="0" b="0"/>
              <wp:wrapNone/>
              <wp:docPr id="13" name="Group 13"/>
              <wp:cNvGraphicFramePr/>
              <a:graphic xmlns:a="http://schemas.openxmlformats.org/drawingml/2006/main">
                <a:graphicData uri="http://schemas.microsoft.com/office/word/2010/wordprocessingGroup">
                  <wpg:wgp>
                    <wpg:cNvGrpSpPr/>
                    <wpg:grpSpPr>
                      <a:xfrm>
                        <a:off x="0" y="0"/>
                        <a:ext cx="7282800" cy="6199200"/>
                        <a:chOff x="0" y="0"/>
                        <a:chExt cx="7283315" cy="6200963"/>
                      </a:xfrm>
                    </wpg:grpSpPr>
                    <wpg:grpSp>
                      <wpg:cNvPr id="14" name="Group 4"/>
                      <wpg:cNvGrpSpPr/>
                      <wpg:grpSpPr bwMode="auto">
                        <a:xfrm>
                          <a:off x="0" y="0"/>
                          <a:ext cx="7121457" cy="6026668"/>
                          <a:chOff x="0" y="0"/>
                          <a:chExt cx="4278" cy="3620"/>
                        </a:xfrm>
                      </wpg:grpSpPr>
                      <wps:wsp>
                        <wps:cNvPr id="15" name="Freeform 5"/>
                        <wps:cNvSpPr>
                          <a:spLocks/>
                        </wps:cNvSpPr>
                        <wps:spPr bwMode="auto">
                          <a:xfrm>
                            <a:off x="0" y="582"/>
                            <a:ext cx="1506" cy="3038"/>
                          </a:xfrm>
                          <a:custGeom>
                            <a:avLst/>
                            <a:gdLst>
                              <a:gd name="T0" fmla="*/ 359 w 790"/>
                              <a:gd name="T1" fmla="*/ 791 h 1597"/>
                              <a:gd name="T2" fmla="*/ 790 w 790"/>
                              <a:gd name="T3" fmla="*/ 146 h 1597"/>
                              <a:gd name="T4" fmla="*/ 644 w 790"/>
                              <a:gd name="T5" fmla="*/ 0 h 1597"/>
                              <a:gd name="T6" fmla="*/ 167 w 790"/>
                              <a:gd name="T7" fmla="*/ 712 h 1597"/>
                              <a:gd name="T8" fmla="*/ 0 w 790"/>
                              <a:gd name="T9" fmla="*/ 1552 h 1597"/>
                              <a:gd name="T10" fmla="*/ 0 w 790"/>
                              <a:gd name="T11" fmla="*/ 1552 h 1597"/>
                              <a:gd name="T12" fmla="*/ 0 w 790"/>
                              <a:gd name="T13" fmla="*/ 1597 h 1597"/>
                              <a:gd name="T14" fmla="*/ 208 w 790"/>
                              <a:gd name="T15" fmla="*/ 1597 h 1597"/>
                              <a:gd name="T16" fmla="*/ 207 w 790"/>
                              <a:gd name="T17" fmla="*/ 1552 h 1597"/>
                              <a:gd name="T18" fmla="*/ 207 w 790"/>
                              <a:gd name="T19" fmla="*/ 1552 h 1597"/>
                              <a:gd name="T20" fmla="*/ 359 w 790"/>
                              <a:gd name="T21" fmla="*/ 791 h 1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90" h="1597">
                                <a:moveTo>
                                  <a:pt x="359" y="791"/>
                                </a:moveTo>
                                <a:cubicBezTo>
                                  <a:pt x="460" y="548"/>
                                  <a:pt x="607" y="329"/>
                                  <a:pt x="790" y="146"/>
                                </a:cubicBezTo>
                                <a:cubicBezTo>
                                  <a:pt x="644" y="0"/>
                                  <a:pt x="644" y="0"/>
                                  <a:pt x="644" y="0"/>
                                </a:cubicBezTo>
                                <a:cubicBezTo>
                                  <a:pt x="442" y="202"/>
                                  <a:pt x="279" y="444"/>
                                  <a:pt x="167" y="712"/>
                                </a:cubicBezTo>
                                <a:cubicBezTo>
                                  <a:pt x="60" y="971"/>
                                  <a:pt x="0" y="1254"/>
                                  <a:pt x="0" y="1552"/>
                                </a:cubicBezTo>
                                <a:cubicBezTo>
                                  <a:pt x="0" y="1552"/>
                                  <a:pt x="0" y="1552"/>
                                  <a:pt x="0" y="1552"/>
                                </a:cubicBezTo>
                                <a:cubicBezTo>
                                  <a:pt x="0" y="1567"/>
                                  <a:pt x="0" y="1582"/>
                                  <a:pt x="0" y="1597"/>
                                </a:cubicBezTo>
                                <a:cubicBezTo>
                                  <a:pt x="208" y="1597"/>
                                  <a:pt x="208" y="1597"/>
                                  <a:pt x="208" y="1597"/>
                                </a:cubicBezTo>
                                <a:cubicBezTo>
                                  <a:pt x="207" y="1582"/>
                                  <a:pt x="207" y="1567"/>
                                  <a:pt x="207" y="1552"/>
                                </a:cubicBezTo>
                                <a:cubicBezTo>
                                  <a:pt x="207" y="1552"/>
                                  <a:pt x="207" y="1552"/>
                                  <a:pt x="207" y="1552"/>
                                </a:cubicBezTo>
                                <a:cubicBezTo>
                                  <a:pt x="207" y="1282"/>
                                  <a:pt x="261" y="1025"/>
                                  <a:pt x="359" y="791"/>
                                </a:cubicBez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6"/>
                        <wps:cNvSpPr>
                          <a:spLocks/>
                        </wps:cNvSpPr>
                        <wps:spPr bwMode="auto">
                          <a:xfrm>
                            <a:off x="644" y="0"/>
                            <a:ext cx="3634" cy="3620"/>
                          </a:xfrm>
                          <a:custGeom>
                            <a:avLst/>
                            <a:gdLst>
                              <a:gd name="T0" fmla="*/ 1858 w 1906"/>
                              <a:gd name="T1" fmla="*/ 0 h 1903"/>
                              <a:gd name="T2" fmla="*/ 1857 w 1906"/>
                              <a:gd name="T3" fmla="*/ 0 h 1903"/>
                              <a:gd name="T4" fmla="*/ 1147 w 1906"/>
                              <a:gd name="T5" fmla="*/ 142 h 1903"/>
                              <a:gd name="T6" fmla="*/ 544 w 1906"/>
                              <a:gd name="T7" fmla="*/ 545 h 1903"/>
                              <a:gd name="T8" fmla="*/ 141 w 1906"/>
                              <a:gd name="T9" fmla="*/ 1147 h 1903"/>
                              <a:gd name="T10" fmla="*/ 0 w 1906"/>
                              <a:gd name="T11" fmla="*/ 1858 h 1903"/>
                              <a:gd name="T12" fmla="*/ 0 w 1906"/>
                              <a:gd name="T13" fmla="*/ 1858 h 1903"/>
                              <a:gd name="T14" fmla="*/ 0 w 1906"/>
                              <a:gd name="T15" fmla="*/ 1903 h 1903"/>
                              <a:gd name="T16" fmla="*/ 302 w 1906"/>
                              <a:gd name="T17" fmla="*/ 1903 h 1903"/>
                              <a:gd name="T18" fmla="*/ 301 w 1906"/>
                              <a:gd name="T19" fmla="*/ 1858 h 1903"/>
                              <a:gd name="T20" fmla="*/ 301 w 1906"/>
                              <a:gd name="T21" fmla="*/ 1858 h 1903"/>
                              <a:gd name="T22" fmla="*/ 420 w 1906"/>
                              <a:gd name="T23" fmla="*/ 1262 h 1903"/>
                              <a:gd name="T24" fmla="*/ 757 w 1906"/>
                              <a:gd name="T25" fmla="*/ 758 h 1903"/>
                              <a:gd name="T26" fmla="*/ 1262 w 1906"/>
                              <a:gd name="T27" fmla="*/ 420 h 1903"/>
                              <a:gd name="T28" fmla="*/ 1857 w 1906"/>
                              <a:gd name="T29" fmla="*/ 301 h 1903"/>
                              <a:gd name="T30" fmla="*/ 1858 w 1906"/>
                              <a:gd name="T31" fmla="*/ 301 h 1903"/>
                              <a:gd name="T32" fmla="*/ 1906 w 1906"/>
                              <a:gd name="T33" fmla="*/ 302 h 1903"/>
                              <a:gd name="T34" fmla="*/ 1906 w 1906"/>
                              <a:gd name="T35" fmla="*/ 1 h 1903"/>
                              <a:gd name="T36" fmla="*/ 1858 w 1906"/>
                              <a:gd name="T37" fmla="*/ 0 h 1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906" h="1903">
                                <a:moveTo>
                                  <a:pt x="1858" y="0"/>
                                </a:moveTo>
                                <a:cubicBezTo>
                                  <a:pt x="1857" y="0"/>
                                  <a:pt x="1857" y="0"/>
                                  <a:pt x="1857" y="0"/>
                                </a:cubicBezTo>
                                <a:cubicBezTo>
                                  <a:pt x="1606" y="0"/>
                                  <a:pt x="1366" y="50"/>
                                  <a:pt x="1147" y="142"/>
                                </a:cubicBezTo>
                                <a:cubicBezTo>
                                  <a:pt x="920" y="236"/>
                                  <a:pt x="716" y="374"/>
                                  <a:pt x="544" y="545"/>
                                </a:cubicBezTo>
                                <a:cubicBezTo>
                                  <a:pt x="373" y="716"/>
                                  <a:pt x="236" y="920"/>
                                  <a:pt x="141" y="1147"/>
                                </a:cubicBezTo>
                                <a:cubicBezTo>
                                  <a:pt x="50" y="1366"/>
                                  <a:pt x="0" y="1606"/>
                                  <a:pt x="0" y="1858"/>
                                </a:cubicBezTo>
                                <a:cubicBezTo>
                                  <a:pt x="0" y="1858"/>
                                  <a:pt x="0" y="1858"/>
                                  <a:pt x="0" y="1858"/>
                                </a:cubicBezTo>
                                <a:cubicBezTo>
                                  <a:pt x="0" y="1873"/>
                                  <a:pt x="0" y="1888"/>
                                  <a:pt x="0" y="1903"/>
                                </a:cubicBezTo>
                                <a:cubicBezTo>
                                  <a:pt x="302" y="1903"/>
                                  <a:pt x="302" y="1903"/>
                                  <a:pt x="302" y="1903"/>
                                </a:cubicBezTo>
                                <a:cubicBezTo>
                                  <a:pt x="301" y="1888"/>
                                  <a:pt x="301" y="1873"/>
                                  <a:pt x="301" y="1858"/>
                                </a:cubicBezTo>
                                <a:cubicBezTo>
                                  <a:pt x="301" y="1858"/>
                                  <a:pt x="301" y="1858"/>
                                  <a:pt x="301" y="1858"/>
                                </a:cubicBezTo>
                                <a:cubicBezTo>
                                  <a:pt x="301" y="1647"/>
                                  <a:pt x="343" y="1446"/>
                                  <a:pt x="420" y="1262"/>
                                </a:cubicBezTo>
                                <a:cubicBezTo>
                                  <a:pt x="499" y="1072"/>
                                  <a:pt x="614" y="901"/>
                                  <a:pt x="757" y="758"/>
                                </a:cubicBezTo>
                                <a:cubicBezTo>
                                  <a:pt x="901" y="614"/>
                                  <a:pt x="1072" y="499"/>
                                  <a:pt x="1262" y="420"/>
                                </a:cubicBezTo>
                                <a:cubicBezTo>
                                  <a:pt x="1445" y="344"/>
                                  <a:pt x="1647" y="301"/>
                                  <a:pt x="1857" y="301"/>
                                </a:cubicBezTo>
                                <a:cubicBezTo>
                                  <a:pt x="1858" y="301"/>
                                  <a:pt x="1858" y="301"/>
                                  <a:pt x="1858" y="301"/>
                                </a:cubicBezTo>
                                <a:cubicBezTo>
                                  <a:pt x="1874" y="301"/>
                                  <a:pt x="1890" y="301"/>
                                  <a:pt x="1906" y="302"/>
                                </a:cubicBezTo>
                                <a:cubicBezTo>
                                  <a:pt x="1906" y="1"/>
                                  <a:pt x="1906" y="1"/>
                                  <a:pt x="1906" y="1"/>
                                </a:cubicBezTo>
                                <a:cubicBezTo>
                                  <a:pt x="1890" y="0"/>
                                  <a:pt x="1874" y="0"/>
                                  <a:pt x="1858" y="0"/>
                                </a:cubicBez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Freeform 7"/>
                        <wps:cNvSpPr>
                          <a:spLocks/>
                        </wps:cNvSpPr>
                        <wps:spPr bwMode="auto">
                          <a:xfrm>
                            <a:off x="1679" y="828"/>
                            <a:ext cx="2599" cy="1795"/>
                          </a:xfrm>
                          <a:custGeom>
                            <a:avLst/>
                            <a:gdLst>
                              <a:gd name="T0" fmla="*/ 1315 w 1363"/>
                              <a:gd name="T1" fmla="*/ 0 h 944"/>
                              <a:gd name="T2" fmla="*/ 1314 w 1363"/>
                              <a:gd name="T3" fmla="*/ 0 h 944"/>
                              <a:gd name="T4" fmla="*/ 770 w 1363"/>
                              <a:gd name="T5" fmla="*/ 108 h 944"/>
                              <a:gd name="T6" fmla="*/ 309 w 1363"/>
                              <a:gd name="T7" fmla="*/ 417 h 944"/>
                              <a:gd name="T8" fmla="*/ 0 w 1363"/>
                              <a:gd name="T9" fmla="*/ 878 h 944"/>
                              <a:gd name="T10" fmla="*/ 159 w 1363"/>
                              <a:gd name="T11" fmla="*/ 944 h 944"/>
                              <a:gd name="T12" fmla="*/ 431 w 1363"/>
                              <a:gd name="T13" fmla="*/ 539 h 944"/>
                              <a:gd name="T14" fmla="*/ 836 w 1363"/>
                              <a:gd name="T15" fmla="*/ 268 h 944"/>
                              <a:gd name="T16" fmla="*/ 1314 w 1363"/>
                              <a:gd name="T17" fmla="*/ 172 h 944"/>
                              <a:gd name="T18" fmla="*/ 1315 w 1363"/>
                              <a:gd name="T19" fmla="*/ 172 h 944"/>
                              <a:gd name="T20" fmla="*/ 1363 w 1363"/>
                              <a:gd name="T21" fmla="*/ 173 h 944"/>
                              <a:gd name="T22" fmla="*/ 1363 w 1363"/>
                              <a:gd name="T23" fmla="*/ 0 h 944"/>
                              <a:gd name="T24" fmla="*/ 1315 w 1363"/>
                              <a:gd name="T25" fmla="*/ 0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63" h="944">
                                <a:moveTo>
                                  <a:pt x="1315" y="0"/>
                                </a:moveTo>
                                <a:cubicBezTo>
                                  <a:pt x="1314" y="0"/>
                                  <a:pt x="1314" y="0"/>
                                  <a:pt x="1314" y="0"/>
                                </a:cubicBezTo>
                                <a:cubicBezTo>
                                  <a:pt x="1122" y="0"/>
                                  <a:pt x="938" y="39"/>
                                  <a:pt x="770" y="108"/>
                                </a:cubicBezTo>
                                <a:cubicBezTo>
                                  <a:pt x="596" y="181"/>
                                  <a:pt x="440" y="286"/>
                                  <a:pt x="309" y="417"/>
                                </a:cubicBezTo>
                                <a:cubicBezTo>
                                  <a:pt x="178" y="548"/>
                                  <a:pt x="72" y="705"/>
                                  <a:pt x="0" y="878"/>
                                </a:cubicBezTo>
                                <a:cubicBezTo>
                                  <a:pt x="159" y="944"/>
                                  <a:pt x="159" y="944"/>
                                  <a:pt x="159" y="944"/>
                                </a:cubicBezTo>
                                <a:cubicBezTo>
                                  <a:pt x="223" y="792"/>
                                  <a:pt x="315" y="654"/>
                                  <a:pt x="431" y="539"/>
                                </a:cubicBezTo>
                                <a:cubicBezTo>
                                  <a:pt x="546" y="424"/>
                                  <a:pt x="683" y="331"/>
                                  <a:pt x="836" y="268"/>
                                </a:cubicBezTo>
                                <a:cubicBezTo>
                                  <a:pt x="984" y="206"/>
                                  <a:pt x="1145" y="172"/>
                                  <a:pt x="1314" y="172"/>
                                </a:cubicBezTo>
                                <a:cubicBezTo>
                                  <a:pt x="1315" y="172"/>
                                  <a:pt x="1315" y="172"/>
                                  <a:pt x="1315" y="172"/>
                                </a:cubicBezTo>
                                <a:cubicBezTo>
                                  <a:pt x="1331" y="172"/>
                                  <a:pt x="1347" y="173"/>
                                  <a:pt x="1363" y="173"/>
                                </a:cubicBezTo>
                                <a:cubicBezTo>
                                  <a:pt x="1363" y="0"/>
                                  <a:pt x="1363" y="0"/>
                                  <a:pt x="1363" y="0"/>
                                </a:cubicBezTo>
                                <a:cubicBezTo>
                                  <a:pt x="1347" y="0"/>
                                  <a:pt x="1331" y="0"/>
                                  <a:pt x="1315" y="0"/>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18" name="Rectangle 23"/>
                      <wps:cNvSpPr/>
                      <wps:spPr>
                        <a:xfrm>
                          <a:off x="6923315" y="5840963"/>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4D51C4" id="Group 13" o:spid="_x0000_s1026" style="position:absolute;margin-left:522.25pt;margin-top:0;width:573.45pt;height:488.15pt;z-index:251658243;mso-position-horizontal:right;mso-position-horizontal-relative:page;mso-position-vertical:bottom;mso-position-vertical-relative:page;mso-width-relative:margin;mso-height-relative:margin" coordsize="72833,6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">
              <v:group id="Group 4" o:spid="_x0000_s1027" style="position:absolute;width:71214;height:60266" coordsize="427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5" o:spid="_x0000_s1028" style="position:absolute;top:582;width:1506;height:3038;visibility:visible;mso-wrap-style:square;v-text-anchor:top" coordsize="790,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" path="m359,791c460,548,607,329,790,146,644,,644,,644,,442,202,279,444,167,712,60,971,,1254,,1552v,,,,,c,1567,,1582,,1597v208,,208,,208,c207,1582,207,1567,207,1552v,,,,,c207,1282,261,1025,359,791xe" fillcolor="#4986a0 [3215]" stroked="f">
                  <v:path arrowok="t" o:connecttype="custom" o:connectlocs="684,1505;1506,278;1228,0;318,1354;0,2952;0,2952;0,3038;397,3038;395,2952;395,2952;684,1505" o:connectangles="0,0,0,0,0,0,0,0,0,0,0"/>
                </v:shape>
                <v:shape id="Freeform 6" o:spid="_x0000_s1029" style="position:absolute;left:644;width:3634;height:3620;visibility:visible;mso-wrap-style:square;v-text-anchor:top" coordsize="1906,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" path="m1858,v-1,,-1,,-1,c1606,,1366,50,1147,142,920,236,716,374,544,545,373,716,236,920,141,1147,50,1366,,1606,,1858v,,,,,c,1873,,1888,,1903v302,,302,,302,c301,1888,301,1873,301,1858v,,,,,c301,1647,343,1446,420,1262,499,1072,614,901,757,758,901,614,1072,499,1262,420v183,-76,385,-119,595,-119c1858,301,1858,301,1858,301v16,,32,,48,1c1906,1,1906,1,1906,1,1890,,1874,,1858,xe" fillcolor="#8cb8cb [1951]" stroked="f">
                  <v:path arrowok="t" o:connecttype="custom" o:connectlocs="3542,0;3541,0;2187,270;1037,1037;269,2182;0,3534;0,3534;0,3620;576,3620;574,3534;574,3534;801,2401;1443,1442;2406,799;3541,573;3542,573;3634,574;3634,2;3542,0" o:connectangles="0,0,0,0,0,0,0,0,0,0,0,0,0,0,0,0,0,0,0"/>
                </v:shape>
                <v:shape id="Freeform 7" o:spid="_x0000_s1030" style="position:absolute;left:1679;top:828;width:2599;height:1795;visibility:visible;mso-wrap-style:square;v-text-anchor:top" coordsize="136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" path="m1315,v-1,,-1,,-1,c1122,,938,39,770,108,596,181,440,286,309,417,178,548,72,705,,878v159,66,159,66,159,66c223,792,315,654,431,539,546,424,683,331,836,268v148,-62,309,-96,478,-96c1315,172,1315,172,1315,172v16,,32,1,48,1c1363,,1363,,1363,v-16,,-32,,-48,xe" fillcolor="#ce0058 [3205]" stroked="f">
                  <v:path arrowok="t" o:connecttype="custom" o:connectlocs="2507,0;2506,0;1468,205;589,793;0,1670;303,1795;822,1025;1594,510;2506,327;2507,327;2599,329;2599,0;2507,0" o:connectangles="0,0,0,0,0,0,0,0,0,0,0,0,0"/>
                </v:shape>
              </v:group>
              <v:rect id="Rectangle 23" o:spid="_x0000_s1031" style="position:absolute;left:69233;top:58409;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" filled="f" stroked="f" strokeweight="1pt"/>
              <w10:wrap anchorx="page" anchory="page"/>
              <w10:anchorlock/>
            </v:group>
          </w:pict>
        </mc:Fallback>
      </mc:AlternateContent>
    </w:r>
    <w:r w:rsidRPr="00EA47A3">
      <w:rPr>
        <w:noProof/>
        <w:lang w:eastAsia="en-AU"/>
      </w:rPr>
      <w:drawing>
        <wp:anchor distT="0" distB="431800" distL="114300" distR="114300" simplePos="0" relativeHeight="251658242" behindDoc="1" locked="1" layoutInCell="1" allowOverlap="1" wp14:anchorId="3F8CCD81" wp14:editId="17B49712">
          <wp:simplePos x="0" y="0"/>
          <wp:positionH relativeFrom="page">
            <wp:posOffset>720090</wp:posOffset>
          </wp:positionH>
          <wp:positionV relativeFrom="page">
            <wp:posOffset>720090</wp:posOffset>
          </wp:positionV>
          <wp:extent cx="2656800" cy="828000"/>
          <wp:effectExtent l="0" t="0" r="0" b="0"/>
          <wp:wrapTopAndBottom/>
          <wp:docPr id="826194707" name="Picture 826194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68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6C146" w14:textId="1C77476F" w:rsidR="00E808E0" w:rsidRDefault="00E808E0">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5846D" w14:textId="20DDCBBE" w:rsidR="00E808E0" w:rsidRDefault="00E808E0">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BDC7" w14:textId="357CBC5D" w:rsidR="00E808E0" w:rsidRDefault="00E808E0">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A49C" w14:textId="0D531421" w:rsidR="00E808E0" w:rsidRDefault="00E808E0">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B4B0C" w14:textId="26FC3B54" w:rsidR="00E808E0" w:rsidRDefault="00E808E0">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2F89" w14:textId="47E761AF" w:rsidR="00E808E0" w:rsidRDefault="00E808E0">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CE158" w14:textId="129B63AC" w:rsidR="00E808E0" w:rsidRDefault="00E808E0">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D292A" w14:textId="4737EF62" w:rsidR="00E808E0" w:rsidRDefault="00E808E0">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FC2F" w14:textId="61EB4000" w:rsidR="007D0EE0" w:rsidRDefault="007D0EE0">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32968" w14:textId="190321EF" w:rsidR="007D0EE0" w:rsidRDefault="007D0E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C6572" w14:textId="4408A2A8" w:rsidR="003A30F3" w:rsidRDefault="00D86896" w:rsidP="007C7E2D">
    <w:pPr>
      <w:pStyle w:val="Header"/>
      <w:tabs>
        <w:tab w:val="clear" w:pos="4680"/>
        <w:tab w:val="clear" w:pos="9360"/>
        <w:tab w:val="left" w:pos="2236"/>
      </w:tabs>
    </w:pPr>
    <w:r>
      <w:rPr>
        <w:noProof/>
        <w:lang w:eastAsia="en-AU"/>
      </w:rPr>
      <mc:AlternateContent>
        <mc:Choice Requires="wps">
          <w:drawing>
            <wp:anchor distT="0" distB="0" distL="0" distR="0" simplePos="0" relativeHeight="251658244" behindDoc="0" locked="0" layoutInCell="1" allowOverlap="1" wp14:anchorId="34EE1A37" wp14:editId="2BA9ED86">
              <wp:simplePos x="635" y="635"/>
              <wp:positionH relativeFrom="page">
                <wp:align>center</wp:align>
              </wp:positionH>
              <wp:positionV relativeFrom="page">
                <wp:align>top</wp:align>
              </wp:positionV>
              <wp:extent cx="551815" cy="552450"/>
              <wp:effectExtent l="0" t="0" r="635" b="0"/>
              <wp:wrapNone/>
              <wp:docPr id="172203896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7F22599B" w14:textId="63D48252" w:rsidR="00D86896" w:rsidRPr="00D86896" w:rsidRDefault="00D86896" w:rsidP="00D86896">
                          <w:pPr>
                            <w:spacing w:after="0"/>
                            <w:rPr>
                              <w:rFonts w:ascii="Calibri" w:eastAsia="Calibri" w:hAnsi="Calibri" w:cs="Calibri"/>
                              <w:noProof/>
                              <w:color w:val="FF0000"/>
                              <w:sz w:val="24"/>
                              <w:szCs w:val="24"/>
                            </w:rPr>
                          </w:pPr>
                          <w:r w:rsidRPr="00D8689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EE1A37" id="_x0000_t202" coordsize="21600,21600" o:spt="202" path="m,l,21600r21600,l21600,xe">
              <v:stroke joinstyle="miter"/>
              <v:path gradientshapeok="t" o:connecttype="rect"/>
            </v:shapetype>
            <v:shape id="Text Box 1" o:spid="_x0000_s1027" type="#_x0000_t202" alt="OFFICIAL" style="position:absolute;margin-left:0;margin-top:0;width:43.45pt;height:43.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" filled="f" stroked="f">
              <v:textbox style="mso-fit-shape-to-text:t" inset="0,15pt,0,0">
                <w:txbxContent>
                  <w:p w14:paraId="7F22599B" w14:textId="63D48252" w:rsidR="00D86896" w:rsidRPr="00D86896" w:rsidRDefault="00D86896" w:rsidP="00D86896">
                    <w:pPr>
                      <w:spacing w:after="0"/>
                      <w:rPr>
                        <w:rFonts w:ascii="Calibri" w:eastAsia="Calibri" w:hAnsi="Calibri" w:cs="Calibri"/>
                        <w:noProof/>
                        <w:color w:val="FF0000"/>
                        <w:sz w:val="24"/>
                        <w:szCs w:val="24"/>
                      </w:rPr>
                    </w:pPr>
                    <w:r w:rsidRPr="00D86896">
                      <w:rPr>
                        <w:rFonts w:ascii="Calibri" w:eastAsia="Calibri" w:hAnsi="Calibri" w:cs="Calibri"/>
                        <w:noProof/>
                        <w:color w:val="FF0000"/>
                        <w:sz w:val="24"/>
                        <w:szCs w:val="24"/>
                      </w:rPr>
                      <w:t>OFFICIAL</w:t>
                    </w:r>
                  </w:p>
                </w:txbxContent>
              </v:textbox>
              <w10:wrap anchorx="page" anchory="page"/>
            </v:shape>
          </w:pict>
        </mc:Fallback>
      </mc:AlternateContent>
    </w:r>
    <w:r w:rsidR="003A30F3">
      <w:rPr>
        <w:noProof/>
        <w:lang w:eastAsia="en-AU"/>
      </w:rPr>
      <mc:AlternateContent>
        <mc:Choice Requires="wpg">
          <w:drawing>
            <wp:anchor distT="0" distB="0" distL="114300" distR="114300" simplePos="0" relativeHeight="251658241" behindDoc="0" locked="1" layoutInCell="1" allowOverlap="1" wp14:anchorId="061452C7" wp14:editId="54B84979">
              <wp:simplePos x="0" y="0"/>
              <wp:positionH relativeFrom="page">
                <wp:align>right</wp:align>
              </wp:positionH>
              <wp:positionV relativeFrom="page">
                <wp:align>bottom</wp:align>
              </wp:positionV>
              <wp:extent cx="7282800" cy="6199200"/>
              <wp:effectExtent l="0" t="0" r="0" b="0"/>
              <wp:wrapNone/>
              <wp:docPr id="29" name="Group 29"/>
              <wp:cNvGraphicFramePr/>
              <a:graphic xmlns:a="http://schemas.openxmlformats.org/drawingml/2006/main">
                <a:graphicData uri="http://schemas.microsoft.com/office/word/2010/wordprocessingGroup">
                  <wpg:wgp>
                    <wpg:cNvGrpSpPr/>
                    <wpg:grpSpPr>
                      <a:xfrm>
                        <a:off x="0" y="0"/>
                        <a:ext cx="7282800" cy="6199200"/>
                        <a:chOff x="0" y="0"/>
                        <a:chExt cx="7283315" cy="6200963"/>
                      </a:xfrm>
                    </wpg:grpSpPr>
                    <wpg:grpSp>
                      <wpg:cNvPr id="30" name="Group 4"/>
                      <wpg:cNvGrpSpPr/>
                      <wpg:grpSpPr bwMode="auto">
                        <a:xfrm>
                          <a:off x="0" y="0"/>
                          <a:ext cx="7121457" cy="6026668"/>
                          <a:chOff x="0" y="0"/>
                          <a:chExt cx="4278" cy="3620"/>
                        </a:xfrm>
                      </wpg:grpSpPr>
                      <wps:wsp>
                        <wps:cNvPr id="31" name="Freeform 5"/>
                        <wps:cNvSpPr>
                          <a:spLocks/>
                        </wps:cNvSpPr>
                        <wps:spPr bwMode="auto">
                          <a:xfrm>
                            <a:off x="0" y="582"/>
                            <a:ext cx="1506" cy="3038"/>
                          </a:xfrm>
                          <a:custGeom>
                            <a:avLst/>
                            <a:gdLst>
                              <a:gd name="T0" fmla="*/ 359 w 790"/>
                              <a:gd name="T1" fmla="*/ 791 h 1597"/>
                              <a:gd name="T2" fmla="*/ 790 w 790"/>
                              <a:gd name="T3" fmla="*/ 146 h 1597"/>
                              <a:gd name="T4" fmla="*/ 644 w 790"/>
                              <a:gd name="T5" fmla="*/ 0 h 1597"/>
                              <a:gd name="T6" fmla="*/ 167 w 790"/>
                              <a:gd name="T7" fmla="*/ 712 h 1597"/>
                              <a:gd name="T8" fmla="*/ 0 w 790"/>
                              <a:gd name="T9" fmla="*/ 1552 h 1597"/>
                              <a:gd name="T10" fmla="*/ 0 w 790"/>
                              <a:gd name="T11" fmla="*/ 1552 h 1597"/>
                              <a:gd name="T12" fmla="*/ 0 w 790"/>
                              <a:gd name="T13" fmla="*/ 1597 h 1597"/>
                              <a:gd name="T14" fmla="*/ 208 w 790"/>
                              <a:gd name="T15" fmla="*/ 1597 h 1597"/>
                              <a:gd name="T16" fmla="*/ 207 w 790"/>
                              <a:gd name="T17" fmla="*/ 1552 h 1597"/>
                              <a:gd name="T18" fmla="*/ 207 w 790"/>
                              <a:gd name="T19" fmla="*/ 1552 h 1597"/>
                              <a:gd name="T20" fmla="*/ 359 w 790"/>
                              <a:gd name="T21" fmla="*/ 791 h 1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90" h="1597">
                                <a:moveTo>
                                  <a:pt x="359" y="791"/>
                                </a:moveTo>
                                <a:cubicBezTo>
                                  <a:pt x="460" y="548"/>
                                  <a:pt x="607" y="329"/>
                                  <a:pt x="790" y="146"/>
                                </a:cubicBezTo>
                                <a:cubicBezTo>
                                  <a:pt x="644" y="0"/>
                                  <a:pt x="644" y="0"/>
                                  <a:pt x="644" y="0"/>
                                </a:cubicBezTo>
                                <a:cubicBezTo>
                                  <a:pt x="442" y="202"/>
                                  <a:pt x="279" y="444"/>
                                  <a:pt x="167" y="712"/>
                                </a:cubicBezTo>
                                <a:cubicBezTo>
                                  <a:pt x="60" y="971"/>
                                  <a:pt x="0" y="1254"/>
                                  <a:pt x="0" y="1552"/>
                                </a:cubicBezTo>
                                <a:cubicBezTo>
                                  <a:pt x="0" y="1552"/>
                                  <a:pt x="0" y="1552"/>
                                  <a:pt x="0" y="1552"/>
                                </a:cubicBezTo>
                                <a:cubicBezTo>
                                  <a:pt x="0" y="1567"/>
                                  <a:pt x="0" y="1582"/>
                                  <a:pt x="0" y="1597"/>
                                </a:cubicBezTo>
                                <a:cubicBezTo>
                                  <a:pt x="208" y="1597"/>
                                  <a:pt x="208" y="1597"/>
                                  <a:pt x="208" y="1597"/>
                                </a:cubicBezTo>
                                <a:cubicBezTo>
                                  <a:pt x="207" y="1582"/>
                                  <a:pt x="207" y="1567"/>
                                  <a:pt x="207" y="1552"/>
                                </a:cubicBezTo>
                                <a:cubicBezTo>
                                  <a:pt x="207" y="1552"/>
                                  <a:pt x="207" y="1552"/>
                                  <a:pt x="207" y="1552"/>
                                </a:cubicBezTo>
                                <a:cubicBezTo>
                                  <a:pt x="207" y="1282"/>
                                  <a:pt x="261" y="1025"/>
                                  <a:pt x="359" y="791"/>
                                </a:cubicBez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 name="Freeform 6"/>
                        <wps:cNvSpPr>
                          <a:spLocks/>
                        </wps:cNvSpPr>
                        <wps:spPr bwMode="auto">
                          <a:xfrm>
                            <a:off x="644" y="0"/>
                            <a:ext cx="3634" cy="3620"/>
                          </a:xfrm>
                          <a:custGeom>
                            <a:avLst/>
                            <a:gdLst>
                              <a:gd name="T0" fmla="*/ 1858 w 1906"/>
                              <a:gd name="T1" fmla="*/ 0 h 1903"/>
                              <a:gd name="T2" fmla="*/ 1857 w 1906"/>
                              <a:gd name="T3" fmla="*/ 0 h 1903"/>
                              <a:gd name="T4" fmla="*/ 1147 w 1906"/>
                              <a:gd name="T5" fmla="*/ 142 h 1903"/>
                              <a:gd name="T6" fmla="*/ 544 w 1906"/>
                              <a:gd name="T7" fmla="*/ 545 h 1903"/>
                              <a:gd name="T8" fmla="*/ 141 w 1906"/>
                              <a:gd name="T9" fmla="*/ 1147 h 1903"/>
                              <a:gd name="T10" fmla="*/ 0 w 1906"/>
                              <a:gd name="T11" fmla="*/ 1858 h 1903"/>
                              <a:gd name="T12" fmla="*/ 0 w 1906"/>
                              <a:gd name="T13" fmla="*/ 1858 h 1903"/>
                              <a:gd name="T14" fmla="*/ 0 w 1906"/>
                              <a:gd name="T15" fmla="*/ 1903 h 1903"/>
                              <a:gd name="T16" fmla="*/ 302 w 1906"/>
                              <a:gd name="T17" fmla="*/ 1903 h 1903"/>
                              <a:gd name="T18" fmla="*/ 301 w 1906"/>
                              <a:gd name="T19" fmla="*/ 1858 h 1903"/>
                              <a:gd name="T20" fmla="*/ 301 w 1906"/>
                              <a:gd name="T21" fmla="*/ 1858 h 1903"/>
                              <a:gd name="T22" fmla="*/ 420 w 1906"/>
                              <a:gd name="T23" fmla="*/ 1262 h 1903"/>
                              <a:gd name="T24" fmla="*/ 757 w 1906"/>
                              <a:gd name="T25" fmla="*/ 758 h 1903"/>
                              <a:gd name="T26" fmla="*/ 1262 w 1906"/>
                              <a:gd name="T27" fmla="*/ 420 h 1903"/>
                              <a:gd name="T28" fmla="*/ 1857 w 1906"/>
                              <a:gd name="T29" fmla="*/ 301 h 1903"/>
                              <a:gd name="T30" fmla="*/ 1858 w 1906"/>
                              <a:gd name="T31" fmla="*/ 301 h 1903"/>
                              <a:gd name="T32" fmla="*/ 1906 w 1906"/>
                              <a:gd name="T33" fmla="*/ 302 h 1903"/>
                              <a:gd name="T34" fmla="*/ 1906 w 1906"/>
                              <a:gd name="T35" fmla="*/ 1 h 1903"/>
                              <a:gd name="T36" fmla="*/ 1858 w 1906"/>
                              <a:gd name="T37" fmla="*/ 0 h 1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906" h="1903">
                                <a:moveTo>
                                  <a:pt x="1858" y="0"/>
                                </a:moveTo>
                                <a:cubicBezTo>
                                  <a:pt x="1857" y="0"/>
                                  <a:pt x="1857" y="0"/>
                                  <a:pt x="1857" y="0"/>
                                </a:cubicBezTo>
                                <a:cubicBezTo>
                                  <a:pt x="1606" y="0"/>
                                  <a:pt x="1366" y="50"/>
                                  <a:pt x="1147" y="142"/>
                                </a:cubicBezTo>
                                <a:cubicBezTo>
                                  <a:pt x="920" y="236"/>
                                  <a:pt x="716" y="374"/>
                                  <a:pt x="544" y="545"/>
                                </a:cubicBezTo>
                                <a:cubicBezTo>
                                  <a:pt x="373" y="716"/>
                                  <a:pt x="236" y="920"/>
                                  <a:pt x="141" y="1147"/>
                                </a:cubicBezTo>
                                <a:cubicBezTo>
                                  <a:pt x="50" y="1366"/>
                                  <a:pt x="0" y="1606"/>
                                  <a:pt x="0" y="1858"/>
                                </a:cubicBezTo>
                                <a:cubicBezTo>
                                  <a:pt x="0" y="1858"/>
                                  <a:pt x="0" y="1858"/>
                                  <a:pt x="0" y="1858"/>
                                </a:cubicBezTo>
                                <a:cubicBezTo>
                                  <a:pt x="0" y="1873"/>
                                  <a:pt x="0" y="1888"/>
                                  <a:pt x="0" y="1903"/>
                                </a:cubicBezTo>
                                <a:cubicBezTo>
                                  <a:pt x="302" y="1903"/>
                                  <a:pt x="302" y="1903"/>
                                  <a:pt x="302" y="1903"/>
                                </a:cubicBezTo>
                                <a:cubicBezTo>
                                  <a:pt x="301" y="1888"/>
                                  <a:pt x="301" y="1873"/>
                                  <a:pt x="301" y="1858"/>
                                </a:cubicBezTo>
                                <a:cubicBezTo>
                                  <a:pt x="301" y="1858"/>
                                  <a:pt x="301" y="1858"/>
                                  <a:pt x="301" y="1858"/>
                                </a:cubicBezTo>
                                <a:cubicBezTo>
                                  <a:pt x="301" y="1647"/>
                                  <a:pt x="343" y="1446"/>
                                  <a:pt x="420" y="1262"/>
                                </a:cubicBezTo>
                                <a:cubicBezTo>
                                  <a:pt x="499" y="1072"/>
                                  <a:pt x="614" y="901"/>
                                  <a:pt x="757" y="758"/>
                                </a:cubicBezTo>
                                <a:cubicBezTo>
                                  <a:pt x="901" y="614"/>
                                  <a:pt x="1072" y="499"/>
                                  <a:pt x="1262" y="420"/>
                                </a:cubicBezTo>
                                <a:cubicBezTo>
                                  <a:pt x="1445" y="344"/>
                                  <a:pt x="1647" y="301"/>
                                  <a:pt x="1857" y="301"/>
                                </a:cubicBezTo>
                                <a:cubicBezTo>
                                  <a:pt x="1858" y="301"/>
                                  <a:pt x="1858" y="301"/>
                                  <a:pt x="1858" y="301"/>
                                </a:cubicBezTo>
                                <a:cubicBezTo>
                                  <a:pt x="1874" y="301"/>
                                  <a:pt x="1890" y="301"/>
                                  <a:pt x="1906" y="302"/>
                                </a:cubicBezTo>
                                <a:cubicBezTo>
                                  <a:pt x="1906" y="1"/>
                                  <a:pt x="1906" y="1"/>
                                  <a:pt x="1906" y="1"/>
                                </a:cubicBezTo>
                                <a:cubicBezTo>
                                  <a:pt x="1890" y="0"/>
                                  <a:pt x="1874" y="0"/>
                                  <a:pt x="1858" y="0"/>
                                </a:cubicBez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Freeform 7"/>
                        <wps:cNvSpPr>
                          <a:spLocks/>
                        </wps:cNvSpPr>
                        <wps:spPr bwMode="auto">
                          <a:xfrm>
                            <a:off x="1679" y="828"/>
                            <a:ext cx="2599" cy="1795"/>
                          </a:xfrm>
                          <a:custGeom>
                            <a:avLst/>
                            <a:gdLst>
                              <a:gd name="T0" fmla="*/ 1315 w 1363"/>
                              <a:gd name="T1" fmla="*/ 0 h 944"/>
                              <a:gd name="T2" fmla="*/ 1314 w 1363"/>
                              <a:gd name="T3" fmla="*/ 0 h 944"/>
                              <a:gd name="T4" fmla="*/ 770 w 1363"/>
                              <a:gd name="T5" fmla="*/ 108 h 944"/>
                              <a:gd name="T6" fmla="*/ 309 w 1363"/>
                              <a:gd name="T7" fmla="*/ 417 h 944"/>
                              <a:gd name="T8" fmla="*/ 0 w 1363"/>
                              <a:gd name="T9" fmla="*/ 878 h 944"/>
                              <a:gd name="T10" fmla="*/ 159 w 1363"/>
                              <a:gd name="T11" fmla="*/ 944 h 944"/>
                              <a:gd name="T12" fmla="*/ 431 w 1363"/>
                              <a:gd name="T13" fmla="*/ 539 h 944"/>
                              <a:gd name="T14" fmla="*/ 836 w 1363"/>
                              <a:gd name="T15" fmla="*/ 268 h 944"/>
                              <a:gd name="T16" fmla="*/ 1314 w 1363"/>
                              <a:gd name="T17" fmla="*/ 172 h 944"/>
                              <a:gd name="T18" fmla="*/ 1315 w 1363"/>
                              <a:gd name="T19" fmla="*/ 172 h 944"/>
                              <a:gd name="T20" fmla="*/ 1363 w 1363"/>
                              <a:gd name="T21" fmla="*/ 173 h 944"/>
                              <a:gd name="T22" fmla="*/ 1363 w 1363"/>
                              <a:gd name="T23" fmla="*/ 0 h 944"/>
                              <a:gd name="T24" fmla="*/ 1315 w 1363"/>
                              <a:gd name="T25" fmla="*/ 0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63" h="944">
                                <a:moveTo>
                                  <a:pt x="1315" y="0"/>
                                </a:moveTo>
                                <a:cubicBezTo>
                                  <a:pt x="1314" y="0"/>
                                  <a:pt x="1314" y="0"/>
                                  <a:pt x="1314" y="0"/>
                                </a:cubicBezTo>
                                <a:cubicBezTo>
                                  <a:pt x="1122" y="0"/>
                                  <a:pt x="938" y="39"/>
                                  <a:pt x="770" y="108"/>
                                </a:cubicBezTo>
                                <a:cubicBezTo>
                                  <a:pt x="596" y="181"/>
                                  <a:pt x="440" y="286"/>
                                  <a:pt x="309" y="417"/>
                                </a:cubicBezTo>
                                <a:cubicBezTo>
                                  <a:pt x="178" y="548"/>
                                  <a:pt x="72" y="705"/>
                                  <a:pt x="0" y="878"/>
                                </a:cubicBezTo>
                                <a:cubicBezTo>
                                  <a:pt x="159" y="944"/>
                                  <a:pt x="159" y="944"/>
                                  <a:pt x="159" y="944"/>
                                </a:cubicBezTo>
                                <a:cubicBezTo>
                                  <a:pt x="223" y="792"/>
                                  <a:pt x="315" y="654"/>
                                  <a:pt x="431" y="539"/>
                                </a:cubicBezTo>
                                <a:cubicBezTo>
                                  <a:pt x="546" y="424"/>
                                  <a:pt x="683" y="331"/>
                                  <a:pt x="836" y="268"/>
                                </a:cubicBezTo>
                                <a:cubicBezTo>
                                  <a:pt x="984" y="206"/>
                                  <a:pt x="1145" y="172"/>
                                  <a:pt x="1314" y="172"/>
                                </a:cubicBezTo>
                                <a:cubicBezTo>
                                  <a:pt x="1315" y="172"/>
                                  <a:pt x="1315" y="172"/>
                                  <a:pt x="1315" y="172"/>
                                </a:cubicBezTo>
                                <a:cubicBezTo>
                                  <a:pt x="1331" y="172"/>
                                  <a:pt x="1347" y="173"/>
                                  <a:pt x="1363" y="173"/>
                                </a:cubicBezTo>
                                <a:cubicBezTo>
                                  <a:pt x="1363" y="0"/>
                                  <a:pt x="1363" y="0"/>
                                  <a:pt x="1363" y="0"/>
                                </a:cubicBezTo>
                                <a:cubicBezTo>
                                  <a:pt x="1347" y="0"/>
                                  <a:pt x="1331" y="0"/>
                                  <a:pt x="1315" y="0"/>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34" name="Rectangle 23"/>
                      <wps:cNvSpPr/>
                      <wps:spPr>
                        <a:xfrm>
                          <a:off x="6923315" y="5840963"/>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clsh="http://schemas.microsoft.com/office/drawing/2020/classificationShape" xmlns:a14="http://schemas.microsoft.com/office/drawing/2010/main" xmlns:pic="http://schemas.openxmlformats.org/drawingml/2006/picture">
          <w:pict w14:anchorId="00204399">
            <v:group id="Group 29" style="position:absolute;margin-left:522.25pt;margin-top:0;width:573.45pt;height:488.15pt;z-index:251658241;mso-position-horizontal:right;mso-position-horizontal-relative:page;mso-position-vertical:bottom;mso-position-vertical-relative:page;mso-width-relative:margin;mso-height-relative:margin" coordsize="72833,62009" o:spid="_x0000_s1026" w14:anchorId="12B925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">
              <v:group id="Group 4" style="position:absolute;width:71214;height:60266" coordsize="4278,362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5" style="position:absolute;top:582;width:1506;height:3038;visibility:visible;mso-wrap-style:square;v-text-anchor:top" coordsize="790,1597" o:spid="_x0000_s1028" fillcolor="#4986a0 [3215]" stroked="f" path="m359,791c460,548,607,329,790,146,644,,644,,644,,442,202,279,444,167,712,60,971,,1254,,1552v,,,,,c,1567,,1582,,1597v208,,208,,208,c207,1582,207,1567,207,1552v,,,,,c207,1282,261,1025,359,7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">
                  <v:path arrowok="t" o:connecttype="custom" o:connectlocs="684,1505;1506,278;1228,0;318,1354;0,2952;0,2952;0,3038;397,3038;395,2952;395,2952;684,1505" o:connectangles="0,0,0,0,0,0,0,0,0,0,0"/>
                </v:shape>
                <v:shape id="Freeform 6" style="position:absolute;left:644;width:3634;height:3620;visibility:visible;mso-wrap-style:square;v-text-anchor:top" coordsize="1906,1903" o:spid="_x0000_s1029" fillcolor="#8cb8cb [1951]" stroked="f" path="m1858,v-1,,-1,,-1,c1606,,1366,50,1147,142,920,236,716,374,544,545,373,716,236,920,141,1147,50,1366,,1606,,1858v,,,,,c,1873,,1888,,1903v302,,302,,302,c301,1888,301,1873,301,1858v,,,,,c301,1647,343,1446,420,1262,499,1072,614,901,757,758,901,614,1072,499,1262,420v183,-76,385,-119,595,-119c1858,301,1858,301,1858,301v16,,32,,48,1c1906,1,1906,1,1906,1,1890,,1874,,18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">
                  <v:path arrowok="t" o:connecttype="custom" o:connectlocs="3542,0;3541,0;2187,270;1037,1037;269,2182;0,3534;0,3534;0,3620;576,3620;574,3534;574,3534;801,2401;1443,1442;2406,799;3541,573;3542,573;3634,574;3634,2;3542,0" o:connectangles="0,0,0,0,0,0,0,0,0,0,0,0,0,0,0,0,0,0,0"/>
                </v:shape>
                <v:shape id="Freeform 7" style="position:absolute;left:1679;top:828;width:2599;height:1795;visibility:visible;mso-wrap-style:square;v-text-anchor:top" coordsize="1363,944" o:spid="_x0000_s1030" fillcolor="#ed8b00 [3207]" stroked="f" path="m1315,v-1,,-1,,-1,c1122,,938,39,770,108,596,181,440,286,309,417,178,548,72,705,,878v159,66,159,66,159,66c223,792,315,654,431,539,546,424,683,331,836,268v148,-62,309,-96,478,-96c1315,172,1315,172,1315,172v16,,32,1,48,1c1363,,1363,,1363,v-16,,-3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">
                  <v:path arrowok="t" o:connecttype="custom" o:connectlocs="2507,0;2506,0;1468,205;589,793;0,1670;303,1795;822,1025;1594,510;2506,327;2507,327;2599,329;2599,0;2507,0" o:connectangles="0,0,0,0,0,0,0,0,0,0,0,0,0"/>
                </v:shape>
              </v:group>
              <v:rect id="Rectangle 23" style="position:absolute;left:69233;top:58409;width:3600;height:3600;visibility:visible;mso-wrap-style:square;v-text-anchor:middle" o:spid="_x0000_s1031"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"/>
              <w10:wrap anchorx="page" anchory="page"/>
              <w10:anchorlock/>
            </v:group>
          </w:pict>
        </mc:Fallback>
      </mc:AlternateContent>
    </w:r>
    <w:r w:rsidR="003A30F3" w:rsidRPr="00EA47A3">
      <w:rPr>
        <w:noProof/>
        <w:lang w:eastAsia="en-AU"/>
      </w:rPr>
      <w:drawing>
        <wp:anchor distT="0" distB="431800" distL="114300" distR="114300" simplePos="0" relativeHeight="251658240" behindDoc="1" locked="1" layoutInCell="1" allowOverlap="1" wp14:anchorId="3CE7951A" wp14:editId="1B4FE0BD">
          <wp:simplePos x="0" y="0"/>
          <wp:positionH relativeFrom="page">
            <wp:posOffset>720090</wp:posOffset>
          </wp:positionH>
          <wp:positionV relativeFrom="page">
            <wp:posOffset>720090</wp:posOffset>
          </wp:positionV>
          <wp:extent cx="2656800" cy="828000"/>
          <wp:effectExtent l="0" t="0" r="0" b="0"/>
          <wp:wrapTopAndBottom/>
          <wp:docPr id="633040825" name="Picture 633040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6800" cy="828000"/>
                  </a:xfrm>
                  <a:prstGeom prst="rect">
                    <a:avLst/>
                  </a:prstGeom>
                </pic:spPr>
              </pic:pic>
            </a:graphicData>
          </a:graphic>
          <wp14:sizeRelH relativeFrom="margin">
            <wp14:pctWidth>0</wp14:pctWidth>
          </wp14:sizeRelH>
          <wp14:sizeRelV relativeFrom="margin">
            <wp14:pctHeight>0</wp14:pctHeight>
          </wp14:sizeRelV>
        </wp:anchor>
      </w:drawing>
    </w:r>
    <w:r w:rsidR="003A30F3">
      <w:tab/>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09EAD" w14:textId="6E4B82F1" w:rsidR="007D0EE0" w:rsidRDefault="007D0E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2A2DF" w14:textId="26548BC1" w:rsidR="00D86896" w:rsidRDefault="00D86896">
    <w:pPr>
      <w:pStyle w:val="Header"/>
    </w:pPr>
    <w:r>
      <w:rPr>
        <w:noProof/>
      </w:rPr>
      <mc:AlternateContent>
        <mc:Choice Requires="wps">
          <w:drawing>
            <wp:anchor distT="0" distB="0" distL="0" distR="0" simplePos="0" relativeHeight="251658248" behindDoc="0" locked="0" layoutInCell="1" allowOverlap="1" wp14:anchorId="78650CF6" wp14:editId="010D0503">
              <wp:simplePos x="635" y="635"/>
              <wp:positionH relativeFrom="page">
                <wp:align>center</wp:align>
              </wp:positionH>
              <wp:positionV relativeFrom="page">
                <wp:align>top</wp:align>
              </wp:positionV>
              <wp:extent cx="551815" cy="552450"/>
              <wp:effectExtent l="0" t="0" r="635" b="0"/>
              <wp:wrapNone/>
              <wp:docPr id="158496102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4C8A2DEE" w14:textId="6C10E265" w:rsidR="00D86896" w:rsidRPr="00D86896" w:rsidRDefault="00D86896" w:rsidP="00D86896">
                          <w:pPr>
                            <w:spacing w:after="0"/>
                            <w:rPr>
                              <w:rFonts w:ascii="Calibri" w:eastAsia="Calibri" w:hAnsi="Calibri" w:cs="Calibri"/>
                              <w:noProof/>
                              <w:color w:val="FF0000"/>
                              <w:sz w:val="24"/>
                              <w:szCs w:val="24"/>
                            </w:rPr>
                          </w:pPr>
                          <w:r w:rsidRPr="00D8689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650CF6" id="_x0000_t202" coordsize="21600,21600" o:spt="202" path="m,l,21600r21600,l21600,xe">
              <v:stroke joinstyle="miter"/>
              <v:path gradientshapeok="t" o:connecttype="rect"/>
            </v:shapetype>
            <v:shape id="Text Box 5" o:spid="_x0000_s1028" type="#_x0000_t202" alt="OFFICIAL" style="position:absolute;margin-left:0;margin-top:0;width:43.45pt;height:43.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" filled="f" stroked="f">
              <v:textbox style="mso-fit-shape-to-text:t" inset="0,15pt,0,0">
                <w:txbxContent>
                  <w:p w14:paraId="4C8A2DEE" w14:textId="6C10E265" w:rsidR="00D86896" w:rsidRPr="00D86896" w:rsidRDefault="00D86896" w:rsidP="00D86896">
                    <w:pPr>
                      <w:spacing w:after="0"/>
                      <w:rPr>
                        <w:rFonts w:ascii="Calibri" w:eastAsia="Calibri" w:hAnsi="Calibri" w:cs="Calibri"/>
                        <w:noProof/>
                        <w:color w:val="FF0000"/>
                        <w:sz w:val="24"/>
                        <w:szCs w:val="24"/>
                      </w:rPr>
                    </w:pPr>
                    <w:r w:rsidRPr="00D86896">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FE45A" w14:textId="5AA8B10D" w:rsidR="003A30F3" w:rsidRPr="00633068" w:rsidRDefault="003A30F3" w:rsidP="00633068">
    <w:pPr>
      <w:pStyle w:val="Header"/>
      <w:tabs>
        <w:tab w:val="clear" w:pos="4680"/>
        <w:tab w:val="clear" w:pos="9360"/>
        <w:tab w:val="left" w:pos="2236"/>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F1FD" w14:textId="65E892CC" w:rsidR="00D86896" w:rsidRDefault="00D86896">
    <w:pPr>
      <w:pStyle w:val="Header"/>
    </w:pPr>
    <w:r>
      <w:rPr>
        <w:noProof/>
      </w:rPr>
      <mc:AlternateContent>
        <mc:Choice Requires="wps">
          <w:drawing>
            <wp:anchor distT="0" distB="0" distL="0" distR="0" simplePos="0" relativeHeight="251658247" behindDoc="0" locked="0" layoutInCell="1" allowOverlap="1" wp14:anchorId="2AEF0D4F" wp14:editId="3112FD73">
              <wp:simplePos x="635" y="635"/>
              <wp:positionH relativeFrom="page">
                <wp:align>center</wp:align>
              </wp:positionH>
              <wp:positionV relativeFrom="page">
                <wp:align>top</wp:align>
              </wp:positionV>
              <wp:extent cx="551815" cy="552450"/>
              <wp:effectExtent l="0" t="0" r="635" b="0"/>
              <wp:wrapNone/>
              <wp:docPr id="179352294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46E6670B" w14:textId="100BFD6C" w:rsidR="00D86896" w:rsidRPr="00D86896" w:rsidRDefault="00D86896" w:rsidP="00D86896">
                          <w:pPr>
                            <w:spacing w:after="0"/>
                            <w:rPr>
                              <w:rFonts w:ascii="Calibri" w:eastAsia="Calibri" w:hAnsi="Calibri" w:cs="Calibri"/>
                              <w:noProof/>
                              <w:color w:val="FF0000"/>
                              <w:sz w:val="24"/>
                              <w:szCs w:val="24"/>
                            </w:rPr>
                          </w:pPr>
                          <w:r w:rsidRPr="00D8689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EF0D4F" id="_x0000_t202" coordsize="21600,21600" o:spt="202" path="m,l,21600r21600,l21600,xe">
              <v:stroke joinstyle="miter"/>
              <v:path gradientshapeok="t" o:connecttype="rect"/>
            </v:shapetype>
            <v:shape id="Text Box 4" o:spid="_x0000_s1029" type="#_x0000_t202" alt="OFFICIAL" style="position:absolute;margin-left:0;margin-top:0;width:43.45pt;height:43.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" filled="f" stroked="f">
              <v:textbox style="mso-fit-shape-to-text:t" inset="0,15pt,0,0">
                <w:txbxContent>
                  <w:p w14:paraId="46E6670B" w14:textId="100BFD6C" w:rsidR="00D86896" w:rsidRPr="00D86896" w:rsidRDefault="00D86896" w:rsidP="00D86896">
                    <w:pPr>
                      <w:spacing w:after="0"/>
                      <w:rPr>
                        <w:rFonts w:ascii="Calibri" w:eastAsia="Calibri" w:hAnsi="Calibri" w:cs="Calibri"/>
                        <w:noProof/>
                        <w:color w:val="FF0000"/>
                        <w:sz w:val="24"/>
                        <w:szCs w:val="24"/>
                      </w:rPr>
                    </w:pPr>
                    <w:r w:rsidRPr="00D86896">
                      <w:rPr>
                        <w:rFonts w:ascii="Calibri" w:eastAsia="Calibri" w:hAnsi="Calibri" w:cs="Calibri"/>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A7126" w14:textId="6D018C59" w:rsidR="00D86896" w:rsidRDefault="00D86896">
    <w:pPr>
      <w:pStyle w:val="Header"/>
    </w:pPr>
    <w:r>
      <w:rPr>
        <w:noProof/>
      </w:rPr>
      <mc:AlternateContent>
        <mc:Choice Requires="wps">
          <w:drawing>
            <wp:anchor distT="0" distB="0" distL="0" distR="0" simplePos="0" relativeHeight="251658251" behindDoc="0" locked="0" layoutInCell="1" allowOverlap="1" wp14:anchorId="3D143F83" wp14:editId="0705F522">
              <wp:simplePos x="635" y="635"/>
              <wp:positionH relativeFrom="page">
                <wp:align>center</wp:align>
              </wp:positionH>
              <wp:positionV relativeFrom="page">
                <wp:align>top</wp:align>
              </wp:positionV>
              <wp:extent cx="551815" cy="552450"/>
              <wp:effectExtent l="0" t="0" r="635" b="0"/>
              <wp:wrapNone/>
              <wp:docPr id="1345698398"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5FCB6295" w14:textId="1891E4F8" w:rsidR="00D86896" w:rsidRPr="00D86896" w:rsidRDefault="00D86896" w:rsidP="00D86896">
                          <w:pPr>
                            <w:spacing w:after="0"/>
                            <w:rPr>
                              <w:rFonts w:ascii="Calibri" w:eastAsia="Calibri" w:hAnsi="Calibri" w:cs="Calibri"/>
                              <w:noProof/>
                              <w:color w:val="FF0000"/>
                              <w:sz w:val="24"/>
                              <w:szCs w:val="24"/>
                            </w:rPr>
                          </w:pPr>
                          <w:r w:rsidRPr="00D8689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143F83" id="_x0000_t202" coordsize="21600,21600" o:spt="202" path="m,l,21600r21600,l21600,xe">
              <v:stroke joinstyle="miter"/>
              <v:path gradientshapeok="t" o:connecttype="rect"/>
            </v:shapetype>
            <v:shape id="Text Box 11" o:spid="_x0000_s1030" type="#_x0000_t202" alt="OFFICIAL" style="position:absolute;margin-left:0;margin-top:0;width:43.45pt;height:43.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" filled="f" stroked="f">
              <v:textbox style="mso-fit-shape-to-text:t" inset="0,15pt,0,0">
                <w:txbxContent>
                  <w:p w14:paraId="5FCB6295" w14:textId="1891E4F8" w:rsidR="00D86896" w:rsidRPr="00D86896" w:rsidRDefault="00D86896" w:rsidP="00D86896">
                    <w:pPr>
                      <w:spacing w:after="0"/>
                      <w:rPr>
                        <w:rFonts w:ascii="Calibri" w:eastAsia="Calibri" w:hAnsi="Calibri" w:cs="Calibri"/>
                        <w:noProof/>
                        <w:color w:val="FF0000"/>
                        <w:sz w:val="24"/>
                        <w:szCs w:val="24"/>
                      </w:rPr>
                    </w:pPr>
                    <w:r w:rsidRPr="00D86896">
                      <w:rPr>
                        <w:rFonts w:ascii="Calibri" w:eastAsia="Calibri" w:hAnsi="Calibri" w:cs="Calibri"/>
                        <w:noProof/>
                        <w:color w:val="FF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B10E6" w14:textId="6F722F76" w:rsidR="00D86896" w:rsidRDefault="00D86896">
    <w:pPr>
      <w:pStyle w:val="Header"/>
    </w:pPr>
    <w:r>
      <w:rPr>
        <w:noProof/>
      </w:rPr>
      <mc:AlternateContent>
        <mc:Choice Requires="wps">
          <w:drawing>
            <wp:anchor distT="0" distB="0" distL="0" distR="0" simplePos="0" relativeHeight="251658252" behindDoc="0" locked="0" layoutInCell="1" allowOverlap="1" wp14:anchorId="7329F5CA" wp14:editId="5EFEF843">
              <wp:simplePos x="723331" y="450376"/>
              <wp:positionH relativeFrom="page">
                <wp:align>center</wp:align>
              </wp:positionH>
              <wp:positionV relativeFrom="page">
                <wp:align>top</wp:align>
              </wp:positionV>
              <wp:extent cx="551815" cy="552450"/>
              <wp:effectExtent l="0" t="0" r="635" b="0"/>
              <wp:wrapNone/>
              <wp:docPr id="203668464"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1472367C" w14:textId="7CA1023E" w:rsidR="00D86896" w:rsidRPr="00D86896" w:rsidRDefault="00D86896" w:rsidP="00D86896">
                          <w:pPr>
                            <w:spacing w:after="0"/>
                            <w:rPr>
                              <w:rFonts w:ascii="Calibri" w:eastAsia="Calibri" w:hAnsi="Calibri" w:cs="Calibri"/>
                              <w:noProof/>
                              <w:color w:val="FF0000"/>
                              <w:sz w:val="24"/>
                              <w:szCs w:val="24"/>
                            </w:rPr>
                          </w:pPr>
                          <w:r w:rsidRPr="00D8689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29F5CA" id="_x0000_t202" coordsize="21600,21600" o:spt="202" path="m,l,21600r21600,l21600,xe">
              <v:stroke joinstyle="miter"/>
              <v:path gradientshapeok="t" o:connecttype="rect"/>
            </v:shapetype>
            <v:shape id="Text Box 12" o:spid="_x0000_s1031" type="#_x0000_t202" alt="OFFICIAL" style="position:absolute;margin-left:0;margin-top:0;width:43.45pt;height:43.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" filled="f" stroked="f">
              <v:textbox style="mso-fit-shape-to-text:t" inset="0,15pt,0,0">
                <w:txbxContent>
                  <w:p w14:paraId="1472367C" w14:textId="7CA1023E" w:rsidR="00D86896" w:rsidRPr="00D86896" w:rsidRDefault="00D86896" w:rsidP="00D86896">
                    <w:pPr>
                      <w:spacing w:after="0"/>
                      <w:rPr>
                        <w:rFonts w:ascii="Calibri" w:eastAsia="Calibri" w:hAnsi="Calibri" w:cs="Calibri"/>
                        <w:noProof/>
                        <w:color w:val="FF0000"/>
                        <w:sz w:val="24"/>
                        <w:szCs w:val="24"/>
                      </w:rPr>
                    </w:pPr>
                    <w:r w:rsidRPr="00D86896">
                      <w:rPr>
                        <w:rFonts w:ascii="Calibri" w:eastAsia="Calibri" w:hAnsi="Calibri" w:cs="Calibri"/>
                        <w:noProof/>
                        <w:color w:val="FF0000"/>
                        <w:sz w:val="24"/>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A402E" w14:textId="6290EDD9" w:rsidR="00D86896" w:rsidRDefault="00D86896">
    <w:pPr>
      <w:pStyle w:val="Header"/>
    </w:pPr>
    <w:r>
      <w:rPr>
        <w:noProof/>
      </w:rPr>
      <mc:AlternateContent>
        <mc:Choice Requires="wps">
          <w:drawing>
            <wp:anchor distT="0" distB="0" distL="0" distR="0" simplePos="0" relativeHeight="251658250" behindDoc="0" locked="0" layoutInCell="1" allowOverlap="1" wp14:anchorId="1B702782" wp14:editId="15860A23">
              <wp:simplePos x="635" y="635"/>
              <wp:positionH relativeFrom="page">
                <wp:align>center</wp:align>
              </wp:positionH>
              <wp:positionV relativeFrom="page">
                <wp:align>top</wp:align>
              </wp:positionV>
              <wp:extent cx="551815" cy="552450"/>
              <wp:effectExtent l="0" t="0" r="635" b="0"/>
              <wp:wrapNone/>
              <wp:docPr id="122540204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07C4A480" w14:textId="1DE764BF" w:rsidR="00D86896" w:rsidRPr="00D86896" w:rsidRDefault="00D86896" w:rsidP="00D86896">
                          <w:pPr>
                            <w:spacing w:after="0"/>
                            <w:rPr>
                              <w:rFonts w:ascii="Calibri" w:eastAsia="Calibri" w:hAnsi="Calibri" w:cs="Calibri"/>
                              <w:noProof/>
                              <w:color w:val="FF0000"/>
                              <w:sz w:val="24"/>
                              <w:szCs w:val="24"/>
                            </w:rPr>
                          </w:pPr>
                          <w:r w:rsidRPr="00D8689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702782" id="_x0000_t202" coordsize="21600,21600" o:spt="202" path="m,l,21600r21600,l21600,xe">
              <v:stroke joinstyle="miter"/>
              <v:path gradientshapeok="t" o:connecttype="rect"/>
            </v:shapetype>
            <v:shape id="Text Box 10" o:spid="_x0000_s1032" type="#_x0000_t202" alt="OFFICIAL" style="position:absolute;margin-left:0;margin-top:0;width:43.45pt;height:43.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" filled="f" stroked="f">
              <v:textbox style="mso-fit-shape-to-text:t" inset="0,15pt,0,0">
                <w:txbxContent>
                  <w:p w14:paraId="07C4A480" w14:textId="1DE764BF" w:rsidR="00D86896" w:rsidRPr="00D86896" w:rsidRDefault="00D86896" w:rsidP="00D86896">
                    <w:pPr>
                      <w:spacing w:after="0"/>
                      <w:rPr>
                        <w:rFonts w:ascii="Calibri" w:eastAsia="Calibri" w:hAnsi="Calibri" w:cs="Calibri"/>
                        <w:noProof/>
                        <w:color w:val="FF0000"/>
                        <w:sz w:val="24"/>
                        <w:szCs w:val="24"/>
                      </w:rPr>
                    </w:pPr>
                    <w:r w:rsidRPr="00D86896">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ECCD6F6"/>
    <w:lvl w:ilvl="0" w:tplc="2F400D5A">
      <w:start w:val="1"/>
      <w:numFmt w:val="bullet"/>
      <w:pStyle w:val="ListBullet"/>
      <w:lvlText w:val=""/>
      <w:lvlJc w:val="left"/>
      <w:pPr>
        <w:ind w:left="720" w:hanging="360"/>
      </w:pPr>
      <w:rPr>
        <w:rFonts w:ascii="Symbol" w:hAnsi="Symbol"/>
        <w:b w:val="0"/>
        <w:bCs w:val="0"/>
      </w:rPr>
    </w:lvl>
    <w:lvl w:ilvl="1" w:tplc="3FB4305C">
      <w:start w:val="1"/>
      <w:numFmt w:val="bullet"/>
      <w:lvlText w:val="o"/>
      <w:lvlJc w:val="left"/>
      <w:pPr>
        <w:tabs>
          <w:tab w:val="num" w:pos="1440"/>
        </w:tabs>
        <w:ind w:left="1440" w:hanging="360"/>
      </w:pPr>
      <w:rPr>
        <w:rFonts w:ascii="Courier New" w:hAnsi="Courier New"/>
      </w:rPr>
    </w:lvl>
    <w:lvl w:ilvl="2" w:tplc="C556F366">
      <w:start w:val="1"/>
      <w:numFmt w:val="bullet"/>
      <w:lvlText w:val=""/>
      <w:lvlJc w:val="left"/>
      <w:pPr>
        <w:tabs>
          <w:tab w:val="num" w:pos="2160"/>
        </w:tabs>
        <w:ind w:left="2160" w:hanging="360"/>
      </w:pPr>
      <w:rPr>
        <w:rFonts w:ascii="Wingdings" w:hAnsi="Wingdings"/>
      </w:rPr>
    </w:lvl>
    <w:lvl w:ilvl="3" w:tplc="13C84296">
      <w:start w:val="1"/>
      <w:numFmt w:val="bullet"/>
      <w:lvlText w:val=""/>
      <w:lvlJc w:val="left"/>
      <w:pPr>
        <w:tabs>
          <w:tab w:val="num" w:pos="2880"/>
        </w:tabs>
        <w:ind w:left="2880" w:hanging="360"/>
      </w:pPr>
      <w:rPr>
        <w:rFonts w:ascii="Symbol" w:hAnsi="Symbol"/>
      </w:rPr>
    </w:lvl>
    <w:lvl w:ilvl="4" w:tplc="09C2C41C">
      <w:start w:val="1"/>
      <w:numFmt w:val="bullet"/>
      <w:lvlText w:val="o"/>
      <w:lvlJc w:val="left"/>
      <w:pPr>
        <w:tabs>
          <w:tab w:val="num" w:pos="3600"/>
        </w:tabs>
        <w:ind w:left="3600" w:hanging="360"/>
      </w:pPr>
      <w:rPr>
        <w:rFonts w:ascii="Courier New" w:hAnsi="Courier New"/>
      </w:rPr>
    </w:lvl>
    <w:lvl w:ilvl="5" w:tplc="1BC84E16">
      <w:start w:val="1"/>
      <w:numFmt w:val="bullet"/>
      <w:lvlText w:val=""/>
      <w:lvlJc w:val="left"/>
      <w:pPr>
        <w:tabs>
          <w:tab w:val="num" w:pos="4320"/>
        </w:tabs>
        <w:ind w:left="4320" w:hanging="360"/>
      </w:pPr>
      <w:rPr>
        <w:rFonts w:ascii="Wingdings" w:hAnsi="Wingdings"/>
      </w:rPr>
    </w:lvl>
    <w:lvl w:ilvl="6" w:tplc="35042A88">
      <w:start w:val="1"/>
      <w:numFmt w:val="bullet"/>
      <w:lvlText w:val=""/>
      <w:lvlJc w:val="left"/>
      <w:pPr>
        <w:tabs>
          <w:tab w:val="num" w:pos="5040"/>
        </w:tabs>
        <w:ind w:left="5040" w:hanging="360"/>
      </w:pPr>
      <w:rPr>
        <w:rFonts w:ascii="Symbol" w:hAnsi="Symbol"/>
      </w:rPr>
    </w:lvl>
    <w:lvl w:ilvl="7" w:tplc="32E4D152">
      <w:start w:val="1"/>
      <w:numFmt w:val="bullet"/>
      <w:lvlText w:val="o"/>
      <w:lvlJc w:val="left"/>
      <w:pPr>
        <w:tabs>
          <w:tab w:val="num" w:pos="5760"/>
        </w:tabs>
        <w:ind w:left="5760" w:hanging="360"/>
      </w:pPr>
      <w:rPr>
        <w:rFonts w:ascii="Courier New" w:hAnsi="Courier New"/>
      </w:rPr>
    </w:lvl>
    <w:lvl w:ilvl="8" w:tplc="F65A74B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4"/>
    <w:multiLevelType w:val="hybridMultilevel"/>
    <w:tmpl w:val="00000004"/>
    <w:lvl w:ilvl="0" w:tplc="2B723BF6">
      <w:start w:val="1"/>
      <w:numFmt w:val="bullet"/>
      <w:lvlText w:val=""/>
      <w:lvlJc w:val="left"/>
      <w:pPr>
        <w:ind w:left="720" w:hanging="360"/>
      </w:pPr>
      <w:rPr>
        <w:rFonts w:ascii="Symbol" w:hAnsi="Symbol"/>
        <w:b w:val="0"/>
        <w:bCs w:val="0"/>
      </w:rPr>
    </w:lvl>
    <w:lvl w:ilvl="1" w:tplc="9E7CA2CA">
      <w:start w:val="1"/>
      <w:numFmt w:val="bullet"/>
      <w:lvlText w:val="o"/>
      <w:lvlJc w:val="left"/>
      <w:pPr>
        <w:tabs>
          <w:tab w:val="num" w:pos="1440"/>
        </w:tabs>
        <w:ind w:left="1440" w:hanging="360"/>
      </w:pPr>
      <w:rPr>
        <w:rFonts w:ascii="Courier New" w:hAnsi="Courier New"/>
      </w:rPr>
    </w:lvl>
    <w:lvl w:ilvl="2" w:tplc="B65092E2">
      <w:start w:val="1"/>
      <w:numFmt w:val="bullet"/>
      <w:lvlText w:val=""/>
      <w:lvlJc w:val="left"/>
      <w:pPr>
        <w:tabs>
          <w:tab w:val="num" w:pos="2160"/>
        </w:tabs>
        <w:ind w:left="2160" w:hanging="360"/>
      </w:pPr>
      <w:rPr>
        <w:rFonts w:ascii="Wingdings" w:hAnsi="Wingdings"/>
      </w:rPr>
    </w:lvl>
    <w:lvl w:ilvl="3" w:tplc="9312BBE6">
      <w:start w:val="1"/>
      <w:numFmt w:val="bullet"/>
      <w:lvlText w:val=""/>
      <w:lvlJc w:val="left"/>
      <w:pPr>
        <w:tabs>
          <w:tab w:val="num" w:pos="2880"/>
        </w:tabs>
        <w:ind w:left="2880" w:hanging="360"/>
      </w:pPr>
      <w:rPr>
        <w:rFonts w:ascii="Symbol" w:hAnsi="Symbol"/>
      </w:rPr>
    </w:lvl>
    <w:lvl w:ilvl="4" w:tplc="F3FE1602">
      <w:start w:val="1"/>
      <w:numFmt w:val="bullet"/>
      <w:lvlText w:val="o"/>
      <w:lvlJc w:val="left"/>
      <w:pPr>
        <w:tabs>
          <w:tab w:val="num" w:pos="3600"/>
        </w:tabs>
        <w:ind w:left="3600" w:hanging="360"/>
      </w:pPr>
      <w:rPr>
        <w:rFonts w:ascii="Courier New" w:hAnsi="Courier New"/>
      </w:rPr>
    </w:lvl>
    <w:lvl w:ilvl="5" w:tplc="A8262D02">
      <w:start w:val="1"/>
      <w:numFmt w:val="bullet"/>
      <w:lvlText w:val=""/>
      <w:lvlJc w:val="left"/>
      <w:pPr>
        <w:tabs>
          <w:tab w:val="num" w:pos="4320"/>
        </w:tabs>
        <w:ind w:left="4320" w:hanging="360"/>
      </w:pPr>
      <w:rPr>
        <w:rFonts w:ascii="Wingdings" w:hAnsi="Wingdings"/>
      </w:rPr>
    </w:lvl>
    <w:lvl w:ilvl="6" w:tplc="198093C4">
      <w:start w:val="1"/>
      <w:numFmt w:val="bullet"/>
      <w:lvlText w:val=""/>
      <w:lvlJc w:val="left"/>
      <w:pPr>
        <w:tabs>
          <w:tab w:val="num" w:pos="5040"/>
        </w:tabs>
        <w:ind w:left="5040" w:hanging="360"/>
      </w:pPr>
      <w:rPr>
        <w:rFonts w:ascii="Symbol" w:hAnsi="Symbol"/>
      </w:rPr>
    </w:lvl>
    <w:lvl w:ilvl="7" w:tplc="5D840F60">
      <w:start w:val="1"/>
      <w:numFmt w:val="bullet"/>
      <w:lvlText w:val="o"/>
      <w:lvlJc w:val="left"/>
      <w:pPr>
        <w:tabs>
          <w:tab w:val="num" w:pos="5760"/>
        </w:tabs>
        <w:ind w:left="5760" w:hanging="360"/>
      </w:pPr>
      <w:rPr>
        <w:rFonts w:ascii="Courier New" w:hAnsi="Courier New"/>
      </w:rPr>
    </w:lvl>
    <w:lvl w:ilvl="8" w:tplc="2CAC428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8"/>
    <w:multiLevelType w:val="hybridMultilevel"/>
    <w:tmpl w:val="00000008"/>
    <w:lvl w:ilvl="0" w:tplc="FA8455DA">
      <w:start w:val="1"/>
      <w:numFmt w:val="bullet"/>
      <w:lvlText w:val=""/>
      <w:lvlJc w:val="left"/>
      <w:pPr>
        <w:ind w:left="0" w:firstLine="0"/>
      </w:pPr>
    </w:lvl>
    <w:lvl w:ilvl="1" w:tplc="E2A6A2AC">
      <w:start w:val="1"/>
      <w:numFmt w:val="bullet"/>
      <w:lvlText w:val="o"/>
      <w:lvlJc w:val="left"/>
      <w:pPr>
        <w:tabs>
          <w:tab w:val="num" w:pos="1440"/>
        </w:tabs>
        <w:ind w:left="1440" w:hanging="360"/>
      </w:pPr>
      <w:rPr>
        <w:rFonts w:ascii="Courier New" w:hAnsi="Courier New"/>
      </w:rPr>
    </w:lvl>
    <w:lvl w:ilvl="2" w:tplc="3252BE64">
      <w:start w:val="1"/>
      <w:numFmt w:val="bullet"/>
      <w:lvlText w:val=""/>
      <w:lvlJc w:val="left"/>
      <w:pPr>
        <w:tabs>
          <w:tab w:val="num" w:pos="2160"/>
        </w:tabs>
        <w:ind w:left="2160" w:hanging="360"/>
      </w:pPr>
      <w:rPr>
        <w:rFonts w:ascii="Wingdings" w:hAnsi="Wingdings"/>
      </w:rPr>
    </w:lvl>
    <w:lvl w:ilvl="3" w:tplc="AC9EDB30">
      <w:start w:val="1"/>
      <w:numFmt w:val="bullet"/>
      <w:lvlText w:val=""/>
      <w:lvlJc w:val="left"/>
      <w:pPr>
        <w:tabs>
          <w:tab w:val="num" w:pos="2880"/>
        </w:tabs>
        <w:ind w:left="2880" w:hanging="360"/>
      </w:pPr>
      <w:rPr>
        <w:rFonts w:ascii="Symbol" w:hAnsi="Symbol"/>
      </w:rPr>
    </w:lvl>
    <w:lvl w:ilvl="4" w:tplc="6F98B490">
      <w:start w:val="1"/>
      <w:numFmt w:val="bullet"/>
      <w:lvlText w:val="o"/>
      <w:lvlJc w:val="left"/>
      <w:pPr>
        <w:tabs>
          <w:tab w:val="num" w:pos="3600"/>
        </w:tabs>
        <w:ind w:left="3600" w:hanging="360"/>
      </w:pPr>
      <w:rPr>
        <w:rFonts w:ascii="Courier New" w:hAnsi="Courier New"/>
      </w:rPr>
    </w:lvl>
    <w:lvl w:ilvl="5" w:tplc="A6241CDC">
      <w:start w:val="1"/>
      <w:numFmt w:val="bullet"/>
      <w:lvlText w:val=""/>
      <w:lvlJc w:val="left"/>
      <w:pPr>
        <w:tabs>
          <w:tab w:val="num" w:pos="4320"/>
        </w:tabs>
        <w:ind w:left="4320" w:hanging="360"/>
      </w:pPr>
      <w:rPr>
        <w:rFonts w:ascii="Wingdings" w:hAnsi="Wingdings"/>
      </w:rPr>
    </w:lvl>
    <w:lvl w:ilvl="6" w:tplc="6924EB6C">
      <w:start w:val="1"/>
      <w:numFmt w:val="bullet"/>
      <w:lvlText w:val=""/>
      <w:lvlJc w:val="left"/>
      <w:pPr>
        <w:tabs>
          <w:tab w:val="num" w:pos="5040"/>
        </w:tabs>
        <w:ind w:left="5040" w:hanging="360"/>
      </w:pPr>
      <w:rPr>
        <w:rFonts w:ascii="Symbol" w:hAnsi="Symbol"/>
      </w:rPr>
    </w:lvl>
    <w:lvl w:ilvl="7" w:tplc="217AAC04">
      <w:start w:val="1"/>
      <w:numFmt w:val="bullet"/>
      <w:lvlText w:val="o"/>
      <w:lvlJc w:val="left"/>
      <w:pPr>
        <w:tabs>
          <w:tab w:val="num" w:pos="5760"/>
        </w:tabs>
        <w:ind w:left="5760" w:hanging="360"/>
      </w:pPr>
      <w:rPr>
        <w:rFonts w:ascii="Courier New" w:hAnsi="Courier New"/>
      </w:rPr>
    </w:lvl>
    <w:lvl w:ilvl="8" w:tplc="B1827B40">
      <w:start w:val="1"/>
      <w:numFmt w:val="bullet"/>
      <w:lvlText w:val=""/>
      <w:lvlJc w:val="left"/>
      <w:pPr>
        <w:tabs>
          <w:tab w:val="num" w:pos="6480"/>
        </w:tabs>
        <w:ind w:left="6480" w:hanging="360"/>
      </w:pPr>
      <w:rPr>
        <w:rFonts w:ascii="Wingdings" w:hAnsi="Wingdings"/>
      </w:rPr>
    </w:lvl>
  </w:abstractNum>
  <w:abstractNum w:abstractNumId="3" w15:restartNumberingAfterBreak="0">
    <w:nsid w:val="0C7B7780"/>
    <w:multiLevelType w:val="hybridMultilevel"/>
    <w:tmpl w:val="97D67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E20AE7"/>
    <w:multiLevelType w:val="multilevel"/>
    <w:tmpl w:val="D9F6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DF2B81"/>
    <w:multiLevelType w:val="hybridMultilevel"/>
    <w:tmpl w:val="4B6E3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2D3DA7"/>
    <w:multiLevelType w:val="hybridMultilevel"/>
    <w:tmpl w:val="F274E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E63717"/>
    <w:multiLevelType w:val="hybridMultilevel"/>
    <w:tmpl w:val="3E2680E4"/>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9" w15:restartNumberingAfterBreak="0">
    <w:nsid w:val="1A9E53A8"/>
    <w:multiLevelType w:val="hybridMultilevel"/>
    <w:tmpl w:val="2EA285CA"/>
    <w:lvl w:ilvl="0" w:tplc="2C32DEC8">
      <w:start w:val="1"/>
      <w:numFmt w:val="bullet"/>
      <w:lvlText w:val=""/>
      <w:lvlJc w:val="left"/>
      <w:pPr>
        <w:ind w:left="1020" w:hanging="360"/>
      </w:pPr>
      <w:rPr>
        <w:rFonts w:ascii="Symbol" w:hAnsi="Symbol"/>
      </w:rPr>
    </w:lvl>
    <w:lvl w:ilvl="1" w:tplc="3FFC3C82">
      <w:start w:val="1"/>
      <w:numFmt w:val="bullet"/>
      <w:lvlText w:val=""/>
      <w:lvlJc w:val="left"/>
      <w:pPr>
        <w:ind w:left="1020" w:hanging="360"/>
      </w:pPr>
      <w:rPr>
        <w:rFonts w:ascii="Symbol" w:hAnsi="Symbol"/>
      </w:rPr>
    </w:lvl>
    <w:lvl w:ilvl="2" w:tplc="C3FAE87E">
      <w:start w:val="1"/>
      <w:numFmt w:val="bullet"/>
      <w:lvlText w:val=""/>
      <w:lvlJc w:val="left"/>
      <w:pPr>
        <w:ind w:left="1020" w:hanging="360"/>
      </w:pPr>
      <w:rPr>
        <w:rFonts w:ascii="Symbol" w:hAnsi="Symbol"/>
      </w:rPr>
    </w:lvl>
    <w:lvl w:ilvl="3" w:tplc="B0680D78">
      <w:start w:val="1"/>
      <w:numFmt w:val="bullet"/>
      <w:lvlText w:val=""/>
      <w:lvlJc w:val="left"/>
      <w:pPr>
        <w:ind w:left="1020" w:hanging="360"/>
      </w:pPr>
      <w:rPr>
        <w:rFonts w:ascii="Symbol" w:hAnsi="Symbol"/>
      </w:rPr>
    </w:lvl>
    <w:lvl w:ilvl="4" w:tplc="2B6424EC">
      <w:start w:val="1"/>
      <w:numFmt w:val="bullet"/>
      <w:lvlText w:val=""/>
      <w:lvlJc w:val="left"/>
      <w:pPr>
        <w:ind w:left="1020" w:hanging="360"/>
      </w:pPr>
      <w:rPr>
        <w:rFonts w:ascii="Symbol" w:hAnsi="Symbol"/>
      </w:rPr>
    </w:lvl>
    <w:lvl w:ilvl="5" w:tplc="EC4A8492">
      <w:start w:val="1"/>
      <w:numFmt w:val="bullet"/>
      <w:lvlText w:val=""/>
      <w:lvlJc w:val="left"/>
      <w:pPr>
        <w:ind w:left="1020" w:hanging="360"/>
      </w:pPr>
      <w:rPr>
        <w:rFonts w:ascii="Symbol" w:hAnsi="Symbol"/>
      </w:rPr>
    </w:lvl>
    <w:lvl w:ilvl="6" w:tplc="345070B0">
      <w:start w:val="1"/>
      <w:numFmt w:val="bullet"/>
      <w:lvlText w:val=""/>
      <w:lvlJc w:val="left"/>
      <w:pPr>
        <w:ind w:left="1020" w:hanging="360"/>
      </w:pPr>
      <w:rPr>
        <w:rFonts w:ascii="Symbol" w:hAnsi="Symbol"/>
      </w:rPr>
    </w:lvl>
    <w:lvl w:ilvl="7" w:tplc="9AB45394">
      <w:start w:val="1"/>
      <w:numFmt w:val="bullet"/>
      <w:lvlText w:val=""/>
      <w:lvlJc w:val="left"/>
      <w:pPr>
        <w:ind w:left="1020" w:hanging="360"/>
      </w:pPr>
      <w:rPr>
        <w:rFonts w:ascii="Symbol" w:hAnsi="Symbol"/>
      </w:rPr>
    </w:lvl>
    <w:lvl w:ilvl="8" w:tplc="E1284CFA">
      <w:start w:val="1"/>
      <w:numFmt w:val="bullet"/>
      <w:lvlText w:val=""/>
      <w:lvlJc w:val="left"/>
      <w:pPr>
        <w:ind w:left="1020" w:hanging="360"/>
      </w:pPr>
      <w:rPr>
        <w:rFonts w:ascii="Symbol" w:hAnsi="Symbol"/>
      </w:rPr>
    </w:lvl>
  </w:abstractNum>
  <w:abstractNum w:abstractNumId="10" w15:restartNumberingAfterBreak="0">
    <w:nsid w:val="1E8052EF"/>
    <w:multiLevelType w:val="multilevel"/>
    <w:tmpl w:val="DF4A9966"/>
    <w:numStyleLink w:val="TableBullets"/>
  </w:abstractNum>
  <w:abstractNum w:abstractNumId="11" w15:restartNumberingAfterBreak="0">
    <w:nsid w:val="1FCF7766"/>
    <w:multiLevelType w:val="multilevel"/>
    <w:tmpl w:val="6D9A2BC2"/>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FE82F32"/>
    <w:multiLevelType w:val="hybridMultilevel"/>
    <w:tmpl w:val="7EC6E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747B62"/>
    <w:multiLevelType w:val="multilevel"/>
    <w:tmpl w:val="7AD0D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6E0AEC"/>
    <w:multiLevelType w:val="hybridMultilevel"/>
    <w:tmpl w:val="7B6EA76C"/>
    <w:lvl w:ilvl="0" w:tplc="4E160AB8">
      <w:start w:val="1"/>
      <w:numFmt w:val="bullet"/>
      <w:lvlText w:val=""/>
      <w:lvlJc w:val="left"/>
      <w:pPr>
        <w:ind w:left="1020" w:hanging="360"/>
      </w:pPr>
      <w:rPr>
        <w:rFonts w:ascii="Symbol" w:hAnsi="Symbol"/>
      </w:rPr>
    </w:lvl>
    <w:lvl w:ilvl="1" w:tplc="97980ADC">
      <w:start w:val="1"/>
      <w:numFmt w:val="bullet"/>
      <w:lvlText w:val=""/>
      <w:lvlJc w:val="left"/>
      <w:pPr>
        <w:ind w:left="1020" w:hanging="360"/>
      </w:pPr>
      <w:rPr>
        <w:rFonts w:ascii="Symbol" w:hAnsi="Symbol"/>
      </w:rPr>
    </w:lvl>
    <w:lvl w:ilvl="2" w:tplc="F9444CAE">
      <w:start w:val="1"/>
      <w:numFmt w:val="bullet"/>
      <w:lvlText w:val=""/>
      <w:lvlJc w:val="left"/>
      <w:pPr>
        <w:ind w:left="1020" w:hanging="360"/>
      </w:pPr>
      <w:rPr>
        <w:rFonts w:ascii="Symbol" w:hAnsi="Symbol"/>
      </w:rPr>
    </w:lvl>
    <w:lvl w:ilvl="3" w:tplc="057CD28A">
      <w:start w:val="1"/>
      <w:numFmt w:val="bullet"/>
      <w:lvlText w:val=""/>
      <w:lvlJc w:val="left"/>
      <w:pPr>
        <w:ind w:left="1020" w:hanging="360"/>
      </w:pPr>
      <w:rPr>
        <w:rFonts w:ascii="Symbol" w:hAnsi="Symbol"/>
      </w:rPr>
    </w:lvl>
    <w:lvl w:ilvl="4" w:tplc="8D661592">
      <w:start w:val="1"/>
      <w:numFmt w:val="bullet"/>
      <w:lvlText w:val=""/>
      <w:lvlJc w:val="left"/>
      <w:pPr>
        <w:ind w:left="1020" w:hanging="360"/>
      </w:pPr>
      <w:rPr>
        <w:rFonts w:ascii="Symbol" w:hAnsi="Symbol"/>
      </w:rPr>
    </w:lvl>
    <w:lvl w:ilvl="5" w:tplc="DEAC1732">
      <w:start w:val="1"/>
      <w:numFmt w:val="bullet"/>
      <w:lvlText w:val=""/>
      <w:lvlJc w:val="left"/>
      <w:pPr>
        <w:ind w:left="1020" w:hanging="360"/>
      </w:pPr>
      <w:rPr>
        <w:rFonts w:ascii="Symbol" w:hAnsi="Symbol"/>
      </w:rPr>
    </w:lvl>
    <w:lvl w:ilvl="6" w:tplc="36107614">
      <w:start w:val="1"/>
      <w:numFmt w:val="bullet"/>
      <w:lvlText w:val=""/>
      <w:lvlJc w:val="left"/>
      <w:pPr>
        <w:ind w:left="1020" w:hanging="360"/>
      </w:pPr>
      <w:rPr>
        <w:rFonts w:ascii="Symbol" w:hAnsi="Symbol"/>
      </w:rPr>
    </w:lvl>
    <w:lvl w:ilvl="7" w:tplc="4A588A22">
      <w:start w:val="1"/>
      <w:numFmt w:val="bullet"/>
      <w:lvlText w:val=""/>
      <w:lvlJc w:val="left"/>
      <w:pPr>
        <w:ind w:left="1020" w:hanging="360"/>
      </w:pPr>
      <w:rPr>
        <w:rFonts w:ascii="Symbol" w:hAnsi="Symbol"/>
      </w:rPr>
    </w:lvl>
    <w:lvl w:ilvl="8" w:tplc="ADA409DC">
      <w:start w:val="1"/>
      <w:numFmt w:val="bullet"/>
      <w:lvlText w:val=""/>
      <w:lvlJc w:val="left"/>
      <w:pPr>
        <w:ind w:left="1020" w:hanging="360"/>
      </w:pPr>
      <w:rPr>
        <w:rFonts w:ascii="Symbol" w:hAnsi="Symbol"/>
      </w:rPr>
    </w:lvl>
  </w:abstractNum>
  <w:abstractNum w:abstractNumId="15" w15:restartNumberingAfterBreak="0">
    <w:nsid w:val="2A5C33DC"/>
    <w:multiLevelType w:val="hybridMultilevel"/>
    <w:tmpl w:val="793A0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385CEE"/>
    <w:multiLevelType w:val="hybridMultilevel"/>
    <w:tmpl w:val="B068F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521F7E"/>
    <w:multiLevelType w:val="hybridMultilevel"/>
    <w:tmpl w:val="9EB87094"/>
    <w:lvl w:ilvl="0" w:tplc="52C6E972">
      <w:start w:val="1"/>
      <w:numFmt w:val="bullet"/>
      <w:lvlText w:val=""/>
      <w:lvlJc w:val="left"/>
      <w:pPr>
        <w:ind w:left="720" w:hanging="360"/>
      </w:pPr>
      <w:rPr>
        <w:rFonts w:ascii="Wingdings" w:hAnsi="Wingdings"/>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993B22"/>
    <w:multiLevelType w:val="hybridMultilevel"/>
    <w:tmpl w:val="AEBE443A"/>
    <w:lvl w:ilvl="0" w:tplc="284AE9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9735C7"/>
    <w:multiLevelType w:val="multilevel"/>
    <w:tmpl w:val="2FAC61F8"/>
    <w:styleLink w:val="Bullet"/>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Arial" w:hAnsi="Arial" w:hint="default"/>
        <w:color w:val="auto"/>
      </w:rPr>
    </w:lvl>
    <w:lvl w:ilvl="2">
      <w:start w:val="1"/>
      <w:numFmt w:val="none"/>
      <w:lvlText w:val=""/>
      <w:lvlJc w:val="left"/>
      <w:pPr>
        <w:ind w:left="284" w:firstLine="0"/>
      </w:pPr>
      <w:rPr>
        <w:rFonts w:hint="default"/>
      </w:rPr>
    </w:lvl>
    <w:lvl w:ilvl="3">
      <w:start w:val="1"/>
      <w:numFmt w:val="bullet"/>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07A3C91"/>
    <w:multiLevelType w:val="hybridMultilevel"/>
    <w:tmpl w:val="69461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EC4B5D"/>
    <w:multiLevelType w:val="hybridMultilevel"/>
    <w:tmpl w:val="D1ECC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C8583A"/>
    <w:multiLevelType w:val="hybridMultilevel"/>
    <w:tmpl w:val="D0F61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F47E20"/>
    <w:multiLevelType w:val="multilevel"/>
    <w:tmpl w:val="3D66CBA2"/>
    <w:styleLink w:val="CustomNumberlist"/>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D910072"/>
    <w:multiLevelType w:val="hybridMultilevel"/>
    <w:tmpl w:val="93B40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5B23AD"/>
    <w:multiLevelType w:val="hybridMultilevel"/>
    <w:tmpl w:val="A68CDCB6"/>
    <w:lvl w:ilvl="0" w:tplc="0C090001">
      <w:start w:val="1"/>
      <w:numFmt w:val="bullet"/>
      <w:lvlText w:val=""/>
      <w:lvlJc w:val="left"/>
      <w:pPr>
        <w:ind w:left="920" w:hanging="360"/>
      </w:pPr>
      <w:rPr>
        <w:rFonts w:ascii="Symbol" w:hAnsi="Symbol" w:hint="default"/>
      </w:rPr>
    </w:lvl>
    <w:lvl w:ilvl="1" w:tplc="0C090003" w:tentative="1">
      <w:start w:val="1"/>
      <w:numFmt w:val="bullet"/>
      <w:lvlText w:val="o"/>
      <w:lvlJc w:val="left"/>
      <w:pPr>
        <w:ind w:left="1640" w:hanging="360"/>
      </w:pPr>
      <w:rPr>
        <w:rFonts w:ascii="Courier New" w:hAnsi="Courier New" w:cs="Courier New" w:hint="default"/>
      </w:rPr>
    </w:lvl>
    <w:lvl w:ilvl="2" w:tplc="0C090005" w:tentative="1">
      <w:start w:val="1"/>
      <w:numFmt w:val="bullet"/>
      <w:lvlText w:val=""/>
      <w:lvlJc w:val="left"/>
      <w:pPr>
        <w:ind w:left="2360" w:hanging="360"/>
      </w:pPr>
      <w:rPr>
        <w:rFonts w:ascii="Wingdings" w:hAnsi="Wingdings" w:hint="default"/>
      </w:rPr>
    </w:lvl>
    <w:lvl w:ilvl="3" w:tplc="0C090001" w:tentative="1">
      <w:start w:val="1"/>
      <w:numFmt w:val="bullet"/>
      <w:lvlText w:val=""/>
      <w:lvlJc w:val="left"/>
      <w:pPr>
        <w:ind w:left="3080" w:hanging="360"/>
      </w:pPr>
      <w:rPr>
        <w:rFonts w:ascii="Symbol" w:hAnsi="Symbol" w:hint="default"/>
      </w:rPr>
    </w:lvl>
    <w:lvl w:ilvl="4" w:tplc="0C090003" w:tentative="1">
      <w:start w:val="1"/>
      <w:numFmt w:val="bullet"/>
      <w:lvlText w:val="o"/>
      <w:lvlJc w:val="left"/>
      <w:pPr>
        <w:ind w:left="3800" w:hanging="360"/>
      </w:pPr>
      <w:rPr>
        <w:rFonts w:ascii="Courier New" w:hAnsi="Courier New" w:cs="Courier New" w:hint="default"/>
      </w:rPr>
    </w:lvl>
    <w:lvl w:ilvl="5" w:tplc="0C090005" w:tentative="1">
      <w:start w:val="1"/>
      <w:numFmt w:val="bullet"/>
      <w:lvlText w:val=""/>
      <w:lvlJc w:val="left"/>
      <w:pPr>
        <w:ind w:left="4520" w:hanging="360"/>
      </w:pPr>
      <w:rPr>
        <w:rFonts w:ascii="Wingdings" w:hAnsi="Wingdings" w:hint="default"/>
      </w:rPr>
    </w:lvl>
    <w:lvl w:ilvl="6" w:tplc="0C090001" w:tentative="1">
      <w:start w:val="1"/>
      <w:numFmt w:val="bullet"/>
      <w:lvlText w:val=""/>
      <w:lvlJc w:val="left"/>
      <w:pPr>
        <w:ind w:left="5240" w:hanging="360"/>
      </w:pPr>
      <w:rPr>
        <w:rFonts w:ascii="Symbol" w:hAnsi="Symbol" w:hint="default"/>
      </w:rPr>
    </w:lvl>
    <w:lvl w:ilvl="7" w:tplc="0C090003" w:tentative="1">
      <w:start w:val="1"/>
      <w:numFmt w:val="bullet"/>
      <w:lvlText w:val="o"/>
      <w:lvlJc w:val="left"/>
      <w:pPr>
        <w:ind w:left="5960" w:hanging="360"/>
      </w:pPr>
      <w:rPr>
        <w:rFonts w:ascii="Courier New" w:hAnsi="Courier New" w:cs="Courier New" w:hint="default"/>
      </w:rPr>
    </w:lvl>
    <w:lvl w:ilvl="8" w:tplc="0C090005" w:tentative="1">
      <w:start w:val="1"/>
      <w:numFmt w:val="bullet"/>
      <w:lvlText w:val=""/>
      <w:lvlJc w:val="left"/>
      <w:pPr>
        <w:ind w:left="6680" w:hanging="360"/>
      </w:pPr>
      <w:rPr>
        <w:rFonts w:ascii="Wingdings" w:hAnsi="Wingdings" w:hint="default"/>
      </w:rPr>
    </w:lvl>
  </w:abstractNum>
  <w:abstractNum w:abstractNumId="26" w15:restartNumberingAfterBreak="0">
    <w:nsid w:val="570645B4"/>
    <w:multiLevelType w:val="hybridMultilevel"/>
    <w:tmpl w:val="90660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2A7A0E"/>
    <w:multiLevelType w:val="hybridMultilevel"/>
    <w:tmpl w:val="A022A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F63C16"/>
    <w:multiLevelType w:val="hybridMultilevel"/>
    <w:tmpl w:val="92E85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EF1E76"/>
    <w:multiLevelType w:val="hybridMultilevel"/>
    <w:tmpl w:val="B748C3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1A13C25"/>
    <w:multiLevelType w:val="hybridMultilevel"/>
    <w:tmpl w:val="52ACE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AB313D"/>
    <w:multiLevelType w:val="hybridMultilevel"/>
    <w:tmpl w:val="39969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90583E"/>
    <w:multiLevelType w:val="hybridMultilevel"/>
    <w:tmpl w:val="F26A656E"/>
    <w:lvl w:ilvl="0" w:tplc="B572645C">
      <w:start w:val="1"/>
      <w:numFmt w:val="bullet"/>
      <w:lvlText w:val=""/>
      <w:lvlJc w:val="left"/>
      <w:pPr>
        <w:ind w:left="1020" w:hanging="360"/>
      </w:pPr>
      <w:rPr>
        <w:rFonts w:ascii="Symbol" w:hAnsi="Symbol"/>
      </w:rPr>
    </w:lvl>
    <w:lvl w:ilvl="1" w:tplc="A1781990">
      <w:start w:val="1"/>
      <w:numFmt w:val="bullet"/>
      <w:lvlText w:val=""/>
      <w:lvlJc w:val="left"/>
      <w:pPr>
        <w:ind w:left="1020" w:hanging="360"/>
      </w:pPr>
      <w:rPr>
        <w:rFonts w:ascii="Symbol" w:hAnsi="Symbol"/>
      </w:rPr>
    </w:lvl>
    <w:lvl w:ilvl="2" w:tplc="1562CA80">
      <w:start w:val="1"/>
      <w:numFmt w:val="bullet"/>
      <w:lvlText w:val=""/>
      <w:lvlJc w:val="left"/>
      <w:pPr>
        <w:ind w:left="1020" w:hanging="360"/>
      </w:pPr>
      <w:rPr>
        <w:rFonts w:ascii="Symbol" w:hAnsi="Symbol"/>
      </w:rPr>
    </w:lvl>
    <w:lvl w:ilvl="3" w:tplc="32EC1346">
      <w:start w:val="1"/>
      <w:numFmt w:val="bullet"/>
      <w:lvlText w:val=""/>
      <w:lvlJc w:val="left"/>
      <w:pPr>
        <w:ind w:left="1020" w:hanging="360"/>
      </w:pPr>
      <w:rPr>
        <w:rFonts w:ascii="Symbol" w:hAnsi="Symbol"/>
      </w:rPr>
    </w:lvl>
    <w:lvl w:ilvl="4" w:tplc="E8744026">
      <w:start w:val="1"/>
      <w:numFmt w:val="bullet"/>
      <w:lvlText w:val=""/>
      <w:lvlJc w:val="left"/>
      <w:pPr>
        <w:ind w:left="1020" w:hanging="360"/>
      </w:pPr>
      <w:rPr>
        <w:rFonts w:ascii="Symbol" w:hAnsi="Symbol"/>
      </w:rPr>
    </w:lvl>
    <w:lvl w:ilvl="5" w:tplc="44E80F9E">
      <w:start w:val="1"/>
      <w:numFmt w:val="bullet"/>
      <w:lvlText w:val=""/>
      <w:lvlJc w:val="left"/>
      <w:pPr>
        <w:ind w:left="1020" w:hanging="360"/>
      </w:pPr>
      <w:rPr>
        <w:rFonts w:ascii="Symbol" w:hAnsi="Symbol"/>
      </w:rPr>
    </w:lvl>
    <w:lvl w:ilvl="6" w:tplc="A594B28C">
      <w:start w:val="1"/>
      <w:numFmt w:val="bullet"/>
      <w:lvlText w:val=""/>
      <w:lvlJc w:val="left"/>
      <w:pPr>
        <w:ind w:left="1020" w:hanging="360"/>
      </w:pPr>
      <w:rPr>
        <w:rFonts w:ascii="Symbol" w:hAnsi="Symbol"/>
      </w:rPr>
    </w:lvl>
    <w:lvl w:ilvl="7" w:tplc="3962E3E0">
      <w:start w:val="1"/>
      <w:numFmt w:val="bullet"/>
      <w:lvlText w:val=""/>
      <w:lvlJc w:val="left"/>
      <w:pPr>
        <w:ind w:left="1020" w:hanging="360"/>
      </w:pPr>
      <w:rPr>
        <w:rFonts w:ascii="Symbol" w:hAnsi="Symbol"/>
      </w:rPr>
    </w:lvl>
    <w:lvl w:ilvl="8" w:tplc="B840E4BC">
      <w:start w:val="1"/>
      <w:numFmt w:val="bullet"/>
      <w:lvlText w:val=""/>
      <w:lvlJc w:val="left"/>
      <w:pPr>
        <w:ind w:left="1020" w:hanging="360"/>
      </w:pPr>
      <w:rPr>
        <w:rFonts w:ascii="Symbol" w:hAnsi="Symbol"/>
      </w:rPr>
    </w:lvl>
  </w:abstractNum>
  <w:abstractNum w:abstractNumId="33" w15:restartNumberingAfterBreak="0">
    <w:nsid w:val="6B031981"/>
    <w:multiLevelType w:val="multilevel"/>
    <w:tmpl w:val="DF4A9966"/>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E7E2D27"/>
    <w:multiLevelType w:val="hybridMultilevel"/>
    <w:tmpl w:val="F70054B8"/>
    <w:lvl w:ilvl="0" w:tplc="0C090001">
      <w:start w:val="1"/>
      <w:numFmt w:val="bullet"/>
      <w:lvlText w:val=""/>
      <w:lvlJc w:val="left"/>
      <w:pPr>
        <w:ind w:left="920" w:hanging="360"/>
      </w:pPr>
      <w:rPr>
        <w:rFonts w:ascii="Symbol" w:hAnsi="Symbol" w:hint="default"/>
      </w:rPr>
    </w:lvl>
    <w:lvl w:ilvl="1" w:tplc="0C090003" w:tentative="1">
      <w:start w:val="1"/>
      <w:numFmt w:val="bullet"/>
      <w:lvlText w:val="o"/>
      <w:lvlJc w:val="left"/>
      <w:pPr>
        <w:ind w:left="1640" w:hanging="360"/>
      </w:pPr>
      <w:rPr>
        <w:rFonts w:ascii="Courier New" w:hAnsi="Courier New" w:cs="Courier New" w:hint="default"/>
      </w:rPr>
    </w:lvl>
    <w:lvl w:ilvl="2" w:tplc="0C090005" w:tentative="1">
      <w:start w:val="1"/>
      <w:numFmt w:val="bullet"/>
      <w:lvlText w:val=""/>
      <w:lvlJc w:val="left"/>
      <w:pPr>
        <w:ind w:left="2360" w:hanging="360"/>
      </w:pPr>
      <w:rPr>
        <w:rFonts w:ascii="Wingdings" w:hAnsi="Wingdings" w:hint="default"/>
      </w:rPr>
    </w:lvl>
    <w:lvl w:ilvl="3" w:tplc="0C090001" w:tentative="1">
      <w:start w:val="1"/>
      <w:numFmt w:val="bullet"/>
      <w:lvlText w:val=""/>
      <w:lvlJc w:val="left"/>
      <w:pPr>
        <w:ind w:left="3080" w:hanging="360"/>
      </w:pPr>
      <w:rPr>
        <w:rFonts w:ascii="Symbol" w:hAnsi="Symbol" w:hint="default"/>
      </w:rPr>
    </w:lvl>
    <w:lvl w:ilvl="4" w:tplc="0C090003" w:tentative="1">
      <w:start w:val="1"/>
      <w:numFmt w:val="bullet"/>
      <w:lvlText w:val="o"/>
      <w:lvlJc w:val="left"/>
      <w:pPr>
        <w:ind w:left="3800" w:hanging="360"/>
      </w:pPr>
      <w:rPr>
        <w:rFonts w:ascii="Courier New" w:hAnsi="Courier New" w:cs="Courier New" w:hint="default"/>
      </w:rPr>
    </w:lvl>
    <w:lvl w:ilvl="5" w:tplc="0C090005" w:tentative="1">
      <w:start w:val="1"/>
      <w:numFmt w:val="bullet"/>
      <w:lvlText w:val=""/>
      <w:lvlJc w:val="left"/>
      <w:pPr>
        <w:ind w:left="4520" w:hanging="360"/>
      </w:pPr>
      <w:rPr>
        <w:rFonts w:ascii="Wingdings" w:hAnsi="Wingdings" w:hint="default"/>
      </w:rPr>
    </w:lvl>
    <w:lvl w:ilvl="6" w:tplc="0C090001" w:tentative="1">
      <w:start w:val="1"/>
      <w:numFmt w:val="bullet"/>
      <w:lvlText w:val=""/>
      <w:lvlJc w:val="left"/>
      <w:pPr>
        <w:ind w:left="5240" w:hanging="360"/>
      </w:pPr>
      <w:rPr>
        <w:rFonts w:ascii="Symbol" w:hAnsi="Symbol" w:hint="default"/>
      </w:rPr>
    </w:lvl>
    <w:lvl w:ilvl="7" w:tplc="0C090003" w:tentative="1">
      <w:start w:val="1"/>
      <w:numFmt w:val="bullet"/>
      <w:lvlText w:val="o"/>
      <w:lvlJc w:val="left"/>
      <w:pPr>
        <w:ind w:left="5960" w:hanging="360"/>
      </w:pPr>
      <w:rPr>
        <w:rFonts w:ascii="Courier New" w:hAnsi="Courier New" w:cs="Courier New" w:hint="default"/>
      </w:rPr>
    </w:lvl>
    <w:lvl w:ilvl="8" w:tplc="0C090005" w:tentative="1">
      <w:start w:val="1"/>
      <w:numFmt w:val="bullet"/>
      <w:lvlText w:val=""/>
      <w:lvlJc w:val="left"/>
      <w:pPr>
        <w:ind w:left="6680" w:hanging="360"/>
      </w:pPr>
      <w:rPr>
        <w:rFonts w:ascii="Wingdings" w:hAnsi="Wingdings" w:hint="default"/>
      </w:rPr>
    </w:lvl>
  </w:abstractNum>
  <w:abstractNum w:abstractNumId="35" w15:restartNumberingAfterBreak="0">
    <w:nsid w:val="70732D36"/>
    <w:multiLevelType w:val="multilevel"/>
    <w:tmpl w:val="ABC89444"/>
    <w:styleLink w:val="Pull-outlists"/>
    <w:lvl w:ilvl="0">
      <w:start w:val="1"/>
      <w:numFmt w:val="bullet"/>
      <w:pStyle w:val="Pull-outBullet1"/>
      <w:lvlText w:val=""/>
      <w:lvlJc w:val="left"/>
      <w:pPr>
        <w:ind w:left="284" w:hanging="284"/>
      </w:pPr>
      <w:rPr>
        <w:rFonts w:ascii="Symbol" w:hAnsi="Symbol" w:cs="Times New Roman" w:hint="default"/>
      </w:rPr>
    </w:lvl>
    <w:lvl w:ilvl="1">
      <w:start w:val="1"/>
      <w:numFmt w:val="bullet"/>
      <w:pStyle w:val="Pull-outBullet2"/>
      <w:lvlText w:val="–"/>
      <w:lvlJc w:val="left"/>
      <w:pPr>
        <w:ind w:left="567" w:hanging="283"/>
      </w:pPr>
      <w:rPr>
        <w:rFonts w:ascii="Times New Roman" w:hAnsi="Times New Roman" w:cs="Times New Roman" w:hint="default"/>
      </w:rPr>
    </w:lvl>
    <w:lvl w:ilvl="2">
      <w:start w:val="1"/>
      <w:numFmt w:val="decimal"/>
      <w:pStyle w:val="Pull-outListNumber1"/>
      <w:lvlText w:val="%3."/>
      <w:lvlJc w:val="left"/>
      <w:pPr>
        <w:ind w:left="284" w:hanging="284"/>
      </w:pPr>
      <w:rPr>
        <w:rFonts w:hint="default"/>
      </w:rPr>
    </w:lvl>
    <w:lvl w:ilvl="3">
      <w:start w:val="1"/>
      <w:numFmt w:val="decimal"/>
      <w:pStyle w:val="Pull-outListNumber2"/>
      <w:lvlText w:val="%3.%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2562BCA"/>
    <w:multiLevelType w:val="hybridMultilevel"/>
    <w:tmpl w:val="3E72F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7DE5319"/>
    <w:multiLevelType w:val="multilevel"/>
    <w:tmpl w:val="6BEA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0135712">
    <w:abstractNumId w:val="19"/>
  </w:num>
  <w:num w:numId="2" w16cid:durableId="1011495033">
    <w:abstractNumId w:val="11"/>
  </w:num>
  <w:num w:numId="3" w16cid:durableId="1034042019">
    <w:abstractNumId w:val="23"/>
  </w:num>
  <w:num w:numId="4" w16cid:durableId="555287133">
    <w:abstractNumId w:val="33"/>
  </w:num>
  <w:num w:numId="5" w16cid:durableId="555549504">
    <w:abstractNumId w:val="10"/>
  </w:num>
  <w:num w:numId="6" w16cid:durableId="1749687851">
    <w:abstractNumId w:val="4"/>
  </w:num>
  <w:num w:numId="7" w16cid:durableId="665984960">
    <w:abstractNumId w:val="35"/>
  </w:num>
  <w:num w:numId="8" w16cid:durableId="978725039">
    <w:abstractNumId w:val="0"/>
  </w:num>
  <w:num w:numId="9" w16cid:durableId="1627538505">
    <w:abstractNumId w:val="1"/>
  </w:num>
  <w:num w:numId="10" w16cid:durableId="635917678">
    <w:abstractNumId w:val="2"/>
  </w:num>
  <w:num w:numId="11" w16cid:durableId="638265004">
    <w:abstractNumId w:val="29"/>
  </w:num>
  <w:num w:numId="12" w16cid:durableId="1082294117">
    <w:abstractNumId w:val="15"/>
  </w:num>
  <w:num w:numId="13" w16cid:durableId="1306011902">
    <w:abstractNumId w:val="31"/>
  </w:num>
  <w:num w:numId="14" w16cid:durableId="489566824">
    <w:abstractNumId w:val="13"/>
  </w:num>
  <w:num w:numId="15" w16cid:durableId="54086414">
    <w:abstractNumId w:val="37"/>
  </w:num>
  <w:num w:numId="16" w16cid:durableId="1898276820">
    <w:abstractNumId w:val="5"/>
  </w:num>
  <w:num w:numId="17" w16cid:durableId="1378627182">
    <w:abstractNumId w:val="34"/>
  </w:num>
  <w:num w:numId="18" w16cid:durableId="1264650732">
    <w:abstractNumId w:val="25"/>
  </w:num>
  <w:num w:numId="19" w16cid:durableId="1443501200">
    <w:abstractNumId w:val="35"/>
  </w:num>
  <w:num w:numId="20" w16cid:durableId="961573320">
    <w:abstractNumId w:val="35"/>
  </w:num>
  <w:num w:numId="21" w16cid:durableId="228805081">
    <w:abstractNumId w:val="28"/>
  </w:num>
  <w:num w:numId="22" w16cid:durableId="1264923833">
    <w:abstractNumId w:val="30"/>
  </w:num>
  <w:num w:numId="23" w16cid:durableId="212010894">
    <w:abstractNumId w:val="36"/>
  </w:num>
  <w:num w:numId="24" w16cid:durableId="1719863371">
    <w:abstractNumId w:val="26"/>
  </w:num>
  <w:num w:numId="25" w16cid:durableId="415984587">
    <w:abstractNumId w:val="8"/>
  </w:num>
  <w:num w:numId="26" w16cid:durableId="987174730">
    <w:abstractNumId w:val="12"/>
  </w:num>
  <w:num w:numId="27" w16cid:durableId="461384376">
    <w:abstractNumId w:val="7"/>
  </w:num>
  <w:num w:numId="28" w16cid:durableId="980310473">
    <w:abstractNumId w:val="16"/>
  </w:num>
  <w:num w:numId="29" w16cid:durableId="28381741">
    <w:abstractNumId w:val="3"/>
  </w:num>
  <w:num w:numId="30" w16cid:durableId="958881279">
    <w:abstractNumId w:val="24"/>
  </w:num>
  <w:num w:numId="31" w16cid:durableId="1037122975">
    <w:abstractNumId w:val="20"/>
  </w:num>
  <w:num w:numId="32" w16cid:durableId="574586004">
    <w:abstractNumId w:val="18"/>
  </w:num>
  <w:num w:numId="33" w16cid:durableId="504907837">
    <w:abstractNumId w:val="6"/>
  </w:num>
  <w:num w:numId="34" w16cid:durableId="306787566">
    <w:abstractNumId w:val="27"/>
  </w:num>
  <w:num w:numId="35" w16cid:durableId="560749755">
    <w:abstractNumId w:val="22"/>
  </w:num>
  <w:num w:numId="36" w16cid:durableId="1921060338">
    <w:abstractNumId w:val="17"/>
  </w:num>
  <w:num w:numId="37" w16cid:durableId="1316495222">
    <w:abstractNumId w:val="14"/>
  </w:num>
  <w:num w:numId="38" w16cid:durableId="1216432382">
    <w:abstractNumId w:val="9"/>
  </w:num>
  <w:num w:numId="39" w16cid:durableId="1645701015">
    <w:abstractNumId w:val="32"/>
  </w:num>
  <w:num w:numId="40" w16cid:durableId="1755934458">
    <w:abstractNumId w:val="21"/>
  </w:num>
  <w:num w:numId="41" w16cid:durableId="2145803579">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C6D"/>
    <w:rsid w:val="00002044"/>
    <w:rsid w:val="00002533"/>
    <w:rsid w:val="00002668"/>
    <w:rsid w:val="0000277E"/>
    <w:rsid w:val="000030CB"/>
    <w:rsid w:val="0000395E"/>
    <w:rsid w:val="00003E11"/>
    <w:rsid w:val="000046BD"/>
    <w:rsid w:val="00005636"/>
    <w:rsid w:val="00005BC9"/>
    <w:rsid w:val="00006660"/>
    <w:rsid w:val="0000673F"/>
    <w:rsid w:val="00006BA1"/>
    <w:rsid w:val="00007445"/>
    <w:rsid w:val="00007707"/>
    <w:rsid w:val="0000795A"/>
    <w:rsid w:val="00007B1F"/>
    <w:rsid w:val="00007C14"/>
    <w:rsid w:val="000100EB"/>
    <w:rsid w:val="00010422"/>
    <w:rsid w:val="000104E8"/>
    <w:rsid w:val="0001059B"/>
    <w:rsid w:val="00010831"/>
    <w:rsid w:val="00010994"/>
    <w:rsid w:val="00010C2E"/>
    <w:rsid w:val="00010D51"/>
    <w:rsid w:val="000112A9"/>
    <w:rsid w:val="000123C8"/>
    <w:rsid w:val="00012434"/>
    <w:rsid w:val="00012624"/>
    <w:rsid w:val="00012C48"/>
    <w:rsid w:val="000132A0"/>
    <w:rsid w:val="000133CC"/>
    <w:rsid w:val="0001474D"/>
    <w:rsid w:val="00014BFD"/>
    <w:rsid w:val="00015588"/>
    <w:rsid w:val="000158B3"/>
    <w:rsid w:val="00015DA4"/>
    <w:rsid w:val="0001657E"/>
    <w:rsid w:val="000168D8"/>
    <w:rsid w:val="00016DD1"/>
    <w:rsid w:val="00017014"/>
    <w:rsid w:val="000171BC"/>
    <w:rsid w:val="00017206"/>
    <w:rsid w:val="00017396"/>
    <w:rsid w:val="00017569"/>
    <w:rsid w:val="00017626"/>
    <w:rsid w:val="000177C8"/>
    <w:rsid w:val="00017B95"/>
    <w:rsid w:val="000207BD"/>
    <w:rsid w:val="00020931"/>
    <w:rsid w:val="0002142B"/>
    <w:rsid w:val="00021522"/>
    <w:rsid w:val="00021644"/>
    <w:rsid w:val="00021DF4"/>
    <w:rsid w:val="00023934"/>
    <w:rsid w:val="00023EDF"/>
    <w:rsid w:val="00023F9C"/>
    <w:rsid w:val="00024FE5"/>
    <w:rsid w:val="0002597B"/>
    <w:rsid w:val="000261F4"/>
    <w:rsid w:val="00026D35"/>
    <w:rsid w:val="00027087"/>
    <w:rsid w:val="00030455"/>
    <w:rsid w:val="00030672"/>
    <w:rsid w:val="0003115A"/>
    <w:rsid w:val="000313DC"/>
    <w:rsid w:val="000314D2"/>
    <w:rsid w:val="00031C27"/>
    <w:rsid w:val="00032638"/>
    <w:rsid w:val="0003276E"/>
    <w:rsid w:val="00032E0D"/>
    <w:rsid w:val="0003326B"/>
    <w:rsid w:val="000337A0"/>
    <w:rsid w:val="00033857"/>
    <w:rsid w:val="00034068"/>
    <w:rsid w:val="0003440C"/>
    <w:rsid w:val="00034DAC"/>
    <w:rsid w:val="00035EAE"/>
    <w:rsid w:val="00036AA3"/>
    <w:rsid w:val="00036B51"/>
    <w:rsid w:val="00036F9E"/>
    <w:rsid w:val="000372D0"/>
    <w:rsid w:val="00037E4A"/>
    <w:rsid w:val="00037EFE"/>
    <w:rsid w:val="00040C64"/>
    <w:rsid w:val="00040E29"/>
    <w:rsid w:val="000411C5"/>
    <w:rsid w:val="0004185A"/>
    <w:rsid w:val="00041E3B"/>
    <w:rsid w:val="00042545"/>
    <w:rsid w:val="00042AF6"/>
    <w:rsid w:val="00043D24"/>
    <w:rsid w:val="00044917"/>
    <w:rsid w:val="00044D86"/>
    <w:rsid w:val="00046040"/>
    <w:rsid w:val="00046AF8"/>
    <w:rsid w:val="00046CDF"/>
    <w:rsid w:val="00046DCB"/>
    <w:rsid w:val="00047771"/>
    <w:rsid w:val="00047A0D"/>
    <w:rsid w:val="000507B7"/>
    <w:rsid w:val="00050C8F"/>
    <w:rsid w:val="00050F31"/>
    <w:rsid w:val="00051021"/>
    <w:rsid w:val="0005128D"/>
    <w:rsid w:val="0005131D"/>
    <w:rsid w:val="00051836"/>
    <w:rsid w:val="000518F3"/>
    <w:rsid w:val="00051A8E"/>
    <w:rsid w:val="000521EE"/>
    <w:rsid w:val="00052FE8"/>
    <w:rsid w:val="00053425"/>
    <w:rsid w:val="00053E0B"/>
    <w:rsid w:val="00054891"/>
    <w:rsid w:val="00054DC9"/>
    <w:rsid w:val="000552F9"/>
    <w:rsid w:val="000566E0"/>
    <w:rsid w:val="00057015"/>
    <w:rsid w:val="0005716C"/>
    <w:rsid w:val="00057614"/>
    <w:rsid w:val="00057C69"/>
    <w:rsid w:val="00060EE2"/>
    <w:rsid w:val="000616B6"/>
    <w:rsid w:val="00061797"/>
    <w:rsid w:val="00061E92"/>
    <w:rsid w:val="00062AE4"/>
    <w:rsid w:val="00062F01"/>
    <w:rsid w:val="00062FD5"/>
    <w:rsid w:val="00063296"/>
    <w:rsid w:val="00063A67"/>
    <w:rsid w:val="00063E66"/>
    <w:rsid w:val="00064730"/>
    <w:rsid w:val="000649EC"/>
    <w:rsid w:val="000652FE"/>
    <w:rsid w:val="00066DA3"/>
    <w:rsid w:val="000675EF"/>
    <w:rsid w:val="0006780D"/>
    <w:rsid w:val="00067863"/>
    <w:rsid w:val="00067A66"/>
    <w:rsid w:val="00067DD9"/>
    <w:rsid w:val="000708FE"/>
    <w:rsid w:val="00070E15"/>
    <w:rsid w:val="000717F8"/>
    <w:rsid w:val="00071904"/>
    <w:rsid w:val="00071D68"/>
    <w:rsid w:val="00071E79"/>
    <w:rsid w:val="00072B3D"/>
    <w:rsid w:val="00072F46"/>
    <w:rsid w:val="00072F7A"/>
    <w:rsid w:val="000730EA"/>
    <w:rsid w:val="00073385"/>
    <w:rsid w:val="00073F9C"/>
    <w:rsid w:val="00075020"/>
    <w:rsid w:val="00075B15"/>
    <w:rsid w:val="00075B28"/>
    <w:rsid w:val="00075BA3"/>
    <w:rsid w:val="00075EEC"/>
    <w:rsid w:val="00075F34"/>
    <w:rsid w:val="00076994"/>
    <w:rsid w:val="00076A06"/>
    <w:rsid w:val="00076D48"/>
    <w:rsid w:val="00080093"/>
    <w:rsid w:val="00080550"/>
    <w:rsid w:val="00080C9D"/>
    <w:rsid w:val="0008129B"/>
    <w:rsid w:val="00082098"/>
    <w:rsid w:val="00082399"/>
    <w:rsid w:val="000827E0"/>
    <w:rsid w:val="00082D28"/>
    <w:rsid w:val="000830C5"/>
    <w:rsid w:val="00084B08"/>
    <w:rsid w:val="00085584"/>
    <w:rsid w:val="000859E8"/>
    <w:rsid w:val="00085B17"/>
    <w:rsid w:val="00085B5E"/>
    <w:rsid w:val="000862AF"/>
    <w:rsid w:val="0008638D"/>
    <w:rsid w:val="00086BAC"/>
    <w:rsid w:val="00087E04"/>
    <w:rsid w:val="00087E6D"/>
    <w:rsid w:val="00090BCA"/>
    <w:rsid w:val="00090D11"/>
    <w:rsid w:val="000915CA"/>
    <w:rsid w:val="0009269D"/>
    <w:rsid w:val="0009288F"/>
    <w:rsid w:val="00092B01"/>
    <w:rsid w:val="0009348D"/>
    <w:rsid w:val="00093D14"/>
    <w:rsid w:val="00093E03"/>
    <w:rsid w:val="00094457"/>
    <w:rsid w:val="0009455C"/>
    <w:rsid w:val="00094F14"/>
    <w:rsid w:val="000955E1"/>
    <w:rsid w:val="000956EE"/>
    <w:rsid w:val="00096AB5"/>
    <w:rsid w:val="00096C60"/>
    <w:rsid w:val="00096DD3"/>
    <w:rsid w:val="00096E4D"/>
    <w:rsid w:val="000972F7"/>
    <w:rsid w:val="00097359"/>
    <w:rsid w:val="000973DB"/>
    <w:rsid w:val="00097418"/>
    <w:rsid w:val="00097799"/>
    <w:rsid w:val="000A00F0"/>
    <w:rsid w:val="000A047F"/>
    <w:rsid w:val="000A0B3B"/>
    <w:rsid w:val="000A0D87"/>
    <w:rsid w:val="000A0DAA"/>
    <w:rsid w:val="000A0F1B"/>
    <w:rsid w:val="000A0FBF"/>
    <w:rsid w:val="000A1292"/>
    <w:rsid w:val="000A18F4"/>
    <w:rsid w:val="000A22CE"/>
    <w:rsid w:val="000A2526"/>
    <w:rsid w:val="000A3123"/>
    <w:rsid w:val="000A408D"/>
    <w:rsid w:val="000A45F2"/>
    <w:rsid w:val="000A4797"/>
    <w:rsid w:val="000A493E"/>
    <w:rsid w:val="000A4B1C"/>
    <w:rsid w:val="000A4D0B"/>
    <w:rsid w:val="000A4D18"/>
    <w:rsid w:val="000A4ED9"/>
    <w:rsid w:val="000A539F"/>
    <w:rsid w:val="000A54E3"/>
    <w:rsid w:val="000A58C5"/>
    <w:rsid w:val="000A5ACB"/>
    <w:rsid w:val="000A5CA1"/>
    <w:rsid w:val="000A5D4D"/>
    <w:rsid w:val="000A6805"/>
    <w:rsid w:val="000A6A9C"/>
    <w:rsid w:val="000A6C69"/>
    <w:rsid w:val="000A7011"/>
    <w:rsid w:val="000A759D"/>
    <w:rsid w:val="000A7910"/>
    <w:rsid w:val="000A7E27"/>
    <w:rsid w:val="000A7F16"/>
    <w:rsid w:val="000A7FD9"/>
    <w:rsid w:val="000B0256"/>
    <w:rsid w:val="000B02A1"/>
    <w:rsid w:val="000B0784"/>
    <w:rsid w:val="000B07A8"/>
    <w:rsid w:val="000B0FD3"/>
    <w:rsid w:val="000B13D8"/>
    <w:rsid w:val="000B1469"/>
    <w:rsid w:val="000B147A"/>
    <w:rsid w:val="000B1F5B"/>
    <w:rsid w:val="000B2156"/>
    <w:rsid w:val="000B4D4D"/>
    <w:rsid w:val="000B4EC3"/>
    <w:rsid w:val="000B5E5C"/>
    <w:rsid w:val="000B61E0"/>
    <w:rsid w:val="000B6B56"/>
    <w:rsid w:val="000B73EC"/>
    <w:rsid w:val="000B7E4A"/>
    <w:rsid w:val="000C0221"/>
    <w:rsid w:val="000C07C3"/>
    <w:rsid w:val="000C10DE"/>
    <w:rsid w:val="000C189F"/>
    <w:rsid w:val="000C1AB0"/>
    <w:rsid w:val="000C1DEE"/>
    <w:rsid w:val="000C2123"/>
    <w:rsid w:val="000C253F"/>
    <w:rsid w:val="000C2644"/>
    <w:rsid w:val="000C2777"/>
    <w:rsid w:val="000C2F4E"/>
    <w:rsid w:val="000C3062"/>
    <w:rsid w:val="000C33D1"/>
    <w:rsid w:val="000C3D9F"/>
    <w:rsid w:val="000C3F49"/>
    <w:rsid w:val="000C4668"/>
    <w:rsid w:val="000C4A73"/>
    <w:rsid w:val="000C671E"/>
    <w:rsid w:val="000C7563"/>
    <w:rsid w:val="000C7872"/>
    <w:rsid w:val="000C7B3E"/>
    <w:rsid w:val="000C7FCB"/>
    <w:rsid w:val="000D0057"/>
    <w:rsid w:val="000D0D03"/>
    <w:rsid w:val="000D109A"/>
    <w:rsid w:val="000D16D8"/>
    <w:rsid w:val="000D1DE0"/>
    <w:rsid w:val="000D1E12"/>
    <w:rsid w:val="000D1FD1"/>
    <w:rsid w:val="000D28FF"/>
    <w:rsid w:val="000D369B"/>
    <w:rsid w:val="000D38A9"/>
    <w:rsid w:val="000D3BD0"/>
    <w:rsid w:val="000D4547"/>
    <w:rsid w:val="000D4652"/>
    <w:rsid w:val="000D492D"/>
    <w:rsid w:val="000D54C5"/>
    <w:rsid w:val="000D634B"/>
    <w:rsid w:val="000D65EC"/>
    <w:rsid w:val="000D661C"/>
    <w:rsid w:val="000D6944"/>
    <w:rsid w:val="000D6B86"/>
    <w:rsid w:val="000D6DF7"/>
    <w:rsid w:val="000D6E3F"/>
    <w:rsid w:val="000D73D1"/>
    <w:rsid w:val="000E0B87"/>
    <w:rsid w:val="000E197D"/>
    <w:rsid w:val="000E1DE6"/>
    <w:rsid w:val="000E1F3E"/>
    <w:rsid w:val="000E26E2"/>
    <w:rsid w:val="000E2EF6"/>
    <w:rsid w:val="000E37D4"/>
    <w:rsid w:val="000E4396"/>
    <w:rsid w:val="000E4B14"/>
    <w:rsid w:val="000E4CCE"/>
    <w:rsid w:val="000E4E8E"/>
    <w:rsid w:val="000E5487"/>
    <w:rsid w:val="000E5559"/>
    <w:rsid w:val="000E571F"/>
    <w:rsid w:val="000E6657"/>
    <w:rsid w:val="000E6947"/>
    <w:rsid w:val="000E694C"/>
    <w:rsid w:val="000E6B91"/>
    <w:rsid w:val="000E6D86"/>
    <w:rsid w:val="000F081D"/>
    <w:rsid w:val="000F0D38"/>
    <w:rsid w:val="000F0DF0"/>
    <w:rsid w:val="000F1625"/>
    <w:rsid w:val="000F1A09"/>
    <w:rsid w:val="000F2018"/>
    <w:rsid w:val="000F2953"/>
    <w:rsid w:val="000F3A77"/>
    <w:rsid w:val="000F42DD"/>
    <w:rsid w:val="000F4805"/>
    <w:rsid w:val="000F524F"/>
    <w:rsid w:val="000F64C8"/>
    <w:rsid w:val="000F6DDD"/>
    <w:rsid w:val="000F6EA5"/>
    <w:rsid w:val="000F736A"/>
    <w:rsid w:val="000F7F20"/>
    <w:rsid w:val="000F7F5F"/>
    <w:rsid w:val="00100111"/>
    <w:rsid w:val="00100306"/>
    <w:rsid w:val="00100890"/>
    <w:rsid w:val="001009DD"/>
    <w:rsid w:val="00100E04"/>
    <w:rsid w:val="001014F8"/>
    <w:rsid w:val="001018DB"/>
    <w:rsid w:val="00101923"/>
    <w:rsid w:val="00101D1F"/>
    <w:rsid w:val="0010263D"/>
    <w:rsid w:val="001029DD"/>
    <w:rsid w:val="00102FB4"/>
    <w:rsid w:val="0010390A"/>
    <w:rsid w:val="00103E01"/>
    <w:rsid w:val="00104BCD"/>
    <w:rsid w:val="00106044"/>
    <w:rsid w:val="00106608"/>
    <w:rsid w:val="00107EAC"/>
    <w:rsid w:val="001100A3"/>
    <w:rsid w:val="00110480"/>
    <w:rsid w:val="00110B73"/>
    <w:rsid w:val="00111D46"/>
    <w:rsid w:val="00111D96"/>
    <w:rsid w:val="00111F80"/>
    <w:rsid w:val="00112100"/>
    <w:rsid w:val="001140FB"/>
    <w:rsid w:val="00115518"/>
    <w:rsid w:val="0011745A"/>
    <w:rsid w:val="00117DAD"/>
    <w:rsid w:val="00117F35"/>
    <w:rsid w:val="001213C8"/>
    <w:rsid w:val="0012179B"/>
    <w:rsid w:val="00122349"/>
    <w:rsid w:val="0012310D"/>
    <w:rsid w:val="001231CC"/>
    <w:rsid w:val="001232C7"/>
    <w:rsid w:val="00123832"/>
    <w:rsid w:val="0012431D"/>
    <w:rsid w:val="00124A7B"/>
    <w:rsid w:val="00124CA6"/>
    <w:rsid w:val="0012640B"/>
    <w:rsid w:val="00126AFC"/>
    <w:rsid w:val="00126B1C"/>
    <w:rsid w:val="00126E3A"/>
    <w:rsid w:val="00127037"/>
    <w:rsid w:val="001273A4"/>
    <w:rsid w:val="001276D5"/>
    <w:rsid w:val="00127E0F"/>
    <w:rsid w:val="00130266"/>
    <w:rsid w:val="001311CB"/>
    <w:rsid w:val="00131825"/>
    <w:rsid w:val="00132F0D"/>
    <w:rsid w:val="00134334"/>
    <w:rsid w:val="00135629"/>
    <w:rsid w:val="0013575B"/>
    <w:rsid w:val="00135BB8"/>
    <w:rsid w:val="00135CAF"/>
    <w:rsid w:val="001360B8"/>
    <w:rsid w:val="00136305"/>
    <w:rsid w:val="0013640E"/>
    <w:rsid w:val="001368DE"/>
    <w:rsid w:val="00136A65"/>
    <w:rsid w:val="00137169"/>
    <w:rsid w:val="00137385"/>
    <w:rsid w:val="0014005B"/>
    <w:rsid w:val="00140485"/>
    <w:rsid w:val="00140AA3"/>
    <w:rsid w:val="00141515"/>
    <w:rsid w:val="00141A27"/>
    <w:rsid w:val="00141ECB"/>
    <w:rsid w:val="00141FEB"/>
    <w:rsid w:val="001421DC"/>
    <w:rsid w:val="001428B5"/>
    <w:rsid w:val="00143334"/>
    <w:rsid w:val="00143676"/>
    <w:rsid w:val="001438DB"/>
    <w:rsid w:val="00143975"/>
    <w:rsid w:val="00143985"/>
    <w:rsid w:val="00143AB2"/>
    <w:rsid w:val="00143C3F"/>
    <w:rsid w:val="00143F56"/>
    <w:rsid w:val="001457B1"/>
    <w:rsid w:val="00145D75"/>
    <w:rsid w:val="00145EF6"/>
    <w:rsid w:val="00146EC9"/>
    <w:rsid w:val="0014712D"/>
    <w:rsid w:val="00147C3E"/>
    <w:rsid w:val="001503E6"/>
    <w:rsid w:val="0015082C"/>
    <w:rsid w:val="001517EF"/>
    <w:rsid w:val="001518DF"/>
    <w:rsid w:val="00151BEB"/>
    <w:rsid w:val="0015211C"/>
    <w:rsid w:val="00152713"/>
    <w:rsid w:val="0015289B"/>
    <w:rsid w:val="00153081"/>
    <w:rsid w:val="00153098"/>
    <w:rsid w:val="0015316D"/>
    <w:rsid w:val="00153464"/>
    <w:rsid w:val="00153A27"/>
    <w:rsid w:val="00153AEA"/>
    <w:rsid w:val="00153F00"/>
    <w:rsid w:val="0015486F"/>
    <w:rsid w:val="00154B2E"/>
    <w:rsid w:val="00155A23"/>
    <w:rsid w:val="00156A95"/>
    <w:rsid w:val="00156D81"/>
    <w:rsid w:val="001571EB"/>
    <w:rsid w:val="00157232"/>
    <w:rsid w:val="00157AB9"/>
    <w:rsid w:val="00157BD6"/>
    <w:rsid w:val="00157F36"/>
    <w:rsid w:val="001603DF"/>
    <w:rsid w:val="00160F48"/>
    <w:rsid w:val="00161B4F"/>
    <w:rsid w:val="00161F57"/>
    <w:rsid w:val="00162627"/>
    <w:rsid w:val="00162F92"/>
    <w:rsid w:val="001632B2"/>
    <w:rsid w:val="001633AA"/>
    <w:rsid w:val="0016480C"/>
    <w:rsid w:val="001649C8"/>
    <w:rsid w:val="00164B21"/>
    <w:rsid w:val="00165080"/>
    <w:rsid w:val="00165121"/>
    <w:rsid w:val="001656B4"/>
    <w:rsid w:val="00165EE3"/>
    <w:rsid w:val="00165EED"/>
    <w:rsid w:val="001660FB"/>
    <w:rsid w:val="00166A78"/>
    <w:rsid w:val="001672CE"/>
    <w:rsid w:val="00167C3A"/>
    <w:rsid w:val="00167F0B"/>
    <w:rsid w:val="00170B98"/>
    <w:rsid w:val="00170D58"/>
    <w:rsid w:val="001717F0"/>
    <w:rsid w:val="00172054"/>
    <w:rsid w:val="00172C54"/>
    <w:rsid w:val="00172FA6"/>
    <w:rsid w:val="0017325D"/>
    <w:rsid w:val="00173532"/>
    <w:rsid w:val="00174504"/>
    <w:rsid w:val="001747FB"/>
    <w:rsid w:val="001753FD"/>
    <w:rsid w:val="0017560E"/>
    <w:rsid w:val="00175A7E"/>
    <w:rsid w:val="0017600C"/>
    <w:rsid w:val="00176CA4"/>
    <w:rsid w:val="00177081"/>
    <w:rsid w:val="001801E0"/>
    <w:rsid w:val="001818BC"/>
    <w:rsid w:val="0018288D"/>
    <w:rsid w:val="00182FE8"/>
    <w:rsid w:val="001834E8"/>
    <w:rsid w:val="00183710"/>
    <w:rsid w:val="00183AA8"/>
    <w:rsid w:val="00183CB7"/>
    <w:rsid w:val="00184C6F"/>
    <w:rsid w:val="00184CEF"/>
    <w:rsid w:val="00184F38"/>
    <w:rsid w:val="00184F46"/>
    <w:rsid w:val="00185356"/>
    <w:rsid w:val="00185471"/>
    <w:rsid w:val="00185F3F"/>
    <w:rsid w:val="001869B0"/>
    <w:rsid w:val="00186DCA"/>
    <w:rsid w:val="00186E2D"/>
    <w:rsid w:val="001872E2"/>
    <w:rsid w:val="001875DB"/>
    <w:rsid w:val="001878C1"/>
    <w:rsid w:val="00187ACF"/>
    <w:rsid w:val="001908EF"/>
    <w:rsid w:val="001909B4"/>
    <w:rsid w:val="00190CBB"/>
    <w:rsid w:val="00191244"/>
    <w:rsid w:val="00191437"/>
    <w:rsid w:val="001916E4"/>
    <w:rsid w:val="00192246"/>
    <w:rsid w:val="001931A3"/>
    <w:rsid w:val="001934AA"/>
    <w:rsid w:val="00194ACC"/>
    <w:rsid w:val="00194EF3"/>
    <w:rsid w:val="00195259"/>
    <w:rsid w:val="00195B04"/>
    <w:rsid w:val="00195E05"/>
    <w:rsid w:val="001962E8"/>
    <w:rsid w:val="001963FA"/>
    <w:rsid w:val="001966CA"/>
    <w:rsid w:val="00196B69"/>
    <w:rsid w:val="00196DC0"/>
    <w:rsid w:val="00197497"/>
    <w:rsid w:val="001974EF"/>
    <w:rsid w:val="00197BB6"/>
    <w:rsid w:val="001A05A5"/>
    <w:rsid w:val="001A0E96"/>
    <w:rsid w:val="001A150C"/>
    <w:rsid w:val="001A2011"/>
    <w:rsid w:val="001A2612"/>
    <w:rsid w:val="001A3381"/>
    <w:rsid w:val="001A33AF"/>
    <w:rsid w:val="001A34BD"/>
    <w:rsid w:val="001A3AB7"/>
    <w:rsid w:val="001A3C88"/>
    <w:rsid w:val="001A45FA"/>
    <w:rsid w:val="001A4ACF"/>
    <w:rsid w:val="001A4CF1"/>
    <w:rsid w:val="001A5342"/>
    <w:rsid w:val="001A5B09"/>
    <w:rsid w:val="001A6A8B"/>
    <w:rsid w:val="001A6D44"/>
    <w:rsid w:val="001A75B4"/>
    <w:rsid w:val="001B1170"/>
    <w:rsid w:val="001B1300"/>
    <w:rsid w:val="001B18EF"/>
    <w:rsid w:val="001B190D"/>
    <w:rsid w:val="001B1B48"/>
    <w:rsid w:val="001B1D82"/>
    <w:rsid w:val="001B1DA6"/>
    <w:rsid w:val="001B1DD0"/>
    <w:rsid w:val="001B27C0"/>
    <w:rsid w:val="001B2B9D"/>
    <w:rsid w:val="001B2D51"/>
    <w:rsid w:val="001B5AD2"/>
    <w:rsid w:val="001B6004"/>
    <w:rsid w:val="001B6C52"/>
    <w:rsid w:val="001B6F7C"/>
    <w:rsid w:val="001B71D0"/>
    <w:rsid w:val="001B73D6"/>
    <w:rsid w:val="001B78B1"/>
    <w:rsid w:val="001B7A44"/>
    <w:rsid w:val="001C0A09"/>
    <w:rsid w:val="001C0EE0"/>
    <w:rsid w:val="001C11B4"/>
    <w:rsid w:val="001C1506"/>
    <w:rsid w:val="001C1C55"/>
    <w:rsid w:val="001C1FCD"/>
    <w:rsid w:val="001C2960"/>
    <w:rsid w:val="001C31C2"/>
    <w:rsid w:val="001C32BF"/>
    <w:rsid w:val="001C3ABB"/>
    <w:rsid w:val="001C4AA1"/>
    <w:rsid w:val="001C57D6"/>
    <w:rsid w:val="001C5D62"/>
    <w:rsid w:val="001C6222"/>
    <w:rsid w:val="001C6E0D"/>
    <w:rsid w:val="001C750A"/>
    <w:rsid w:val="001C7A46"/>
    <w:rsid w:val="001D02DA"/>
    <w:rsid w:val="001D06B9"/>
    <w:rsid w:val="001D07CD"/>
    <w:rsid w:val="001D0935"/>
    <w:rsid w:val="001D0FFA"/>
    <w:rsid w:val="001D157B"/>
    <w:rsid w:val="001D19DE"/>
    <w:rsid w:val="001D1AD9"/>
    <w:rsid w:val="001D2361"/>
    <w:rsid w:val="001D29BE"/>
    <w:rsid w:val="001D32AA"/>
    <w:rsid w:val="001D3881"/>
    <w:rsid w:val="001D3945"/>
    <w:rsid w:val="001D3C76"/>
    <w:rsid w:val="001D58E3"/>
    <w:rsid w:val="001D5900"/>
    <w:rsid w:val="001D5A92"/>
    <w:rsid w:val="001D64F9"/>
    <w:rsid w:val="001D680F"/>
    <w:rsid w:val="001D69A7"/>
    <w:rsid w:val="001D6FC6"/>
    <w:rsid w:val="001D745A"/>
    <w:rsid w:val="001D7EB6"/>
    <w:rsid w:val="001D7EC3"/>
    <w:rsid w:val="001E057E"/>
    <w:rsid w:val="001E0936"/>
    <w:rsid w:val="001E141E"/>
    <w:rsid w:val="001E209B"/>
    <w:rsid w:val="001E3463"/>
    <w:rsid w:val="001E34AA"/>
    <w:rsid w:val="001E3B8E"/>
    <w:rsid w:val="001E3CE3"/>
    <w:rsid w:val="001E3ECC"/>
    <w:rsid w:val="001E4CE9"/>
    <w:rsid w:val="001E4E64"/>
    <w:rsid w:val="001E4F3F"/>
    <w:rsid w:val="001E565B"/>
    <w:rsid w:val="001E6D7E"/>
    <w:rsid w:val="001E7556"/>
    <w:rsid w:val="001F03A8"/>
    <w:rsid w:val="001F06F9"/>
    <w:rsid w:val="001F0CC1"/>
    <w:rsid w:val="001F11E5"/>
    <w:rsid w:val="001F1255"/>
    <w:rsid w:val="001F1A1F"/>
    <w:rsid w:val="001F231D"/>
    <w:rsid w:val="001F2CE2"/>
    <w:rsid w:val="001F3997"/>
    <w:rsid w:val="001F462C"/>
    <w:rsid w:val="001F5485"/>
    <w:rsid w:val="001F5671"/>
    <w:rsid w:val="001F619A"/>
    <w:rsid w:val="001F61CE"/>
    <w:rsid w:val="001F64A3"/>
    <w:rsid w:val="001F6F07"/>
    <w:rsid w:val="001F7935"/>
    <w:rsid w:val="001F7D43"/>
    <w:rsid w:val="00200C92"/>
    <w:rsid w:val="00201086"/>
    <w:rsid w:val="002010CE"/>
    <w:rsid w:val="00202185"/>
    <w:rsid w:val="0020221B"/>
    <w:rsid w:val="002022FF"/>
    <w:rsid w:val="00202631"/>
    <w:rsid w:val="002026A9"/>
    <w:rsid w:val="002028DC"/>
    <w:rsid w:val="00203423"/>
    <w:rsid w:val="00203A81"/>
    <w:rsid w:val="00204095"/>
    <w:rsid w:val="00204C88"/>
    <w:rsid w:val="002051B6"/>
    <w:rsid w:val="0020545F"/>
    <w:rsid w:val="002056BA"/>
    <w:rsid w:val="002057B6"/>
    <w:rsid w:val="00205C1D"/>
    <w:rsid w:val="00205CDC"/>
    <w:rsid w:val="00205E1E"/>
    <w:rsid w:val="00207076"/>
    <w:rsid w:val="0020743D"/>
    <w:rsid w:val="002077FD"/>
    <w:rsid w:val="00210AEA"/>
    <w:rsid w:val="00211C67"/>
    <w:rsid w:val="002124F0"/>
    <w:rsid w:val="00212EEC"/>
    <w:rsid w:val="00213970"/>
    <w:rsid w:val="00213F03"/>
    <w:rsid w:val="00213F37"/>
    <w:rsid w:val="0021408A"/>
    <w:rsid w:val="00214177"/>
    <w:rsid w:val="00214C5D"/>
    <w:rsid w:val="00214D73"/>
    <w:rsid w:val="002162FC"/>
    <w:rsid w:val="00216826"/>
    <w:rsid w:val="002169F4"/>
    <w:rsid w:val="00216E8E"/>
    <w:rsid w:val="00217705"/>
    <w:rsid w:val="00217F3F"/>
    <w:rsid w:val="00220571"/>
    <w:rsid w:val="00220960"/>
    <w:rsid w:val="00220EB0"/>
    <w:rsid w:val="00221381"/>
    <w:rsid w:val="00222034"/>
    <w:rsid w:val="002221A9"/>
    <w:rsid w:val="002229C7"/>
    <w:rsid w:val="002235EF"/>
    <w:rsid w:val="0022408D"/>
    <w:rsid w:val="0022482D"/>
    <w:rsid w:val="00225108"/>
    <w:rsid w:val="0022576F"/>
    <w:rsid w:val="002263DF"/>
    <w:rsid w:val="002265A5"/>
    <w:rsid w:val="00226EC7"/>
    <w:rsid w:val="0022708E"/>
    <w:rsid w:val="002276FF"/>
    <w:rsid w:val="00227761"/>
    <w:rsid w:val="002277A6"/>
    <w:rsid w:val="00227D04"/>
    <w:rsid w:val="00230F68"/>
    <w:rsid w:val="002311F5"/>
    <w:rsid w:val="0023155A"/>
    <w:rsid w:val="00231B25"/>
    <w:rsid w:val="00232581"/>
    <w:rsid w:val="00232749"/>
    <w:rsid w:val="0023367E"/>
    <w:rsid w:val="00233812"/>
    <w:rsid w:val="002362CD"/>
    <w:rsid w:val="0023657E"/>
    <w:rsid w:val="002368FB"/>
    <w:rsid w:val="00236D7D"/>
    <w:rsid w:val="0023706C"/>
    <w:rsid w:val="00237199"/>
    <w:rsid w:val="00237503"/>
    <w:rsid w:val="00237E0A"/>
    <w:rsid w:val="00240CBB"/>
    <w:rsid w:val="00240F80"/>
    <w:rsid w:val="0024177D"/>
    <w:rsid w:val="002433AB"/>
    <w:rsid w:val="002435FF"/>
    <w:rsid w:val="00244022"/>
    <w:rsid w:val="002448AB"/>
    <w:rsid w:val="00245152"/>
    <w:rsid w:val="00246305"/>
    <w:rsid w:val="00246C5C"/>
    <w:rsid w:val="00246D0C"/>
    <w:rsid w:val="00247BBB"/>
    <w:rsid w:val="00251145"/>
    <w:rsid w:val="002511E5"/>
    <w:rsid w:val="002512F2"/>
    <w:rsid w:val="00251AA4"/>
    <w:rsid w:val="00251D89"/>
    <w:rsid w:val="0025225E"/>
    <w:rsid w:val="002522BD"/>
    <w:rsid w:val="00252741"/>
    <w:rsid w:val="00252821"/>
    <w:rsid w:val="0025307E"/>
    <w:rsid w:val="00253A7F"/>
    <w:rsid w:val="00253AD7"/>
    <w:rsid w:val="002543AF"/>
    <w:rsid w:val="00254D25"/>
    <w:rsid w:val="00256173"/>
    <w:rsid w:val="0025660B"/>
    <w:rsid w:val="00256FAD"/>
    <w:rsid w:val="0025790D"/>
    <w:rsid w:val="002607AE"/>
    <w:rsid w:val="0026105C"/>
    <w:rsid w:val="00262F5E"/>
    <w:rsid w:val="002634F5"/>
    <w:rsid w:val="00263ACE"/>
    <w:rsid w:val="00263DCF"/>
    <w:rsid w:val="00265112"/>
    <w:rsid w:val="0026535B"/>
    <w:rsid w:val="00265BFF"/>
    <w:rsid w:val="002665F3"/>
    <w:rsid w:val="002673BA"/>
    <w:rsid w:val="0026745B"/>
    <w:rsid w:val="0026797F"/>
    <w:rsid w:val="00267E86"/>
    <w:rsid w:val="00270346"/>
    <w:rsid w:val="0027034D"/>
    <w:rsid w:val="0027062E"/>
    <w:rsid w:val="00270AB3"/>
    <w:rsid w:val="00270B39"/>
    <w:rsid w:val="002710F0"/>
    <w:rsid w:val="002710F7"/>
    <w:rsid w:val="002712C0"/>
    <w:rsid w:val="00271587"/>
    <w:rsid w:val="00272FDC"/>
    <w:rsid w:val="0027385C"/>
    <w:rsid w:val="00273A3F"/>
    <w:rsid w:val="00274365"/>
    <w:rsid w:val="0027448E"/>
    <w:rsid w:val="00274508"/>
    <w:rsid w:val="002750C4"/>
    <w:rsid w:val="002760BF"/>
    <w:rsid w:val="0027617B"/>
    <w:rsid w:val="00276A79"/>
    <w:rsid w:val="00276B5D"/>
    <w:rsid w:val="002773EE"/>
    <w:rsid w:val="002775C0"/>
    <w:rsid w:val="002776F6"/>
    <w:rsid w:val="002779EB"/>
    <w:rsid w:val="0028040F"/>
    <w:rsid w:val="002820F9"/>
    <w:rsid w:val="002825E5"/>
    <w:rsid w:val="002849CF"/>
    <w:rsid w:val="00284F2C"/>
    <w:rsid w:val="00285132"/>
    <w:rsid w:val="0028590F"/>
    <w:rsid w:val="00286DD9"/>
    <w:rsid w:val="00287BA6"/>
    <w:rsid w:val="00287E63"/>
    <w:rsid w:val="00290477"/>
    <w:rsid w:val="0029098C"/>
    <w:rsid w:val="00290CF2"/>
    <w:rsid w:val="00290DAA"/>
    <w:rsid w:val="00291123"/>
    <w:rsid w:val="00291271"/>
    <w:rsid w:val="002913F1"/>
    <w:rsid w:val="00292483"/>
    <w:rsid w:val="00293E53"/>
    <w:rsid w:val="00293EF8"/>
    <w:rsid w:val="002941D8"/>
    <w:rsid w:val="002942CF"/>
    <w:rsid w:val="00294842"/>
    <w:rsid w:val="00295699"/>
    <w:rsid w:val="002966CE"/>
    <w:rsid w:val="00296B13"/>
    <w:rsid w:val="00297EB2"/>
    <w:rsid w:val="002A025A"/>
    <w:rsid w:val="002A059D"/>
    <w:rsid w:val="002A0E22"/>
    <w:rsid w:val="002A10D1"/>
    <w:rsid w:val="002A1AF1"/>
    <w:rsid w:val="002A1B1A"/>
    <w:rsid w:val="002A2E19"/>
    <w:rsid w:val="002A31CA"/>
    <w:rsid w:val="002A33A6"/>
    <w:rsid w:val="002A44B9"/>
    <w:rsid w:val="002A453B"/>
    <w:rsid w:val="002A460B"/>
    <w:rsid w:val="002A4ACA"/>
    <w:rsid w:val="002A5032"/>
    <w:rsid w:val="002A5090"/>
    <w:rsid w:val="002A57E5"/>
    <w:rsid w:val="002A5A8D"/>
    <w:rsid w:val="002A6DFE"/>
    <w:rsid w:val="002A7168"/>
    <w:rsid w:val="002A796D"/>
    <w:rsid w:val="002A7BEC"/>
    <w:rsid w:val="002B004F"/>
    <w:rsid w:val="002B0479"/>
    <w:rsid w:val="002B0502"/>
    <w:rsid w:val="002B059E"/>
    <w:rsid w:val="002B1403"/>
    <w:rsid w:val="002B17FB"/>
    <w:rsid w:val="002B1BCD"/>
    <w:rsid w:val="002B1C89"/>
    <w:rsid w:val="002B20BC"/>
    <w:rsid w:val="002B25F0"/>
    <w:rsid w:val="002B29E9"/>
    <w:rsid w:val="002B36A7"/>
    <w:rsid w:val="002B3CFF"/>
    <w:rsid w:val="002B3D42"/>
    <w:rsid w:val="002B4356"/>
    <w:rsid w:val="002B4F3B"/>
    <w:rsid w:val="002B644B"/>
    <w:rsid w:val="002B742E"/>
    <w:rsid w:val="002B7FB4"/>
    <w:rsid w:val="002C0033"/>
    <w:rsid w:val="002C02FE"/>
    <w:rsid w:val="002C04AD"/>
    <w:rsid w:val="002C10D2"/>
    <w:rsid w:val="002C1D1A"/>
    <w:rsid w:val="002C1F9D"/>
    <w:rsid w:val="002C2ADF"/>
    <w:rsid w:val="002C2D85"/>
    <w:rsid w:val="002C383E"/>
    <w:rsid w:val="002C3C93"/>
    <w:rsid w:val="002C40B1"/>
    <w:rsid w:val="002C41B9"/>
    <w:rsid w:val="002C46FC"/>
    <w:rsid w:val="002C4722"/>
    <w:rsid w:val="002C498F"/>
    <w:rsid w:val="002C4F69"/>
    <w:rsid w:val="002C5035"/>
    <w:rsid w:val="002C5559"/>
    <w:rsid w:val="002C57B6"/>
    <w:rsid w:val="002C5AD2"/>
    <w:rsid w:val="002C5C9B"/>
    <w:rsid w:val="002C5DC8"/>
    <w:rsid w:val="002C6287"/>
    <w:rsid w:val="002C68FC"/>
    <w:rsid w:val="002C6D91"/>
    <w:rsid w:val="002C71C5"/>
    <w:rsid w:val="002C7D5B"/>
    <w:rsid w:val="002D0212"/>
    <w:rsid w:val="002D0293"/>
    <w:rsid w:val="002D0C3F"/>
    <w:rsid w:val="002D0FB2"/>
    <w:rsid w:val="002D16DE"/>
    <w:rsid w:val="002D1AFE"/>
    <w:rsid w:val="002D1BEF"/>
    <w:rsid w:val="002D1E49"/>
    <w:rsid w:val="002D1F08"/>
    <w:rsid w:val="002D223B"/>
    <w:rsid w:val="002D270B"/>
    <w:rsid w:val="002D2856"/>
    <w:rsid w:val="002D3554"/>
    <w:rsid w:val="002D3B02"/>
    <w:rsid w:val="002D3B4C"/>
    <w:rsid w:val="002D4158"/>
    <w:rsid w:val="002D4AB9"/>
    <w:rsid w:val="002D4FD1"/>
    <w:rsid w:val="002D53DF"/>
    <w:rsid w:val="002D5770"/>
    <w:rsid w:val="002D6199"/>
    <w:rsid w:val="002D6210"/>
    <w:rsid w:val="002D63E1"/>
    <w:rsid w:val="002D682B"/>
    <w:rsid w:val="002D686C"/>
    <w:rsid w:val="002D711C"/>
    <w:rsid w:val="002D71FB"/>
    <w:rsid w:val="002D7235"/>
    <w:rsid w:val="002D7306"/>
    <w:rsid w:val="002D7609"/>
    <w:rsid w:val="002E0C29"/>
    <w:rsid w:val="002E10B4"/>
    <w:rsid w:val="002E1130"/>
    <w:rsid w:val="002E14F8"/>
    <w:rsid w:val="002E1D47"/>
    <w:rsid w:val="002E2384"/>
    <w:rsid w:val="002E276C"/>
    <w:rsid w:val="002E2D8E"/>
    <w:rsid w:val="002E3D90"/>
    <w:rsid w:val="002E44C2"/>
    <w:rsid w:val="002E48AC"/>
    <w:rsid w:val="002E493E"/>
    <w:rsid w:val="002E515B"/>
    <w:rsid w:val="002E5988"/>
    <w:rsid w:val="002E59B1"/>
    <w:rsid w:val="002E65A1"/>
    <w:rsid w:val="002E686C"/>
    <w:rsid w:val="002E69B4"/>
    <w:rsid w:val="002E6B11"/>
    <w:rsid w:val="002E6F72"/>
    <w:rsid w:val="002E7094"/>
    <w:rsid w:val="002E70B7"/>
    <w:rsid w:val="002E7385"/>
    <w:rsid w:val="002E7A97"/>
    <w:rsid w:val="002F056A"/>
    <w:rsid w:val="002F0891"/>
    <w:rsid w:val="002F0B42"/>
    <w:rsid w:val="002F0C79"/>
    <w:rsid w:val="002F1068"/>
    <w:rsid w:val="002F134F"/>
    <w:rsid w:val="002F13B3"/>
    <w:rsid w:val="002F1462"/>
    <w:rsid w:val="002F154D"/>
    <w:rsid w:val="002F1900"/>
    <w:rsid w:val="002F1F5D"/>
    <w:rsid w:val="002F217D"/>
    <w:rsid w:val="002F2552"/>
    <w:rsid w:val="002F2A7B"/>
    <w:rsid w:val="002F2E37"/>
    <w:rsid w:val="002F3113"/>
    <w:rsid w:val="002F4ADA"/>
    <w:rsid w:val="002F4E5A"/>
    <w:rsid w:val="002F5818"/>
    <w:rsid w:val="002F6576"/>
    <w:rsid w:val="002F6A31"/>
    <w:rsid w:val="002F6C76"/>
    <w:rsid w:val="002F6FF0"/>
    <w:rsid w:val="002F72E9"/>
    <w:rsid w:val="002F75CE"/>
    <w:rsid w:val="002F760B"/>
    <w:rsid w:val="002F7E93"/>
    <w:rsid w:val="003013BB"/>
    <w:rsid w:val="0030156D"/>
    <w:rsid w:val="003016A6"/>
    <w:rsid w:val="00301861"/>
    <w:rsid w:val="00301F4C"/>
    <w:rsid w:val="00301FE2"/>
    <w:rsid w:val="00302937"/>
    <w:rsid w:val="003038FB"/>
    <w:rsid w:val="00303F59"/>
    <w:rsid w:val="00304072"/>
    <w:rsid w:val="00304120"/>
    <w:rsid w:val="00304B66"/>
    <w:rsid w:val="003051BE"/>
    <w:rsid w:val="00305347"/>
    <w:rsid w:val="00305C6C"/>
    <w:rsid w:val="0030638D"/>
    <w:rsid w:val="003064EF"/>
    <w:rsid w:val="00306E56"/>
    <w:rsid w:val="00307CCC"/>
    <w:rsid w:val="00310967"/>
    <w:rsid w:val="00310D08"/>
    <w:rsid w:val="00311521"/>
    <w:rsid w:val="00311817"/>
    <w:rsid w:val="00311ADE"/>
    <w:rsid w:val="00312557"/>
    <w:rsid w:val="00313BB9"/>
    <w:rsid w:val="00314DAA"/>
    <w:rsid w:val="0031505D"/>
    <w:rsid w:val="0031548B"/>
    <w:rsid w:val="00315E1B"/>
    <w:rsid w:val="00315EAC"/>
    <w:rsid w:val="00316A73"/>
    <w:rsid w:val="00316C8F"/>
    <w:rsid w:val="00316EAD"/>
    <w:rsid w:val="003176D2"/>
    <w:rsid w:val="00317C67"/>
    <w:rsid w:val="00317CD8"/>
    <w:rsid w:val="00321379"/>
    <w:rsid w:val="00321626"/>
    <w:rsid w:val="003216E0"/>
    <w:rsid w:val="003217C3"/>
    <w:rsid w:val="00322736"/>
    <w:rsid w:val="003227D2"/>
    <w:rsid w:val="00322AD7"/>
    <w:rsid w:val="003232D5"/>
    <w:rsid w:val="003236DE"/>
    <w:rsid w:val="00323AC6"/>
    <w:rsid w:val="00324C8D"/>
    <w:rsid w:val="0032515E"/>
    <w:rsid w:val="00325464"/>
    <w:rsid w:val="0032546E"/>
    <w:rsid w:val="003257C8"/>
    <w:rsid w:val="003257D4"/>
    <w:rsid w:val="00325F0C"/>
    <w:rsid w:val="00326BF7"/>
    <w:rsid w:val="00326F54"/>
    <w:rsid w:val="003271D5"/>
    <w:rsid w:val="00327985"/>
    <w:rsid w:val="00327A73"/>
    <w:rsid w:val="00327B8E"/>
    <w:rsid w:val="00330093"/>
    <w:rsid w:val="00330B65"/>
    <w:rsid w:val="00330C1A"/>
    <w:rsid w:val="00331390"/>
    <w:rsid w:val="003323FE"/>
    <w:rsid w:val="00332566"/>
    <w:rsid w:val="00332BDB"/>
    <w:rsid w:val="003339F0"/>
    <w:rsid w:val="00333A6B"/>
    <w:rsid w:val="00333ED5"/>
    <w:rsid w:val="00333FBC"/>
    <w:rsid w:val="0033468B"/>
    <w:rsid w:val="0033473C"/>
    <w:rsid w:val="0033480F"/>
    <w:rsid w:val="0033524C"/>
    <w:rsid w:val="00335F07"/>
    <w:rsid w:val="00335FBC"/>
    <w:rsid w:val="003368CF"/>
    <w:rsid w:val="003368F1"/>
    <w:rsid w:val="003369B7"/>
    <w:rsid w:val="00336DC2"/>
    <w:rsid w:val="0033712B"/>
    <w:rsid w:val="003374ED"/>
    <w:rsid w:val="003375B0"/>
    <w:rsid w:val="003375B6"/>
    <w:rsid w:val="00337E4C"/>
    <w:rsid w:val="003400AE"/>
    <w:rsid w:val="003403D3"/>
    <w:rsid w:val="0034100B"/>
    <w:rsid w:val="00341B46"/>
    <w:rsid w:val="0034237B"/>
    <w:rsid w:val="0034279C"/>
    <w:rsid w:val="00343265"/>
    <w:rsid w:val="00343863"/>
    <w:rsid w:val="00343E30"/>
    <w:rsid w:val="00343F5F"/>
    <w:rsid w:val="003440B5"/>
    <w:rsid w:val="00344102"/>
    <w:rsid w:val="003445F0"/>
    <w:rsid w:val="00344C91"/>
    <w:rsid w:val="00344CEB"/>
    <w:rsid w:val="00344D56"/>
    <w:rsid w:val="0034514A"/>
    <w:rsid w:val="003466EE"/>
    <w:rsid w:val="003472A0"/>
    <w:rsid w:val="00347513"/>
    <w:rsid w:val="00347AB0"/>
    <w:rsid w:val="00347B84"/>
    <w:rsid w:val="00347DB2"/>
    <w:rsid w:val="00350325"/>
    <w:rsid w:val="00351219"/>
    <w:rsid w:val="0035157C"/>
    <w:rsid w:val="00351610"/>
    <w:rsid w:val="00353663"/>
    <w:rsid w:val="0035535B"/>
    <w:rsid w:val="00355F4E"/>
    <w:rsid w:val="0035634F"/>
    <w:rsid w:val="00356BC1"/>
    <w:rsid w:val="00357097"/>
    <w:rsid w:val="0035781A"/>
    <w:rsid w:val="003605FE"/>
    <w:rsid w:val="00360763"/>
    <w:rsid w:val="00360A2F"/>
    <w:rsid w:val="00361262"/>
    <w:rsid w:val="00361692"/>
    <w:rsid w:val="00361998"/>
    <w:rsid w:val="00362143"/>
    <w:rsid w:val="00362235"/>
    <w:rsid w:val="00362A9A"/>
    <w:rsid w:val="003630C2"/>
    <w:rsid w:val="00363C5C"/>
    <w:rsid w:val="00363CA8"/>
    <w:rsid w:val="003641C5"/>
    <w:rsid w:val="003642BD"/>
    <w:rsid w:val="00364854"/>
    <w:rsid w:val="00364ACF"/>
    <w:rsid w:val="00364D9F"/>
    <w:rsid w:val="00365358"/>
    <w:rsid w:val="003653A1"/>
    <w:rsid w:val="0036578F"/>
    <w:rsid w:val="0036597E"/>
    <w:rsid w:val="00366C7F"/>
    <w:rsid w:val="00366ED5"/>
    <w:rsid w:val="00367BDC"/>
    <w:rsid w:val="003709EC"/>
    <w:rsid w:val="00370E4A"/>
    <w:rsid w:val="003710EF"/>
    <w:rsid w:val="0037144F"/>
    <w:rsid w:val="003714EE"/>
    <w:rsid w:val="00371B67"/>
    <w:rsid w:val="0037210C"/>
    <w:rsid w:val="00374404"/>
    <w:rsid w:val="0037556A"/>
    <w:rsid w:val="003758ED"/>
    <w:rsid w:val="00375CBF"/>
    <w:rsid w:val="00375EFC"/>
    <w:rsid w:val="00375F34"/>
    <w:rsid w:val="00375FB3"/>
    <w:rsid w:val="00376164"/>
    <w:rsid w:val="003762C9"/>
    <w:rsid w:val="003764B3"/>
    <w:rsid w:val="003767D1"/>
    <w:rsid w:val="00376EC7"/>
    <w:rsid w:val="00377505"/>
    <w:rsid w:val="00377D14"/>
    <w:rsid w:val="003800A3"/>
    <w:rsid w:val="00380579"/>
    <w:rsid w:val="003815F7"/>
    <w:rsid w:val="0038176D"/>
    <w:rsid w:val="00381DBD"/>
    <w:rsid w:val="00381F8B"/>
    <w:rsid w:val="0038204D"/>
    <w:rsid w:val="003822BE"/>
    <w:rsid w:val="003824B7"/>
    <w:rsid w:val="00382AAF"/>
    <w:rsid w:val="00383069"/>
    <w:rsid w:val="003837CC"/>
    <w:rsid w:val="003844F7"/>
    <w:rsid w:val="00384A47"/>
    <w:rsid w:val="003851F2"/>
    <w:rsid w:val="00385766"/>
    <w:rsid w:val="00386C0E"/>
    <w:rsid w:val="00386E59"/>
    <w:rsid w:val="00387363"/>
    <w:rsid w:val="003901F0"/>
    <w:rsid w:val="003904B9"/>
    <w:rsid w:val="00390709"/>
    <w:rsid w:val="0039078C"/>
    <w:rsid w:val="00391082"/>
    <w:rsid w:val="0039150F"/>
    <w:rsid w:val="00391592"/>
    <w:rsid w:val="00391783"/>
    <w:rsid w:val="00391B56"/>
    <w:rsid w:val="003923A6"/>
    <w:rsid w:val="0039262F"/>
    <w:rsid w:val="003927BC"/>
    <w:rsid w:val="00392908"/>
    <w:rsid w:val="00393369"/>
    <w:rsid w:val="003939DB"/>
    <w:rsid w:val="00393F4A"/>
    <w:rsid w:val="00394187"/>
    <w:rsid w:val="0039446C"/>
    <w:rsid w:val="00394604"/>
    <w:rsid w:val="00395435"/>
    <w:rsid w:val="003954C2"/>
    <w:rsid w:val="00395CAB"/>
    <w:rsid w:val="00395CFE"/>
    <w:rsid w:val="00396744"/>
    <w:rsid w:val="003972FE"/>
    <w:rsid w:val="003975EE"/>
    <w:rsid w:val="00397C6C"/>
    <w:rsid w:val="00397EC3"/>
    <w:rsid w:val="003A16E1"/>
    <w:rsid w:val="003A2433"/>
    <w:rsid w:val="003A2748"/>
    <w:rsid w:val="003A27A7"/>
    <w:rsid w:val="003A2FAE"/>
    <w:rsid w:val="003A30F3"/>
    <w:rsid w:val="003A3F2D"/>
    <w:rsid w:val="003A3F37"/>
    <w:rsid w:val="003A45E0"/>
    <w:rsid w:val="003A4883"/>
    <w:rsid w:val="003A49F4"/>
    <w:rsid w:val="003A52E2"/>
    <w:rsid w:val="003A5FCE"/>
    <w:rsid w:val="003A6542"/>
    <w:rsid w:val="003A7052"/>
    <w:rsid w:val="003A7065"/>
    <w:rsid w:val="003B150A"/>
    <w:rsid w:val="003B36AA"/>
    <w:rsid w:val="003B3810"/>
    <w:rsid w:val="003B381C"/>
    <w:rsid w:val="003B5115"/>
    <w:rsid w:val="003B5872"/>
    <w:rsid w:val="003B5AB1"/>
    <w:rsid w:val="003B5B05"/>
    <w:rsid w:val="003B5C21"/>
    <w:rsid w:val="003B6A3B"/>
    <w:rsid w:val="003B6ABB"/>
    <w:rsid w:val="003B6ACE"/>
    <w:rsid w:val="003B6E0C"/>
    <w:rsid w:val="003C06ED"/>
    <w:rsid w:val="003C11F8"/>
    <w:rsid w:val="003C1ACB"/>
    <w:rsid w:val="003C214F"/>
    <w:rsid w:val="003C2D32"/>
    <w:rsid w:val="003C39F4"/>
    <w:rsid w:val="003C4171"/>
    <w:rsid w:val="003C4290"/>
    <w:rsid w:val="003C446A"/>
    <w:rsid w:val="003C4581"/>
    <w:rsid w:val="003C4E10"/>
    <w:rsid w:val="003C4ED7"/>
    <w:rsid w:val="003C5227"/>
    <w:rsid w:val="003C63E0"/>
    <w:rsid w:val="003C748F"/>
    <w:rsid w:val="003C7A8C"/>
    <w:rsid w:val="003D0EF9"/>
    <w:rsid w:val="003D115D"/>
    <w:rsid w:val="003D1322"/>
    <w:rsid w:val="003D1F02"/>
    <w:rsid w:val="003D2BE0"/>
    <w:rsid w:val="003D2DA0"/>
    <w:rsid w:val="003D331B"/>
    <w:rsid w:val="003D3454"/>
    <w:rsid w:val="003D4855"/>
    <w:rsid w:val="003D536B"/>
    <w:rsid w:val="003D61BE"/>
    <w:rsid w:val="003D64D0"/>
    <w:rsid w:val="003D6519"/>
    <w:rsid w:val="003D77C9"/>
    <w:rsid w:val="003E00B4"/>
    <w:rsid w:val="003E07AF"/>
    <w:rsid w:val="003E0CBC"/>
    <w:rsid w:val="003E31BF"/>
    <w:rsid w:val="003E3AF5"/>
    <w:rsid w:val="003E3E7B"/>
    <w:rsid w:val="003E42AD"/>
    <w:rsid w:val="003E42B7"/>
    <w:rsid w:val="003E45FF"/>
    <w:rsid w:val="003E50F5"/>
    <w:rsid w:val="003E6AC5"/>
    <w:rsid w:val="003E7D6A"/>
    <w:rsid w:val="003E7F87"/>
    <w:rsid w:val="003F0253"/>
    <w:rsid w:val="003F0298"/>
    <w:rsid w:val="003F0788"/>
    <w:rsid w:val="003F121B"/>
    <w:rsid w:val="003F15EB"/>
    <w:rsid w:val="003F1961"/>
    <w:rsid w:val="003F25F9"/>
    <w:rsid w:val="003F3088"/>
    <w:rsid w:val="003F30FD"/>
    <w:rsid w:val="003F3339"/>
    <w:rsid w:val="003F36E5"/>
    <w:rsid w:val="003F3968"/>
    <w:rsid w:val="003F4052"/>
    <w:rsid w:val="003F4B05"/>
    <w:rsid w:val="003F4DFA"/>
    <w:rsid w:val="003F556C"/>
    <w:rsid w:val="003F5656"/>
    <w:rsid w:val="003F5A08"/>
    <w:rsid w:val="003F668D"/>
    <w:rsid w:val="003F68CE"/>
    <w:rsid w:val="003F6B6D"/>
    <w:rsid w:val="003F6C96"/>
    <w:rsid w:val="003F74CD"/>
    <w:rsid w:val="003F7B7E"/>
    <w:rsid w:val="00400921"/>
    <w:rsid w:val="00400E1E"/>
    <w:rsid w:val="00401197"/>
    <w:rsid w:val="004013BD"/>
    <w:rsid w:val="00401ACF"/>
    <w:rsid w:val="00401E70"/>
    <w:rsid w:val="0040285B"/>
    <w:rsid w:val="00402F7B"/>
    <w:rsid w:val="00404052"/>
    <w:rsid w:val="0040578B"/>
    <w:rsid w:val="004058CC"/>
    <w:rsid w:val="00405E15"/>
    <w:rsid w:val="004064CD"/>
    <w:rsid w:val="00407D5C"/>
    <w:rsid w:val="00407ECC"/>
    <w:rsid w:val="00410043"/>
    <w:rsid w:val="004108C2"/>
    <w:rsid w:val="00410F2F"/>
    <w:rsid w:val="00411A1B"/>
    <w:rsid w:val="00411C02"/>
    <w:rsid w:val="00411EC1"/>
    <w:rsid w:val="00413518"/>
    <w:rsid w:val="00413E7B"/>
    <w:rsid w:val="004144DD"/>
    <w:rsid w:val="00414729"/>
    <w:rsid w:val="00414AB9"/>
    <w:rsid w:val="00414CFF"/>
    <w:rsid w:val="00414D3F"/>
    <w:rsid w:val="00414FE8"/>
    <w:rsid w:val="004151B1"/>
    <w:rsid w:val="00415F99"/>
    <w:rsid w:val="00416D65"/>
    <w:rsid w:val="00416F76"/>
    <w:rsid w:val="00416F9C"/>
    <w:rsid w:val="0041705D"/>
    <w:rsid w:val="004170BA"/>
    <w:rsid w:val="004172BE"/>
    <w:rsid w:val="00417593"/>
    <w:rsid w:val="00417D87"/>
    <w:rsid w:val="00420482"/>
    <w:rsid w:val="004209C8"/>
    <w:rsid w:val="00420A9A"/>
    <w:rsid w:val="00420CC6"/>
    <w:rsid w:val="00420E31"/>
    <w:rsid w:val="00420EC0"/>
    <w:rsid w:val="0042117F"/>
    <w:rsid w:val="0042129E"/>
    <w:rsid w:val="00421A49"/>
    <w:rsid w:val="00421C45"/>
    <w:rsid w:val="00421C84"/>
    <w:rsid w:val="00421D69"/>
    <w:rsid w:val="0042312D"/>
    <w:rsid w:val="004233A0"/>
    <w:rsid w:val="004246C5"/>
    <w:rsid w:val="00424E68"/>
    <w:rsid w:val="00425BB4"/>
    <w:rsid w:val="00426036"/>
    <w:rsid w:val="004264DB"/>
    <w:rsid w:val="00426AC0"/>
    <w:rsid w:val="00426B68"/>
    <w:rsid w:val="00426E2A"/>
    <w:rsid w:val="00426E3C"/>
    <w:rsid w:val="00427117"/>
    <w:rsid w:val="0042719F"/>
    <w:rsid w:val="00430038"/>
    <w:rsid w:val="00430085"/>
    <w:rsid w:val="004304D1"/>
    <w:rsid w:val="0043066B"/>
    <w:rsid w:val="004308CF"/>
    <w:rsid w:val="004309BF"/>
    <w:rsid w:val="00430AD4"/>
    <w:rsid w:val="00430CA3"/>
    <w:rsid w:val="00430F1B"/>
    <w:rsid w:val="0043106A"/>
    <w:rsid w:val="0043151B"/>
    <w:rsid w:val="00431B1D"/>
    <w:rsid w:val="00432190"/>
    <w:rsid w:val="004336D6"/>
    <w:rsid w:val="00433811"/>
    <w:rsid w:val="00434AB7"/>
    <w:rsid w:val="004352BF"/>
    <w:rsid w:val="004359EC"/>
    <w:rsid w:val="00435AD8"/>
    <w:rsid w:val="0043618D"/>
    <w:rsid w:val="00436202"/>
    <w:rsid w:val="00436E46"/>
    <w:rsid w:val="00437CB1"/>
    <w:rsid w:val="004401D9"/>
    <w:rsid w:val="00440F1D"/>
    <w:rsid w:val="00441947"/>
    <w:rsid w:val="004426F6"/>
    <w:rsid w:val="0044290E"/>
    <w:rsid w:val="00443053"/>
    <w:rsid w:val="004430EF"/>
    <w:rsid w:val="00443729"/>
    <w:rsid w:val="00443A9C"/>
    <w:rsid w:val="00443BCD"/>
    <w:rsid w:val="004440B2"/>
    <w:rsid w:val="004457AA"/>
    <w:rsid w:val="00445B5A"/>
    <w:rsid w:val="00445CF4"/>
    <w:rsid w:val="0044601F"/>
    <w:rsid w:val="004468D8"/>
    <w:rsid w:val="00446C89"/>
    <w:rsid w:val="00447B7E"/>
    <w:rsid w:val="004500DD"/>
    <w:rsid w:val="0045019E"/>
    <w:rsid w:val="0045064D"/>
    <w:rsid w:val="004519EA"/>
    <w:rsid w:val="00451A7C"/>
    <w:rsid w:val="00452BD9"/>
    <w:rsid w:val="00453257"/>
    <w:rsid w:val="004544B4"/>
    <w:rsid w:val="00454A25"/>
    <w:rsid w:val="00454DF1"/>
    <w:rsid w:val="00454EA4"/>
    <w:rsid w:val="004558CC"/>
    <w:rsid w:val="004558D9"/>
    <w:rsid w:val="00455F6F"/>
    <w:rsid w:val="0045638C"/>
    <w:rsid w:val="00456622"/>
    <w:rsid w:val="004575A4"/>
    <w:rsid w:val="00457965"/>
    <w:rsid w:val="004609A0"/>
    <w:rsid w:val="004617E2"/>
    <w:rsid w:val="00461ABA"/>
    <w:rsid w:val="00461B7A"/>
    <w:rsid w:val="0046312A"/>
    <w:rsid w:val="0046335F"/>
    <w:rsid w:val="00463627"/>
    <w:rsid w:val="00464B9F"/>
    <w:rsid w:val="00465B3B"/>
    <w:rsid w:val="00466C49"/>
    <w:rsid w:val="00466E4B"/>
    <w:rsid w:val="00467156"/>
    <w:rsid w:val="00467C70"/>
    <w:rsid w:val="0047054B"/>
    <w:rsid w:val="00470B80"/>
    <w:rsid w:val="00470E13"/>
    <w:rsid w:val="004714BF"/>
    <w:rsid w:val="0047174F"/>
    <w:rsid w:val="00471BEA"/>
    <w:rsid w:val="00472DBF"/>
    <w:rsid w:val="00473547"/>
    <w:rsid w:val="004735CE"/>
    <w:rsid w:val="00473625"/>
    <w:rsid w:val="00473C21"/>
    <w:rsid w:val="00473EAE"/>
    <w:rsid w:val="004743F2"/>
    <w:rsid w:val="00474670"/>
    <w:rsid w:val="0047487D"/>
    <w:rsid w:val="00474F3C"/>
    <w:rsid w:val="00475EE4"/>
    <w:rsid w:val="00476285"/>
    <w:rsid w:val="0047678E"/>
    <w:rsid w:val="00476DA5"/>
    <w:rsid w:val="004775DD"/>
    <w:rsid w:val="00477D23"/>
    <w:rsid w:val="00477EC2"/>
    <w:rsid w:val="00480499"/>
    <w:rsid w:val="004808CD"/>
    <w:rsid w:val="00480AD5"/>
    <w:rsid w:val="0048358B"/>
    <w:rsid w:val="00483CCC"/>
    <w:rsid w:val="004849CD"/>
    <w:rsid w:val="00484F2D"/>
    <w:rsid w:val="004852FE"/>
    <w:rsid w:val="004855CE"/>
    <w:rsid w:val="0048561F"/>
    <w:rsid w:val="00485AED"/>
    <w:rsid w:val="00485C6A"/>
    <w:rsid w:val="00486332"/>
    <w:rsid w:val="00487954"/>
    <w:rsid w:val="004903CD"/>
    <w:rsid w:val="0049074D"/>
    <w:rsid w:val="00490AF8"/>
    <w:rsid w:val="00490B86"/>
    <w:rsid w:val="0049189E"/>
    <w:rsid w:val="00492316"/>
    <w:rsid w:val="00492327"/>
    <w:rsid w:val="0049247F"/>
    <w:rsid w:val="004926B6"/>
    <w:rsid w:val="0049383C"/>
    <w:rsid w:val="00494EA4"/>
    <w:rsid w:val="00495C2B"/>
    <w:rsid w:val="00495D54"/>
    <w:rsid w:val="00495E2E"/>
    <w:rsid w:val="00496011"/>
    <w:rsid w:val="004968E6"/>
    <w:rsid w:val="004968F0"/>
    <w:rsid w:val="00496C57"/>
    <w:rsid w:val="00496CF9"/>
    <w:rsid w:val="00497779"/>
    <w:rsid w:val="00497CD9"/>
    <w:rsid w:val="004A019C"/>
    <w:rsid w:val="004A0B43"/>
    <w:rsid w:val="004A0D69"/>
    <w:rsid w:val="004A1B18"/>
    <w:rsid w:val="004A347D"/>
    <w:rsid w:val="004A3CCB"/>
    <w:rsid w:val="004A3D73"/>
    <w:rsid w:val="004A4BCA"/>
    <w:rsid w:val="004A4E7C"/>
    <w:rsid w:val="004A52FF"/>
    <w:rsid w:val="004A5964"/>
    <w:rsid w:val="004A6C4B"/>
    <w:rsid w:val="004A6CC6"/>
    <w:rsid w:val="004A6E0F"/>
    <w:rsid w:val="004A6E69"/>
    <w:rsid w:val="004A7413"/>
    <w:rsid w:val="004A74B3"/>
    <w:rsid w:val="004A7791"/>
    <w:rsid w:val="004B06B3"/>
    <w:rsid w:val="004B1565"/>
    <w:rsid w:val="004B1C4F"/>
    <w:rsid w:val="004B228E"/>
    <w:rsid w:val="004B22A1"/>
    <w:rsid w:val="004B28C8"/>
    <w:rsid w:val="004B29B2"/>
    <w:rsid w:val="004B3838"/>
    <w:rsid w:val="004B3BD4"/>
    <w:rsid w:val="004B3D6E"/>
    <w:rsid w:val="004B3D74"/>
    <w:rsid w:val="004B4034"/>
    <w:rsid w:val="004B4158"/>
    <w:rsid w:val="004B4578"/>
    <w:rsid w:val="004B46DA"/>
    <w:rsid w:val="004B49B2"/>
    <w:rsid w:val="004B4CDB"/>
    <w:rsid w:val="004B4F26"/>
    <w:rsid w:val="004B53D9"/>
    <w:rsid w:val="004B5B6B"/>
    <w:rsid w:val="004B5D63"/>
    <w:rsid w:val="004B7306"/>
    <w:rsid w:val="004B7632"/>
    <w:rsid w:val="004B781F"/>
    <w:rsid w:val="004C02A1"/>
    <w:rsid w:val="004C074A"/>
    <w:rsid w:val="004C081B"/>
    <w:rsid w:val="004C13D5"/>
    <w:rsid w:val="004C13D6"/>
    <w:rsid w:val="004C141C"/>
    <w:rsid w:val="004C14BF"/>
    <w:rsid w:val="004C2022"/>
    <w:rsid w:val="004C25A3"/>
    <w:rsid w:val="004C265B"/>
    <w:rsid w:val="004C26C3"/>
    <w:rsid w:val="004C2AA3"/>
    <w:rsid w:val="004C37AB"/>
    <w:rsid w:val="004C3B14"/>
    <w:rsid w:val="004C43C9"/>
    <w:rsid w:val="004C4541"/>
    <w:rsid w:val="004C4F50"/>
    <w:rsid w:val="004C5073"/>
    <w:rsid w:val="004C6558"/>
    <w:rsid w:val="004C65D1"/>
    <w:rsid w:val="004C6619"/>
    <w:rsid w:val="004C70BB"/>
    <w:rsid w:val="004C7B9E"/>
    <w:rsid w:val="004C7E61"/>
    <w:rsid w:val="004D03D4"/>
    <w:rsid w:val="004D0E56"/>
    <w:rsid w:val="004D0FB5"/>
    <w:rsid w:val="004D13CA"/>
    <w:rsid w:val="004D190A"/>
    <w:rsid w:val="004D1A8B"/>
    <w:rsid w:val="004D314B"/>
    <w:rsid w:val="004D443B"/>
    <w:rsid w:val="004D555C"/>
    <w:rsid w:val="004D5A0F"/>
    <w:rsid w:val="004D6D35"/>
    <w:rsid w:val="004D706C"/>
    <w:rsid w:val="004D79C2"/>
    <w:rsid w:val="004D7B13"/>
    <w:rsid w:val="004D7B7A"/>
    <w:rsid w:val="004E027A"/>
    <w:rsid w:val="004E0538"/>
    <w:rsid w:val="004E0922"/>
    <w:rsid w:val="004E0A1B"/>
    <w:rsid w:val="004E0FF2"/>
    <w:rsid w:val="004E1B54"/>
    <w:rsid w:val="004E1C0F"/>
    <w:rsid w:val="004E278B"/>
    <w:rsid w:val="004E2ADA"/>
    <w:rsid w:val="004E2E1E"/>
    <w:rsid w:val="004E314F"/>
    <w:rsid w:val="004E3863"/>
    <w:rsid w:val="004E4188"/>
    <w:rsid w:val="004E46CC"/>
    <w:rsid w:val="004E4E88"/>
    <w:rsid w:val="004E50F0"/>
    <w:rsid w:val="004E583F"/>
    <w:rsid w:val="004E68A3"/>
    <w:rsid w:val="004E6BF1"/>
    <w:rsid w:val="004E6E0A"/>
    <w:rsid w:val="004E74A8"/>
    <w:rsid w:val="004F083D"/>
    <w:rsid w:val="004F112C"/>
    <w:rsid w:val="004F1A2A"/>
    <w:rsid w:val="004F2084"/>
    <w:rsid w:val="004F2EB3"/>
    <w:rsid w:val="004F34ED"/>
    <w:rsid w:val="004F470B"/>
    <w:rsid w:val="004F4BB4"/>
    <w:rsid w:val="004F4DE1"/>
    <w:rsid w:val="004F5202"/>
    <w:rsid w:val="004F5218"/>
    <w:rsid w:val="004F5880"/>
    <w:rsid w:val="004F6822"/>
    <w:rsid w:val="004F6E0A"/>
    <w:rsid w:val="004F7054"/>
    <w:rsid w:val="004F741D"/>
    <w:rsid w:val="004F78D0"/>
    <w:rsid w:val="004F7A0E"/>
    <w:rsid w:val="004F7FED"/>
    <w:rsid w:val="0050064B"/>
    <w:rsid w:val="00500861"/>
    <w:rsid w:val="00500A16"/>
    <w:rsid w:val="00500C84"/>
    <w:rsid w:val="005014AF"/>
    <w:rsid w:val="005014C6"/>
    <w:rsid w:val="005018C0"/>
    <w:rsid w:val="00501930"/>
    <w:rsid w:val="00501E67"/>
    <w:rsid w:val="00501EF5"/>
    <w:rsid w:val="005022A8"/>
    <w:rsid w:val="005025DF"/>
    <w:rsid w:val="0050283F"/>
    <w:rsid w:val="00502ABC"/>
    <w:rsid w:val="00503541"/>
    <w:rsid w:val="00504056"/>
    <w:rsid w:val="0050449F"/>
    <w:rsid w:val="005048B0"/>
    <w:rsid w:val="005048E4"/>
    <w:rsid w:val="005049E6"/>
    <w:rsid w:val="00505609"/>
    <w:rsid w:val="005058E0"/>
    <w:rsid w:val="005063E9"/>
    <w:rsid w:val="005077EB"/>
    <w:rsid w:val="005078E6"/>
    <w:rsid w:val="005106BE"/>
    <w:rsid w:val="00510917"/>
    <w:rsid w:val="00510BE9"/>
    <w:rsid w:val="00511CAF"/>
    <w:rsid w:val="005121C9"/>
    <w:rsid w:val="005125EF"/>
    <w:rsid w:val="005128FA"/>
    <w:rsid w:val="00512A44"/>
    <w:rsid w:val="00512C12"/>
    <w:rsid w:val="00512E5D"/>
    <w:rsid w:val="00513115"/>
    <w:rsid w:val="00515E6E"/>
    <w:rsid w:val="00516E40"/>
    <w:rsid w:val="00517BCD"/>
    <w:rsid w:val="00520343"/>
    <w:rsid w:val="0052079F"/>
    <w:rsid w:val="00520819"/>
    <w:rsid w:val="00520A71"/>
    <w:rsid w:val="0052148B"/>
    <w:rsid w:val="00522DAF"/>
    <w:rsid w:val="005232C5"/>
    <w:rsid w:val="00523A41"/>
    <w:rsid w:val="00523EC8"/>
    <w:rsid w:val="00524732"/>
    <w:rsid w:val="00524EFF"/>
    <w:rsid w:val="00525718"/>
    <w:rsid w:val="00525A34"/>
    <w:rsid w:val="00526E26"/>
    <w:rsid w:val="00526F36"/>
    <w:rsid w:val="0052750D"/>
    <w:rsid w:val="00527B4A"/>
    <w:rsid w:val="005303C9"/>
    <w:rsid w:val="005305F8"/>
    <w:rsid w:val="00530C98"/>
    <w:rsid w:val="00530FE8"/>
    <w:rsid w:val="0053106D"/>
    <w:rsid w:val="00531587"/>
    <w:rsid w:val="005317D1"/>
    <w:rsid w:val="00532073"/>
    <w:rsid w:val="005329B2"/>
    <w:rsid w:val="00532A7D"/>
    <w:rsid w:val="005331C9"/>
    <w:rsid w:val="00533D97"/>
    <w:rsid w:val="00533E1E"/>
    <w:rsid w:val="00533F93"/>
    <w:rsid w:val="00534F7B"/>
    <w:rsid w:val="005359C4"/>
    <w:rsid w:val="0053622B"/>
    <w:rsid w:val="0053665A"/>
    <w:rsid w:val="005375FF"/>
    <w:rsid w:val="0053797D"/>
    <w:rsid w:val="00541F9A"/>
    <w:rsid w:val="00542859"/>
    <w:rsid w:val="005434D7"/>
    <w:rsid w:val="00543DA4"/>
    <w:rsid w:val="00543F8F"/>
    <w:rsid w:val="00544500"/>
    <w:rsid w:val="00544623"/>
    <w:rsid w:val="00544698"/>
    <w:rsid w:val="00544BC2"/>
    <w:rsid w:val="00545818"/>
    <w:rsid w:val="005459C6"/>
    <w:rsid w:val="00545E3C"/>
    <w:rsid w:val="0054648A"/>
    <w:rsid w:val="00546A16"/>
    <w:rsid w:val="005472E5"/>
    <w:rsid w:val="005503C7"/>
    <w:rsid w:val="005505E7"/>
    <w:rsid w:val="00550A26"/>
    <w:rsid w:val="00551111"/>
    <w:rsid w:val="00551C73"/>
    <w:rsid w:val="00551DD6"/>
    <w:rsid w:val="0055258A"/>
    <w:rsid w:val="005534C0"/>
    <w:rsid w:val="00554195"/>
    <w:rsid w:val="00554AA0"/>
    <w:rsid w:val="00555A5E"/>
    <w:rsid w:val="00555CBD"/>
    <w:rsid w:val="00555D62"/>
    <w:rsid w:val="0055615F"/>
    <w:rsid w:val="0055679F"/>
    <w:rsid w:val="00556F8E"/>
    <w:rsid w:val="00557A99"/>
    <w:rsid w:val="00557B96"/>
    <w:rsid w:val="00557CF1"/>
    <w:rsid w:val="00560CF9"/>
    <w:rsid w:val="00561417"/>
    <w:rsid w:val="00561B65"/>
    <w:rsid w:val="005630C9"/>
    <w:rsid w:val="00563380"/>
    <w:rsid w:val="00563A7C"/>
    <w:rsid w:val="00563AD8"/>
    <w:rsid w:val="00563BE4"/>
    <w:rsid w:val="0056429D"/>
    <w:rsid w:val="00564765"/>
    <w:rsid w:val="00564BE8"/>
    <w:rsid w:val="00566824"/>
    <w:rsid w:val="00566E14"/>
    <w:rsid w:val="00566F41"/>
    <w:rsid w:val="00567079"/>
    <w:rsid w:val="0056725B"/>
    <w:rsid w:val="0056784B"/>
    <w:rsid w:val="00567E9F"/>
    <w:rsid w:val="00570024"/>
    <w:rsid w:val="005700DA"/>
    <w:rsid w:val="00570160"/>
    <w:rsid w:val="0057063C"/>
    <w:rsid w:val="00570E5B"/>
    <w:rsid w:val="0057157F"/>
    <w:rsid w:val="00571CE1"/>
    <w:rsid w:val="00572F66"/>
    <w:rsid w:val="00573C27"/>
    <w:rsid w:val="00574064"/>
    <w:rsid w:val="00574FE1"/>
    <w:rsid w:val="00575710"/>
    <w:rsid w:val="00575749"/>
    <w:rsid w:val="00576AB8"/>
    <w:rsid w:val="00576EBE"/>
    <w:rsid w:val="00577C6B"/>
    <w:rsid w:val="00577E2E"/>
    <w:rsid w:val="00577F94"/>
    <w:rsid w:val="00580525"/>
    <w:rsid w:val="00581131"/>
    <w:rsid w:val="00581762"/>
    <w:rsid w:val="005819E8"/>
    <w:rsid w:val="00582576"/>
    <w:rsid w:val="00582C91"/>
    <w:rsid w:val="00583A4D"/>
    <w:rsid w:val="00583D5B"/>
    <w:rsid w:val="0058421F"/>
    <w:rsid w:val="005842E0"/>
    <w:rsid w:val="005847CE"/>
    <w:rsid w:val="00584982"/>
    <w:rsid w:val="00584B27"/>
    <w:rsid w:val="005871D9"/>
    <w:rsid w:val="00587A6A"/>
    <w:rsid w:val="00587A8A"/>
    <w:rsid w:val="0059024B"/>
    <w:rsid w:val="005915B2"/>
    <w:rsid w:val="00592342"/>
    <w:rsid w:val="0059295B"/>
    <w:rsid w:val="0059346E"/>
    <w:rsid w:val="0059363C"/>
    <w:rsid w:val="00593DB9"/>
    <w:rsid w:val="005946AD"/>
    <w:rsid w:val="00594D10"/>
    <w:rsid w:val="005952C7"/>
    <w:rsid w:val="0059538D"/>
    <w:rsid w:val="00595AEA"/>
    <w:rsid w:val="00595B18"/>
    <w:rsid w:val="00595C3E"/>
    <w:rsid w:val="005962AA"/>
    <w:rsid w:val="0059640F"/>
    <w:rsid w:val="005968EE"/>
    <w:rsid w:val="00596B25"/>
    <w:rsid w:val="005A1438"/>
    <w:rsid w:val="005A1443"/>
    <w:rsid w:val="005A15A2"/>
    <w:rsid w:val="005A1A56"/>
    <w:rsid w:val="005A1E4B"/>
    <w:rsid w:val="005A1F1C"/>
    <w:rsid w:val="005A1FBF"/>
    <w:rsid w:val="005A2261"/>
    <w:rsid w:val="005A2B6B"/>
    <w:rsid w:val="005A3BCA"/>
    <w:rsid w:val="005A41D7"/>
    <w:rsid w:val="005A4648"/>
    <w:rsid w:val="005A4B20"/>
    <w:rsid w:val="005A4BE1"/>
    <w:rsid w:val="005A4C55"/>
    <w:rsid w:val="005A4EA5"/>
    <w:rsid w:val="005A54B2"/>
    <w:rsid w:val="005A5881"/>
    <w:rsid w:val="005A5E0E"/>
    <w:rsid w:val="005A5E10"/>
    <w:rsid w:val="005A64E0"/>
    <w:rsid w:val="005A6A62"/>
    <w:rsid w:val="005A6C1F"/>
    <w:rsid w:val="005A7691"/>
    <w:rsid w:val="005B009B"/>
    <w:rsid w:val="005B11E0"/>
    <w:rsid w:val="005B1430"/>
    <w:rsid w:val="005B1858"/>
    <w:rsid w:val="005B1A3D"/>
    <w:rsid w:val="005B1A91"/>
    <w:rsid w:val="005B2240"/>
    <w:rsid w:val="005B2DCB"/>
    <w:rsid w:val="005B3AEA"/>
    <w:rsid w:val="005B40CD"/>
    <w:rsid w:val="005B5039"/>
    <w:rsid w:val="005B53BF"/>
    <w:rsid w:val="005B57EF"/>
    <w:rsid w:val="005B5823"/>
    <w:rsid w:val="005B5864"/>
    <w:rsid w:val="005B5A30"/>
    <w:rsid w:val="005B60D4"/>
    <w:rsid w:val="005B6152"/>
    <w:rsid w:val="005B6A09"/>
    <w:rsid w:val="005B6A4B"/>
    <w:rsid w:val="005B6AE7"/>
    <w:rsid w:val="005B6B79"/>
    <w:rsid w:val="005B731B"/>
    <w:rsid w:val="005B7B1E"/>
    <w:rsid w:val="005B7B41"/>
    <w:rsid w:val="005B7C32"/>
    <w:rsid w:val="005C0157"/>
    <w:rsid w:val="005C0A63"/>
    <w:rsid w:val="005C15A4"/>
    <w:rsid w:val="005C1F34"/>
    <w:rsid w:val="005C1F37"/>
    <w:rsid w:val="005C22C1"/>
    <w:rsid w:val="005C3331"/>
    <w:rsid w:val="005C3982"/>
    <w:rsid w:val="005C4E38"/>
    <w:rsid w:val="005C4F5A"/>
    <w:rsid w:val="005C52D8"/>
    <w:rsid w:val="005C5474"/>
    <w:rsid w:val="005C59A1"/>
    <w:rsid w:val="005C59E8"/>
    <w:rsid w:val="005C5ACA"/>
    <w:rsid w:val="005C5DEE"/>
    <w:rsid w:val="005C6280"/>
    <w:rsid w:val="005C6477"/>
    <w:rsid w:val="005C6A15"/>
    <w:rsid w:val="005C6E04"/>
    <w:rsid w:val="005D0088"/>
    <w:rsid w:val="005D0323"/>
    <w:rsid w:val="005D0A00"/>
    <w:rsid w:val="005D0EBE"/>
    <w:rsid w:val="005D15F2"/>
    <w:rsid w:val="005D23EF"/>
    <w:rsid w:val="005D29C8"/>
    <w:rsid w:val="005D2CBE"/>
    <w:rsid w:val="005D3B30"/>
    <w:rsid w:val="005D3C6C"/>
    <w:rsid w:val="005D4B86"/>
    <w:rsid w:val="005D4E2D"/>
    <w:rsid w:val="005D4F43"/>
    <w:rsid w:val="005D52CA"/>
    <w:rsid w:val="005D5566"/>
    <w:rsid w:val="005D5952"/>
    <w:rsid w:val="005D5E6B"/>
    <w:rsid w:val="005D65DA"/>
    <w:rsid w:val="005D6950"/>
    <w:rsid w:val="005D7877"/>
    <w:rsid w:val="005D7FEB"/>
    <w:rsid w:val="005E0107"/>
    <w:rsid w:val="005E0A32"/>
    <w:rsid w:val="005E0D9B"/>
    <w:rsid w:val="005E1120"/>
    <w:rsid w:val="005E1194"/>
    <w:rsid w:val="005E1227"/>
    <w:rsid w:val="005E2074"/>
    <w:rsid w:val="005E22F1"/>
    <w:rsid w:val="005E2A78"/>
    <w:rsid w:val="005E2E03"/>
    <w:rsid w:val="005E3660"/>
    <w:rsid w:val="005E3C16"/>
    <w:rsid w:val="005E3D69"/>
    <w:rsid w:val="005E3FF7"/>
    <w:rsid w:val="005E48ED"/>
    <w:rsid w:val="005E4A3E"/>
    <w:rsid w:val="005E4B8A"/>
    <w:rsid w:val="005E4D23"/>
    <w:rsid w:val="005E5C1A"/>
    <w:rsid w:val="005E5F1E"/>
    <w:rsid w:val="005E5F4D"/>
    <w:rsid w:val="005E5FCE"/>
    <w:rsid w:val="005E60D5"/>
    <w:rsid w:val="005E69E5"/>
    <w:rsid w:val="005E714C"/>
    <w:rsid w:val="005E7E38"/>
    <w:rsid w:val="005F0865"/>
    <w:rsid w:val="005F08C2"/>
    <w:rsid w:val="005F19CE"/>
    <w:rsid w:val="005F2C55"/>
    <w:rsid w:val="005F341D"/>
    <w:rsid w:val="005F3827"/>
    <w:rsid w:val="005F3D90"/>
    <w:rsid w:val="005F3E62"/>
    <w:rsid w:val="005F4366"/>
    <w:rsid w:val="005F4508"/>
    <w:rsid w:val="005F5578"/>
    <w:rsid w:val="005F5612"/>
    <w:rsid w:val="005F56C2"/>
    <w:rsid w:val="005F5725"/>
    <w:rsid w:val="005F5985"/>
    <w:rsid w:val="005F5F76"/>
    <w:rsid w:val="005F6043"/>
    <w:rsid w:val="005F65B3"/>
    <w:rsid w:val="005F7147"/>
    <w:rsid w:val="005F7217"/>
    <w:rsid w:val="005F73D6"/>
    <w:rsid w:val="005F7A03"/>
    <w:rsid w:val="005F7A93"/>
    <w:rsid w:val="005F7B07"/>
    <w:rsid w:val="0060005E"/>
    <w:rsid w:val="00600311"/>
    <w:rsid w:val="00600AE8"/>
    <w:rsid w:val="00600DCD"/>
    <w:rsid w:val="00600E4A"/>
    <w:rsid w:val="0060116F"/>
    <w:rsid w:val="00601195"/>
    <w:rsid w:val="00601BE7"/>
    <w:rsid w:val="00601D0C"/>
    <w:rsid w:val="00601DE2"/>
    <w:rsid w:val="00602003"/>
    <w:rsid w:val="006023F2"/>
    <w:rsid w:val="00602A1C"/>
    <w:rsid w:val="00604001"/>
    <w:rsid w:val="00604281"/>
    <w:rsid w:val="00604F23"/>
    <w:rsid w:val="00605A25"/>
    <w:rsid w:val="00605CD1"/>
    <w:rsid w:val="00606E11"/>
    <w:rsid w:val="0060738A"/>
    <w:rsid w:val="00607E4C"/>
    <w:rsid w:val="00607F91"/>
    <w:rsid w:val="0061129A"/>
    <w:rsid w:val="006114A8"/>
    <w:rsid w:val="006119E2"/>
    <w:rsid w:val="0061202C"/>
    <w:rsid w:val="0061244D"/>
    <w:rsid w:val="00612521"/>
    <w:rsid w:val="00612FCA"/>
    <w:rsid w:val="00613167"/>
    <w:rsid w:val="0061362D"/>
    <w:rsid w:val="00613B0D"/>
    <w:rsid w:val="00613F05"/>
    <w:rsid w:val="00614863"/>
    <w:rsid w:val="00614BD8"/>
    <w:rsid w:val="00614DDB"/>
    <w:rsid w:val="0061554F"/>
    <w:rsid w:val="00615571"/>
    <w:rsid w:val="00615B21"/>
    <w:rsid w:val="00615C49"/>
    <w:rsid w:val="0061631D"/>
    <w:rsid w:val="006168BF"/>
    <w:rsid w:val="00616B1F"/>
    <w:rsid w:val="00617D7F"/>
    <w:rsid w:val="006200B9"/>
    <w:rsid w:val="00620EA8"/>
    <w:rsid w:val="006213AD"/>
    <w:rsid w:val="0062204C"/>
    <w:rsid w:val="0062210B"/>
    <w:rsid w:val="00623B56"/>
    <w:rsid w:val="00623E9D"/>
    <w:rsid w:val="006244CB"/>
    <w:rsid w:val="00624A81"/>
    <w:rsid w:val="00624D92"/>
    <w:rsid w:val="00625412"/>
    <w:rsid w:val="0062569F"/>
    <w:rsid w:val="00626167"/>
    <w:rsid w:val="006265F9"/>
    <w:rsid w:val="006266A0"/>
    <w:rsid w:val="00626900"/>
    <w:rsid w:val="00626AE4"/>
    <w:rsid w:val="00626B04"/>
    <w:rsid w:val="00626B10"/>
    <w:rsid w:val="00627C21"/>
    <w:rsid w:val="00627C32"/>
    <w:rsid w:val="006301E2"/>
    <w:rsid w:val="0063056A"/>
    <w:rsid w:val="0063076D"/>
    <w:rsid w:val="00630C10"/>
    <w:rsid w:val="00631022"/>
    <w:rsid w:val="00631421"/>
    <w:rsid w:val="006315CB"/>
    <w:rsid w:val="00631612"/>
    <w:rsid w:val="006323CF"/>
    <w:rsid w:val="00633068"/>
    <w:rsid w:val="006332F1"/>
    <w:rsid w:val="0063397A"/>
    <w:rsid w:val="00634461"/>
    <w:rsid w:val="0063494B"/>
    <w:rsid w:val="00634C6B"/>
    <w:rsid w:val="00635250"/>
    <w:rsid w:val="006358CA"/>
    <w:rsid w:val="00635923"/>
    <w:rsid w:val="00635E9D"/>
    <w:rsid w:val="0063641F"/>
    <w:rsid w:val="00636CFD"/>
    <w:rsid w:val="00637662"/>
    <w:rsid w:val="00640629"/>
    <w:rsid w:val="006411B2"/>
    <w:rsid w:val="00641DB1"/>
    <w:rsid w:val="006423E0"/>
    <w:rsid w:val="00642486"/>
    <w:rsid w:val="00642FCA"/>
    <w:rsid w:val="00643034"/>
    <w:rsid w:val="00643220"/>
    <w:rsid w:val="00643C82"/>
    <w:rsid w:val="00643F14"/>
    <w:rsid w:val="006440DE"/>
    <w:rsid w:val="00644BF6"/>
    <w:rsid w:val="00644E2A"/>
    <w:rsid w:val="00645557"/>
    <w:rsid w:val="006455AC"/>
    <w:rsid w:val="0064561E"/>
    <w:rsid w:val="00645867"/>
    <w:rsid w:val="00645EA9"/>
    <w:rsid w:val="00646448"/>
    <w:rsid w:val="0064662F"/>
    <w:rsid w:val="006468CA"/>
    <w:rsid w:val="00650983"/>
    <w:rsid w:val="00650A45"/>
    <w:rsid w:val="00650A51"/>
    <w:rsid w:val="00650BFF"/>
    <w:rsid w:val="0065110A"/>
    <w:rsid w:val="00651562"/>
    <w:rsid w:val="006515CA"/>
    <w:rsid w:val="00652417"/>
    <w:rsid w:val="00652780"/>
    <w:rsid w:val="00653227"/>
    <w:rsid w:val="006533DB"/>
    <w:rsid w:val="006535A9"/>
    <w:rsid w:val="00653958"/>
    <w:rsid w:val="00653A06"/>
    <w:rsid w:val="00653CFE"/>
    <w:rsid w:val="00653DC8"/>
    <w:rsid w:val="00654892"/>
    <w:rsid w:val="00654E84"/>
    <w:rsid w:val="00655088"/>
    <w:rsid w:val="00655246"/>
    <w:rsid w:val="00655356"/>
    <w:rsid w:val="00655666"/>
    <w:rsid w:val="00655ED6"/>
    <w:rsid w:val="0065618D"/>
    <w:rsid w:val="00656392"/>
    <w:rsid w:val="0065736E"/>
    <w:rsid w:val="00657D53"/>
    <w:rsid w:val="0066069E"/>
    <w:rsid w:val="00660DD0"/>
    <w:rsid w:val="00660E24"/>
    <w:rsid w:val="00661B6A"/>
    <w:rsid w:val="00661DF8"/>
    <w:rsid w:val="00662838"/>
    <w:rsid w:val="00662B7F"/>
    <w:rsid w:val="00662C45"/>
    <w:rsid w:val="00662EDF"/>
    <w:rsid w:val="006630BE"/>
    <w:rsid w:val="006635BB"/>
    <w:rsid w:val="0066378E"/>
    <w:rsid w:val="006654DA"/>
    <w:rsid w:val="00665631"/>
    <w:rsid w:val="00665EBD"/>
    <w:rsid w:val="00666190"/>
    <w:rsid w:val="00666278"/>
    <w:rsid w:val="0066693F"/>
    <w:rsid w:val="00667149"/>
    <w:rsid w:val="00667C5E"/>
    <w:rsid w:val="00670E83"/>
    <w:rsid w:val="006713FE"/>
    <w:rsid w:val="006718D5"/>
    <w:rsid w:val="00671B3D"/>
    <w:rsid w:val="00671E9C"/>
    <w:rsid w:val="00672147"/>
    <w:rsid w:val="006724B3"/>
    <w:rsid w:val="00672688"/>
    <w:rsid w:val="006728A0"/>
    <w:rsid w:val="00672D2C"/>
    <w:rsid w:val="00673226"/>
    <w:rsid w:val="00673B71"/>
    <w:rsid w:val="006740C8"/>
    <w:rsid w:val="00674405"/>
    <w:rsid w:val="006760A4"/>
    <w:rsid w:val="00676C52"/>
    <w:rsid w:val="0068014E"/>
    <w:rsid w:val="00680163"/>
    <w:rsid w:val="006801E7"/>
    <w:rsid w:val="006803A1"/>
    <w:rsid w:val="00680499"/>
    <w:rsid w:val="006817B0"/>
    <w:rsid w:val="00682EB5"/>
    <w:rsid w:val="00682F47"/>
    <w:rsid w:val="006832C5"/>
    <w:rsid w:val="00683476"/>
    <w:rsid w:val="006836B9"/>
    <w:rsid w:val="006846A2"/>
    <w:rsid w:val="00685864"/>
    <w:rsid w:val="00685B03"/>
    <w:rsid w:val="00686FB4"/>
    <w:rsid w:val="00687555"/>
    <w:rsid w:val="00687803"/>
    <w:rsid w:val="0069056F"/>
    <w:rsid w:val="00690B53"/>
    <w:rsid w:val="0069115F"/>
    <w:rsid w:val="00691430"/>
    <w:rsid w:val="00691557"/>
    <w:rsid w:val="00691B38"/>
    <w:rsid w:val="00691CE8"/>
    <w:rsid w:val="00691D26"/>
    <w:rsid w:val="006920C2"/>
    <w:rsid w:val="006922B7"/>
    <w:rsid w:val="006926DA"/>
    <w:rsid w:val="00693F32"/>
    <w:rsid w:val="00694067"/>
    <w:rsid w:val="0069465C"/>
    <w:rsid w:val="00694855"/>
    <w:rsid w:val="00694AFE"/>
    <w:rsid w:val="00694F01"/>
    <w:rsid w:val="006951CA"/>
    <w:rsid w:val="0069556A"/>
    <w:rsid w:val="006959FB"/>
    <w:rsid w:val="00696307"/>
    <w:rsid w:val="0069639A"/>
    <w:rsid w:val="00696689"/>
    <w:rsid w:val="00696C06"/>
    <w:rsid w:val="00697A2E"/>
    <w:rsid w:val="00697CD7"/>
    <w:rsid w:val="006A0547"/>
    <w:rsid w:val="006A07D6"/>
    <w:rsid w:val="006A08D0"/>
    <w:rsid w:val="006A0B42"/>
    <w:rsid w:val="006A0D2F"/>
    <w:rsid w:val="006A1030"/>
    <w:rsid w:val="006A151E"/>
    <w:rsid w:val="006A25E6"/>
    <w:rsid w:val="006A279B"/>
    <w:rsid w:val="006A2E29"/>
    <w:rsid w:val="006A34C9"/>
    <w:rsid w:val="006A37F5"/>
    <w:rsid w:val="006A4AEF"/>
    <w:rsid w:val="006A4B35"/>
    <w:rsid w:val="006A5248"/>
    <w:rsid w:val="006A5391"/>
    <w:rsid w:val="006A5622"/>
    <w:rsid w:val="006A5FF3"/>
    <w:rsid w:val="006A66C9"/>
    <w:rsid w:val="006A690D"/>
    <w:rsid w:val="006A6AE9"/>
    <w:rsid w:val="006A6B2E"/>
    <w:rsid w:val="006A6B3D"/>
    <w:rsid w:val="006A72B2"/>
    <w:rsid w:val="006A73E8"/>
    <w:rsid w:val="006A7531"/>
    <w:rsid w:val="006A7EB3"/>
    <w:rsid w:val="006B0A1B"/>
    <w:rsid w:val="006B0FE6"/>
    <w:rsid w:val="006B14EE"/>
    <w:rsid w:val="006B238B"/>
    <w:rsid w:val="006B24CF"/>
    <w:rsid w:val="006B280D"/>
    <w:rsid w:val="006B2F78"/>
    <w:rsid w:val="006B30C0"/>
    <w:rsid w:val="006B31BE"/>
    <w:rsid w:val="006B374E"/>
    <w:rsid w:val="006B4436"/>
    <w:rsid w:val="006B4D6C"/>
    <w:rsid w:val="006B4F2B"/>
    <w:rsid w:val="006B5221"/>
    <w:rsid w:val="006B5C9F"/>
    <w:rsid w:val="006B5FF7"/>
    <w:rsid w:val="006B62A2"/>
    <w:rsid w:val="006B6A94"/>
    <w:rsid w:val="006B6F7D"/>
    <w:rsid w:val="006B7047"/>
    <w:rsid w:val="006B739F"/>
    <w:rsid w:val="006C1DE2"/>
    <w:rsid w:val="006C2671"/>
    <w:rsid w:val="006C2D26"/>
    <w:rsid w:val="006C2EAB"/>
    <w:rsid w:val="006C344B"/>
    <w:rsid w:val="006C3774"/>
    <w:rsid w:val="006C3E0F"/>
    <w:rsid w:val="006C4037"/>
    <w:rsid w:val="006C4177"/>
    <w:rsid w:val="006C48FD"/>
    <w:rsid w:val="006C4904"/>
    <w:rsid w:val="006C4EC9"/>
    <w:rsid w:val="006C4F7F"/>
    <w:rsid w:val="006C513B"/>
    <w:rsid w:val="006C5272"/>
    <w:rsid w:val="006C5CF9"/>
    <w:rsid w:val="006C6184"/>
    <w:rsid w:val="006C6434"/>
    <w:rsid w:val="006C6531"/>
    <w:rsid w:val="006C774B"/>
    <w:rsid w:val="006C7B6A"/>
    <w:rsid w:val="006C7CBB"/>
    <w:rsid w:val="006C7CDC"/>
    <w:rsid w:val="006D051A"/>
    <w:rsid w:val="006D0A5E"/>
    <w:rsid w:val="006D0C5B"/>
    <w:rsid w:val="006D0D6F"/>
    <w:rsid w:val="006D0E18"/>
    <w:rsid w:val="006D1A2F"/>
    <w:rsid w:val="006D1EA6"/>
    <w:rsid w:val="006D2537"/>
    <w:rsid w:val="006D2651"/>
    <w:rsid w:val="006D3271"/>
    <w:rsid w:val="006D3C69"/>
    <w:rsid w:val="006D4384"/>
    <w:rsid w:val="006D4CD9"/>
    <w:rsid w:val="006D67BF"/>
    <w:rsid w:val="006D69D8"/>
    <w:rsid w:val="006D6E5A"/>
    <w:rsid w:val="006E0323"/>
    <w:rsid w:val="006E09B6"/>
    <w:rsid w:val="006E10BA"/>
    <w:rsid w:val="006E1198"/>
    <w:rsid w:val="006E122E"/>
    <w:rsid w:val="006E12A8"/>
    <w:rsid w:val="006E13C0"/>
    <w:rsid w:val="006E153B"/>
    <w:rsid w:val="006E1818"/>
    <w:rsid w:val="006E1A91"/>
    <w:rsid w:val="006E2341"/>
    <w:rsid w:val="006E25DC"/>
    <w:rsid w:val="006E2D7C"/>
    <w:rsid w:val="006E315B"/>
    <w:rsid w:val="006E33EF"/>
    <w:rsid w:val="006E355E"/>
    <w:rsid w:val="006E42BF"/>
    <w:rsid w:val="006E42E2"/>
    <w:rsid w:val="006E559A"/>
    <w:rsid w:val="006E57FB"/>
    <w:rsid w:val="006E6549"/>
    <w:rsid w:val="006E6AB5"/>
    <w:rsid w:val="006E6B2B"/>
    <w:rsid w:val="006E743D"/>
    <w:rsid w:val="006F0153"/>
    <w:rsid w:val="006F0F9D"/>
    <w:rsid w:val="006F11C8"/>
    <w:rsid w:val="006F1AD2"/>
    <w:rsid w:val="006F1E22"/>
    <w:rsid w:val="006F282F"/>
    <w:rsid w:val="006F28C7"/>
    <w:rsid w:val="006F29EA"/>
    <w:rsid w:val="006F2D91"/>
    <w:rsid w:val="006F3808"/>
    <w:rsid w:val="006F38EF"/>
    <w:rsid w:val="006F4089"/>
    <w:rsid w:val="006F53CE"/>
    <w:rsid w:val="006F6182"/>
    <w:rsid w:val="006F62F2"/>
    <w:rsid w:val="006F647A"/>
    <w:rsid w:val="006F6A7C"/>
    <w:rsid w:val="006F6A9D"/>
    <w:rsid w:val="006F6BBF"/>
    <w:rsid w:val="006F78E3"/>
    <w:rsid w:val="006F7ED2"/>
    <w:rsid w:val="006F7F37"/>
    <w:rsid w:val="00700844"/>
    <w:rsid w:val="00700921"/>
    <w:rsid w:val="00701ED2"/>
    <w:rsid w:val="007025D0"/>
    <w:rsid w:val="00703C67"/>
    <w:rsid w:val="00703E20"/>
    <w:rsid w:val="00704051"/>
    <w:rsid w:val="007040CB"/>
    <w:rsid w:val="0070437D"/>
    <w:rsid w:val="007044C8"/>
    <w:rsid w:val="007044FE"/>
    <w:rsid w:val="00704FF1"/>
    <w:rsid w:val="00706881"/>
    <w:rsid w:val="00706AC1"/>
    <w:rsid w:val="00706B99"/>
    <w:rsid w:val="00706ECF"/>
    <w:rsid w:val="0070752C"/>
    <w:rsid w:val="00707B2F"/>
    <w:rsid w:val="00707B95"/>
    <w:rsid w:val="007103A0"/>
    <w:rsid w:val="00710792"/>
    <w:rsid w:val="00710A12"/>
    <w:rsid w:val="00711083"/>
    <w:rsid w:val="00711A46"/>
    <w:rsid w:val="00711BA5"/>
    <w:rsid w:val="007127F4"/>
    <w:rsid w:val="00713742"/>
    <w:rsid w:val="00713CF5"/>
    <w:rsid w:val="00714B9A"/>
    <w:rsid w:val="00715BAE"/>
    <w:rsid w:val="00715DCE"/>
    <w:rsid w:val="007163AB"/>
    <w:rsid w:val="00716722"/>
    <w:rsid w:val="0071701B"/>
    <w:rsid w:val="0071744E"/>
    <w:rsid w:val="0071799F"/>
    <w:rsid w:val="00717CCA"/>
    <w:rsid w:val="007202C6"/>
    <w:rsid w:val="007212DF"/>
    <w:rsid w:val="0072152B"/>
    <w:rsid w:val="00721975"/>
    <w:rsid w:val="00721B2F"/>
    <w:rsid w:val="0072273D"/>
    <w:rsid w:val="00722BCD"/>
    <w:rsid w:val="00722CF7"/>
    <w:rsid w:val="00723D6E"/>
    <w:rsid w:val="00723F1F"/>
    <w:rsid w:val="0072493F"/>
    <w:rsid w:val="00725298"/>
    <w:rsid w:val="00725A99"/>
    <w:rsid w:val="00725BE8"/>
    <w:rsid w:val="00726089"/>
    <w:rsid w:val="00726238"/>
    <w:rsid w:val="00726527"/>
    <w:rsid w:val="0072673A"/>
    <w:rsid w:val="00726F4F"/>
    <w:rsid w:val="0072729B"/>
    <w:rsid w:val="00727A62"/>
    <w:rsid w:val="00727C1A"/>
    <w:rsid w:val="007305F3"/>
    <w:rsid w:val="0073151A"/>
    <w:rsid w:val="00731722"/>
    <w:rsid w:val="00731D0B"/>
    <w:rsid w:val="007321C5"/>
    <w:rsid w:val="00732880"/>
    <w:rsid w:val="00732DA5"/>
    <w:rsid w:val="00732E2B"/>
    <w:rsid w:val="00734571"/>
    <w:rsid w:val="00734E1A"/>
    <w:rsid w:val="00735F3E"/>
    <w:rsid w:val="0073716D"/>
    <w:rsid w:val="007372A0"/>
    <w:rsid w:val="007378BA"/>
    <w:rsid w:val="00737D93"/>
    <w:rsid w:val="00740720"/>
    <w:rsid w:val="0074140F"/>
    <w:rsid w:val="00741630"/>
    <w:rsid w:val="007422C3"/>
    <w:rsid w:val="007427A1"/>
    <w:rsid w:val="007428C1"/>
    <w:rsid w:val="00742E63"/>
    <w:rsid w:val="00743597"/>
    <w:rsid w:val="00743B4F"/>
    <w:rsid w:val="00744144"/>
    <w:rsid w:val="007451A6"/>
    <w:rsid w:val="007451C2"/>
    <w:rsid w:val="00745213"/>
    <w:rsid w:val="0074543F"/>
    <w:rsid w:val="00745FD5"/>
    <w:rsid w:val="00746A1D"/>
    <w:rsid w:val="007471DF"/>
    <w:rsid w:val="00747563"/>
    <w:rsid w:val="007501BF"/>
    <w:rsid w:val="00750DC3"/>
    <w:rsid w:val="00751C7E"/>
    <w:rsid w:val="00753041"/>
    <w:rsid w:val="0075339F"/>
    <w:rsid w:val="00753AC0"/>
    <w:rsid w:val="00753E57"/>
    <w:rsid w:val="00754230"/>
    <w:rsid w:val="007551B0"/>
    <w:rsid w:val="0075588E"/>
    <w:rsid w:val="00755E6D"/>
    <w:rsid w:val="007563CE"/>
    <w:rsid w:val="00756902"/>
    <w:rsid w:val="00756F42"/>
    <w:rsid w:val="00757301"/>
    <w:rsid w:val="007573B4"/>
    <w:rsid w:val="00757BA2"/>
    <w:rsid w:val="00757D4C"/>
    <w:rsid w:val="00760DE6"/>
    <w:rsid w:val="007611E2"/>
    <w:rsid w:val="00761A44"/>
    <w:rsid w:val="00761C11"/>
    <w:rsid w:val="00761C55"/>
    <w:rsid w:val="00761D8F"/>
    <w:rsid w:val="007622D8"/>
    <w:rsid w:val="00762480"/>
    <w:rsid w:val="00762CD2"/>
    <w:rsid w:val="0076314D"/>
    <w:rsid w:val="00763210"/>
    <w:rsid w:val="00764333"/>
    <w:rsid w:val="00765015"/>
    <w:rsid w:val="0076572D"/>
    <w:rsid w:val="00765F77"/>
    <w:rsid w:val="00767575"/>
    <w:rsid w:val="00770163"/>
    <w:rsid w:val="00770B2C"/>
    <w:rsid w:val="00770C13"/>
    <w:rsid w:val="007713FD"/>
    <w:rsid w:val="007714F7"/>
    <w:rsid w:val="007716A5"/>
    <w:rsid w:val="0077205F"/>
    <w:rsid w:val="00772665"/>
    <w:rsid w:val="00772EB1"/>
    <w:rsid w:val="00772F5F"/>
    <w:rsid w:val="007730C4"/>
    <w:rsid w:val="00773197"/>
    <w:rsid w:val="00774252"/>
    <w:rsid w:val="00774B17"/>
    <w:rsid w:val="00774D05"/>
    <w:rsid w:val="00775F2F"/>
    <w:rsid w:val="00776153"/>
    <w:rsid w:val="00776983"/>
    <w:rsid w:val="007769D3"/>
    <w:rsid w:val="007769D7"/>
    <w:rsid w:val="00776CA0"/>
    <w:rsid w:val="0077722F"/>
    <w:rsid w:val="007772F8"/>
    <w:rsid w:val="007808D5"/>
    <w:rsid w:val="00780C45"/>
    <w:rsid w:val="00780E64"/>
    <w:rsid w:val="00781227"/>
    <w:rsid w:val="00781572"/>
    <w:rsid w:val="00781DA7"/>
    <w:rsid w:val="00782B54"/>
    <w:rsid w:val="00782E55"/>
    <w:rsid w:val="007848AC"/>
    <w:rsid w:val="00784BF3"/>
    <w:rsid w:val="00784CEB"/>
    <w:rsid w:val="00784DEB"/>
    <w:rsid w:val="007852F3"/>
    <w:rsid w:val="0078625D"/>
    <w:rsid w:val="0078722B"/>
    <w:rsid w:val="007872D8"/>
    <w:rsid w:val="00787351"/>
    <w:rsid w:val="00787D65"/>
    <w:rsid w:val="00787DA1"/>
    <w:rsid w:val="00790871"/>
    <w:rsid w:val="0079087E"/>
    <w:rsid w:val="00790A6E"/>
    <w:rsid w:val="00790E84"/>
    <w:rsid w:val="007919ED"/>
    <w:rsid w:val="00791F5C"/>
    <w:rsid w:val="00792B10"/>
    <w:rsid w:val="00793459"/>
    <w:rsid w:val="00793CA3"/>
    <w:rsid w:val="00794518"/>
    <w:rsid w:val="007947D3"/>
    <w:rsid w:val="00794CEA"/>
    <w:rsid w:val="00794FF7"/>
    <w:rsid w:val="0079599F"/>
    <w:rsid w:val="00795E7A"/>
    <w:rsid w:val="00795E8F"/>
    <w:rsid w:val="007961CA"/>
    <w:rsid w:val="00796763"/>
    <w:rsid w:val="00796928"/>
    <w:rsid w:val="00797239"/>
    <w:rsid w:val="00797C55"/>
    <w:rsid w:val="00797F3C"/>
    <w:rsid w:val="007A027E"/>
    <w:rsid w:val="007A038C"/>
    <w:rsid w:val="007A045E"/>
    <w:rsid w:val="007A09E4"/>
    <w:rsid w:val="007A13D9"/>
    <w:rsid w:val="007A1908"/>
    <w:rsid w:val="007A21FA"/>
    <w:rsid w:val="007A2E6F"/>
    <w:rsid w:val="007A2F26"/>
    <w:rsid w:val="007A3B2A"/>
    <w:rsid w:val="007A3F02"/>
    <w:rsid w:val="007A456A"/>
    <w:rsid w:val="007A4B22"/>
    <w:rsid w:val="007A4CFC"/>
    <w:rsid w:val="007A50A5"/>
    <w:rsid w:val="007A5734"/>
    <w:rsid w:val="007A584F"/>
    <w:rsid w:val="007A664D"/>
    <w:rsid w:val="007A6CA6"/>
    <w:rsid w:val="007A6F1B"/>
    <w:rsid w:val="007B0542"/>
    <w:rsid w:val="007B087F"/>
    <w:rsid w:val="007B0A7C"/>
    <w:rsid w:val="007B2231"/>
    <w:rsid w:val="007B2304"/>
    <w:rsid w:val="007B2915"/>
    <w:rsid w:val="007B2957"/>
    <w:rsid w:val="007B2CFD"/>
    <w:rsid w:val="007B3B07"/>
    <w:rsid w:val="007B3D4C"/>
    <w:rsid w:val="007B40E0"/>
    <w:rsid w:val="007B4403"/>
    <w:rsid w:val="007B4945"/>
    <w:rsid w:val="007B4A5E"/>
    <w:rsid w:val="007B4BFF"/>
    <w:rsid w:val="007B5217"/>
    <w:rsid w:val="007B557A"/>
    <w:rsid w:val="007B565F"/>
    <w:rsid w:val="007B5BAE"/>
    <w:rsid w:val="007B6C8C"/>
    <w:rsid w:val="007B7389"/>
    <w:rsid w:val="007B7AD4"/>
    <w:rsid w:val="007B7D03"/>
    <w:rsid w:val="007C0534"/>
    <w:rsid w:val="007C0605"/>
    <w:rsid w:val="007C06AA"/>
    <w:rsid w:val="007C10B1"/>
    <w:rsid w:val="007C1542"/>
    <w:rsid w:val="007C1673"/>
    <w:rsid w:val="007C1C2D"/>
    <w:rsid w:val="007C245F"/>
    <w:rsid w:val="007C2893"/>
    <w:rsid w:val="007C372D"/>
    <w:rsid w:val="007C3F07"/>
    <w:rsid w:val="007C5D69"/>
    <w:rsid w:val="007C62F2"/>
    <w:rsid w:val="007C6BEB"/>
    <w:rsid w:val="007C7E2D"/>
    <w:rsid w:val="007C7FCD"/>
    <w:rsid w:val="007D0ECB"/>
    <w:rsid w:val="007D0EE0"/>
    <w:rsid w:val="007D10D0"/>
    <w:rsid w:val="007D1208"/>
    <w:rsid w:val="007D20B4"/>
    <w:rsid w:val="007D2B42"/>
    <w:rsid w:val="007D2CCE"/>
    <w:rsid w:val="007D316C"/>
    <w:rsid w:val="007D371C"/>
    <w:rsid w:val="007D4409"/>
    <w:rsid w:val="007D4467"/>
    <w:rsid w:val="007D480F"/>
    <w:rsid w:val="007D4812"/>
    <w:rsid w:val="007D48DB"/>
    <w:rsid w:val="007D495A"/>
    <w:rsid w:val="007D57EE"/>
    <w:rsid w:val="007D5B9A"/>
    <w:rsid w:val="007D61DF"/>
    <w:rsid w:val="007D62C4"/>
    <w:rsid w:val="007D693A"/>
    <w:rsid w:val="007D6A99"/>
    <w:rsid w:val="007D76BE"/>
    <w:rsid w:val="007E0385"/>
    <w:rsid w:val="007E0584"/>
    <w:rsid w:val="007E0D74"/>
    <w:rsid w:val="007E2191"/>
    <w:rsid w:val="007E25F7"/>
    <w:rsid w:val="007E2C93"/>
    <w:rsid w:val="007E2FAB"/>
    <w:rsid w:val="007E3521"/>
    <w:rsid w:val="007E3799"/>
    <w:rsid w:val="007E39B9"/>
    <w:rsid w:val="007E40B7"/>
    <w:rsid w:val="007E47DD"/>
    <w:rsid w:val="007E5A69"/>
    <w:rsid w:val="007E5A8C"/>
    <w:rsid w:val="007E6271"/>
    <w:rsid w:val="007E6389"/>
    <w:rsid w:val="007E6C8B"/>
    <w:rsid w:val="007E6CE9"/>
    <w:rsid w:val="007E7268"/>
    <w:rsid w:val="007E751F"/>
    <w:rsid w:val="007E7A59"/>
    <w:rsid w:val="007E7EE4"/>
    <w:rsid w:val="007F059F"/>
    <w:rsid w:val="007F20EB"/>
    <w:rsid w:val="007F2259"/>
    <w:rsid w:val="007F245B"/>
    <w:rsid w:val="007F2965"/>
    <w:rsid w:val="007F303C"/>
    <w:rsid w:val="007F31C4"/>
    <w:rsid w:val="007F473C"/>
    <w:rsid w:val="007F6733"/>
    <w:rsid w:val="007F6999"/>
    <w:rsid w:val="007F6DAB"/>
    <w:rsid w:val="007F6DDE"/>
    <w:rsid w:val="007F6F09"/>
    <w:rsid w:val="007F76C8"/>
    <w:rsid w:val="007F778C"/>
    <w:rsid w:val="0080054E"/>
    <w:rsid w:val="00800B00"/>
    <w:rsid w:val="00800DBF"/>
    <w:rsid w:val="00801443"/>
    <w:rsid w:val="0080203F"/>
    <w:rsid w:val="00803022"/>
    <w:rsid w:val="00804A25"/>
    <w:rsid w:val="00804E7D"/>
    <w:rsid w:val="00805111"/>
    <w:rsid w:val="008068A4"/>
    <w:rsid w:val="0080776C"/>
    <w:rsid w:val="00807FBD"/>
    <w:rsid w:val="00810018"/>
    <w:rsid w:val="00810858"/>
    <w:rsid w:val="008109AB"/>
    <w:rsid w:val="00810E01"/>
    <w:rsid w:val="00811420"/>
    <w:rsid w:val="00811ABE"/>
    <w:rsid w:val="00812056"/>
    <w:rsid w:val="0081242D"/>
    <w:rsid w:val="0081253B"/>
    <w:rsid w:val="0081264A"/>
    <w:rsid w:val="00812834"/>
    <w:rsid w:val="008128C1"/>
    <w:rsid w:val="00812A91"/>
    <w:rsid w:val="00812FE2"/>
    <w:rsid w:val="00813321"/>
    <w:rsid w:val="00813BD1"/>
    <w:rsid w:val="008143CE"/>
    <w:rsid w:val="008152D2"/>
    <w:rsid w:val="00815846"/>
    <w:rsid w:val="008158FE"/>
    <w:rsid w:val="00815D32"/>
    <w:rsid w:val="008163DC"/>
    <w:rsid w:val="00816631"/>
    <w:rsid w:val="0081733D"/>
    <w:rsid w:val="0081742C"/>
    <w:rsid w:val="00817E33"/>
    <w:rsid w:val="00821796"/>
    <w:rsid w:val="00821C5C"/>
    <w:rsid w:val="00822489"/>
    <w:rsid w:val="00822986"/>
    <w:rsid w:val="00822B8B"/>
    <w:rsid w:val="00822E65"/>
    <w:rsid w:val="008241FC"/>
    <w:rsid w:val="00824241"/>
    <w:rsid w:val="0082463E"/>
    <w:rsid w:val="0082479E"/>
    <w:rsid w:val="00824B80"/>
    <w:rsid w:val="0082513B"/>
    <w:rsid w:val="00825290"/>
    <w:rsid w:val="00825BC1"/>
    <w:rsid w:val="008265E1"/>
    <w:rsid w:val="008279D0"/>
    <w:rsid w:val="0083071F"/>
    <w:rsid w:val="008309D9"/>
    <w:rsid w:val="00830C65"/>
    <w:rsid w:val="00831176"/>
    <w:rsid w:val="00831F19"/>
    <w:rsid w:val="00832514"/>
    <w:rsid w:val="00832810"/>
    <w:rsid w:val="00832B44"/>
    <w:rsid w:val="008339CD"/>
    <w:rsid w:val="00833BCD"/>
    <w:rsid w:val="00834CA6"/>
    <w:rsid w:val="00834F93"/>
    <w:rsid w:val="00835662"/>
    <w:rsid w:val="00835A0E"/>
    <w:rsid w:val="00835A90"/>
    <w:rsid w:val="00836304"/>
    <w:rsid w:val="00836786"/>
    <w:rsid w:val="00836A30"/>
    <w:rsid w:val="00836C45"/>
    <w:rsid w:val="00837381"/>
    <w:rsid w:val="008376CC"/>
    <w:rsid w:val="00837E90"/>
    <w:rsid w:val="0084013A"/>
    <w:rsid w:val="008402AD"/>
    <w:rsid w:val="008406B4"/>
    <w:rsid w:val="00840C65"/>
    <w:rsid w:val="00840DD4"/>
    <w:rsid w:val="00841553"/>
    <w:rsid w:val="0084168D"/>
    <w:rsid w:val="008419ED"/>
    <w:rsid w:val="008436BC"/>
    <w:rsid w:val="008443FC"/>
    <w:rsid w:val="0084495B"/>
    <w:rsid w:val="008449BB"/>
    <w:rsid w:val="00844CB7"/>
    <w:rsid w:val="00845919"/>
    <w:rsid w:val="00845A10"/>
    <w:rsid w:val="00845CA7"/>
    <w:rsid w:val="008463DB"/>
    <w:rsid w:val="00846D66"/>
    <w:rsid w:val="008472B9"/>
    <w:rsid w:val="008474B3"/>
    <w:rsid w:val="008479E7"/>
    <w:rsid w:val="00847C54"/>
    <w:rsid w:val="00850741"/>
    <w:rsid w:val="00850C7E"/>
    <w:rsid w:val="00850F76"/>
    <w:rsid w:val="0085144A"/>
    <w:rsid w:val="0085183E"/>
    <w:rsid w:val="00851C3F"/>
    <w:rsid w:val="0085210A"/>
    <w:rsid w:val="00852586"/>
    <w:rsid w:val="0085296B"/>
    <w:rsid w:val="008545A2"/>
    <w:rsid w:val="0085470C"/>
    <w:rsid w:val="00854D46"/>
    <w:rsid w:val="00855544"/>
    <w:rsid w:val="00856577"/>
    <w:rsid w:val="00857284"/>
    <w:rsid w:val="00857E93"/>
    <w:rsid w:val="00860332"/>
    <w:rsid w:val="00860967"/>
    <w:rsid w:val="00860A98"/>
    <w:rsid w:val="00860D98"/>
    <w:rsid w:val="008621A2"/>
    <w:rsid w:val="0086244F"/>
    <w:rsid w:val="00862616"/>
    <w:rsid w:val="00862C28"/>
    <w:rsid w:val="0086312E"/>
    <w:rsid w:val="00863A55"/>
    <w:rsid w:val="00863AA2"/>
    <w:rsid w:val="00863D81"/>
    <w:rsid w:val="008647FD"/>
    <w:rsid w:val="00864AD3"/>
    <w:rsid w:val="00865253"/>
    <w:rsid w:val="00865390"/>
    <w:rsid w:val="0086573F"/>
    <w:rsid w:val="0086596E"/>
    <w:rsid w:val="00865B44"/>
    <w:rsid w:val="00865ECE"/>
    <w:rsid w:val="0086651B"/>
    <w:rsid w:val="00866AD5"/>
    <w:rsid w:val="0086706A"/>
    <w:rsid w:val="008671EA"/>
    <w:rsid w:val="00867729"/>
    <w:rsid w:val="00870718"/>
    <w:rsid w:val="0087089F"/>
    <w:rsid w:val="008709B4"/>
    <w:rsid w:val="00870BFC"/>
    <w:rsid w:val="00871FB2"/>
    <w:rsid w:val="0087268E"/>
    <w:rsid w:val="00873C9E"/>
    <w:rsid w:val="008744B6"/>
    <w:rsid w:val="00874609"/>
    <w:rsid w:val="00874D4B"/>
    <w:rsid w:val="00874F9A"/>
    <w:rsid w:val="00875199"/>
    <w:rsid w:val="00875982"/>
    <w:rsid w:val="00875B46"/>
    <w:rsid w:val="008766D0"/>
    <w:rsid w:val="0087692A"/>
    <w:rsid w:val="00876DD8"/>
    <w:rsid w:val="00876FDF"/>
    <w:rsid w:val="00877187"/>
    <w:rsid w:val="0087752D"/>
    <w:rsid w:val="0087754C"/>
    <w:rsid w:val="0087754E"/>
    <w:rsid w:val="00877742"/>
    <w:rsid w:val="00880759"/>
    <w:rsid w:val="00880CE0"/>
    <w:rsid w:val="00880D80"/>
    <w:rsid w:val="00881912"/>
    <w:rsid w:val="00881991"/>
    <w:rsid w:val="00881E07"/>
    <w:rsid w:val="00882379"/>
    <w:rsid w:val="00882783"/>
    <w:rsid w:val="00882C60"/>
    <w:rsid w:val="00882D65"/>
    <w:rsid w:val="00883AD5"/>
    <w:rsid w:val="008843C2"/>
    <w:rsid w:val="00884AFC"/>
    <w:rsid w:val="00884F94"/>
    <w:rsid w:val="00885209"/>
    <w:rsid w:val="0088605F"/>
    <w:rsid w:val="008865D5"/>
    <w:rsid w:val="0088730F"/>
    <w:rsid w:val="00887C82"/>
    <w:rsid w:val="00887D59"/>
    <w:rsid w:val="00890A61"/>
    <w:rsid w:val="00891C99"/>
    <w:rsid w:val="00891FED"/>
    <w:rsid w:val="00892133"/>
    <w:rsid w:val="00892220"/>
    <w:rsid w:val="00892C67"/>
    <w:rsid w:val="00892E8B"/>
    <w:rsid w:val="00892E8F"/>
    <w:rsid w:val="00892EBA"/>
    <w:rsid w:val="008937BB"/>
    <w:rsid w:val="008937C1"/>
    <w:rsid w:val="00893C6D"/>
    <w:rsid w:val="00893E01"/>
    <w:rsid w:val="008946D4"/>
    <w:rsid w:val="00894A6E"/>
    <w:rsid w:val="00895D09"/>
    <w:rsid w:val="00895FBF"/>
    <w:rsid w:val="0089636E"/>
    <w:rsid w:val="00896788"/>
    <w:rsid w:val="00896A07"/>
    <w:rsid w:val="008972B3"/>
    <w:rsid w:val="00897537"/>
    <w:rsid w:val="0089754B"/>
    <w:rsid w:val="008A1544"/>
    <w:rsid w:val="008A16D0"/>
    <w:rsid w:val="008A17CE"/>
    <w:rsid w:val="008A2746"/>
    <w:rsid w:val="008A3D45"/>
    <w:rsid w:val="008A3FD7"/>
    <w:rsid w:val="008A47D9"/>
    <w:rsid w:val="008A49AB"/>
    <w:rsid w:val="008A5145"/>
    <w:rsid w:val="008A56D9"/>
    <w:rsid w:val="008A5DC6"/>
    <w:rsid w:val="008A6713"/>
    <w:rsid w:val="008A6800"/>
    <w:rsid w:val="008A6CC0"/>
    <w:rsid w:val="008A743B"/>
    <w:rsid w:val="008A7960"/>
    <w:rsid w:val="008A79A2"/>
    <w:rsid w:val="008A7A8E"/>
    <w:rsid w:val="008A7CC0"/>
    <w:rsid w:val="008B013F"/>
    <w:rsid w:val="008B0259"/>
    <w:rsid w:val="008B035F"/>
    <w:rsid w:val="008B05D7"/>
    <w:rsid w:val="008B1979"/>
    <w:rsid w:val="008B1C6D"/>
    <w:rsid w:val="008B1C87"/>
    <w:rsid w:val="008B1DEF"/>
    <w:rsid w:val="008B2EA9"/>
    <w:rsid w:val="008B3256"/>
    <w:rsid w:val="008B3B0E"/>
    <w:rsid w:val="008B3D35"/>
    <w:rsid w:val="008B3F39"/>
    <w:rsid w:val="008B54D6"/>
    <w:rsid w:val="008B5D8C"/>
    <w:rsid w:val="008B5F6F"/>
    <w:rsid w:val="008B5FF8"/>
    <w:rsid w:val="008B6421"/>
    <w:rsid w:val="008B6874"/>
    <w:rsid w:val="008B6915"/>
    <w:rsid w:val="008B7269"/>
    <w:rsid w:val="008B737F"/>
    <w:rsid w:val="008B749E"/>
    <w:rsid w:val="008B75ED"/>
    <w:rsid w:val="008B766E"/>
    <w:rsid w:val="008B779D"/>
    <w:rsid w:val="008B786D"/>
    <w:rsid w:val="008B79A6"/>
    <w:rsid w:val="008C1222"/>
    <w:rsid w:val="008C138B"/>
    <w:rsid w:val="008C15B6"/>
    <w:rsid w:val="008C1818"/>
    <w:rsid w:val="008C2232"/>
    <w:rsid w:val="008C27EF"/>
    <w:rsid w:val="008C2BC8"/>
    <w:rsid w:val="008C2BFD"/>
    <w:rsid w:val="008C2E18"/>
    <w:rsid w:val="008C31E3"/>
    <w:rsid w:val="008C375C"/>
    <w:rsid w:val="008C3CFB"/>
    <w:rsid w:val="008C400A"/>
    <w:rsid w:val="008C4084"/>
    <w:rsid w:val="008C46C5"/>
    <w:rsid w:val="008C4814"/>
    <w:rsid w:val="008C4DE6"/>
    <w:rsid w:val="008C506A"/>
    <w:rsid w:val="008C5355"/>
    <w:rsid w:val="008C69F0"/>
    <w:rsid w:val="008C7BB9"/>
    <w:rsid w:val="008C7F76"/>
    <w:rsid w:val="008D07A6"/>
    <w:rsid w:val="008D0FD1"/>
    <w:rsid w:val="008D11F2"/>
    <w:rsid w:val="008D150C"/>
    <w:rsid w:val="008D1975"/>
    <w:rsid w:val="008D1C51"/>
    <w:rsid w:val="008D1F8F"/>
    <w:rsid w:val="008D2133"/>
    <w:rsid w:val="008D2387"/>
    <w:rsid w:val="008D2A9E"/>
    <w:rsid w:val="008D2C44"/>
    <w:rsid w:val="008D339D"/>
    <w:rsid w:val="008D3F42"/>
    <w:rsid w:val="008D4018"/>
    <w:rsid w:val="008D4469"/>
    <w:rsid w:val="008D4C95"/>
    <w:rsid w:val="008D4F9D"/>
    <w:rsid w:val="008D5032"/>
    <w:rsid w:val="008D5709"/>
    <w:rsid w:val="008D5C3E"/>
    <w:rsid w:val="008D5E13"/>
    <w:rsid w:val="008D5E4C"/>
    <w:rsid w:val="008D5E91"/>
    <w:rsid w:val="008D6114"/>
    <w:rsid w:val="008D64FF"/>
    <w:rsid w:val="008D6510"/>
    <w:rsid w:val="008D6992"/>
    <w:rsid w:val="008D6ABC"/>
    <w:rsid w:val="008D6FD7"/>
    <w:rsid w:val="008D75E5"/>
    <w:rsid w:val="008D7851"/>
    <w:rsid w:val="008D7D3B"/>
    <w:rsid w:val="008E0940"/>
    <w:rsid w:val="008E108E"/>
    <w:rsid w:val="008E1090"/>
    <w:rsid w:val="008E1389"/>
    <w:rsid w:val="008E139E"/>
    <w:rsid w:val="008E14E4"/>
    <w:rsid w:val="008E2CE2"/>
    <w:rsid w:val="008E32AF"/>
    <w:rsid w:val="008E3824"/>
    <w:rsid w:val="008E39AF"/>
    <w:rsid w:val="008E3B85"/>
    <w:rsid w:val="008E5BC9"/>
    <w:rsid w:val="008E6CD9"/>
    <w:rsid w:val="008E775A"/>
    <w:rsid w:val="008E7925"/>
    <w:rsid w:val="008E79D0"/>
    <w:rsid w:val="008E7AE6"/>
    <w:rsid w:val="008F0743"/>
    <w:rsid w:val="008F0CBD"/>
    <w:rsid w:val="008F10A6"/>
    <w:rsid w:val="008F1BE9"/>
    <w:rsid w:val="008F1EB0"/>
    <w:rsid w:val="008F2544"/>
    <w:rsid w:val="008F2616"/>
    <w:rsid w:val="008F3422"/>
    <w:rsid w:val="008F388C"/>
    <w:rsid w:val="008F3ECE"/>
    <w:rsid w:val="008F459E"/>
    <w:rsid w:val="008F4735"/>
    <w:rsid w:val="008F4C24"/>
    <w:rsid w:val="008F4DEB"/>
    <w:rsid w:val="008F5E1F"/>
    <w:rsid w:val="008F637A"/>
    <w:rsid w:val="008F63ED"/>
    <w:rsid w:val="008F6974"/>
    <w:rsid w:val="008F6EE1"/>
    <w:rsid w:val="008F6F2A"/>
    <w:rsid w:val="008F7087"/>
    <w:rsid w:val="008F7CCB"/>
    <w:rsid w:val="009005EA"/>
    <w:rsid w:val="00900D6C"/>
    <w:rsid w:val="00901016"/>
    <w:rsid w:val="00902098"/>
    <w:rsid w:val="00902755"/>
    <w:rsid w:val="009033D5"/>
    <w:rsid w:val="009041E6"/>
    <w:rsid w:val="009044FC"/>
    <w:rsid w:val="00904B9F"/>
    <w:rsid w:val="009058B1"/>
    <w:rsid w:val="00905A12"/>
    <w:rsid w:val="0090617D"/>
    <w:rsid w:val="0090695A"/>
    <w:rsid w:val="00907102"/>
    <w:rsid w:val="009071A9"/>
    <w:rsid w:val="009073B5"/>
    <w:rsid w:val="009073F2"/>
    <w:rsid w:val="0090753E"/>
    <w:rsid w:val="00907646"/>
    <w:rsid w:val="009076B0"/>
    <w:rsid w:val="00910467"/>
    <w:rsid w:val="00910A74"/>
    <w:rsid w:val="0091101B"/>
    <w:rsid w:val="0091106E"/>
    <w:rsid w:val="0091166D"/>
    <w:rsid w:val="00911784"/>
    <w:rsid w:val="00911D7B"/>
    <w:rsid w:val="00912E5C"/>
    <w:rsid w:val="00913466"/>
    <w:rsid w:val="00913911"/>
    <w:rsid w:val="00913A9E"/>
    <w:rsid w:val="00913D99"/>
    <w:rsid w:val="00914069"/>
    <w:rsid w:val="00914309"/>
    <w:rsid w:val="00914460"/>
    <w:rsid w:val="00915E63"/>
    <w:rsid w:val="00915F38"/>
    <w:rsid w:val="00916079"/>
    <w:rsid w:val="0091665E"/>
    <w:rsid w:val="00916721"/>
    <w:rsid w:val="0091677F"/>
    <w:rsid w:val="0091718E"/>
    <w:rsid w:val="00917527"/>
    <w:rsid w:val="009177D2"/>
    <w:rsid w:val="00917EA3"/>
    <w:rsid w:val="0092030F"/>
    <w:rsid w:val="009206F1"/>
    <w:rsid w:val="009212B4"/>
    <w:rsid w:val="00921368"/>
    <w:rsid w:val="009220C7"/>
    <w:rsid w:val="00922BD8"/>
    <w:rsid w:val="00922F9A"/>
    <w:rsid w:val="009230CE"/>
    <w:rsid w:val="00923E63"/>
    <w:rsid w:val="00924327"/>
    <w:rsid w:val="00924B8D"/>
    <w:rsid w:val="00924FDF"/>
    <w:rsid w:val="009255D9"/>
    <w:rsid w:val="00925D28"/>
    <w:rsid w:val="00926426"/>
    <w:rsid w:val="009265D3"/>
    <w:rsid w:val="00927BC3"/>
    <w:rsid w:val="00927BF9"/>
    <w:rsid w:val="00930077"/>
    <w:rsid w:val="009300F1"/>
    <w:rsid w:val="00930BB8"/>
    <w:rsid w:val="00930C39"/>
    <w:rsid w:val="00930DB4"/>
    <w:rsid w:val="00931D41"/>
    <w:rsid w:val="00931F61"/>
    <w:rsid w:val="00932CA3"/>
    <w:rsid w:val="0093456A"/>
    <w:rsid w:val="0093496A"/>
    <w:rsid w:val="00935249"/>
    <w:rsid w:val="00935673"/>
    <w:rsid w:val="009357C4"/>
    <w:rsid w:val="00935EDD"/>
    <w:rsid w:val="0093636C"/>
    <w:rsid w:val="00936B74"/>
    <w:rsid w:val="00937175"/>
    <w:rsid w:val="0093762A"/>
    <w:rsid w:val="00937AFE"/>
    <w:rsid w:val="00937FBB"/>
    <w:rsid w:val="00937FC5"/>
    <w:rsid w:val="00940189"/>
    <w:rsid w:val="0094018A"/>
    <w:rsid w:val="009402A1"/>
    <w:rsid w:val="00940D4D"/>
    <w:rsid w:val="009418D6"/>
    <w:rsid w:val="00941BB8"/>
    <w:rsid w:val="009421C8"/>
    <w:rsid w:val="009436E7"/>
    <w:rsid w:val="00943BDE"/>
    <w:rsid w:val="00943DEF"/>
    <w:rsid w:val="00944528"/>
    <w:rsid w:val="00944E71"/>
    <w:rsid w:val="009452D2"/>
    <w:rsid w:val="009459B3"/>
    <w:rsid w:val="0094610B"/>
    <w:rsid w:val="00946C49"/>
    <w:rsid w:val="00946E2A"/>
    <w:rsid w:val="0094743A"/>
    <w:rsid w:val="00950D58"/>
    <w:rsid w:val="00951415"/>
    <w:rsid w:val="009519F7"/>
    <w:rsid w:val="00951DC2"/>
    <w:rsid w:val="00952120"/>
    <w:rsid w:val="00952123"/>
    <w:rsid w:val="00952388"/>
    <w:rsid w:val="009528C0"/>
    <w:rsid w:val="00952984"/>
    <w:rsid w:val="00952C7A"/>
    <w:rsid w:val="0095382B"/>
    <w:rsid w:val="0095420B"/>
    <w:rsid w:val="009546E4"/>
    <w:rsid w:val="00955387"/>
    <w:rsid w:val="00955D39"/>
    <w:rsid w:val="009571FE"/>
    <w:rsid w:val="00957D88"/>
    <w:rsid w:val="00960045"/>
    <w:rsid w:val="0096052B"/>
    <w:rsid w:val="009609AF"/>
    <w:rsid w:val="00960BCA"/>
    <w:rsid w:val="0096159F"/>
    <w:rsid w:val="009629A1"/>
    <w:rsid w:val="009629E5"/>
    <w:rsid w:val="009631B3"/>
    <w:rsid w:val="0096360E"/>
    <w:rsid w:val="00963673"/>
    <w:rsid w:val="009643B2"/>
    <w:rsid w:val="00964833"/>
    <w:rsid w:val="00964C53"/>
    <w:rsid w:val="009658D4"/>
    <w:rsid w:val="00965F2B"/>
    <w:rsid w:val="009662AD"/>
    <w:rsid w:val="00966F00"/>
    <w:rsid w:val="0096722C"/>
    <w:rsid w:val="00967B6C"/>
    <w:rsid w:val="00967CC5"/>
    <w:rsid w:val="00967D52"/>
    <w:rsid w:val="00970008"/>
    <w:rsid w:val="0097059B"/>
    <w:rsid w:val="00970D7D"/>
    <w:rsid w:val="00971428"/>
    <w:rsid w:val="00971801"/>
    <w:rsid w:val="00971EE6"/>
    <w:rsid w:val="00972462"/>
    <w:rsid w:val="009724FD"/>
    <w:rsid w:val="0097314F"/>
    <w:rsid w:val="00973613"/>
    <w:rsid w:val="00973A53"/>
    <w:rsid w:val="00975197"/>
    <w:rsid w:val="00975756"/>
    <w:rsid w:val="00975B57"/>
    <w:rsid w:val="00975CB8"/>
    <w:rsid w:val="00975F84"/>
    <w:rsid w:val="009767EA"/>
    <w:rsid w:val="00976E76"/>
    <w:rsid w:val="00977813"/>
    <w:rsid w:val="00977AF8"/>
    <w:rsid w:val="00977CB1"/>
    <w:rsid w:val="00980641"/>
    <w:rsid w:val="009807E2"/>
    <w:rsid w:val="0098166F"/>
    <w:rsid w:val="009817AC"/>
    <w:rsid w:val="00982084"/>
    <w:rsid w:val="009820A9"/>
    <w:rsid w:val="009829F2"/>
    <w:rsid w:val="00983456"/>
    <w:rsid w:val="00983AAB"/>
    <w:rsid w:val="00983F63"/>
    <w:rsid w:val="00983FCE"/>
    <w:rsid w:val="009840BA"/>
    <w:rsid w:val="009846E9"/>
    <w:rsid w:val="00986049"/>
    <w:rsid w:val="009860E3"/>
    <w:rsid w:val="009861DC"/>
    <w:rsid w:val="00986660"/>
    <w:rsid w:val="00986CF3"/>
    <w:rsid w:val="00987647"/>
    <w:rsid w:val="0099010D"/>
    <w:rsid w:val="00990C36"/>
    <w:rsid w:val="00991B9E"/>
    <w:rsid w:val="00991FA7"/>
    <w:rsid w:val="009920EB"/>
    <w:rsid w:val="0099292A"/>
    <w:rsid w:val="0099326A"/>
    <w:rsid w:val="00993821"/>
    <w:rsid w:val="009938B8"/>
    <w:rsid w:val="009942E6"/>
    <w:rsid w:val="00995112"/>
    <w:rsid w:val="009956A7"/>
    <w:rsid w:val="00995AEC"/>
    <w:rsid w:val="00995CD5"/>
    <w:rsid w:val="00995CFD"/>
    <w:rsid w:val="0099620D"/>
    <w:rsid w:val="009963D5"/>
    <w:rsid w:val="00996775"/>
    <w:rsid w:val="00996A90"/>
    <w:rsid w:val="00996B0F"/>
    <w:rsid w:val="0099729F"/>
    <w:rsid w:val="00997BA8"/>
    <w:rsid w:val="009A2142"/>
    <w:rsid w:val="009A2284"/>
    <w:rsid w:val="009A241A"/>
    <w:rsid w:val="009A3B54"/>
    <w:rsid w:val="009A4DB9"/>
    <w:rsid w:val="009A4F65"/>
    <w:rsid w:val="009A51CE"/>
    <w:rsid w:val="009A542A"/>
    <w:rsid w:val="009A582E"/>
    <w:rsid w:val="009A5BA7"/>
    <w:rsid w:val="009A65D9"/>
    <w:rsid w:val="009A66E8"/>
    <w:rsid w:val="009A684B"/>
    <w:rsid w:val="009A6EE8"/>
    <w:rsid w:val="009A6FA7"/>
    <w:rsid w:val="009A742B"/>
    <w:rsid w:val="009A7999"/>
    <w:rsid w:val="009B008D"/>
    <w:rsid w:val="009B0120"/>
    <w:rsid w:val="009B0A59"/>
    <w:rsid w:val="009B0C82"/>
    <w:rsid w:val="009B13C2"/>
    <w:rsid w:val="009B1F81"/>
    <w:rsid w:val="009B27C5"/>
    <w:rsid w:val="009B2920"/>
    <w:rsid w:val="009B2E30"/>
    <w:rsid w:val="009B33C3"/>
    <w:rsid w:val="009B35D1"/>
    <w:rsid w:val="009B3A9C"/>
    <w:rsid w:val="009B3E06"/>
    <w:rsid w:val="009B3ECA"/>
    <w:rsid w:val="009B4693"/>
    <w:rsid w:val="009B48F2"/>
    <w:rsid w:val="009B4F74"/>
    <w:rsid w:val="009B508E"/>
    <w:rsid w:val="009B583F"/>
    <w:rsid w:val="009B5A72"/>
    <w:rsid w:val="009B5AEF"/>
    <w:rsid w:val="009B6D58"/>
    <w:rsid w:val="009B7029"/>
    <w:rsid w:val="009B716B"/>
    <w:rsid w:val="009B730A"/>
    <w:rsid w:val="009B7B5C"/>
    <w:rsid w:val="009C0E21"/>
    <w:rsid w:val="009C1476"/>
    <w:rsid w:val="009C15CB"/>
    <w:rsid w:val="009C194F"/>
    <w:rsid w:val="009C1B78"/>
    <w:rsid w:val="009C2612"/>
    <w:rsid w:val="009C2C0B"/>
    <w:rsid w:val="009C2D97"/>
    <w:rsid w:val="009C33E6"/>
    <w:rsid w:val="009C3565"/>
    <w:rsid w:val="009C36B6"/>
    <w:rsid w:val="009C3CB0"/>
    <w:rsid w:val="009C3CDF"/>
    <w:rsid w:val="009C50BB"/>
    <w:rsid w:val="009C542F"/>
    <w:rsid w:val="009C603D"/>
    <w:rsid w:val="009C6840"/>
    <w:rsid w:val="009C6A93"/>
    <w:rsid w:val="009C6B7F"/>
    <w:rsid w:val="009C6D25"/>
    <w:rsid w:val="009C7856"/>
    <w:rsid w:val="009C7F32"/>
    <w:rsid w:val="009C7F7E"/>
    <w:rsid w:val="009D01BE"/>
    <w:rsid w:val="009D1668"/>
    <w:rsid w:val="009D1E94"/>
    <w:rsid w:val="009D1EBB"/>
    <w:rsid w:val="009D21C8"/>
    <w:rsid w:val="009D2623"/>
    <w:rsid w:val="009D40DA"/>
    <w:rsid w:val="009D498A"/>
    <w:rsid w:val="009D4BBC"/>
    <w:rsid w:val="009D55AC"/>
    <w:rsid w:val="009D5DF7"/>
    <w:rsid w:val="009D641B"/>
    <w:rsid w:val="009D6FE8"/>
    <w:rsid w:val="009D7B95"/>
    <w:rsid w:val="009D7C59"/>
    <w:rsid w:val="009E09B9"/>
    <w:rsid w:val="009E1156"/>
    <w:rsid w:val="009E12CF"/>
    <w:rsid w:val="009E15D6"/>
    <w:rsid w:val="009E1D1A"/>
    <w:rsid w:val="009E28DF"/>
    <w:rsid w:val="009E2C7E"/>
    <w:rsid w:val="009E2EF6"/>
    <w:rsid w:val="009E3926"/>
    <w:rsid w:val="009E4438"/>
    <w:rsid w:val="009E46C7"/>
    <w:rsid w:val="009E49C9"/>
    <w:rsid w:val="009E4CC9"/>
    <w:rsid w:val="009E5A55"/>
    <w:rsid w:val="009E6A35"/>
    <w:rsid w:val="009E72BE"/>
    <w:rsid w:val="009E78E5"/>
    <w:rsid w:val="009E7E81"/>
    <w:rsid w:val="009F1E17"/>
    <w:rsid w:val="009F24FD"/>
    <w:rsid w:val="009F325A"/>
    <w:rsid w:val="009F35CB"/>
    <w:rsid w:val="009F3ED7"/>
    <w:rsid w:val="009F564A"/>
    <w:rsid w:val="009F5E34"/>
    <w:rsid w:val="009F6AD3"/>
    <w:rsid w:val="009F7783"/>
    <w:rsid w:val="009F79EE"/>
    <w:rsid w:val="009F7D3B"/>
    <w:rsid w:val="00A00251"/>
    <w:rsid w:val="00A00689"/>
    <w:rsid w:val="00A00CC4"/>
    <w:rsid w:val="00A00E65"/>
    <w:rsid w:val="00A01D5B"/>
    <w:rsid w:val="00A0218B"/>
    <w:rsid w:val="00A0406D"/>
    <w:rsid w:val="00A045BA"/>
    <w:rsid w:val="00A0467F"/>
    <w:rsid w:val="00A04D9B"/>
    <w:rsid w:val="00A05783"/>
    <w:rsid w:val="00A057E3"/>
    <w:rsid w:val="00A061FF"/>
    <w:rsid w:val="00A063F8"/>
    <w:rsid w:val="00A0675B"/>
    <w:rsid w:val="00A072A1"/>
    <w:rsid w:val="00A0780B"/>
    <w:rsid w:val="00A1138A"/>
    <w:rsid w:val="00A11864"/>
    <w:rsid w:val="00A11A9A"/>
    <w:rsid w:val="00A1231B"/>
    <w:rsid w:val="00A128EB"/>
    <w:rsid w:val="00A130C5"/>
    <w:rsid w:val="00A1335D"/>
    <w:rsid w:val="00A133B2"/>
    <w:rsid w:val="00A13931"/>
    <w:rsid w:val="00A14294"/>
    <w:rsid w:val="00A1437F"/>
    <w:rsid w:val="00A14561"/>
    <w:rsid w:val="00A150F3"/>
    <w:rsid w:val="00A1573B"/>
    <w:rsid w:val="00A1626D"/>
    <w:rsid w:val="00A1666A"/>
    <w:rsid w:val="00A16D7C"/>
    <w:rsid w:val="00A1716B"/>
    <w:rsid w:val="00A17231"/>
    <w:rsid w:val="00A172EB"/>
    <w:rsid w:val="00A1764D"/>
    <w:rsid w:val="00A178E8"/>
    <w:rsid w:val="00A17F53"/>
    <w:rsid w:val="00A20118"/>
    <w:rsid w:val="00A206D1"/>
    <w:rsid w:val="00A20A75"/>
    <w:rsid w:val="00A211EB"/>
    <w:rsid w:val="00A2157A"/>
    <w:rsid w:val="00A21CAA"/>
    <w:rsid w:val="00A228FF"/>
    <w:rsid w:val="00A23051"/>
    <w:rsid w:val="00A2346D"/>
    <w:rsid w:val="00A236AB"/>
    <w:rsid w:val="00A23766"/>
    <w:rsid w:val="00A25BE5"/>
    <w:rsid w:val="00A25CEE"/>
    <w:rsid w:val="00A25F3A"/>
    <w:rsid w:val="00A26A77"/>
    <w:rsid w:val="00A26D86"/>
    <w:rsid w:val="00A27C06"/>
    <w:rsid w:val="00A27D94"/>
    <w:rsid w:val="00A300AF"/>
    <w:rsid w:val="00A3040D"/>
    <w:rsid w:val="00A30B3E"/>
    <w:rsid w:val="00A30E4E"/>
    <w:rsid w:val="00A313F0"/>
    <w:rsid w:val="00A31EF5"/>
    <w:rsid w:val="00A321AD"/>
    <w:rsid w:val="00A32232"/>
    <w:rsid w:val="00A3228C"/>
    <w:rsid w:val="00A32433"/>
    <w:rsid w:val="00A335E3"/>
    <w:rsid w:val="00A34426"/>
    <w:rsid w:val="00A34DC6"/>
    <w:rsid w:val="00A3646A"/>
    <w:rsid w:val="00A364DD"/>
    <w:rsid w:val="00A36BEA"/>
    <w:rsid w:val="00A36C01"/>
    <w:rsid w:val="00A36E4A"/>
    <w:rsid w:val="00A37067"/>
    <w:rsid w:val="00A375DA"/>
    <w:rsid w:val="00A3775B"/>
    <w:rsid w:val="00A37B61"/>
    <w:rsid w:val="00A404FF"/>
    <w:rsid w:val="00A423A4"/>
    <w:rsid w:val="00A4274F"/>
    <w:rsid w:val="00A42B04"/>
    <w:rsid w:val="00A42E50"/>
    <w:rsid w:val="00A430D5"/>
    <w:rsid w:val="00A43CFD"/>
    <w:rsid w:val="00A44155"/>
    <w:rsid w:val="00A4434B"/>
    <w:rsid w:val="00A45078"/>
    <w:rsid w:val="00A452A7"/>
    <w:rsid w:val="00A45371"/>
    <w:rsid w:val="00A47386"/>
    <w:rsid w:val="00A5071D"/>
    <w:rsid w:val="00A50D2F"/>
    <w:rsid w:val="00A513BF"/>
    <w:rsid w:val="00A52405"/>
    <w:rsid w:val="00A524F5"/>
    <w:rsid w:val="00A52615"/>
    <w:rsid w:val="00A52C62"/>
    <w:rsid w:val="00A54358"/>
    <w:rsid w:val="00A545E9"/>
    <w:rsid w:val="00A5521E"/>
    <w:rsid w:val="00A55F33"/>
    <w:rsid w:val="00A564A7"/>
    <w:rsid w:val="00A56510"/>
    <w:rsid w:val="00A56787"/>
    <w:rsid w:val="00A56ACE"/>
    <w:rsid w:val="00A56D4D"/>
    <w:rsid w:val="00A56F51"/>
    <w:rsid w:val="00A608CB"/>
    <w:rsid w:val="00A614FF"/>
    <w:rsid w:val="00A64034"/>
    <w:rsid w:val="00A6587E"/>
    <w:rsid w:val="00A65D44"/>
    <w:rsid w:val="00A66380"/>
    <w:rsid w:val="00A668F0"/>
    <w:rsid w:val="00A668FC"/>
    <w:rsid w:val="00A66D19"/>
    <w:rsid w:val="00A672AE"/>
    <w:rsid w:val="00A677CF"/>
    <w:rsid w:val="00A67A25"/>
    <w:rsid w:val="00A67A8B"/>
    <w:rsid w:val="00A70EF9"/>
    <w:rsid w:val="00A71086"/>
    <w:rsid w:val="00A71197"/>
    <w:rsid w:val="00A711E7"/>
    <w:rsid w:val="00A71A63"/>
    <w:rsid w:val="00A7282F"/>
    <w:rsid w:val="00A7334E"/>
    <w:rsid w:val="00A74955"/>
    <w:rsid w:val="00A750D8"/>
    <w:rsid w:val="00A75100"/>
    <w:rsid w:val="00A7594F"/>
    <w:rsid w:val="00A75996"/>
    <w:rsid w:val="00A75BB5"/>
    <w:rsid w:val="00A75C0B"/>
    <w:rsid w:val="00A75DD3"/>
    <w:rsid w:val="00A77135"/>
    <w:rsid w:val="00A772E3"/>
    <w:rsid w:val="00A775F8"/>
    <w:rsid w:val="00A8010E"/>
    <w:rsid w:val="00A80785"/>
    <w:rsid w:val="00A80A5C"/>
    <w:rsid w:val="00A80BEE"/>
    <w:rsid w:val="00A814AC"/>
    <w:rsid w:val="00A819D1"/>
    <w:rsid w:val="00A81B70"/>
    <w:rsid w:val="00A81E7E"/>
    <w:rsid w:val="00A827C0"/>
    <w:rsid w:val="00A82AF1"/>
    <w:rsid w:val="00A82BF4"/>
    <w:rsid w:val="00A83861"/>
    <w:rsid w:val="00A8388E"/>
    <w:rsid w:val="00A83969"/>
    <w:rsid w:val="00A83C32"/>
    <w:rsid w:val="00A849BA"/>
    <w:rsid w:val="00A8502D"/>
    <w:rsid w:val="00A85248"/>
    <w:rsid w:val="00A86A7B"/>
    <w:rsid w:val="00A86D22"/>
    <w:rsid w:val="00A86D83"/>
    <w:rsid w:val="00A870A1"/>
    <w:rsid w:val="00A905C7"/>
    <w:rsid w:val="00A9105E"/>
    <w:rsid w:val="00A9120C"/>
    <w:rsid w:val="00A91BB7"/>
    <w:rsid w:val="00A920D3"/>
    <w:rsid w:val="00A9246C"/>
    <w:rsid w:val="00A93B12"/>
    <w:rsid w:val="00A93CAF"/>
    <w:rsid w:val="00A93D88"/>
    <w:rsid w:val="00A948D6"/>
    <w:rsid w:val="00A96193"/>
    <w:rsid w:val="00A96B53"/>
    <w:rsid w:val="00A97341"/>
    <w:rsid w:val="00A978F1"/>
    <w:rsid w:val="00AA0201"/>
    <w:rsid w:val="00AA02AF"/>
    <w:rsid w:val="00AA0652"/>
    <w:rsid w:val="00AA0C64"/>
    <w:rsid w:val="00AA13C7"/>
    <w:rsid w:val="00AA16B8"/>
    <w:rsid w:val="00AA24C2"/>
    <w:rsid w:val="00AA268D"/>
    <w:rsid w:val="00AA30C8"/>
    <w:rsid w:val="00AA3B50"/>
    <w:rsid w:val="00AA3E70"/>
    <w:rsid w:val="00AA48CF"/>
    <w:rsid w:val="00AA5464"/>
    <w:rsid w:val="00AA5609"/>
    <w:rsid w:val="00AA5AE0"/>
    <w:rsid w:val="00AA5B8C"/>
    <w:rsid w:val="00AA61B0"/>
    <w:rsid w:val="00AA63FF"/>
    <w:rsid w:val="00AA6550"/>
    <w:rsid w:val="00AA6C5A"/>
    <w:rsid w:val="00AA7171"/>
    <w:rsid w:val="00AA7891"/>
    <w:rsid w:val="00AA7AF6"/>
    <w:rsid w:val="00AB0D80"/>
    <w:rsid w:val="00AB13E7"/>
    <w:rsid w:val="00AB28C5"/>
    <w:rsid w:val="00AB391C"/>
    <w:rsid w:val="00AB3BF1"/>
    <w:rsid w:val="00AB418C"/>
    <w:rsid w:val="00AB4A83"/>
    <w:rsid w:val="00AB4F22"/>
    <w:rsid w:val="00AB542E"/>
    <w:rsid w:val="00AB56B4"/>
    <w:rsid w:val="00AB5798"/>
    <w:rsid w:val="00AB57DF"/>
    <w:rsid w:val="00AB58F9"/>
    <w:rsid w:val="00AB5A54"/>
    <w:rsid w:val="00AB63B1"/>
    <w:rsid w:val="00AB676D"/>
    <w:rsid w:val="00AB67BA"/>
    <w:rsid w:val="00AB6CC3"/>
    <w:rsid w:val="00AB73C8"/>
    <w:rsid w:val="00AB7519"/>
    <w:rsid w:val="00AB7CF8"/>
    <w:rsid w:val="00AC06C6"/>
    <w:rsid w:val="00AC07E9"/>
    <w:rsid w:val="00AC08C8"/>
    <w:rsid w:val="00AC12CE"/>
    <w:rsid w:val="00AC1880"/>
    <w:rsid w:val="00AC2773"/>
    <w:rsid w:val="00AC2AAF"/>
    <w:rsid w:val="00AC2FE8"/>
    <w:rsid w:val="00AC338C"/>
    <w:rsid w:val="00AC35FB"/>
    <w:rsid w:val="00AC3C37"/>
    <w:rsid w:val="00AC4758"/>
    <w:rsid w:val="00AC4D39"/>
    <w:rsid w:val="00AC5235"/>
    <w:rsid w:val="00AC53B4"/>
    <w:rsid w:val="00AC5A57"/>
    <w:rsid w:val="00AC5D4A"/>
    <w:rsid w:val="00AC61B9"/>
    <w:rsid w:val="00AC6556"/>
    <w:rsid w:val="00AC6974"/>
    <w:rsid w:val="00AC7594"/>
    <w:rsid w:val="00AC7CDB"/>
    <w:rsid w:val="00AD08E5"/>
    <w:rsid w:val="00AD1683"/>
    <w:rsid w:val="00AD194F"/>
    <w:rsid w:val="00AD1D12"/>
    <w:rsid w:val="00AD2307"/>
    <w:rsid w:val="00AD29CB"/>
    <w:rsid w:val="00AD2D0E"/>
    <w:rsid w:val="00AD2E14"/>
    <w:rsid w:val="00AD2E94"/>
    <w:rsid w:val="00AD30CD"/>
    <w:rsid w:val="00AD362F"/>
    <w:rsid w:val="00AD376D"/>
    <w:rsid w:val="00AD3D93"/>
    <w:rsid w:val="00AD43BF"/>
    <w:rsid w:val="00AD47E9"/>
    <w:rsid w:val="00AD48A5"/>
    <w:rsid w:val="00AD4D9E"/>
    <w:rsid w:val="00AD5D49"/>
    <w:rsid w:val="00AD6285"/>
    <w:rsid w:val="00AD6286"/>
    <w:rsid w:val="00AD6649"/>
    <w:rsid w:val="00AD6DBA"/>
    <w:rsid w:val="00AD7189"/>
    <w:rsid w:val="00AD741D"/>
    <w:rsid w:val="00AD743F"/>
    <w:rsid w:val="00AD7A82"/>
    <w:rsid w:val="00AE03FA"/>
    <w:rsid w:val="00AE0A8D"/>
    <w:rsid w:val="00AE0C8F"/>
    <w:rsid w:val="00AE0F23"/>
    <w:rsid w:val="00AE0F3E"/>
    <w:rsid w:val="00AE1140"/>
    <w:rsid w:val="00AE1ED9"/>
    <w:rsid w:val="00AE2C4D"/>
    <w:rsid w:val="00AE2FF4"/>
    <w:rsid w:val="00AE347B"/>
    <w:rsid w:val="00AE472D"/>
    <w:rsid w:val="00AE568F"/>
    <w:rsid w:val="00AE5808"/>
    <w:rsid w:val="00AE5FDA"/>
    <w:rsid w:val="00AE6D12"/>
    <w:rsid w:val="00AE6EA3"/>
    <w:rsid w:val="00AE70DB"/>
    <w:rsid w:val="00AE7AD0"/>
    <w:rsid w:val="00AE7BCE"/>
    <w:rsid w:val="00AE7C27"/>
    <w:rsid w:val="00AE7CED"/>
    <w:rsid w:val="00AF0187"/>
    <w:rsid w:val="00AF075A"/>
    <w:rsid w:val="00AF16E3"/>
    <w:rsid w:val="00AF2EE8"/>
    <w:rsid w:val="00AF34F4"/>
    <w:rsid w:val="00AF3636"/>
    <w:rsid w:val="00AF36EA"/>
    <w:rsid w:val="00AF3ACD"/>
    <w:rsid w:val="00AF4726"/>
    <w:rsid w:val="00AF53E7"/>
    <w:rsid w:val="00AF5923"/>
    <w:rsid w:val="00AF63AC"/>
    <w:rsid w:val="00AF6422"/>
    <w:rsid w:val="00AF672B"/>
    <w:rsid w:val="00AF67CC"/>
    <w:rsid w:val="00AF718D"/>
    <w:rsid w:val="00AF7598"/>
    <w:rsid w:val="00AF77DE"/>
    <w:rsid w:val="00AF7BA2"/>
    <w:rsid w:val="00AF7C49"/>
    <w:rsid w:val="00AF7D0C"/>
    <w:rsid w:val="00B00441"/>
    <w:rsid w:val="00B0044E"/>
    <w:rsid w:val="00B00927"/>
    <w:rsid w:val="00B0097B"/>
    <w:rsid w:val="00B0109C"/>
    <w:rsid w:val="00B01106"/>
    <w:rsid w:val="00B01CBA"/>
    <w:rsid w:val="00B027ED"/>
    <w:rsid w:val="00B02962"/>
    <w:rsid w:val="00B030B0"/>
    <w:rsid w:val="00B03BE0"/>
    <w:rsid w:val="00B04175"/>
    <w:rsid w:val="00B041CE"/>
    <w:rsid w:val="00B043FA"/>
    <w:rsid w:val="00B04857"/>
    <w:rsid w:val="00B0531D"/>
    <w:rsid w:val="00B0553B"/>
    <w:rsid w:val="00B062B6"/>
    <w:rsid w:val="00B06AA4"/>
    <w:rsid w:val="00B06EDD"/>
    <w:rsid w:val="00B07290"/>
    <w:rsid w:val="00B07337"/>
    <w:rsid w:val="00B1012F"/>
    <w:rsid w:val="00B103CA"/>
    <w:rsid w:val="00B10FE3"/>
    <w:rsid w:val="00B11473"/>
    <w:rsid w:val="00B11F22"/>
    <w:rsid w:val="00B1205A"/>
    <w:rsid w:val="00B121A6"/>
    <w:rsid w:val="00B1299C"/>
    <w:rsid w:val="00B12CED"/>
    <w:rsid w:val="00B13059"/>
    <w:rsid w:val="00B13127"/>
    <w:rsid w:val="00B136C6"/>
    <w:rsid w:val="00B138F9"/>
    <w:rsid w:val="00B13A11"/>
    <w:rsid w:val="00B13D3F"/>
    <w:rsid w:val="00B14450"/>
    <w:rsid w:val="00B14648"/>
    <w:rsid w:val="00B14725"/>
    <w:rsid w:val="00B14D2D"/>
    <w:rsid w:val="00B14DDA"/>
    <w:rsid w:val="00B14F6D"/>
    <w:rsid w:val="00B153FB"/>
    <w:rsid w:val="00B16008"/>
    <w:rsid w:val="00B16245"/>
    <w:rsid w:val="00B162CA"/>
    <w:rsid w:val="00B173AC"/>
    <w:rsid w:val="00B1759E"/>
    <w:rsid w:val="00B17F7B"/>
    <w:rsid w:val="00B2047D"/>
    <w:rsid w:val="00B20992"/>
    <w:rsid w:val="00B21227"/>
    <w:rsid w:val="00B21402"/>
    <w:rsid w:val="00B227B9"/>
    <w:rsid w:val="00B22BD6"/>
    <w:rsid w:val="00B23090"/>
    <w:rsid w:val="00B23BAA"/>
    <w:rsid w:val="00B23EDA"/>
    <w:rsid w:val="00B23F80"/>
    <w:rsid w:val="00B2412C"/>
    <w:rsid w:val="00B24159"/>
    <w:rsid w:val="00B2488F"/>
    <w:rsid w:val="00B2567A"/>
    <w:rsid w:val="00B25E35"/>
    <w:rsid w:val="00B260AE"/>
    <w:rsid w:val="00B26AB6"/>
    <w:rsid w:val="00B26E0A"/>
    <w:rsid w:val="00B27867"/>
    <w:rsid w:val="00B27CCB"/>
    <w:rsid w:val="00B3011D"/>
    <w:rsid w:val="00B32883"/>
    <w:rsid w:val="00B32B56"/>
    <w:rsid w:val="00B33F17"/>
    <w:rsid w:val="00B3442B"/>
    <w:rsid w:val="00B35F2C"/>
    <w:rsid w:val="00B3631F"/>
    <w:rsid w:val="00B367B7"/>
    <w:rsid w:val="00B36BF2"/>
    <w:rsid w:val="00B37373"/>
    <w:rsid w:val="00B37589"/>
    <w:rsid w:val="00B37721"/>
    <w:rsid w:val="00B378D0"/>
    <w:rsid w:val="00B3792F"/>
    <w:rsid w:val="00B37A15"/>
    <w:rsid w:val="00B40B95"/>
    <w:rsid w:val="00B40E45"/>
    <w:rsid w:val="00B40F82"/>
    <w:rsid w:val="00B41FA1"/>
    <w:rsid w:val="00B4229D"/>
    <w:rsid w:val="00B42991"/>
    <w:rsid w:val="00B42AF6"/>
    <w:rsid w:val="00B44731"/>
    <w:rsid w:val="00B45B17"/>
    <w:rsid w:val="00B45D53"/>
    <w:rsid w:val="00B46063"/>
    <w:rsid w:val="00B46632"/>
    <w:rsid w:val="00B4679F"/>
    <w:rsid w:val="00B467E4"/>
    <w:rsid w:val="00B47391"/>
    <w:rsid w:val="00B500C1"/>
    <w:rsid w:val="00B503C2"/>
    <w:rsid w:val="00B50902"/>
    <w:rsid w:val="00B513A5"/>
    <w:rsid w:val="00B513C7"/>
    <w:rsid w:val="00B51517"/>
    <w:rsid w:val="00B51BD1"/>
    <w:rsid w:val="00B5219F"/>
    <w:rsid w:val="00B52266"/>
    <w:rsid w:val="00B52A05"/>
    <w:rsid w:val="00B52E6C"/>
    <w:rsid w:val="00B53434"/>
    <w:rsid w:val="00B53718"/>
    <w:rsid w:val="00B545E9"/>
    <w:rsid w:val="00B54A38"/>
    <w:rsid w:val="00B554DE"/>
    <w:rsid w:val="00B5550C"/>
    <w:rsid w:val="00B556A8"/>
    <w:rsid w:val="00B55954"/>
    <w:rsid w:val="00B559F3"/>
    <w:rsid w:val="00B55D67"/>
    <w:rsid w:val="00B56977"/>
    <w:rsid w:val="00B56A8C"/>
    <w:rsid w:val="00B56E38"/>
    <w:rsid w:val="00B57739"/>
    <w:rsid w:val="00B600A2"/>
    <w:rsid w:val="00B6173A"/>
    <w:rsid w:val="00B62CC7"/>
    <w:rsid w:val="00B63D57"/>
    <w:rsid w:val="00B63F8A"/>
    <w:rsid w:val="00B6427C"/>
    <w:rsid w:val="00B64514"/>
    <w:rsid w:val="00B64D2D"/>
    <w:rsid w:val="00B64EA3"/>
    <w:rsid w:val="00B65042"/>
    <w:rsid w:val="00B655D9"/>
    <w:rsid w:val="00B655EF"/>
    <w:rsid w:val="00B65CCB"/>
    <w:rsid w:val="00B6649A"/>
    <w:rsid w:val="00B66542"/>
    <w:rsid w:val="00B669AF"/>
    <w:rsid w:val="00B66B29"/>
    <w:rsid w:val="00B67FB7"/>
    <w:rsid w:val="00B71D2B"/>
    <w:rsid w:val="00B722FB"/>
    <w:rsid w:val="00B72AB0"/>
    <w:rsid w:val="00B73614"/>
    <w:rsid w:val="00B73887"/>
    <w:rsid w:val="00B747F6"/>
    <w:rsid w:val="00B74A2A"/>
    <w:rsid w:val="00B74BD8"/>
    <w:rsid w:val="00B74C82"/>
    <w:rsid w:val="00B74CFC"/>
    <w:rsid w:val="00B75B2A"/>
    <w:rsid w:val="00B75BC7"/>
    <w:rsid w:val="00B75F6F"/>
    <w:rsid w:val="00B7643C"/>
    <w:rsid w:val="00B76817"/>
    <w:rsid w:val="00B76BD2"/>
    <w:rsid w:val="00B76D8C"/>
    <w:rsid w:val="00B77047"/>
    <w:rsid w:val="00B7719D"/>
    <w:rsid w:val="00B77B46"/>
    <w:rsid w:val="00B77CBE"/>
    <w:rsid w:val="00B82186"/>
    <w:rsid w:val="00B8219B"/>
    <w:rsid w:val="00B8309F"/>
    <w:rsid w:val="00B83249"/>
    <w:rsid w:val="00B8338D"/>
    <w:rsid w:val="00B83493"/>
    <w:rsid w:val="00B835EA"/>
    <w:rsid w:val="00B839B3"/>
    <w:rsid w:val="00B84298"/>
    <w:rsid w:val="00B845D8"/>
    <w:rsid w:val="00B84F1B"/>
    <w:rsid w:val="00B85745"/>
    <w:rsid w:val="00B85933"/>
    <w:rsid w:val="00B863B8"/>
    <w:rsid w:val="00B86F82"/>
    <w:rsid w:val="00B8721F"/>
    <w:rsid w:val="00B8735A"/>
    <w:rsid w:val="00B87D80"/>
    <w:rsid w:val="00B902B4"/>
    <w:rsid w:val="00B902FE"/>
    <w:rsid w:val="00B90A0B"/>
    <w:rsid w:val="00B90B86"/>
    <w:rsid w:val="00B912C9"/>
    <w:rsid w:val="00B91739"/>
    <w:rsid w:val="00B91B25"/>
    <w:rsid w:val="00B91F4B"/>
    <w:rsid w:val="00B91FD2"/>
    <w:rsid w:val="00B928F6"/>
    <w:rsid w:val="00B92F32"/>
    <w:rsid w:val="00B932CD"/>
    <w:rsid w:val="00B93DCC"/>
    <w:rsid w:val="00B94C6D"/>
    <w:rsid w:val="00B9554C"/>
    <w:rsid w:val="00B95C0F"/>
    <w:rsid w:val="00B95D87"/>
    <w:rsid w:val="00B95DD8"/>
    <w:rsid w:val="00B9749C"/>
    <w:rsid w:val="00B978F7"/>
    <w:rsid w:val="00BA001B"/>
    <w:rsid w:val="00BA163E"/>
    <w:rsid w:val="00BA2148"/>
    <w:rsid w:val="00BA3871"/>
    <w:rsid w:val="00BA47B1"/>
    <w:rsid w:val="00BA5044"/>
    <w:rsid w:val="00BA5236"/>
    <w:rsid w:val="00BA6BCD"/>
    <w:rsid w:val="00BA7D5A"/>
    <w:rsid w:val="00BB013E"/>
    <w:rsid w:val="00BB0153"/>
    <w:rsid w:val="00BB0D2C"/>
    <w:rsid w:val="00BB0FEF"/>
    <w:rsid w:val="00BB137D"/>
    <w:rsid w:val="00BB1941"/>
    <w:rsid w:val="00BB1D1E"/>
    <w:rsid w:val="00BB1F76"/>
    <w:rsid w:val="00BB236C"/>
    <w:rsid w:val="00BB288D"/>
    <w:rsid w:val="00BB2F8A"/>
    <w:rsid w:val="00BB3267"/>
    <w:rsid w:val="00BB3702"/>
    <w:rsid w:val="00BB405B"/>
    <w:rsid w:val="00BB4AD0"/>
    <w:rsid w:val="00BB523A"/>
    <w:rsid w:val="00BB53FD"/>
    <w:rsid w:val="00BB5A0B"/>
    <w:rsid w:val="00BB5AA1"/>
    <w:rsid w:val="00BB6C4B"/>
    <w:rsid w:val="00BB704D"/>
    <w:rsid w:val="00BB75A6"/>
    <w:rsid w:val="00BB75E8"/>
    <w:rsid w:val="00BB7A50"/>
    <w:rsid w:val="00BC0A6B"/>
    <w:rsid w:val="00BC0B67"/>
    <w:rsid w:val="00BC0E1F"/>
    <w:rsid w:val="00BC0FAF"/>
    <w:rsid w:val="00BC2601"/>
    <w:rsid w:val="00BC3286"/>
    <w:rsid w:val="00BC3ED9"/>
    <w:rsid w:val="00BC40D1"/>
    <w:rsid w:val="00BC4334"/>
    <w:rsid w:val="00BC4D36"/>
    <w:rsid w:val="00BC54C6"/>
    <w:rsid w:val="00BC5651"/>
    <w:rsid w:val="00BC62E1"/>
    <w:rsid w:val="00BC6886"/>
    <w:rsid w:val="00BC6A18"/>
    <w:rsid w:val="00BC6FB0"/>
    <w:rsid w:val="00BC7955"/>
    <w:rsid w:val="00BD01BF"/>
    <w:rsid w:val="00BD04A1"/>
    <w:rsid w:val="00BD0BB4"/>
    <w:rsid w:val="00BD0E1B"/>
    <w:rsid w:val="00BD189E"/>
    <w:rsid w:val="00BD19DB"/>
    <w:rsid w:val="00BD22DF"/>
    <w:rsid w:val="00BD24AA"/>
    <w:rsid w:val="00BD283D"/>
    <w:rsid w:val="00BD3406"/>
    <w:rsid w:val="00BD36E9"/>
    <w:rsid w:val="00BD3AE1"/>
    <w:rsid w:val="00BD445F"/>
    <w:rsid w:val="00BD4A63"/>
    <w:rsid w:val="00BD6C00"/>
    <w:rsid w:val="00BD6DDE"/>
    <w:rsid w:val="00BD7798"/>
    <w:rsid w:val="00BD7967"/>
    <w:rsid w:val="00BE00AA"/>
    <w:rsid w:val="00BE02EA"/>
    <w:rsid w:val="00BE0E9D"/>
    <w:rsid w:val="00BE1D75"/>
    <w:rsid w:val="00BE2428"/>
    <w:rsid w:val="00BE26F8"/>
    <w:rsid w:val="00BE29E4"/>
    <w:rsid w:val="00BE29E7"/>
    <w:rsid w:val="00BE2CEA"/>
    <w:rsid w:val="00BE3244"/>
    <w:rsid w:val="00BE3390"/>
    <w:rsid w:val="00BE3F3F"/>
    <w:rsid w:val="00BE4644"/>
    <w:rsid w:val="00BE5981"/>
    <w:rsid w:val="00BE5C89"/>
    <w:rsid w:val="00BE6AC0"/>
    <w:rsid w:val="00BE70B5"/>
    <w:rsid w:val="00BE7D10"/>
    <w:rsid w:val="00BF00CB"/>
    <w:rsid w:val="00BF00CE"/>
    <w:rsid w:val="00BF088F"/>
    <w:rsid w:val="00BF116E"/>
    <w:rsid w:val="00BF1C6A"/>
    <w:rsid w:val="00BF218E"/>
    <w:rsid w:val="00BF28EF"/>
    <w:rsid w:val="00BF2A2C"/>
    <w:rsid w:val="00BF2A69"/>
    <w:rsid w:val="00BF3A35"/>
    <w:rsid w:val="00BF3C45"/>
    <w:rsid w:val="00BF442F"/>
    <w:rsid w:val="00BF4897"/>
    <w:rsid w:val="00BF5437"/>
    <w:rsid w:val="00BF5D20"/>
    <w:rsid w:val="00BF635D"/>
    <w:rsid w:val="00BF67A3"/>
    <w:rsid w:val="00BF6C61"/>
    <w:rsid w:val="00C00509"/>
    <w:rsid w:val="00C00A57"/>
    <w:rsid w:val="00C01639"/>
    <w:rsid w:val="00C023A4"/>
    <w:rsid w:val="00C0329E"/>
    <w:rsid w:val="00C038D4"/>
    <w:rsid w:val="00C03B3C"/>
    <w:rsid w:val="00C05B82"/>
    <w:rsid w:val="00C05CF8"/>
    <w:rsid w:val="00C0608A"/>
    <w:rsid w:val="00C0630D"/>
    <w:rsid w:val="00C06ECF"/>
    <w:rsid w:val="00C06F9E"/>
    <w:rsid w:val="00C07028"/>
    <w:rsid w:val="00C0725A"/>
    <w:rsid w:val="00C1004B"/>
    <w:rsid w:val="00C10B88"/>
    <w:rsid w:val="00C1175E"/>
    <w:rsid w:val="00C11971"/>
    <w:rsid w:val="00C126EF"/>
    <w:rsid w:val="00C128E6"/>
    <w:rsid w:val="00C12BB6"/>
    <w:rsid w:val="00C13E42"/>
    <w:rsid w:val="00C13F43"/>
    <w:rsid w:val="00C1409A"/>
    <w:rsid w:val="00C150D5"/>
    <w:rsid w:val="00C15D6A"/>
    <w:rsid w:val="00C15D73"/>
    <w:rsid w:val="00C15DC6"/>
    <w:rsid w:val="00C168E8"/>
    <w:rsid w:val="00C20A4F"/>
    <w:rsid w:val="00C20E2B"/>
    <w:rsid w:val="00C2101F"/>
    <w:rsid w:val="00C2169E"/>
    <w:rsid w:val="00C21C23"/>
    <w:rsid w:val="00C21F9B"/>
    <w:rsid w:val="00C22E15"/>
    <w:rsid w:val="00C23254"/>
    <w:rsid w:val="00C2327F"/>
    <w:rsid w:val="00C23567"/>
    <w:rsid w:val="00C2381C"/>
    <w:rsid w:val="00C244B3"/>
    <w:rsid w:val="00C2450F"/>
    <w:rsid w:val="00C27A9E"/>
    <w:rsid w:val="00C30099"/>
    <w:rsid w:val="00C307A2"/>
    <w:rsid w:val="00C308E8"/>
    <w:rsid w:val="00C311C0"/>
    <w:rsid w:val="00C311D6"/>
    <w:rsid w:val="00C313B7"/>
    <w:rsid w:val="00C32192"/>
    <w:rsid w:val="00C330CF"/>
    <w:rsid w:val="00C331CF"/>
    <w:rsid w:val="00C33425"/>
    <w:rsid w:val="00C33AF5"/>
    <w:rsid w:val="00C33C5D"/>
    <w:rsid w:val="00C33FD1"/>
    <w:rsid w:val="00C34396"/>
    <w:rsid w:val="00C348A6"/>
    <w:rsid w:val="00C34CE0"/>
    <w:rsid w:val="00C34EF4"/>
    <w:rsid w:val="00C3503A"/>
    <w:rsid w:val="00C35462"/>
    <w:rsid w:val="00C36028"/>
    <w:rsid w:val="00C3662E"/>
    <w:rsid w:val="00C36683"/>
    <w:rsid w:val="00C36B71"/>
    <w:rsid w:val="00C36C22"/>
    <w:rsid w:val="00C36E8A"/>
    <w:rsid w:val="00C36EF6"/>
    <w:rsid w:val="00C375AC"/>
    <w:rsid w:val="00C376E3"/>
    <w:rsid w:val="00C37B85"/>
    <w:rsid w:val="00C37F98"/>
    <w:rsid w:val="00C40DC6"/>
    <w:rsid w:val="00C41338"/>
    <w:rsid w:val="00C41F42"/>
    <w:rsid w:val="00C42CE2"/>
    <w:rsid w:val="00C432FB"/>
    <w:rsid w:val="00C43F67"/>
    <w:rsid w:val="00C44CD6"/>
    <w:rsid w:val="00C45BF3"/>
    <w:rsid w:val="00C45F0E"/>
    <w:rsid w:val="00C45F2D"/>
    <w:rsid w:val="00C4602C"/>
    <w:rsid w:val="00C46053"/>
    <w:rsid w:val="00C469CD"/>
    <w:rsid w:val="00C47364"/>
    <w:rsid w:val="00C47815"/>
    <w:rsid w:val="00C47BED"/>
    <w:rsid w:val="00C5049F"/>
    <w:rsid w:val="00C509F8"/>
    <w:rsid w:val="00C50A6D"/>
    <w:rsid w:val="00C51647"/>
    <w:rsid w:val="00C51674"/>
    <w:rsid w:val="00C51C1D"/>
    <w:rsid w:val="00C51E2B"/>
    <w:rsid w:val="00C524C4"/>
    <w:rsid w:val="00C52515"/>
    <w:rsid w:val="00C52C92"/>
    <w:rsid w:val="00C53870"/>
    <w:rsid w:val="00C53AE6"/>
    <w:rsid w:val="00C54830"/>
    <w:rsid w:val="00C55127"/>
    <w:rsid w:val="00C562EB"/>
    <w:rsid w:val="00C569A2"/>
    <w:rsid w:val="00C5727F"/>
    <w:rsid w:val="00C576F0"/>
    <w:rsid w:val="00C60183"/>
    <w:rsid w:val="00C60824"/>
    <w:rsid w:val="00C60F8A"/>
    <w:rsid w:val="00C623EA"/>
    <w:rsid w:val="00C6257F"/>
    <w:rsid w:val="00C62F0A"/>
    <w:rsid w:val="00C6336B"/>
    <w:rsid w:val="00C63501"/>
    <w:rsid w:val="00C6392F"/>
    <w:rsid w:val="00C650D0"/>
    <w:rsid w:val="00C652CF"/>
    <w:rsid w:val="00C6564D"/>
    <w:rsid w:val="00C65D0C"/>
    <w:rsid w:val="00C6654A"/>
    <w:rsid w:val="00C66B6F"/>
    <w:rsid w:val="00C67B98"/>
    <w:rsid w:val="00C70C23"/>
    <w:rsid w:val="00C70C7F"/>
    <w:rsid w:val="00C70C8D"/>
    <w:rsid w:val="00C71979"/>
    <w:rsid w:val="00C71E55"/>
    <w:rsid w:val="00C72368"/>
    <w:rsid w:val="00C724E7"/>
    <w:rsid w:val="00C72D48"/>
    <w:rsid w:val="00C72E0B"/>
    <w:rsid w:val="00C733FE"/>
    <w:rsid w:val="00C7354A"/>
    <w:rsid w:val="00C73BCA"/>
    <w:rsid w:val="00C73E76"/>
    <w:rsid w:val="00C73F32"/>
    <w:rsid w:val="00C741C5"/>
    <w:rsid w:val="00C753B8"/>
    <w:rsid w:val="00C76D21"/>
    <w:rsid w:val="00C77132"/>
    <w:rsid w:val="00C77C56"/>
    <w:rsid w:val="00C80B18"/>
    <w:rsid w:val="00C80CDA"/>
    <w:rsid w:val="00C8124B"/>
    <w:rsid w:val="00C820F9"/>
    <w:rsid w:val="00C83234"/>
    <w:rsid w:val="00C835C5"/>
    <w:rsid w:val="00C8393D"/>
    <w:rsid w:val="00C83BAE"/>
    <w:rsid w:val="00C84165"/>
    <w:rsid w:val="00C846E1"/>
    <w:rsid w:val="00C848EC"/>
    <w:rsid w:val="00C848F1"/>
    <w:rsid w:val="00C84E4A"/>
    <w:rsid w:val="00C85655"/>
    <w:rsid w:val="00C85772"/>
    <w:rsid w:val="00C85786"/>
    <w:rsid w:val="00C85C26"/>
    <w:rsid w:val="00C86CF5"/>
    <w:rsid w:val="00C86FB7"/>
    <w:rsid w:val="00C87558"/>
    <w:rsid w:val="00C87618"/>
    <w:rsid w:val="00C87A1B"/>
    <w:rsid w:val="00C90972"/>
    <w:rsid w:val="00C90AFB"/>
    <w:rsid w:val="00C9157F"/>
    <w:rsid w:val="00C918D6"/>
    <w:rsid w:val="00C91BC9"/>
    <w:rsid w:val="00C91E19"/>
    <w:rsid w:val="00C91FBF"/>
    <w:rsid w:val="00C924CF"/>
    <w:rsid w:val="00C93580"/>
    <w:rsid w:val="00C9392D"/>
    <w:rsid w:val="00C9462A"/>
    <w:rsid w:val="00C94921"/>
    <w:rsid w:val="00C953DD"/>
    <w:rsid w:val="00C95486"/>
    <w:rsid w:val="00C95B09"/>
    <w:rsid w:val="00C96202"/>
    <w:rsid w:val="00C96B2C"/>
    <w:rsid w:val="00C96BCF"/>
    <w:rsid w:val="00C96F77"/>
    <w:rsid w:val="00C9774D"/>
    <w:rsid w:val="00C9782C"/>
    <w:rsid w:val="00C97CD2"/>
    <w:rsid w:val="00CA00CB"/>
    <w:rsid w:val="00CA1644"/>
    <w:rsid w:val="00CA1659"/>
    <w:rsid w:val="00CA16B7"/>
    <w:rsid w:val="00CA1AF6"/>
    <w:rsid w:val="00CA1D3B"/>
    <w:rsid w:val="00CA22D2"/>
    <w:rsid w:val="00CA3A6A"/>
    <w:rsid w:val="00CA3D3D"/>
    <w:rsid w:val="00CA4E1C"/>
    <w:rsid w:val="00CA50F9"/>
    <w:rsid w:val="00CA629F"/>
    <w:rsid w:val="00CA6382"/>
    <w:rsid w:val="00CA6799"/>
    <w:rsid w:val="00CA67ED"/>
    <w:rsid w:val="00CA70AA"/>
    <w:rsid w:val="00CA7920"/>
    <w:rsid w:val="00CA792C"/>
    <w:rsid w:val="00CA7C27"/>
    <w:rsid w:val="00CA7F55"/>
    <w:rsid w:val="00CB0D12"/>
    <w:rsid w:val="00CB0D39"/>
    <w:rsid w:val="00CB15C7"/>
    <w:rsid w:val="00CB1B95"/>
    <w:rsid w:val="00CB1E3E"/>
    <w:rsid w:val="00CB2FBA"/>
    <w:rsid w:val="00CB4248"/>
    <w:rsid w:val="00CB4F70"/>
    <w:rsid w:val="00CB513B"/>
    <w:rsid w:val="00CB555D"/>
    <w:rsid w:val="00CB5F1E"/>
    <w:rsid w:val="00CB62CF"/>
    <w:rsid w:val="00CB6506"/>
    <w:rsid w:val="00CB68D2"/>
    <w:rsid w:val="00CB6DBB"/>
    <w:rsid w:val="00CB70F6"/>
    <w:rsid w:val="00CB7952"/>
    <w:rsid w:val="00CB7B18"/>
    <w:rsid w:val="00CB7C62"/>
    <w:rsid w:val="00CB7EF9"/>
    <w:rsid w:val="00CB7FB8"/>
    <w:rsid w:val="00CC01B3"/>
    <w:rsid w:val="00CC02D7"/>
    <w:rsid w:val="00CC099F"/>
    <w:rsid w:val="00CC0E6B"/>
    <w:rsid w:val="00CC17F0"/>
    <w:rsid w:val="00CC1960"/>
    <w:rsid w:val="00CC1D2B"/>
    <w:rsid w:val="00CC20F0"/>
    <w:rsid w:val="00CC2F8A"/>
    <w:rsid w:val="00CC3802"/>
    <w:rsid w:val="00CC424F"/>
    <w:rsid w:val="00CC4866"/>
    <w:rsid w:val="00CC49E3"/>
    <w:rsid w:val="00CC4EB8"/>
    <w:rsid w:val="00CC5895"/>
    <w:rsid w:val="00CD0132"/>
    <w:rsid w:val="00CD0AAE"/>
    <w:rsid w:val="00CD0C22"/>
    <w:rsid w:val="00CD0F0C"/>
    <w:rsid w:val="00CD1D06"/>
    <w:rsid w:val="00CD1E52"/>
    <w:rsid w:val="00CD2201"/>
    <w:rsid w:val="00CD2985"/>
    <w:rsid w:val="00CD3F19"/>
    <w:rsid w:val="00CD42FD"/>
    <w:rsid w:val="00CD6404"/>
    <w:rsid w:val="00CD7A45"/>
    <w:rsid w:val="00CE030B"/>
    <w:rsid w:val="00CE039C"/>
    <w:rsid w:val="00CE1D6F"/>
    <w:rsid w:val="00CE26B5"/>
    <w:rsid w:val="00CE2EEF"/>
    <w:rsid w:val="00CE324D"/>
    <w:rsid w:val="00CE3458"/>
    <w:rsid w:val="00CE3B8D"/>
    <w:rsid w:val="00CE3F6C"/>
    <w:rsid w:val="00CE44B4"/>
    <w:rsid w:val="00CE4765"/>
    <w:rsid w:val="00CE493D"/>
    <w:rsid w:val="00CE526A"/>
    <w:rsid w:val="00CE58ED"/>
    <w:rsid w:val="00CE6251"/>
    <w:rsid w:val="00CE7026"/>
    <w:rsid w:val="00CF0A90"/>
    <w:rsid w:val="00CF13BB"/>
    <w:rsid w:val="00CF1957"/>
    <w:rsid w:val="00CF1DA7"/>
    <w:rsid w:val="00CF26FA"/>
    <w:rsid w:val="00CF28A0"/>
    <w:rsid w:val="00CF2932"/>
    <w:rsid w:val="00CF2B15"/>
    <w:rsid w:val="00CF33F6"/>
    <w:rsid w:val="00CF34D6"/>
    <w:rsid w:val="00CF3530"/>
    <w:rsid w:val="00CF3585"/>
    <w:rsid w:val="00CF48F6"/>
    <w:rsid w:val="00CF7831"/>
    <w:rsid w:val="00D00656"/>
    <w:rsid w:val="00D011F4"/>
    <w:rsid w:val="00D0124E"/>
    <w:rsid w:val="00D0193B"/>
    <w:rsid w:val="00D01D05"/>
    <w:rsid w:val="00D02383"/>
    <w:rsid w:val="00D02397"/>
    <w:rsid w:val="00D03051"/>
    <w:rsid w:val="00D0377E"/>
    <w:rsid w:val="00D04C6D"/>
    <w:rsid w:val="00D04D8C"/>
    <w:rsid w:val="00D04DF9"/>
    <w:rsid w:val="00D04FFA"/>
    <w:rsid w:val="00D0503C"/>
    <w:rsid w:val="00D06D63"/>
    <w:rsid w:val="00D07034"/>
    <w:rsid w:val="00D071FE"/>
    <w:rsid w:val="00D078E8"/>
    <w:rsid w:val="00D079D2"/>
    <w:rsid w:val="00D07C26"/>
    <w:rsid w:val="00D07E5C"/>
    <w:rsid w:val="00D102B7"/>
    <w:rsid w:val="00D1192A"/>
    <w:rsid w:val="00D12AC7"/>
    <w:rsid w:val="00D12C1C"/>
    <w:rsid w:val="00D131B1"/>
    <w:rsid w:val="00D133EE"/>
    <w:rsid w:val="00D14063"/>
    <w:rsid w:val="00D14438"/>
    <w:rsid w:val="00D148C7"/>
    <w:rsid w:val="00D1529C"/>
    <w:rsid w:val="00D1577F"/>
    <w:rsid w:val="00D15D1B"/>
    <w:rsid w:val="00D15D20"/>
    <w:rsid w:val="00D15F0F"/>
    <w:rsid w:val="00D16823"/>
    <w:rsid w:val="00D17107"/>
    <w:rsid w:val="00D2001D"/>
    <w:rsid w:val="00D21763"/>
    <w:rsid w:val="00D2184C"/>
    <w:rsid w:val="00D2227D"/>
    <w:rsid w:val="00D222E4"/>
    <w:rsid w:val="00D223DA"/>
    <w:rsid w:val="00D22A48"/>
    <w:rsid w:val="00D2314E"/>
    <w:rsid w:val="00D231F4"/>
    <w:rsid w:val="00D23475"/>
    <w:rsid w:val="00D2367B"/>
    <w:rsid w:val="00D238C8"/>
    <w:rsid w:val="00D23A3D"/>
    <w:rsid w:val="00D242BA"/>
    <w:rsid w:val="00D24636"/>
    <w:rsid w:val="00D24697"/>
    <w:rsid w:val="00D24E28"/>
    <w:rsid w:val="00D26004"/>
    <w:rsid w:val="00D2649F"/>
    <w:rsid w:val="00D26B8E"/>
    <w:rsid w:val="00D27093"/>
    <w:rsid w:val="00D27570"/>
    <w:rsid w:val="00D27C08"/>
    <w:rsid w:val="00D27FCE"/>
    <w:rsid w:val="00D30FA8"/>
    <w:rsid w:val="00D31560"/>
    <w:rsid w:val="00D32EC1"/>
    <w:rsid w:val="00D32F0E"/>
    <w:rsid w:val="00D332E9"/>
    <w:rsid w:val="00D33D25"/>
    <w:rsid w:val="00D33EF3"/>
    <w:rsid w:val="00D34036"/>
    <w:rsid w:val="00D341D9"/>
    <w:rsid w:val="00D341DF"/>
    <w:rsid w:val="00D343F7"/>
    <w:rsid w:val="00D35427"/>
    <w:rsid w:val="00D36014"/>
    <w:rsid w:val="00D363C8"/>
    <w:rsid w:val="00D3670C"/>
    <w:rsid w:val="00D36CF3"/>
    <w:rsid w:val="00D3789A"/>
    <w:rsid w:val="00D37972"/>
    <w:rsid w:val="00D37C0A"/>
    <w:rsid w:val="00D40355"/>
    <w:rsid w:val="00D4163D"/>
    <w:rsid w:val="00D42C7C"/>
    <w:rsid w:val="00D43133"/>
    <w:rsid w:val="00D4375A"/>
    <w:rsid w:val="00D45C01"/>
    <w:rsid w:val="00D45F01"/>
    <w:rsid w:val="00D46AE3"/>
    <w:rsid w:val="00D473E5"/>
    <w:rsid w:val="00D47967"/>
    <w:rsid w:val="00D47F26"/>
    <w:rsid w:val="00D47F27"/>
    <w:rsid w:val="00D50E6B"/>
    <w:rsid w:val="00D51056"/>
    <w:rsid w:val="00D51148"/>
    <w:rsid w:val="00D51F55"/>
    <w:rsid w:val="00D52793"/>
    <w:rsid w:val="00D528A2"/>
    <w:rsid w:val="00D52FA5"/>
    <w:rsid w:val="00D53203"/>
    <w:rsid w:val="00D534BA"/>
    <w:rsid w:val="00D53B5F"/>
    <w:rsid w:val="00D542E1"/>
    <w:rsid w:val="00D543F2"/>
    <w:rsid w:val="00D54654"/>
    <w:rsid w:val="00D54FDA"/>
    <w:rsid w:val="00D5548D"/>
    <w:rsid w:val="00D55948"/>
    <w:rsid w:val="00D56F5D"/>
    <w:rsid w:val="00D57368"/>
    <w:rsid w:val="00D573F5"/>
    <w:rsid w:val="00D576DE"/>
    <w:rsid w:val="00D577C8"/>
    <w:rsid w:val="00D578B7"/>
    <w:rsid w:val="00D57F2D"/>
    <w:rsid w:val="00D608F3"/>
    <w:rsid w:val="00D60C7B"/>
    <w:rsid w:val="00D61F7D"/>
    <w:rsid w:val="00D62DAC"/>
    <w:rsid w:val="00D62DFC"/>
    <w:rsid w:val="00D62FA0"/>
    <w:rsid w:val="00D630B7"/>
    <w:rsid w:val="00D6377A"/>
    <w:rsid w:val="00D64999"/>
    <w:rsid w:val="00D65738"/>
    <w:rsid w:val="00D65B95"/>
    <w:rsid w:val="00D66FF0"/>
    <w:rsid w:val="00D67410"/>
    <w:rsid w:val="00D6748F"/>
    <w:rsid w:val="00D67DC4"/>
    <w:rsid w:val="00D70199"/>
    <w:rsid w:val="00D70620"/>
    <w:rsid w:val="00D711B4"/>
    <w:rsid w:val="00D71E03"/>
    <w:rsid w:val="00D730F6"/>
    <w:rsid w:val="00D7372D"/>
    <w:rsid w:val="00D73E4C"/>
    <w:rsid w:val="00D73F3E"/>
    <w:rsid w:val="00D73FEA"/>
    <w:rsid w:val="00D7418B"/>
    <w:rsid w:val="00D74A95"/>
    <w:rsid w:val="00D75E58"/>
    <w:rsid w:val="00D7735C"/>
    <w:rsid w:val="00D777A4"/>
    <w:rsid w:val="00D80200"/>
    <w:rsid w:val="00D803F3"/>
    <w:rsid w:val="00D81077"/>
    <w:rsid w:val="00D81B0E"/>
    <w:rsid w:val="00D81B34"/>
    <w:rsid w:val="00D820B0"/>
    <w:rsid w:val="00D82BB6"/>
    <w:rsid w:val="00D82C84"/>
    <w:rsid w:val="00D834E2"/>
    <w:rsid w:val="00D83939"/>
    <w:rsid w:val="00D83AF3"/>
    <w:rsid w:val="00D83E47"/>
    <w:rsid w:val="00D8453D"/>
    <w:rsid w:val="00D845D4"/>
    <w:rsid w:val="00D858BA"/>
    <w:rsid w:val="00D86896"/>
    <w:rsid w:val="00D872CB"/>
    <w:rsid w:val="00D90085"/>
    <w:rsid w:val="00D90101"/>
    <w:rsid w:val="00D90A51"/>
    <w:rsid w:val="00D91458"/>
    <w:rsid w:val="00D91C8B"/>
    <w:rsid w:val="00D922D8"/>
    <w:rsid w:val="00D9239E"/>
    <w:rsid w:val="00D92406"/>
    <w:rsid w:val="00D93128"/>
    <w:rsid w:val="00D94919"/>
    <w:rsid w:val="00D94D0E"/>
    <w:rsid w:val="00D95BB1"/>
    <w:rsid w:val="00D9694B"/>
    <w:rsid w:val="00D977C2"/>
    <w:rsid w:val="00D97B03"/>
    <w:rsid w:val="00DA005C"/>
    <w:rsid w:val="00DA04A5"/>
    <w:rsid w:val="00DA0F94"/>
    <w:rsid w:val="00DA14DA"/>
    <w:rsid w:val="00DA25D3"/>
    <w:rsid w:val="00DA3839"/>
    <w:rsid w:val="00DA3B42"/>
    <w:rsid w:val="00DA3FA7"/>
    <w:rsid w:val="00DA4087"/>
    <w:rsid w:val="00DA4478"/>
    <w:rsid w:val="00DA516B"/>
    <w:rsid w:val="00DA548E"/>
    <w:rsid w:val="00DA5AD7"/>
    <w:rsid w:val="00DA60B6"/>
    <w:rsid w:val="00DA62E2"/>
    <w:rsid w:val="00DA63CD"/>
    <w:rsid w:val="00DA6ED8"/>
    <w:rsid w:val="00DA73BA"/>
    <w:rsid w:val="00DA73F8"/>
    <w:rsid w:val="00DA76D1"/>
    <w:rsid w:val="00DA77FE"/>
    <w:rsid w:val="00DB055F"/>
    <w:rsid w:val="00DB0FDC"/>
    <w:rsid w:val="00DB1131"/>
    <w:rsid w:val="00DB13AE"/>
    <w:rsid w:val="00DB15BD"/>
    <w:rsid w:val="00DB161C"/>
    <w:rsid w:val="00DB1AE8"/>
    <w:rsid w:val="00DB1B5D"/>
    <w:rsid w:val="00DB1D2C"/>
    <w:rsid w:val="00DB2246"/>
    <w:rsid w:val="00DB24FB"/>
    <w:rsid w:val="00DB2846"/>
    <w:rsid w:val="00DB30A0"/>
    <w:rsid w:val="00DB34D5"/>
    <w:rsid w:val="00DB3DCC"/>
    <w:rsid w:val="00DB41A0"/>
    <w:rsid w:val="00DB43EB"/>
    <w:rsid w:val="00DB4702"/>
    <w:rsid w:val="00DB47D5"/>
    <w:rsid w:val="00DB4A74"/>
    <w:rsid w:val="00DB5407"/>
    <w:rsid w:val="00DB61DA"/>
    <w:rsid w:val="00DB6264"/>
    <w:rsid w:val="00DB6DE3"/>
    <w:rsid w:val="00DB79C6"/>
    <w:rsid w:val="00DB79ED"/>
    <w:rsid w:val="00DC1E0C"/>
    <w:rsid w:val="00DC2B59"/>
    <w:rsid w:val="00DC3780"/>
    <w:rsid w:val="00DC3B1B"/>
    <w:rsid w:val="00DC3BE7"/>
    <w:rsid w:val="00DC4A02"/>
    <w:rsid w:val="00DC4BC9"/>
    <w:rsid w:val="00DC5D52"/>
    <w:rsid w:val="00DC61B0"/>
    <w:rsid w:val="00DC622B"/>
    <w:rsid w:val="00DC64BA"/>
    <w:rsid w:val="00DC7435"/>
    <w:rsid w:val="00DC7467"/>
    <w:rsid w:val="00DC7682"/>
    <w:rsid w:val="00DC7804"/>
    <w:rsid w:val="00DC79CD"/>
    <w:rsid w:val="00DC7D9E"/>
    <w:rsid w:val="00DD02B1"/>
    <w:rsid w:val="00DD0445"/>
    <w:rsid w:val="00DD0F14"/>
    <w:rsid w:val="00DD1F94"/>
    <w:rsid w:val="00DD28EA"/>
    <w:rsid w:val="00DD39E3"/>
    <w:rsid w:val="00DD42DF"/>
    <w:rsid w:val="00DD556C"/>
    <w:rsid w:val="00DD56A5"/>
    <w:rsid w:val="00DD5BF1"/>
    <w:rsid w:val="00DD628A"/>
    <w:rsid w:val="00DD7F1C"/>
    <w:rsid w:val="00DE1243"/>
    <w:rsid w:val="00DE13A7"/>
    <w:rsid w:val="00DE1773"/>
    <w:rsid w:val="00DE17DE"/>
    <w:rsid w:val="00DE1D1F"/>
    <w:rsid w:val="00DE2282"/>
    <w:rsid w:val="00DE28DD"/>
    <w:rsid w:val="00DE2E98"/>
    <w:rsid w:val="00DE33B9"/>
    <w:rsid w:val="00DE42A4"/>
    <w:rsid w:val="00DE4309"/>
    <w:rsid w:val="00DE441A"/>
    <w:rsid w:val="00DE4774"/>
    <w:rsid w:val="00DE4EFC"/>
    <w:rsid w:val="00DE50A7"/>
    <w:rsid w:val="00DE5722"/>
    <w:rsid w:val="00DE5A85"/>
    <w:rsid w:val="00DE5E56"/>
    <w:rsid w:val="00DE5EBD"/>
    <w:rsid w:val="00DE60C3"/>
    <w:rsid w:val="00DE60ED"/>
    <w:rsid w:val="00DE66EF"/>
    <w:rsid w:val="00DE6765"/>
    <w:rsid w:val="00DE6CD3"/>
    <w:rsid w:val="00DE6DCD"/>
    <w:rsid w:val="00DE724D"/>
    <w:rsid w:val="00DE78F2"/>
    <w:rsid w:val="00DE7FA9"/>
    <w:rsid w:val="00DF0358"/>
    <w:rsid w:val="00DF0B9C"/>
    <w:rsid w:val="00DF1005"/>
    <w:rsid w:val="00DF16B6"/>
    <w:rsid w:val="00DF22BA"/>
    <w:rsid w:val="00DF2511"/>
    <w:rsid w:val="00DF26E9"/>
    <w:rsid w:val="00DF28A9"/>
    <w:rsid w:val="00DF2BDC"/>
    <w:rsid w:val="00DF32DB"/>
    <w:rsid w:val="00DF38F4"/>
    <w:rsid w:val="00DF3A25"/>
    <w:rsid w:val="00DF445A"/>
    <w:rsid w:val="00DF5065"/>
    <w:rsid w:val="00DF52ED"/>
    <w:rsid w:val="00DF6351"/>
    <w:rsid w:val="00DF7AFE"/>
    <w:rsid w:val="00DF7E9F"/>
    <w:rsid w:val="00E005BD"/>
    <w:rsid w:val="00E005C3"/>
    <w:rsid w:val="00E00777"/>
    <w:rsid w:val="00E012D1"/>
    <w:rsid w:val="00E01404"/>
    <w:rsid w:val="00E01A8B"/>
    <w:rsid w:val="00E01AF1"/>
    <w:rsid w:val="00E01B92"/>
    <w:rsid w:val="00E01E69"/>
    <w:rsid w:val="00E020A2"/>
    <w:rsid w:val="00E02422"/>
    <w:rsid w:val="00E026FF"/>
    <w:rsid w:val="00E027BF"/>
    <w:rsid w:val="00E02AF6"/>
    <w:rsid w:val="00E02B23"/>
    <w:rsid w:val="00E03375"/>
    <w:rsid w:val="00E03B00"/>
    <w:rsid w:val="00E04037"/>
    <w:rsid w:val="00E04653"/>
    <w:rsid w:val="00E0550E"/>
    <w:rsid w:val="00E055F7"/>
    <w:rsid w:val="00E062D1"/>
    <w:rsid w:val="00E066FC"/>
    <w:rsid w:val="00E06B12"/>
    <w:rsid w:val="00E06C4C"/>
    <w:rsid w:val="00E1019C"/>
    <w:rsid w:val="00E102A6"/>
    <w:rsid w:val="00E106A1"/>
    <w:rsid w:val="00E11774"/>
    <w:rsid w:val="00E11E35"/>
    <w:rsid w:val="00E12505"/>
    <w:rsid w:val="00E12622"/>
    <w:rsid w:val="00E12AC0"/>
    <w:rsid w:val="00E12AC4"/>
    <w:rsid w:val="00E12E72"/>
    <w:rsid w:val="00E1346B"/>
    <w:rsid w:val="00E1395C"/>
    <w:rsid w:val="00E141DC"/>
    <w:rsid w:val="00E14298"/>
    <w:rsid w:val="00E15C44"/>
    <w:rsid w:val="00E1678C"/>
    <w:rsid w:val="00E17C30"/>
    <w:rsid w:val="00E20916"/>
    <w:rsid w:val="00E20A55"/>
    <w:rsid w:val="00E2135B"/>
    <w:rsid w:val="00E213E9"/>
    <w:rsid w:val="00E22A92"/>
    <w:rsid w:val="00E22C84"/>
    <w:rsid w:val="00E233F0"/>
    <w:rsid w:val="00E2343D"/>
    <w:rsid w:val="00E23FCF"/>
    <w:rsid w:val="00E24DC2"/>
    <w:rsid w:val="00E25665"/>
    <w:rsid w:val="00E25697"/>
    <w:rsid w:val="00E262A7"/>
    <w:rsid w:val="00E2632E"/>
    <w:rsid w:val="00E26A55"/>
    <w:rsid w:val="00E26BCD"/>
    <w:rsid w:val="00E270F8"/>
    <w:rsid w:val="00E2795A"/>
    <w:rsid w:val="00E2796E"/>
    <w:rsid w:val="00E2798C"/>
    <w:rsid w:val="00E3021D"/>
    <w:rsid w:val="00E304AA"/>
    <w:rsid w:val="00E30A63"/>
    <w:rsid w:val="00E30C3C"/>
    <w:rsid w:val="00E311C6"/>
    <w:rsid w:val="00E31E9E"/>
    <w:rsid w:val="00E31EC3"/>
    <w:rsid w:val="00E31F66"/>
    <w:rsid w:val="00E31FCD"/>
    <w:rsid w:val="00E33057"/>
    <w:rsid w:val="00E332AC"/>
    <w:rsid w:val="00E334AF"/>
    <w:rsid w:val="00E33851"/>
    <w:rsid w:val="00E33CE4"/>
    <w:rsid w:val="00E33DB5"/>
    <w:rsid w:val="00E33E61"/>
    <w:rsid w:val="00E34706"/>
    <w:rsid w:val="00E34CA1"/>
    <w:rsid w:val="00E34CB7"/>
    <w:rsid w:val="00E3551E"/>
    <w:rsid w:val="00E362A9"/>
    <w:rsid w:val="00E36815"/>
    <w:rsid w:val="00E3742E"/>
    <w:rsid w:val="00E374E7"/>
    <w:rsid w:val="00E37654"/>
    <w:rsid w:val="00E37814"/>
    <w:rsid w:val="00E37997"/>
    <w:rsid w:val="00E379F5"/>
    <w:rsid w:val="00E37A5F"/>
    <w:rsid w:val="00E37E4B"/>
    <w:rsid w:val="00E37E5F"/>
    <w:rsid w:val="00E37EFA"/>
    <w:rsid w:val="00E37F9A"/>
    <w:rsid w:val="00E4095D"/>
    <w:rsid w:val="00E40B08"/>
    <w:rsid w:val="00E40C8E"/>
    <w:rsid w:val="00E419AD"/>
    <w:rsid w:val="00E41A84"/>
    <w:rsid w:val="00E43E45"/>
    <w:rsid w:val="00E44674"/>
    <w:rsid w:val="00E446B4"/>
    <w:rsid w:val="00E448CE"/>
    <w:rsid w:val="00E4495A"/>
    <w:rsid w:val="00E44965"/>
    <w:rsid w:val="00E44B39"/>
    <w:rsid w:val="00E44CE8"/>
    <w:rsid w:val="00E44D97"/>
    <w:rsid w:val="00E44DF3"/>
    <w:rsid w:val="00E44F39"/>
    <w:rsid w:val="00E46412"/>
    <w:rsid w:val="00E4651E"/>
    <w:rsid w:val="00E46F92"/>
    <w:rsid w:val="00E502E9"/>
    <w:rsid w:val="00E50577"/>
    <w:rsid w:val="00E508D3"/>
    <w:rsid w:val="00E50F44"/>
    <w:rsid w:val="00E51E6F"/>
    <w:rsid w:val="00E52788"/>
    <w:rsid w:val="00E52D22"/>
    <w:rsid w:val="00E52EEE"/>
    <w:rsid w:val="00E53125"/>
    <w:rsid w:val="00E5390E"/>
    <w:rsid w:val="00E54414"/>
    <w:rsid w:val="00E54554"/>
    <w:rsid w:val="00E545BE"/>
    <w:rsid w:val="00E54EBD"/>
    <w:rsid w:val="00E556CF"/>
    <w:rsid w:val="00E55908"/>
    <w:rsid w:val="00E56099"/>
    <w:rsid w:val="00E56BFA"/>
    <w:rsid w:val="00E56C52"/>
    <w:rsid w:val="00E57189"/>
    <w:rsid w:val="00E57413"/>
    <w:rsid w:val="00E603F7"/>
    <w:rsid w:val="00E61444"/>
    <w:rsid w:val="00E61E87"/>
    <w:rsid w:val="00E62737"/>
    <w:rsid w:val="00E62F44"/>
    <w:rsid w:val="00E63611"/>
    <w:rsid w:val="00E63731"/>
    <w:rsid w:val="00E63FC1"/>
    <w:rsid w:val="00E640D1"/>
    <w:rsid w:val="00E64278"/>
    <w:rsid w:val="00E644C1"/>
    <w:rsid w:val="00E645A5"/>
    <w:rsid w:val="00E646AA"/>
    <w:rsid w:val="00E64C1D"/>
    <w:rsid w:val="00E64CAA"/>
    <w:rsid w:val="00E64E66"/>
    <w:rsid w:val="00E650AD"/>
    <w:rsid w:val="00E650B3"/>
    <w:rsid w:val="00E651B3"/>
    <w:rsid w:val="00E6583B"/>
    <w:rsid w:val="00E6594B"/>
    <w:rsid w:val="00E65B37"/>
    <w:rsid w:val="00E65BE8"/>
    <w:rsid w:val="00E65EA9"/>
    <w:rsid w:val="00E66359"/>
    <w:rsid w:val="00E6692C"/>
    <w:rsid w:val="00E66E9D"/>
    <w:rsid w:val="00E6784B"/>
    <w:rsid w:val="00E700E8"/>
    <w:rsid w:val="00E70A36"/>
    <w:rsid w:val="00E70E48"/>
    <w:rsid w:val="00E7111A"/>
    <w:rsid w:val="00E713C3"/>
    <w:rsid w:val="00E71BCC"/>
    <w:rsid w:val="00E71D15"/>
    <w:rsid w:val="00E71F9D"/>
    <w:rsid w:val="00E725D3"/>
    <w:rsid w:val="00E72BBC"/>
    <w:rsid w:val="00E73333"/>
    <w:rsid w:val="00E736EA"/>
    <w:rsid w:val="00E7385A"/>
    <w:rsid w:val="00E73A10"/>
    <w:rsid w:val="00E7421F"/>
    <w:rsid w:val="00E74738"/>
    <w:rsid w:val="00E75A00"/>
    <w:rsid w:val="00E76500"/>
    <w:rsid w:val="00E76AC3"/>
    <w:rsid w:val="00E80742"/>
    <w:rsid w:val="00E808E0"/>
    <w:rsid w:val="00E80C27"/>
    <w:rsid w:val="00E81A5D"/>
    <w:rsid w:val="00E825B1"/>
    <w:rsid w:val="00E83642"/>
    <w:rsid w:val="00E836BE"/>
    <w:rsid w:val="00E8392D"/>
    <w:rsid w:val="00E84D87"/>
    <w:rsid w:val="00E85A7E"/>
    <w:rsid w:val="00E8677C"/>
    <w:rsid w:val="00E86E29"/>
    <w:rsid w:val="00E86F92"/>
    <w:rsid w:val="00E87364"/>
    <w:rsid w:val="00E873DD"/>
    <w:rsid w:val="00E87D9E"/>
    <w:rsid w:val="00E906E5"/>
    <w:rsid w:val="00E917E2"/>
    <w:rsid w:val="00E91D54"/>
    <w:rsid w:val="00E925AC"/>
    <w:rsid w:val="00E92C41"/>
    <w:rsid w:val="00E92E68"/>
    <w:rsid w:val="00E930E0"/>
    <w:rsid w:val="00E9393A"/>
    <w:rsid w:val="00E959C2"/>
    <w:rsid w:val="00E95BFC"/>
    <w:rsid w:val="00E9658F"/>
    <w:rsid w:val="00E9697C"/>
    <w:rsid w:val="00E96A82"/>
    <w:rsid w:val="00E9713D"/>
    <w:rsid w:val="00EA00F3"/>
    <w:rsid w:val="00EA013C"/>
    <w:rsid w:val="00EA044F"/>
    <w:rsid w:val="00EA07E2"/>
    <w:rsid w:val="00EA08F2"/>
    <w:rsid w:val="00EA0C3E"/>
    <w:rsid w:val="00EA1A99"/>
    <w:rsid w:val="00EA1BC7"/>
    <w:rsid w:val="00EA2018"/>
    <w:rsid w:val="00EA21A1"/>
    <w:rsid w:val="00EA22D0"/>
    <w:rsid w:val="00EA23C9"/>
    <w:rsid w:val="00EA2482"/>
    <w:rsid w:val="00EA31E3"/>
    <w:rsid w:val="00EA3374"/>
    <w:rsid w:val="00EA339D"/>
    <w:rsid w:val="00EA46CB"/>
    <w:rsid w:val="00EA47A3"/>
    <w:rsid w:val="00EA496E"/>
    <w:rsid w:val="00EA4D25"/>
    <w:rsid w:val="00EA4D91"/>
    <w:rsid w:val="00EA64E4"/>
    <w:rsid w:val="00EA6B68"/>
    <w:rsid w:val="00EA6CF1"/>
    <w:rsid w:val="00EA745B"/>
    <w:rsid w:val="00EB06C4"/>
    <w:rsid w:val="00EB081D"/>
    <w:rsid w:val="00EB081F"/>
    <w:rsid w:val="00EB0B29"/>
    <w:rsid w:val="00EB0D48"/>
    <w:rsid w:val="00EB1140"/>
    <w:rsid w:val="00EB120F"/>
    <w:rsid w:val="00EB12CB"/>
    <w:rsid w:val="00EB17E1"/>
    <w:rsid w:val="00EB18DF"/>
    <w:rsid w:val="00EB1FE2"/>
    <w:rsid w:val="00EB20AC"/>
    <w:rsid w:val="00EB247C"/>
    <w:rsid w:val="00EB24BB"/>
    <w:rsid w:val="00EB2B5A"/>
    <w:rsid w:val="00EB3CB9"/>
    <w:rsid w:val="00EB5002"/>
    <w:rsid w:val="00EB55EA"/>
    <w:rsid w:val="00EB6CEB"/>
    <w:rsid w:val="00EB6E73"/>
    <w:rsid w:val="00EB6FEF"/>
    <w:rsid w:val="00EB7230"/>
    <w:rsid w:val="00EC01BB"/>
    <w:rsid w:val="00EC0AF4"/>
    <w:rsid w:val="00EC0E36"/>
    <w:rsid w:val="00EC1199"/>
    <w:rsid w:val="00EC1BD9"/>
    <w:rsid w:val="00EC1D3B"/>
    <w:rsid w:val="00EC1EA8"/>
    <w:rsid w:val="00EC2483"/>
    <w:rsid w:val="00EC2703"/>
    <w:rsid w:val="00EC2C44"/>
    <w:rsid w:val="00EC2D1A"/>
    <w:rsid w:val="00EC30B7"/>
    <w:rsid w:val="00EC375A"/>
    <w:rsid w:val="00EC3B24"/>
    <w:rsid w:val="00EC3B98"/>
    <w:rsid w:val="00EC3D1F"/>
    <w:rsid w:val="00EC4DD6"/>
    <w:rsid w:val="00EC5743"/>
    <w:rsid w:val="00EC634F"/>
    <w:rsid w:val="00EC671F"/>
    <w:rsid w:val="00EC721D"/>
    <w:rsid w:val="00EC7469"/>
    <w:rsid w:val="00EC78A9"/>
    <w:rsid w:val="00EC78EC"/>
    <w:rsid w:val="00EC7F39"/>
    <w:rsid w:val="00ED0B23"/>
    <w:rsid w:val="00ED0C18"/>
    <w:rsid w:val="00ED0C68"/>
    <w:rsid w:val="00ED0E83"/>
    <w:rsid w:val="00ED14D5"/>
    <w:rsid w:val="00ED1D2C"/>
    <w:rsid w:val="00ED1F7D"/>
    <w:rsid w:val="00ED22BB"/>
    <w:rsid w:val="00ED2467"/>
    <w:rsid w:val="00ED252F"/>
    <w:rsid w:val="00ED262A"/>
    <w:rsid w:val="00ED290E"/>
    <w:rsid w:val="00ED2FCF"/>
    <w:rsid w:val="00ED301C"/>
    <w:rsid w:val="00ED35D0"/>
    <w:rsid w:val="00ED3EEF"/>
    <w:rsid w:val="00ED41B1"/>
    <w:rsid w:val="00ED5D6E"/>
    <w:rsid w:val="00ED6293"/>
    <w:rsid w:val="00ED747A"/>
    <w:rsid w:val="00ED7530"/>
    <w:rsid w:val="00ED7D7B"/>
    <w:rsid w:val="00ED7FC7"/>
    <w:rsid w:val="00EE00D9"/>
    <w:rsid w:val="00EE0241"/>
    <w:rsid w:val="00EE0342"/>
    <w:rsid w:val="00EE09BE"/>
    <w:rsid w:val="00EE0C6C"/>
    <w:rsid w:val="00EE0E8B"/>
    <w:rsid w:val="00EE1C97"/>
    <w:rsid w:val="00EE1F37"/>
    <w:rsid w:val="00EE247A"/>
    <w:rsid w:val="00EE2E2F"/>
    <w:rsid w:val="00EE3779"/>
    <w:rsid w:val="00EE415E"/>
    <w:rsid w:val="00EE4579"/>
    <w:rsid w:val="00EE4582"/>
    <w:rsid w:val="00EE46E0"/>
    <w:rsid w:val="00EE4737"/>
    <w:rsid w:val="00EE4994"/>
    <w:rsid w:val="00EE5935"/>
    <w:rsid w:val="00EE5CBB"/>
    <w:rsid w:val="00EE5E5F"/>
    <w:rsid w:val="00EE6096"/>
    <w:rsid w:val="00EE6BC6"/>
    <w:rsid w:val="00EE6DE9"/>
    <w:rsid w:val="00EE6EBB"/>
    <w:rsid w:val="00EE72B2"/>
    <w:rsid w:val="00EE76F0"/>
    <w:rsid w:val="00EF098A"/>
    <w:rsid w:val="00EF0CF3"/>
    <w:rsid w:val="00EF16B9"/>
    <w:rsid w:val="00EF1B4A"/>
    <w:rsid w:val="00EF1FB7"/>
    <w:rsid w:val="00EF290E"/>
    <w:rsid w:val="00EF2C57"/>
    <w:rsid w:val="00EF2FCD"/>
    <w:rsid w:val="00EF3408"/>
    <w:rsid w:val="00EF4E96"/>
    <w:rsid w:val="00EF51EA"/>
    <w:rsid w:val="00EF5486"/>
    <w:rsid w:val="00EF6107"/>
    <w:rsid w:val="00EF64D0"/>
    <w:rsid w:val="00EF6AAE"/>
    <w:rsid w:val="00EF6AC1"/>
    <w:rsid w:val="00EF73C3"/>
    <w:rsid w:val="00EF73C7"/>
    <w:rsid w:val="00EF7684"/>
    <w:rsid w:val="00EF7B49"/>
    <w:rsid w:val="00F00EC3"/>
    <w:rsid w:val="00F0126C"/>
    <w:rsid w:val="00F0162B"/>
    <w:rsid w:val="00F01C37"/>
    <w:rsid w:val="00F022EA"/>
    <w:rsid w:val="00F0265C"/>
    <w:rsid w:val="00F02901"/>
    <w:rsid w:val="00F02EFF"/>
    <w:rsid w:val="00F035DB"/>
    <w:rsid w:val="00F036FF"/>
    <w:rsid w:val="00F03DC7"/>
    <w:rsid w:val="00F03E7E"/>
    <w:rsid w:val="00F03E88"/>
    <w:rsid w:val="00F04CB1"/>
    <w:rsid w:val="00F054CC"/>
    <w:rsid w:val="00F0589E"/>
    <w:rsid w:val="00F070FB"/>
    <w:rsid w:val="00F074F4"/>
    <w:rsid w:val="00F07774"/>
    <w:rsid w:val="00F07E0C"/>
    <w:rsid w:val="00F102D4"/>
    <w:rsid w:val="00F103F8"/>
    <w:rsid w:val="00F10907"/>
    <w:rsid w:val="00F10964"/>
    <w:rsid w:val="00F10D0B"/>
    <w:rsid w:val="00F11227"/>
    <w:rsid w:val="00F127B7"/>
    <w:rsid w:val="00F14283"/>
    <w:rsid w:val="00F14332"/>
    <w:rsid w:val="00F14950"/>
    <w:rsid w:val="00F14D0F"/>
    <w:rsid w:val="00F14EFB"/>
    <w:rsid w:val="00F15354"/>
    <w:rsid w:val="00F155DE"/>
    <w:rsid w:val="00F15777"/>
    <w:rsid w:val="00F15A36"/>
    <w:rsid w:val="00F15E4F"/>
    <w:rsid w:val="00F161AC"/>
    <w:rsid w:val="00F1670E"/>
    <w:rsid w:val="00F16CB9"/>
    <w:rsid w:val="00F17650"/>
    <w:rsid w:val="00F17E8E"/>
    <w:rsid w:val="00F200D8"/>
    <w:rsid w:val="00F20132"/>
    <w:rsid w:val="00F20499"/>
    <w:rsid w:val="00F20D4F"/>
    <w:rsid w:val="00F21C77"/>
    <w:rsid w:val="00F226B0"/>
    <w:rsid w:val="00F227B6"/>
    <w:rsid w:val="00F22870"/>
    <w:rsid w:val="00F22F6E"/>
    <w:rsid w:val="00F23062"/>
    <w:rsid w:val="00F231E0"/>
    <w:rsid w:val="00F23250"/>
    <w:rsid w:val="00F23936"/>
    <w:rsid w:val="00F23C58"/>
    <w:rsid w:val="00F23E61"/>
    <w:rsid w:val="00F2460C"/>
    <w:rsid w:val="00F248F9"/>
    <w:rsid w:val="00F249E2"/>
    <w:rsid w:val="00F25196"/>
    <w:rsid w:val="00F25443"/>
    <w:rsid w:val="00F256A6"/>
    <w:rsid w:val="00F25737"/>
    <w:rsid w:val="00F25DE3"/>
    <w:rsid w:val="00F260CA"/>
    <w:rsid w:val="00F2731A"/>
    <w:rsid w:val="00F27461"/>
    <w:rsid w:val="00F274C4"/>
    <w:rsid w:val="00F274F6"/>
    <w:rsid w:val="00F27DCD"/>
    <w:rsid w:val="00F30240"/>
    <w:rsid w:val="00F303A3"/>
    <w:rsid w:val="00F31268"/>
    <w:rsid w:val="00F31581"/>
    <w:rsid w:val="00F3163B"/>
    <w:rsid w:val="00F3225D"/>
    <w:rsid w:val="00F32932"/>
    <w:rsid w:val="00F33A39"/>
    <w:rsid w:val="00F33BFB"/>
    <w:rsid w:val="00F33C19"/>
    <w:rsid w:val="00F341F1"/>
    <w:rsid w:val="00F34638"/>
    <w:rsid w:val="00F34BA4"/>
    <w:rsid w:val="00F34BDF"/>
    <w:rsid w:val="00F34D5F"/>
    <w:rsid w:val="00F34E92"/>
    <w:rsid w:val="00F35479"/>
    <w:rsid w:val="00F35531"/>
    <w:rsid w:val="00F35F70"/>
    <w:rsid w:val="00F36D24"/>
    <w:rsid w:val="00F373D2"/>
    <w:rsid w:val="00F37525"/>
    <w:rsid w:val="00F37620"/>
    <w:rsid w:val="00F37BBC"/>
    <w:rsid w:val="00F37F23"/>
    <w:rsid w:val="00F40000"/>
    <w:rsid w:val="00F40541"/>
    <w:rsid w:val="00F40927"/>
    <w:rsid w:val="00F40BEF"/>
    <w:rsid w:val="00F4104F"/>
    <w:rsid w:val="00F42BC6"/>
    <w:rsid w:val="00F42C64"/>
    <w:rsid w:val="00F43D7E"/>
    <w:rsid w:val="00F440C2"/>
    <w:rsid w:val="00F4418D"/>
    <w:rsid w:val="00F44FAE"/>
    <w:rsid w:val="00F45652"/>
    <w:rsid w:val="00F45A71"/>
    <w:rsid w:val="00F46284"/>
    <w:rsid w:val="00F46A5A"/>
    <w:rsid w:val="00F46AA4"/>
    <w:rsid w:val="00F47E4C"/>
    <w:rsid w:val="00F47F2F"/>
    <w:rsid w:val="00F5023E"/>
    <w:rsid w:val="00F5031B"/>
    <w:rsid w:val="00F511A1"/>
    <w:rsid w:val="00F530CC"/>
    <w:rsid w:val="00F53727"/>
    <w:rsid w:val="00F53977"/>
    <w:rsid w:val="00F54460"/>
    <w:rsid w:val="00F549DD"/>
    <w:rsid w:val="00F55169"/>
    <w:rsid w:val="00F55F46"/>
    <w:rsid w:val="00F56389"/>
    <w:rsid w:val="00F566CD"/>
    <w:rsid w:val="00F57079"/>
    <w:rsid w:val="00F5715C"/>
    <w:rsid w:val="00F57771"/>
    <w:rsid w:val="00F60270"/>
    <w:rsid w:val="00F61869"/>
    <w:rsid w:val="00F62335"/>
    <w:rsid w:val="00F62842"/>
    <w:rsid w:val="00F62F19"/>
    <w:rsid w:val="00F635C5"/>
    <w:rsid w:val="00F6366C"/>
    <w:rsid w:val="00F6377D"/>
    <w:rsid w:val="00F638C6"/>
    <w:rsid w:val="00F644BB"/>
    <w:rsid w:val="00F6454E"/>
    <w:rsid w:val="00F64D37"/>
    <w:rsid w:val="00F6516C"/>
    <w:rsid w:val="00F651C9"/>
    <w:rsid w:val="00F65230"/>
    <w:rsid w:val="00F654EA"/>
    <w:rsid w:val="00F659FB"/>
    <w:rsid w:val="00F65D5E"/>
    <w:rsid w:val="00F65FE2"/>
    <w:rsid w:val="00F6650A"/>
    <w:rsid w:val="00F665BA"/>
    <w:rsid w:val="00F666F0"/>
    <w:rsid w:val="00F66710"/>
    <w:rsid w:val="00F66A2E"/>
    <w:rsid w:val="00F66B0A"/>
    <w:rsid w:val="00F67318"/>
    <w:rsid w:val="00F7043D"/>
    <w:rsid w:val="00F70ACD"/>
    <w:rsid w:val="00F70CD3"/>
    <w:rsid w:val="00F70FCC"/>
    <w:rsid w:val="00F710CA"/>
    <w:rsid w:val="00F71357"/>
    <w:rsid w:val="00F7210A"/>
    <w:rsid w:val="00F72242"/>
    <w:rsid w:val="00F726F5"/>
    <w:rsid w:val="00F73325"/>
    <w:rsid w:val="00F73718"/>
    <w:rsid w:val="00F74078"/>
    <w:rsid w:val="00F74BB7"/>
    <w:rsid w:val="00F755B3"/>
    <w:rsid w:val="00F75A44"/>
    <w:rsid w:val="00F7650A"/>
    <w:rsid w:val="00F76FAD"/>
    <w:rsid w:val="00F7732B"/>
    <w:rsid w:val="00F775BF"/>
    <w:rsid w:val="00F777AA"/>
    <w:rsid w:val="00F77BE7"/>
    <w:rsid w:val="00F77EFC"/>
    <w:rsid w:val="00F8077E"/>
    <w:rsid w:val="00F81408"/>
    <w:rsid w:val="00F81571"/>
    <w:rsid w:val="00F817AE"/>
    <w:rsid w:val="00F81C45"/>
    <w:rsid w:val="00F81D83"/>
    <w:rsid w:val="00F81FD1"/>
    <w:rsid w:val="00F82F16"/>
    <w:rsid w:val="00F83935"/>
    <w:rsid w:val="00F83F5E"/>
    <w:rsid w:val="00F840C9"/>
    <w:rsid w:val="00F845F6"/>
    <w:rsid w:val="00F8598D"/>
    <w:rsid w:val="00F86091"/>
    <w:rsid w:val="00F8613B"/>
    <w:rsid w:val="00F865F8"/>
    <w:rsid w:val="00F874AF"/>
    <w:rsid w:val="00F8754E"/>
    <w:rsid w:val="00F876E8"/>
    <w:rsid w:val="00F87B9C"/>
    <w:rsid w:val="00F9089D"/>
    <w:rsid w:val="00F9099D"/>
    <w:rsid w:val="00F914B4"/>
    <w:rsid w:val="00F91524"/>
    <w:rsid w:val="00F9160E"/>
    <w:rsid w:val="00F91CDA"/>
    <w:rsid w:val="00F93516"/>
    <w:rsid w:val="00F943A1"/>
    <w:rsid w:val="00F94C41"/>
    <w:rsid w:val="00F94F05"/>
    <w:rsid w:val="00F95C8F"/>
    <w:rsid w:val="00F963FF"/>
    <w:rsid w:val="00F96847"/>
    <w:rsid w:val="00F9686B"/>
    <w:rsid w:val="00F97D0C"/>
    <w:rsid w:val="00FA0189"/>
    <w:rsid w:val="00FA061E"/>
    <w:rsid w:val="00FA0C0E"/>
    <w:rsid w:val="00FA1D11"/>
    <w:rsid w:val="00FA21CE"/>
    <w:rsid w:val="00FA238E"/>
    <w:rsid w:val="00FA27A5"/>
    <w:rsid w:val="00FA2C52"/>
    <w:rsid w:val="00FA420B"/>
    <w:rsid w:val="00FA48CF"/>
    <w:rsid w:val="00FA4AEE"/>
    <w:rsid w:val="00FA500F"/>
    <w:rsid w:val="00FA569B"/>
    <w:rsid w:val="00FA581F"/>
    <w:rsid w:val="00FA59DB"/>
    <w:rsid w:val="00FA5A19"/>
    <w:rsid w:val="00FA6445"/>
    <w:rsid w:val="00FA7BDA"/>
    <w:rsid w:val="00FB2CF8"/>
    <w:rsid w:val="00FB306B"/>
    <w:rsid w:val="00FB3F8A"/>
    <w:rsid w:val="00FB4A1A"/>
    <w:rsid w:val="00FB4D37"/>
    <w:rsid w:val="00FB5543"/>
    <w:rsid w:val="00FB5953"/>
    <w:rsid w:val="00FC0F84"/>
    <w:rsid w:val="00FC1312"/>
    <w:rsid w:val="00FC139A"/>
    <w:rsid w:val="00FC19DD"/>
    <w:rsid w:val="00FC1D36"/>
    <w:rsid w:val="00FC2775"/>
    <w:rsid w:val="00FC3992"/>
    <w:rsid w:val="00FC488F"/>
    <w:rsid w:val="00FC4939"/>
    <w:rsid w:val="00FC4DE7"/>
    <w:rsid w:val="00FC5085"/>
    <w:rsid w:val="00FC5279"/>
    <w:rsid w:val="00FC52EB"/>
    <w:rsid w:val="00FC5653"/>
    <w:rsid w:val="00FC590D"/>
    <w:rsid w:val="00FC60E3"/>
    <w:rsid w:val="00FC66CD"/>
    <w:rsid w:val="00FC6AF3"/>
    <w:rsid w:val="00FC6B2B"/>
    <w:rsid w:val="00FC6E2C"/>
    <w:rsid w:val="00FC7319"/>
    <w:rsid w:val="00FC7787"/>
    <w:rsid w:val="00FC7994"/>
    <w:rsid w:val="00FC7FEA"/>
    <w:rsid w:val="00FD05BC"/>
    <w:rsid w:val="00FD16FB"/>
    <w:rsid w:val="00FD30F8"/>
    <w:rsid w:val="00FD40A8"/>
    <w:rsid w:val="00FD44F4"/>
    <w:rsid w:val="00FD4738"/>
    <w:rsid w:val="00FD48CC"/>
    <w:rsid w:val="00FD51B7"/>
    <w:rsid w:val="00FD5C26"/>
    <w:rsid w:val="00FD5C68"/>
    <w:rsid w:val="00FD7144"/>
    <w:rsid w:val="00FD71A8"/>
    <w:rsid w:val="00FD740A"/>
    <w:rsid w:val="00FD7654"/>
    <w:rsid w:val="00FE03A1"/>
    <w:rsid w:val="00FE0778"/>
    <w:rsid w:val="00FE077A"/>
    <w:rsid w:val="00FE0F2F"/>
    <w:rsid w:val="00FE1142"/>
    <w:rsid w:val="00FE116D"/>
    <w:rsid w:val="00FE13FF"/>
    <w:rsid w:val="00FE177E"/>
    <w:rsid w:val="00FE1E2E"/>
    <w:rsid w:val="00FE253F"/>
    <w:rsid w:val="00FE273C"/>
    <w:rsid w:val="00FE2ACC"/>
    <w:rsid w:val="00FE2AD4"/>
    <w:rsid w:val="00FE3503"/>
    <w:rsid w:val="00FE37C5"/>
    <w:rsid w:val="00FE4D30"/>
    <w:rsid w:val="00FE4EC4"/>
    <w:rsid w:val="00FE4FC9"/>
    <w:rsid w:val="00FE506F"/>
    <w:rsid w:val="00FE5EAC"/>
    <w:rsid w:val="00FE6656"/>
    <w:rsid w:val="00FE7AEE"/>
    <w:rsid w:val="00FE7D6B"/>
    <w:rsid w:val="00FF0055"/>
    <w:rsid w:val="00FF0105"/>
    <w:rsid w:val="00FF04B8"/>
    <w:rsid w:val="00FF05CD"/>
    <w:rsid w:val="00FF08A2"/>
    <w:rsid w:val="00FF0DD8"/>
    <w:rsid w:val="00FF10C5"/>
    <w:rsid w:val="00FF115D"/>
    <w:rsid w:val="00FF1F1B"/>
    <w:rsid w:val="00FF2469"/>
    <w:rsid w:val="00FF2851"/>
    <w:rsid w:val="00FF2900"/>
    <w:rsid w:val="00FF294E"/>
    <w:rsid w:val="00FF2C82"/>
    <w:rsid w:val="00FF3E22"/>
    <w:rsid w:val="00FF4051"/>
    <w:rsid w:val="00FF41B9"/>
    <w:rsid w:val="00FF4DB6"/>
    <w:rsid w:val="00FF4DD4"/>
    <w:rsid w:val="00FF6261"/>
    <w:rsid w:val="00FF6458"/>
    <w:rsid w:val="00FF64A1"/>
    <w:rsid w:val="00FF7105"/>
    <w:rsid w:val="00FF72C0"/>
    <w:rsid w:val="00FF7327"/>
    <w:rsid w:val="68F1E8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7C606"/>
  <w15:docId w15:val="{5830D0F9-2AA5-47B6-9196-07E6F7CA3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74"/>
    <w:pPr>
      <w:spacing w:before="160" w:line="336" w:lineRule="auto"/>
    </w:pPr>
    <w:rPr>
      <w:lang w:val="en-AU"/>
    </w:rPr>
  </w:style>
  <w:style w:type="paragraph" w:styleId="Heading1">
    <w:name w:val="heading 1"/>
    <w:basedOn w:val="Normal"/>
    <w:next w:val="Normal"/>
    <w:link w:val="Heading1Char"/>
    <w:uiPriority w:val="9"/>
    <w:qFormat/>
    <w:rsid w:val="002E7385"/>
    <w:pPr>
      <w:keepNext/>
      <w:keepLines/>
      <w:pageBreakBefore/>
      <w:spacing w:before="240" w:after="320"/>
      <w:outlineLvl w:val="0"/>
    </w:pPr>
    <w:rPr>
      <w:rFonts w:ascii="Tahoma" w:eastAsiaTheme="majorEastAsia" w:hAnsi="Tahoma" w:cstheme="majorBidi"/>
      <w:color w:val="CE0058" w:themeColor="accent2"/>
      <w:sz w:val="40"/>
      <w:szCs w:val="32"/>
    </w:rPr>
  </w:style>
  <w:style w:type="paragraph" w:styleId="Heading2">
    <w:name w:val="heading 2"/>
    <w:basedOn w:val="Normal"/>
    <w:next w:val="Normal"/>
    <w:link w:val="Heading2Char"/>
    <w:uiPriority w:val="9"/>
    <w:unhideWhenUsed/>
    <w:qFormat/>
    <w:rsid w:val="002E7385"/>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2E7385"/>
    <w:pPr>
      <w:keepNext/>
      <w:keepLines/>
      <w:spacing w:before="200" w:after="120"/>
      <w:outlineLvl w:val="2"/>
    </w:pPr>
    <w:rPr>
      <w:rFonts w:ascii="Tahoma" w:eastAsiaTheme="majorEastAsia" w:hAnsi="Tahoma" w:cstheme="majorBidi"/>
      <w:b/>
      <w:color w:val="4986A0" w:themeColor="text2"/>
      <w:szCs w:val="24"/>
    </w:rPr>
  </w:style>
  <w:style w:type="paragraph" w:styleId="Heading4">
    <w:name w:val="heading 4"/>
    <w:basedOn w:val="Normal"/>
    <w:next w:val="Normal"/>
    <w:link w:val="Heading4Char"/>
    <w:uiPriority w:val="9"/>
    <w:unhideWhenUsed/>
    <w:qFormat/>
    <w:rsid w:val="002E7385"/>
    <w:pPr>
      <w:keepNext/>
      <w:keepLines/>
      <w:spacing w:before="120" w:after="0"/>
      <w:outlineLvl w:val="3"/>
    </w:pPr>
    <w:rPr>
      <w:rFonts w:ascii="Tahoma" w:eastAsiaTheme="majorEastAsia" w:hAnsi="Tahoma" w:cstheme="majorBidi"/>
      <w:b/>
      <w:iCs/>
      <w:color w:val="75787B" w:themeColor="background2"/>
    </w:rPr>
  </w:style>
  <w:style w:type="paragraph" w:styleId="Heading5">
    <w:name w:val="heading 5"/>
    <w:basedOn w:val="Normal"/>
    <w:next w:val="Normal"/>
    <w:link w:val="Heading5Char"/>
    <w:uiPriority w:val="9"/>
    <w:semiHidden/>
    <w:unhideWhenUsed/>
    <w:rsid w:val="006A0547"/>
    <w:pPr>
      <w:keepNext/>
      <w:keepLines/>
      <w:spacing w:before="200" w:after="0"/>
      <w:outlineLvl w:val="4"/>
    </w:pPr>
    <w:rPr>
      <w:rFonts w:asciiTheme="majorHAnsi" w:eastAsiaTheme="majorEastAsia" w:hAnsiTheme="majorHAnsi" w:cstheme="majorBidi"/>
      <w:i/>
      <w:color w:val="11304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E03FA"/>
    <w:pPr>
      <w:tabs>
        <w:tab w:val="center" w:pos="4680"/>
        <w:tab w:val="right" w:pos="9360"/>
      </w:tabs>
      <w:spacing w:after="0"/>
    </w:pPr>
  </w:style>
  <w:style w:type="character" w:customStyle="1" w:styleId="HeaderChar">
    <w:name w:val="Header Char"/>
    <w:basedOn w:val="DefaultParagraphFont"/>
    <w:link w:val="Header"/>
    <w:uiPriority w:val="99"/>
    <w:semiHidden/>
    <w:rsid w:val="00812056"/>
    <w:rPr>
      <w:lang w:val="en-AU"/>
    </w:rPr>
  </w:style>
  <w:style w:type="paragraph" w:styleId="Footer">
    <w:name w:val="footer"/>
    <w:basedOn w:val="Normal"/>
    <w:link w:val="FooterChar"/>
    <w:uiPriority w:val="99"/>
    <w:unhideWhenUsed/>
    <w:rsid w:val="00CF34D6"/>
    <w:pPr>
      <w:tabs>
        <w:tab w:val="center" w:pos="4680"/>
        <w:tab w:val="right" w:pos="9360"/>
      </w:tabs>
      <w:spacing w:before="120" w:after="0" w:line="288" w:lineRule="auto"/>
      <w:contextualSpacing/>
    </w:pPr>
    <w:rPr>
      <w:color w:val="75787B" w:themeColor="background2"/>
    </w:rPr>
  </w:style>
  <w:style w:type="character" w:customStyle="1" w:styleId="FooterChar">
    <w:name w:val="Footer Char"/>
    <w:basedOn w:val="DefaultParagraphFont"/>
    <w:link w:val="Footer"/>
    <w:uiPriority w:val="99"/>
    <w:rsid w:val="00CF34D6"/>
    <w:rPr>
      <w:color w:val="75787B" w:themeColor="background2"/>
    </w:rPr>
  </w:style>
  <w:style w:type="paragraph" w:styleId="Title">
    <w:name w:val="Title"/>
    <w:basedOn w:val="Normal"/>
    <w:next w:val="Normal"/>
    <w:link w:val="TitleChar"/>
    <w:uiPriority w:val="10"/>
    <w:semiHidden/>
    <w:qFormat/>
    <w:rsid w:val="002E7385"/>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semiHidden/>
    <w:rsid w:val="00812056"/>
    <w:rPr>
      <w:rFonts w:ascii="Tahoma" w:eastAsiaTheme="majorEastAsia" w:hAnsi="Tahoma" w:cstheme="majorBidi"/>
      <w:color w:val="4986A0" w:themeColor="text2"/>
      <w:kern w:val="28"/>
      <w:sz w:val="52"/>
      <w:szCs w:val="56"/>
      <w:lang w:val="en-AU"/>
    </w:rPr>
  </w:style>
  <w:style w:type="paragraph" w:styleId="Subtitle">
    <w:name w:val="Subtitle"/>
    <w:basedOn w:val="Normal"/>
    <w:next w:val="Normal"/>
    <w:link w:val="SubtitleChar"/>
    <w:uiPriority w:val="11"/>
    <w:qFormat/>
    <w:rsid w:val="002E7385"/>
    <w:pPr>
      <w:numPr>
        <w:ilvl w:val="1"/>
      </w:numPr>
      <w:spacing w:after="240"/>
    </w:pPr>
    <w:rPr>
      <w:rFonts w:ascii="Tahoma" w:eastAsiaTheme="minorEastAsia" w:hAnsi="Tahoma"/>
      <w:color w:val="75787B" w:themeColor="background2"/>
      <w:sz w:val="28"/>
    </w:rPr>
  </w:style>
  <w:style w:type="character" w:customStyle="1" w:styleId="SubtitleChar">
    <w:name w:val="Subtitle Char"/>
    <w:basedOn w:val="DefaultParagraphFont"/>
    <w:link w:val="Subtitle"/>
    <w:uiPriority w:val="11"/>
    <w:rsid w:val="002E7385"/>
    <w:rPr>
      <w:rFonts w:ascii="Tahoma" w:eastAsiaTheme="minorEastAsia" w:hAnsi="Tahom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Pr>
    <w:tcPr>
      <w:shd w:val="clear" w:color="auto" w:fill="F2F2F2" w:themeFill="background1" w:themeFillShade="F2"/>
    </w:tc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7B6C8C"/>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CE0058" w:themeFill="accent2"/>
      <w:vAlign w:val="center"/>
    </w:tcPr>
    <w:tblStylePr w:type="firstCol">
      <w:tblPr/>
      <w:tcPr>
        <w:shd w:val="clear" w:color="auto" w:fill="CE0058" w:themeFill="accent2"/>
      </w:tcPr>
    </w:tblStylePr>
  </w:style>
  <w:style w:type="character" w:customStyle="1" w:styleId="Heading1Char">
    <w:name w:val="Heading 1 Char"/>
    <w:basedOn w:val="DefaultParagraphFont"/>
    <w:link w:val="Heading1"/>
    <w:uiPriority w:val="9"/>
    <w:rsid w:val="002E7385"/>
    <w:rPr>
      <w:rFonts w:ascii="Tahoma" w:eastAsiaTheme="majorEastAsia" w:hAnsi="Tahoma" w:cstheme="majorBidi"/>
      <w:color w:val="CE0058" w:themeColor="accent2"/>
      <w:sz w:val="40"/>
      <w:szCs w:val="32"/>
    </w:rPr>
  </w:style>
  <w:style w:type="character" w:customStyle="1" w:styleId="Heading2Char">
    <w:name w:val="Heading 2 Char"/>
    <w:basedOn w:val="DefaultParagraphFont"/>
    <w:link w:val="Heading2"/>
    <w:uiPriority w:val="9"/>
    <w:rsid w:val="002E7385"/>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430AD4"/>
    <w:pPr>
      <w:numPr>
        <w:numId w:val="8"/>
      </w:numPr>
      <w:contextualSpacing/>
    </w:pPr>
    <w:rPr>
      <w:lang w:val="en-US"/>
    </w:r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ind w:left="567" w:hanging="567"/>
    </w:pPr>
  </w:style>
  <w:style w:type="paragraph" w:customStyle="1" w:styleId="Heading2numbered">
    <w:name w:val="Heading 2 numbered"/>
    <w:basedOn w:val="Heading2"/>
    <w:next w:val="Normal"/>
    <w:qFormat/>
    <w:rsid w:val="005F5578"/>
    <w:pPr>
      <w:ind w:left="851" w:hanging="851"/>
    </w:pPr>
  </w:style>
  <w:style w:type="numbering" w:customStyle="1" w:styleId="Bullet">
    <w:name w:val="Bullet"/>
    <w:uiPriority w:val="99"/>
    <w:rsid w:val="00DC2B59"/>
    <w:pPr>
      <w:numPr>
        <w:numId w:val="1"/>
      </w:numPr>
    </w:pPr>
  </w:style>
  <w:style w:type="numbering" w:customStyle="1" w:styleId="NumberedHeadings">
    <w:name w:val="Numbered Headings"/>
    <w:uiPriority w:val="99"/>
    <w:rsid w:val="005F5578"/>
    <w:pPr>
      <w:numPr>
        <w:numId w:val="2"/>
      </w:numPr>
    </w:pPr>
  </w:style>
  <w:style w:type="paragraph" w:styleId="ListBullet2">
    <w:name w:val="List Bullet 2"/>
    <w:basedOn w:val="Normal"/>
    <w:link w:val="ListBullet2Char"/>
    <w:uiPriority w:val="99"/>
    <w:unhideWhenUsed/>
    <w:qFormat/>
    <w:rsid w:val="00DC2B59"/>
    <w:pPr>
      <w:contextualSpacing/>
    </w:pPr>
  </w:style>
  <w:style w:type="paragraph" w:customStyle="1" w:styleId="TitleCentred">
    <w:name w:val="Title Centred"/>
    <w:basedOn w:val="Title"/>
    <w:link w:val="TitleCentredChar"/>
    <w:semiHidden/>
    <w:qFormat/>
    <w:rsid w:val="00062AE4"/>
    <w:pPr>
      <w:framePr w:wrap="around" w:vAnchor="page" w:hAnchor="page" w:xAlign="center" w:yAlign="center" w:anchorLock="1"/>
      <w:jc w:val="center"/>
    </w:pPr>
  </w:style>
  <w:style w:type="paragraph" w:customStyle="1" w:styleId="SubtitleCentred">
    <w:name w:val="Subtitle Centred"/>
    <w:basedOn w:val="Subtitle"/>
    <w:rsid w:val="00062AE4"/>
    <w:pPr>
      <w:framePr w:wrap="around" w:vAnchor="page" w:hAnchor="page" w:xAlign="center" w:yAlign="center" w:anchorLock="1"/>
      <w:jc w:val="center"/>
    </w:pPr>
  </w:style>
  <w:style w:type="character" w:customStyle="1" w:styleId="TitleCentredChar">
    <w:name w:val="Title Centred Char"/>
    <w:basedOn w:val="TitleChar"/>
    <w:link w:val="TitleCentred"/>
    <w:semiHidden/>
    <w:rsid w:val="00812056"/>
    <w:rPr>
      <w:rFonts w:ascii="Tahoma" w:eastAsiaTheme="majorEastAsia" w:hAnsi="Tahoma" w:cstheme="majorBidi"/>
      <w:color w:val="4986A0" w:themeColor="text2"/>
      <w:kern w:val="28"/>
      <w:sz w:val="52"/>
      <w:szCs w:val="56"/>
      <w:lang w:val="en-AU"/>
    </w:rPr>
  </w:style>
  <w:style w:type="character" w:styleId="PageNumber">
    <w:name w:val="page number"/>
    <w:basedOn w:val="DefaultParagraphFont"/>
    <w:uiPriority w:val="99"/>
    <w:semiHidden/>
    <w:rsid w:val="007B6C8C"/>
    <w:rPr>
      <w:b/>
      <w:color w:val="FFFFFF" w:themeColor="background1"/>
      <w:sz w:val="22"/>
      <w:bdr w:val="none" w:sz="0" w:space="0" w:color="auto"/>
      <w:shd w:val="clear" w:color="auto" w:fill="CE0058" w:themeFill="accent2"/>
    </w:rPr>
  </w:style>
  <w:style w:type="paragraph" w:customStyle="1" w:styleId="Pull-out">
    <w:name w:val="Pull-out"/>
    <w:basedOn w:val="Normal"/>
    <w:qFormat/>
    <w:rsid w:val="00C753B8"/>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semiHidden/>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style>
  <w:style w:type="character" w:customStyle="1" w:styleId="Heading3Char">
    <w:name w:val="Heading 3 Char"/>
    <w:basedOn w:val="DefaultParagraphFont"/>
    <w:link w:val="Heading3"/>
    <w:uiPriority w:val="9"/>
    <w:rsid w:val="002E7385"/>
    <w:rPr>
      <w:rFonts w:ascii="Tahoma" w:eastAsiaTheme="majorEastAsia" w:hAnsi="Tahoma" w:cstheme="majorBidi"/>
      <w:b/>
      <w:color w:val="4986A0" w:themeColor="text2"/>
      <w:szCs w:val="24"/>
    </w:rPr>
  </w:style>
  <w:style w:type="paragraph" w:styleId="TOC2">
    <w:name w:val="toc 2"/>
    <w:basedOn w:val="TOC1"/>
    <w:next w:val="Normal"/>
    <w:autoRedefine/>
    <w:uiPriority w:val="39"/>
    <w:semiHidden/>
    <w:rsid w:val="00936B74"/>
    <w:pPr>
      <w:ind w:left="568" w:hanging="284"/>
    </w:pPr>
    <w:rPr>
      <w:b w:val="0"/>
      <w:noProof/>
    </w:rPr>
  </w:style>
  <w:style w:type="paragraph" w:styleId="TOC1">
    <w:name w:val="toc 1"/>
    <w:basedOn w:val="Normal"/>
    <w:next w:val="Normal"/>
    <w:autoRedefine/>
    <w:uiPriority w:val="39"/>
    <w:rsid w:val="00936B74"/>
    <w:pPr>
      <w:tabs>
        <w:tab w:val="right" w:pos="9582"/>
      </w:tabs>
      <w:spacing w:before="40" w:after="40" w:line="288" w:lineRule="auto"/>
      <w:ind w:right="567"/>
      <w:contextualSpacing/>
    </w:pPr>
    <w:rPr>
      <w:b/>
    </w:rPr>
  </w:style>
  <w:style w:type="character" w:styleId="Hyperlink">
    <w:name w:val="Hyperlink"/>
    <w:basedOn w:val="DefaultParagraphFont"/>
    <w:uiPriority w:val="99"/>
    <w:unhideWhenUsed/>
    <w:rsid w:val="00F40927"/>
    <w:rPr>
      <w:color w:val="0000FF"/>
      <w:u w:val="single"/>
    </w:rPr>
  </w:style>
  <w:style w:type="paragraph" w:styleId="TOCHeading">
    <w:name w:val="TOC Heading"/>
    <w:next w:val="Normal"/>
    <w:uiPriority w:val="39"/>
    <w:unhideWhenUsed/>
    <w:qFormat/>
    <w:rsid w:val="002E7385"/>
    <w:pPr>
      <w:spacing w:before="240" w:after="320" w:line="240" w:lineRule="auto"/>
    </w:pPr>
    <w:rPr>
      <w:rFonts w:ascii="Tahoma" w:eastAsiaTheme="majorEastAsia" w:hAnsi="Tahoma" w:cstheme="majorBidi"/>
      <w:color w:val="CE0058" w:themeColor="accent2"/>
      <w:sz w:val="40"/>
      <w:szCs w:val="32"/>
    </w:rPr>
  </w:style>
  <w:style w:type="character" w:styleId="Strong">
    <w:name w:val="Strong"/>
    <w:basedOn w:val="DefaultParagraphFont"/>
    <w:uiPriority w:val="22"/>
    <w:qFormat/>
    <w:rsid w:val="00710792"/>
    <w:rPr>
      <w:b/>
      <w:bCs/>
    </w:rPr>
  </w:style>
  <w:style w:type="paragraph" w:styleId="ListParagraph">
    <w:name w:val="List Paragraph"/>
    <w:basedOn w:val="Normal"/>
    <w:uiPriority w:val="34"/>
    <w:semiHidden/>
    <w:qFormat/>
    <w:rsid w:val="00DC2B59"/>
    <w:pPr>
      <w:contextualSpacing/>
    </w:pPr>
  </w:style>
  <w:style w:type="paragraph" w:styleId="ListBullet3">
    <w:name w:val="List Bullet 3"/>
    <w:basedOn w:val="Normal"/>
    <w:uiPriority w:val="99"/>
    <w:unhideWhenUsed/>
    <w:rsid w:val="00DC2B59"/>
    <w:pPr>
      <w:contextualSpacing/>
    </w:pPr>
  </w:style>
  <w:style w:type="paragraph" w:styleId="ListNumber">
    <w:name w:val="List Number"/>
    <w:basedOn w:val="Normal"/>
    <w:uiPriority w:val="99"/>
    <w:unhideWhenUsed/>
    <w:rsid w:val="006F29EA"/>
    <w:pPr>
      <w:ind w:left="567" w:hanging="567"/>
      <w:contextualSpacing/>
    </w:pPr>
  </w:style>
  <w:style w:type="paragraph" w:styleId="ListNumber2">
    <w:name w:val="List Number 2"/>
    <w:basedOn w:val="Normal"/>
    <w:uiPriority w:val="99"/>
    <w:unhideWhenUsed/>
    <w:qFormat/>
    <w:rsid w:val="006F29EA"/>
    <w:pPr>
      <w:ind w:left="851" w:hanging="851"/>
      <w:contextualSpacing/>
    </w:pPr>
  </w:style>
  <w:style w:type="numbering" w:customStyle="1" w:styleId="CustomNumberlist">
    <w:name w:val="Custom Number list"/>
    <w:uiPriority w:val="99"/>
    <w:rsid w:val="006F29EA"/>
    <w:pPr>
      <w:numPr>
        <w:numId w:val="3"/>
      </w:numPr>
    </w:pPr>
  </w:style>
  <w:style w:type="paragraph" w:customStyle="1" w:styleId="ListLetters0">
    <w:name w:val="List Letters"/>
    <w:link w:val="ListLettersChar"/>
    <w:qFormat/>
    <w:rsid w:val="00CF34D6"/>
    <w:pPr>
      <w:numPr>
        <w:numId w:val="6"/>
      </w:numPr>
      <w:spacing w:line="336" w:lineRule="auto"/>
      <w:contextualSpacing/>
    </w:pPr>
  </w:style>
  <w:style w:type="paragraph" w:styleId="ListNumber3">
    <w:name w:val="List Number 3"/>
    <w:basedOn w:val="Normal"/>
    <w:link w:val="ListNumber3Char"/>
    <w:uiPriority w:val="99"/>
    <w:unhideWhenUsed/>
    <w:qFormat/>
    <w:rsid w:val="006F29EA"/>
    <w:pPr>
      <w:ind w:left="1134" w:hanging="1134"/>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rPr>
      <w:lang w:val="en-AU"/>
    </w:rPr>
  </w:style>
  <w:style w:type="character" w:customStyle="1" w:styleId="ListLettersChar">
    <w:name w:val="List Letters Char"/>
    <w:basedOn w:val="ListNumber3Char"/>
    <w:link w:val="ListLetters0"/>
    <w:rsid w:val="00CF34D6"/>
    <w:rPr>
      <w:lang w:val="en-AU"/>
    </w:rPr>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semiHidden/>
    <w:rsid w:val="00812056"/>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TOC2"/>
    <w:next w:val="Normal"/>
    <w:autoRedefine/>
    <w:uiPriority w:val="39"/>
    <w:rsid w:val="00936B74"/>
    <w:pPr>
      <w:ind w:left="567" w:firstLine="0"/>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5"/>
      </w:numPr>
      <w:spacing w:after="0"/>
    </w:pPr>
  </w:style>
  <w:style w:type="paragraph" w:customStyle="1" w:styleId="TableBullet2">
    <w:name w:val="Table Bullet 2"/>
    <w:basedOn w:val="ListBullet2"/>
    <w:link w:val="TableBullet2Char"/>
    <w:qFormat/>
    <w:rsid w:val="00E03B00"/>
    <w:pPr>
      <w:spacing w:after="0"/>
      <w:ind w:left="284" w:hanging="284"/>
    </w:pPr>
  </w:style>
  <w:style w:type="character" w:customStyle="1" w:styleId="ListBulletChar">
    <w:name w:val="List Bullet Char"/>
    <w:basedOn w:val="DefaultParagraphFont"/>
    <w:link w:val="ListBullet"/>
    <w:uiPriority w:val="99"/>
    <w:rsid w:val="00430AD4"/>
  </w:style>
  <w:style w:type="character" w:customStyle="1" w:styleId="TableBulletChar">
    <w:name w:val="Table Bullet Char"/>
    <w:basedOn w:val="ListBulletChar"/>
    <w:link w:val="TableBullet"/>
    <w:rsid w:val="00E03B00"/>
  </w:style>
  <w:style w:type="numbering" w:customStyle="1" w:styleId="TableBullets">
    <w:name w:val="Table Bullets"/>
    <w:uiPriority w:val="99"/>
    <w:rsid w:val="00E03B00"/>
    <w:pPr>
      <w:numPr>
        <w:numId w:val="4"/>
      </w:numPr>
    </w:pPr>
  </w:style>
  <w:style w:type="character" w:customStyle="1" w:styleId="ListBullet2Char">
    <w:name w:val="List Bullet 2 Char"/>
    <w:basedOn w:val="DefaultParagraphFont"/>
    <w:link w:val="ListBullet2"/>
    <w:uiPriority w:val="99"/>
    <w:rsid w:val="00E03B00"/>
    <w:rPr>
      <w:lang w:val="en-AU"/>
    </w:rPr>
  </w:style>
  <w:style w:type="character" w:customStyle="1" w:styleId="TableBullet2Char">
    <w:name w:val="Table Bullet 2 Char"/>
    <w:basedOn w:val="ListBullet2Char"/>
    <w:link w:val="TableBullet2"/>
    <w:rsid w:val="00E03B00"/>
    <w:rPr>
      <w:lang w:val="en-AU"/>
    </w:rPr>
  </w:style>
  <w:style w:type="paragraph" w:customStyle="1" w:styleId="TableListNumber">
    <w:name w:val="Table List Number"/>
    <w:basedOn w:val="TableBullet"/>
    <w:link w:val="TableListNumberChar"/>
    <w:qFormat/>
    <w:rsid w:val="00E03B00"/>
    <w:pPr>
      <w:numPr>
        <w:ilvl w:val="2"/>
      </w:numPr>
    </w:pPr>
  </w:style>
  <w:style w:type="paragraph" w:customStyle="1" w:styleId="TableListNumber2">
    <w:name w:val="Table List Number 2"/>
    <w:basedOn w:val="TableListNumber"/>
    <w:link w:val="TableListNumber2Char"/>
    <w:qFormat/>
    <w:rsid w:val="00E03B00"/>
    <w:pPr>
      <w:numPr>
        <w:ilvl w:val="3"/>
      </w:numPr>
    </w:pPr>
  </w:style>
  <w:style w:type="character" w:customStyle="1" w:styleId="TableListNumberChar">
    <w:name w:val="Table List Number Char"/>
    <w:basedOn w:val="TableBulletChar"/>
    <w:link w:val="TableListNumber"/>
    <w:rsid w:val="00E03B00"/>
  </w:style>
  <w:style w:type="character" w:customStyle="1" w:styleId="TableListNumber2Char">
    <w:name w:val="Table List Number 2 Char"/>
    <w:basedOn w:val="TableListNumberChar"/>
    <w:link w:val="TableListNumber2"/>
    <w:rsid w:val="00E03B00"/>
  </w:style>
  <w:style w:type="table" w:customStyle="1" w:styleId="TwoColumnImage">
    <w:name w:val="Two Column Image"/>
    <w:basedOn w:val="TableNormal"/>
    <w:uiPriority w:val="99"/>
    <w:rsid w:val="0043066B"/>
    <w:pPr>
      <w:spacing w:after="0" w:line="240" w:lineRule="auto"/>
    </w:pPr>
    <w:tblPr/>
  </w:style>
  <w:style w:type="paragraph" w:customStyle="1" w:styleId="PageNumberBox">
    <w:name w:val="Page Number Box"/>
    <w:basedOn w:val="NoSpacing"/>
    <w:semiHidden/>
    <w:qFormat/>
    <w:rsid w:val="006E6B2B"/>
    <w:pPr>
      <w:framePr w:hSpace="57" w:wrap="around" w:hAnchor="text" w:xAlign="right" w:yAlign="bottom"/>
      <w:suppressOverlap/>
      <w:jc w:val="center"/>
    </w:pPr>
  </w:style>
  <w:style w:type="paragraph" w:customStyle="1" w:styleId="FooterSpace">
    <w:name w:val="Footer Space"/>
    <w:basedOn w:val="Footer"/>
    <w:semiHidden/>
    <w:qFormat/>
    <w:rsid w:val="00E9393A"/>
    <w:pPr>
      <w:spacing w:before="480"/>
    </w:pPr>
  </w:style>
  <w:style w:type="paragraph" w:customStyle="1" w:styleId="Pa2">
    <w:name w:val="Pa2"/>
    <w:basedOn w:val="Normal"/>
    <w:next w:val="Normal"/>
    <w:uiPriority w:val="99"/>
    <w:semiHidden/>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rsid w:val="00CF33F6"/>
    <w:rPr>
      <w:sz w:val="18"/>
      <w:szCs w:val="20"/>
    </w:rPr>
  </w:style>
  <w:style w:type="character" w:styleId="FootnoteReference">
    <w:name w:val="footnote reference"/>
    <w:basedOn w:val="DefaultParagraphFont"/>
    <w:unhideWhenUsed/>
    <w:rsid w:val="00E9393A"/>
    <w:rPr>
      <w:vertAlign w:val="superscript"/>
    </w:rPr>
  </w:style>
  <w:style w:type="paragraph" w:customStyle="1" w:styleId="Figure-Table-BoxHeading">
    <w:name w:val="Figure-Table-Box Heading"/>
    <w:link w:val="Figure-Table-BoxHeadingChar"/>
    <w:qFormat/>
    <w:rsid w:val="00CF34D6"/>
    <w:pPr>
      <w:spacing w:before="120" w:after="120" w:line="432" w:lineRule="auto"/>
      <w:ind w:left="851" w:hanging="851"/>
    </w:pPr>
    <w:rPr>
      <w:rFonts w:asciiTheme="majorHAnsi" w:eastAsiaTheme="majorEastAsia" w:hAnsiTheme="majorHAnsi" w:cstheme="majorBidi"/>
      <w:b/>
      <w:color w:val="4986A0" w:themeColor="text2"/>
      <w:szCs w:val="24"/>
    </w:rPr>
  </w:style>
  <w:style w:type="paragraph" w:customStyle="1" w:styleId="Figure-Table-BoxSubtitle">
    <w:name w:val="Figure-Table-Box Subtitle"/>
    <w:basedOn w:val="Figure-Table-BoxHeading"/>
    <w:link w:val="Figure-Table-BoxSubtitleChar"/>
    <w:qFormat/>
    <w:rsid w:val="00DC3BE7"/>
    <w:pPr>
      <w:ind w:firstLine="0"/>
    </w:pPr>
    <w:rPr>
      <w:b w:val="0"/>
    </w:rPr>
  </w:style>
  <w:style w:type="character" w:customStyle="1" w:styleId="Figure-Table-BoxHeadingChar">
    <w:name w:val="Figure-Table-Box Heading Char"/>
    <w:basedOn w:val="Heading3Char"/>
    <w:link w:val="Figure-Table-BoxHeading"/>
    <w:rsid w:val="00CF34D6"/>
    <w:rPr>
      <w:rFonts w:asciiTheme="majorHAnsi" w:eastAsiaTheme="majorEastAsia" w:hAnsiTheme="majorHAnsi" w:cstheme="majorBidi"/>
      <w:b/>
      <w:color w:val="4986A0" w:themeColor="text2"/>
      <w:szCs w:val="24"/>
    </w:rPr>
  </w:style>
  <w:style w:type="paragraph" w:customStyle="1" w:styleId="Heading3numbered">
    <w:name w:val="Heading 3 numbered"/>
    <w:basedOn w:val="Heading3"/>
    <w:next w:val="Normal"/>
    <w:link w:val="Heading3numberedChar"/>
    <w:qFormat/>
    <w:rsid w:val="005F5578"/>
    <w:pPr>
      <w:ind w:left="1134" w:hanging="1134"/>
    </w:pPr>
  </w:style>
  <w:style w:type="character" w:customStyle="1" w:styleId="Figure-Table-BoxSubtitleChar">
    <w:name w:val="Figure-Table-Box Subtitle Char"/>
    <w:basedOn w:val="Figure-Table-BoxHeadingChar"/>
    <w:link w:val="Figure-Table-BoxSubtitle"/>
    <w:rsid w:val="00DC3BE7"/>
    <w:rPr>
      <w:rFonts w:asciiTheme="majorHAnsi" w:eastAsiaTheme="majorEastAsia" w:hAnsiTheme="majorHAnsi" w:cstheme="majorBidi"/>
      <w:b w:val="0"/>
      <w:caps w:val="0"/>
      <w:color w:val="4986A0" w:themeColor="text2"/>
      <w:szCs w:val="24"/>
    </w:rPr>
  </w:style>
  <w:style w:type="character" w:customStyle="1" w:styleId="Heading4Char">
    <w:name w:val="Heading 4 Char"/>
    <w:basedOn w:val="DefaultParagraphFont"/>
    <w:link w:val="Heading4"/>
    <w:uiPriority w:val="9"/>
    <w:rsid w:val="002E7385"/>
    <w:rPr>
      <w:rFonts w:ascii="Tahoma" w:eastAsiaTheme="majorEastAsia" w:hAnsi="Tahoma" w:cstheme="majorBidi"/>
      <w:b/>
      <w:iCs/>
      <w:color w:val="75787B" w:themeColor="background2"/>
    </w:rPr>
  </w:style>
  <w:style w:type="character" w:customStyle="1" w:styleId="Heading3numberedChar">
    <w:name w:val="Heading 3 numbered Char"/>
    <w:basedOn w:val="Heading3Char"/>
    <w:link w:val="Heading3numbered"/>
    <w:rsid w:val="005F5578"/>
    <w:rPr>
      <w:rFonts w:ascii="Tahoma" w:eastAsiaTheme="majorEastAsia" w:hAnsi="Tahoma" w:cstheme="majorBidi"/>
      <w:b/>
      <w:color w:val="4986A0" w:themeColor="text2"/>
      <w:szCs w:val="24"/>
      <w:lang w:val="en-AU"/>
    </w:rPr>
  </w:style>
  <w:style w:type="numbering" w:customStyle="1" w:styleId="ListLetters">
    <w:name w:val="ListLetters"/>
    <w:uiPriority w:val="99"/>
    <w:rsid w:val="009B583F"/>
    <w:pPr>
      <w:numPr>
        <w:numId w:val="6"/>
      </w:numPr>
    </w:pPr>
  </w:style>
  <w:style w:type="paragraph" w:styleId="Caption">
    <w:name w:val="caption"/>
    <w:basedOn w:val="Normal"/>
    <w:next w:val="Normal"/>
    <w:uiPriority w:val="35"/>
    <w:unhideWhenUsed/>
    <w:qFormat/>
    <w:rsid w:val="00232581"/>
    <w:pPr>
      <w:spacing w:before="120"/>
    </w:pPr>
    <w:rPr>
      <w:iCs/>
      <w:color w:val="4986A0" w:themeColor="text2"/>
      <w:sz w:val="18"/>
      <w:szCs w:val="18"/>
    </w:rPr>
  </w:style>
  <w:style w:type="paragraph" w:customStyle="1" w:styleId="Source">
    <w:name w:val="Source"/>
    <w:basedOn w:val="Caption"/>
    <w:qFormat/>
    <w:rsid w:val="00232581"/>
    <w:pPr>
      <w:jc w:val="right"/>
    </w:pPr>
  </w:style>
  <w:style w:type="paragraph" w:customStyle="1" w:styleId="Pull-outHeading">
    <w:name w:val="Pull-out Heading"/>
    <w:basedOn w:val="Pull-out"/>
    <w:qFormat/>
    <w:rsid w:val="00BD19DB"/>
    <w:rPr>
      <w:b/>
      <w:bCs/>
    </w:rPr>
  </w:style>
  <w:style w:type="paragraph" w:customStyle="1" w:styleId="Pull-outBullet1">
    <w:name w:val="Pull-out Bullet 1"/>
    <w:basedOn w:val="Pull-out"/>
    <w:qFormat/>
    <w:rsid w:val="00BD19DB"/>
    <w:pPr>
      <w:numPr>
        <w:numId w:val="7"/>
      </w:numPr>
    </w:pPr>
  </w:style>
  <w:style w:type="paragraph" w:customStyle="1" w:styleId="Pull-outBullet2">
    <w:name w:val="Pull-out Bullet 2"/>
    <w:basedOn w:val="Pull-outBullet1"/>
    <w:qFormat/>
    <w:rsid w:val="00BD19DB"/>
    <w:pPr>
      <w:numPr>
        <w:ilvl w:val="1"/>
      </w:numPr>
      <w:ind w:left="482" w:hanging="284"/>
    </w:pPr>
  </w:style>
  <w:style w:type="paragraph" w:customStyle="1" w:styleId="Pull-outListNumber1">
    <w:name w:val="Pull-out List Number 1"/>
    <w:basedOn w:val="Pull-outBullet2"/>
    <w:qFormat/>
    <w:rsid w:val="00BD19DB"/>
    <w:pPr>
      <w:numPr>
        <w:ilvl w:val="2"/>
      </w:numPr>
      <w:ind w:left="482"/>
    </w:pPr>
  </w:style>
  <w:style w:type="paragraph" w:customStyle="1" w:styleId="Pull-outListNumber2">
    <w:name w:val="Pull-out List Number 2"/>
    <w:basedOn w:val="Pull-outListNumber1"/>
    <w:qFormat/>
    <w:rsid w:val="00BD19DB"/>
    <w:pPr>
      <w:numPr>
        <w:ilvl w:val="3"/>
      </w:numPr>
      <w:ind w:left="765"/>
    </w:pPr>
  </w:style>
  <w:style w:type="numbering" w:customStyle="1" w:styleId="Pull-outlists">
    <w:name w:val="Pull-out lists"/>
    <w:uiPriority w:val="99"/>
    <w:rsid w:val="00BD19DB"/>
    <w:pPr>
      <w:numPr>
        <w:numId w:val="7"/>
      </w:numPr>
    </w:pPr>
  </w:style>
  <w:style w:type="paragraph" w:styleId="TOC4">
    <w:name w:val="toc 4"/>
    <w:basedOn w:val="Normal"/>
    <w:next w:val="Normal"/>
    <w:autoRedefine/>
    <w:uiPriority w:val="39"/>
    <w:semiHidden/>
    <w:rsid w:val="00A211EB"/>
    <w:pPr>
      <w:tabs>
        <w:tab w:val="left" w:pos="851"/>
        <w:tab w:val="right" w:pos="9582"/>
      </w:tabs>
      <w:adjustRightInd w:val="0"/>
      <w:spacing w:before="40" w:after="40" w:line="288" w:lineRule="auto"/>
      <w:ind w:left="851" w:right="567" w:hanging="567"/>
      <w:contextualSpacing/>
    </w:pPr>
    <w:rPr>
      <w:noProof/>
    </w:rPr>
  </w:style>
  <w:style w:type="paragraph" w:customStyle="1" w:styleId="CC07A0386FA64D568AFDD5FEA5383BC7">
    <w:name w:val="CC07A0386FA64D568AFDD5FEA5383BC7"/>
    <w:semiHidden/>
    <w:locked/>
    <w:rsid w:val="008A7A8E"/>
    <w:rPr>
      <w:rFonts w:eastAsiaTheme="minorEastAsia"/>
    </w:rPr>
  </w:style>
  <w:style w:type="paragraph" w:styleId="TOC5">
    <w:name w:val="toc 5"/>
    <w:basedOn w:val="Normal"/>
    <w:next w:val="Normal"/>
    <w:autoRedefine/>
    <w:uiPriority w:val="39"/>
    <w:rsid w:val="00936B74"/>
    <w:pPr>
      <w:tabs>
        <w:tab w:val="right" w:pos="9582"/>
      </w:tabs>
      <w:spacing w:before="40" w:after="40" w:line="288" w:lineRule="auto"/>
      <w:ind w:left="851" w:right="567"/>
      <w:contextualSpacing/>
    </w:pPr>
  </w:style>
  <w:style w:type="paragraph" w:styleId="TOC6">
    <w:name w:val="toc 6"/>
    <w:basedOn w:val="Normal"/>
    <w:next w:val="Normal"/>
    <w:autoRedefine/>
    <w:uiPriority w:val="39"/>
    <w:rsid w:val="00936B74"/>
    <w:pPr>
      <w:tabs>
        <w:tab w:val="right" w:pos="9582"/>
      </w:tabs>
      <w:spacing w:before="40" w:after="40" w:line="288" w:lineRule="auto"/>
      <w:ind w:left="1702" w:right="567" w:hanging="851"/>
    </w:pPr>
  </w:style>
  <w:style w:type="character" w:customStyle="1" w:styleId="Heading5Char">
    <w:name w:val="Heading 5 Char"/>
    <w:basedOn w:val="DefaultParagraphFont"/>
    <w:link w:val="Heading5"/>
    <w:uiPriority w:val="9"/>
    <w:semiHidden/>
    <w:rsid w:val="006A0547"/>
    <w:rPr>
      <w:rFonts w:asciiTheme="majorHAnsi" w:eastAsiaTheme="majorEastAsia" w:hAnsiTheme="majorHAnsi" w:cstheme="majorBidi"/>
      <w:i/>
      <w:color w:val="113048" w:themeColor="accent1" w:themeShade="7F"/>
      <w:lang w:val="en-AU"/>
    </w:rPr>
  </w:style>
  <w:style w:type="character" w:customStyle="1" w:styleId="Legislationquote">
    <w:name w:val="Legislation quote"/>
    <w:basedOn w:val="DefaultParagraphFont"/>
    <w:uiPriority w:val="1"/>
    <w:qFormat/>
    <w:rsid w:val="00F260CA"/>
    <w:rPr>
      <w:color w:val="FF4895" w:themeColor="accent2" w:themeTint="99"/>
    </w:rPr>
  </w:style>
  <w:style w:type="paragraph" w:styleId="TOC7">
    <w:name w:val="toc 7"/>
    <w:basedOn w:val="Normal"/>
    <w:next w:val="Normal"/>
    <w:autoRedefine/>
    <w:uiPriority w:val="39"/>
    <w:semiHidden/>
    <w:unhideWhenUsed/>
    <w:rsid w:val="00936B74"/>
    <w:pPr>
      <w:spacing w:before="40" w:after="40" w:line="288" w:lineRule="auto"/>
      <w:ind w:left="1321"/>
    </w:pPr>
  </w:style>
  <w:style w:type="paragraph" w:styleId="TOC8">
    <w:name w:val="toc 8"/>
    <w:basedOn w:val="Normal"/>
    <w:next w:val="Normal"/>
    <w:autoRedefine/>
    <w:uiPriority w:val="39"/>
    <w:semiHidden/>
    <w:unhideWhenUsed/>
    <w:rsid w:val="00936B74"/>
    <w:pPr>
      <w:spacing w:before="40" w:after="40" w:line="288" w:lineRule="auto"/>
      <w:ind w:left="1542"/>
    </w:pPr>
  </w:style>
  <w:style w:type="paragraph" w:styleId="TOC9">
    <w:name w:val="toc 9"/>
    <w:basedOn w:val="Normal"/>
    <w:next w:val="Normal"/>
    <w:autoRedefine/>
    <w:uiPriority w:val="39"/>
    <w:semiHidden/>
    <w:unhideWhenUsed/>
    <w:rsid w:val="00936B74"/>
    <w:pPr>
      <w:spacing w:before="40" w:after="40" w:line="288" w:lineRule="auto"/>
      <w:ind w:left="1758"/>
    </w:pPr>
  </w:style>
  <w:style w:type="character" w:styleId="UnresolvedMention">
    <w:name w:val="Unresolved Mention"/>
    <w:basedOn w:val="DefaultParagraphFont"/>
    <w:uiPriority w:val="99"/>
    <w:semiHidden/>
    <w:unhideWhenUsed/>
    <w:rsid w:val="00F036FF"/>
    <w:rPr>
      <w:color w:val="605E5C"/>
      <w:shd w:val="clear" w:color="auto" w:fill="E1DFDD"/>
    </w:rPr>
  </w:style>
  <w:style w:type="character" w:styleId="FollowedHyperlink">
    <w:name w:val="FollowedHyperlink"/>
    <w:basedOn w:val="DefaultParagraphFont"/>
    <w:uiPriority w:val="99"/>
    <w:semiHidden/>
    <w:unhideWhenUsed/>
    <w:rsid w:val="00F036FF"/>
    <w:rPr>
      <w:color w:val="000000" w:themeColor="followedHyperlink"/>
      <w:u w:val="single"/>
    </w:rPr>
  </w:style>
  <w:style w:type="paragraph" w:styleId="Revision">
    <w:name w:val="Revision"/>
    <w:hidden/>
    <w:uiPriority w:val="99"/>
    <w:semiHidden/>
    <w:rsid w:val="00470E13"/>
    <w:pPr>
      <w:spacing w:after="0" w:line="240" w:lineRule="auto"/>
    </w:pPr>
    <w:rPr>
      <w:lang w:val="en-AU"/>
    </w:rPr>
  </w:style>
  <w:style w:type="character" w:styleId="CommentReference">
    <w:name w:val="annotation reference"/>
    <w:basedOn w:val="DefaultParagraphFont"/>
    <w:uiPriority w:val="99"/>
    <w:semiHidden/>
    <w:unhideWhenUsed/>
    <w:rsid w:val="009177D2"/>
    <w:rPr>
      <w:sz w:val="16"/>
      <w:szCs w:val="16"/>
    </w:rPr>
  </w:style>
  <w:style w:type="paragraph" w:styleId="CommentText">
    <w:name w:val="annotation text"/>
    <w:basedOn w:val="Normal"/>
    <w:link w:val="CommentTextChar"/>
    <w:uiPriority w:val="99"/>
    <w:unhideWhenUsed/>
    <w:rsid w:val="009177D2"/>
    <w:pPr>
      <w:spacing w:line="240" w:lineRule="auto"/>
    </w:pPr>
    <w:rPr>
      <w:sz w:val="20"/>
      <w:szCs w:val="20"/>
    </w:rPr>
  </w:style>
  <w:style w:type="character" w:customStyle="1" w:styleId="CommentTextChar">
    <w:name w:val="Comment Text Char"/>
    <w:basedOn w:val="DefaultParagraphFont"/>
    <w:link w:val="CommentText"/>
    <w:uiPriority w:val="99"/>
    <w:rsid w:val="009177D2"/>
    <w:rPr>
      <w:sz w:val="20"/>
      <w:szCs w:val="20"/>
      <w:lang w:val="en-AU"/>
    </w:rPr>
  </w:style>
  <w:style w:type="paragraph" w:styleId="CommentSubject">
    <w:name w:val="annotation subject"/>
    <w:basedOn w:val="CommentText"/>
    <w:next w:val="CommentText"/>
    <w:link w:val="CommentSubjectChar"/>
    <w:uiPriority w:val="99"/>
    <w:semiHidden/>
    <w:unhideWhenUsed/>
    <w:rsid w:val="009177D2"/>
    <w:rPr>
      <w:b/>
      <w:bCs/>
    </w:rPr>
  </w:style>
  <w:style w:type="character" w:customStyle="1" w:styleId="CommentSubjectChar">
    <w:name w:val="Comment Subject Char"/>
    <w:basedOn w:val="CommentTextChar"/>
    <w:link w:val="CommentSubject"/>
    <w:uiPriority w:val="99"/>
    <w:semiHidden/>
    <w:rsid w:val="009177D2"/>
    <w:rPr>
      <w:b/>
      <w:bCs/>
      <w:sz w:val="20"/>
      <w:szCs w:val="20"/>
      <w:lang w:val="en-AU"/>
    </w:rPr>
  </w:style>
  <w:style w:type="character" w:styleId="Mention">
    <w:name w:val="Mention"/>
    <w:basedOn w:val="DefaultParagraphFont"/>
    <w:uiPriority w:val="99"/>
    <w:unhideWhenUsed/>
    <w:rsid w:val="00A75C0B"/>
    <w:rPr>
      <w:color w:val="2B579A"/>
      <w:shd w:val="clear" w:color="auto" w:fill="E1DFDD"/>
    </w:rPr>
  </w:style>
  <w:style w:type="table" w:customStyle="1" w:styleId="TableGrid1">
    <w:name w:val="Table Grid1"/>
    <w:basedOn w:val="TableNormal"/>
    <w:next w:val="TableGrid"/>
    <w:uiPriority w:val="39"/>
    <w:rsid w:val="00AB0D80"/>
    <w:pPr>
      <w:spacing w:after="0" w:line="240" w:lineRule="auto"/>
    </w:pPr>
    <w:tblPr>
      <w:tblStyleRowBandSize w:val="1"/>
      <w:tblBorders>
        <w:insideH w:val="single" w:sz="8" w:space="0" w:color="FFFFFF"/>
      </w:tblBorders>
      <w:tblCellMar>
        <w:top w:w="85" w:type="dxa"/>
        <w:left w:w="85" w:type="dxa"/>
        <w:bottom w:w="85" w:type="dxa"/>
        <w:right w:w="57" w:type="dxa"/>
      </w:tblCellMar>
    </w:tblPr>
    <w:tblStylePr w:type="firstRow">
      <w:rPr>
        <w:b/>
        <w:color w:val="FFFFFF"/>
      </w:rPr>
      <w:tblPr/>
      <w:tcPr>
        <w:shd w:val="clear" w:color="auto" w:fill="4986A0"/>
      </w:tcPr>
    </w:tblStylePr>
    <w:tblStylePr w:type="lastRow">
      <w:rPr>
        <w:b/>
      </w:rPr>
      <w:tblPr/>
      <w:tcPr>
        <w:tcBorders>
          <w:top w:val="nil"/>
          <w:left w:val="nil"/>
          <w:bottom w:val="nil"/>
          <w:right w:val="nil"/>
          <w:insideH w:val="nil"/>
          <w:insideV w:val="nil"/>
          <w:tl2br w:val="nil"/>
          <w:tr2bl w:val="nil"/>
        </w:tcBorders>
        <w:shd w:val="clear" w:color="auto" w:fill="F2F2F2"/>
      </w:tcPr>
    </w:tblStylePr>
    <w:tblStylePr w:type="band1Horz">
      <w:tblPr/>
      <w:tcPr>
        <w:shd w:val="clear" w:color="auto" w:fill="F2F2F2"/>
      </w:tcPr>
    </w:tblStylePr>
    <w:tblStylePr w:type="band2Horz">
      <w:tblPr/>
      <w:tcPr>
        <w:shd w:val="clear" w:color="auto" w:fill="E3E3E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2556">
      <w:bodyDiv w:val="1"/>
      <w:marLeft w:val="0"/>
      <w:marRight w:val="0"/>
      <w:marTop w:val="0"/>
      <w:marBottom w:val="0"/>
      <w:divBdr>
        <w:top w:val="none" w:sz="0" w:space="0" w:color="auto"/>
        <w:left w:val="none" w:sz="0" w:space="0" w:color="auto"/>
        <w:bottom w:val="none" w:sz="0" w:space="0" w:color="auto"/>
        <w:right w:val="none" w:sz="0" w:space="0" w:color="auto"/>
      </w:divBdr>
    </w:div>
    <w:div w:id="179975107">
      <w:bodyDiv w:val="1"/>
      <w:marLeft w:val="0"/>
      <w:marRight w:val="0"/>
      <w:marTop w:val="0"/>
      <w:marBottom w:val="0"/>
      <w:divBdr>
        <w:top w:val="none" w:sz="0" w:space="0" w:color="auto"/>
        <w:left w:val="none" w:sz="0" w:space="0" w:color="auto"/>
        <w:bottom w:val="none" w:sz="0" w:space="0" w:color="auto"/>
        <w:right w:val="none" w:sz="0" w:space="0" w:color="auto"/>
      </w:divBdr>
    </w:div>
    <w:div w:id="195851455">
      <w:bodyDiv w:val="1"/>
      <w:marLeft w:val="0"/>
      <w:marRight w:val="0"/>
      <w:marTop w:val="0"/>
      <w:marBottom w:val="0"/>
      <w:divBdr>
        <w:top w:val="none" w:sz="0" w:space="0" w:color="auto"/>
        <w:left w:val="none" w:sz="0" w:space="0" w:color="auto"/>
        <w:bottom w:val="none" w:sz="0" w:space="0" w:color="auto"/>
        <w:right w:val="none" w:sz="0" w:space="0" w:color="auto"/>
      </w:divBdr>
    </w:div>
    <w:div w:id="367264565">
      <w:bodyDiv w:val="1"/>
      <w:marLeft w:val="0"/>
      <w:marRight w:val="0"/>
      <w:marTop w:val="0"/>
      <w:marBottom w:val="0"/>
      <w:divBdr>
        <w:top w:val="none" w:sz="0" w:space="0" w:color="auto"/>
        <w:left w:val="none" w:sz="0" w:space="0" w:color="auto"/>
        <w:bottom w:val="none" w:sz="0" w:space="0" w:color="auto"/>
        <w:right w:val="none" w:sz="0" w:space="0" w:color="auto"/>
      </w:divBdr>
    </w:div>
    <w:div w:id="467288428">
      <w:bodyDiv w:val="1"/>
      <w:marLeft w:val="0"/>
      <w:marRight w:val="0"/>
      <w:marTop w:val="0"/>
      <w:marBottom w:val="0"/>
      <w:divBdr>
        <w:top w:val="none" w:sz="0" w:space="0" w:color="auto"/>
        <w:left w:val="none" w:sz="0" w:space="0" w:color="auto"/>
        <w:bottom w:val="none" w:sz="0" w:space="0" w:color="auto"/>
        <w:right w:val="none" w:sz="0" w:space="0" w:color="auto"/>
      </w:divBdr>
    </w:div>
    <w:div w:id="479032000">
      <w:bodyDiv w:val="1"/>
      <w:marLeft w:val="0"/>
      <w:marRight w:val="0"/>
      <w:marTop w:val="0"/>
      <w:marBottom w:val="0"/>
      <w:divBdr>
        <w:top w:val="none" w:sz="0" w:space="0" w:color="auto"/>
        <w:left w:val="none" w:sz="0" w:space="0" w:color="auto"/>
        <w:bottom w:val="none" w:sz="0" w:space="0" w:color="auto"/>
        <w:right w:val="none" w:sz="0" w:space="0" w:color="auto"/>
      </w:divBdr>
    </w:div>
    <w:div w:id="672533330">
      <w:bodyDiv w:val="1"/>
      <w:marLeft w:val="0"/>
      <w:marRight w:val="0"/>
      <w:marTop w:val="0"/>
      <w:marBottom w:val="0"/>
      <w:divBdr>
        <w:top w:val="none" w:sz="0" w:space="0" w:color="auto"/>
        <w:left w:val="none" w:sz="0" w:space="0" w:color="auto"/>
        <w:bottom w:val="none" w:sz="0" w:space="0" w:color="auto"/>
        <w:right w:val="none" w:sz="0" w:space="0" w:color="auto"/>
      </w:divBdr>
    </w:div>
    <w:div w:id="831216323">
      <w:bodyDiv w:val="1"/>
      <w:marLeft w:val="0"/>
      <w:marRight w:val="0"/>
      <w:marTop w:val="0"/>
      <w:marBottom w:val="0"/>
      <w:divBdr>
        <w:top w:val="none" w:sz="0" w:space="0" w:color="auto"/>
        <w:left w:val="none" w:sz="0" w:space="0" w:color="auto"/>
        <w:bottom w:val="none" w:sz="0" w:space="0" w:color="auto"/>
        <w:right w:val="none" w:sz="0" w:space="0" w:color="auto"/>
      </w:divBdr>
    </w:div>
    <w:div w:id="886991453">
      <w:bodyDiv w:val="1"/>
      <w:marLeft w:val="0"/>
      <w:marRight w:val="0"/>
      <w:marTop w:val="0"/>
      <w:marBottom w:val="0"/>
      <w:divBdr>
        <w:top w:val="none" w:sz="0" w:space="0" w:color="auto"/>
        <w:left w:val="none" w:sz="0" w:space="0" w:color="auto"/>
        <w:bottom w:val="none" w:sz="0" w:space="0" w:color="auto"/>
        <w:right w:val="none" w:sz="0" w:space="0" w:color="auto"/>
      </w:divBdr>
    </w:div>
    <w:div w:id="1175419831">
      <w:bodyDiv w:val="1"/>
      <w:marLeft w:val="0"/>
      <w:marRight w:val="0"/>
      <w:marTop w:val="0"/>
      <w:marBottom w:val="0"/>
      <w:divBdr>
        <w:top w:val="none" w:sz="0" w:space="0" w:color="auto"/>
        <w:left w:val="none" w:sz="0" w:space="0" w:color="auto"/>
        <w:bottom w:val="none" w:sz="0" w:space="0" w:color="auto"/>
        <w:right w:val="none" w:sz="0" w:space="0" w:color="auto"/>
      </w:divBdr>
    </w:div>
    <w:div w:id="1227105766">
      <w:bodyDiv w:val="1"/>
      <w:marLeft w:val="0"/>
      <w:marRight w:val="0"/>
      <w:marTop w:val="0"/>
      <w:marBottom w:val="0"/>
      <w:divBdr>
        <w:top w:val="none" w:sz="0" w:space="0" w:color="auto"/>
        <w:left w:val="none" w:sz="0" w:space="0" w:color="auto"/>
        <w:bottom w:val="none" w:sz="0" w:space="0" w:color="auto"/>
        <w:right w:val="none" w:sz="0" w:space="0" w:color="auto"/>
      </w:divBdr>
    </w:div>
    <w:div w:id="1418362104">
      <w:bodyDiv w:val="1"/>
      <w:marLeft w:val="0"/>
      <w:marRight w:val="0"/>
      <w:marTop w:val="0"/>
      <w:marBottom w:val="0"/>
      <w:divBdr>
        <w:top w:val="none" w:sz="0" w:space="0" w:color="auto"/>
        <w:left w:val="none" w:sz="0" w:space="0" w:color="auto"/>
        <w:bottom w:val="none" w:sz="0" w:space="0" w:color="auto"/>
        <w:right w:val="none" w:sz="0" w:space="0" w:color="auto"/>
      </w:divBdr>
    </w:div>
    <w:div w:id="1567257180">
      <w:bodyDiv w:val="1"/>
      <w:marLeft w:val="0"/>
      <w:marRight w:val="0"/>
      <w:marTop w:val="0"/>
      <w:marBottom w:val="0"/>
      <w:divBdr>
        <w:top w:val="none" w:sz="0" w:space="0" w:color="auto"/>
        <w:left w:val="none" w:sz="0" w:space="0" w:color="auto"/>
        <w:bottom w:val="none" w:sz="0" w:space="0" w:color="auto"/>
        <w:right w:val="none" w:sz="0" w:space="0" w:color="auto"/>
      </w:divBdr>
    </w:div>
    <w:div w:id="1639265945">
      <w:bodyDiv w:val="1"/>
      <w:marLeft w:val="0"/>
      <w:marRight w:val="0"/>
      <w:marTop w:val="0"/>
      <w:marBottom w:val="0"/>
      <w:divBdr>
        <w:top w:val="none" w:sz="0" w:space="0" w:color="auto"/>
        <w:left w:val="none" w:sz="0" w:space="0" w:color="auto"/>
        <w:bottom w:val="none" w:sz="0" w:space="0" w:color="auto"/>
        <w:right w:val="none" w:sz="0" w:space="0" w:color="auto"/>
      </w:divBdr>
    </w:div>
    <w:div w:id="1880311787">
      <w:bodyDiv w:val="1"/>
      <w:marLeft w:val="0"/>
      <w:marRight w:val="0"/>
      <w:marTop w:val="0"/>
      <w:marBottom w:val="0"/>
      <w:divBdr>
        <w:top w:val="none" w:sz="0" w:space="0" w:color="auto"/>
        <w:left w:val="none" w:sz="0" w:space="0" w:color="auto"/>
        <w:bottom w:val="none" w:sz="0" w:space="0" w:color="auto"/>
        <w:right w:val="none" w:sz="0" w:space="0" w:color="auto"/>
      </w:divBdr>
    </w:div>
    <w:div w:id="1923560025">
      <w:bodyDiv w:val="1"/>
      <w:marLeft w:val="0"/>
      <w:marRight w:val="0"/>
      <w:marTop w:val="0"/>
      <w:marBottom w:val="0"/>
      <w:divBdr>
        <w:top w:val="none" w:sz="0" w:space="0" w:color="auto"/>
        <w:left w:val="none" w:sz="0" w:space="0" w:color="auto"/>
        <w:bottom w:val="none" w:sz="0" w:space="0" w:color="auto"/>
        <w:right w:val="none" w:sz="0" w:space="0" w:color="auto"/>
      </w:divBdr>
    </w:div>
    <w:div w:id="2034502076">
      <w:bodyDiv w:val="1"/>
      <w:marLeft w:val="0"/>
      <w:marRight w:val="0"/>
      <w:marTop w:val="0"/>
      <w:marBottom w:val="0"/>
      <w:divBdr>
        <w:top w:val="none" w:sz="0" w:space="0" w:color="auto"/>
        <w:left w:val="none" w:sz="0" w:space="0" w:color="auto"/>
        <w:bottom w:val="none" w:sz="0" w:space="0" w:color="auto"/>
        <w:right w:val="none" w:sz="0" w:space="0" w:color="auto"/>
      </w:divBdr>
    </w:div>
    <w:div w:id="210549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3.xml"/><Relationship Id="rId39" Type="http://schemas.openxmlformats.org/officeDocument/2006/relationships/hyperlink" Target="https://escvic-my.sharepoint.com/personal/steve_oh_esc_vic_gov_au/Documents/Three%20Codes%20Review/Public%20Lighting%20Code/Final%20Decision/energyreform@esc.vic.gov.au" TargetMode="External"/><Relationship Id="rId21" Type="http://schemas.openxmlformats.org/officeDocument/2006/relationships/hyperlink" Target="https://www.esc.vic.gov.au/electricity-and-gas/electricity-and-gas-inquiries-studies-and-reviews/public-lighting-code-practice-review" TargetMode="External"/><Relationship Id="rId34" Type="http://schemas.openxmlformats.org/officeDocument/2006/relationships/header" Target="header19.xml"/><Relationship Id="rId42" Type="http://schemas.openxmlformats.org/officeDocument/2006/relationships/footer" Target="footer7.xml"/><Relationship Id="rId47" Type="http://schemas.openxmlformats.org/officeDocument/2006/relationships/header" Target="header27.xml"/><Relationship Id="rId50" Type="http://schemas.openxmlformats.org/officeDocument/2006/relationships/header" Target="header29.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5.xml"/><Relationship Id="rId11" Type="http://schemas.openxmlformats.org/officeDocument/2006/relationships/hyperlink" Target="http://creativecommons.org/licenses/by/4.0/" TargetMode="External"/><Relationship Id="rId24" Type="http://schemas.openxmlformats.org/officeDocument/2006/relationships/footer" Target="footer3.xml"/><Relationship Id="rId32" Type="http://schemas.openxmlformats.org/officeDocument/2006/relationships/footer" Target="footer5.xml"/><Relationship Id="rId37" Type="http://schemas.openxmlformats.org/officeDocument/2006/relationships/header" Target="header21.xml"/><Relationship Id="rId40" Type="http://schemas.openxmlformats.org/officeDocument/2006/relationships/header" Target="header22.xml"/><Relationship Id="rId45" Type="http://schemas.openxmlformats.org/officeDocument/2006/relationships/header" Target="header26.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19" Type="http://schemas.openxmlformats.org/officeDocument/2006/relationships/footer" Target="footer2.xml"/><Relationship Id="rId31" Type="http://schemas.openxmlformats.org/officeDocument/2006/relationships/header" Target="header17.xml"/><Relationship Id="rId44" Type="http://schemas.openxmlformats.org/officeDocument/2006/relationships/header" Target="header25.xml"/><Relationship Id="rId52" Type="http://schemas.openxmlformats.org/officeDocument/2006/relationships/header" Target="header3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header" Target="header16.xml"/><Relationship Id="rId35" Type="http://schemas.openxmlformats.org/officeDocument/2006/relationships/header" Target="header20.xml"/><Relationship Id="rId43" Type="http://schemas.openxmlformats.org/officeDocument/2006/relationships/header" Target="header24.xml"/><Relationship Id="rId48" Type="http://schemas.openxmlformats.org/officeDocument/2006/relationships/hyperlink" Target="https://www.aemc.gov.au/rule-changes/unlocking-CER-benefits-through-flexible-trading" TargetMode="External"/><Relationship Id="rId8" Type="http://schemas.openxmlformats.org/officeDocument/2006/relationships/header" Target="header1.xml"/><Relationship Id="rId51" Type="http://schemas.openxmlformats.org/officeDocument/2006/relationships/footer" Target="footer9.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7.xml"/><Relationship Id="rId25" Type="http://schemas.openxmlformats.org/officeDocument/2006/relationships/header" Target="header12.xml"/><Relationship Id="rId33" Type="http://schemas.openxmlformats.org/officeDocument/2006/relationships/header" Target="header18.xml"/><Relationship Id="rId38" Type="http://schemas.openxmlformats.org/officeDocument/2006/relationships/hyperlink" Target="https://www.esc.vic.gov.au/electricity-and-gas/electricity-and-gas-inquiries-studies-and-reviews/public-lighting-code-practice-review" TargetMode="External"/><Relationship Id="rId46" Type="http://schemas.openxmlformats.org/officeDocument/2006/relationships/footer" Target="footer8.xml"/><Relationship Id="rId20" Type="http://schemas.openxmlformats.org/officeDocument/2006/relationships/header" Target="header9.xml"/><Relationship Id="rId41" Type="http://schemas.openxmlformats.org/officeDocument/2006/relationships/header" Target="header23.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11.xml"/><Relationship Id="rId28" Type="http://schemas.openxmlformats.org/officeDocument/2006/relationships/footer" Target="footer4.xml"/><Relationship Id="rId36" Type="http://schemas.openxmlformats.org/officeDocument/2006/relationships/footer" Target="footer6.xml"/><Relationship Id="rId49" Type="http://schemas.openxmlformats.org/officeDocument/2006/relationships/header" Target="header28.xml"/></Relationships>
</file>

<file path=word/_rels/footnotes.xml.rels><?xml version="1.0" encoding="UTF-8" standalone="yes"?>
<Relationships xmlns="http://schemas.openxmlformats.org/package/2006/relationships"><Relationship Id="rId3" Type="http://schemas.openxmlformats.org/officeDocument/2006/relationships/hyperlink" Target="C://Users/Soh/AppData/Local/Temp/MicrosoftEdgeDownloads/b34fef8e-180a-4d4b-a255-af60f0d4ddda/PAL%20ATT%2012.01%20-%20Public%20lighting%20-%20Jan2025.pdf" TargetMode="External"/><Relationship Id="rId2" Type="http://schemas.openxmlformats.org/officeDocument/2006/relationships/hyperlink" Target="https://www.esc.vic.gov.au/electricity-and-gas/victorian-energy-market-reporting-hub/compliance-activities/our-energy-compliance-and-enforcement-priorities" TargetMode="External"/><Relationship Id="rId1" Type="http://schemas.openxmlformats.org/officeDocument/2006/relationships/hyperlink" Target="https://www.esc.vic.gov.au/electricity-and-gas/electricity-and-gas-inquiries-studies-and-reviews/public-lighting-code-practice-review" TargetMode="External"/><Relationship Id="rId6" Type="http://schemas.openxmlformats.org/officeDocument/2006/relationships/hyperlink" Target="https://www.esc.vic.gov.au/electricity-and-gas/electricity-and-gas-inquiries-studies-and-reviews/revoking-electricity-customer-metering-code-practice-and-electricity-customer-transfer-code-practice" TargetMode="External"/><Relationship Id="rId5" Type="http://schemas.openxmlformats.org/officeDocument/2006/relationships/hyperlink" Target="https://www.esc.vic.gov.au/electricity-and-gas/victorian-energy-market-reporting-hub/compliance-activities/our-energy-compliance-and-enforcement-priorities" TargetMode="External"/><Relationship Id="rId4" Type="http://schemas.openxmlformats.org/officeDocument/2006/relationships/hyperlink" Target="https://www.esc.vic.gov.au/about-us/our-policies/compliance-and-enforcement-polic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26D8CCC9534309B9B5E9DB9F905536"/>
        <w:category>
          <w:name w:val="General"/>
          <w:gallery w:val="placeholder"/>
        </w:category>
        <w:types>
          <w:type w:val="bbPlcHdr"/>
        </w:types>
        <w:behaviors>
          <w:behavior w:val="content"/>
        </w:behaviors>
        <w:guid w:val="{929608A6-3918-41DB-B90C-E08C06D8411E}"/>
      </w:docPartPr>
      <w:docPartBody>
        <w:p w:rsidR="008C4DE6" w:rsidRDefault="008C4DE6">
          <w:pPr>
            <w:pStyle w:val="0B26D8CCC9534309B9B5E9DB9F905536"/>
          </w:pPr>
          <w:r>
            <w:t xml:space="preserve">  </w:t>
          </w:r>
        </w:p>
      </w:docPartBody>
    </w:docPart>
    <w:docPart>
      <w:docPartPr>
        <w:name w:val="CD34D51FC7ED4B339ADA211D80BD0736"/>
        <w:category>
          <w:name w:val="General"/>
          <w:gallery w:val="placeholder"/>
        </w:category>
        <w:types>
          <w:type w:val="bbPlcHdr"/>
        </w:types>
        <w:behaviors>
          <w:behavior w:val="content"/>
        </w:behaviors>
        <w:guid w:val="{4707C07B-F417-474E-98DB-DB00C68970C5}"/>
      </w:docPartPr>
      <w:docPartBody>
        <w:p w:rsidR="008C4DE6" w:rsidRDefault="008C4DE6">
          <w:pPr>
            <w:pStyle w:val="CD34D51FC7ED4B339ADA211D80BD0736"/>
          </w:pPr>
          <w:r w:rsidRPr="00DA005C">
            <w:t>[Title, use ‘Title’ type style. Content will automatically link to internal footer]</w:t>
          </w:r>
        </w:p>
      </w:docPartBody>
    </w:docPart>
    <w:docPart>
      <w:docPartPr>
        <w:name w:val="F0144DCCD14F4430B410C534DEC49CFC"/>
        <w:category>
          <w:name w:val="General"/>
          <w:gallery w:val="placeholder"/>
        </w:category>
        <w:types>
          <w:type w:val="bbPlcHdr"/>
        </w:types>
        <w:behaviors>
          <w:behavior w:val="content"/>
        </w:behaviors>
        <w:guid w:val="{F9145317-1F7D-495B-8401-A6F325B7EA43}"/>
      </w:docPartPr>
      <w:docPartBody>
        <w:p w:rsidR="008C4DE6" w:rsidRDefault="008C4DE6">
          <w:pPr>
            <w:pStyle w:val="F0144DCCD14F4430B410C534DEC49CFC"/>
          </w:pPr>
          <w:r w:rsidRPr="00360763">
            <w:rPr>
              <w:highlight w:val="lightGray"/>
            </w:rPr>
            <w:t>[Click to select a year]</w:t>
          </w:r>
        </w:p>
      </w:docPartBody>
    </w:docPart>
    <w:docPart>
      <w:docPartPr>
        <w:name w:val="26784A1D736647D8B114B513D6A59510"/>
        <w:category>
          <w:name w:val="General"/>
          <w:gallery w:val="placeholder"/>
        </w:category>
        <w:types>
          <w:type w:val="bbPlcHdr"/>
        </w:types>
        <w:behaviors>
          <w:behavior w:val="content"/>
        </w:behaviors>
        <w:guid w:val="{36BB0435-05DF-4372-BBC1-9C70CB465966}"/>
      </w:docPartPr>
      <w:docPartBody>
        <w:p w:rsidR="008C4DE6" w:rsidRDefault="008C4DE6">
          <w:pPr>
            <w:pStyle w:val="26784A1D736647D8B114B513D6A59510"/>
          </w:pPr>
          <w:r w:rsidRPr="005F3D90">
            <w:rPr>
              <w:highlight w:val="lightGray"/>
            </w:rPr>
            <w:t>[Title]</w:t>
          </w:r>
        </w:p>
      </w:docPartBody>
    </w:docPart>
    <w:docPart>
      <w:docPartPr>
        <w:name w:val="C3B5F2BDCEE444C89923D06CD3C3F258"/>
        <w:category>
          <w:name w:val="General"/>
          <w:gallery w:val="placeholder"/>
        </w:category>
        <w:types>
          <w:type w:val="bbPlcHdr"/>
        </w:types>
        <w:behaviors>
          <w:behavior w:val="content"/>
        </w:behaviors>
        <w:guid w:val="{5C612B0C-6141-4EE6-8371-E57C5835C17A}"/>
      </w:docPartPr>
      <w:docPartBody>
        <w:p w:rsidR="008C4DE6" w:rsidRDefault="008C4DE6">
          <w:pPr>
            <w:pStyle w:val="C3B5F2BDCEE444C89923D06CD3C3F258"/>
          </w:pPr>
          <w:r w:rsidRPr="00563AD8">
            <w:rPr>
              <w:highlight w:val="lightGray"/>
            </w:rPr>
            <w:t>[Subtitle]</w:t>
          </w:r>
        </w:p>
      </w:docPartBody>
    </w:docPart>
    <w:docPart>
      <w:docPartPr>
        <w:name w:val="AED240F9F4284DE780CFD1F88DF04FC6"/>
        <w:category>
          <w:name w:val="General"/>
          <w:gallery w:val="placeholder"/>
        </w:category>
        <w:types>
          <w:type w:val="bbPlcHdr"/>
        </w:types>
        <w:behaviors>
          <w:behavior w:val="content"/>
        </w:behaviors>
        <w:guid w:val="{6A6BA8AB-CD4D-4EE3-9D50-6D4E93CBB2CE}"/>
      </w:docPartPr>
      <w:docPartBody>
        <w:p w:rsidR="008C4DE6" w:rsidRDefault="008C4DE6">
          <w:pPr>
            <w:pStyle w:val="AED240F9F4284DE780CFD1F88DF04FC6"/>
          </w:pPr>
          <w:r w:rsidRPr="00360763">
            <w:rPr>
              <w:highlight w:val="lightGray"/>
            </w:rPr>
            <w:t>[Click to select a year]</w:t>
          </w:r>
        </w:p>
      </w:docPartBody>
    </w:docPart>
    <w:docPart>
      <w:docPartPr>
        <w:name w:val="487FBD851FCC403582D343AFA8BA353C"/>
        <w:category>
          <w:name w:val="General"/>
          <w:gallery w:val="placeholder"/>
        </w:category>
        <w:types>
          <w:type w:val="bbPlcHdr"/>
        </w:types>
        <w:behaviors>
          <w:behavior w:val="content"/>
        </w:behaviors>
        <w:guid w:val="{186A3B9A-252A-4D57-8A11-1B108806FF7F}"/>
      </w:docPartPr>
      <w:docPartBody>
        <w:p w:rsidR="008C4DE6" w:rsidRDefault="008C4DE6">
          <w:pPr>
            <w:pStyle w:val="487FBD851FCC403582D343AFA8BA353C"/>
          </w:pPr>
          <w:r w:rsidRPr="005F3D90">
            <w:rPr>
              <w:highlight w:val="lightGray"/>
            </w:rPr>
            <w:t>[Title]</w:t>
          </w:r>
        </w:p>
      </w:docPartBody>
    </w:docPart>
    <w:docPart>
      <w:docPartPr>
        <w:name w:val="263E7BA8FD8B4D3FB49F8A47DF3F1C90"/>
        <w:category>
          <w:name w:val="General"/>
          <w:gallery w:val="placeholder"/>
        </w:category>
        <w:types>
          <w:type w:val="bbPlcHdr"/>
        </w:types>
        <w:behaviors>
          <w:behavior w:val="content"/>
        </w:behaviors>
        <w:guid w:val="{3D2108F9-E9F0-4540-B4D4-82509033EF72}"/>
      </w:docPartPr>
      <w:docPartBody>
        <w:p w:rsidR="008C4DE6" w:rsidRDefault="008C4DE6">
          <w:pPr>
            <w:pStyle w:val="263E7BA8FD8B4D3FB49F8A47DF3F1C90"/>
          </w:pPr>
          <w:r>
            <w:t xml:space="preserve">  </w:t>
          </w:r>
        </w:p>
      </w:docPartBody>
    </w:docPart>
    <w:docPart>
      <w:docPartPr>
        <w:name w:val="E8FBB1693C42492B8F8EF5D86554E641"/>
        <w:category>
          <w:name w:val="General"/>
          <w:gallery w:val="placeholder"/>
        </w:category>
        <w:types>
          <w:type w:val="bbPlcHdr"/>
        </w:types>
        <w:behaviors>
          <w:behavior w:val="content"/>
        </w:behaviors>
        <w:guid w:val="{105E4619-780E-4996-9243-93D668489044}"/>
      </w:docPartPr>
      <w:docPartBody>
        <w:p w:rsidR="008C4DE6" w:rsidRDefault="008C4DE6">
          <w:pPr>
            <w:pStyle w:val="E8FBB1693C42492B8F8EF5D86554E641"/>
          </w:pPr>
          <w:r w:rsidRPr="00AD2E14">
            <w:rPr>
              <w:b/>
              <w:highlight w:val="lightGray"/>
            </w:rPr>
            <w:t>[Title]</w:t>
          </w:r>
        </w:p>
      </w:docPartBody>
    </w:docPart>
    <w:docPart>
      <w:docPartPr>
        <w:name w:val="58A60AF94E8F418CA9D9039AA656CE76"/>
        <w:category>
          <w:name w:val="General"/>
          <w:gallery w:val="placeholder"/>
        </w:category>
        <w:types>
          <w:type w:val="bbPlcHdr"/>
        </w:types>
        <w:behaviors>
          <w:behavior w:val="content"/>
        </w:behaviors>
        <w:guid w:val="{E2842075-A29F-4CC6-9CEC-D18EF8841095}"/>
      </w:docPartPr>
      <w:docPartBody>
        <w:p w:rsidR="008C4DE6" w:rsidRDefault="008C4DE6">
          <w:pPr>
            <w:pStyle w:val="58A60AF94E8F418CA9D9039AA656CE76"/>
          </w:pPr>
          <w:r w:rsidRPr="00AD2E14">
            <w:rPr>
              <w:b/>
              <w:highlight w:val="lightGray"/>
            </w:rPr>
            <w:t>[Title]</w:t>
          </w:r>
        </w:p>
      </w:docPartBody>
    </w:docPart>
    <w:docPart>
      <w:docPartPr>
        <w:name w:val="BB9BE0546DA0479FA14CF498A9260DD0"/>
        <w:category>
          <w:name w:val="General"/>
          <w:gallery w:val="placeholder"/>
        </w:category>
        <w:types>
          <w:type w:val="bbPlcHdr"/>
        </w:types>
        <w:behaviors>
          <w:behavior w:val="content"/>
        </w:behaviors>
        <w:guid w:val="{AD1B8798-C67F-4C68-A7F7-6DF9D399539D}"/>
      </w:docPartPr>
      <w:docPartBody>
        <w:p w:rsidR="008C4DE6" w:rsidRDefault="008C4DE6">
          <w:pPr>
            <w:pStyle w:val="BB9BE0546DA0479FA14CF498A9260DD0"/>
          </w:pPr>
          <w:r w:rsidRPr="00AD2E14">
            <w:rPr>
              <w:b/>
              <w:highlight w:val="lightGray"/>
            </w:rPr>
            <w:t>[Title]</w:t>
          </w:r>
        </w:p>
      </w:docPartBody>
    </w:docPart>
    <w:docPart>
      <w:docPartPr>
        <w:name w:val="50C019EA09DB4D5693A8FA217A393B3D"/>
        <w:category>
          <w:name w:val="General"/>
          <w:gallery w:val="placeholder"/>
        </w:category>
        <w:types>
          <w:type w:val="bbPlcHdr"/>
        </w:types>
        <w:behaviors>
          <w:behavior w:val="content"/>
        </w:behaviors>
        <w:guid w:val="{22E88354-03DD-4EE6-AC58-52A27F31E615}"/>
      </w:docPartPr>
      <w:docPartBody>
        <w:p w:rsidR="008C4DE6" w:rsidRDefault="008C4DE6">
          <w:pPr>
            <w:pStyle w:val="50C019EA09DB4D5693A8FA217A393B3D"/>
          </w:pPr>
          <w:r w:rsidRPr="00AD2E14">
            <w:rPr>
              <w:b/>
              <w:highlight w:val="lightGray"/>
            </w:rPr>
            <w:t>[Title]</w:t>
          </w:r>
        </w:p>
      </w:docPartBody>
    </w:docPart>
    <w:docPart>
      <w:docPartPr>
        <w:name w:val="C2740BB97ACC4420A7385FB7FC7BD869"/>
        <w:category>
          <w:name w:val="General"/>
          <w:gallery w:val="placeholder"/>
        </w:category>
        <w:types>
          <w:type w:val="bbPlcHdr"/>
        </w:types>
        <w:behaviors>
          <w:behavior w:val="content"/>
        </w:behaviors>
        <w:guid w:val="{5F5527A1-3953-4853-9D04-6C2950E9E307}"/>
      </w:docPartPr>
      <w:docPartBody>
        <w:p w:rsidR="00FE06F6" w:rsidRDefault="009920EB" w:rsidP="009920EB">
          <w:pPr>
            <w:pStyle w:val="C2740BB97ACC4420A7385FB7FC7BD869"/>
          </w:pPr>
          <w:r w:rsidRPr="00AD2E14">
            <w:rPr>
              <w:b/>
              <w:highlight w:val="lightGray"/>
            </w:rPr>
            <w:t>[Title]</w:t>
          </w:r>
        </w:p>
      </w:docPartBody>
    </w:docPart>
    <w:docPart>
      <w:docPartPr>
        <w:name w:val="7D5A07224B8742088C8D34A96FEE12D0"/>
        <w:category>
          <w:name w:val="General"/>
          <w:gallery w:val="placeholder"/>
        </w:category>
        <w:types>
          <w:type w:val="bbPlcHdr"/>
        </w:types>
        <w:behaviors>
          <w:behavior w:val="content"/>
        </w:behaviors>
        <w:guid w:val="{6364E75B-F3BE-4C62-863D-FA0D787A7230}"/>
      </w:docPartPr>
      <w:docPartBody>
        <w:p w:rsidR="00FE06F6" w:rsidRDefault="009920EB" w:rsidP="009920EB">
          <w:pPr>
            <w:pStyle w:val="7D5A07224B8742088C8D34A96FEE12D0"/>
          </w:pPr>
          <w:r w:rsidRPr="00AD2E14">
            <w:rPr>
              <w:b/>
              <w:highlight w:val="lightGray"/>
            </w:rPr>
            <w:t>[Title]</w:t>
          </w:r>
        </w:p>
      </w:docPartBody>
    </w:docPart>
    <w:docPart>
      <w:docPartPr>
        <w:name w:val="6592645610964798A3B04609D683371F"/>
        <w:category>
          <w:name w:val="General"/>
          <w:gallery w:val="placeholder"/>
        </w:category>
        <w:types>
          <w:type w:val="bbPlcHdr"/>
        </w:types>
        <w:behaviors>
          <w:behavior w:val="content"/>
        </w:behaviors>
        <w:guid w:val="{BDFEF579-1111-41BE-8179-779F8C896F9C}"/>
      </w:docPartPr>
      <w:docPartBody>
        <w:p w:rsidR="001B2031" w:rsidRDefault="00397C6C" w:rsidP="00397C6C">
          <w:pPr>
            <w:pStyle w:val="6592645610964798A3B04609D683371F"/>
          </w:pPr>
          <w:r w:rsidRPr="00AD2E14">
            <w:rPr>
              <w:b/>
              <w:highlight w:val="lightGray"/>
            </w:rPr>
            <w:t>[Title]</w:t>
          </w:r>
        </w:p>
      </w:docPartBody>
    </w:docPart>
    <w:docPart>
      <w:docPartPr>
        <w:name w:val="7C97602F347B4A2EB1F0FF39FB266326"/>
        <w:category>
          <w:name w:val="General"/>
          <w:gallery w:val="placeholder"/>
        </w:category>
        <w:types>
          <w:type w:val="bbPlcHdr"/>
        </w:types>
        <w:behaviors>
          <w:behavior w:val="content"/>
        </w:behaviors>
        <w:guid w:val="{D9BC77ED-B9EC-4360-A132-2A1757C2ABE7}"/>
      </w:docPartPr>
      <w:docPartBody>
        <w:p w:rsidR="009467B3" w:rsidRDefault="008C4DE6">
          <w:pPr>
            <w:pStyle w:val="7C97602F347B4A2EB1F0FF39FB266326"/>
          </w:pPr>
          <w:r>
            <w:t>[</w:t>
          </w:r>
          <w:r w:rsidRPr="00615C49">
            <w:t>Click or tap to enter a date</w:t>
          </w:r>
          <w:r>
            <w:t>, or click to manually type custom date]</w:t>
          </w:r>
        </w:p>
      </w:docPartBody>
    </w:docPart>
    <w:docPart>
      <w:docPartPr>
        <w:name w:val="1905839601E74549B0AF2D6CA72239F7"/>
        <w:category>
          <w:name w:val="General"/>
          <w:gallery w:val="placeholder"/>
        </w:category>
        <w:types>
          <w:type w:val="bbPlcHdr"/>
        </w:types>
        <w:behaviors>
          <w:behavior w:val="content"/>
        </w:behaviors>
        <w:guid w:val="{1B3A2204-51DC-4A9D-A6C2-9E88F50BA530}"/>
      </w:docPartPr>
      <w:docPartBody>
        <w:p w:rsidR="009467B3" w:rsidRDefault="008C4DE6">
          <w:pPr>
            <w:pStyle w:val="1905839601E74549B0AF2D6CA72239F7"/>
          </w:pPr>
          <w:r w:rsidRPr="005F3D90">
            <w:rPr>
              <w:highlight w:val="lightGray"/>
            </w:rPr>
            <w:t xml:space="preserve">[Click to select </w:t>
          </w:r>
          <w:r>
            <w:rPr>
              <w:highlight w:val="lightGray"/>
            </w:rPr>
            <w:t>a date</w:t>
          </w:r>
          <w:r w:rsidRPr="005F3D90">
            <w:rPr>
              <w:highlight w:val="lightGray"/>
            </w:rPr>
            <w:t>]</w:t>
          </w:r>
        </w:p>
      </w:docPartBody>
    </w:docPart>
    <w:docPart>
      <w:docPartPr>
        <w:name w:val="2854908C206B4DA095CD30BCF745C248"/>
        <w:category>
          <w:name w:val="General"/>
          <w:gallery w:val="placeholder"/>
        </w:category>
        <w:types>
          <w:type w:val="bbPlcHdr"/>
        </w:types>
        <w:behaviors>
          <w:behavior w:val="content"/>
        </w:behaviors>
        <w:guid w:val="{8E57FC2D-2868-4A18-9CC3-FF6DF21F6CDB}"/>
      </w:docPartPr>
      <w:docPartBody>
        <w:p w:rsidR="0012431D" w:rsidRDefault="0012431D" w:rsidP="0012431D">
          <w:pPr>
            <w:pStyle w:val="2854908C206B4DA095CD30BCF745C248"/>
          </w:pPr>
          <w:r w:rsidRPr="00AD2E14">
            <w:rPr>
              <w:b/>
              <w:highlight w:val="lightGray"/>
            </w:rPr>
            <w:t>[Title]</w:t>
          </w:r>
        </w:p>
      </w:docPartBody>
    </w:docPart>
    <w:docPart>
      <w:docPartPr>
        <w:name w:val="8825350053014F998DA18FA0A092A98E"/>
        <w:category>
          <w:name w:val="General"/>
          <w:gallery w:val="placeholder"/>
        </w:category>
        <w:types>
          <w:type w:val="bbPlcHdr"/>
        </w:types>
        <w:behaviors>
          <w:behavior w:val="content"/>
        </w:behaviors>
        <w:guid w:val="{29904DC2-8E94-413A-A7C8-40A41F91A536}"/>
      </w:docPartPr>
      <w:docPartBody>
        <w:p w:rsidR="00033857" w:rsidRDefault="00033857" w:rsidP="00033857">
          <w:pPr>
            <w:pStyle w:val="8825350053014F998DA18FA0A092A98E"/>
          </w:pPr>
          <w:r w:rsidRPr="00AD2E14">
            <w:rPr>
              <w:b/>
              <w:highlight w:val="lightGray"/>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DE6"/>
    <w:rsid w:val="000100EB"/>
    <w:rsid w:val="00032E0D"/>
    <w:rsid w:val="00033857"/>
    <w:rsid w:val="00043637"/>
    <w:rsid w:val="00054CA2"/>
    <w:rsid w:val="000618F8"/>
    <w:rsid w:val="00080C9D"/>
    <w:rsid w:val="000859E8"/>
    <w:rsid w:val="00085B17"/>
    <w:rsid w:val="000D38A9"/>
    <w:rsid w:val="000E4E8E"/>
    <w:rsid w:val="000E6575"/>
    <w:rsid w:val="000F1B36"/>
    <w:rsid w:val="000F3837"/>
    <w:rsid w:val="00115183"/>
    <w:rsid w:val="0012431D"/>
    <w:rsid w:val="00124E2E"/>
    <w:rsid w:val="0014079D"/>
    <w:rsid w:val="00154638"/>
    <w:rsid w:val="00161F57"/>
    <w:rsid w:val="001633AA"/>
    <w:rsid w:val="00165D18"/>
    <w:rsid w:val="00167C3A"/>
    <w:rsid w:val="00167EC3"/>
    <w:rsid w:val="0018031C"/>
    <w:rsid w:val="00192246"/>
    <w:rsid w:val="0019439B"/>
    <w:rsid w:val="00194EF3"/>
    <w:rsid w:val="001B2031"/>
    <w:rsid w:val="001D7183"/>
    <w:rsid w:val="001F11E5"/>
    <w:rsid w:val="001F1255"/>
    <w:rsid w:val="001F7D43"/>
    <w:rsid w:val="002354DA"/>
    <w:rsid w:val="0026797F"/>
    <w:rsid w:val="002D71FB"/>
    <w:rsid w:val="00311817"/>
    <w:rsid w:val="00364DFE"/>
    <w:rsid w:val="00375E93"/>
    <w:rsid w:val="0039262F"/>
    <w:rsid w:val="00397C6C"/>
    <w:rsid w:val="003B552B"/>
    <w:rsid w:val="003B5872"/>
    <w:rsid w:val="003E3AF5"/>
    <w:rsid w:val="003F0236"/>
    <w:rsid w:val="004714BF"/>
    <w:rsid w:val="004B490E"/>
    <w:rsid w:val="004B49B2"/>
    <w:rsid w:val="004C43C9"/>
    <w:rsid w:val="004C4F50"/>
    <w:rsid w:val="004F7FED"/>
    <w:rsid w:val="005058E0"/>
    <w:rsid w:val="00505B34"/>
    <w:rsid w:val="00551111"/>
    <w:rsid w:val="00593816"/>
    <w:rsid w:val="005A3841"/>
    <w:rsid w:val="005C48F7"/>
    <w:rsid w:val="005F1382"/>
    <w:rsid w:val="005F565F"/>
    <w:rsid w:val="00617C77"/>
    <w:rsid w:val="00624D92"/>
    <w:rsid w:val="006D0801"/>
    <w:rsid w:val="007300D0"/>
    <w:rsid w:val="00746365"/>
    <w:rsid w:val="007B5E5F"/>
    <w:rsid w:val="00857E93"/>
    <w:rsid w:val="0086651B"/>
    <w:rsid w:val="00867729"/>
    <w:rsid w:val="008818A2"/>
    <w:rsid w:val="008B5FF8"/>
    <w:rsid w:val="008C4DE6"/>
    <w:rsid w:val="008D1F8F"/>
    <w:rsid w:val="008F0743"/>
    <w:rsid w:val="008F755D"/>
    <w:rsid w:val="00901016"/>
    <w:rsid w:val="009467B3"/>
    <w:rsid w:val="00971428"/>
    <w:rsid w:val="00986780"/>
    <w:rsid w:val="009920EB"/>
    <w:rsid w:val="009B008D"/>
    <w:rsid w:val="00AD6286"/>
    <w:rsid w:val="00AD65A4"/>
    <w:rsid w:val="00AD66A2"/>
    <w:rsid w:val="00AE2431"/>
    <w:rsid w:val="00B378D0"/>
    <w:rsid w:val="00BB4AD0"/>
    <w:rsid w:val="00BC2601"/>
    <w:rsid w:val="00BE5981"/>
    <w:rsid w:val="00C026DF"/>
    <w:rsid w:val="00C1479E"/>
    <w:rsid w:val="00C83234"/>
    <w:rsid w:val="00CA22D2"/>
    <w:rsid w:val="00CC4866"/>
    <w:rsid w:val="00CF5A92"/>
    <w:rsid w:val="00D22A48"/>
    <w:rsid w:val="00D52F1A"/>
    <w:rsid w:val="00D874F7"/>
    <w:rsid w:val="00DD0F14"/>
    <w:rsid w:val="00DE6765"/>
    <w:rsid w:val="00E1398A"/>
    <w:rsid w:val="00E44D97"/>
    <w:rsid w:val="00E57413"/>
    <w:rsid w:val="00E863BA"/>
    <w:rsid w:val="00EA3CAF"/>
    <w:rsid w:val="00EC78EC"/>
    <w:rsid w:val="00EE3D1E"/>
    <w:rsid w:val="00EF73C7"/>
    <w:rsid w:val="00F24476"/>
    <w:rsid w:val="00F42B73"/>
    <w:rsid w:val="00F549DD"/>
    <w:rsid w:val="00F560CA"/>
    <w:rsid w:val="00FB026D"/>
    <w:rsid w:val="00FE06F6"/>
    <w:rsid w:val="00FE4EC4"/>
    <w:rsid w:val="00FF64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D48A55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26D8CCC9534309B9B5E9DB9F905536">
    <w:name w:val="0B26D8CCC9534309B9B5E9DB9F905536"/>
  </w:style>
  <w:style w:type="paragraph" w:customStyle="1" w:styleId="CD34D51FC7ED4B339ADA211D80BD0736">
    <w:name w:val="CD34D51FC7ED4B339ADA211D80BD0736"/>
  </w:style>
  <w:style w:type="character" w:styleId="PlaceholderText">
    <w:name w:val="Placeholder Text"/>
    <w:basedOn w:val="DefaultParagraphFont"/>
    <w:uiPriority w:val="99"/>
    <w:semiHidden/>
    <w:rPr>
      <w:color w:val="808080"/>
    </w:rPr>
  </w:style>
  <w:style w:type="paragraph" w:customStyle="1" w:styleId="F0144DCCD14F4430B410C534DEC49CFC">
    <w:name w:val="F0144DCCD14F4430B410C534DEC49CFC"/>
  </w:style>
  <w:style w:type="paragraph" w:customStyle="1" w:styleId="26784A1D736647D8B114B513D6A59510">
    <w:name w:val="26784A1D736647D8B114B513D6A59510"/>
  </w:style>
  <w:style w:type="paragraph" w:customStyle="1" w:styleId="C3B5F2BDCEE444C89923D06CD3C3F258">
    <w:name w:val="C3B5F2BDCEE444C89923D06CD3C3F258"/>
  </w:style>
  <w:style w:type="paragraph" w:customStyle="1" w:styleId="AED240F9F4284DE780CFD1F88DF04FC6">
    <w:name w:val="AED240F9F4284DE780CFD1F88DF04FC6"/>
  </w:style>
  <w:style w:type="paragraph" w:customStyle="1" w:styleId="487FBD851FCC403582D343AFA8BA353C">
    <w:name w:val="487FBD851FCC403582D343AFA8BA353C"/>
  </w:style>
  <w:style w:type="paragraph" w:customStyle="1" w:styleId="263E7BA8FD8B4D3FB49F8A47DF3F1C90">
    <w:name w:val="263E7BA8FD8B4D3FB49F8A47DF3F1C90"/>
  </w:style>
  <w:style w:type="paragraph" w:customStyle="1" w:styleId="E8FBB1693C42492B8F8EF5D86554E641">
    <w:name w:val="E8FBB1693C42492B8F8EF5D86554E641"/>
  </w:style>
  <w:style w:type="paragraph" w:customStyle="1" w:styleId="58A60AF94E8F418CA9D9039AA656CE76">
    <w:name w:val="58A60AF94E8F418CA9D9039AA656CE76"/>
  </w:style>
  <w:style w:type="paragraph" w:customStyle="1" w:styleId="BB9BE0546DA0479FA14CF498A9260DD0">
    <w:name w:val="BB9BE0546DA0479FA14CF498A9260DD0"/>
  </w:style>
  <w:style w:type="paragraph" w:customStyle="1" w:styleId="50C019EA09DB4D5693A8FA217A393B3D">
    <w:name w:val="50C019EA09DB4D5693A8FA217A393B3D"/>
  </w:style>
  <w:style w:type="paragraph" w:customStyle="1" w:styleId="C2740BB97ACC4420A7385FB7FC7BD869">
    <w:name w:val="C2740BB97ACC4420A7385FB7FC7BD869"/>
    <w:rsid w:val="009920EB"/>
    <w:pPr>
      <w:spacing w:line="278" w:lineRule="auto"/>
    </w:pPr>
    <w:rPr>
      <w:kern w:val="2"/>
      <w:sz w:val="24"/>
      <w:szCs w:val="24"/>
      <w14:ligatures w14:val="standardContextual"/>
    </w:rPr>
  </w:style>
  <w:style w:type="paragraph" w:customStyle="1" w:styleId="7D5A07224B8742088C8D34A96FEE12D0">
    <w:name w:val="7D5A07224B8742088C8D34A96FEE12D0"/>
    <w:rsid w:val="009920EB"/>
    <w:pPr>
      <w:spacing w:line="278" w:lineRule="auto"/>
    </w:pPr>
    <w:rPr>
      <w:kern w:val="2"/>
      <w:sz w:val="24"/>
      <w:szCs w:val="24"/>
      <w14:ligatures w14:val="standardContextual"/>
    </w:rPr>
  </w:style>
  <w:style w:type="paragraph" w:customStyle="1" w:styleId="6592645610964798A3B04609D683371F">
    <w:name w:val="6592645610964798A3B04609D683371F"/>
    <w:rsid w:val="00397C6C"/>
    <w:pPr>
      <w:spacing w:line="278" w:lineRule="auto"/>
    </w:pPr>
    <w:rPr>
      <w:kern w:val="2"/>
      <w:sz w:val="24"/>
      <w:szCs w:val="24"/>
      <w14:ligatures w14:val="standardContextual"/>
    </w:rPr>
  </w:style>
  <w:style w:type="paragraph" w:customStyle="1" w:styleId="7C97602F347B4A2EB1F0FF39FB266326">
    <w:name w:val="7C97602F347B4A2EB1F0FF39FB266326"/>
    <w:pPr>
      <w:spacing w:line="278" w:lineRule="auto"/>
    </w:pPr>
    <w:rPr>
      <w:kern w:val="2"/>
      <w:sz w:val="24"/>
      <w:szCs w:val="24"/>
      <w14:ligatures w14:val="standardContextual"/>
    </w:rPr>
  </w:style>
  <w:style w:type="paragraph" w:customStyle="1" w:styleId="1905839601E74549B0AF2D6CA72239F7">
    <w:name w:val="1905839601E74549B0AF2D6CA72239F7"/>
    <w:pPr>
      <w:spacing w:line="278" w:lineRule="auto"/>
    </w:pPr>
    <w:rPr>
      <w:kern w:val="2"/>
      <w:sz w:val="24"/>
      <w:szCs w:val="24"/>
      <w14:ligatures w14:val="standardContextual"/>
    </w:rPr>
  </w:style>
  <w:style w:type="paragraph" w:customStyle="1" w:styleId="2854908C206B4DA095CD30BCF745C248">
    <w:name w:val="2854908C206B4DA095CD30BCF745C248"/>
    <w:rsid w:val="0012431D"/>
    <w:pPr>
      <w:spacing w:line="278" w:lineRule="auto"/>
    </w:pPr>
    <w:rPr>
      <w:kern w:val="2"/>
      <w:sz w:val="24"/>
      <w:szCs w:val="24"/>
      <w14:ligatures w14:val="standardContextual"/>
    </w:rPr>
  </w:style>
  <w:style w:type="paragraph" w:customStyle="1" w:styleId="8825350053014F998DA18FA0A092A98E">
    <w:name w:val="8825350053014F998DA18FA0A092A98E"/>
    <w:rsid w:val="0003385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C PINK">
      <a:dk1>
        <a:sysClr val="windowText" lastClr="000000"/>
      </a:dk1>
      <a:lt1>
        <a:sysClr val="window" lastClr="FFFFFF"/>
      </a:lt1>
      <a:dk2>
        <a:srgbClr val="4986A0"/>
      </a:dk2>
      <a:lt2>
        <a:srgbClr val="75787B"/>
      </a:lt2>
      <a:accent1>
        <a:srgbClr val="236192"/>
      </a:accent1>
      <a:accent2>
        <a:srgbClr val="CE0058"/>
      </a:accent2>
      <a:accent3>
        <a:srgbClr val="4986A0"/>
      </a:accent3>
      <a:accent4>
        <a:srgbClr val="ED8B00"/>
      </a:accent4>
      <a:accent5>
        <a:srgbClr val="183028"/>
      </a:accent5>
      <a:accent6>
        <a:srgbClr val="D50032"/>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97EA1-FDE9-4134-A2A2-2566CF181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36</Pages>
  <Words>8029</Words>
  <Characters>45769</Characters>
  <Application>Microsoft Office Word</Application>
  <DocSecurity>0</DocSecurity>
  <Lines>381</Lines>
  <Paragraphs>107</Paragraphs>
  <ScaleCrop>false</ScaleCrop>
  <Company/>
  <LinksUpToDate>false</LinksUpToDate>
  <CharactersWithSpaces>53691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Lighting Code Review: Final Decision</dc:title>
  <dc:subject/>
  <dc:creator>Steve Oh (ESC)</dc:creator>
  <cp:keywords/>
  <dc:description/>
  <cp:lastModifiedBy>Steve Oh (ESC)</cp:lastModifiedBy>
  <cp:revision>675</cp:revision>
  <cp:lastPrinted>2025-11-25T23:28:00Z</cp:lastPrinted>
  <dcterms:created xsi:type="dcterms:W3CDTF">2025-11-05T22:39:00Z</dcterms:created>
  <dcterms:modified xsi:type="dcterms:W3CDTF">2025-11-25T23:28:00Z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66a43ab8,115dbab8,103c9c3f,6ae6fd04,5e789601,35d17856,7c90a280,578631cc,7035ccfe,490a26b8,5035ba5e,c23bbf0,1b347eba,2ec69201,3913523f,37b72814,65684bfa,334eae7b,6563772f,57150e27,19541d3c,707be72e,4c1f1f82</vt:lpwstr>
  </property>
  <property fmtid="{D5CDD505-2E9C-101B-9397-08002B2CF9AE}" pid="3" name="ClassificationContentMarkingHeaderShapeIds-1">
    <vt:lpwstr>29782d08,4f59a583,71cc6ccb,7f70d68e,67d7980f,12684165,5adb6eb8,204ecca1,d4626f2,620e1f5b</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MSIP_Label_c62a3d98-e4c9-4917-991a-0f0276b71296_Enabled">
    <vt:lpwstr>true</vt:lpwstr>
  </property>
  <property fmtid="{D5CDD505-2E9C-101B-9397-08002B2CF9AE}" pid="7" name="MSIP_Label_c62a3d98-e4c9-4917-991a-0f0276b71296_SetDate">
    <vt:lpwstr>2025-06-11T02:26:26Z</vt:lpwstr>
  </property>
  <property fmtid="{D5CDD505-2E9C-101B-9397-08002B2CF9AE}" pid="8" name="MSIP_Label_c62a3d98-e4c9-4917-991a-0f0276b71296_Method">
    <vt:lpwstr>Standard</vt:lpwstr>
  </property>
  <property fmtid="{D5CDD505-2E9C-101B-9397-08002B2CF9AE}" pid="9" name="MSIP_Label_c62a3d98-e4c9-4917-991a-0f0276b71296_Name">
    <vt:lpwstr>OFFICIAL</vt:lpwstr>
  </property>
  <property fmtid="{D5CDD505-2E9C-101B-9397-08002B2CF9AE}" pid="10" name="MSIP_Label_c62a3d98-e4c9-4917-991a-0f0276b71296_SiteId">
    <vt:lpwstr>5f894de5-5651-487a-aaff-5a8c899b254d</vt:lpwstr>
  </property>
  <property fmtid="{D5CDD505-2E9C-101B-9397-08002B2CF9AE}" pid="11" name="MSIP_Label_c62a3d98-e4c9-4917-991a-0f0276b71296_ActionId">
    <vt:lpwstr>3bf438d3-a9ac-4334-96ae-f39b404d58b8</vt:lpwstr>
  </property>
  <property fmtid="{D5CDD505-2E9C-101B-9397-08002B2CF9AE}" pid="12" name="MSIP_Label_c62a3d98-e4c9-4917-991a-0f0276b71296_ContentBits">
    <vt:lpwstr>1</vt:lpwstr>
  </property>
  <property fmtid="{D5CDD505-2E9C-101B-9397-08002B2CF9AE}" pid="13" name="MSIP_Label_c62a3d98-e4c9-4917-991a-0f0276b71296_Tag">
    <vt:lpwstr>10, 3, 0, 1</vt:lpwstr>
  </property>
</Properties>
</file>