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4621" w14:textId="70AA94E6" w:rsidR="00310DDF" w:rsidRDefault="00310DDF" w:rsidP="00310DDF">
      <w:pPr>
        <w:pStyle w:val="Heading1"/>
      </w:pPr>
      <w:r>
        <w:rPr>
          <w:noProof/>
          <w:lang w:eastAsia="en-AU"/>
        </w:rPr>
        <w:drawing>
          <wp:anchor distT="0" distB="180340" distL="114300" distR="114300" simplePos="0" relativeHeight="251663360" behindDoc="0" locked="0" layoutInCell="1" allowOverlap="1" wp14:anchorId="3AE35BA5" wp14:editId="71774F9B">
            <wp:simplePos x="0" y="0"/>
            <wp:positionH relativeFrom="column">
              <wp:posOffset>-40253</wp:posOffset>
            </wp:positionH>
            <wp:positionV relativeFrom="paragraph">
              <wp:posOffset>-391795</wp:posOffset>
            </wp:positionV>
            <wp:extent cx="2653030" cy="824230"/>
            <wp:effectExtent l="0" t="0" r="0" b="0"/>
            <wp:wrapTopAndBottom/>
            <wp:docPr id="1076915021" name="Picture 1076915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030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15D6">
        <w:t>Public engagement summary: Revoking the Electricity System Code</w:t>
      </w:r>
    </w:p>
    <w:p w14:paraId="753E93D7" w14:textId="4D2628FD" w:rsidR="009F15D6" w:rsidRDefault="009F15D6" w:rsidP="009F15D6">
      <w:pPr>
        <w:pStyle w:val="Heading2"/>
      </w:pPr>
      <w:r>
        <w:t>Project background</w:t>
      </w:r>
    </w:p>
    <w:p w14:paraId="28BAE5DB" w14:textId="7654C53F" w:rsidR="00915954" w:rsidRDefault="00B55C0F" w:rsidP="00915954">
      <w:r>
        <w:t>We aim</w:t>
      </w:r>
      <w:r w:rsidR="001918A1">
        <w:t xml:space="preserve"> to</w:t>
      </w:r>
      <w:r w:rsidR="009F15D6">
        <w:t xml:space="preserve"> </w:t>
      </w:r>
      <w:r w:rsidR="001918A1">
        <w:t>improve regulation and reform</w:t>
      </w:r>
      <w:r w:rsidR="003C143B">
        <w:t xml:space="preserve"> </w:t>
      </w:r>
      <w:r w:rsidR="001918A1">
        <w:t xml:space="preserve">codes </w:t>
      </w:r>
      <w:r w:rsidR="009F15D6">
        <w:t xml:space="preserve">to respond effectively to a changing environment. </w:t>
      </w:r>
      <w:r w:rsidR="00915954">
        <w:t>We review energy codes to ensure that the</w:t>
      </w:r>
      <w:r w:rsidR="003C143B">
        <w:t>y</w:t>
      </w:r>
      <w:r w:rsidR="00915954">
        <w:t xml:space="preserve"> remain up to date and </w:t>
      </w:r>
      <w:r w:rsidR="00AD72CC">
        <w:t>are aligned with our</w:t>
      </w:r>
      <w:r w:rsidR="00915954">
        <w:t xml:space="preserve"> enforcement </w:t>
      </w:r>
      <w:r w:rsidR="00AD72CC">
        <w:t>framework</w:t>
      </w:r>
      <w:r w:rsidR="00915954">
        <w:t xml:space="preserve">. </w:t>
      </w:r>
      <w:r w:rsidR="003A7478">
        <w:t>We</w:t>
      </w:r>
      <w:r w:rsidR="00DB6309">
        <w:t xml:space="preserve"> also</w:t>
      </w:r>
      <w:r w:rsidR="00915954">
        <w:t xml:space="preserve"> remov</w:t>
      </w:r>
      <w:r w:rsidR="003A7478">
        <w:t>e</w:t>
      </w:r>
      <w:r w:rsidR="00915954">
        <w:t xml:space="preserve"> instruments which are outdated.</w:t>
      </w:r>
    </w:p>
    <w:p w14:paraId="2510D355" w14:textId="3EDE325E" w:rsidR="00915954" w:rsidRDefault="00915954" w:rsidP="00915954">
      <w:r>
        <w:t>In this review we conclude</w:t>
      </w:r>
      <w:r w:rsidR="003239B5">
        <w:t>d</w:t>
      </w:r>
      <w:r>
        <w:t xml:space="preserve"> that the Electricity System Code is no longer a relevant instrument and should not be subject to our enforcement powers. Given the overlap between the subject matters regulated by the code and the National Electricity Rules</w:t>
      </w:r>
      <w:r w:rsidR="004C74D5">
        <w:t xml:space="preserve"> and the National Electricity Law</w:t>
      </w:r>
      <w:r>
        <w:t>, we consider that revoking the code will clarify the regulatory framework for the Victorian energy industry.</w:t>
      </w:r>
    </w:p>
    <w:p w14:paraId="57074CEA" w14:textId="4F60367E" w:rsidR="00915954" w:rsidRDefault="00915954" w:rsidP="00915954">
      <w:pPr>
        <w:pStyle w:val="Heading2"/>
      </w:pPr>
      <w:r>
        <w:t>How we engaged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5"/>
        <w:gridCol w:w="7883"/>
      </w:tblGrid>
      <w:tr w:rsidR="00915954" w14:paraId="2E9E2E58" w14:textId="77777777" w:rsidTr="001B2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06"/>
        </w:trPr>
        <w:tc>
          <w:tcPr>
            <w:tcW w:w="1786" w:type="dxa"/>
          </w:tcPr>
          <w:p w14:paraId="0303DBBE" w14:textId="77777777" w:rsidR="00915954" w:rsidRDefault="00915954" w:rsidP="00915954"/>
        </w:tc>
        <w:tc>
          <w:tcPr>
            <w:tcW w:w="7994" w:type="dxa"/>
          </w:tcPr>
          <w:p w14:paraId="4611A971" w14:textId="77777777" w:rsidR="00915954" w:rsidRDefault="00915954" w:rsidP="00915954"/>
        </w:tc>
      </w:tr>
      <w:tr w:rsidR="00915954" w14:paraId="28451EB5" w14:textId="77777777" w:rsidTr="00915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6" w:type="dxa"/>
          </w:tcPr>
          <w:p w14:paraId="0564ABBB" w14:textId="79671059" w:rsidR="00915954" w:rsidRDefault="00821666" w:rsidP="00915954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1EB2AA9" wp14:editId="53461EAA">
                  <wp:simplePos x="0" y="0"/>
                  <wp:positionH relativeFrom="column">
                    <wp:posOffset>158626</wp:posOffset>
                  </wp:positionH>
                  <wp:positionV relativeFrom="paragraph">
                    <wp:posOffset>-92850</wp:posOffset>
                  </wp:positionV>
                  <wp:extent cx="807522" cy="807522"/>
                  <wp:effectExtent l="0" t="0" r="0" b="0"/>
                  <wp:wrapNone/>
                  <wp:docPr id="357176936" name="Graphic 1" descr="Monthly calenda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176936" name="Graphic 357176936" descr="Monthly calendar outlin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522" cy="807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4" w:type="dxa"/>
          </w:tcPr>
          <w:p w14:paraId="12E78350" w14:textId="16D30F57" w:rsidR="00915954" w:rsidRDefault="00915954" w:rsidP="00915954">
            <w:pPr>
              <w:pStyle w:val="TableBold"/>
            </w:pPr>
            <w:r>
              <w:t>Key dates</w:t>
            </w:r>
          </w:p>
          <w:p w14:paraId="206B0BA4" w14:textId="1C654061" w:rsidR="00915954" w:rsidRDefault="00305A3C" w:rsidP="00915954">
            <w:pPr>
              <w:pStyle w:val="TableBullet"/>
            </w:pPr>
            <w:r>
              <w:t xml:space="preserve">28 </w:t>
            </w:r>
            <w:r w:rsidR="00915954">
              <w:t>September 2023</w:t>
            </w:r>
            <w:r w:rsidR="00310DDF">
              <w:t>: Draft Decision to revoke the Electricity System Code</w:t>
            </w:r>
            <w:r w:rsidR="00C83784">
              <w:t xml:space="preserve"> released.</w:t>
            </w:r>
          </w:p>
          <w:p w14:paraId="7ADDD872" w14:textId="2E208F70" w:rsidR="00915954" w:rsidRDefault="00305A3C" w:rsidP="00915954">
            <w:pPr>
              <w:pStyle w:val="TableBullet"/>
            </w:pPr>
            <w:r>
              <w:t xml:space="preserve">28 September – 9 November: </w:t>
            </w:r>
            <w:r w:rsidR="003A587F">
              <w:t>Received s</w:t>
            </w:r>
            <w:r>
              <w:t>ubmissions to the Draft Decision.</w:t>
            </w:r>
          </w:p>
          <w:p w14:paraId="26A5AC87" w14:textId="7FBEC388" w:rsidR="00305A3C" w:rsidRDefault="00305A3C" w:rsidP="00915954">
            <w:pPr>
              <w:pStyle w:val="TableBullet"/>
            </w:pPr>
            <w:r>
              <w:t xml:space="preserve">2 April 2024: Final Decision to revoke the </w:t>
            </w:r>
            <w:r w:rsidR="00C83784">
              <w:t>E</w:t>
            </w:r>
            <w:r>
              <w:t xml:space="preserve">lectricity </w:t>
            </w:r>
            <w:r w:rsidR="00C83784">
              <w:t>S</w:t>
            </w:r>
            <w:r>
              <w:t xml:space="preserve">ystem </w:t>
            </w:r>
            <w:r w:rsidR="00C83784">
              <w:t>C</w:t>
            </w:r>
            <w:r>
              <w:t>ode released.</w:t>
            </w:r>
          </w:p>
          <w:p w14:paraId="1C6322F3" w14:textId="356D80E4" w:rsidR="00305A3C" w:rsidRDefault="00305A3C" w:rsidP="00915954">
            <w:pPr>
              <w:pStyle w:val="TableBullet"/>
            </w:pPr>
            <w:r>
              <w:t xml:space="preserve">31 May 2024: Electricity System Code </w:t>
            </w:r>
            <w:r w:rsidR="00EC43E2">
              <w:t xml:space="preserve">revocation </w:t>
            </w:r>
            <w:r>
              <w:t>takes effect.</w:t>
            </w:r>
          </w:p>
          <w:p w14:paraId="311B5C1E" w14:textId="2D1FE937" w:rsidR="00305A3C" w:rsidRDefault="00305A3C" w:rsidP="00915954">
            <w:pPr>
              <w:pStyle w:val="TableBullet"/>
            </w:pPr>
            <w:r>
              <w:t xml:space="preserve">31 May 2024: </w:t>
            </w:r>
            <w:r w:rsidR="00EC43E2">
              <w:t xml:space="preserve">Variations to </w:t>
            </w:r>
            <w:r>
              <w:t>electricity transmission licences take effect.</w:t>
            </w:r>
          </w:p>
          <w:p w14:paraId="021CDC89" w14:textId="5A71755B" w:rsidR="00915954" w:rsidRDefault="00915954" w:rsidP="00915954"/>
        </w:tc>
      </w:tr>
      <w:tr w:rsidR="00915954" w14:paraId="7E93F929" w14:textId="77777777" w:rsidTr="009159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86" w:type="dxa"/>
          </w:tcPr>
          <w:p w14:paraId="7EB7BC4D" w14:textId="77777777" w:rsidR="00915954" w:rsidRDefault="00821666" w:rsidP="00915954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D92F59" wp14:editId="3F3A4407">
                  <wp:simplePos x="0" y="0"/>
                  <wp:positionH relativeFrom="column">
                    <wp:posOffset>158313</wp:posOffset>
                  </wp:positionH>
                  <wp:positionV relativeFrom="paragraph">
                    <wp:posOffset>22225</wp:posOffset>
                  </wp:positionV>
                  <wp:extent cx="629393" cy="629393"/>
                  <wp:effectExtent l="0" t="0" r="0" b="0"/>
                  <wp:wrapNone/>
                  <wp:docPr id="79615913" name="Graphic 2" descr="Lightbulb and gear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615913" name="Graphic 79615913" descr="Lightbulb and gear outline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393" cy="629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94" w:type="dxa"/>
          </w:tcPr>
          <w:p w14:paraId="649D6E8D" w14:textId="77777777" w:rsidR="00915954" w:rsidRDefault="00305A3C" w:rsidP="00305A3C">
            <w:pPr>
              <w:pStyle w:val="TableBold"/>
            </w:pPr>
            <w:r>
              <w:t>Methodology</w:t>
            </w:r>
          </w:p>
          <w:p w14:paraId="35BC7508" w14:textId="77777777" w:rsidR="00305A3C" w:rsidRDefault="00305A3C" w:rsidP="00305A3C">
            <w:pPr>
              <w:pStyle w:val="TableBody"/>
            </w:pPr>
          </w:p>
          <w:p w14:paraId="64A73110" w14:textId="645BB81A" w:rsidR="00305A3C" w:rsidRDefault="00305A3C" w:rsidP="00305A3C">
            <w:pPr>
              <w:pStyle w:val="TableBody"/>
            </w:pPr>
            <w:r>
              <w:t xml:space="preserve">We </w:t>
            </w:r>
            <w:r w:rsidR="00EC43E2">
              <w:t>provided</w:t>
            </w:r>
            <w:r>
              <w:t xml:space="preserve"> several opportunities</w:t>
            </w:r>
            <w:r w:rsidR="00112BEE">
              <w:t xml:space="preserve"> for</w:t>
            </w:r>
            <w:r w:rsidR="00EC43E2">
              <w:t xml:space="preserve"> stakeholders </w:t>
            </w:r>
            <w:r>
              <w:t xml:space="preserve">to engage with this </w:t>
            </w:r>
            <w:r w:rsidR="00CD7E4A">
              <w:t>project</w:t>
            </w:r>
            <w:r>
              <w:t xml:space="preserve">. </w:t>
            </w:r>
          </w:p>
          <w:p w14:paraId="3B0B96DB" w14:textId="77777777" w:rsidR="00305A3C" w:rsidRDefault="00305A3C" w:rsidP="00305A3C">
            <w:pPr>
              <w:pStyle w:val="TableBody"/>
            </w:pPr>
          </w:p>
          <w:p w14:paraId="2120BF10" w14:textId="1C0A4A32" w:rsidR="00305A3C" w:rsidRDefault="00305A3C" w:rsidP="00305A3C">
            <w:pPr>
              <w:pStyle w:val="TableBold"/>
            </w:pPr>
            <w:r>
              <w:t>Initial engagement</w:t>
            </w:r>
          </w:p>
          <w:p w14:paraId="44C79D1E" w14:textId="77777777" w:rsidR="00CD7E4A" w:rsidRDefault="00CD7E4A" w:rsidP="00305A3C">
            <w:pPr>
              <w:pStyle w:val="TableBold"/>
            </w:pPr>
          </w:p>
          <w:p w14:paraId="24800B0F" w14:textId="0AACAB36" w:rsidR="00305A3C" w:rsidRDefault="00305A3C" w:rsidP="00305A3C">
            <w:pPr>
              <w:pStyle w:val="TableBody"/>
            </w:pPr>
            <w:r>
              <w:lastRenderedPageBreak/>
              <w:t>Prior to releasing our draft decision, we engaged with</w:t>
            </w:r>
            <w:r w:rsidRPr="00305A3C">
              <w:t xml:space="preserve"> Victorian electricity distributors</w:t>
            </w:r>
            <w:r>
              <w:t xml:space="preserve">, </w:t>
            </w:r>
            <w:r w:rsidRPr="00305A3C">
              <w:t xml:space="preserve">Victorian transmission </w:t>
            </w:r>
            <w:r>
              <w:t xml:space="preserve">operators and the Australian Energy Market Operator </w:t>
            </w:r>
            <w:r w:rsidRPr="00305A3C">
              <w:t>on the potential revocation of the Electricity System Code.</w:t>
            </w:r>
            <w:r>
              <w:t xml:space="preserve"> We incorporated their </w:t>
            </w:r>
            <w:r w:rsidR="00EB0F54">
              <w:t xml:space="preserve">preliminary </w:t>
            </w:r>
            <w:r>
              <w:t>feedback into our draft decision.</w:t>
            </w:r>
          </w:p>
          <w:p w14:paraId="1181B11D" w14:textId="77777777" w:rsidR="00305A3C" w:rsidRDefault="00305A3C" w:rsidP="00305A3C">
            <w:pPr>
              <w:pStyle w:val="TableBody"/>
            </w:pPr>
          </w:p>
          <w:p w14:paraId="0FDB2A1A" w14:textId="77777777" w:rsidR="00305A3C" w:rsidRDefault="00305A3C" w:rsidP="00305A3C">
            <w:pPr>
              <w:pStyle w:val="TableBold"/>
            </w:pPr>
            <w:r>
              <w:t>Draft decision</w:t>
            </w:r>
          </w:p>
          <w:p w14:paraId="7FE5A9FF" w14:textId="77777777" w:rsidR="00305A3C" w:rsidRDefault="00305A3C" w:rsidP="00305A3C">
            <w:pPr>
              <w:pStyle w:val="TableBold"/>
            </w:pPr>
          </w:p>
          <w:p w14:paraId="4937016E" w14:textId="31D45E1E" w:rsidR="00305A3C" w:rsidRDefault="00305A3C" w:rsidP="00305A3C">
            <w:pPr>
              <w:pStyle w:val="TableBody"/>
            </w:pPr>
            <w:r>
              <w:t xml:space="preserve">We sought public submissions via Engage Victoria </w:t>
            </w:r>
            <w:r w:rsidR="00EB0F54">
              <w:t>and via email</w:t>
            </w:r>
            <w:r w:rsidR="00A3593E">
              <w:t>.</w:t>
            </w:r>
            <w:r w:rsidR="00C44B43">
              <w:t xml:space="preserve"> </w:t>
            </w:r>
          </w:p>
          <w:p w14:paraId="24308D3C" w14:textId="77777777" w:rsidR="00305A3C" w:rsidRDefault="00305A3C" w:rsidP="00305A3C">
            <w:pPr>
              <w:pStyle w:val="TableBody"/>
            </w:pPr>
          </w:p>
          <w:p w14:paraId="58D0D647" w14:textId="00E42F4B" w:rsidR="00A3593E" w:rsidRDefault="00305A3C" w:rsidP="00A3593E">
            <w:pPr>
              <w:pStyle w:val="TableBody"/>
            </w:pPr>
            <w:r>
              <w:t xml:space="preserve">Stakeholders were invited to provide feedback on the draft </w:t>
            </w:r>
            <w:r w:rsidR="002E1686">
              <w:t>decision</w:t>
            </w:r>
            <w:r w:rsidR="00C44B43">
              <w:t xml:space="preserve"> </w:t>
            </w:r>
            <w:r>
              <w:t xml:space="preserve">using a method most suitable to their needs. </w:t>
            </w:r>
            <w:r w:rsidR="00C44B43">
              <w:t xml:space="preserve">Stakeholders had the option to </w:t>
            </w:r>
            <w:r>
              <w:t xml:space="preserve">make submissions through an online survey or by making general comments over email, </w:t>
            </w:r>
            <w:proofErr w:type="gramStart"/>
            <w:r w:rsidR="008C0829">
              <w:t>mail</w:t>
            </w:r>
            <w:proofErr w:type="gramEnd"/>
            <w:r w:rsidR="008C0829">
              <w:t xml:space="preserve"> </w:t>
            </w:r>
            <w:r>
              <w:t xml:space="preserve">or phone. </w:t>
            </w:r>
            <w:r w:rsidR="00A3593E">
              <w:t>We also welcomed individual discussions with</w:t>
            </w:r>
            <w:r w:rsidR="002E1686">
              <w:t xml:space="preserve"> </w:t>
            </w:r>
            <w:r w:rsidR="00A3593E">
              <w:t>stakeholders.</w:t>
            </w:r>
          </w:p>
          <w:p w14:paraId="288D4415" w14:textId="77777777" w:rsidR="00305A3C" w:rsidRDefault="00305A3C" w:rsidP="00305A3C">
            <w:pPr>
              <w:pStyle w:val="TableBody"/>
            </w:pPr>
          </w:p>
          <w:p w14:paraId="1188F576" w14:textId="1E545ED6" w:rsidR="00305A3C" w:rsidRDefault="00305A3C" w:rsidP="00305A3C">
            <w:pPr>
              <w:pStyle w:val="TableBody"/>
            </w:pPr>
            <w:r>
              <w:t>Stakeholders were notified about this opportunity through emails</w:t>
            </w:r>
            <w:r w:rsidR="005A5966">
              <w:t xml:space="preserve"> and th</w:t>
            </w:r>
            <w:r>
              <w:t xml:space="preserve">e </w:t>
            </w:r>
          </w:p>
          <w:p w14:paraId="69BFCFCE" w14:textId="6387C5DC" w:rsidR="00305A3C" w:rsidRDefault="00305A3C" w:rsidP="00305A3C">
            <w:pPr>
              <w:pStyle w:val="TableBody"/>
            </w:pPr>
            <w:r>
              <w:t>commission’s webpage</w:t>
            </w:r>
            <w:r w:rsidR="005A5966">
              <w:t>.</w:t>
            </w:r>
          </w:p>
        </w:tc>
      </w:tr>
      <w:tr w:rsidR="00915954" w14:paraId="0C752239" w14:textId="77777777" w:rsidTr="009159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786" w:type="dxa"/>
          </w:tcPr>
          <w:p w14:paraId="0DCA863F" w14:textId="50070CF5" w:rsidR="00915954" w:rsidRDefault="0020638D" w:rsidP="00915954"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3988E6C6" wp14:editId="50921686">
                  <wp:simplePos x="0" y="0"/>
                  <wp:positionH relativeFrom="column">
                    <wp:posOffset>98812</wp:posOffset>
                  </wp:positionH>
                  <wp:positionV relativeFrom="paragraph">
                    <wp:posOffset>102870</wp:posOffset>
                  </wp:positionV>
                  <wp:extent cx="712520" cy="712520"/>
                  <wp:effectExtent l="0" t="0" r="0" b="0"/>
                  <wp:wrapNone/>
                  <wp:docPr id="670593790" name="Graphic 4" descr="User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0593790" name="Graphic 670593790" descr="Users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520" cy="7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94" w:type="dxa"/>
          </w:tcPr>
          <w:p w14:paraId="4BE4D403" w14:textId="1CE3E0A6" w:rsidR="00CA6034" w:rsidRDefault="00CA6034" w:rsidP="00CA6034">
            <w:pPr>
              <w:pStyle w:val="TableBold"/>
            </w:pPr>
            <w:r>
              <w:t>Number of participants</w:t>
            </w:r>
          </w:p>
          <w:p w14:paraId="73BF9CD2" w14:textId="77777777" w:rsidR="00CA6034" w:rsidRDefault="00CA6034" w:rsidP="00CA6034">
            <w:pPr>
              <w:pStyle w:val="TableBullet"/>
            </w:pPr>
            <w:r>
              <w:t xml:space="preserve">2,008 </w:t>
            </w:r>
            <w:r w:rsidR="00E86AE1">
              <w:t xml:space="preserve">Engage Victoria </w:t>
            </w:r>
            <w:r w:rsidR="00302D52">
              <w:t xml:space="preserve">page </w:t>
            </w:r>
            <w:r>
              <w:t xml:space="preserve">views </w:t>
            </w:r>
            <w:r w:rsidR="00302D52">
              <w:t xml:space="preserve">on </w:t>
            </w:r>
            <w:r w:rsidR="00E31823">
              <w:t>o</w:t>
            </w:r>
            <w:r w:rsidR="00302D52">
              <w:t>f our draft decision to revoke the electricity system code</w:t>
            </w:r>
            <w:r w:rsidR="00E86AE1">
              <w:t>.</w:t>
            </w:r>
          </w:p>
          <w:p w14:paraId="2D8CC52D" w14:textId="09CF9E46" w:rsidR="00274D9C" w:rsidRDefault="00195A9B" w:rsidP="00C034A5">
            <w:pPr>
              <w:pStyle w:val="TableBullet"/>
            </w:pPr>
            <w:r>
              <w:t>298 Unique visitors</w:t>
            </w:r>
            <w:r w:rsidR="007253E1">
              <w:t xml:space="preserve"> to the Engage Victoria page</w:t>
            </w:r>
            <w:r w:rsidR="00F16D44">
              <w:t xml:space="preserve"> </w:t>
            </w:r>
            <w:r w:rsidR="002E1686">
              <w:t>on</w:t>
            </w:r>
            <w:r w:rsidR="00F16D44">
              <w:t xml:space="preserve"> our draft decision to revoke the electricity system code.</w:t>
            </w:r>
          </w:p>
        </w:tc>
      </w:tr>
      <w:tr w:rsidR="00915954" w14:paraId="1C7B66AF" w14:textId="77777777" w:rsidTr="009159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786" w:type="dxa"/>
          </w:tcPr>
          <w:p w14:paraId="0E1585CE" w14:textId="77777777" w:rsidR="00915954" w:rsidRDefault="0020638D" w:rsidP="00915954">
            <w:r>
              <w:rPr>
                <w:noProof/>
              </w:rPr>
              <w:drawing>
                <wp:anchor distT="0" distB="0" distL="114300" distR="114300" simplePos="0" relativeHeight="251657215" behindDoc="0" locked="0" layoutInCell="1" allowOverlap="1" wp14:anchorId="1982AD8E" wp14:editId="5D444E98">
                  <wp:simplePos x="0" y="0"/>
                  <wp:positionH relativeFrom="column">
                    <wp:posOffset>194063</wp:posOffset>
                  </wp:positionH>
                  <wp:positionV relativeFrom="paragraph">
                    <wp:posOffset>36187</wp:posOffset>
                  </wp:positionV>
                  <wp:extent cx="712470" cy="712470"/>
                  <wp:effectExtent l="0" t="0" r="0" b="0"/>
                  <wp:wrapNone/>
                  <wp:docPr id="246517442" name="Graphic 5" descr="Documen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17442" name="Graphic 246517442" descr="Document outline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1DF25C" w14:textId="77777777" w:rsidR="0020638D" w:rsidRDefault="0020638D" w:rsidP="0020638D"/>
          <w:p w14:paraId="04AE9424" w14:textId="77777777" w:rsidR="0020638D" w:rsidRPr="0020638D" w:rsidRDefault="0020638D" w:rsidP="0020638D">
            <w:pPr>
              <w:jc w:val="center"/>
            </w:pPr>
          </w:p>
        </w:tc>
        <w:tc>
          <w:tcPr>
            <w:tcW w:w="7994" w:type="dxa"/>
          </w:tcPr>
          <w:p w14:paraId="20BA3A54" w14:textId="0430E23B" w:rsidR="00915954" w:rsidRDefault="00C034A5" w:rsidP="00C034A5">
            <w:pPr>
              <w:pStyle w:val="TableBold"/>
            </w:pPr>
            <w:r>
              <w:t>Number of submissions received</w:t>
            </w:r>
            <w:r w:rsidR="00CA2F15">
              <w:t xml:space="preserve"> (written/verbal)</w:t>
            </w:r>
          </w:p>
          <w:p w14:paraId="40220467" w14:textId="77777777" w:rsidR="00735B3F" w:rsidRDefault="00CA2F15" w:rsidP="00735B3F">
            <w:pPr>
              <w:pStyle w:val="TableBullet"/>
            </w:pPr>
            <w:r>
              <w:t xml:space="preserve">6 written submissions to our </w:t>
            </w:r>
            <w:r w:rsidR="00735B3F">
              <w:t xml:space="preserve">draft decision from: </w:t>
            </w:r>
          </w:p>
          <w:p w14:paraId="20577ECD" w14:textId="71728981" w:rsidR="00BD5819" w:rsidRDefault="00BD5819" w:rsidP="00735B3F">
            <w:pPr>
              <w:pStyle w:val="TableBullet2"/>
            </w:pPr>
            <w:r>
              <w:t>The Australia</w:t>
            </w:r>
            <w:r w:rsidR="001B2BC8">
              <w:t xml:space="preserve">n </w:t>
            </w:r>
            <w:r>
              <w:t>Energy Market Operator</w:t>
            </w:r>
          </w:p>
          <w:p w14:paraId="6D1748BF" w14:textId="7EB27C4C" w:rsidR="00735B3F" w:rsidRDefault="003151BF" w:rsidP="00735B3F">
            <w:pPr>
              <w:pStyle w:val="TableBullet2"/>
            </w:pPr>
            <w:r>
              <w:t>AusNet Transmission Group</w:t>
            </w:r>
            <w:r w:rsidR="00D03047">
              <w:t xml:space="preserve"> Pty Ltd</w:t>
            </w:r>
          </w:p>
          <w:p w14:paraId="7FBF1529" w14:textId="77777777" w:rsidR="00D03047" w:rsidRDefault="005247A2" w:rsidP="00735B3F">
            <w:pPr>
              <w:pStyle w:val="TableBullet2"/>
            </w:pPr>
            <w:r>
              <w:t xml:space="preserve">APA Group (parent company of </w:t>
            </w:r>
            <w:proofErr w:type="spellStart"/>
            <w:r>
              <w:t>Basslink</w:t>
            </w:r>
            <w:proofErr w:type="spellEnd"/>
            <w:r>
              <w:t xml:space="preserve"> Pty Ltd)</w:t>
            </w:r>
          </w:p>
          <w:p w14:paraId="3857F77A" w14:textId="77777777" w:rsidR="005247A2" w:rsidRDefault="00873044" w:rsidP="00735B3F">
            <w:pPr>
              <w:pStyle w:val="TableBullet2"/>
            </w:pPr>
            <w:r>
              <w:t>Master Electricians Australia</w:t>
            </w:r>
          </w:p>
          <w:p w14:paraId="1F82CF5C" w14:textId="77777777" w:rsidR="00873044" w:rsidRDefault="00873044" w:rsidP="00735B3F">
            <w:pPr>
              <w:pStyle w:val="TableBullet2"/>
            </w:pPr>
            <w:r>
              <w:t xml:space="preserve">Energy and Water Ombudsman Victoria </w:t>
            </w:r>
          </w:p>
          <w:p w14:paraId="3875DBBB" w14:textId="60A559F1" w:rsidR="00CF0CE2" w:rsidRDefault="00CF0CE2" w:rsidP="00735B3F">
            <w:pPr>
              <w:pStyle w:val="TableBullet2"/>
            </w:pPr>
            <w:r>
              <w:t>Jemena Electricity Networks (Vic) Ltd</w:t>
            </w:r>
          </w:p>
        </w:tc>
      </w:tr>
    </w:tbl>
    <w:p w14:paraId="511A7F18" w14:textId="77777777" w:rsidR="00915954" w:rsidRPr="00915954" w:rsidRDefault="00915954" w:rsidP="00915954"/>
    <w:p w14:paraId="648E88C6" w14:textId="12D209D3" w:rsidR="009F15D6" w:rsidRPr="009F15D6" w:rsidRDefault="009F15D6" w:rsidP="009F15D6"/>
    <w:sectPr w:rsidR="009F15D6" w:rsidRPr="009F15D6" w:rsidSect="008367EE">
      <w:headerReference w:type="even" r:id="rId17"/>
      <w:headerReference w:type="default" r:id="rId18"/>
      <w:footerReference w:type="default" r:id="rId19"/>
      <w:headerReference w:type="first" r:id="rId20"/>
      <w:pgSz w:w="11906" w:h="16838" w:code="9"/>
      <w:pgMar w:top="1134" w:right="1134" w:bottom="1134" w:left="1134" w:header="709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0B0B4" w14:textId="77777777" w:rsidR="008367EE" w:rsidRDefault="008367EE" w:rsidP="00AE03FA">
      <w:pPr>
        <w:spacing w:after="0"/>
      </w:pPr>
      <w:r>
        <w:separator/>
      </w:r>
    </w:p>
    <w:p w14:paraId="65D7C075" w14:textId="77777777" w:rsidR="008367EE" w:rsidRDefault="008367EE"/>
  </w:endnote>
  <w:endnote w:type="continuationSeparator" w:id="0">
    <w:p w14:paraId="7737173E" w14:textId="77777777" w:rsidR="008367EE" w:rsidRDefault="008367EE" w:rsidP="00AE03FA">
      <w:pPr>
        <w:spacing w:after="0"/>
      </w:pPr>
      <w:r>
        <w:continuationSeparator/>
      </w:r>
    </w:p>
    <w:p w14:paraId="17838C41" w14:textId="77777777" w:rsidR="008367EE" w:rsidRDefault="00836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9AEB" w14:textId="64DD6DEB" w:rsidR="00F06B55" w:rsidRDefault="00F06B55" w:rsidP="00D61055">
    <w:pPr>
      <w:pStyle w:val="FooterSpace"/>
      <w:ind w:right="707"/>
    </w:pPr>
  </w:p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F06B55" w14:paraId="120FF4CC" w14:textId="77777777" w:rsidTr="00E345E1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2802E4CB" w14:textId="77777777" w:rsidR="00F06B55" w:rsidRPr="009E15D6" w:rsidRDefault="00F06B55" w:rsidP="00E345E1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89667D">
            <w:rPr>
              <w:rStyle w:val="PageNumber"/>
              <w:noProof/>
            </w:rPr>
            <w:t>4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092F00AB" w14:textId="26784BA5" w:rsidR="00F06B55" w:rsidRPr="00F06B55" w:rsidRDefault="00F06B55" w:rsidP="00F06B55">
    <w:pPr>
      <w:pStyle w:val="Footer"/>
      <w:tabs>
        <w:tab w:val="left" w:pos="8910"/>
      </w:tabs>
      <w:ind w:right="818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191242584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B2BC8" w:rsidRPr="001B2BC8">
          <w:rPr>
            <w:b/>
          </w:rPr>
          <w:t>Public engagement summary: Revoking the Electricity System Code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4F0A" w14:textId="77777777" w:rsidR="008367EE" w:rsidRPr="00CF33F6" w:rsidRDefault="008367EE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60E62413" w14:textId="77777777" w:rsidR="008367EE" w:rsidRDefault="008367EE" w:rsidP="00CF33F6">
      <w:pPr>
        <w:pStyle w:val="NoSpacing"/>
      </w:pPr>
    </w:p>
  </w:footnote>
  <w:footnote w:type="continuationSeparator" w:id="0">
    <w:p w14:paraId="1D94F870" w14:textId="77777777" w:rsidR="008367EE" w:rsidRDefault="008367EE" w:rsidP="00AE03FA">
      <w:pPr>
        <w:spacing w:after="0"/>
      </w:pPr>
      <w:r>
        <w:continuationSeparator/>
      </w:r>
    </w:p>
    <w:p w14:paraId="770BB1D5" w14:textId="77777777" w:rsidR="008367EE" w:rsidRDefault="008367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E0245" w14:textId="3D8D60B1" w:rsidR="008C0829" w:rsidRDefault="008C0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602D" w14:textId="5E8DD433" w:rsidR="003A30F3" w:rsidRPr="00633068" w:rsidRDefault="003A30F3" w:rsidP="00633068">
    <w:pPr>
      <w:pStyle w:val="Header"/>
      <w:tabs>
        <w:tab w:val="clear" w:pos="4680"/>
        <w:tab w:val="clear" w:pos="9360"/>
        <w:tab w:val="left" w:pos="22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6995" w14:textId="04D6DDB7" w:rsidR="008C0829" w:rsidRDefault="008C08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2C88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263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C4AD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62A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8C1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510C0B"/>
    <w:multiLevelType w:val="multilevel"/>
    <w:tmpl w:val="3D66CBA2"/>
    <w:numStyleLink w:val="CustomNumberlist"/>
  </w:abstractNum>
  <w:abstractNum w:abstractNumId="14" w15:restartNumberingAfterBreak="0">
    <w:nsid w:val="1B3C049B"/>
    <w:multiLevelType w:val="multilevel"/>
    <w:tmpl w:val="6D9A2BC2"/>
    <w:numStyleLink w:val="NumberedHeadings"/>
  </w:abstractNum>
  <w:abstractNum w:abstractNumId="15" w15:restartNumberingAfterBreak="0">
    <w:nsid w:val="1E8052EF"/>
    <w:multiLevelType w:val="multilevel"/>
    <w:tmpl w:val="DF4A9966"/>
    <w:numStyleLink w:val="TableBullets"/>
  </w:abstractNum>
  <w:abstractNum w:abstractNumId="16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Figure-Table-BoxHeading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2391238"/>
    <w:multiLevelType w:val="multilevel"/>
    <w:tmpl w:val="6D9A2BC2"/>
    <w:numStyleLink w:val="NumberedHeadings"/>
  </w:abstractNum>
  <w:abstractNum w:abstractNumId="18" w15:restartNumberingAfterBreak="0">
    <w:nsid w:val="359E348D"/>
    <w:multiLevelType w:val="multilevel"/>
    <w:tmpl w:val="3D66CBA2"/>
    <w:numStyleLink w:val="CustomNumberlist"/>
  </w:abstractNum>
  <w:abstractNum w:abstractNumId="19" w15:restartNumberingAfterBreak="0">
    <w:nsid w:val="39C20E77"/>
    <w:multiLevelType w:val="multilevel"/>
    <w:tmpl w:val="6D9A2BC2"/>
    <w:numStyleLink w:val="NumberedHeadings"/>
  </w:abstractNum>
  <w:abstractNum w:abstractNumId="20" w15:restartNumberingAfterBreak="0">
    <w:nsid w:val="3AA454D7"/>
    <w:multiLevelType w:val="multilevel"/>
    <w:tmpl w:val="6D9A2BC2"/>
    <w:numStyleLink w:val="NumberedHeadings"/>
  </w:abstractNum>
  <w:abstractNum w:abstractNumId="21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A8B0109"/>
    <w:multiLevelType w:val="multilevel"/>
    <w:tmpl w:val="3D66CBA2"/>
    <w:numStyleLink w:val="CustomNumberlist"/>
  </w:abstractNum>
  <w:abstractNum w:abstractNumId="24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13D30B6"/>
    <w:multiLevelType w:val="hybridMultilevel"/>
    <w:tmpl w:val="FC20E16C"/>
    <w:lvl w:ilvl="0" w:tplc="A8B6EDDC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505317"/>
    <w:multiLevelType w:val="multilevel"/>
    <w:tmpl w:val="3D66CBA2"/>
    <w:numStyleLink w:val="CustomNumberlist"/>
  </w:abstractNum>
  <w:abstractNum w:abstractNumId="27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094304">
    <w:abstractNumId w:val="9"/>
  </w:num>
  <w:num w:numId="2" w16cid:durableId="1955362617">
    <w:abstractNumId w:val="7"/>
  </w:num>
  <w:num w:numId="3" w16cid:durableId="768041154">
    <w:abstractNumId w:val="6"/>
  </w:num>
  <w:num w:numId="4" w16cid:durableId="791481913">
    <w:abstractNumId w:val="5"/>
  </w:num>
  <w:num w:numId="5" w16cid:durableId="1466778122">
    <w:abstractNumId w:val="4"/>
  </w:num>
  <w:num w:numId="6" w16cid:durableId="755246660">
    <w:abstractNumId w:val="8"/>
  </w:num>
  <w:num w:numId="7" w16cid:durableId="2079555144">
    <w:abstractNumId w:val="3"/>
  </w:num>
  <w:num w:numId="8" w16cid:durableId="815486112">
    <w:abstractNumId w:val="2"/>
  </w:num>
  <w:num w:numId="9" w16cid:durableId="692191939">
    <w:abstractNumId w:val="1"/>
  </w:num>
  <w:num w:numId="10" w16cid:durableId="182332009">
    <w:abstractNumId w:val="21"/>
  </w:num>
  <w:num w:numId="11" w16cid:durableId="576790871">
    <w:abstractNumId w:val="16"/>
  </w:num>
  <w:num w:numId="12" w16cid:durableId="3811781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5848071">
    <w:abstractNumId w:val="0"/>
  </w:num>
  <w:num w:numId="14" w16cid:durableId="1540581473">
    <w:abstractNumId w:val="16"/>
  </w:num>
  <w:num w:numId="15" w16cid:durableId="1711147746">
    <w:abstractNumId w:val="17"/>
  </w:num>
  <w:num w:numId="16" w16cid:durableId="996376328">
    <w:abstractNumId w:val="11"/>
  </w:num>
  <w:num w:numId="17" w16cid:durableId="671445377">
    <w:abstractNumId w:val="22"/>
  </w:num>
  <w:num w:numId="18" w16cid:durableId="1134297676">
    <w:abstractNumId w:val="22"/>
  </w:num>
  <w:num w:numId="19" w16cid:durableId="2060351822">
    <w:abstractNumId w:val="18"/>
  </w:num>
  <w:num w:numId="20" w16cid:durableId="728579947">
    <w:abstractNumId w:val="13"/>
  </w:num>
  <w:num w:numId="21" w16cid:durableId="595404650">
    <w:abstractNumId w:val="24"/>
  </w:num>
  <w:num w:numId="22" w16cid:durableId="1303390586">
    <w:abstractNumId w:val="26"/>
  </w:num>
  <w:num w:numId="23" w16cid:durableId="382144323">
    <w:abstractNumId w:val="12"/>
  </w:num>
  <w:num w:numId="24" w16cid:durableId="1457944383">
    <w:abstractNumId w:val="29"/>
  </w:num>
  <w:num w:numId="25" w16cid:durableId="1655645482">
    <w:abstractNumId w:val="25"/>
  </w:num>
  <w:num w:numId="26" w16cid:durableId="1530408922">
    <w:abstractNumId w:val="27"/>
  </w:num>
  <w:num w:numId="27" w16cid:durableId="2042171169">
    <w:abstractNumId w:val="15"/>
  </w:num>
  <w:num w:numId="28" w16cid:durableId="773209290">
    <w:abstractNumId w:val="20"/>
  </w:num>
  <w:num w:numId="29" w16cid:durableId="1716658760">
    <w:abstractNumId w:val="19"/>
  </w:num>
  <w:num w:numId="30" w16cid:durableId="2121294496">
    <w:abstractNumId w:val="14"/>
  </w:num>
  <w:num w:numId="31" w16cid:durableId="1161851010">
    <w:abstractNumId w:val="23"/>
  </w:num>
  <w:num w:numId="32" w16cid:durableId="1728643550">
    <w:abstractNumId w:val="10"/>
  </w:num>
  <w:num w:numId="33" w16cid:durableId="665326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279674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5D6"/>
    <w:rsid w:val="000046BD"/>
    <w:rsid w:val="00015588"/>
    <w:rsid w:val="000337A0"/>
    <w:rsid w:val="00042C68"/>
    <w:rsid w:val="000518F3"/>
    <w:rsid w:val="000566E0"/>
    <w:rsid w:val="00062AE4"/>
    <w:rsid w:val="00067DD9"/>
    <w:rsid w:val="000A1292"/>
    <w:rsid w:val="000A759D"/>
    <w:rsid w:val="000A7FD9"/>
    <w:rsid w:val="000D4547"/>
    <w:rsid w:val="000E6FB9"/>
    <w:rsid w:val="00106608"/>
    <w:rsid w:val="00112BEE"/>
    <w:rsid w:val="00153081"/>
    <w:rsid w:val="00160F48"/>
    <w:rsid w:val="00184CEF"/>
    <w:rsid w:val="001869B0"/>
    <w:rsid w:val="00187ACF"/>
    <w:rsid w:val="00190349"/>
    <w:rsid w:val="001918A1"/>
    <w:rsid w:val="00195A9B"/>
    <w:rsid w:val="001A4ACF"/>
    <w:rsid w:val="001B2BC8"/>
    <w:rsid w:val="001C1CCD"/>
    <w:rsid w:val="001C750A"/>
    <w:rsid w:val="001D07CD"/>
    <w:rsid w:val="001E1E96"/>
    <w:rsid w:val="001E3CE3"/>
    <w:rsid w:val="001F3997"/>
    <w:rsid w:val="001F64A3"/>
    <w:rsid w:val="00204C88"/>
    <w:rsid w:val="002056BA"/>
    <w:rsid w:val="0020638D"/>
    <w:rsid w:val="0022708E"/>
    <w:rsid w:val="00232581"/>
    <w:rsid w:val="00243DD5"/>
    <w:rsid w:val="00251145"/>
    <w:rsid w:val="00255999"/>
    <w:rsid w:val="00274D9C"/>
    <w:rsid w:val="002750C4"/>
    <w:rsid w:val="002966CE"/>
    <w:rsid w:val="002A059D"/>
    <w:rsid w:val="002B6805"/>
    <w:rsid w:val="002C2ADF"/>
    <w:rsid w:val="002D3B02"/>
    <w:rsid w:val="002D682B"/>
    <w:rsid w:val="002E1686"/>
    <w:rsid w:val="002E48AC"/>
    <w:rsid w:val="00302D52"/>
    <w:rsid w:val="00305A3C"/>
    <w:rsid w:val="00310DDF"/>
    <w:rsid w:val="003151BF"/>
    <w:rsid w:val="00317C67"/>
    <w:rsid w:val="003239B5"/>
    <w:rsid w:val="00344D56"/>
    <w:rsid w:val="00353663"/>
    <w:rsid w:val="00360763"/>
    <w:rsid w:val="003745DA"/>
    <w:rsid w:val="00375CBF"/>
    <w:rsid w:val="00375EFC"/>
    <w:rsid w:val="003837CC"/>
    <w:rsid w:val="003904B9"/>
    <w:rsid w:val="00394187"/>
    <w:rsid w:val="00395CFE"/>
    <w:rsid w:val="003A16E1"/>
    <w:rsid w:val="003A2748"/>
    <w:rsid w:val="003A30F3"/>
    <w:rsid w:val="003A587F"/>
    <w:rsid w:val="003A7478"/>
    <w:rsid w:val="003B5AB1"/>
    <w:rsid w:val="003C143B"/>
    <w:rsid w:val="003C39F4"/>
    <w:rsid w:val="003F1961"/>
    <w:rsid w:val="004064CD"/>
    <w:rsid w:val="00414AB9"/>
    <w:rsid w:val="00421F98"/>
    <w:rsid w:val="0043066B"/>
    <w:rsid w:val="004309BF"/>
    <w:rsid w:val="004558CC"/>
    <w:rsid w:val="0046312A"/>
    <w:rsid w:val="00473B7B"/>
    <w:rsid w:val="00474670"/>
    <w:rsid w:val="00484F2D"/>
    <w:rsid w:val="004855CE"/>
    <w:rsid w:val="00495E2E"/>
    <w:rsid w:val="00496CF9"/>
    <w:rsid w:val="004A3CCB"/>
    <w:rsid w:val="004C74D5"/>
    <w:rsid w:val="004E0FF2"/>
    <w:rsid w:val="004F5D25"/>
    <w:rsid w:val="0050064B"/>
    <w:rsid w:val="005014C6"/>
    <w:rsid w:val="00506C72"/>
    <w:rsid w:val="005247A2"/>
    <w:rsid w:val="00541F9A"/>
    <w:rsid w:val="00545E3C"/>
    <w:rsid w:val="00563AD8"/>
    <w:rsid w:val="00564BE8"/>
    <w:rsid w:val="00570E5B"/>
    <w:rsid w:val="005A1443"/>
    <w:rsid w:val="005A5966"/>
    <w:rsid w:val="005C6E04"/>
    <w:rsid w:val="005D2811"/>
    <w:rsid w:val="005E2A78"/>
    <w:rsid w:val="005E2E03"/>
    <w:rsid w:val="005E5FCE"/>
    <w:rsid w:val="005F3D90"/>
    <w:rsid w:val="005F5578"/>
    <w:rsid w:val="00615C49"/>
    <w:rsid w:val="006278C7"/>
    <w:rsid w:val="00631387"/>
    <w:rsid w:val="00633068"/>
    <w:rsid w:val="0063494B"/>
    <w:rsid w:val="00640B91"/>
    <w:rsid w:val="00666190"/>
    <w:rsid w:val="006817B0"/>
    <w:rsid w:val="006C4904"/>
    <w:rsid w:val="006D0A5E"/>
    <w:rsid w:val="006D4CD9"/>
    <w:rsid w:val="006D56EB"/>
    <w:rsid w:val="006E6549"/>
    <w:rsid w:val="006E6B2B"/>
    <w:rsid w:val="006F29EA"/>
    <w:rsid w:val="00703C67"/>
    <w:rsid w:val="00707B2F"/>
    <w:rsid w:val="00710792"/>
    <w:rsid w:val="00711BA5"/>
    <w:rsid w:val="0071276E"/>
    <w:rsid w:val="0071799F"/>
    <w:rsid w:val="00717CCA"/>
    <w:rsid w:val="007202C6"/>
    <w:rsid w:val="007253E1"/>
    <w:rsid w:val="00735B3F"/>
    <w:rsid w:val="00740720"/>
    <w:rsid w:val="00747563"/>
    <w:rsid w:val="00757301"/>
    <w:rsid w:val="00762F1A"/>
    <w:rsid w:val="00764333"/>
    <w:rsid w:val="00770FFA"/>
    <w:rsid w:val="00772EB1"/>
    <w:rsid w:val="00781227"/>
    <w:rsid w:val="00782E55"/>
    <w:rsid w:val="00782F13"/>
    <w:rsid w:val="00784DEB"/>
    <w:rsid w:val="00790818"/>
    <w:rsid w:val="00792B10"/>
    <w:rsid w:val="00796928"/>
    <w:rsid w:val="007A5734"/>
    <w:rsid w:val="007B565F"/>
    <w:rsid w:val="007B6C8C"/>
    <w:rsid w:val="007C7E2D"/>
    <w:rsid w:val="007D495A"/>
    <w:rsid w:val="007E0CDD"/>
    <w:rsid w:val="00800C88"/>
    <w:rsid w:val="008022EE"/>
    <w:rsid w:val="00811E1F"/>
    <w:rsid w:val="00821666"/>
    <w:rsid w:val="008367EE"/>
    <w:rsid w:val="00865ECE"/>
    <w:rsid w:val="00873044"/>
    <w:rsid w:val="00881E07"/>
    <w:rsid w:val="00882783"/>
    <w:rsid w:val="0089667D"/>
    <w:rsid w:val="008A2BF8"/>
    <w:rsid w:val="008A7A8E"/>
    <w:rsid w:val="008B6874"/>
    <w:rsid w:val="008C0829"/>
    <w:rsid w:val="008C1818"/>
    <w:rsid w:val="008C2CE3"/>
    <w:rsid w:val="008D2C44"/>
    <w:rsid w:val="008D5E13"/>
    <w:rsid w:val="008F66B6"/>
    <w:rsid w:val="008F7087"/>
    <w:rsid w:val="008F75DB"/>
    <w:rsid w:val="009058B1"/>
    <w:rsid w:val="00915954"/>
    <w:rsid w:val="00916721"/>
    <w:rsid w:val="009230CE"/>
    <w:rsid w:val="00935EDD"/>
    <w:rsid w:val="00943BDE"/>
    <w:rsid w:val="00964369"/>
    <w:rsid w:val="00986CF3"/>
    <w:rsid w:val="009A4DB9"/>
    <w:rsid w:val="009B3ECA"/>
    <w:rsid w:val="009B583F"/>
    <w:rsid w:val="009C3565"/>
    <w:rsid w:val="009E15D6"/>
    <w:rsid w:val="009E2C7E"/>
    <w:rsid w:val="009F15D6"/>
    <w:rsid w:val="00A160AE"/>
    <w:rsid w:val="00A27C06"/>
    <w:rsid w:val="00A27D94"/>
    <w:rsid w:val="00A3593E"/>
    <w:rsid w:val="00A36E4A"/>
    <w:rsid w:val="00A609CE"/>
    <w:rsid w:val="00A672AE"/>
    <w:rsid w:val="00A67A25"/>
    <w:rsid w:val="00A93CAF"/>
    <w:rsid w:val="00A95F79"/>
    <w:rsid w:val="00AA5609"/>
    <w:rsid w:val="00AB54BD"/>
    <w:rsid w:val="00AD11FA"/>
    <w:rsid w:val="00AD29CB"/>
    <w:rsid w:val="00AD2E14"/>
    <w:rsid w:val="00AD72CC"/>
    <w:rsid w:val="00AE03FA"/>
    <w:rsid w:val="00AE0C8F"/>
    <w:rsid w:val="00AE2C4D"/>
    <w:rsid w:val="00AF63AC"/>
    <w:rsid w:val="00B027ED"/>
    <w:rsid w:val="00B04857"/>
    <w:rsid w:val="00B137EC"/>
    <w:rsid w:val="00B37A15"/>
    <w:rsid w:val="00B503C2"/>
    <w:rsid w:val="00B52E6C"/>
    <w:rsid w:val="00B55C0F"/>
    <w:rsid w:val="00B6173A"/>
    <w:rsid w:val="00B655D9"/>
    <w:rsid w:val="00B675E8"/>
    <w:rsid w:val="00B72AB0"/>
    <w:rsid w:val="00BC0E1F"/>
    <w:rsid w:val="00BC22D1"/>
    <w:rsid w:val="00BC7EAD"/>
    <w:rsid w:val="00BD19DB"/>
    <w:rsid w:val="00BD24AA"/>
    <w:rsid w:val="00BD5819"/>
    <w:rsid w:val="00BD6DDE"/>
    <w:rsid w:val="00C034A5"/>
    <w:rsid w:val="00C03B3C"/>
    <w:rsid w:val="00C313B7"/>
    <w:rsid w:val="00C34EF4"/>
    <w:rsid w:val="00C36028"/>
    <w:rsid w:val="00C36E8A"/>
    <w:rsid w:val="00C41F42"/>
    <w:rsid w:val="00C44B43"/>
    <w:rsid w:val="00C45BF3"/>
    <w:rsid w:val="00C47364"/>
    <w:rsid w:val="00C55B62"/>
    <w:rsid w:val="00C753B8"/>
    <w:rsid w:val="00C80CDA"/>
    <w:rsid w:val="00C83784"/>
    <w:rsid w:val="00C848F1"/>
    <w:rsid w:val="00C94C20"/>
    <w:rsid w:val="00CA2F15"/>
    <w:rsid w:val="00CA6034"/>
    <w:rsid w:val="00CB7FB8"/>
    <w:rsid w:val="00CD7E4A"/>
    <w:rsid w:val="00CE324D"/>
    <w:rsid w:val="00CF0CE2"/>
    <w:rsid w:val="00CF2B15"/>
    <w:rsid w:val="00CF33F6"/>
    <w:rsid w:val="00CF34D6"/>
    <w:rsid w:val="00D02383"/>
    <w:rsid w:val="00D03047"/>
    <w:rsid w:val="00D23A3D"/>
    <w:rsid w:val="00D30FA8"/>
    <w:rsid w:val="00D3670C"/>
    <w:rsid w:val="00D61055"/>
    <w:rsid w:val="00DA005C"/>
    <w:rsid w:val="00DB6309"/>
    <w:rsid w:val="00DB79C6"/>
    <w:rsid w:val="00DC2B59"/>
    <w:rsid w:val="00DC3BE7"/>
    <w:rsid w:val="00DD39C9"/>
    <w:rsid w:val="00E03B00"/>
    <w:rsid w:val="00E17AB7"/>
    <w:rsid w:val="00E23938"/>
    <w:rsid w:val="00E31823"/>
    <w:rsid w:val="00E5390E"/>
    <w:rsid w:val="00E640D1"/>
    <w:rsid w:val="00E736EA"/>
    <w:rsid w:val="00E86AE1"/>
    <w:rsid w:val="00E9393A"/>
    <w:rsid w:val="00E96A82"/>
    <w:rsid w:val="00EA23C9"/>
    <w:rsid w:val="00EA47A3"/>
    <w:rsid w:val="00EB0F54"/>
    <w:rsid w:val="00EB6E73"/>
    <w:rsid w:val="00EC43E2"/>
    <w:rsid w:val="00EE3779"/>
    <w:rsid w:val="00EE5935"/>
    <w:rsid w:val="00EE6EBB"/>
    <w:rsid w:val="00F05C05"/>
    <w:rsid w:val="00F06B55"/>
    <w:rsid w:val="00F16D44"/>
    <w:rsid w:val="00F274F6"/>
    <w:rsid w:val="00F666F0"/>
    <w:rsid w:val="00F7468D"/>
    <w:rsid w:val="00F81408"/>
    <w:rsid w:val="00F83935"/>
    <w:rsid w:val="00F963FF"/>
    <w:rsid w:val="00FB0186"/>
    <w:rsid w:val="00FB2CF8"/>
    <w:rsid w:val="00FB6756"/>
    <w:rsid w:val="00FC5279"/>
    <w:rsid w:val="00FC6E2C"/>
    <w:rsid w:val="00FE077A"/>
    <w:rsid w:val="00FF626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13E2E"/>
  <w15:docId w15:val="{B290B0B0-8BA9-4DC9-8077-6FAAABB2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67D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F79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F79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95F79"/>
    <w:pPr>
      <w:keepNext/>
      <w:keepLines/>
      <w:spacing w:before="200" w:after="120"/>
      <w:outlineLvl w:val="2"/>
    </w:pPr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95F79"/>
    <w:pPr>
      <w:keepNext/>
      <w:keepLines/>
      <w:spacing w:before="120" w:after="0"/>
      <w:outlineLvl w:val="3"/>
    </w:pPr>
    <w:rPr>
      <w:rFonts w:ascii="Tahoma" w:eastAsiaTheme="majorEastAsia" w:hAnsi="Tahoma" w:cstheme="majorBidi"/>
      <w:b/>
      <w:iCs/>
      <w:color w:val="75787B" w:themeColor="background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55B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color w:val="11304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E03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2D1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CF34D6"/>
    <w:pPr>
      <w:tabs>
        <w:tab w:val="center" w:pos="4680"/>
        <w:tab w:val="right" w:pos="9360"/>
      </w:tabs>
      <w:spacing w:before="120"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CF34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A95F79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C22D1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7B6C8C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CE0058" w:themeFill="accent2"/>
      <w:vAlign w:val="center"/>
    </w:tcPr>
    <w:tblStylePr w:type="firstCol">
      <w:tblPr/>
      <w:tcPr>
        <w:shd w:val="clear" w:color="auto" w:fill="CE0058" w:themeFill="accent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95F79"/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95F79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10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semiHidden/>
    <w:qFormat/>
    <w:rsid w:val="00062AE4"/>
    <w:pPr>
      <w:framePr w:wrap="around" w:vAnchor="page" w:hAnchor="page" w:xAlign="center" w:yAlign="center" w:anchorLock="1"/>
      <w:jc w:val="center"/>
    </w:pPr>
  </w:style>
  <w:style w:type="paragraph" w:customStyle="1" w:styleId="SubtitleCentred">
    <w:name w:val="Subtitle Centred"/>
    <w:basedOn w:val="Subtitle"/>
    <w:rsid w:val="00062AE4"/>
    <w:pPr>
      <w:framePr w:wrap="around" w:vAnchor="page" w:hAnchor="page" w:xAlign="center" w:yAlign="center" w:anchorLock="1"/>
      <w:jc w:val="center"/>
    </w:pPr>
  </w:style>
  <w:style w:type="character" w:customStyle="1" w:styleId="TitleCentredChar">
    <w:name w:val="Title Centred Char"/>
    <w:basedOn w:val="TitleChar"/>
    <w:link w:val="TitleCentred"/>
    <w:semiHidden/>
    <w:rsid w:val="00BC22D1"/>
    <w:rPr>
      <w:rFonts w:ascii="Tahoma" w:eastAsiaTheme="majorEastAsia" w:hAnsi="Tahoma" w:cstheme="majorBidi"/>
      <w:color w:val="4986A0" w:themeColor="text2"/>
      <w:kern w:val="28"/>
      <w:sz w:val="52"/>
      <w:szCs w:val="56"/>
      <w:lang w:val="en-AU"/>
    </w:rPr>
  </w:style>
  <w:style w:type="character" w:styleId="PageNumber">
    <w:name w:val="page number"/>
    <w:basedOn w:val="DefaultParagraphFont"/>
    <w:uiPriority w:val="99"/>
    <w:semiHidden/>
    <w:rsid w:val="007B6C8C"/>
    <w:rPr>
      <w:b/>
      <w:color w:val="FFFFFF" w:themeColor="background1"/>
      <w:sz w:val="22"/>
      <w:bdr w:val="none" w:sz="0" w:space="0" w:color="auto"/>
      <w:shd w:val="clear" w:color="auto" w:fill="CE0058" w:themeFill="accent2"/>
    </w:rPr>
  </w:style>
  <w:style w:type="paragraph" w:customStyle="1" w:styleId="Pull-out">
    <w:name w:val="Pull-out"/>
    <w:basedOn w:val="Normal"/>
    <w:qFormat/>
    <w:rsid w:val="00C753B8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semiHidden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A95F79"/>
    <w:rPr>
      <w:rFonts w:ascii="Tahoma" w:eastAsiaTheme="majorEastAsia" w:hAnsi="Tahoma" w:cstheme="majorBidi"/>
      <w:b/>
      <w:color w:val="4986A0" w:themeColor="text2"/>
      <w:szCs w:val="24"/>
    </w:rPr>
  </w:style>
  <w:style w:type="paragraph" w:styleId="TOC2">
    <w:name w:val="toc 2"/>
    <w:basedOn w:val="TOC1"/>
    <w:next w:val="Normal"/>
    <w:autoRedefine/>
    <w:uiPriority w:val="39"/>
    <w:semiHidden/>
    <w:rsid w:val="006278C7"/>
    <w:pPr>
      <w:ind w:left="568" w:hanging="284"/>
    </w:pPr>
    <w:rPr>
      <w:b w:val="0"/>
      <w:noProof/>
    </w:rPr>
  </w:style>
  <w:style w:type="paragraph" w:styleId="TOC1">
    <w:name w:val="toc 1"/>
    <w:basedOn w:val="Normal"/>
    <w:next w:val="Normal"/>
    <w:autoRedefine/>
    <w:uiPriority w:val="39"/>
    <w:semiHidden/>
    <w:rsid w:val="006278C7"/>
    <w:pPr>
      <w:tabs>
        <w:tab w:val="right" w:pos="9582"/>
      </w:tabs>
      <w:spacing w:before="40" w:after="40" w:line="288" w:lineRule="auto"/>
      <w:ind w:right="567"/>
      <w:contextualSpacing/>
    </w:pPr>
    <w:rPr>
      <w:b/>
    </w:rPr>
  </w:style>
  <w:style w:type="character" w:styleId="Hyperlink">
    <w:name w:val="Hyperlink"/>
    <w:basedOn w:val="DefaultParagraphFont"/>
    <w:uiPriority w:val="99"/>
    <w:unhideWhenUsed/>
    <w:rsid w:val="00762F1A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qFormat/>
    <w:rsid w:val="00A95F79"/>
    <w:pPr>
      <w:spacing w:before="240" w:after="320" w:line="240" w:lineRule="auto"/>
    </w:pPr>
    <w:rPr>
      <w:rFonts w:ascii="Tahoma" w:eastAsiaTheme="majorEastAsia" w:hAnsi="Tahoma" w:cstheme="majorBidi"/>
      <w:color w:val="CE0058" w:themeColor="accent2"/>
      <w:sz w:val="40"/>
      <w:szCs w:val="32"/>
    </w:rPr>
  </w:style>
  <w:style w:type="character" w:styleId="Strong">
    <w:name w:val="Strong"/>
    <w:basedOn w:val="DefaultParagraphFont"/>
    <w:uiPriority w:val="22"/>
    <w:semiHidden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CF34D6"/>
    <w:pPr>
      <w:numPr>
        <w:numId w:val="32"/>
      </w:numPr>
      <w:spacing w:line="33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CF34D6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semiHidden/>
    <w:rsid w:val="00BC22D1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TOC2"/>
    <w:next w:val="Normal"/>
    <w:autoRedefine/>
    <w:uiPriority w:val="39"/>
    <w:semiHidden/>
    <w:rsid w:val="006278C7"/>
    <w:pPr>
      <w:ind w:left="567" w:firstLine="0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E03B00"/>
    <w:pPr>
      <w:numPr>
        <w:ilvl w:val="2"/>
      </w:numPr>
    </w:pPr>
  </w:style>
  <w:style w:type="paragraph" w:customStyle="1" w:styleId="TableListNumber2">
    <w:name w:val="Table List Number 2"/>
    <w:basedOn w:val="TableListNumber"/>
    <w:link w:val="TableListNumber2Char"/>
    <w:qFormat/>
    <w:rsid w:val="00E03B00"/>
    <w:pPr>
      <w:numPr>
        <w:ilvl w:val="3"/>
      </w:numPr>
    </w:pPr>
  </w:style>
  <w:style w:type="character" w:customStyle="1" w:styleId="TableListNumberChar">
    <w:name w:val="Table List Number Char"/>
    <w:basedOn w:val="TableBulletChar"/>
    <w:link w:val="TableListNumber"/>
    <w:rsid w:val="00E03B00"/>
  </w:style>
  <w:style w:type="character" w:customStyle="1" w:styleId="TableListNumber2Char">
    <w:name w:val="Table List Number 2 Char"/>
    <w:basedOn w:val="TableListNumberChar"/>
    <w:link w:val="TableListNumber2"/>
    <w:rsid w:val="00E03B00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semiHidden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semiHidden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semiHidden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link w:val="Figure-Table-BoxHeadingChar"/>
    <w:qFormat/>
    <w:rsid w:val="00CF34D6"/>
    <w:pPr>
      <w:numPr>
        <w:ilvl w:val="3"/>
        <w:numId w:val="30"/>
      </w:numPr>
      <w:spacing w:before="120" w:after="120" w:line="432" w:lineRule="auto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DC3BE7"/>
    <w:pPr>
      <w:numPr>
        <w:ilvl w:val="0"/>
        <w:numId w:val="0"/>
      </w:numPr>
      <w:ind w:left="851"/>
    </w:pPr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CF34D6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DC3BE7"/>
    <w:rPr>
      <w:rFonts w:asciiTheme="majorHAnsi" w:eastAsiaTheme="majorEastAsia" w:hAnsiTheme="majorHAnsi" w:cstheme="majorBidi"/>
      <w:b w:val="0"/>
      <w:caps w:val="0"/>
      <w:color w:val="4986A0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95F79"/>
    <w:rPr>
      <w:rFonts w:ascii="Tahoma" w:eastAsiaTheme="majorEastAsia" w:hAnsi="Tahoma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232581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232581"/>
    <w:pPr>
      <w:jc w:val="right"/>
    </w:pPr>
  </w:style>
  <w:style w:type="paragraph" w:customStyle="1" w:styleId="Pull-outHeading">
    <w:name w:val="Pull-out Heading"/>
    <w:basedOn w:val="Pull-out"/>
    <w:qFormat/>
    <w:rsid w:val="00BD19DB"/>
    <w:rPr>
      <w:b/>
      <w:bCs/>
    </w:rPr>
  </w:style>
  <w:style w:type="paragraph" w:customStyle="1" w:styleId="Pull-outBullet1">
    <w:name w:val="Pull-out Bullet 1"/>
    <w:basedOn w:val="Pull-out"/>
    <w:qFormat/>
    <w:rsid w:val="00BD19DB"/>
    <w:pPr>
      <w:numPr>
        <w:numId w:val="34"/>
      </w:numPr>
      <w:ind w:left="482"/>
    </w:pPr>
  </w:style>
  <w:style w:type="paragraph" w:customStyle="1" w:styleId="Pull-outBullet2">
    <w:name w:val="Pull-out Bullet 2"/>
    <w:basedOn w:val="Pull-outBullet1"/>
    <w:qFormat/>
    <w:rsid w:val="00BD19DB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BD19DB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BD19DB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BD19DB"/>
    <w:pPr>
      <w:numPr>
        <w:numId w:val="34"/>
      </w:numPr>
    </w:pPr>
  </w:style>
  <w:style w:type="paragraph" w:styleId="TOC4">
    <w:name w:val="toc 4"/>
    <w:basedOn w:val="Normal"/>
    <w:next w:val="Normal"/>
    <w:autoRedefine/>
    <w:uiPriority w:val="39"/>
    <w:semiHidden/>
    <w:rsid w:val="006278C7"/>
    <w:pPr>
      <w:tabs>
        <w:tab w:val="left" w:pos="851"/>
        <w:tab w:val="right" w:pos="9582"/>
      </w:tabs>
      <w:adjustRightInd w:val="0"/>
      <w:spacing w:before="40" w:after="40" w:line="288" w:lineRule="auto"/>
      <w:ind w:left="851" w:right="567" w:hanging="567"/>
      <w:contextualSpacing/>
    </w:pPr>
    <w:rPr>
      <w:noProof/>
    </w:rPr>
  </w:style>
  <w:style w:type="paragraph" w:customStyle="1" w:styleId="CC07A0386FA64D568AFDD5FEA5383BC7">
    <w:name w:val="CC07A0386FA64D568AFDD5FEA5383BC7"/>
    <w:semiHidden/>
    <w:locked/>
    <w:rsid w:val="008A7A8E"/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semiHidden/>
    <w:rsid w:val="006278C7"/>
    <w:pPr>
      <w:tabs>
        <w:tab w:val="right" w:pos="9582"/>
      </w:tabs>
      <w:spacing w:before="40" w:after="40" w:line="288" w:lineRule="auto"/>
      <w:ind w:left="851" w:right="567"/>
      <w:contextualSpacing/>
    </w:pPr>
  </w:style>
  <w:style w:type="paragraph" w:styleId="TOC6">
    <w:name w:val="toc 6"/>
    <w:basedOn w:val="Normal"/>
    <w:next w:val="Normal"/>
    <w:autoRedefine/>
    <w:uiPriority w:val="39"/>
    <w:semiHidden/>
    <w:rsid w:val="006278C7"/>
    <w:pPr>
      <w:tabs>
        <w:tab w:val="right" w:pos="9582"/>
      </w:tabs>
      <w:spacing w:before="40" w:after="40" w:line="288" w:lineRule="auto"/>
      <w:ind w:left="1702" w:right="567" w:hanging="851"/>
    </w:pPr>
  </w:style>
  <w:style w:type="paragraph" w:customStyle="1" w:styleId="Pull-outheading0">
    <w:name w:val="Pull-out heading"/>
    <w:basedOn w:val="Pull-out"/>
    <w:semiHidden/>
    <w:qFormat/>
    <w:rsid w:val="00F06B55"/>
    <w:rPr>
      <w:rFonts w:ascii="Tahoma" w:hAnsi="Tahoma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5B62"/>
    <w:rPr>
      <w:rFonts w:asciiTheme="majorHAnsi" w:eastAsiaTheme="majorEastAsia" w:hAnsiTheme="majorHAnsi" w:cstheme="majorBidi"/>
      <w:i/>
      <w:color w:val="113048" w:themeColor="accent1" w:themeShade="7F"/>
      <w:lang w:val="en-AU"/>
    </w:rPr>
  </w:style>
  <w:style w:type="character" w:customStyle="1" w:styleId="Legislationquote">
    <w:name w:val="Legislation quote"/>
    <w:basedOn w:val="DefaultParagraphFont"/>
    <w:uiPriority w:val="1"/>
    <w:qFormat/>
    <w:rsid w:val="00FB0186"/>
    <w:rPr>
      <w:color w:val="FF4895" w:themeColor="accent2" w:themeTint="99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278C7"/>
    <w:pPr>
      <w:spacing w:before="40" w:after="40" w:line="288" w:lineRule="auto"/>
      <w:ind w:left="1321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78C7"/>
    <w:pPr>
      <w:spacing w:before="40" w:after="40" w:line="288" w:lineRule="auto"/>
      <w:ind w:left="1542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78C7"/>
    <w:pPr>
      <w:spacing w:before="40" w:after="40" w:line="288" w:lineRule="auto"/>
      <w:ind w:left="1758"/>
    </w:pPr>
  </w:style>
  <w:style w:type="character" w:styleId="UnresolvedMention">
    <w:name w:val="Unresolved Mention"/>
    <w:basedOn w:val="DefaultParagraphFont"/>
    <w:uiPriority w:val="99"/>
    <w:semiHidden/>
    <w:unhideWhenUsed/>
    <w:rsid w:val="009159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55C0F"/>
    <w:pPr>
      <w:spacing w:after="0" w:line="240" w:lineRule="auto"/>
    </w:pPr>
    <w:rPr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82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2F1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F13"/>
    <w:rPr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sv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sv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ESC PINK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0ED9B-F36D-4EA2-857A-A3E527A7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2189</Characters>
  <Application>Microsoft Office Word</Application>
  <DocSecurity>0</DocSecurity>
  <Lines>65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engagement summary: Revoking the Electricity System Code</dc:title>
  <dc:subject/>
  <dc:creator>Samraansh Sharma (ESC)</dc:creator>
  <cp:keywords>[SEC=UNOFFICIAL]</cp:keywords>
  <dc:description/>
  <cp:lastModifiedBy>Samraansh Sharma (ESC)</cp:lastModifiedBy>
  <cp:revision>3</cp:revision>
  <cp:lastPrinted>2018-01-07T22:51:00Z</cp:lastPrinted>
  <dcterms:created xsi:type="dcterms:W3CDTF">2024-03-27T01:12:00Z</dcterms:created>
  <dcterms:modified xsi:type="dcterms:W3CDTF">2024-03-27T01:12:00Z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UNOFFICIAL</vt:lpwstr>
  </property>
  <property fmtid="{D5CDD505-2E9C-101B-9397-08002B2CF9AE}" pid="5" name="PM_Qualifier">
    <vt:lpwstr/>
  </property>
  <property fmtid="{D5CDD505-2E9C-101B-9397-08002B2CF9AE}" pid="6" name="PM_SecurityClassification">
    <vt:lpwstr>UNOFFICIAL</vt:lpwstr>
  </property>
  <property fmtid="{D5CDD505-2E9C-101B-9397-08002B2CF9AE}" pid="7" name="PM_InsertionValue">
    <vt:lpwstr>UNOFFICIAL</vt:lpwstr>
  </property>
  <property fmtid="{D5CDD505-2E9C-101B-9397-08002B2CF9AE}" pid="8" name="PM_Originating_FileId">
    <vt:lpwstr>F482DBBD47DB40B5B9B92D76C122F0ED</vt:lpwstr>
  </property>
  <property fmtid="{D5CDD505-2E9C-101B-9397-08002B2CF9AE}" pid="9" name="PM_ProtectiveMarkingValue_Footer">
    <vt:lpwstr>UNOFFICIAL</vt:lpwstr>
  </property>
  <property fmtid="{D5CDD505-2E9C-101B-9397-08002B2CF9AE}" pid="10" name="PM_Originator_Hash_SHA1">
    <vt:lpwstr>4EDBE76A9C21EA6B7387BD6D462FF34BCF7CC711</vt:lpwstr>
  </property>
  <property fmtid="{D5CDD505-2E9C-101B-9397-08002B2CF9AE}" pid="11" name="PM_OriginationTimeStamp">
    <vt:lpwstr>2024-03-27T01:12:40Z</vt:lpwstr>
  </property>
  <property fmtid="{D5CDD505-2E9C-101B-9397-08002B2CF9AE}" pid="12" name="PM_ProtectiveMarkingValue_Header">
    <vt:lpwstr>UNOFFICIAL</vt:lpwstr>
  </property>
  <property fmtid="{D5CDD505-2E9C-101B-9397-08002B2CF9AE}" pid="13" name="PM_ProtectiveMarkingImage_Footer">
    <vt:lpwstr>C:\Program Files\Common Files\janusNET Shared\janusSEAL\Images\DocumentSlashBlue.png</vt:lpwstr>
  </property>
  <property fmtid="{D5CDD505-2E9C-101B-9397-08002B2CF9AE}" pid="14" name="PM_Namespace">
    <vt:lpwstr>2019.2.1.vic.gov.au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UNOFFICIAL</vt:lpwstr>
  </property>
  <property fmtid="{D5CDD505-2E9C-101B-9397-08002B2CF9AE}" pid="19" name="PMUuid">
    <vt:lpwstr>v=2022.2;d=vic.gov.au;g=DBB53C2B-A4B8-50FB-B09D-42EC596A5DC3</vt:lpwstr>
  </property>
  <property fmtid="{D5CDD505-2E9C-101B-9397-08002B2CF9AE}" pid="20" name="PM_Hash_Version">
    <vt:lpwstr>2022.1</vt:lpwstr>
  </property>
  <property fmtid="{D5CDD505-2E9C-101B-9397-08002B2CF9AE}" pid="21" name="PM_Hash_Salt_Prev">
    <vt:lpwstr>94DF0D034D3171DD2DFDF0301C4D83F1</vt:lpwstr>
  </property>
  <property fmtid="{D5CDD505-2E9C-101B-9397-08002B2CF9AE}" pid="22" name="PM_Hash_Salt">
    <vt:lpwstr>6E3D47F30A62846F45044D5B5C396D51</vt:lpwstr>
  </property>
  <property fmtid="{D5CDD505-2E9C-101B-9397-08002B2CF9AE}" pid="23" name="PM_Hash_SHA1">
    <vt:lpwstr>73605B2AF1CA89B67B22CF01DF8AFA9048287BBD</vt:lpwstr>
  </property>
  <property fmtid="{D5CDD505-2E9C-101B-9397-08002B2CF9AE}" pid="24" name="PM_OriginatorUserAccountName_SHA256">
    <vt:lpwstr>296B571D8E65C4253B6D76C5CDFD6485D5D61D8DEBE241309FAD80DBC74D5779</vt:lpwstr>
  </property>
  <property fmtid="{D5CDD505-2E9C-101B-9397-08002B2CF9AE}" pid="25" name="PM_OriginatorDomainName_SHA256">
    <vt:lpwstr>9E5929A2B0C9364118E50F7972B6A4AA763F815A803675E11226272E392AE99C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HMAC">
    <vt:lpwstr>v=2022.1;a=SHA256;h=C7AF7E788AD9A728F892EE32618A7FD7F535DFD3EE35B895477C1679D3E0A064</vt:lpwstr>
  </property>
</Properties>
</file>