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8116" w14:textId="1A2F6580" w:rsidR="009F0657" w:rsidRDefault="00325614" w:rsidP="009F0657">
      <w:pPr>
        <w:pStyle w:val="Heading2"/>
      </w:pPr>
      <w:r w:rsidRPr="00544F20">
        <w:rPr>
          <w:noProof/>
        </w:rPr>
        <w:drawing>
          <wp:anchor distT="0" distB="0" distL="114300" distR="114300" simplePos="0" relativeHeight="251672576" behindDoc="0" locked="0" layoutInCell="1" allowOverlap="1" wp14:anchorId="1AB49617" wp14:editId="6673D9F9">
            <wp:simplePos x="0" y="0"/>
            <wp:positionH relativeFrom="column">
              <wp:posOffset>4281842</wp:posOffset>
            </wp:positionH>
            <wp:positionV relativeFrom="paragraph">
              <wp:posOffset>-2160270</wp:posOffset>
            </wp:positionV>
            <wp:extent cx="1253067" cy="1470992"/>
            <wp:effectExtent l="0" t="0" r="4445" b="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067" cy="1470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62D">
        <w:t>About the Victorian Energy Upgrades program</w:t>
      </w:r>
    </w:p>
    <w:p w14:paraId="7454936B" w14:textId="6E72613F" w:rsidR="00DF2EF4" w:rsidRDefault="00DF2EF4" w:rsidP="00DF2EF4">
      <w:r>
        <w:t>The Victorian Energy Upgrades program is the largest energy efficiency program in Australia, providing Victorians access to discounted energy-saving products and services.</w:t>
      </w:r>
    </w:p>
    <w:p w14:paraId="6BA853C0" w14:textId="379A6534" w:rsidR="00DF2EF4" w:rsidRDefault="00DF2EF4" w:rsidP="00DF2EF4">
      <w:r>
        <w:t>Accredited providers who deliver upgrades for households and businesses can create certificates under the program. Each certificate represents one tonne of greenhouse gas emissions saved.</w:t>
      </w:r>
    </w:p>
    <w:p w14:paraId="4AF55C83" w14:textId="5A4C44CA" w:rsidR="009E262D" w:rsidRDefault="00DF2EF4" w:rsidP="00DF2EF4">
      <w:r>
        <w:t>Since 2009, over 2</w:t>
      </w:r>
      <w:r w:rsidR="000649AD">
        <w:t>.1</w:t>
      </w:r>
      <w:r>
        <w:t xml:space="preserve"> million households and over 15</w:t>
      </w:r>
      <w:r w:rsidR="000649AD">
        <w:t>5</w:t>
      </w:r>
      <w:r>
        <w:t>,000 business premises have reduced their energy usage and save</w:t>
      </w:r>
      <w:r w:rsidR="00BE5BA5">
        <w:t>d</w:t>
      </w:r>
      <w:r>
        <w:t xml:space="preserve"> on their energy bills through the program. Th</w:t>
      </w:r>
      <w:r w:rsidR="00C229B0">
        <w:t>e program</w:t>
      </w:r>
      <w:r>
        <w:t xml:space="preserve"> is expected to deliver </w:t>
      </w:r>
      <w:r w:rsidR="00F02AC3">
        <w:t xml:space="preserve">around </w:t>
      </w:r>
      <w:r>
        <w:t xml:space="preserve">78.5 million tonnes </w:t>
      </w:r>
      <w:r w:rsidR="00C229B0">
        <w:t>of</w:t>
      </w:r>
      <w:r>
        <w:t xml:space="preserve"> greenhouse gas emission</w:t>
      </w:r>
      <w:r w:rsidR="00C229B0">
        <w:t>s</w:t>
      </w:r>
      <w:r>
        <w:t xml:space="preserve"> savings and valuable savings off participating consumers’ energy bills</w:t>
      </w:r>
      <w:r w:rsidR="00C229B0">
        <w:t xml:space="preserve"> since it began in 2009</w:t>
      </w:r>
      <w:r>
        <w:t>.</w:t>
      </w:r>
    </w:p>
    <w:p w14:paraId="45E42BD3" w14:textId="4EADED68" w:rsidR="00DF2EF4" w:rsidRPr="009E262D" w:rsidRDefault="007154E3" w:rsidP="00DF2EF4">
      <w:pPr>
        <w:pStyle w:val="Heading2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21E6BAE" wp14:editId="2A9B6F53">
            <wp:simplePos x="0" y="0"/>
            <wp:positionH relativeFrom="page">
              <wp:posOffset>5420377</wp:posOffset>
            </wp:positionH>
            <wp:positionV relativeFrom="page">
              <wp:posOffset>5596255</wp:posOffset>
            </wp:positionV>
            <wp:extent cx="915035" cy="915035"/>
            <wp:effectExtent l="0" t="0" r="0" b="0"/>
            <wp:wrapNone/>
            <wp:docPr id="17" name="Graphic 17" descr="Upward tren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Upward trend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EF4">
        <w:t>Key program outcomes in 2022</w:t>
      </w:r>
    </w:p>
    <w:tbl>
      <w:tblPr>
        <w:tblStyle w:val="TableGrid"/>
        <w:tblW w:w="9639" w:type="dxa"/>
        <w:tblLook w:val="0480" w:firstRow="0" w:lastRow="0" w:firstColumn="1" w:lastColumn="0" w:noHBand="0" w:noVBand="1"/>
      </w:tblPr>
      <w:tblGrid>
        <w:gridCol w:w="3544"/>
        <w:gridCol w:w="3119"/>
        <w:gridCol w:w="2976"/>
      </w:tblGrid>
      <w:tr w:rsidR="00436772" w14:paraId="66F518E9" w14:textId="1FF285C4" w:rsidTr="001D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55A18A1" w14:textId="49CF003B" w:rsidR="00436772" w:rsidRDefault="004B5BFA" w:rsidP="00292558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7424804" wp14:editId="75D0E55F">
                  <wp:simplePos x="0" y="0"/>
                  <wp:positionH relativeFrom="column">
                    <wp:posOffset>858520</wp:posOffset>
                  </wp:positionH>
                  <wp:positionV relativeFrom="paragraph">
                    <wp:posOffset>61595</wp:posOffset>
                  </wp:positionV>
                  <wp:extent cx="570865" cy="605790"/>
                  <wp:effectExtent l="0" t="0" r="635" b="3810"/>
                  <wp:wrapNone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86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3B7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634FA48" wp14:editId="69E961F6">
                  <wp:simplePos x="0" y="0"/>
                  <wp:positionH relativeFrom="column">
                    <wp:posOffset>223120</wp:posOffset>
                  </wp:positionH>
                  <wp:positionV relativeFrom="paragraph">
                    <wp:posOffset>38944</wp:posOffset>
                  </wp:positionV>
                  <wp:extent cx="568610" cy="626110"/>
                  <wp:effectExtent l="0" t="0" r="3175" b="2540"/>
                  <wp:wrapNone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Picture 243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1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5CFF9B" w14:textId="71C97742" w:rsidR="00744867" w:rsidRDefault="00744867" w:rsidP="00292558">
            <w:pPr>
              <w:jc w:val="center"/>
            </w:pPr>
          </w:p>
        </w:tc>
        <w:tc>
          <w:tcPr>
            <w:tcW w:w="3119" w:type="dxa"/>
          </w:tcPr>
          <w:p w14:paraId="23C6DC9D" w14:textId="55F136D5" w:rsidR="00436772" w:rsidRDefault="00032604" w:rsidP="0029255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1D15C67" wp14:editId="690DDF62">
                  <wp:simplePos x="0" y="0"/>
                  <wp:positionH relativeFrom="column">
                    <wp:posOffset>511772</wp:posOffset>
                  </wp:positionH>
                  <wp:positionV relativeFrom="paragraph">
                    <wp:posOffset>22225</wp:posOffset>
                  </wp:positionV>
                  <wp:extent cx="519582" cy="69277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582" cy="692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</w:tcPr>
          <w:p w14:paraId="36026C85" w14:textId="363FF52F" w:rsidR="00436772" w:rsidRDefault="00436772" w:rsidP="00292558">
            <w:pPr>
              <w:jc w:val="center"/>
              <w:rPr>
                <w:noProof/>
                <w:lang w:eastAsia="en-AU"/>
              </w:rPr>
            </w:pPr>
          </w:p>
        </w:tc>
      </w:tr>
      <w:tr w:rsidR="00436772" w14:paraId="3F4842E7" w14:textId="17B015EE" w:rsidTr="001D3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63C98E9D" w14:textId="476C3E48" w:rsidR="00436772" w:rsidRDefault="00DD3725" w:rsidP="001D3B7F">
            <w:r w:rsidRPr="00DD3725">
              <w:t>Over</w:t>
            </w:r>
            <w:r>
              <w:rPr>
                <w:b/>
                <w:bCs/>
              </w:rPr>
              <w:t xml:space="preserve"> </w:t>
            </w:r>
            <w:r w:rsidR="00436772" w:rsidRPr="00613407">
              <w:rPr>
                <w:b/>
                <w:bCs/>
              </w:rPr>
              <w:t>818,000 upgrades</w:t>
            </w:r>
            <w:r w:rsidR="0043677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="00436772" w:rsidRPr="00926F0F">
              <w:t>delivered</w:t>
            </w:r>
            <w:r w:rsidR="00436772" w:rsidRPr="00A073E7">
              <w:t xml:space="preserve"> in </w:t>
            </w:r>
            <w:r>
              <w:t xml:space="preserve">over </w:t>
            </w:r>
            <w:r w:rsidR="00436772" w:rsidRPr="00613407">
              <w:rPr>
                <w:b/>
                <w:bCs/>
              </w:rPr>
              <w:t xml:space="preserve">535,000 </w:t>
            </w:r>
            <w:r w:rsidR="00436772" w:rsidRPr="00DD3725">
              <w:t>households and businesses</w:t>
            </w:r>
          </w:p>
        </w:tc>
        <w:tc>
          <w:tcPr>
            <w:tcW w:w="3119" w:type="dxa"/>
          </w:tcPr>
          <w:p w14:paraId="7B02EFC5" w14:textId="17C450DE" w:rsidR="00436772" w:rsidRPr="00B911CD" w:rsidRDefault="00436772" w:rsidP="001D3B7F">
            <w:r w:rsidRPr="00436772">
              <w:t xml:space="preserve">Over </w:t>
            </w:r>
            <w:r w:rsidRPr="00613407">
              <w:rPr>
                <w:b/>
                <w:bCs/>
              </w:rPr>
              <w:t>7.8 million energy efficiency certificates</w:t>
            </w:r>
            <w:r w:rsidRPr="00062038">
              <w:t xml:space="preserve"> registered</w:t>
            </w:r>
          </w:p>
        </w:tc>
        <w:tc>
          <w:tcPr>
            <w:tcW w:w="2976" w:type="dxa"/>
          </w:tcPr>
          <w:p w14:paraId="5945F74B" w14:textId="039E4DD0" w:rsidR="00436772" w:rsidRDefault="00436772" w:rsidP="001D3B7F">
            <w:r w:rsidRPr="00613407">
              <w:rPr>
                <w:b/>
                <w:bCs/>
              </w:rPr>
              <w:t>25 per cent increase</w:t>
            </w:r>
            <w:r w:rsidRPr="00613407">
              <w:t xml:space="preserve"> </w:t>
            </w:r>
            <w:r w:rsidRPr="00613407">
              <w:rPr>
                <w:b/>
                <w:bCs/>
              </w:rPr>
              <w:t xml:space="preserve">in </w:t>
            </w:r>
            <w:r w:rsidR="00744867">
              <w:rPr>
                <w:b/>
                <w:bCs/>
              </w:rPr>
              <w:t xml:space="preserve">energy efficient </w:t>
            </w:r>
            <w:r w:rsidRPr="00613407">
              <w:rPr>
                <w:b/>
                <w:bCs/>
              </w:rPr>
              <w:t>upgrades</w:t>
            </w:r>
            <w:r w:rsidRPr="00613407">
              <w:t xml:space="preserve"> compared to 2021</w:t>
            </w:r>
          </w:p>
        </w:tc>
      </w:tr>
    </w:tbl>
    <w:p w14:paraId="4C4BBF60" w14:textId="4A9D44F1" w:rsidR="009F0657" w:rsidRDefault="00453632" w:rsidP="00453632">
      <w:pPr>
        <w:pStyle w:val="Heading3"/>
      </w:pPr>
      <w:r>
        <w:t xml:space="preserve">Other </w:t>
      </w:r>
      <w:r w:rsidR="003A6C60">
        <w:t>2022 program highlights</w:t>
      </w:r>
    </w:p>
    <w:p w14:paraId="38BA4972" w14:textId="71011C2D" w:rsidR="00872864" w:rsidRPr="00872864" w:rsidRDefault="005C2367" w:rsidP="007D2040">
      <w:pPr>
        <w:pStyle w:val="ListBullet"/>
        <w:rPr>
          <w:rFonts w:ascii="Times New Roman" w:eastAsia="Times New Roman" w:hAnsi="Times New Roman" w:cs="Times New Roman"/>
        </w:rPr>
      </w:pPr>
      <w:r>
        <w:t>Over</w:t>
      </w:r>
      <w:r w:rsidR="00872864" w:rsidRPr="00436772">
        <w:t xml:space="preserve"> </w:t>
      </w:r>
      <w:r w:rsidR="00872864" w:rsidRPr="00872864">
        <w:t xml:space="preserve">7.8 million tonnes of </w:t>
      </w:r>
      <w:r>
        <w:t xml:space="preserve">expected </w:t>
      </w:r>
      <w:r w:rsidR="00872864" w:rsidRPr="00872864">
        <w:t xml:space="preserve">greenhouse gas emissions </w:t>
      </w:r>
      <w:r>
        <w:t>savings</w:t>
      </w:r>
      <w:r w:rsidR="005F4D2B">
        <w:t>.</w:t>
      </w:r>
    </w:p>
    <w:p w14:paraId="2E8CB6DB" w14:textId="1551D932" w:rsidR="00195D9B" w:rsidRPr="00BF3B52" w:rsidRDefault="00195D9B" w:rsidP="007D2040">
      <w:pPr>
        <w:pStyle w:val="ListBullet"/>
        <w:rPr>
          <w:rFonts w:ascii="Times New Roman" w:eastAsia="Times New Roman" w:hAnsi="Times New Roman" w:cs="Times New Roman"/>
        </w:rPr>
      </w:pPr>
      <w:r>
        <w:t>Expected average annual cost savings</w:t>
      </w:r>
      <w:r w:rsidRPr="0023540E">
        <w:t xml:space="preserve"> </w:t>
      </w:r>
      <w:r w:rsidRPr="006836BC">
        <w:t>o</w:t>
      </w:r>
      <w:r w:rsidRPr="00F64C7E">
        <w:t>f</w:t>
      </w:r>
      <w:r w:rsidRPr="00BC4212">
        <w:t xml:space="preserve"> </w:t>
      </w:r>
      <w:r w:rsidRPr="00CE089E">
        <w:t>$100</w:t>
      </w:r>
      <w:r w:rsidRPr="00BC4212">
        <w:t xml:space="preserve"> </w:t>
      </w:r>
      <w:r>
        <w:t xml:space="preserve">and $2,117 for participating </w:t>
      </w:r>
      <w:r w:rsidRPr="00BC4212">
        <w:t>households and businesses</w:t>
      </w:r>
      <w:r>
        <w:t>.</w:t>
      </w:r>
    </w:p>
    <w:p w14:paraId="674FCB0B" w14:textId="43EF6D67" w:rsidR="00195D9B" w:rsidRDefault="00195D9B" w:rsidP="007D2040">
      <w:pPr>
        <w:pStyle w:val="ListBullet"/>
      </w:pPr>
      <w:r>
        <w:t>69 per cent of upgrade activities in metropolitan Melbourne, 31 per cent in regional Victoria.</w:t>
      </w:r>
    </w:p>
    <w:p w14:paraId="79965456" w14:textId="272714ED" w:rsidR="006816D9" w:rsidRPr="006816D9" w:rsidRDefault="006816D9" w:rsidP="007D2040">
      <w:pPr>
        <w:pStyle w:val="ListBullet"/>
      </w:pPr>
      <w:r w:rsidRPr="006816D9">
        <w:t>90 accredited persons created energy efficiency certificates across 35 program activities</w:t>
      </w:r>
      <w:r>
        <w:t>.</w:t>
      </w:r>
      <w:r w:rsidRPr="006816D9">
        <w:t xml:space="preserve"> </w:t>
      </w:r>
    </w:p>
    <w:p w14:paraId="2EB26802" w14:textId="5FFAC4CD" w:rsidR="00195D9B" w:rsidRDefault="00195D9B" w:rsidP="007D2040">
      <w:pPr>
        <w:pStyle w:val="ListBullet"/>
      </w:pPr>
      <w:r>
        <w:t>48 project-based activities approved – a 6</w:t>
      </w:r>
      <w:r w:rsidR="00261F6E">
        <w:t>5</w:t>
      </w:r>
      <w:r>
        <w:t xml:space="preserve"> per cent increase on 2021. Most proposed project-based activities </w:t>
      </w:r>
      <w:r w:rsidR="00354D86">
        <w:t>in</w:t>
      </w:r>
      <w:r>
        <w:t xml:space="preserve"> the last two years in the retail trade and manufacturing sectors.</w:t>
      </w:r>
    </w:p>
    <w:p w14:paraId="4401A306" w14:textId="27559454" w:rsidR="00E01ACA" w:rsidRDefault="005C102F" w:rsidP="007D2040">
      <w:pPr>
        <w:pStyle w:val="Heading2"/>
      </w:pPr>
      <w:r w:rsidRPr="00544F20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B17E6E9" wp14:editId="761A9056">
            <wp:simplePos x="0" y="0"/>
            <wp:positionH relativeFrom="column">
              <wp:posOffset>5150899</wp:posOffset>
            </wp:positionH>
            <wp:positionV relativeFrom="paragraph">
              <wp:posOffset>-1362710</wp:posOffset>
            </wp:positionV>
            <wp:extent cx="553155" cy="649356"/>
            <wp:effectExtent l="0" t="0" r="0" b="0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55" cy="649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3F2" w:rsidRPr="004803F2">
        <w:t>Maintaining program integrity and protecting consumers</w:t>
      </w:r>
    </w:p>
    <w:tbl>
      <w:tblPr>
        <w:tblStyle w:val="TableGrid"/>
        <w:tblW w:w="9639" w:type="dxa"/>
        <w:tblLook w:val="0480" w:firstRow="0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36745B" w14:paraId="1E9AB0C5" w14:textId="6C8D41D3" w:rsidTr="00367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09" w:type="dxa"/>
          </w:tcPr>
          <w:p w14:paraId="195B7086" w14:textId="3448F444" w:rsidR="0036745B" w:rsidRDefault="008545A6" w:rsidP="00526CF4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FDBFE6D" wp14:editId="29E8B69A">
                  <wp:simplePos x="0" y="0"/>
                  <wp:positionH relativeFrom="column">
                    <wp:posOffset>337105</wp:posOffset>
                  </wp:positionH>
                  <wp:positionV relativeFrom="paragraph">
                    <wp:posOffset>55855</wp:posOffset>
                  </wp:positionV>
                  <wp:extent cx="646160" cy="646160"/>
                  <wp:effectExtent l="0" t="0" r="1905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60" cy="6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3F882A5" w14:textId="67831E99" w:rsidR="0036745B" w:rsidRDefault="0036745B" w:rsidP="00526CF4">
            <w:pPr>
              <w:jc w:val="center"/>
            </w:pPr>
          </w:p>
        </w:tc>
        <w:tc>
          <w:tcPr>
            <w:tcW w:w="2410" w:type="dxa"/>
          </w:tcPr>
          <w:p w14:paraId="4FB8D619" w14:textId="0122B222" w:rsidR="0036745B" w:rsidRPr="00915BEC" w:rsidRDefault="008B52F7" w:rsidP="00526CF4">
            <w:pPr>
              <w:jc w:val="center"/>
              <w:rPr>
                <w:color w:val="FFFFFF" w:themeColor="background1"/>
              </w:rPr>
            </w:pPr>
            <w:r w:rsidRPr="00915BEC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5408" behindDoc="0" locked="0" layoutInCell="1" allowOverlap="1" wp14:anchorId="5138C604" wp14:editId="746F8663">
                  <wp:simplePos x="0" y="0"/>
                  <wp:positionH relativeFrom="column">
                    <wp:posOffset>363827</wp:posOffset>
                  </wp:positionH>
                  <wp:positionV relativeFrom="paragraph">
                    <wp:posOffset>917</wp:posOffset>
                  </wp:positionV>
                  <wp:extent cx="537891" cy="717188"/>
                  <wp:effectExtent l="0" t="0" r="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91" cy="717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00FA54FA" w14:textId="4CA068E9" w:rsidR="0036745B" w:rsidRDefault="0023154F" w:rsidP="00526CF4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BDA1779" wp14:editId="609F0131">
                  <wp:simplePos x="0" y="0"/>
                  <wp:positionH relativeFrom="column">
                    <wp:posOffset>193860</wp:posOffset>
                  </wp:positionH>
                  <wp:positionV relativeFrom="paragraph">
                    <wp:posOffset>5911</wp:posOffset>
                  </wp:positionV>
                  <wp:extent cx="924631" cy="711254"/>
                  <wp:effectExtent l="0" t="0" r="889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631" cy="711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02233C75" w14:textId="3E81DA13" w:rsidR="0036745B" w:rsidRDefault="000777B3" w:rsidP="00526CF4">
            <w:pPr>
              <w:jc w:val="center"/>
              <w:rPr>
                <w:noProof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4E5761C" wp14:editId="4651CA34">
                  <wp:simplePos x="0" y="0"/>
                  <wp:positionH relativeFrom="page">
                    <wp:posOffset>301625</wp:posOffset>
                  </wp:positionH>
                  <wp:positionV relativeFrom="page">
                    <wp:posOffset>4877</wp:posOffset>
                  </wp:positionV>
                  <wp:extent cx="728980" cy="728980"/>
                  <wp:effectExtent l="0" t="0" r="0" b="0"/>
                  <wp:wrapSquare wrapText="bothSides"/>
                  <wp:docPr id="18" name="Graphic 18" descr="Open 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Open envelope with solid fill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745B" w14:paraId="6231702D" w14:textId="09CA8166" w:rsidTr="003674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09" w:type="dxa"/>
          </w:tcPr>
          <w:p w14:paraId="2F7C4704" w14:textId="5782FDBF" w:rsidR="0036745B" w:rsidRDefault="0036745B" w:rsidP="00526CF4">
            <w:r w:rsidRPr="00AF06C7">
              <w:rPr>
                <w:b/>
                <w:bCs/>
              </w:rPr>
              <w:t>1</w:t>
            </w:r>
            <w:r>
              <w:rPr>
                <w:b/>
                <w:bCs/>
              </w:rPr>
              <w:t>,</w:t>
            </w:r>
            <w:r w:rsidRPr="00AF06C7">
              <w:rPr>
                <w:b/>
                <w:bCs/>
              </w:rPr>
              <w:t xml:space="preserve">020 upgrade audits </w:t>
            </w:r>
            <w:r w:rsidRPr="00AF06C7">
              <w:t>and</w:t>
            </w:r>
            <w:r w:rsidRPr="00AF06C7">
              <w:rPr>
                <w:b/>
                <w:bCs/>
              </w:rPr>
              <w:t xml:space="preserve"> 20 investigations </w:t>
            </w:r>
            <w:r w:rsidRPr="00AF06C7">
              <w:t>completed in 2022</w:t>
            </w:r>
          </w:p>
        </w:tc>
        <w:tc>
          <w:tcPr>
            <w:tcW w:w="2410" w:type="dxa"/>
          </w:tcPr>
          <w:p w14:paraId="4DBD3470" w14:textId="6E3AC80D" w:rsidR="0036745B" w:rsidRPr="00B911CD" w:rsidRDefault="00AE12AB" w:rsidP="00526CF4">
            <w:r w:rsidRPr="00B12610">
              <w:rPr>
                <w:b/>
                <w:bCs/>
              </w:rPr>
              <w:t xml:space="preserve">13,020 </w:t>
            </w:r>
            <w:r>
              <w:rPr>
                <w:b/>
                <w:bCs/>
              </w:rPr>
              <w:t>energ</w:t>
            </w:r>
            <w:r w:rsidR="00AD645A">
              <w:rPr>
                <w:b/>
                <w:bCs/>
              </w:rPr>
              <w:t xml:space="preserve">y </w:t>
            </w:r>
            <w:r>
              <w:rPr>
                <w:b/>
                <w:bCs/>
              </w:rPr>
              <w:t xml:space="preserve">efficiency </w:t>
            </w:r>
            <w:r w:rsidRPr="00B12610">
              <w:rPr>
                <w:b/>
                <w:bCs/>
              </w:rPr>
              <w:t>certificates</w:t>
            </w:r>
            <w:r>
              <w:rPr>
                <w:b/>
                <w:bCs/>
              </w:rPr>
              <w:t xml:space="preserve"> surrendered</w:t>
            </w:r>
            <w:r w:rsidRPr="0097072D">
              <w:t xml:space="preserve"> </w:t>
            </w:r>
            <w:r>
              <w:t xml:space="preserve">in 2022 </w:t>
            </w:r>
            <w:r w:rsidRPr="00584939">
              <w:t>worth over</w:t>
            </w:r>
            <w:r w:rsidRPr="00B12610">
              <w:rPr>
                <w:b/>
                <w:bCs/>
              </w:rPr>
              <w:t xml:space="preserve"> $900,000</w:t>
            </w:r>
          </w:p>
        </w:tc>
        <w:tc>
          <w:tcPr>
            <w:tcW w:w="2410" w:type="dxa"/>
          </w:tcPr>
          <w:p w14:paraId="6E9195EC" w14:textId="1BF078EB" w:rsidR="0036745B" w:rsidRDefault="0036745B" w:rsidP="00526CF4">
            <w:r w:rsidRPr="0036745B">
              <w:rPr>
                <w:b/>
                <w:bCs/>
              </w:rPr>
              <w:t xml:space="preserve">Accreditation of two accredited providers suspended </w:t>
            </w:r>
            <w:r w:rsidRPr="0036745B">
              <w:t xml:space="preserve">and </w:t>
            </w:r>
            <w:r w:rsidRPr="0036745B">
              <w:rPr>
                <w:b/>
                <w:bCs/>
              </w:rPr>
              <w:t xml:space="preserve">one revoked </w:t>
            </w:r>
            <w:r w:rsidRPr="0036745B">
              <w:t>in 2022</w:t>
            </w:r>
          </w:p>
        </w:tc>
        <w:tc>
          <w:tcPr>
            <w:tcW w:w="2410" w:type="dxa"/>
          </w:tcPr>
          <w:p w14:paraId="38D2CCF1" w14:textId="1DE5D413" w:rsidR="0036745B" w:rsidRPr="0036745B" w:rsidRDefault="009B0997" w:rsidP="00526C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Over $1.5 million in shortfall penalties </w:t>
            </w:r>
            <w:r>
              <w:t>paid by energy retailers in 2022</w:t>
            </w:r>
          </w:p>
        </w:tc>
      </w:tr>
    </w:tbl>
    <w:p w14:paraId="7960F62B" w14:textId="22AC13D7" w:rsidR="00C07C02" w:rsidRDefault="00C07C02" w:rsidP="00C07C02">
      <w:r>
        <w:t xml:space="preserve">1,645 </w:t>
      </w:r>
      <w:r w:rsidR="00AC1E61">
        <w:t xml:space="preserve">consumer </w:t>
      </w:r>
      <w:r>
        <w:t xml:space="preserve">complaints were received in 2022, which </w:t>
      </w:r>
      <w:r w:rsidR="00AC1E61">
        <w:t>i</w:t>
      </w:r>
      <w:r>
        <w:t xml:space="preserve">s 31 complaints per 10,000 premises upgraded. </w:t>
      </w:r>
      <w:r w:rsidR="00AC1E61">
        <w:t>Most</w:t>
      </w:r>
      <w:r>
        <w:t xml:space="preserve"> complaints related to product issues, marketing and sales, and installer conduct.</w:t>
      </w:r>
    </w:p>
    <w:p w14:paraId="3ED74088" w14:textId="4A8CDB04" w:rsidR="00DB1592" w:rsidRDefault="00C07C02" w:rsidP="005E4C24">
      <w:r>
        <w:t xml:space="preserve">New laws and program requirements were introduced in 2022 to strengthen the program in the long-term interest of Victorian consumers following extensive engagement with accredited persons and other program participants. </w:t>
      </w:r>
    </w:p>
    <w:p w14:paraId="58012B27" w14:textId="3ED6F9A6" w:rsidR="00A21033" w:rsidRDefault="00C07C02" w:rsidP="005E4C24">
      <w:r>
        <w:t>This includes a new enforceable code of conduct that all accredited providers and third parties operating on their behalf must comply with when engaging with households and businesses about the program.</w:t>
      </w:r>
      <w:r w:rsidR="008964DC">
        <w:t xml:space="preserve"> </w:t>
      </w:r>
      <w:r w:rsidR="005E4C24">
        <w:t xml:space="preserve">On 1 July 2023, further </w:t>
      </w:r>
      <w:r w:rsidR="0017016C">
        <w:t xml:space="preserve">program </w:t>
      </w:r>
      <w:r w:rsidR="005E4C24">
        <w:t xml:space="preserve">changes came into effect – including </w:t>
      </w:r>
      <w:r w:rsidR="008964DC">
        <w:t xml:space="preserve">strengthened commission functions and powers, </w:t>
      </w:r>
      <w:r w:rsidR="005E4C24">
        <w:t>new accreditation processes and standards</w:t>
      </w:r>
      <w:r w:rsidR="008964DC">
        <w:t>, and</w:t>
      </w:r>
      <w:r w:rsidR="005E4C24">
        <w:t xml:space="preserve"> new fees.</w:t>
      </w:r>
    </w:p>
    <w:p w14:paraId="525CD53B" w14:textId="284A41E2" w:rsidR="00A21033" w:rsidRPr="007E56EE" w:rsidRDefault="00A21033" w:rsidP="00AA6ED3">
      <w:pPr>
        <w:pStyle w:val="Heading2"/>
      </w:pPr>
      <w:r w:rsidRPr="007E56EE">
        <w:t>Upgrades to supermarkets across Victoria</w:t>
      </w:r>
    </w:p>
    <w:p w14:paraId="640AC4E6" w14:textId="77777777" w:rsidR="00943D90" w:rsidRDefault="00A21033" w:rsidP="00943D90">
      <w:pPr>
        <w:pStyle w:val="Pull-out"/>
      </w:pPr>
      <w:r w:rsidRPr="00B33C20">
        <w:t xml:space="preserve">395 supermarkets have implemented energy efficiency upgrades since project-based </w:t>
      </w:r>
      <w:r w:rsidRPr="00B33C20">
        <w:br/>
        <w:t>activities were introduced in 2017 to the end of 2022</w:t>
      </w:r>
      <w:r w:rsidR="00090B56">
        <w:t>,</w:t>
      </w:r>
      <w:r w:rsidRPr="00B33C20">
        <w:t xml:space="preserve"> cover</w:t>
      </w:r>
      <w:r w:rsidR="00090B56">
        <w:t>ing</w:t>
      </w:r>
      <w:r w:rsidRPr="00B33C20">
        <w:t xml:space="preserve"> a range of technologies:</w:t>
      </w:r>
    </w:p>
    <w:p w14:paraId="3F934D2D" w14:textId="77777777" w:rsidR="00943D90" w:rsidRDefault="00A21033" w:rsidP="00943D90">
      <w:pPr>
        <w:pStyle w:val="Pull-outBullet1"/>
        <w:ind w:left="482"/>
      </w:pPr>
      <w:r>
        <w:t>heating, ventilation and air-conditioning, including heat pumps</w:t>
      </w:r>
    </w:p>
    <w:p w14:paraId="2B363FAA" w14:textId="77777777" w:rsidR="00943D90" w:rsidRDefault="00A21033" w:rsidP="00943D90">
      <w:pPr>
        <w:pStyle w:val="Pull-outBullet1"/>
        <w:ind w:left="482"/>
      </w:pPr>
      <w:r>
        <w:t xml:space="preserve">building control management system optimisation </w:t>
      </w:r>
    </w:p>
    <w:p w14:paraId="6D8D4B0B" w14:textId="77777777" w:rsidR="00943D90" w:rsidRDefault="00A21033" w:rsidP="00943D90">
      <w:pPr>
        <w:pStyle w:val="Pull-outBullet1"/>
        <w:ind w:left="482"/>
      </w:pPr>
      <w:r>
        <w:t>refrigeration, bakery oven and building fabric upgrades</w:t>
      </w:r>
    </w:p>
    <w:p w14:paraId="7D6506CA" w14:textId="77777777" w:rsidR="00943D90" w:rsidRDefault="00A21033" w:rsidP="00943D90">
      <w:pPr>
        <w:pStyle w:val="Pull-outBullet1"/>
        <w:ind w:left="482"/>
      </w:pPr>
      <w:r>
        <w:t>solar photovoltaic and variable speed drive installation.</w:t>
      </w:r>
    </w:p>
    <w:p w14:paraId="7E79611E" w14:textId="532051AF" w:rsidR="00090B56" w:rsidRDefault="00066CF9" w:rsidP="00943D90">
      <w:pPr>
        <w:pStyle w:val="Pull-outBullet1"/>
        <w:numPr>
          <w:ilvl w:val="0"/>
          <w:numId w:val="0"/>
        </w:numPr>
        <w:ind w:left="198"/>
      </w:pPr>
      <w:r w:rsidRPr="00B33C20">
        <w:t>81 supermarkets underwent upgrades in 2022</w:t>
      </w:r>
      <w:r w:rsidR="00091298">
        <w:t xml:space="preserve">, </w:t>
      </w:r>
      <w:r w:rsidR="003323B7">
        <w:t xml:space="preserve">translating to </w:t>
      </w:r>
      <w:r w:rsidRPr="00B33C20">
        <w:t xml:space="preserve">over 78,000 tonnes of </w:t>
      </w:r>
      <w:r w:rsidR="003323B7">
        <w:t xml:space="preserve">expected </w:t>
      </w:r>
      <w:r w:rsidRPr="00B33C20">
        <w:t>greenhouse gas emissions</w:t>
      </w:r>
      <w:r w:rsidR="00EA1D92">
        <w:t xml:space="preserve"> </w:t>
      </w:r>
      <w:r w:rsidR="003323B7">
        <w:t xml:space="preserve">savings </w:t>
      </w:r>
      <w:r w:rsidR="00EA1D92">
        <w:t>(</w:t>
      </w:r>
      <w:r w:rsidR="00A21033" w:rsidRPr="00EA1D92">
        <w:t>14</w:t>
      </w:r>
      <w:r w:rsidR="00EA1D92" w:rsidRPr="00EA1D92">
        <w:t xml:space="preserve"> per cent</w:t>
      </w:r>
      <w:r w:rsidR="00A21033" w:rsidRPr="00EA1D92">
        <w:t xml:space="preserve"> of projects have not yet provided estimates</w:t>
      </w:r>
      <w:r w:rsidR="00EA1D92" w:rsidRPr="00EA1D92">
        <w:t>)</w:t>
      </w:r>
      <w:r w:rsidR="00A21033">
        <w:t>.</w:t>
      </w:r>
    </w:p>
    <w:p w14:paraId="4B9E6AAB" w14:textId="4D9BC53E" w:rsidR="001C750A" w:rsidRPr="00090B56" w:rsidRDefault="001E3A54" w:rsidP="00090B56">
      <w:pPr>
        <w:rPr>
          <w:b/>
          <w:bCs/>
        </w:rPr>
      </w:pPr>
      <w:r w:rsidRPr="00090B56">
        <w:rPr>
          <w:b/>
          <w:bCs/>
        </w:rPr>
        <w:t>Visit our website to access</w:t>
      </w:r>
      <w:r w:rsidR="00073119" w:rsidRPr="00090B56">
        <w:rPr>
          <w:b/>
          <w:bCs/>
        </w:rPr>
        <w:t xml:space="preserve"> </w:t>
      </w:r>
      <w:r w:rsidR="00387B04" w:rsidRPr="00090B56">
        <w:rPr>
          <w:b/>
          <w:bCs/>
        </w:rPr>
        <w:t xml:space="preserve">the </w:t>
      </w:r>
      <w:hyperlink r:id="rId26" w:history="1">
        <w:r w:rsidR="00387B04" w:rsidRPr="00090B56">
          <w:rPr>
            <w:rStyle w:val="Hyperlink"/>
            <w:b/>
            <w:bCs/>
          </w:rPr>
          <w:t>Victorian Energy Upgrades Performance Report 2022</w:t>
        </w:r>
      </w:hyperlink>
    </w:p>
    <w:sectPr w:rsidR="001C750A" w:rsidRPr="00090B56" w:rsidSect="002A5B7B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134" w:right="1134" w:bottom="1134" w:left="1134" w:header="709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D7E9" w14:textId="77777777" w:rsidR="001341B5" w:rsidRDefault="001341B5" w:rsidP="00AE03FA">
      <w:pPr>
        <w:spacing w:after="0"/>
      </w:pPr>
      <w:r>
        <w:separator/>
      </w:r>
    </w:p>
    <w:p w14:paraId="7559EA45" w14:textId="77777777" w:rsidR="001341B5" w:rsidRDefault="001341B5"/>
  </w:endnote>
  <w:endnote w:type="continuationSeparator" w:id="0">
    <w:p w14:paraId="048321A4" w14:textId="77777777" w:rsidR="001341B5" w:rsidRDefault="001341B5" w:rsidP="00AE03FA">
      <w:pPr>
        <w:spacing w:after="0"/>
      </w:pPr>
      <w:r>
        <w:continuationSeparator/>
      </w:r>
    </w:p>
    <w:p w14:paraId="35AE55F6" w14:textId="77777777" w:rsidR="001341B5" w:rsidRDefault="00134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5BD7" w14:textId="77777777" w:rsidR="009F0657" w:rsidRDefault="009F0657" w:rsidP="009F0657">
    <w:pPr>
      <w:pStyle w:val="Footer"/>
    </w:pP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454"/>
    </w:tblGrid>
    <w:tr w:rsidR="009F0657" w:rsidRPr="001A45DD" w14:paraId="38041702" w14:textId="77777777" w:rsidTr="00292558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4" w:type="dxa"/>
          <w:shd w:val="clear" w:color="auto" w:fill="auto"/>
        </w:tcPr>
        <w:p w14:paraId="4853201F" w14:textId="77777777" w:rsidR="009F0657" w:rsidRPr="001A45DD" w:rsidRDefault="009F0657" w:rsidP="00292558">
          <w:pPr>
            <w:pStyle w:val="Footer"/>
            <w:spacing w:before="0"/>
            <w:rPr>
              <w:rStyle w:val="PageNumber"/>
            </w:rPr>
          </w:pPr>
          <w:r w:rsidRPr="001A45DD">
            <w:rPr>
              <w:rStyle w:val="PageNumber"/>
            </w:rPr>
            <w:fldChar w:fldCharType="begin"/>
          </w:r>
          <w:r w:rsidRPr="001A45DD">
            <w:rPr>
              <w:rStyle w:val="PageNumber"/>
            </w:rPr>
            <w:instrText xml:space="preserve"> PAGE   \* MERGEFORMAT </w:instrText>
          </w:r>
          <w:r w:rsidRPr="001A45DD">
            <w:rPr>
              <w:rStyle w:val="PageNumber"/>
            </w:rPr>
            <w:fldChar w:fldCharType="separate"/>
          </w:r>
          <w:r w:rsidR="00044B5D">
            <w:rPr>
              <w:rStyle w:val="PageNumber"/>
              <w:noProof/>
            </w:rPr>
            <w:t>3</w:t>
          </w:r>
          <w:r w:rsidRPr="001A45DD">
            <w:rPr>
              <w:rStyle w:val="PageNumber"/>
            </w:rPr>
            <w:fldChar w:fldCharType="end"/>
          </w:r>
        </w:p>
      </w:tc>
    </w:tr>
  </w:tbl>
  <w:p w14:paraId="0FF38816" w14:textId="2CD4D101" w:rsidR="009F0657" w:rsidRDefault="009F0657" w:rsidP="009A60D6">
    <w:pPr>
      <w:pStyle w:val="Footer"/>
      <w:ind w:left="567" w:right="707"/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5A723EF" wp14:editId="581A82DB">
          <wp:simplePos x="0" y="0"/>
          <wp:positionH relativeFrom="column">
            <wp:posOffset>-5715</wp:posOffset>
          </wp:positionH>
          <wp:positionV relativeFrom="paragraph">
            <wp:posOffset>47943</wp:posOffset>
          </wp:positionV>
          <wp:extent cx="279400" cy="279400"/>
          <wp:effectExtent l="0" t="0" r="6350" b="6350"/>
          <wp:wrapTight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ight>
          <wp:docPr id="236" name="Picture 236" descr="C:\Users\sargent\Desktop\10898_ESC_Logo_Social_Circl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argent\Desktop\10898_ESC_Logo_Social_Circle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Essential Services Commission </w:t>
    </w:r>
    <w:sdt>
      <w:sdtPr>
        <w:rPr>
          <w:b/>
        </w:rPr>
        <w:alias w:val="Title"/>
        <w:tag w:val=""/>
        <w:id w:val="40256534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7DCC">
          <w:rPr>
            <w:b/>
          </w:rPr>
          <w:t>VEU Performance Report 2022 – fact sheet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211A" w14:textId="77777777" w:rsidR="009F0657" w:rsidRDefault="009F0657" w:rsidP="009F0657">
    <w:pPr>
      <w:pStyle w:val="Footer"/>
    </w:pP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454"/>
    </w:tblGrid>
    <w:tr w:rsidR="009F0657" w:rsidRPr="001A45DD" w14:paraId="51BC318E" w14:textId="77777777" w:rsidTr="00292558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4" w:type="dxa"/>
          <w:shd w:val="clear" w:color="auto" w:fill="auto"/>
        </w:tcPr>
        <w:p w14:paraId="4442CCEB" w14:textId="77777777" w:rsidR="009F0657" w:rsidRPr="001A45DD" w:rsidRDefault="009F0657" w:rsidP="00292558">
          <w:pPr>
            <w:pStyle w:val="Footer"/>
            <w:spacing w:before="0"/>
            <w:rPr>
              <w:rStyle w:val="PageNumber"/>
            </w:rPr>
          </w:pPr>
          <w:r w:rsidRPr="001A45DD">
            <w:rPr>
              <w:rStyle w:val="PageNumber"/>
            </w:rPr>
            <w:fldChar w:fldCharType="begin"/>
          </w:r>
          <w:r w:rsidRPr="001A45DD">
            <w:rPr>
              <w:rStyle w:val="PageNumber"/>
            </w:rPr>
            <w:instrText xml:space="preserve"> PAGE   \* MERGEFORMAT </w:instrText>
          </w:r>
          <w:r w:rsidRPr="001A45DD">
            <w:rPr>
              <w:rStyle w:val="PageNumber"/>
            </w:rPr>
            <w:fldChar w:fldCharType="separate"/>
          </w:r>
          <w:r w:rsidR="00044B5D">
            <w:rPr>
              <w:rStyle w:val="PageNumber"/>
              <w:noProof/>
            </w:rPr>
            <w:t>1</w:t>
          </w:r>
          <w:r w:rsidRPr="001A45DD">
            <w:rPr>
              <w:rStyle w:val="PageNumber"/>
            </w:rPr>
            <w:fldChar w:fldCharType="end"/>
          </w:r>
        </w:p>
      </w:tc>
    </w:tr>
  </w:tbl>
  <w:p w14:paraId="3BC5FACA" w14:textId="7AC9F287" w:rsidR="009F0657" w:rsidRPr="0061474D" w:rsidRDefault="009F0657" w:rsidP="009A60D6">
    <w:pPr>
      <w:pStyle w:val="Footer"/>
      <w:ind w:left="567" w:right="707"/>
      <w:rPr>
        <w:b/>
      </w:rPr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2EC75224" wp14:editId="2FA6EB52">
          <wp:simplePos x="0" y="0"/>
          <wp:positionH relativeFrom="column">
            <wp:posOffset>-5715</wp:posOffset>
          </wp:positionH>
          <wp:positionV relativeFrom="paragraph">
            <wp:posOffset>47943</wp:posOffset>
          </wp:positionV>
          <wp:extent cx="279400" cy="279400"/>
          <wp:effectExtent l="0" t="0" r="6350" b="6350"/>
          <wp:wrapTight wrapText="bothSides">
            <wp:wrapPolygon edited="0">
              <wp:start x="0" y="0"/>
              <wp:lineTo x="0" y="20618"/>
              <wp:lineTo x="20618" y="20618"/>
              <wp:lineTo x="20618" y="0"/>
              <wp:lineTo x="0" y="0"/>
            </wp:wrapPolygon>
          </wp:wrapTight>
          <wp:docPr id="238" name="Picture 238" descr="C:\Users\sargent\Desktop\10898_ESC_Logo_Social_Circl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argent\Desktop\10898_ESC_Logo_Social_Circle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Essential Services Commission </w:t>
    </w:r>
    <w:sdt>
      <w:sdtPr>
        <w:rPr>
          <w:b/>
        </w:rPr>
        <w:alias w:val="Title"/>
        <w:tag w:val=""/>
        <w:id w:val="-62569495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7DCC">
          <w:rPr>
            <w:b/>
          </w:rPr>
          <w:t>VEU</w:t>
        </w:r>
        <w:r w:rsidR="00BD094E">
          <w:rPr>
            <w:b/>
          </w:rPr>
          <w:t xml:space="preserve"> </w:t>
        </w:r>
        <w:r w:rsidR="00317CFD" w:rsidRPr="0061474D">
          <w:rPr>
            <w:b/>
          </w:rPr>
          <w:t>Performance Report 2022</w:t>
        </w:r>
        <w:r w:rsidR="00317CFD">
          <w:rPr>
            <w:b/>
          </w:rPr>
          <w:t xml:space="preserve"> –</w:t>
        </w:r>
        <w:r w:rsidR="008E7DCC">
          <w:rPr>
            <w:b/>
          </w:rPr>
          <w:t xml:space="preserve"> </w:t>
        </w:r>
        <w:r w:rsidR="00317CFD" w:rsidRPr="00150AEB">
          <w:rPr>
            <w:b/>
          </w:rPr>
          <w:t>fact sheet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8F8E" w14:textId="77777777" w:rsidR="001341B5" w:rsidRPr="00CF33F6" w:rsidRDefault="001341B5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615725BB" w14:textId="77777777" w:rsidR="001341B5" w:rsidRDefault="001341B5" w:rsidP="00CF33F6">
      <w:pPr>
        <w:pStyle w:val="NoSpacing"/>
      </w:pPr>
    </w:p>
  </w:footnote>
  <w:footnote w:type="continuationSeparator" w:id="0">
    <w:p w14:paraId="6D2A5BF0" w14:textId="77777777" w:rsidR="001341B5" w:rsidRDefault="001341B5" w:rsidP="00AE03FA">
      <w:pPr>
        <w:spacing w:after="0"/>
      </w:pPr>
      <w:r>
        <w:continuationSeparator/>
      </w:r>
    </w:p>
    <w:p w14:paraId="0D15FC5A" w14:textId="77777777" w:rsidR="001341B5" w:rsidRDefault="001341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5EB0" w14:textId="47FE05E3" w:rsidR="003A30F3" w:rsidRPr="00633068" w:rsidRDefault="009F0657" w:rsidP="0043434E">
    <w:pPr>
      <w:tabs>
        <w:tab w:val="left" w:pos="8188"/>
      </w:tabs>
    </w:pPr>
    <w:r w:rsidRPr="00611829">
      <w:rPr>
        <w:noProof/>
        <w:lang w:eastAsia="en-AU"/>
      </w:rPr>
      <mc:AlternateContent>
        <mc:Choice Requires="wps">
          <w:drawing>
            <wp:anchor distT="0" distB="180340" distL="114300" distR="114300" simplePos="0" relativeHeight="251668480" behindDoc="0" locked="0" layoutInCell="1" allowOverlap="1" wp14:anchorId="73B3BB58" wp14:editId="31623FDB">
              <wp:simplePos x="0" y="0"/>
              <wp:positionH relativeFrom="column">
                <wp:posOffset>-709930</wp:posOffset>
              </wp:positionH>
              <wp:positionV relativeFrom="paragraph">
                <wp:posOffset>-450215</wp:posOffset>
              </wp:positionV>
              <wp:extent cx="11796395" cy="989965"/>
              <wp:effectExtent l="0" t="0" r="0" b="635"/>
              <wp:wrapTopAndBottom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96395" cy="98996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DB5F05" id="Rectangle 5" o:spid="_x0000_s1026" style="position:absolute;margin-left:-55.9pt;margin-top:-35.45pt;width:928.85pt;height:77.95pt;z-index:251668480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" fillcolor="#4986a0 [3215]" stroked="f" strokeweight="1pt">
              <w10:wrap type="topAndBottom"/>
            </v:rect>
          </w:pict>
        </mc:Fallback>
      </mc:AlternateContent>
    </w:r>
    <w:r w:rsidR="0043434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4D13" w14:textId="07508175" w:rsidR="009F0657" w:rsidRDefault="009E262D">
    <w:pPr>
      <w:pStyle w:val="Header"/>
    </w:pPr>
    <w:r w:rsidRPr="0061182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ABDBF" wp14:editId="3B3FC938">
              <wp:simplePos x="0" y="0"/>
              <wp:positionH relativeFrom="column">
                <wp:posOffset>-15240</wp:posOffset>
              </wp:positionH>
              <wp:positionV relativeFrom="paragraph">
                <wp:posOffset>-221615</wp:posOffset>
              </wp:positionV>
              <wp:extent cx="4690745" cy="1628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0745" cy="1628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FA993" w14:textId="078EBD4D" w:rsidR="009F0657" w:rsidRPr="008A074F" w:rsidRDefault="00DD7543" w:rsidP="009F0657">
                          <w:pPr>
                            <w:pStyle w:val="Heading1"/>
                          </w:pPr>
                          <w:r>
                            <w:t>Victorian Energy Upgrades</w:t>
                          </w:r>
                          <w:r w:rsidR="00263F81">
                            <w:br/>
                          </w:r>
                          <w:r w:rsidR="009E262D">
                            <w:t>Performance Report 2022</w:t>
                          </w:r>
                        </w:p>
                        <w:p w14:paraId="0A59401A" w14:textId="77777777" w:rsidR="009F0657" w:rsidRPr="008A074F" w:rsidRDefault="009F0657" w:rsidP="009F0657">
                          <w:pPr>
                            <w:pStyle w:val="Heading1"/>
                          </w:pPr>
                        </w:p>
                        <w:p w14:paraId="1CFCD4CD" w14:textId="77777777" w:rsidR="009F0657" w:rsidRPr="008A074F" w:rsidRDefault="009F0657" w:rsidP="009F0657">
                          <w:pPr>
                            <w:pStyle w:val="Heading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ABD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2pt;margin-top:-17.45pt;width:369.35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" filled="f" stroked="f">
              <v:textbox>
                <w:txbxContent>
                  <w:p w14:paraId="293FA993" w14:textId="078EBD4D" w:rsidR="009F0657" w:rsidRPr="008A074F" w:rsidRDefault="00DD7543" w:rsidP="009F0657">
                    <w:pPr>
                      <w:pStyle w:val="Heading1"/>
                    </w:pPr>
                    <w:r>
                      <w:t>Victorian Energy Upgrades</w:t>
                    </w:r>
                    <w:r w:rsidR="00263F81">
                      <w:br/>
                    </w:r>
                    <w:r w:rsidR="009E262D">
                      <w:t>Performance Report 2022</w:t>
                    </w:r>
                  </w:p>
                  <w:p w14:paraId="0A59401A" w14:textId="77777777" w:rsidR="009F0657" w:rsidRPr="008A074F" w:rsidRDefault="009F0657" w:rsidP="009F0657">
                    <w:pPr>
                      <w:pStyle w:val="Heading1"/>
                    </w:pPr>
                  </w:p>
                  <w:p w14:paraId="1CFCD4CD" w14:textId="77777777" w:rsidR="009F0657" w:rsidRPr="008A074F" w:rsidRDefault="009F0657" w:rsidP="009F0657">
                    <w:pPr>
                      <w:pStyle w:val="Heading1"/>
                    </w:pPr>
                  </w:p>
                </w:txbxContent>
              </v:textbox>
            </v:shape>
          </w:pict>
        </mc:Fallback>
      </mc:AlternateContent>
    </w:r>
    <w:r w:rsidR="009F0657" w:rsidRPr="0061182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030D54" wp14:editId="6A231D70">
              <wp:simplePos x="0" y="0"/>
              <wp:positionH relativeFrom="column">
                <wp:posOffset>-22225</wp:posOffset>
              </wp:positionH>
              <wp:positionV relativeFrom="paragraph">
                <wp:posOffset>976934</wp:posOffset>
              </wp:positionV>
              <wp:extent cx="4467860" cy="4051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860" cy="405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45A30" w14:textId="3B23336E" w:rsidR="009F0657" w:rsidRPr="008D6E08" w:rsidRDefault="00263F81" w:rsidP="009F0657">
                          <w:pPr>
                            <w:pStyle w:val="Subtitle"/>
                          </w:pPr>
                          <w:r>
                            <w:t>Participant</w:t>
                          </w:r>
                          <w:r w:rsidR="009E262D">
                            <w:t xml:space="preserve"> fact sheet</w:t>
                          </w:r>
                        </w:p>
                        <w:p w14:paraId="15B49D0F" w14:textId="77777777" w:rsidR="009F0657" w:rsidRPr="008D6E08" w:rsidRDefault="009F0657" w:rsidP="009F0657">
                          <w:pPr>
                            <w:pStyle w:val="Subtitle"/>
                          </w:pPr>
                        </w:p>
                        <w:p w14:paraId="4CFA1613" w14:textId="77777777" w:rsidR="009F0657" w:rsidRPr="00261CC2" w:rsidRDefault="009F0657" w:rsidP="009F0657">
                          <w:pPr>
                            <w:pStyle w:val="Subtitl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030D54" id="_x0000_s1027" type="#_x0000_t202" style="position:absolute;margin-left:-1.75pt;margin-top:76.9pt;width:351.8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" filled="f" stroked="f">
              <v:textbox>
                <w:txbxContent>
                  <w:p w14:paraId="07745A30" w14:textId="3B23336E" w:rsidR="009F0657" w:rsidRPr="008D6E08" w:rsidRDefault="00263F81" w:rsidP="009F0657">
                    <w:pPr>
                      <w:pStyle w:val="Subtitle"/>
                    </w:pPr>
                    <w:r>
                      <w:t>Participant</w:t>
                    </w:r>
                    <w:r w:rsidR="009E262D">
                      <w:t xml:space="preserve"> fact sheet</w:t>
                    </w:r>
                  </w:p>
                  <w:p w14:paraId="15B49D0F" w14:textId="77777777" w:rsidR="009F0657" w:rsidRPr="008D6E08" w:rsidRDefault="009F0657" w:rsidP="009F0657">
                    <w:pPr>
                      <w:pStyle w:val="Subtitle"/>
                    </w:pPr>
                  </w:p>
                  <w:p w14:paraId="4CFA1613" w14:textId="77777777" w:rsidR="009F0657" w:rsidRPr="00261CC2" w:rsidRDefault="009F0657" w:rsidP="009F0657">
                    <w:pPr>
                      <w:pStyle w:val="Subtitle"/>
                    </w:pPr>
                  </w:p>
                </w:txbxContent>
              </v:textbox>
            </v:shape>
          </w:pict>
        </mc:Fallback>
      </mc:AlternateContent>
    </w:r>
    <w:r w:rsidR="009F0657" w:rsidRPr="00611829">
      <w:rPr>
        <w:noProof/>
        <w:lang w:eastAsia="en-AU"/>
      </w:rPr>
      <mc:AlternateContent>
        <mc:Choice Requires="wps">
          <w:drawing>
            <wp:anchor distT="0" distB="180340" distL="114300" distR="114300" simplePos="0" relativeHeight="251659264" behindDoc="0" locked="0" layoutInCell="1" allowOverlap="1" wp14:anchorId="602D4E4B" wp14:editId="45216FB5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11323320" cy="2035175"/>
              <wp:effectExtent l="0" t="0" r="0" b="3175"/>
              <wp:wrapTopAndBottom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23320" cy="203517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50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238B9B" id="Rectangle 1" o:spid="_x0000_s1026" style="position:absolute;margin-left:-56.7pt;margin-top:-35.45pt;width:891.6pt;height:160.25pt;z-index:251659264;visibility:visible;mso-wrap-style:square;mso-width-percent:0;mso-height-percent:0;mso-wrap-distance-left:9pt;mso-wrap-distance-top:0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" fillcolor="#4986a0 [3215]" stroked="f" strokeweight="1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70A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D04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62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88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238F1"/>
    <w:multiLevelType w:val="hybridMultilevel"/>
    <w:tmpl w:val="6D9EE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10C0B"/>
    <w:multiLevelType w:val="multilevel"/>
    <w:tmpl w:val="3D66CBA2"/>
    <w:numStyleLink w:val="CustomNumberlist"/>
  </w:abstractNum>
  <w:abstractNum w:abstractNumId="15" w15:restartNumberingAfterBreak="0">
    <w:nsid w:val="1B3C049B"/>
    <w:multiLevelType w:val="multilevel"/>
    <w:tmpl w:val="6D9A2BC2"/>
    <w:numStyleLink w:val="NumberedHeadings"/>
  </w:abstractNum>
  <w:abstractNum w:abstractNumId="16" w15:restartNumberingAfterBreak="0">
    <w:nsid w:val="1E8052EF"/>
    <w:multiLevelType w:val="multilevel"/>
    <w:tmpl w:val="DF4A9966"/>
    <w:numStyleLink w:val="TableBullets"/>
  </w:abstractNum>
  <w:abstractNum w:abstractNumId="17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391238"/>
    <w:multiLevelType w:val="multilevel"/>
    <w:tmpl w:val="6D9A2BC2"/>
    <w:numStyleLink w:val="NumberedHeadings"/>
  </w:abstractNum>
  <w:abstractNum w:abstractNumId="19" w15:restartNumberingAfterBreak="0">
    <w:nsid w:val="237F7A83"/>
    <w:multiLevelType w:val="hybridMultilevel"/>
    <w:tmpl w:val="7018A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E348D"/>
    <w:multiLevelType w:val="multilevel"/>
    <w:tmpl w:val="3D66CBA2"/>
    <w:numStyleLink w:val="CustomNumberlist"/>
  </w:abstractNum>
  <w:abstractNum w:abstractNumId="21" w15:restartNumberingAfterBreak="0">
    <w:nsid w:val="39C20E77"/>
    <w:multiLevelType w:val="multilevel"/>
    <w:tmpl w:val="6D9A2BC2"/>
    <w:numStyleLink w:val="NumberedHeadings"/>
  </w:abstractNum>
  <w:abstractNum w:abstractNumId="22" w15:restartNumberingAfterBreak="0">
    <w:nsid w:val="3AA454D7"/>
    <w:multiLevelType w:val="multilevel"/>
    <w:tmpl w:val="6D9A2BC2"/>
    <w:numStyleLink w:val="NumberedHeadings"/>
  </w:abstractNum>
  <w:abstractNum w:abstractNumId="23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A8B0109"/>
    <w:multiLevelType w:val="multilevel"/>
    <w:tmpl w:val="3D66CBA2"/>
    <w:numStyleLink w:val="CustomNumberlist"/>
  </w:abstractNum>
  <w:abstractNum w:abstractNumId="26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05317"/>
    <w:multiLevelType w:val="multilevel"/>
    <w:tmpl w:val="3D66CBA2"/>
    <w:numStyleLink w:val="CustomNumberlist"/>
  </w:abstractNum>
  <w:abstractNum w:abstractNumId="29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C0E2A"/>
    <w:multiLevelType w:val="hybridMultilevel"/>
    <w:tmpl w:val="4A10D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935619">
    <w:abstractNumId w:val="9"/>
  </w:num>
  <w:num w:numId="2" w16cid:durableId="1089429743">
    <w:abstractNumId w:val="7"/>
  </w:num>
  <w:num w:numId="3" w16cid:durableId="29258527">
    <w:abstractNumId w:val="6"/>
  </w:num>
  <w:num w:numId="4" w16cid:durableId="460266355">
    <w:abstractNumId w:val="5"/>
  </w:num>
  <w:num w:numId="5" w16cid:durableId="1887451112">
    <w:abstractNumId w:val="4"/>
  </w:num>
  <w:num w:numId="6" w16cid:durableId="604729954">
    <w:abstractNumId w:val="8"/>
  </w:num>
  <w:num w:numId="7" w16cid:durableId="903293351">
    <w:abstractNumId w:val="3"/>
  </w:num>
  <w:num w:numId="8" w16cid:durableId="560291963">
    <w:abstractNumId w:val="2"/>
  </w:num>
  <w:num w:numId="9" w16cid:durableId="1078820430">
    <w:abstractNumId w:val="1"/>
  </w:num>
  <w:num w:numId="10" w16cid:durableId="222058897">
    <w:abstractNumId w:val="23"/>
  </w:num>
  <w:num w:numId="11" w16cid:durableId="242643858">
    <w:abstractNumId w:val="17"/>
  </w:num>
  <w:num w:numId="12" w16cid:durableId="15934725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4638845">
    <w:abstractNumId w:val="0"/>
  </w:num>
  <w:num w:numId="14" w16cid:durableId="315181738">
    <w:abstractNumId w:val="17"/>
  </w:num>
  <w:num w:numId="15" w16cid:durableId="2017533949">
    <w:abstractNumId w:val="18"/>
  </w:num>
  <w:num w:numId="16" w16cid:durableId="125784692">
    <w:abstractNumId w:val="12"/>
  </w:num>
  <w:num w:numId="17" w16cid:durableId="1397320186">
    <w:abstractNumId w:val="24"/>
  </w:num>
  <w:num w:numId="18" w16cid:durableId="891037962">
    <w:abstractNumId w:val="24"/>
  </w:num>
  <w:num w:numId="19" w16cid:durableId="1683975317">
    <w:abstractNumId w:val="20"/>
  </w:num>
  <w:num w:numId="20" w16cid:durableId="949244613">
    <w:abstractNumId w:val="14"/>
  </w:num>
  <w:num w:numId="21" w16cid:durableId="920480309">
    <w:abstractNumId w:val="26"/>
  </w:num>
  <w:num w:numId="22" w16cid:durableId="1386879975">
    <w:abstractNumId w:val="28"/>
  </w:num>
  <w:num w:numId="23" w16cid:durableId="629211939">
    <w:abstractNumId w:val="13"/>
  </w:num>
  <w:num w:numId="24" w16cid:durableId="2000838848">
    <w:abstractNumId w:val="31"/>
  </w:num>
  <w:num w:numId="25" w16cid:durableId="626859094">
    <w:abstractNumId w:val="27"/>
  </w:num>
  <w:num w:numId="26" w16cid:durableId="1693729784">
    <w:abstractNumId w:val="29"/>
  </w:num>
  <w:num w:numId="27" w16cid:durableId="1355114863">
    <w:abstractNumId w:val="16"/>
  </w:num>
  <w:num w:numId="28" w16cid:durableId="1578906926">
    <w:abstractNumId w:val="22"/>
  </w:num>
  <w:num w:numId="29" w16cid:durableId="987512737">
    <w:abstractNumId w:val="21"/>
  </w:num>
  <w:num w:numId="30" w16cid:durableId="985864115">
    <w:abstractNumId w:val="15"/>
  </w:num>
  <w:num w:numId="31" w16cid:durableId="21253846">
    <w:abstractNumId w:val="25"/>
  </w:num>
  <w:num w:numId="32" w16cid:durableId="165436557">
    <w:abstractNumId w:val="11"/>
  </w:num>
  <w:num w:numId="33" w16cid:durableId="743652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587150">
    <w:abstractNumId w:val="30"/>
  </w:num>
  <w:num w:numId="35" w16cid:durableId="1326394612">
    <w:abstractNumId w:val="10"/>
  </w:num>
  <w:num w:numId="36" w16cid:durableId="16504805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9605230">
    <w:abstractNumId w:val="32"/>
  </w:num>
  <w:num w:numId="38" w16cid:durableId="924269655">
    <w:abstractNumId w:val="19"/>
  </w:num>
  <w:num w:numId="39" w16cid:durableId="1041899335">
    <w:abstractNumId w:val="23"/>
  </w:num>
  <w:num w:numId="40" w16cid:durableId="17567065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Dki1qis/q3v3xcdho5yOtoowWYt78hK5vahSVrwG9qDHElUNU1OUTBk4mLbGU91M8tbbxpzxXHNeo5Wo44gQPw==" w:salt="EF8fvxGsFc95LfZ5VVSkC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F6"/>
    <w:rsid w:val="000046BD"/>
    <w:rsid w:val="00015588"/>
    <w:rsid w:val="00032604"/>
    <w:rsid w:val="00044B5D"/>
    <w:rsid w:val="00051845"/>
    <w:rsid w:val="000518F3"/>
    <w:rsid w:val="000566E0"/>
    <w:rsid w:val="00062038"/>
    <w:rsid w:val="00062AE4"/>
    <w:rsid w:val="000649AD"/>
    <w:rsid w:val="00066330"/>
    <w:rsid w:val="00066CF9"/>
    <w:rsid w:val="00067DD9"/>
    <w:rsid w:val="00073119"/>
    <w:rsid w:val="000777B3"/>
    <w:rsid w:val="0008127C"/>
    <w:rsid w:val="00083D5F"/>
    <w:rsid w:val="00090B56"/>
    <w:rsid w:val="00091298"/>
    <w:rsid w:val="000969D5"/>
    <w:rsid w:val="000A1292"/>
    <w:rsid w:val="000A2DC6"/>
    <w:rsid w:val="000A759D"/>
    <w:rsid w:val="000A7FD9"/>
    <w:rsid w:val="000B5FBA"/>
    <w:rsid w:val="000D4547"/>
    <w:rsid w:val="000F129C"/>
    <w:rsid w:val="00102443"/>
    <w:rsid w:val="00106608"/>
    <w:rsid w:val="001253BC"/>
    <w:rsid w:val="001341B5"/>
    <w:rsid w:val="00153081"/>
    <w:rsid w:val="00160F48"/>
    <w:rsid w:val="001630F5"/>
    <w:rsid w:val="0017016C"/>
    <w:rsid w:val="0017410E"/>
    <w:rsid w:val="00184CEF"/>
    <w:rsid w:val="001869B0"/>
    <w:rsid w:val="00187ACF"/>
    <w:rsid w:val="00195D9B"/>
    <w:rsid w:val="001A4ACF"/>
    <w:rsid w:val="001C750A"/>
    <w:rsid w:val="001D07CD"/>
    <w:rsid w:val="001D3B7F"/>
    <w:rsid w:val="001E3A54"/>
    <w:rsid w:val="001E3CE3"/>
    <w:rsid w:val="001F3997"/>
    <w:rsid w:val="001F64A3"/>
    <w:rsid w:val="001F66AD"/>
    <w:rsid w:val="00204C88"/>
    <w:rsid w:val="002056BA"/>
    <w:rsid w:val="0022708E"/>
    <w:rsid w:val="00230B93"/>
    <w:rsid w:val="0023154F"/>
    <w:rsid w:val="00232581"/>
    <w:rsid w:val="00241EE8"/>
    <w:rsid w:val="00251145"/>
    <w:rsid w:val="00256B9D"/>
    <w:rsid w:val="00261F6E"/>
    <w:rsid w:val="00263F81"/>
    <w:rsid w:val="00272B0A"/>
    <w:rsid w:val="002750C4"/>
    <w:rsid w:val="00284A38"/>
    <w:rsid w:val="002966CE"/>
    <w:rsid w:val="002A059D"/>
    <w:rsid w:val="002A5B7B"/>
    <w:rsid w:val="002B0C03"/>
    <w:rsid w:val="002B158A"/>
    <w:rsid w:val="002C2ADF"/>
    <w:rsid w:val="002D3B02"/>
    <w:rsid w:val="002D682B"/>
    <w:rsid w:val="002E48AC"/>
    <w:rsid w:val="002F03C3"/>
    <w:rsid w:val="002F7056"/>
    <w:rsid w:val="00317C67"/>
    <w:rsid w:val="00317CFD"/>
    <w:rsid w:val="0032542F"/>
    <w:rsid w:val="00325614"/>
    <w:rsid w:val="00326B64"/>
    <w:rsid w:val="003323B7"/>
    <w:rsid w:val="00342223"/>
    <w:rsid w:val="00344D56"/>
    <w:rsid w:val="0035160D"/>
    <w:rsid w:val="00353663"/>
    <w:rsid w:val="00354D86"/>
    <w:rsid w:val="00360763"/>
    <w:rsid w:val="00362341"/>
    <w:rsid w:val="0036745B"/>
    <w:rsid w:val="00375CBF"/>
    <w:rsid w:val="00375EFC"/>
    <w:rsid w:val="003837CC"/>
    <w:rsid w:val="0038750F"/>
    <w:rsid w:val="00387B04"/>
    <w:rsid w:val="003904B9"/>
    <w:rsid w:val="00394187"/>
    <w:rsid w:val="00395CFE"/>
    <w:rsid w:val="003A16E1"/>
    <w:rsid w:val="003A2748"/>
    <w:rsid w:val="003A30F3"/>
    <w:rsid w:val="003A6C60"/>
    <w:rsid w:val="003C39F4"/>
    <w:rsid w:val="003D73EF"/>
    <w:rsid w:val="003E767E"/>
    <w:rsid w:val="003F1961"/>
    <w:rsid w:val="004064CD"/>
    <w:rsid w:val="00414AB9"/>
    <w:rsid w:val="0043066B"/>
    <w:rsid w:val="004309BF"/>
    <w:rsid w:val="0043434E"/>
    <w:rsid w:val="00436772"/>
    <w:rsid w:val="00453632"/>
    <w:rsid w:val="004558CC"/>
    <w:rsid w:val="00462222"/>
    <w:rsid w:val="0046312A"/>
    <w:rsid w:val="00474670"/>
    <w:rsid w:val="004803F2"/>
    <w:rsid w:val="00484F2D"/>
    <w:rsid w:val="004855CE"/>
    <w:rsid w:val="00495E2E"/>
    <w:rsid w:val="00496CF9"/>
    <w:rsid w:val="004A7FFE"/>
    <w:rsid w:val="004B217F"/>
    <w:rsid w:val="004B5BFA"/>
    <w:rsid w:val="004E0FF2"/>
    <w:rsid w:val="004E5AF4"/>
    <w:rsid w:val="0050064B"/>
    <w:rsid w:val="005014C6"/>
    <w:rsid w:val="00504FEA"/>
    <w:rsid w:val="00541F9A"/>
    <w:rsid w:val="00545E3C"/>
    <w:rsid w:val="00553E5C"/>
    <w:rsid w:val="00557D30"/>
    <w:rsid w:val="00563AD8"/>
    <w:rsid w:val="00564BE8"/>
    <w:rsid w:val="00565EDF"/>
    <w:rsid w:val="00570E5B"/>
    <w:rsid w:val="0057297D"/>
    <w:rsid w:val="00596041"/>
    <w:rsid w:val="005966A2"/>
    <w:rsid w:val="005A1443"/>
    <w:rsid w:val="005C102F"/>
    <w:rsid w:val="005C2367"/>
    <w:rsid w:val="005C6E04"/>
    <w:rsid w:val="005D1B10"/>
    <w:rsid w:val="005E2A78"/>
    <w:rsid w:val="005E2E03"/>
    <w:rsid w:val="005E44D3"/>
    <w:rsid w:val="005E4C24"/>
    <w:rsid w:val="005F3D90"/>
    <w:rsid w:val="005F4D2B"/>
    <w:rsid w:val="005F5578"/>
    <w:rsid w:val="00603E0E"/>
    <w:rsid w:val="006063A9"/>
    <w:rsid w:val="00613407"/>
    <w:rsid w:val="0061474D"/>
    <w:rsid w:val="00615C49"/>
    <w:rsid w:val="00633068"/>
    <w:rsid w:val="0063494B"/>
    <w:rsid w:val="006455B6"/>
    <w:rsid w:val="00666190"/>
    <w:rsid w:val="006745E3"/>
    <w:rsid w:val="006816D9"/>
    <w:rsid w:val="006817B0"/>
    <w:rsid w:val="006A0675"/>
    <w:rsid w:val="006C4904"/>
    <w:rsid w:val="006D0A5E"/>
    <w:rsid w:val="006D4CD9"/>
    <w:rsid w:val="006E6549"/>
    <w:rsid w:val="006E6B2B"/>
    <w:rsid w:val="006F29EA"/>
    <w:rsid w:val="00703C67"/>
    <w:rsid w:val="00707B2F"/>
    <w:rsid w:val="00710792"/>
    <w:rsid w:val="00711BA5"/>
    <w:rsid w:val="007154E3"/>
    <w:rsid w:val="0071799F"/>
    <w:rsid w:val="00717CCA"/>
    <w:rsid w:val="007202C6"/>
    <w:rsid w:val="00721594"/>
    <w:rsid w:val="00735601"/>
    <w:rsid w:val="00740720"/>
    <w:rsid w:val="00744867"/>
    <w:rsid w:val="00747563"/>
    <w:rsid w:val="00750535"/>
    <w:rsid w:val="00757301"/>
    <w:rsid w:val="00764333"/>
    <w:rsid w:val="00770335"/>
    <w:rsid w:val="00772EB1"/>
    <w:rsid w:val="00773E72"/>
    <w:rsid w:val="00781227"/>
    <w:rsid w:val="00782E55"/>
    <w:rsid w:val="00784DEB"/>
    <w:rsid w:val="00792B10"/>
    <w:rsid w:val="00796928"/>
    <w:rsid w:val="007A5734"/>
    <w:rsid w:val="007A78D0"/>
    <w:rsid w:val="007B565F"/>
    <w:rsid w:val="007B6C8C"/>
    <w:rsid w:val="007C53AB"/>
    <w:rsid w:val="007C7E2D"/>
    <w:rsid w:val="007D2040"/>
    <w:rsid w:val="007D495A"/>
    <w:rsid w:val="007E0886"/>
    <w:rsid w:val="007E56EE"/>
    <w:rsid w:val="007F29BC"/>
    <w:rsid w:val="00816B02"/>
    <w:rsid w:val="0082066D"/>
    <w:rsid w:val="008545A6"/>
    <w:rsid w:val="008622B7"/>
    <w:rsid w:val="00865ECE"/>
    <w:rsid w:val="00872864"/>
    <w:rsid w:val="00881E07"/>
    <w:rsid w:val="00882783"/>
    <w:rsid w:val="008953F6"/>
    <w:rsid w:val="008964DC"/>
    <w:rsid w:val="008A7A8E"/>
    <w:rsid w:val="008B52F7"/>
    <w:rsid w:val="008B6874"/>
    <w:rsid w:val="008C1818"/>
    <w:rsid w:val="008D2C44"/>
    <w:rsid w:val="008D5E13"/>
    <w:rsid w:val="008E7DCC"/>
    <w:rsid w:val="008F7087"/>
    <w:rsid w:val="009058B1"/>
    <w:rsid w:val="0090592E"/>
    <w:rsid w:val="00915BEC"/>
    <w:rsid w:val="00916721"/>
    <w:rsid w:val="009230CE"/>
    <w:rsid w:val="00923356"/>
    <w:rsid w:val="00926F0F"/>
    <w:rsid w:val="00932123"/>
    <w:rsid w:val="00935EDD"/>
    <w:rsid w:val="00943BDE"/>
    <w:rsid w:val="00943D90"/>
    <w:rsid w:val="00965A2B"/>
    <w:rsid w:val="0097072D"/>
    <w:rsid w:val="00986CF3"/>
    <w:rsid w:val="009A28CA"/>
    <w:rsid w:val="009A4DB9"/>
    <w:rsid w:val="009A60D6"/>
    <w:rsid w:val="009B0997"/>
    <w:rsid w:val="009B3ECA"/>
    <w:rsid w:val="009B583F"/>
    <w:rsid w:val="009C3565"/>
    <w:rsid w:val="009C7BCB"/>
    <w:rsid w:val="009D5247"/>
    <w:rsid w:val="009E15D6"/>
    <w:rsid w:val="009E262D"/>
    <w:rsid w:val="009E2C7E"/>
    <w:rsid w:val="009F0657"/>
    <w:rsid w:val="00A073E7"/>
    <w:rsid w:val="00A21033"/>
    <w:rsid w:val="00A27C06"/>
    <w:rsid w:val="00A27D94"/>
    <w:rsid w:val="00A672AE"/>
    <w:rsid w:val="00A67A25"/>
    <w:rsid w:val="00A93CAF"/>
    <w:rsid w:val="00A945A4"/>
    <w:rsid w:val="00AA5609"/>
    <w:rsid w:val="00AA6ED3"/>
    <w:rsid w:val="00AA7D3D"/>
    <w:rsid w:val="00AC1E61"/>
    <w:rsid w:val="00AC5FF4"/>
    <w:rsid w:val="00AD29CB"/>
    <w:rsid w:val="00AD2E14"/>
    <w:rsid w:val="00AD645A"/>
    <w:rsid w:val="00AD7A39"/>
    <w:rsid w:val="00AE03FA"/>
    <w:rsid w:val="00AE0C8F"/>
    <w:rsid w:val="00AE12AB"/>
    <w:rsid w:val="00AE2C4D"/>
    <w:rsid w:val="00AF06C7"/>
    <w:rsid w:val="00AF63AC"/>
    <w:rsid w:val="00AF654A"/>
    <w:rsid w:val="00B027ED"/>
    <w:rsid w:val="00B04857"/>
    <w:rsid w:val="00B07683"/>
    <w:rsid w:val="00B12610"/>
    <w:rsid w:val="00B33C20"/>
    <w:rsid w:val="00B37A15"/>
    <w:rsid w:val="00B503C2"/>
    <w:rsid w:val="00B52E6C"/>
    <w:rsid w:val="00B6173A"/>
    <w:rsid w:val="00B655D9"/>
    <w:rsid w:val="00B71E2D"/>
    <w:rsid w:val="00B72AB0"/>
    <w:rsid w:val="00BC07EF"/>
    <w:rsid w:val="00BC0E1F"/>
    <w:rsid w:val="00BD094E"/>
    <w:rsid w:val="00BD19DB"/>
    <w:rsid w:val="00BD24AA"/>
    <w:rsid w:val="00BD6DDE"/>
    <w:rsid w:val="00BD77C9"/>
    <w:rsid w:val="00BE0829"/>
    <w:rsid w:val="00BE5BA5"/>
    <w:rsid w:val="00BF367A"/>
    <w:rsid w:val="00C02897"/>
    <w:rsid w:val="00C03B3C"/>
    <w:rsid w:val="00C03FC2"/>
    <w:rsid w:val="00C07C02"/>
    <w:rsid w:val="00C1664D"/>
    <w:rsid w:val="00C229B0"/>
    <w:rsid w:val="00C313B7"/>
    <w:rsid w:val="00C34EF4"/>
    <w:rsid w:val="00C36028"/>
    <w:rsid w:val="00C36E8A"/>
    <w:rsid w:val="00C41F42"/>
    <w:rsid w:val="00C45BF3"/>
    <w:rsid w:val="00C464B3"/>
    <w:rsid w:val="00C47364"/>
    <w:rsid w:val="00C63DC2"/>
    <w:rsid w:val="00C73505"/>
    <w:rsid w:val="00C753B8"/>
    <w:rsid w:val="00C80CDA"/>
    <w:rsid w:val="00C8136F"/>
    <w:rsid w:val="00C848F1"/>
    <w:rsid w:val="00C96E6A"/>
    <w:rsid w:val="00CB7FB8"/>
    <w:rsid w:val="00CD680B"/>
    <w:rsid w:val="00CE324D"/>
    <w:rsid w:val="00CF2B15"/>
    <w:rsid w:val="00CF33F6"/>
    <w:rsid w:val="00CF5FE9"/>
    <w:rsid w:val="00CF5FFA"/>
    <w:rsid w:val="00D02383"/>
    <w:rsid w:val="00D17023"/>
    <w:rsid w:val="00D23A3D"/>
    <w:rsid w:val="00D30FA8"/>
    <w:rsid w:val="00D3670C"/>
    <w:rsid w:val="00D41312"/>
    <w:rsid w:val="00D6585E"/>
    <w:rsid w:val="00DA005C"/>
    <w:rsid w:val="00DA65A7"/>
    <w:rsid w:val="00DB1592"/>
    <w:rsid w:val="00DB79C6"/>
    <w:rsid w:val="00DC2B59"/>
    <w:rsid w:val="00DC3BE7"/>
    <w:rsid w:val="00DD3725"/>
    <w:rsid w:val="00DD7543"/>
    <w:rsid w:val="00DE15D6"/>
    <w:rsid w:val="00DE2336"/>
    <w:rsid w:val="00DE48EA"/>
    <w:rsid w:val="00DF2EF4"/>
    <w:rsid w:val="00E01ACA"/>
    <w:rsid w:val="00E03B00"/>
    <w:rsid w:val="00E16509"/>
    <w:rsid w:val="00E26ACF"/>
    <w:rsid w:val="00E3308C"/>
    <w:rsid w:val="00E337D4"/>
    <w:rsid w:val="00E35300"/>
    <w:rsid w:val="00E35E27"/>
    <w:rsid w:val="00E369C8"/>
    <w:rsid w:val="00E5390E"/>
    <w:rsid w:val="00E640D1"/>
    <w:rsid w:val="00E736EA"/>
    <w:rsid w:val="00E830BF"/>
    <w:rsid w:val="00E9393A"/>
    <w:rsid w:val="00E96A82"/>
    <w:rsid w:val="00EA1D92"/>
    <w:rsid w:val="00EA23C9"/>
    <w:rsid w:val="00EA47A3"/>
    <w:rsid w:val="00EA7609"/>
    <w:rsid w:val="00EB2644"/>
    <w:rsid w:val="00EB6E73"/>
    <w:rsid w:val="00EC0ED3"/>
    <w:rsid w:val="00EE0E80"/>
    <w:rsid w:val="00EE3779"/>
    <w:rsid w:val="00EE5935"/>
    <w:rsid w:val="00EE6EBB"/>
    <w:rsid w:val="00F02AC3"/>
    <w:rsid w:val="00F05FC0"/>
    <w:rsid w:val="00F05FC8"/>
    <w:rsid w:val="00F274F6"/>
    <w:rsid w:val="00F34AA9"/>
    <w:rsid w:val="00F43924"/>
    <w:rsid w:val="00F666F0"/>
    <w:rsid w:val="00F81408"/>
    <w:rsid w:val="00F83935"/>
    <w:rsid w:val="00F92780"/>
    <w:rsid w:val="00F963FF"/>
    <w:rsid w:val="00F97EF5"/>
    <w:rsid w:val="00FB2CF8"/>
    <w:rsid w:val="00FB7364"/>
    <w:rsid w:val="00FC43BC"/>
    <w:rsid w:val="00FC5279"/>
    <w:rsid w:val="00FC6E2C"/>
    <w:rsid w:val="00FE077A"/>
    <w:rsid w:val="00FF0EAA"/>
    <w:rsid w:val="00FF626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CF1F7"/>
  <w15:docId w15:val="{9BA98E6E-4BE7-4282-84F7-1F2185EF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B5D"/>
    <w:pPr>
      <w:spacing w:before="160" w:after="12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EE8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EE8"/>
    <w:pPr>
      <w:keepNext/>
      <w:keepLines/>
      <w:spacing w:before="240" w:after="160"/>
      <w:outlineLvl w:val="1"/>
    </w:pPr>
    <w:rPr>
      <w:rFonts w:ascii="Tahoma" w:eastAsiaTheme="majorEastAsia" w:hAnsi="Tahoma" w:cstheme="majorBidi"/>
      <w:b/>
      <w:color w:val="23619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EE8"/>
    <w:pPr>
      <w:keepNext/>
      <w:keepLines/>
      <w:spacing w:before="20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1EE8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E76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E7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F05FC0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F05FC0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969D5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73E72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EE8"/>
    <w:pPr>
      <w:numPr>
        <w:ilvl w:val="1"/>
      </w:numPr>
      <w:spacing w:after="240"/>
    </w:pPr>
    <w:rPr>
      <w:rFonts w:ascii="Tahoma" w:eastAsiaTheme="minorEastAsia" w:hAnsi="Tahoma"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EE8"/>
    <w:rPr>
      <w:rFonts w:ascii="Tahoma" w:eastAsiaTheme="minorEastAsia" w:hAnsi="Tahoma"/>
      <w:color w:val="FFFFFF" w:themeColor="background1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D50032" w:themeFill="accent2"/>
      <w:vAlign w:val="center"/>
    </w:tcPr>
    <w:tblStylePr w:type="firstCol">
      <w:tblPr/>
      <w:tcPr>
        <w:shd w:val="clear" w:color="auto" w:fill="D50032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41EE8"/>
    <w:rPr>
      <w:rFonts w:ascii="Tahoma" w:eastAsiaTheme="majorEastAsia" w:hAnsi="Tahoma" w:cstheme="majorBidi"/>
      <w:color w:val="FFFFFF" w:themeColor="background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EE8"/>
    <w:rPr>
      <w:rFonts w:ascii="Tahoma" w:eastAsiaTheme="majorEastAsia" w:hAnsi="Tahoma" w:cstheme="majorBidi"/>
      <w:b/>
      <w:color w:val="236192" w:themeColor="accent1"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773E72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9F0657"/>
    <w:rPr>
      <w:b/>
      <w:color w:val="75787B" w:themeColor="background2"/>
      <w:sz w:val="22"/>
      <w:bdr w:val="none" w:sz="0" w:space="0" w:color="auto"/>
      <w:shd w:val="clear" w:color="auto" w:fill="auto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41EE8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044B5D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044B5D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C1664D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0969D5"/>
    <w:pPr>
      <w:spacing w:before="240" w:after="320" w:line="240" w:lineRule="auto"/>
    </w:pPr>
    <w:rPr>
      <w:rFonts w:ascii="Tahoma" w:eastAsiaTheme="majorEastAsia" w:hAnsi="Tahoma" w:cstheme="majorBidi"/>
      <w:color w:val="FFFFFF" w:themeColor="background1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F05FC0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F05FC0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D41312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044B5D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F05FC0"/>
    <w:pPr>
      <w:numPr>
        <w:ilvl w:val="3"/>
        <w:numId w:val="30"/>
      </w:numPr>
      <w:spacing w:before="120" w:after="120" w:line="336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F05FC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EE8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044B5D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044B5D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044B5D"/>
    <w:pPr>
      <w:tabs>
        <w:tab w:val="right" w:pos="9582"/>
      </w:tabs>
      <w:spacing w:before="40" w:after="40" w:line="288" w:lineRule="auto"/>
      <w:ind w:left="1702" w:right="567"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E767E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603E0E"/>
  </w:style>
  <w:style w:type="paragraph" w:styleId="TOC7">
    <w:name w:val="toc 7"/>
    <w:basedOn w:val="Normal"/>
    <w:next w:val="Normal"/>
    <w:autoRedefine/>
    <w:uiPriority w:val="39"/>
    <w:semiHidden/>
    <w:unhideWhenUsed/>
    <w:rsid w:val="00044B5D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4B5D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4B5D"/>
    <w:pPr>
      <w:spacing w:before="40" w:after="40" w:line="288" w:lineRule="auto"/>
      <w:ind w:left="1758"/>
    </w:pPr>
  </w:style>
  <w:style w:type="character" w:styleId="UnresolvedMention">
    <w:name w:val="Unresolved Mention"/>
    <w:basedOn w:val="DefaultParagraphFont"/>
    <w:uiPriority w:val="99"/>
    <w:semiHidden/>
    <w:unhideWhenUsed/>
    <w:rsid w:val="000731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6AD"/>
    <w:rPr>
      <w:color w:val="000000" w:themeColor="followedHyperlink"/>
      <w:u w:val="single"/>
    </w:rPr>
  </w:style>
  <w:style w:type="paragraph" w:styleId="Revision">
    <w:name w:val="Revision"/>
    <w:hidden/>
    <w:uiPriority w:val="99"/>
    <w:semiHidden/>
    <w:rsid w:val="00BC07EF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hyperlink" Target="https://www.esc.vic.gov.au/victorian-energy-upgrades-program/veu-updates-reports-reviews-and-data/veu-performance-reports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ESC Red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D50032"/>
      </a:accent2>
      <a:accent3>
        <a:srgbClr val="4986A0"/>
      </a:accent3>
      <a:accent4>
        <a:srgbClr val="ED8B00"/>
      </a:accent4>
      <a:accent5>
        <a:srgbClr val="183028"/>
      </a:accent5>
      <a:accent6>
        <a:srgbClr val="CE0058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0D88-B568-475B-AC54-FA1E5835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496</Words>
  <Characters>3042</Characters>
  <Application>Microsoft Office Word</Application>
  <DocSecurity>8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VEU Performance Report 2022 – fact sheet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VEU Performance Report 2022 – fact sheet</dc:title>
  <dc:subject/>
  <dc:creator>Heidi Wearne (ESC)</dc:creator>
  <cp:keywords>[SEC=UNOFFICIAL]</cp:keywords>
  <dc:description/>
  <cp:lastModifiedBy>Heidi Wearne (ESC)</cp:lastModifiedBy>
  <cp:revision>156</cp:revision>
  <cp:lastPrinted>2023-09-18T04:26:00Z</cp:lastPrinted>
  <dcterms:created xsi:type="dcterms:W3CDTF">2023-08-25T01:58:00Z</dcterms:created>
  <dcterms:modified xsi:type="dcterms:W3CDTF">2023-09-18T04:36:00Z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919B3C18AB3546F299AC7EDCA7B77EC6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93A903553C79D70989E5EDA2840F192B14D3E5E2</vt:lpwstr>
  </property>
  <property fmtid="{D5CDD505-2E9C-101B-9397-08002B2CF9AE}" pid="11" name="PM_OriginationTimeStamp">
    <vt:lpwstr>2023-09-18T04:30:21Z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2019.2.1.vic.gov.au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Uuid">
    <vt:lpwstr>888C8D7C-C12E-52A4-9297-370EB0F3096D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560242C6CC462963500189384BFDB293</vt:lpwstr>
  </property>
  <property fmtid="{D5CDD505-2E9C-101B-9397-08002B2CF9AE}" pid="23" name="PM_Hash_Salt">
    <vt:lpwstr>36D72AD840431CF97C62180C08900CBA</vt:lpwstr>
  </property>
  <property fmtid="{D5CDD505-2E9C-101B-9397-08002B2CF9AE}" pid="24" name="PM_Hash_SHA1">
    <vt:lpwstr>4B32FED3BDB5956B7A206A9A1B91AD74AAD52984</vt:lpwstr>
  </property>
  <property fmtid="{D5CDD505-2E9C-101B-9397-08002B2CF9AE}" pid="25" name="PM_OriginatorUserAccountName_SHA256">
    <vt:lpwstr>7D229611F0974DAAE571C8A9C14200ADF3E69734462220690957FA8F17480CF7</vt:lpwstr>
  </property>
  <property fmtid="{D5CDD505-2E9C-101B-9397-08002B2CF9AE}" pid="26" name="PM_OriginatorDomainName_SHA256">
    <vt:lpwstr>9E5929A2B0C9364118E50F7972B6A4AA763F815A803675E11226272E392AE99C</vt:lpwstr>
  </property>
  <property fmtid="{D5CDD505-2E9C-101B-9397-08002B2CF9AE}" pid="27" name="PM_SecurityClassification_Prev">
    <vt:lpwstr>UNOFFICIAL</vt:lpwstr>
  </property>
  <property fmtid="{D5CDD505-2E9C-101B-9397-08002B2CF9AE}" pid="28" name="PM_Qualifier_Prev">
    <vt:lpwstr/>
  </property>
</Properties>
</file>